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7EE7" w14:textId="2E5A9DAB" w:rsidR="000C7E75" w:rsidRPr="001C5161" w:rsidRDefault="000C7E75" w:rsidP="00FE2AD3">
      <w:pPr>
        <w:pStyle w:val="Heading1"/>
        <w:rPr>
          <w:rFonts w:cs="Arial"/>
        </w:rPr>
      </w:pPr>
      <w:r w:rsidRPr="001C5161">
        <w:rPr>
          <w:rFonts w:cs="Arial"/>
        </w:rPr>
        <w:t>Annexure A: Preliminary</w:t>
      </w:r>
    </w:p>
    <w:tbl>
      <w:tblPr>
        <w:tblStyle w:val="TableGrid"/>
        <w:tblpPr w:leftFromText="180" w:rightFromText="180" w:vertAnchor="text" w:horzAnchor="margin" w:tblpX="-10" w:tblpY="215"/>
        <w:tblW w:w="14464" w:type="dxa"/>
        <w:tblLook w:val="04A0" w:firstRow="1" w:lastRow="0" w:firstColumn="1" w:lastColumn="0" w:noHBand="0" w:noVBand="1"/>
      </w:tblPr>
      <w:tblGrid>
        <w:gridCol w:w="2268"/>
        <w:gridCol w:w="6232"/>
        <w:gridCol w:w="5964"/>
      </w:tblGrid>
      <w:tr w:rsidR="000C7E75" w:rsidRPr="00FB75ED" w14:paraId="4380C21E" w14:textId="77777777" w:rsidTr="002E108D">
        <w:tc>
          <w:tcPr>
            <w:tcW w:w="2268" w:type="dxa"/>
          </w:tcPr>
          <w:p w14:paraId="5D852413" w14:textId="77777777" w:rsidR="000C7E75" w:rsidRPr="00F9204E" w:rsidRDefault="000C7E75" w:rsidP="00F9204E">
            <w:pPr>
              <w:spacing w:after="120"/>
              <w:rPr>
                <w:rFonts w:cs="Arial"/>
                <w:b/>
                <w:bCs/>
                <w:color w:val="000000" w:themeColor="text1"/>
                <w:sz w:val="22"/>
                <w:szCs w:val="22"/>
              </w:rPr>
            </w:pPr>
            <w:r w:rsidRPr="00F9204E">
              <w:rPr>
                <w:rFonts w:cs="Arial"/>
                <w:b/>
                <w:bCs/>
                <w:color w:val="000000" w:themeColor="text1"/>
                <w:sz w:val="22"/>
                <w:szCs w:val="22"/>
              </w:rPr>
              <w:t>Clause</w:t>
            </w:r>
          </w:p>
        </w:tc>
        <w:tc>
          <w:tcPr>
            <w:tcW w:w="6232" w:type="dxa"/>
          </w:tcPr>
          <w:p w14:paraId="57C5C970" w14:textId="77777777" w:rsidR="000C7E75" w:rsidRPr="00F9204E" w:rsidRDefault="000C7E75" w:rsidP="00F9204E">
            <w:pPr>
              <w:spacing w:after="120"/>
              <w:rPr>
                <w:rFonts w:cs="Arial"/>
                <w:b/>
                <w:bCs/>
                <w:color w:val="000000" w:themeColor="text1"/>
                <w:sz w:val="22"/>
                <w:szCs w:val="22"/>
              </w:rPr>
            </w:pPr>
            <w:r w:rsidRPr="00F9204E">
              <w:rPr>
                <w:rFonts w:cs="Arial"/>
                <w:b/>
                <w:bCs/>
                <w:color w:val="000000" w:themeColor="text1"/>
                <w:sz w:val="22"/>
                <w:szCs w:val="22"/>
              </w:rPr>
              <w:t>Issues</w:t>
            </w:r>
          </w:p>
        </w:tc>
        <w:tc>
          <w:tcPr>
            <w:tcW w:w="5964" w:type="dxa"/>
          </w:tcPr>
          <w:p w14:paraId="59CDB40A" w14:textId="60876634" w:rsidR="000C7E75" w:rsidRPr="00F9204E" w:rsidRDefault="000C7E75" w:rsidP="00F9204E">
            <w:pPr>
              <w:spacing w:after="120"/>
              <w:rPr>
                <w:rFonts w:cs="Arial"/>
                <w:b/>
                <w:bCs/>
                <w:color w:val="000000" w:themeColor="text1"/>
                <w:sz w:val="22"/>
                <w:szCs w:val="22"/>
              </w:rPr>
            </w:pPr>
            <w:r w:rsidRPr="00F9204E">
              <w:rPr>
                <w:rFonts w:cs="Arial"/>
                <w:b/>
                <w:bCs/>
                <w:color w:val="000000" w:themeColor="text1"/>
                <w:sz w:val="22"/>
                <w:szCs w:val="22"/>
              </w:rPr>
              <w:t>Recommended change</w:t>
            </w:r>
            <w:r w:rsidR="009142CC" w:rsidRPr="00F9204E">
              <w:rPr>
                <w:rFonts w:cs="Arial"/>
                <w:b/>
                <w:bCs/>
                <w:color w:val="000000" w:themeColor="text1"/>
                <w:sz w:val="22"/>
                <w:szCs w:val="22"/>
              </w:rPr>
              <w:t>s</w:t>
            </w:r>
          </w:p>
        </w:tc>
      </w:tr>
      <w:tr w:rsidR="000C7E75" w:rsidRPr="00FB75ED" w14:paraId="673ED65C" w14:textId="77777777" w:rsidTr="002E108D">
        <w:tc>
          <w:tcPr>
            <w:tcW w:w="2268" w:type="dxa"/>
          </w:tcPr>
          <w:p w14:paraId="3DA3D49C" w14:textId="629A81B7" w:rsidR="000C7E75" w:rsidRPr="001C5161" w:rsidRDefault="00AA09E9" w:rsidP="00F9204E">
            <w:pPr>
              <w:spacing w:after="120"/>
              <w:rPr>
                <w:rFonts w:cs="Arial"/>
              </w:rPr>
            </w:pPr>
            <w:r w:rsidRPr="001C5161">
              <w:rPr>
                <w:rFonts w:cs="Arial"/>
              </w:rPr>
              <w:t>Long title</w:t>
            </w:r>
          </w:p>
        </w:tc>
        <w:tc>
          <w:tcPr>
            <w:tcW w:w="6232" w:type="dxa"/>
          </w:tcPr>
          <w:p w14:paraId="51204B19" w14:textId="5346229E" w:rsidR="000C7E75" w:rsidRPr="001C5161" w:rsidRDefault="001967CC" w:rsidP="00F9204E">
            <w:pPr>
              <w:spacing w:after="120"/>
              <w:rPr>
                <w:rFonts w:cs="Arial"/>
              </w:rPr>
            </w:pPr>
            <w:r w:rsidRPr="5C73A9CA">
              <w:rPr>
                <w:rFonts w:cs="Arial"/>
              </w:rPr>
              <w:t xml:space="preserve">Inconsistent with </w:t>
            </w:r>
            <w:r w:rsidR="002532E0" w:rsidRPr="5C73A9CA">
              <w:rPr>
                <w:rFonts w:cs="Arial"/>
                <w:i/>
                <w:iCs/>
              </w:rPr>
              <w:t xml:space="preserve">Building belonging </w:t>
            </w:r>
            <w:r w:rsidR="002532E0" w:rsidRPr="5C73A9CA">
              <w:rPr>
                <w:rFonts w:cs="Arial"/>
              </w:rPr>
              <w:t>review</w:t>
            </w:r>
            <w:r w:rsidR="002532E0" w:rsidRPr="5C73A9CA">
              <w:rPr>
                <w:rFonts w:cs="Arial"/>
                <w:i/>
                <w:iCs/>
              </w:rPr>
              <w:t xml:space="preserve"> </w:t>
            </w:r>
            <w:r w:rsidRPr="5C73A9CA">
              <w:rPr>
                <w:rFonts w:cs="Arial"/>
              </w:rPr>
              <w:t xml:space="preserve">recommendation </w:t>
            </w:r>
            <w:r w:rsidR="00FB50A3" w:rsidRPr="5C73A9CA">
              <w:rPr>
                <w:rFonts w:cs="Arial"/>
              </w:rPr>
              <w:t>2.1</w:t>
            </w:r>
            <w:r w:rsidR="00A84ED8" w:rsidRPr="5C73A9CA">
              <w:rPr>
                <w:rFonts w:cs="Arial"/>
              </w:rPr>
              <w:t xml:space="preserve">, the draft Bill </w:t>
            </w:r>
            <w:r w:rsidRPr="5C73A9CA">
              <w:rPr>
                <w:rFonts w:cs="Arial"/>
              </w:rPr>
              <w:t>continues to refer to ‘An Act to promote equality of opportunity to everyone’.</w:t>
            </w:r>
            <w:r w:rsidR="00DF5BA4">
              <w:rPr>
                <w:rFonts w:cs="Arial"/>
              </w:rPr>
              <w:t xml:space="preserve"> The term ‘unfair’ discrimination does not appear anywhere in the Act and may be misleading.</w:t>
            </w:r>
            <w:r w:rsidR="00676FBF">
              <w:rPr>
                <w:rFonts w:cs="Arial"/>
              </w:rPr>
              <w:t xml:space="preserve"> An alternative is to include ‘unlawful’</w:t>
            </w:r>
            <w:r w:rsidR="003405C0">
              <w:rPr>
                <w:rFonts w:cs="Arial"/>
              </w:rPr>
              <w:t xml:space="preserve">, or </w:t>
            </w:r>
            <w:r w:rsidR="00202075">
              <w:rPr>
                <w:rFonts w:cs="Arial"/>
              </w:rPr>
              <w:t>to simply say ‘discrimination’.</w:t>
            </w:r>
          </w:p>
        </w:tc>
        <w:tc>
          <w:tcPr>
            <w:tcW w:w="5964" w:type="dxa"/>
          </w:tcPr>
          <w:p w14:paraId="5D82E73A" w14:textId="396C8DDF" w:rsidR="0012516E" w:rsidRDefault="00EA1D50" w:rsidP="00F9204E">
            <w:pPr>
              <w:spacing w:after="120"/>
              <w:rPr>
                <w:rFonts w:eastAsia="Calibri" w:cs="Arial"/>
                <w:kern w:val="0"/>
              </w:rPr>
            </w:pPr>
            <w:bookmarkStart w:id="0" w:name="_Hlk161129166"/>
            <w:r>
              <w:rPr>
                <w:rFonts w:eastAsia="Calibri" w:cs="Arial"/>
                <w:kern w:val="0"/>
              </w:rPr>
              <w:t>Amend</w:t>
            </w:r>
            <w:r w:rsidR="0012516E">
              <w:rPr>
                <w:rFonts w:eastAsia="Calibri" w:cs="Arial"/>
                <w:kern w:val="0"/>
              </w:rPr>
              <w:t xml:space="preserve"> </w:t>
            </w:r>
            <w:r w:rsidR="008464D6">
              <w:rPr>
                <w:rFonts w:eastAsia="Calibri" w:cs="Arial"/>
                <w:kern w:val="0"/>
              </w:rPr>
              <w:t xml:space="preserve">the long title </w:t>
            </w:r>
            <w:r w:rsidR="0012516E">
              <w:rPr>
                <w:rFonts w:eastAsia="Calibri" w:cs="Arial"/>
                <w:kern w:val="0"/>
              </w:rPr>
              <w:t>as follows:</w:t>
            </w:r>
          </w:p>
          <w:p w14:paraId="5EEDE389" w14:textId="6A39A624" w:rsidR="000C7E75" w:rsidRPr="001C5161" w:rsidRDefault="00A70107" w:rsidP="00F9204E">
            <w:pPr>
              <w:spacing w:after="120"/>
              <w:ind w:left="720"/>
              <w:rPr>
                <w:rFonts w:eastAsia="Calibri" w:cs="Arial"/>
                <w:kern w:val="0"/>
              </w:rPr>
            </w:pPr>
            <w:r w:rsidRPr="00A70107">
              <w:rPr>
                <w:rFonts w:eastAsia="Calibri" w:cs="Arial"/>
                <w:kern w:val="0"/>
              </w:rPr>
              <w:t xml:space="preserve">An Act to promote equality </w:t>
            </w:r>
            <w:r w:rsidRPr="00A70107">
              <w:rPr>
                <w:rFonts w:eastAsia="Calibri" w:cs="Arial"/>
                <w:strike/>
                <w:kern w:val="0"/>
              </w:rPr>
              <w:t>of opportunity</w:t>
            </w:r>
            <w:r w:rsidRPr="00A70107">
              <w:rPr>
                <w:rFonts w:eastAsia="Calibri" w:cs="Arial"/>
                <w:kern w:val="0"/>
              </w:rPr>
              <w:t xml:space="preserve"> </w:t>
            </w:r>
            <w:r w:rsidRPr="00F9204E">
              <w:rPr>
                <w:rFonts w:eastAsia="Calibri" w:cs="Arial"/>
                <w:color w:val="347B9F"/>
                <w:kern w:val="0"/>
              </w:rPr>
              <w:t>and achieve equitable outcomes for everyone</w:t>
            </w:r>
            <w:r w:rsidRPr="00A70107">
              <w:rPr>
                <w:rFonts w:eastAsia="Calibri" w:cs="Arial"/>
                <w:color w:val="FF0000"/>
                <w:kern w:val="0"/>
              </w:rPr>
              <w:t xml:space="preserve"> </w:t>
            </w:r>
            <w:r w:rsidRPr="00A70107">
              <w:rPr>
                <w:rFonts w:eastAsia="Calibri" w:cs="Arial"/>
                <w:kern w:val="0"/>
              </w:rPr>
              <w:t xml:space="preserve">by protecting them from </w:t>
            </w:r>
            <w:r w:rsidRPr="00A70107">
              <w:rPr>
                <w:rFonts w:eastAsia="Calibri" w:cs="Arial"/>
                <w:strike/>
                <w:kern w:val="0"/>
              </w:rPr>
              <w:t>unfair</w:t>
            </w:r>
            <w:r w:rsidRPr="00A70107">
              <w:rPr>
                <w:rFonts w:eastAsia="Calibri" w:cs="Arial"/>
                <w:kern w:val="0"/>
              </w:rPr>
              <w:t xml:space="preserve"> discrimination</w:t>
            </w:r>
            <w:bookmarkEnd w:id="0"/>
            <w:r w:rsidR="00235C2E">
              <w:rPr>
                <w:rFonts w:eastAsia="Calibri" w:cs="Arial"/>
                <w:kern w:val="0"/>
              </w:rPr>
              <w:t>….</w:t>
            </w:r>
          </w:p>
        </w:tc>
      </w:tr>
      <w:tr w:rsidR="000C7E75" w:rsidRPr="00FB75ED" w14:paraId="5A6B76D7" w14:textId="77777777" w:rsidTr="002E108D">
        <w:tc>
          <w:tcPr>
            <w:tcW w:w="2268" w:type="dxa"/>
          </w:tcPr>
          <w:p w14:paraId="78C9BB4F" w14:textId="396C462C" w:rsidR="000C7E75" w:rsidRPr="001C5161" w:rsidRDefault="00CD06F7" w:rsidP="00F9204E">
            <w:pPr>
              <w:spacing w:after="120"/>
              <w:rPr>
                <w:rFonts w:cs="Arial"/>
              </w:rPr>
            </w:pPr>
            <w:r w:rsidRPr="5C73A9CA">
              <w:rPr>
                <w:rFonts w:cs="Arial"/>
              </w:rPr>
              <w:t xml:space="preserve">Cl </w:t>
            </w:r>
            <w:r w:rsidR="00DF6D88" w:rsidRPr="5C73A9CA">
              <w:rPr>
                <w:rFonts w:cs="Arial"/>
              </w:rPr>
              <w:t>2</w:t>
            </w:r>
          </w:p>
          <w:p w14:paraId="3EC92DCF" w14:textId="5B607213" w:rsidR="00D816AE" w:rsidRPr="001C5161" w:rsidRDefault="00D816AE" w:rsidP="00F9204E">
            <w:pPr>
              <w:spacing w:after="120"/>
              <w:rPr>
                <w:rFonts w:cs="Arial"/>
              </w:rPr>
            </w:pPr>
            <w:r w:rsidRPr="5C73A9CA">
              <w:rPr>
                <w:rFonts w:cs="Arial"/>
              </w:rPr>
              <w:t>Commencement</w:t>
            </w:r>
          </w:p>
        </w:tc>
        <w:tc>
          <w:tcPr>
            <w:tcW w:w="6232" w:type="dxa"/>
          </w:tcPr>
          <w:p w14:paraId="46EF418E" w14:textId="6AF4332C" w:rsidR="000C7E75" w:rsidRPr="001C5161" w:rsidRDefault="00703AF2" w:rsidP="00F9204E">
            <w:pPr>
              <w:spacing w:after="120"/>
              <w:rPr>
                <w:rFonts w:cs="Arial"/>
              </w:rPr>
            </w:pPr>
            <w:r w:rsidRPr="5C73A9CA">
              <w:rPr>
                <w:rFonts w:cs="Arial"/>
              </w:rPr>
              <w:t>Refer to</w:t>
            </w:r>
            <w:r w:rsidR="007D2622" w:rsidRPr="5C73A9CA">
              <w:rPr>
                <w:rFonts w:cs="Arial"/>
              </w:rPr>
              <w:t xml:space="preserve"> </w:t>
            </w:r>
            <w:r w:rsidR="007F4BD4" w:rsidRPr="5C73A9CA">
              <w:rPr>
                <w:rFonts w:cs="Arial"/>
                <w:i/>
                <w:iCs/>
              </w:rPr>
              <w:t xml:space="preserve">Priority </w:t>
            </w:r>
            <w:r w:rsidRPr="5C73A9CA">
              <w:rPr>
                <w:rFonts w:cs="Arial"/>
                <w:i/>
                <w:iCs/>
              </w:rPr>
              <w:t>concerns</w:t>
            </w:r>
            <w:r w:rsidR="008808B6" w:rsidRPr="5C73A9CA">
              <w:rPr>
                <w:rFonts w:cs="Arial"/>
                <w:i/>
                <w:iCs/>
              </w:rPr>
              <w:t>: Commencement</w:t>
            </w:r>
            <w:r w:rsidRPr="5C73A9CA">
              <w:rPr>
                <w:rFonts w:cs="Arial"/>
              </w:rPr>
              <w:t xml:space="preserve"> in this submission.</w:t>
            </w:r>
          </w:p>
        </w:tc>
        <w:tc>
          <w:tcPr>
            <w:tcW w:w="5964" w:type="dxa"/>
          </w:tcPr>
          <w:p w14:paraId="63B2B8E1" w14:textId="4306C9CC" w:rsidR="000C7E75" w:rsidRPr="001C5161" w:rsidRDefault="00212AAC" w:rsidP="00F9204E">
            <w:pPr>
              <w:spacing w:after="120"/>
              <w:rPr>
                <w:rFonts w:cs="Arial"/>
              </w:rPr>
            </w:pPr>
            <w:r w:rsidRPr="5C73A9CA">
              <w:rPr>
                <w:rFonts w:cs="Arial"/>
              </w:rPr>
              <w:t>The Anti-Discrimination Act should commence</w:t>
            </w:r>
            <w:r w:rsidR="00A45298">
              <w:rPr>
                <w:rFonts w:cs="Arial"/>
              </w:rPr>
              <w:t xml:space="preserve"> on 1 September 2025.</w:t>
            </w:r>
            <w:r w:rsidRPr="5C73A9CA">
              <w:rPr>
                <w:rFonts w:cs="Arial"/>
              </w:rPr>
              <w:t xml:space="preserve"> </w:t>
            </w:r>
          </w:p>
        </w:tc>
      </w:tr>
      <w:tr w:rsidR="000C7E75" w:rsidRPr="00FB75ED" w14:paraId="7A83B523" w14:textId="77777777" w:rsidTr="002E108D">
        <w:tc>
          <w:tcPr>
            <w:tcW w:w="2268" w:type="dxa"/>
          </w:tcPr>
          <w:p w14:paraId="48657194" w14:textId="2F294D0B" w:rsidR="000C7E75" w:rsidRPr="001C5161" w:rsidRDefault="00CD06F7" w:rsidP="00F9204E">
            <w:pPr>
              <w:spacing w:after="120"/>
              <w:rPr>
                <w:rFonts w:cs="Arial"/>
              </w:rPr>
            </w:pPr>
            <w:r w:rsidRPr="5C73A9CA">
              <w:rPr>
                <w:rFonts w:cs="Arial"/>
              </w:rPr>
              <w:t xml:space="preserve">Cl </w:t>
            </w:r>
            <w:r w:rsidR="00E848DB" w:rsidRPr="5C73A9CA">
              <w:rPr>
                <w:rFonts w:cs="Arial"/>
              </w:rPr>
              <w:t>5</w:t>
            </w:r>
          </w:p>
          <w:p w14:paraId="560D9728" w14:textId="18D447B0" w:rsidR="00D816AE" w:rsidRPr="001C5161" w:rsidRDefault="00D816AE" w:rsidP="00F9204E">
            <w:pPr>
              <w:spacing w:after="120"/>
              <w:rPr>
                <w:rFonts w:cs="Arial"/>
              </w:rPr>
            </w:pPr>
            <w:r w:rsidRPr="5C73A9CA">
              <w:rPr>
                <w:rFonts w:cs="Arial"/>
              </w:rPr>
              <w:t xml:space="preserve">Application of an Act to employment connected with Queensland </w:t>
            </w:r>
          </w:p>
        </w:tc>
        <w:tc>
          <w:tcPr>
            <w:tcW w:w="6232" w:type="dxa"/>
          </w:tcPr>
          <w:p w14:paraId="7ABD58A2" w14:textId="5215E707" w:rsidR="00DD1E94" w:rsidRPr="001C5161" w:rsidRDefault="00B83D38" w:rsidP="00F9204E">
            <w:pPr>
              <w:spacing w:after="120"/>
              <w:rPr>
                <w:rFonts w:cs="Arial"/>
              </w:rPr>
            </w:pPr>
            <w:r w:rsidRPr="5C73A9CA">
              <w:rPr>
                <w:rFonts w:cs="Arial"/>
              </w:rPr>
              <w:t xml:space="preserve">Rather than adopting the language and </w:t>
            </w:r>
            <w:r w:rsidR="00DD1E94" w:rsidRPr="5C73A9CA">
              <w:rPr>
                <w:rFonts w:cs="Arial"/>
              </w:rPr>
              <w:t xml:space="preserve">concepts of employment, employer, and employer, </w:t>
            </w:r>
            <w:r w:rsidRPr="5C73A9CA">
              <w:rPr>
                <w:rFonts w:cs="Arial"/>
              </w:rPr>
              <w:t>t</w:t>
            </w:r>
            <w:r w:rsidR="00DD1E94" w:rsidRPr="5C73A9CA">
              <w:rPr>
                <w:rFonts w:cs="Arial"/>
              </w:rPr>
              <w:t xml:space="preserve">he better approach would be to extend the application of the Act to </w:t>
            </w:r>
            <w:r w:rsidR="00DD1E94" w:rsidRPr="5C73A9CA">
              <w:rPr>
                <w:rFonts w:cs="Arial"/>
                <w:i/>
                <w:iCs/>
              </w:rPr>
              <w:t>work</w:t>
            </w:r>
            <w:r w:rsidR="00DD1E94" w:rsidRPr="5C73A9CA">
              <w:rPr>
                <w:rFonts w:cs="Arial"/>
              </w:rPr>
              <w:t xml:space="preserve"> connected with Queensland.</w:t>
            </w:r>
          </w:p>
          <w:p w14:paraId="626CBD2F" w14:textId="6A238D6C" w:rsidR="000C7E75" w:rsidRPr="001C5161" w:rsidRDefault="00DD1E94" w:rsidP="00F9204E">
            <w:pPr>
              <w:spacing w:after="120"/>
              <w:rPr>
                <w:rFonts w:cs="Arial"/>
              </w:rPr>
            </w:pPr>
            <w:r w:rsidRPr="5C73A9CA">
              <w:rPr>
                <w:rFonts w:cs="Arial"/>
              </w:rPr>
              <w:t>Clause 5(2)(b)(</w:t>
            </w:r>
            <w:proofErr w:type="spellStart"/>
            <w:r w:rsidRPr="5C73A9CA">
              <w:rPr>
                <w:rFonts w:cs="Arial"/>
              </w:rPr>
              <w:t>i</w:t>
            </w:r>
            <w:proofErr w:type="spellEnd"/>
            <w:r w:rsidRPr="5C73A9CA">
              <w:rPr>
                <w:rFonts w:cs="Arial"/>
              </w:rPr>
              <w:t>) is too broad.  Although it would capture many of the entities excluded from the definition of public entity, it would mean the prohibitions and duties would apply to conduct that occurs outside of Queensland simply because the employer has a place of business in Queensland. The Act would apply to conduct in every place that a world-wide business operates, even if it has only a small business or undertaking in Queensland and no Queensland workers.</w:t>
            </w:r>
          </w:p>
        </w:tc>
        <w:tc>
          <w:tcPr>
            <w:tcW w:w="5964" w:type="dxa"/>
          </w:tcPr>
          <w:p w14:paraId="73633FB9" w14:textId="685F4AF1" w:rsidR="00A6565A" w:rsidRPr="00A6565A" w:rsidRDefault="00A6565A" w:rsidP="00F9204E">
            <w:pPr>
              <w:spacing w:after="120"/>
              <w:rPr>
                <w:rFonts w:cs="Arial"/>
              </w:rPr>
            </w:pPr>
            <w:r w:rsidRPr="00A6565A">
              <w:rPr>
                <w:rFonts w:cs="Arial"/>
              </w:rPr>
              <w:t>Re-</w:t>
            </w:r>
            <w:r w:rsidR="00EA1D50">
              <w:rPr>
                <w:rFonts w:cs="Arial"/>
              </w:rPr>
              <w:t>draft</w:t>
            </w:r>
            <w:r w:rsidRPr="00A6565A">
              <w:rPr>
                <w:rFonts w:cs="Arial"/>
              </w:rPr>
              <w:t xml:space="preserve"> clause 5 so that it extends application of the Act to </w:t>
            </w:r>
            <w:r w:rsidRPr="00B63CB6">
              <w:rPr>
                <w:rFonts w:cs="Arial"/>
                <w:i/>
                <w:iCs/>
              </w:rPr>
              <w:t>work</w:t>
            </w:r>
            <w:r w:rsidRPr="00A6565A">
              <w:rPr>
                <w:rFonts w:cs="Arial"/>
              </w:rPr>
              <w:t xml:space="preserve"> connected with Queensland, without using the language of employer and employment.</w:t>
            </w:r>
          </w:p>
          <w:p w14:paraId="2C2B4069" w14:textId="77777777" w:rsidR="00A6565A" w:rsidRPr="00A6565A" w:rsidRDefault="00A6565A" w:rsidP="00F9204E">
            <w:pPr>
              <w:spacing w:after="120"/>
              <w:rPr>
                <w:rFonts w:cs="Arial"/>
              </w:rPr>
            </w:pPr>
            <w:r w:rsidRPr="00A6565A">
              <w:rPr>
                <w:rFonts w:cs="Arial"/>
              </w:rPr>
              <w:t>Remove clause 5(2(b)(</w:t>
            </w:r>
            <w:proofErr w:type="spellStart"/>
            <w:r w:rsidRPr="00A6565A">
              <w:rPr>
                <w:rFonts w:cs="Arial"/>
              </w:rPr>
              <w:t>i</w:t>
            </w:r>
            <w:proofErr w:type="spellEnd"/>
            <w:r w:rsidRPr="00A6565A">
              <w:rPr>
                <w:rFonts w:cs="Arial"/>
              </w:rPr>
              <w:t>).</w:t>
            </w:r>
          </w:p>
          <w:p w14:paraId="00A2A43F" w14:textId="77777777" w:rsidR="000C7E75" w:rsidRPr="001C5161" w:rsidRDefault="000C7E75" w:rsidP="00F9204E">
            <w:pPr>
              <w:spacing w:after="120"/>
              <w:rPr>
                <w:rFonts w:cs="Arial"/>
              </w:rPr>
            </w:pPr>
          </w:p>
        </w:tc>
      </w:tr>
      <w:tr w:rsidR="00762657" w:rsidRPr="00FB75ED" w14:paraId="06792453" w14:textId="77777777" w:rsidTr="002E108D">
        <w:tc>
          <w:tcPr>
            <w:tcW w:w="2268" w:type="dxa"/>
          </w:tcPr>
          <w:p w14:paraId="495AFED0" w14:textId="642B0148" w:rsidR="00762657" w:rsidRDefault="00762657" w:rsidP="00F9204E">
            <w:pPr>
              <w:spacing w:after="120"/>
              <w:rPr>
                <w:rFonts w:cs="Arial"/>
              </w:rPr>
            </w:pPr>
            <w:r w:rsidRPr="1BE774B5">
              <w:rPr>
                <w:rFonts w:cs="Arial"/>
              </w:rPr>
              <w:t xml:space="preserve">Cl </w:t>
            </w:r>
            <w:r w:rsidR="00CC44F7" w:rsidRPr="1BE774B5">
              <w:rPr>
                <w:rFonts w:cs="Arial"/>
              </w:rPr>
              <w:t>10(g) and Sch 1</w:t>
            </w:r>
          </w:p>
          <w:p w14:paraId="6CC70327" w14:textId="4A854844" w:rsidR="00CC44F7" w:rsidRPr="001C5161" w:rsidRDefault="00CC44F7" w:rsidP="00F9204E">
            <w:pPr>
              <w:spacing w:after="120"/>
              <w:rPr>
                <w:rFonts w:cs="Arial"/>
              </w:rPr>
            </w:pPr>
            <w:r w:rsidRPr="1BE774B5">
              <w:rPr>
                <w:rFonts w:cs="Arial"/>
              </w:rPr>
              <w:t>Irrelevant criminal record</w:t>
            </w:r>
          </w:p>
        </w:tc>
        <w:tc>
          <w:tcPr>
            <w:tcW w:w="6232" w:type="dxa"/>
          </w:tcPr>
          <w:p w14:paraId="29D0D765" w14:textId="54ED252A" w:rsidR="00762657" w:rsidRPr="001C5161" w:rsidRDefault="00244FF8" w:rsidP="00F9204E">
            <w:pPr>
              <w:spacing w:after="120"/>
              <w:rPr>
                <w:rFonts w:cs="Arial"/>
              </w:rPr>
            </w:pPr>
            <w:r w:rsidRPr="5C73A9CA">
              <w:rPr>
                <w:rFonts w:cs="Arial"/>
              </w:rPr>
              <w:t xml:space="preserve">‘Spent conviction’ is not defined in the draft Bill but is defined in the </w:t>
            </w:r>
            <w:r w:rsidRPr="00F9204E">
              <w:rPr>
                <w:rFonts w:cs="Arial"/>
                <w:i/>
              </w:rPr>
              <w:t>Acts Interpretation Act 1954</w:t>
            </w:r>
            <w:r w:rsidRPr="5C73A9CA">
              <w:rPr>
                <w:rFonts w:cs="Arial"/>
              </w:rPr>
              <w:t xml:space="preserve"> (Qld) – for ease of navigation suggest a legislative note is included to refer to this.</w:t>
            </w:r>
          </w:p>
        </w:tc>
        <w:tc>
          <w:tcPr>
            <w:tcW w:w="5964" w:type="dxa"/>
          </w:tcPr>
          <w:p w14:paraId="4BE40AA4" w14:textId="27988B2A" w:rsidR="00762657" w:rsidRPr="001C5161" w:rsidRDefault="00762657" w:rsidP="00F9204E">
            <w:pPr>
              <w:spacing w:after="120"/>
              <w:rPr>
                <w:rFonts w:cs="Arial"/>
              </w:rPr>
            </w:pPr>
            <w:r w:rsidRPr="5C73A9CA">
              <w:rPr>
                <w:rFonts w:cs="Arial"/>
              </w:rPr>
              <w:t xml:space="preserve">Include a legislative note to direct readers of the legislation to the definition of ‘spent conviction’ in </w:t>
            </w:r>
            <w:r w:rsidRPr="5C73A9CA">
              <w:rPr>
                <w:rFonts w:cs="Arial"/>
                <w:i/>
                <w:iCs/>
              </w:rPr>
              <w:t>the Acts Interpretation Act 1954</w:t>
            </w:r>
            <w:r w:rsidRPr="5C73A9CA">
              <w:rPr>
                <w:rFonts w:cs="Arial"/>
              </w:rPr>
              <w:t xml:space="preserve"> (Qld) in the definitions section.</w:t>
            </w:r>
          </w:p>
        </w:tc>
      </w:tr>
      <w:tr w:rsidR="00762657" w:rsidRPr="00FB75ED" w14:paraId="399648FD" w14:textId="77777777" w:rsidTr="002E108D">
        <w:tc>
          <w:tcPr>
            <w:tcW w:w="2268" w:type="dxa"/>
          </w:tcPr>
          <w:p w14:paraId="34C56472" w14:textId="5F6077F3" w:rsidR="00762657" w:rsidRPr="001C5161" w:rsidRDefault="00762657" w:rsidP="00F9204E">
            <w:pPr>
              <w:spacing w:after="120"/>
              <w:rPr>
                <w:rFonts w:cs="Arial"/>
              </w:rPr>
            </w:pPr>
            <w:r w:rsidRPr="5C73A9CA">
              <w:rPr>
                <w:rFonts w:cs="Arial"/>
              </w:rPr>
              <w:t>Cl 10(q) and Sch 1</w:t>
            </w:r>
          </w:p>
          <w:p w14:paraId="2124CA3C" w14:textId="0305CFE5" w:rsidR="00762657" w:rsidRPr="001C5161" w:rsidRDefault="00CC44F7" w:rsidP="00F9204E">
            <w:pPr>
              <w:spacing w:after="120"/>
              <w:rPr>
                <w:rFonts w:cs="Arial"/>
              </w:rPr>
            </w:pPr>
            <w:r w:rsidRPr="5C73A9CA">
              <w:rPr>
                <w:rFonts w:cs="Arial"/>
              </w:rPr>
              <w:t>Sex work activity</w:t>
            </w:r>
          </w:p>
        </w:tc>
        <w:tc>
          <w:tcPr>
            <w:tcW w:w="6232" w:type="dxa"/>
          </w:tcPr>
          <w:p w14:paraId="1B6F27BB" w14:textId="16CD004E" w:rsidR="00762657" w:rsidRPr="001C5161" w:rsidRDefault="00762657" w:rsidP="00F9204E">
            <w:pPr>
              <w:spacing w:after="120"/>
              <w:rPr>
                <w:rFonts w:cs="Arial"/>
              </w:rPr>
            </w:pPr>
            <w:r w:rsidRPr="5C73A9CA">
              <w:rPr>
                <w:rFonts w:cs="Arial"/>
              </w:rPr>
              <w:t>Refer to the QHRC’s submission to the Criminal Code (Decriminalising Sex Work) and Other Legislation Amendment Bill 2024 which amends the Anti-Discrimination Act and inserts a new attribute of ‘sex work activity’.</w:t>
            </w:r>
          </w:p>
        </w:tc>
        <w:tc>
          <w:tcPr>
            <w:tcW w:w="5964" w:type="dxa"/>
          </w:tcPr>
          <w:p w14:paraId="1253F2CC" w14:textId="73AE141C" w:rsidR="00762657" w:rsidRPr="001C5161" w:rsidRDefault="00762657" w:rsidP="00F9204E">
            <w:pPr>
              <w:spacing w:after="120"/>
              <w:rPr>
                <w:rFonts w:cs="Arial"/>
              </w:rPr>
            </w:pPr>
            <w:r w:rsidRPr="5C73A9CA">
              <w:rPr>
                <w:rFonts w:cs="Arial"/>
              </w:rPr>
              <w:t>Remove the word ‘adult’ from the definition in (a</w:t>
            </w:r>
            <w:r w:rsidR="00087F17" w:rsidRPr="5C73A9CA">
              <w:rPr>
                <w:rFonts w:cs="Arial"/>
              </w:rPr>
              <w:t>) and</w:t>
            </w:r>
            <w:r w:rsidRPr="5C73A9CA">
              <w:rPr>
                <w:rFonts w:cs="Arial"/>
              </w:rPr>
              <w:t xml:space="preserve"> add the word ‘or’ between (</w:t>
            </w:r>
            <w:proofErr w:type="spellStart"/>
            <w:r w:rsidRPr="5C73A9CA">
              <w:rPr>
                <w:rFonts w:cs="Arial"/>
              </w:rPr>
              <w:t>i</w:t>
            </w:r>
            <w:proofErr w:type="spellEnd"/>
            <w:r w:rsidRPr="5C73A9CA">
              <w:rPr>
                <w:rFonts w:cs="Arial"/>
              </w:rPr>
              <w:t>) and (ii).</w:t>
            </w:r>
          </w:p>
        </w:tc>
      </w:tr>
      <w:tr w:rsidR="00087F17" w:rsidRPr="00FB75ED" w14:paraId="37B56967" w14:textId="77777777" w:rsidTr="002E108D">
        <w:tc>
          <w:tcPr>
            <w:tcW w:w="2268" w:type="dxa"/>
          </w:tcPr>
          <w:p w14:paraId="3234DBAA" w14:textId="4698F8F3" w:rsidR="00087F17" w:rsidRDefault="00087F17" w:rsidP="00F9204E">
            <w:pPr>
              <w:spacing w:after="120"/>
              <w:rPr>
                <w:rFonts w:cs="Arial"/>
              </w:rPr>
            </w:pPr>
            <w:r>
              <w:rPr>
                <w:rFonts w:cs="Arial"/>
              </w:rPr>
              <w:t>Cl10</w:t>
            </w:r>
            <w:r w:rsidR="001A7E48">
              <w:rPr>
                <w:rFonts w:cs="Arial"/>
              </w:rPr>
              <w:t xml:space="preserve">(o) </w:t>
            </w:r>
          </w:p>
          <w:p w14:paraId="7D4986F3" w14:textId="1B0E1BC6" w:rsidR="001A7E48" w:rsidRPr="5C73A9CA" w:rsidRDefault="001A7E48" w:rsidP="00F9204E">
            <w:pPr>
              <w:spacing w:after="120"/>
              <w:rPr>
                <w:rFonts w:cs="Arial"/>
              </w:rPr>
            </w:pPr>
            <w:r>
              <w:rPr>
                <w:rFonts w:cs="Arial"/>
              </w:rPr>
              <w:t>Sex attribute</w:t>
            </w:r>
          </w:p>
        </w:tc>
        <w:tc>
          <w:tcPr>
            <w:tcW w:w="6232" w:type="dxa"/>
          </w:tcPr>
          <w:p w14:paraId="08CB1676" w14:textId="5C1994E9" w:rsidR="00087F17" w:rsidRPr="5C73A9CA" w:rsidRDefault="001A7E48" w:rsidP="00F9204E">
            <w:pPr>
              <w:spacing w:after="120"/>
              <w:rPr>
                <w:rFonts w:cs="Arial"/>
              </w:rPr>
            </w:pPr>
            <w:r>
              <w:rPr>
                <w:rFonts w:cs="Arial"/>
              </w:rPr>
              <w:t>Inconsistent with</w:t>
            </w:r>
            <w:r w:rsidR="00B35D56">
              <w:rPr>
                <w:rFonts w:cs="Arial"/>
              </w:rPr>
              <w:t xml:space="preserve"> </w:t>
            </w:r>
            <w:r w:rsidR="00B35D56">
              <w:rPr>
                <w:rFonts w:cs="Arial"/>
                <w:i/>
                <w:iCs/>
              </w:rPr>
              <w:t xml:space="preserve">Building belonging </w:t>
            </w:r>
            <w:r w:rsidR="00B35D56">
              <w:rPr>
                <w:rFonts w:cs="Arial"/>
              </w:rPr>
              <w:t>review</w:t>
            </w:r>
            <w:r>
              <w:rPr>
                <w:rFonts w:cs="Arial"/>
              </w:rPr>
              <w:t xml:space="preserve"> recommendation </w:t>
            </w:r>
            <w:r w:rsidR="001B0F19">
              <w:rPr>
                <w:rFonts w:cs="Arial"/>
              </w:rPr>
              <w:t>22.3, which recommends that the Act and Explanatory Notes clarify that ‘sex</w:t>
            </w:r>
            <w:proofErr w:type="gramStart"/>
            <w:r w:rsidR="001B0F19">
              <w:rPr>
                <w:rFonts w:cs="Arial"/>
              </w:rPr>
              <w:t>’</w:t>
            </w:r>
            <w:proofErr w:type="gramEnd"/>
            <w:r w:rsidR="001B0F19">
              <w:rPr>
                <w:rFonts w:cs="Arial"/>
              </w:rPr>
              <w:t xml:space="preserve"> or </w:t>
            </w:r>
            <w:r w:rsidR="00031333">
              <w:rPr>
                <w:rFonts w:cs="Arial"/>
              </w:rPr>
              <w:t>a ‘particular sex’ refers to both those people of a sex that was assigned to them at birth, and people whose</w:t>
            </w:r>
            <w:r w:rsidR="006F0358">
              <w:rPr>
                <w:rFonts w:cs="Arial"/>
              </w:rPr>
              <w:t xml:space="preserve"> gender identity aligns with that sex.</w:t>
            </w:r>
          </w:p>
        </w:tc>
        <w:tc>
          <w:tcPr>
            <w:tcW w:w="5964" w:type="dxa"/>
          </w:tcPr>
          <w:p w14:paraId="72295BD8" w14:textId="0986E6CB" w:rsidR="00087F17" w:rsidRPr="5C73A9CA" w:rsidRDefault="00394F44" w:rsidP="00F9204E">
            <w:pPr>
              <w:spacing w:after="120"/>
              <w:rPr>
                <w:rFonts w:cs="Arial"/>
              </w:rPr>
            </w:pPr>
            <w:r>
              <w:rPr>
                <w:rFonts w:cs="Arial"/>
              </w:rPr>
              <w:t xml:space="preserve">Either clarify through Dictionary </w:t>
            </w:r>
            <w:r w:rsidR="006054CD">
              <w:rPr>
                <w:rFonts w:cs="Arial"/>
              </w:rPr>
              <w:t>(preferable)</w:t>
            </w:r>
            <w:r w:rsidRPr="00F9204E">
              <w:rPr>
                <w:rFonts w:cs="Arial"/>
              </w:rPr>
              <w:t xml:space="preserve"> </w:t>
            </w:r>
            <w:r>
              <w:rPr>
                <w:rFonts w:cs="Arial"/>
              </w:rPr>
              <w:t>or include in Explanatory Notes.</w:t>
            </w:r>
          </w:p>
        </w:tc>
      </w:tr>
    </w:tbl>
    <w:p w14:paraId="026B80F8" w14:textId="37974CEA" w:rsidR="00F97316" w:rsidRPr="001C5161" w:rsidRDefault="00F97316">
      <w:pPr>
        <w:rPr>
          <w:rFonts w:eastAsiaTheme="majorEastAsia" w:cs="Arial"/>
          <w:color w:val="347B9F"/>
          <w:sz w:val="48"/>
          <w:szCs w:val="48"/>
        </w:rPr>
      </w:pPr>
      <w:r w:rsidRPr="001C5161">
        <w:rPr>
          <w:rFonts w:cs="Arial"/>
        </w:rPr>
        <w:br w:type="page"/>
      </w:r>
    </w:p>
    <w:p w14:paraId="74F770DD" w14:textId="28E947E6" w:rsidR="000C7E75" w:rsidRPr="001C5161" w:rsidRDefault="000C7E75" w:rsidP="00B655A6">
      <w:pPr>
        <w:pStyle w:val="Heading1"/>
        <w:rPr>
          <w:rFonts w:cs="Arial"/>
        </w:rPr>
      </w:pPr>
      <w:r w:rsidRPr="001C5161">
        <w:rPr>
          <w:rFonts w:cs="Arial"/>
        </w:rPr>
        <w:lastRenderedPageBreak/>
        <w:t>Annexure B: Key concepts</w:t>
      </w:r>
    </w:p>
    <w:tbl>
      <w:tblPr>
        <w:tblStyle w:val="TableGrid"/>
        <w:tblpPr w:leftFromText="180" w:rightFromText="180" w:vertAnchor="text" w:horzAnchor="margin" w:tblpX="-10" w:tblpY="215"/>
        <w:tblW w:w="14464" w:type="dxa"/>
        <w:tblLook w:val="04A0" w:firstRow="1" w:lastRow="0" w:firstColumn="1" w:lastColumn="0" w:noHBand="0" w:noVBand="1"/>
      </w:tblPr>
      <w:tblGrid>
        <w:gridCol w:w="2132"/>
        <w:gridCol w:w="5380"/>
        <w:gridCol w:w="6952"/>
      </w:tblGrid>
      <w:tr w:rsidR="000C7E75" w:rsidRPr="001C5161" w14:paraId="027E6BC7" w14:textId="77777777" w:rsidTr="1DCB0B58">
        <w:tc>
          <w:tcPr>
            <w:tcW w:w="2132" w:type="dxa"/>
          </w:tcPr>
          <w:p w14:paraId="6E390D42" w14:textId="5EF7C7ED" w:rsidR="000C7E75" w:rsidRPr="004D759E" w:rsidRDefault="000C7E75" w:rsidP="004D759E">
            <w:pPr>
              <w:spacing w:after="120"/>
              <w:rPr>
                <w:rFonts w:cs="Arial"/>
                <w:sz w:val="22"/>
                <w:szCs w:val="22"/>
              </w:rPr>
            </w:pPr>
            <w:r w:rsidRPr="004D759E">
              <w:rPr>
                <w:rFonts w:cs="Arial"/>
                <w:b/>
                <w:bCs/>
                <w:color w:val="000000" w:themeColor="text1"/>
                <w:sz w:val="22"/>
                <w:szCs w:val="22"/>
              </w:rPr>
              <w:t>Clause</w:t>
            </w:r>
          </w:p>
        </w:tc>
        <w:tc>
          <w:tcPr>
            <w:tcW w:w="5380" w:type="dxa"/>
          </w:tcPr>
          <w:p w14:paraId="1DBE90D1" w14:textId="262595E3" w:rsidR="000C7E75" w:rsidRPr="004D759E" w:rsidRDefault="000C7E75" w:rsidP="004D759E">
            <w:pPr>
              <w:spacing w:after="120"/>
              <w:rPr>
                <w:rFonts w:cs="Arial"/>
                <w:sz w:val="22"/>
                <w:szCs w:val="22"/>
              </w:rPr>
            </w:pPr>
            <w:r w:rsidRPr="004D759E">
              <w:rPr>
                <w:rFonts w:cs="Arial"/>
                <w:b/>
                <w:bCs/>
                <w:color w:val="000000" w:themeColor="text1"/>
                <w:sz w:val="22"/>
                <w:szCs w:val="22"/>
              </w:rPr>
              <w:t>Issues</w:t>
            </w:r>
          </w:p>
        </w:tc>
        <w:tc>
          <w:tcPr>
            <w:tcW w:w="6952" w:type="dxa"/>
          </w:tcPr>
          <w:p w14:paraId="32C674DF" w14:textId="4D9BE4C0" w:rsidR="000C7E75" w:rsidRPr="004D759E" w:rsidRDefault="000C7E75" w:rsidP="004D759E">
            <w:pPr>
              <w:spacing w:after="120"/>
              <w:rPr>
                <w:rFonts w:cs="Arial"/>
                <w:sz w:val="22"/>
                <w:szCs w:val="22"/>
              </w:rPr>
            </w:pPr>
            <w:r w:rsidRPr="004D759E">
              <w:rPr>
                <w:rFonts w:cs="Arial"/>
                <w:b/>
                <w:bCs/>
                <w:color w:val="000000" w:themeColor="text1"/>
                <w:sz w:val="22"/>
                <w:szCs w:val="22"/>
              </w:rPr>
              <w:t xml:space="preserve">Recommended </w:t>
            </w:r>
            <w:r w:rsidR="00135EA2" w:rsidRPr="004D759E">
              <w:rPr>
                <w:rFonts w:cs="Arial"/>
                <w:b/>
                <w:bCs/>
                <w:color w:val="000000" w:themeColor="text1"/>
                <w:sz w:val="22"/>
                <w:szCs w:val="22"/>
              </w:rPr>
              <w:t>changes</w:t>
            </w:r>
          </w:p>
        </w:tc>
      </w:tr>
      <w:tr w:rsidR="00B7746B" w:rsidRPr="00FB75ED" w14:paraId="126C4A0F" w14:textId="77777777" w:rsidTr="1DCB0B58">
        <w:tc>
          <w:tcPr>
            <w:tcW w:w="2132" w:type="dxa"/>
          </w:tcPr>
          <w:p w14:paraId="070E82F8" w14:textId="6E727C79" w:rsidR="00B7746B" w:rsidRPr="001C5161" w:rsidRDefault="00B7746B" w:rsidP="004D759E">
            <w:pPr>
              <w:spacing w:after="120"/>
              <w:rPr>
                <w:rFonts w:cs="Arial"/>
              </w:rPr>
            </w:pPr>
            <w:proofErr w:type="spellStart"/>
            <w:r w:rsidRPr="5C73A9CA">
              <w:rPr>
                <w:rFonts w:cs="Arial"/>
              </w:rPr>
              <w:t>Cl</w:t>
            </w:r>
            <w:r>
              <w:rPr>
                <w:rFonts w:cs="Arial"/>
              </w:rPr>
              <w:t>s</w:t>
            </w:r>
            <w:proofErr w:type="spellEnd"/>
            <w:r w:rsidRPr="5C73A9CA">
              <w:rPr>
                <w:rFonts w:cs="Arial"/>
              </w:rPr>
              <w:t xml:space="preserve"> 12, 14, 15, 18</w:t>
            </w:r>
          </w:p>
          <w:p w14:paraId="52C325A8" w14:textId="77777777" w:rsidR="00B7746B" w:rsidRPr="001C5161" w:rsidRDefault="00B7746B" w:rsidP="004D759E">
            <w:pPr>
              <w:spacing w:after="120"/>
              <w:rPr>
                <w:rFonts w:cs="Arial"/>
              </w:rPr>
            </w:pPr>
            <w:r w:rsidRPr="5C73A9CA">
              <w:rPr>
                <w:rFonts w:cs="Arial"/>
              </w:rPr>
              <w:t>Reasonable accommodations</w:t>
            </w:r>
          </w:p>
        </w:tc>
        <w:tc>
          <w:tcPr>
            <w:tcW w:w="5380" w:type="dxa"/>
          </w:tcPr>
          <w:p w14:paraId="23887566" w14:textId="77777777" w:rsidR="00B7746B" w:rsidRPr="001C5161" w:rsidRDefault="00B7746B" w:rsidP="004D759E">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sidRPr="5C73A9CA">
              <w:rPr>
                <w:rFonts w:cs="Arial"/>
                <w:i/>
                <w:iCs/>
              </w:rPr>
              <w:t>Reasonable accommodations</w:t>
            </w:r>
            <w:r w:rsidRPr="5C73A9CA">
              <w:rPr>
                <w:rFonts w:cs="Arial"/>
              </w:rPr>
              <w:t xml:space="preserve"> in this submission.</w:t>
            </w:r>
          </w:p>
        </w:tc>
        <w:tc>
          <w:tcPr>
            <w:tcW w:w="6952" w:type="dxa"/>
          </w:tcPr>
          <w:p w14:paraId="450C9BF4" w14:textId="74CEFB7C" w:rsidR="00B7746B" w:rsidRPr="001C5161" w:rsidRDefault="00B7746B" w:rsidP="004D759E">
            <w:pPr>
              <w:spacing w:after="120"/>
              <w:rPr>
                <w:rFonts w:cs="Arial"/>
              </w:rPr>
            </w:pPr>
            <w:r w:rsidRPr="5C73A9CA">
              <w:rPr>
                <w:rFonts w:cs="Arial"/>
              </w:rPr>
              <w:t>Omit clause</w:t>
            </w:r>
            <w:r w:rsidR="00CD427B">
              <w:rPr>
                <w:rFonts w:cs="Arial"/>
              </w:rPr>
              <w:t>s</w:t>
            </w:r>
            <w:r w:rsidRPr="5C73A9CA">
              <w:rPr>
                <w:rFonts w:cs="Arial"/>
              </w:rPr>
              <w:t xml:space="preserve"> 12, 14(2), 15(2) and 18. </w:t>
            </w:r>
          </w:p>
          <w:p w14:paraId="79747443" w14:textId="75F40A9F" w:rsidR="00B7746B" w:rsidRPr="000113FD" w:rsidRDefault="00B7746B" w:rsidP="004D759E">
            <w:pPr>
              <w:spacing w:after="120"/>
              <w:rPr>
                <w:rFonts w:cs="Arial"/>
              </w:rPr>
            </w:pPr>
            <w:r w:rsidRPr="000113FD">
              <w:rPr>
                <w:rFonts w:cs="Arial"/>
              </w:rPr>
              <w:t xml:space="preserve">Insert new </w:t>
            </w:r>
            <w:r w:rsidRPr="5C73A9CA">
              <w:rPr>
                <w:rFonts w:cs="Arial"/>
              </w:rPr>
              <w:t>contravention</w:t>
            </w:r>
            <w:r w:rsidRPr="000113FD">
              <w:rPr>
                <w:rFonts w:cs="Arial"/>
              </w:rPr>
              <w:t xml:space="preserve"> of ‘reasonable accommodations for people with disability’ – separate to </w:t>
            </w:r>
            <w:r w:rsidR="00F219B7">
              <w:rPr>
                <w:rFonts w:cs="Arial"/>
              </w:rPr>
              <w:t xml:space="preserve">direct and indirect </w:t>
            </w:r>
            <w:r w:rsidRPr="000113FD">
              <w:rPr>
                <w:rFonts w:cs="Arial"/>
              </w:rPr>
              <w:t>discrimination</w:t>
            </w:r>
            <w:r w:rsidRPr="5C73A9CA">
              <w:rPr>
                <w:rFonts w:cs="Arial"/>
              </w:rPr>
              <w:t xml:space="preserve">. </w:t>
            </w:r>
            <w:r w:rsidRPr="000113FD">
              <w:rPr>
                <w:rFonts w:cs="Arial"/>
              </w:rPr>
              <w:t>Suggested drafting:</w:t>
            </w:r>
          </w:p>
          <w:p w14:paraId="04670BA4" w14:textId="570C57E3" w:rsidR="001C1059" w:rsidRPr="004D759E" w:rsidRDefault="001C1059" w:rsidP="00052D02">
            <w:pPr>
              <w:spacing w:after="120"/>
              <w:ind w:left="360"/>
              <w:rPr>
                <w:rFonts w:cs="Arial"/>
                <w:b/>
                <w:bCs/>
                <w:color w:val="347B9F"/>
              </w:rPr>
            </w:pPr>
            <w:r w:rsidRPr="004D759E">
              <w:rPr>
                <w:rFonts w:cs="Arial"/>
                <w:b/>
                <w:bCs/>
                <w:color w:val="347B9F"/>
              </w:rPr>
              <w:t>Reasonable accommodations for people with disability</w:t>
            </w:r>
          </w:p>
          <w:p w14:paraId="22BFE7AB" w14:textId="19329689" w:rsidR="00B7746B" w:rsidRPr="004D759E" w:rsidRDefault="00B7746B" w:rsidP="00052D02">
            <w:pPr>
              <w:numPr>
                <w:ilvl w:val="0"/>
                <w:numId w:val="6"/>
              </w:numPr>
              <w:spacing w:after="120"/>
              <w:ind w:left="1080"/>
              <w:rPr>
                <w:rFonts w:eastAsia="Aptos" w:cs="Arial"/>
                <w:color w:val="347B9F"/>
              </w:rPr>
            </w:pPr>
            <w:r w:rsidRPr="1DCB0B58">
              <w:rPr>
                <w:rFonts w:eastAsia="Aptos" w:cs="Arial"/>
                <w:color w:val="347B9F"/>
              </w:rPr>
              <w:t>A person (</w:t>
            </w:r>
            <w:r w:rsidRPr="1DCB0B58">
              <w:rPr>
                <w:rFonts w:eastAsia="Aptos" w:cs="Arial"/>
                <w:b/>
                <w:bCs/>
                <w:color w:val="347B9F"/>
              </w:rPr>
              <w:t>the first person</w:t>
            </w:r>
            <w:r w:rsidRPr="1DCB0B58">
              <w:rPr>
                <w:rFonts w:eastAsia="Aptos" w:cs="Arial"/>
                <w:color w:val="347B9F"/>
              </w:rPr>
              <w:t>) discriminates against a person with disability if:</w:t>
            </w:r>
            <w:r w:rsidR="001C1059" w:rsidRPr="1DCB0B58">
              <w:rPr>
                <w:rFonts w:eastAsia="Aptos" w:cs="Arial"/>
                <w:color w:val="347B9F"/>
              </w:rPr>
              <w:t xml:space="preserve"> </w:t>
            </w:r>
          </w:p>
          <w:p w14:paraId="37275D05" w14:textId="31B2C999" w:rsidR="00B7746B" w:rsidRPr="004D759E" w:rsidRDefault="00B7746B" w:rsidP="00052D02">
            <w:pPr>
              <w:numPr>
                <w:ilvl w:val="0"/>
                <w:numId w:val="5"/>
              </w:numPr>
              <w:spacing w:after="120"/>
              <w:ind w:left="1440"/>
              <w:rPr>
                <w:rFonts w:eastAsia="Aptos" w:cs="Arial"/>
                <w:color w:val="347B9F"/>
              </w:rPr>
            </w:pPr>
            <w:r w:rsidRPr="004D759E">
              <w:rPr>
                <w:rFonts w:eastAsia="Aptos" w:cs="Arial"/>
                <w:color w:val="347B9F"/>
              </w:rPr>
              <w:t>The person with disability requires reasonable accommodation</w:t>
            </w:r>
            <w:r w:rsidR="0073486B" w:rsidRPr="004D759E">
              <w:rPr>
                <w:rFonts w:eastAsia="Aptos" w:cs="Arial"/>
                <w:color w:val="347B9F"/>
              </w:rPr>
              <w:t>; and</w:t>
            </w:r>
          </w:p>
          <w:p w14:paraId="7C2850BF" w14:textId="4703515F" w:rsidR="00B7746B" w:rsidRPr="004D759E" w:rsidRDefault="00B7746B" w:rsidP="00052D02">
            <w:pPr>
              <w:numPr>
                <w:ilvl w:val="0"/>
                <w:numId w:val="5"/>
              </w:numPr>
              <w:spacing w:after="120"/>
              <w:ind w:left="1440"/>
              <w:rPr>
                <w:rFonts w:eastAsia="Aptos" w:cs="Arial"/>
                <w:color w:val="347B9F"/>
              </w:rPr>
            </w:pPr>
            <w:r w:rsidRPr="004D759E">
              <w:rPr>
                <w:rFonts w:eastAsia="Aptos" w:cs="Arial"/>
                <w:color w:val="347B9F"/>
              </w:rPr>
              <w:t>The accommodation does not impose unjustifiable hardship on the first person</w:t>
            </w:r>
            <w:r w:rsidR="0073486B" w:rsidRPr="004D759E">
              <w:rPr>
                <w:rFonts w:eastAsia="Aptos" w:cs="Arial"/>
                <w:color w:val="347B9F"/>
              </w:rPr>
              <w:t>; and</w:t>
            </w:r>
          </w:p>
          <w:p w14:paraId="31AE979D" w14:textId="77777777" w:rsidR="00B7746B" w:rsidRPr="004D759E" w:rsidRDefault="00B7746B" w:rsidP="00052D02">
            <w:pPr>
              <w:numPr>
                <w:ilvl w:val="0"/>
                <w:numId w:val="5"/>
              </w:numPr>
              <w:spacing w:after="120"/>
              <w:ind w:left="1440"/>
              <w:rPr>
                <w:rFonts w:eastAsia="Aptos" w:cs="Arial"/>
                <w:color w:val="347B9F"/>
              </w:rPr>
            </w:pPr>
            <w:r w:rsidRPr="004D759E">
              <w:rPr>
                <w:rFonts w:eastAsia="Aptos" w:cs="Arial"/>
                <w:color w:val="347B9F"/>
              </w:rPr>
              <w:t>The first person fails or refuses to make the accommodation.</w:t>
            </w:r>
          </w:p>
          <w:p w14:paraId="6C46684A" w14:textId="09A2D4DA" w:rsidR="00B7746B" w:rsidRPr="004D759E" w:rsidRDefault="00B7746B" w:rsidP="1DCB0B58">
            <w:pPr>
              <w:spacing w:after="120"/>
              <w:ind w:left="360"/>
              <w:rPr>
                <w:rFonts w:eastAsia="Aptos" w:cs="Arial"/>
                <w:i/>
                <w:iCs/>
                <w:color w:val="347B9F"/>
              </w:rPr>
            </w:pPr>
            <w:r w:rsidRPr="1DCB0B58">
              <w:rPr>
                <w:rFonts w:eastAsia="Aptos" w:cs="Arial"/>
                <w:color w:val="347B9F"/>
              </w:rPr>
              <w:t xml:space="preserve"> </w:t>
            </w:r>
            <w:r w:rsidRPr="1DCB0B58">
              <w:rPr>
                <w:rFonts w:eastAsia="Aptos" w:cs="Arial"/>
                <w:i/>
                <w:iCs/>
                <w:color w:val="347B9F"/>
              </w:rPr>
              <w:t xml:space="preserve">Examples of what may be a reasonable accommodation – </w:t>
            </w:r>
          </w:p>
          <w:p w14:paraId="641BCA8E" w14:textId="77777777" w:rsidR="00B7746B" w:rsidRPr="004D759E" w:rsidRDefault="00B7746B" w:rsidP="00052D02">
            <w:pPr>
              <w:numPr>
                <w:ilvl w:val="0"/>
                <w:numId w:val="7"/>
              </w:numPr>
              <w:spacing w:after="120"/>
              <w:ind w:left="1527" w:hanging="425"/>
              <w:rPr>
                <w:rFonts w:eastAsia="Aptos" w:cs="Arial"/>
                <w:i/>
                <w:iCs/>
                <w:color w:val="347B9F"/>
              </w:rPr>
            </w:pPr>
            <w:r w:rsidRPr="004D759E">
              <w:rPr>
                <w:rFonts w:eastAsia="Aptos" w:cs="Arial"/>
                <w:i/>
                <w:iCs/>
                <w:color w:val="347B9F"/>
              </w:rPr>
              <w:t>A reasonable accommodation for a person with vision impairment may be buying a screen reading software for the person.</w:t>
            </w:r>
          </w:p>
          <w:p w14:paraId="1936842D" w14:textId="77777777" w:rsidR="00B7746B" w:rsidRPr="004D759E" w:rsidRDefault="00B7746B" w:rsidP="00052D02">
            <w:pPr>
              <w:numPr>
                <w:ilvl w:val="0"/>
                <w:numId w:val="7"/>
              </w:numPr>
              <w:spacing w:after="120"/>
              <w:ind w:left="1527" w:hanging="425"/>
              <w:rPr>
                <w:rFonts w:eastAsia="Aptos" w:cs="Arial"/>
                <w:i/>
                <w:iCs/>
                <w:color w:val="347B9F"/>
              </w:rPr>
            </w:pPr>
            <w:r w:rsidRPr="004D759E">
              <w:rPr>
                <w:rFonts w:eastAsia="Aptos" w:cs="Arial"/>
                <w:i/>
                <w:iCs/>
                <w:color w:val="347B9F"/>
              </w:rPr>
              <w:t>A reasonable accommodation for a person who uses a wheelchair may be physical modifications to the person’s workstation to accommodate the wheelchair.</w:t>
            </w:r>
          </w:p>
          <w:p w14:paraId="5B797CFA" w14:textId="77777777" w:rsidR="00B7746B" w:rsidRPr="004D759E" w:rsidRDefault="00B7746B" w:rsidP="00052D02">
            <w:pPr>
              <w:spacing w:after="120"/>
              <w:ind w:left="720"/>
              <w:rPr>
                <w:rFonts w:cs="Arial"/>
                <w:color w:val="347B9F"/>
              </w:rPr>
            </w:pPr>
            <w:r w:rsidRPr="004D759E">
              <w:rPr>
                <w:rFonts w:eastAsia="Aptos" w:cs="Arial"/>
                <w:color w:val="347B9F"/>
              </w:rPr>
              <w:t xml:space="preserve">(2) The first person has the onus of proving that making the accommodation would impose an unjustifiable hardship, on the balance of probabilities. </w:t>
            </w:r>
          </w:p>
          <w:p w14:paraId="5EBC595C" w14:textId="4CF1A40A" w:rsidR="00B7746B" w:rsidRPr="004D759E" w:rsidRDefault="00B7746B" w:rsidP="00052D02">
            <w:pPr>
              <w:spacing w:after="120"/>
              <w:ind w:left="720"/>
              <w:rPr>
                <w:rFonts w:cs="Arial"/>
                <w:color w:val="347B9F"/>
              </w:rPr>
            </w:pPr>
            <w:r w:rsidRPr="004D759E">
              <w:rPr>
                <w:rFonts w:eastAsia="Aptos" w:cs="Arial"/>
                <w:color w:val="347B9F"/>
              </w:rPr>
              <w:t xml:space="preserve">(3) In deciding whether an accommodation in relation to a person with disability would impose an unjustifiable hardship on </w:t>
            </w:r>
            <w:r w:rsidR="001602BC" w:rsidRPr="004D759E">
              <w:rPr>
                <w:rFonts w:eastAsia="Aptos" w:cs="Arial"/>
                <w:color w:val="347B9F"/>
              </w:rPr>
              <w:t>the first</w:t>
            </w:r>
            <w:r w:rsidRPr="004D759E">
              <w:rPr>
                <w:rFonts w:eastAsia="Aptos" w:cs="Arial"/>
                <w:color w:val="347B9F"/>
              </w:rPr>
              <w:t xml:space="preserve"> person</w:t>
            </w:r>
            <w:r w:rsidR="001602BC" w:rsidRPr="004D759E">
              <w:rPr>
                <w:rFonts w:eastAsia="Aptos" w:cs="Arial"/>
                <w:color w:val="347B9F"/>
              </w:rPr>
              <w:t xml:space="preserve">, </w:t>
            </w:r>
            <w:r w:rsidRPr="004D759E">
              <w:rPr>
                <w:rFonts w:eastAsia="Aptos" w:cs="Arial"/>
                <w:color w:val="347B9F"/>
              </w:rPr>
              <w:t xml:space="preserve">the following matters </w:t>
            </w:r>
            <w:r w:rsidR="005C07C2" w:rsidRPr="004D759E">
              <w:rPr>
                <w:rFonts w:eastAsia="Aptos" w:cs="Arial"/>
                <w:color w:val="347B9F"/>
                <w:u w:val="single"/>
              </w:rPr>
              <w:t>may</w:t>
            </w:r>
            <w:r w:rsidRPr="004D759E">
              <w:rPr>
                <w:rFonts w:eastAsia="Aptos" w:cs="Arial"/>
                <w:color w:val="347B9F"/>
              </w:rPr>
              <w:t xml:space="preserve"> be considered</w:t>
            </w:r>
            <w:r w:rsidRPr="004D759E">
              <w:rPr>
                <w:rFonts w:cs="Arial"/>
                <w:color w:val="347B9F"/>
              </w:rPr>
              <w:t>:</w:t>
            </w:r>
          </w:p>
          <w:p w14:paraId="7ABD16C1" w14:textId="25EB270D" w:rsidR="00B7746B" w:rsidRPr="004D759E" w:rsidRDefault="00B7746B" w:rsidP="00052D02">
            <w:pPr>
              <w:spacing w:after="120"/>
              <w:ind w:left="360"/>
              <w:rPr>
                <w:rFonts w:cs="Arial"/>
                <w:color w:val="347B9F"/>
              </w:rPr>
            </w:pPr>
            <w:r w:rsidRPr="1DCB0B58">
              <w:rPr>
                <w:rFonts w:cs="Arial"/>
                <w:color w:val="347B9F"/>
              </w:rPr>
              <w:t>[insert Cl 12(3)(a) to (h</w:t>
            </w:r>
            <w:proofErr w:type="gramStart"/>
            <w:r w:rsidRPr="1DCB0B58">
              <w:rPr>
                <w:rFonts w:cs="Arial"/>
                <w:color w:val="347B9F"/>
              </w:rPr>
              <w:t>)</w:t>
            </w:r>
            <w:r w:rsidR="00946F76" w:rsidRPr="1DCB0B58">
              <w:rPr>
                <w:rFonts w:cs="Arial"/>
                <w:color w:val="347B9F"/>
              </w:rPr>
              <w:t>, but</w:t>
            </w:r>
            <w:proofErr w:type="gramEnd"/>
            <w:r w:rsidR="00946F76" w:rsidRPr="1DCB0B58">
              <w:rPr>
                <w:rFonts w:cs="Arial"/>
                <w:color w:val="347B9F"/>
              </w:rPr>
              <w:t xml:space="preserve"> amend cl 12(3)(c) to read</w:t>
            </w:r>
            <w:r w:rsidR="005E2E1E" w:rsidRPr="1DCB0B58">
              <w:rPr>
                <w:rFonts w:cs="Arial"/>
                <w:color w:val="347B9F"/>
              </w:rPr>
              <w:t xml:space="preserve"> ‘…to ensure the person with disability is not disadvantaged’</w:t>
            </w:r>
            <w:r w:rsidRPr="1DCB0B58">
              <w:rPr>
                <w:rFonts w:cs="Arial"/>
                <w:color w:val="347B9F"/>
              </w:rPr>
              <w:t>.]</w:t>
            </w:r>
          </w:p>
          <w:p w14:paraId="431EDF60" w14:textId="21E3C0FA" w:rsidR="00B7746B" w:rsidRPr="001C5161" w:rsidRDefault="00450C04" w:rsidP="004D759E">
            <w:pPr>
              <w:spacing w:after="120"/>
              <w:rPr>
                <w:rFonts w:cs="Arial"/>
              </w:rPr>
            </w:pPr>
            <w:r w:rsidRPr="004D759E">
              <w:rPr>
                <w:rFonts w:cs="Arial"/>
              </w:rPr>
              <w:lastRenderedPageBreak/>
              <w:t xml:space="preserve">Make corresponding amendments in cl 13, to ensure this new contravention is incorporated and applies to all areas in which unlawful discrimination is prohibited. </w:t>
            </w:r>
          </w:p>
        </w:tc>
      </w:tr>
      <w:tr w:rsidR="00E60D97" w:rsidRPr="001C5161" w14:paraId="03EAE65E" w14:textId="77777777" w:rsidTr="1DCB0B58">
        <w:tc>
          <w:tcPr>
            <w:tcW w:w="2132" w:type="dxa"/>
          </w:tcPr>
          <w:p w14:paraId="02477CEB" w14:textId="2F43A66B" w:rsidR="00E60D97" w:rsidRPr="001C5161" w:rsidRDefault="00E60D97" w:rsidP="004D759E">
            <w:pPr>
              <w:spacing w:after="120"/>
              <w:rPr>
                <w:rFonts w:cs="Arial"/>
              </w:rPr>
            </w:pPr>
            <w:r w:rsidRPr="5C73A9CA">
              <w:rPr>
                <w:rFonts w:cs="Arial"/>
              </w:rPr>
              <w:lastRenderedPageBreak/>
              <w:t>Cl 13</w:t>
            </w:r>
          </w:p>
          <w:p w14:paraId="46F95FD3" w14:textId="1791D2E2" w:rsidR="00E60D97" w:rsidRPr="001C5161" w:rsidRDefault="00E60D97" w:rsidP="004D759E">
            <w:pPr>
              <w:spacing w:after="120"/>
              <w:rPr>
                <w:rFonts w:cs="Arial"/>
              </w:rPr>
            </w:pPr>
            <w:r w:rsidRPr="5C73A9CA">
              <w:rPr>
                <w:rFonts w:cs="Arial"/>
              </w:rPr>
              <w:t>When does a person discriminate against another person</w:t>
            </w:r>
          </w:p>
        </w:tc>
        <w:tc>
          <w:tcPr>
            <w:tcW w:w="5380" w:type="dxa"/>
          </w:tcPr>
          <w:p w14:paraId="3AF785F5" w14:textId="77777777" w:rsidR="00E60D97" w:rsidRDefault="00E60D97" w:rsidP="004D759E">
            <w:pPr>
              <w:spacing w:after="120"/>
              <w:rPr>
                <w:rFonts w:cs="Arial"/>
              </w:rPr>
            </w:pPr>
            <w:r w:rsidRPr="5C73A9CA">
              <w:rPr>
                <w:rFonts w:cs="Arial"/>
              </w:rPr>
              <w:t>Wording of clause 13(1) makes it clear that a person must have a protected attribute, but not that the discrimination must also occur in an area of activity.</w:t>
            </w:r>
          </w:p>
          <w:p w14:paraId="44F7A974" w14:textId="6635A05A" w:rsidR="00CD62F2" w:rsidRDefault="00CD62F2" w:rsidP="004D759E">
            <w:pPr>
              <w:spacing w:after="120"/>
              <w:rPr>
                <w:rFonts w:cs="Arial"/>
              </w:rPr>
            </w:pPr>
            <w:r>
              <w:rPr>
                <w:rFonts w:cs="Arial"/>
              </w:rPr>
              <w:t>The words ‘</w:t>
            </w:r>
            <w:proofErr w:type="gramStart"/>
            <w:r>
              <w:rPr>
                <w:rFonts w:cs="Arial"/>
              </w:rPr>
              <w:t>on the basis of</w:t>
            </w:r>
            <w:proofErr w:type="gramEnd"/>
            <w:r>
              <w:rPr>
                <w:rFonts w:cs="Arial"/>
              </w:rPr>
              <w:t>’ in clause 13(1) do not align with</w:t>
            </w:r>
            <w:r w:rsidR="001D0E7D">
              <w:rPr>
                <w:rFonts w:cs="Arial"/>
              </w:rPr>
              <w:t xml:space="preserve"> the framing of</w:t>
            </w:r>
            <w:r>
              <w:rPr>
                <w:rFonts w:cs="Arial"/>
              </w:rPr>
              <w:t xml:space="preserve"> </w:t>
            </w:r>
            <w:r w:rsidR="00314425">
              <w:rPr>
                <w:rFonts w:cs="Arial"/>
              </w:rPr>
              <w:t xml:space="preserve">clause 15 </w:t>
            </w:r>
            <w:r w:rsidR="00BA0E5B">
              <w:rPr>
                <w:rFonts w:cs="Arial"/>
              </w:rPr>
              <w:t>(Indirect discrimination</w:t>
            </w:r>
            <w:r w:rsidR="001D0E7D">
              <w:rPr>
                <w:rFonts w:cs="Arial"/>
              </w:rPr>
              <w:t>)</w:t>
            </w:r>
            <w:r w:rsidR="00BA0E5B">
              <w:rPr>
                <w:rFonts w:cs="Arial"/>
              </w:rPr>
              <w:t>.</w:t>
            </w:r>
          </w:p>
          <w:p w14:paraId="67DDF3C6" w14:textId="22747AD2" w:rsidR="00E00EE6" w:rsidRPr="001C5161" w:rsidRDefault="00E00EE6" w:rsidP="004D759E">
            <w:pPr>
              <w:spacing w:after="120"/>
              <w:rPr>
                <w:rFonts w:cs="Arial"/>
              </w:rPr>
            </w:pPr>
            <w:r>
              <w:rPr>
                <w:rFonts w:cs="Arial"/>
              </w:rPr>
              <w:t>Section 6 of the current Act may be used as a basis for the drafting.</w:t>
            </w:r>
          </w:p>
        </w:tc>
        <w:tc>
          <w:tcPr>
            <w:tcW w:w="6952" w:type="dxa"/>
          </w:tcPr>
          <w:p w14:paraId="7DB5A965" w14:textId="56E23C55" w:rsidR="009F5C78" w:rsidRDefault="004C4F7E" w:rsidP="004D759E">
            <w:pPr>
              <w:spacing w:after="120"/>
              <w:rPr>
                <w:rFonts w:cs="Arial"/>
              </w:rPr>
            </w:pPr>
            <w:r>
              <w:rPr>
                <w:rFonts w:cs="Arial"/>
              </w:rPr>
              <w:t xml:space="preserve">Amend clause 13(1) </w:t>
            </w:r>
            <w:r w:rsidR="001D0E7D">
              <w:rPr>
                <w:rFonts w:cs="Arial"/>
              </w:rPr>
              <w:t>to rea</w:t>
            </w:r>
            <w:r w:rsidR="009F5C78">
              <w:rPr>
                <w:rFonts w:cs="Arial"/>
              </w:rPr>
              <w:t>d:</w:t>
            </w:r>
          </w:p>
          <w:p w14:paraId="4439C45E" w14:textId="4D093D51" w:rsidR="001C422C" w:rsidRPr="00E11A79" w:rsidRDefault="009F5C78" w:rsidP="00052D02">
            <w:pPr>
              <w:pStyle w:val="ListParagraph"/>
              <w:numPr>
                <w:ilvl w:val="0"/>
                <w:numId w:val="12"/>
              </w:numPr>
              <w:spacing w:after="120"/>
              <w:ind w:left="1080"/>
              <w:rPr>
                <w:rFonts w:cs="Arial"/>
                <w:color w:val="156082" w:themeColor="accent1"/>
              </w:rPr>
            </w:pPr>
            <w:r>
              <w:rPr>
                <w:rFonts w:cs="Arial"/>
              </w:rPr>
              <w:t>A person discriminates against another person if the person directly or indirect</w:t>
            </w:r>
            <w:r w:rsidR="00BF123F">
              <w:rPr>
                <w:rFonts w:cs="Arial"/>
              </w:rPr>
              <w:t>ly</w:t>
            </w:r>
            <w:r>
              <w:rPr>
                <w:rFonts w:cs="Arial"/>
              </w:rPr>
              <w:t xml:space="preserve"> </w:t>
            </w:r>
            <w:r w:rsidR="00E00EE6">
              <w:rPr>
                <w:rFonts w:cs="Arial"/>
              </w:rPr>
              <w:t>discriminates</w:t>
            </w:r>
            <w:r>
              <w:rPr>
                <w:rFonts w:cs="Arial"/>
              </w:rPr>
              <w:t xml:space="preserve"> against the other person</w:t>
            </w:r>
            <w:r w:rsidR="006969D2">
              <w:rPr>
                <w:rFonts w:cs="Arial"/>
              </w:rPr>
              <w:t xml:space="preserve"> </w:t>
            </w:r>
            <w:proofErr w:type="gramStart"/>
            <w:r w:rsidR="006969D2" w:rsidRPr="006969D2">
              <w:rPr>
                <w:rFonts w:cs="Arial"/>
                <w:strike/>
              </w:rPr>
              <w:t>on the basis of</w:t>
            </w:r>
            <w:proofErr w:type="gramEnd"/>
            <w:r w:rsidR="00792A89">
              <w:rPr>
                <w:rFonts w:cs="Arial"/>
              </w:rPr>
              <w:t xml:space="preserve"> </w:t>
            </w:r>
            <w:r w:rsidR="003B05FC" w:rsidRPr="00E11A79">
              <w:rPr>
                <w:rFonts w:cs="Arial"/>
                <w:color w:val="156082" w:themeColor="accent1"/>
              </w:rPr>
              <w:t xml:space="preserve">on </w:t>
            </w:r>
            <w:r w:rsidR="005C2BD3" w:rsidRPr="00E11A79">
              <w:rPr>
                <w:rFonts w:cs="Arial"/>
                <w:color w:val="156082" w:themeColor="accent1"/>
              </w:rPr>
              <w:t>a ground</w:t>
            </w:r>
            <w:r w:rsidR="003B05FC" w:rsidRPr="00E11A79">
              <w:rPr>
                <w:rFonts w:cs="Arial"/>
                <w:color w:val="156082" w:themeColor="accent1"/>
              </w:rPr>
              <w:t xml:space="preserve"> set out in </w:t>
            </w:r>
            <w:r w:rsidR="008D4337" w:rsidRPr="00E11A79">
              <w:rPr>
                <w:rFonts w:cs="Arial"/>
                <w:color w:val="156082" w:themeColor="accent1"/>
              </w:rPr>
              <w:t>s</w:t>
            </w:r>
            <w:r w:rsidR="00E00EE6" w:rsidRPr="00E11A79">
              <w:rPr>
                <w:rFonts w:cs="Arial"/>
                <w:color w:val="156082" w:themeColor="accent1"/>
              </w:rPr>
              <w:t>ection</w:t>
            </w:r>
            <w:r w:rsidR="008D4337" w:rsidRPr="00E11A79">
              <w:rPr>
                <w:rFonts w:cs="Arial"/>
                <w:color w:val="156082" w:themeColor="accent1"/>
              </w:rPr>
              <w:t xml:space="preserve"> 10</w:t>
            </w:r>
            <w:r w:rsidR="00C4467B" w:rsidRPr="00E11A79">
              <w:rPr>
                <w:rFonts w:cs="Arial"/>
                <w:color w:val="156082" w:themeColor="accent1"/>
              </w:rPr>
              <w:t>; and</w:t>
            </w:r>
          </w:p>
          <w:p w14:paraId="5F819E3C" w14:textId="2456A3D9" w:rsidR="008D4337" w:rsidRPr="00E11A79" w:rsidRDefault="00F744D9" w:rsidP="00052D02">
            <w:pPr>
              <w:pStyle w:val="ListParagraph"/>
              <w:numPr>
                <w:ilvl w:val="0"/>
                <w:numId w:val="12"/>
              </w:numPr>
              <w:spacing w:after="120"/>
              <w:ind w:left="1080"/>
              <w:rPr>
                <w:rFonts w:cs="Arial"/>
                <w:color w:val="156082" w:themeColor="accent1"/>
              </w:rPr>
            </w:pPr>
            <w:r w:rsidRPr="00E11A79">
              <w:rPr>
                <w:rFonts w:cs="Arial"/>
                <w:color w:val="156082" w:themeColor="accent1"/>
              </w:rPr>
              <w:t>in an area set out in part 4</w:t>
            </w:r>
            <w:r w:rsidR="00BF123F" w:rsidRPr="00E11A79">
              <w:rPr>
                <w:rFonts w:cs="Arial"/>
                <w:color w:val="156082" w:themeColor="accent1"/>
              </w:rPr>
              <w:t>.</w:t>
            </w:r>
          </w:p>
          <w:p w14:paraId="48DDE6C5" w14:textId="79EB0CE8" w:rsidR="00E60D97" w:rsidRPr="001C5161" w:rsidRDefault="00E60D97" w:rsidP="004D759E">
            <w:pPr>
              <w:spacing w:after="120"/>
              <w:rPr>
                <w:rFonts w:cs="Arial"/>
              </w:rPr>
            </w:pPr>
          </w:p>
        </w:tc>
      </w:tr>
      <w:tr w:rsidR="00AD0AC8" w:rsidRPr="001C5161" w14:paraId="45A84A33" w14:textId="77777777" w:rsidTr="1DCB0B58">
        <w:tc>
          <w:tcPr>
            <w:tcW w:w="2132" w:type="dxa"/>
          </w:tcPr>
          <w:p w14:paraId="50C81697" w14:textId="77777777" w:rsidR="00A26A6A" w:rsidRDefault="00AD0AC8" w:rsidP="004D759E">
            <w:pPr>
              <w:spacing w:after="120"/>
              <w:rPr>
                <w:rFonts w:cs="Arial"/>
              </w:rPr>
            </w:pPr>
            <w:r>
              <w:rPr>
                <w:rFonts w:cs="Arial"/>
              </w:rPr>
              <w:t xml:space="preserve">Cl </w:t>
            </w:r>
            <w:r w:rsidR="00A26A6A">
              <w:rPr>
                <w:rFonts w:cs="Arial"/>
              </w:rPr>
              <w:t>15</w:t>
            </w:r>
          </w:p>
          <w:p w14:paraId="5D458848" w14:textId="3BB1ED9D" w:rsidR="00A26A6A" w:rsidRPr="5C73A9CA" w:rsidRDefault="00A26A6A" w:rsidP="004D759E">
            <w:pPr>
              <w:spacing w:after="120"/>
              <w:rPr>
                <w:rFonts w:cs="Arial"/>
              </w:rPr>
            </w:pPr>
            <w:r>
              <w:rPr>
                <w:rFonts w:cs="Arial"/>
              </w:rPr>
              <w:t>Indirect discrimination</w:t>
            </w:r>
          </w:p>
        </w:tc>
        <w:tc>
          <w:tcPr>
            <w:tcW w:w="5380" w:type="dxa"/>
          </w:tcPr>
          <w:p w14:paraId="30A88C49" w14:textId="63E89946" w:rsidR="00AD0AC8" w:rsidRDefault="00D93CD5" w:rsidP="004D759E">
            <w:pPr>
              <w:spacing w:after="120"/>
              <w:rPr>
                <w:rFonts w:cs="Arial"/>
              </w:rPr>
            </w:pPr>
            <w:r>
              <w:rPr>
                <w:rFonts w:cs="Arial"/>
              </w:rPr>
              <w:t xml:space="preserve">In </w:t>
            </w:r>
            <w:r w:rsidR="00A26A6A">
              <w:rPr>
                <w:rFonts w:cs="Arial"/>
              </w:rPr>
              <w:t>clause 16(5) – the word ‘must’ should be replaced with ‘may’.</w:t>
            </w:r>
          </w:p>
          <w:p w14:paraId="0C2DB04E" w14:textId="332DA102" w:rsidR="00310A99" w:rsidRDefault="00310A99" w:rsidP="004D759E">
            <w:pPr>
              <w:spacing w:after="120"/>
              <w:rPr>
                <w:rFonts w:cs="Arial"/>
              </w:rPr>
            </w:pPr>
            <w:r>
              <w:rPr>
                <w:rFonts w:cs="Arial"/>
              </w:rPr>
              <w:t xml:space="preserve">The wording </w:t>
            </w:r>
            <w:r w:rsidR="00964579">
              <w:rPr>
                <w:rFonts w:cs="Arial"/>
              </w:rPr>
              <w:t>of the current indirect discrimination is ‘whether a term is reasonable depends on all the relevant circumstances of the case, including for example –</w:t>
            </w:r>
            <w:r w:rsidR="00945F13">
              <w:rPr>
                <w:rFonts w:cs="Arial"/>
              </w:rPr>
              <w:t xml:space="preserve"> ‘.</w:t>
            </w:r>
            <w:r w:rsidR="00B156C0">
              <w:rPr>
                <w:rFonts w:cs="Arial"/>
              </w:rPr>
              <w:t xml:space="preserve"> This is also </w:t>
            </w:r>
            <w:proofErr w:type="gramStart"/>
            <w:r w:rsidR="00B156C0">
              <w:rPr>
                <w:rFonts w:cs="Arial"/>
              </w:rPr>
              <w:t>similar to</w:t>
            </w:r>
            <w:proofErr w:type="gramEnd"/>
            <w:r w:rsidR="00B156C0">
              <w:rPr>
                <w:rFonts w:cs="Arial"/>
              </w:rPr>
              <w:t xml:space="preserve"> the wording of the </w:t>
            </w:r>
            <w:r w:rsidR="00B156C0" w:rsidRPr="00D25A80">
              <w:rPr>
                <w:rFonts w:cs="Arial"/>
                <w:i/>
                <w:iCs/>
              </w:rPr>
              <w:t>Equal Opportunity Act 2010</w:t>
            </w:r>
            <w:r w:rsidR="00D25A80">
              <w:rPr>
                <w:rFonts w:cs="Arial"/>
                <w:i/>
                <w:iCs/>
              </w:rPr>
              <w:t xml:space="preserve"> </w:t>
            </w:r>
            <w:r w:rsidR="00D25A80">
              <w:rPr>
                <w:rFonts w:cs="Arial"/>
              </w:rPr>
              <w:t>(Vic)</w:t>
            </w:r>
            <w:r w:rsidR="00B156C0" w:rsidRPr="00D25A80">
              <w:rPr>
                <w:rFonts w:cs="Arial"/>
                <w:i/>
                <w:iCs/>
              </w:rPr>
              <w:t xml:space="preserve">, </w:t>
            </w:r>
            <w:r w:rsidR="00B156C0">
              <w:rPr>
                <w:rFonts w:cs="Arial"/>
              </w:rPr>
              <w:t>on which th</w:t>
            </w:r>
            <w:r w:rsidR="00D25A80">
              <w:rPr>
                <w:rFonts w:cs="Arial"/>
              </w:rPr>
              <w:t>is provision is largely based.</w:t>
            </w:r>
          </w:p>
          <w:p w14:paraId="4F8A10B7" w14:textId="71037359" w:rsidR="00945F13" w:rsidRPr="5C73A9CA" w:rsidRDefault="00945F13" w:rsidP="004D759E">
            <w:pPr>
              <w:spacing w:after="120"/>
              <w:rPr>
                <w:rFonts w:cs="Arial"/>
              </w:rPr>
            </w:pPr>
            <w:r>
              <w:rPr>
                <w:rFonts w:cs="Arial"/>
              </w:rPr>
              <w:t xml:space="preserve">It would be impractical and resource intensive for the Tribunal to have to consider </w:t>
            </w:r>
            <w:r w:rsidR="00867FA2">
              <w:rPr>
                <w:rFonts w:cs="Arial"/>
              </w:rPr>
              <w:t xml:space="preserve">each one of these factors in </w:t>
            </w:r>
            <w:r w:rsidR="00950682">
              <w:rPr>
                <w:rFonts w:cs="Arial"/>
              </w:rPr>
              <w:t>every</w:t>
            </w:r>
            <w:r w:rsidR="00867FA2">
              <w:rPr>
                <w:rFonts w:cs="Arial"/>
              </w:rPr>
              <w:t xml:space="preserve"> case.</w:t>
            </w:r>
          </w:p>
        </w:tc>
        <w:tc>
          <w:tcPr>
            <w:tcW w:w="6952" w:type="dxa"/>
          </w:tcPr>
          <w:p w14:paraId="5A0D6390" w14:textId="77777777" w:rsidR="00AD0AC8" w:rsidRDefault="00867FA2" w:rsidP="004D759E">
            <w:pPr>
              <w:spacing w:after="120"/>
              <w:rPr>
                <w:rFonts w:cs="Arial"/>
              </w:rPr>
            </w:pPr>
            <w:r>
              <w:rPr>
                <w:rFonts w:cs="Arial"/>
              </w:rPr>
              <w:t>Amend clause 15(5) as follows:</w:t>
            </w:r>
          </w:p>
          <w:p w14:paraId="7EB01F28" w14:textId="1BF0945F" w:rsidR="00867FA2" w:rsidRPr="5C73A9CA" w:rsidRDefault="00867FA2" w:rsidP="00052D02">
            <w:pPr>
              <w:spacing w:after="120"/>
              <w:ind w:left="720"/>
              <w:rPr>
                <w:rFonts w:cs="Arial"/>
              </w:rPr>
            </w:pPr>
            <w:r>
              <w:rPr>
                <w:rFonts w:cs="Arial"/>
              </w:rPr>
              <w:t xml:space="preserve">In deciding whether a condition, requirement, or practice is reasonable, the following matters </w:t>
            </w:r>
            <w:r w:rsidR="00F66008">
              <w:rPr>
                <w:rFonts w:cs="Arial"/>
                <w:strike/>
              </w:rPr>
              <w:t>must</w:t>
            </w:r>
            <w:r w:rsidR="00D25A80">
              <w:rPr>
                <w:rFonts w:cs="Arial"/>
              </w:rPr>
              <w:t xml:space="preserve"> </w:t>
            </w:r>
            <w:r w:rsidR="00F66008" w:rsidRPr="00052D02">
              <w:rPr>
                <w:rFonts w:cs="Arial"/>
                <w:color w:val="347B9F"/>
              </w:rPr>
              <w:t>may</w:t>
            </w:r>
            <w:r w:rsidRPr="00D25A80">
              <w:rPr>
                <w:rFonts w:cs="Arial"/>
                <w:color w:val="0F4761" w:themeColor="accent1" w:themeShade="BF"/>
              </w:rPr>
              <w:t xml:space="preserve"> </w:t>
            </w:r>
            <w:r>
              <w:rPr>
                <w:rFonts w:cs="Arial"/>
              </w:rPr>
              <w:t>be considered.</w:t>
            </w:r>
          </w:p>
        </w:tc>
      </w:tr>
      <w:tr w:rsidR="00E60D97" w:rsidRPr="001C5161" w14:paraId="0A95E3EC" w14:textId="77777777" w:rsidTr="1DCB0B58">
        <w:tc>
          <w:tcPr>
            <w:tcW w:w="2132" w:type="dxa"/>
          </w:tcPr>
          <w:p w14:paraId="229E89A6" w14:textId="3C112445" w:rsidR="00E60D97" w:rsidRPr="001C5161" w:rsidRDefault="00E60D97" w:rsidP="004D759E">
            <w:pPr>
              <w:spacing w:after="120"/>
              <w:rPr>
                <w:rFonts w:cs="Arial"/>
              </w:rPr>
            </w:pPr>
            <w:r w:rsidRPr="5C73A9CA">
              <w:rPr>
                <w:rFonts w:cs="Arial"/>
              </w:rPr>
              <w:t>Cl 16</w:t>
            </w:r>
          </w:p>
          <w:p w14:paraId="65944C9C" w14:textId="53226AF3" w:rsidR="00E60D97" w:rsidRPr="001C5161" w:rsidRDefault="00E60D97" w:rsidP="004D759E">
            <w:pPr>
              <w:spacing w:after="120"/>
              <w:rPr>
                <w:rFonts w:cs="Arial"/>
              </w:rPr>
            </w:pPr>
            <w:r w:rsidRPr="5C73A9CA">
              <w:rPr>
                <w:rFonts w:cs="Arial"/>
              </w:rPr>
              <w:t>Affirmative measures</w:t>
            </w:r>
          </w:p>
        </w:tc>
        <w:tc>
          <w:tcPr>
            <w:tcW w:w="5380" w:type="dxa"/>
          </w:tcPr>
          <w:p w14:paraId="2E19693E" w14:textId="2B6149C0" w:rsidR="00E60D97" w:rsidRPr="001C5161" w:rsidRDefault="00E60D97" w:rsidP="004D759E">
            <w:pPr>
              <w:spacing w:after="120"/>
              <w:rPr>
                <w:rFonts w:cs="Arial"/>
              </w:rPr>
            </w:pPr>
            <w:r w:rsidRPr="5C73A9CA">
              <w:rPr>
                <w:rFonts w:cs="Arial"/>
              </w:rPr>
              <w:t xml:space="preserve">Clause 16(3) and (7) should be confined to government plans, </w:t>
            </w:r>
            <w:proofErr w:type="gramStart"/>
            <w:r w:rsidRPr="5C73A9CA">
              <w:rPr>
                <w:rFonts w:cs="Arial"/>
              </w:rPr>
              <w:t>policies</w:t>
            </w:r>
            <w:proofErr w:type="gramEnd"/>
            <w:r w:rsidRPr="5C73A9CA">
              <w:rPr>
                <w:rFonts w:cs="Arial"/>
              </w:rPr>
              <w:t xml:space="preserve"> or programs in relation to minority racial groups, for consistency with </w:t>
            </w:r>
            <w:r w:rsidRPr="5C73A9CA">
              <w:rPr>
                <w:rFonts w:cs="Arial"/>
                <w:i/>
                <w:iCs/>
              </w:rPr>
              <w:t xml:space="preserve">Building belonging </w:t>
            </w:r>
            <w:r w:rsidRPr="5C73A9CA">
              <w:rPr>
                <w:rFonts w:cs="Arial"/>
              </w:rPr>
              <w:t xml:space="preserve">review recommendation 4.2. </w:t>
            </w:r>
            <w:r w:rsidR="00BF0F4C">
              <w:rPr>
                <w:rFonts w:cs="Arial"/>
              </w:rPr>
              <w:t>We are</w:t>
            </w:r>
            <w:r w:rsidR="002C0A0B">
              <w:rPr>
                <w:rFonts w:cs="Arial"/>
              </w:rPr>
              <w:t xml:space="preserve"> c</w:t>
            </w:r>
            <w:r w:rsidRPr="5C73A9CA">
              <w:rPr>
                <w:rFonts w:cs="Arial"/>
              </w:rPr>
              <w:t>oncerned that the higher standard for measures in relation to race, when applied across the board, may have a chilling effect on measures such as the use of identified positions.</w:t>
            </w:r>
          </w:p>
          <w:p w14:paraId="54829502" w14:textId="77777777" w:rsidR="00FC3310" w:rsidRDefault="00550E0C" w:rsidP="004D759E">
            <w:pPr>
              <w:spacing w:after="120"/>
              <w:rPr>
                <w:rFonts w:cs="Arial"/>
              </w:rPr>
            </w:pPr>
            <w:r w:rsidRPr="5C73A9CA">
              <w:rPr>
                <w:rFonts w:cs="Arial"/>
              </w:rPr>
              <w:t xml:space="preserve">Section 104 of the Anti-Discrimination Act currently contains examples to assist readers to understand what ‘welfare measures’ </w:t>
            </w:r>
            <w:r w:rsidR="00E33442" w:rsidRPr="5C73A9CA">
              <w:rPr>
                <w:rFonts w:cs="Arial"/>
              </w:rPr>
              <w:t>means. No examples have been included in clause 16.</w:t>
            </w:r>
          </w:p>
          <w:p w14:paraId="054BD9D0" w14:textId="67BCE3F8" w:rsidR="00BE49EB" w:rsidRPr="001C5161" w:rsidRDefault="00BE49EB" w:rsidP="004D759E">
            <w:pPr>
              <w:spacing w:after="120"/>
              <w:rPr>
                <w:rFonts w:cs="Arial"/>
              </w:rPr>
            </w:pPr>
          </w:p>
        </w:tc>
        <w:tc>
          <w:tcPr>
            <w:tcW w:w="6952" w:type="dxa"/>
          </w:tcPr>
          <w:p w14:paraId="72656FD0" w14:textId="1DD21766" w:rsidR="00E60D97" w:rsidRPr="001C5161" w:rsidRDefault="00E60D97" w:rsidP="004D759E">
            <w:pPr>
              <w:spacing w:after="120"/>
              <w:rPr>
                <w:rFonts w:cs="Arial"/>
              </w:rPr>
            </w:pPr>
            <w:r w:rsidRPr="5C73A9CA">
              <w:rPr>
                <w:rFonts w:cs="Arial"/>
              </w:rPr>
              <w:t>Amend</w:t>
            </w:r>
            <w:r w:rsidR="00D916F4">
              <w:rPr>
                <w:rFonts w:cs="Arial"/>
              </w:rPr>
              <w:t xml:space="preserve"> cl 16</w:t>
            </w:r>
            <w:r w:rsidRPr="5C73A9CA">
              <w:rPr>
                <w:rFonts w:cs="Arial"/>
              </w:rPr>
              <w:t xml:space="preserve"> to make it clear that the higher standard reflected in clauses 16(3) and (7) is only applicable to government plans, </w:t>
            </w:r>
            <w:proofErr w:type="gramStart"/>
            <w:r w:rsidRPr="5C73A9CA">
              <w:rPr>
                <w:rFonts w:cs="Arial"/>
              </w:rPr>
              <w:t>policies</w:t>
            </w:r>
            <w:proofErr w:type="gramEnd"/>
            <w:r w:rsidRPr="5C73A9CA">
              <w:rPr>
                <w:rFonts w:cs="Arial"/>
              </w:rPr>
              <w:t xml:space="preserve"> or programs in relation to minority racial groups.</w:t>
            </w:r>
          </w:p>
          <w:p w14:paraId="3F64A54C" w14:textId="77777777" w:rsidR="00247140" w:rsidRDefault="00AD799D" w:rsidP="004D759E">
            <w:pPr>
              <w:spacing w:after="120"/>
              <w:rPr>
                <w:rFonts w:cs="Arial"/>
              </w:rPr>
            </w:pPr>
            <w:r w:rsidRPr="5C73A9CA">
              <w:rPr>
                <w:rFonts w:cs="Arial"/>
              </w:rPr>
              <w:t xml:space="preserve">Amend to include </w:t>
            </w:r>
            <w:r w:rsidR="00247140" w:rsidRPr="5C73A9CA">
              <w:rPr>
                <w:rFonts w:cs="Arial"/>
              </w:rPr>
              <w:t>examples of affirmative measures.</w:t>
            </w:r>
          </w:p>
          <w:p w14:paraId="3D184932" w14:textId="77777777" w:rsidR="00BE49EB" w:rsidRDefault="00BE49EB" w:rsidP="004D759E">
            <w:pPr>
              <w:spacing w:after="120"/>
              <w:rPr>
                <w:rFonts w:cs="Arial"/>
              </w:rPr>
            </w:pPr>
          </w:p>
          <w:p w14:paraId="49EFAB92" w14:textId="13263DA9" w:rsidR="00BE49EB" w:rsidRPr="001C5161" w:rsidRDefault="00BE49EB" w:rsidP="004D759E">
            <w:pPr>
              <w:spacing w:after="120"/>
              <w:rPr>
                <w:rFonts w:cs="Arial"/>
              </w:rPr>
            </w:pPr>
          </w:p>
        </w:tc>
      </w:tr>
      <w:tr w:rsidR="00E60D97" w:rsidRPr="001C5161" w14:paraId="4C2571FC" w14:textId="77777777" w:rsidTr="1DCB0B58">
        <w:tc>
          <w:tcPr>
            <w:tcW w:w="2132" w:type="dxa"/>
          </w:tcPr>
          <w:p w14:paraId="1BE93039" w14:textId="77777777" w:rsidR="0043408F" w:rsidRDefault="00BE423A" w:rsidP="004D759E">
            <w:pPr>
              <w:spacing w:after="120"/>
              <w:rPr>
                <w:rFonts w:cs="Arial"/>
              </w:rPr>
            </w:pPr>
            <w:r>
              <w:rPr>
                <w:rFonts w:cs="Arial"/>
              </w:rPr>
              <w:t>Cl 85</w:t>
            </w:r>
          </w:p>
          <w:p w14:paraId="33558D15" w14:textId="696B6029" w:rsidR="00BE423A" w:rsidRPr="001C5161" w:rsidRDefault="003571D5" w:rsidP="004D759E">
            <w:pPr>
              <w:spacing w:after="120"/>
              <w:rPr>
                <w:rFonts w:cs="Arial"/>
              </w:rPr>
            </w:pPr>
            <w:r>
              <w:rPr>
                <w:rFonts w:cs="Arial"/>
              </w:rPr>
              <w:t xml:space="preserve">Inciting hatred, serious </w:t>
            </w:r>
            <w:proofErr w:type="gramStart"/>
            <w:r>
              <w:rPr>
                <w:rFonts w:cs="Arial"/>
              </w:rPr>
              <w:t>contempt</w:t>
            </w:r>
            <w:proofErr w:type="gramEnd"/>
            <w:r>
              <w:rPr>
                <w:rFonts w:cs="Arial"/>
              </w:rPr>
              <w:t xml:space="preserve"> or severe ridicule</w:t>
            </w:r>
          </w:p>
        </w:tc>
        <w:tc>
          <w:tcPr>
            <w:tcW w:w="5380" w:type="dxa"/>
          </w:tcPr>
          <w:p w14:paraId="741228E1" w14:textId="5C39E0FD" w:rsidR="00E60D97" w:rsidRPr="00414D0D" w:rsidRDefault="00266C58" w:rsidP="004D759E">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Pr>
                <w:rFonts w:cs="Arial"/>
                <w:i/>
                <w:iCs/>
              </w:rPr>
              <w:t>Vilification</w:t>
            </w:r>
            <w:r w:rsidRPr="5C73A9CA">
              <w:rPr>
                <w:rFonts w:cs="Arial"/>
              </w:rPr>
              <w:t xml:space="preserve"> in this submission.</w:t>
            </w:r>
          </w:p>
        </w:tc>
        <w:tc>
          <w:tcPr>
            <w:tcW w:w="6952" w:type="dxa"/>
          </w:tcPr>
          <w:p w14:paraId="51BFCFE9" w14:textId="77777777" w:rsidR="00293C15" w:rsidRPr="004D759E" w:rsidRDefault="00293C15" w:rsidP="004D759E">
            <w:pPr>
              <w:spacing w:after="120"/>
              <w:rPr>
                <w:rFonts w:cs="Arial"/>
              </w:rPr>
            </w:pPr>
            <w:r w:rsidRPr="004D759E">
              <w:rPr>
                <w:rFonts w:cs="Arial"/>
              </w:rPr>
              <w:t>Clause 85 should be amended so it provides:</w:t>
            </w:r>
          </w:p>
          <w:p w14:paraId="77B7402A" w14:textId="14B22304" w:rsidR="00E60D97" w:rsidRPr="004D759E" w:rsidRDefault="00293C15" w:rsidP="00052D02">
            <w:pPr>
              <w:spacing w:before="80" w:after="120"/>
              <w:ind w:left="720"/>
              <w:rPr>
                <w:rFonts w:cs="Arial"/>
              </w:rPr>
            </w:pPr>
            <w:r w:rsidRPr="004D759E">
              <w:rPr>
                <w:rFonts w:cs="Arial"/>
              </w:rPr>
              <w:t>A person must not, by a public act, urge or promote hatred towards, serious contempt for, or severe ridicule of, a person or group of persons on the ground of –</w:t>
            </w:r>
          </w:p>
        </w:tc>
      </w:tr>
      <w:tr w:rsidR="00980DE0" w:rsidRPr="001C5161" w14:paraId="400A954E" w14:textId="77777777" w:rsidTr="1DCB0B58">
        <w:tc>
          <w:tcPr>
            <w:tcW w:w="2132" w:type="dxa"/>
          </w:tcPr>
          <w:p w14:paraId="792969EE" w14:textId="77777777" w:rsidR="00980DE0" w:rsidRPr="007364C3" w:rsidRDefault="00980DE0" w:rsidP="004D759E">
            <w:pPr>
              <w:spacing w:after="120"/>
              <w:rPr>
                <w:rFonts w:cs="Arial"/>
              </w:rPr>
            </w:pPr>
            <w:r w:rsidRPr="007364C3">
              <w:rPr>
                <w:rFonts w:cs="Arial"/>
              </w:rPr>
              <w:lastRenderedPageBreak/>
              <w:t>Cl 84 and 85</w:t>
            </w:r>
          </w:p>
          <w:p w14:paraId="65AEE283" w14:textId="77777777" w:rsidR="00980DE0" w:rsidRPr="007364C3" w:rsidRDefault="009709E7" w:rsidP="004D759E">
            <w:pPr>
              <w:spacing w:after="120"/>
              <w:rPr>
                <w:rFonts w:cs="Arial"/>
              </w:rPr>
            </w:pPr>
            <w:r w:rsidRPr="007364C3">
              <w:rPr>
                <w:rFonts w:cs="Arial"/>
              </w:rPr>
              <w:t>(Civil vilification a</w:t>
            </w:r>
            <w:r w:rsidR="00980DE0" w:rsidRPr="007364C3">
              <w:rPr>
                <w:rFonts w:cs="Arial"/>
              </w:rPr>
              <w:t>ttributes</w:t>
            </w:r>
            <w:r w:rsidRPr="007364C3">
              <w:rPr>
                <w:rFonts w:cs="Arial"/>
              </w:rPr>
              <w:t>)</w:t>
            </w:r>
          </w:p>
          <w:p w14:paraId="5FE87810" w14:textId="77777777" w:rsidR="009709E7" w:rsidRPr="007364C3" w:rsidRDefault="009709E7" w:rsidP="004D759E">
            <w:pPr>
              <w:spacing w:after="120"/>
              <w:rPr>
                <w:rFonts w:cs="Arial"/>
              </w:rPr>
            </w:pPr>
            <w:r w:rsidRPr="007364C3">
              <w:rPr>
                <w:rFonts w:cs="Arial"/>
              </w:rPr>
              <w:t xml:space="preserve">Cl 278 </w:t>
            </w:r>
            <w:r w:rsidR="00EA1AAF" w:rsidRPr="007364C3">
              <w:rPr>
                <w:rFonts w:cs="Arial"/>
              </w:rPr>
              <w:t xml:space="preserve">– 280 </w:t>
            </w:r>
          </w:p>
          <w:p w14:paraId="2205B198" w14:textId="4ECD67C9" w:rsidR="00EA1AAF" w:rsidRPr="00980DE0" w:rsidRDefault="00EA1AAF" w:rsidP="004D759E">
            <w:pPr>
              <w:spacing w:after="120"/>
              <w:rPr>
                <w:rFonts w:cs="Arial"/>
                <w:highlight w:val="yellow"/>
              </w:rPr>
            </w:pPr>
            <w:r w:rsidRPr="007364C3">
              <w:rPr>
                <w:rFonts w:cs="Arial"/>
              </w:rPr>
              <w:t xml:space="preserve">(Criminal vilification </w:t>
            </w:r>
            <w:r w:rsidR="00973B69" w:rsidRPr="007364C3">
              <w:rPr>
                <w:rFonts w:cs="Arial"/>
              </w:rPr>
              <w:t>attributes)</w:t>
            </w:r>
          </w:p>
        </w:tc>
        <w:tc>
          <w:tcPr>
            <w:tcW w:w="5380" w:type="dxa"/>
          </w:tcPr>
          <w:p w14:paraId="0B7489C6" w14:textId="41A61A52" w:rsidR="008B278B" w:rsidRPr="0083403F" w:rsidRDefault="00802B81" w:rsidP="004D759E">
            <w:pPr>
              <w:spacing w:after="120"/>
              <w:rPr>
                <w:rFonts w:cs="Arial"/>
              </w:rPr>
            </w:pPr>
            <w:r>
              <w:rPr>
                <w:rFonts w:cs="Arial"/>
              </w:rPr>
              <w:t>During recent</w:t>
            </w:r>
            <w:r w:rsidR="00934F21" w:rsidRPr="0083403F">
              <w:rPr>
                <w:rFonts w:cs="Arial"/>
              </w:rPr>
              <w:t xml:space="preserve"> parliamentary inquir</w:t>
            </w:r>
            <w:r w:rsidR="005C2CAC" w:rsidRPr="0083403F">
              <w:rPr>
                <w:rFonts w:cs="Arial"/>
              </w:rPr>
              <w:t>ies</w:t>
            </w:r>
            <w:r w:rsidR="00934F21" w:rsidRPr="0083403F">
              <w:rPr>
                <w:rFonts w:cs="Arial"/>
              </w:rPr>
              <w:t xml:space="preserve"> into </w:t>
            </w:r>
            <w:r w:rsidR="00B35FD4" w:rsidRPr="0083403F">
              <w:rPr>
                <w:rFonts w:cs="Arial"/>
              </w:rPr>
              <w:t>vilification and hate crimes,</w:t>
            </w:r>
            <w:r w:rsidR="00302F53" w:rsidRPr="0083403F">
              <w:rPr>
                <w:rStyle w:val="FootnoteReference"/>
                <w:rFonts w:cs="Arial"/>
              </w:rPr>
              <w:footnoteReference w:id="2"/>
            </w:r>
            <w:r w:rsidR="00B35FD4" w:rsidRPr="0083403F">
              <w:rPr>
                <w:rFonts w:cs="Arial"/>
              </w:rPr>
              <w:t xml:space="preserve"> and </w:t>
            </w:r>
            <w:r w:rsidR="005C2CAC" w:rsidRPr="0083403F">
              <w:rPr>
                <w:rFonts w:cs="Arial"/>
              </w:rPr>
              <w:t>into a recent Bill strengthening criminal responses,</w:t>
            </w:r>
            <w:r w:rsidR="007E1CCA" w:rsidRPr="0083403F">
              <w:rPr>
                <w:rStyle w:val="FootnoteReference"/>
                <w:rFonts w:cs="Arial"/>
              </w:rPr>
              <w:footnoteReference w:id="3"/>
            </w:r>
            <w:r w:rsidR="005C2CAC" w:rsidRPr="0083403F">
              <w:rPr>
                <w:rFonts w:cs="Arial"/>
              </w:rPr>
              <w:t xml:space="preserve"> </w:t>
            </w:r>
            <w:r w:rsidR="003C042D">
              <w:rPr>
                <w:rFonts w:cs="Arial"/>
              </w:rPr>
              <w:t>some stakeholders</w:t>
            </w:r>
            <w:r w:rsidR="005C2CAC" w:rsidRPr="0083403F">
              <w:rPr>
                <w:rFonts w:cs="Arial"/>
              </w:rPr>
              <w:t xml:space="preserve"> made submissions </w:t>
            </w:r>
            <w:r w:rsidR="00EB7327" w:rsidRPr="0083403F">
              <w:rPr>
                <w:rFonts w:cs="Arial"/>
              </w:rPr>
              <w:t>recommending that sex workers be</w:t>
            </w:r>
            <w:r w:rsidR="003C042D">
              <w:rPr>
                <w:rFonts w:cs="Arial"/>
              </w:rPr>
              <w:t xml:space="preserve"> </w:t>
            </w:r>
            <w:r w:rsidR="00EB7327" w:rsidRPr="0083403F">
              <w:rPr>
                <w:rFonts w:cs="Arial"/>
              </w:rPr>
              <w:t>protected from vilification.</w:t>
            </w:r>
          </w:p>
          <w:p w14:paraId="24EF872F" w14:textId="77777777" w:rsidR="00D33474" w:rsidRDefault="00D33474" w:rsidP="004D759E">
            <w:pPr>
              <w:spacing w:after="120"/>
              <w:rPr>
                <w:rFonts w:cs="Arial"/>
              </w:rPr>
            </w:pPr>
            <w:r w:rsidRPr="0083403F">
              <w:rPr>
                <w:rFonts w:cs="Arial"/>
              </w:rPr>
              <w:t xml:space="preserve">At the latter of these inquiries, the Department of Justice and Attorney-General </w:t>
            </w:r>
            <w:r w:rsidR="00D24BA1" w:rsidRPr="0083403F">
              <w:rPr>
                <w:rFonts w:cs="Arial"/>
              </w:rPr>
              <w:t xml:space="preserve">advised parliament that it was giving careful consideration </w:t>
            </w:r>
            <w:r w:rsidR="00753D2E">
              <w:rPr>
                <w:rFonts w:cs="Arial"/>
              </w:rPr>
              <w:t>to the issue of which attributes would have protection under vilification</w:t>
            </w:r>
            <w:r w:rsidR="00F11D64" w:rsidRPr="0083403F">
              <w:rPr>
                <w:rFonts w:cs="Arial"/>
              </w:rPr>
              <w:t xml:space="preserve"> </w:t>
            </w:r>
            <w:r w:rsidR="0083403F" w:rsidRPr="0083403F">
              <w:rPr>
                <w:rFonts w:cs="Arial"/>
              </w:rPr>
              <w:t>as</w:t>
            </w:r>
            <w:r w:rsidR="00F11D64" w:rsidRPr="0083403F">
              <w:rPr>
                <w:rFonts w:cs="Arial"/>
              </w:rPr>
              <w:t xml:space="preserve"> </w:t>
            </w:r>
            <w:r w:rsidR="0083403F" w:rsidRPr="0083403F">
              <w:rPr>
                <w:rFonts w:cs="Arial"/>
              </w:rPr>
              <w:t>p</w:t>
            </w:r>
            <w:r w:rsidR="00F11D64" w:rsidRPr="0083403F">
              <w:rPr>
                <w:rFonts w:cs="Arial"/>
              </w:rPr>
              <w:t>art of the broader anti-</w:t>
            </w:r>
            <w:r w:rsidR="0083403F" w:rsidRPr="0083403F">
              <w:rPr>
                <w:rFonts w:cs="Arial"/>
              </w:rPr>
              <w:t>discrimination</w:t>
            </w:r>
            <w:r w:rsidR="00F11D64" w:rsidRPr="0083403F">
              <w:rPr>
                <w:rFonts w:cs="Arial"/>
              </w:rPr>
              <w:t xml:space="preserve"> reforms.</w:t>
            </w:r>
            <w:r w:rsidR="00753D2E">
              <w:rPr>
                <w:rStyle w:val="FootnoteReference"/>
                <w:rFonts w:cs="Arial"/>
              </w:rPr>
              <w:footnoteReference w:id="4"/>
            </w:r>
          </w:p>
          <w:p w14:paraId="3DC25B09" w14:textId="2306FBB5" w:rsidR="00690995" w:rsidRPr="00DA71A6" w:rsidRDefault="00690995" w:rsidP="004D759E">
            <w:pPr>
              <w:spacing w:after="120"/>
              <w:rPr>
                <w:rFonts w:cs="Arial"/>
                <w:i/>
                <w:iCs/>
              </w:rPr>
            </w:pPr>
            <w:r>
              <w:rPr>
                <w:rFonts w:cs="Arial"/>
              </w:rPr>
              <w:t xml:space="preserve">The </w:t>
            </w:r>
            <w:r w:rsidR="003C042D">
              <w:rPr>
                <w:rFonts w:cs="Arial"/>
              </w:rPr>
              <w:t>QHRC has</w:t>
            </w:r>
            <w:r w:rsidR="00025163">
              <w:rPr>
                <w:rFonts w:cs="Arial"/>
              </w:rPr>
              <w:t xml:space="preserve"> previously</w:t>
            </w:r>
            <w:r w:rsidR="003C042D">
              <w:rPr>
                <w:rFonts w:cs="Arial"/>
              </w:rPr>
              <w:t xml:space="preserve"> recommended a framework</w:t>
            </w:r>
            <w:r w:rsidR="00DA71A6">
              <w:rPr>
                <w:rStyle w:val="FootnoteReference"/>
                <w:rFonts w:cs="Arial"/>
              </w:rPr>
              <w:footnoteReference w:id="5"/>
            </w:r>
            <w:r w:rsidR="003C042D">
              <w:rPr>
                <w:rFonts w:cs="Arial"/>
              </w:rPr>
              <w:t xml:space="preserve"> for consideration </w:t>
            </w:r>
            <w:r w:rsidR="009558B2">
              <w:rPr>
                <w:rFonts w:cs="Arial"/>
              </w:rPr>
              <w:t xml:space="preserve">of which attributes should be selected for protection from civil and criminal vilification. </w:t>
            </w:r>
            <w:r w:rsidR="00DA71A6">
              <w:rPr>
                <w:rFonts w:cs="Arial"/>
              </w:rPr>
              <w:t xml:space="preserve">The 5 factors for consideration in this </w:t>
            </w:r>
            <w:r w:rsidR="00B01126">
              <w:rPr>
                <w:rFonts w:cs="Arial"/>
              </w:rPr>
              <w:t>framework</w:t>
            </w:r>
            <w:r w:rsidR="00DA71A6">
              <w:rPr>
                <w:rFonts w:cs="Arial"/>
              </w:rPr>
              <w:t xml:space="preserve"> </w:t>
            </w:r>
            <w:r w:rsidR="00DA71A6" w:rsidRPr="00DA71A6">
              <w:rPr>
                <w:rFonts w:cs="Arial"/>
              </w:rPr>
              <w:t xml:space="preserve">are demonstrable need, relative prevalence, severity, additional </w:t>
            </w:r>
            <w:proofErr w:type="gramStart"/>
            <w:r w:rsidR="00DA71A6" w:rsidRPr="00DA71A6">
              <w:rPr>
                <w:rFonts w:cs="Arial"/>
              </w:rPr>
              <w:t>harm</w:t>
            </w:r>
            <w:proofErr w:type="gramEnd"/>
            <w:r w:rsidR="00DA71A6" w:rsidRPr="00DA71A6">
              <w:rPr>
                <w:rFonts w:cs="Arial"/>
              </w:rPr>
              <w:t xml:space="preserve"> and suitability.</w:t>
            </w:r>
          </w:p>
          <w:p w14:paraId="4F7AE8D0" w14:textId="2F7E70DB" w:rsidR="009416FD" w:rsidRPr="0083403F" w:rsidRDefault="00E61183" w:rsidP="004D759E">
            <w:pPr>
              <w:spacing w:after="120"/>
              <w:rPr>
                <w:rFonts w:cs="Arial"/>
              </w:rPr>
            </w:pPr>
            <w:r>
              <w:rPr>
                <w:rFonts w:cs="Arial"/>
              </w:rPr>
              <w:t xml:space="preserve">The QHRC considers that there are </w:t>
            </w:r>
            <w:r w:rsidR="00332A53">
              <w:rPr>
                <w:rFonts w:cs="Arial"/>
              </w:rPr>
              <w:t>arguable</w:t>
            </w:r>
            <w:r>
              <w:rPr>
                <w:rFonts w:cs="Arial"/>
              </w:rPr>
              <w:t xml:space="preserve"> grounds for the inclusion of ‘sex work activity’ in the list of attributes</w:t>
            </w:r>
            <w:r w:rsidR="00770C03">
              <w:rPr>
                <w:rFonts w:cs="Arial"/>
              </w:rPr>
              <w:t xml:space="preserve"> in need of protection from vilification and hate crimes.</w:t>
            </w:r>
          </w:p>
        </w:tc>
        <w:tc>
          <w:tcPr>
            <w:tcW w:w="6952" w:type="dxa"/>
          </w:tcPr>
          <w:p w14:paraId="3942502D" w14:textId="52E9D593" w:rsidR="00980DE0" w:rsidRPr="00DA71A6" w:rsidRDefault="00E61183" w:rsidP="004D759E">
            <w:pPr>
              <w:spacing w:after="120"/>
              <w:rPr>
                <w:rFonts w:cs="Arial"/>
                <w:highlight w:val="yellow"/>
              </w:rPr>
            </w:pPr>
            <w:r>
              <w:rPr>
                <w:rFonts w:cs="Arial"/>
              </w:rPr>
              <w:t>Amend clauses 84, 85, 278 and 280 to include ‘sex work activity’.</w:t>
            </w:r>
            <w:r w:rsidR="00866CC0">
              <w:rPr>
                <w:rFonts w:cs="Arial"/>
              </w:rPr>
              <w:t xml:space="preserve"> </w:t>
            </w:r>
          </w:p>
        </w:tc>
      </w:tr>
      <w:tr w:rsidR="00E60D97" w:rsidRPr="001C5161" w14:paraId="5585EAC7" w14:textId="77777777" w:rsidTr="1DCB0B58">
        <w:tc>
          <w:tcPr>
            <w:tcW w:w="2132" w:type="dxa"/>
          </w:tcPr>
          <w:p w14:paraId="1799A91C" w14:textId="77777777" w:rsidR="00E60D97" w:rsidRDefault="00B655A6" w:rsidP="004D759E">
            <w:pPr>
              <w:spacing w:after="120"/>
              <w:rPr>
                <w:rFonts w:cs="Arial"/>
              </w:rPr>
            </w:pPr>
            <w:r>
              <w:rPr>
                <w:rFonts w:cs="Arial"/>
              </w:rPr>
              <w:t>Cl 212</w:t>
            </w:r>
          </w:p>
          <w:p w14:paraId="5392AB95" w14:textId="7CF94C11" w:rsidR="00B655A6" w:rsidRPr="001C5161" w:rsidRDefault="00B655A6" w:rsidP="004D759E">
            <w:pPr>
              <w:spacing w:after="120"/>
              <w:rPr>
                <w:rFonts w:cs="Arial"/>
              </w:rPr>
            </w:pPr>
            <w:r>
              <w:rPr>
                <w:rFonts w:cs="Arial"/>
              </w:rPr>
              <w:t>Burden of proof</w:t>
            </w:r>
          </w:p>
        </w:tc>
        <w:tc>
          <w:tcPr>
            <w:tcW w:w="5380" w:type="dxa"/>
          </w:tcPr>
          <w:p w14:paraId="5EF711F1" w14:textId="622C83BD" w:rsidR="004E2D21" w:rsidRDefault="007F6633" w:rsidP="004D759E">
            <w:pPr>
              <w:spacing w:after="120"/>
              <w:rPr>
                <w:rFonts w:cs="Arial"/>
              </w:rPr>
            </w:pPr>
            <w:r>
              <w:rPr>
                <w:rFonts w:cs="Arial"/>
              </w:rPr>
              <w:t xml:space="preserve">While consistent with </w:t>
            </w:r>
            <w:r>
              <w:rPr>
                <w:rFonts w:cs="Arial"/>
                <w:i/>
                <w:iCs/>
              </w:rPr>
              <w:t xml:space="preserve">Building belonging </w:t>
            </w:r>
            <w:r>
              <w:rPr>
                <w:rFonts w:cs="Arial"/>
              </w:rPr>
              <w:t xml:space="preserve">recommendation 13.1, </w:t>
            </w:r>
            <w:r w:rsidR="009179B1">
              <w:rPr>
                <w:rFonts w:cs="Arial"/>
              </w:rPr>
              <w:t>further clarity could be achieve</w:t>
            </w:r>
            <w:r w:rsidR="004E2D21">
              <w:rPr>
                <w:rFonts w:cs="Arial"/>
              </w:rPr>
              <w:t xml:space="preserve">d, including to ensure that </w:t>
            </w:r>
            <w:proofErr w:type="gramStart"/>
            <w:r w:rsidR="004E2D21">
              <w:rPr>
                <w:rFonts w:cs="Arial"/>
              </w:rPr>
              <w:t>it is clear that tribunal</w:t>
            </w:r>
            <w:proofErr w:type="gramEnd"/>
            <w:r w:rsidR="004E2D21">
              <w:rPr>
                <w:rFonts w:cs="Arial"/>
              </w:rPr>
              <w:t xml:space="preserve"> or courts should disregard the explanations of the respondent in the 1</w:t>
            </w:r>
            <w:r w:rsidR="004E2D21" w:rsidRPr="004E2D21">
              <w:rPr>
                <w:rFonts w:cs="Arial"/>
                <w:vertAlign w:val="superscript"/>
              </w:rPr>
              <w:t>st</w:t>
            </w:r>
            <w:r w:rsidR="004E2D21">
              <w:rPr>
                <w:rFonts w:cs="Arial"/>
              </w:rPr>
              <w:t xml:space="preserve"> limb of the test.</w:t>
            </w:r>
          </w:p>
          <w:p w14:paraId="3CCD6791" w14:textId="34183168" w:rsidR="004702D8" w:rsidRPr="007F6633" w:rsidRDefault="004702D8" w:rsidP="004D759E">
            <w:pPr>
              <w:spacing w:after="120"/>
              <w:rPr>
                <w:rFonts w:cs="Arial"/>
              </w:rPr>
            </w:pPr>
            <w:r>
              <w:rPr>
                <w:rFonts w:cs="Arial"/>
              </w:rPr>
              <w:t>There is no justification for use of the word ‘may’ instead of must in the 2</w:t>
            </w:r>
            <w:r w:rsidRPr="004702D8">
              <w:rPr>
                <w:rFonts w:cs="Arial"/>
                <w:vertAlign w:val="superscript"/>
              </w:rPr>
              <w:t>nd</w:t>
            </w:r>
            <w:r>
              <w:rPr>
                <w:rFonts w:cs="Arial"/>
              </w:rPr>
              <w:t xml:space="preserve"> limb, and this may create confusing outcomes.</w:t>
            </w:r>
          </w:p>
        </w:tc>
        <w:tc>
          <w:tcPr>
            <w:tcW w:w="6952" w:type="dxa"/>
          </w:tcPr>
          <w:p w14:paraId="1851B400" w14:textId="77777777" w:rsidR="00C04671" w:rsidRDefault="00D800D3" w:rsidP="004D759E">
            <w:pPr>
              <w:spacing w:after="120"/>
              <w:rPr>
                <w:rFonts w:cs="Arial"/>
              </w:rPr>
            </w:pPr>
            <w:r>
              <w:rPr>
                <w:rFonts w:cs="Arial"/>
              </w:rPr>
              <w:t xml:space="preserve">Redraft clause 212 </w:t>
            </w:r>
            <w:r w:rsidR="00C04671">
              <w:rPr>
                <w:rFonts w:cs="Arial"/>
              </w:rPr>
              <w:t>as follows:</w:t>
            </w:r>
          </w:p>
          <w:p w14:paraId="0AC24DAE" w14:textId="257D7731" w:rsidR="00C04671" w:rsidRDefault="002F3D1E" w:rsidP="002F3D1E">
            <w:pPr>
              <w:pStyle w:val="ListParagraph"/>
              <w:numPr>
                <w:ilvl w:val="0"/>
                <w:numId w:val="28"/>
              </w:numPr>
              <w:spacing w:after="120"/>
              <w:rPr>
                <w:rFonts w:cs="Arial"/>
              </w:rPr>
            </w:pPr>
            <w:r>
              <w:rPr>
                <w:rFonts w:cs="Arial"/>
              </w:rPr>
              <w:t>In a complaint proceeding, the complainant must prove, on the balance of probabilities</w:t>
            </w:r>
            <w:r w:rsidR="00831386">
              <w:rPr>
                <w:rFonts w:cs="Arial"/>
              </w:rPr>
              <w:t xml:space="preserve">, </w:t>
            </w:r>
            <w:r w:rsidR="00831386" w:rsidRPr="00831386">
              <w:rPr>
                <w:rFonts w:cs="Arial"/>
                <w:strike/>
              </w:rPr>
              <w:t>that in the absence of any other explanation</w:t>
            </w:r>
            <w:r w:rsidR="00831386">
              <w:rPr>
                <w:rFonts w:cs="Arial"/>
              </w:rPr>
              <w:t>,</w:t>
            </w:r>
            <w:r>
              <w:rPr>
                <w:rFonts w:cs="Arial"/>
              </w:rPr>
              <w:t xml:space="preserve"> </w:t>
            </w:r>
            <w:r w:rsidRPr="00831386">
              <w:rPr>
                <w:rFonts w:cs="Arial"/>
                <w:color w:val="347B9F"/>
              </w:rPr>
              <w:t>that the</w:t>
            </w:r>
            <w:r>
              <w:rPr>
                <w:rFonts w:cs="Arial"/>
              </w:rPr>
              <w:t xml:space="preserve"> respondent contravened the provision of this Act that is the subject of the alleged contravention.</w:t>
            </w:r>
          </w:p>
          <w:p w14:paraId="6779FBC5" w14:textId="77777777" w:rsidR="00AB1F37" w:rsidRDefault="00AB1F37" w:rsidP="00AB1F37">
            <w:pPr>
              <w:pStyle w:val="ListParagraph"/>
              <w:spacing w:after="120"/>
              <w:rPr>
                <w:rFonts w:cs="Arial"/>
              </w:rPr>
            </w:pPr>
          </w:p>
          <w:p w14:paraId="3307695F" w14:textId="06744555" w:rsidR="00557287" w:rsidRPr="004E2D21" w:rsidRDefault="00557287" w:rsidP="002F3D1E">
            <w:pPr>
              <w:pStyle w:val="ListParagraph"/>
              <w:numPr>
                <w:ilvl w:val="0"/>
                <w:numId w:val="28"/>
              </w:numPr>
              <w:spacing w:after="120"/>
              <w:rPr>
                <w:rFonts w:cs="Arial"/>
                <w:color w:val="347B9F"/>
              </w:rPr>
            </w:pPr>
            <w:r w:rsidRPr="004E2D21">
              <w:rPr>
                <w:rFonts w:cs="Arial"/>
                <w:color w:val="347B9F"/>
              </w:rPr>
              <w:t xml:space="preserve">In determining </w:t>
            </w:r>
            <w:r w:rsidR="004E2D21" w:rsidRPr="004E2D21">
              <w:rPr>
                <w:rFonts w:cs="Arial"/>
                <w:color w:val="347B9F"/>
              </w:rPr>
              <w:t xml:space="preserve">under sub-section (1) </w:t>
            </w:r>
            <w:r w:rsidRPr="004E2D21">
              <w:rPr>
                <w:rFonts w:cs="Arial"/>
                <w:color w:val="347B9F"/>
              </w:rPr>
              <w:t>whether there are facts from which it could be decided that the respondent contravened the provision of this Act that is the subject of the alleged contravention</w:t>
            </w:r>
            <w:r w:rsidR="005218CB" w:rsidRPr="004E2D21">
              <w:rPr>
                <w:rFonts w:cs="Arial"/>
                <w:color w:val="347B9F"/>
              </w:rPr>
              <w:t xml:space="preserve"> </w:t>
            </w:r>
            <w:r w:rsidR="00AB1F37" w:rsidRPr="004E2D21">
              <w:rPr>
                <w:rFonts w:cs="Arial"/>
                <w:color w:val="347B9F"/>
              </w:rPr>
              <w:t>it must be assumed that there is no other explanation for those facts.</w:t>
            </w:r>
          </w:p>
          <w:p w14:paraId="168F223A" w14:textId="77777777" w:rsidR="002537D9" w:rsidRDefault="002537D9" w:rsidP="002537D9">
            <w:pPr>
              <w:pStyle w:val="ListParagraph"/>
              <w:spacing w:after="120"/>
              <w:rPr>
                <w:rFonts w:cs="Arial"/>
              </w:rPr>
            </w:pPr>
          </w:p>
          <w:p w14:paraId="54C95756" w14:textId="5151BE87" w:rsidR="00AB1F37" w:rsidRDefault="00E37744" w:rsidP="002F3D1E">
            <w:pPr>
              <w:pStyle w:val="ListParagraph"/>
              <w:numPr>
                <w:ilvl w:val="0"/>
                <w:numId w:val="28"/>
              </w:numPr>
              <w:spacing w:after="120"/>
              <w:rPr>
                <w:rFonts w:cs="Arial"/>
              </w:rPr>
            </w:pPr>
            <w:r>
              <w:rPr>
                <w:rFonts w:cs="Arial"/>
              </w:rPr>
              <w:t xml:space="preserve">If the complainant proves the matter under subsections (1) and (2), the tribunal </w:t>
            </w:r>
            <w:r w:rsidRPr="00E37744">
              <w:rPr>
                <w:rFonts w:cs="Arial"/>
                <w:strike/>
              </w:rPr>
              <w:t>may</w:t>
            </w:r>
            <w:r>
              <w:rPr>
                <w:rFonts w:cs="Arial"/>
              </w:rPr>
              <w:t xml:space="preserve"> </w:t>
            </w:r>
            <w:r w:rsidRPr="00E37744">
              <w:rPr>
                <w:rFonts w:cs="Arial"/>
                <w:color w:val="347B9F"/>
              </w:rPr>
              <w:t>must</w:t>
            </w:r>
            <w:r>
              <w:rPr>
                <w:rFonts w:cs="Arial"/>
              </w:rPr>
              <w:t xml:space="preserve"> decide….</w:t>
            </w:r>
          </w:p>
          <w:p w14:paraId="1B87DD25" w14:textId="77777777" w:rsidR="00725B51" w:rsidRPr="00725B51" w:rsidRDefault="00725B51" w:rsidP="00725B51">
            <w:pPr>
              <w:pStyle w:val="ListParagraph"/>
              <w:rPr>
                <w:rFonts w:cs="Arial"/>
              </w:rPr>
            </w:pPr>
          </w:p>
          <w:p w14:paraId="0D33E93F" w14:textId="25A8BBE6" w:rsidR="00725B51" w:rsidRPr="002F3D1E" w:rsidRDefault="00725B51" w:rsidP="002F3D1E">
            <w:pPr>
              <w:pStyle w:val="ListParagraph"/>
              <w:numPr>
                <w:ilvl w:val="0"/>
                <w:numId w:val="28"/>
              </w:numPr>
              <w:spacing w:after="120"/>
              <w:rPr>
                <w:rFonts w:cs="Arial"/>
              </w:rPr>
            </w:pPr>
            <w:r w:rsidRPr="00725B51">
              <w:rPr>
                <w:rFonts w:cs="Arial"/>
                <w:color w:val="347B9F"/>
              </w:rPr>
              <w:lastRenderedPageBreak/>
              <w:t>Subsections (1), (2) and (3)</w:t>
            </w:r>
            <w:r>
              <w:rPr>
                <w:rFonts w:cs="Arial"/>
              </w:rPr>
              <w:t xml:space="preserve"> apply in addition…</w:t>
            </w:r>
          </w:p>
          <w:p w14:paraId="2F0B09DB" w14:textId="3B7C95DA" w:rsidR="0025427C" w:rsidRPr="001C5161" w:rsidRDefault="0025427C" w:rsidP="00F9204E">
            <w:pPr>
              <w:spacing w:after="120"/>
              <w:rPr>
                <w:rFonts w:cs="Arial"/>
              </w:rPr>
            </w:pPr>
            <w:r>
              <w:rPr>
                <w:rFonts w:cs="Arial"/>
              </w:rPr>
              <w:t>Provide an example in the provision</w:t>
            </w:r>
            <w:r w:rsidR="00052957">
              <w:rPr>
                <w:rFonts w:cs="Arial"/>
              </w:rPr>
              <w:t xml:space="preserve"> which illustrates how the shift in burden of proof may apply in practice</w:t>
            </w:r>
            <w:r>
              <w:rPr>
                <w:rFonts w:cs="Arial"/>
              </w:rPr>
              <w:t>.</w:t>
            </w:r>
          </w:p>
        </w:tc>
      </w:tr>
    </w:tbl>
    <w:p w14:paraId="3133D629" w14:textId="357BA1C4" w:rsidR="00F97316" w:rsidRPr="001C5161" w:rsidRDefault="00F97316">
      <w:pPr>
        <w:rPr>
          <w:rFonts w:eastAsiaTheme="majorEastAsia" w:cs="Arial"/>
          <w:color w:val="347B9F"/>
          <w:sz w:val="48"/>
          <w:szCs w:val="48"/>
        </w:rPr>
      </w:pPr>
      <w:r w:rsidRPr="001C5161">
        <w:rPr>
          <w:rFonts w:cs="Arial"/>
        </w:rPr>
        <w:lastRenderedPageBreak/>
        <w:br w:type="page"/>
      </w:r>
    </w:p>
    <w:p w14:paraId="34862A21" w14:textId="012FB799" w:rsidR="000C7E75" w:rsidRPr="001C5161" w:rsidRDefault="000C7E75" w:rsidP="006F1509">
      <w:pPr>
        <w:pStyle w:val="Heading1"/>
        <w:rPr>
          <w:rFonts w:cs="Arial"/>
        </w:rPr>
      </w:pPr>
      <w:r w:rsidRPr="001C5161">
        <w:rPr>
          <w:rFonts w:cs="Arial"/>
        </w:rPr>
        <w:lastRenderedPageBreak/>
        <w:t>Annexure C: Positive duties and vicarious liability</w:t>
      </w:r>
    </w:p>
    <w:tbl>
      <w:tblPr>
        <w:tblStyle w:val="TableGrid"/>
        <w:tblpPr w:leftFromText="180" w:rightFromText="180" w:vertAnchor="text" w:horzAnchor="margin" w:tblpX="-10" w:tblpY="215"/>
        <w:tblW w:w="14464" w:type="dxa"/>
        <w:tblLook w:val="04A0" w:firstRow="1" w:lastRow="0" w:firstColumn="1" w:lastColumn="0" w:noHBand="0" w:noVBand="1"/>
      </w:tblPr>
      <w:tblGrid>
        <w:gridCol w:w="2268"/>
        <w:gridCol w:w="5665"/>
        <w:gridCol w:w="6531"/>
      </w:tblGrid>
      <w:tr w:rsidR="000C7E75" w:rsidRPr="001C5161" w14:paraId="2FF2A7D5" w14:textId="77777777" w:rsidTr="00E60D97">
        <w:tc>
          <w:tcPr>
            <w:tcW w:w="2268" w:type="dxa"/>
          </w:tcPr>
          <w:p w14:paraId="342406AE" w14:textId="42A08512" w:rsidR="000C7E75" w:rsidRPr="001C5161" w:rsidRDefault="000C7E75" w:rsidP="0015156E">
            <w:pPr>
              <w:spacing w:after="120"/>
              <w:rPr>
                <w:rFonts w:cs="Arial"/>
              </w:rPr>
            </w:pPr>
            <w:r w:rsidRPr="0015156E">
              <w:rPr>
                <w:rFonts w:cs="Arial"/>
                <w:b/>
                <w:bCs/>
                <w:color w:val="000000" w:themeColor="text1"/>
              </w:rPr>
              <w:t>Clause</w:t>
            </w:r>
          </w:p>
        </w:tc>
        <w:tc>
          <w:tcPr>
            <w:tcW w:w="5665" w:type="dxa"/>
          </w:tcPr>
          <w:p w14:paraId="6520FDC0" w14:textId="4D3E12D7" w:rsidR="000C7E75" w:rsidRPr="001C5161" w:rsidRDefault="000C7E75" w:rsidP="0015156E">
            <w:pPr>
              <w:spacing w:after="120"/>
              <w:rPr>
                <w:rFonts w:cs="Arial"/>
              </w:rPr>
            </w:pPr>
            <w:r w:rsidRPr="0015156E">
              <w:rPr>
                <w:rFonts w:cs="Arial"/>
                <w:b/>
                <w:bCs/>
                <w:color w:val="000000" w:themeColor="text1"/>
              </w:rPr>
              <w:t>Issues</w:t>
            </w:r>
          </w:p>
        </w:tc>
        <w:tc>
          <w:tcPr>
            <w:tcW w:w="6531" w:type="dxa"/>
          </w:tcPr>
          <w:p w14:paraId="3DB3A5F6" w14:textId="1102B143" w:rsidR="000C7E75" w:rsidRPr="001C5161" w:rsidRDefault="000C7E75" w:rsidP="0015156E">
            <w:pPr>
              <w:spacing w:after="120"/>
              <w:rPr>
                <w:rFonts w:cs="Arial"/>
              </w:rPr>
            </w:pPr>
            <w:r w:rsidRPr="0015156E">
              <w:rPr>
                <w:rFonts w:cs="Arial"/>
                <w:b/>
                <w:bCs/>
                <w:color w:val="000000" w:themeColor="text1"/>
              </w:rPr>
              <w:t xml:space="preserve">Recommended </w:t>
            </w:r>
            <w:r w:rsidR="00F013E1" w:rsidRPr="0015156E">
              <w:rPr>
                <w:rFonts w:cs="Arial"/>
                <w:b/>
                <w:bCs/>
                <w:color w:val="000000" w:themeColor="text1"/>
              </w:rPr>
              <w:t>changes</w:t>
            </w:r>
          </w:p>
        </w:tc>
      </w:tr>
      <w:tr w:rsidR="00A83C46" w:rsidRPr="00FB75ED" w14:paraId="06281509" w14:textId="77777777" w:rsidTr="004F73EB">
        <w:tc>
          <w:tcPr>
            <w:tcW w:w="2268" w:type="dxa"/>
          </w:tcPr>
          <w:p w14:paraId="065E6FDE" w14:textId="77777777" w:rsidR="00E60D97" w:rsidRPr="001C5161" w:rsidRDefault="00E60D97" w:rsidP="0015156E">
            <w:pPr>
              <w:spacing w:after="120"/>
              <w:rPr>
                <w:rFonts w:cs="Arial"/>
              </w:rPr>
            </w:pPr>
            <w:r w:rsidRPr="5C73A9CA">
              <w:rPr>
                <w:rFonts w:cs="Arial"/>
              </w:rPr>
              <w:t>Part 3</w:t>
            </w:r>
          </w:p>
          <w:p w14:paraId="6FF657B6" w14:textId="77777777" w:rsidR="00E60D97" w:rsidRPr="001C5161" w:rsidRDefault="00E60D97" w:rsidP="0015156E">
            <w:pPr>
              <w:spacing w:after="120"/>
              <w:rPr>
                <w:rFonts w:cs="Arial"/>
              </w:rPr>
            </w:pPr>
            <w:r w:rsidRPr="5C73A9CA">
              <w:rPr>
                <w:rFonts w:cs="Arial"/>
              </w:rPr>
              <w:t>Positive duties</w:t>
            </w:r>
          </w:p>
        </w:tc>
        <w:tc>
          <w:tcPr>
            <w:tcW w:w="5665" w:type="dxa"/>
          </w:tcPr>
          <w:p w14:paraId="588FC692" w14:textId="77777777" w:rsidR="00E60D97" w:rsidRPr="001C5161" w:rsidRDefault="00E60D97" w:rsidP="0015156E">
            <w:pPr>
              <w:spacing w:after="120"/>
              <w:rPr>
                <w:rFonts w:cs="Arial"/>
              </w:rPr>
            </w:pPr>
            <w:r w:rsidRPr="5C73A9CA">
              <w:rPr>
                <w:rFonts w:cs="Arial"/>
              </w:rPr>
              <w:t>Location in the draft Bill is confusing. Would be preferable to have the positive duties appear before Part 10 which deals with the Commission’s compliance functions.</w:t>
            </w:r>
          </w:p>
        </w:tc>
        <w:tc>
          <w:tcPr>
            <w:tcW w:w="6531" w:type="dxa"/>
          </w:tcPr>
          <w:p w14:paraId="1EC1A6C8" w14:textId="77777777" w:rsidR="00E60D97" w:rsidRPr="001C5161" w:rsidRDefault="00E60D97" w:rsidP="0015156E">
            <w:pPr>
              <w:spacing w:after="120"/>
              <w:rPr>
                <w:rFonts w:cs="Arial"/>
              </w:rPr>
            </w:pPr>
            <w:r w:rsidRPr="5C73A9CA">
              <w:rPr>
                <w:rFonts w:cs="Arial"/>
              </w:rPr>
              <w:t>Move the content in Part 3 to between current Part 9 and Part 10.</w:t>
            </w:r>
          </w:p>
        </w:tc>
      </w:tr>
      <w:tr w:rsidR="00A83C46" w:rsidRPr="00FB75ED" w14:paraId="3A757C10" w14:textId="77777777" w:rsidTr="004F73EB">
        <w:tc>
          <w:tcPr>
            <w:tcW w:w="2268" w:type="dxa"/>
          </w:tcPr>
          <w:p w14:paraId="4ABBAD98" w14:textId="77777777" w:rsidR="00E60D97" w:rsidRPr="001C5161" w:rsidRDefault="00E60D97" w:rsidP="0015156E">
            <w:pPr>
              <w:spacing w:after="120"/>
              <w:rPr>
                <w:rFonts w:cs="Arial"/>
              </w:rPr>
            </w:pPr>
            <w:r w:rsidRPr="5C73A9CA">
              <w:rPr>
                <w:rFonts w:cs="Arial"/>
              </w:rPr>
              <w:t>Cl 19</w:t>
            </w:r>
          </w:p>
          <w:p w14:paraId="1CFF8A52" w14:textId="77777777" w:rsidR="00E60D97" w:rsidRPr="001C5161" w:rsidRDefault="00E60D97" w:rsidP="0015156E">
            <w:pPr>
              <w:spacing w:after="120"/>
              <w:rPr>
                <w:rFonts w:cs="Arial"/>
              </w:rPr>
            </w:pPr>
            <w:r w:rsidRPr="5C73A9CA">
              <w:rPr>
                <w:rFonts w:cs="Arial"/>
              </w:rPr>
              <w:t xml:space="preserve">Duty to eliminate discrimination, sexual harassment, </w:t>
            </w:r>
            <w:proofErr w:type="gramStart"/>
            <w:r w:rsidRPr="5C73A9CA">
              <w:rPr>
                <w:rFonts w:cs="Arial"/>
              </w:rPr>
              <w:t>vilification</w:t>
            </w:r>
            <w:proofErr w:type="gramEnd"/>
            <w:r w:rsidRPr="5C73A9CA">
              <w:rPr>
                <w:rFonts w:cs="Arial"/>
              </w:rPr>
              <w:t xml:space="preserve"> and victimisation</w:t>
            </w:r>
          </w:p>
        </w:tc>
        <w:tc>
          <w:tcPr>
            <w:tcW w:w="5665" w:type="dxa"/>
          </w:tcPr>
          <w:p w14:paraId="126A270F" w14:textId="77777777" w:rsidR="00E60D97" w:rsidRPr="001C5161" w:rsidRDefault="00E60D97" w:rsidP="0015156E">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sidRPr="5C73A9CA">
              <w:rPr>
                <w:rFonts w:cs="Arial"/>
                <w:i/>
                <w:iCs/>
              </w:rPr>
              <w:t>Positive duty</w:t>
            </w:r>
            <w:r w:rsidRPr="5C73A9CA">
              <w:rPr>
                <w:rFonts w:cs="Arial"/>
              </w:rPr>
              <w:t xml:space="preserve"> in this submission.</w:t>
            </w:r>
          </w:p>
        </w:tc>
        <w:tc>
          <w:tcPr>
            <w:tcW w:w="6531" w:type="dxa"/>
          </w:tcPr>
          <w:p w14:paraId="5DD1A9BB" w14:textId="77777777" w:rsidR="004A3F48" w:rsidRPr="004A3F48" w:rsidRDefault="004A3F48" w:rsidP="0015156E">
            <w:pPr>
              <w:spacing w:after="120"/>
              <w:rPr>
                <w:rFonts w:cs="Arial"/>
              </w:rPr>
            </w:pPr>
            <w:r w:rsidRPr="004A3F48">
              <w:rPr>
                <w:rFonts w:cs="Arial"/>
              </w:rPr>
              <w:t xml:space="preserve">Clause 19 (Duty to eliminate discrimination, sexual harassment, </w:t>
            </w:r>
            <w:proofErr w:type="gramStart"/>
            <w:r w:rsidRPr="004A3F48">
              <w:rPr>
                <w:rFonts w:cs="Arial"/>
              </w:rPr>
              <w:t>vilification</w:t>
            </w:r>
            <w:proofErr w:type="gramEnd"/>
            <w:r w:rsidRPr="004A3F48">
              <w:rPr>
                <w:rFonts w:cs="Arial"/>
              </w:rPr>
              <w:t xml:space="preserve"> and victimisation) should contain a list of duty holders bound by the Act, which includes:</w:t>
            </w:r>
          </w:p>
          <w:p w14:paraId="4F694FF0" w14:textId="1203391F" w:rsidR="004A3F48" w:rsidRPr="004A3F48" w:rsidRDefault="004A3F48" w:rsidP="0015156E">
            <w:pPr>
              <w:pStyle w:val="ListParagraph"/>
              <w:numPr>
                <w:ilvl w:val="0"/>
                <w:numId w:val="26"/>
              </w:numPr>
              <w:spacing w:after="120"/>
              <w:rPr>
                <w:rFonts w:cs="Arial"/>
              </w:rPr>
            </w:pPr>
            <w:r w:rsidRPr="004A3F48">
              <w:rPr>
                <w:rFonts w:cs="Arial"/>
              </w:rPr>
              <w:t>a corporation</w:t>
            </w:r>
          </w:p>
          <w:p w14:paraId="162C7E56" w14:textId="0B0DFE4E" w:rsidR="004A3F48" w:rsidRPr="004A3F48" w:rsidRDefault="004A3F48" w:rsidP="0015156E">
            <w:pPr>
              <w:pStyle w:val="ListParagraph"/>
              <w:numPr>
                <w:ilvl w:val="0"/>
                <w:numId w:val="26"/>
              </w:numPr>
              <w:spacing w:after="120"/>
              <w:rPr>
                <w:rFonts w:cs="Arial"/>
              </w:rPr>
            </w:pPr>
            <w:r w:rsidRPr="004A3F48">
              <w:rPr>
                <w:rFonts w:cs="Arial"/>
              </w:rPr>
              <w:t>a partnership</w:t>
            </w:r>
          </w:p>
          <w:p w14:paraId="43F75C0B" w14:textId="24228063" w:rsidR="004A3F48" w:rsidRPr="004A3F48" w:rsidRDefault="004A3F48" w:rsidP="0015156E">
            <w:pPr>
              <w:pStyle w:val="ListParagraph"/>
              <w:numPr>
                <w:ilvl w:val="0"/>
                <w:numId w:val="26"/>
              </w:numPr>
              <w:spacing w:after="120"/>
              <w:rPr>
                <w:rFonts w:cs="Arial"/>
              </w:rPr>
            </w:pPr>
            <w:r w:rsidRPr="004A3F48">
              <w:rPr>
                <w:rFonts w:cs="Arial"/>
              </w:rPr>
              <w:t>an unincorporated body</w:t>
            </w:r>
          </w:p>
          <w:p w14:paraId="0392F1AF" w14:textId="2DB29976" w:rsidR="004A3F48" w:rsidRPr="004A3F48" w:rsidRDefault="004A3F48" w:rsidP="0015156E">
            <w:pPr>
              <w:pStyle w:val="ListParagraph"/>
              <w:numPr>
                <w:ilvl w:val="0"/>
                <w:numId w:val="26"/>
              </w:numPr>
              <w:spacing w:after="120"/>
              <w:rPr>
                <w:rFonts w:cs="Arial"/>
              </w:rPr>
            </w:pPr>
            <w:r w:rsidRPr="004A3F48">
              <w:rPr>
                <w:rFonts w:cs="Arial"/>
              </w:rPr>
              <w:t>a sole trader</w:t>
            </w:r>
          </w:p>
          <w:p w14:paraId="374E7854" w14:textId="660ED5AD" w:rsidR="004A3F48" w:rsidRPr="004A3F48" w:rsidRDefault="004A3F48" w:rsidP="0015156E">
            <w:pPr>
              <w:pStyle w:val="ListParagraph"/>
              <w:numPr>
                <w:ilvl w:val="0"/>
                <w:numId w:val="26"/>
              </w:numPr>
              <w:spacing w:after="120"/>
              <w:rPr>
                <w:rFonts w:cs="Arial"/>
              </w:rPr>
            </w:pPr>
            <w:r w:rsidRPr="004A3F48">
              <w:rPr>
                <w:rFonts w:cs="Arial"/>
              </w:rPr>
              <w:t xml:space="preserve">a government entity within the meaning of the </w:t>
            </w:r>
            <w:r w:rsidRPr="0015156E">
              <w:rPr>
                <w:rFonts w:cs="Arial"/>
                <w:i/>
                <w:iCs/>
              </w:rPr>
              <w:t>Public Sector Act 2022</w:t>
            </w:r>
            <w:r w:rsidRPr="004A3F48">
              <w:rPr>
                <w:rFonts w:cs="Arial"/>
              </w:rPr>
              <w:t>, section 276</w:t>
            </w:r>
          </w:p>
          <w:p w14:paraId="586AF95E" w14:textId="77133ACF" w:rsidR="004A3F48" w:rsidRPr="004A3F48" w:rsidRDefault="004A3F48" w:rsidP="0015156E">
            <w:pPr>
              <w:pStyle w:val="ListParagraph"/>
              <w:numPr>
                <w:ilvl w:val="0"/>
                <w:numId w:val="26"/>
              </w:numPr>
              <w:spacing w:after="120"/>
              <w:rPr>
                <w:rFonts w:cs="Arial"/>
              </w:rPr>
            </w:pPr>
            <w:r w:rsidRPr="004A3F48">
              <w:rPr>
                <w:rFonts w:cs="Arial"/>
              </w:rPr>
              <w:t>the Queensland Police Service</w:t>
            </w:r>
          </w:p>
          <w:p w14:paraId="1AED7699" w14:textId="1A8BF7C5" w:rsidR="004A3F48" w:rsidRPr="004A3F48" w:rsidRDefault="004A3F48" w:rsidP="0015156E">
            <w:pPr>
              <w:pStyle w:val="ListParagraph"/>
              <w:numPr>
                <w:ilvl w:val="0"/>
                <w:numId w:val="26"/>
              </w:numPr>
              <w:spacing w:after="120"/>
              <w:rPr>
                <w:rFonts w:cs="Arial"/>
              </w:rPr>
            </w:pPr>
            <w:r w:rsidRPr="004A3F48">
              <w:rPr>
                <w:rFonts w:cs="Arial"/>
              </w:rPr>
              <w:t>a local government</w:t>
            </w:r>
          </w:p>
          <w:p w14:paraId="22EB9131" w14:textId="3B1149ED" w:rsidR="004A3F48" w:rsidRPr="004A3F48" w:rsidRDefault="004A3F48" w:rsidP="0015156E">
            <w:pPr>
              <w:pStyle w:val="ListParagraph"/>
              <w:numPr>
                <w:ilvl w:val="0"/>
                <w:numId w:val="26"/>
              </w:numPr>
              <w:spacing w:after="120"/>
              <w:rPr>
                <w:rFonts w:cs="Arial"/>
              </w:rPr>
            </w:pPr>
            <w:r w:rsidRPr="004A3F48">
              <w:rPr>
                <w:rFonts w:cs="Arial"/>
              </w:rPr>
              <w:t>an educational institution</w:t>
            </w:r>
          </w:p>
          <w:p w14:paraId="422DD4D3" w14:textId="6A79F940" w:rsidR="004A3F48" w:rsidRPr="004A3F48" w:rsidRDefault="004A3F48" w:rsidP="0015156E">
            <w:pPr>
              <w:pStyle w:val="ListParagraph"/>
              <w:numPr>
                <w:ilvl w:val="0"/>
                <w:numId w:val="26"/>
              </w:numPr>
              <w:spacing w:after="120"/>
              <w:rPr>
                <w:rFonts w:cs="Arial"/>
              </w:rPr>
            </w:pPr>
            <w:r w:rsidRPr="004A3F48">
              <w:rPr>
                <w:rFonts w:cs="Arial"/>
              </w:rPr>
              <w:t>an educational authority.</w:t>
            </w:r>
          </w:p>
          <w:p w14:paraId="3E4D6702" w14:textId="734A7C30" w:rsidR="00E60D97" w:rsidRPr="001C5161" w:rsidRDefault="004A3F48" w:rsidP="0015156E">
            <w:pPr>
              <w:spacing w:after="120"/>
              <w:rPr>
                <w:rFonts w:cs="Arial"/>
              </w:rPr>
            </w:pPr>
            <w:r w:rsidRPr="004A3F48">
              <w:rPr>
                <w:rFonts w:cs="Arial"/>
              </w:rPr>
              <w:t>Amend the clause 19 heading and clause 19(1) to include the words ‘and other unlawful conduct’.</w:t>
            </w:r>
          </w:p>
        </w:tc>
      </w:tr>
      <w:tr w:rsidR="007A629A" w:rsidRPr="00FB75ED" w14:paraId="3399A641" w14:textId="77777777" w:rsidTr="004F73EB">
        <w:tc>
          <w:tcPr>
            <w:tcW w:w="2268" w:type="dxa"/>
          </w:tcPr>
          <w:p w14:paraId="60F9020B" w14:textId="77777777" w:rsidR="007A629A" w:rsidRDefault="007A629A" w:rsidP="0015156E">
            <w:pPr>
              <w:spacing w:after="120"/>
              <w:rPr>
                <w:rFonts w:cs="Arial"/>
              </w:rPr>
            </w:pPr>
            <w:r>
              <w:rPr>
                <w:rFonts w:cs="Arial"/>
              </w:rPr>
              <w:t xml:space="preserve">Cl </w:t>
            </w:r>
            <w:r w:rsidR="001764DE">
              <w:rPr>
                <w:rFonts w:cs="Arial"/>
              </w:rPr>
              <w:t>93 – 96</w:t>
            </w:r>
          </w:p>
          <w:p w14:paraId="57DA2E1A" w14:textId="08A1E3D8" w:rsidR="001764DE" w:rsidRPr="001C5161" w:rsidRDefault="001764DE" w:rsidP="0015156E">
            <w:pPr>
              <w:spacing w:after="120"/>
              <w:rPr>
                <w:rFonts w:cs="Arial"/>
              </w:rPr>
            </w:pPr>
            <w:r>
              <w:rPr>
                <w:rFonts w:cs="Arial"/>
              </w:rPr>
              <w:t>Provisions about liability</w:t>
            </w:r>
          </w:p>
        </w:tc>
        <w:tc>
          <w:tcPr>
            <w:tcW w:w="5665" w:type="dxa"/>
          </w:tcPr>
          <w:p w14:paraId="0B85440A" w14:textId="6FAFF9F6" w:rsidR="007A629A" w:rsidRPr="001C5161" w:rsidRDefault="007A629A" w:rsidP="0015156E">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Pr>
                <w:rFonts w:cs="Arial"/>
                <w:i/>
                <w:iCs/>
              </w:rPr>
              <w:t>Liability (vicarious liability)</w:t>
            </w:r>
            <w:r w:rsidRPr="5C73A9CA">
              <w:rPr>
                <w:rFonts w:cs="Arial"/>
              </w:rPr>
              <w:t xml:space="preserve"> in this submission.</w:t>
            </w:r>
          </w:p>
        </w:tc>
        <w:tc>
          <w:tcPr>
            <w:tcW w:w="6531" w:type="dxa"/>
          </w:tcPr>
          <w:p w14:paraId="74BBD60A" w14:textId="59EF332D" w:rsidR="00DF2F9B" w:rsidRDefault="00DF2F9B" w:rsidP="0015156E">
            <w:pPr>
              <w:spacing w:after="120"/>
            </w:pPr>
            <w:r>
              <w:t>Omit clauses 93 – 96 of the draft Bill.</w:t>
            </w:r>
          </w:p>
          <w:p w14:paraId="128FD98D" w14:textId="6C2B97CE" w:rsidR="007A629A" w:rsidRPr="002B4B61" w:rsidRDefault="00D57B45" w:rsidP="0015156E">
            <w:pPr>
              <w:spacing w:after="120"/>
            </w:pPr>
            <w:r>
              <w:t xml:space="preserve">Section 133 of the Anti-Discrimination Act should be </w:t>
            </w:r>
            <w:r w:rsidR="00DF2F9B">
              <w:t>reinstated,</w:t>
            </w:r>
            <w:r>
              <w:t xml:space="preserve"> and a clause that is </w:t>
            </w:r>
            <w:proofErr w:type="gramStart"/>
            <w:r>
              <w:t>similar to</w:t>
            </w:r>
            <w:proofErr w:type="gramEnd"/>
            <w:r>
              <w:t xml:space="preserve"> section 132, which explains the purpose of the liability provisions, should be included.</w:t>
            </w:r>
          </w:p>
        </w:tc>
      </w:tr>
    </w:tbl>
    <w:p w14:paraId="6E102AB8" w14:textId="36751F6F" w:rsidR="00B33C7B" w:rsidRDefault="00B33C7B">
      <w:pPr>
        <w:rPr>
          <w:rFonts w:eastAsiaTheme="majorEastAsia" w:cs="Arial"/>
          <w:color w:val="347B9F"/>
          <w:sz w:val="48"/>
          <w:szCs w:val="48"/>
        </w:rPr>
      </w:pPr>
      <w:r>
        <w:rPr>
          <w:rFonts w:cs="Arial"/>
        </w:rPr>
        <w:br w:type="page"/>
      </w:r>
    </w:p>
    <w:p w14:paraId="33C52C22" w14:textId="25B04BAA" w:rsidR="00970D03" w:rsidRPr="00006579" w:rsidRDefault="00970D03" w:rsidP="00006579">
      <w:pPr>
        <w:pStyle w:val="Heading1"/>
        <w:rPr>
          <w:rFonts w:cs="Arial"/>
        </w:rPr>
      </w:pPr>
      <w:r w:rsidRPr="001C5161">
        <w:rPr>
          <w:rFonts w:cs="Arial"/>
        </w:rPr>
        <w:lastRenderedPageBreak/>
        <w:t>Annexure D: Unlawful discrimination – areas</w:t>
      </w:r>
      <w:r w:rsidRPr="00006579">
        <w:rPr>
          <w:rFonts w:cs="Arial"/>
        </w:rPr>
        <w:t xml:space="preserve"> </w:t>
      </w:r>
    </w:p>
    <w:tbl>
      <w:tblPr>
        <w:tblStyle w:val="TableGrid"/>
        <w:tblpPr w:leftFromText="180" w:rightFromText="180" w:vertAnchor="text" w:horzAnchor="margin" w:tblpX="-21" w:tblpY="215"/>
        <w:tblW w:w="14475" w:type="dxa"/>
        <w:tblLook w:val="04A0" w:firstRow="1" w:lastRow="0" w:firstColumn="1" w:lastColumn="0" w:noHBand="0" w:noVBand="1"/>
      </w:tblPr>
      <w:tblGrid>
        <w:gridCol w:w="2143"/>
        <w:gridCol w:w="5380"/>
        <w:gridCol w:w="6952"/>
      </w:tblGrid>
      <w:tr w:rsidR="00970D03" w:rsidRPr="001C5161" w14:paraId="35F8D882" w14:textId="77777777" w:rsidTr="00DB115C">
        <w:tc>
          <w:tcPr>
            <w:tcW w:w="2143" w:type="dxa"/>
          </w:tcPr>
          <w:p w14:paraId="094CD713" w14:textId="3C76068B" w:rsidR="00970D03" w:rsidRPr="0015156E" w:rsidRDefault="00970D03" w:rsidP="00DB115C">
            <w:pPr>
              <w:spacing w:after="120"/>
              <w:rPr>
                <w:rFonts w:cs="Arial"/>
                <w:sz w:val="22"/>
                <w:szCs w:val="22"/>
              </w:rPr>
            </w:pPr>
            <w:r w:rsidRPr="0015156E">
              <w:rPr>
                <w:rFonts w:cs="Arial"/>
                <w:b/>
                <w:bCs/>
                <w:color w:val="000000" w:themeColor="text1"/>
                <w:sz w:val="22"/>
                <w:szCs w:val="22"/>
              </w:rPr>
              <w:t>Clause</w:t>
            </w:r>
          </w:p>
        </w:tc>
        <w:tc>
          <w:tcPr>
            <w:tcW w:w="5380" w:type="dxa"/>
          </w:tcPr>
          <w:p w14:paraId="63E3AD38" w14:textId="0CD50ED0" w:rsidR="00970D03" w:rsidRPr="0015156E" w:rsidRDefault="00970D03" w:rsidP="00DB115C">
            <w:pPr>
              <w:spacing w:after="120"/>
              <w:rPr>
                <w:rFonts w:cs="Arial"/>
                <w:sz w:val="22"/>
                <w:szCs w:val="22"/>
              </w:rPr>
            </w:pPr>
            <w:r w:rsidRPr="0015156E">
              <w:rPr>
                <w:rFonts w:cs="Arial"/>
                <w:b/>
                <w:bCs/>
                <w:color w:val="000000" w:themeColor="text1"/>
                <w:sz w:val="22"/>
                <w:szCs w:val="22"/>
              </w:rPr>
              <w:t>Issues</w:t>
            </w:r>
          </w:p>
        </w:tc>
        <w:tc>
          <w:tcPr>
            <w:tcW w:w="6952" w:type="dxa"/>
          </w:tcPr>
          <w:p w14:paraId="30793BD3" w14:textId="4D6B95AB" w:rsidR="00970D03" w:rsidRPr="0015156E" w:rsidRDefault="00970D03" w:rsidP="00DB115C">
            <w:pPr>
              <w:spacing w:after="120"/>
              <w:rPr>
                <w:rFonts w:cs="Arial"/>
                <w:sz w:val="22"/>
                <w:szCs w:val="22"/>
              </w:rPr>
            </w:pPr>
            <w:r w:rsidRPr="0015156E">
              <w:rPr>
                <w:rFonts w:cs="Arial"/>
                <w:b/>
                <w:bCs/>
                <w:color w:val="000000" w:themeColor="text1"/>
                <w:sz w:val="22"/>
                <w:szCs w:val="22"/>
              </w:rPr>
              <w:t xml:space="preserve">Recommended </w:t>
            </w:r>
            <w:r w:rsidR="00F013E1" w:rsidRPr="0015156E">
              <w:rPr>
                <w:rFonts w:cs="Arial"/>
                <w:b/>
                <w:bCs/>
                <w:color w:val="000000" w:themeColor="text1"/>
                <w:sz w:val="22"/>
                <w:szCs w:val="22"/>
              </w:rPr>
              <w:t>changes</w:t>
            </w:r>
          </w:p>
        </w:tc>
      </w:tr>
      <w:tr w:rsidR="00347410" w:rsidRPr="001C5161" w14:paraId="6D614E86" w14:textId="77777777" w:rsidTr="00DB115C">
        <w:tc>
          <w:tcPr>
            <w:tcW w:w="2143" w:type="dxa"/>
          </w:tcPr>
          <w:p w14:paraId="1C50951C" w14:textId="7B49CC1B" w:rsidR="00347410" w:rsidRPr="001C5161" w:rsidRDefault="00347410" w:rsidP="00DB115C">
            <w:pPr>
              <w:spacing w:after="120"/>
              <w:rPr>
                <w:rFonts w:cs="Arial"/>
              </w:rPr>
            </w:pPr>
            <w:r>
              <w:rPr>
                <w:rFonts w:cs="Arial"/>
              </w:rPr>
              <w:t xml:space="preserve">Various </w:t>
            </w:r>
            <w:r w:rsidR="006F62E5">
              <w:rPr>
                <w:rFonts w:cs="Arial"/>
              </w:rPr>
              <w:t xml:space="preserve">subdivision </w:t>
            </w:r>
            <w:r>
              <w:rPr>
                <w:rFonts w:cs="Arial"/>
              </w:rPr>
              <w:t>titles</w:t>
            </w:r>
          </w:p>
        </w:tc>
        <w:tc>
          <w:tcPr>
            <w:tcW w:w="5380" w:type="dxa"/>
          </w:tcPr>
          <w:p w14:paraId="5A750F57" w14:textId="2E7E24B3" w:rsidR="00347410" w:rsidRPr="001C5161" w:rsidRDefault="00347410" w:rsidP="00DB115C">
            <w:pPr>
              <w:spacing w:after="120"/>
              <w:rPr>
                <w:rFonts w:cs="Arial"/>
              </w:rPr>
            </w:pPr>
            <w:r w:rsidRPr="5C73A9CA">
              <w:rPr>
                <w:rFonts w:cs="Arial"/>
              </w:rPr>
              <w:t xml:space="preserve">The title </w:t>
            </w:r>
            <w:r w:rsidRPr="5C73A9CA">
              <w:rPr>
                <w:rFonts w:cs="Arial"/>
                <w:i/>
                <w:iCs/>
              </w:rPr>
              <w:t>Exceptions for discrimination</w:t>
            </w:r>
            <w:r w:rsidRPr="5C73A9CA">
              <w:rPr>
                <w:rFonts w:cs="Arial"/>
              </w:rPr>
              <w:t xml:space="preserve"> repeats throughout the draft Bill.</w:t>
            </w:r>
            <w:r w:rsidR="002F5179">
              <w:rPr>
                <w:rFonts w:cs="Arial"/>
              </w:rPr>
              <w:t xml:space="preserve"> Th</w:t>
            </w:r>
            <w:r w:rsidR="00DC0286">
              <w:rPr>
                <w:rFonts w:cs="Arial"/>
              </w:rPr>
              <w:t>is can make it hard to navigate</w:t>
            </w:r>
            <w:r w:rsidR="002F5179">
              <w:rPr>
                <w:rFonts w:cs="Arial"/>
              </w:rPr>
              <w:t>.</w:t>
            </w:r>
          </w:p>
        </w:tc>
        <w:tc>
          <w:tcPr>
            <w:tcW w:w="6952" w:type="dxa"/>
          </w:tcPr>
          <w:p w14:paraId="57DA50F9" w14:textId="275C9052" w:rsidR="00347410" w:rsidRPr="001C5161" w:rsidRDefault="00347410" w:rsidP="00DB115C">
            <w:pPr>
              <w:spacing w:after="120"/>
              <w:rPr>
                <w:rFonts w:cs="Arial"/>
              </w:rPr>
            </w:pPr>
            <w:r w:rsidRPr="5C73A9CA">
              <w:rPr>
                <w:rFonts w:cs="Arial"/>
              </w:rPr>
              <w:t xml:space="preserve">Update to </w:t>
            </w:r>
            <w:r>
              <w:rPr>
                <w:rFonts w:cs="Arial"/>
              </w:rPr>
              <w:t xml:space="preserve">reflect the particular area </w:t>
            </w:r>
            <w:proofErr w:type="gramStart"/>
            <w:r>
              <w:rPr>
                <w:rFonts w:cs="Arial"/>
              </w:rPr>
              <w:t>e.g.</w:t>
            </w:r>
            <w:proofErr w:type="gramEnd"/>
            <w:r>
              <w:rPr>
                <w:rFonts w:cs="Arial"/>
              </w:rPr>
              <w:t xml:space="preserve"> </w:t>
            </w:r>
            <w:r w:rsidRPr="5C73A9CA">
              <w:rPr>
                <w:rFonts w:cs="Arial"/>
                <w:i/>
                <w:iCs/>
              </w:rPr>
              <w:t>Exceptions for work discrimination</w:t>
            </w:r>
            <w:r w:rsidRPr="5C73A9CA">
              <w:rPr>
                <w:rFonts w:cs="Arial"/>
              </w:rPr>
              <w:t>.</w:t>
            </w:r>
          </w:p>
        </w:tc>
      </w:tr>
      <w:tr w:rsidR="00C03F77" w:rsidRPr="001C5161" w14:paraId="6A3AAA09" w14:textId="77777777" w:rsidTr="00DB115C">
        <w:tc>
          <w:tcPr>
            <w:tcW w:w="2143" w:type="dxa"/>
          </w:tcPr>
          <w:p w14:paraId="5624EF0A" w14:textId="77777777" w:rsidR="00C03F77" w:rsidRDefault="00C03F77" w:rsidP="00DB115C">
            <w:pPr>
              <w:spacing w:after="120"/>
              <w:rPr>
                <w:rFonts w:cs="Arial"/>
              </w:rPr>
            </w:pPr>
            <w:r>
              <w:rPr>
                <w:rFonts w:cs="Arial"/>
              </w:rPr>
              <w:t>Cl 21(3</w:t>
            </w:r>
            <w:r w:rsidR="00566C66">
              <w:rPr>
                <w:rFonts w:cs="Arial"/>
              </w:rPr>
              <w:t>)</w:t>
            </w:r>
            <w:r>
              <w:rPr>
                <w:rFonts w:cs="Arial"/>
              </w:rPr>
              <w:t>(b)</w:t>
            </w:r>
          </w:p>
          <w:p w14:paraId="4D367D1D" w14:textId="75E1DD40" w:rsidR="004D534E" w:rsidRPr="5C73A9CA" w:rsidRDefault="00A23CA1" w:rsidP="00DB115C">
            <w:pPr>
              <w:spacing w:after="120"/>
              <w:rPr>
                <w:rFonts w:cs="Arial"/>
              </w:rPr>
            </w:pPr>
            <w:r>
              <w:rPr>
                <w:rFonts w:cs="Arial"/>
              </w:rPr>
              <w:t>When is discrimination lawful discrimination</w:t>
            </w:r>
          </w:p>
        </w:tc>
        <w:tc>
          <w:tcPr>
            <w:tcW w:w="5380" w:type="dxa"/>
          </w:tcPr>
          <w:p w14:paraId="5A066CDA" w14:textId="1A24478D" w:rsidR="00F816AA" w:rsidRDefault="00B97D7D" w:rsidP="00DB115C">
            <w:pPr>
              <w:spacing w:after="120"/>
              <w:rPr>
                <w:rFonts w:cs="Arial"/>
              </w:rPr>
            </w:pPr>
            <w:r>
              <w:rPr>
                <w:rFonts w:cs="Arial"/>
              </w:rPr>
              <w:t>The drafting of this provision is not clear</w:t>
            </w:r>
            <w:r w:rsidR="00F816AA">
              <w:rPr>
                <w:rFonts w:cs="Arial"/>
              </w:rPr>
              <w:t xml:space="preserve">, but the QHRC has interpreted </w:t>
            </w:r>
            <w:r w:rsidR="00A348F5">
              <w:rPr>
                <w:rFonts w:cs="Arial"/>
              </w:rPr>
              <w:t xml:space="preserve">it </w:t>
            </w:r>
            <w:r w:rsidR="00F816AA">
              <w:rPr>
                <w:rFonts w:cs="Arial"/>
              </w:rPr>
              <w:t xml:space="preserve">to mean that a respondent could argue </w:t>
            </w:r>
            <w:r w:rsidR="00D06936">
              <w:rPr>
                <w:rFonts w:cs="Arial"/>
              </w:rPr>
              <w:t xml:space="preserve">an exception </w:t>
            </w:r>
            <w:r w:rsidR="006F2106">
              <w:rPr>
                <w:rFonts w:cs="Arial"/>
              </w:rPr>
              <w:t>ordinarily confined to</w:t>
            </w:r>
            <w:r w:rsidR="00D06936">
              <w:rPr>
                <w:rFonts w:cs="Arial"/>
              </w:rPr>
              <w:t xml:space="preserve"> an area of activity </w:t>
            </w:r>
            <w:r w:rsidR="00F816AA">
              <w:rPr>
                <w:rFonts w:cs="Arial"/>
              </w:rPr>
              <w:t xml:space="preserve">when </w:t>
            </w:r>
            <w:r w:rsidR="002A0803">
              <w:rPr>
                <w:rFonts w:cs="Arial"/>
              </w:rPr>
              <w:t>responding to</w:t>
            </w:r>
            <w:r w:rsidR="00F816AA">
              <w:rPr>
                <w:rFonts w:cs="Arial"/>
              </w:rPr>
              <w:t xml:space="preserve"> a complaint arising in</w:t>
            </w:r>
            <w:r w:rsidR="00D06936">
              <w:rPr>
                <w:rFonts w:cs="Arial"/>
              </w:rPr>
              <w:t xml:space="preserve"> another area of activity</w:t>
            </w:r>
            <w:r w:rsidR="00F816AA">
              <w:rPr>
                <w:rFonts w:cs="Arial"/>
              </w:rPr>
              <w:t>.</w:t>
            </w:r>
            <w:r w:rsidR="002A0803">
              <w:rPr>
                <w:rFonts w:cs="Arial"/>
              </w:rPr>
              <w:t xml:space="preserve"> For example, a respondent may rely on an exception </w:t>
            </w:r>
            <w:r w:rsidR="009970D2">
              <w:rPr>
                <w:rFonts w:cs="Arial"/>
              </w:rPr>
              <w:t xml:space="preserve">in the </w:t>
            </w:r>
            <w:r w:rsidR="00736551">
              <w:rPr>
                <w:rFonts w:cs="Arial"/>
              </w:rPr>
              <w:t>W</w:t>
            </w:r>
            <w:r w:rsidR="009970D2">
              <w:rPr>
                <w:rFonts w:cs="Arial"/>
              </w:rPr>
              <w:t xml:space="preserve">ork and work-related area even though </w:t>
            </w:r>
            <w:r w:rsidR="001D40B9">
              <w:rPr>
                <w:rFonts w:cs="Arial"/>
              </w:rPr>
              <w:t xml:space="preserve">the complaint involves the </w:t>
            </w:r>
            <w:r w:rsidR="00736551">
              <w:rPr>
                <w:rFonts w:cs="Arial"/>
              </w:rPr>
              <w:t>A</w:t>
            </w:r>
            <w:r w:rsidR="001D40B9">
              <w:rPr>
                <w:rFonts w:cs="Arial"/>
              </w:rPr>
              <w:t>dministration of state laws and programs area.</w:t>
            </w:r>
          </w:p>
          <w:p w14:paraId="2EE3AC38" w14:textId="5B8E573A" w:rsidR="009C463A" w:rsidRDefault="00A348F5" w:rsidP="00DB115C">
            <w:pPr>
              <w:spacing w:after="120"/>
              <w:rPr>
                <w:rFonts w:cs="Arial"/>
              </w:rPr>
            </w:pPr>
            <w:r>
              <w:rPr>
                <w:rFonts w:cs="Arial"/>
              </w:rPr>
              <w:t xml:space="preserve">This provision seems </w:t>
            </w:r>
            <w:r w:rsidR="00D06936">
              <w:rPr>
                <w:rFonts w:cs="Arial"/>
              </w:rPr>
              <w:t xml:space="preserve">unnecessary and may create complexity and confusion. </w:t>
            </w:r>
            <w:r w:rsidR="00802759">
              <w:rPr>
                <w:rFonts w:cs="Arial"/>
              </w:rPr>
              <w:t>This is</w:t>
            </w:r>
            <w:r w:rsidR="00D62943">
              <w:rPr>
                <w:rFonts w:cs="Arial"/>
              </w:rPr>
              <w:t xml:space="preserve"> counterproductive to the overall aims of improving the clarity and effectiveness of the law. </w:t>
            </w:r>
          </w:p>
          <w:p w14:paraId="4281DC77" w14:textId="2A796A54" w:rsidR="00B661F3" w:rsidRDefault="00D62943" w:rsidP="00DB115C">
            <w:pPr>
              <w:spacing w:after="120"/>
              <w:rPr>
                <w:rFonts w:cs="Arial"/>
              </w:rPr>
            </w:pPr>
            <w:r>
              <w:rPr>
                <w:rFonts w:cs="Arial"/>
              </w:rPr>
              <w:t>T</w:t>
            </w:r>
            <w:r w:rsidR="004E6A08">
              <w:rPr>
                <w:rFonts w:cs="Arial"/>
              </w:rPr>
              <w:t xml:space="preserve">he </w:t>
            </w:r>
            <w:r w:rsidR="009C463A">
              <w:rPr>
                <w:rFonts w:cs="Arial"/>
              </w:rPr>
              <w:t>consequences of allowing respondents to argue</w:t>
            </w:r>
            <w:r w:rsidR="003D6E3D">
              <w:rPr>
                <w:rFonts w:cs="Arial"/>
              </w:rPr>
              <w:t xml:space="preserve"> specific exceptions</w:t>
            </w:r>
            <w:r w:rsidR="00802759">
              <w:rPr>
                <w:rFonts w:cs="Arial"/>
              </w:rPr>
              <w:t xml:space="preserve"> intended for one context</w:t>
            </w:r>
            <w:r w:rsidR="003D6E3D">
              <w:rPr>
                <w:rFonts w:cs="Arial"/>
              </w:rPr>
              <w:t xml:space="preserve"> </w:t>
            </w:r>
            <w:r w:rsidR="009C463A">
              <w:rPr>
                <w:rFonts w:cs="Arial"/>
              </w:rPr>
              <w:t xml:space="preserve">in an </w:t>
            </w:r>
            <w:r w:rsidR="003D6E3D">
              <w:rPr>
                <w:rFonts w:cs="Arial"/>
              </w:rPr>
              <w:t>entirely different context</w:t>
            </w:r>
            <w:r w:rsidR="0013778E">
              <w:rPr>
                <w:rFonts w:cs="Arial"/>
              </w:rPr>
              <w:t xml:space="preserve"> </w:t>
            </w:r>
            <w:r w:rsidR="009C463A">
              <w:rPr>
                <w:rFonts w:cs="Arial"/>
              </w:rPr>
              <w:t>are</w:t>
            </w:r>
            <w:r w:rsidR="0013778E">
              <w:rPr>
                <w:rFonts w:cs="Arial"/>
              </w:rPr>
              <w:t xml:space="preserve"> unknown</w:t>
            </w:r>
            <w:r>
              <w:rPr>
                <w:rFonts w:cs="Arial"/>
              </w:rPr>
              <w:t>.</w:t>
            </w:r>
          </w:p>
          <w:p w14:paraId="3AA3B727" w14:textId="194CA36C" w:rsidR="004E6A08" w:rsidRDefault="009E459A" w:rsidP="00DB115C">
            <w:pPr>
              <w:spacing w:after="120"/>
              <w:rPr>
                <w:rFonts w:cs="Arial"/>
              </w:rPr>
            </w:pPr>
            <w:r>
              <w:rPr>
                <w:rFonts w:cs="Arial"/>
              </w:rPr>
              <w:t>The QHRC notes that</w:t>
            </w:r>
            <w:r w:rsidR="004E6A08">
              <w:rPr>
                <w:rFonts w:cs="Arial"/>
              </w:rPr>
              <w:t xml:space="preserve"> there are no </w:t>
            </w:r>
            <w:r w:rsidR="00C076D8">
              <w:rPr>
                <w:rFonts w:cs="Arial"/>
              </w:rPr>
              <w:t xml:space="preserve">current </w:t>
            </w:r>
            <w:r w:rsidR="004E6A08">
              <w:rPr>
                <w:rFonts w:cs="Arial"/>
              </w:rPr>
              <w:t>exceptions in the Administration of State Laws and programs area, but</w:t>
            </w:r>
            <w:r w:rsidR="00C076D8">
              <w:rPr>
                <w:rFonts w:cs="Arial"/>
              </w:rPr>
              <w:t xml:space="preserve"> the inclusion of clause 21(3(b) would mean that</w:t>
            </w:r>
            <w:r w:rsidR="004E6A08">
              <w:rPr>
                <w:rFonts w:cs="Arial"/>
              </w:rPr>
              <w:t xml:space="preserve"> a wide range of exceptions may now become available</w:t>
            </w:r>
            <w:r>
              <w:rPr>
                <w:rFonts w:cs="Arial"/>
              </w:rPr>
              <w:t xml:space="preserve"> to the State and its contractors</w:t>
            </w:r>
            <w:r w:rsidR="004E6A08">
              <w:rPr>
                <w:rFonts w:cs="Arial"/>
              </w:rPr>
              <w:t>.</w:t>
            </w:r>
          </w:p>
          <w:p w14:paraId="1B207B51" w14:textId="53898BFA" w:rsidR="0013778E" w:rsidRDefault="00637D37" w:rsidP="00DB115C">
            <w:pPr>
              <w:spacing w:after="120"/>
              <w:rPr>
                <w:rFonts w:cs="Arial"/>
              </w:rPr>
            </w:pPr>
            <w:r>
              <w:rPr>
                <w:rFonts w:cs="Arial"/>
              </w:rPr>
              <w:t>As</w:t>
            </w:r>
            <w:r w:rsidR="002E72ED">
              <w:rPr>
                <w:rFonts w:cs="Arial"/>
              </w:rPr>
              <w:t xml:space="preserve"> </w:t>
            </w:r>
            <w:r w:rsidR="00566C66">
              <w:rPr>
                <w:rFonts w:cs="Arial"/>
              </w:rPr>
              <w:t>the draft Bill, consistent with the current Act, includes</w:t>
            </w:r>
            <w:r>
              <w:rPr>
                <w:rFonts w:cs="Arial"/>
              </w:rPr>
              <w:t xml:space="preserve"> a section for</w:t>
            </w:r>
            <w:r w:rsidR="002E72ED">
              <w:rPr>
                <w:rFonts w:cs="Arial"/>
              </w:rPr>
              <w:t xml:space="preserve"> General exceptions in </w:t>
            </w:r>
            <w:r w:rsidR="00566C66">
              <w:rPr>
                <w:rFonts w:cs="Arial"/>
              </w:rPr>
              <w:t xml:space="preserve">Part 4, Division 10, if there are any specific exemptions that should be applicable across various areas, then these exceptions should </w:t>
            </w:r>
            <w:r>
              <w:rPr>
                <w:rFonts w:cs="Arial"/>
              </w:rPr>
              <w:t xml:space="preserve">instead </w:t>
            </w:r>
            <w:r w:rsidR="00566C66">
              <w:rPr>
                <w:rFonts w:cs="Arial"/>
              </w:rPr>
              <w:t>be moved to this division.</w:t>
            </w:r>
          </w:p>
          <w:p w14:paraId="3E6AA9E9" w14:textId="4F23D254" w:rsidR="003D6E3D" w:rsidRPr="5C73A9CA" w:rsidRDefault="003D6E3D" w:rsidP="00DB115C">
            <w:pPr>
              <w:spacing w:after="120"/>
              <w:rPr>
                <w:rFonts w:cs="Arial"/>
              </w:rPr>
            </w:pPr>
            <w:r>
              <w:rPr>
                <w:rFonts w:cs="Arial"/>
              </w:rPr>
              <w:t>No justification has been provided for this departure from the status quo</w:t>
            </w:r>
            <w:r w:rsidR="003352AE">
              <w:rPr>
                <w:rFonts w:cs="Arial"/>
              </w:rPr>
              <w:t>.</w:t>
            </w:r>
            <w:r w:rsidR="00B97D7D">
              <w:rPr>
                <w:rFonts w:cs="Arial"/>
              </w:rPr>
              <w:t xml:space="preserve"> </w:t>
            </w:r>
          </w:p>
        </w:tc>
        <w:tc>
          <w:tcPr>
            <w:tcW w:w="6952" w:type="dxa"/>
          </w:tcPr>
          <w:p w14:paraId="1D052A76" w14:textId="01971B3D" w:rsidR="00C03F77" w:rsidRPr="5C73A9CA" w:rsidRDefault="00D06936" w:rsidP="00DB115C">
            <w:pPr>
              <w:spacing w:after="120"/>
              <w:rPr>
                <w:rFonts w:cs="Arial"/>
              </w:rPr>
            </w:pPr>
            <w:r>
              <w:rPr>
                <w:rFonts w:cs="Arial"/>
              </w:rPr>
              <w:t>Omit cl 21(3)(b).</w:t>
            </w:r>
          </w:p>
        </w:tc>
      </w:tr>
      <w:tr w:rsidR="00B44B93" w:rsidRPr="001C5161" w14:paraId="1A6D734E" w14:textId="77777777" w:rsidTr="00DB115C">
        <w:tc>
          <w:tcPr>
            <w:tcW w:w="2143" w:type="dxa"/>
          </w:tcPr>
          <w:p w14:paraId="7B048CD3" w14:textId="77777777" w:rsidR="00B44B93" w:rsidRPr="001C5161" w:rsidRDefault="00B44B93" w:rsidP="00DB115C">
            <w:pPr>
              <w:spacing w:after="120"/>
              <w:rPr>
                <w:rFonts w:cs="Arial"/>
              </w:rPr>
            </w:pPr>
            <w:r w:rsidRPr="5C73A9CA">
              <w:rPr>
                <w:rFonts w:cs="Arial"/>
              </w:rPr>
              <w:t>Cl 22</w:t>
            </w:r>
          </w:p>
          <w:p w14:paraId="648A8770" w14:textId="789B7FDF" w:rsidR="00B44B93" w:rsidRPr="001C5161" w:rsidRDefault="00B44B93" w:rsidP="00DB115C">
            <w:pPr>
              <w:spacing w:after="120"/>
              <w:rPr>
                <w:rFonts w:cs="Arial"/>
              </w:rPr>
            </w:pPr>
            <w:r w:rsidRPr="5C73A9CA">
              <w:rPr>
                <w:rFonts w:cs="Arial"/>
              </w:rPr>
              <w:t>Employers</w:t>
            </w:r>
          </w:p>
        </w:tc>
        <w:tc>
          <w:tcPr>
            <w:tcW w:w="5380" w:type="dxa"/>
          </w:tcPr>
          <w:p w14:paraId="00858CB8" w14:textId="77777777" w:rsidR="00B44B93" w:rsidRPr="001C5161" w:rsidRDefault="00B44B93" w:rsidP="00DB115C">
            <w:pPr>
              <w:spacing w:after="120"/>
              <w:rPr>
                <w:rFonts w:cs="Arial"/>
              </w:rPr>
            </w:pPr>
            <w:r w:rsidRPr="5C73A9CA">
              <w:rPr>
                <w:rFonts w:cs="Arial"/>
              </w:rPr>
              <w:t xml:space="preserve">There is a risk that this heading may lead to an interpretation that the prohibitions only apply to Employers, particularly having regard to the other </w:t>
            </w:r>
            <w:r w:rsidRPr="5C73A9CA">
              <w:rPr>
                <w:rFonts w:cs="Arial"/>
              </w:rPr>
              <w:lastRenderedPageBreak/>
              <w:t>provisions in subdivision one where headings reflect the entities to which the provisions apply.</w:t>
            </w:r>
          </w:p>
          <w:p w14:paraId="693B6B1D" w14:textId="77777777" w:rsidR="00B44B93" w:rsidRPr="001C5161" w:rsidRDefault="00B44B93" w:rsidP="00DB115C">
            <w:pPr>
              <w:spacing w:after="120"/>
              <w:rPr>
                <w:rFonts w:cs="Arial"/>
              </w:rPr>
            </w:pPr>
            <w:r w:rsidRPr="5C73A9CA">
              <w:rPr>
                <w:rFonts w:cs="Arial"/>
              </w:rPr>
              <w:t xml:space="preserve">The draft Bill introduces the concepts of employee and employer, which is a specific relationship and </w:t>
            </w:r>
            <w:proofErr w:type="gramStart"/>
            <w:r w:rsidRPr="5C73A9CA">
              <w:rPr>
                <w:rFonts w:cs="Arial"/>
              </w:rPr>
              <w:t>doesn’t</w:t>
            </w:r>
            <w:proofErr w:type="gramEnd"/>
            <w:r w:rsidRPr="5C73A9CA">
              <w:rPr>
                <w:rFonts w:cs="Arial"/>
              </w:rPr>
              <w:t xml:space="preserve"> include all workers within the definition of work.</w:t>
            </w:r>
          </w:p>
          <w:p w14:paraId="546A439C" w14:textId="77777777" w:rsidR="00B44B93" w:rsidRPr="001C5161" w:rsidRDefault="00B44B93" w:rsidP="00DB115C">
            <w:pPr>
              <w:spacing w:after="120"/>
              <w:rPr>
                <w:rFonts w:cs="Arial"/>
              </w:rPr>
            </w:pPr>
            <w:r w:rsidRPr="5C73A9CA">
              <w:rPr>
                <w:rFonts w:cs="Arial"/>
              </w:rPr>
              <w:t>Work and worker still appear throughout the Bill, but there would be a combination of references to worker and employee that may be inconsistent and confusing.</w:t>
            </w:r>
          </w:p>
          <w:p w14:paraId="317AC488" w14:textId="0F2A2782" w:rsidR="00B44B93" w:rsidRPr="001C5161" w:rsidRDefault="00B44B93" w:rsidP="00DB115C">
            <w:pPr>
              <w:spacing w:after="120"/>
              <w:rPr>
                <w:rFonts w:cs="Arial"/>
              </w:rPr>
            </w:pPr>
            <w:r w:rsidRPr="5C73A9CA">
              <w:rPr>
                <w:rFonts w:cs="Arial"/>
              </w:rPr>
              <w:t>It is preferable to stick with the concept of work and worker.</w:t>
            </w:r>
          </w:p>
        </w:tc>
        <w:tc>
          <w:tcPr>
            <w:tcW w:w="6952" w:type="dxa"/>
          </w:tcPr>
          <w:p w14:paraId="4DD25E03" w14:textId="71434F3B" w:rsidR="00B44B93" w:rsidRPr="001C5161" w:rsidRDefault="00445165" w:rsidP="00DB115C">
            <w:pPr>
              <w:spacing w:after="120"/>
              <w:rPr>
                <w:rFonts w:cs="Arial"/>
              </w:rPr>
            </w:pPr>
            <w:r>
              <w:rPr>
                <w:rFonts w:cs="Arial"/>
              </w:rPr>
              <w:lastRenderedPageBreak/>
              <w:t>Change</w:t>
            </w:r>
            <w:r w:rsidR="00B44B93" w:rsidRPr="5C73A9CA">
              <w:rPr>
                <w:rFonts w:cs="Arial"/>
              </w:rPr>
              <w:t xml:space="preserve"> this heading to </w:t>
            </w:r>
            <w:r w:rsidR="00B44B93" w:rsidRPr="00DB115C">
              <w:rPr>
                <w:rFonts w:cs="Arial"/>
                <w:i/>
                <w:iCs/>
              </w:rPr>
              <w:t>Work – general</w:t>
            </w:r>
            <w:r w:rsidR="00B44B93" w:rsidRPr="5C73A9CA">
              <w:rPr>
                <w:rFonts w:cs="Arial"/>
              </w:rPr>
              <w:t>, or something similar.</w:t>
            </w:r>
          </w:p>
        </w:tc>
      </w:tr>
      <w:tr w:rsidR="0056787A" w:rsidRPr="001C5161" w14:paraId="36DCD8A2" w14:textId="77777777" w:rsidTr="00DB115C">
        <w:tc>
          <w:tcPr>
            <w:tcW w:w="2143" w:type="dxa"/>
          </w:tcPr>
          <w:p w14:paraId="34D1B622" w14:textId="77777777" w:rsidR="0056787A" w:rsidRDefault="009D77EC" w:rsidP="00DB115C">
            <w:pPr>
              <w:spacing w:after="120"/>
              <w:rPr>
                <w:rFonts w:cs="Arial"/>
              </w:rPr>
            </w:pPr>
            <w:r>
              <w:rPr>
                <w:rFonts w:cs="Arial"/>
              </w:rPr>
              <w:t>Cl 46</w:t>
            </w:r>
          </w:p>
          <w:p w14:paraId="7C29DADB" w14:textId="40D66720" w:rsidR="009D77EC" w:rsidRPr="001C5161" w:rsidRDefault="009D77EC" w:rsidP="00DB115C">
            <w:pPr>
              <w:spacing w:after="120"/>
              <w:rPr>
                <w:rFonts w:cs="Arial"/>
              </w:rPr>
            </w:pPr>
            <w:r>
              <w:rPr>
                <w:rFonts w:cs="Arial"/>
              </w:rPr>
              <w:t>Providing accommodation</w:t>
            </w:r>
          </w:p>
        </w:tc>
        <w:tc>
          <w:tcPr>
            <w:tcW w:w="5380" w:type="dxa"/>
          </w:tcPr>
          <w:p w14:paraId="66DEF687" w14:textId="77777777" w:rsidR="00677FC5" w:rsidRDefault="009D77EC" w:rsidP="00DB115C">
            <w:pPr>
              <w:spacing w:after="120"/>
              <w:rPr>
                <w:rStyle w:val="ui-provider"/>
              </w:rPr>
            </w:pPr>
            <w:r>
              <w:rPr>
                <w:rFonts w:cs="Arial"/>
              </w:rPr>
              <w:t>There is a risk that this heading may lead to a</w:t>
            </w:r>
            <w:r w:rsidR="005803CC">
              <w:rPr>
                <w:rFonts w:cs="Arial"/>
              </w:rPr>
              <w:t>n unintentional</w:t>
            </w:r>
            <w:r>
              <w:rPr>
                <w:rFonts w:cs="Arial"/>
              </w:rPr>
              <w:t xml:space="preserve"> narrowing of the area of accommodation. </w:t>
            </w:r>
            <w:r w:rsidR="00E05E2E">
              <w:rPr>
                <w:rFonts w:cs="Arial"/>
              </w:rPr>
              <w:t xml:space="preserve">The </w:t>
            </w:r>
            <w:r w:rsidR="00677FC5">
              <w:rPr>
                <w:rFonts w:cs="Arial"/>
              </w:rPr>
              <w:t>clause</w:t>
            </w:r>
            <w:r w:rsidR="00E05E2E">
              <w:rPr>
                <w:rFonts w:cs="Arial"/>
              </w:rPr>
              <w:t xml:space="preserve"> merges two previous provisions </w:t>
            </w:r>
            <w:r w:rsidR="00811FA1">
              <w:rPr>
                <w:rFonts w:cs="Arial"/>
              </w:rPr>
              <w:t xml:space="preserve">entitled </w:t>
            </w:r>
            <w:r w:rsidR="00811FA1">
              <w:rPr>
                <w:rStyle w:val="ui-provider"/>
              </w:rPr>
              <w:t xml:space="preserve">'Discrimination in the pre-accommodation area' and 'Discrimination in the accommodation area' (sections 82-83). </w:t>
            </w:r>
          </w:p>
          <w:p w14:paraId="34C02312" w14:textId="75DF0941" w:rsidR="005803CC" w:rsidRDefault="00811FA1" w:rsidP="00DB115C">
            <w:pPr>
              <w:spacing w:after="120"/>
              <w:rPr>
                <w:rStyle w:val="ui-provider"/>
              </w:rPr>
            </w:pPr>
            <w:r>
              <w:rPr>
                <w:rStyle w:val="ui-provider"/>
              </w:rPr>
              <w:t>Th</w:t>
            </w:r>
            <w:r w:rsidR="00445165">
              <w:rPr>
                <w:rStyle w:val="ui-provider"/>
              </w:rPr>
              <w:t xml:space="preserve">e accommodation area does not necessarily only apply to </w:t>
            </w:r>
            <w:r w:rsidR="005C3458">
              <w:rPr>
                <w:rStyle w:val="ui-provider"/>
              </w:rPr>
              <w:t xml:space="preserve">accommodation </w:t>
            </w:r>
            <w:r w:rsidR="00445165">
              <w:rPr>
                <w:rStyle w:val="ui-provider"/>
              </w:rPr>
              <w:t>‘</w:t>
            </w:r>
            <w:proofErr w:type="gramStart"/>
            <w:r w:rsidR="00445165">
              <w:rPr>
                <w:rStyle w:val="ui-provider"/>
              </w:rPr>
              <w:t>providers’</w:t>
            </w:r>
            <w:proofErr w:type="gramEnd"/>
            <w:r w:rsidR="005803CC">
              <w:rPr>
                <w:rStyle w:val="ui-provider"/>
              </w:rPr>
              <w:t>.</w:t>
            </w:r>
          </w:p>
          <w:p w14:paraId="312778E0" w14:textId="6CC15619" w:rsidR="0056787A" w:rsidRDefault="005803CC" w:rsidP="00DB115C">
            <w:pPr>
              <w:spacing w:after="120"/>
              <w:rPr>
                <w:rStyle w:val="ui-provider"/>
              </w:rPr>
            </w:pPr>
            <w:r>
              <w:rPr>
                <w:rStyle w:val="ui-provider"/>
              </w:rPr>
              <w:t xml:space="preserve">In </w:t>
            </w:r>
            <w:r w:rsidR="00E23ACB">
              <w:rPr>
                <w:rStyle w:val="ui-provider"/>
              </w:rPr>
              <w:t xml:space="preserve">clause </w:t>
            </w:r>
            <w:r>
              <w:rPr>
                <w:rStyle w:val="ui-provider"/>
              </w:rPr>
              <w:t>46(2) a person may be liable for ‘subjecting the person to any other detriment in connection with the accommodation’</w:t>
            </w:r>
            <w:r w:rsidR="000552E0">
              <w:rPr>
                <w:rStyle w:val="ui-provider"/>
              </w:rPr>
              <w:t>.</w:t>
            </w:r>
            <w:r w:rsidR="00445165">
              <w:rPr>
                <w:rStyle w:val="ui-provider"/>
              </w:rPr>
              <w:t xml:space="preserve"> For instance, it may include a body corporate responsible </w:t>
            </w:r>
            <w:r w:rsidR="005C3458">
              <w:rPr>
                <w:rStyle w:val="ui-provider"/>
              </w:rPr>
              <w:t>for ensuring</w:t>
            </w:r>
            <w:r w:rsidR="00445165">
              <w:rPr>
                <w:rStyle w:val="ui-provider"/>
              </w:rPr>
              <w:t xml:space="preserve"> that a property is accessible for a person with a disability.</w:t>
            </w:r>
            <w:r w:rsidR="00A7506E">
              <w:rPr>
                <w:rStyle w:val="ui-provider"/>
              </w:rPr>
              <w:t xml:space="preserve"> </w:t>
            </w:r>
            <w:proofErr w:type="gramStart"/>
            <w:r w:rsidR="00A7506E">
              <w:rPr>
                <w:rStyle w:val="ui-provider"/>
              </w:rPr>
              <w:t>E.g.</w:t>
            </w:r>
            <w:proofErr w:type="gramEnd"/>
            <w:r w:rsidR="00A7506E">
              <w:rPr>
                <w:rStyle w:val="ui-provider"/>
              </w:rPr>
              <w:t xml:space="preserve"> </w:t>
            </w:r>
            <w:r w:rsidR="00A7506E" w:rsidRPr="00A7506E">
              <w:rPr>
                <w:rStyle w:val="ui-provider"/>
              </w:rPr>
              <w:t>C v A [2005] QADT 14</w:t>
            </w:r>
            <w:r w:rsidR="0035053F">
              <w:rPr>
                <w:rStyle w:val="ui-provider"/>
              </w:rPr>
              <w:t>.</w:t>
            </w:r>
          </w:p>
          <w:p w14:paraId="6CBE04BC" w14:textId="7BD03FC9" w:rsidR="000552E0" w:rsidRPr="001C5161" w:rsidRDefault="000552E0" w:rsidP="00DB115C">
            <w:pPr>
              <w:spacing w:after="120"/>
              <w:rPr>
                <w:rFonts w:cs="Arial"/>
              </w:rPr>
            </w:pPr>
            <w:r>
              <w:t xml:space="preserve">Including the word ‘providing’ </w:t>
            </w:r>
            <w:r w:rsidR="00C63346">
              <w:t xml:space="preserve">in the title of clause 46 </w:t>
            </w:r>
            <w:r>
              <w:t>is likely to cause confusion and may lead to an incorrect interpretation</w:t>
            </w:r>
            <w:r w:rsidR="00C470FB">
              <w:t>, limiting the effectiveness of the Act</w:t>
            </w:r>
            <w:r>
              <w:t>.</w:t>
            </w:r>
          </w:p>
        </w:tc>
        <w:tc>
          <w:tcPr>
            <w:tcW w:w="6952" w:type="dxa"/>
          </w:tcPr>
          <w:p w14:paraId="50C87FD4" w14:textId="7767C750" w:rsidR="0056787A" w:rsidRPr="001C5161" w:rsidRDefault="00445165" w:rsidP="00DB115C">
            <w:pPr>
              <w:spacing w:after="120"/>
              <w:rPr>
                <w:rFonts w:cs="Arial"/>
              </w:rPr>
            </w:pPr>
            <w:r>
              <w:rPr>
                <w:rFonts w:cs="Arial"/>
              </w:rPr>
              <w:t>Change</w:t>
            </w:r>
            <w:r w:rsidRPr="5C73A9CA">
              <w:rPr>
                <w:rFonts w:cs="Arial"/>
              </w:rPr>
              <w:t xml:space="preserve"> this heading to </w:t>
            </w:r>
            <w:r w:rsidRPr="00316A5E">
              <w:rPr>
                <w:rFonts w:cs="Arial"/>
                <w:i/>
                <w:iCs/>
              </w:rPr>
              <w:t>Accommodation – general</w:t>
            </w:r>
            <w:r w:rsidRPr="5C73A9CA">
              <w:rPr>
                <w:rFonts w:cs="Arial"/>
              </w:rPr>
              <w:t>, or something similar.</w:t>
            </w:r>
          </w:p>
        </w:tc>
      </w:tr>
    </w:tbl>
    <w:p w14:paraId="087F1211" w14:textId="77777777" w:rsidR="00006F99" w:rsidRDefault="00006F99">
      <w:pPr>
        <w:rPr>
          <w:rFonts w:eastAsiaTheme="majorEastAsia" w:cs="Arial"/>
          <w:color w:val="347B9F"/>
          <w:sz w:val="48"/>
          <w:szCs w:val="48"/>
        </w:rPr>
      </w:pPr>
      <w:r>
        <w:rPr>
          <w:rFonts w:cs="Arial"/>
        </w:rPr>
        <w:br w:type="page"/>
      </w:r>
    </w:p>
    <w:p w14:paraId="57817417" w14:textId="47865BDD" w:rsidR="000C7E75" w:rsidRPr="001C5161" w:rsidRDefault="000C7E75" w:rsidP="000F0CFA">
      <w:pPr>
        <w:pStyle w:val="Heading1"/>
        <w:rPr>
          <w:rFonts w:cs="Arial"/>
        </w:rPr>
      </w:pPr>
      <w:r w:rsidRPr="001C5161">
        <w:rPr>
          <w:rFonts w:cs="Arial"/>
        </w:rPr>
        <w:lastRenderedPageBreak/>
        <w:t>Annexure E: Lawful discrimination – exceptions and exemptions</w:t>
      </w:r>
    </w:p>
    <w:tbl>
      <w:tblPr>
        <w:tblStyle w:val="TableGrid"/>
        <w:tblpPr w:leftFromText="180" w:rightFromText="180" w:vertAnchor="text" w:horzAnchor="margin" w:tblpX="-10" w:tblpY="215"/>
        <w:tblW w:w="14464" w:type="dxa"/>
        <w:tblLook w:val="04A0" w:firstRow="1" w:lastRow="0" w:firstColumn="1" w:lastColumn="0" w:noHBand="0" w:noVBand="1"/>
      </w:tblPr>
      <w:tblGrid>
        <w:gridCol w:w="2132"/>
        <w:gridCol w:w="5380"/>
        <w:gridCol w:w="6952"/>
      </w:tblGrid>
      <w:tr w:rsidR="000C7E75" w:rsidRPr="001C5161" w14:paraId="0F08CD78" w14:textId="77777777" w:rsidTr="13DB787C">
        <w:tc>
          <w:tcPr>
            <w:tcW w:w="2132" w:type="dxa"/>
          </w:tcPr>
          <w:p w14:paraId="26E0BAB8" w14:textId="56D15F50" w:rsidR="000C7E75" w:rsidRPr="001860B3" w:rsidRDefault="000C7E75" w:rsidP="001860B3">
            <w:pPr>
              <w:spacing w:after="120"/>
              <w:rPr>
                <w:rFonts w:cs="Arial"/>
                <w:sz w:val="22"/>
                <w:szCs w:val="22"/>
              </w:rPr>
            </w:pPr>
            <w:r w:rsidRPr="001860B3">
              <w:rPr>
                <w:rFonts w:cs="Arial"/>
                <w:b/>
                <w:bCs/>
                <w:color w:val="000000" w:themeColor="text1"/>
                <w:sz w:val="22"/>
                <w:szCs w:val="22"/>
              </w:rPr>
              <w:t>Clause</w:t>
            </w:r>
          </w:p>
        </w:tc>
        <w:tc>
          <w:tcPr>
            <w:tcW w:w="5380" w:type="dxa"/>
          </w:tcPr>
          <w:p w14:paraId="1667E5E2" w14:textId="41BF01BF" w:rsidR="000C7E75" w:rsidRPr="001860B3" w:rsidRDefault="000C7E75" w:rsidP="001860B3">
            <w:pPr>
              <w:spacing w:after="120"/>
              <w:rPr>
                <w:rFonts w:cs="Arial"/>
                <w:sz w:val="22"/>
                <w:szCs w:val="22"/>
              </w:rPr>
            </w:pPr>
            <w:r w:rsidRPr="001860B3">
              <w:rPr>
                <w:rFonts w:cs="Arial"/>
                <w:b/>
                <w:bCs/>
                <w:color w:val="000000" w:themeColor="text1"/>
                <w:sz w:val="22"/>
                <w:szCs w:val="22"/>
              </w:rPr>
              <w:t>Issues</w:t>
            </w:r>
          </w:p>
        </w:tc>
        <w:tc>
          <w:tcPr>
            <w:tcW w:w="6952" w:type="dxa"/>
          </w:tcPr>
          <w:p w14:paraId="2AEADC0E" w14:textId="00A95994" w:rsidR="000C7E75" w:rsidRPr="001860B3" w:rsidRDefault="000C7E75" w:rsidP="001860B3">
            <w:pPr>
              <w:spacing w:after="120"/>
              <w:rPr>
                <w:rFonts w:cs="Arial"/>
                <w:sz w:val="22"/>
                <w:szCs w:val="22"/>
              </w:rPr>
            </w:pPr>
            <w:r w:rsidRPr="001860B3">
              <w:rPr>
                <w:rFonts w:cs="Arial"/>
                <w:b/>
                <w:bCs/>
                <w:color w:val="000000" w:themeColor="text1"/>
                <w:sz w:val="22"/>
                <w:szCs w:val="22"/>
              </w:rPr>
              <w:t xml:space="preserve">Recommended </w:t>
            </w:r>
            <w:r w:rsidR="00830E44" w:rsidRPr="001860B3">
              <w:rPr>
                <w:rFonts w:cs="Arial"/>
                <w:b/>
                <w:bCs/>
                <w:color w:val="000000" w:themeColor="text1"/>
                <w:sz w:val="22"/>
                <w:szCs w:val="22"/>
              </w:rPr>
              <w:t>changes</w:t>
            </w:r>
          </w:p>
        </w:tc>
      </w:tr>
      <w:tr w:rsidR="0024721B" w:rsidRPr="001C5161" w14:paraId="074F004D" w14:textId="77777777" w:rsidTr="13DB787C">
        <w:tc>
          <w:tcPr>
            <w:tcW w:w="2132" w:type="dxa"/>
          </w:tcPr>
          <w:p w14:paraId="4CBC12A7" w14:textId="2A593B10" w:rsidR="00BD1834" w:rsidRDefault="00BD1834" w:rsidP="001860B3">
            <w:pPr>
              <w:spacing w:after="120"/>
              <w:rPr>
                <w:rFonts w:cs="Arial"/>
              </w:rPr>
            </w:pPr>
            <w:r>
              <w:rPr>
                <w:rFonts w:cs="Arial"/>
              </w:rPr>
              <w:t>Cl 21(2) and (5)</w:t>
            </w:r>
          </w:p>
          <w:p w14:paraId="073BBB7D" w14:textId="1704DFFF" w:rsidR="00BD1834" w:rsidRPr="5C73A9CA" w:rsidRDefault="0012648F" w:rsidP="001860B3">
            <w:pPr>
              <w:spacing w:after="120"/>
              <w:rPr>
                <w:rFonts w:cs="Arial"/>
              </w:rPr>
            </w:pPr>
            <w:r>
              <w:rPr>
                <w:rFonts w:cs="Arial"/>
              </w:rPr>
              <w:t>When is discrimination lawful discrimination</w:t>
            </w:r>
          </w:p>
        </w:tc>
        <w:tc>
          <w:tcPr>
            <w:tcW w:w="5380" w:type="dxa"/>
          </w:tcPr>
          <w:p w14:paraId="19946AC7" w14:textId="01B0D1BA" w:rsidR="0024721B" w:rsidRPr="5C73A9CA" w:rsidRDefault="00BD1834" w:rsidP="001860B3">
            <w:pPr>
              <w:spacing w:after="120"/>
              <w:rPr>
                <w:rFonts w:cs="Arial"/>
              </w:rPr>
            </w:pPr>
            <w:r>
              <w:rPr>
                <w:rFonts w:cs="Arial"/>
              </w:rPr>
              <w:t>Renaming ‘exemption’ to ‘tribunal exemption’ may create better clarity and assist understanding for those reading the legislation.</w:t>
            </w:r>
          </w:p>
        </w:tc>
        <w:tc>
          <w:tcPr>
            <w:tcW w:w="6952" w:type="dxa"/>
          </w:tcPr>
          <w:p w14:paraId="6D99CACA" w14:textId="77777777" w:rsidR="0024721B" w:rsidRDefault="0024721B" w:rsidP="001860B3">
            <w:pPr>
              <w:spacing w:after="120"/>
              <w:rPr>
                <w:rFonts w:cs="Arial"/>
              </w:rPr>
            </w:pPr>
            <w:r w:rsidRPr="0024721B">
              <w:rPr>
                <w:rFonts w:cs="Arial"/>
              </w:rPr>
              <w:t>Amend clause 21(2)(b) to read</w:t>
            </w:r>
            <w:r>
              <w:rPr>
                <w:rFonts w:cs="Arial"/>
              </w:rPr>
              <w:t>:</w:t>
            </w:r>
          </w:p>
          <w:p w14:paraId="28863087" w14:textId="77777777" w:rsidR="0024721B" w:rsidRDefault="0024721B" w:rsidP="001860B3">
            <w:pPr>
              <w:spacing w:after="120"/>
              <w:ind w:left="720"/>
              <w:rPr>
                <w:rFonts w:cs="Arial"/>
              </w:rPr>
            </w:pPr>
            <w:r w:rsidRPr="0024721B">
              <w:rPr>
                <w:rFonts w:cs="Arial"/>
              </w:rPr>
              <w:t xml:space="preserve">a </w:t>
            </w:r>
            <w:r w:rsidRPr="001860B3">
              <w:rPr>
                <w:rFonts w:cs="Arial"/>
                <w:color w:val="347B9F"/>
              </w:rPr>
              <w:t>tribunal</w:t>
            </w:r>
            <w:r w:rsidRPr="0024721B">
              <w:rPr>
                <w:rFonts w:cs="Arial"/>
                <w:color w:val="0F4761" w:themeColor="accent1" w:themeShade="BF"/>
              </w:rPr>
              <w:t xml:space="preserve"> </w:t>
            </w:r>
            <w:r w:rsidRPr="0024721B">
              <w:rPr>
                <w:rFonts w:cs="Arial"/>
              </w:rPr>
              <w:t>exemption applies in relation to the discrimination.</w:t>
            </w:r>
          </w:p>
          <w:p w14:paraId="6DD108E4" w14:textId="23973294" w:rsidR="00BE4290" w:rsidRPr="005A2B43" w:rsidRDefault="00BE4290" w:rsidP="001860B3">
            <w:pPr>
              <w:spacing w:after="120"/>
              <w:rPr>
                <w:rFonts w:cs="Arial"/>
              </w:rPr>
            </w:pPr>
            <w:r>
              <w:rPr>
                <w:rFonts w:cs="Arial"/>
              </w:rPr>
              <w:t>Amend clause 21(5) to refer to tribunal exemption rather than exemption, accordingly.</w:t>
            </w:r>
          </w:p>
        </w:tc>
      </w:tr>
      <w:tr w:rsidR="000C7E75" w:rsidRPr="001C5161" w14:paraId="7BFFA435" w14:textId="77777777" w:rsidTr="00CB1A14">
        <w:tc>
          <w:tcPr>
            <w:tcW w:w="2132" w:type="dxa"/>
            <w:tcBorders>
              <w:bottom w:val="single" w:sz="4" w:space="0" w:color="auto"/>
            </w:tcBorders>
          </w:tcPr>
          <w:p w14:paraId="69FE1968" w14:textId="77777777" w:rsidR="000C7E75" w:rsidRPr="001C5161" w:rsidRDefault="001B207E" w:rsidP="001860B3">
            <w:pPr>
              <w:spacing w:after="120"/>
              <w:rPr>
                <w:rFonts w:cs="Arial"/>
              </w:rPr>
            </w:pPr>
            <w:r w:rsidRPr="5C73A9CA">
              <w:rPr>
                <w:rFonts w:cs="Arial"/>
              </w:rPr>
              <w:t>Cl 28</w:t>
            </w:r>
          </w:p>
          <w:p w14:paraId="5FBF39E7" w14:textId="329E2BC6" w:rsidR="001B207E" w:rsidRPr="001C5161" w:rsidRDefault="001B207E" w:rsidP="001860B3">
            <w:pPr>
              <w:spacing w:after="120"/>
              <w:rPr>
                <w:rFonts w:cs="Arial"/>
              </w:rPr>
            </w:pPr>
            <w:r w:rsidRPr="5C73A9CA">
              <w:rPr>
                <w:rFonts w:cs="Arial"/>
              </w:rPr>
              <w:t>Genuine occupational requirements – generally</w:t>
            </w:r>
          </w:p>
        </w:tc>
        <w:tc>
          <w:tcPr>
            <w:tcW w:w="5380" w:type="dxa"/>
            <w:tcBorders>
              <w:bottom w:val="single" w:sz="4" w:space="0" w:color="auto"/>
            </w:tcBorders>
          </w:tcPr>
          <w:p w14:paraId="00012400" w14:textId="677A31C8" w:rsidR="000C7E75" w:rsidRPr="001C5161" w:rsidRDefault="20311841" w:rsidP="001860B3">
            <w:pPr>
              <w:spacing w:after="120"/>
              <w:rPr>
                <w:rFonts w:cs="Arial"/>
              </w:rPr>
            </w:pPr>
            <w:r w:rsidRPr="15CC22D8">
              <w:rPr>
                <w:rFonts w:cs="Arial"/>
              </w:rPr>
              <w:t>E</w:t>
            </w:r>
            <w:r w:rsidR="1A01407B" w:rsidRPr="15CC22D8">
              <w:rPr>
                <w:rFonts w:cs="Arial"/>
              </w:rPr>
              <w:t>xample</w:t>
            </w:r>
            <w:r w:rsidRPr="15CC22D8">
              <w:rPr>
                <w:rFonts w:cs="Arial"/>
              </w:rPr>
              <w:t>s appear to be</w:t>
            </w:r>
            <w:r w:rsidR="1A01407B" w:rsidRPr="15CC22D8">
              <w:rPr>
                <w:rFonts w:cs="Arial"/>
              </w:rPr>
              <w:t xml:space="preserve"> broader than</w:t>
            </w:r>
            <w:r w:rsidR="5A4415D3" w:rsidRPr="15CC22D8">
              <w:rPr>
                <w:rFonts w:cs="Arial"/>
              </w:rPr>
              <w:t xml:space="preserve"> current Queensland case law</w:t>
            </w:r>
            <w:r w:rsidR="17757C94" w:rsidRPr="15CC22D8">
              <w:rPr>
                <w:rFonts w:cs="Arial"/>
              </w:rPr>
              <w:t xml:space="preserve"> </w:t>
            </w:r>
            <w:proofErr w:type="gramStart"/>
            <w:r w:rsidR="17757C94" w:rsidRPr="15CC22D8">
              <w:rPr>
                <w:rFonts w:cs="Arial"/>
              </w:rPr>
              <w:t>e.g.</w:t>
            </w:r>
            <w:proofErr w:type="gramEnd"/>
            <w:r w:rsidR="17757C94" w:rsidRPr="15CC22D8">
              <w:rPr>
                <w:rFonts w:cs="Arial"/>
              </w:rPr>
              <w:t xml:space="preserve"> </w:t>
            </w:r>
            <w:proofErr w:type="spellStart"/>
            <w:r w:rsidR="17757C94" w:rsidRPr="15CC22D8">
              <w:rPr>
                <w:rFonts w:cs="Arial"/>
                <w:i/>
                <w:iCs/>
              </w:rPr>
              <w:t>Chivers</w:t>
            </w:r>
            <w:proofErr w:type="spellEnd"/>
            <w:r w:rsidR="17757C94" w:rsidRPr="15CC22D8">
              <w:rPr>
                <w:rFonts w:cs="Arial"/>
                <w:i/>
                <w:iCs/>
              </w:rPr>
              <w:t xml:space="preserve"> v State of Queensland [2014] QCA 141</w:t>
            </w:r>
            <w:r w:rsidR="17757C94" w:rsidRPr="15CC22D8">
              <w:rPr>
                <w:rFonts w:cs="Arial"/>
              </w:rPr>
              <w:t xml:space="preserve"> 101; </w:t>
            </w:r>
            <w:r w:rsidR="17757C94" w:rsidRPr="15CC22D8">
              <w:rPr>
                <w:rFonts w:cs="Arial"/>
                <w:i/>
                <w:iCs/>
              </w:rPr>
              <w:t xml:space="preserve">Toganivalu v Brown &amp; Department of Corrective Services [2006] QADT 13 </w:t>
            </w:r>
            <w:r w:rsidR="17757C94" w:rsidRPr="15CC22D8">
              <w:rPr>
                <w:rFonts w:cs="Arial"/>
              </w:rPr>
              <w:t>(Member Mullins) [101]</w:t>
            </w:r>
          </w:p>
          <w:p w14:paraId="08008B64" w14:textId="77777777" w:rsidR="003C1FB7" w:rsidRPr="001C5161" w:rsidRDefault="003C1FB7" w:rsidP="001860B3">
            <w:pPr>
              <w:spacing w:after="120"/>
              <w:rPr>
                <w:rFonts w:cs="Arial"/>
              </w:rPr>
            </w:pPr>
          </w:p>
          <w:p w14:paraId="461D2D6E" w14:textId="46CED650" w:rsidR="003C1FB7" w:rsidRPr="001C5161" w:rsidRDefault="003C1FB7" w:rsidP="001860B3">
            <w:pPr>
              <w:spacing w:after="120"/>
              <w:rPr>
                <w:rFonts w:cs="Arial"/>
                <w:i/>
                <w:iCs/>
              </w:rPr>
            </w:pPr>
          </w:p>
        </w:tc>
        <w:tc>
          <w:tcPr>
            <w:tcW w:w="6952" w:type="dxa"/>
            <w:tcBorders>
              <w:bottom w:val="nil"/>
            </w:tcBorders>
          </w:tcPr>
          <w:p w14:paraId="671A7C26" w14:textId="77777777" w:rsidR="005A2B43" w:rsidRPr="005A2B43" w:rsidRDefault="005A2B43" w:rsidP="001860B3">
            <w:pPr>
              <w:spacing w:after="120"/>
              <w:rPr>
                <w:rFonts w:cs="Arial"/>
              </w:rPr>
            </w:pPr>
            <w:r w:rsidRPr="005A2B43">
              <w:rPr>
                <w:rFonts w:cs="Arial"/>
              </w:rPr>
              <w:t>Consider amending examples as follows:</w:t>
            </w:r>
          </w:p>
          <w:p w14:paraId="1D21FFE8" w14:textId="44092974" w:rsidR="00DA5459" w:rsidRPr="001C5161" w:rsidRDefault="00DA5459" w:rsidP="001860B3">
            <w:pPr>
              <w:spacing w:after="120"/>
              <w:rPr>
                <w:rFonts w:cs="Arial"/>
              </w:rPr>
            </w:pPr>
            <w:r w:rsidRPr="5C73A9CA">
              <w:rPr>
                <w:rFonts w:cs="Arial"/>
              </w:rPr>
              <w:t>Remove the example regarding membership of a particular political party.</w:t>
            </w:r>
          </w:p>
          <w:p w14:paraId="170FF1AE" w14:textId="52A47C47" w:rsidR="00063B88" w:rsidRPr="001C5161" w:rsidRDefault="00063B88" w:rsidP="001860B3">
            <w:pPr>
              <w:spacing w:after="120"/>
              <w:rPr>
                <w:rFonts w:cs="Arial"/>
              </w:rPr>
            </w:pPr>
            <w:r w:rsidRPr="5C73A9CA">
              <w:rPr>
                <w:rFonts w:cs="Arial"/>
              </w:rPr>
              <w:t xml:space="preserve">Amend the example the peer support position </w:t>
            </w:r>
            <w:r w:rsidR="0073006E" w:rsidRPr="5C73A9CA">
              <w:rPr>
                <w:rFonts w:cs="Arial"/>
              </w:rPr>
              <w:t xml:space="preserve">to read </w:t>
            </w:r>
            <w:r w:rsidRPr="5C73A9CA">
              <w:rPr>
                <w:rFonts w:cs="Arial"/>
              </w:rPr>
              <w:t>as follows:</w:t>
            </w:r>
          </w:p>
          <w:p w14:paraId="7A6580EF" w14:textId="3075A314" w:rsidR="00DA5459" w:rsidRPr="005A2B43" w:rsidRDefault="00074008" w:rsidP="002F7D93">
            <w:pPr>
              <w:spacing w:after="120"/>
              <w:ind w:left="720"/>
              <w:rPr>
                <w:rFonts w:cs="Arial"/>
                <w:i/>
                <w:iCs/>
              </w:rPr>
            </w:pPr>
            <w:r w:rsidRPr="5C73A9CA">
              <w:rPr>
                <w:rFonts w:cs="Arial"/>
                <w:i/>
                <w:iCs/>
              </w:rPr>
              <w:t>U</w:t>
            </w:r>
            <w:r w:rsidR="00DA5459" w:rsidRPr="005A2B43">
              <w:rPr>
                <w:rFonts w:cs="Arial"/>
                <w:i/>
                <w:iCs/>
              </w:rPr>
              <w:t>sing age as a criterion</w:t>
            </w:r>
            <w:r w:rsidR="0073006E" w:rsidRPr="5C73A9CA">
              <w:rPr>
                <w:rFonts w:cs="Arial"/>
                <w:i/>
                <w:iCs/>
              </w:rPr>
              <w:t xml:space="preserve"> </w:t>
            </w:r>
            <w:r w:rsidR="00DA5459" w:rsidRPr="005A2B43">
              <w:rPr>
                <w:rFonts w:cs="Arial"/>
                <w:i/>
                <w:iCs/>
              </w:rPr>
              <w:t>for a peer support position in a service for children and young people</w:t>
            </w:r>
          </w:p>
          <w:p w14:paraId="7687933E" w14:textId="5E601772" w:rsidR="0073006E" w:rsidRPr="001C5161" w:rsidRDefault="0073006E" w:rsidP="001860B3">
            <w:pPr>
              <w:spacing w:after="120"/>
              <w:rPr>
                <w:rFonts w:cs="Arial"/>
              </w:rPr>
            </w:pPr>
            <w:r w:rsidRPr="5C73A9CA">
              <w:rPr>
                <w:rFonts w:cs="Arial"/>
              </w:rPr>
              <w:t xml:space="preserve">Reinstate a current example from the </w:t>
            </w:r>
            <w:r w:rsidR="00350B83" w:rsidRPr="5C73A9CA">
              <w:rPr>
                <w:rFonts w:cs="Arial"/>
              </w:rPr>
              <w:t>Anti-Discrimination Act</w:t>
            </w:r>
            <w:r w:rsidRPr="5C73A9CA">
              <w:rPr>
                <w:rFonts w:cs="Arial"/>
              </w:rPr>
              <w:t xml:space="preserve"> (slightly updated):</w:t>
            </w:r>
          </w:p>
          <w:p w14:paraId="6864BEFB" w14:textId="38F79620" w:rsidR="000C7E75" w:rsidRPr="001C5161" w:rsidRDefault="005A2B43" w:rsidP="00507A6C">
            <w:pPr>
              <w:spacing w:after="120"/>
              <w:ind w:left="720"/>
              <w:rPr>
                <w:rFonts w:cs="Arial"/>
              </w:rPr>
            </w:pPr>
            <w:r w:rsidRPr="005A2B43">
              <w:rPr>
                <w:rFonts w:cs="Arial"/>
                <w:i/>
                <w:iCs/>
              </w:rPr>
              <w:t xml:space="preserve">Selecting an actor for a dramatic performance </w:t>
            </w:r>
            <w:proofErr w:type="gramStart"/>
            <w:r w:rsidRPr="005A2B43">
              <w:rPr>
                <w:rFonts w:cs="Arial"/>
                <w:i/>
                <w:iCs/>
              </w:rPr>
              <w:t>on the basis of</w:t>
            </w:r>
            <w:proofErr w:type="gramEnd"/>
            <w:r w:rsidRPr="005A2B43">
              <w:rPr>
                <w:rFonts w:cs="Arial"/>
                <w:i/>
                <w:iCs/>
              </w:rPr>
              <w:t xml:space="preserve"> age, race or sex for reasons of authenticity, aesthetics, or </w:t>
            </w:r>
            <w:r w:rsidR="00350B83" w:rsidRPr="5C73A9CA">
              <w:rPr>
                <w:rFonts w:cs="Arial"/>
                <w:i/>
                <w:iCs/>
              </w:rPr>
              <w:t>tradition.</w:t>
            </w:r>
          </w:p>
        </w:tc>
      </w:tr>
      <w:tr w:rsidR="0038022E" w:rsidRPr="001860B3" w14:paraId="73D4D374" w14:textId="77777777" w:rsidTr="00CB1A14">
        <w:tc>
          <w:tcPr>
            <w:tcW w:w="2132" w:type="dxa"/>
            <w:tcBorders>
              <w:bottom w:val="single" w:sz="4" w:space="0" w:color="auto"/>
            </w:tcBorders>
          </w:tcPr>
          <w:p w14:paraId="3579AF15" w14:textId="77777777" w:rsidR="00D67847" w:rsidRPr="001860B3" w:rsidRDefault="00D67847" w:rsidP="001860B3">
            <w:pPr>
              <w:spacing w:after="120"/>
              <w:rPr>
                <w:rFonts w:cs="Arial"/>
              </w:rPr>
            </w:pPr>
            <w:r w:rsidRPr="001860B3">
              <w:rPr>
                <w:rFonts w:cs="Arial"/>
              </w:rPr>
              <w:t>Cl 28(3)</w:t>
            </w:r>
          </w:p>
          <w:p w14:paraId="5F269366" w14:textId="183E77F2" w:rsidR="0038022E" w:rsidRPr="001860B3" w:rsidRDefault="00D67847" w:rsidP="001860B3">
            <w:pPr>
              <w:spacing w:after="120"/>
              <w:rPr>
                <w:rFonts w:cs="Arial"/>
              </w:rPr>
            </w:pPr>
            <w:r w:rsidRPr="001860B3">
              <w:rPr>
                <w:rFonts w:cs="Arial"/>
              </w:rPr>
              <w:t>As above</w:t>
            </w:r>
          </w:p>
        </w:tc>
        <w:tc>
          <w:tcPr>
            <w:tcW w:w="5380" w:type="dxa"/>
            <w:tcBorders>
              <w:bottom w:val="single" w:sz="4" w:space="0" w:color="auto"/>
            </w:tcBorders>
          </w:tcPr>
          <w:p w14:paraId="65F1A624" w14:textId="6CA0BFF8" w:rsidR="0038022E" w:rsidRPr="001860B3" w:rsidRDefault="00D67847" w:rsidP="001860B3">
            <w:pPr>
              <w:spacing w:after="120"/>
              <w:rPr>
                <w:rFonts w:cs="Arial"/>
              </w:rPr>
            </w:pPr>
            <w:r w:rsidRPr="001860B3">
              <w:rPr>
                <w:rFonts w:cs="Arial"/>
              </w:rPr>
              <w:t>Interaction between cl 28 and cl 29 through the operation of cl 28(3) is unclear and may lead to broader reading of cl 28 than intended. Clause 29 is broad enough to cover all situations where religious belief or religious activity is a genuine occupational requirement.</w:t>
            </w:r>
          </w:p>
        </w:tc>
        <w:tc>
          <w:tcPr>
            <w:tcW w:w="6952" w:type="dxa"/>
            <w:tcBorders>
              <w:bottom w:val="nil"/>
            </w:tcBorders>
          </w:tcPr>
          <w:p w14:paraId="027F971D" w14:textId="28EAC174" w:rsidR="00796336" w:rsidRPr="001860B3" w:rsidRDefault="00934CD0" w:rsidP="001860B3">
            <w:pPr>
              <w:spacing w:after="120"/>
              <w:rPr>
                <w:rFonts w:cs="Arial"/>
              </w:rPr>
            </w:pPr>
            <w:r w:rsidRPr="001860B3">
              <w:rPr>
                <w:rFonts w:cs="Arial"/>
              </w:rPr>
              <w:t>Amend cl 28(3) to read</w:t>
            </w:r>
            <w:r w:rsidR="00796336" w:rsidRPr="001860B3">
              <w:rPr>
                <w:rFonts w:cs="Arial"/>
              </w:rPr>
              <w:t xml:space="preserve">: </w:t>
            </w:r>
            <w:r w:rsidR="00D67847" w:rsidRPr="001860B3">
              <w:rPr>
                <w:rFonts w:cs="Arial"/>
              </w:rPr>
              <w:t xml:space="preserve">(3) This section does not apply in relation to discrimination </w:t>
            </w:r>
            <w:proofErr w:type="gramStart"/>
            <w:r w:rsidR="00D67847" w:rsidRPr="001860B3">
              <w:rPr>
                <w:rFonts w:cs="Arial"/>
              </w:rPr>
              <w:t>on the basis of</w:t>
            </w:r>
            <w:proofErr w:type="gramEnd"/>
            <w:r w:rsidR="00D67847" w:rsidRPr="001860B3">
              <w:rPr>
                <w:rFonts w:cs="Arial"/>
              </w:rPr>
              <w:t xml:space="preserve"> religious belief or religious activity. </w:t>
            </w:r>
          </w:p>
        </w:tc>
      </w:tr>
      <w:tr w:rsidR="000C7E75" w:rsidRPr="001C5161" w14:paraId="53D53279" w14:textId="77777777" w:rsidTr="002E2D37">
        <w:tc>
          <w:tcPr>
            <w:tcW w:w="2132" w:type="dxa"/>
            <w:tcBorders>
              <w:bottom w:val="nil"/>
            </w:tcBorders>
          </w:tcPr>
          <w:p w14:paraId="4AADFE28" w14:textId="77777777" w:rsidR="000C7E75" w:rsidRPr="001C5161" w:rsidRDefault="005A120E" w:rsidP="001860B3">
            <w:pPr>
              <w:spacing w:after="120"/>
              <w:rPr>
                <w:rFonts w:cs="Arial"/>
              </w:rPr>
            </w:pPr>
            <w:r w:rsidRPr="5C73A9CA">
              <w:rPr>
                <w:rFonts w:cs="Arial"/>
              </w:rPr>
              <w:t>Cl 29</w:t>
            </w:r>
          </w:p>
          <w:p w14:paraId="0ECA5BCF" w14:textId="77777777" w:rsidR="005A120E" w:rsidRPr="001860B3" w:rsidRDefault="006816D6" w:rsidP="001860B3">
            <w:pPr>
              <w:spacing w:after="120"/>
              <w:rPr>
                <w:rFonts w:cs="Arial"/>
              </w:rPr>
            </w:pPr>
            <w:r w:rsidRPr="5C73A9CA">
              <w:rPr>
                <w:rFonts w:cs="Arial"/>
              </w:rPr>
              <w:t>Genuine occupational requirements for religious bodies</w:t>
            </w:r>
          </w:p>
          <w:p w14:paraId="1A3A9871" w14:textId="77777777" w:rsidR="001637AF" w:rsidRPr="001860B3" w:rsidRDefault="001637AF" w:rsidP="001860B3">
            <w:pPr>
              <w:spacing w:after="120"/>
              <w:rPr>
                <w:rFonts w:cs="Arial"/>
              </w:rPr>
            </w:pPr>
          </w:p>
          <w:p w14:paraId="194B7D37" w14:textId="3D9075C8" w:rsidR="005A120E" w:rsidRPr="001C5161" w:rsidRDefault="005A120E" w:rsidP="001860B3">
            <w:pPr>
              <w:spacing w:after="120"/>
              <w:rPr>
                <w:rFonts w:cs="Arial"/>
              </w:rPr>
            </w:pPr>
          </w:p>
        </w:tc>
        <w:tc>
          <w:tcPr>
            <w:tcW w:w="5380" w:type="dxa"/>
            <w:tcBorders>
              <w:bottom w:val="nil"/>
            </w:tcBorders>
          </w:tcPr>
          <w:p w14:paraId="04529FC2" w14:textId="6BCA621C" w:rsidR="000C7E75" w:rsidRDefault="008B27EE" w:rsidP="001860B3">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sidR="000B2DEC">
              <w:rPr>
                <w:rFonts w:cs="Arial"/>
                <w:i/>
                <w:iCs/>
              </w:rPr>
              <w:t>Genuine occupational requirements for religious bodies</w:t>
            </w:r>
            <w:r w:rsidRPr="5C73A9CA">
              <w:rPr>
                <w:rFonts w:cs="Arial"/>
              </w:rPr>
              <w:t xml:space="preserve"> in this submission.</w:t>
            </w:r>
          </w:p>
          <w:p w14:paraId="2FB30346" w14:textId="77777777" w:rsidR="000B2DEC" w:rsidRDefault="000B2DEC" w:rsidP="001860B3">
            <w:pPr>
              <w:spacing w:after="120"/>
              <w:rPr>
                <w:rFonts w:cs="Arial"/>
              </w:rPr>
            </w:pPr>
          </w:p>
          <w:p w14:paraId="000F797B" w14:textId="30300172" w:rsidR="000B2DEC" w:rsidRPr="00E83E68" w:rsidRDefault="000B2DEC" w:rsidP="001860B3">
            <w:pPr>
              <w:spacing w:after="120"/>
              <w:rPr>
                <w:rFonts w:cs="Arial"/>
                <w:i/>
                <w:iCs/>
              </w:rPr>
            </w:pPr>
          </w:p>
        </w:tc>
        <w:tc>
          <w:tcPr>
            <w:tcW w:w="6952" w:type="dxa"/>
            <w:tcBorders>
              <w:bottom w:val="nil"/>
            </w:tcBorders>
          </w:tcPr>
          <w:p w14:paraId="24C6F8D4" w14:textId="433F294C" w:rsidR="00FC32A8" w:rsidRDefault="001C6427" w:rsidP="001860B3">
            <w:pPr>
              <w:pStyle w:val="Numberedparagraph"/>
              <w:spacing w:before="0" w:after="120" w:line="240" w:lineRule="auto"/>
            </w:pPr>
            <w:r>
              <w:t>Include an additional exception relating to selection of people for work by religious bodies as follows:</w:t>
            </w:r>
          </w:p>
          <w:p w14:paraId="72A13671" w14:textId="1A67EED8" w:rsidR="002E2D37" w:rsidRPr="00507A6C" w:rsidRDefault="00354379" w:rsidP="00507A6C">
            <w:pPr>
              <w:spacing w:after="120"/>
              <w:ind w:left="720"/>
              <w:rPr>
                <w:rFonts w:cs="Arial"/>
                <w:b/>
                <w:color w:val="347B9F"/>
              </w:rPr>
            </w:pPr>
            <w:r w:rsidRPr="001860B3">
              <w:rPr>
                <w:rFonts w:cs="Arial"/>
                <w:b/>
                <w:color w:val="347B9F"/>
              </w:rPr>
              <w:t>Religious bodies: preferencing in selection</w:t>
            </w:r>
          </w:p>
          <w:p w14:paraId="64F06983" w14:textId="77777777" w:rsidR="00354379" w:rsidRPr="001860B3" w:rsidRDefault="00354379" w:rsidP="00507A6C">
            <w:pPr>
              <w:spacing w:after="120"/>
              <w:ind w:left="720"/>
              <w:rPr>
                <w:rFonts w:cs="Arial"/>
                <w:color w:val="347B9F"/>
              </w:rPr>
            </w:pPr>
            <w:r w:rsidRPr="001860B3">
              <w:rPr>
                <w:rFonts w:cs="Arial"/>
                <w:color w:val="347B9F"/>
              </w:rPr>
              <w:t xml:space="preserve">(1) A person may discriminate </w:t>
            </w:r>
            <w:proofErr w:type="gramStart"/>
            <w:r w:rsidRPr="001860B3">
              <w:rPr>
                <w:rFonts w:cs="Arial"/>
                <w:color w:val="347B9F"/>
              </w:rPr>
              <w:t>on the basis of</w:t>
            </w:r>
            <w:proofErr w:type="gramEnd"/>
            <w:r w:rsidRPr="001860B3">
              <w:rPr>
                <w:rFonts w:cs="Arial"/>
                <w:color w:val="347B9F"/>
              </w:rPr>
              <w:t xml:space="preserve"> religious belief or religious activity in relation to a matter mentioned in section 22(1)(a), (b) or (d) by giving preference to a person of the relevant religion where—</w:t>
            </w:r>
          </w:p>
          <w:p w14:paraId="760CA91E" w14:textId="77777777" w:rsidR="00354379" w:rsidRPr="001860B3" w:rsidRDefault="00354379" w:rsidP="00507A6C">
            <w:pPr>
              <w:spacing w:after="120"/>
              <w:ind w:left="1440"/>
              <w:rPr>
                <w:rFonts w:cs="Arial"/>
                <w:color w:val="347B9F"/>
              </w:rPr>
            </w:pPr>
            <w:r w:rsidRPr="001860B3">
              <w:rPr>
                <w:rFonts w:cs="Arial"/>
                <w:color w:val="347B9F"/>
              </w:rPr>
              <w:t xml:space="preserve">(a)  the work is for a religious </w:t>
            </w:r>
            <w:proofErr w:type="gramStart"/>
            <w:r w:rsidRPr="001860B3">
              <w:rPr>
                <w:rFonts w:cs="Arial"/>
                <w:color w:val="347B9F"/>
              </w:rPr>
              <w:t>body;</w:t>
            </w:r>
            <w:proofErr w:type="gramEnd"/>
          </w:p>
          <w:p w14:paraId="5EC0DEA1" w14:textId="77777777" w:rsidR="00354379" w:rsidRPr="001860B3" w:rsidRDefault="00354379" w:rsidP="00507A6C">
            <w:pPr>
              <w:spacing w:after="120"/>
              <w:ind w:left="1440"/>
              <w:rPr>
                <w:rFonts w:cs="Arial"/>
                <w:color w:val="347B9F"/>
              </w:rPr>
            </w:pPr>
            <w:r w:rsidRPr="001860B3">
              <w:rPr>
                <w:rFonts w:cs="Arial"/>
                <w:color w:val="347B9F"/>
              </w:rPr>
              <w:t xml:space="preserve">(b) the duties of the position involve, or would involve, the participation by the worker in the teaching or practice of the relevant religion; and </w:t>
            </w:r>
          </w:p>
          <w:p w14:paraId="2829B4B6" w14:textId="77777777" w:rsidR="00354379" w:rsidRPr="001860B3" w:rsidRDefault="00354379" w:rsidP="00507A6C">
            <w:pPr>
              <w:spacing w:after="120"/>
              <w:ind w:left="1440"/>
              <w:rPr>
                <w:rFonts w:cs="Arial"/>
                <w:color w:val="347B9F"/>
              </w:rPr>
            </w:pPr>
            <w:r w:rsidRPr="001860B3">
              <w:rPr>
                <w:rFonts w:cs="Arial"/>
                <w:color w:val="347B9F"/>
              </w:rPr>
              <w:lastRenderedPageBreak/>
              <w:t>(c) the discrimination is reasonable and proportionate in the circumstances.</w:t>
            </w:r>
          </w:p>
          <w:p w14:paraId="63066502" w14:textId="77777777" w:rsidR="00354379" w:rsidRPr="001860B3" w:rsidRDefault="00354379" w:rsidP="00507A6C">
            <w:pPr>
              <w:spacing w:after="120"/>
              <w:ind w:left="720"/>
              <w:rPr>
                <w:rFonts w:cs="Arial"/>
                <w:color w:val="347B9F"/>
              </w:rPr>
            </w:pPr>
            <w:r w:rsidRPr="001860B3">
              <w:rPr>
                <w:rFonts w:cs="Arial"/>
                <w:color w:val="347B9F"/>
              </w:rPr>
              <w:t>(2) For the purposes of subsection (1) the relevant religion is the religion in accordance with which the religious body is conducted.</w:t>
            </w:r>
          </w:p>
          <w:p w14:paraId="6CB416A2" w14:textId="6839DAE0" w:rsidR="00A420C4" w:rsidRPr="00507A6C" w:rsidRDefault="00354379" w:rsidP="00507A6C">
            <w:pPr>
              <w:spacing w:after="120"/>
              <w:ind w:left="720"/>
              <w:rPr>
                <w:rFonts w:cs="Arial"/>
                <w:color w:val="347B9F"/>
              </w:rPr>
            </w:pPr>
            <w:r w:rsidRPr="001860B3">
              <w:rPr>
                <w:rFonts w:cs="Arial"/>
                <w:color w:val="347B9F"/>
              </w:rPr>
              <w:t xml:space="preserve">(3) To remove any doubt, it is declared that a person </w:t>
            </w:r>
            <w:proofErr w:type="spellStart"/>
            <w:r w:rsidRPr="001860B3">
              <w:rPr>
                <w:rFonts w:cs="Arial"/>
                <w:color w:val="347B9F"/>
              </w:rPr>
              <w:t>can not</w:t>
            </w:r>
            <w:proofErr w:type="spellEnd"/>
            <w:r w:rsidRPr="001860B3">
              <w:rPr>
                <w:rFonts w:cs="Arial"/>
                <w:color w:val="347B9F"/>
              </w:rPr>
              <w:t xml:space="preserve"> rely on subsection (1) to discriminate against another person </w:t>
            </w:r>
            <w:proofErr w:type="gramStart"/>
            <w:r w:rsidRPr="001860B3">
              <w:rPr>
                <w:rFonts w:cs="Arial"/>
                <w:color w:val="347B9F"/>
              </w:rPr>
              <w:t>on the basis of</w:t>
            </w:r>
            <w:proofErr w:type="gramEnd"/>
            <w:r w:rsidRPr="001860B3">
              <w:rPr>
                <w:rFonts w:cs="Arial"/>
                <w:color w:val="347B9F"/>
              </w:rPr>
              <w:t xml:space="preserve"> a protected attribute other than religious belief or religious activity.</w:t>
            </w:r>
          </w:p>
        </w:tc>
      </w:tr>
      <w:tr w:rsidR="000C7E75" w:rsidRPr="001C5161" w14:paraId="48B702B9" w14:textId="77777777" w:rsidTr="13DB787C">
        <w:tc>
          <w:tcPr>
            <w:tcW w:w="2132" w:type="dxa"/>
          </w:tcPr>
          <w:p w14:paraId="773E9C77" w14:textId="77777777" w:rsidR="000C7E75" w:rsidRPr="001C5161" w:rsidRDefault="0096355A" w:rsidP="001860B3">
            <w:pPr>
              <w:spacing w:after="120"/>
              <w:rPr>
                <w:rFonts w:cs="Arial"/>
              </w:rPr>
            </w:pPr>
            <w:r w:rsidRPr="5C73A9CA">
              <w:rPr>
                <w:rFonts w:cs="Arial"/>
              </w:rPr>
              <w:lastRenderedPageBreak/>
              <w:t>Cl 31</w:t>
            </w:r>
          </w:p>
          <w:p w14:paraId="34FE298B" w14:textId="55E7BC45" w:rsidR="00A52C84" w:rsidRPr="001C5161" w:rsidRDefault="00A52C84" w:rsidP="001860B3">
            <w:pPr>
              <w:spacing w:after="120"/>
              <w:rPr>
                <w:rFonts w:cs="Arial"/>
              </w:rPr>
            </w:pPr>
            <w:r w:rsidRPr="5C73A9CA">
              <w:rPr>
                <w:rFonts w:cs="Arial"/>
              </w:rPr>
              <w:t>Domestic or personal services</w:t>
            </w:r>
          </w:p>
        </w:tc>
        <w:tc>
          <w:tcPr>
            <w:tcW w:w="5380" w:type="dxa"/>
          </w:tcPr>
          <w:p w14:paraId="50B38C6D" w14:textId="1B6A42C4" w:rsidR="000021AF" w:rsidRPr="001C5161" w:rsidRDefault="000021AF" w:rsidP="001860B3">
            <w:pPr>
              <w:spacing w:after="120"/>
              <w:rPr>
                <w:rFonts w:cs="Arial"/>
              </w:rPr>
            </w:pPr>
            <w:r w:rsidRPr="5C73A9CA">
              <w:rPr>
                <w:rFonts w:cs="Arial"/>
              </w:rPr>
              <w:t xml:space="preserve">The </w:t>
            </w:r>
            <w:r w:rsidR="004F5214">
              <w:rPr>
                <w:rFonts w:cs="Arial"/>
              </w:rPr>
              <w:t>exception has likely</w:t>
            </w:r>
            <w:r w:rsidR="00A437A2" w:rsidRPr="5C73A9CA">
              <w:rPr>
                <w:rFonts w:cs="Arial"/>
              </w:rPr>
              <w:t xml:space="preserve"> been included </w:t>
            </w:r>
            <w:r w:rsidR="00C0613A" w:rsidRPr="5C73A9CA">
              <w:rPr>
                <w:rFonts w:cs="Arial"/>
              </w:rPr>
              <w:t xml:space="preserve">in the draft Bill </w:t>
            </w:r>
            <w:r w:rsidRPr="5C73A9CA">
              <w:rPr>
                <w:rFonts w:cs="Arial"/>
              </w:rPr>
              <w:t>to</w:t>
            </w:r>
            <w:r w:rsidR="007A7B02" w:rsidRPr="5C73A9CA">
              <w:rPr>
                <w:rFonts w:cs="Arial"/>
              </w:rPr>
              <w:t xml:space="preserve"> protect the privacy and dignity of people who are hiring </w:t>
            </w:r>
            <w:r w:rsidR="00A52C84" w:rsidRPr="5C73A9CA">
              <w:rPr>
                <w:rFonts w:cs="Arial"/>
              </w:rPr>
              <w:t>others</w:t>
            </w:r>
            <w:r w:rsidR="007A7B02" w:rsidRPr="5C73A9CA">
              <w:rPr>
                <w:rFonts w:cs="Arial"/>
              </w:rPr>
              <w:t xml:space="preserve"> to work in their private home,</w:t>
            </w:r>
            <w:r w:rsidR="00A52C84" w:rsidRPr="5C73A9CA">
              <w:rPr>
                <w:rFonts w:cs="Arial"/>
              </w:rPr>
              <w:t xml:space="preserve"> including </w:t>
            </w:r>
            <w:r w:rsidR="00330614" w:rsidRPr="5C73A9CA">
              <w:rPr>
                <w:rFonts w:cs="Arial"/>
              </w:rPr>
              <w:t xml:space="preserve">where </w:t>
            </w:r>
            <w:r w:rsidR="00C86962" w:rsidRPr="5C73A9CA">
              <w:rPr>
                <w:rFonts w:cs="Arial"/>
              </w:rPr>
              <w:t xml:space="preserve">a </w:t>
            </w:r>
            <w:r w:rsidR="00C90BF0">
              <w:rPr>
                <w:rFonts w:cs="Arial"/>
              </w:rPr>
              <w:t xml:space="preserve">domestic or personal service </w:t>
            </w:r>
            <w:r w:rsidR="00047C2B">
              <w:rPr>
                <w:rFonts w:cs="Arial"/>
              </w:rPr>
              <w:t>employee</w:t>
            </w:r>
            <w:r w:rsidR="00C86962" w:rsidRPr="5C73A9CA">
              <w:rPr>
                <w:rFonts w:cs="Arial"/>
              </w:rPr>
              <w:t xml:space="preserve"> is hired through a service provider</w:t>
            </w:r>
            <w:r w:rsidR="00BB16F7">
              <w:rPr>
                <w:rFonts w:cs="Arial"/>
              </w:rPr>
              <w:t>, such as through the N</w:t>
            </w:r>
            <w:r w:rsidR="00AD2578">
              <w:rPr>
                <w:rFonts w:cs="Arial"/>
              </w:rPr>
              <w:t xml:space="preserve">ational </w:t>
            </w:r>
            <w:r w:rsidR="00BB16F7">
              <w:rPr>
                <w:rFonts w:cs="Arial"/>
              </w:rPr>
              <w:t>D</w:t>
            </w:r>
            <w:r w:rsidR="00AD2578">
              <w:rPr>
                <w:rFonts w:cs="Arial"/>
              </w:rPr>
              <w:t xml:space="preserve">isability </w:t>
            </w:r>
            <w:r w:rsidR="00BB16F7">
              <w:rPr>
                <w:rFonts w:cs="Arial"/>
              </w:rPr>
              <w:t>I</w:t>
            </w:r>
            <w:r w:rsidR="00AD2578">
              <w:rPr>
                <w:rFonts w:cs="Arial"/>
              </w:rPr>
              <w:t xml:space="preserve">nsurance </w:t>
            </w:r>
            <w:r w:rsidR="00BB16F7">
              <w:rPr>
                <w:rFonts w:cs="Arial"/>
              </w:rPr>
              <w:t>S</w:t>
            </w:r>
            <w:r w:rsidR="00AD2578">
              <w:rPr>
                <w:rFonts w:cs="Arial"/>
              </w:rPr>
              <w:t>cheme</w:t>
            </w:r>
            <w:r w:rsidRPr="5C73A9CA">
              <w:rPr>
                <w:rFonts w:cs="Arial"/>
              </w:rPr>
              <w:t>.</w:t>
            </w:r>
            <w:r w:rsidR="007A7B02" w:rsidRPr="5C73A9CA">
              <w:rPr>
                <w:rFonts w:cs="Arial"/>
              </w:rPr>
              <w:t xml:space="preserve"> </w:t>
            </w:r>
          </w:p>
          <w:p w14:paraId="158C8E51" w14:textId="1E14F44B" w:rsidR="000C7E75" w:rsidRPr="001C5161" w:rsidRDefault="000021AF" w:rsidP="001860B3">
            <w:pPr>
              <w:spacing w:before="120" w:after="120"/>
              <w:rPr>
                <w:rFonts w:cs="Arial"/>
              </w:rPr>
            </w:pPr>
            <w:r w:rsidRPr="5C73A9CA">
              <w:rPr>
                <w:rFonts w:cs="Arial"/>
              </w:rPr>
              <w:t>I</w:t>
            </w:r>
            <w:r w:rsidR="007A7B02" w:rsidRPr="5C73A9CA">
              <w:rPr>
                <w:rFonts w:cs="Arial"/>
              </w:rPr>
              <w:t>t is reasonable to include an exception</w:t>
            </w:r>
            <w:r w:rsidR="00A52C84" w:rsidRPr="5C73A9CA">
              <w:rPr>
                <w:rFonts w:cs="Arial"/>
              </w:rPr>
              <w:t xml:space="preserve"> in relation to domestic or personal services. However, t</w:t>
            </w:r>
            <w:r w:rsidR="00810E88" w:rsidRPr="5C73A9CA">
              <w:rPr>
                <w:rFonts w:cs="Arial"/>
              </w:rPr>
              <w:t xml:space="preserve">he </w:t>
            </w:r>
            <w:r w:rsidR="00810E88" w:rsidRPr="001C5161">
              <w:rPr>
                <w:rFonts w:cs="Arial"/>
              </w:rPr>
              <w:t xml:space="preserve">exception </w:t>
            </w:r>
            <w:r w:rsidR="00810E88" w:rsidRPr="5C73A9CA">
              <w:rPr>
                <w:rFonts w:cs="Arial"/>
              </w:rPr>
              <w:t xml:space="preserve">should be limited </w:t>
            </w:r>
            <w:r w:rsidR="00810E88" w:rsidRPr="001C5161">
              <w:rPr>
                <w:rFonts w:cs="Arial"/>
              </w:rPr>
              <w:t xml:space="preserve">further to </w:t>
            </w:r>
            <w:r w:rsidR="00A52C84" w:rsidRPr="5C73A9CA">
              <w:rPr>
                <w:rFonts w:cs="Arial"/>
              </w:rPr>
              <w:t>allow discrimination only when necessary</w:t>
            </w:r>
            <w:r w:rsidR="00990AF2" w:rsidRPr="5C73A9CA">
              <w:rPr>
                <w:rFonts w:cs="Arial"/>
              </w:rPr>
              <w:t xml:space="preserve"> and proportionate</w:t>
            </w:r>
            <w:r w:rsidR="00C86962" w:rsidRPr="5C73A9CA">
              <w:rPr>
                <w:rFonts w:cs="Arial"/>
              </w:rPr>
              <w:t xml:space="preserve"> – such as to ensure that a person with a disability can be cared for by a person of their age or </w:t>
            </w:r>
            <w:r w:rsidR="00051807" w:rsidRPr="5C73A9CA">
              <w:rPr>
                <w:rFonts w:cs="Arial"/>
              </w:rPr>
              <w:t>sex</w:t>
            </w:r>
            <w:r w:rsidR="00810E88" w:rsidRPr="001C5161">
              <w:rPr>
                <w:rFonts w:cs="Arial"/>
              </w:rPr>
              <w:t>.</w:t>
            </w:r>
            <w:r w:rsidR="00A52C84" w:rsidRPr="5C73A9CA">
              <w:rPr>
                <w:rFonts w:cs="Arial"/>
              </w:rPr>
              <w:t xml:space="preserve"> </w:t>
            </w:r>
          </w:p>
        </w:tc>
        <w:tc>
          <w:tcPr>
            <w:tcW w:w="6952" w:type="dxa"/>
          </w:tcPr>
          <w:p w14:paraId="4C3C8494" w14:textId="61DF884F" w:rsidR="000C7E75" w:rsidRPr="001C5161" w:rsidRDefault="000571CB" w:rsidP="001860B3">
            <w:pPr>
              <w:spacing w:after="120"/>
              <w:rPr>
                <w:rFonts w:cs="Arial"/>
              </w:rPr>
            </w:pPr>
            <w:r w:rsidRPr="5C73A9CA">
              <w:rPr>
                <w:rFonts w:cs="Arial"/>
              </w:rPr>
              <w:t xml:space="preserve">Clause 31 should be amended to provide that a person may discriminate </w:t>
            </w:r>
            <w:proofErr w:type="gramStart"/>
            <w:r w:rsidRPr="5C73A9CA">
              <w:rPr>
                <w:rFonts w:cs="Arial"/>
                <w:i/>
                <w:iCs/>
              </w:rPr>
              <w:t>on the basis of</w:t>
            </w:r>
            <w:proofErr w:type="gramEnd"/>
            <w:r w:rsidRPr="5C73A9CA">
              <w:rPr>
                <w:rFonts w:cs="Arial"/>
                <w:i/>
                <w:iCs/>
              </w:rPr>
              <w:t xml:space="preserve"> age or sex</w:t>
            </w:r>
            <w:r w:rsidRPr="5C73A9CA">
              <w:rPr>
                <w:rFonts w:cs="Arial"/>
              </w:rPr>
              <w:t xml:space="preserve"> against another person in relation to work involving the provision of domestic or personal services</w:t>
            </w:r>
            <w:r w:rsidR="009C528C" w:rsidRPr="5C73A9CA">
              <w:rPr>
                <w:rFonts w:cs="Arial"/>
              </w:rPr>
              <w:t>…</w:t>
            </w:r>
          </w:p>
        </w:tc>
      </w:tr>
      <w:tr w:rsidR="000C7E75" w:rsidRPr="001C5161" w14:paraId="5B83014B" w14:textId="77777777" w:rsidTr="13DB787C">
        <w:tc>
          <w:tcPr>
            <w:tcW w:w="2132" w:type="dxa"/>
          </w:tcPr>
          <w:p w14:paraId="63AC29D2" w14:textId="77777777" w:rsidR="000C7E75" w:rsidRPr="001C5161" w:rsidRDefault="00A56E9F" w:rsidP="001860B3">
            <w:pPr>
              <w:spacing w:after="120"/>
              <w:rPr>
                <w:rFonts w:cs="Arial"/>
              </w:rPr>
            </w:pPr>
            <w:r w:rsidRPr="5C73A9CA">
              <w:rPr>
                <w:rFonts w:cs="Arial"/>
              </w:rPr>
              <w:t>Cl 32</w:t>
            </w:r>
          </w:p>
          <w:p w14:paraId="2FF04EB2" w14:textId="2C9BB64A" w:rsidR="00A56E9F" w:rsidRPr="001C5161" w:rsidRDefault="00BF0D54" w:rsidP="001860B3">
            <w:pPr>
              <w:spacing w:after="120"/>
              <w:rPr>
                <w:rFonts w:cs="Arial"/>
              </w:rPr>
            </w:pPr>
            <w:r w:rsidRPr="5C73A9CA">
              <w:rPr>
                <w:rFonts w:cs="Arial"/>
              </w:rPr>
              <w:t>Work involving vulnerable people</w:t>
            </w:r>
          </w:p>
        </w:tc>
        <w:tc>
          <w:tcPr>
            <w:tcW w:w="5380" w:type="dxa"/>
          </w:tcPr>
          <w:p w14:paraId="11D63913" w14:textId="4D496908" w:rsidR="0013702B" w:rsidRDefault="00AB4AA7" w:rsidP="001860B3">
            <w:pPr>
              <w:spacing w:after="120"/>
              <w:rPr>
                <w:rFonts w:cs="Arial"/>
              </w:rPr>
            </w:pPr>
            <w:r w:rsidRPr="001C5161">
              <w:rPr>
                <w:rFonts w:cs="Arial"/>
              </w:rPr>
              <w:t xml:space="preserve">The consultation </w:t>
            </w:r>
            <w:r w:rsidR="00F3409A">
              <w:rPr>
                <w:rFonts w:cs="Arial"/>
              </w:rPr>
              <w:t>guide</w:t>
            </w:r>
            <w:r w:rsidR="00F3409A" w:rsidRPr="001C5161">
              <w:rPr>
                <w:rFonts w:cs="Arial"/>
              </w:rPr>
              <w:t xml:space="preserve"> </w:t>
            </w:r>
            <w:r w:rsidRPr="001C5161">
              <w:rPr>
                <w:rFonts w:cs="Arial"/>
              </w:rPr>
              <w:t>indicates that the provision is included so as not to undermine statutory schemes that operate to protect children and people with disability.</w:t>
            </w:r>
            <w:r w:rsidRPr="3370A9D8">
              <w:rPr>
                <w:rFonts w:cs="Arial"/>
              </w:rPr>
              <w:t xml:space="preserve"> </w:t>
            </w:r>
            <w:r w:rsidR="00EC4662" w:rsidRPr="3370A9D8">
              <w:rPr>
                <w:rFonts w:cs="Arial"/>
              </w:rPr>
              <w:t xml:space="preserve"> However, the current drafting does not achieve this aim, as it applies </w:t>
            </w:r>
            <w:proofErr w:type="gramStart"/>
            <w:r w:rsidR="00EC4662" w:rsidRPr="3370A9D8">
              <w:rPr>
                <w:rFonts w:cs="Arial"/>
              </w:rPr>
              <w:t>in the area of</w:t>
            </w:r>
            <w:proofErr w:type="gramEnd"/>
            <w:r w:rsidR="00EC4662" w:rsidRPr="3370A9D8">
              <w:rPr>
                <w:rFonts w:cs="Arial"/>
              </w:rPr>
              <w:t xml:space="preserve"> work, rather than the administration of state laws and programs.</w:t>
            </w:r>
          </w:p>
          <w:p w14:paraId="232AC784" w14:textId="77777777" w:rsidR="000C7E75" w:rsidRDefault="00101A12" w:rsidP="001860B3">
            <w:pPr>
              <w:spacing w:before="120" w:after="120"/>
              <w:rPr>
                <w:rFonts w:cs="Arial"/>
              </w:rPr>
            </w:pPr>
            <w:r w:rsidRPr="001C5161">
              <w:rPr>
                <w:rFonts w:cs="Arial"/>
              </w:rPr>
              <w:t xml:space="preserve">The inclusion of a new exception relating to irrelevant criminal record is not consistent with </w:t>
            </w:r>
            <w:r w:rsidR="00BA3FD5" w:rsidRPr="3370A9D8">
              <w:rPr>
                <w:rFonts w:cs="Arial"/>
              </w:rPr>
              <w:t>the findings of the</w:t>
            </w:r>
            <w:r w:rsidRPr="001C5161">
              <w:rPr>
                <w:rFonts w:cs="Arial"/>
                <w:i/>
                <w:iCs/>
              </w:rPr>
              <w:t xml:space="preserve"> </w:t>
            </w:r>
            <w:proofErr w:type="gramStart"/>
            <w:r w:rsidRPr="001C5161">
              <w:rPr>
                <w:rFonts w:cs="Arial"/>
                <w:i/>
                <w:iCs/>
              </w:rPr>
              <w:t>Building</w:t>
            </w:r>
            <w:proofErr w:type="gramEnd"/>
            <w:r w:rsidRPr="001C5161">
              <w:rPr>
                <w:rFonts w:cs="Arial"/>
                <w:i/>
                <w:iCs/>
              </w:rPr>
              <w:t xml:space="preserve"> </w:t>
            </w:r>
            <w:r w:rsidRPr="3370A9D8">
              <w:rPr>
                <w:rFonts w:cs="Arial"/>
                <w:i/>
                <w:iCs/>
              </w:rPr>
              <w:t xml:space="preserve">belonging </w:t>
            </w:r>
            <w:r w:rsidRPr="3370A9D8">
              <w:rPr>
                <w:rFonts w:cs="Arial"/>
              </w:rPr>
              <w:t>review</w:t>
            </w:r>
            <w:r w:rsidR="00BA3FD5" w:rsidRPr="3370A9D8">
              <w:rPr>
                <w:rFonts w:cs="Arial"/>
              </w:rPr>
              <w:t xml:space="preserve">. The review found that </w:t>
            </w:r>
            <w:r w:rsidR="00152A5C" w:rsidRPr="3370A9D8">
              <w:rPr>
                <w:rFonts w:cs="Arial"/>
              </w:rPr>
              <w:t xml:space="preserve">the </w:t>
            </w:r>
            <w:r w:rsidR="00B847F1" w:rsidRPr="3370A9D8">
              <w:rPr>
                <w:rFonts w:cs="Arial"/>
              </w:rPr>
              <w:t>combination</w:t>
            </w:r>
            <w:r w:rsidR="00152A5C" w:rsidRPr="3370A9D8">
              <w:rPr>
                <w:rFonts w:cs="Arial"/>
              </w:rPr>
              <w:t xml:space="preserve"> of including a ‘relevance’ factor and the existing genuine occupational requirements and </w:t>
            </w:r>
            <w:r w:rsidR="00B847F1" w:rsidRPr="3370A9D8">
              <w:rPr>
                <w:rFonts w:cs="Arial"/>
              </w:rPr>
              <w:t xml:space="preserve">workplace </w:t>
            </w:r>
            <w:proofErr w:type="gramStart"/>
            <w:r w:rsidR="00B847F1" w:rsidRPr="3370A9D8">
              <w:rPr>
                <w:rFonts w:cs="Arial"/>
              </w:rPr>
              <w:t>health</w:t>
            </w:r>
            <w:proofErr w:type="gramEnd"/>
            <w:r w:rsidR="00B847F1" w:rsidRPr="3370A9D8">
              <w:rPr>
                <w:rFonts w:cs="Arial"/>
              </w:rPr>
              <w:t xml:space="preserve"> and safety requirements meant that an additional exception is redundant.</w:t>
            </w:r>
            <w:r w:rsidR="00B847F1" w:rsidRPr="3370A9D8">
              <w:rPr>
                <w:rStyle w:val="FootnoteReference"/>
                <w:rFonts w:cs="Arial"/>
              </w:rPr>
              <w:footnoteReference w:id="6"/>
            </w:r>
            <w:r w:rsidR="005E7458" w:rsidRPr="3370A9D8">
              <w:rPr>
                <w:rFonts w:cs="Arial"/>
              </w:rPr>
              <w:t xml:space="preserve"> </w:t>
            </w:r>
          </w:p>
          <w:p w14:paraId="3107D430" w14:textId="62013033" w:rsidR="00A7227B" w:rsidRPr="001C5161" w:rsidRDefault="00A7227B" w:rsidP="001860B3">
            <w:pPr>
              <w:spacing w:before="120" w:after="120"/>
              <w:rPr>
                <w:rFonts w:cs="Arial"/>
              </w:rPr>
            </w:pPr>
            <w:r w:rsidRPr="001860B3">
              <w:rPr>
                <w:rFonts w:cs="Arial"/>
              </w:rPr>
              <w:t xml:space="preserve">There is no justification whatsoever for including any expunged homosexual convictions in the scope of this </w:t>
            </w:r>
            <w:r w:rsidRPr="001860B3">
              <w:rPr>
                <w:rFonts w:cs="Arial"/>
              </w:rPr>
              <w:lastRenderedPageBreak/>
              <w:t>exception (even if cl 32(b) should operate to achieve this end), so they should be specifically excluded.</w:t>
            </w:r>
          </w:p>
        </w:tc>
        <w:tc>
          <w:tcPr>
            <w:tcW w:w="6952" w:type="dxa"/>
          </w:tcPr>
          <w:p w14:paraId="3758774B" w14:textId="36587FD8" w:rsidR="00F51EDB" w:rsidRDefault="00F51EDB" w:rsidP="001860B3">
            <w:pPr>
              <w:spacing w:after="120"/>
              <w:rPr>
                <w:rFonts w:cs="Arial"/>
              </w:rPr>
            </w:pPr>
            <w:r w:rsidRPr="6A7040EB">
              <w:rPr>
                <w:rFonts w:cs="Arial"/>
              </w:rPr>
              <w:lastRenderedPageBreak/>
              <w:t xml:space="preserve">Remove Cl 32 (Work involving vulnerable people) and instead amend the exception in cl 56 (compliance with laws etc) to add specific reference to relevant legislation.  </w:t>
            </w:r>
            <w:proofErr w:type="gramStart"/>
            <w:r w:rsidRPr="6A7040EB">
              <w:rPr>
                <w:rFonts w:cs="Arial"/>
              </w:rPr>
              <w:t>E</w:t>
            </w:r>
            <w:r w:rsidR="002663F7">
              <w:rPr>
                <w:rFonts w:cs="Arial"/>
              </w:rPr>
              <w:t>.</w:t>
            </w:r>
            <w:r w:rsidRPr="6A7040EB">
              <w:rPr>
                <w:rFonts w:cs="Arial"/>
              </w:rPr>
              <w:t>g.</w:t>
            </w:r>
            <w:proofErr w:type="gramEnd"/>
            <w:r w:rsidRPr="6A7040EB">
              <w:rPr>
                <w:rFonts w:cs="Arial"/>
              </w:rPr>
              <w:t xml:space="preserve"> include new sub-section 56(2):</w:t>
            </w:r>
          </w:p>
          <w:p w14:paraId="57E53ED4" w14:textId="2A37EB70" w:rsidR="00F51EDB" w:rsidRDefault="00F51EDB" w:rsidP="00671766">
            <w:pPr>
              <w:spacing w:after="120"/>
              <w:ind w:left="745" w:hanging="284"/>
              <w:rPr>
                <w:rFonts w:cs="Arial"/>
              </w:rPr>
            </w:pPr>
            <w:r w:rsidRPr="6A7040EB">
              <w:rPr>
                <w:rFonts w:cs="Arial"/>
              </w:rPr>
              <w:t>(2)</w:t>
            </w:r>
            <w:r w:rsidR="009044A7" w:rsidRPr="001860B3">
              <w:rPr>
                <w:rFonts w:cs="Arial"/>
              </w:rPr>
              <w:t xml:space="preserve"> </w:t>
            </w:r>
            <w:r w:rsidRPr="6A7040EB">
              <w:rPr>
                <w:rFonts w:cs="Arial"/>
              </w:rPr>
              <w:t xml:space="preserve">Nothing in Division [2] or Division [8] affects anything done by a person </w:t>
            </w:r>
            <w:proofErr w:type="gramStart"/>
            <w:r w:rsidRPr="6A7040EB">
              <w:rPr>
                <w:rFonts w:cs="Arial"/>
              </w:rPr>
              <w:t>on the basis of</w:t>
            </w:r>
            <w:proofErr w:type="gramEnd"/>
            <w:r w:rsidRPr="6A7040EB">
              <w:rPr>
                <w:rFonts w:cs="Arial"/>
              </w:rPr>
              <w:t xml:space="preserve"> irrelevant criminal record in direct compliance with, [or specifically authorised by] any of the following as in force on [date of entry into force]: </w:t>
            </w:r>
          </w:p>
          <w:p w14:paraId="10A828E7" w14:textId="4DB3C57F" w:rsidR="00F51EDB" w:rsidRPr="00F51EDB" w:rsidRDefault="00F51EDB" w:rsidP="00507A6C">
            <w:pPr>
              <w:spacing w:after="120"/>
              <w:ind w:left="1440"/>
              <w:rPr>
                <w:rFonts w:cs="Arial"/>
              </w:rPr>
            </w:pPr>
            <w:r w:rsidRPr="6A7040EB">
              <w:rPr>
                <w:rFonts w:cs="Arial"/>
              </w:rPr>
              <w:t>(a)</w:t>
            </w:r>
            <w:r w:rsidR="00507A6C">
              <w:rPr>
                <w:rFonts w:cs="Arial"/>
              </w:rPr>
              <w:t xml:space="preserve"> </w:t>
            </w:r>
            <w:r w:rsidRPr="6A7040EB">
              <w:rPr>
                <w:rFonts w:cs="Arial"/>
              </w:rPr>
              <w:t xml:space="preserve">Working with Children (Risk Management </w:t>
            </w:r>
            <w:proofErr w:type="gramStart"/>
            <w:r w:rsidRPr="6A7040EB">
              <w:rPr>
                <w:rFonts w:cs="Arial"/>
              </w:rPr>
              <w:t xml:space="preserve">and </w:t>
            </w:r>
            <w:r w:rsidR="00671766">
              <w:rPr>
                <w:rFonts w:cs="Arial"/>
              </w:rPr>
              <w:t xml:space="preserve"> </w:t>
            </w:r>
            <w:r w:rsidRPr="6A7040EB">
              <w:rPr>
                <w:rFonts w:cs="Arial"/>
              </w:rPr>
              <w:t>Screening</w:t>
            </w:r>
            <w:proofErr w:type="gramEnd"/>
            <w:r w:rsidRPr="6A7040EB">
              <w:rPr>
                <w:rFonts w:cs="Arial"/>
              </w:rPr>
              <w:t xml:space="preserve"> Act) 2000;</w:t>
            </w:r>
          </w:p>
          <w:p w14:paraId="1E35F040" w14:textId="674ACC69" w:rsidR="00F51EDB" w:rsidRPr="00F51EDB" w:rsidRDefault="00F51EDB" w:rsidP="00507A6C">
            <w:pPr>
              <w:spacing w:after="120"/>
              <w:ind w:left="1440"/>
              <w:rPr>
                <w:rFonts w:cs="Arial"/>
              </w:rPr>
            </w:pPr>
            <w:r w:rsidRPr="6A7040EB">
              <w:rPr>
                <w:rFonts w:cs="Arial"/>
              </w:rPr>
              <w:t>(b)</w:t>
            </w:r>
            <w:r w:rsidR="00671766">
              <w:rPr>
                <w:rFonts w:cs="Arial"/>
              </w:rPr>
              <w:t xml:space="preserve"> </w:t>
            </w:r>
            <w:r w:rsidRPr="6A7040EB">
              <w:rPr>
                <w:rFonts w:cs="Arial"/>
              </w:rPr>
              <w:t xml:space="preserve">Disability Service Act </w:t>
            </w:r>
            <w:proofErr w:type="gramStart"/>
            <w:r w:rsidRPr="6A7040EB">
              <w:rPr>
                <w:rFonts w:cs="Arial"/>
              </w:rPr>
              <w:t>2006;</w:t>
            </w:r>
            <w:proofErr w:type="gramEnd"/>
            <w:r w:rsidRPr="6A7040EB">
              <w:rPr>
                <w:rFonts w:cs="Arial"/>
              </w:rPr>
              <w:t xml:space="preserve">  </w:t>
            </w:r>
          </w:p>
          <w:p w14:paraId="164E81EC" w14:textId="3E6F8403" w:rsidR="00F51EDB" w:rsidRPr="00F51EDB" w:rsidRDefault="00F51EDB" w:rsidP="00507A6C">
            <w:pPr>
              <w:spacing w:after="120"/>
              <w:ind w:left="1440"/>
              <w:rPr>
                <w:rFonts w:cs="Arial"/>
              </w:rPr>
            </w:pPr>
            <w:r w:rsidRPr="6A7040EB">
              <w:rPr>
                <w:rFonts w:cs="Arial"/>
              </w:rPr>
              <w:t>(c)</w:t>
            </w:r>
            <w:r w:rsidR="00671766">
              <w:rPr>
                <w:rFonts w:cs="Arial"/>
              </w:rPr>
              <w:t xml:space="preserve"> </w:t>
            </w:r>
            <w:r w:rsidRPr="6A7040EB">
              <w:rPr>
                <w:rFonts w:cs="Arial"/>
              </w:rPr>
              <w:t>….</w:t>
            </w:r>
          </w:p>
          <w:p w14:paraId="573BF06A" w14:textId="4B118AB6" w:rsidR="00F51EDB" w:rsidRDefault="00F51EDB" w:rsidP="001860B3">
            <w:pPr>
              <w:spacing w:after="120"/>
              <w:rPr>
                <w:rFonts w:cs="Arial"/>
              </w:rPr>
            </w:pPr>
            <w:r w:rsidRPr="6A7040EB">
              <w:rPr>
                <w:rFonts w:cs="Arial"/>
              </w:rPr>
              <w:t>If the exception is retained, exclude expunged homosexual convictions by including an additional sub-section (2):</w:t>
            </w:r>
          </w:p>
          <w:p w14:paraId="146400E5" w14:textId="15E41B40" w:rsidR="000C7E75" w:rsidRPr="00F51EDB" w:rsidRDefault="00F51EDB" w:rsidP="00671766">
            <w:pPr>
              <w:pStyle w:val="ListParagraph"/>
              <w:numPr>
                <w:ilvl w:val="0"/>
                <w:numId w:val="6"/>
              </w:numPr>
              <w:spacing w:after="120"/>
              <w:rPr>
                <w:rFonts w:cs="Arial"/>
              </w:rPr>
            </w:pPr>
            <w:r w:rsidRPr="00F51EDB">
              <w:rPr>
                <w:rFonts w:cs="Arial"/>
              </w:rPr>
              <w:lastRenderedPageBreak/>
              <w:t xml:space="preserve">Sub-section (1) does not apply to an irrelevant criminal record relating to an expunged conviction for an offence under the </w:t>
            </w:r>
            <w:r w:rsidRPr="00B414F8">
              <w:rPr>
                <w:rFonts w:cs="Arial"/>
                <w:i/>
                <w:iCs/>
              </w:rPr>
              <w:t>Criminal Law (Historical Homosexual Convictions Expungement) Act 2017</w:t>
            </w:r>
            <w:r w:rsidRPr="00F51EDB">
              <w:rPr>
                <w:rFonts w:cs="Arial"/>
              </w:rPr>
              <w:t>.</w:t>
            </w:r>
          </w:p>
        </w:tc>
      </w:tr>
      <w:tr w:rsidR="002C1168" w:rsidRPr="001C5161" w14:paraId="095B163F" w14:textId="77777777" w:rsidTr="13DB787C">
        <w:tc>
          <w:tcPr>
            <w:tcW w:w="2132" w:type="dxa"/>
          </w:tcPr>
          <w:p w14:paraId="41338FD4" w14:textId="77777777" w:rsidR="002C1168" w:rsidRPr="002C1168" w:rsidRDefault="002C1168" w:rsidP="001860B3">
            <w:pPr>
              <w:spacing w:after="120"/>
              <w:rPr>
                <w:rFonts w:cs="Arial"/>
              </w:rPr>
            </w:pPr>
            <w:proofErr w:type="spellStart"/>
            <w:r w:rsidRPr="5C73A9CA">
              <w:rPr>
                <w:rFonts w:cs="Arial"/>
              </w:rPr>
              <w:lastRenderedPageBreak/>
              <w:t>Cls</w:t>
            </w:r>
            <w:proofErr w:type="spellEnd"/>
            <w:r w:rsidRPr="5C73A9CA">
              <w:rPr>
                <w:rFonts w:cs="Arial"/>
              </w:rPr>
              <w:t xml:space="preserve"> 35 and 36</w:t>
            </w:r>
          </w:p>
          <w:p w14:paraId="0B97DF3C" w14:textId="36FD9692" w:rsidR="002C1168" w:rsidRPr="002C1168" w:rsidRDefault="002C1168" w:rsidP="001860B3">
            <w:pPr>
              <w:spacing w:after="120"/>
              <w:rPr>
                <w:rFonts w:cs="Arial"/>
              </w:rPr>
            </w:pPr>
            <w:r w:rsidRPr="5C73A9CA">
              <w:rPr>
                <w:rFonts w:cs="Arial"/>
              </w:rPr>
              <w:t>Educational institution – sex, disability, religion.</w:t>
            </w:r>
            <w:r w:rsidRPr="001860B3">
              <w:rPr>
                <w:rFonts w:cs="Arial"/>
              </w:rPr>
              <w:tab/>
            </w:r>
          </w:p>
          <w:p w14:paraId="0F6BDBE2" w14:textId="36A01AA1" w:rsidR="002C1168" w:rsidRPr="002C1168" w:rsidRDefault="002C1168" w:rsidP="001860B3">
            <w:pPr>
              <w:spacing w:after="120"/>
              <w:rPr>
                <w:rFonts w:cs="Arial"/>
              </w:rPr>
            </w:pPr>
            <w:r w:rsidRPr="002C1168">
              <w:rPr>
                <w:rFonts w:cs="Arial"/>
              </w:rPr>
              <w:tab/>
            </w:r>
          </w:p>
          <w:p w14:paraId="7C0F611A" w14:textId="28D0E42C" w:rsidR="002C1168" w:rsidRPr="001C5161" w:rsidRDefault="002C1168" w:rsidP="001860B3">
            <w:pPr>
              <w:spacing w:after="120"/>
              <w:rPr>
                <w:rFonts w:cs="Arial"/>
              </w:rPr>
            </w:pPr>
            <w:r w:rsidRPr="002C1168">
              <w:rPr>
                <w:rFonts w:cs="Arial"/>
              </w:rPr>
              <w:tab/>
            </w:r>
            <w:r w:rsidRPr="002C1168">
              <w:rPr>
                <w:rFonts w:cs="Arial"/>
              </w:rPr>
              <w:tab/>
            </w:r>
          </w:p>
        </w:tc>
        <w:tc>
          <w:tcPr>
            <w:tcW w:w="5380" w:type="dxa"/>
          </w:tcPr>
          <w:p w14:paraId="6CC26719" w14:textId="74E00EBD" w:rsidR="002C1168" w:rsidRPr="002C1168" w:rsidRDefault="002C1168" w:rsidP="001860B3">
            <w:pPr>
              <w:spacing w:after="120"/>
              <w:rPr>
                <w:rFonts w:cs="Arial"/>
              </w:rPr>
            </w:pPr>
            <w:r w:rsidRPr="5C73A9CA">
              <w:rPr>
                <w:rFonts w:cs="Arial"/>
              </w:rPr>
              <w:t xml:space="preserve">Inconsistent with </w:t>
            </w:r>
            <w:r w:rsidRPr="001860B3">
              <w:rPr>
                <w:rFonts w:cs="Arial"/>
                <w:i/>
                <w:iCs/>
              </w:rPr>
              <w:t>Building belonging</w:t>
            </w:r>
            <w:r w:rsidRPr="5C73A9CA">
              <w:rPr>
                <w:rFonts w:cs="Arial"/>
              </w:rPr>
              <w:t xml:space="preserve"> review recommendation 40.1 - that a legislative note be included to ensure </w:t>
            </w:r>
            <w:proofErr w:type="gramStart"/>
            <w:r w:rsidRPr="5C73A9CA">
              <w:rPr>
                <w:rFonts w:cs="Arial"/>
              </w:rPr>
              <w:t>it is clear that the</w:t>
            </w:r>
            <w:proofErr w:type="gramEnd"/>
            <w:r w:rsidRPr="5C73A9CA">
              <w:rPr>
                <w:rFonts w:cs="Arial"/>
              </w:rPr>
              <w:t xml:space="preserve"> exception applies to students enrolling for the first time, and that it applies on the basis of ‘religion’ not ‘religious belief or activity’.</w:t>
            </w:r>
          </w:p>
          <w:p w14:paraId="78FA1F57" w14:textId="77777777" w:rsidR="002C1168" w:rsidRPr="002C1168" w:rsidRDefault="002C1168" w:rsidP="001860B3">
            <w:pPr>
              <w:spacing w:after="120"/>
              <w:rPr>
                <w:rFonts w:cs="Arial"/>
              </w:rPr>
            </w:pPr>
            <w:r w:rsidRPr="5C73A9CA">
              <w:rPr>
                <w:rFonts w:cs="Arial"/>
              </w:rPr>
              <w:t xml:space="preserve">While the </w:t>
            </w:r>
            <w:r w:rsidRPr="001860B3">
              <w:rPr>
                <w:rFonts w:cs="Arial"/>
                <w:i/>
                <w:iCs/>
              </w:rPr>
              <w:t>Building belonging</w:t>
            </w:r>
            <w:r w:rsidRPr="5C73A9CA">
              <w:rPr>
                <w:rFonts w:cs="Arial"/>
              </w:rPr>
              <w:t xml:space="preserve"> review suggested a legislative note, given the current drafting of these clauses it may be clearer to include the text in the wording of the relevant sections.</w:t>
            </w:r>
          </w:p>
          <w:p w14:paraId="750D2A36" w14:textId="77777777" w:rsidR="002C1168" w:rsidRPr="001C5161" w:rsidRDefault="002C1168" w:rsidP="001860B3">
            <w:pPr>
              <w:spacing w:before="120" w:after="120"/>
              <w:rPr>
                <w:rFonts w:cs="Arial"/>
              </w:rPr>
            </w:pPr>
          </w:p>
        </w:tc>
        <w:tc>
          <w:tcPr>
            <w:tcW w:w="6952" w:type="dxa"/>
          </w:tcPr>
          <w:p w14:paraId="2A65BBFD" w14:textId="756D7D24" w:rsidR="002C1168" w:rsidRPr="002C1168" w:rsidRDefault="002C1168" w:rsidP="001860B3">
            <w:pPr>
              <w:spacing w:after="120"/>
              <w:rPr>
                <w:rFonts w:cs="Arial"/>
              </w:rPr>
            </w:pPr>
            <w:r w:rsidRPr="5C73A9CA">
              <w:rPr>
                <w:rFonts w:cs="Arial"/>
              </w:rPr>
              <w:t xml:space="preserve">Amend clauses 35 and 36 </w:t>
            </w:r>
            <w:r w:rsidR="00743E0C">
              <w:rPr>
                <w:rFonts w:cs="Arial"/>
              </w:rPr>
              <w:t xml:space="preserve">to read </w:t>
            </w:r>
            <w:r w:rsidRPr="5C73A9CA">
              <w:rPr>
                <w:rFonts w:cs="Arial"/>
              </w:rPr>
              <w:t>as follows:</w:t>
            </w:r>
          </w:p>
          <w:p w14:paraId="6EFCC71C" w14:textId="77777777" w:rsidR="002C1168" w:rsidRPr="008332C1" w:rsidRDefault="002C1168" w:rsidP="008332C1">
            <w:pPr>
              <w:spacing w:after="120"/>
              <w:ind w:left="720"/>
              <w:rPr>
                <w:rFonts w:cs="Arial"/>
                <w:b/>
                <w:bCs/>
              </w:rPr>
            </w:pPr>
            <w:r w:rsidRPr="008332C1">
              <w:rPr>
                <w:rFonts w:cs="Arial"/>
                <w:b/>
                <w:bCs/>
              </w:rPr>
              <w:t xml:space="preserve">35 Educational </w:t>
            </w:r>
            <w:proofErr w:type="gramStart"/>
            <w:r w:rsidRPr="008332C1">
              <w:rPr>
                <w:rFonts w:cs="Arial"/>
                <w:b/>
                <w:bCs/>
              </w:rPr>
              <w:t>institution</w:t>
            </w:r>
            <w:proofErr w:type="gramEnd"/>
            <w:r w:rsidRPr="008332C1">
              <w:rPr>
                <w:rFonts w:cs="Arial"/>
                <w:b/>
                <w:bCs/>
              </w:rPr>
              <w:t xml:space="preserve"> for students of particular sex or students with disability or particular disability</w:t>
            </w:r>
          </w:p>
          <w:p w14:paraId="726F726F" w14:textId="77777777" w:rsidR="002C1168" w:rsidRPr="002C1168" w:rsidRDefault="002C1168" w:rsidP="008332C1">
            <w:pPr>
              <w:spacing w:after="120"/>
              <w:ind w:left="720"/>
              <w:rPr>
                <w:rFonts w:cs="Arial"/>
              </w:rPr>
            </w:pPr>
            <w:r w:rsidRPr="5C73A9CA">
              <w:rPr>
                <w:rFonts w:cs="Arial"/>
              </w:rPr>
              <w:t xml:space="preserve">(1) An educational authority that operates, or proposes to operate, an educational institution wholly or mainly for students of a particular sex, or students with disability or disability of a particular kind, may refuse to admit as </w:t>
            </w:r>
            <w:proofErr w:type="gramStart"/>
            <w:r w:rsidRPr="5C73A9CA">
              <w:rPr>
                <w:rFonts w:cs="Arial"/>
              </w:rPr>
              <w:t>students</w:t>
            </w:r>
            <w:proofErr w:type="gramEnd"/>
            <w:r w:rsidRPr="5C73A9CA">
              <w:rPr>
                <w:rFonts w:cs="Arial"/>
              </w:rPr>
              <w:t xml:space="preserve"> persons who—</w:t>
            </w:r>
          </w:p>
          <w:p w14:paraId="3885F081" w14:textId="77777777" w:rsidR="002C1168" w:rsidRPr="002C1168" w:rsidRDefault="002C1168" w:rsidP="008332C1">
            <w:pPr>
              <w:spacing w:after="120"/>
              <w:ind w:left="1440"/>
              <w:rPr>
                <w:rFonts w:cs="Arial"/>
              </w:rPr>
            </w:pPr>
            <w:r w:rsidRPr="5C73A9CA">
              <w:rPr>
                <w:rFonts w:cs="Arial"/>
              </w:rPr>
              <w:t xml:space="preserve">(a) are not of the </w:t>
            </w:r>
            <w:proofErr w:type="gramStart"/>
            <w:r w:rsidRPr="5C73A9CA">
              <w:rPr>
                <w:rFonts w:cs="Arial"/>
              </w:rPr>
              <w:t>particular sex</w:t>
            </w:r>
            <w:proofErr w:type="gramEnd"/>
            <w:r w:rsidRPr="5C73A9CA">
              <w:rPr>
                <w:rFonts w:cs="Arial"/>
              </w:rPr>
              <w:t>; or</w:t>
            </w:r>
          </w:p>
          <w:p w14:paraId="05685929" w14:textId="77777777" w:rsidR="002C1168" w:rsidRPr="002C1168" w:rsidRDefault="002C1168" w:rsidP="008332C1">
            <w:pPr>
              <w:spacing w:after="120"/>
              <w:ind w:left="1440"/>
              <w:rPr>
                <w:rFonts w:cs="Arial"/>
              </w:rPr>
            </w:pPr>
            <w:r w:rsidRPr="5C73A9CA">
              <w:rPr>
                <w:rFonts w:cs="Arial"/>
              </w:rPr>
              <w:t xml:space="preserve">(b) do not have disability or disability of the </w:t>
            </w:r>
            <w:proofErr w:type="gramStart"/>
            <w:r w:rsidRPr="5C73A9CA">
              <w:rPr>
                <w:rFonts w:cs="Arial"/>
              </w:rPr>
              <w:t>particular kind</w:t>
            </w:r>
            <w:proofErr w:type="gramEnd"/>
            <w:r w:rsidRPr="5C73A9CA">
              <w:rPr>
                <w:rFonts w:cs="Arial"/>
              </w:rPr>
              <w:t>.</w:t>
            </w:r>
          </w:p>
          <w:p w14:paraId="0F313AA3" w14:textId="77777777" w:rsidR="002C1168" w:rsidRPr="00743E0C" w:rsidRDefault="002C1168" w:rsidP="008332C1">
            <w:pPr>
              <w:spacing w:after="120"/>
              <w:ind w:left="720"/>
              <w:rPr>
                <w:rFonts w:cs="Arial"/>
                <w:color w:val="156082" w:themeColor="accent1"/>
              </w:rPr>
            </w:pPr>
            <w:r w:rsidRPr="00743E0C">
              <w:rPr>
                <w:rFonts w:cs="Arial"/>
                <w:color w:val="156082" w:themeColor="accent1"/>
              </w:rPr>
              <w:t xml:space="preserve">(2) Subsection (1)(a) applies only to refusal to admit as a student a person who has not previously been admitted as a student of the educational institution. </w:t>
            </w:r>
          </w:p>
          <w:p w14:paraId="0580861D" w14:textId="77777777" w:rsidR="002C1168" w:rsidRPr="008332C1" w:rsidRDefault="002C1168" w:rsidP="008332C1">
            <w:pPr>
              <w:spacing w:after="120"/>
              <w:ind w:left="720"/>
              <w:rPr>
                <w:rFonts w:cs="Arial"/>
                <w:b/>
                <w:bCs/>
              </w:rPr>
            </w:pPr>
            <w:r w:rsidRPr="008332C1">
              <w:rPr>
                <w:rFonts w:cs="Arial"/>
                <w:b/>
                <w:bCs/>
              </w:rPr>
              <w:t xml:space="preserve">36 Educational </w:t>
            </w:r>
            <w:proofErr w:type="gramStart"/>
            <w:r w:rsidRPr="008332C1">
              <w:rPr>
                <w:rFonts w:cs="Arial"/>
                <w:b/>
                <w:bCs/>
              </w:rPr>
              <w:t>institution</w:t>
            </w:r>
            <w:proofErr w:type="gramEnd"/>
            <w:r w:rsidRPr="008332C1">
              <w:rPr>
                <w:rFonts w:cs="Arial"/>
                <w:b/>
                <w:bCs/>
              </w:rPr>
              <w:t xml:space="preserve"> for students of particular religion</w:t>
            </w:r>
          </w:p>
          <w:p w14:paraId="2EA5CA7F" w14:textId="77777777" w:rsidR="002C1168" w:rsidRPr="002C1168" w:rsidRDefault="002C1168" w:rsidP="008332C1">
            <w:pPr>
              <w:spacing w:after="120"/>
              <w:ind w:left="720"/>
              <w:rPr>
                <w:rFonts w:cs="Arial"/>
              </w:rPr>
            </w:pPr>
            <w:r w:rsidRPr="5C73A9CA">
              <w:rPr>
                <w:rFonts w:cs="Arial"/>
              </w:rPr>
              <w:t xml:space="preserve">(1) An educational authority that operates, or proposes to operate, an educational institution wholly or mainly for students of a particular religion may discriminate on the basis of religious belief or religious activity by refusing to admit as </w:t>
            </w:r>
            <w:proofErr w:type="gramStart"/>
            <w:r w:rsidRPr="5C73A9CA">
              <w:rPr>
                <w:rFonts w:cs="Arial"/>
              </w:rPr>
              <w:t>students</w:t>
            </w:r>
            <w:proofErr w:type="gramEnd"/>
            <w:r w:rsidRPr="5C73A9CA">
              <w:rPr>
                <w:rFonts w:cs="Arial"/>
              </w:rPr>
              <w:t xml:space="preserve"> persons who are not of the particular religion.</w:t>
            </w:r>
          </w:p>
          <w:p w14:paraId="29563A50" w14:textId="77777777" w:rsidR="002C1168" w:rsidRPr="00005CD3" w:rsidRDefault="002C1168" w:rsidP="008332C1">
            <w:pPr>
              <w:spacing w:after="120"/>
              <w:ind w:left="720"/>
              <w:rPr>
                <w:rFonts w:cs="Arial"/>
                <w:color w:val="156082" w:themeColor="accent1"/>
              </w:rPr>
            </w:pPr>
            <w:r w:rsidRPr="00005CD3">
              <w:rPr>
                <w:rFonts w:cs="Arial"/>
                <w:color w:val="156082" w:themeColor="accent1"/>
              </w:rPr>
              <w:t>(2) Subsection (1) applies only to refusal to admit as a student a person who has not previously been a student of the educational institution.</w:t>
            </w:r>
          </w:p>
          <w:p w14:paraId="6C07D02C" w14:textId="595E8D21" w:rsidR="002C1168" w:rsidRPr="002C1168" w:rsidRDefault="002C1168" w:rsidP="008332C1">
            <w:pPr>
              <w:spacing w:after="120"/>
              <w:ind w:left="720"/>
              <w:rPr>
                <w:rFonts w:cs="Arial"/>
              </w:rPr>
            </w:pPr>
            <w:r w:rsidRPr="00005CD3">
              <w:rPr>
                <w:rFonts w:cs="Arial"/>
                <w:color w:val="156082" w:themeColor="accent1"/>
              </w:rPr>
              <w:t xml:space="preserve">(3) </w:t>
            </w:r>
            <w:r w:rsidRPr="5C73A9CA">
              <w:rPr>
                <w:rFonts w:cs="Arial"/>
              </w:rPr>
              <w:t xml:space="preserve">To remove any doubt, it is declared that a person </w:t>
            </w:r>
            <w:proofErr w:type="spellStart"/>
            <w:r w:rsidRPr="5C73A9CA">
              <w:rPr>
                <w:rFonts w:cs="Arial"/>
              </w:rPr>
              <w:t>can not</w:t>
            </w:r>
            <w:proofErr w:type="spellEnd"/>
            <w:r w:rsidRPr="5C73A9CA">
              <w:rPr>
                <w:rFonts w:cs="Arial"/>
              </w:rPr>
              <w:t xml:space="preserve"> rely on subsection (1) to discriminate against another person </w:t>
            </w:r>
            <w:proofErr w:type="gramStart"/>
            <w:r w:rsidRPr="5C73A9CA">
              <w:rPr>
                <w:rFonts w:cs="Arial"/>
              </w:rPr>
              <w:t>on the basis of</w:t>
            </w:r>
            <w:proofErr w:type="gramEnd"/>
            <w:r w:rsidRPr="5C73A9CA">
              <w:rPr>
                <w:rFonts w:cs="Arial"/>
              </w:rPr>
              <w:t xml:space="preserve"> a protected attribute other than religious belief or religious activity.</w:t>
            </w:r>
          </w:p>
          <w:p w14:paraId="1F917554" w14:textId="70816148" w:rsidR="002C1168" w:rsidRPr="002C1168" w:rsidRDefault="002C1168" w:rsidP="001860B3">
            <w:pPr>
              <w:spacing w:after="120"/>
              <w:rPr>
                <w:rFonts w:cs="Arial"/>
              </w:rPr>
            </w:pPr>
            <w:r w:rsidRPr="5C73A9CA">
              <w:rPr>
                <w:rFonts w:cs="Arial"/>
              </w:rPr>
              <w:t>Example for subsection (3)—</w:t>
            </w:r>
          </w:p>
          <w:p w14:paraId="15195EEB" w14:textId="5EFF6B16" w:rsidR="002C1168" w:rsidRPr="6A7040EB" w:rsidRDefault="002C1168" w:rsidP="007F0FEB">
            <w:pPr>
              <w:spacing w:after="120"/>
              <w:ind w:left="720"/>
              <w:rPr>
                <w:rFonts w:cs="Arial"/>
              </w:rPr>
            </w:pPr>
            <w:r w:rsidRPr="5C73A9CA">
              <w:rPr>
                <w:rFonts w:cs="Arial"/>
              </w:rPr>
              <w:t xml:space="preserve">A person </w:t>
            </w:r>
            <w:proofErr w:type="spellStart"/>
            <w:r w:rsidRPr="5C73A9CA">
              <w:rPr>
                <w:rFonts w:cs="Arial"/>
              </w:rPr>
              <w:t>can not</w:t>
            </w:r>
            <w:proofErr w:type="spellEnd"/>
            <w:r w:rsidRPr="5C73A9CA">
              <w:rPr>
                <w:rFonts w:cs="Arial"/>
              </w:rPr>
              <w:t xml:space="preserve"> rely on subsection (1) to discriminate against another person </w:t>
            </w:r>
            <w:proofErr w:type="gramStart"/>
            <w:r w:rsidRPr="5C73A9CA">
              <w:rPr>
                <w:rFonts w:cs="Arial"/>
              </w:rPr>
              <w:t>on the basis of</w:t>
            </w:r>
            <w:proofErr w:type="gramEnd"/>
            <w:r w:rsidRPr="5C73A9CA">
              <w:rPr>
                <w:rFonts w:cs="Arial"/>
              </w:rPr>
              <w:t xml:space="preserve"> the other person’s gender identity.</w:t>
            </w:r>
          </w:p>
        </w:tc>
      </w:tr>
      <w:tr w:rsidR="00940018" w:rsidRPr="001C5161" w14:paraId="5DB0BEC4" w14:textId="77777777" w:rsidTr="13DB787C">
        <w:tc>
          <w:tcPr>
            <w:tcW w:w="2132" w:type="dxa"/>
          </w:tcPr>
          <w:p w14:paraId="64A3B7AB" w14:textId="77777777" w:rsidR="00940018" w:rsidRDefault="00940018" w:rsidP="001860B3">
            <w:pPr>
              <w:spacing w:after="120"/>
              <w:rPr>
                <w:rFonts w:cs="Arial"/>
              </w:rPr>
            </w:pPr>
            <w:r>
              <w:rPr>
                <w:rFonts w:cs="Arial"/>
              </w:rPr>
              <w:t>Cl 52</w:t>
            </w:r>
          </w:p>
          <w:p w14:paraId="53EB0C64" w14:textId="48FC2626" w:rsidR="00940018" w:rsidRDefault="00940018" w:rsidP="001860B3">
            <w:pPr>
              <w:spacing w:after="120"/>
              <w:rPr>
                <w:rFonts w:cs="Arial"/>
              </w:rPr>
            </w:pPr>
            <w:r>
              <w:rPr>
                <w:rFonts w:cs="Arial"/>
              </w:rPr>
              <w:lastRenderedPageBreak/>
              <w:t xml:space="preserve">Club established for </w:t>
            </w:r>
            <w:proofErr w:type="gramStart"/>
            <w:r>
              <w:rPr>
                <w:rFonts w:cs="Arial"/>
              </w:rPr>
              <w:t>particular class</w:t>
            </w:r>
            <w:proofErr w:type="gramEnd"/>
            <w:r>
              <w:rPr>
                <w:rFonts w:cs="Arial"/>
              </w:rPr>
              <w:t xml:space="preserve"> of persons</w:t>
            </w:r>
          </w:p>
        </w:tc>
        <w:tc>
          <w:tcPr>
            <w:tcW w:w="5380" w:type="dxa"/>
          </w:tcPr>
          <w:p w14:paraId="4018EF3C" w14:textId="77777777" w:rsidR="00940018" w:rsidRDefault="00940018" w:rsidP="001860B3">
            <w:pPr>
              <w:spacing w:after="120"/>
              <w:rPr>
                <w:rFonts w:cs="Arial"/>
              </w:rPr>
            </w:pPr>
            <w:r>
              <w:rPr>
                <w:rFonts w:cs="Arial"/>
              </w:rPr>
              <w:lastRenderedPageBreak/>
              <w:t>The framing of this exception is overly broad</w:t>
            </w:r>
            <w:r w:rsidR="00AB0FAC">
              <w:rPr>
                <w:rFonts w:cs="Arial"/>
              </w:rPr>
              <w:t xml:space="preserve"> and may create unfair outcomes where </w:t>
            </w:r>
            <w:r w:rsidR="005713D4">
              <w:rPr>
                <w:rFonts w:cs="Arial"/>
              </w:rPr>
              <w:t>majority groups can exclude minorities from clubs</w:t>
            </w:r>
            <w:r>
              <w:rPr>
                <w:rFonts w:cs="Arial"/>
              </w:rPr>
              <w:t>.</w:t>
            </w:r>
            <w:r w:rsidR="00712BE3">
              <w:rPr>
                <w:rFonts w:cs="Arial"/>
              </w:rPr>
              <w:t xml:space="preserve"> This is the case because of </w:t>
            </w:r>
            <w:proofErr w:type="gramStart"/>
            <w:r w:rsidR="00712BE3">
              <w:rPr>
                <w:rFonts w:cs="Arial"/>
              </w:rPr>
              <w:t>a number of</w:t>
            </w:r>
            <w:proofErr w:type="gramEnd"/>
            <w:r w:rsidR="00712BE3">
              <w:rPr>
                <w:rFonts w:cs="Arial"/>
              </w:rPr>
              <w:t xml:space="preserve"> ‘universal’ attributes in the Act.</w:t>
            </w:r>
            <w:r w:rsidR="005713D4">
              <w:rPr>
                <w:rFonts w:cs="Arial"/>
              </w:rPr>
              <w:t xml:space="preserve"> </w:t>
            </w:r>
            <w:r w:rsidR="00712BE3">
              <w:rPr>
                <w:rFonts w:cs="Arial"/>
              </w:rPr>
              <w:t xml:space="preserve">For instance, it may allow a ‘cisgender only’ club, or a ‘heterosexual </w:t>
            </w:r>
            <w:r w:rsidR="00712BE3">
              <w:rPr>
                <w:rFonts w:cs="Arial"/>
              </w:rPr>
              <w:lastRenderedPageBreak/>
              <w:t>only’ club.</w:t>
            </w:r>
            <w:r w:rsidR="00AB0FAC">
              <w:rPr>
                <w:rFonts w:cs="Arial"/>
              </w:rPr>
              <w:t xml:space="preserve"> </w:t>
            </w:r>
            <w:r w:rsidR="0070149A">
              <w:rPr>
                <w:rFonts w:cs="Arial"/>
              </w:rPr>
              <w:t>The exception should be narrowed to avoid this outcome</w:t>
            </w:r>
            <w:r w:rsidR="003829BB">
              <w:rPr>
                <w:rFonts w:cs="Arial"/>
              </w:rPr>
              <w:t xml:space="preserve">, modelled </w:t>
            </w:r>
            <w:r w:rsidR="00057E7C">
              <w:rPr>
                <w:rFonts w:cs="Arial"/>
              </w:rPr>
              <w:t xml:space="preserve">on the current section </w:t>
            </w:r>
            <w:r w:rsidR="00C3617B">
              <w:rPr>
                <w:rFonts w:cs="Arial"/>
              </w:rPr>
              <w:t>97.</w:t>
            </w:r>
          </w:p>
          <w:p w14:paraId="7B47475E" w14:textId="6A94C1C9" w:rsidR="0073651D" w:rsidRPr="5C73A9CA" w:rsidRDefault="000357CB" w:rsidP="001860B3">
            <w:pPr>
              <w:spacing w:after="120"/>
              <w:rPr>
                <w:rFonts w:cs="Arial"/>
              </w:rPr>
            </w:pPr>
            <w:r>
              <w:rPr>
                <w:rFonts w:cs="Arial"/>
              </w:rPr>
              <w:t xml:space="preserve">It should also be clearer that the exception only extends to </w:t>
            </w:r>
            <w:r w:rsidR="00CA1BA4">
              <w:rPr>
                <w:rFonts w:cs="Arial"/>
              </w:rPr>
              <w:t xml:space="preserve">club membership, and </w:t>
            </w:r>
            <w:proofErr w:type="spellStart"/>
            <w:r w:rsidR="00CA1BA4">
              <w:rPr>
                <w:rFonts w:cs="Arial"/>
              </w:rPr>
              <w:t>not</w:t>
            </w:r>
            <w:proofErr w:type="spellEnd"/>
            <w:r w:rsidR="00CA1BA4">
              <w:rPr>
                <w:rFonts w:cs="Arial"/>
              </w:rPr>
              <w:t xml:space="preserve"> other areas such as goods and services and work.</w:t>
            </w:r>
          </w:p>
        </w:tc>
        <w:tc>
          <w:tcPr>
            <w:tcW w:w="6952" w:type="dxa"/>
          </w:tcPr>
          <w:p w14:paraId="7889E8B1" w14:textId="5D5E42E0" w:rsidR="00FA53DC" w:rsidRPr="00D029F2" w:rsidRDefault="00516088" w:rsidP="000308A5">
            <w:pPr>
              <w:spacing w:after="120"/>
              <w:rPr>
                <w:rFonts w:cs="Arial"/>
              </w:rPr>
            </w:pPr>
            <w:r>
              <w:rPr>
                <w:rFonts w:cs="Arial"/>
              </w:rPr>
              <w:lastRenderedPageBreak/>
              <w:t xml:space="preserve">Omit clause 52 and </w:t>
            </w:r>
            <w:r w:rsidR="00FA53DC">
              <w:rPr>
                <w:rFonts w:cs="Arial"/>
              </w:rPr>
              <w:t xml:space="preserve">replace </w:t>
            </w:r>
            <w:r w:rsidR="00855CAC">
              <w:rPr>
                <w:rFonts w:cs="Arial"/>
              </w:rPr>
              <w:t xml:space="preserve">with an exception based on </w:t>
            </w:r>
            <w:r w:rsidR="00FA53DC">
              <w:rPr>
                <w:rFonts w:cs="Arial"/>
              </w:rPr>
              <w:t xml:space="preserve">section 97 of the </w:t>
            </w:r>
            <w:r w:rsidR="00364A26">
              <w:rPr>
                <w:rFonts w:cs="Arial"/>
              </w:rPr>
              <w:t xml:space="preserve">current </w:t>
            </w:r>
            <w:r w:rsidR="00FA53DC">
              <w:rPr>
                <w:rFonts w:cs="Arial"/>
              </w:rPr>
              <w:t>Act</w:t>
            </w:r>
            <w:r w:rsidR="00812CD3">
              <w:rPr>
                <w:rFonts w:cs="Arial"/>
              </w:rPr>
              <w:t xml:space="preserve">, which permits </w:t>
            </w:r>
            <w:r w:rsidR="009F5548">
              <w:rPr>
                <w:rFonts w:cs="Arial"/>
              </w:rPr>
              <w:t xml:space="preserve">discrimination </w:t>
            </w:r>
            <w:r w:rsidR="009957B7">
              <w:rPr>
                <w:rFonts w:cs="Arial"/>
              </w:rPr>
              <w:t>i</w:t>
            </w:r>
            <w:r w:rsidR="009F5548">
              <w:rPr>
                <w:rFonts w:cs="Arial"/>
              </w:rPr>
              <w:t xml:space="preserve">n relation to membership of a club where </w:t>
            </w:r>
            <w:r w:rsidR="005A436A">
              <w:rPr>
                <w:rFonts w:cs="Arial"/>
              </w:rPr>
              <w:t>the club has been established to preserve a minority culture or to preven</w:t>
            </w:r>
            <w:r w:rsidR="00C30066">
              <w:rPr>
                <w:rFonts w:cs="Arial"/>
              </w:rPr>
              <w:t>t</w:t>
            </w:r>
            <w:r w:rsidR="005A436A">
              <w:rPr>
                <w:rFonts w:cs="Arial"/>
              </w:rPr>
              <w:t xml:space="preserve"> or reduce disadvantag</w:t>
            </w:r>
            <w:r w:rsidR="00C30066">
              <w:rPr>
                <w:rFonts w:cs="Arial"/>
              </w:rPr>
              <w:t>e.</w:t>
            </w:r>
            <w:r w:rsidR="00BB3434">
              <w:rPr>
                <w:rFonts w:cs="Arial"/>
              </w:rPr>
              <w:t xml:space="preserve"> </w:t>
            </w:r>
          </w:p>
        </w:tc>
      </w:tr>
      <w:tr w:rsidR="00DB22EB" w:rsidRPr="001C5161" w14:paraId="3C33D05A" w14:textId="77777777" w:rsidTr="13DB787C">
        <w:tc>
          <w:tcPr>
            <w:tcW w:w="2132" w:type="dxa"/>
          </w:tcPr>
          <w:p w14:paraId="30AFBAE9" w14:textId="49BD1D5B" w:rsidR="00DB22EB" w:rsidRDefault="00C538F2" w:rsidP="001860B3">
            <w:pPr>
              <w:spacing w:after="120"/>
              <w:rPr>
                <w:rFonts w:cs="Arial"/>
              </w:rPr>
            </w:pPr>
            <w:r>
              <w:rPr>
                <w:rFonts w:cs="Arial"/>
              </w:rPr>
              <w:t>Cl 56</w:t>
            </w:r>
            <w:r w:rsidR="000F0CFA">
              <w:rPr>
                <w:rFonts w:cs="Arial"/>
              </w:rPr>
              <w:t>(1)</w:t>
            </w:r>
          </w:p>
          <w:p w14:paraId="1F365A8A" w14:textId="325EDA5A" w:rsidR="00194220" w:rsidRPr="5C73A9CA" w:rsidRDefault="00194220" w:rsidP="001860B3">
            <w:pPr>
              <w:spacing w:after="120"/>
              <w:rPr>
                <w:rFonts w:cs="Arial"/>
              </w:rPr>
            </w:pPr>
            <w:r>
              <w:rPr>
                <w:rFonts w:cs="Arial"/>
              </w:rPr>
              <w:t>Compliance with legislation or court or tribunal orders</w:t>
            </w:r>
          </w:p>
        </w:tc>
        <w:tc>
          <w:tcPr>
            <w:tcW w:w="5380" w:type="dxa"/>
          </w:tcPr>
          <w:p w14:paraId="033C2153" w14:textId="7031FD4B" w:rsidR="00DB22EB" w:rsidRPr="5C73A9CA" w:rsidRDefault="001B76EA" w:rsidP="001860B3">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Pr>
                <w:rFonts w:cs="Arial"/>
                <w:i/>
                <w:iCs/>
              </w:rPr>
              <w:t>Acts done in compliance or authorised by other laws</w:t>
            </w:r>
            <w:r w:rsidRPr="5C73A9CA">
              <w:rPr>
                <w:rFonts w:cs="Arial"/>
              </w:rPr>
              <w:t xml:space="preserve"> in this submission.</w:t>
            </w:r>
          </w:p>
        </w:tc>
        <w:tc>
          <w:tcPr>
            <w:tcW w:w="6952" w:type="dxa"/>
          </w:tcPr>
          <w:p w14:paraId="00AF45FA" w14:textId="77777777" w:rsidR="00D029F2" w:rsidRPr="00D029F2" w:rsidRDefault="00D029F2" w:rsidP="001860B3">
            <w:pPr>
              <w:spacing w:after="120"/>
              <w:rPr>
                <w:rFonts w:cs="Arial"/>
              </w:rPr>
            </w:pPr>
            <w:r w:rsidRPr="00D029F2">
              <w:rPr>
                <w:rFonts w:cs="Arial"/>
              </w:rPr>
              <w:t>Clause 56(1) in the draft Bill should be amended to remove the exception for compliance with other laws. However, if such an exception is retained it should be amended to:</w:t>
            </w:r>
          </w:p>
          <w:p w14:paraId="5F1C31EE" w14:textId="3BFDEA85" w:rsidR="00D029F2" w:rsidRPr="00D029F2" w:rsidRDefault="00D029F2" w:rsidP="001860B3">
            <w:pPr>
              <w:pStyle w:val="ListParagraph"/>
              <w:numPr>
                <w:ilvl w:val="0"/>
                <w:numId w:val="21"/>
              </w:numPr>
              <w:spacing w:after="120"/>
              <w:rPr>
                <w:rFonts w:cs="Arial"/>
              </w:rPr>
            </w:pPr>
            <w:r w:rsidRPr="00D029F2">
              <w:rPr>
                <w:rFonts w:cs="Arial"/>
              </w:rPr>
              <w:t xml:space="preserve">limit the exception to specific statutory regimes, or to existing legislation as it relates to new or amended protected attributes; and </w:t>
            </w:r>
          </w:p>
          <w:p w14:paraId="34D721AE" w14:textId="6DA6172B" w:rsidR="009375CD" w:rsidRPr="00110ACC" w:rsidRDefault="00D029F2" w:rsidP="001860B3">
            <w:pPr>
              <w:pStyle w:val="ListParagraph"/>
              <w:numPr>
                <w:ilvl w:val="0"/>
                <w:numId w:val="21"/>
              </w:numPr>
              <w:spacing w:after="120"/>
              <w:rPr>
                <w:rFonts w:cs="Arial"/>
              </w:rPr>
            </w:pPr>
            <w:r w:rsidRPr="00D029F2">
              <w:rPr>
                <w:rFonts w:cs="Arial"/>
              </w:rPr>
              <w:t>remove reference to actions that are ‘authorised by’ another law.</w:t>
            </w:r>
          </w:p>
        </w:tc>
      </w:tr>
      <w:tr w:rsidR="000F0CFA" w:rsidRPr="001C5161" w14:paraId="721315C7" w14:textId="77777777" w:rsidTr="13DB787C">
        <w:tc>
          <w:tcPr>
            <w:tcW w:w="2132" w:type="dxa"/>
          </w:tcPr>
          <w:p w14:paraId="13B21823" w14:textId="77777777" w:rsidR="000F0CFA" w:rsidRDefault="00AD34AC" w:rsidP="001860B3">
            <w:pPr>
              <w:spacing w:after="120"/>
              <w:rPr>
                <w:rFonts w:cs="Arial"/>
              </w:rPr>
            </w:pPr>
            <w:r>
              <w:rPr>
                <w:rFonts w:cs="Arial"/>
              </w:rPr>
              <w:t>Cl 56(2)</w:t>
            </w:r>
          </w:p>
          <w:p w14:paraId="37D57B8B" w14:textId="5A744A7D" w:rsidR="00AD34AC" w:rsidRDefault="00037A0C" w:rsidP="001860B3">
            <w:pPr>
              <w:spacing w:after="120"/>
              <w:rPr>
                <w:rFonts w:cs="Arial"/>
              </w:rPr>
            </w:pPr>
            <w:r>
              <w:rPr>
                <w:rFonts w:cs="Arial"/>
              </w:rPr>
              <w:t xml:space="preserve">Compliance with Commonwealth legislation </w:t>
            </w:r>
            <w:r w:rsidR="000E4804">
              <w:rPr>
                <w:rFonts w:cs="Arial"/>
              </w:rPr>
              <w:t>in relation to insurance or superannuation</w:t>
            </w:r>
          </w:p>
        </w:tc>
        <w:tc>
          <w:tcPr>
            <w:tcW w:w="5380" w:type="dxa"/>
          </w:tcPr>
          <w:p w14:paraId="0B0B60BF" w14:textId="77777777" w:rsidR="004E7C82" w:rsidRPr="001860B3" w:rsidRDefault="00094AD2" w:rsidP="001860B3">
            <w:pPr>
              <w:spacing w:after="120"/>
              <w:rPr>
                <w:rFonts w:cs="Arial"/>
              </w:rPr>
            </w:pPr>
            <w:r>
              <w:rPr>
                <w:rFonts w:cs="Arial"/>
              </w:rPr>
              <w:t xml:space="preserve">Inconsistent with </w:t>
            </w:r>
            <w:r>
              <w:rPr>
                <w:rFonts w:cs="Arial"/>
                <w:i/>
                <w:iCs/>
              </w:rPr>
              <w:t xml:space="preserve">Building belonging </w:t>
            </w:r>
            <w:r>
              <w:rPr>
                <w:rFonts w:cs="Arial"/>
              </w:rPr>
              <w:t>review</w:t>
            </w:r>
            <w:r w:rsidR="00E72D5E">
              <w:rPr>
                <w:rFonts w:cs="Arial"/>
              </w:rPr>
              <w:t xml:space="preserve"> recommendation 41.1 – 41.2. The </w:t>
            </w:r>
            <w:r w:rsidR="00090938">
              <w:rPr>
                <w:rFonts w:cs="Arial"/>
              </w:rPr>
              <w:t xml:space="preserve">Review found that </w:t>
            </w:r>
            <w:r w:rsidR="00090938" w:rsidRPr="001860B3">
              <w:rPr>
                <w:rFonts w:cs="Arial"/>
              </w:rPr>
              <w:t>insurance and superannuation exceptions are having a disproportionate and adverse impact on older people, people with disability, people with mental health conditions, and people predisposed to genetic conditions.</w:t>
            </w:r>
            <w:r w:rsidR="004E7C82" w:rsidRPr="001860B3">
              <w:rPr>
                <w:rFonts w:cs="Arial"/>
              </w:rPr>
              <w:t xml:space="preserve"> </w:t>
            </w:r>
          </w:p>
          <w:p w14:paraId="7A817784" w14:textId="7C7F8759" w:rsidR="00F16CA6" w:rsidRDefault="00F56837" w:rsidP="001860B3">
            <w:pPr>
              <w:spacing w:after="120"/>
              <w:rPr>
                <w:rFonts w:cs="Arial"/>
                <w:i/>
                <w:iCs/>
              </w:rPr>
            </w:pPr>
            <w:r>
              <w:rPr>
                <w:rFonts w:cs="Arial"/>
              </w:rPr>
              <w:t>Clause 56(1) allows</w:t>
            </w:r>
            <w:r w:rsidR="00F16CA6">
              <w:rPr>
                <w:rFonts w:cs="Arial"/>
              </w:rPr>
              <w:t xml:space="preserve"> discrimination</w:t>
            </w:r>
            <w:r w:rsidR="007B3942">
              <w:rPr>
                <w:rFonts w:cs="Arial"/>
              </w:rPr>
              <w:t xml:space="preserve"> </w:t>
            </w:r>
            <w:proofErr w:type="gramStart"/>
            <w:r w:rsidR="007B3942">
              <w:rPr>
                <w:rFonts w:cs="Arial"/>
              </w:rPr>
              <w:t>on the basis of</w:t>
            </w:r>
            <w:proofErr w:type="gramEnd"/>
            <w:r w:rsidR="007B3942">
              <w:rPr>
                <w:rFonts w:cs="Arial"/>
              </w:rPr>
              <w:t xml:space="preserve"> sex, relationship status, or family, carer or kinship responsibilities where it is already</w:t>
            </w:r>
            <w:r w:rsidR="00F16CA6">
              <w:rPr>
                <w:rFonts w:cs="Arial"/>
              </w:rPr>
              <w:t xml:space="preserve"> permitted under the </w:t>
            </w:r>
            <w:r w:rsidR="00F16CA6" w:rsidRPr="00F16CA6">
              <w:rPr>
                <w:rFonts w:cs="Arial"/>
                <w:i/>
                <w:iCs/>
              </w:rPr>
              <w:t>Sex Discrimination Act 1984</w:t>
            </w:r>
            <w:r w:rsidR="007B3942">
              <w:rPr>
                <w:rFonts w:cs="Arial"/>
                <w:i/>
                <w:iCs/>
              </w:rPr>
              <w:t>.</w:t>
            </w:r>
          </w:p>
          <w:p w14:paraId="4740F95C" w14:textId="1FE29927" w:rsidR="009B2D1C" w:rsidRDefault="00054B91" w:rsidP="001860B3">
            <w:pPr>
              <w:spacing w:after="120"/>
              <w:rPr>
                <w:rFonts w:cs="Arial"/>
              </w:rPr>
            </w:pPr>
            <w:r>
              <w:rPr>
                <w:rFonts w:cs="Arial"/>
              </w:rPr>
              <w:t>In the current Queensland Act,</w:t>
            </w:r>
            <w:r w:rsidR="00A469B2">
              <w:rPr>
                <w:rFonts w:cs="Arial"/>
              </w:rPr>
              <w:t xml:space="preserve"> the only exceptions </w:t>
            </w:r>
            <w:r w:rsidR="00E66EFA">
              <w:rPr>
                <w:rFonts w:cs="Arial"/>
              </w:rPr>
              <w:t xml:space="preserve">to discrimination </w:t>
            </w:r>
            <w:proofErr w:type="gramStart"/>
            <w:r w:rsidR="00E66EFA">
              <w:rPr>
                <w:rFonts w:cs="Arial"/>
              </w:rPr>
              <w:t>in the area of</w:t>
            </w:r>
            <w:proofErr w:type="gramEnd"/>
            <w:r w:rsidR="00A469B2">
              <w:rPr>
                <w:rFonts w:cs="Arial"/>
              </w:rPr>
              <w:t xml:space="preserve"> insurance </w:t>
            </w:r>
            <w:r w:rsidR="00A469B2" w:rsidRPr="623CDC59">
              <w:rPr>
                <w:rFonts w:cs="Arial"/>
              </w:rPr>
              <w:t>a</w:t>
            </w:r>
            <w:r w:rsidR="33843B54" w:rsidRPr="623CDC59">
              <w:rPr>
                <w:rFonts w:cs="Arial"/>
              </w:rPr>
              <w:t>re</w:t>
            </w:r>
            <w:r w:rsidR="00A469B2">
              <w:rPr>
                <w:rFonts w:cs="Arial"/>
              </w:rPr>
              <w:t xml:space="preserve"> </w:t>
            </w:r>
            <w:r w:rsidR="00E66EFA">
              <w:rPr>
                <w:rFonts w:cs="Arial"/>
              </w:rPr>
              <w:t>on the grounds of</w:t>
            </w:r>
            <w:r w:rsidR="00A469B2">
              <w:rPr>
                <w:rFonts w:cs="Arial"/>
              </w:rPr>
              <w:t xml:space="preserve"> </w:t>
            </w:r>
            <w:r w:rsidR="00EF134F">
              <w:rPr>
                <w:rFonts w:cs="Arial"/>
              </w:rPr>
              <w:t xml:space="preserve">age, </w:t>
            </w:r>
            <w:r w:rsidR="00006FCE">
              <w:rPr>
                <w:rFonts w:cs="Arial"/>
              </w:rPr>
              <w:t>impairment or sex</w:t>
            </w:r>
            <w:r w:rsidR="00F56422">
              <w:rPr>
                <w:rFonts w:cs="Arial"/>
              </w:rPr>
              <w:t>.</w:t>
            </w:r>
            <w:r w:rsidR="004E7C82">
              <w:rPr>
                <w:rFonts w:cs="Arial"/>
              </w:rPr>
              <w:t xml:space="preserve"> The only </w:t>
            </w:r>
            <w:r w:rsidR="00006FCE">
              <w:rPr>
                <w:rFonts w:cs="Arial"/>
              </w:rPr>
              <w:t xml:space="preserve">exceptions </w:t>
            </w:r>
            <w:r w:rsidR="00E66EFA">
              <w:rPr>
                <w:rFonts w:cs="Arial"/>
              </w:rPr>
              <w:t xml:space="preserve">to discrimination </w:t>
            </w:r>
            <w:proofErr w:type="gramStart"/>
            <w:r w:rsidR="00E66EFA">
              <w:rPr>
                <w:rFonts w:cs="Arial"/>
              </w:rPr>
              <w:t>in the area of</w:t>
            </w:r>
            <w:proofErr w:type="gramEnd"/>
            <w:r w:rsidR="00E66EFA">
              <w:rPr>
                <w:rFonts w:cs="Arial"/>
              </w:rPr>
              <w:t xml:space="preserve"> </w:t>
            </w:r>
            <w:r w:rsidR="00006FCE">
              <w:rPr>
                <w:rFonts w:cs="Arial"/>
              </w:rPr>
              <w:t xml:space="preserve">superannuation are </w:t>
            </w:r>
            <w:r w:rsidR="00E66EFA">
              <w:rPr>
                <w:rFonts w:cs="Arial"/>
              </w:rPr>
              <w:t>on the grounds of</w:t>
            </w:r>
            <w:r w:rsidR="003B6006">
              <w:rPr>
                <w:rFonts w:cs="Arial"/>
              </w:rPr>
              <w:t xml:space="preserve"> age, impairment, </w:t>
            </w:r>
            <w:r w:rsidR="009B2D1C">
              <w:rPr>
                <w:rFonts w:cs="Arial"/>
              </w:rPr>
              <w:t>sex or relationship status.</w:t>
            </w:r>
          </w:p>
          <w:p w14:paraId="0A854F04" w14:textId="1E4134E2" w:rsidR="009B2D1C" w:rsidRDefault="009B2D1C" w:rsidP="001860B3">
            <w:pPr>
              <w:spacing w:after="120"/>
              <w:rPr>
                <w:rFonts w:cs="Arial"/>
              </w:rPr>
            </w:pPr>
            <w:r>
              <w:rPr>
                <w:rFonts w:cs="Arial"/>
              </w:rPr>
              <w:t>No discrimination is permitted currently in</w:t>
            </w:r>
            <w:r w:rsidR="0008796E">
              <w:rPr>
                <w:rFonts w:cs="Arial"/>
              </w:rPr>
              <w:t xml:space="preserve"> the </w:t>
            </w:r>
            <w:r w:rsidR="00D35EC8">
              <w:rPr>
                <w:rFonts w:cs="Arial"/>
              </w:rPr>
              <w:t xml:space="preserve">Queensland </w:t>
            </w:r>
            <w:r w:rsidR="0008796E">
              <w:rPr>
                <w:rFonts w:cs="Arial"/>
              </w:rPr>
              <w:t>Act</w:t>
            </w:r>
            <w:r>
              <w:rPr>
                <w:rFonts w:cs="Arial"/>
              </w:rPr>
              <w:t xml:space="preserve"> </w:t>
            </w:r>
            <w:r w:rsidR="00D35EC8">
              <w:rPr>
                <w:rFonts w:cs="Arial"/>
              </w:rPr>
              <w:t xml:space="preserve">in </w:t>
            </w:r>
            <w:r>
              <w:rPr>
                <w:rFonts w:cs="Arial"/>
              </w:rPr>
              <w:t>relation to the family responsibilities attribute (which is amended in the draft Bill to include carer and kinship responsibilities).</w:t>
            </w:r>
          </w:p>
          <w:p w14:paraId="182638C2" w14:textId="0D0872F8" w:rsidR="00C306B1" w:rsidRDefault="00DA4434" w:rsidP="001860B3">
            <w:pPr>
              <w:spacing w:after="120"/>
              <w:rPr>
                <w:rFonts w:cs="Arial"/>
              </w:rPr>
            </w:pPr>
            <w:proofErr w:type="gramStart"/>
            <w:r>
              <w:rPr>
                <w:rFonts w:cs="Arial"/>
              </w:rPr>
              <w:t>Therefore</w:t>
            </w:r>
            <w:proofErr w:type="gramEnd"/>
            <w:r>
              <w:rPr>
                <w:rFonts w:cs="Arial"/>
              </w:rPr>
              <w:t xml:space="preserve"> the </w:t>
            </w:r>
            <w:r w:rsidR="00926FB0">
              <w:rPr>
                <w:rFonts w:cs="Arial"/>
              </w:rPr>
              <w:t xml:space="preserve">effect of </w:t>
            </w:r>
            <w:r>
              <w:rPr>
                <w:rFonts w:cs="Arial"/>
              </w:rPr>
              <w:t>clause 56(2)</w:t>
            </w:r>
            <w:r w:rsidR="00926FB0">
              <w:rPr>
                <w:rFonts w:cs="Arial"/>
              </w:rPr>
              <w:t xml:space="preserve"> is to broaden the circumstances in which a person may be lawfully discriminated against.</w:t>
            </w:r>
          </w:p>
          <w:p w14:paraId="4F7CFDFA" w14:textId="26959A5D" w:rsidR="007D0A5E" w:rsidRPr="00E72D5E" w:rsidRDefault="007D0A5E" w:rsidP="001860B3">
            <w:pPr>
              <w:spacing w:after="120"/>
              <w:rPr>
                <w:rFonts w:cs="Arial"/>
              </w:rPr>
            </w:pPr>
            <w:r w:rsidRPr="001860B3">
              <w:rPr>
                <w:rFonts w:cs="Arial"/>
              </w:rPr>
              <w:t>The Review did not anticipate any expansion of the attributes on which discrimination may be permitted, and rather recommended the inclusion of a list of non-</w:t>
            </w:r>
            <w:r w:rsidRPr="001860B3">
              <w:rPr>
                <w:rFonts w:cs="Arial"/>
              </w:rPr>
              <w:lastRenderedPageBreak/>
              <w:t xml:space="preserve">exhaustive factors to assist determination of when it is reasonable to rely on </w:t>
            </w:r>
            <w:r w:rsidR="00D13F75" w:rsidRPr="001860B3">
              <w:rPr>
                <w:rFonts w:cs="Arial"/>
              </w:rPr>
              <w:t>a</w:t>
            </w:r>
            <w:r w:rsidRPr="001860B3">
              <w:rPr>
                <w:rFonts w:cs="Arial"/>
              </w:rPr>
              <w:t xml:space="preserve"> data</w:t>
            </w:r>
            <w:r w:rsidR="00D13F75" w:rsidRPr="001860B3">
              <w:rPr>
                <w:rFonts w:cs="Arial"/>
              </w:rPr>
              <w:t xml:space="preserve"> source</w:t>
            </w:r>
            <w:r w:rsidRPr="001860B3">
              <w:rPr>
                <w:rFonts w:cs="Arial"/>
              </w:rPr>
              <w:t>.</w:t>
            </w:r>
          </w:p>
          <w:p w14:paraId="13F14CA1" w14:textId="0506B521" w:rsidR="00A469B2" w:rsidRPr="00931CD8" w:rsidRDefault="00316069" w:rsidP="001860B3">
            <w:pPr>
              <w:spacing w:after="120"/>
              <w:rPr>
                <w:rFonts w:cs="Arial"/>
              </w:rPr>
            </w:pPr>
            <w:r>
              <w:rPr>
                <w:rFonts w:cs="Arial"/>
              </w:rPr>
              <w:t xml:space="preserve">The consultation paper does not justify the departure from the recommendations of the </w:t>
            </w:r>
            <w:proofErr w:type="gramStart"/>
            <w:r>
              <w:rPr>
                <w:rFonts w:cs="Arial"/>
                <w:i/>
                <w:iCs/>
              </w:rPr>
              <w:t>Building</w:t>
            </w:r>
            <w:proofErr w:type="gramEnd"/>
            <w:r>
              <w:rPr>
                <w:rFonts w:cs="Arial"/>
                <w:i/>
                <w:iCs/>
              </w:rPr>
              <w:t xml:space="preserve"> belonging </w:t>
            </w:r>
            <w:r>
              <w:rPr>
                <w:rFonts w:cs="Arial"/>
              </w:rPr>
              <w:t>revie</w:t>
            </w:r>
            <w:r w:rsidR="001A6947">
              <w:rPr>
                <w:rFonts w:cs="Arial"/>
              </w:rPr>
              <w:t xml:space="preserve">w other than to </w:t>
            </w:r>
            <w:r w:rsidR="000F70B3">
              <w:rPr>
                <w:rFonts w:cs="Arial"/>
              </w:rPr>
              <w:t>explain that</w:t>
            </w:r>
            <w:r w:rsidR="001A6947">
              <w:rPr>
                <w:rFonts w:cs="Arial"/>
              </w:rPr>
              <w:t xml:space="preserve"> it creates harmony with Commonwealth laws. While </w:t>
            </w:r>
            <w:r w:rsidR="000F70B3">
              <w:rPr>
                <w:rFonts w:cs="Arial"/>
              </w:rPr>
              <w:t xml:space="preserve">federal/state </w:t>
            </w:r>
            <w:r w:rsidR="001A6947">
              <w:rPr>
                <w:rFonts w:cs="Arial"/>
              </w:rPr>
              <w:t xml:space="preserve">consistency is desirable, many exceptions in state discrimination laws are currently inconsistent with federal law, and </w:t>
            </w:r>
            <w:r w:rsidR="002E1C7B">
              <w:rPr>
                <w:rFonts w:cs="Arial"/>
              </w:rPr>
              <w:t>harmonisation</w:t>
            </w:r>
            <w:r w:rsidR="001A6947">
              <w:rPr>
                <w:rFonts w:cs="Arial"/>
              </w:rPr>
              <w:t xml:space="preserve"> should not be </w:t>
            </w:r>
            <w:r w:rsidR="002E1C7B">
              <w:rPr>
                <w:rFonts w:cs="Arial"/>
              </w:rPr>
              <w:t>a</w:t>
            </w:r>
            <w:r w:rsidR="001A6947">
              <w:rPr>
                <w:rFonts w:cs="Arial"/>
              </w:rPr>
              <w:t xml:space="preserve"> determinative factor.</w:t>
            </w:r>
            <w:r w:rsidR="00673797">
              <w:rPr>
                <w:rFonts w:cs="Arial"/>
              </w:rPr>
              <w:t xml:space="preserve"> </w:t>
            </w:r>
          </w:p>
        </w:tc>
        <w:tc>
          <w:tcPr>
            <w:tcW w:w="6952" w:type="dxa"/>
          </w:tcPr>
          <w:p w14:paraId="1003D35E" w14:textId="287483EB" w:rsidR="000F0CFA" w:rsidRDefault="00ED0DDB" w:rsidP="001860B3">
            <w:pPr>
              <w:spacing w:after="120"/>
              <w:rPr>
                <w:rStyle w:val="normaltextrun"/>
                <w:rFonts w:eastAsiaTheme="majorEastAsia" w:cs="Arial"/>
                <w:color w:val="000000"/>
                <w:shd w:val="clear" w:color="auto" w:fill="FFFFFF"/>
              </w:rPr>
            </w:pPr>
            <w:r>
              <w:rPr>
                <w:rStyle w:val="normaltextrun"/>
                <w:rFonts w:eastAsiaTheme="majorEastAsia" w:cs="Arial"/>
                <w:color w:val="000000"/>
                <w:shd w:val="clear" w:color="auto" w:fill="FFFFFF"/>
              </w:rPr>
              <w:lastRenderedPageBreak/>
              <w:t>O</w:t>
            </w:r>
            <w:r w:rsidR="00B634BD" w:rsidRPr="00ED0DDB">
              <w:rPr>
                <w:rStyle w:val="normaltextrun"/>
                <w:rFonts w:eastAsiaTheme="majorEastAsia" w:cs="Arial"/>
                <w:color w:val="000000"/>
                <w:shd w:val="clear" w:color="auto" w:fill="FFFFFF"/>
              </w:rPr>
              <w:t xml:space="preserve">mit </w:t>
            </w:r>
            <w:r w:rsidR="00291A77">
              <w:rPr>
                <w:rStyle w:val="normaltextrun"/>
                <w:rFonts w:eastAsiaTheme="majorEastAsia" w:cs="Arial"/>
                <w:color w:val="000000"/>
                <w:shd w:val="clear" w:color="auto" w:fill="FFFFFF"/>
              </w:rPr>
              <w:t>‘</w:t>
            </w:r>
            <w:r w:rsidR="00B634BD" w:rsidRPr="00ED0DDB">
              <w:rPr>
                <w:rStyle w:val="normaltextrun"/>
                <w:rFonts w:eastAsiaTheme="majorEastAsia" w:cs="Arial"/>
                <w:color w:val="000000"/>
                <w:shd w:val="clear" w:color="auto" w:fill="FFFFFF"/>
              </w:rPr>
              <w:t xml:space="preserve">family, </w:t>
            </w:r>
            <w:proofErr w:type="gramStart"/>
            <w:r w:rsidR="00B634BD" w:rsidRPr="00ED0DDB">
              <w:rPr>
                <w:rStyle w:val="normaltextrun"/>
                <w:rFonts w:eastAsiaTheme="majorEastAsia" w:cs="Arial"/>
                <w:color w:val="000000"/>
                <w:shd w:val="clear" w:color="auto" w:fill="FFFFFF"/>
              </w:rPr>
              <w:t>carer</w:t>
            </w:r>
            <w:proofErr w:type="gramEnd"/>
            <w:r w:rsidR="00B634BD" w:rsidRPr="00ED0DDB">
              <w:rPr>
                <w:rStyle w:val="normaltextrun"/>
                <w:rFonts w:eastAsiaTheme="majorEastAsia" w:cs="Arial"/>
                <w:color w:val="000000"/>
                <w:shd w:val="clear" w:color="auto" w:fill="FFFFFF"/>
              </w:rPr>
              <w:t xml:space="preserve"> or kinship relationships</w:t>
            </w:r>
            <w:r w:rsidR="00291A77">
              <w:rPr>
                <w:rStyle w:val="normaltextrun"/>
                <w:rFonts w:eastAsiaTheme="majorEastAsia" w:cs="Arial"/>
                <w:color w:val="000000"/>
                <w:shd w:val="clear" w:color="auto" w:fill="FFFFFF"/>
              </w:rPr>
              <w:t>’</w:t>
            </w:r>
            <w:r w:rsidR="007270F7">
              <w:rPr>
                <w:rStyle w:val="normaltextrun"/>
                <w:rFonts w:eastAsiaTheme="majorEastAsia" w:cs="Arial"/>
                <w:color w:val="000000"/>
                <w:shd w:val="clear" w:color="auto" w:fill="FFFFFF"/>
              </w:rPr>
              <w:t xml:space="preserve"> </w:t>
            </w:r>
            <w:r w:rsidR="00291A77">
              <w:rPr>
                <w:rStyle w:val="normaltextrun"/>
                <w:rFonts w:eastAsiaTheme="majorEastAsia" w:cs="Arial"/>
                <w:color w:val="000000"/>
                <w:shd w:val="clear" w:color="auto" w:fill="FFFFFF"/>
              </w:rPr>
              <w:t>from</w:t>
            </w:r>
            <w:r w:rsidR="007270F7">
              <w:rPr>
                <w:rStyle w:val="normaltextrun"/>
                <w:rFonts w:eastAsiaTheme="majorEastAsia" w:cs="Arial"/>
                <w:color w:val="000000"/>
                <w:shd w:val="clear" w:color="auto" w:fill="FFFFFF"/>
              </w:rPr>
              <w:t xml:space="preserve"> cl 56(2)(</w:t>
            </w:r>
            <w:r w:rsidR="00147D1F">
              <w:rPr>
                <w:rStyle w:val="normaltextrun"/>
                <w:rFonts w:eastAsiaTheme="majorEastAsia" w:cs="Arial"/>
                <w:color w:val="000000"/>
                <w:shd w:val="clear" w:color="auto" w:fill="FFFFFF"/>
              </w:rPr>
              <w:t>a)</w:t>
            </w:r>
            <w:r w:rsidR="007E3BFA">
              <w:rPr>
                <w:rStyle w:val="normaltextrun"/>
                <w:rFonts w:eastAsiaTheme="majorEastAsia" w:cs="Arial"/>
                <w:color w:val="000000"/>
                <w:shd w:val="clear" w:color="auto" w:fill="FFFFFF"/>
              </w:rPr>
              <w:t>.</w:t>
            </w:r>
          </w:p>
          <w:p w14:paraId="7E0D00A0" w14:textId="45992041" w:rsidR="00031CA0" w:rsidRPr="001860B3" w:rsidRDefault="00626E8B" w:rsidP="001860B3">
            <w:pPr>
              <w:spacing w:after="120"/>
              <w:rPr>
                <w:rFonts w:cs="Arial"/>
              </w:rPr>
            </w:pPr>
            <w:r w:rsidRPr="001860B3">
              <w:rPr>
                <w:rStyle w:val="normaltextrun"/>
                <w:rFonts w:eastAsiaTheme="majorEastAsia" w:cs="Arial"/>
                <w:color w:val="000000"/>
                <w:shd w:val="clear" w:color="auto" w:fill="FFFFFF"/>
              </w:rPr>
              <w:t>Clause 56</w:t>
            </w:r>
            <w:r w:rsidR="004015DD" w:rsidRPr="001860B3">
              <w:rPr>
                <w:rStyle w:val="normaltextrun"/>
                <w:rFonts w:eastAsiaTheme="majorEastAsia" w:cs="Arial"/>
                <w:color w:val="000000"/>
                <w:shd w:val="clear" w:color="auto" w:fill="FFFFFF"/>
              </w:rPr>
              <w:t xml:space="preserve"> should be amended to include an </w:t>
            </w:r>
            <w:r w:rsidR="002E0033" w:rsidRPr="001860B3">
              <w:rPr>
                <w:rStyle w:val="normaltextrun"/>
                <w:rFonts w:eastAsiaTheme="majorEastAsia" w:cs="Arial"/>
                <w:color w:val="000000"/>
                <w:shd w:val="clear" w:color="auto" w:fill="FFFFFF"/>
              </w:rPr>
              <w:t>additional sub-section that</w:t>
            </w:r>
            <w:r w:rsidR="004015DD" w:rsidRPr="001860B3">
              <w:rPr>
                <w:rStyle w:val="normaltextrun"/>
                <w:rFonts w:eastAsiaTheme="majorEastAsia" w:cs="Arial"/>
                <w:color w:val="000000"/>
                <w:shd w:val="clear" w:color="auto" w:fill="FFFFFF"/>
              </w:rPr>
              <w:t xml:space="preserve"> provides:</w:t>
            </w:r>
          </w:p>
          <w:p w14:paraId="56D9CFF0" w14:textId="2F97D4B2" w:rsidR="002E0033" w:rsidRPr="001860B3" w:rsidRDefault="002E0033" w:rsidP="001860B3">
            <w:pPr>
              <w:pStyle w:val="ListParagraph"/>
              <w:spacing w:after="120"/>
              <w:rPr>
                <w:rFonts w:cs="Arial"/>
                <w:color w:val="347B9F"/>
              </w:rPr>
            </w:pPr>
            <w:r w:rsidRPr="001860B3">
              <w:rPr>
                <w:rFonts w:cs="Arial"/>
                <w:color w:val="347B9F"/>
              </w:rPr>
              <w:t xml:space="preserve">In deciding whether </w:t>
            </w:r>
            <w:r w:rsidR="000C2F34" w:rsidRPr="001860B3">
              <w:rPr>
                <w:rFonts w:cs="Arial"/>
                <w:color w:val="347B9F"/>
              </w:rPr>
              <w:t>it is reasonable to rely on actua</w:t>
            </w:r>
            <w:r w:rsidR="004917F4" w:rsidRPr="001860B3">
              <w:rPr>
                <w:rFonts w:cs="Arial"/>
                <w:color w:val="347B9F"/>
              </w:rPr>
              <w:t>ria</w:t>
            </w:r>
            <w:r w:rsidR="000C2F34" w:rsidRPr="001860B3">
              <w:rPr>
                <w:rFonts w:cs="Arial"/>
                <w:color w:val="347B9F"/>
              </w:rPr>
              <w:t>l or statistical data</w:t>
            </w:r>
            <w:r w:rsidR="00B526F4" w:rsidRPr="001860B3">
              <w:rPr>
                <w:rFonts w:cs="Arial"/>
                <w:color w:val="347B9F"/>
              </w:rPr>
              <w:t xml:space="preserve">, the following </w:t>
            </w:r>
            <w:r w:rsidR="004917F4" w:rsidRPr="001860B3">
              <w:rPr>
                <w:rFonts w:cs="Arial"/>
                <w:color w:val="347B9F"/>
              </w:rPr>
              <w:t>matters may be considered:</w:t>
            </w:r>
          </w:p>
          <w:p w14:paraId="53DE0232" w14:textId="70EC52A1" w:rsidR="00031CA0" w:rsidRPr="001860B3" w:rsidRDefault="00031CA0" w:rsidP="008332C1">
            <w:pPr>
              <w:pStyle w:val="ListParagraph"/>
              <w:spacing w:after="120"/>
              <w:ind w:left="1440"/>
              <w:rPr>
                <w:rFonts w:cs="Arial"/>
                <w:color w:val="347B9F"/>
              </w:rPr>
            </w:pPr>
            <w:r w:rsidRPr="001860B3">
              <w:rPr>
                <w:rFonts w:cs="Arial"/>
                <w:color w:val="347B9F"/>
              </w:rPr>
              <w:t xml:space="preserve">• </w:t>
            </w:r>
            <w:r w:rsidR="00B526F4" w:rsidRPr="001860B3">
              <w:rPr>
                <w:rFonts w:cs="Arial"/>
                <w:color w:val="347B9F"/>
              </w:rPr>
              <w:t xml:space="preserve">whether the data </w:t>
            </w:r>
            <w:r w:rsidR="00B213C5" w:rsidRPr="001860B3">
              <w:rPr>
                <w:rFonts w:cs="Arial"/>
                <w:color w:val="347B9F"/>
              </w:rPr>
              <w:t>is</w:t>
            </w:r>
            <w:r w:rsidRPr="001860B3">
              <w:rPr>
                <w:rFonts w:cs="Arial"/>
                <w:color w:val="347B9F"/>
              </w:rPr>
              <w:t xml:space="preserve"> up to date </w:t>
            </w:r>
          </w:p>
          <w:p w14:paraId="347B8B59" w14:textId="0AFB0297" w:rsidR="00031CA0" w:rsidRPr="001860B3" w:rsidRDefault="00031CA0" w:rsidP="008332C1">
            <w:pPr>
              <w:pStyle w:val="ListParagraph"/>
              <w:spacing w:after="120"/>
              <w:ind w:left="1440"/>
              <w:rPr>
                <w:rFonts w:cs="Arial"/>
                <w:color w:val="347B9F"/>
              </w:rPr>
            </w:pPr>
            <w:r w:rsidRPr="001860B3">
              <w:rPr>
                <w:rFonts w:cs="Arial"/>
                <w:color w:val="347B9F"/>
              </w:rPr>
              <w:t xml:space="preserve">• </w:t>
            </w:r>
            <w:r w:rsidR="00B526F4" w:rsidRPr="001860B3">
              <w:rPr>
                <w:rFonts w:cs="Arial"/>
                <w:color w:val="347B9F"/>
              </w:rPr>
              <w:t xml:space="preserve">whether the </w:t>
            </w:r>
            <w:r w:rsidR="004917F4" w:rsidRPr="001860B3">
              <w:rPr>
                <w:rFonts w:cs="Arial"/>
                <w:color w:val="347B9F"/>
              </w:rPr>
              <w:t>data</w:t>
            </w:r>
            <w:r w:rsidR="00B526F4" w:rsidRPr="001860B3">
              <w:rPr>
                <w:rFonts w:cs="Arial"/>
                <w:color w:val="347B9F"/>
              </w:rPr>
              <w:t xml:space="preserve"> is</w:t>
            </w:r>
            <w:r w:rsidRPr="001860B3">
              <w:rPr>
                <w:rFonts w:cs="Arial"/>
                <w:color w:val="347B9F"/>
              </w:rPr>
              <w:t xml:space="preserve"> relevant to the type and terms or conditions of the policy </w:t>
            </w:r>
          </w:p>
          <w:p w14:paraId="57C6A2F2" w14:textId="629FCEF2" w:rsidR="000F4F89" w:rsidRPr="001860B3" w:rsidRDefault="00031CA0" w:rsidP="008332C1">
            <w:pPr>
              <w:pStyle w:val="ListParagraph"/>
              <w:spacing w:after="120"/>
              <w:ind w:left="1440"/>
              <w:rPr>
                <w:rFonts w:cs="Arial"/>
                <w:color w:val="347B9F"/>
              </w:rPr>
            </w:pPr>
            <w:r w:rsidRPr="001860B3">
              <w:rPr>
                <w:rFonts w:cs="Arial"/>
                <w:color w:val="347B9F"/>
              </w:rPr>
              <w:t xml:space="preserve">• </w:t>
            </w:r>
            <w:r w:rsidR="004917F4" w:rsidRPr="001860B3">
              <w:rPr>
                <w:rFonts w:cs="Arial"/>
                <w:color w:val="347B9F"/>
              </w:rPr>
              <w:t>whether the data is from</w:t>
            </w:r>
            <w:r w:rsidRPr="001860B3">
              <w:rPr>
                <w:rFonts w:cs="Arial"/>
                <w:color w:val="347B9F"/>
              </w:rPr>
              <w:t xml:space="preserve"> a reasonable source </w:t>
            </w:r>
          </w:p>
          <w:p w14:paraId="67AD0C0C" w14:textId="77777777" w:rsidR="004917F4" w:rsidRPr="001860B3" w:rsidRDefault="00031CA0" w:rsidP="008332C1">
            <w:pPr>
              <w:pStyle w:val="ListParagraph"/>
              <w:spacing w:after="120"/>
              <w:ind w:left="1440"/>
              <w:rPr>
                <w:rFonts w:cs="Arial"/>
                <w:color w:val="347B9F"/>
              </w:rPr>
            </w:pPr>
            <w:r w:rsidRPr="001860B3">
              <w:rPr>
                <w:rFonts w:cs="Arial"/>
                <w:color w:val="347B9F"/>
              </w:rPr>
              <w:t xml:space="preserve">• </w:t>
            </w:r>
            <w:r w:rsidR="004917F4" w:rsidRPr="001860B3">
              <w:rPr>
                <w:rFonts w:cs="Arial"/>
                <w:color w:val="347B9F"/>
              </w:rPr>
              <w:t xml:space="preserve">whether the data is </w:t>
            </w:r>
            <w:r w:rsidRPr="001860B3">
              <w:rPr>
                <w:rFonts w:cs="Arial"/>
                <w:color w:val="347B9F"/>
              </w:rPr>
              <w:t>from an Australian data source, or if from overseas, how it is applicable in the local context</w:t>
            </w:r>
          </w:p>
          <w:p w14:paraId="1EED6336" w14:textId="498E0F80" w:rsidR="00291A77" w:rsidRPr="001860B3" w:rsidRDefault="004917F4" w:rsidP="008332C1">
            <w:pPr>
              <w:pStyle w:val="ListParagraph"/>
              <w:spacing w:after="120"/>
              <w:ind w:left="1440"/>
              <w:rPr>
                <w:rFonts w:cs="Arial"/>
                <w:color w:val="347B9F"/>
              </w:rPr>
            </w:pPr>
            <w:r w:rsidRPr="001860B3">
              <w:rPr>
                <w:rFonts w:cs="Arial"/>
                <w:color w:val="347B9F"/>
              </w:rPr>
              <w:t xml:space="preserve">whether the data </w:t>
            </w:r>
            <w:r w:rsidR="00B526F4" w:rsidRPr="001860B3">
              <w:rPr>
                <w:rFonts w:cs="Arial"/>
                <w:color w:val="347B9F"/>
              </w:rPr>
              <w:t>indicates that the person poses an ‘unacceptable risk’</w:t>
            </w:r>
            <w:r w:rsidRPr="001860B3">
              <w:rPr>
                <w:rFonts w:cs="Arial"/>
                <w:color w:val="347B9F"/>
              </w:rPr>
              <w:t>.</w:t>
            </w:r>
          </w:p>
          <w:p w14:paraId="2B157AC1" w14:textId="77F05D5E" w:rsidR="00031CA0" w:rsidRPr="00ED0DDB" w:rsidRDefault="00031CA0" w:rsidP="001860B3">
            <w:pPr>
              <w:spacing w:after="120"/>
              <w:rPr>
                <w:rFonts w:cs="Arial"/>
              </w:rPr>
            </w:pPr>
          </w:p>
        </w:tc>
      </w:tr>
      <w:tr w:rsidR="00194220" w:rsidRPr="001C5161" w14:paraId="7C4D91F7" w14:textId="77777777" w:rsidTr="13DB787C">
        <w:tc>
          <w:tcPr>
            <w:tcW w:w="2132" w:type="dxa"/>
          </w:tcPr>
          <w:p w14:paraId="124FAA92" w14:textId="77777777" w:rsidR="00194220" w:rsidRDefault="00194220" w:rsidP="001860B3">
            <w:pPr>
              <w:spacing w:after="120"/>
              <w:rPr>
                <w:rFonts w:cs="Arial"/>
              </w:rPr>
            </w:pPr>
            <w:r>
              <w:rPr>
                <w:rFonts w:cs="Arial"/>
              </w:rPr>
              <w:t>Cl 57</w:t>
            </w:r>
          </w:p>
          <w:p w14:paraId="12D8027C" w14:textId="6764E58C" w:rsidR="00194220" w:rsidRDefault="00194220" w:rsidP="001860B3">
            <w:pPr>
              <w:spacing w:after="120"/>
              <w:rPr>
                <w:rFonts w:cs="Arial"/>
              </w:rPr>
            </w:pPr>
            <w:r>
              <w:rPr>
                <w:rFonts w:cs="Arial"/>
              </w:rPr>
              <w:t>Citizenship or visa requirements imposed under State government policies etc.</w:t>
            </w:r>
          </w:p>
        </w:tc>
        <w:tc>
          <w:tcPr>
            <w:tcW w:w="5380" w:type="dxa"/>
          </w:tcPr>
          <w:p w14:paraId="7FC338C7" w14:textId="77777777" w:rsidR="00194220" w:rsidRDefault="0072564B" w:rsidP="001860B3">
            <w:pPr>
              <w:spacing w:after="120"/>
              <w:rPr>
                <w:rFonts w:cs="Arial"/>
              </w:rPr>
            </w:pPr>
            <w:r>
              <w:rPr>
                <w:rFonts w:cs="Arial"/>
              </w:rPr>
              <w:t xml:space="preserve">Inconsistent with </w:t>
            </w:r>
            <w:r>
              <w:rPr>
                <w:rFonts w:cs="Arial"/>
                <w:i/>
                <w:iCs/>
              </w:rPr>
              <w:t xml:space="preserve">Building belonging </w:t>
            </w:r>
            <w:r>
              <w:rPr>
                <w:rFonts w:cs="Arial"/>
              </w:rPr>
              <w:t>review recommendation 25.3, that recommended that decisions and actions made under the provision should be compatible with the Human Rights Act.</w:t>
            </w:r>
          </w:p>
          <w:p w14:paraId="2ED47870" w14:textId="67A285CA" w:rsidR="005B33F2" w:rsidRDefault="00F1115A" w:rsidP="001860B3">
            <w:pPr>
              <w:spacing w:after="120"/>
              <w:rPr>
                <w:rFonts w:cs="Arial"/>
              </w:rPr>
            </w:pPr>
            <w:r>
              <w:rPr>
                <w:rFonts w:cs="Arial"/>
              </w:rPr>
              <w:t>Several</w:t>
            </w:r>
            <w:r w:rsidR="0072564B">
              <w:rPr>
                <w:rFonts w:cs="Arial"/>
              </w:rPr>
              <w:t xml:space="preserve"> exceptions have had the words ‘reasonable and proportionate’</w:t>
            </w:r>
            <w:r w:rsidR="005B33F2">
              <w:rPr>
                <w:rFonts w:cs="Arial"/>
              </w:rPr>
              <w:t xml:space="preserve"> </w:t>
            </w:r>
            <w:proofErr w:type="gramStart"/>
            <w:r w:rsidR="005B33F2">
              <w:rPr>
                <w:rFonts w:cs="Arial"/>
              </w:rPr>
              <w:t>added,</w:t>
            </w:r>
            <w:proofErr w:type="gramEnd"/>
            <w:r w:rsidR="005B33F2">
              <w:rPr>
                <w:rFonts w:cs="Arial"/>
              </w:rPr>
              <w:t xml:space="preserve"> to ‘ensure that an appropriate balance is struck between the legitimate objective of the discrimination within the scope of the exception and the rights and interest of individuals who would be affected by the discrimination.’</w:t>
            </w:r>
            <w:r w:rsidR="005C33C4">
              <w:rPr>
                <w:rStyle w:val="FootnoteReference"/>
                <w:rFonts w:cs="Arial"/>
              </w:rPr>
              <w:footnoteReference w:id="7"/>
            </w:r>
          </w:p>
          <w:p w14:paraId="3F6C5058" w14:textId="77777777" w:rsidR="005B33F2" w:rsidRDefault="005B33F2" w:rsidP="001860B3">
            <w:pPr>
              <w:spacing w:after="120"/>
              <w:rPr>
                <w:rFonts w:cs="Arial"/>
              </w:rPr>
            </w:pPr>
            <w:r>
              <w:rPr>
                <w:rFonts w:cs="Arial"/>
              </w:rPr>
              <w:t xml:space="preserve">Of all the exceptions in the draft Bill, the QHRC considers that </w:t>
            </w:r>
            <w:r w:rsidR="00F16547">
              <w:rPr>
                <w:rFonts w:cs="Arial"/>
              </w:rPr>
              <w:t xml:space="preserve">a proportionality aspect is most </w:t>
            </w:r>
            <w:r w:rsidR="00C31BAF">
              <w:rPr>
                <w:rFonts w:cs="Arial"/>
              </w:rPr>
              <w:t>pertinent</w:t>
            </w:r>
            <w:r w:rsidR="00F16547">
              <w:rPr>
                <w:rFonts w:cs="Arial"/>
              </w:rPr>
              <w:t xml:space="preserve"> in the case of this exception, that only applies to public entities making decisions about eligibility of persons for programs.</w:t>
            </w:r>
            <w:r w:rsidR="00C31BAF">
              <w:rPr>
                <w:rFonts w:cs="Arial"/>
              </w:rPr>
              <w:t xml:space="preserve"> </w:t>
            </w:r>
          </w:p>
          <w:p w14:paraId="03E41050" w14:textId="23DF3476" w:rsidR="00C31BAF" w:rsidRPr="0072564B" w:rsidRDefault="00C31BAF" w:rsidP="001860B3">
            <w:pPr>
              <w:spacing w:after="120"/>
              <w:rPr>
                <w:rFonts w:cs="Arial"/>
              </w:rPr>
            </w:pPr>
            <w:r>
              <w:rPr>
                <w:rFonts w:cs="Arial"/>
              </w:rPr>
              <w:t>An alternative to achieve the purposes of the recommendation is to include the words ‘reasonable and proportionate’ in the drafting of this provision.</w:t>
            </w:r>
          </w:p>
        </w:tc>
        <w:tc>
          <w:tcPr>
            <w:tcW w:w="6952" w:type="dxa"/>
          </w:tcPr>
          <w:p w14:paraId="1A4DD0BA" w14:textId="128511EF" w:rsidR="00464BBA" w:rsidRDefault="00C31BAF" w:rsidP="001860B3">
            <w:pPr>
              <w:spacing w:after="120"/>
              <w:rPr>
                <w:rFonts w:cs="Arial"/>
              </w:rPr>
            </w:pPr>
            <w:r>
              <w:rPr>
                <w:rFonts w:cs="Arial"/>
              </w:rPr>
              <w:t xml:space="preserve">Amend </w:t>
            </w:r>
            <w:r w:rsidR="00D62E12">
              <w:rPr>
                <w:rFonts w:cs="Arial"/>
              </w:rPr>
              <w:t>cl 57</w:t>
            </w:r>
            <w:r w:rsidR="00464BBA">
              <w:rPr>
                <w:rFonts w:cs="Arial"/>
              </w:rPr>
              <w:t>(1) as follows:</w:t>
            </w:r>
          </w:p>
          <w:p w14:paraId="16543532" w14:textId="4E9469C5" w:rsidR="00464BBA" w:rsidRPr="001860B3" w:rsidRDefault="00464BBA" w:rsidP="001860B3">
            <w:pPr>
              <w:pStyle w:val="ListParagraph"/>
              <w:numPr>
                <w:ilvl w:val="0"/>
                <w:numId w:val="13"/>
              </w:numPr>
              <w:spacing w:after="120"/>
              <w:rPr>
                <w:rFonts w:cs="Arial"/>
                <w:color w:val="347B9F"/>
              </w:rPr>
            </w:pPr>
            <w:r>
              <w:rPr>
                <w:rFonts w:cs="Arial"/>
              </w:rPr>
              <w:t>This Act does not apply in relation to</w:t>
            </w:r>
            <w:r w:rsidR="00DB736D">
              <w:rPr>
                <w:rFonts w:cs="Arial"/>
              </w:rPr>
              <w:t xml:space="preserve"> </w:t>
            </w:r>
            <w:r w:rsidR="00DB736D" w:rsidRPr="001860B3">
              <w:rPr>
                <w:rFonts w:cs="Arial"/>
                <w:color w:val="347B9F"/>
              </w:rPr>
              <w:t>reasonable and proportionate decisions or actions about</w:t>
            </w:r>
            <w:r w:rsidRPr="001860B3">
              <w:rPr>
                <w:rFonts w:cs="Arial"/>
                <w:color w:val="347B9F"/>
              </w:rPr>
              <w:t xml:space="preserve"> –</w:t>
            </w:r>
          </w:p>
          <w:p w14:paraId="5F52888E" w14:textId="4C593BB4" w:rsidR="00194220" w:rsidRPr="00464BBA" w:rsidRDefault="00C31BAF" w:rsidP="001860B3">
            <w:pPr>
              <w:pStyle w:val="ListParagraph"/>
              <w:spacing w:after="120"/>
              <w:rPr>
                <w:rFonts w:cs="Arial"/>
              </w:rPr>
            </w:pPr>
            <w:r w:rsidRPr="00464BBA">
              <w:rPr>
                <w:rFonts w:cs="Arial"/>
              </w:rPr>
              <w:t xml:space="preserve"> </w:t>
            </w:r>
          </w:p>
        </w:tc>
      </w:tr>
      <w:tr w:rsidR="0059028E" w:rsidRPr="001C5161" w14:paraId="609A5ECC" w14:textId="77777777" w:rsidTr="13DB787C">
        <w:tc>
          <w:tcPr>
            <w:tcW w:w="2132" w:type="dxa"/>
          </w:tcPr>
          <w:p w14:paraId="1C28C9E0" w14:textId="77777777" w:rsidR="0059028E" w:rsidRDefault="002951E8" w:rsidP="001860B3">
            <w:pPr>
              <w:spacing w:after="120"/>
              <w:rPr>
                <w:rFonts w:cs="Arial"/>
              </w:rPr>
            </w:pPr>
            <w:r>
              <w:rPr>
                <w:rFonts w:cs="Arial"/>
              </w:rPr>
              <w:t>Cl 61</w:t>
            </w:r>
          </w:p>
          <w:p w14:paraId="28277D9C" w14:textId="6387FFD2" w:rsidR="002951E8" w:rsidRDefault="002951E8" w:rsidP="001860B3">
            <w:pPr>
              <w:spacing w:after="120"/>
              <w:rPr>
                <w:rFonts w:cs="Arial"/>
              </w:rPr>
            </w:pPr>
            <w:r>
              <w:rPr>
                <w:rFonts w:cs="Arial"/>
              </w:rPr>
              <w:t>Roles in religious bodies</w:t>
            </w:r>
          </w:p>
        </w:tc>
        <w:tc>
          <w:tcPr>
            <w:tcW w:w="5380" w:type="dxa"/>
          </w:tcPr>
          <w:p w14:paraId="0E0A93B4" w14:textId="6D896A95" w:rsidR="0059028E" w:rsidRPr="0053220C" w:rsidRDefault="0053220C" w:rsidP="001860B3">
            <w:pPr>
              <w:spacing w:after="120"/>
              <w:rPr>
                <w:rFonts w:cs="Arial"/>
              </w:rPr>
            </w:pPr>
            <w:r w:rsidRPr="5C73A9CA">
              <w:rPr>
                <w:rFonts w:cs="Arial"/>
              </w:rPr>
              <w:t xml:space="preserve">Refer to </w:t>
            </w:r>
            <w:r w:rsidRPr="5C73A9CA">
              <w:rPr>
                <w:rFonts w:cs="Arial"/>
                <w:i/>
                <w:iCs/>
              </w:rPr>
              <w:t>Priority concerns</w:t>
            </w:r>
            <w:r w:rsidRPr="5C73A9CA">
              <w:rPr>
                <w:rFonts w:cs="Arial"/>
              </w:rPr>
              <w:t>:</w:t>
            </w:r>
            <w:r>
              <w:rPr>
                <w:rFonts w:cs="Arial"/>
              </w:rPr>
              <w:t xml:space="preserve"> </w:t>
            </w:r>
            <w:r>
              <w:rPr>
                <w:rFonts w:cs="Arial"/>
                <w:i/>
                <w:iCs/>
              </w:rPr>
              <w:t xml:space="preserve">Religious exceptions </w:t>
            </w:r>
            <w:r>
              <w:rPr>
                <w:rFonts w:cs="Arial"/>
              </w:rPr>
              <w:t>in this submission.</w:t>
            </w:r>
          </w:p>
        </w:tc>
        <w:tc>
          <w:tcPr>
            <w:tcW w:w="6952" w:type="dxa"/>
          </w:tcPr>
          <w:p w14:paraId="7D012F6B" w14:textId="202E8550" w:rsidR="009355C7" w:rsidRPr="00AF1400" w:rsidRDefault="00AF1400" w:rsidP="00AF1400">
            <w:pPr>
              <w:spacing w:after="120"/>
              <w:textAlignment w:val="baseline"/>
              <w:rPr>
                <w:rFonts w:cs="Arial"/>
                <w:kern w:val="0"/>
                <w:lang w:eastAsia="zh-CN" w:bidi="th-TH"/>
              </w:rPr>
            </w:pPr>
            <w:r>
              <w:rPr>
                <w:rFonts w:cs="Arial"/>
                <w:kern w:val="0"/>
                <w:lang w:eastAsia="zh-CN" w:bidi="th-TH"/>
              </w:rPr>
              <w:t>Omit clause 61(2)(b).</w:t>
            </w:r>
          </w:p>
          <w:p w14:paraId="46D1258D" w14:textId="4F910218" w:rsidR="0059028E" w:rsidRDefault="0059028E" w:rsidP="001860B3">
            <w:pPr>
              <w:spacing w:after="120"/>
              <w:rPr>
                <w:rFonts w:cs="Arial"/>
              </w:rPr>
            </w:pPr>
          </w:p>
        </w:tc>
      </w:tr>
      <w:tr w:rsidR="002951E8" w:rsidRPr="001C5161" w14:paraId="16C35B51" w14:textId="77777777" w:rsidTr="13DB787C">
        <w:tc>
          <w:tcPr>
            <w:tcW w:w="2132" w:type="dxa"/>
          </w:tcPr>
          <w:p w14:paraId="690A3872" w14:textId="77777777" w:rsidR="002951E8" w:rsidRDefault="002951E8" w:rsidP="001860B3">
            <w:pPr>
              <w:spacing w:after="120"/>
              <w:rPr>
                <w:rFonts w:cs="Arial"/>
              </w:rPr>
            </w:pPr>
            <w:r>
              <w:rPr>
                <w:rFonts w:cs="Arial"/>
              </w:rPr>
              <w:t>Cl 62</w:t>
            </w:r>
          </w:p>
          <w:p w14:paraId="276605FC" w14:textId="08684ED9" w:rsidR="002951E8" w:rsidRDefault="002951E8" w:rsidP="001860B3">
            <w:pPr>
              <w:spacing w:after="120"/>
              <w:rPr>
                <w:rFonts w:cs="Arial"/>
              </w:rPr>
            </w:pPr>
            <w:r w:rsidRPr="13DB787C">
              <w:rPr>
                <w:rFonts w:cs="Arial"/>
              </w:rPr>
              <w:t xml:space="preserve">Acts </w:t>
            </w:r>
            <w:r w:rsidR="00B41357" w:rsidRPr="13DB787C">
              <w:rPr>
                <w:rFonts w:cs="Arial"/>
              </w:rPr>
              <w:t>by</w:t>
            </w:r>
            <w:r w:rsidRPr="13DB787C">
              <w:rPr>
                <w:rFonts w:cs="Arial"/>
              </w:rPr>
              <w:t xml:space="preserve"> religious bodies</w:t>
            </w:r>
          </w:p>
        </w:tc>
        <w:tc>
          <w:tcPr>
            <w:tcW w:w="5380" w:type="dxa"/>
          </w:tcPr>
          <w:p w14:paraId="0E341209" w14:textId="41F98553" w:rsidR="002951E8" w:rsidRDefault="00F658F1" w:rsidP="001860B3">
            <w:pPr>
              <w:spacing w:after="120"/>
              <w:rPr>
                <w:rFonts w:cs="Arial"/>
              </w:rPr>
            </w:pPr>
            <w:r w:rsidRPr="00F658F1">
              <w:rPr>
                <w:rFonts w:cs="Arial"/>
              </w:rPr>
              <w:t xml:space="preserve">This clause provides that the relevant conduct must comply with the ‘doctrines, tenets or beliefs of the body’. In other legislation with equivalent exceptions, such as the </w:t>
            </w:r>
            <w:r w:rsidRPr="0046635C">
              <w:rPr>
                <w:rFonts w:cs="Arial"/>
                <w:i/>
                <w:iCs/>
              </w:rPr>
              <w:t>Sex Discrimination Act 1984</w:t>
            </w:r>
            <w:r w:rsidRPr="00F658F1">
              <w:rPr>
                <w:rFonts w:cs="Arial"/>
              </w:rPr>
              <w:t xml:space="preserve"> (</w:t>
            </w:r>
            <w:proofErr w:type="spellStart"/>
            <w:r w:rsidRPr="00F658F1">
              <w:rPr>
                <w:rFonts w:cs="Arial"/>
              </w:rPr>
              <w:t>Cth</w:t>
            </w:r>
            <w:proofErr w:type="spellEnd"/>
            <w:r w:rsidRPr="00F658F1">
              <w:rPr>
                <w:rFonts w:cs="Arial"/>
              </w:rPr>
              <w:t>),</w:t>
            </w:r>
            <w:r w:rsidR="0046635C">
              <w:rPr>
                <w:rFonts w:cs="Arial"/>
              </w:rPr>
              <w:t xml:space="preserve"> s</w:t>
            </w:r>
            <w:r w:rsidR="002411B9">
              <w:rPr>
                <w:rFonts w:cs="Arial"/>
              </w:rPr>
              <w:t>ection</w:t>
            </w:r>
            <w:r w:rsidR="0046635C">
              <w:rPr>
                <w:rFonts w:cs="Arial"/>
              </w:rPr>
              <w:t> 37(</w:t>
            </w:r>
            <w:r w:rsidR="007F799B">
              <w:rPr>
                <w:rFonts w:cs="Arial"/>
              </w:rPr>
              <w:t>1)(d)</w:t>
            </w:r>
            <w:r w:rsidRPr="00F658F1">
              <w:rPr>
                <w:rFonts w:cs="Arial"/>
              </w:rPr>
              <w:t xml:space="preserve"> and in the existing provision in the A</w:t>
            </w:r>
            <w:r w:rsidR="0046635C">
              <w:rPr>
                <w:rFonts w:cs="Arial"/>
              </w:rPr>
              <w:t>nti-Discrimination Act</w:t>
            </w:r>
            <w:r w:rsidR="007F799B">
              <w:rPr>
                <w:rFonts w:cs="Arial"/>
              </w:rPr>
              <w:t>, s</w:t>
            </w:r>
            <w:r w:rsidR="002411B9">
              <w:rPr>
                <w:rFonts w:cs="Arial"/>
              </w:rPr>
              <w:t>ection</w:t>
            </w:r>
            <w:r w:rsidR="007F799B">
              <w:rPr>
                <w:rFonts w:cs="Arial"/>
              </w:rPr>
              <w:t xml:space="preserve"> </w:t>
            </w:r>
            <w:r w:rsidR="00794695">
              <w:rPr>
                <w:rFonts w:cs="Arial"/>
              </w:rPr>
              <w:t>109</w:t>
            </w:r>
            <w:r w:rsidR="0046635C">
              <w:rPr>
                <w:rFonts w:cs="Arial"/>
              </w:rPr>
              <w:t>,</w:t>
            </w:r>
            <w:r w:rsidRPr="00F658F1">
              <w:rPr>
                <w:rFonts w:cs="Arial"/>
              </w:rPr>
              <w:t xml:space="preserve"> the conduct must comply with the doctrines </w:t>
            </w:r>
            <w:r w:rsidRPr="00F658F1">
              <w:rPr>
                <w:rFonts w:cs="Arial"/>
              </w:rPr>
              <w:lastRenderedPageBreak/>
              <w:t xml:space="preserve">(and/or tenets or beliefs) of the religion concerned. </w:t>
            </w:r>
            <w:r w:rsidR="00AC4DD3">
              <w:rPr>
                <w:rFonts w:cs="Arial"/>
              </w:rPr>
              <w:t>This should not be</w:t>
            </w:r>
            <w:r w:rsidRPr="00F658F1">
              <w:rPr>
                <w:rFonts w:cs="Arial"/>
              </w:rPr>
              <w:t xml:space="preserve"> broaden</w:t>
            </w:r>
            <w:r w:rsidR="00AC4DD3">
              <w:rPr>
                <w:rFonts w:cs="Arial"/>
              </w:rPr>
              <w:t>ed</w:t>
            </w:r>
            <w:r w:rsidRPr="00F658F1">
              <w:rPr>
                <w:rFonts w:cs="Arial"/>
              </w:rPr>
              <w:t xml:space="preserve"> beyond the existing position</w:t>
            </w:r>
            <w:r w:rsidR="00584D43">
              <w:rPr>
                <w:rFonts w:cs="Arial"/>
              </w:rPr>
              <w:t xml:space="preserve">. </w:t>
            </w:r>
          </w:p>
          <w:p w14:paraId="2451BE28" w14:textId="77777777" w:rsidR="00A66357" w:rsidRDefault="00A66357" w:rsidP="001860B3">
            <w:pPr>
              <w:spacing w:after="120"/>
              <w:rPr>
                <w:rFonts w:cs="Arial"/>
              </w:rPr>
            </w:pPr>
            <w:r>
              <w:rPr>
                <w:rFonts w:cs="Arial"/>
              </w:rPr>
              <w:t xml:space="preserve">In addition, the clause has the potential to </w:t>
            </w:r>
            <w:r w:rsidR="005B448F">
              <w:rPr>
                <w:rFonts w:cs="Arial"/>
              </w:rPr>
              <w:t xml:space="preserve">undermine the operation of clauses 49 and 50, concerning </w:t>
            </w:r>
            <w:r w:rsidR="00E73CE3">
              <w:rPr>
                <w:rFonts w:cs="Arial"/>
              </w:rPr>
              <w:t xml:space="preserve">provision of accommodation by </w:t>
            </w:r>
            <w:r w:rsidR="000A09EF">
              <w:rPr>
                <w:rFonts w:cs="Arial"/>
              </w:rPr>
              <w:t>educational authorities</w:t>
            </w:r>
            <w:r w:rsidR="00DB7528">
              <w:rPr>
                <w:rFonts w:cs="Arial"/>
              </w:rPr>
              <w:t>. The</w:t>
            </w:r>
            <w:r w:rsidR="000A09EF">
              <w:rPr>
                <w:rFonts w:cs="Arial"/>
              </w:rPr>
              <w:t xml:space="preserve"> </w:t>
            </w:r>
            <w:r w:rsidR="008A1247">
              <w:rPr>
                <w:rFonts w:cs="Arial"/>
              </w:rPr>
              <w:t>provision of accommodation by educational authorities should be specifically excluded from the operation of this exception.</w:t>
            </w:r>
          </w:p>
          <w:p w14:paraId="100058A9" w14:textId="6AD2AF74" w:rsidR="00DB7528" w:rsidRDefault="00DB7528" w:rsidP="001860B3">
            <w:pPr>
              <w:spacing w:after="120"/>
              <w:rPr>
                <w:rFonts w:cs="Arial"/>
              </w:rPr>
            </w:pPr>
            <w:r>
              <w:rPr>
                <w:rFonts w:cs="Arial"/>
              </w:rPr>
              <w:t xml:space="preserve">For consistency with other exceptions on the grounds of religious belief or religious activity, this should include </w:t>
            </w:r>
            <w:r w:rsidR="00294204">
              <w:rPr>
                <w:rFonts w:cs="Arial"/>
              </w:rPr>
              <w:t xml:space="preserve">a ‘for the avoidance of doubt’ provision confirming that this </w:t>
            </w:r>
            <w:r w:rsidR="00DE49A3">
              <w:rPr>
                <w:rFonts w:cs="Arial"/>
              </w:rPr>
              <w:t>cannot justify</w:t>
            </w:r>
            <w:r w:rsidR="00294204">
              <w:rPr>
                <w:rFonts w:cs="Arial"/>
              </w:rPr>
              <w:t xml:space="preserve"> discrimination on the grounds of other attributes.</w:t>
            </w:r>
          </w:p>
        </w:tc>
        <w:tc>
          <w:tcPr>
            <w:tcW w:w="6952" w:type="dxa"/>
          </w:tcPr>
          <w:p w14:paraId="38C697F5" w14:textId="77777777" w:rsidR="002951E8" w:rsidRDefault="00B73E2B" w:rsidP="001860B3">
            <w:pPr>
              <w:spacing w:after="120"/>
              <w:rPr>
                <w:rFonts w:cs="Arial"/>
              </w:rPr>
            </w:pPr>
            <w:r>
              <w:rPr>
                <w:rFonts w:cs="Arial"/>
              </w:rPr>
              <w:lastRenderedPageBreak/>
              <w:t>Amend cl 62</w:t>
            </w:r>
            <w:r w:rsidR="00585794">
              <w:rPr>
                <w:rFonts w:cs="Arial"/>
              </w:rPr>
              <w:t xml:space="preserve"> as follows:</w:t>
            </w:r>
          </w:p>
          <w:p w14:paraId="7F5508EA" w14:textId="77777777" w:rsidR="00B41357" w:rsidRPr="002928F5" w:rsidRDefault="00B41357" w:rsidP="001860B3">
            <w:pPr>
              <w:spacing w:after="120"/>
              <w:ind w:left="720"/>
              <w:rPr>
                <w:rFonts w:cs="Arial"/>
                <w:b/>
                <w:bCs/>
              </w:rPr>
            </w:pPr>
            <w:r w:rsidRPr="002928F5">
              <w:rPr>
                <w:rFonts w:cs="Arial"/>
                <w:b/>
                <w:bCs/>
              </w:rPr>
              <w:t>Acts by religious bodies</w:t>
            </w:r>
          </w:p>
          <w:p w14:paraId="7C43F54F" w14:textId="77777777" w:rsidR="00B41357" w:rsidRPr="00B41357" w:rsidRDefault="00B41357" w:rsidP="001860B3">
            <w:pPr>
              <w:spacing w:after="120"/>
              <w:ind w:left="720"/>
              <w:rPr>
                <w:rFonts w:cs="Arial"/>
              </w:rPr>
            </w:pPr>
            <w:r w:rsidRPr="00B41357">
              <w:rPr>
                <w:rFonts w:cs="Arial"/>
              </w:rPr>
              <w:t xml:space="preserve">(1) A religious body may discriminate against a person </w:t>
            </w:r>
            <w:proofErr w:type="gramStart"/>
            <w:r w:rsidRPr="00B41357">
              <w:rPr>
                <w:rFonts w:cs="Arial"/>
              </w:rPr>
              <w:t>on the basis of</w:t>
            </w:r>
            <w:proofErr w:type="gramEnd"/>
            <w:r w:rsidRPr="00B41357">
              <w:rPr>
                <w:rFonts w:cs="Arial"/>
              </w:rPr>
              <w:t xml:space="preserve"> the person’s religious belief or religious activity if—</w:t>
            </w:r>
          </w:p>
          <w:p w14:paraId="5626E516" w14:textId="76A94BB9" w:rsidR="00B41357" w:rsidRPr="00B41357" w:rsidRDefault="00B41357" w:rsidP="001860B3">
            <w:pPr>
              <w:spacing w:after="120"/>
              <w:ind w:left="720"/>
              <w:rPr>
                <w:rFonts w:cs="Arial"/>
              </w:rPr>
            </w:pPr>
            <w:r w:rsidRPr="00B41357">
              <w:rPr>
                <w:rFonts w:cs="Arial"/>
              </w:rPr>
              <w:lastRenderedPageBreak/>
              <w:t xml:space="preserve">(a) the act constituting the discrimination conforms to the doctrines, </w:t>
            </w:r>
            <w:proofErr w:type="gramStart"/>
            <w:r w:rsidRPr="00B41357">
              <w:rPr>
                <w:rFonts w:cs="Arial"/>
              </w:rPr>
              <w:t>tenets</w:t>
            </w:r>
            <w:proofErr w:type="gramEnd"/>
            <w:r w:rsidRPr="00B41357">
              <w:rPr>
                <w:rFonts w:cs="Arial"/>
              </w:rPr>
              <w:t xml:space="preserve"> or beliefs of the religious </w:t>
            </w:r>
            <w:r w:rsidR="00645985" w:rsidRPr="00645985">
              <w:rPr>
                <w:rFonts w:cs="Arial"/>
                <w:strike/>
              </w:rPr>
              <w:t>body</w:t>
            </w:r>
            <w:r w:rsidR="00645985">
              <w:rPr>
                <w:rFonts w:cs="Arial"/>
              </w:rPr>
              <w:t xml:space="preserve"> </w:t>
            </w:r>
            <w:r w:rsidRPr="001860B3">
              <w:rPr>
                <w:rFonts w:cs="Arial"/>
                <w:color w:val="347B9F"/>
              </w:rPr>
              <w:t>body’s religion</w:t>
            </w:r>
            <w:r w:rsidRPr="00B41357">
              <w:rPr>
                <w:rFonts w:cs="Arial"/>
              </w:rPr>
              <w:t>; and</w:t>
            </w:r>
          </w:p>
          <w:p w14:paraId="2D2F73E8" w14:textId="77777777" w:rsidR="00B41357" w:rsidRPr="00B41357" w:rsidRDefault="00B41357" w:rsidP="001860B3">
            <w:pPr>
              <w:spacing w:after="120"/>
              <w:ind w:left="720"/>
              <w:rPr>
                <w:rFonts w:cs="Arial"/>
              </w:rPr>
            </w:pPr>
            <w:r w:rsidRPr="00B41357">
              <w:rPr>
                <w:rFonts w:cs="Arial"/>
              </w:rPr>
              <w:t>(b) the discrimination is reasonable and proportionate in the circumstances.</w:t>
            </w:r>
          </w:p>
          <w:p w14:paraId="226A9A98" w14:textId="5A4C7D2E" w:rsidR="004C51C5" w:rsidRDefault="00B41357" w:rsidP="001860B3">
            <w:pPr>
              <w:spacing w:after="120"/>
              <w:ind w:left="720"/>
              <w:rPr>
                <w:rFonts w:cs="Arial"/>
              </w:rPr>
            </w:pPr>
            <w:r w:rsidRPr="00B41357">
              <w:rPr>
                <w:rFonts w:cs="Arial"/>
              </w:rPr>
              <w:t>(2) Subsection (1) does not apply to</w:t>
            </w:r>
            <w:r w:rsidR="004C51C5">
              <w:rPr>
                <w:rFonts w:cs="Arial"/>
              </w:rPr>
              <w:t>—</w:t>
            </w:r>
          </w:p>
          <w:p w14:paraId="61C61D07" w14:textId="77777777" w:rsidR="004C51C5" w:rsidRDefault="004C51C5" w:rsidP="001860B3">
            <w:pPr>
              <w:spacing w:after="120"/>
              <w:ind w:left="720"/>
              <w:rPr>
                <w:rFonts w:cs="Arial"/>
              </w:rPr>
            </w:pPr>
            <w:r>
              <w:rPr>
                <w:rFonts w:cs="Arial"/>
              </w:rPr>
              <w:t xml:space="preserve">(a) </w:t>
            </w:r>
            <w:r w:rsidR="00B41357" w:rsidRPr="00B41357">
              <w:rPr>
                <w:rFonts w:cs="Arial"/>
              </w:rPr>
              <w:t xml:space="preserve"> an activity to which division 2 or 3</w:t>
            </w:r>
            <w:r>
              <w:rPr>
                <w:rFonts w:cs="Arial"/>
              </w:rPr>
              <w:t xml:space="preserve"> </w:t>
            </w:r>
            <w:r w:rsidR="00B41357" w:rsidRPr="00B41357">
              <w:rPr>
                <w:rFonts w:cs="Arial"/>
              </w:rPr>
              <w:t>applies</w:t>
            </w:r>
            <w:r>
              <w:rPr>
                <w:rFonts w:cs="Arial"/>
              </w:rPr>
              <w:t xml:space="preserve">; </w:t>
            </w:r>
            <w:r w:rsidRPr="00E1147A">
              <w:rPr>
                <w:rFonts w:cs="Arial"/>
                <w:color w:val="347B9F"/>
              </w:rPr>
              <w:t>or</w:t>
            </w:r>
          </w:p>
          <w:p w14:paraId="107E48E0" w14:textId="43A312DD" w:rsidR="00B41357" w:rsidRPr="00501850" w:rsidRDefault="004C51C5" w:rsidP="001860B3">
            <w:pPr>
              <w:spacing w:after="120"/>
              <w:ind w:left="720"/>
              <w:rPr>
                <w:rFonts w:cs="Arial"/>
                <w:color w:val="347B9F"/>
              </w:rPr>
            </w:pPr>
            <w:r w:rsidRPr="00D85E5A">
              <w:rPr>
                <w:rFonts w:cs="Arial"/>
                <w:color w:val="347B9F"/>
              </w:rPr>
              <w:t>(</w:t>
            </w:r>
            <w:r w:rsidRPr="00501850">
              <w:rPr>
                <w:rFonts w:cs="Arial"/>
                <w:color w:val="347B9F"/>
              </w:rPr>
              <w:t>b) an activity by an educational</w:t>
            </w:r>
            <w:r w:rsidR="00AE4675" w:rsidRPr="00501850">
              <w:rPr>
                <w:rFonts w:cs="Arial"/>
                <w:color w:val="347B9F"/>
              </w:rPr>
              <w:t xml:space="preserve"> authority</w:t>
            </w:r>
            <w:r w:rsidRPr="00501850">
              <w:rPr>
                <w:rFonts w:cs="Arial"/>
                <w:color w:val="347B9F"/>
              </w:rPr>
              <w:t xml:space="preserve"> to which </w:t>
            </w:r>
            <w:r w:rsidR="00AE4675" w:rsidRPr="00501850">
              <w:rPr>
                <w:rFonts w:cs="Arial"/>
                <w:color w:val="347B9F"/>
              </w:rPr>
              <w:t xml:space="preserve">division 6 </w:t>
            </w:r>
            <w:r w:rsidR="00AE4675" w:rsidRPr="00AB2A0F">
              <w:rPr>
                <w:rFonts w:cs="Arial"/>
                <w:color w:val="347B9F"/>
              </w:rPr>
              <w:t>applies</w:t>
            </w:r>
            <w:r w:rsidR="00B41357" w:rsidRPr="00AB2A0F">
              <w:rPr>
                <w:rFonts w:cs="Arial"/>
                <w:color w:val="347B9F"/>
              </w:rPr>
              <w:t>.</w:t>
            </w:r>
          </w:p>
          <w:p w14:paraId="4128E46F" w14:textId="77777777" w:rsidR="00B41357" w:rsidRPr="00B41357" w:rsidRDefault="00B41357" w:rsidP="001860B3">
            <w:pPr>
              <w:spacing w:after="120"/>
              <w:ind w:left="1440"/>
              <w:rPr>
                <w:rFonts w:cs="Arial"/>
              </w:rPr>
            </w:pPr>
            <w:r w:rsidRPr="00B41357">
              <w:rPr>
                <w:rFonts w:cs="Arial"/>
              </w:rPr>
              <w:t>Note—</w:t>
            </w:r>
          </w:p>
          <w:p w14:paraId="58D050C3" w14:textId="77777777" w:rsidR="00B41357" w:rsidRPr="00B41357" w:rsidRDefault="00B41357" w:rsidP="001860B3">
            <w:pPr>
              <w:spacing w:after="120"/>
              <w:ind w:left="1440"/>
              <w:rPr>
                <w:rFonts w:cs="Arial"/>
              </w:rPr>
            </w:pPr>
            <w:r w:rsidRPr="00B41357">
              <w:rPr>
                <w:rFonts w:cs="Arial"/>
              </w:rPr>
              <w:t>See, however—</w:t>
            </w:r>
          </w:p>
          <w:p w14:paraId="4AB72BE5" w14:textId="51382906" w:rsidR="00B41357" w:rsidRPr="00B41357" w:rsidRDefault="00B41357" w:rsidP="001860B3">
            <w:pPr>
              <w:spacing w:after="120"/>
              <w:ind w:left="1440"/>
              <w:rPr>
                <w:rFonts w:cs="Arial"/>
              </w:rPr>
            </w:pPr>
            <w:r w:rsidRPr="00B41357">
              <w:rPr>
                <w:rFonts w:cs="Arial"/>
              </w:rPr>
              <w:t xml:space="preserve">(a) section 29 in relation to activities to which division 2 </w:t>
            </w:r>
            <w:proofErr w:type="gramStart"/>
            <w:r w:rsidRPr="00B41357">
              <w:rPr>
                <w:rFonts w:cs="Arial"/>
              </w:rPr>
              <w:t>applies;</w:t>
            </w:r>
            <w:proofErr w:type="gramEnd"/>
            <w:r w:rsidRPr="00B41357">
              <w:rPr>
                <w:rFonts w:cs="Arial"/>
              </w:rPr>
              <w:t xml:space="preserve"> </w:t>
            </w:r>
          </w:p>
          <w:p w14:paraId="701BCEF9" w14:textId="42CA891C" w:rsidR="00B41357" w:rsidRDefault="00B41357" w:rsidP="001860B3">
            <w:pPr>
              <w:spacing w:after="120"/>
              <w:ind w:left="1440"/>
              <w:rPr>
                <w:rFonts w:cs="Arial"/>
              </w:rPr>
            </w:pPr>
            <w:r w:rsidRPr="00B41357">
              <w:rPr>
                <w:rFonts w:cs="Arial"/>
              </w:rPr>
              <w:t>(b) section 36 in relation to activities to which division 3 applies</w:t>
            </w:r>
            <w:r w:rsidR="00AE4675">
              <w:rPr>
                <w:rFonts w:cs="Arial"/>
              </w:rPr>
              <w:t>; and</w:t>
            </w:r>
          </w:p>
          <w:p w14:paraId="6EFAD0EF" w14:textId="36603191" w:rsidR="00AE4675" w:rsidRPr="00501850" w:rsidRDefault="00AE4675" w:rsidP="001860B3">
            <w:pPr>
              <w:spacing w:after="120"/>
              <w:ind w:left="1440"/>
              <w:rPr>
                <w:rFonts w:cs="Arial"/>
                <w:color w:val="347B9F"/>
              </w:rPr>
            </w:pPr>
            <w:r w:rsidRPr="00501850">
              <w:rPr>
                <w:rFonts w:cs="Arial"/>
                <w:color w:val="347B9F"/>
              </w:rPr>
              <w:t>(c)</w:t>
            </w:r>
            <w:r w:rsidR="00417AE8" w:rsidRPr="00501850">
              <w:rPr>
                <w:rFonts w:cs="Arial"/>
                <w:color w:val="347B9F"/>
              </w:rPr>
              <w:t xml:space="preserve"> section 50 in relation to activities to which division 6 applies.</w:t>
            </w:r>
          </w:p>
          <w:p w14:paraId="78560323" w14:textId="0AEF0149" w:rsidR="00585794" w:rsidRPr="00E1147A" w:rsidRDefault="00B41357" w:rsidP="00E1147A">
            <w:pPr>
              <w:spacing w:after="120"/>
              <w:ind w:left="720"/>
              <w:rPr>
                <w:rFonts w:cs="Arial"/>
                <w:color w:val="347B9F"/>
              </w:rPr>
            </w:pPr>
            <w:r w:rsidRPr="00501850">
              <w:rPr>
                <w:rFonts w:cs="Arial"/>
                <w:color w:val="347B9F"/>
              </w:rPr>
              <w:t xml:space="preserve">(3) To remove any doubt, it is declared that a person </w:t>
            </w:r>
            <w:proofErr w:type="spellStart"/>
            <w:r w:rsidRPr="00501850">
              <w:rPr>
                <w:rFonts w:cs="Arial"/>
                <w:color w:val="347B9F"/>
              </w:rPr>
              <w:t>can not</w:t>
            </w:r>
            <w:proofErr w:type="spellEnd"/>
            <w:r w:rsidRPr="00501850">
              <w:rPr>
                <w:rFonts w:cs="Arial"/>
                <w:color w:val="347B9F"/>
              </w:rPr>
              <w:t xml:space="preserve"> rely on subsection (1) to discriminate against another person </w:t>
            </w:r>
            <w:proofErr w:type="gramStart"/>
            <w:r w:rsidRPr="00501850">
              <w:rPr>
                <w:rFonts w:cs="Arial"/>
                <w:color w:val="347B9F"/>
              </w:rPr>
              <w:t>on the basis of</w:t>
            </w:r>
            <w:proofErr w:type="gramEnd"/>
            <w:r w:rsidRPr="00501850">
              <w:rPr>
                <w:rFonts w:cs="Arial"/>
                <w:color w:val="347B9F"/>
              </w:rPr>
              <w:t xml:space="preserve"> a protected attribute other than religious belief or religious activity.</w:t>
            </w:r>
          </w:p>
        </w:tc>
      </w:tr>
      <w:tr w:rsidR="0053220C" w:rsidRPr="001C5161" w14:paraId="2F4DA98F" w14:textId="77777777" w:rsidTr="13DB787C">
        <w:tc>
          <w:tcPr>
            <w:tcW w:w="2132" w:type="dxa"/>
          </w:tcPr>
          <w:p w14:paraId="64E1E35E" w14:textId="77777777" w:rsidR="0053220C" w:rsidRDefault="0053220C" w:rsidP="001860B3">
            <w:pPr>
              <w:spacing w:after="120"/>
              <w:rPr>
                <w:rFonts w:cs="Arial"/>
              </w:rPr>
            </w:pPr>
            <w:r>
              <w:rPr>
                <w:rFonts w:cs="Arial"/>
              </w:rPr>
              <w:lastRenderedPageBreak/>
              <w:t>Cl 64</w:t>
            </w:r>
          </w:p>
          <w:p w14:paraId="0AA87C1F" w14:textId="05AD2B7F" w:rsidR="0053220C" w:rsidRDefault="0053220C" w:rsidP="001860B3">
            <w:pPr>
              <w:spacing w:after="120"/>
              <w:rPr>
                <w:rFonts w:cs="Arial"/>
              </w:rPr>
            </w:pPr>
            <w:r>
              <w:rPr>
                <w:rFonts w:cs="Arial"/>
              </w:rPr>
              <w:t>Sport</w:t>
            </w:r>
          </w:p>
        </w:tc>
        <w:tc>
          <w:tcPr>
            <w:tcW w:w="5380" w:type="dxa"/>
          </w:tcPr>
          <w:p w14:paraId="5C05B8B9" w14:textId="766611A3" w:rsidR="00FF0FB8" w:rsidRDefault="00FF0FB8" w:rsidP="001860B3">
            <w:pPr>
              <w:spacing w:after="120"/>
              <w:rPr>
                <w:rFonts w:cs="Arial"/>
              </w:rPr>
            </w:pPr>
            <w:r>
              <w:rPr>
                <w:rFonts w:cs="Arial"/>
              </w:rPr>
              <w:t xml:space="preserve">Several exceptions have had the words ‘reasonable and proportionate’ </w:t>
            </w:r>
            <w:r w:rsidR="008241DA">
              <w:rPr>
                <w:rFonts w:cs="Arial"/>
              </w:rPr>
              <w:t>added</w:t>
            </w:r>
            <w:r>
              <w:rPr>
                <w:rFonts w:cs="Arial"/>
              </w:rPr>
              <w:t xml:space="preserve"> to ‘ensure that an appropriate balance is struck between the legitimate objective of the discrimination within the scope of the exception and the rights and interest of individuals who would be affected by the discrimination.’</w:t>
            </w:r>
          </w:p>
          <w:p w14:paraId="7CAE75AB" w14:textId="44BF959F" w:rsidR="00FF0FB8" w:rsidRDefault="00FF0FB8" w:rsidP="001860B3">
            <w:pPr>
              <w:spacing w:after="120"/>
              <w:rPr>
                <w:rFonts w:cs="Arial"/>
              </w:rPr>
            </w:pPr>
            <w:r>
              <w:rPr>
                <w:rFonts w:cs="Arial"/>
              </w:rPr>
              <w:t>The QHRC considers there is benefit in adding the words ‘</w:t>
            </w:r>
            <w:r w:rsidR="008241DA">
              <w:rPr>
                <w:rFonts w:cs="Arial"/>
              </w:rPr>
              <w:t>reasonable and proportionate’ to this exception.</w:t>
            </w:r>
          </w:p>
        </w:tc>
        <w:tc>
          <w:tcPr>
            <w:tcW w:w="6952" w:type="dxa"/>
          </w:tcPr>
          <w:p w14:paraId="3778BA7E" w14:textId="1C12B85E" w:rsidR="00F13DD8" w:rsidRDefault="00F13DD8" w:rsidP="001860B3">
            <w:pPr>
              <w:spacing w:after="120"/>
              <w:rPr>
                <w:rFonts w:cs="Arial"/>
              </w:rPr>
            </w:pPr>
            <w:r>
              <w:rPr>
                <w:rFonts w:cs="Arial"/>
              </w:rPr>
              <w:t xml:space="preserve">Amend cl </w:t>
            </w:r>
            <w:r w:rsidR="0009000D">
              <w:rPr>
                <w:rFonts w:cs="Arial"/>
              </w:rPr>
              <w:t>64</w:t>
            </w:r>
            <w:r>
              <w:rPr>
                <w:rFonts w:cs="Arial"/>
              </w:rPr>
              <w:t xml:space="preserve"> as follows:</w:t>
            </w:r>
          </w:p>
          <w:p w14:paraId="6274E798" w14:textId="3B7670DB" w:rsidR="000333E8" w:rsidRPr="000333E8" w:rsidRDefault="008B185F" w:rsidP="001860B3">
            <w:pPr>
              <w:pStyle w:val="ListParagraph"/>
              <w:numPr>
                <w:ilvl w:val="0"/>
                <w:numId w:val="13"/>
              </w:numPr>
              <w:spacing w:after="120"/>
              <w:rPr>
                <w:rFonts w:cs="Arial"/>
              </w:rPr>
            </w:pPr>
            <w:r>
              <w:rPr>
                <w:rFonts w:cs="Arial"/>
              </w:rPr>
              <w:t xml:space="preserve">A person may restrict participation in a competitive sporting activity </w:t>
            </w:r>
            <w:proofErr w:type="gramStart"/>
            <w:r>
              <w:rPr>
                <w:rFonts w:cs="Arial"/>
              </w:rPr>
              <w:t>on the basis of</w:t>
            </w:r>
            <w:proofErr w:type="gramEnd"/>
            <w:r>
              <w:rPr>
                <w:rFonts w:cs="Arial"/>
              </w:rPr>
              <w:t xml:space="preserve"> sex or gender identity if the restriction is reasonable </w:t>
            </w:r>
            <w:r w:rsidRPr="001860B3">
              <w:rPr>
                <w:rFonts w:cs="Arial"/>
                <w:color w:val="347B9F"/>
              </w:rPr>
              <w:t>and proportionate</w:t>
            </w:r>
            <w:r w:rsidR="000333E8" w:rsidRPr="001860B3">
              <w:rPr>
                <w:rFonts w:cs="Arial"/>
                <w:color w:val="347B9F"/>
              </w:rPr>
              <w:t xml:space="preserve"> </w:t>
            </w:r>
            <w:r w:rsidR="000333E8" w:rsidRPr="000333E8">
              <w:rPr>
                <w:rFonts w:cs="Arial"/>
              </w:rPr>
              <w:t xml:space="preserve">having regard to </w:t>
            </w:r>
            <w:r w:rsidR="000333E8" w:rsidRPr="00C575D0">
              <w:rPr>
                <w:rFonts w:cs="Arial"/>
              </w:rPr>
              <w:t>–</w:t>
            </w:r>
          </w:p>
          <w:p w14:paraId="2D974226" w14:textId="4F49EF79" w:rsidR="00F13DD8" w:rsidRPr="008B185F" w:rsidRDefault="000333E8" w:rsidP="001860B3">
            <w:pPr>
              <w:pStyle w:val="ListParagraph"/>
              <w:spacing w:after="120"/>
              <w:rPr>
                <w:rFonts w:cs="Arial"/>
              </w:rPr>
            </w:pPr>
            <w:r>
              <w:rPr>
                <w:rFonts w:cs="Arial"/>
                <w:color w:val="0B769F" w:themeColor="accent4" w:themeShade="BF"/>
              </w:rPr>
              <w:t xml:space="preserve"> </w:t>
            </w:r>
          </w:p>
          <w:p w14:paraId="4BE51B1B" w14:textId="77777777" w:rsidR="0053220C" w:rsidRDefault="0053220C" w:rsidP="001860B3">
            <w:pPr>
              <w:spacing w:after="120"/>
              <w:rPr>
                <w:rFonts w:cs="Arial"/>
              </w:rPr>
            </w:pPr>
          </w:p>
        </w:tc>
      </w:tr>
      <w:tr w:rsidR="007E621C" w:rsidRPr="001C5161" w14:paraId="50FDDFE8" w14:textId="77777777" w:rsidTr="13DB787C">
        <w:tc>
          <w:tcPr>
            <w:tcW w:w="2132" w:type="dxa"/>
          </w:tcPr>
          <w:p w14:paraId="2E099697" w14:textId="0595EF71" w:rsidR="007E621C" w:rsidRDefault="007E621C" w:rsidP="001860B3">
            <w:pPr>
              <w:spacing w:after="120"/>
              <w:rPr>
                <w:rFonts w:cs="Arial"/>
              </w:rPr>
            </w:pPr>
            <w:r>
              <w:rPr>
                <w:rFonts w:cs="Arial"/>
              </w:rPr>
              <w:t>Heading to Div 11 - Exemptions</w:t>
            </w:r>
          </w:p>
        </w:tc>
        <w:tc>
          <w:tcPr>
            <w:tcW w:w="5380" w:type="dxa"/>
          </w:tcPr>
          <w:p w14:paraId="40E2ECDB" w14:textId="5646733C" w:rsidR="007E621C" w:rsidRPr="001860B3" w:rsidRDefault="000267E6" w:rsidP="001860B3">
            <w:pPr>
              <w:spacing w:after="120"/>
              <w:rPr>
                <w:rFonts w:cs="Arial"/>
              </w:rPr>
            </w:pPr>
            <w:r w:rsidRPr="001860B3">
              <w:rPr>
                <w:rFonts w:cs="Arial"/>
              </w:rPr>
              <w:t xml:space="preserve">The heading should be changed to </w:t>
            </w:r>
            <w:r w:rsidRPr="001860B3">
              <w:rPr>
                <w:rFonts w:cs="Arial"/>
                <w:i/>
                <w:iCs/>
              </w:rPr>
              <w:t>Tribunal exemptions</w:t>
            </w:r>
            <w:r w:rsidRPr="001860B3">
              <w:rPr>
                <w:rFonts w:cs="Arial"/>
              </w:rPr>
              <w:t xml:space="preserve"> for better clarity both here and in clause 21.  </w:t>
            </w:r>
          </w:p>
        </w:tc>
        <w:tc>
          <w:tcPr>
            <w:tcW w:w="6952" w:type="dxa"/>
          </w:tcPr>
          <w:p w14:paraId="5077B783" w14:textId="411AA540" w:rsidR="001C546C" w:rsidRPr="001860B3" w:rsidRDefault="001C546C" w:rsidP="001860B3">
            <w:pPr>
              <w:spacing w:after="120"/>
              <w:rPr>
                <w:rFonts w:cs="Arial"/>
              </w:rPr>
            </w:pPr>
            <w:r w:rsidRPr="001860B3">
              <w:rPr>
                <w:rFonts w:cs="Arial"/>
              </w:rPr>
              <w:t xml:space="preserve">Change heading of Division 11 to </w:t>
            </w:r>
            <w:r w:rsidRPr="001860B3">
              <w:rPr>
                <w:rFonts w:cs="Arial"/>
                <w:i/>
                <w:iCs/>
              </w:rPr>
              <w:t>Tribunal exemptions.</w:t>
            </w:r>
          </w:p>
          <w:p w14:paraId="5CA56AC5" w14:textId="77777777" w:rsidR="007E621C" w:rsidRPr="003016DE" w:rsidRDefault="007E621C" w:rsidP="001860B3">
            <w:pPr>
              <w:spacing w:after="120"/>
              <w:rPr>
                <w:rFonts w:cs="Arial"/>
                <w:highlight w:val="yellow"/>
              </w:rPr>
            </w:pPr>
          </w:p>
        </w:tc>
      </w:tr>
      <w:tr w:rsidR="003016DE" w:rsidRPr="001C5161" w14:paraId="28E30CC4" w14:textId="77777777" w:rsidTr="13DB787C">
        <w:tc>
          <w:tcPr>
            <w:tcW w:w="2132" w:type="dxa"/>
          </w:tcPr>
          <w:p w14:paraId="5B5D6127" w14:textId="77777777" w:rsidR="003016DE" w:rsidRDefault="00CB3681" w:rsidP="001860B3">
            <w:pPr>
              <w:spacing w:after="120"/>
              <w:rPr>
                <w:rFonts w:cs="Arial"/>
              </w:rPr>
            </w:pPr>
            <w:r>
              <w:rPr>
                <w:rFonts w:cs="Arial"/>
              </w:rPr>
              <w:t>Cl 66</w:t>
            </w:r>
          </w:p>
          <w:p w14:paraId="379560DD" w14:textId="06395574" w:rsidR="00CB3681" w:rsidRDefault="00CB3681" w:rsidP="001860B3">
            <w:pPr>
              <w:spacing w:after="120"/>
              <w:rPr>
                <w:rFonts w:cs="Arial"/>
              </w:rPr>
            </w:pPr>
            <w:r>
              <w:rPr>
                <w:rFonts w:cs="Arial"/>
              </w:rPr>
              <w:t>Application for exemption</w:t>
            </w:r>
          </w:p>
        </w:tc>
        <w:tc>
          <w:tcPr>
            <w:tcW w:w="5380" w:type="dxa"/>
          </w:tcPr>
          <w:p w14:paraId="5072846E" w14:textId="77777777" w:rsidR="00B72956" w:rsidRPr="001860B3" w:rsidRDefault="00B72956" w:rsidP="001860B3">
            <w:pPr>
              <w:spacing w:after="120"/>
              <w:rPr>
                <w:rFonts w:cs="Arial"/>
              </w:rPr>
            </w:pPr>
            <w:r w:rsidRPr="001860B3">
              <w:rPr>
                <w:rFonts w:cs="Arial"/>
              </w:rPr>
              <w:t>The existing section 113 has been broken up into sections rather than sub-sections.</w:t>
            </w:r>
          </w:p>
          <w:p w14:paraId="544F5AF5" w14:textId="77777777" w:rsidR="00B72956" w:rsidRPr="001860B3" w:rsidRDefault="00B72956" w:rsidP="001860B3">
            <w:pPr>
              <w:spacing w:before="80" w:after="120"/>
              <w:rPr>
                <w:rFonts w:cs="Arial"/>
              </w:rPr>
            </w:pPr>
            <w:r w:rsidRPr="001860B3">
              <w:rPr>
                <w:rFonts w:cs="Arial"/>
              </w:rPr>
              <w:t xml:space="preserve">This clause is </w:t>
            </w:r>
            <w:proofErr w:type="gramStart"/>
            <w:r w:rsidRPr="001860B3">
              <w:rPr>
                <w:rFonts w:cs="Arial"/>
              </w:rPr>
              <w:t>similar to</w:t>
            </w:r>
            <w:proofErr w:type="gramEnd"/>
            <w:r w:rsidRPr="001860B3">
              <w:rPr>
                <w:rFonts w:cs="Arial"/>
              </w:rPr>
              <w:t xml:space="preserve"> existing s113(1).  However, it refers to an application for exemption under </w:t>
            </w:r>
            <w:r w:rsidRPr="001860B3">
              <w:rPr>
                <w:rFonts w:cs="Arial"/>
                <w:i/>
                <w:iCs/>
              </w:rPr>
              <w:t>this part</w:t>
            </w:r>
            <w:r w:rsidRPr="001860B3">
              <w:rPr>
                <w:rFonts w:cs="Arial"/>
              </w:rPr>
              <w:t xml:space="preserve"> </w:t>
            </w:r>
            <w:r w:rsidRPr="001860B3">
              <w:rPr>
                <w:rFonts w:cs="Arial"/>
              </w:rPr>
              <w:lastRenderedPageBreak/>
              <w:t xml:space="preserve">whereas s113 provides for applications for exemption from specific provisions of the Act.  </w:t>
            </w:r>
          </w:p>
          <w:p w14:paraId="03615188" w14:textId="77777777" w:rsidR="00B72956" w:rsidRPr="001860B3" w:rsidRDefault="00B72956" w:rsidP="001860B3">
            <w:pPr>
              <w:spacing w:before="80" w:after="120"/>
              <w:rPr>
                <w:rFonts w:cs="Arial"/>
              </w:rPr>
            </w:pPr>
            <w:r w:rsidRPr="001860B3">
              <w:rPr>
                <w:rFonts w:cs="Arial"/>
              </w:rPr>
              <w:t xml:space="preserve">Clause 66 </w:t>
            </w:r>
            <w:proofErr w:type="gramStart"/>
            <w:r w:rsidRPr="001860B3">
              <w:rPr>
                <w:rFonts w:cs="Arial"/>
              </w:rPr>
              <w:t>is located in</w:t>
            </w:r>
            <w:proofErr w:type="gramEnd"/>
            <w:r w:rsidRPr="001860B3">
              <w:rPr>
                <w:rFonts w:cs="Arial"/>
              </w:rPr>
              <w:t xml:space="preserve"> part 4 Unlawful discrimination.  Tribunal exemptions invariably include exemption from the operation of s124 (asking for information on which unlawful discrimination might be based) and s127 (discriminatory advertising).</w:t>
            </w:r>
          </w:p>
          <w:p w14:paraId="78B1C324" w14:textId="483C359D" w:rsidR="003016DE" w:rsidRPr="003016DE" w:rsidRDefault="00B72956" w:rsidP="006020CC">
            <w:pPr>
              <w:spacing w:after="120"/>
              <w:rPr>
                <w:rFonts w:cs="Arial"/>
                <w:highlight w:val="yellow"/>
              </w:rPr>
            </w:pPr>
            <w:r w:rsidRPr="001860B3">
              <w:rPr>
                <w:rFonts w:cs="Arial"/>
              </w:rPr>
              <w:t>The prohibitions of unlawful advertising (clause 89) and unnecessary information (clause 92) are in part 7 of the Bill.</w:t>
            </w:r>
          </w:p>
        </w:tc>
        <w:tc>
          <w:tcPr>
            <w:tcW w:w="6952" w:type="dxa"/>
          </w:tcPr>
          <w:p w14:paraId="49A128F3" w14:textId="7A0EB360" w:rsidR="00197368" w:rsidRPr="001860B3" w:rsidRDefault="00197368" w:rsidP="001860B3">
            <w:pPr>
              <w:spacing w:after="120"/>
              <w:rPr>
                <w:rFonts w:cs="Arial"/>
              </w:rPr>
            </w:pPr>
            <w:r w:rsidRPr="001860B3">
              <w:rPr>
                <w:rFonts w:cs="Arial"/>
              </w:rPr>
              <w:lastRenderedPageBreak/>
              <w:t xml:space="preserve">Change </w:t>
            </w:r>
            <w:r w:rsidR="00DF1394">
              <w:rPr>
                <w:rFonts w:cs="Arial"/>
              </w:rPr>
              <w:t xml:space="preserve">‘from a </w:t>
            </w:r>
            <w:r w:rsidRPr="00DF1394">
              <w:rPr>
                <w:rFonts w:cs="Arial"/>
              </w:rPr>
              <w:t>provision of this part</w:t>
            </w:r>
            <w:r w:rsidR="00DF1394">
              <w:rPr>
                <w:rFonts w:cs="Arial"/>
              </w:rPr>
              <w:t>’</w:t>
            </w:r>
            <w:r w:rsidRPr="00DF1394">
              <w:rPr>
                <w:rFonts w:cs="Arial"/>
              </w:rPr>
              <w:t xml:space="preserve"> </w:t>
            </w:r>
            <w:r w:rsidRPr="001860B3">
              <w:rPr>
                <w:rFonts w:cs="Arial"/>
              </w:rPr>
              <w:t xml:space="preserve">to </w:t>
            </w:r>
            <w:r w:rsidR="00314A00">
              <w:rPr>
                <w:rFonts w:cs="Arial"/>
              </w:rPr>
              <w:t>‘</w:t>
            </w:r>
            <w:r w:rsidRPr="00DF1394">
              <w:rPr>
                <w:rFonts w:cs="Arial"/>
              </w:rPr>
              <w:t>from the application of specified provisions of the Act</w:t>
            </w:r>
            <w:r w:rsidRPr="001860B3">
              <w:rPr>
                <w:rFonts w:cs="Arial"/>
              </w:rPr>
              <w:t>.</w:t>
            </w:r>
            <w:r w:rsidR="00314A00">
              <w:rPr>
                <w:rFonts w:cs="Arial"/>
              </w:rPr>
              <w:t>’</w:t>
            </w:r>
          </w:p>
          <w:p w14:paraId="56983982" w14:textId="77777777" w:rsidR="003016DE" w:rsidRPr="003016DE" w:rsidRDefault="003016DE" w:rsidP="001860B3">
            <w:pPr>
              <w:spacing w:after="120"/>
              <w:rPr>
                <w:rFonts w:cs="Arial"/>
                <w:highlight w:val="yellow"/>
              </w:rPr>
            </w:pPr>
          </w:p>
        </w:tc>
      </w:tr>
      <w:tr w:rsidR="008150A5" w:rsidRPr="001C5161" w14:paraId="4B0CCBD7" w14:textId="77777777" w:rsidTr="13DB787C">
        <w:tc>
          <w:tcPr>
            <w:tcW w:w="2132" w:type="dxa"/>
          </w:tcPr>
          <w:p w14:paraId="14CD3E8C" w14:textId="77777777" w:rsidR="008150A5" w:rsidRDefault="008150A5" w:rsidP="001860B3">
            <w:pPr>
              <w:spacing w:after="120"/>
              <w:rPr>
                <w:rFonts w:cs="Arial"/>
              </w:rPr>
            </w:pPr>
            <w:r>
              <w:rPr>
                <w:rFonts w:cs="Arial"/>
              </w:rPr>
              <w:t>Cl 67</w:t>
            </w:r>
          </w:p>
          <w:p w14:paraId="60FCD9AA" w14:textId="7CA96031" w:rsidR="008150A5" w:rsidRDefault="008150A5" w:rsidP="001860B3">
            <w:pPr>
              <w:spacing w:after="120"/>
              <w:rPr>
                <w:rFonts w:cs="Arial"/>
              </w:rPr>
            </w:pPr>
            <w:r>
              <w:rPr>
                <w:rFonts w:cs="Arial"/>
              </w:rPr>
              <w:t>Commissioner’s role in application for exemption</w:t>
            </w:r>
          </w:p>
        </w:tc>
        <w:tc>
          <w:tcPr>
            <w:tcW w:w="5380" w:type="dxa"/>
          </w:tcPr>
          <w:p w14:paraId="5F373928" w14:textId="339DC1CC" w:rsidR="008150A5" w:rsidRPr="001860B3" w:rsidRDefault="008150A5" w:rsidP="008332C1">
            <w:pPr>
              <w:spacing w:after="120"/>
              <w:rPr>
                <w:rFonts w:cs="Arial"/>
              </w:rPr>
            </w:pPr>
            <w:r w:rsidRPr="001860B3">
              <w:rPr>
                <w:rFonts w:cs="Arial"/>
              </w:rPr>
              <w:t>Consulted persons sometimes make submissions to the tribunal and the submissions are not provided to the QHRC. Material from third parties may be relevant to the QHRC’s submissions.</w:t>
            </w:r>
          </w:p>
        </w:tc>
        <w:tc>
          <w:tcPr>
            <w:tcW w:w="6952" w:type="dxa"/>
          </w:tcPr>
          <w:p w14:paraId="6034C561" w14:textId="375428FC" w:rsidR="00C630AF" w:rsidRPr="001860B3" w:rsidRDefault="00C630AF" w:rsidP="001860B3">
            <w:pPr>
              <w:spacing w:after="120"/>
              <w:rPr>
                <w:rFonts w:cs="Arial"/>
              </w:rPr>
            </w:pPr>
            <w:r w:rsidRPr="001860B3">
              <w:rPr>
                <w:rFonts w:cs="Arial"/>
              </w:rPr>
              <w:t xml:space="preserve">Amend clause 67(1)(a) to require copies of all material filed in relation to the application to be given to the </w:t>
            </w:r>
            <w:r w:rsidR="0016542D">
              <w:rPr>
                <w:rFonts w:cs="Arial"/>
              </w:rPr>
              <w:t>C</w:t>
            </w:r>
            <w:r w:rsidRPr="001860B3">
              <w:rPr>
                <w:rFonts w:cs="Arial"/>
              </w:rPr>
              <w:t>ommissioner.</w:t>
            </w:r>
          </w:p>
          <w:p w14:paraId="64988AAC" w14:textId="77777777" w:rsidR="008150A5" w:rsidRPr="003016DE" w:rsidRDefault="008150A5" w:rsidP="001860B3">
            <w:pPr>
              <w:spacing w:after="120"/>
              <w:rPr>
                <w:rFonts w:cs="Arial"/>
                <w:highlight w:val="yellow"/>
              </w:rPr>
            </w:pPr>
          </w:p>
        </w:tc>
      </w:tr>
    </w:tbl>
    <w:p w14:paraId="67A1D3B2" w14:textId="77777777" w:rsidR="00006F99" w:rsidRDefault="00006F99">
      <w:pPr>
        <w:rPr>
          <w:rFonts w:eastAsiaTheme="majorEastAsia" w:cs="Arial"/>
          <w:color w:val="347B9F"/>
          <w:sz w:val="48"/>
          <w:szCs w:val="48"/>
        </w:rPr>
      </w:pPr>
      <w:r>
        <w:rPr>
          <w:rFonts w:cs="Arial"/>
        </w:rPr>
        <w:br w:type="page"/>
      </w:r>
    </w:p>
    <w:p w14:paraId="57AAC043" w14:textId="7F1F1CD3" w:rsidR="008C44E8" w:rsidRPr="001C5161" w:rsidRDefault="008C44E8" w:rsidP="004F65F9">
      <w:pPr>
        <w:pStyle w:val="Heading1"/>
        <w:rPr>
          <w:rFonts w:cs="Arial"/>
        </w:rPr>
      </w:pPr>
      <w:r w:rsidRPr="001C5161">
        <w:rPr>
          <w:rFonts w:cs="Arial"/>
        </w:rPr>
        <w:lastRenderedPageBreak/>
        <w:t xml:space="preserve">Annexure F: Complaints about contraventions </w:t>
      </w:r>
    </w:p>
    <w:tbl>
      <w:tblPr>
        <w:tblStyle w:val="TableGrid"/>
        <w:tblpPr w:leftFromText="180" w:rightFromText="180" w:vertAnchor="text" w:horzAnchor="margin" w:tblpX="-10" w:tblpY="215"/>
        <w:tblW w:w="14464" w:type="dxa"/>
        <w:tblLook w:val="04A0" w:firstRow="1" w:lastRow="0" w:firstColumn="1" w:lastColumn="0" w:noHBand="0" w:noVBand="1"/>
      </w:tblPr>
      <w:tblGrid>
        <w:gridCol w:w="2132"/>
        <w:gridCol w:w="5380"/>
        <w:gridCol w:w="6952"/>
      </w:tblGrid>
      <w:tr w:rsidR="008C44E8" w:rsidRPr="001C5161" w14:paraId="7072E251" w14:textId="77777777" w:rsidTr="2DA3FFDE">
        <w:trPr>
          <w:trHeight w:val="300"/>
        </w:trPr>
        <w:tc>
          <w:tcPr>
            <w:tcW w:w="2132" w:type="dxa"/>
          </w:tcPr>
          <w:p w14:paraId="2B77E47C" w14:textId="298FC842" w:rsidR="008C44E8" w:rsidRPr="00F54B40" w:rsidRDefault="008C44E8" w:rsidP="00F54B40">
            <w:pPr>
              <w:spacing w:after="120"/>
              <w:rPr>
                <w:rFonts w:cs="Arial"/>
                <w:sz w:val="22"/>
                <w:szCs w:val="22"/>
              </w:rPr>
            </w:pPr>
            <w:r w:rsidRPr="00F54B40">
              <w:rPr>
                <w:rFonts w:cs="Arial"/>
                <w:b/>
                <w:bCs/>
                <w:color w:val="000000" w:themeColor="text1"/>
                <w:sz w:val="22"/>
                <w:szCs w:val="22"/>
              </w:rPr>
              <w:t>Clause</w:t>
            </w:r>
          </w:p>
        </w:tc>
        <w:tc>
          <w:tcPr>
            <w:tcW w:w="5380" w:type="dxa"/>
          </w:tcPr>
          <w:p w14:paraId="31853925" w14:textId="4F15021F" w:rsidR="008C44E8" w:rsidRPr="00F54B40" w:rsidRDefault="008C44E8" w:rsidP="00F54B40">
            <w:pPr>
              <w:spacing w:after="120"/>
              <w:rPr>
                <w:rFonts w:cs="Arial"/>
                <w:sz w:val="22"/>
                <w:szCs w:val="22"/>
              </w:rPr>
            </w:pPr>
            <w:r w:rsidRPr="00F54B40">
              <w:rPr>
                <w:rFonts w:cs="Arial"/>
                <w:b/>
                <w:bCs/>
                <w:color w:val="000000" w:themeColor="text1"/>
                <w:sz w:val="22"/>
                <w:szCs w:val="22"/>
              </w:rPr>
              <w:t>Issues</w:t>
            </w:r>
          </w:p>
        </w:tc>
        <w:tc>
          <w:tcPr>
            <w:tcW w:w="6952" w:type="dxa"/>
          </w:tcPr>
          <w:p w14:paraId="5EEE20F3" w14:textId="20193950" w:rsidR="008C44E8" w:rsidRPr="00F54B40" w:rsidRDefault="008C44E8" w:rsidP="00F54B40">
            <w:pPr>
              <w:spacing w:after="120"/>
              <w:rPr>
                <w:rFonts w:cs="Arial"/>
                <w:sz w:val="22"/>
                <w:szCs w:val="22"/>
              </w:rPr>
            </w:pPr>
            <w:r w:rsidRPr="00F54B40">
              <w:rPr>
                <w:rFonts w:cs="Arial"/>
                <w:b/>
                <w:bCs/>
                <w:color w:val="000000" w:themeColor="text1"/>
                <w:sz w:val="22"/>
                <w:szCs w:val="22"/>
              </w:rPr>
              <w:t xml:space="preserve">Recommended </w:t>
            </w:r>
            <w:r w:rsidR="00205302" w:rsidRPr="00F54B40">
              <w:rPr>
                <w:rFonts w:cs="Arial"/>
                <w:b/>
                <w:bCs/>
                <w:color w:val="000000" w:themeColor="text1"/>
                <w:sz w:val="22"/>
                <w:szCs w:val="22"/>
              </w:rPr>
              <w:t>changes</w:t>
            </w:r>
          </w:p>
        </w:tc>
      </w:tr>
      <w:tr w:rsidR="008C44E8" w:rsidRPr="001C5161" w14:paraId="4821571E" w14:textId="2F544040" w:rsidTr="2DA3FFDE">
        <w:trPr>
          <w:trHeight w:val="1723"/>
        </w:trPr>
        <w:tc>
          <w:tcPr>
            <w:tcW w:w="2132" w:type="dxa"/>
          </w:tcPr>
          <w:p w14:paraId="026127AE" w14:textId="3D791DE7" w:rsidR="008C44E8" w:rsidRPr="001C5161" w:rsidRDefault="0020020E" w:rsidP="00F54B40">
            <w:pPr>
              <w:spacing w:after="120"/>
              <w:rPr>
                <w:rFonts w:cs="Arial"/>
              </w:rPr>
            </w:pPr>
            <w:r w:rsidRPr="001C5161">
              <w:rPr>
                <w:rFonts w:cs="Arial"/>
              </w:rPr>
              <w:t xml:space="preserve">Part 9 </w:t>
            </w:r>
            <w:r w:rsidR="7A0540D5" w:rsidRPr="001C5161">
              <w:rPr>
                <w:rFonts w:cs="Arial"/>
              </w:rPr>
              <w:t>(clauses 98, 103, 105, 108, 110,</w:t>
            </w:r>
            <w:r w:rsidRPr="001C5161">
              <w:rPr>
                <w:rFonts w:cs="Arial"/>
              </w:rPr>
              <w:t xml:space="preserve"> </w:t>
            </w:r>
            <w:r w:rsidR="7A0540D5" w:rsidRPr="001C5161">
              <w:rPr>
                <w:rFonts w:cs="Arial"/>
              </w:rPr>
              <w:t>116(2), 123,</w:t>
            </w:r>
            <w:r w:rsidRPr="001C5161">
              <w:rPr>
                <w:rFonts w:cs="Arial"/>
              </w:rPr>
              <w:t xml:space="preserve"> </w:t>
            </w:r>
            <w:r w:rsidR="7A0540D5" w:rsidRPr="001C5161">
              <w:rPr>
                <w:rFonts w:cs="Arial"/>
              </w:rPr>
              <w:t>125-13</w:t>
            </w:r>
            <w:r w:rsidR="048C662F" w:rsidRPr="001C5161">
              <w:rPr>
                <w:rFonts w:cs="Arial"/>
              </w:rPr>
              <w:t>0,</w:t>
            </w:r>
            <w:r w:rsidRPr="001C5161">
              <w:rPr>
                <w:rFonts w:cs="Arial"/>
              </w:rPr>
              <w:t xml:space="preserve"> </w:t>
            </w:r>
            <w:r w:rsidR="048C662F" w:rsidRPr="001C5161">
              <w:rPr>
                <w:rFonts w:cs="Arial"/>
              </w:rPr>
              <w:t>2</w:t>
            </w:r>
            <w:r w:rsidRPr="001C5161">
              <w:rPr>
                <w:rFonts w:cs="Arial"/>
              </w:rPr>
              <w:t xml:space="preserve"> and </w:t>
            </w:r>
            <w:r w:rsidR="5501F745" w:rsidRPr="001C5161">
              <w:rPr>
                <w:rFonts w:cs="Arial"/>
              </w:rPr>
              <w:t>other miscellaneous</w:t>
            </w:r>
            <w:r w:rsidRPr="001C5161">
              <w:rPr>
                <w:rFonts w:cs="Arial"/>
              </w:rPr>
              <w:t xml:space="preserve"> clauses</w:t>
            </w:r>
            <w:r w:rsidR="62C6CD1E" w:rsidRPr="001C5161">
              <w:rPr>
                <w:rFonts w:cs="Arial"/>
              </w:rPr>
              <w:t xml:space="preserve"> </w:t>
            </w:r>
            <w:r w:rsidR="640DBF81" w:rsidRPr="001C5161">
              <w:rPr>
                <w:rFonts w:cs="Arial"/>
              </w:rPr>
              <w:t>(</w:t>
            </w:r>
            <w:r w:rsidR="20373F82" w:rsidRPr="001C5161">
              <w:rPr>
                <w:rFonts w:cs="Arial"/>
              </w:rPr>
              <w:t xml:space="preserve">237, </w:t>
            </w:r>
            <w:r w:rsidR="640DBF81" w:rsidRPr="001C5161">
              <w:rPr>
                <w:rFonts w:cs="Arial"/>
              </w:rPr>
              <w:t>254 and 273)</w:t>
            </w:r>
          </w:p>
        </w:tc>
        <w:tc>
          <w:tcPr>
            <w:tcW w:w="5380" w:type="dxa"/>
          </w:tcPr>
          <w:p w14:paraId="658ED808" w14:textId="118A6E6E" w:rsidR="008C44E8" w:rsidRDefault="009B3E50" w:rsidP="00F54B40">
            <w:pPr>
              <w:spacing w:after="120"/>
              <w:rPr>
                <w:rFonts w:cs="Arial"/>
              </w:rPr>
            </w:pPr>
            <w:r w:rsidRPr="5C73A9CA">
              <w:rPr>
                <w:rFonts w:cs="Arial"/>
              </w:rPr>
              <w:t xml:space="preserve">Refer to </w:t>
            </w:r>
            <w:r w:rsidRPr="5C73A9CA">
              <w:rPr>
                <w:rFonts w:cs="Arial"/>
                <w:i/>
                <w:iCs/>
              </w:rPr>
              <w:t>Priority concerns</w:t>
            </w:r>
            <w:r w:rsidRPr="5C73A9CA">
              <w:rPr>
                <w:rFonts w:cs="Arial"/>
              </w:rPr>
              <w:t xml:space="preserve">: </w:t>
            </w:r>
            <w:r>
              <w:rPr>
                <w:rFonts w:cs="Arial"/>
                <w:i/>
                <w:iCs/>
              </w:rPr>
              <w:t>Complaints function</w:t>
            </w:r>
            <w:r w:rsidR="002A2929">
              <w:rPr>
                <w:rFonts w:cs="Arial"/>
                <w:i/>
                <w:iCs/>
              </w:rPr>
              <w:t>s</w:t>
            </w:r>
            <w:r w:rsidRPr="5C73A9CA">
              <w:rPr>
                <w:rFonts w:cs="Arial"/>
              </w:rPr>
              <w:t xml:space="preserve"> in this submission.</w:t>
            </w:r>
          </w:p>
          <w:p w14:paraId="643BE133" w14:textId="5981D9D6" w:rsidR="009B3E50" w:rsidRPr="001C5161" w:rsidRDefault="009B3E50" w:rsidP="00F54B40">
            <w:pPr>
              <w:spacing w:after="120"/>
              <w:rPr>
                <w:rFonts w:cs="Arial"/>
              </w:rPr>
            </w:pPr>
          </w:p>
        </w:tc>
        <w:tc>
          <w:tcPr>
            <w:tcW w:w="6952" w:type="dxa"/>
          </w:tcPr>
          <w:p w14:paraId="7CD74FD3" w14:textId="4B937C8A" w:rsidR="008C44E8" w:rsidRPr="001C5161" w:rsidRDefault="00C34679" w:rsidP="00F54B40">
            <w:pPr>
              <w:spacing w:after="120"/>
              <w:rPr>
                <w:rFonts w:cs="Arial"/>
              </w:rPr>
            </w:pPr>
            <w:r>
              <w:rPr>
                <w:rFonts w:cs="Arial"/>
              </w:rPr>
              <w:t>The language of</w:t>
            </w:r>
            <w:r w:rsidR="688CCC54" w:rsidRPr="001C5161">
              <w:rPr>
                <w:rFonts w:cs="Arial"/>
              </w:rPr>
              <w:t xml:space="preserve"> </w:t>
            </w:r>
            <w:r w:rsidR="19E814AE" w:rsidRPr="001C5161">
              <w:rPr>
                <w:rFonts w:cs="Arial"/>
              </w:rPr>
              <w:t>‘deal with’ or ‘decid</w:t>
            </w:r>
            <w:r w:rsidR="3774A5E5" w:rsidRPr="001C5161">
              <w:rPr>
                <w:rFonts w:cs="Arial"/>
              </w:rPr>
              <w:t>e</w:t>
            </w:r>
            <w:r w:rsidR="19E814AE" w:rsidRPr="001C5161">
              <w:rPr>
                <w:rFonts w:cs="Arial"/>
              </w:rPr>
              <w:t xml:space="preserve"> to deal with’ a complaint </w:t>
            </w:r>
            <w:r>
              <w:rPr>
                <w:rFonts w:cs="Arial"/>
              </w:rPr>
              <w:t>should be</w:t>
            </w:r>
            <w:r w:rsidR="19E814AE" w:rsidRPr="001C5161">
              <w:rPr>
                <w:rFonts w:cs="Arial"/>
              </w:rPr>
              <w:t xml:space="preserve"> adopted </w:t>
            </w:r>
            <w:r w:rsidR="30683F2D" w:rsidRPr="001C5161">
              <w:rPr>
                <w:rFonts w:cs="Arial"/>
              </w:rPr>
              <w:t xml:space="preserve">consistently </w:t>
            </w:r>
            <w:r w:rsidR="19E814AE" w:rsidRPr="001C5161">
              <w:rPr>
                <w:rFonts w:cs="Arial"/>
              </w:rPr>
              <w:t xml:space="preserve">throughout the AD Bill, wherever </w:t>
            </w:r>
            <w:r w:rsidR="2CA03B9A" w:rsidRPr="001C5161">
              <w:rPr>
                <w:rFonts w:cs="Arial"/>
              </w:rPr>
              <w:t xml:space="preserve">there is need to refer to the commissioner’s actions in relation to a complaint within </w:t>
            </w:r>
            <w:r w:rsidR="0029A7FB" w:rsidRPr="001C5161">
              <w:rPr>
                <w:rFonts w:cs="Arial"/>
              </w:rPr>
              <w:t>jurisdiction</w:t>
            </w:r>
            <w:r w:rsidR="2CA03B9A" w:rsidRPr="001C5161">
              <w:rPr>
                <w:rFonts w:cs="Arial"/>
              </w:rPr>
              <w:t>.</w:t>
            </w:r>
            <w:r w:rsidR="0A0778A2" w:rsidRPr="001C5161">
              <w:rPr>
                <w:rFonts w:cs="Arial"/>
              </w:rPr>
              <w:t xml:space="preserve">  </w:t>
            </w:r>
          </w:p>
          <w:p w14:paraId="2A741E7B" w14:textId="2E21F972" w:rsidR="37E08CB8" w:rsidRPr="001C5161" w:rsidRDefault="37E08CB8" w:rsidP="00F54B40">
            <w:pPr>
              <w:spacing w:after="120"/>
              <w:rPr>
                <w:rFonts w:cs="Arial"/>
              </w:rPr>
            </w:pPr>
          </w:p>
          <w:p w14:paraId="683B5B10" w14:textId="0DC2D954" w:rsidR="008C44E8" w:rsidRPr="001C5161" w:rsidRDefault="008C44E8" w:rsidP="00F54B40">
            <w:pPr>
              <w:spacing w:after="120"/>
              <w:rPr>
                <w:rFonts w:cs="Arial"/>
              </w:rPr>
            </w:pPr>
          </w:p>
        </w:tc>
      </w:tr>
      <w:tr w:rsidR="00175F0E" w:rsidRPr="001C5161" w14:paraId="6837DC8B" w14:textId="77777777" w:rsidTr="2DA3FFDE">
        <w:trPr>
          <w:trHeight w:val="1943"/>
        </w:trPr>
        <w:tc>
          <w:tcPr>
            <w:tcW w:w="2132" w:type="dxa"/>
          </w:tcPr>
          <w:p w14:paraId="0F0EA7D6" w14:textId="77777777" w:rsidR="00175F0E" w:rsidRDefault="00175F0E" w:rsidP="00F54B40">
            <w:pPr>
              <w:spacing w:after="120"/>
              <w:rPr>
                <w:rFonts w:cs="Arial"/>
              </w:rPr>
            </w:pPr>
            <w:r>
              <w:rPr>
                <w:rFonts w:cs="Arial"/>
              </w:rPr>
              <w:t>Cl 104</w:t>
            </w:r>
          </w:p>
          <w:p w14:paraId="0A05121D" w14:textId="2B796CF3" w:rsidR="002A425C" w:rsidRDefault="00A65DC1" w:rsidP="00F54B40">
            <w:pPr>
              <w:spacing w:after="120"/>
              <w:rPr>
                <w:rFonts w:cs="Arial"/>
              </w:rPr>
            </w:pPr>
            <w:r>
              <w:rPr>
                <w:rFonts w:cs="Arial"/>
              </w:rPr>
              <w:t>Complaints by interested body on behalf of 1 or more complainants</w:t>
            </w:r>
          </w:p>
        </w:tc>
        <w:tc>
          <w:tcPr>
            <w:tcW w:w="5380" w:type="dxa"/>
          </w:tcPr>
          <w:p w14:paraId="7F94A4EB" w14:textId="2264F35A" w:rsidR="00175F0E" w:rsidRPr="00F070EC" w:rsidRDefault="00F7248A" w:rsidP="00F54B40">
            <w:pPr>
              <w:spacing w:after="120"/>
              <w:rPr>
                <w:rFonts w:cs="Arial"/>
              </w:rPr>
            </w:pPr>
            <w:r>
              <w:rPr>
                <w:rFonts w:cs="Arial"/>
              </w:rPr>
              <w:t xml:space="preserve">Refer to </w:t>
            </w:r>
            <w:r w:rsidR="00F070EC">
              <w:rPr>
                <w:rFonts w:cs="Arial"/>
                <w:i/>
                <w:iCs/>
              </w:rPr>
              <w:t xml:space="preserve">Priority concerns: Complaint functions </w:t>
            </w:r>
            <w:r w:rsidR="00F070EC">
              <w:rPr>
                <w:rFonts w:cs="Arial"/>
              </w:rPr>
              <w:t>in this submission</w:t>
            </w:r>
          </w:p>
        </w:tc>
        <w:tc>
          <w:tcPr>
            <w:tcW w:w="6952" w:type="dxa"/>
          </w:tcPr>
          <w:p w14:paraId="0487C908" w14:textId="775B82E5" w:rsidR="00175F0E" w:rsidRDefault="003806C1" w:rsidP="00F54B40">
            <w:pPr>
              <w:spacing w:after="120"/>
              <w:rPr>
                <w:rFonts w:cs="Arial"/>
              </w:rPr>
            </w:pPr>
            <w:r w:rsidRPr="00F54B40">
              <w:rPr>
                <w:rFonts w:cs="Arial"/>
              </w:rPr>
              <w:t xml:space="preserve">Clause 103 should be amended to include the contravention of discrimination and unnecessary </w:t>
            </w:r>
            <w:r w:rsidR="00EE19E6" w:rsidRPr="00F54B40">
              <w:rPr>
                <w:rFonts w:cs="Arial"/>
              </w:rPr>
              <w:t>information (clause 92)</w:t>
            </w:r>
            <w:r w:rsidRPr="00F54B40">
              <w:rPr>
                <w:rFonts w:cs="Arial"/>
              </w:rPr>
              <w:t>, rather than being confined to vilification.</w:t>
            </w:r>
          </w:p>
        </w:tc>
      </w:tr>
      <w:tr w:rsidR="008A0952" w:rsidRPr="001C5161" w14:paraId="3AF2AD13" w14:textId="77777777" w:rsidTr="2DA3FFDE">
        <w:trPr>
          <w:trHeight w:val="1943"/>
        </w:trPr>
        <w:tc>
          <w:tcPr>
            <w:tcW w:w="2132" w:type="dxa"/>
          </w:tcPr>
          <w:p w14:paraId="0F8B0357" w14:textId="77777777" w:rsidR="008A0952" w:rsidRPr="001C5161" w:rsidRDefault="008A0952" w:rsidP="00F54B40">
            <w:pPr>
              <w:spacing w:after="120"/>
              <w:rPr>
                <w:rFonts w:cs="Arial"/>
              </w:rPr>
            </w:pPr>
            <w:r>
              <w:rPr>
                <w:rFonts w:cs="Arial"/>
              </w:rPr>
              <w:t>C</w:t>
            </w:r>
            <w:r w:rsidRPr="00AF5285">
              <w:rPr>
                <w:rFonts w:cs="Arial"/>
              </w:rPr>
              <w:t>lauses which refer to acceptance of complaint in various contexts</w:t>
            </w:r>
          </w:p>
        </w:tc>
        <w:tc>
          <w:tcPr>
            <w:tcW w:w="5380" w:type="dxa"/>
          </w:tcPr>
          <w:p w14:paraId="630BE40A" w14:textId="1FE75A00" w:rsidR="008A0952" w:rsidRPr="001C5161" w:rsidRDefault="008A0952" w:rsidP="00F54B40">
            <w:pPr>
              <w:spacing w:after="120"/>
              <w:rPr>
                <w:rFonts w:cs="Arial"/>
              </w:rPr>
            </w:pPr>
            <w:r w:rsidRPr="001C5161">
              <w:rPr>
                <w:rFonts w:cs="Arial"/>
              </w:rPr>
              <w:t>Some clauses (</w:t>
            </w:r>
            <w:proofErr w:type="gramStart"/>
            <w:r w:rsidRPr="001C5161">
              <w:rPr>
                <w:rFonts w:cs="Arial"/>
              </w:rPr>
              <w:t>e.g.</w:t>
            </w:r>
            <w:proofErr w:type="gramEnd"/>
            <w:r w:rsidRPr="001C5161">
              <w:rPr>
                <w:rFonts w:cs="Arial"/>
              </w:rPr>
              <w:t xml:space="preserve"> Clauses 105, 110, 116) identify the time of acceptance of a complaint as the relevant time for a specific purpose. However, the fact that a complaint is accepted, and therefore the specific time at which it is accepted, is often not known to the parties, who remain unaware of the decision to accept the complaint until the decision is notified to them.</w:t>
            </w:r>
          </w:p>
        </w:tc>
        <w:tc>
          <w:tcPr>
            <w:tcW w:w="6952" w:type="dxa"/>
          </w:tcPr>
          <w:p w14:paraId="1B4B62EC" w14:textId="77777777" w:rsidR="008A0952" w:rsidRPr="001C5161" w:rsidRDefault="008A0952" w:rsidP="00F54B40">
            <w:pPr>
              <w:spacing w:after="120"/>
              <w:rPr>
                <w:rFonts w:cs="Arial"/>
              </w:rPr>
            </w:pPr>
            <w:r>
              <w:rPr>
                <w:rFonts w:cs="Arial"/>
              </w:rPr>
              <w:t>Replace</w:t>
            </w:r>
            <w:r w:rsidRPr="001C5161">
              <w:rPr>
                <w:rFonts w:cs="Arial"/>
              </w:rPr>
              <w:t xml:space="preserve"> ‘acceptance’ of a complaint in each of these clauses with a reference to notification of the complaint.  </w:t>
            </w:r>
          </w:p>
          <w:p w14:paraId="361EAECF" w14:textId="77777777" w:rsidR="008A0952" w:rsidRPr="001C5161" w:rsidRDefault="008A0952" w:rsidP="00F54B40">
            <w:pPr>
              <w:spacing w:after="120"/>
              <w:rPr>
                <w:rFonts w:cs="Arial"/>
              </w:rPr>
            </w:pPr>
          </w:p>
          <w:p w14:paraId="52250215" w14:textId="77777777" w:rsidR="008A0952" w:rsidRPr="001C5161" w:rsidRDefault="008A0952" w:rsidP="00F54B40">
            <w:pPr>
              <w:spacing w:after="120"/>
              <w:rPr>
                <w:rFonts w:cs="Arial"/>
              </w:rPr>
            </w:pPr>
          </w:p>
          <w:p w14:paraId="5A383FC1" w14:textId="77777777" w:rsidR="008A0952" w:rsidRPr="001C5161" w:rsidRDefault="008A0952" w:rsidP="00F54B40">
            <w:pPr>
              <w:spacing w:after="120"/>
              <w:rPr>
                <w:rFonts w:cs="Arial"/>
              </w:rPr>
            </w:pPr>
          </w:p>
        </w:tc>
      </w:tr>
      <w:tr w:rsidR="26B96D82" w:rsidRPr="001C5161" w14:paraId="1E7724FB" w14:textId="77777777" w:rsidTr="2DA3FFDE">
        <w:trPr>
          <w:trHeight w:val="300"/>
        </w:trPr>
        <w:tc>
          <w:tcPr>
            <w:tcW w:w="2132" w:type="dxa"/>
          </w:tcPr>
          <w:p w14:paraId="5EF77A0D" w14:textId="4E83D2AA" w:rsidR="26B96D82" w:rsidRDefault="2907C203" w:rsidP="00F54B40">
            <w:pPr>
              <w:spacing w:after="120"/>
              <w:rPr>
                <w:rFonts w:cs="Arial"/>
              </w:rPr>
            </w:pPr>
            <w:r w:rsidRPr="001C5161">
              <w:rPr>
                <w:rFonts w:cs="Arial"/>
              </w:rPr>
              <w:t>Cl 107</w:t>
            </w:r>
          </w:p>
          <w:p w14:paraId="3CA75056" w14:textId="608D7786" w:rsidR="26B96D82" w:rsidRPr="001C5161" w:rsidRDefault="000C4D3C" w:rsidP="00F54B40">
            <w:pPr>
              <w:spacing w:after="120"/>
              <w:rPr>
                <w:rFonts w:cs="Arial"/>
              </w:rPr>
            </w:pPr>
            <w:r>
              <w:rPr>
                <w:rFonts w:cs="Arial"/>
              </w:rPr>
              <w:t>Form of complaint</w:t>
            </w:r>
          </w:p>
        </w:tc>
        <w:tc>
          <w:tcPr>
            <w:tcW w:w="5380" w:type="dxa"/>
          </w:tcPr>
          <w:p w14:paraId="3B80E7BB" w14:textId="52616F23" w:rsidR="26B96D82" w:rsidRPr="001C5161" w:rsidRDefault="2907C203" w:rsidP="00F54B40">
            <w:pPr>
              <w:spacing w:after="120"/>
              <w:rPr>
                <w:rFonts w:cs="Arial"/>
              </w:rPr>
            </w:pPr>
            <w:r w:rsidRPr="001C5161">
              <w:rPr>
                <w:rFonts w:cs="Arial"/>
              </w:rPr>
              <w:t xml:space="preserve">Complaints need to be in writing so they can be notified to the respondent without the risk of </w:t>
            </w:r>
            <w:r w:rsidR="61C1AD10" w:rsidRPr="001C5161">
              <w:rPr>
                <w:rFonts w:cs="Arial"/>
              </w:rPr>
              <w:t xml:space="preserve">the meaning being changed in </w:t>
            </w:r>
            <w:r w:rsidRPr="001C5161">
              <w:rPr>
                <w:rFonts w:cs="Arial"/>
              </w:rPr>
              <w:t>oral miscommunication.</w:t>
            </w:r>
            <w:r w:rsidR="4E163541" w:rsidRPr="001C5161">
              <w:rPr>
                <w:rFonts w:cs="Arial"/>
              </w:rPr>
              <w:t xml:space="preserve">  Some complainants lack the skill and access to services that can help reduce a complaint to writing.  In these cases, the Commission assists the complainant to transcribe a complaint with appropriate s</w:t>
            </w:r>
            <w:r w:rsidR="718ACDF2" w:rsidRPr="001C5161">
              <w:rPr>
                <w:rFonts w:cs="Arial"/>
              </w:rPr>
              <w:t>afeguards to ensure it is accurately recorded.</w:t>
            </w:r>
          </w:p>
        </w:tc>
        <w:tc>
          <w:tcPr>
            <w:tcW w:w="6952" w:type="dxa"/>
          </w:tcPr>
          <w:p w14:paraId="22E0709F" w14:textId="71C2DF2C" w:rsidR="26B96D82" w:rsidRPr="001C5161" w:rsidRDefault="00B77460" w:rsidP="00F54B40">
            <w:pPr>
              <w:spacing w:after="120"/>
              <w:rPr>
                <w:rFonts w:eastAsiaTheme="minorEastAsia" w:cs="Arial"/>
                <w:color w:val="000000" w:themeColor="text1"/>
              </w:rPr>
            </w:pPr>
            <w:r>
              <w:rPr>
                <w:rFonts w:eastAsiaTheme="minorEastAsia" w:cs="Arial"/>
                <w:color w:val="000000" w:themeColor="text1"/>
              </w:rPr>
              <w:t>Amend clause</w:t>
            </w:r>
            <w:r w:rsidR="2907C203" w:rsidRPr="001C5161">
              <w:rPr>
                <w:rFonts w:eastAsiaTheme="minorEastAsia" w:cs="Arial"/>
                <w:color w:val="000000" w:themeColor="text1"/>
              </w:rPr>
              <w:t xml:space="preserve"> 107 to include a provision that specifically allows </w:t>
            </w:r>
            <w:r w:rsidR="00756440">
              <w:rPr>
                <w:rFonts w:eastAsiaTheme="minorEastAsia" w:cs="Arial"/>
                <w:color w:val="000000" w:themeColor="text1"/>
              </w:rPr>
              <w:t>C</w:t>
            </w:r>
            <w:r w:rsidR="2907C203" w:rsidRPr="001C5161">
              <w:rPr>
                <w:rFonts w:eastAsiaTheme="minorEastAsia" w:cs="Arial"/>
                <w:color w:val="000000" w:themeColor="text1"/>
              </w:rPr>
              <w:t xml:space="preserve">ommission staff, in exceptional circumstances that justify it, to receive and deal with a complaint made orally, and to transcribe such a complaint into written form.   </w:t>
            </w:r>
          </w:p>
        </w:tc>
      </w:tr>
      <w:tr w:rsidR="03B5053E" w:rsidRPr="001C5161" w14:paraId="3FE39BBD" w14:textId="77777777" w:rsidTr="2DA3FFDE">
        <w:trPr>
          <w:trHeight w:val="300"/>
        </w:trPr>
        <w:tc>
          <w:tcPr>
            <w:tcW w:w="2132" w:type="dxa"/>
          </w:tcPr>
          <w:p w14:paraId="6805A9B0" w14:textId="77777777" w:rsidR="613D24D7" w:rsidRDefault="613D24D7" w:rsidP="00F54B40">
            <w:pPr>
              <w:spacing w:after="120"/>
              <w:rPr>
                <w:rFonts w:cs="Arial"/>
              </w:rPr>
            </w:pPr>
            <w:r w:rsidRPr="001C5161">
              <w:rPr>
                <w:rFonts w:cs="Arial"/>
              </w:rPr>
              <w:t>Cl 117</w:t>
            </w:r>
          </w:p>
          <w:p w14:paraId="3EC10BF1" w14:textId="70192E77" w:rsidR="613D24D7" w:rsidRPr="001C5161" w:rsidRDefault="001F4FFB" w:rsidP="00F54B40">
            <w:pPr>
              <w:spacing w:after="120"/>
              <w:rPr>
                <w:rFonts w:cs="Arial"/>
              </w:rPr>
            </w:pPr>
            <w:r>
              <w:rPr>
                <w:rFonts w:cs="Arial"/>
              </w:rPr>
              <w:lastRenderedPageBreak/>
              <w:t>Commissioner may decide not to deal with complaint</w:t>
            </w:r>
          </w:p>
        </w:tc>
        <w:tc>
          <w:tcPr>
            <w:tcW w:w="5380" w:type="dxa"/>
          </w:tcPr>
          <w:p w14:paraId="3277A291" w14:textId="235CC061" w:rsidR="71C905FA" w:rsidRPr="001C5161" w:rsidRDefault="676D8761" w:rsidP="00F54B40">
            <w:pPr>
              <w:spacing w:after="120"/>
              <w:rPr>
                <w:rFonts w:cs="Arial"/>
              </w:rPr>
            </w:pPr>
            <w:r w:rsidRPr="001C5161">
              <w:rPr>
                <w:rFonts w:cs="Arial"/>
              </w:rPr>
              <w:lastRenderedPageBreak/>
              <w:t>The clause provides for when the commissioner must refuse to deal with a complaint. In</w:t>
            </w:r>
            <w:r w:rsidR="71C905FA" w:rsidRPr="001C5161">
              <w:rPr>
                <w:rFonts w:cs="Arial"/>
              </w:rPr>
              <w:t xml:space="preserve"> cases where the complainant was a young child at the time of the alleged contravention and does not make the complaint until </w:t>
            </w:r>
            <w:r w:rsidR="0D20F724" w:rsidRPr="001C5161">
              <w:rPr>
                <w:rFonts w:cs="Arial"/>
              </w:rPr>
              <w:t xml:space="preserve">two </w:t>
            </w:r>
            <w:r w:rsidR="0D20F724" w:rsidRPr="001C5161">
              <w:rPr>
                <w:rFonts w:cs="Arial"/>
              </w:rPr>
              <w:lastRenderedPageBreak/>
              <w:t>years after turning 18</w:t>
            </w:r>
            <w:r w:rsidR="71C905FA" w:rsidRPr="001C5161">
              <w:rPr>
                <w:rFonts w:cs="Arial"/>
              </w:rPr>
              <w:t xml:space="preserve">, the current draft would require the commissioner to deal with the complaint </w:t>
            </w:r>
            <w:r w:rsidR="65B7CC54" w:rsidRPr="001C5161">
              <w:rPr>
                <w:rFonts w:cs="Arial"/>
              </w:rPr>
              <w:t xml:space="preserve">even if doing so caused substantial prejudice to the respondent. </w:t>
            </w:r>
            <w:r w:rsidR="219EF574" w:rsidRPr="001C5161">
              <w:rPr>
                <w:rFonts w:cs="Arial"/>
              </w:rPr>
              <w:t xml:space="preserve">  </w:t>
            </w:r>
          </w:p>
          <w:p w14:paraId="73DD7B08" w14:textId="7C5E8927" w:rsidR="03B5053E" w:rsidRPr="001C5161" w:rsidRDefault="0B6E2EC1" w:rsidP="00F54B40">
            <w:pPr>
              <w:spacing w:after="120"/>
              <w:rPr>
                <w:rFonts w:cs="Arial"/>
              </w:rPr>
            </w:pPr>
            <w:r w:rsidRPr="001C5161">
              <w:rPr>
                <w:rFonts w:cs="Arial"/>
              </w:rPr>
              <w:t xml:space="preserve">Clause 117(1)(b) replaces the existing section 140 of the AD Act, but </w:t>
            </w:r>
            <w:r w:rsidR="017DD1C4" w:rsidRPr="28088193">
              <w:rPr>
                <w:rFonts w:cs="Arial"/>
              </w:rPr>
              <w:t>it is much narrower</w:t>
            </w:r>
            <w:r w:rsidR="017DD1C4" w:rsidRPr="0E696842">
              <w:rPr>
                <w:rFonts w:cs="Arial"/>
              </w:rPr>
              <w:t>.</w:t>
            </w:r>
            <w:r w:rsidR="327583E8" w:rsidRPr="45BA0812">
              <w:rPr>
                <w:rFonts w:cs="Arial"/>
              </w:rPr>
              <w:t xml:space="preserve"> </w:t>
            </w:r>
            <w:r w:rsidR="327583E8" w:rsidRPr="6005C15D">
              <w:rPr>
                <w:rFonts w:cs="Arial"/>
              </w:rPr>
              <w:t xml:space="preserve">The proposed clause is limited to allowing the commissioner to decide not to deal with a </w:t>
            </w:r>
            <w:r w:rsidR="327583E8" w:rsidRPr="1BE774B5">
              <w:rPr>
                <w:rFonts w:cs="Arial"/>
              </w:rPr>
              <w:t xml:space="preserve">complaint </w:t>
            </w:r>
            <w:r w:rsidR="327583E8" w:rsidRPr="3E9472A6">
              <w:rPr>
                <w:rFonts w:cs="Arial"/>
              </w:rPr>
              <w:t xml:space="preserve">if </w:t>
            </w:r>
            <w:r w:rsidR="2832F325" w:rsidRPr="1B290171">
              <w:rPr>
                <w:rFonts w:cs="Arial"/>
              </w:rPr>
              <w:t xml:space="preserve">it would be </w:t>
            </w:r>
            <w:r w:rsidR="2832F325" w:rsidRPr="0F5EBECC">
              <w:rPr>
                <w:rFonts w:cs="Arial"/>
              </w:rPr>
              <w:t>more appropriately dealt with by a court or tribunal.</w:t>
            </w:r>
          </w:p>
          <w:p w14:paraId="17913618" w14:textId="270DEBFE" w:rsidR="03B5053E" w:rsidRPr="001C5161" w:rsidRDefault="2832F325" w:rsidP="00F54B40">
            <w:pPr>
              <w:spacing w:after="120"/>
              <w:rPr>
                <w:rFonts w:cs="Arial"/>
              </w:rPr>
            </w:pPr>
            <w:r w:rsidRPr="1C83030C">
              <w:rPr>
                <w:rFonts w:cs="Arial"/>
              </w:rPr>
              <w:t xml:space="preserve">Clause 117(2) lists the factors the commissioner must consider in deciding whether exceptional circumstances </w:t>
            </w:r>
            <w:r w:rsidR="13188E33" w:rsidRPr="1C83030C">
              <w:rPr>
                <w:rFonts w:cs="Arial"/>
              </w:rPr>
              <w:t>and the interests of justice are sufficient to justify dealing with a complaint made after the 2-year complaint period has expired.</w:t>
            </w:r>
          </w:p>
        </w:tc>
        <w:tc>
          <w:tcPr>
            <w:tcW w:w="6952" w:type="dxa"/>
          </w:tcPr>
          <w:p w14:paraId="13D80F74" w14:textId="3CA90B73" w:rsidR="03B5053E" w:rsidRPr="001C5161" w:rsidRDefault="00B77460" w:rsidP="00F54B40">
            <w:pPr>
              <w:spacing w:after="120"/>
              <w:rPr>
                <w:rFonts w:eastAsiaTheme="minorEastAsia" w:cs="Arial"/>
                <w:color w:val="000000" w:themeColor="text1"/>
              </w:rPr>
            </w:pPr>
            <w:r>
              <w:rPr>
                <w:rFonts w:eastAsiaTheme="minorEastAsia" w:cs="Arial"/>
                <w:color w:val="000000" w:themeColor="text1"/>
              </w:rPr>
              <w:lastRenderedPageBreak/>
              <w:t>Amend clause</w:t>
            </w:r>
            <w:r w:rsidR="613D24D7" w:rsidRPr="001C5161">
              <w:rPr>
                <w:rFonts w:eastAsiaTheme="minorEastAsia" w:cs="Arial"/>
                <w:color w:val="000000" w:themeColor="text1"/>
              </w:rPr>
              <w:t xml:space="preserve"> 117 to allow the commissioner not to deal with a complaint made within the complaint period where the complainant was a child at the </w:t>
            </w:r>
            <w:r w:rsidR="613D24D7" w:rsidRPr="001C5161">
              <w:rPr>
                <w:rFonts w:eastAsiaTheme="minorEastAsia" w:cs="Arial"/>
                <w:color w:val="000000" w:themeColor="text1"/>
              </w:rPr>
              <w:lastRenderedPageBreak/>
              <w:t xml:space="preserve">time of the allegations and did not make the complaint until many years </w:t>
            </w:r>
            <w:proofErr w:type="gramStart"/>
            <w:r w:rsidR="613D24D7" w:rsidRPr="001C5161">
              <w:rPr>
                <w:rFonts w:eastAsiaTheme="minorEastAsia" w:cs="Arial"/>
                <w:color w:val="000000" w:themeColor="text1"/>
              </w:rPr>
              <w:t>later</w:t>
            </w:r>
            <w:r w:rsidR="6399BFA5" w:rsidRPr="001C5161">
              <w:rPr>
                <w:rFonts w:eastAsiaTheme="minorEastAsia" w:cs="Arial"/>
                <w:color w:val="000000" w:themeColor="text1"/>
              </w:rPr>
              <w:t>, if</w:t>
            </w:r>
            <w:proofErr w:type="gramEnd"/>
            <w:r w:rsidR="6399BFA5" w:rsidRPr="001C5161">
              <w:rPr>
                <w:rFonts w:eastAsiaTheme="minorEastAsia" w:cs="Arial"/>
                <w:color w:val="000000" w:themeColor="text1"/>
              </w:rPr>
              <w:t xml:space="preserve"> the respondent can show substantial prejudice</w:t>
            </w:r>
            <w:r w:rsidR="613D24D7" w:rsidRPr="001C5161">
              <w:rPr>
                <w:rFonts w:eastAsiaTheme="minorEastAsia" w:cs="Arial"/>
                <w:color w:val="000000" w:themeColor="text1"/>
              </w:rPr>
              <w:t xml:space="preserve">.  </w:t>
            </w:r>
          </w:p>
          <w:p w14:paraId="5A923550" w14:textId="2878B8CD" w:rsidR="03B5053E" w:rsidRPr="001C5161" w:rsidRDefault="03B5053E" w:rsidP="00F54B40">
            <w:pPr>
              <w:spacing w:after="120"/>
              <w:rPr>
                <w:rFonts w:eastAsiaTheme="minorEastAsia" w:cs="Arial"/>
                <w:color w:val="000000" w:themeColor="text1"/>
              </w:rPr>
            </w:pPr>
          </w:p>
          <w:p w14:paraId="23F79221" w14:textId="0B0962A4" w:rsidR="03B5053E" w:rsidRPr="001C5161" w:rsidRDefault="03B5053E" w:rsidP="00F54B40">
            <w:pPr>
              <w:spacing w:after="120"/>
              <w:rPr>
                <w:rFonts w:eastAsiaTheme="minorEastAsia" w:cs="Arial"/>
                <w:color w:val="000000" w:themeColor="text1"/>
              </w:rPr>
            </w:pPr>
          </w:p>
          <w:p w14:paraId="57504E14" w14:textId="289C5A5D" w:rsidR="03B5053E" w:rsidRPr="001C5161" w:rsidRDefault="00A93056" w:rsidP="00F54B40">
            <w:pPr>
              <w:spacing w:after="120"/>
              <w:rPr>
                <w:rFonts w:eastAsiaTheme="minorEastAsia" w:cs="Arial"/>
                <w:color w:val="000000" w:themeColor="text1"/>
              </w:rPr>
            </w:pPr>
            <w:r>
              <w:rPr>
                <w:rFonts w:eastAsiaTheme="minorEastAsia" w:cs="Arial"/>
                <w:color w:val="000000" w:themeColor="text1"/>
              </w:rPr>
              <w:t>Expand clause</w:t>
            </w:r>
            <w:r w:rsidR="3A820F19" w:rsidRPr="69B1362F">
              <w:rPr>
                <w:rFonts w:eastAsiaTheme="minorEastAsia" w:cs="Arial"/>
                <w:color w:val="000000" w:themeColor="text1"/>
              </w:rPr>
              <w:t xml:space="preserve"> 117(1)(b) to allow the commissioner to decide not to deal with a complaint if it may be appropriately deal with by another entity or it has been ad</w:t>
            </w:r>
            <w:r w:rsidR="3D34C058" w:rsidRPr="69B1362F">
              <w:rPr>
                <w:rFonts w:eastAsiaTheme="minorEastAsia" w:cs="Arial"/>
                <w:color w:val="000000" w:themeColor="text1"/>
              </w:rPr>
              <w:t xml:space="preserve">equately dealt with by </w:t>
            </w:r>
            <w:r w:rsidR="3D34C058" w:rsidRPr="45BA0812">
              <w:rPr>
                <w:rFonts w:eastAsiaTheme="minorEastAsia" w:cs="Arial"/>
                <w:color w:val="000000" w:themeColor="text1"/>
              </w:rPr>
              <w:t xml:space="preserve">another entity. </w:t>
            </w:r>
            <w:r w:rsidR="004C17C3">
              <w:rPr>
                <w:rFonts w:eastAsiaTheme="minorEastAsia" w:cs="Arial"/>
                <w:color w:val="000000" w:themeColor="text1"/>
              </w:rPr>
              <w:t xml:space="preserve">                                                </w:t>
            </w:r>
          </w:p>
          <w:p w14:paraId="2DFED744" w14:textId="33CC4C6C" w:rsidR="03B5053E" w:rsidRPr="001C5161" w:rsidRDefault="03B5053E" w:rsidP="00F54B40">
            <w:pPr>
              <w:spacing w:after="120"/>
              <w:rPr>
                <w:rFonts w:eastAsiaTheme="minorEastAsia" w:cs="Arial"/>
                <w:color w:val="000000" w:themeColor="text1"/>
              </w:rPr>
            </w:pPr>
          </w:p>
          <w:p w14:paraId="234D128F" w14:textId="15D88629" w:rsidR="03B5053E" w:rsidRPr="001C5161" w:rsidRDefault="00A93056" w:rsidP="00A81899">
            <w:pPr>
              <w:spacing w:before="240" w:after="120"/>
              <w:rPr>
                <w:rFonts w:eastAsiaTheme="minorEastAsia" w:cs="Arial"/>
                <w:color w:val="000000" w:themeColor="text1"/>
              </w:rPr>
            </w:pPr>
            <w:r>
              <w:rPr>
                <w:rFonts w:eastAsiaTheme="minorEastAsia" w:cs="Arial"/>
                <w:color w:val="000000" w:themeColor="text1"/>
              </w:rPr>
              <w:t>Amend clause</w:t>
            </w:r>
            <w:r w:rsidR="1686793E" w:rsidRPr="56BB9CA2">
              <w:rPr>
                <w:rFonts w:eastAsiaTheme="minorEastAsia" w:cs="Arial"/>
                <w:color w:val="000000" w:themeColor="text1"/>
              </w:rPr>
              <w:t xml:space="preserve"> 117(2)</w:t>
            </w:r>
            <w:r w:rsidR="1686793E" w:rsidRPr="3F902224">
              <w:rPr>
                <w:rFonts w:eastAsiaTheme="minorEastAsia" w:cs="Arial"/>
                <w:color w:val="000000" w:themeColor="text1"/>
              </w:rPr>
              <w:t xml:space="preserve"> </w:t>
            </w:r>
            <w:r w:rsidR="1686793E" w:rsidRPr="23A69F3F">
              <w:rPr>
                <w:rFonts w:eastAsiaTheme="minorEastAsia" w:cs="Arial"/>
                <w:color w:val="000000" w:themeColor="text1"/>
              </w:rPr>
              <w:t xml:space="preserve">to include </w:t>
            </w:r>
            <w:r w:rsidR="1686793E" w:rsidRPr="483ABD74">
              <w:rPr>
                <w:rFonts w:eastAsiaTheme="minorEastAsia" w:cs="Arial"/>
                <w:color w:val="000000" w:themeColor="text1"/>
              </w:rPr>
              <w:t xml:space="preserve">an </w:t>
            </w:r>
            <w:r w:rsidR="1686793E" w:rsidRPr="2C513A8F">
              <w:rPr>
                <w:rFonts w:eastAsiaTheme="minorEastAsia" w:cs="Arial"/>
                <w:color w:val="000000" w:themeColor="text1"/>
              </w:rPr>
              <w:t xml:space="preserve">additional paragraph as </w:t>
            </w:r>
            <w:r w:rsidR="1686793E" w:rsidRPr="16E1DC0C">
              <w:rPr>
                <w:rFonts w:eastAsiaTheme="minorEastAsia" w:cs="Arial"/>
                <w:color w:val="000000" w:themeColor="text1"/>
              </w:rPr>
              <w:t>follows:</w:t>
            </w:r>
          </w:p>
          <w:p w14:paraId="750B93BC" w14:textId="402FF28F" w:rsidR="03B5053E" w:rsidRPr="00F54B40" w:rsidRDefault="1686793E" w:rsidP="00F54B40">
            <w:pPr>
              <w:spacing w:after="120"/>
              <w:ind w:left="432"/>
              <w:rPr>
                <w:rFonts w:eastAsiaTheme="minorEastAsia" w:cs="Arial"/>
                <w:color w:val="347B9F"/>
              </w:rPr>
            </w:pPr>
            <w:r w:rsidRPr="00F54B40">
              <w:rPr>
                <w:rFonts w:eastAsiaTheme="minorEastAsia" w:cs="Arial"/>
                <w:color w:val="347B9F"/>
              </w:rPr>
              <w:t>117(2)(d) any other relevant factor</w:t>
            </w:r>
          </w:p>
          <w:p w14:paraId="5A6EEAFC" w14:textId="39F71EEB" w:rsidR="03B5053E" w:rsidRPr="001C5161" w:rsidRDefault="03B5053E" w:rsidP="00F54B40">
            <w:pPr>
              <w:spacing w:after="120"/>
              <w:rPr>
                <w:rFonts w:eastAsiaTheme="minorEastAsia" w:cs="Arial"/>
                <w:color w:val="000000" w:themeColor="text1"/>
              </w:rPr>
            </w:pPr>
          </w:p>
          <w:p w14:paraId="78B75D98" w14:textId="1E406FA7" w:rsidR="03B5053E" w:rsidRPr="001C5161" w:rsidRDefault="03B5053E" w:rsidP="00F54B40">
            <w:pPr>
              <w:spacing w:after="120"/>
              <w:rPr>
                <w:rFonts w:eastAsiaTheme="minorEastAsia" w:cs="Arial"/>
                <w:color w:val="000000" w:themeColor="text1"/>
              </w:rPr>
            </w:pPr>
          </w:p>
        </w:tc>
      </w:tr>
      <w:tr w:rsidR="00F6417C" w:rsidRPr="001C5161" w14:paraId="3BB0C178" w14:textId="77777777" w:rsidTr="2DA3FFDE">
        <w:trPr>
          <w:trHeight w:val="300"/>
        </w:trPr>
        <w:tc>
          <w:tcPr>
            <w:tcW w:w="2132" w:type="dxa"/>
          </w:tcPr>
          <w:p w14:paraId="27FFB83A" w14:textId="77777777" w:rsidR="00F6417C" w:rsidRDefault="00C47A88" w:rsidP="00F54B40">
            <w:pPr>
              <w:spacing w:after="120"/>
              <w:rPr>
                <w:rFonts w:cs="Arial"/>
              </w:rPr>
            </w:pPr>
            <w:r>
              <w:rPr>
                <w:rFonts w:cs="Arial"/>
              </w:rPr>
              <w:lastRenderedPageBreak/>
              <w:t>Cl 122</w:t>
            </w:r>
          </w:p>
          <w:p w14:paraId="7303B8D4" w14:textId="1E8979E1" w:rsidR="00C47A88" w:rsidRPr="001C5161" w:rsidRDefault="00C47A88" w:rsidP="00F54B40">
            <w:pPr>
              <w:spacing w:after="120"/>
              <w:rPr>
                <w:rFonts w:cs="Arial"/>
              </w:rPr>
            </w:pPr>
            <w:r>
              <w:rPr>
                <w:rFonts w:cs="Arial"/>
              </w:rPr>
              <w:t>Compliant not dealt with lapses</w:t>
            </w:r>
          </w:p>
        </w:tc>
        <w:tc>
          <w:tcPr>
            <w:tcW w:w="5380" w:type="dxa"/>
          </w:tcPr>
          <w:p w14:paraId="70D68FBA" w14:textId="019B9830" w:rsidR="00F6417C" w:rsidRPr="001C5161" w:rsidRDefault="6F46DD28" w:rsidP="00F54B40">
            <w:pPr>
              <w:spacing w:after="120"/>
              <w:rPr>
                <w:rFonts w:eastAsia="Arial" w:cs="Arial"/>
              </w:rPr>
            </w:pPr>
            <w:r w:rsidRPr="2DA3FFDE">
              <w:rPr>
                <w:rFonts w:cs="Arial"/>
              </w:rPr>
              <w:t xml:space="preserve">As currently drafted, </w:t>
            </w:r>
            <w:r w:rsidR="2A0805E9" w:rsidRPr="2DA3FFDE">
              <w:rPr>
                <w:rFonts w:cs="Arial"/>
              </w:rPr>
              <w:t>clause 122</w:t>
            </w:r>
            <w:r w:rsidRPr="2DA3FFDE">
              <w:rPr>
                <w:rFonts w:cs="Arial"/>
              </w:rPr>
              <w:t xml:space="preserve"> has the effect of lapsing </w:t>
            </w:r>
            <w:r w:rsidR="647D4F3B" w:rsidRPr="2DA3FFDE">
              <w:rPr>
                <w:rFonts w:cs="Arial"/>
              </w:rPr>
              <w:t xml:space="preserve">complaints the commissioner </w:t>
            </w:r>
            <w:r w:rsidR="0D5EA93E" w:rsidRPr="2DA3FFDE">
              <w:rPr>
                <w:rFonts w:eastAsia="Arial" w:cs="Arial"/>
              </w:rPr>
              <w:t>‘</w:t>
            </w:r>
            <w:r w:rsidR="5AA1F385" w:rsidRPr="2DA3FFDE">
              <w:rPr>
                <w:rFonts w:eastAsia="Arial" w:cs="Arial"/>
              </w:rPr>
              <w:t xml:space="preserve">does not deal </w:t>
            </w:r>
            <w:proofErr w:type="gramStart"/>
            <w:r w:rsidR="5AA1F385" w:rsidRPr="2DA3FFDE">
              <w:rPr>
                <w:rFonts w:eastAsia="Arial" w:cs="Arial"/>
              </w:rPr>
              <w:t>with, or</w:t>
            </w:r>
            <w:proofErr w:type="gramEnd"/>
            <w:r w:rsidR="5AA1F385" w:rsidRPr="2DA3FFDE">
              <w:rPr>
                <w:rFonts w:eastAsia="Arial" w:cs="Arial"/>
              </w:rPr>
              <w:t xml:space="preserve"> stops dealing with</w:t>
            </w:r>
            <w:r w:rsidR="52F52414" w:rsidRPr="2DA3FFDE">
              <w:rPr>
                <w:rFonts w:eastAsia="Arial" w:cs="Arial"/>
              </w:rPr>
              <w:t>’</w:t>
            </w:r>
            <w:r w:rsidR="2D12EC73" w:rsidRPr="2DA3FFDE">
              <w:rPr>
                <w:rFonts w:eastAsia="Arial" w:cs="Arial"/>
              </w:rPr>
              <w:t xml:space="preserve"> under Pt 9 Div 4</w:t>
            </w:r>
            <w:r w:rsidR="5AA1F385" w:rsidRPr="2DA3FFDE">
              <w:rPr>
                <w:rFonts w:eastAsia="Arial" w:cs="Arial"/>
              </w:rPr>
              <w:t>,</w:t>
            </w:r>
            <w:r w:rsidR="6EA89349" w:rsidRPr="2DA3FFDE">
              <w:rPr>
                <w:rFonts w:eastAsia="Arial" w:cs="Arial"/>
              </w:rPr>
              <w:t xml:space="preserve"> and prevents the complainant from making a further complaint about the same allegations.  It is unclear whether the clause applies in cases where the commissioner ‘finishes’ dealing with a complaint.  If it does not apply to thos</w:t>
            </w:r>
            <w:r w:rsidR="503DDF0A" w:rsidRPr="2DA3FFDE">
              <w:rPr>
                <w:rFonts w:eastAsia="Arial" w:cs="Arial"/>
              </w:rPr>
              <w:t xml:space="preserve">e complaints, there is potential for a complainant to withdraw a complaint after referral, and re-lodge the same complaint </w:t>
            </w:r>
            <w:r w:rsidR="43B546D8" w:rsidRPr="2DA3FFDE">
              <w:rPr>
                <w:rFonts w:eastAsia="Arial" w:cs="Arial"/>
              </w:rPr>
              <w:t xml:space="preserve">again, which would be unfair to the respondent. </w:t>
            </w:r>
          </w:p>
        </w:tc>
        <w:tc>
          <w:tcPr>
            <w:tcW w:w="6952" w:type="dxa"/>
          </w:tcPr>
          <w:p w14:paraId="7254D65E" w14:textId="48A71113" w:rsidR="00F6417C" w:rsidRDefault="1E9BC8C7" w:rsidP="00F54B40">
            <w:pPr>
              <w:spacing w:after="120"/>
              <w:rPr>
                <w:rFonts w:eastAsiaTheme="minorEastAsia" w:cs="Arial"/>
                <w:color w:val="000000" w:themeColor="text1"/>
              </w:rPr>
            </w:pPr>
            <w:r w:rsidRPr="2DA3FFDE">
              <w:rPr>
                <w:rFonts w:eastAsiaTheme="minorEastAsia" w:cs="Arial"/>
                <w:color w:val="000000" w:themeColor="text1"/>
              </w:rPr>
              <w:t>Amend clause 122 to include the words ‘or finishes dealing with the complaint under section 139’ after the words ‘under this division’</w:t>
            </w:r>
          </w:p>
        </w:tc>
      </w:tr>
      <w:tr w:rsidR="14EFF999" w:rsidRPr="001C5161" w14:paraId="00DFE00F" w14:textId="77777777" w:rsidTr="2DA3FFDE">
        <w:trPr>
          <w:trHeight w:val="300"/>
        </w:trPr>
        <w:tc>
          <w:tcPr>
            <w:tcW w:w="2132" w:type="dxa"/>
          </w:tcPr>
          <w:p w14:paraId="51DA923B" w14:textId="77777777" w:rsidR="14EFF999" w:rsidRDefault="5E3216AB" w:rsidP="00F54B40">
            <w:pPr>
              <w:spacing w:after="120"/>
              <w:rPr>
                <w:rFonts w:cs="Arial"/>
              </w:rPr>
            </w:pPr>
            <w:r w:rsidRPr="001C5161">
              <w:rPr>
                <w:rFonts w:cs="Arial"/>
              </w:rPr>
              <w:t>Cl 123</w:t>
            </w:r>
          </w:p>
          <w:p w14:paraId="6602FFDE" w14:textId="690D1A31" w:rsidR="14EFF999" w:rsidRPr="001C5161" w:rsidRDefault="008041C9" w:rsidP="00F54B40">
            <w:pPr>
              <w:spacing w:after="120"/>
              <w:rPr>
                <w:rFonts w:cs="Arial"/>
              </w:rPr>
            </w:pPr>
            <w:r>
              <w:rPr>
                <w:rFonts w:cs="Arial"/>
              </w:rPr>
              <w:t>Acce</w:t>
            </w:r>
            <w:r w:rsidR="00181F3D">
              <w:rPr>
                <w:rFonts w:cs="Arial"/>
              </w:rPr>
              <w:t>ptance of complaint by commissioner</w:t>
            </w:r>
          </w:p>
        </w:tc>
        <w:tc>
          <w:tcPr>
            <w:tcW w:w="5380" w:type="dxa"/>
          </w:tcPr>
          <w:p w14:paraId="599B4F20" w14:textId="307624DD" w:rsidR="14EFF999" w:rsidRPr="001C5161" w:rsidRDefault="000A27DA" w:rsidP="00F54B40">
            <w:pPr>
              <w:spacing w:after="120"/>
              <w:rPr>
                <w:rFonts w:cs="Arial"/>
              </w:rPr>
            </w:pPr>
            <w:r>
              <w:rPr>
                <w:rFonts w:cs="Arial"/>
              </w:rPr>
              <w:t xml:space="preserve">Refer to </w:t>
            </w:r>
            <w:r w:rsidR="00320C3F">
              <w:rPr>
                <w:rFonts w:cs="Arial"/>
                <w:i/>
                <w:iCs/>
              </w:rPr>
              <w:t>Priority concerns</w:t>
            </w:r>
            <w:r w:rsidR="00320C3F">
              <w:rPr>
                <w:rFonts w:cs="Arial"/>
              </w:rPr>
              <w:t xml:space="preserve">: </w:t>
            </w:r>
            <w:r w:rsidR="00320C3F">
              <w:rPr>
                <w:rFonts w:cs="Arial"/>
                <w:i/>
                <w:iCs/>
              </w:rPr>
              <w:t xml:space="preserve">Complaint functions </w:t>
            </w:r>
            <w:r w:rsidR="00320C3F">
              <w:rPr>
                <w:rFonts w:cs="Arial"/>
              </w:rPr>
              <w:t>in this submission.</w:t>
            </w:r>
            <w:r w:rsidR="00320C3F">
              <w:rPr>
                <w:rFonts w:cs="Arial"/>
                <w:i/>
                <w:iCs/>
              </w:rPr>
              <w:t xml:space="preserve"> </w:t>
            </w:r>
            <w:r w:rsidR="630B6A7B" w:rsidRPr="001C5161">
              <w:rPr>
                <w:rFonts w:cs="Arial"/>
              </w:rPr>
              <w:t xml:space="preserve">  </w:t>
            </w:r>
          </w:p>
        </w:tc>
        <w:tc>
          <w:tcPr>
            <w:tcW w:w="6952" w:type="dxa"/>
          </w:tcPr>
          <w:p w14:paraId="6BD1FDEF" w14:textId="77777777" w:rsidR="00587E6F" w:rsidRPr="00F54B40" w:rsidRDefault="00587E6F" w:rsidP="00F54B40">
            <w:pPr>
              <w:spacing w:after="120"/>
              <w:rPr>
                <w:rFonts w:cs="Arial"/>
              </w:rPr>
            </w:pPr>
            <w:r w:rsidRPr="00F54B40">
              <w:rPr>
                <w:rFonts w:cs="Arial"/>
              </w:rPr>
              <w:t>Clause 123 should either be removed, or amended to read as follows:</w:t>
            </w:r>
          </w:p>
          <w:p w14:paraId="46CE3DC6" w14:textId="5474BA56" w:rsidR="008041C9" w:rsidRPr="00F54B40" w:rsidRDefault="000F2DA6" w:rsidP="00F54B40">
            <w:pPr>
              <w:spacing w:before="240" w:after="120"/>
              <w:ind w:left="603"/>
              <w:rPr>
                <w:rFonts w:eastAsiaTheme="minorEastAsia" w:cs="Arial"/>
                <w:b/>
                <w:bCs/>
                <w:color w:val="347B9F"/>
              </w:rPr>
            </w:pPr>
            <w:r w:rsidRPr="00F54B40">
              <w:rPr>
                <w:rFonts w:eastAsiaTheme="minorEastAsia" w:cs="Arial"/>
                <w:b/>
                <w:bCs/>
                <w:color w:val="347B9F"/>
              </w:rPr>
              <w:t xml:space="preserve">123 </w:t>
            </w:r>
            <w:r w:rsidR="001C14DF" w:rsidRPr="00F54B40">
              <w:rPr>
                <w:rFonts w:eastAsiaTheme="minorEastAsia" w:cs="Arial"/>
                <w:b/>
                <w:bCs/>
                <w:color w:val="347B9F"/>
              </w:rPr>
              <w:t>Decision by commissioner to deal with complaint</w:t>
            </w:r>
          </w:p>
          <w:p w14:paraId="084CDF84" w14:textId="77777777" w:rsidR="00071F9A" w:rsidRPr="00F54B40" w:rsidRDefault="630B6A7B" w:rsidP="00F54B40">
            <w:pPr>
              <w:pStyle w:val="Numberedparagraph"/>
              <w:numPr>
                <w:ilvl w:val="0"/>
                <w:numId w:val="23"/>
              </w:numPr>
              <w:spacing w:after="120" w:line="240" w:lineRule="auto"/>
              <w:contextualSpacing w:val="0"/>
              <w:rPr>
                <w:color w:val="347B9F"/>
              </w:rPr>
            </w:pPr>
            <w:r w:rsidRPr="00F54B40">
              <w:rPr>
                <w:color w:val="347B9F"/>
              </w:rPr>
              <w:t xml:space="preserve">If the </w:t>
            </w:r>
            <w:r w:rsidR="00EB0694" w:rsidRPr="00F54B40">
              <w:rPr>
                <w:color w:val="347B9F"/>
              </w:rPr>
              <w:t>c</w:t>
            </w:r>
            <w:r w:rsidRPr="00F54B40">
              <w:rPr>
                <w:color w:val="347B9F"/>
              </w:rPr>
              <w:t xml:space="preserve">ommissioner decides to deal with a complaint, the </w:t>
            </w:r>
            <w:r w:rsidR="00EB0694" w:rsidRPr="00F54B40">
              <w:rPr>
                <w:color w:val="347B9F"/>
              </w:rPr>
              <w:t>c</w:t>
            </w:r>
            <w:r w:rsidRPr="00F54B40">
              <w:rPr>
                <w:color w:val="347B9F"/>
              </w:rPr>
              <w:t>ommissioner must</w:t>
            </w:r>
            <w:r w:rsidR="00071F9A" w:rsidRPr="00F54B40">
              <w:rPr>
                <w:color w:val="347B9F"/>
              </w:rPr>
              <w:t>:</w:t>
            </w:r>
          </w:p>
          <w:p w14:paraId="499925EC" w14:textId="7FE07CEE" w:rsidR="00071F9A" w:rsidRPr="00F54B40" w:rsidRDefault="630B6A7B" w:rsidP="00F54B40">
            <w:pPr>
              <w:pStyle w:val="Numberedparagraph"/>
              <w:numPr>
                <w:ilvl w:val="0"/>
                <w:numId w:val="25"/>
              </w:numPr>
              <w:spacing w:after="120" w:line="240" w:lineRule="auto"/>
              <w:contextualSpacing w:val="0"/>
              <w:rPr>
                <w:color w:val="347B9F"/>
              </w:rPr>
            </w:pPr>
            <w:r w:rsidRPr="00F54B40">
              <w:rPr>
                <w:color w:val="347B9F"/>
              </w:rPr>
              <w:t>notify the complainant and respondent that the Commission is dealing with the complaint</w:t>
            </w:r>
            <w:r w:rsidR="00071F9A" w:rsidRPr="00F54B40">
              <w:rPr>
                <w:color w:val="347B9F"/>
              </w:rPr>
              <w:t>; and</w:t>
            </w:r>
          </w:p>
          <w:p w14:paraId="4A2A5B11" w14:textId="3AC9599B" w:rsidR="14EFF999" w:rsidRPr="00F54B40" w:rsidRDefault="630B6A7B" w:rsidP="00F54B40">
            <w:pPr>
              <w:pStyle w:val="Numberedparagraph"/>
              <w:numPr>
                <w:ilvl w:val="0"/>
                <w:numId w:val="25"/>
              </w:numPr>
              <w:spacing w:after="120" w:line="240" w:lineRule="auto"/>
              <w:contextualSpacing w:val="0"/>
              <w:rPr>
                <w:color w:val="347B9F"/>
              </w:rPr>
            </w:pPr>
            <w:r w:rsidRPr="00F54B40">
              <w:rPr>
                <w:color w:val="347B9F"/>
              </w:rPr>
              <w:t>provide a copy of the complaint to the respondent.</w:t>
            </w:r>
          </w:p>
          <w:p w14:paraId="5E91832A" w14:textId="42AE9556" w:rsidR="14EFF999" w:rsidRPr="001C5161" w:rsidRDefault="14EFF999" w:rsidP="00F54B40">
            <w:pPr>
              <w:spacing w:after="120"/>
              <w:rPr>
                <w:rFonts w:cs="Arial"/>
              </w:rPr>
            </w:pPr>
          </w:p>
        </w:tc>
      </w:tr>
      <w:tr w:rsidR="1CEFA64F" w:rsidRPr="001C5161" w14:paraId="3D6CE060" w14:textId="77777777" w:rsidTr="2DA3FFDE">
        <w:trPr>
          <w:trHeight w:val="300"/>
        </w:trPr>
        <w:tc>
          <w:tcPr>
            <w:tcW w:w="2132" w:type="dxa"/>
          </w:tcPr>
          <w:p w14:paraId="7BACB8CF" w14:textId="77777777" w:rsidR="1CEFA64F" w:rsidRDefault="70C61B6B" w:rsidP="00F54B40">
            <w:pPr>
              <w:spacing w:after="120"/>
              <w:rPr>
                <w:rFonts w:cs="Arial"/>
              </w:rPr>
            </w:pPr>
            <w:r w:rsidRPr="4793AC25">
              <w:rPr>
                <w:rFonts w:cs="Arial"/>
              </w:rPr>
              <w:t>Cl 126</w:t>
            </w:r>
          </w:p>
          <w:p w14:paraId="05506321" w14:textId="76CC904F" w:rsidR="1CEFA64F" w:rsidRPr="001C5161" w:rsidRDefault="00302E53" w:rsidP="00F54B40">
            <w:pPr>
              <w:spacing w:after="120"/>
              <w:rPr>
                <w:rFonts w:cs="Arial"/>
              </w:rPr>
            </w:pPr>
            <w:r>
              <w:rPr>
                <w:rFonts w:cs="Arial"/>
              </w:rPr>
              <w:lastRenderedPageBreak/>
              <w:t>Complaint not able to be resolved</w:t>
            </w:r>
          </w:p>
        </w:tc>
        <w:tc>
          <w:tcPr>
            <w:tcW w:w="5380" w:type="dxa"/>
          </w:tcPr>
          <w:p w14:paraId="75329CD4" w14:textId="7901229C" w:rsidR="1CEFA64F" w:rsidRPr="001C5161" w:rsidRDefault="2CA30637" w:rsidP="00F54B40">
            <w:pPr>
              <w:spacing w:after="120"/>
              <w:rPr>
                <w:rFonts w:cs="Arial"/>
              </w:rPr>
            </w:pPr>
            <w:r w:rsidRPr="00D14961">
              <w:rPr>
                <w:rFonts w:cs="Arial"/>
              </w:rPr>
              <w:lastRenderedPageBreak/>
              <w:t xml:space="preserve">Clause 126 replaces sections 165 and 166 of the AD Act, which collectively provide for the process </w:t>
            </w:r>
            <w:r w:rsidR="098EA6FF" w:rsidRPr="016C0D6F">
              <w:rPr>
                <w:rFonts w:cs="Arial"/>
              </w:rPr>
              <w:t xml:space="preserve">to </w:t>
            </w:r>
            <w:r w:rsidRPr="016C0D6F">
              <w:rPr>
                <w:rFonts w:cs="Arial"/>
              </w:rPr>
              <w:t>refer</w:t>
            </w:r>
            <w:r w:rsidRPr="00D14961">
              <w:rPr>
                <w:rFonts w:cs="Arial"/>
              </w:rPr>
              <w:t xml:space="preserve"> </w:t>
            </w:r>
            <w:r w:rsidR="33A2FC98" w:rsidRPr="4DC8C272">
              <w:rPr>
                <w:rFonts w:cs="Arial"/>
              </w:rPr>
              <w:t>a</w:t>
            </w:r>
            <w:r w:rsidRPr="4DC8C272">
              <w:rPr>
                <w:rFonts w:cs="Arial"/>
              </w:rPr>
              <w:t xml:space="preserve"> </w:t>
            </w:r>
            <w:r w:rsidRPr="00D14961">
              <w:rPr>
                <w:rFonts w:cs="Arial"/>
              </w:rPr>
              <w:t xml:space="preserve">complaint for hearing, if requested by the complainant, </w:t>
            </w:r>
            <w:r w:rsidRPr="00D14961">
              <w:rPr>
                <w:rFonts w:cs="Arial"/>
              </w:rPr>
              <w:lastRenderedPageBreak/>
              <w:t xml:space="preserve">after the commissioner has </w:t>
            </w:r>
            <w:r w:rsidR="742FE913" w:rsidRPr="100ADA57">
              <w:rPr>
                <w:rFonts w:cs="Arial"/>
              </w:rPr>
              <w:t xml:space="preserve">told </w:t>
            </w:r>
            <w:r w:rsidRPr="1257A1CB">
              <w:rPr>
                <w:rFonts w:cs="Arial"/>
              </w:rPr>
              <w:t>the</w:t>
            </w:r>
            <w:r w:rsidR="6E71A51C" w:rsidRPr="1257A1CB">
              <w:rPr>
                <w:rFonts w:cs="Arial"/>
              </w:rPr>
              <w:t xml:space="preserve"> </w:t>
            </w:r>
            <w:r w:rsidR="6E71A51C" w:rsidRPr="597CD212">
              <w:rPr>
                <w:rFonts w:cs="Arial"/>
              </w:rPr>
              <w:t>parties</w:t>
            </w:r>
            <w:r w:rsidRPr="00D14961">
              <w:rPr>
                <w:rFonts w:cs="Arial"/>
              </w:rPr>
              <w:t xml:space="preserve"> </w:t>
            </w:r>
            <w:r w:rsidR="03D6B26E" w:rsidRPr="7E0DFAEF">
              <w:rPr>
                <w:rFonts w:cs="Arial"/>
              </w:rPr>
              <w:t xml:space="preserve">of </w:t>
            </w:r>
            <w:r w:rsidR="03D6B26E" w:rsidRPr="06DD4195">
              <w:rPr>
                <w:rFonts w:cs="Arial"/>
              </w:rPr>
              <w:t xml:space="preserve">the commissioner’s belief </w:t>
            </w:r>
            <w:r w:rsidRPr="06DD4195">
              <w:rPr>
                <w:rFonts w:cs="Arial"/>
              </w:rPr>
              <w:t>that</w:t>
            </w:r>
            <w:r w:rsidRPr="00D14961">
              <w:rPr>
                <w:rFonts w:cs="Arial"/>
              </w:rPr>
              <w:t xml:space="preserve"> it </w:t>
            </w:r>
            <w:proofErr w:type="spellStart"/>
            <w:r w:rsidRPr="00D14961">
              <w:rPr>
                <w:rFonts w:cs="Arial"/>
              </w:rPr>
              <w:t>can not</w:t>
            </w:r>
            <w:proofErr w:type="spellEnd"/>
            <w:r w:rsidRPr="00D14961">
              <w:rPr>
                <w:rFonts w:cs="Arial"/>
              </w:rPr>
              <w:t xml:space="preserve"> be resolved by dispute resolution. </w:t>
            </w:r>
            <w:r w:rsidR="5D9BC7C8" w:rsidRPr="60D7B72D">
              <w:rPr>
                <w:rFonts w:cs="Arial"/>
              </w:rPr>
              <w:t>The</w:t>
            </w:r>
            <w:r w:rsidR="3A9A8B8C" w:rsidRPr="445EB7BF">
              <w:rPr>
                <w:rFonts w:cs="Arial"/>
              </w:rPr>
              <w:t xml:space="preserve"> proposed clause </w:t>
            </w:r>
            <w:r w:rsidR="7DFBD4A0" w:rsidRPr="1B34FC19">
              <w:rPr>
                <w:rFonts w:cs="Arial"/>
              </w:rPr>
              <w:t xml:space="preserve">omits </w:t>
            </w:r>
            <w:r w:rsidR="7DFBD4A0" w:rsidRPr="6FFE45E9">
              <w:rPr>
                <w:rFonts w:cs="Arial"/>
              </w:rPr>
              <w:t>the</w:t>
            </w:r>
            <w:r w:rsidR="7DFBD4A0" w:rsidRPr="2D3B5C9D">
              <w:rPr>
                <w:rFonts w:cs="Arial"/>
              </w:rPr>
              <w:t xml:space="preserve"> mechanism </w:t>
            </w:r>
            <w:r w:rsidR="7DFBD4A0" w:rsidRPr="6FFE45E9">
              <w:rPr>
                <w:rFonts w:cs="Arial"/>
              </w:rPr>
              <w:t xml:space="preserve">provided for in the </w:t>
            </w:r>
            <w:r w:rsidR="7DFBD4A0" w:rsidRPr="39B4CFED">
              <w:rPr>
                <w:rFonts w:cs="Arial"/>
              </w:rPr>
              <w:t xml:space="preserve">existing AD Act </w:t>
            </w:r>
            <w:r w:rsidR="76C99202" w:rsidRPr="0230D9A7">
              <w:rPr>
                <w:rFonts w:cs="Arial"/>
              </w:rPr>
              <w:t xml:space="preserve">which pauses the time limit </w:t>
            </w:r>
            <w:r w:rsidR="76C99202" w:rsidRPr="7109CF78">
              <w:rPr>
                <w:rFonts w:cs="Arial"/>
              </w:rPr>
              <w:t xml:space="preserve">for requesting </w:t>
            </w:r>
            <w:r w:rsidR="76C99202" w:rsidRPr="48929F77">
              <w:rPr>
                <w:rFonts w:cs="Arial"/>
              </w:rPr>
              <w:t xml:space="preserve">referral while </w:t>
            </w:r>
            <w:r w:rsidR="76C99202" w:rsidRPr="07ADECCA">
              <w:rPr>
                <w:rFonts w:cs="Arial"/>
              </w:rPr>
              <w:t xml:space="preserve">the commissioner </w:t>
            </w:r>
            <w:r w:rsidR="76C99202" w:rsidRPr="765FA695">
              <w:rPr>
                <w:rFonts w:cs="Arial"/>
              </w:rPr>
              <w:t xml:space="preserve">considers </w:t>
            </w:r>
            <w:r w:rsidR="1D0207B7" w:rsidRPr="597CD212">
              <w:rPr>
                <w:rFonts w:cs="Arial"/>
              </w:rPr>
              <w:t xml:space="preserve">a request for an extension of time. </w:t>
            </w:r>
          </w:p>
        </w:tc>
        <w:tc>
          <w:tcPr>
            <w:tcW w:w="6952" w:type="dxa"/>
          </w:tcPr>
          <w:p w14:paraId="6A3A8DE9" w14:textId="7B151636" w:rsidR="1CEFA64F" w:rsidRPr="001C5161" w:rsidRDefault="00C61BB8" w:rsidP="00F54B40">
            <w:pPr>
              <w:spacing w:after="120"/>
              <w:rPr>
                <w:rFonts w:cs="Arial"/>
              </w:rPr>
            </w:pPr>
            <w:r>
              <w:rPr>
                <w:rFonts w:cs="Arial"/>
              </w:rPr>
              <w:lastRenderedPageBreak/>
              <w:t>Amend clause</w:t>
            </w:r>
            <w:r w:rsidR="73A4C981" w:rsidRPr="0C0DA314">
              <w:rPr>
                <w:rFonts w:cs="Arial"/>
              </w:rPr>
              <w:t xml:space="preserve"> 126 to </w:t>
            </w:r>
            <w:r w:rsidR="0CD2B40D" w:rsidRPr="032E825E">
              <w:rPr>
                <w:rFonts w:cs="Arial"/>
              </w:rPr>
              <w:t>include</w:t>
            </w:r>
            <w:r w:rsidR="0CD2B40D" w:rsidRPr="0C0DA314">
              <w:rPr>
                <w:rFonts w:cs="Arial"/>
              </w:rPr>
              <w:t xml:space="preserve"> a provision that corresponds to </w:t>
            </w:r>
            <w:r w:rsidR="0CD2B40D" w:rsidRPr="4F464072">
              <w:rPr>
                <w:rFonts w:cs="Arial"/>
              </w:rPr>
              <w:t>section</w:t>
            </w:r>
            <w:r w:rsidR="0CD2B40D" w:rsidRPr="0C0DA314">
              <w:rPr>
                <w:rFonts w:cs="Arial"/>
              </w:rPr>
              <w:t xml:space="preserve"> 166(3) and (4) of the</w:t>
            </w:r>
            <w:r>
              <w:rPr>
                <w:rFonts w:cs="Arial"/>
              </w:rPr>
              <w:t xml:space="preserve"> current Anti-Discrimination</w:t>
            </w:r>
            <w:r w:rsidR="0CD2B40D" w:rsidRPr="0C0DA314">
              <w:rPr>
                <w:rFonts w:cs="Arial"/>
              </w:rPr>
              <w:t xml:space="preserve"> Act, which have the effect of pausing the 28-day time limit for referral from the time the complainant </w:t>
            </w:r>
            <w:r w:rsidR="0CD2B40D" w:rsidRPr="0C0DA314">
              <w:rPr>
                <w:rFonts w:cs="Arial"/>
              </w:rPr>
              <w:lastRenderedPageBreak/>
              <w:t>requests an extension of time, until a decision about whether to grant the extension is made.</w:t>
            </w:r>
          </w:p>
          <w:p w14:paraId="3C32A0E4" w14:textId="720D7515" w:rsidR="1CEFA64F" w:rsidRPr="001C5161" w:rsidRDefault="1CEFA64F" w:rsidP="00F54B40">
            <w:pPr>
              <w:spacing w:after="120"/>
              <w:rPr>
                <w:rFonts w:cs="Arial"/>
              </w:rPr>
            </w:pPr>
          </w:p>
          <w:p w14:paraId="40C41EE4" w14:textId="720D7515" w:rsidR="1CEFA64F" w:rsidRPr="001C5161" w:rsidRDefault="1CEFA64F" w:rsidP="00F54B40">
            <w:pPr>
              <w:spacing w:after="120"/>
              <w:rPr>
                <w:rFonts w:cs="Arial"/>
              </w:rPr>
            </w:pPr>
          </w:p>
          <w:p w14:paraId="0E80D065" w14:textId="57271E5D" w:rsidR="1CEFA64F" w:rsidRPr="001C5161" w:rsidRDefault="1CEFA64F" w:rsidP="00F54B40">
            <w:pPr>
              <w:spacing w:after="120"/>
              <w:rPr>
                <w:rFonts w:cs="Arial"/>
              </w:rPr>
            </w:pPr>
          </w:p>
        </w:tc>
      </w:tr>
      <w:tr w:rsidR="404392C2" w14:paraId="58C90AAC" w14:textId="77777777" w:rsidTr="2DA3FFDE">
        <w:trPr>
          <w:trHeight w:val="300"/>
        </w:trPr>
        <w:tc>
          <w:tcPr>
            <w:tcW w:w="2132" w:type="dxa"/>
          </w:tcPr>
          <w:p w14:paraId="0988349E" w14:textId="77777777" w:rsidR="7AF7C85D" w:rsidRDefault="7AF7C85D" w:rsidP="00F54B40">
            <w:pPr>
              <w:spacing w:after="120"/>
              <w:rPr>
                <w:rFonts w:cs="Arial"/>
              </w:rPr>
            </w:pPr>
            <w:r w:rsidRPr="6395A8C9">
              <w:rPr>
                <w:rFonts w:cs="Arial"/>
              </w:rPr>
              <w:lastRenderedPageBreak/>
              <w:t>Cl 129</w:t>
            </w:r>
          </w:p>
          <w:p w14:paraId="49D5D95C" w14:textId="58E0A349" w:rsidR="7AF7C85D" w:rsidRDefault="00F94A7A" w:rsidP="00F54B40">
            <w:pPr>
              <w:spacing w:after="120"/>
              <w:rPr>
                <w:rFonts w:cs="Arial"/>
              </w:rPr>
            </w:pPr>
            <w:r>
              <w:rPr>
                <w:rFonts w:cs="Arial"/>
              </w:rPr>
              <w:t>Action to be taken for dispute resolution</w:t>
            </w:r>
          </w:p>
        </w:tc>
        <w:tc>
          <w:tcPr>
            <w:tcW w:w="5380" w:type="dxa"/>
          </w:tcPr>
          <w:p w14:paraId="20E7B75E" w14:textId="51929E02" w:rsidR="404392C2" w:rsidRDefault="7AF7C85D" w:rsidP="00F54B40">
            <w:pPr>
              <w:spacing w:after="120"/>
              <w:rPr>
                <w:rFonts w:cs="Arial"/>
              </w:rPr>
            </w:pPr>
            <w:r w:rsidRPr="79889C36">
              <w:rPr>
                <w:rFonts w:cs="Arial"/>
              </w:rPr>
              <w:t xml:space="preserve">The proposed clause </w:t>
            </w:r>
            <w:r w:rsidR="7175D901" w:rsidRPr="00CD1B7C">
              <w:rPr>
                <w:rFonts w:cs="Arial"/>
              </w:rPr>
              <w:t xml:space="preserve">allows </w:t>
            </w:r>
            <w:r w:rsidRPr="79889C36">
              <w:rPr>
                <w:rFonts w:cs="Arial"/>
              </w:rPr>
              <w:t xml:space="preserve">the </w:t>
            </w:r>
            <w:r w:rsidRPr="61874C7F">
              <w:rPr>
                <w:rFonts w:cs="Arial"/>
              </w:rPr>
              <w:t xml:space="preserve">commissioner to give </w:t>
            </w:r>
            <w:r w:rsidR="0068EF05" w:rsidRPr="2EECFA61">
              <w:rPr>
                <w:rFonts w:cs="Arial"/>
              </w:rPr>
              <w:t xml:space="preserve">information </w:t>
            </w:r>
            <w:r w:rsidR="0068EF05" w:rsidRPr="69FB6930">
              <w:rPr>
                <w:rFonts w:cs="Arial"/>
              </w:rPr>
              <w:t>and</w:t>
            </w:r>
            <w:r w:rsidRPr="2EECFA61">
              <w:rPr>
                <w:rFonts w:cs="Arial"/>
              </w:rPr>
              <w:t xml:space="preserve"> </w:t>
            </w:r>
            <w:r w:rsidRPr="0372AF04">
              <w:rPr>
                <w:rFonts w:cs="Arial"/>
              </w:rPr>
              <w:t>advice</w:t>
            </w:r>
            <w:r w:rsidR="33530718" w:rsidRPr="00CD1B7C">
              <w:rPr>
                <w:rFonts w:cs="Arial"/>
              </w:rPr>
              <w:t xml:space="preserve"> </w:t>
            </w:r>
            <w:r w:rsidR="33530718" w:rsidRPr="5F06644C">
              <w:rPr>
                <w:rFonts w:cs="Arial"/>
              </w:rPr>
              <w:t xml:space="preserve">to a </w:t>
            </w:r>
            <w:r w:rsidR="33530718" w:rsidRPr="5B8A6413">
              <w:rPr>
                <w:rFonts w:cs="Arial"/>
              </w:rPr>
              <w:t xml:space="preserve">respondent </w:t>
            </w:r>
            <w:r w:rsidR="33530718" w:rsidRPr="631A333B">
              <w:rPr>
                <w:rFonts w:cs="Arial"/>
              </w:rPr>
              <w:t>about how to</w:t>
            </w:r>
            <w:r w:rsidR="33530718" w:rsidRPr="20652AC7">
              <w:rPr>
                <w:rFonts w:cs="Arial"/>
              </w:rPr>
              <w:t xml:space="preserve"> </w:t>
            </w:r>
            <w:r w:rsidR="33530718" w:rsidRPr="2ABB7089">
              <w:rPr>
                <w:rFonts w:cs="Arial"/>
              </w:rPr>
              <w:t xml:space="preserve">comply </w:t>
            </w:r>
            <w:r w:rsidR="33530718" w:rsidRPr="2EECFA61">
              <w:rPr>
                <w:rFonts w:cs="Arial"/>
              </w:rPr>
              <w:t xml:space="preserve">with </w:t>
            </w:r>
            <w:r w:rsidR="5E926E94" w:rsidRPr="69FB6930">
              <w:rPr>
                <w:rFonts w:cs="Arial"/>
              </w:rPr>
              <w:t>the Act</w:t>
            </w:r>
            <w:r w:rsidR="5E926E94" w:rsidRPr="3894A6F0">
              <w:rPr>
                <w:rFonts w:cs="Arial"/>
              </w:rPr>
              <w:t xml:space="preserve">. </w:t>
            </w:r>
            <w:r w:rsidR="5E926E94" w:rsidRPr="539F6AF7">
              <w:rPr>
                <w:rFonts w:cs="Arial"/>
              </w:rPr>
              <w:t xml:space="preserve">This may </w:t>
            </w:r>
            <w:r w:rsidR="202CD0D8" w:rsidRPr="6E4DD61A">
              <w:rPr>
                <w:rFonts w:cs="Arial"/>
              </w:rPr>
              <w:t xml:space="preserve">risk </w:t>
            </w:r>
            <w:r w:rsidR="202CD0D8" w:rsidRPr="437C6274">
              <w:rPr>
                <w:rFonts w:cs="Arial"/>
              </w:rPr>
              <w:t xml:space="preserve">the parties’ </w:t>
            </w:r>
            <w:r w:rsidR="202CD0D8" w:rsidRPr="0AF3D30B">
              <w:rPr>
                <w:rFonts w:cs="Arial"/>
              </w:rPr>
              <w:t xml:space="preserve">perception </w:t>
            </w:r>
            <w:r w:rsidR="202CD0D8" w:rsidRPr="7F1BAF8D">
              <w:rPr>
                <w:rFonts w:cs="Arial"/>
              </w:rPr>
              <w:t xml:space="preserve">of the commission as </w:t>
            </w:r>
            <w:r w:rsidR="202CD0D8" w:rsidRPr="3F0A4168">
              <w:rPr>
                <w:rFonts w:cs="Arial"/>
              </w:rPr>
              <w:t xml:space="preserve">neutral. </w:t>
            </w:r>
            <w:r w:rsidR="202CD0D8" w:rsidRPr="4B30DCF1">
              <w:rPr>
                <w:rFonts w:cs="Arial"/>
              </w:rPr>
              <w:t xml:space="preserve">Maintaining </w:t>
            </w:r>
            <w:r w:rsidR="202CD0D8" w:rsidRPr="1A33BCF5">
              <w:rPr>
                <w:rFonts w:cs="Arial"/>
              </w:rPr>
              <w:t>neutrality</w:t>
            </w:r>
            <w:r w:rsidR="202CD0D8" w:rsidRPr="3D40DC0D">
              <w:rPr>
                <w:rFonts w:cs="Arial"/>
              </w:rPr>
              <w:t xml:space="preserve"> is </w:t>
            </w:r>
            <w:r w:rsidR="202CD0D8" w:rsidRPr="4077E557">
              <w:rPr>
                <w:rFonts w:cs="Arial"/>
              </w:rPr>
              <w:t xml:space="preserve">fundamental </w:t>
            </w:r>
            <w:r w:rsidR="202CD0D8" w:rsidRPr="558E131F">
              <w:rPr>
                <w:rFonts w:cs="Arial"/>
              </w:rPr>
              <w:t xml:space="preserve">to the provision of </w:t>
            </w:r>
            <w:r w:rsidR="202CD0D8" w:rsidRPr="52A2F130">
              <w:rPr>
                <w:rFonts w:cs="Arial"/>
              </w:rPr>
              <w:t>successful dispu</w:t>
            </w:r>
            <w:r w:rsidR="77B474A5" w:rsidRPr="52A2F130">
              <w:rPr>
                <w:rFonts w:cs="Arial"/>
              </w:rPr>
              <w:t>te resolution services</w:t>
            </w:r>
            <w:r w:rsidR="77B474A5" w:rsidRPr="167C46EA">
              <w:rPr>
                <w:rFonts w:cs="Arial"/>
              </w:rPr>
              <w:t xml:space="preserve">.  </w:t>
            </w:r>
            <w:r w:rsidR="202CD0D8" w:rsidRPr="52A2F130">
              <w:rPr>
                <w:rFonts w:cs="Arial"/>
              </w:rPr>
              <w:t xml:space="preserve"> </w:t>
            </w:r>
          </w:p>
        </w:tc>
        <w:tc>
          <w:tcPr>
            <w:tcW w:w="6952" w:type="dxa"/>
          </w:tcPr>
          <w:p w14:paraId="4008371B" w14:textId="466E4A64" w:rsidR="404392C2" w:rsidRDefault="00C61BB8" w:rsidP="00F54B40">
            <w:pPr>
              <w:spacing w:after="120"/>
              <w:rPr>
                <w:rFonts w:cs="Arial"/>
              </w:rPr>
            </w:pPr>
            <w:r>
              <w:rPr>
                <w:rFonts w:cs="Arial"/>
              </w:rPr>
              <w:t>Amend</w:t>
            </w:r>
            <w:r w:rsidR="78199800" w:rsidRPr="0C542D9A">
              <w:rPr>
                <w:rFonts w:cs="Arial"/>
              </w:rPr>
              <w:t xml:space="preserve"> clause 129 to omit the word ‘advice’ from paragraph 129(2)(f).</w:t>
            </w:r>
          </w:p>
        </w:tc>
      </w:tr>
      <w:tr w:rsidR="23DC00FC" w14:paraId="0B31DAD3" w14:textId="77777777" w:rsidTr="2DA3FFDE">
        <w:trPr>
          <w:trHeight w:val="300"/>
        </w:trPr>
        <w:tc>
          <w:tcPr>
            <w:tcW w:w="2132" w:type="dxa"/>
          </w:tcPr>
          <w:p w14:paraId="602D08FB" w14:textId="77777777" w:rsidR="78199800" w:rsidRDefault="78199800" w:rsidP="00F54B40">
            <w:pPr>
              <w:spacing w:after="120"/>
              <w:rPr>
                <w:rFonts w:cs="Arial"/>
              </w:rPr>
            </w:pPr>
            <w:r w:rsidRPr="6A802D0A">
              <w:rPr>
                <w:rFonts w:cs="Arial"/>
              </w:rPr>
              <w:t xml:space="preserve">Cl </w:t>
            </w:r>
            <w:r w:rsidRPr="25675FD4">
              <w:rPr>
                <w:rFonts w:cs="Arial"/>
              </w:rPr>
              <w:t>137</w:t>
            </w:r>
          </w:p>
          <w:p w14:paraId="39992F10" w14:textId="4081AAD8" w:rsidR="78199800" w:rsidRDefault="002078EA" w:rsidP="00F54B40">
            <w:pPr>
              <w:spacing w:after="120"/>
              <w:rPr>
                <w:rFonts w:cs="Arial"/>
              </w:rPr>
            </w:pPr>
            <w:r>
              <w:rPr>
                <w:rFonts w:cs="Arial"/>
              </w:rPr>
              <w:t>Confidentiality of conciliation conference</w:t>
            </w:r>
          </w:p>
        </w:tc>
        <w:tc>
          <w:tcPr>
            <w:tcW w:w="5380" w:type="dxa"/>
          </w:tcPr>
          <w:p w14:paraId="21BCC249" w14:textId="2CEEACE5" w:rsidR="23DC00FC" w:rsidRDefault="73906152" w:rsidP="00F54B40">
            <w:pPr>
              <w:spacing w:after="120"/>
              <w:rPr>
                <w:rFonts w:cs="Arial"/>
              </w:rPr>
            </w:pPr>
            <w:r w:rsidRPr="6DA7F3BB">
              <w:rPr>
                <w:rFonts w:cs="Arial"/>
              </w:rPr>
              <w:t xml:space="preserve">The current wording of clause 137 represents a significant broadening of the range of proceedings in which comments made </w:t>
            </w:r>
            <w:proofErr w:type="gramStart"/>
            <w:r w:rsidRPr="6DA7F3BB">
              <w:rPr>
                <w:rFonts w:cs="Arial"/>
              </w:rPr>
              <w:t>in the course of</w:t>
            </w:r>
            <w:proofErr w:type="gramEnd"/>
            <w:r w:rsidRPr="6DA7F3BB">
              <w:rPr>
                <w:rFonts w:cs="Arial"/>
              </w:rPr>
              <w:t xml:space="preserve"> conciliation are rendered inadmissible</w:t>
            </w:r>
            <w:r w:rsidRPr="56FD7D76">
              <w:rPr>
                <w:rFonts w:cs="Arial"/>
              </w:rPr>
              <w:t>, well beyond</w:t>
            </w:r>
            <w:r w:rsidRPr="0B58E2C3">
              <w:rPr>
                <w:rFonts w:cs="Arial"/>
              </w:rPr>
              <w:t xml:space="preserve"> </w:t>
            </w:r>
            <w:r w:rsidRPr="6DA7F3BB">
              <w:rPr>
                <w:rFonts w:cs="Arial"/>
              </w:rPr>
              <w:t>the hearing of the complaint itself</w:t>
            </w:r>
            <w:r w:rsidR="570BF8C2" w:rsidRPr="5902F01B">
              <w:rPr>
                <w:rFonts w:cs="Arial"/>
              </w:rPr>
              <w:t xml:space="preserve">. </w:t>
            </w:r>
            <w:r w:rsidR="570BF8C2" w:rsidRPr="7A8BA0C7">
              <w:rPr>
                <w:rFonts w:cs="Arial"/>
              </w:rPr>
              <w:t>This poses</w:t>
            </w:r>
            <w:r w:rsidRPr="6DA7F3BB">
              <w:rPr>
                <w:rFonts w:cs="Arial"/>
              </w:rPr>
              <w:t xml:space="preserve"> a potential unreasonable limitation on the right to a fair hearing (section 31 HR Act).</w:t>
            </w:r>
          </w:p>
        </w:tc>
        <w:tc>
          <w:tcPr>
            <w:tcW w:w="6952" w:type="dxa"/>
          </w:tcPr>
          <w:p w14:paraId="7E820CF9" w14:textId="5F10F8BA" w:rsidR="78199800" w:rsidRDefault="00C61BB8" w:rsidP="00F54B40">
            <w:pPr>
              <w:spacing w:after="120"/>
              <w:rPr>
                <w:rFonts w:cs="Arial"/>
              </w:rPr>
            </w:pPr>
            <w:r>
              <w:rPr>
                <w:rFonts w:cs="Arial"/>
              </w:rPr>
              <w:t>Amend clause</w:t>
            </w:r>
            <w:r w:rsidR="78199800" w:rsidRPr="3B5A5341">
              <w:rPr>
                <w:rFonts w:cs="Arial"/>
              </w:rPr>
              <w:t xml:space="preserve"> 137 </w:t>
            </w:r>
            <w:r>
              <w:rPr>
                <w:rFonts w:cs="Arial"/>
              </w:rPr>
              <w:t>to provide that</w:t>
            </w:r>
            <w:r w:rsidR="78199800" w:rsidRPr="3B5A5341">
              <w:rPr>
                <w:rFonts w:cs="Arial"/>
              </w:rPr>
              <w:t xml:space="preserve">:   </w:t>
            </w:r>
          </w:p>
          <w:p w14:paraId="266A5F20" w14:textId="1E9BBE15" w:rsidR="23DC00FC" w:rsidRPr="00F54B40" w:rsidRDefault="78199800" w:rsidP="00F54B40">
            <w:pPr>
              <w:spacing w:after="120"/>
              <w:ind w:left="432" w:right="432"/>
              <w:rPr>
                <w:rFonts w:cs="Arial"/>
              </w:rPr>
            </w:pPr>
            <w:r w:rsidRPr="00F54B40">
              <w:rPr>
                <w:rFonts w:cs="Arial"/>
                <w:color w:val="347B9F"/>
              </w:rPr>
              <w:t xml:space="preserve">Nothing said or done </w:t>
            </w:r>
            <w:proofErr w:type="gramStart"/>
            <w:r w:rsidRPr="00F54B40">
              <w:rPr>
                <w:rFonts w:cs="Arial"/>
                <w:color w:val="347B9F"/>
              </w:rPr>
              <w:t>in the course of</w:t>
            </w:r>
            <w:proofErr w:type="gramEnd"/>
            <w:r w:rsidRPr="00F54B40">
              <w:rPr>
                <w:rFonts w:cs="Arial"/>
                <w:color w:val="347B9F"/>
              </w:rPr>
              <w:t xml:space="preserve"> conciliation can be admitted as evidence in a hearing before the tribunal, unless the complainant and respondent agree.</w:t>
            </w:r>
          </w:p>
        </w:tc>
      </w:tr>
      <w:tr w:rsidR="578CC829" w14:paraId="771D7ACB" w14:textId="6A498C16" w:rsidTr="2DA3FFDE">
        <w:trPr>
          <w:trHeight w:val="300"/>
        </w:trPr>
        <w:tc>
          <w:tcPr>
            <w:tcW w:w="2132" w:type="dxa"/>
          </w:tcPr>
          <w:p w14:paraId="1F832BE4" w14:textId="77777777" w:rsidR="578CC829" w:rsidRDefault="56DE9667" w:rsidP="00F54B40">
            <w:pPr>
              <w:spacing w:after="120"/>
              <w:rPr>
                <w:rFonts w:cs="Arial"/>
              </w:rPr>
            </w:pPr>
            <w:r w:rsidRPr="609CD7D8">
              <w:rPr>
                <w:rFonts w:cs="Arial"/>
              </w:rPr>
              <w:t xml:space="preserve">Cl </w:t>
            </w:r>
            <w:r w:rsidRPr="18DDDFA2">
              <w:rPr>
                <w:rFonts w:cs="Arial"/>
              </w:rPr>
              <w:t>138</w:t>
            </w:r>
          </w:p>
          <w:p w14:paraId="7A5B996C" w14:textId="633899B8" w:rsidR="578CC829" w:rsidRDefault="00C5674F" w:rsidP="00F54B40">
            <w:pPr>
              <w:spacing w:after="120"/>
              <w:rPr>
                <w:rFonts w:cs="Arial"/>
              </w:rPr>
            </w:pPr>
            <w:r>
              <w:rPr>
                <w:rFonts w:cs="Arial"/>
              </w:rPr>
              <w:t>Resolution of complaint</w:t>
            </w:r>
          </w:p>
        </w:tc>
        <w:tc>
          <w:tcPr>
            <w:tcW w:w="5380" w:type="dxa"/>
          </w:tcPr>
          <w:p w14:paraId="5005B821" w14:textId="3CF3BB75" w:rsidR="578CC829" w:rsidRDefault="6B2D6999" w:rsidP="00F54B40">
            <w:pPr>
              <w:spacing w:after="120"/>
              <w:rPr>
                <w:rFonts w:cs="Arial"/>
              </w:rPr>
            </w:pPr>
            <w:r w:rsidRPr="61D68DD9">
              <w:rPr>
                <w:rFonts w:cs="Arial"/>
              </w:rPr>
              <w:t xml:space="preserve">The current drafting imposes an obligation on the commissioner to have the parties sign, which realistically, the commissioner has no control over. </w:t>
            </w:r>
            <w:r w:rsidRPr="0F4EC3F8">
              <w:rPr>
                <w:rFonts w:cs="Arial"/>
              </w:rPr>
              <w:t xml:space="preserve">Parties </w:t>
            </w:r>
            <w:r w:rsidR="2B54868C" w:rsidRPr="645D04B7">
              <w:rPr>
                <w:rFonts w:cs="Arial"/>
              </w:rPr>
              <w:t>may</w:t>
            </w:r>
            <w:r w:rsidRPr="0F4EC3F8">
              <w:rPr>
                <w:rFonts w:cs="Arial"/>
              </w:rPr>
              <w:t xml:space="preserve"> reach</w:t>
            </w:r>
            <w:r w:rsidRPr="61D68DD9">
              <w:rPr>
                <w:rFonts w:cs="Arial"/>
              </w:rPr>
              <w:t xml:space="preserve"> agreement ‘in principle’ </w:t>
            </w:r>
            <w:r w:rsidR="78BE660F" w:rsidRPr="785AF708">
              <w:rPr>
                <w:rFonts w:cs="Arial"/>
              </w:rPr>
              <w:t>during a conference,</w:t>
            </w:r>
            <w:r w:rsidRPr="785AF708">
              <w:rPr>
                <w:rFonts w:cs="Arial"/>
              </w:rPr>
              <w:t xml:space="preserve"> </w:t>
            </w:r>
            <w:r w:rsidRPr="61D68DD9">
              <w:rPr>
                <w:rFonts w:cs="Arial"/>
              </w:rPr>
              <w:t xml:space="preserve">but never agree on the final wording of a written agreement. Even if parties orally agree to detailed </w:t>
            </w:r>
            <w:r w:rsidR="7573E1F9" w:rsidRPr="2D9A1266">
              <w:rPr>
                <w:rFonts w:cs="Arial"/>
              </w:rPr>
              <w:t xml:space="preserve">terms </w:t>
            </w:r>
            <w:r w:rsidR="7573E1F9" w:rsidRPr="751413AD">
              <w:rPr>
                <w:rFonts w:cs="Arial"/>
              </w:rPr>
              <w:t>during a conference</w:t>
            </w:r>
            <w:r w:rsidRPr="61D68DD9">
              <w:rPr>
                <w:rFonts w:cs="Arial"/>
              </w:rPr>
              <w:t xml:space="preserve">, one party may change their mind before signing an agreement. </w:t>
            </w:r>
          </w:p>
        </w:tc>
        <w:tc>
          <w:tcPr>
            <w:tcW w:w="6952" w:type="dxa"/>
          </w:tcPr>
          <w:p w14:paraId="7F8297AA" w14:textId="31425E20" w:rsidR="578CC829" w:rsidRDefault="00C61BB8" w:rsidP="00F54B40">
            <w:pPr>
              <w:spacing w:after="120"/>
              <w:rPr>
                <w:rFonts w:cs="Arial"/>
              </w:rPr>
            </w:pPr>
            <w:r>
              <w:rPr>
                <w:rFonts w:cs="Arial"/>
              </w:rPr>
              <w:t>Amend</w:t>
            </w:r>
            <w:r w:rsidR="56DE9667" w:rsidRPr="276F3059">
              <w:rPr>
                <w:rFonts w:cs="Arial"/>
              </w:rPr>
              <w:t xml:space="preserve"> clause 138(2) </w:t>
            </w:r>
            <w:r w:rsidR="56DE9667" w:rsidRPr="21C718ED">
              <w:rPr>
                <w:rFonts w:cs="Arial"/>
              </w:rPr>
              <w:t>to</w:t>
            </w:r>
            <w:r w:rsidR="56DE9667" w:rsidRPr="276F3059">
              <w:rPr>
                <w:rFonts w:cs="Arial"/>
              </w:rPr>
              <w:t xml:space="preserve"> require the commissioner to make a record of the agreement and provide it to the complainant and respondent for their signature. </w:t>
            </w:r>
          </w:p>
          <w:p w14:paraId="29248864" w14:textId="5BA1A134" w:rsidR="578CC829" w:rsidRDefault="578CC829" w:rsidP="00F54B40">
            <w:pPr>
              <w:spacing w:after="120"/>
              <w:rPr>
                <w:rFonts w:cs="Arial"/>
              </w:rPr>
            </w:pPr>
          </w:p>
          <w:p w14:paraId="4AFE23C4" w14:textId="6A129B03" w:rsidR="578CC829" w:rsidRDefault="00C61BB8" w:rsidP="00F54B40">
            <w:pPr>
              <w:spacing w:after="120"/>
              <w:rPr>
                <w:rFonts w:cs="Arial"/>
              </w:rPr>
            </w:pPr>
            <w:r>
              <w:rPr>
                <w:rFonts w:cs="Arial"/>
              </w:rPr>
              <w:t>Amend clause</w:t>
            </w:r>
            <w:r w:rsidR="56DE9667" w:rsidRPr="276F3059">
              <w:rPr>
                <w:rFonts w:cs="Arial"/>
              </w:rPr>
              <w:t xml:space="preserve"> 138(3) to require the commissioner to provide a copy of the record of the agreement to each party and file the record with the tribunal if all the parties return the signed agreement.</w:t>
            </w:r>
          </w:p>
        </w:tc>
      </w:tr>
      <w:tr w:rsidR="578CC829" w14:paraId="5FB8561B" w14:textId="77777777" w:rsidTr="2DA3FFDE">
        <w:trPr>
          <w:trHeight w:val="300"/>
        </w:trPr>
        <w:tc>
          <w:tcPr>
            <w:tcW w:w="2132" w:type="dxa"/>
          </w:tcPr>
          <w:p w14:paraId="0677EE20" w14:textId="77777777" w:rsidR="578CC829" w:rsidRDefault="1297A3D6" w:rsidP="00F54B40">
            <w:pPr>
              <w:spacing w:after="120"/>
              <w:rPr>
                <w:rFonts w:cs="Arial"/>
              </w:rPr>
            </w:pPr>
            <w:r w:rsidRPr="30664A7C">
              <w:rPr>
                <w:rFonts w:cs="Arial"/>
              </w:rPr>
              <w:t>Cl 139</w:t>
            </w:r>
          </w:p>
          <w:p w14:paraId="1818BA7B" w14:textId="1ABC108E" w:rsidR="578CC829" w:rsidRDefault="00AC6FCC" w:rsidP="00F54B40">
            <w:pPr>
              <w:spacing w:after="120"/>
              <w:rPr>
                <w:rFonts w:cs="Arial"/>
              </w:rPr>
            </w:pPr>
            <w:r>
              <w:rPr>
                <w:rFonts w:cs="Arial"/>
              </w:rPr>
              <w:t>End of dealing with complaint</w:t>
            </w:r>
          </w:p>
        </w:tc>
        <w:tc>
          <w:tcPr>
            <w:tcW w:w="5380" w:type="dxa"/>
          </w:tcPr>
          <w:p w14:paraId="5F28C06E" w14:textId="344995AD" w:rsidR="578CC829" w:rsidRDefault="416ED45A" w:rsidP="00F54B40">
            <w:pPr>
              <w:spacing w:after="120"/>
              <w:rPr>
                <w:rFonts w:cs="Arial"/>
              </w:rPr>
            </w:pPr>
            <w:r w:rsidRPr="3E02A950">
              <w:rPr>
                <w:rFonts w:cs="Arial"/>
              </w:rPr>
              <w:t xml:space="preserve">Clause 139(c) appears to contemplate an informal resolution of a complaint during or at the end of a conciliation conference. Informal resolution with no written record creates too much uncertainty. </w:t>
            </w:r>
            <w:r w:rsidRPr="57CDF5DA">
              <w:rPr>
                <w:rFonts w:cs="Arial"/>
              </w:rPr>
              <w:t>Conciliation</w:t>
            </w:r>
            <w:r w:rsidRPr="3E02A950">
              <w:rPr>
                <w:rFonts w:cs="Arial"/>
              </w:rPr>
              <w:t xml:space="preserve"> conferences are held in private (clause 136</w:t>
            </w:r>
            <w:r w:rsidRPr="5069C273">
              <w:rPr>
                <w:rFonts w:cs="Arial"/>
              </w:rPr>
              <w:t>) and there</w:t>
            </w:r>
            <w:r w:rsidRPr="3E02A950">
              <w:rPr>
                <w:rFonts w:cs="Arial"/>
              </w:rPr>
              <w:t xml:space="preserve"> may be no written record of the resolution, and no way of proving that agreement was ever reached. </w:t>
            </w:r>
            <w:r w:rsidR="0CC3F667" w:rsidRPr="32E79756">
              <w:rPr>
                <w:rFonts w:cs="Arial"/>
              </w:rPr>
              <w:t>Parties frequently</w:t>
            </w:r>
            <w:r w:rsidRPr="3E02A950">
              <w:rPr>
                <w:rFonts w:cs="Arial"/>
              </w:rPr>
              <w:t xml:space="preserve"> agree to a resolution </w:t>
            </w:r>
            <w:r w:rsidR="5D943A80" w:rsidRPr="3917A367">
              <w:rPr>
                <w:rFonts w:cs="Arial"/>
              </w:rPr>
              <w:t xml:space="preserve">reluctantly </w:t>
            </w:r>
            <w:r w:rsidRPr="3E02A950">
              <w:rPr>
                <w:rFonts w:cs="Arial"/>
              </w:rPr>
              <w:t xml:space="preserve">during a conference, and subsequently renege when circumstances change, or emotions run high. </w:t>
            </w:r>
          </w:p>
        </w:tc>
        <w:tc>
          <w:tcPr>
            <w:tcW w:w="6952" w:type="dxa"/>
          </w:tcPr>
          <w:p w14:paraId="5E5834D0" w14:textId="5B411E6C" w:rsidR="578CC829" w:rsidRDefault="00C61BB8" w:rsidP="00F54B40">
            <w:pPr>
              <w:spacing w:after="120"/>
              <w:rPr>
                <w:rFonts w:cs="Arial"/>
              </w:rPr>
            </w:pPr>
            <w:r>
              <w:rPr>
                <w:rFonts w:cs="Arial"/>
              </w:rPr>
              <w:t>Omit clause</w:t>
            </w:r>
            <w:r w:rsidR="1297A3D6" w:rsidRPr="48192227">
              <w:rPr>
                <w:rFonts w:cs="Arial"/>
              </w:rPr>
              <w:t xml:space="preserve"> 139(c)</w:t>
            </w:r>
            <w:r>
              <w:rPr>
                <w:rFonts w:cs="Arial"/>
              </w:rPr>
              <w:t>.</w:t>
            </w:r>
          </w:p>
        </w:tc>
      </w:tr>
      <w:tr w:rsidR="14EFF999" w:rsidRPr="001C5161" w14:paraId="060B6D1B" w14:textId="77777777" w:rsidTr="2DA3FFDE">
        <w:trPr>
          <w:trHeight w:val="300"/>
        </w:trPr>
        <w:tc>
          <w:tcPr>
            <w:tcW w:w="2132" w:type="dxa"/>
          </w:tcPr>
          <w:p w14:paraId="65041C79" w14:textId="77777777" w:rsidR="14EFF999" w:rsidRDefault="3158EC3F" w:rsidP="00F54B40">
            <w:pPr>
              <w:spacing w:after="120"/>
              <w:rPr>
                <w:rFonts w:cs="Arial"/>
              </w:rPr>
            </w:pPr>
            <w:r w:rsidRPr="260978F5">
              <w:rPr>
                <w:rFonts w:cs="Arial"/>
              </w:rPr>
              <w:t>Cl 140</w:t>
            </w:r>
          </w:p>
          <w:p w14:paraId="32EC1A0E" w14:textId="061AFA8A" w:rsidR="14EFF999" w:rsidRPr="001C5161" w:rsidRDefault="001E5CB6" w:rsidP="00F54B40">
            <w:pPr>
              <w:spacing w:after="120"/>
              <w:rPr>
                <w:rFonts w:cs="Arial"/>
              </w:rPr>
            </w:pPr>
            <w:r>
              <w:rPr>
                <w:rFonts w:cs="Arial"/>
              </w:rPr>
              <w:lastRenderedPageBreak/>
              <w:t xml:space="preserve">Commissioner may withdraw </w:t>
            </w:r>
            <w:r w:rsidR="0082745A">
              <w:rPr>
                <w:rFonts w:cs="Arial"/>
              </w:rPr>
              <w:t>authorisation</w:t>
            </w:r>
          </w:p>
        </w:tc>
        <w:tc>
          <w:tcPr>
            <w:tcW w:w="5380" w:type="dxa"/>
          </w:tcPr>
          <w:p w14:paraId="5ECFC40C" w14:textId="7FCC521A" w:rsidR="14EFF999" w:rsidRPr="001C5161" w:rsidRDefault="3158EC3F" w:rsidP="00F54B40">
            <w:pPr>
              <w:spacing w:after="120"/>
              <w:rPr>
                <w:rFonts w:cs="Arial"/>
              </w:rPr>
            </w:pPr>
            <w:r w:rsidRPr="59B6450E">
              <w:rPr>
                <w:rFonts w:cs="Arial"/>
              </w:rPr>
              <w:lastRenderedPageBreak/>
              <w:t xml:space="preserve">The current wording of 140(3) may have the unintended consequence of lapsing the complaint in probably rare situations where for some reason the commissioner </w:t>
            </w:r>
            <w:r w:rsidRPr="59B6450E">
              <w:rPr>
                <w:rFonts w:cs="Arial"/>
              </w:rPr>
              <w:lastRenderedPageBreak/>
              <w:t>withdraws authorisation (</w:t>
            </w:r>
            <w:proofErr w:type="gramStart"/>
            <w:r w:rsidRPr="59B6450E">
              <w:rPr>
                <w:rFonts w:cs="Arial"/>
              </w:rPr>
              <w:t>e.g.</w:t>
            </w:r>
            <w:proofErr w:type="gramEnd"/>
            <w:r w:rsidRPr="59B6450E">
              <w:rPr>
                <w:rFonts w:cs="Arial"/>
              </w:rPr>
              <w:t xml:space="preserve"> of a parent) but it takes more than 28 days to determine if/who should be authorised as a new representative for the complainant. </w:t>
            </w:r>
          </w:p>
        </w:tc>
        <w:tc>
          <w:tcPr>
            <w:tcW w:w="6952" w:type="dxa"/>
          </w:tcPr>
          <w:p w14:paraId="4800DF03" w14:textId="7C0995A0" w:rsidR="14EFF999" w:rsidRPr="001C5161" w:rsidRDefault="00B15D50" w:rsidP="00F54B40">
            <w:pPr>
              <w:spacing w:after="120"/>
              <w:rPr>
                <w:rFonts w:cs="Arial"/>
              </w:rPr>
            </w:pPr>
            <w:r>
              <w:rPr>
                <w:rFonts w:cs="Arial"/>
              </w:rPr>
              <w:lastRenderedPageBreak/>
              <w:t>Change the words</w:t>
            </w:r>
            <w:r w:rsidR="3158EC3F" w:rsidRPr="1E2BC939">
              <w:rPr>
                <w:rFonts w:cs="Arial"/>
              </w:rPr>
              <w:t xml:space="preserve"> </w:t>
            </w:r>
            <w:r>
              <w:rPr>
                <w:rFonts w:cs="Arial"/>
              </w:rPr>
              <w:t>‘</w:t>
            </w:r>
            <w:r w:rsidR="3158EC3F" w:rsidRPr="1E2BC939">
              <w:rPr>
                <w:rFonts w:cs="Arial"/>
              </w:rPr>
              <w:t>within 28 days after the withdrawal</w:t>
            </w:r>
            <w:r>
              <w:rPr>
                <w:rFonts w:cs="Arial"/>
              </w:rPr>
              <w:t>’</w:t>
            </w:r>
            <w:r w:rsidR="3158EC3F" w:rsidRPr="1E2BC939">
              <w:rPr>
                <w:rFonts w:cs="Arial"/>
              </w:rPr>
              <w:t xml:space="preserve"> in clause 140(3) </w:t>
            </w:r>
            <w:r>
              <w:rPr>
                <w:rFonts w:cs="Arial"/>
              </w:rPr>
              <w:t>to</w:t>
            </w:r>
            <w:r w:rsidR="3158EC3F" w:rsidRPr="1E2BC939">
              <w:rPr>
                <w:rFonts w:cs="Arial"/>
              </w:rPr>
              <w:t xml:space="preserve"> </w:t>
            </w:r>
            <w:r>
              <w:rPr>
                <w:rFonts w:cs="Arial"/>
              </w:rPr>
              <w:t>‘</w:t>
            </w:r>
            <w:r w:rsidR="3158EC3F" w:rsidRPr="1E2BC939">
              <w:rPr>
                <w:rFonts w:cs="Arial"/>
              </w:rPr>
              <w:t>within a reasonable period after the withdrawal</w:t>
            </w:r>
            <w:r>
              <w:rPr>
                <w:rFonts w:cs="Arial"/>
              </w:rPr>
              <w:t>’.</w:t>
            </w:r>
            <w:r w:rsidR="3158EC3F" w:rsidRPr="1E2BC939">
              <w:rPr>
                <w:rFonts w:cs="Arial"/>
              </w:rPr>
              <w:t xml:space="preserve">    </w:t>
            </w:r>
          </w:p>
        </w:tc>
      </w:tr>
      <w:tr w:rsidR="008C44E8" w:rsidRPr="001C5161" w14:paraId="37705259" w14:textId="77777777" w:rsidTr="00F12D5D">
        <w:trPr>
          <w:trHeight w:val="1266"/>
        </w:trPr>
        <w:tc>
          <w:tcPr>
            <w:tcW w:w="2132" w:type="dxa"/>
          </w:tcPr>
          <w:p w14:paraId="71A74EE4" w14:textId="77777777" w:rsidR="008C44E8" w:rsidRDefault="1FB0CF1D" w:rsidP="00F54B40">
            <w:pPr>
              <w:spacing w:after="120"/>
              <w:rPr>
                <w:rFonts w:cs="Arial"/>
              </w:rPr>
            </w:pPr>
            <w:r w:rsidRPr="2F2962B5">
              <w:rPr>
                <w:rFonts w:cs="Arial"/>
              </w:rPr>
              <w:t>N/A</w:t>
            </w:r>
          </w:p>
          <w:p w14:paraId="5B0496C4" w14:textId="466A3614" w:rsidR="008C44E8" w:rsidRDefault="0082745A" w:rsidP="00F54B40">
            <w:pPr>
              <w:spacing w:after="120"/>
              <w:rPr>
                <w:rFonts w:cs="Arial"/>
              </w:rPr>
            </w:pPr>
            <w:r>
              <w:rPr>
                <w:rFonts w:cs="Arial"/>
              </w:rPr>
              <w:t>(</w:t>
            </w:r>
            <w:r w:rsidR="009A7CA9">
              <w:rPr>
                <w:rFonts w:cs="Arial"/>
              </w:rPr>
              <w:t xml:space="preserve">Section 137 of the </w:t>
            </w:r>
            <w:r w:rsidR="009A7CA9">
              <w:rPr>
                <w:rFonts w:cs="Arial"/>
                <w:i/>
                <w:iCs/>
              </w:rPr>
              <w:t>Anti-Discrimination Act 1991</w:t>
            </w:r>
            <w:r w:rsidR="00EB6560">
              <w:rPr>
                <w:rFonts w:cs="Arial"/>
              </w:rPr>
              <w:t>)</w:t>
            </w:r>
          </w:p>
        </w:tc>
        <w:tc>
          <w:tcPr>
            <w:tcW w:w="5380" w:type="dxa"/>
          </w:tcPr>
          <w:p w14:paraId="2E0DC2DD" w14:textId="6CF8AC61" w:rsidR="003B4EF5" w:rsidRDefault="28EED968" w:rsidP="00F54B40">
            <w:pPr>
              <w:spacing w:after="120"/>
              <w:rPr>
                <w:rFonts w:cs="Arial"/>
              </w:rPr>
            </w:pPr>
            <w:r w:rsidRPr="28EED968">
              <w:rPr>
                <w:rFonts w:cs="Arial"/>
              </w:rPr>
              <w:t xml:space="preserve">There is no equivalent to section 137 of the </w:t>
            </w:r>
            <w:r w:rsidR="00737F0F">
              <w:rPr>
                <w:rFonts w:cs="Arial"/>
              </w:rPr>
              <w:t>Anti-Discrimination</w:t>
            </w:r>
            <w:r w:rsidRPr="28EED968">
              <w:rPr>
                <w:rFonts w:cs="Arial"/>
              </w:rPr>
              <w:t xml:space="preserve"> Act in the </w:t>
            </w:r>
            <w:r w:rsidR="002B0B8D">
              <w:rPr>
                <w:rFonts w:cs="Arial"/>
              </w:rPr>
              <w:t>draft Bill</w:t>
            </w:r>
            <w:r w:rsidRPr="28EED968">
              <w:rPr>
                <w:rFonts w:cs="Arial"/>
              </w:rPr>
              <w:t xml:space="preserve">.  </w:t>
            </w:r>
          </w:p>
          <w:p w14:paraId="7FCA1380" w14:textId="22D3C97D" w:rsidR="003B4EF5" w:rsidRPr="003B4EF5" w:rsidRDefault="003B4EF5" w:rsidP="00F54B40">
            <w:pPr>
              <w:spacing w:after="120"/>
              <w:rPr>
                <w:rFonts w:cs="Arial"/>
              </w:rPr>
            </w:pPr>
            <w:r>
              <w:rPr>
                <w:rFonts w:cs="Arial"/>
              </w:rPr>
              <w:t xml:space="preserve">For more information refer to </w:t>
            </w:r>
            <w:r>
              <w:rPr>
                <w:rFonts w:cs="Arial"/>
                <w:i/>
                <w:iCs/>
              </w:rPr>
              <w:t xml:space="preserve">Priority concerns: Complaint functions </w:t>
            </w:r>
            <w:r>
              <w:rPr>
                <w:rFonts w:cs="Arial"/>
              </w:rPr>
              <w:t>in this submission.</w:t>
            </w:r>
          </w:p>
        </w:tc>
        <w:tc>
          <w:tcPr>
            <w:tcW w:w="6952" w:type="dxa"/>
          </w:tcPr>
          <w:p w14:paraId="29A537BC" w14:textId="372F4507" w:rsidR="1BAD71B7" w:rsidRPr="1BAD71B7" w:rsidRDefault="00B15D50" w:rsidP="00F54B40">
            <w:pPr>
              <w:spacing w:after="120"/>
              <w:rPr>
                <w:rFonts w:cs="Arial"/>
              </w:rPr>
            </w:pPr>
            <w:r>
              <w:rPr>
                <w:rFonts w:cs="Arial"/>
              </w:rPr>
              <w:t xml:space="preserve">Include </w:t>
            </w:r>
            <w:r w:rsidRPr="00F54B40">
              <w:rPr>
                <w:rFonts w:cs="Arial"/>
              </w:rPr>
              <w:t>a</w:t>
            </w:r>
            <w:r>
              <w:rPr>
                <w:rFonts w:cs="Arial"/>
              </w:rPr>
              <w:t xml:space="preserve"> </w:t>
            </w:r>
            <w:r w:rsidR="00DB114C">
              <w:rPr>
                <w:rFonts w:cs="Arial"/>
              </w:rPr>
              <w:t xml:space="preserve">provision equivalent </w:t>
            </w:r>
            <w:r>
              <w:rPr>
                <w:rFonts w:cs="Arial"/>
              </w:rPr>
              <w:t>to</w:t>
            </w:r>
            <w:r w:rsidR="1BAD71B7" w:rsidRPr="1BAD71B7">
              <w:rPr>
                <w:rFonts w:cs="Arial"/>
              </w:rPr>
              <w:t xml:space="preserve"> section 137 </w:t>
            </w:r>
            <w:r>
              <w:rPr>
                <w:rFonts w:cs="Arial"/>
              </w:rPr>
              <w:t>in the current Act.</w:t>
            </w:r>
          </w:p>
        </w:tc>
      </w:tr>
      <w:tr w:rsidR="51D9C442" w14:paraId="6B9923BA" w14:textId="77777777" w:rsidTr="00F12D5D">
        <w:trPr>
          <w:trHeight w:val="1270"/>
        </w:trPr>
        <w:tc>
          <w:tcPr>
            <w:tcW w:w="2132" w:type="dxa"/>
          </w:tcPr>
          <w:p w14:paraId="455698DE" w14:textId="77777777" w:rsidR="51D9C442" w:rsidRDefault="699E6B6A" w:rsidP="00F54B40">
            <w:pPr>
              <w:spacing w:after="120"/>
              <w:rPr>
                <w:rFonts w:cs="Arial"/>
              </w:rPr>
            </w:pPr>
            <w:r w:rsidRPr="2F2962B5">
              <w:rPr>
                <w:rFonts w:cs="Arial"/>
              </w:rPr>
              <w:t>Cl 235</w:t>
            </w:r>
          </w:p>
          <w:p w14:paraId="47C715E1" w14:textId="7837E827" w:rsidR="51D9C442" w:rsidRDefault="00BB3369" w:rsidP="00F54B40">
            <w:pPr>
              <w:spacing w:after="120"/>
              <w:rPr>
                <w:rFonts w:cs="Arial"/>
              </w:rPr>
            </w:pPr>
            <w:r>
              <w:rPr>
                <w:rFonts w:cs="Arial"/>
              </w:rPr>
              <w:t>Service of documents</w:t>
            </w:r>
          </w:p>
        </w:tc>
        <w:tc>
          <w:tcPr>
            <w:tcW w:w="5380" w:type="dxa"/>
          </w:tcPr>
          <w:p w14:paraId="713D250E" w14:textId="78D44AD4" w:rsidR="51D9C442" w:rsidRDefault="3CE2194E" w:rsidP="00F54B40">
            <w:pPr>
              <w:spacing w:after="120"/>
              <w:rPr>
                <w:rFonts w:cs="Arial"/>
              </w:rPr>
            </w:pPr>
            <w:r w:rsidRPr="2F2962B5">
              <w:rPr>
                <w:rFonts w:cs="Arial"/>
              </w:rPr>
              <w:t xml:space="preserve">The current draft of the service provisions allows a party to have an email address as their address for service. However, s.235 which provides for how service is to occur, includes only personal service or service by post. Service by email is not mentioned. </w:t>
            </w:r>
          </w:p>
        </w:tc>
        <w:tc>
          <w:tcPr>
            <w:tcW w:w="6952" w:type="dxa"/>
          </w:tcPr>
          <w:p w14:paraId="00FEFEDD" w14:textId="12335996" w:rsidR="51D9C442" w:rsidRDefault="00DB114C" w:rsidP="00F54B40">
            <w:pPr>
              <w:spacing w:after="120"/>
              <w:rPr>
                <w:rFonts w:cs="Arial"/>
              </w:rPr>
            </w:pPr>
            <w:r>
              <w:rPr>
                <w:rFonts w:cs="Arial"/>
              </w:rPr>
              <w:t>Amend clause</w:t>
            </w:r>
            <w:r w:rsidR="3CE2194E" w:rsidRPr="2F2962B5">
              <w:rPr>
                <w:rFonts w:cs="Arial"/>
              </w:rPr>
              <w:t xml:space="preserve"> 235 to include an additional paragraph 235(2)(e) allowing for service of documents by email</w:t>
            </w:r>
            <w:r w:rsidR="047BCFC1" w:rsidRPr="2F2962B5">
              <w:rPr>
                <w:rFonts w:cs="Arial"/>
              </w:rPr>
              <w:t xml:space="preserve"> when</w:t>
            </w:r>
            <w:r w:rsidR="3CE2194E" w:rsidRPr="2F2962B5">
              <w:rPr>
                <w:rFonts w:cs="Arial"/>
              </w:rPr>
              <w:t xml:space="preserve"> ‘the party’s address for service is, or includes, an email address and the document is emailed to that address.’</w:t>
            </w:r>
          </w:p>
        </w:tc>
      </w:tr>
      <w:tr w:rsidR="2F2962B5" w14:paraId="340F7FDB" w14:textId="77777777" w:rsidTr="2DA3FFDE">
        <w:trPr>
          <w:trHeight w:val="2100"/>
        </w:trPr>
        <w:tc>
          <w:tcPr>
            <w:tcW w:w="2132" w:type="dxa"/>
          </w:tcPr>
          <w:p w14:paraId="5D00573C" w14:textId="60E7E496" w:rsidR="7B3B9CCA" w:rsidRPr="00D260E6" w:rsidRDefault="7B3B9CCA" w:rsidP="00F54B40">
            <w:pPr>
              <w:spacing w:after="120"/>
              <w:rPr>
                <w:rFonts w:cs="Arial"/>
              </w:rPr>
            </w:pPr>
            <w:r w:rsidRPr="00D260E6">
              <w:rPr>
                <w:rFonts w:cs="Arial"/>
              </w:rPr>
              <w:t>Schedule 1</w:t>
            </w:r>
          </w:p>
          <w:p w14:paraId="33397F10" w14:textId="3939DC64" w:rsidR="7B3B9CCA" w:rsidRDefault="7B3B9CCA" w:rsidP="00F54B40">
            <w:pPr>
              <w:spacing w:after="120"/>
              <w:rPr>
                <w:rFonts w:cs="Arial"/>
                <w:b/>
                <w:bCs/>
              </w:rPr>
            </w:pPr>
            <w:r w:rsidRPr="00D260E6">
              <w:rPr>
                <w:rFonts w:cs="Arial"/>
              </w:rPr>
              <w:t>Dictionary</w:t>
            </w:r>
          </w:p>
        </w:tc>
        <w:tc>
          <w:tcPr>
            <w:tcW w:w="5380" w:type="dxa"/>
          </w:tcPr>
          <w:p w14:paraId="5196D0BA" w14:textId="1F8B3643" w:rsidR="7B3B9CCA" w:rsidRDefault="7B3B9CCA" w:rsidP="00F54B40">
            <w:pPr>
              <w:spacing w:after="120"/>
              <w:rPr>
                <w:rFonts w:cs="Arial"/>
              </w:rPr>
            </w:pPr>
            <w:r w:rsidRPr="2F2962B5">
              <w:rPr>
                <w:rFonts w:cs="Arial"/>
              </w:rPr>
              <w:t xml:space="preserve">The dictionary does not include a definition of document, despite references to documents in the service provisions. </w:t>
            </w:r>
          </w:p>
        </w:tc>
        <w:tc>
          <w:tcPr>
            <w:tcW w:w="6952" w:type="dxa"/>
          </w:tcPr>
          <w:p w14:paraId="21AB33B2" w14:textId="22F2EFA9" w:rsidR="7FDE3F07" w:rsidRDefault="00DB114C" w:rsidP="00F54B40">
            <w:pPr>
              <w:spacing w:after="120"/>
              <w:rPr>
                <w:rFonts w:cs="Arial"/>
              </w:rPr>
            </w:pPr>
            <w:r>
              <w:rPr>
                <w:rFonts w:cs="Arial"/>
              </w:rPr>
              <w:t>Amend</w:t>
            </w:r>
            <w:r w:rsidR="7FDE3F07" w:rsidRPr="2F2962B5">
              <w:rPr>
                <w:rFonts w:cs="Arial"/>
              </w:rPr>
              <w:t xml:space="preserve"> Schedule 1 (Dictionary) </w:t>
            </w:r>
            <w:r>
              <w:rPr>
                <w:rFonts w:cs="Arial"/>
              </w:rPr>
              <w:t xml:space="preserve">to </w:t>
            </w:r>
            <w:r w:rsidR="7FDE3F07" w:rsidRPr="2F2962B5">
              <w:rPr>
                <w:rFonts w:cs="Arial"/>
              </w:rPr>
              <w:t xml:space="preserve">include a definition of document as follows: </w:t>
            </w:r>
          </w:p>
          <w:p w14:paraId="1988E382" w14:textId="50FC148D" w:rsidR="7FDE3F07" w:rsidRPr="00F54B40" w:rsidRDefault="00DB114C" w:rsidP="00F54B40">
            <w:pPr>
              <w:spacing w:after="120"/>
              <w:rPr>
                <w:rFonts w:cs="Arial"/>
              </w:rPr>
            </w:pPr>
            <w:r>
              <w:rPr>
                <w:rFonts w:cs="Arial"/>
              </w:rPr>
              <w:t>‘</w:t>
            </w:r>
            <w:proofErr w:type="gramStart"/>
            <w:r w:rsidR="7FDE3F07" w:rsidRPr="2F2962B5">
              <w:rPr>
                <w:rFonts w:cs="Arial"/>
              </w:rPr>
              <w:t>document</w:t>
            </w:r>
            <w:proofErr w:type="gramEnd"/>
            <w:r w:rsidR="7FDE3F07" w:rsidRPr="2F2962B5">
              <w:rPr>
                <w:rFonts w:cs="Arial"/>
              </w:rPr>
              <w:t xml:space="preserve">—  </w:t>
            </w:r>
          </w:p>
          <w:p w14:paraId="522B05E1" w14:textId="4A58C60C" w:rsidR="7FDE3F07" w:rsidRPr="00F54B40" w:rsidRDefault="7FDE3F07" w:rsidP="00F54B40">
            <w:pPr>
              <w:spacing w:after="120"/>
              <w:ind w:left="432"/>
              <w:rPr>
                <w:rFonts w:cs="Arial"/>
              </w:rPr>
            </w:pPr>
            <w:r w:rsidRPr="2F2962B5">
              <w:rPr>
                <w:rFonts w:cs="Arial"/>
              </w:rPr>
              <w:t>(a)</w:t>
            </w:r>
            <w:r w:rsidRPr="00F54B40">
              <w:rPr>
                <w:rFonts w:cs="Arial"/>
              </w:rPr>
              <w:tab/>
            </w:r>
            <w:r w:rsidRPr="2F2962B5">
              <w:rPr>
                <w:rFonts w:cs="Arial"/>
              </w:rPr>
              <w:t xml:space="preserve">means a record of information, however recorded; and  </w:t>
            </w:r>
          </w:p>
          <w:p w14:paraId="5FE4D197" w14:textId="34A274F8" w:rsidR="7FDE3F07" w:rsidRPr="00F54B40" w:rsidRDefault="7FDE3F07" w:rsidP="00F54B40">
            <w:pPr>
              <w:spacing w:after="120"/>
              <w:ind w:left="432"/>
              <w:rPr>
                <w:rFonts w:cs="Arial"/>
              </w:rPr>
            </w:pPr>
            <w:r w:rsidRPr="2F2962B5">
              <w:rPr>
                <w:rFonts w:cs="Arial"/>
              </w:rPr>
              <w:t>(b)</w:t>
            </w:r>
            <w:r w:rsidRPr="00F54B40">
              <w:rPr>
                <w:rFonts w:cs="Arial"/>
              </w:rPr>
              <w:tab/>
            </w:r>
            <w:r w:rsidRPr="2F2962B5">
              <w:rPr>
                <w:rFonts w:cs="Arial"/>
              </w:rPr>
              <w:t xml:space="preserve">includes—  </w:t>
            </w:r>
          </w:p>
          <w:p w14:paraId="09286C79" w14:textId="36A7DAF6" w:rsidR="7FDE3F07" w:rsidRPr="00F54B40" w:rsidRDefault="7FDE3F07" w:rsidP="00F54B40">
            <w:pPr>
              <w:spacing w:after="120"/>
              <w:ind w:left="720"/>
              <w:rPr>
                <w:rFonts w:cs="Arial"/>
              </w:rPr>
            </w:pPr>
            <w:r w:rsidRPr="2F2962B5">
              <w:rPr>
                <w:rFonts w:cs="Arial"/>
              </w:rPr>
              <w:t>(</w:t>
            </w:r>
            <w:proofErr w:type="spellStart"/>
            <w:r w:rsidRPr="2F2962B5">
              <w:rPr>
                <w:rFonts w:cs="Arial"/>
              </w:rPr>
              <w:t>i</w:t>
            </w:r>
            <w:proofErr w:type="spellEnd"/>
            <w:r w:rsidRPr="2F2962B5">
              <w:rPr>
                <w:rFonts w:cs="Arial"/>
              </w:rPr>
              <w:t>)</w:t>
            </w:r>
            <w:r w:rsidRPr="00F54B40">
              <w:rPr>
                <w:rFonts w:cs="Arial"/>
              </w:rPr>
              <w:tab/>
            </w:r>
            <w:r w:rsidRPr="2F2962B5">
              <w:rPr>
                <w:rFonts w:cs="Arial"/>
              </w:rPr>
              <w:t xml:space="preserve">a thing on which there is writing; and  </w:t>
            </w:r>
          </w:p>
          <w:p w14:paraId="7AE633F4" w14:textId="5154A705" w:rsidR="7FDE3F07" w:rsidRPr="00F54B40" w:rsidRDefault="7FDE3F07" w:rsidP="00F54B40">
            <w:pPr>
              <w:spacing w:after="120"/>
              <w:ind w:left="720"/>
              <w:rPr>
                <w:rFonts w:cs="Arial"/>
              </w:rPr>
            </w:pPr>
            <w:r w:rsidRPr="2F2962B5">
              <w:rPr>
                <w:rFonts w:cs="Arial"/>
              </w:rPr>
              <w:t>(ii)</w:t>
            </w:r>
            <w:r w:rsidRPr="00F54B40">
              <w:rPr>
                <w:rFonts w:cs="Arial"/>
              </w:rPr>
              <w:tab/>
            </w:r>
            <w:r w:rsidRPr="2F2962B5">
              <w:rPr>
                <w:rFonts w:cs="Arial"/>
              </w:rPr>
              <w:t xml:space="preserve">a thing on which there are marks, symbols or perforations </w:t>
            </w:r>
            <w:r w:rsidR="1C4CE809" w:rsidRPr="2F2962B5">
              <w:rPr>
                <w:rFonts w:cs="Arial"/>
              </w:rPr>
              <w:t xml:space="preserve">       </w:t>
            </w:r>
            <w:r w:rsidRPr="2F2962B5">
              <w:rPr>
                <w:rFonts w:cs="Arial"/>
              </w:rPr>
              <w:t xml:space="preserve">having a meaning for persons qualified to interpret them; and  </w:t>
            </w:r>
          </w:p>
          <w:p w14:paraId="3DD787D4" w14:textId="4E4331A7" w:rsidR="7FDE3F07" w:rsidRPr="00F54B40" w:rsidRDefault="7FDE3F07" w:rsidP="00F54B40">
            <w:pPr>
              <w:spacing w:after="120"/>
              <w:ind w:left="720"/>
              <w:rPr>
                <w:rFonts w:cs="Arial"/>
              </w:rPr>
            </w:pPr>
            <w:r w:rsidRPr="2F2962B5">
              <w:rPr>
                <w:rFonts w:cs="Arial"/>
              </w:rPr>
              <w:t>(iii)</w:t>
            </w:r>
            <w:r w:rsidRPr="00F54B40">
              <w:rPr>
                <w:rFonts w:cs="Arial"/>
              </w:rPr>
              <w:tab/>
            </w:r>
            <w:r w:rsidRPr="2F2962B5">
              <w:rPr>
                <w:rFonts w:cs="Arial"/>
              </w:rPr>
              <w:t xml:space="preserve">an electronic document.  </w:t>
            </w:r>
          </w:p>
          <w:p w14:paraId="2B8AABC3" w14:textId="40E2DC86" w:rsidR="7FDE3F07" w:rsidRPr="00F54B40" w:rsidRDefault="7FDE3F07" w:rsidP="00F54B40">
            <w:pPr>
              <w:spacing w:after="120"/>
              <w:rPr>
                <w:rFonts w:cs="Arial"/>
              </w:rPr>
            </w:pPr>
            <w:r w:rsidRPr="2F2962B5">
              <w:rPr>
                <w:rFonts w:cs="Arial"/>
              </w:rPr>
              <w:t xml:space="preserve">electronic document means—  </w:t>
            </w:r>
          </w:p>
          <w:p w14:paraId="55495714" w14:textId="17B499E4" w:rsidR="7FDE3F07" w:rsidRPr="00F54B40" w:rsidRDefault="7FDE3F07" w:rsidP="00F54B40">
            <w:pPr>
              <w:spacing w:after="120"/>
              <w:ind w:left="432"/>
              <w:rPr>
                <w:rFonts w:cs="Arial"/>
              </w:rPr>
            </w:pPr>
            <w:r w:rsidRPr="2F2962B5">
              <w:rPr>
                <w:rFonts w:cs="Arial"/>
              </w:rPr>
              <w:t>(a)</w:t>
            </w:r>
            <w:r w:rsidRPr="00F54B40">
              <w:rPr>
                <w:rFonts w:cs="Arial"/>
              </w:rPr>
              <w:tab/>
            </w:r>
            <w:r w:rsidRPr="2F2962B5">
              <w:rPr>
                <w:rFonts w:cs="Arial"/>
              </w:rPr>
              <w:t xml:space="preserve">a thing from which sounds, images or writings can be reproduced with or without the aid of anything else; or  </w:t>
            </w:r>
          </w:p>
          <w:p w14:paraId="19A978B6" w14:textId="11953749" w:rsidR="7FDE3F07" w:rsidRPr="00F54B40" w:rsidRDefault="7FDE3F07" w:rsidP="00F54B40">
            <w:pPr>
              <w:spacing w:after="120"/>
              <w:ind w:left="432"/>
              <w:rPr>
                <w:rFonts w:cs="Arial"/>
              </w:rPr>
            </w:pPr>
            <w:r w:rsidRPr="2F2962B5">
              <w:rPr>
                <w:rFonts w:cs="Arial"/>
              </w:rPr>
              <w:t>(b)</w:t>
            </w:r>
            <w:r w:rsidRPr="00F54B40">
              <w:rPr>
                <w:rFonts w:cs="Arial"/>
              </w:rPr>
              <w:tab/>
            </w:r>
            <w:r w:rsidRPr="2F2962B5">
              <w:rPr>
                <w:rFonts w:cs="Arial"/>
              </w:rPr>
              <w:t xml:space="preserve">a record of information reproduced from a thing mentioned in paragraph (a); or  </w:t>
            </w:r>
          </w:p>
          <w:p w14:paraId="16DF0DA8" w14:textId="1E152614" w:rsidR="7FDE3F07" w:rsidRPr="00F54B40" w:rsidRDefault="7FDE3F07" w:rsidP="00F54B40">
            <w:pPr>
              <w:spacing w:after="120"/>
              <w:ind w:left="432"/>
              <w:rPr>
                <w:rFonts w:cs="Arial"/>
              </w:rPr>
            </w:pPr>
            <w:r w:rsidRPr="2F2962B5">
              <w:rPr>
                <w:rFonts w:cs="Arial"/>
              </w:rPr>
              <w:t>(c)</w:t>
            </w:r>
            <w:r w:rsidRPr="00F54B40">
              <w:rPr>
                <w:rFonts w:cs="Arial"/>
              </w:rPr>
              <w:tab/>
            </w:r>
            <w:r w:rsidRPr="2F2962B5">
              <w:rPr>
                <w:rFonts w:cs="Arial"/>
              </w:rPr>
              <w:t xml:space="preserve">a record of information that exists in digital form and is capable of being reproduced, transmitted, </w:t>
            </w:r>
            <w:proofErr w:type="gramStart"/>
            <w:r w:rsidRPr="2F2962B5">
              <w:rPr>
                <w:rFonts w:cs="Arial"/>
              </w:rPr>
              <w:t>stored</w:t>
            </w:r>
            <w:proofErr w:type="gramEnd"/>
            <w:r w:rsidRPr="2F2962B5">
              <w:rPr>
                <w:rFonts w:cs="Arial"/>
              </w:rPr>
              <w:t xml:space="preserve"> or duplicated by electronic means.</w:t>
            </w:r>
            <w:r w:rsidR="00DB114C">
              <w:rPr>
                <w:rFonts w:cs="Arial"/>
              </w:rPr>
              <w:t>’</w:t>
            </w:r>
            <w:r w:rsidRPr="2F2962B5">
              <w:rPr>
                <w:rFonts w:cs="Arial"/>
              </w:rPr>
              <w:t xml:space="preserve"> </w:t>
            </w:r>
          </w:p>
        </w:tc>
      </w:tr>
      <w:tr w:rsidR="007A0D64" w14:paraId="066455FC" w14:textId="77777777" w:rsidTr="00ED5D43">
        <w:trPr>
          <w:trHeight w:val="1266"/>
        </w:trPr>
        <w:tc>
          <w:tcPr>
            <w:tcW w:w="2132" w:type="dxa"/>
          </w:tcPr>
          <w:p w14:paraId="47C06CBE" w14:textId="77777777" w:rsidR="007A0D64" w:rsidRDefault="007A0D64" w:rsidP="00F54B40">
            <w:pPr>
              <w:spacing w:after="120"/>
              <w:rPr>
                <w:rFonts w:cs="Arial"/>
              </w:rPr>
            </w:pPr>
            <w:r>
              <w:rPr>
                <w:rFonts w:cs="Arial"/>
              </w:rPr>
              <w:lastRenderedPageBreak/>
              <w:t xml:space="preserve">Cl </w:t>
            </w:r>
            <w:r w:rsidR="003C4816">
              <w:rPr>
                <w:rFonts w:cs="Arial"/>
              </w:rPr>
              <w:t>108(2)</w:t>
            </w:r>
          </w:p>
          <w:p w14:paraId="7E2914AB" w14:textId="76FBC007" w:rsidR="00FC2E92" w:rsidRPr="007A0D64" w:rsidRDefault="00FC2E92" w:rsidP="00F54B40">
            <w:pPr>
              <w:spacing w:after="120"/>
              <w:rPr>
                <w:rFonts w:cs="Arial"/>
              </w:rPr>
            </w:pPr>
            <w:r>
              <w:rPr>
                <w:rFonts w:cs="Arial"/>
              </w:rPr>
              <w:t>Who may make a representative complaint</w:t>
            </w:r>
          </w:p>
        </w:tc>
        <w:tc>
          <w:tcPr>
            <w:tcW w:w="5380" w:type="dxa"/>
          </w:tcPr>
          <w:p w14:paraId="40C98A18" w14:textId="77254FE2" w:rsidR="007A0D64" w:rsidRPr="2F2962B5" w:rsidRDefault="0468FEAF" w:rsidP="00F54B40">
            <w:pPr>
              <w:spacing w:after="120"/>
              <w:rPr>
                <w:rFonts w:cs="Arial"/>
              </w:rPr>
            </w:pPr>
            <w:r w:rsidRPr="22B4C0A9">
              <w:rPr>
                <w:rFonts w:cs="Arial"/>
              </w:rPr>
              <w:t xml:space="preserve">Consistent with </w:t>
            </w:r>
            <w:r w:rsidRPr="22B4C0A9">
              <w:rPr>
                <w:rFonts w:cs="Arial"/>
                <w:i/>
                <w:iCs/>
              </w:rPr>
              <w:t xml:space="preserve">Building </w:t>
            </w:r>
            <w:r w:rsidR="00135EA2" w:rsidRPr="00F54B40">
              <w:rPr>
                <w:rFonts w:cs="Arial"/>
                <w:i/>
                <w:iCs/>
              </w:rPr>
              <w:t>b</w:t>
            </w:r>
            <w:r w:rsidRPr="00F54B40">
              <w:rPr>
                <w:rFonts w:cs="Arial"/>
                <w:i/>
                <w:iCs/>
              </w:rPr>
              <w:t>elonging</w:t>
            </w:r>
            <w:r w:rsidRPr="22B4C0A9">
              <w:rPr>
                <w:rFonts w:cs="Arial"/>
                <w:i/>
                <w:iCs/>
              </w:rPr>
              <w:t xml:space="preserve"> </w:t>
            </w:r>
            <w:r w:rsidRPr="5639B944">
              <w:rPr>
                <w:rFonts w:cs="Arial"/>
              </w:rPr>
              <w:t>review</w:t>
            </w:r>
            <w:r w:rsidRPr="22B4C0A9">
              <w:rPr>
                <w:rFonts w:cs="Arial"/>
              </w:rPr>
              <w:t xml:space="preserve"> recommendation of 11.1 clause </w:t>
            </w:r>
            <w:r w:rsidR="31580047" w:rsidRPr="27DC6B54">
              <w:rPr>
                <w:rFonts w:cs="Arial"/>
              </w:rPr>
              <w:t>108(1)</w:t>
            </w:r>
            <w:r w:rsidR="31580047" w:rsidRPr="19E57A04">
              <w:rPr>
                <w:rFonts w:cs="Arial"/>
              </w:rPr>
              <w:t xml:space="preserve"> incorporates </w:t>
            </w:r>
            <w:r w:rsidR="31580047" w:rsidRPr="4237FEB0">
              <w:rPr>
                <w:rFonts w:cs="Arial"/>
              </w:rPr>
              <w:t>criteria</w:t>
            </w:r>
            <w:r w:rsidR="31580047" w:rsidRPr="61A1E189">
              <w:rPr>
                <w:rFonts w:cs="Arial"/>
              </w:rPr>
              <w:t xml:space="preserve"> </w:t>
            </w:r>
            <w:r w:rsidR="31580047" w:rsidRPr="29EAC79E">
              <w:rPr>
                <w:rFonts w:cs="Arial"/>
              </w:rPr>
              <w:t xml:space="preserve">for bringing a </w:t>
            </w:r>
            <w:r w:rsidR="31580047" w:rsidRPr="53A3FFCD">
              <w:rPr>
                <w:rFonts w:cs="Arial"/>
              </w:rPr>
              <w:t xml:space="preserve">representative complaint to the Commission or tribunal </w:t>
            </w:r>
            <w:proofErr w:type="gramStart"/>
            <w:r w:rsidR="31580047" w:rsidRPr="53A3FFCD">
              <w:rPr>
                <w:rFonts w:cs="Arial"/>
              </w:rPr>
              <w:t xml:space="preserve">similar </w:t>
            </w:r>
            <w:r w:rsidR="31580047" w:rsidRPr="7CF10507">
              <w:rPr>
                <w:rFonts w:cs="Arial"/>
              </w:rPr>
              <w:t>to</w:t>
            </w:r>
            <w:proofErr w:type="gramEnd"/>
            <w:r w:rsidR="31580047" w:rsidRPr="7CF10507">
              <w:rPr>
                <w:rFonts w:cs="Arial"/>
              </w:rPr>
              <w:t xml:space="preserve"> section 46PB of the </w:t>
            </w:r>
            <w:r w:rsidR="31580047" w:rsidRPr="234E8898">
              <w:rPr>
                <w:rFonts w:cs="Arial"/>
                <w:i/>
                <w:iCs/>
              </w:rPr>
              <w:t xml:space="preserve">Australian Human Rights Commission Act 1986 </w:t>
            </w:r>
            <w:r w:rsidR="31580047" w:rsidRPr="0F5A1764">
              <w:rPr>
                <w:rFonts w:cs="Arial"/>
              </w:rPr>
              <w:t>(</w:t>
            </w:r>
            <w:proofErr w:type="spellStart"/>
            <w:r w:rsidR="31580047" w:rsidRPr="0F5A1764">
              <w:rPr>
                <w:rFonts w:cs="Arial"/>
              </w:rPr>
              <w:t>Cth</w:t>
            </w:r>
            <w:proofErr w:type="spellEnd"/>
            <w:r w:rsidR="31580047" w:rsidRPr="0F5A1764">
              <w:rPr>
                <w:rFonts w:cs="Arial"/>
              </w:rPr>
              <w:t>).</w:t>
            </w:r>
          </w:p>
          <w:p w14:paraId="49AC0459" w14:textId="0B3A7357" w:rsidR="007A0D64" w:rsidRPr="2F2962B5" w:rsidRDefault="55ADAEAA" w:rsidP="00F54B40">
            <w:pPr>
              <w:spacing w:after="120"/>
              <w:rPr>
                <w:rFonts w:cs="Arial"/>
              </w:rPr>
            </w:pPr>
            <w:r w:rsidRPr="3E4F340A">
              <w:rPr>
                <w:rFonts w:cs="Arial"/>
              </w:rPr>
              <w:t xml:space="preserve">Clause 108(2) states that ‘A complaint may be made </w:t>
            </w:r>
            <w:r w:rsidRPr="11130B36">
              <w:rPr>
                <w:rFonts w:cs="Arial"/>
              </w:rPr>
              <w:t xml:space="preserve">under subsection (1) on </w:t>
            </w:r>
            <w:r w:rsidRPr="395E9F76">
              <w:rPr>
                <w:rFonts w:cs="Arial"/>
              </w:rPr>
              <w:t>behalf</w:t>
            </w:r>
            <w:r w:rsidRPr="11130B36">
              <w:rPr>
                <w:rFonts w:cs="Arial"/>
              </w:rPr>
              <w:t xml:space="preserve"> of a class of persons </w:t>
            </w:r>
            <w:r w:rsidRPr="196ACEBF">
              <w:rPr>
                <w:rFonts w:cs="Arial"/>
              </w:rPr>
              <w:t>without</w:t>
            </w:r>
            <w:r w:rsidRPr="326D8F70">
              <w:rPr>
                <w:rFonts w:cs="Arial"/>
              </w:rPr>
              <w:t xml:space="preserve"> the consent of all members </w:t>
            </w:r>
            <w:r w:rsidRPr="196ACEBF">
              <w:rPr>
                <w:rFonts w:cs="Arial"/>
              </w:rPr>
              <w:t>of</w:t>
            </w:r>
            <w:r w:rsidRPr="326D8F70">
              <w:rPr>
                <w:rFonts w:cs="Arial"/>
              </w:rPr>
              <w:t xml:space="preserve"> the </w:t>
            </w:r>
            <w:r w:rsidRPr="47734BAF">
              <w:rPr>
                <w:rFonts w:cs="Arial"/>
              </w:rPr>
              <w:t xml:space="preserve">class.’ </w:t>
            </w:r>
          </w:p>
          <w:p w14:paraId="090AEBD2" w14:textId="152D4092" w:rsidR="007A0D64" w:rsidRPr="2F2962B5" w:rsidRDefault="55ADAEAA" w:rsidP="00F54B40">
            <w:pPr>
              <w:spacing w:after="120"/>
              <w:rPr>
                <w:rFonts w:cs="Arial"/>
              </w:rPr>
            </w:pPr>
            <w:r w:rsidRPr="47734BAF">
              <w:rPr>
                <w:rFonts w:cs="Arial"/>
              </w:rPr>
              <w:t xml:space="preserve">The inclusion of the </w:t>
            </w:r>
            <w:r w:rsidRPr="4105391B">
              <w:rPr>
                <w:rFonts w:cs="Arial"/>
              </w:rPr>
              <w:t>word ‘all’ might imply that</w:t>
            </w:r>
            <w:r w:rsidRPr="45F85E60">
              <w:rPr>
                <w:rFonts w:cs="Arial"/>
              </w:rPr>
              <w:t xml:space="preserve"> </w:t>
            </w:r>
            <w:r w:rsidRPr="495CFCA4">
              <w:rPr>
                <w:rFonts w:cs="Arial"/>
              </w:rPr>
              <w:t>consent</w:t>
            </w:r>
            <w:r w:rsidRPr="2611D709">
              <w:rPr>
                <w:rFonts w:cs="Arial"/>
              </w:rPr>
              <w:t xml:space="preserve"> </w:t>
            </w:r>
            <w:r w:rsidR="6B6BC516" w:rsidRPr="5ADFC83E">
              <w:rPr>
                <w:rFonts w:cs="Arial"/>
              </w:rPr>
              <w:t>is required from</w:t>
            </w:r>
            <w:r w:rsidRPr="1119642A">
              <w:rPr>
                <w:rFonts w:cs="Arial"/>
              </w:rPr>
              <w:t xml:space="preserve"> </w:t>
            </w:r>
            <w:r w:rsidR="71C02049" w:rsidRPr="56ABADB5">
              <w:rPr>
                <w:rFonts w:cs="Arial"/>
              </w:rPr>
              <w:t>at least one or more members</w:t>
            </w:r>
            <w:r w:rsidR="71C02049" w:rsidRPr="7B823228">
              <w:rPr>
                <w:rFonts w:cs="Arial"/>
              </w:rPr>
              <w:t xml:space="preserve"> of the class. </w:t>
            </w:r>
            <w:r w:rsidR="58592F8B" w:rsidRPr="43ACC5DC">
              <w:rPr>
                <w:rFonts w:cs="Arial"/>
              </w:rPr>
              <w:t>Under s 46</w:t>
            </w:r>
            <w:proofErr w:type="gramStart"/>
            <w:r w:rsidR="58592F8B" w:rsidRPr="43ACC5DC">
              <w:rPr>
                <w:rFonts w:cs="Arial"/>
              </w:rPr>
              <w:t>PB(</w:t>
            </w:r>
            <w:proofErr w:type="gramEnd"/>
            <w:r w:rsidR="58592F8B" w:rsidRPr="43ACC5DC">
              <w:rPr>
                <w:rFonts w:cs="Arial"/>
              </w:rPr>
              <w:t>4) the</w:t>
            </w:r>
            <w:r w:rsidR="58592F8B" w:rsidRPr="0B5262E5">
              <w:rPr>
                <w:rFonts w:cs="Arial"/>
              </w:rPr>
              <w:t xml:space="preserve"> </w:t>
            </w:r>
            <w:r w:rsidR="58592F8B" w:rsidRPr="24405252">
              <w:rPr>
                <w:rFonts w:cs="Arial"/>
                <w:i/>
                <w:iCs/>
              </w:rPr>
              <w:t xml:space="preserve">Australian Human Rights Commission Act 1986 </w:t>
            </w:r>
            <w:r w:rsidR="58592F8B" w:rsidRPr="7F8788C7">
              <w:rPr>
                <w:rFonts w:cs="Arial"/>
              </w:rPr>
              <w:t>(</w:t>
            </w:r>
            <w:proofErr w:type="spellStart"/>
            <w:r w:rsidR="58592F8B" w:rsidRPr="7F8788C7">
              <w:rPr>
                <w:rFonts w:cs="Arial"/>
              </w:rPr>
              <w:t>Cth</w:t>
            </w:r>
            <w:proofErr w:type="spellEnd"/>
            <w:r w:rsidR="58592F8B" w:rsidRPr="7F8788C7">
              <w:rPr>
                <w:rFonts w:cs="Arial"/>
              </w:rPr>
              <w:t xml:space="preserve">)’ a </w:t>
            </w:r>
            <w:r w:rsidR="58592F8B" w:rsidRPr="1A4F4F19">
              <w:rPr>
                <w:rFonts w:cs="Arial"/>
              </w:rPr>
              <w:t>representative</w:t>
            </w:r>
            <w:r w:rsidR="58592F8B" w:rsidRPr="1FE78C74">
              <w:rPr>
                <w:rFonts w:cs="Arial"/>
              </w:rPr>
              <w:t xml:space="preserve"> complaint may be lodged without the consent of </w:t>
            </w:r>
            <w:r w:rsidR="58592F8B" w:rsidRPr="1A4F4F19">
              <w:rPr>
                <w:rFonts w:cs="Arial"/>
              </w:rPr>
              <w:t>class members.’</w:t>
            </w:r>
            <w:r w:rsidR="58592F8B" w:rsidRPr="1FE78C74">
              <w:rPr>
                <w:rFonts w:cs="Arial"/>
              </w:rPr>
              <w:t xml:space="preserve"> </w:t>
            </w:r>
          </w:p>
        </w:tc>
        <w:tc>
          <w:tcPr>
            <w:tcW w:w="6952" w:type="dxa"/>
          </w:tcPr>
          <w:p w14:paraId="71830B93" w14:textId="4072B525" w:rsidR="62A78477" w:rsidRPr="00F54B40" w:rsidRDefault="00DB114C" w:rsidP="00F54B40">
            <w:pPr>
              <w:spacing w:after="120"/>
              <w:rPr>
                <w:rFonts w:cs="Arial"/>
              </w:rPr>
            </w:pPr>
            <w:r w:rsidRPr="00F54B40">
              <w:rPr>
                <w:rFonts w:cs="Arial"/>
              </w:rPr>
              <w:t>Amend clause</w:t>
            </w:r>
            <w:r w:rsidR="62A78477" w:rsidRPr="00F54B40">
              <w:rPr>
                <w:rFonts w:cs="Arial"/>
              </w:rPr>
              <w:t xml:space="preserve"> 108(2) </w:t>
            </w:r>
            <w:r w:rsidRPr="00F54B40">
              <w:rPr>
                <w:rFonts w:cs="Arial"/>
              </w:rPr>
              <w:t>to provide</w:t>
            </w:r>
            <w:r w:rsidR="62A78477" w:rsidRPr="00F54B40">
              <w:rPr>
                <w:rFonts w:cs="Arial"/>
              </w:rPr>
              <w:t>:</w:t>
            </w:r>
          </w:p>
          <w:p w14:paraId="2DFFD9CC" w14:textId="05594838" w:rsidR="0866A97E" w:rsidRDefault="62A78477" w:rsidP="00F12D5D">
            <w:pPr>
              <w:spacing w:after="120"/>
              <w:ind w:left="720"/>
              <w:rPr>
                <w:rFonts w:cs="Arial"/>
              </w:rPr>
            </w:pPr>
            <w:r w:rsidRPr="3A3C2F64">
              <w:rPr>
                <w:rFonts w:cs="Arial"/>
              </w:rPr>
              <w:t xml:space="preserve">‘A complaint may be made under subsection (1) on behalf of a class of persons without the consent of </w:t>
            </w:r>
            <w:r w:rsidRPr="66921176">
              <w:rPr>
                <w:rFonts w:cs="Arial"/>
                <w:strike/>
              </w:rPr>
              <w:t xml:space="preserve">all </w:t>
            </w:r>
            <w:r w:rsidRPr="3A3C2F64">
              <w:rPr>
                <w:rFonts w:cs="Arial"/>
              </w:rPr>
              <w:t>members of the class.’</w:t>
            </w:r>
          </w:p>
          <w:p w14:paraId="5EA1FB5E" w14:textId="2193FD36" w:rsidR="10A7A28A" w:rsidRPr="00F54B40" w:rsidRDefault="10A7A28A" w:rsidP="00F54B40">
            <w:pPr>
              <w:spacing w:after="120"/>
              <w:rPr>
                <w:rFonts w:cs="Arial"/>
              </w:rPr>
            </w:pPr>
          </w:p>
          <w:p w14:paraId="030588F8" w14:textId="458FF07F" w:rsidR="007A0D64" w:rsidRPr="00F54B40" w:rsidRDefault="007A0D64" w:rsidP="00F54B40">
            <w:pPr>
              <w:spacing w:after="120"/>
              <w:rPr>
                <w:rFonts w:cs="Arial"/>
              </w:rPr>
            </w:pPr>
          </w:p>
        </w:tc>
      </w:tr>
      <w:tr w:rsidR="007F31FE" w14:paraId="34ED623F" w14:textId="77777777" w:rsidTr="006020CC">
        <w:trPr>
          <w:trHeight w:val="1124"/>
        </w:trPr>
        <w:tc>
          <w:tcPr>
            <w:tcW w:w="2132" w:type="dxa"/>
          </w:tcPr>
          <w:p w14:paraId="402ABB33" w14:textId="77777777" w:rsidR="007F31FE" w:rsidRPr="00F54B40" w:rsidRDefault="007F31FE" w:rsidP="00F54B40">
            <w:pPr>
              <w:spacing w:after="120"/>
              <w:rPr>
                <w:rFonts w:cs="Arial"/>
              </w:rPr>
            </w:pPr>
            <w:proofErr w:type="spellStart"/>
            <w:r w:rsidRPr="00F54B40">
              <w:rPr>
                <w:rFonts w:cs="Arial"/>
              </w:rPr>
              <w:t>Cls</w:t>
            </w:r>
            <w:proofErr w:type="spellEnd"/>
            <w:r w:rsidRPr="00F54B40">
              <w:rPr>
                <w:rFonts w:cs="Arial"/>
              </w:rPr>
              <w:t xml:space="preserve"> 108(3) and 202(3)</w:t>
            </w:r>
          </w:p>
          <w:p w14:paraId="425C64D3" w14:textId="77777777" w:rsidR="007F31FE" w:rsidRPr="00F54B40" w:rsidRDefault="007F31FE" w:rsidP="00F54B40">
            <w:pPr>
              <w:spacing w:before="120" w:after="120"/>
              <w:rPr>
                <w:rFonts w:cs="Arial"/>
              </w:rPr>
            </w:pPr>
            <w:r w:rsidRPr="00F54B40">
              <w:rPr>
                <w:rFonts w:cs="Arial"/>
              </w:rPr>
              <w:t xml:space="preserve">Who may make a representative </w:t>
            </w:r>
            <w:proofErr w:type="gramStart"/>
            <w:r w:rsidRPr="00F54B40">
              <w:rPr>
                <w:rFonts w:cs="Arial"/>
              </w:rPr>
              <w:t>complaint</w:t>
            </w:r>
            <w:proofErr w:type="gramEnd"/>
          </w:p>
          <w:p w14:paraId="6D94CF90" w14:textId="77777777" w:rsidR="007F31FE" w:rsidRDefault="007F31FE" w:rsidP="00F54B40">
            <w:pPr>
              <w:spacing w:after="120"/>
              <w:rPr>
                <w:rFonts w:cs="Arial"/>
              </w:rPr>
            </w:pPr>
          </w:p>
        </w:tc>
        <w:tc>
          <w:tcPr>
            <w:tcW w:w="5380" w:type="dxa"/>
          </w:tcPr>
          <w:p w14:paraId="3DAEC046" w14:textId="5C96C8D5" w:rsidR="007F31FE" w:rsidRPr="00F54B40" w:rsidRDefault="2BCB4F37" w:rsidP="00F54B40">
            <w:pPr>
              <w:spacing w:after="120"/>
              <w:rPr>
                <w:rFonts w:cs="Arial"/>
              </w:rPr>
            </w:pPr>
            <w:r w:rsidRPr="00F54B40">
              <w:rPr>
                <w:rFonts w:cs="Arial"/>
              </w:rPr>
              <w:t xml:space="preserve">Clauses 108(3) and 202(3) retains the discretion of the Commissioner </w:t>
            </w:r>
            <w:r w:rsidR="148E8568" w:rsidRPr="00F54B40">
              <w:rPr>
                <w:rFonts w:cs="Arial"/>
              </w:rPr>
              <w:t xml:space="preserve">and tribunal </w:t>
            </w:r>
            <w:r w:rsidRPr="00F54B40">
              <w:rPr>
                <w:rFonts w:cs="Arial"/>
              </w:rPr>
              <w:t xml:space="preserve">to accept a complaint as a representative complaint if the commissioner is satisfied - </w:t>
            </w:r>
          </w:p>
          <w:p w14:paraId="4FE6B3B1" w14:textId="6EC3857A" w:rsidR="007F31FE" w:rsidRPr="00F54B40" w:rsidRDefault="2BCB4F37" w:rsidP="00F54B40">
            <w:pPr>
              <w:pStyle w:val="ListParagraph"/>
              <w:numPr>
                <w:ilvl w:val="0"/>
                <w:numId w:val="19"/>
              </w:numPr>
              <w:spacing w:after="120"/>
              <w:contextualSpacing w:val="0"/>
              <w:rPr>
                <w:rFonts w:cs="Arial"/>
              </w:rPr>
            </w:pPr>
            <w:r w:rsidRPr="00F54B40">
              <w:rPr>
                <w:rFonts w:cs="Arial"/>
              </w:rPr>
              <w:t>The complaint was made as a representative complaint in good faith; and</w:t>
            </w:r>
          </w:p>
          <w:p w14:paraId="30202263" w14:textId="641F6A61" w:rsidR="007F31FE" w:rsidRPr="00F54B40" w:rsidRDefault="2BCB4F37" w:rsidP="00F54B40">
            <w:pPr>
              <w:pStyle w:val="ListParagraph"/>
              <w:numPr>
                <w:ilvl w:val="0"/>
                <w:numId w:val="19"/>
              </w:numPr>
              <w:spacing w:after="120"/>
              <w:contextualSpacing w:val="0"/>
              <w:rPr>
                <w:rFonts w:cs="Arial"/>
              </w:rPr>
            </w:pPr>
            <w:r w:rsidRPr="00F54B40">
              <w:rPr>
                <w:rFonts w:cs="Arial"/>
              </w:rPr>
              <w:t>It is in the interests of justice that the matter be dealt with as a representative complaint.</w:t>
            </w:r>
          </w:p>
          <w:p w14:paraId="108EB0A9" w14:textId="21673C93" w:rsidR="007F31FE" w:rsidRPr="00F54B40" w:rsidRDefault="2E40D7DB" w:rsidP="00F54B40">
            <w:pPr>
              <w:spacing w:after="120"/>
              <w:rPr>
                <w:rFonts w:cs="Arial"/>
              </w:rPr>
            </w:pPr>
            <w:r w:rsidRPr="00F54B40">
              <w:rPr>
                <w:rFonts w:cs="Arial"/>
              </w:rPr>
              <w:t>This is ad</w:t>
            </w:r>
            <w:r w:rsidR="1A134CC4" w:rsidRPr="00F54B40">
              <w:rPr>
                <w:rFonts w:cs="Arial"/>
              </w:rPr>
              <w:t>a</w:t>
            </w:r>
            <w:r w:rsidRPr="00F54B40">
              <w:rPr>
                <w:rFonts w:cs="Arial"/>
              </w:rPr>
              <w:t xml:space="preserve">pted from </w:t>
            </w:r>
            <w:r w:rsidR="68F29072" w:rsidRPr="00F54B40">
              <w:rPr>
                <w:rFonts w:cs="Arial"/>
              </w:rPr>
              <w:t xml:space="preserve">existing </w:t>
            </w:r>
            <w:r w:rsidRPr="00F54B40">
              <w:rPr>
                <w:rFonts w:cs="Arial"/>
              </w:rPr>
              <w:t>section</w:t>
            </w:r>
            <w:r w:rsidR="6C5A0475" w:rsidRPr="00F54B40">
              <w:rPr>
                <w:rFonts w:cs="Arial"/>
              </w:rPr>
              <w:t>s</w:t>
            </w:r>
            <w:r w:rsidRPr="00F54B40">
              <w:rPr>
                <w:rFonts w:cs="Arial"/>
              </w:rPr>
              <w:t xml:space="preserve"> 147(2) </w:t>
            </w:r>
            <w:r w:rsidR="6C49E81E" w:rsidRPr="00F54B40">
              <w:rPr>
                <w:rFonts w:cs="Arial"/>
              </w:rPr>
              <w:t>and 195(2) of the AD Act.</w:t>
            </w:r>
          </w:p>
          <w:p w14:paraId="00EBAA26" w14:textId="492C3A4E" w:rsidR="007F31FE" w:rsidRPr="00F54B40" w:rsidRDefault="7FCECAB1" w:rsidP="00F54B40">
            <w:pPr>
              <w:spacing w:after="120"/>
              <w:rPr>
                <w:rFonts w:cs="Arial"/>
              </w:rPr>
            </w:pPr>
            <w:r w:rsidRPr="00F54B40">
              <w:rPr>
                <w:rFonts w:cs="Arial"/>
              </w:rPr>
              <w:t>It does not appear helpful to retain this discretion. A scenario which does not fit the criteria of cl 108(1) but would be in the interests of justice to accept as a representative complaint could not be identi</w:t>
            </w:r>
            <w:r w:rsidR="1E397EF1" w:rsidRPr="00F54B40">
              <w:rPr>
                <w:rFonts w:cs="Arial"/>
              </w:rPr>
              <w:t xml:space="preserve">fied. </w:t>
            </w:r>
            <w:r w:rsidR="24FA5C52" w:rsidRPr="00F54B40">
              <w:rPr>
                <w:rFonts w:cs="Arial"/>
              </w:rPr>
              <w:t>Further, accepting a representative complaint on this basis will limit the rights of class members who have not opted out to make their own complaints.</w:t>
            </w:r>
          </w:p>
        </w:tc>
        <w:tc>
          <w:tcPr>
            <w:tcW w:w="6952" w:type="dxa"/>
          </w:tcPr>
          <w:p w14:paraId="6BEB1765" w14:textId="655567D9" w:rsidR="007F31FE" w:rsidRPr="00F54B40" w:rsidRDefault="63C763E5" w:rsidP="00F54B40">
            <w:pPr>
              <w:spacing w:after="120"/>
              <w:rPr>
                <w:rFonts w:cs="Arial"/>
              </w:rPr>
            </w:pPr>
            <w:r w:rsidRPr="00F54B40">
              <w:rPr>
                <w:rFonts w:cs="Arial"/>
              </w:rPr>
              <w:t>Omit cl 108(3) and 202(3).</w:t>
            </w:r>
          </w:p>
        </w:tc>
      </w:tr>
      <w:tr w:rsidR="00E74758" w14:paraId="5B57D556" w14:textId="77777777" w:rsidTr="2DA3FFDE">
        <w:trPr>
          <w:trHeight w:val="2100"/>
        </w:trPr>
        <w:tc>
          <w:tcPr>
            <w:tcW w:w="2132" w:type="dxa"/>
          </w:tcPr>
          <w:p w14:paraId="1887FF35" w14:textId="77777777" w:rsidR="00E74758" w:rsidRPr="00F54B40" w:rsidRDefault="00E74758" w:rsidP="00F54B40">
            <w:pPr>
              <w:spacing w:after="120"/>
              <w:rPr>
                <w:rFonts w:cs="Arial"/>
              </w:rPr>
            </w:pPr>
            <w:r w:rsidRPr="00F54B40">
              <w:rPr>
                <w:rFonts w:cs="Arial"/>
              </w:rPr>
              <w:t>Cl 109</w:t>
            </w:r>
          </w:p>
          <w:p w14:paraId="28A1DB37" w14:textId="0E68EBC1" w:rsidR="00346A2E" w:rsidRPr="00F54B40" w:rsidRDefault="00346A2E" w:rsidP="00F54B40">
            <w:pPr>
              <w:spacing w:before="120" w:after="120"/>
              <w:rPr>
                <w:rFonts w:cs="Arial"/>
              </w:rPr>
            </w:pPr>
            <w:r w:rsidRPr="00F54B40">
              <w:rPr>
                <w:rFonts w:cs="Arial"/>
              </w:rPr>
              <w:t>Additional requirements for form of representative complaint</w:t>
            </w:r>
          </w:p>
        </w:tc>
        <w:tc>
          <w:tcPr>
            <w:tcW w:w="5380" w:type="dxa"/>
          </w:tcPr>
          <w:p w14:paraId="22349E31" w14:textId="796A5A58" w:rsidR="00E74758" w:rsidRPr="00F54B40" w:rsidRDefault="1E70869B" w:rsidP="00F54B40">
            <w:pPr>
              <w:spacing w:after="120"/>
              <w:rPr>
                <w:rFonts w:cs="Arial"/>
              </w:rPr>
            </w:pPr>
            <w:r w:rsidRPr="00F54B40">
              <w:rPr>
                <w:rFonts w:cs="Arial"/>
              </w:rPr>
              <w:t xml:space="preserve">Clause 109 sets out </w:t>
            </w:r>
            <w:r w:rsidR="54F91A5B" w:rsidRPr="00F54B40">
              <w:rPr>
                <w:rFonts w:cs="Arial"/>
              </w:rPr>
              <w:t>additional requirements</w:t>
            </w:r>
            <w:r w:rsidRPr="00F54B40">
              <w:rPr>
                <w:rFonts w:cs="Arial"/>
              </w:rPr>
              <w:t xml:space="preserve"> </w:t>
            </w:r>
            <w:r w:rsidR="54F91A5B" w:rsidRPr="00F54B40">
              <w:rPr>
                <w:rFonts w:cs="Arial"/>
              </w:rPr>
              <w:t>for</w:t>
            </w:r>
            <w:r w:rsidRPr="00F54B40">
              <w:rPr>
                <w:rFonts w:cs="Arial"/>
              </w:rPr>
              <w:t xml:space="preserve"> the form of representative complaint to the Commission</w:t>
            </w:r>
            <w:r w:rsidR="372ECED5" w:rsidRPr="00F54B40">
              <w:rPr>
                <w:rFonts w:cs="Arial"/>
              </w:rPr>
              <w:t>, such as describing the members of the class, specifying the nature of the complaints made, and the nature of the relief sought.</w:t>
            </w:r>
          </w:p>
          <w:p w14:paraId="64638BB2" w14:textId="423C832F" w:rsidR="00E74758" w:rsidRPr="00F54B40" w:rsidRDefault="1A808848" w:rsidP="00F54B40">
            <w:pPr>
              <w:spacing w:after="120"/>
              <w:rPr>
                <w:rFonts w:cs="Arial"/>
              </w:rPr>
            </w:pPr>
            <w:r w:rsidRPr="00F54B40">
              <w:rPr>
                <w:rFonts w:cs="Arial"/>
              </w:rPr>
              <w:t xml:space="preserve">It is appropriate that these matters also be required for a representative complaint referred to the Tribunal. </w:t>
            </w:r>
          </w:p>
        </w:tc>
        <w:tc>
          <w:tcPr>
            <w:tcW w:w="6952" w:type="dxa"/>
          </w:tcPr>
          <w:p w14:paraId="59F306C7" w14:textId="1B7D0F50" w:rsidR="00E74758" w:rsidRPr="00F54B40" w:rsidRDefault="00E74758" w:rsidP="00F54B40">
            <w:pPr>
              <w:spacing w:after="120"/>
              <w:rPr>
                <w:rFonts w:cs="Arial"/>
              </w:rPr>
            </w:pPr>
            <w:r w:rsidRPr="00F54B40">
              <w:rPr>
                <w:rFonts w:cs="Arial"/>
              </w:rPr>
              <w:t xml:space="preserve">Insert additional requirements for form of representative complaint to the tribunal, in the same form as what is required for a </w:t>
            </w:r>
            <w:r w:rsidR="2060CDB0" w:rsidRPr="00F54B40">
              <w:rPr>
                <w:rFonts w:cs="Arial"/>
              </w:rPr>
              <w:t xml:space="preserve">representative </w:t>
            </w:r>
            <w:r w:rsidRPr="00F54B40">
              <w:rPr>
                <w:rFonts w:cs="Arial"/>
              </w:rPr>
              <w:t xml:space="preserve">complaint to the Commission under </w:t>
            </w:r>
            <w:r w:rsidR="37172C09" w:rsidRPr="00F54B40">
              <w:rPr>
                <w:rFonts w:cs="Arial"/>
              </w:rPr>
              <w:t>cl</w:t>
            </w:r>
            <w:r w:rsidRPr="00F54B40">
              <w:rPr>
                <w:rFonts w:cs="Arial"/>
              </w:rPr>
              <w:t xml:space="preserve"> 109.</w:t>
            </w:r>
          </w:p>
        </w:tc>
      </w:tr>
      <w:tr w:rsidR="00790D76" w14:paraId="63E6380A" w14:textId="77777777" w:rsidTr="00EF45F9">
        <w:trPr>
          <w:trHeight w:val="557"/>
        </w:trPr>
        <w:tc>
          <w:tcPr>
            <w:tcW w:w="2132" w:type="dxa"/>
          </w:tcPr>
          <w:p w14:paraId="262E1AD9" w14:textId="0058F0AF" w:rsidR="00790D76" w:rsidRPr="00F54B40" w:rsidRDefault="00790D76" w:rsidP="00F54B40">
            <w:pPr>
              <w:spacing w:after="120"/>
              <w:rPr>
                <w:rFonts w:cs="Arial"/>
              </w:rPr>
            </w:pPr>
            <w:r w:rsidRPr="00F54B40">
              <w:rPr>
                <w:rFonts w:cs="Arial"/>
              </w:rPr>
              <w:lastRenderedPageBreak/>
              <w:t>Cl 110</w:t>
            </w:r>
            <w:r w:rsidR="0049707C" w:rsidRPr="00F54B40">
              <w:rPr>
                <w:rFonts w:cs="Arial"/>
              </w:rPr>
              <w:t>(a)</w:t>
            </w:r>
          </w:p>
          <w:p w14:paraId="6F8A4B3C" w14:textId="1F069E84" w:rsidR="00636C1C" w:rsidRPr="00F54B40" w:rsidRDefault="00636C1C" w:rsidP="00F54B40">
            <w:pPr>
              <w:spacing w:before="120" w:after="120"/>
              <w:rPr>
                <w:rFonts w:cs="Arial"/>
              </w:rPr>
            </w:pPr>
            <w:r w:rsidRPr="00F54B40">
              <w:rPr>
                <w:rFonts w:cs="Arial"/>
              </w:rPr>
              <w:t>Effect of representative complaint on persons who are members of the class represented</w:t>
            </w:r>
          </w:p>
        </w:tc>
        <w:tc>
          <w:tcPr>
            <w:tcW w:w="5380" w:type="dxa"/>
          </w:tcPr>
          <w:p w14:paraId="52E67DD4" w14:textId="72A15A50" w:rsidR="07C1EA54" w:rsidRPr="00F54B40" w:rsidRDefault="07C1EA54" w:rsidP="00F54B40">
            <w:pPr>
              <w:spacing w:after="120"/>
              <w:rPr>
                <w:rFonts w:cs="Arial"/>
              </w:rPr>
            </w:pPr>
            <w:r w:rsidRPr="00F54B40">
              <w:rPr>
                <w:rFonts w:cs="Arial"/>
              </w:rPr>
              <w:t xml:space="preserve">Under clause 110(a), a person may only opt out of a complaint before the complaint is accepted.  </w:t>
            </w:r>
          </w:p>
          <w:p w14:paraId="4D244096" w14:textId="6648DFC8" w:rsidR="00224A7A" w:rsidRPr="00224A7A" w:rsidRDefault="3666FD10" w:rsidP="00F12D5D">
            <w:pPr>
              <w:spacing w:after="120"/>
              <w:rPr>
                <w:rFonts w:cs="Arial"/>
              </w:rPr>
            </w:pPr>
            <w:r w:rsidRPr="00F54B40">
              <w:rPr>
                <w:rFonts w:cs="Arial"/>
              </w:rPr>
              <w:t xml:space="preserve">Opting out should be allowed up until the complaint has been dealt with by the Commission, particularly if clause 110(b) remains. </w:t>
            </w:r>
            <w:r w:rsidR="1EA3648C" w:rsidRPr="00F54B40">
              <w:rPr>
                <w:rFonts w:cs="Arial"/>
              </w:rPr>
              <w:t xml:space="preserve">There may be reason for a class member to opt out after the complaint has been accepted, for example, because of the conduct of the complainant. </w:t>
            </w:r>
            <w:r w:rsidRPr="00F54B40">
              <w:rPr>
                <w:rFonts w:cs="Arial"/>
              </w:rPr>
              <w:t>This aligns with t</w:t>
            </w:r>
            <w:r w:rsidR="0EBE8ACC" w:rsidRPr="00F54B40">
              <w:rPr>
                <w:rFonts w:cs="Arial"/>
              </w:rPr>
              <w:t xml:space="preserve">he </w:t>
            </w:r>
            <w:r w:rsidR="117F7525" w:rsidRPr="00F54B40">
              <w:rPr>
                <w:rFonts w:cs="Arial"/>
              </w:rPr>
              <w:t>approach under section 46</w:t>
            </w:r>
            <w:proofErr w:type="gramStart"/>
            <w:r w:rsidR="117F7525" w:rsidRPr="00F54B40">
              <w:rPr>
                <w:rFonts w:cs="Arial"/>
              </w:rPr>
              <w:t>PC(</w:t>
            </w:r>
            <w:proofErr w:type="gramEnd"/>
            <w:r w:rsidR="117F7525" w:rsidRPr="00F54B40">
              <w:rPr>
                <w:rFonts w:cs="Arial"/>
              </w:rPr>
              <w:t xml:space="preserve">1) </w:t>
            </w:r>
            <w:r w:rsidR="0EBE8ACC" w:rsidRPr="00F54B40">
              <w:rPr>
                <w:rFonts w:cs="Arial"/>
                <w:i/>
                <w:iCs/>
              </w:rPr>
              <w:t>A</w:t>
            </w:r>
            <w:r w:rsidR="0EBE8ACC" w:rsidRPr="00F54B40">
              <w:rPr>
                <w:rFonts w:cs="Arial"/>
                <w:i/>
              </w:rPr>
              <w:t xml:space="preserve">ustralian Human Rights Commission Act 1986 </w:t>
            </w:r>
            <w:r w:rsidR="0EBE8ACC" w:rsidRPr="00F54B40">
              <w:rPr>
                <w:rFonts w:cs="Arial"/>
              </w:rPr>
              <w:t>(</w:t>
            </w:r>
            <w:proofErr w:type="spellStart"/>
            <w:r w:rsidR="0EBE8ACC" w:rsidRPr="00F54B40">
              <w:rPr>
                <w:rFonts w:cs="Arial"/>
              </w:rPr>
              <w:t>Cth</w:t>
            </w:r>
            <w:proofErr w:type="spellEnd"/>
            <w:r w:rsidR="0EBE8ACC" w:rsidRPr="00F54B40">
              <w:rPr>
                <w:rFonts w:cs="Arial"/>
              </w:rPr>
              <w:t>)</w:t>
            </w:r>
            <w:r w:rsidR="5F98CA4B" w:rsidRPr="00F54B40">
              <w:rPr>
                <w:rFonts w:cs="Arial"/>
              </w:rPr>
              <w:t xml:space="preserve"> that allows a </w:t>
            </w:r>
            <w:r w:rsidR="5F98CA4B" w:rsidRPr="00224A7A">
              <w:rPr>
                <w:rFonts w:cs="Arial"/>
              </w:rPr>
              <w:t xml:space="preserve">class member to withdraw any time before the President ‘terminates the complaint’. </w:t>
            </w:r>
          </w:p>
          <w:p w14:paraId="27753343" w14:textId="5103BDB4" w:rsidR="00790D76" w:rsidRPr="00F54B40" w:rsidRDefault="4D8DDFAE" w:rsidP="00F54B40">
            <w:pPr>
              <w:spacing w:after="120"/>
              <w:rPr>
                <w:rFonts w:eastAsia="Arial" w:cs="Arial"/>
              </w:rPr>
            </w:pPr>
            <w:r w:rsidRPr="00224A7A">
              <w:rPr>
                <w:rFonts w:cs="Arial"/>
              </w:rPr>
              <w:t xml:space="preserve">If cl 110(b) is retained, then </w:t>
            </w:r>
            <w:r w:rsidR="4958F6AE" w:rsidRPr="00224A7A">
              <w:rPr>
                <w:rFonts w:cs="Arial"/>
              </w:rPr>
              <w:t>there should be provision</w:t>
            </w:r>
            <w:r w:rsidRPr="00224A7A">
              <w:rPr>
                <w:rFonts w:cs="Arial"/>
              </w:rPr>
              <w:t xml:space="preserve"> </w:t>
            </w:r>
            <w:r w:rsidR="4958F6AE" w:rsidRPr="00224A7A">
              <w:rPr>
                <w:rFonts w:cs="Arial"/>
              </w:rPr>
              <w:t>for class members to be notified</w:t>
            </w:r>
            <w:r w:rsidRPr="00224A7A">
              <w:rPr>
                <w:rFonts w:cs="Arial"/>
              </w:rPr>
              <w:t xml:space="preserve"> </w:t>
            </w:r>
            <w:r w:rsidR="4958F6AE" w:rsidRPr="00224A7A">
              <w:rPr>
                <w:rFonts w:cs="Arial"/>
              </w:rPr>
              <w:t>of</w:t>
            </w:r>
            <w:r w:rsidRPr="00224A7A">
              <w:rPr>
                <w:rFonts w:cs="Arial"/>
              </w:rPr>
              <w:t xml:space="preserve"> </w:t>
            </w:r>
            <w:r w:rsidR="4958F6AE" w:rsidRPr="00224A7A">
              <w:rPr>
                <w:rFonts w:cs="Arial"/>
              </w:rPr>
              <w:t xml:space="preserve">the </w:t>
            </w:r>
            <w:proofErr w:type="gramStart"/>
            <w:r w:rsidR="4958F6AE" w:rsidRPr="00224A7A">
              <w:rPr>
                <w:rFonts w:cs="Arial"/>
              </w:rPr>
              <w:t>complaint</w:t>
            </w:r>
            <w:proofErr w:type="gramEnd"/>
            <w:r w:rsidR="4958F6AE" w:rsidRPr="00224A7A">
              <w:rPr>
                <w:rFonts w:cs="Arial"/>
              </w:rPr>
              <w:t xml:space="preserve"> so they have the opportunity to opt out. For example, section 45</w:t>
            </w:r>
            <w:proofErr w:type="gramStart"/>
            <w:r w:rsidR="4958F6AE" w:rsidRPr="00224A7A">
              <w:rPr>
                <w:rFonts w:cs="Arial"/>
              </w:rPr>
              <w:t>PC(</w:t>
            </w:r>
            <w:proofErr w:type="gramEnd"/>
            <w:r w:rsidR="4958F6AE" w:rsidRPr="00224A7A">
              <w:rPr>
                <w:rFonts w:cs="Arial"/>
              </w:rPr>
              <w:t xml:space="preserve">3) </w:t>
            </w:r>
            <w:r w:rsidR="063E7B84" w:rsidRPr="00F54B40">
              <w:rPr>
                <w:rFonts w:cs="Arial"/>
                <w:i/>
              </w:rPr>
              <w:t>A</w:t>
            </w:r>
            <w:r w:rsidR="063E7B84" w:rsidRPr="00224A7A">
              <w:rPr>
                <w:rFonts w:cs="Arial"/>
                <w:i/>
                <w:iCs/>
              </w:rPr>
              <w:t xml:space="preserve">ustralian Human Rights Commission Act 1986 </w:t>
            </w:r>
            <w:r w:rsidR="063E7B84" w:rsidRPr="00224A7A">
              <w:rPr>
                <w:rFonts w:cs="Arial"/>
              </w:rPr>
              <w:t>(</w:t>
            </w:r>
            <w:proofErr w:type="spellStart"/>
            <w:r w:rsidR="063E7B84" w:rsidRPr="00224A7A">
              <w:rPr>
                <w:rFonts w:cs="Arial"/>
              </w:rPr>
              <w:t>Cth</w:t>
            </w:r>
            <w:proofErr w:type="spellEnd"/>
            <w:r w:rsidR="063E7B84" w:rsidRPr="00224A7A">
              <w:rPr>
                <w:rFonts w:cs="Arial"/>
              </w:rPr>
              <w:t xml:space="preserve">) </w:t>
            </w:r>
            <w:r w:rsidR="4958F6AE" w:rsidRPr="00224A7A">
              <w:rPr>
                <w:rFonts w:cs="Arial"/>
              </w:rPr>
              <w:t xml:space="preserve">provides: </w:t>
            </w:r>
            <w:r w:rsidRPr="00224A7A">
              <w:rPr>
                <w:rFonts w:cs="Arial"/>
              </w:rPr>
              <w:t xml:space="preserve"> </w:t>
            </w:r>
            <w:r w:rsidR="69A160BA" w:rsidRPr="00F54B40">
              <w:rPr>
                <w:rFonts w:cs="Arial"/>
                <w:color w:val="000000" w:themeColor="text1"/>
              </w:rPr>
              <w:t>'The President may at any stage direct that notice of any matter be given to a class member or class members.’</w:t>
            </w:r>
            <w:r w:rsidR="408FFAA2" w:rsidRPr="00F54B40">
              <w:rPr>
                <w:rFonts w:cs="Arial"/>
                <w:color w:val="000000" w:themeColor="text1"/>
              </w:rPr>
              <w:t xml:space="preserve"> However, this may be sufficiently addressed by clause 114 wh</w:t>
            </w:r>
            <w:r w:rsidR="1D1F9FA5" w:rsidRPr="00F54B40">
              <w:rPr>
                <w:rFonts w:cs="Arial"/>
                <w:color w:val="000000" w:themeColor="text1"/>
              </w:rPr>
              <w:t>ich</w:t>
            </w:r>
            <w:r w:rsidR="408FFAA2" w:rsidRPr="00F54B40">
              <w:rPr>
                <w:rFonts w:cs="Arial"/>
                <w:color w:val="000000" w:themeColor="text1"/>
              </w:rPr>
              <w:t xml:space="preserve"> states: ‘The commissioner may give directions about the conduct of a representative complaint while it is being dealt with by the commissioner.’</w:t>
            </w:r>
          </w:p>
        </w:tc>
        <w:tc>
          <w:tcPr>
            <w:tcW w:w="6952" w:type="dxa"/>
          </w:tcPr>
          <w:p w14:paraId="79E98575" w14:textId="42A46EC8" w:rsidR="00790D76" w:rsidRPr="00F54B40" w:rsidRDefault="3E6308AB" w:rsidP="00F54B40">
            <w:pPr>
              <w:spacing w:after="120"/>
              <w:rPr>
                <w:rFonts w:cs="Arial"/>
              </w:rPr>
            </w:pPr>
            <w:r w:rsidRPr="00F54B40">
              <w:rPr>
                <w:rFonts w:cs="Arial"/>
              </w:rPr>
              <w:t>Clause 110(a) should read:</w:t>
            </w:r>
          </w:p>
          <w:p w14:paraId="1778A591" w14:textId="2BA34A98" w:rsidR="00790D76" w:rsidRPr="00F54B40" w:rsidRDefault="66AFBE1D" w:rsidP="00F54B40">
            <w:pPr>
              <w:spacing w:before="120" w:after="120"/>
              <w:ind w:left="720"/>
              <w:rPr>
                <w:rFonts w:cs="Arial"/>
              </w:rPr>
            </w:pPr>
            <w:r w:rsidRPr="00F54B40">
              <w:rPr>
                <w:rFonts w:cs="Arial"/>
              </w:rPr>
              <w:t>‘</w:t>
            </w:r>
            <w:r w:rsidR="3E6308AB" w:rsidRPr="00F54B40">
              <w:rPr>
                <w:rFonts w:cs="Arial"/>
              </w:rPr>
              <w:t>A person who is a member of a class of persons for which a representative complaint is made—</w:t>
            </w:r>
          </w:p>
          <w:p w14:paraId="0843E14D" w14:textId="1BFB398A" w:rsidR="00790D76" w:rsidRPr="00F54B40" w:rsidRDefault="3E6308AB" w:rsidP="00F54B40">
            <w:pPr>
              <w:spacing w:before="120" w:after="120"/>
              <w:ind w:left="720"/>
              <w:rPr>
                <w:rFonts w:cs="Arial"/>
              </w:rPr>
            </w:pPr>
            <w:r w:rsidRPr="00F54B40">
              <w:rPr>
                <w:rFonts w:cs="Arial"/>
              </w:rPr>
              <w:t xml:space="preserve">(a) may, by written notice given to the commissioner at any time before the </w:t>
            </w:r>
            <w:r w:rsidR="00DF596B" w:rsidRPr="00F54B40">
              <w:rPr>
                <w:rFonts w:cs="Arial"/>
                <w:color w:val="347B9F"/>
              </w:rPr>
              <w:t>c</w:t>
            </w:r>
            <w:r w:rsidR="000E0D3A" w:rsidRPr="00F54B40">
              <w:rPr>
                <w:rFonts w:cs="Arial"/>
                <w:color w:val="347B9F"/>
              </w:rPr>
              <w:t>ommission has</w:t>
            </w:r>
            <w:r w:rsidR="5B0D4D21" w:rsidRPr="00F54B40">
              <w:rPr>
                <w:rFonts w:cs="Arial"/>
                <w:color w:val="347B9F"/>
              </w:rPr>
              <w:t xml:space="preserve"> finished dealing </w:t>
            </w:r>
            <w:r w:rsidRPr="00F54B40">
              <w:rPr>
                <w:rFonts w:cs="Arial"/>
                <w:color w:val="347B9F"/>
              </w:rPr>
              <w:t xml:space="preserve">with </w:t>
            </w:r>
            <w:r w:rsidR="000E0D3A" w:rsidRPr="00F54B40">
              <w:rPr>
                <w:rFonts w:cs="Arial"/>
                <w:color w:val="347B9F"/>
              </w:rPr>
              <w:t>the</w:t>
            </w:r>
            <w:r w:rsidR="00905C4E" w:rsidRPr="00F54B40">
              <w:rPr>
                <w:rFonts w:cs="Arial"/>
                <w:color w:val="347B9F"/>
              </w:rPr>
              <w:t xml:space="preserve"> </w:t>
            </w:r>
            <w:r w:rsidRPr="00F54B40">
              <w:rPr>
                <w:rFonts w:cs="Arial"/>
                <w:color w:val="347B9F"/>
              </w:rPr>
              <w:t>complaint</w:t>
            </w:r>
            <w:r w:rsidR="00905C4E" w:rsidRPr="00F54B40">
              <w:rPr>
                <w:rFonts w:cs="Arial"/>
                <w:color w:val="347B9F"/>
              </w:rPr>
              <w:t xml:space="preserve"> under section 139</w:t>
            </w:r>
            <w:r w:rsidRPr="00F54B40">
              <w:rPr>
                <w:rFonts w:cs="Arial"/>
                <w:color w:val="347B9F"/>
              </w:rPr>
              <w:t xml:space="preserve"> </w:t>
            </w:r>
            <w:r w:rsidRPr="00F54B40">
              <w:rPr>
                <w:rFonts w:cs="Arial"/>
                <w:strike/>
              </w:rPr>
              <w:t>is accepted</w:t>
            </w:r>
            <w:r w:rsidRPr="00F54B40">
              <w:rPr>
                <w:rFonts w:cs="Arial"/>
              </w:rPr>
              <w:t>, opt out of the representative complaint;</w:t>
            </w:r>
            <w:r w:rsidR="06A9982E" w:rsidRPr="00F54B40">
              <w:rPr>
                <w:rFonts w:cs="Arial"/>
              </w:rPr>
              <w:t>'</w:t>
            </w:r>
          </w:p>
          <w:p w14:paraId="1F46125D" w14:textId="4A12DECA" w:rsidR="00790D76" w:rsidRPr="00F54B40" w:rsidRDefault="06A9982E" w:rsidP="00F54B40">
            <w:pPr>
              <w:spacing w:before="120" w:after="120"/>
              <w:rPr>
                <w:rFonts w:cs="Arial"/>
              </w:rPr>
            </w:pPr>
            <w:r w:rsidRPr="00F54B40">
              <w:rPr>
                <w:rFonts w:cs="Arial"/>
              </w:rPr>
              <w:t>Insert</w:t>
            </w:r>
            <w:r w:rsidR="00E82DB0" w:rsidRPr="00F54B40">
              <w:rPr>
                <w:rFonts w:cs="Arial"/>
              </w:rPr>
              <w:t xml:space="preserve"> a new sub-clause that provides</w:t>
            </w:r>
            <w:r w:rsidR="3DDF683D" w:rsidRPr="00F54B40">
              <w:rPr>
                <w:rFonts w:cs="Arial"/>
              </w:rPr>
              <w:t>:</w:t>
            </w:r>
          </w:p>
          <w:p w14:paraId="563C5719" w14:textId="6A17E2A1" w:rsidR="00790D76" w:rsidRPr="00F54B40" w:rsidRDefault="06A9982E" w:rsidP="00F54B40">
            <w:pPr>
              <w:spacing w:before="120" w:after="120"/>
              <w:ind w:left="720"/>
              <w:rPr>
                <w:rFonts w:cs="Arial"/>
              </w:rPr>
            </w:pPr>
            <w:r w:rsidRPr="00F54B40">
              <w:rPr>
                <w:rFonts w:cs="Arial"/>
                <w:color w:val="347B9F"/>
              </w:rPr>
              <w:t xml:space="preserve">The commissioner may at any stage direct that notice </w:t>
            </w:r>
            <w:r w:rsidR="700334DE" w:rsidRPr="00F54B40">
              <w:rPr>
                <w:rFonts w:cs="Arial"/>
                <w:color w:val="347B9F"/>
              </w:rPr>
              <w:t>of</w:t>
            </w:r>
            <w:r w:rsidRPr="00F54B40">
              <w:rPr>
                <w:rFonts w:cs="Arial"/>
                <w:color w:val="347B9F"/>
              </w:rPr>
              <w:t xml:space="preserve"> any matter be given to a class member or class members. </w:t>
            </w:r>
          </w:p>
        </w:tc>
      </w:tr>
      <w:tr w:rsidR="00A21CB9" w14:paraId="32D0DA64" w14:textId="77777777" w:rsidTr="2DA3FFDE">
        <w:trPr>
          <w:trHeight w:val="2100"/>
        </w:trPr>
        <w:tc>
          <w:tcPr>
            <w:tcW w:w="2132" w:type="dxa"/>
          </w:tcPr>
          <w:p w14:paraId="2A174FB3" w14:textId="12B6AC99" w:rsidR="00B921C4" w:rsidRPr="00F54B40" w:rsidRDefault="3C511BAE" w:rsidP="00F54B40">
            <w:pPr>
              <w:spacing w:after="120"/>
              <w:rPr>
                <w:rFonts w:cs="Arial"/>
              </w:rPr>
            </w:pPr>
            <w:r w:rsidRPr="00F54B40">
              <w:rPr>
                <w:rFonts w:cs="Arial"/>
              </w:rPr>
              <w:t xml:space="preserve">Cl 204 </w:t>
            </w:r>
          </w:p>
          <w:p w14:paraId="294144BE" w14:textId="74808CBE" w:rsidR="00B921C4" w:rsidRPr="00F54B40" w:rsidRDefault="3C511BAE" w:rsidP="00F54B40">
            <w:pPr>
              <w:spacing w:before="120" w:after="120"/>
              <w:rPr>
                <w:rFonts w:cs="Arial"/>
              </w:rPr>
            </w:pPr>
            <w:r w:rsidRPr="00F54B40">
              <w:rPr>
                <w:rFonts w:cs="Arial"/>
              </w:rPr>
              <w:t>Effect of representative complaint on persons who are not members of the class represented</w:t>
            </w:r>
          </w:p>
          <w:p w14:paraId="367F0013" w14:textId="50355A00" w:rsidR="3B6FFB54" w:rsidRPr="00F54B40" w:rsidRDefault="3B6FFB54" w:rsidP="00F54B40">
            <w:pPr>
              <w:spacing w:before="120" w:after="120"/>
              <w:rPr>
                <w:rFonts w:cs="Arial"/>
              </w:rPr>
            </w:pPr>
          </w:p>
          <w:p w14:paraId="316F66D3" w14:textId="7D567C4E" w:rsidR="00B921C4" w:rsidRPr="00F54B40" w:rsidRDefault="00B921C4" w:rsidP="00F54B40">
            <w:pPr>
              <w:spacing w:before="120" w:after="120"/>
              <w:rPr>
                <w:rFonts w:cs="Arial"/>
              </w:rPr>
            </w:pPr>
          </w:p>
        </w:tc>
        <w:tc>
          <w:tcPr>
            <w:tcW w:w="5380" w:type="dxa"/>
          </w:tcPr>
          <w:p w14:paraId="5F32D154" w14:textId="67F4A713" w:rsidR="7DBA0667" w:rsidRPr="00F54B40" w:rsidRDefault="7DBA0667" w:rsidP="00F54B40">
            <w:pPr>
              <w:spacing w:after="120"/>
              <w:rPr>
                <w:rFonts w:cs="Arial"/>
              </w:rPr>
            </w:pPr>
            <w:r w:rsidRPr="00F54B40">
              <w:rPr>
                <w:rFonts w:cs="Arial"/>
              </w:rPr>
              <w:t>Under clause</w:t>
            </w:r>
            <w:r w:rsidR="0090323D" w:rsidRPr="00F54B40">
              <w:rPr>
                <w:rFonts w:cs="Arial"/>
              </w:rPr>
              <w:t xml:space="preserve"> 203(1)(b)</w:t>
            </w:r>
            <w:r w:rsidRPr="00F54B40">
              <w:rPr>
                <w:rFonts w:cs="Arial"/>
              </w:rPr>
              <w:t xml:space="preserve">, a person who does not opt out by a fixed date ‘is not entitled to make a separate complaint in relation to the conduct constituting the alleged contravention’. </w:t>
            </w:r>
          </w:p>
          <w:p w14:paraId="216A69CA" w14:textId="0F973E76" w:rsidR="7ADE4807" w:rsidRDefault="6141B817" w:rsidP="00F54B40">
            <w:pPr>
              <w:spacing w:before="120" w:after="120"/>
              <w:rPr>
                <w:rFonts w:cs="Arial"/>
              </w:rPr>
            </w:pPr>
            <w:r w:rsidRPr="00F54B40">
              <w:rPr>
                <w:rFonts w:cs="Arial"/>
              </w:rPr>
              <w:t xml:space="preserve">This provision appears in </w:t>
            </w:r>
            <w:r w:rsidR="7F908BD6" w:rsidRPr="00F54B40">
              <w:rPr>
                <w:rFonts w:cs="Arial"/>
              </w:rPr>
              <w:t xml:space="preserve">s 46POB </w:t>
            </w:r>
            <w:r w:rsidRPr="00F54B40">
              <w:rPr>
                <w:rFonts w:cs="Arial"/>
              </w:rPr>
              <w:t>the</w:t>
            </w:r>
            <w:r w:rsidR="7DBA0667" w:rsidRPr="00F54B40">
              <w:rPr>
                <w:rFonts w:cs="Arial"/>
              </w:rPr>
              <w:t xml:space="preserve"> </w:t>
            </w:r>
            <w:r w:rsidR="147EB855" w:rsidRPr="00F54B40">
              <w:rPr>
                <w:rFonts w:cs="Arial"/>
                <w:i/>
                <w:iCs/>
              </w:rPr>
              <w:t>A</w:t>
            </w:r>
            <w:r w:rsidR="147EB855" w:rsidRPr="48A675EB">
              <w:rPr>
                <w:rFonts w:cs="Arial"/>
                <w:i/>
                <w:iCs/>
              </w:rPr>
              <w:t xml:space="preserve">ustralian Human Rights Commission Act 1986 </w:t>
            </w:r>
            <w:r w:rsidR="147EB855" w:rsidRPr="48A675EB">
              <w:rPr>
                <w:rFonts w:cs="Arial"/>
              </w:rPr>
              <w:t>(</w:t>
            </w:r>
            <w:proofErr w:type="spellStart"/>
            <w:r w:rsidR="147EB855" w:rsidRPr="48A675EB">
              <w:rPr>
                <w:rFonts w:cs="Arial"/>
              </w:rPr>
              <w:t>Cth</w:t>
            </w:r>
            <w:proofErr w:type="spellEnd"/>
            <w:proofErr w:type="gramStart"/>
            <w:r w:rsidR="147EB855" w:rsidRPr="48A675EB">
              <w:rPr>
                <w:rFonts w:cs="Arial"/>
              </w:rPr>
              <w:t>)</w:t>
            </w:r>
            <w:r w:rsidR="413E8ECF" w:rsidRPr="48A675EB">
              <w:rPr>
                <w:rFonts w:cs="Arial"/>
              </w:rPr>
              <w:t>, and</w:t>
            </w:r>
            <w:proofErr w:type="gramEnd"/>
            <w:r w:rsidR="413E8ECF" w:rsidRPr="48A675EB">
              <w:rPr>
                <w:rFonts w:cs="Arial"/>
              </w:rPr>
              <w:t xml:space="preserve"> prevents a class member from making an application to the Federal Curt under section 46PO unless they have opted out by a certain date. It appears that they could be part of a class action at the conciliation stage, but then choose to litigate it on their own behalf a</w:t>
            </w:r>
            <w:r w:rsidR="6A6EF686" w:rsidRPr="48A675EB">
              <w:rPr>
                <w:rFonts w:cs="Arial"/>
              </w:rPr>
              <w:t xml:space="preserve">t the Federal Court. </w:t>
            </w:r>
          </w:p>
          <w:p w14:paraId="5509C161" w14:textId="783A5DBA" w:rsidR="2A564D68" w:rsidRDefault="2A564D68" w:rsidP="00F54B40">
            <w:pPr>
              <w:spacing w:before="120" w:after="120"/>
              <w:rPr>
                <w:rFonts w:cs="Arial"/>
              </w:rPr>
            </w:pPr>
            <w:r w:rsidRPr="11A71BE5">
              <w:rPr>
                <w:rFonts w:cs="Arial"/>
              </w:rPr>
              <w:t xml:space="preserve">Cl 204 provides a person who </w:t>
            </w:r>
            <w:r w:rsidRPr="425F44F2">
              <w:rPr>
                <w:rFonts w:cs="Arial"/>
              </w:rPr>
              <w:t xml:space="preserve">is not </w:t>
            </w:r>
            <w:r w:rsidRPr="74EA5477">
              <w:rPr>
                <w:rFonts w:cs="Arial"/>
              </w:rPr>
              <w:t>a member</w:t>
            </w:r>
            <w:r w:rsidRPr="425F44F2">
              <w:rPr>
                <w:rFonts w:cs="Arial"/>
              </w:rPr>
              <w:t xml:space="preserve"> of </w:t>
            </w:r>
            <w:r w:rsidRPr="3F742303">
              <w:rPr>
                <w:rFonts w:cs="Arial"/>
              </w:rPr>
              <w:t>the</w:t>
            </w:r>
            <w:r w:rsidRPr="425F44F2">
              <w:rPr>
                <w:rFonts w:cs="Arial"/>
              </w:rPr>
              <w:t xml:space="preserve"> class</w:t>
            </w:r>
            <w:r w:rsidRPr="74EA5477">
              <w:rPr>
                <w:rFonts w:cs="Arial"/>
              </w:rPr>
              <w:t xml:space="preserve"> </w:t>
            </w:r>
            <w:r w:rsidR="004319AA">
              <w:rPr>
                <w:rFonts w:cs="Arial"/>
              </w:rPr>
              <w:t>(</w:t>
            </w:r>
            <w:r w:rsidR="005365B5">
              <w:rPr>
                <w:rFonts w:cs="Arial"/>
              </w:rPr>
              <w:t xml:space="preserve">such as persons who have opted </w:t>
            </w:r>
            <w:proofErr w:type="gramStart"/>
            <w:r w:rsidR="005365B5">
              <w:rPr>
                <w:rFonts w:cs="Arial"/>
              </w:rPr>
              <w:t xml:space="preserve">out) </w:t>
            </w:r>
            <w:r w:rsidRPr="74EA5477">
              <w:rPr>
                <w:rFonts w:cs="Arial"/>
              </w:rPr>
              <w:t xml:space="preserve"> </w:t>
            </w:r>
            <w:r w:rsidRPr="076147AC">
              <w:rPr>
                <w:rFonts w:cs="Arial"/>
              </w:rPr>
              <w:t>is</w:t>
            </w:r>
            <w:proofErr w:type="gramEnd"/>
            <w:r w:rsidRPr="076147AC">
              <w:rPr>
                <w:rFonts w:cs="Arial"/>
              </w:rPr>
              <w:t xml:space="preserve"> not prevented from making a complaint in relation to the conduct </w:t>
            </w:r>
            <w:r w:rsidRPr="771012B6">
              <w:rPr>
                <w:rFonts w:cs="Arial"/>
              </w:rPr>
              <w:t xml:space="preserve">constituting the </w:t>
            </w:r>
            <w:r w:rsidRPr="430094C5">
              <w:rPr>
                <w:rFonts w:cs="Arial"/>
              </w:rPr>
              <w:t>al</w:t>
            </w:r>
            <w:r w:rsidR="206485F5" w:rsidRPr="430094C5">
              <w:rPr>
                <w:rFonts w:cs="Arial"/>
              </w:rPr>
              <w:t>le</w:t>
            </w:r>
            <w:r w:rsidRPr="430094C5">
              <w:rPr>
                <w:rFonts w:cs="Arial"/>
              </w:rPr>
              <w:t>ged contravention.</w:t>
            </w:r>
          </w:p>
          <w:p w14:paraId="1F72DEB4" w14:textId="301C4E71" w:rsidR="430094C5" w:rsidRDefault="166A28A0" w:rsidP="00F54B40">
            <w:pPr>
              <w:spacing w:before="120" w:after="120"/>
              <w:rPr>
                <w:rFonts w:cs="Arial"/>
              </w:rPr>
            </w:pPr>
            <w:r w:rsidRPr="71DF7E66">
              <w:rPr>
                <w:rFonts w:cs="Arial"/>
              </w:rPr>
              <w:t xml:space="preserve">Cl 208 provides that if a tribunal orders that </w:t>
            </w:r>
            <w:r w:rsidRPr="2D4355AE">
              <w:rPr>
                <w:rFonts w:cs="Arial"/>
              </w:rPr>
              <w:t>the</w:t>
            </w:r>
            <w:r w:rsidRPr="71DF7E66">
              <w:rPr>
                <w:rFonts w:cs="Arial"/>
              </w:rPr>
              <w:t xml:space="preserve"> complaint no longer </w:t>
            </w:r>
            <w:r w:rsidRPr="13F21CF1">
              <w:rPr>
                <w:rFonts w:cs="Arial"/>
              </w:rPr>
              <w:t xml:space="preserve">continue as a representative complaint, then </w:t>
            </w:r>
            <w:r w:rsidRPr="65563105">
              <w:rPr>
                <w:rFonts w:cs="Arial"/>
              </w:rPr>
              <w:t xml:space="preserve">the </w:t>
            </w:r>
            <w:r w:rsidRPr="65563105">
              <w:rPr>
                <w:rFonts w:cs="Arial"/>
              </w:rPr>
              <w:lastRenderedPageBreak/>
              <w:t xml:space="preserve">complainant can </w:t>
            </w:r>
            <w:proofErr w:type="gramStart"/>
            <w:r w:rsidRPr="65563105">
              <w:rPr>
                <w:rFonts w:cs="Arial"/>
              </w:rPr>
              <w:t>continue on</w:t>
            </w:r>
            <w:proofErr w:type="gramEnd"/>
            <w:r w:rsidRPr="65563105">
              <w:rPr>
                <w:rFonts w:cs="Arial"/>
              </w:rPr>
              <w:t xml:space="preserve"> their own behalf, and class </w:t>
            </w:r>
            <w:r w:rsidRPr="0F1659A1">
              <w:rPr>
                <w:rFonts w:cs="Arial"/>
              </w:rPr>
              <w:t xml:space="preserve">members can be </w:t>
            </w:r>
            <w:r w:rsidRPr="46EDBF26">
              <w:rPr>
                <w:rFonts w:cs="Arial"/>
              </w:rPr>
              <w:t xml:space="preserve">joined as a joint </w:t>
            </w:r>
            <w:r w:rsidRPr="2D4355AE">
              <w:rPr>
                <w:rFonts w:cs="Arial"/>
              </w:rPr>
              <w:t>complainant</w:t>
            </w:r>
            <w:r w:rsidRPr="46EDBF26">
              <w:rPr>
                <w:rFonts w:cs="Arial"/>
              </w:rPr>
              <w:t xml:space="preserve">. </w:t>
            </w:r>
          </w:p>
          <w:p w14:paraId="19C879C2" w14:textId="58D6D635" w:rsidR="00A21CB9" w:rsidRPr="00235C2E" w:rsidRDefault="6EC7D74C" w:rsidP="00F54B40">
            <w:pPr>
              <w:spacing w:before="120" w:after="120"/>
              <w:rPr>
                <w:rFonts w:cs="Arial"/>
              </w:rPr>
            </w:pPr>
            <w:r w:rsidRPr="2ABB7D0F">
              <w:rPr>
                <w:rFonts w:cs="Arial"/>
              </w:rPr>
              <w:t xml:space="preserve">However, despite these provisions, it is unclear what a </w:t>
            </w:r>
            <w:r w:rsidR="0594F85D" w:rsidRPr="53FE2DA2">
              <w:rPr>
                <w:rFonts w:cs="Arial"/>
              </w:rPr>
              <w:t>clas</w:t>
            </w:r>
            <w:r w:rsidR="6C9AB16E" w:rsidRPr="53FE2DA2">
              <w:rPr>
                <w:rFonts w:cs="Arial"/>
              </w:rPr>
              <w:t>s</w:t>
            </w:r>
            <w:r w:rsidR="0594F85D" w:rsidRPr="1BC18594">
              <w:rPr>
                <w:rFonts w:cs="Arial"/>
              </w:rPr>
              <w:t xml:space="preserve"> member</w:t>
            </w:r>
            <w:r w:rsidR="37F8695D" w:rsidRPr="6766B7BF">
              <w:rPr>
                <w:rFonts w:cs="Arial"/>
              </w:rPr>
              <w:t xml:space="preserve"> </w:t>
            </w:r>
            <w:r w:rsidRPr="6AB39006">
              <w:rPr>
                <w:rFonts w:cs="Arial"/>
              </w:rPr>
              <w:t>can do to pursue</w:t>
            </w:r>
            <w:r w:rsidR="01F4428C" w:rsidRPr="19A1C3CB">
              <w:rPr>
                <w:rFonts w:cs="Arial"/>
              </w:rPr>
              <w:t xml:space="preserve"> their rights</w:t>
            </w:r>
            <w:r w:rsidR="37F8695D" w:rsidRPr="19A1C3CB">
              <w:rPr>
                <w:rFonts w:cs="Arial"/>
              </w:rPr>
              <w:t xml:space="preserve"> </w:t>
            </w:r>
            <w:r w:rsidR="37F8695D" w:rsidRPr="6766B7BF">
              <w:rPr>
                <w:rFonts w:cs="Arial"/>
              </w:rPr>
              <w:t xml:space="preserve">if they opt out </w:t>
            </w:r>
            <w:r w:rsidR="25313587" w:rsidRPr="0F3147C7">
              <w:rPr>
                <w:rFonts w:cs="Arial"/>
              </w:rPr>
              <w:t>a</w:t>
            </w:r>
            <w:r w:rsidR="37F8695D" w:rsidRPr="0F3147C7">
              <w:rPr>
                <w:rFonts w:cs="Arial"/>
              </w:rPr>
              <w:t>t</w:t>
            </w:r>
            <w:r w:rsidR="37F8695D" w:rsidRPr="6766B7BF">
              <w:rPr>
                <w:rFonts w:cs="Arial"/>
              </w:rPr>
              <w:t xml:space="preserve"> the tribunal stage, as they are already prevented from making a complaint to the Commission on the same subject </w:t>
            </w:r>
            <w:r w:rsidR="37F8695D" w:rsidRPr="7B5B28F3">
              <w:rPr>
                <w:rFonts w:cs="Arial"/>
              </w:rPr>
              <w:t xml:space="preserve">matter </w:t>
            </w:r>
            <w:r w:rsidR="37F8695D" w:rsidRPr="01C24B1C">
              <w:rPr>
                <w:rFonts w:cs="Arial"/>
              </w:rPr>
              <w:t>because of cl 110</w:t>
            </w:r>
            <w:r w:rsidR="37F8695D" w:rsidRPr="39DEA790">
              <w:rPr>
                <w:rFonts w:cs="Arial"/>
              </w:rPr>
              <w:t>(</w:t>
            </w:r>
            <w:r w:rsidR="37F8695D" w:rsidRPr="500FA180">
              <w:rPr>
                <w:rFonts w:cs="Arial"/>
              </w:rPr>
              <w:t xml:space="preserve">b). </w:t>
            </w:r>
          </w:p>
        </w:tc>
        <w:tc>
          <w:tcPr>
            <w:tcW w:w="6952" w:type="dxa"/>
          </w:tcPr>
          <w:p w14:paraId="3C8A3865" w14:textId="04872B8D" w:rsidR="00A21CB9" w:rsidRPr="00F54B40" w:rsidRDefault="33835D62" w:rsidP="00F54B40">
            <w:pPr>
              <w:spacing w:after="120"/>
              <w:rPr>
                <w:rFonts w:cs="Arial"/>
              </w:rPr>
            </w:pPr>
            <w:r w:rsidRPr="00F54B40">
              <w:rPr>
                <w:rFonts w:cs="Arial"/>
              </w:rPr>
              <w:lastRenderedPageBreak/>
              <w:t xml:space="preserve">Amend clause 204 that will enable </w:t>
            </w:r>
            <w:r w:rsidR="019129FD" w:rsidRPr="00F54B40">
              <w:rPr>
                <w:rFonts w:cs="Arial"/>
              </w:rPr>
              <w:t xml:space="preserve">a class member who has opted out of a representative complaint </w:t>
            </w:r>
            <w:r w:rsidR="00501EAA" w:rsidRPr="00F54B40">
              <w:rPr>
                <w:rFonts w:cs="Arial"/>
              </w:rPr>
              <w:t>under cl 203(1)(a)</w:t>
            </w:r>
            <w:r w:rsidR="00C742BF" w:rsidRPr="00F54B40">
              <w:rPr>
                <w:rFonts w:cs="Arial"/>
              </w:rPr>
              <w:t xml:space="preserve"> </w:t>
            </w:r>
            <w:r w:rsidR="019129FD" w:rsidRPr="00F54B40">
              <w:rPr>
                <w:rFonts w:cs="Arial"/>
              </w:rPr>
              <w:t xml:space="preserve">to apply to </w:t>
            </w:r>
            <w:r w:rsidR="11762B5F" w:rsidRPr="00F54B40">
              <w:rPr>
                <w:rFonts w:cs="Arial"/>
              </w:rPr>
              <w:t>have their complaint dealt with by the tribunal separately.</w:t>
            </w:r>
          </w:p>
          <w:p w14:paraId="55474E38" w14:textId="3CF50897" w:rsidR="00A21CB9" w:rsidRPr="00F54B40" w:rsidRDefault="00A21CB9" w:rsidP="00F54B40">
            <w:pPr>
              <w:spacing w:before="120" w:after="120"/>
              <w:rPr>
                <w:rFonts w:cs="Arial"/>
              </w:rPr>
            </w:pPr>
          </w:p>
          <w:p w14:paraId="3AF3B76E" w14:textId="5D55B8E2" w:rsidR="00A21CB9" w:rsidRPr="00F54B40" w:rsidRDefault="00A21CB9" w:rsidP="00F54B40">
            <w:pPr>
              <w:spacing w:before="120" w:after="120"/>
              <w:rPr>
                <w:rFonts w:cs="Arial"/>
                <w:color w:val="FF0000"/>
              </w:rPr>
            </w:pPr>
          </w:p>
        </w:tc>
      </w:tr>
      <w:tr w:rsidR="00994C68" w14:paraId="78FA65D9" w14:textId="77777777" w:rsidTr="00F12D5D">
        <w:trPr>
          <w:trHeight w:val="1266"/>
        </w:trPr>
        <w:tc>
          <w:tcPr>
            <w:tcW w:w="2132" w:type="dxa"/>
          </w:tcPr>
          <w:p w14:paraId="5E6318FA" w14:textId="77777777" w:rsidR="00994C68" w:rsidRPr="00F54B40" w:rsidRDefault="00994C68" w:rsidP="00F54B40">
            <w:pPr>
              <w:spacing w:after="120"/>
              <w:rPr>
                <w:rFonts w:cs="Arial"/>
              </w:rPr>
            </w:pPr>
            <w:r w:rsidRPr="00F54B40">
              <w:rPr>
                <w:rFonts w:cs="Arial"/>
              </w:rPr>
              <w:t>Cl 207</w:t>
            </w:r>
          </w:p>
          <w:p w14:paraId="7EB2965D" w14:textId="52300D35" w:rsidR="004A2FD5" w:rsidRPr="00F54B40" w:rsidRDefault="004A2FD5" w:rsidP="00F54B40">
            <w:pPr>
              <w:spacing w:before="120" w:after="120"/>
              <w:rPr>
                <w:rFonts w:cs="Arial"/>
              </w:rPr>
            </w:pPr>
            <w:r w:rsidRPr="00F54B40">
              <w:rPr>
                <w:rFonts w:cs="Arial"/>
              </w:rPr>
              <w:t>Tribunal may discontinue representative complaint in particular circumstances</w:t>
            </w:r>
          </w:p>
        </w:tc>
        <w:tc>
          <w:tcPr>
            <w:tcW w:w="5380" w:type="dxa"/>
          </w:tcPr>
          <w:p w14:paraId="38F61B9C" w14:textId="2C731C6D" w:rsidR="00B05EBC" w:rsidRDefault="00523034" w:rsidP="00F54B40">
            <w:pPr>
              <w:spacing w:after="120"/>
              <w:rPr>
                <w:rFonts w:cs="Arial"/>
                <w:lang w:eastAsia="en-AU"/>
              </w:rPr>
            </w:pPr>
            <w:r w:rsidRPr="00F54B40">
              <w:rPr>
                <w:rFonts w:cs="Arial"/>
              </w:rPr>
              <w:t xml:space="preserve">The Act should provide the tribunal additional power to discontinue a representative complaint where </w:t>
            </w:r>
            <w:r>
              <w:rPr>
                <w:rFonts w:cs="Arial"/>
                <w:lang w:eastAsia="en-AU"/>
              </w:rPr>
              <w:t>‘it is otherwise inappropriate</w:t>
            </w:r>
            <w:r w:rsidR="006366FD">
              <w:rPr>
                <w:rFonts w:cs="Arial"/>
                <w:lang w:eastAsia="en-AU"/>
              </w:rPr>
              <w:t>’</w:t>
            </w:r>
            <w:r>
              <w:rPr>
                <w:rFonts w:cs="Arial"/>
                <w:lang w:eastAsia="en-AU"/>
              </w:rPr>
              <w:t xml:space="preserve"> that the </w:t>
            </w:r>
            <w:r w:rsidR="006366FD">
              <w:rPr>
                <w:rFonts w:cs="Arial"/>
                <w:lang w:eastAsia="en-AU"/>
              </w:rPr>
              <w:t>compliant continue as</w:t>
            </w:r>
            <w:r>
              <w:rPr>
                <w:rFonts w:cs="Arial"/>
                <w:lang w:eastAsia="en-AU"/>
              </w:rPr>
              <w:t xml:space="preserve"> a </w:t>
            </w:r>
            <w:r w:rsidR="006366FD">
              <w:rPr>
                <w:rFonts w:cs="Arial"/>
                <w:lang w:eastAsia="en-AU"/>
              </w:rPr>
              <w:t>representative complaint.</w:t>
            </w:r>
          </w:p>
          <w:p w14:paraId="243F775B" w14:textId="680DA357" w:rsidR="00994C68" w:rsidRPr="00F54B40" w:rsidRDefault="00B05EBC" w:rsidP="00F54B40">
            <w:pPr>
              <w:spacing w:before="120" w:after="120"/>
              <w:rPr>
                <w:rFonts w:cs="Arial"/>
              </w:rPr>
            </w:pPr>
            <w:r>
              <w:rPr>
                <w:rFonts w:cs="Arial"/>
                <w:lang w:eastAsia="en-AU"/>
              </w:rPr>
              <w:t xml:space="preserve">The Court has </w:t>
            </w:r>
            <w:r w:rsidR="006366FD">
              <w:rPr>
                <w:rFonts w:cs="Arial"/>
                <w:lang w:eastAsia="en-AU"/>
              </w:rPr>
              <w:t>a</w:t>
            </w:r>
            <w:r w:rsidR="00523034">
              <w:rPr>
                <w:rFonts w:cs="Arial"/>
                <w:lang w:eastAsia="en-AU"/>
              </w:rPr>
              <w:t xml:space="preserve"> similar </w:t>
            </w:r>
            <w:r>
              <w:rPr>
                <w:rFonts w:cs="Arial"/>
                <w:lang w:eastAsia="en-AU"/>
              </w:rPr>
              <w:t xml:space="preserve">discretion under </w:t>
            </w:r>
            <w:r w:rsidR="00523034">
              <w:rPr>
                <w:rFonts w:cs="Arial"/>
                <w:lang w:eastAsia="en-AU"/>
              </w:rPr>
              <w:t>s 103K</w:t>
            </w:r>
            <w:r w:rsidR="00753354">
              <w:rPr>
                <w:rFonts w:cs="Arial"/>
                <w:lang w:eastAsia="en-AU"/>
              </w:rPr>
              <w:t>(1)(e)</w:t>
            </w:r>
            <w:r w:rsidR="00523034">
              <w:rPr>
                <w:rFonts w:cs="Arial"/>
                <w:lang w:eastAsia="en-AU"/>
              </w:rPr>
              <w:t xml:space="preserve"> </w:t>
            </w:r>
            <w:r w:rsidR="00523034" w:rsidRPr="002C376D">
              <w:rPr>
                <w:rFonts w:cs="Arial"/>
                <w:i/>
                <w:iCs/>
                <w:lang w:eastAsia="en-AU"/>
              </w:rPr>
              <w:t>Civil Proceedings Act</w:t>
            </w:r>
            <w:r w:rsidR="002C376D" w:rsidRPr="002C376D">
              <w:rPr>
                <w:rFonts w:cs="Arial"/>
                <w:i/>
                <w:iCs/>
                <w:lang w:eastAsia="en-AU"/>
              </w:rPr>
              <w:t xml:space="preserve"> 2011</w:t>
            </w:r>
            <w:r w:rsidR="002C376D">
              <w:rPr>
                <w:rFonts w:cs="Arial"/>
                <w:lang w:eastAsia="en-AU"/>
              </w:rPr>
              <w:t>.</w:t>
            </w:r>
          </w:p>
        </w:tc>
        <w:tc>
          <w:tcPr>
            <w:tcW w:w="6952" w:type="dxa"/>
          </w:tcPr>
          <w:p w14:paraId="1BB8921D" w14:textId="22035BF8" w:rsidR="00994C68" w:rsidRPr="00F54B40" w:rsidRDefault="007917BE" w:rsidP="00F54B40">
            <w:pPr>
              <w:spacing w:after="120"/>
              <w:rPr>
                <w:rFonts w:cs="Arial"/>
              </w:rPr>
            </w:pPr>
            <w:r w:rsidRPr="00F54B40">
              <w:rPr>
                <w:rFonts w:cs="Arial"/>
              </w:rPr>
              <w:t>C</w:t>
            </w:r>
            <w:r w:rsidR="006B4BDC" w:rsidRPr="00F54B40">
              <w:rPr>
                <w:rFonts w:cs="Arial"/>
              </w:rPr>
              <w:t>l 207(1)</w:t>
            </w:r>
            <w:r w:rsidRPr="00F54B40">
              <w:rPr>
                <w:rFonts w:cs="Arial"/>
              </w:rPr>
              <w:t xml:space="preserve"> should read</w:t>
            </w:r>
          </w:p>
          <w:p w14:paraId="2F0E28C9" w14:textId="213BB503" w:rsidR="0078194F" w:rsidRPr="00F54B40" w:rsidRDefault="0078194F" w:rsidP="00F54B40">
            <w:pPr>
              <w:spacing w:before="120" w:after="120"/>
              <w:ind w:left="720"/>
              <w:rPr>
                <w:rFonts w:cs="Arial"/>
                <w:b/>
                <w:bCs/>
              </w:rPr>
            </w:pPr>
            <w:r w:rsidRPr="00F54B40">
              <w:rPr>
                <w:rFonts w:cs="Arial"/>
                <w:b/>
                <w:bCs/>
              </w:rPr>
              <w:t>207 Tribunal may discontinue representative complaint in particular circumstances</w:t>
            </w:r>
          </w:p>
          <w:p w14:paraId="6FC94B18" w14:textId="4859C441" w:rsidR="006B4BDC" w:rsidRPr="00F54B40" w:rsidRDefault="0078194F" w:rsidP="00F54B40">
            <w:pPr>
              <w:spacing w:before="120" w:after="120"/>
              <w:ind w:left="720"/>
              <w:rPr>
                <w:rFonts w:cs="Arial"/>
              </w:rPr>
            </w:pPr>
            <w:r w:rsidRPr="00F54B40">
              <w:rPr>
                <w:rFonts w:cs="Arial"/>
              </w:rPr>
              <w:t>(1) The tribunal may, on application by the respondent or on its own initiative, order that a complaint no longer continue as a representative complaint if the tribunal considers it is in the interests of justice to do so because—</w:t>
            </w:r>
          </w:p>
          <w:p w14:paraId="195D1E25" w14:textId="21F8D015" w:rsidR="006B4BDC" w:rsidRPr="00F54B40" w:rsidRDefault="006B4BDC" w:rsidP="00F54B40">
            <w:pPr>
              <w:spacing w:before="120" w:after="120"/>
              <w:ind w:left="720"/>
              <w:rPr>
                <w:rFonts w:cs="Arial"/>
              </w:rPr>
            </w:pPr>
            <w:r w:rsidRPr="00F54B40">
              <w:rPr>
                <w:rFonts w:cs="Arial"/>
              </w:rPr>
              <w:t>(a) the complaint will not provide an efficient and effective</w:t>
            </w:r>
            <w:r w:rsidR="0078194F" w:rsidRPr="00F54B40">
              <w:rPr>
                <w:rFonts w:cs="Arial"/>
              </w:rPr>
              <w:t xml:space="preserve"> </w:t>
            </w:r>
            <w:r w:rsidRPr="00F54B40">
              <w:rPr>
                <w:rFonts w:cs="Arial"/>
              </w:rPr>
              <w:t>way of dealing with the complaints of the class</w:t>
            </w:r>
            <w:r w:rsidR="0078194F" w:rsidRPr="00F54B40">
              <w:rPr>
                <w:rFonts w:cs="Arial"/>
              </w:rPr>
              <w:t xml:space="preserve"> </w:t>
            </w:r>
            <w:r w:rsidRPr="00F54B40">
              <w:rPr>
                <w:rFonts w:cs="Arial"/>
              </w:rPr>
              <w:t>members for the complaint; or</w:t>
            </w:r>
          </w:p>
          <w:p w14:paraId="01AB15B0" w14:textId="77777777" w:rsidR="006B4BDC" w:rsidRPr="00F54B40" w:rsidRDefault="006B4BDC" w:rsidP="00F54B40">
            <w:pPr>
              <w:spacing w:before="120" w:after="120"/>
              <w:ind w:left="720"/>
              <w:rPr>
                <w:rFonts w:cs="Arial"/>
                <w:u w:val="single"/>
              </w:rPr>
            </w:pPr>
            <w:r w:rsidRPr="00F54B40">
              <w:rPr>
                <w:rFonts w:cs="Arial"/>
              </w:rPr>
              <w:t>(b) the complainant is not able to adequately represent the</w:t>
            </w:r>
            <w:r w:rsidR="0078194F" w:rsidRPr="00F54B40">
              <w:rPr>
                <w:rFonts w:cs="Arial"/>
              </w:rPr>
              <w:t xml:space="preserve"> </w:t>
            </w:r>
            <w:r w:rsidRPr="00F54B40">
              <w:rPr>
                <w:rFonts w:cs="Arial"/>
              </w:rPr>
              <w:t>interests of the class members for the complaint</w:t>
            </w:r>
            <w:r w:rsidR="007917BE" w:rsidRPr="00F54B40">
              <w:rPr>
                <w:rFonts w:cs="Arial"/>
              </w:rPr>
              <w:t>;</w:t>
            </w:r>
            <w:r w:rsidR="007917BE" w:rsidRPr="00F54B40">
              <w:rPr>
                <w:rFonts w:cs="Arial"/>
                <w:u w:val="single"/>
              </w:rPr>
              <w:t xml:space="preserve"> or</w:t>
            </w:r>
          </w:p>
          <w:p w14:paraId="31D2A46B" w14:textId="1B9610F7" w:rsidR="00994C68" w:rsidRPr="00F54B40" w:rsidRDefault="007917BE" w:rsidP="00F54B40">
            <w:pPr>
              <w:spacing w:before="120" w:after="120"/>
              <w:ind w:left="720"/>
              <w:rPr>
                <w:rFonts w:cs="Arial"/>
              </w:rPr>
            </w:pPr>
            <w:r w:rsidRPr="00F54B40">
              <w:rPr>
                <w:rFonts w:cs="Arial"/>
                <w:color w:val="347B9F"/>
              </w:rPr>
              <w:t xml:space="preserve">(c) </w:t>
            </w:r>
            <w:r w:rsidR="00FE25FA" w:rsidRPr="00F54B40">
              <w:rPr>
                <w:rFonts w:cs="Arial"/>
                <w:color w:val="347B9F"/>
              </w:rPr>
              <w:t xml:space="preserve">it is otherwise inappropriate that the complaint </w:t>
            </w:r>
            <w:proofErr w:type="gramStart"/>
            <w:r w:rsidR="00D11604" w:rsidRPr="00F54B40">
              <w:rPr>
                <w:rFonts w:cs="Arial"/>
                <w:color w:val="347B9F"/>
              </w:rPr>
              <w:t>continue</w:t>
            </w:r>
            <w:proofErr w:type="gramEnd"/>
            <w:r w:rsidR="00D11604" w:rsidRPr="00F54B40">
              <w:rPr>
                <w:rFonts w:cs="Arial"/>
                <w:color w:val="347B9F"/>
              </w:rPr>
              <w:t xml:space="preserve"> </w:t>
            </w:r>
            <w:r w:rsidR="00D60DB9" w:rsidRPr="00F54B40">
              <w:rPr>
                <w:rFonts w:cs="Arial"/>
                <w:color w:val="347B9F"/>
              </w:rPr>
              <w:t>as a representative complaint.</w:t>
            </w:r>
          </w:p>
        </w:tc>
      </w:tr>
      <w:tr w:rsidR="00FE636F" w14:paraId="7FDB7986" w14:textId="77777777" w:rsidTr="2DA3FFDE">
        <w:trPr>
          <w:trHeight w:val="2100"/>
        </w:trPr>
        <w:tc>
          <w:tcPr>
            <w:tcW w:w="2132" w:type="dxa"/>
          </w:tcPr>
          <w:p w14:paraId="70CD54C6" w14:textId="77777777" w:rsidR="00FE636F" w:rsidRPr="00F54B40" w:rsidRDefault="00FE636F" w:rsidP="00F54B40">
            <w:pPr>
              <w:spacing w:after="120"/>
              <w:rPr>
                <w:rFonts w:cs="Arial"/>
              </w:rPr>
            </w:pPr>
            <w:r w:rsidRPr="00F54B40">
              <w:rPr>
                <w:rFonts w:cs="Arial"/>
              </w:rPr>
              <w:t>Cl 216</w:t>
            </w:r>
          </w:p>
          <w:p w14:paraId="21C893B4" w14:textId="1B2C0226" w:rsidR="00AC0EAD" w:rsidRPr="00F54B40" w:rsidRDefault="00AC0EAD" w:rsidP="00F54B40">
            <w:pPr>
              <w:spacing w:before="120" w:after="120"/>
              <w:rPr>
                <w:rFonts w:cs="Arial"/>
              </w:rPr>
            </w:pPr>
            <w:r w:rsidRPr="00F54B40">
              <w:rPr>
                <w:rFonts w:cs="Arial"/>
              </w:rPr>
              <w:t>Orders in representative complaint</w:t>
            </w:r>
          </w:p>
        </w:tc>
        <w:tc>
          <w:tcPr>
            <w:tcW w:w="5380" w:type="dxa"/>
          </w:tcPr>
          <w:p w14:paraId="4B4AE2A6" w14:textId="728A8FCE" w:rsidR="00FE636F" w:rsidRPr="00F54B40" w:rsidRDefault="00753354" w:rsidP="00F54B40">
            <w:pPr>
              <w:spacing w:after="120"/>
              <w:rPr>
                <w:rFonts w:cs="Arial"/>
              </w:rPr>
            </w:pPr>
            <w:r w:rsidRPr="00F54B40">
              <w:rPr>
                <w:rFonts w:cs="Arial"/>
              </w:rPr>
              <w:t xml:space="preserve">For clarity, cl </w:t>
            </w:r>
            <w:r w:rsidR="00FE636F" w:rsidRPr="00F54B40">
              <w:rPr>
                <w:rFonts w:cs="Arial"/>
              </w:rPr>
              <w:t xml:space="preserve">216 </w:t>
            </w:r>
            <w:r w:rsidRPr="00F54B40">
              <w:rPr>
                <w:rFonts w:cs="Arial"/>
              </w:rPr>
              <w:t>should be amended in line with s</w:t>
            </w:r>
            <w:r w:rsidR="00FE636F" w:rsidRPr="00F54B40">
              <w:rPr>
                <w:rFonts w:cs="Arial"/>
              </w:rPr>
              <w:t xml:space="preserve"> 103X </w:t>
            </w:r>
            <w:r w:rsidRPr="00F54B40">
              <w:rPr>
                <w:rFonts w:cs="Arial"/>
                <w:i/>
                <w:iCs/>
              </w:rPr>
              <w:t>Civil Proceedings Act 2011</w:t>
            </w:r>
            <w:r w:rsidRPr="00F54B40">
              <w:rPr>
                <w:rFonts w:cs="Arial"/>
              </w:rPr>
              <w:t xml:space="preserve">. </w:t>
            </w:r>
          </w:p>
          <w:p w14:paraId="26D71DE9" w14:textId="77777777" w:rsidR="00FE636F" w:rsidRPr="00F54B40" w:rsidRDefault="00FE636F" w:rsidP="00F54B40">
            <w:pPr>
              <w:spacing w:before="120" w:after="120"/>
              <w:rPr>
                <w:rFonts w:cs="Arial"/>
              </w:rPr>
            </w:pPr>
          </w:p>
        </w:tc>
        <w:tc>
          <w:tcPr>
            <w:tcW w:w="6952" w:type="dxa"/>
          </w:tcPr>
          <w:p w14:paraId="7530B716" w14:textId="39937A95" w:rsidR="00753354" w:rsidRPr="00F54B40" w:rsidRDefault="00753354" w:rsidP="00F54B40">
            <w:pPr>
              <w:spacing w:after="120"/>
              <w:rPr>
                <w:rFonts w:cs="Arial"/>
              </w:rPr>
            </w:pPr>
            <w:r w:rsidRPr="00F54B40">
              <w:rPr>
                <w:rFonts w:cs="Arial"/>
              </w:rPr>
              <w:t>Cl 216 should read:</w:t>
            </w:r>
          </w:p>
          <w:p w14:paraId="3A84DC6D" w14:textId="64A3A653" w:rsidR="00753354" w:rsidRPr="00F54B40" w:rsidRDefault="00753354" w:rsidP="00F54B40">
            <w:pPr>
              <w:spacing w:before="120" w:after="120"/>
              <w:ind w:left="720"/>
              <w:rPr>
                <w:rFonts w:cs="Arial"/>
                <w:b/>
                <w:bCs/>
              </w:rPr>
            </w:pPr>
            <w:r w:rsidRPr="00F54B40">
              <w:rPr>
                <w:rFonts w:cs="Arial"/>
                <w:b/>
                <w:bCs/>
              </w:rPr>
              <w:t>216 Orders in representative complaint</w:t>
            </w:r>
          </w:p>
          <w:p w14:paraId="73692C25" w14:textId="3799E618" w:rsidR="00753354" w:rsidRPr="00F54B40" w:rsidRDefault="00753354" w:rsidP="00F54B40">
            <w:pPr>
              <w:spacing w:before="120" w:after="120"/>
              <w:ind w:left="720"/>
              <w:rPr>
                <w:rFonts w:cs="Arial"/>
              </w:rPr>
            </w:pPr>
            <w:r w:rsidRPr="00F54B40">
              <w:rPr>
                <w:rFonts w:cs="Arial"/>
              </w:rPr>
              <w:t>(1) An order of the tribunal made for a representative complaint—</w:t>
            </w:r>
          </w:p>
          <w:p w14:paraId="47E9FE3E" w14:textId="02ADE7D6" w:rsidR="00753354" w:rsidRPr="00F54B40" w:rsidRDefault="00753354" w:rsidP="00F54B40">
            <w:pPr>
              <w:spacing w:before="120" w:after="120"/>
              <w:ind w:left="720"/>
              <w:rPr>
                <w:rFonts w:cs="Arial"/>
              </w:rPr>
            </w:pPr>
            <w:r w:rsidRPr="00F54B40">
              <w:rPr>
                <w:rFonts w:cs="Arial"/>
              </w:rPr>
              <w:t>(a) must describe or otherwise identify the class members for the complaint affected by the order; and</w:t>
            </w:r>
          </w:p>
          <w:p w14:paraId="25A32BFE" w14:textId="6285D334" w:rsidR="00FE636F" w:rsidRPr="00F54B40" w:rsidRDefault="00753354" w:rsidP="00F54B40">
            <w:pPr>
              <w:spacing w:before="120" w:after="120"/>
              <w:ind w:left="720"/>
              <w:rPr>
                <w:rFonts w:cs="Arial"/>
              </w:rPr>
            </w:pPr>
            <w:r w:rsidRPr="00F54B40">
              <w:rPr>
                <w:rFonts w:cs="Arial"/>
              </w:rPr>
              <w:t>(b) binds the class members described</w:t>
            </w:r>
            <w:r w:rsidR="00614122" w:rsidRPr="00F54B40">
              <w:rPr>
                <w:rFonts w:cs="Arial"/>
                <w:color w:val="347B9F"/>
              </w:rPr>
              <w:t>, other than a person who has opted out of the proceeding</w:t>
            </w:r>
            <w:r w:rsidR="00044A58" w:rsidRPr="00F54B40">
              <w:rPr>
                <w:rFonts w:cs="Arial"/>
                <w:color w:val="347B9F"/>
              </w:rPr>
              <w:t xml:space="preserve"> under section</w:t>
            </w:r>
            <w:r w:rsidR="00433019" w:rsidRPr="00F54B40">
              <w:rPr>
                <w:rFonts w:cs="Arial"/>
                <w:color w:val="347B9F"/>
              </w:rPr>
              <w:t>s</w:t>
            </w:r>
            <w:r w:rsidR="00044A58" w:rsidRPr="00F54B40">
              <w:rPr>
                <w:rFonts w:cs="Arial"/>
                <w:color w:val="347B9F"/>
              </w:rPr>
              <w:t xml:space="preserve"> 110 or 203</w:t>
            </w:r>
            <w:r w:rsidRPr="00F54B40">
              <w:rPr>
                <w:rFonts w:cs="Arial"/>
                <w:color w:val="347B9F"/>
              </w:rPr>
              <w:t>.</w:t>
            </w:r>
          </w:p>
        </w:tc>
      </w:tr>
      <w:tr w:rsidR="00AC0EAD" w14:paraId="70F2DE9A" w14:textId="77777777" w:rsidTr="2DA3FFDE">
        <w:trPr>
          <w:trHeight w:val="2100"/>
        </w:trPr>
        <w:tc>
          <w:tcPr>
            <w:tcW w:w="2132" w:type="dxa"/>
          </w:tcPr>
          <w:p w14:paraId="257AB032" w14:textId="77777777" w:rsidR="00AC0EAD" w:rsidRPr="00F54B40" w:rsidRDefault="00AC0EAD" w:rsidP="00F54B40">
            <w:pPr>
              <w:spacing w:after="120"/>
              <w:rPr>
                <w:rFonts w:cs="Arial"/>
              </w:rPr>
            </w:pPr>
            <w:r w:rsidRPr="00F54B40">
              <w:rPr>
                <w:rFonts w:cs="Arial"/>
              </w:rPr>
              <w:lastRenderedPageBreak/>
              <w:t>N/A</w:t>
            </w:r>
          </w:p>
        </w:tc>
        <w:tc>
          <w:tcPr>
            <w:tcW w:w="5380" w:type="dxa"/>
          </w:tcPr>
          <w:p w14:paraId="64039559" w14:textId="0F4D4C57" w:rsidR="00BB24FD" w:rsidRPr="00F54B40" w:rsidRDefault="00BB24FD" w:rsidP="00F54B40">
            <w:pPr>
              <w:spacing w:after="120"/>
              <w:rPr>
                <w:rFonts w:cs="Arial"/>
              </w:rPr>
            </w:pPr>
            <w:r w:rsidRPr="00F54B40">
              <w:rPr>
                <w:rFonts w:cs="Arial"/>
              </w:rPr>
              <w:t>Under section</w:t>
            </w:r>
            <w:r w:rsidR="00317B95" w:rsidRPr="00F54B40">
              <w:rPr>
                <w:rFonts w:cs="Arial"/>
              </w:rPr>
              <w:t>s</w:t>
            </w:r>
            <w:r w:rsidRPr="00F54B40">
              <w:rPr>
                <w:rFonts w:cs="Arial"/>
              </w:rPr>
              <w:t xml:space="preserve"> 103P </w:t>
            </w:r>
            <w:r w:rsidR="00317B95" w:rsidRPr="00F54B40">
              <w:rPr>
                <w:rFonts w:cs="Arial"/>
              </w:rPr>
              <w:t xml:space="preserve">and 103S </w:t>
            </w:r>
            <w:r w:rsidRPr="00F54B40">
              <w:rPr>
                <w:rFonts w:cs="Arial"/>
                <w:i/>
                <w:iCs/>
              </w:rPr>
              <w:t>Civil Proceedings Act 2011</w:t>
            </w:r>
            <w:r w:rsidRPr="00F54B40">
              <w:rPr>
                <w:rFonts w:cs="Arial"/>
              </w:rPr>
              <w:t xml:space="preserve">, the court can substitute </w:t>
            </w:r>
            <w:r w:rsidR="00125306" w:rsidRPr="00F54B40">
              <w:rPr>
                <w:rFonts w:cs="Arial"/>
              </w:rPr>
              <w:t xml:space="preserve">another class member as the representative party. </w:t>
            </w:r>
          </w:p>
          <w:p w14:paraId="578AD11E" w14:textId="1708301A" w:rsidR="005D4613" w:rsidRPr="00F54B40" w:rsidRDefault="00E73399" w:rsidP="00F54B40">
            <w:pPr>
              <w:spacing w:before="120" w:after="120"/>
              <w:rPr>
                <w:rFonts w:cs="Arial"/>
              </w:rPr>
            </w:pPr>
            <w:r w:rsidRPr="00F54B40">
              <w:rPr>
                <w:rFonts w:cs="Arial"/>
              </w:rPr>
              <w:t>Under section 46</w:t>
            </w:r>
            <w:proofErr w:type="gramStart"/>
            <w:r w:rsidRPr="00F54B40">
              <w:rPr>
                <w:rFonts w:cs="Arial"/>
              </w:rPr>
              <w:t>PC(</w:t>
            </w:r>
            <w:proofErr w:type="gramEnd"/>
            <w:r w:rsidRPr="00F54B40">
              <w:rPr>
                <w:rFonts w:cs="Arial"/>
              </w:rPr>
              <w:t xml:space="preserve">2) of the </w:t>
            </w:r>
            <w:r w:rsidRPr="00F54B40">
              <w:rPr>
                <w:rFonts w:cs="Arial"/>
                <w:i/>
                <w:iCs/>
              </w:rPr>
              <w:t>Australian Human Rights Commission Act</w:t>
            </w:r>
            <w:r w:rsidR="00052FC6" w:rsidRPr="00F54B40">
              <w:rPr>
                <w:rFonts w:cs="Arial"/>
                <w:i/>
                <w:iCs/>
              </w:rPr>
              <w:t xml:space="preserve"> 1986</w:t>
            </w:r>
            <w:r w:rsidR="00B970F7" w:rsidRPr="00F54B40">
              <w:rPr>
                <w:rFonts w:cs="Arial"/>
              </w:rPr>
              <w:t>, the president may replace any complainant with another person as complainant.</w:t>
            </w:r>
          </w:p>
          <w:p w14:paraId="4546FCBF" w14:textId="15C99290" w:rsidR="00AC0EAD" w:rsidRPr="00F54B40" w:rsidRDefault="008C268C" w:rsidP="00F54B40">
            <w:pPr>
              <w:spacing w:before="120" w:after="120"/>
              <w:rPr>
                <w:rFonts w:cs="Arial"/>
              </w:rPr>
            </w:pPr>
            <w:r w:rsidRPr="00F54B40">
              <w:rPr>
                <w:rFonts w:cs="Arial"/>
              </w:rPr>
              <w:t>The Commission and tribunal should have similar powers to replace complainants representing a member class in appropriate circumstances.</w:t>
            </w:r>
          </w:p>
        </w:tc>
        <w:tc>
          <w:tcPr>
            <w:tcW w:w="6952" w:type="dxa"/>
          </w:tcPr>
          <w:p w14:paraId="4F5AFEEE" w14:textId="4251E03D" w:rsidR="00AC0EAD" w:rsidRPr="00F54B40" w:rsidRDefault="008C268C" w:rsidP="00F54B40">
            <w:pPr>
              <w:spacing w:after="120"/>
              <w:rPr>
                <w:rFonts w:cs="Arial"/>
              </w:rPr>
            </w:pPr>
            <w:r w:rsidRPr="00F54B40">
              <w:rPr>
                <w:rFonts w:cs="Arial"/>
              </w:rPr>
              <w:t xml:space="preserve">Insert a provision that will allow the Commissioner or president to replace the complainant for a representative complaint with another class member. </w:t>
            </w:r>
          </w:p>
        </w:tc>
      </w:tr>
      <w:tr w:rsidR="00AC0EAD" w14:paraId="2EA25A9B" w14:textId="77777777" w:rsidTr="2DA3FFDE">
        <w:trPr>
          <w:trHeight w:val="2100"/>
        </w:trPr>
        <w:tc>
          <w:tcPr>
            <w:tcW w:w="2132" w:type="dxa"/>
          </w:tcPr>
          <w:p w14:paraId="7A9BE9A9" w14:textId="77777777" w:rsidR="00AC0EAD" w:rsidRPr="00F54B40" w:rsidRDefault="00AD5F80" w:rsidP="00F54B40">
            <w:pPr>
              <w:spacing w:after="120"/>
              <w:rPr>
                <w:rFonts w:cs="Arial"/>
              </w:rPr>
            </w:pPr>
            <w:r w:rsidRPr="00F54B40">
              <w:rPr>
                <w:rFonts w:cs="Arial"/>
              </w:rPr>
              <w:t>Cl 271</w:t>
            </w:r>
          </w:p>
          <w:p w14:paraId="161C1AF1" w14:textId="27159FEE" w:rsidR="00AD5F80" w:rsidRPr="00F54B40" w:rsidRDefault="00AD5F80" w:rsidP="00F54B40">
            <w:pPr>
              <w:spacing w:before="120" w:after="120"/>
              <w:rPr>
                <w:rFonts w:cs="Arial"/>
              </w:rPr>
            </w:pPr>
            <w:r w:rsidRPr="00F54B40">
              <w:rPr>
                <w:rFonts w:cs="Arial"/>
              </w:rPr>
              <w:t xml:space="preserve">Amendment of s319A </w:t>
            </w:r>
            <w:r w:rsidRPr="00F54B40">
              <w:rPr>
                <w:rFonts w:cs="Arial"/>
                <w:i/>
                <w:iCs/>
              </w:rPr>
              <w:t>Corrective Services Act</w:t>
            </w:r>
            <w:r w:rsidR="005C3C95" w:rsidRPr="00F54B40">
              <w:rPr>
                <w:rFonts w:cs="Arial"/>
                <w:i/>
                <w:iCs/>
              </w:rPr>
              <w:t xml:space="preserve"> 2006</w:t>
            </w:r>
          </w:p>
        </w:tc>
        <w:tc>
          <w:tcPr>
            <w:tcW w:w="5380" w:type="dxa"/>
          </w:tcPr>
          <w:p w14:paraId="4F425FA6" w14:textId="172685A1" w:rsidR="00AC0EAD" w:rsidRPr="00F54B40" w:rsidRDefault="00BD42B0" w:rsidP="00F54B40">
            <w:pPr>
              <w:spacing w:after="120"/>
              <w:rPr>
                <w:rFonts w:cs="Arial"/>
              </w:rPr>
            </w:pPr>
            <w:r w:rsidRPr="00F54B40">
              <w:rPr>
                <w:rFonts w:cs="Arial"/>
              </w:rPr>
              <w:t>Spelling</w:t>
            </w:r>
            <w:r w:rsidR="002D5B4E" w:rsidRPr="00F54B40">
              <w:rPr>
                <w:rFonts w:cs="Arial"/>
              </w:rPr>
              <w:t xml:space="preserve"> error in clause 271(</w:t>
            </w:r>
            <w:r w:rsidR="006570FE" w:rsidRPr="00F54B40">
              <w:rPr>
                <w:rFonts w:cs="Arial"/>
              </w:rPr>
              <w:t>4)</w:t>
            </w:r>
            <w:r w:rsidRPr="00F54B40">
              <w:rPr>
                <w:rFonts w:cs="Arial"/>
              </w:rPr>
              <w:t>.</w:t>
            </w:r>
          </w:p>
        </w:tc>
        <w:tc>
          <w:tcPr>
            <w:tcW w:w="6952" w:type="dxa"/>
          </w:tcPr>
          <w:p w14:paraId="405C43D0" w14:textId="4741D4AE" w:rsidR="00AC0EAD" w:rsidRPr="00F54B40" w:rsidRDefault="006570FE" w:rsidP="00F54B40">
            <w:pPr>
              <w:spacing w:after="120"/>
              <w:rPr>
                <w:rFonts w:cs="Arial"/>
              </w:rPr>
            </w:pPr>
            <w:r w:rsidRPr="00F54B40">
              <w:rPr>
                <w:rFonts w:cs="Arial"/>
              </w:rPr>
              <w:t>Amend clause 271(3) to ‘an entity’ rather than ‘and entity’</w:t>
            </w:r>
            <w:r w:rsidR="006E3E14" w:rsidRPr="00F54B40">
              <w:rPr>
                <w:rFonts w:cs="Arial"/>
              </w:rPr>
              <w:t>.</w:t>
            </w:r>
          </w:p>
        </w:tc>
      </w:tr>
      <w:tr w:rsidR="00BD42B0" w14:paraId="7B80C048" w14:textId="77777777" w:rsidTr="00F12D5D">
        <w:trPr>
          <w:trHeight w:val="1266"/>
        </w:trPr>
        <w:tc>
          <w:tcPr>
            <w:tcW w:w="2132" w:type="dxa"/>
          </w:tcPr>
          <w:p w14:paraId="7C672107" w14:textId="09493E9E" w:rsidR="00D300D2" w:rsidRPr="00F54B40" w:rsidRDefault="00D300D2" w:rsidP="00F54B40">
            <w:pPr>
              <w:spacing w:after="120"/>
              <w:rPr>
                <w:rFonts w:cs="Arial"/>
              </w:rPr>
            </w:pPr>
            <w:r w:rsidRPr="00F54B40">
              <w:rPr>
                <w:rFonts w:cs="Arial"/>
              </w:rPr>
              <w:t>Cl 274</w:t>
            </w:r>
          </w:p>
          <w:p w14:paraId="73495C3D" w14:textId="2EEBDFED" w:rsidR="00D300D2" w:rsidRPr="00F54B40" w:rsidRDefault="00D300D2" w:rsidP="00F54B40">
            <w:pPr>
              <w:spacing w:before="120" w:after="120"/>
              <w:rPr>
                <w:rFonts w:cs="Arial"/>
              </w:rPr>
            </w:pPr>
            <w:r w:rsidRPr="00F54B40">
              <w:rPr>
                <w:rFonts w:cs="Arial"/>
              </w:rPr>
              <w:t>Amendment of s 319G</w:t>
            </w:r>
            <w:r w:rsidR="00F92D69" w:rsidRPr="00F54B40">
              <w:rPr>
                <w:rFonts w:cs="Arial"/>
              </w:rPr>
              <w:t xml:space="preserve"> </w:t>
            </w:r>
            <w:r w:rsidR="005C3C95" w:rsidRPr="00F54B40">
              <w:rPr>
                <w:rFonts w:cs="Arial"/>
                <w:i/>
                <w:iCs/>
              </w:rPr>
              <w:t>Corrective Services Act 2006</w:t>
            </w:r>
          </w:p>
        </w:tc>
        <w:tc>
          <w:tcPr>
            <w:tcW w:w="5380" w:type="dxa"/>
          </w:tcPr>
          <w:p w14:paraId="60647C21" w14:textId="523648B5" w:rsidR="00BD42B0" w:rsidRPr="00F54B40" w:rsidRDefault="000E30BD" w:rsidP="00F54B40">
            <w:pPr>
              <w:spacing w:after="120"/>
              <w:rPr>
                <w:rFonts w:cs="Arial"/>
              </w:rPr>
            </w:pPr>
            <w:r w:rsidRPr="00F54B40">
              <w:rPr>
                <w:rFonts w:cs="Arial"/>
              </w:rPr>
              <w:t xml:space="preserve">Inconsistent with </w:t>
            </w:r>
            <w:r w:rsidRPr="00F54B40">
              <w:rPr>
                <w:rFonts w:cs="Arial"/>
                <w:i/>
                <w:iCs/>
              </w:rPr>
              <w:t xml:space="preserve">Building belonging </w:t>
            </w:r>
            <w:r w:rsidRPr="00F54B40">
              <w:rPr>
                <w:rFonts w:cs="Arial"/>
              </w:rPr>
              <w:t xml:space="preserve">review recommendation </w:t>
            </w:r>
            <w:r w:rsidR="002C6F1A" w:rsidRPr="00F54B40">
              <w:rPr>
                <w:rFonts w:cs="Arial"/>
              </w:rPr>
              <w:t xml:space="preserve">42.1, that </w:t>
            </w:r>
            <w:r w:rsidR="00F80711" w:rsidRPr="00F54B40">
              <w:rPr>
                <w:rFonts w:cs="Arial"/>
              </w:rPr>
              <w:t xml:space="preserve">sections 319G, 319H and 319I be entirely omitted, to ensure compatibility with the </w:t>
            </w:r>
            <w:r w:rsidR="00F80711" w:rsidRPr="00F54B40">
              <w:rPr>
                <w:rFonts w:cs="Arial"/>
                <w:i/>
                <w:iCs/>
              </w:rPr>
              <w:t>Human Rights Act 2019</w:t>
            </w:r>
            <w:r w:rsidR="00F80711" w:rsidRPr="00F54B40">
              <w:rPr>
                <w:rFonts w:cs="Arial"/>
              </w:rPr>
              <w:t>.</w:t>
            </w:r>
          </w:p>
        </w:tc>
        <w:tc>
          <w:tcPr>
            <w:tcW w:w="6952" w:type="dxa"/>
          </w:tcPr>
          <w:p w14:paraId="09FAF474" w14:textId="27F4B7DE" w:rsidR="00BD42B0" w:rsidRPr="00F54B40" w:rsidRDefault="00203657" w:rsidP="00F54B40">
            <w:pPr>
              <w:spacing w:after="120"/>
              <w:rPr>
                <w:rFonts w:cs="Arial"/>
              </w:rPr>
            </w:pPr>
            <w:r w:rsidRPr="00F54B40">
              <w:rPr>
                <w:rFonts w:cs="Arial"/>
              </w:rPr>
              <w:t xml:space="preserve">Rather than amend, </w:t>
            </w:r>
            <w:r w:rsidR="00AA3A49" w:rsidRPr="00F54B40">
              <w:rPr>
                <w:rFonts w:cs="Arial"/>
              </w:rPr>
              <w:t>entirely omit 319G</w:t>
            </w:r>
            <w:r w:rsidR="00614523" w:rsidRPr="00F54B40">
              <w:rPr>
                <w:rFonts w:cs="Arial"/>
              </w:rPr>
              <w:t xml:space="preserve"> of the </w:t>
            </w:r>
            <w:r w:rsidR="00614523" w:rsidRPr="00F54B40">
              <w:rPr>
                <w:rFonts w:cs="Arial"/>
                <w:i/>
                <w:iCs/>
              </w:rPr>
              <w:t>Corrective Services Act 2006</w:t>
            </w:r>
            <w:r w:rsidR="00AA3A49" w:rsidRPr="00F54B40">
              <w:rPr>
                <w:rFonts w:cs="Arial"/>
              </w:rPr>
              <w:t>.</w:t>
            </w:r>
          </w:p>
        </w:tc>
      </w:tr>
      <w:tr w:rsidR="00203657" w14:paraId="7D80B6C6" w14:textId="77777777" w:rsidTr="00F12D5D">
        <w:trPr>
          <w:trHeight w:val="1270"/>
        </w:trPr>
        <w:tc>
          <w:tcPr>
            <w:tcW w:w="2132" w:type="dxa"/>
          </w:tcPr>
          <w:p w14:paraId="7CF1AF1D" w14:textId="77777777" w:rsidR="00203657" w:rsidRPr="00F54B40" w:rsidRDefault="00203657" w:rsidP="00F54B40">
            <w:pPr>
              <w:spacing w:after="120"/>
              <w:rPr>
                <w:rFonts w:cs="Arial"/>
              </w:rPr>
            </w:pPr>
            <w:r w:rsidRPr="00F54B40">
              <w:rPr>
                <w:rFonts w:cs="Arial"/>
              </w:rPr>
              <w:t>Cl 275</w:t>
            </w:r>
          </w:p>
          <w:p w14:paraId="1FF89D76" w14:textId="29FA4E5B" w:rsidR="005C3C95" w:rsidRPr="00F54B40" w:rsidRDefault="00203657" w:rsidP="00F54B40">
            <w:pPr>
              <w:spacing w:before="120" w:after="120"/>
              <w:rPr>
                <w:rFonts w:cs="Arial"/>
              </w:rPr>
            </w:pPr>
            <w:r w:rsidRPr="00F54B40">
              <w:rPr>
                <w:rFonts w:cs="Arial"/>
              </w:rPr>
              <w:t>Amendment of s 319H</w:t>
            </w:r>
            <w:r w:rsidR="005C3C95" w:rsidRPr="00F54B40">
              <w:rPr>
                <w:rFonts w:cs="Arial"/>
              </w:rPr>
              <w:t xml:space="preserve"> </w:t>
            </w:r>
            <w:r w:rsidR="005C3C95" w:rsidRPr="00F54B40">
              <w:rPr>
                <w:rFonts w:cs="Arial"/>
                <w:i/>
                <w:iCs/>
              </w:rPr>
              <w:t>Corrective Services Act 2006</w:t>
            </w:r>
          </w:p>
        </w:tc>
        <w:tc>
          <w:tcPr>
            <w:tcW w:w="5380" w:type="dxa"/>
          </w:tcPr>
          <w:p w14:paraId="1FBD8426" w14:textId="75D3FECA" w:rsidR="00203657" w:rsidRPr="00F54B40" w:rsidRDefault="00614523" w:rsidP="00F54B40">
            <w:pPr>
              <w:spacing w:after="120"/>
              <w:rPr>
                <w:rFonts w:cs="Arial"/>
              </w:rPr>
            </w:pPr>
            <w:r w:rsidRPr="00F54B40">
              <w:rPr>
                <w:rFonts w:cs="Arial"/>
              </w:rPr>
              <w:t>As above</w:t>
            </w:r>
          </w:p>
        </w:tc>
        <w:tc>
          <w:tcPr>
            <w:tcW w:w="6952" w:type="dxa"/>
          </w:tcPr>
          <w:p w14:paraId="448355D5" w14:textId="28E187BD" w:rsidR="00203657" w:rsidRPr="00F54B40" w:rsidRDefault="00203657" w:rsidP="00F54B40">
            <w:pPr>
              <w:spacing w:after="120"/>
              <w:rPr>
                <w:rFonts w:cs="Arial"/>
              </w:rPr>
            </w:pPr>
            <w:r w:rsidRPr="00F54B40">
              <w:rPr>
                <w:rFonts w:cs="Arial"/>
              </w:rPr>
              <w:t>Rather than amend, entirely omit 3</w:t>
            </w:r>
            <w:r w:rsidR="00F52154" w:rsidRPr="00F54B40">
              <w:rPr>
                <w:rFonts w:cs="Arial"/>
              </w:rPr>
              <w:t>19H</w:t>
            </w:r>
            <w:r w:rsidR="00614523" w:rsidRPr="00F54B40">
              <w:rPr>
                <w:rFonts w:cs="Arial"/>
              </w:rPr>
              <w:t xml:space="preserve"> of the </w:t>
            </w:r>
            <w:r w:rsidR="00614523" w:rsidRPr="00F54B40">
              <w:rPr>
                <w:rFonts w:cs="Arial"/>
                <w:i/>
                <w:iCs/>
              </w:rPr>
              <w:t>Corrective Services Act 2006</w:t>
            </w:r>
            <w:r w:rsidR="002D7C8E" w:rsidRPr="00F54B40">
              <w:rPr>
                <w:rFonts w:cs="Arial"/>
              </w:rPr>
              <w:t>.</w:t>
            </w:r>
          </w:p>
        </w:tc>
      </w:tr>
      <w:tr w:rsidR="002D7C8E" w14:paraId="6AB29352" w14:textId="77777777" w:rsidTr="00F12D5D">
        <w:trPr>
          <w:trHeight w:val="281"/>
        </w:trPr>
        <w:tc>
          <w:tcPr>
            <w:tcW w:w="2132" w:type="dxa"/>
          </w:tcPr>
          <w:p w14:paraId="1D6EB139" w14:textId="26C6D31D" w:rsidR="002D7C8E" w:rsidRPr="00F54B40" w:rsidRDefault="002D7C8E" w:rsidP="00F54B40">
            <w:pPr>
              <w:spacing w:after="120"/>
              <w:rPr>
                <w:rFonts w:cs="Arial"/>
              </w:rPr>
            </w:pPr>
            <w:r w:rsidRPr="00F54B40">
              <w:rPr>
                <w:rFonts w:cs="Arial"/>
              </w:rPr>
              <w:t>N/A</w:t>
            </w:r>
          </w:p>
        </w:tc>
        <w:tc>
          <w:tcPr>
            <w:tcW w:w="5380" w:type="dxa"/>
          </w:tcPr>
          <w:p w14:paraId="3A91A6E8" w14:textId="2BE97388" w:rsidR="002D7C8E" w:rsidRPr="00F54B40" w:rsidRDefault="00614523" w:rsidP="00F12D5D">
            <w:pPr>
              <w:spacing w:after="120"/>
              <w:rPr>
                <w:rFonts w:cs="Arial"/>
              </w:rPr>
            </w:pPr>
            <w:r w:rsidRPr="00F54B40">
              <w:rPr>
                <w:rFonts w:cs="Arial"/>
              </w:rPr>
              <w:t>As above.</w:t>
            </w:r>
          </w:p>
        </w:tc>
        <w:tc>
          <w:tcPr>
            <w:tcW w:w="6952" w:type="dxa"/>
          </w:tcPr>
          <w:p w14:paraId="00BCEBE6" w14:textId="211B1F4F" w:rsidR="002D7C8E" w:rsidRPr="00F54B40" w:rsidRDefault="00614523" w:rsidP="00F54B40">
            <w:pPr>
              <w:spacing w:after="120"/>
              <w:rPr>
                <w:rFonts w:cs="Arial"/>
              </w:rPr>
            </w:pPr>
            <w:r w:rsidRPr="00F54B40">
              <w:rPr>
                <w:rFonts w:cs="Arial"/>
              </w:rPr>
              <w:t xml:space="preserve">Omit 319H of the </w:t>
            </w:r>
            <w:r w:rsidRPr="00F54B40">
              <w:rPr>
                <w:rFonts w:cs="Arial"/>
                <w:i/>
                <w:iCs/>
              </w:rPr>
              <w:t>Corrective Services Act 2006.</w:t>
            </w:r>
          </w:p>
        </w:tc>
      </w:tr>
    </w:tbl>
    <w:p w14:paraId="564D8E29" w14:textId="1D24E70B" w:rsidR="2F2962B5" w:rsidRDefault="2F2962B5"/>
    <w:p w14:paraId="1A7F116D" w14:textId="77777777" w:rsidR="00AE612A" w:rsidRDefault="00AE612A">
      <w:pPr>
        <w:rPr>
          <w:rFonts w:eastAsiaTheme="majorEastAsia" w:cs="Arial"/>
          <w:color w:val="347B9F"/>
          <w:sz w:val="48"/>
          <w:szCs w:val="48"/>
        </w:rPr>
      </w:pPr>
      <w:r>
        <w:rPr>
          <w:rFonts w:cs="Arial"/>
        </w:rPr>
        <w:br w:type="page"/>
      </w:r>
    </w:p>
    <w:p w14:paraId="4CDD069B" w14:textId="72E31E9D" w:rsidR="00970D03" w:rsidRPr="005C3EAF" w:rsidRDefault="00970D03" w:rsidP="00C66687">
      <w:pPr>
        <w:pStyle w:val="Heading1"/>
        <w:rPr>
          <w:rFonts w:cs="Arial"/>
          <w:highlight w:val="cyan"/>
        </w:rPr>
      </w:pPr>
      <w:r w:rsidRPr="001C5161">
        <w:rPr>
          <w:rFonts w:cs="Arial"/>
        </w:rPr>
        <w:lastRenderedPageBreak/>
        <w:t>Annexure G: Commission</w:t>
      </w:r>
      <w:r w:rsidR="003D471A">
        <w:rPr>
          <w:rFonts w:cs="Arial"/>
        </w:rPr>
        <w:t xml:space="preserve"> and Tribunal </w:t>
      </w:r>
      <w:r w:rsidRPr="001C5161">
        <w:rPr>
          <w:rFonts w:cs="Arial"/>
        </w:rPr>
        <w:t xml:space="preserve">functions </w:t>
      </w:r>
    </w:p>
    <w:tbl>
      <w:tblPr>
        <w:tblStyle w:val="TableGrid"/>
        <w:tblpPr w:leftFromText="180" w:rightFromText="180" w:vertAnchor="text" w:horzAnchor="margin" w:tblpXSpec="outside" w:tblpY="215"/>
        <w:tblW w:w="13908" w:type="dxa"/>
        <w:tblLook w:val="04A0" w:firstRow="1" w:lastRow="0" w:firstColumn="1" w:lastColumn="0" w:noHBand="0" w:noVBand="1"/>
      </w:tblPr>
      <w:tblGrid>
        <w:gridCol w:w="2122"/>
        <w:gridCol w:w="5244"/>
        <w:gridCol w:w="6542"/>
      </w:tblGrid>
      <w:tr w:rsidR="00970D03" w:rsidRPr="001C5161" w14:paraId="7DE8E83E" w14:textId="77777777" w:rsidTr="00AE612A">
        <w:tc>
          <w:tcPr>
            <w:tcW w:w="2122" w:type="dxa"/>
          </w:tcPr>
          <w:p w14:paraId="51FB8448" w14:textId="23D2EDC3" w:rsidR="00970D03" w:rsidRPr="001C5161" w:rsidRDefault="00970D03" w:rsidP="00F12D5D">
            <w:pPr>
              <w:spacing w:after="120"/>
              <w:rPr>
                <w:rFonts w:cs="Arial"/>
              </w:rPr>
            </w:pPr>
            <w:r w:rsidRPr="00F54B40">
              <w:rPr>
                <w:rFonts w:cs="Arial"/>
                <w:b/>
                <w:bCs/>
                <w:color w:val="000000" w:themeColor="text1"/>
                <w:sz w:val="22"/>
                <w:szCs w:val="22"/>
              </w:rPr>
              <w:t>Clause</w:t>
            </w:r>
          </w:p>
        </w:tc>
        <w:tc>
          <w:tcPr>
            <w:tcW w:w="5244" w:type="dxa"/>
          </w:tcPr>
          <w:p w14:paraId="390E99F2" w14:textId="606C3506" w:rsidR="00970D03" w:rsidRPr="001C5161" w:rsidRDefault="00970D03" w:rsidP="00F12D5D">
            <w:pPr>
              <w:spacing w:after="120"/>
              <w:rPr>
                <w:rFonts w:cs="Arial"/>
              </w:rPr>
            </w:pPr>
            <w:r w:rsidRPr="00F54B40">
              <w:rPr>
                <w:rFonts w:cs="Arial"/>
                <w:b/>
                <w:bCs/>
                <w:color w:val="000000" w:themeColor="text1"/>
                <w:sz w:val="22"/>
                <w:szCs w:val="22"/>
              </w:rPr>
              <w:t>Issues</w:t>
            </w:r>
          </w:p>
        </w:tc>
        <w:tc>
          <w:tcPr>
            <w:tcW w:w="6542" w:type="dxa"/>
          </w:tcPr>
          <w:p w14:paraId="00349FF3" w14:textId="214EB8B1" w:rsidR="00970D03" w:rsidRPr="001C5161" w:rsidRDefault="00970D03" w:rsidP="00F12D5D">
            <w:pPr>
              <w:spacing w:after="120"/>
              <w:rPr>
                <w:rFonts w:cs="Arial"/>
              </w:rPr>
            </w:pPr>
            <w:r w:rsidRPr="00F54B40">
              <w:rPr>
                <w:rFonts w:cs="Arial"/>
                <w:b/>
                <w:bCs/>
                <w:color w:val="000000" w:themeColor="text1"/>
                <w:sz w:val="22"/>
                <w:szCs w:val="22"/>
              </w:rPr>
              <w:t xml:space="preserve">Recommended </w:t>
            </w:r>
            <w:r w:rsidR="00085A94" w:rsidRPr="00F54B40">
              <w:rPr>
                <w:rFonts w:cs="Arial"/>
                <w:b/>
                <w:bCs/>
                <w:color w:val="000000" w:themeColor="text1"/>
                <w:sz w:val="22"/>
                <w:szCs w:val="22"/>
              </w:rPr>
              <w:t>changes</w:t>
            </w:r>
          </w:p>
        </w:tc>
      </w:tr>
      <w:tr w:rsidR="00970D03" w:rsidRPr="001C5161" w14:paraId="7A27DF0A" w14:textId="77777777" w:rsidTr="00AE612A">
        <w:tc>
          <w:tcPr>
            <w:tcW w:w="2122" w:type="dxa"/>
          </w:tcPr>
          <w:p w14:paraId="377A3183" w14:textId="77777777" w:rsidR="00970D03" w:rsidRDefault="00D769D6" w:rsidP="00F12D5D">
            <w:pPr>
              <w:spacing w:after="120"/>
              <w:rPr>
                <w:rFonts w:cs="Arial"/>
              </w:rPr>
            </w:pPr>
            <w:r>
              <w:rPr>
                <w:rFonts w:cs="Arial"/>
              </w:rPr>
              <w:t>Part 10 Div 3</w:t>
            </w:r>
          </w:p>
          <w:p w14:paraId="6B2290DA" w14:textId="7EE21469" w:rsidR="00D769D6" w:rsidRPr="001C5161" w:rsidRDefault="00D769D6" w:rsidP="00F12D5D">
            <w:pPr>
              <w:spacing w:after="120"/>
              <w:rPr>
                <w:rFonts w:cs="Arial"/>
              </w:rPr>
            </w:pPr>
            <w:r>
              <w:rPr>
                <w:rFonts w:cs="Arial"/>
              </w:rPr>
              <w:t>Compliance reviews and action plans</w:t>
            </w:r>
          </w:p>
        </w:tc>
        <w:tc>
          <w:tcPr>
            <w:tcW w:w="5244" w:type="dxa"/>
          </w:tcPr>
          <w:p w14:paraId="3DCFA871" w14:textId="77777777" w:rsidR="00E97210" w:rsidRDefault="00E97210" w:rsidP="00F12D5D">
            <w:pPr>
              <w:spacing w:after="120"/>
              <w:rPr>
                <w:rFonts w:cs="Arial"/>
              </w:rPr>
            </w:pPr>
            <w:r w:rsidRPr="004638A7">
              <w:rPr>
                <w:rFonts w:cs="Arial"/>
              </w:rPr>
              <w:t>The term ‘compliance’ is contrary to the purpose of cooperating with duty holders to address systemic issues</w:t>
            </w:r>
            <w:r>
              <w:rPr>
                <w:rFonts w:cs="Arial"/>
              </w:rPr>
              <w:t>.</w:t>
            </w:r>
          </w:p>
          <w:p w14:paraId="7B8234B2" w14:textId="2AFCF5F6" w:rsidR="004638A7" w:rsidRPr="004638A7" w:rsidRDefault="004638A7" w:rsidP="00F12D5D">
            <w:pPr>
              <w:spacing w:after="120"/>
              <w:rPr>
                <w:rFonts w:cs="Arial"/>
              </w:rPr>
            </w:pPr>
            <w:r w:rsidRPr="004638A7">
              <w:rPr>
                <w:rFonts w:cs="Arial"/>
              </w:rPr>
              <w:t xml:space="preserve">Given the nature of the proposed positive duty, which focuses on prevention, </w:t>
            </w:r>
            <w:r w:rsidR="00E97210">
              <w:rPr>
                <w:rFonts w:cs="Arial"/>
              </w:rPr>
              <w:t>‘</w:t>
            </w:r>
            <w:r w:rsidRPr="004638A7">
              <w:rPr>
                <w:rFonts w:cs="Arial"/>
              </w:rPr>
              <w:t>compliance</w:t>
            </w:r>
            <w:r w:rsidR="00E97210">
              <w:rPr>
                <w:rFonts w:cs="Arial"/>
              </w:rPr>
              <w:t>’</w:t>
            </w:r>
            <w:r w:rsidRPr="004638A7">
              <w:rPr>
                <w:rFonts w:cs="Arial"/>
              </w:rPr>
              <w:t xml:space="preserve"> is too constrictive a term. </w:t>
            </w:r>
          </w:p>
          <w:p w14:paraId="281BECDD" w14:textId="783E2BB8" w:rsidR="00970D03" w:rsidRPr="001C5161" w:rsidRDefault="004638A7" w:rsidP="00F12D5D">
            <w:pPr>
              <w:spacing w:after="120"/>
              <w:rPr>
                <w:rFonts w:cs="Arial"/>
              </w:rPr>
            </w:pPr>
            <w:r w:rsidRPr="004638A7">
              <w:rPr>
                <w:rFonts w:cs="Arial"/>
              </w:rPr>
              <w:t xml:space="preserve">The </w:t>
            </w:r>
            <w:r>
              <w:rPr>
                <w:rFonts w:cs="Arial"/>
              </w:rPr>
              <w:t>QHRC</w:t>
            </w:r>
            <w:r w:rsidRPr="004638A7">
              <w:rPr>
                <w:rFonts w:cs="Arial"/>
              </w:rPr>
              <w:t xml:space="preserve"> would not be able to confirm whether compliance is achieved, it would only be able to make recommendations as to steps to take that could to help prevent discrimination. This is further challenged given that the </w:t>
            </w:r>
            <w:r w:rsidR="00E97210">
              <w:rPr>
                <w:rFonts w:cs="Arial"/>
              </w:rPr>
              <w:t>QHRC</w:t>
            </w:r>
            <w:r w:rsidRPr="004638A7">
              <w:rPr>
                <w:rFonts w:cs="Arial"/>
              </w:rPr>
              <w:t xml:space="preserve"> will not be making any findings of non-compliance. </w:t>
            </w:r>
          </w:p>
        </w:tc>
        <w:tc>
          <w:tcPr>
            <w:tcW w:w="6542" w:type="dxa"/>
          </w:tcPr>
          <w:p w14:paraId="5B143CE6" w14:textId="5ED96FA2" w:rsidR="00C94C95" w:rsidRDefault="00C94C95" w:rsidP="00F12D5D">
            <w:pPr>
              <w:pStyle w:val="Numberedparagraph"/>
              <w:spacing w:before="0" w:after="120" w:line="240" w:lineRule="auto"/>
              <w:contextualSpacing w:val="0"/>
            </w:pPr>
            <w:r>
              <w:t xml:space="preserve">Part 10 Division 2 – change heading, and all subsequent references to, by removing the word ‘compliance’ </w:t>
            </w:r>
            <w:proofErr w:type="gramStart"/>
            <w:r>
              <w:t>e.g.</w:t>
            </w:r>
            <w:proofErr w:type="gramEnd"/>
            <w:r>
              <w:t xml:space="preserve"> ‘</w:t>
            </w:r>
            <w:r w:rsidRPr="00F34E93">
              <w:rPr>
                <w:strike/>
              </w:rPr>
              <w:t>Compliance</w:t>
            </w:r>
            <w:r>
              <w:t xml:space="preserve"> </w:t>
            </w:r>
            <w:r w:rsidR="00E97210" w:rsidRPr="00F54B40">
              <w:rPr>
                <w:color w:val="347B9F"/>
              </w:rPr>
              <w:t>R</w:t>
            </w:r>
            <w:r>
              <w:t>eviews and action plans’.</w:t>
            </w:r>
          </w:p>
          <w:p w14:paraId="525AA2E4" w14:textId="77777777" w:rsidR="00970D03" w:rsidRPr="001C5161" w:rsidRDefault="00970D03" w:rsidP="00F12D5D">
            <w:pPr>
              <w:spacing w:after="120"/>
              <w:rPr>
                <w:rFonts w:cs="Arial"/>
              </w:rPr>
            </w:pPr>
          </w:p>
        </w:tc>
      </w:tr>
      <w:tr w:rsidR="00970D03" w:rsidRPr="001C5161" w14:paraId="27C2840A" w14:textId="77777777" w:rsidTr="00AE612A">
        <w:tc>
          <w:tcPr>
            <w:tcW w:w="2122" w:type="dxa"/>
          </w:tcPr>
          <w:p w14:paraId="3C54B8D3" w14:textId="77777777" w:rsidR="00970D03" w:rsidRDefault="0088395F" w:rsidP="00F12D5D">
            <w:pPr>
              <w:spacing w:after="120"/>
              <w:rPr>
                <w:rFonts w:cs="Arial"/>
              </w:rPr>
            </w:pPr>
            <w:r>
              <w:rPr>
                <w:rFonts w:cs="Arial"/>
              </w:rPr>
              <w:t>Cl 150</w:t>
            </w:r>
          </w:p>
          <w:p w14:paraId="66A47725" w14:textId="3475F626" w:rsidR="0088395F" w:rsidRPr="001C5161" w:rsidRDefault="0088395F" w:rsidP="00F12D5D">
            <w:pPr>
              <w:spacing w:after="120"/>
              <w:rPr>
                <w:rFonts w:cs="Arial"/>
              </w:rPr>
            </w:pPr>
            <w:r>
              <w:rPr>
                <w:rFonts w:cs="Arial"/>
              </w:rPr>
              <w:t>Reports about compliance</w:t>
            </w:r>
          </w:p>
        </w:tc>
        <w:tc>
          <w:tcPr>
            <w:tcW w:w="5244" w:type="dxa"/>
          </w:tcPr>
          <w:p w14:paraId="2DEFFD87" w14:textId="2EDD6442" w:rsidR="00980CAF" w:rsidRPr="00980CAF" w:rsidRDefault="00980CAF" w:rsidP="00F12D5D">
            <w:pPr>
              <w:spacing w:after="120"/>
              <w:rPr>
                <w:rFonts w:cs="Arial"/>
              </w:rPr>
            </w:pPr>
            <w:r>
              <w:rPr>
                <w:rFonts w:cs="Arial"/>
              </w:rPr>
              <w:t>Requiring</w:t>
            </w:r>
            <w:r w:rsidRPr="00980CAF">
              <w:rPr>
                <w:rFonts w:cs="Arial"/>
              </w:rPr>
              <w:t xml:space="preserve"> the consent of the person </w:t>
            </w:r>
            <w:r>
              <w:rPr>
                <w:rFonts w:cs="Arial"/>
              </w:rPr>
              <w:t>fetters</w:t>
            </w:r>
            <w:r w:rsidRPr="00980CAF">
              <w:rPr>
                <w:rFonts w:cs="Arial"/>
              </w:rPr>
              <w:t xml:space="preserve"> the independence of the </w:t>
            </w:r>
            <w:r>
              <w:rPr>
                <w:rFonts w:cs="Arial"/>
              </w:rPr>
              <w:t>QHRC</w:t>
            </w:r>
            <w:r w:rsidRPr="00980CAF">
              <w:rPr>
                <w:rFonts w:cs="Arial"/>
              </w:rPr>
              <w:t xml:space="preserve"> and </w:t>
            </w:r>
            <w:r>
              <w:rPr>
                <w:rFonts w:cs="Arial"/>
              </w:rPr>
              <w:t>weakens</w:t>
            </w:r>
            <w:r w:rsidRPr="00980CAF">
              <w:rPr>
                <w:rFonts w:cs="Arial"/>
              </w:rPr>
              <w:t xml:space="preserve"> the voluntary nature of this regulatory tool. Often, duty holders will be more likely to voluntarily comply if they are aware a report will be published. </w:t>
            </w:r>
          </w:p>
          <w:p w14:paraId="600E6808" w14:textId="72F1E85E" w:rsidR="00980CAF" w:rsidRPr="00980CAF" w:rsidRDefault="00980CAF" w:rsidP="00F12D5D">
            <w:pPr>
              <w:spacing w:after="120"/>
              <w:rPr>
                <w:rFonts w:cs="Arial"/>
              </w:rPr>
            </w:pPr>
            <w:r w:rsidRPr="00980CAF">
              <w:rPr>
                <w:rFonts w:cs="Arial"/>
              </w:rPr>
              <w:t xml:space="preserve">Not having sufficient reporting powers under the Reviews function means the </w:t>
            </w:r>
            <w:r>
              <w:rPr>
                <w:rFonts w:cs="Arial"/>
              </w:rPr>
              <w:t>QHRC</w:t>
            </w:r>
            <w:r w:rsidRPr="00980CAF">
              <w:rPr>
                <w:rFonts w:cs="Arial"/>
              </w:rPr>
              <w:t xml:space="preserve"> may be more likely to commence investigations rather than attempt to achieve voluntary compliance because without sufficient reporting powers the capacity to drive change is </w:t>
            </w:r>
            <w:r>
              <w:rPr>
                <w:rFonts w:cs="Arial"/>
              </w:rPr>
              <w:t>limited</w:t>
            </w:r>
            <w:r w:rsidRPr="00980CAF">
              <w:rPr>
                <w:rFonts w:cs="Arial"/>
              </w:rPr>
              <w:t xml:space="preserve">. </w:t>
            </w:r>
          </w:p>
          <w:p w14:paraId="23B9EE39" w14:textId="3E899B80" w:rsidR="00980CAF" w:rsidRPr="00980CAF" w:rsidRDefault="0063609E" w:rsidP="00F12D5D">
            <w:pPr>
              <w:spacing w:after="120"/>
              <w:rPr>
                <w:rFonts w:cs="Arial"/>
              </w:rPr>
            </w:pPr>
            <w:r>
              <w:rPr>
                <w:rFonts w:cs="Arial"/>
              </w:rPr>
              <w:t xml:space="preserve">The legislation </w:t>
            </w:r>
            <w:r w:rsidR="00980CAF" w:rsidRPr="00980CAF">
              <w:rPr>
                <w:rFonts w:cs="Arial"/>
              </w:rPr>
              <w:t xml:space="preserve">should impose procedural fairness obligations on the </w:t>
            </w:r>
            <w:r>
              <w:rPr>
                <w:rFonts w:cs="Arial"/>
              </w:rPr>
              <w:t>QHRC</w:t>
            </w:r>
            <w:r w:rsidR="00980CAF" w:rsidRPr="00980CAF">
              <w:rPr>
                <w:rFonts w:cs="Arial"/>
              </w:rPr>
              <w:t xml:space="preserve"> and in doing so, contemplate that adverse comment may be contained in these reports. </w:t>
            </w:r>
          </w:p>
          <w:p w14:paraId="47E0F27B" w14:textId="77777777" w:rsidR="00970D03" w:rsidRDefault="00F023D4" w:rsidP="00F12D5D">
            <w:pPr>
              <w:spacing w:after="120"/>
              <w:rPr>
                <w:rFonts w:cs="Arial"/>
              </w:rPr>
            </w:pPr>
            <w:r>
              <w:rPr>
                <w:rFonts w:cs="Arial"/>
              </w:rPr>
              <w:t xml:space="preserve">There should be an option of providing a report to </w:t>
            </w:r>
            <w:r w:rsidR="00980CAF" w:rsidRPr="00980CAF">
              <w:rPr>
                <w:rFonts w:cs="Arial"/>
              </w:rPr>
              <w:t>the Minister for tabling, rather than only publish</w:t>
            </w:r>
            <w:r>
              <w:rPr>
                <w:rFonts w:cs="Arial"/>
              </w:rPr>
              <w:t xml:space="preserve">ing it </w:t>
            </w:r>
            <w:r w:rsidR="00980CAF" w:rsidRPr="00980CAF">
              <w:rPr>
                <w:rFonts w:cs="Arial"/>
              </w:rPr>
              <w:t>on the Commission’s website.</w:t>
            </w:r>
          </w:p>
          <w:p w14:paraId="4E7BB1AA" w14:textId="2D0EABFC" w:rsidR="0057073C" w:rsidRPr="001C5161" w:rsidRDefault="0057073C" w:rsidP="00F12D5D">
            <w:pPr>
              <w:pStyle w:val="Numberedparagraph"/>
              <w:spacing w:after="120" w:line="240" w:lineRule="auto"/>
              <w:contextualSpacing w:val="0"/>
            </w:pPr>
            <w:r>
              <w:t xml:space="preserve">Additionally, the scope of report should be changed. Current drafting </w:t>
            </w:r>
            <w:r w:rsidR="00900BFE">
              <w:t>in</w:t>
            </w:r>
            <w:r>
              <w:t xml:space="preserve"> s150(1)</w:t>
            </w:r>
            <w:r w:rsidR="00900BFE">
              <w:t xml:space="preserve"> is too restrictive</w:t>
            </w:r>
            <w:r>
              <w:t xml:space="preserve"> – ‘… a report about the steps taken by the person to comply with the </w:t>
            </w:r>
            <w:r>
              <w:lastRenderedPageBreak/>
              <w:t xml:space="preserve">Act’. </w:t>
            </w:r>
            <w:r w:rsidR="00900BFE">
              <w:t>A report</w:t>
            </w:r>
            <w:r>
              <w:t xml:space="preserve"> is not likely to be about steps already taken but steps that </w:t>
            </w:r>
            <w:r w:rsidRPr="00CF53E2">
              <w:rPr>
                <w:i/>
                <w:iCs/>
              </w:rPr>
              <w:t>should</w:t>
            </w:r>
            <w:r>
              <w:t xml:space="preserve"> be taken to comply.</w:t>
            </w:r>
          </w:p>
        </w:tc>
        <w:tc>
          <w:tcPr>
            <w:tcW w:w="6542" w:type="dxa"/>
          </w:tcPr>
          <w:p w14:paraId="7E08F902" w14:textId="47D881C8" w:rsidR="005E18FE" w:rsidRPr="00F54B40" w:rsidRDefault="00D069E6" w:rsidP="00F12D5D">
            <w:pPr>
              <w:spacing w:after="120"/>
              <w:rPr>
                <w:rFonts w:cs="Arial"/>
              </w:rPr>
            </w:pPr>
            <w:r w:rsidRPr="00F54B40">
              <w:rPr>
                <w:rFonts w:cs="Arial"/>
              </w:rPr>
              <w:lastRenderedPageBreak/>
              <w:t xml:space="preserve">Clause </w:t>
            </w:r>
            <w:r w:rsidR="005E18FE" w:rsidRPr="00F54B40">
              <w:rPr>
                <w:rFonts w:cs="Arial"/>
              </w:rPr>
              <w:t>150(1) should be amended as follows:</w:t>
            </w:r>
          </w:p>
          <w:p w14:paraId="74D7AD63" w14:textId="2BF06B27" w:rsidR="00D808E0" w:rsidRDefault="005E18FE" w:rsidP="00F12D5D">
            <w:pPr>
              <w:pStyle w:val="ListParagraph"/>
              <w:numPr>
                <w:ilvl w:val="0"/>
                <w:numId w:val="16"/>
              </w:numPr>
              <w:spacing w:after="120"/>
              <w:rPr>
                <w:rFonts w:cs="Arial"/>
              </w:rPr>
            </w:pPr>
            <w:r w:rsidRPr="00F54B40">
              <w:rPr>
                <w:rFonts w:cs="Arial"/>
                <w:strike/>
              </w:rPr>
              <w:t>With the consent of a person</w:t>
            </w:r>
            <w:r w:rsidR="00D808E0" w:rsidRPr="00F54B40">
              <w:rPr>
                <w:rFonts w:cs="Arial"/>
                <w:strike/>
              </w:rPr>
              <w:t xml:space="preserve"> </w:t>
            </w:r>
            <w:proofErr w:type="gramStart"/>
            <w:r w:rsidR="00D808E0" w:rsidRPr="00F54B40">
              <w:rPr>
                <w:rFonts w:cs="Arial"/>
                <w:color w:val="347B9F"/>
              </w:rPr>
              <w:t>T</w:t>
            </w:r>
            <w:r w:rsidR="00D808E0" w:rsidRPr="00F54B40">
              <w:rPr>
                <w:rFonts w:cs="Arial"/>
              </w:rPr>
              <w:t>he</w:t>
            </w:r>
            <w:proofErr w:type="gramEnd"/>
            <w:r w:rsidR="00D808E0" w:rsidRPr="00F54B40">
              <w:rPr>
                <w:rFonts w:cs="Arial"/>
              </w:rPr>
              <w:t xml:space="preserve"> </w:t>
            </w:r>
            <w:r w:rsidR="00A8526D" w:rsidRPr="00CD562C">
              <w:rPr>
                <w:rFonts w:cs="Arial"/>
              </w:rPr>
              <w:t>commission</w:t>
            </w:r>
            <w:r w:rsidR="00D808E0" w:rsidRPr="00CD562C">
              <w:rPr>
                <w:rFonts w:cs="Arial"/>
              </w:rPr>
              <w:t xml:space="preserve"> may publish</w:t>
            </w:r>
            <w:r w:rsidR="00A13FF5" w:rsidRPr="00CD562C">
              <w:rPr>
                <w:rFonts w:cs="Arial"/>
              </w:rPr>
              <w:t xml:space="preserve"> a report</w:t>
            </w:r>
            <w:r w:rsidR="00A13FF5" w:rsidRPr="00F54B40">
              <w:rPr>
                <w:rFonts w:cs="Arial"/>
                <w:color w:val="347B9F"/>
              </w:rPr>
              <w:t xml:space="preserve">, </w:t>
            </w:r>
            <w:r w:rsidR="00532217" w:rsidRPr="00F54B40">
              <w:rPr>
                <w:rFonts w:cs="Arial"/>
                <w:color w:val="347B9F"/>
              </w:rPr>
              <w:t xml:space="preserve">about </w:t>
            </w:r>
            <w:r w:rsidR="00340124" w:rsidRPr="00F54B40">
              <w:rPr>
                <w:rFonts w:cs="Arial"/>
                <w:color w:val="347B9F"/>
              </w:rPr>
              <w:t>a matter arising from</w:t>
            </w:r>
            <w:r w:rsidR="00532217" w:rsidRPr="00F54B40">
              <w:rPr>
                <w:rFonts w:cs="Arial"/>
                <w:color w:val="347B9F"/>
              </w:rPr>
              <w:t xml:space="preserve"> the </w:t>
            </w:r>
            <w:r w:rsidR="00340124" w:rsidRPr="00F54B40">
              <w:rPr>
                <w:rFonts w:cs="Arial"/>
                <w:color w:val="347B9F"/>
              </w:rPr>
              <w:t>performance of</w:t>
            </w:r>
            <w:r w:rsidR="00532217" w:rsidRPr="00F54B40">
              <w:rPr>
                <w:rFonts w:cs="Arial"/>
                <w:color w:val="347B9F"/>
              </w:rPr>
              <w:t xml:space="preserve"> the </w:t>
            </w:r>
            <w:r w:rsidR="00340124" w:rsidRPr="00F54B40">
              <w:rPr>
                <w:rFonts w:cs="Arial"/>
                <w:color w:val="347B9F"/>
              </w:rPr>
              <w:t xml:space="preserve">Commission’s function under section </w:t>
            </w:r>
            <w:r w:rsidR="00AB6A37" w:rsidRPr="00F54B40">
              <w:rPr>
                <w:rFonts w:cs="Arial"/>
                <w:color w:val="347B9F"/>
              </w:rPr>
              <w:t xml:space="preserve">149. </w:t>
            </w:r>
          </w:p>
          <w:p w14:paraId="58B03582" w14:textId="2C6E7EF2" w:rsidR="00340124" w:rsidRPr="00340124" w:rsidRDefault="00340124" w:rsidP="00F12D5D">
            <w:pPr>
              <w:pStyle w:val="ListParagraph"/>
              <w:spacing w:after="120"/>
              <w:rPr>
                <w:rFonts w:cs="Arial"/>
              </w:rPr>
            </w:pPr>
          </w:p>
          <w:p w14:paraId="7A5B9DD2" w14:textId="707DA7FA" w:rsidR="00D069E6" w:rsidRPr="00D069E6" w:rsidRDefault="00D069E6" w:rsidP="00F12D5D">
            <w:pPr>
              <w:spacing w:after="120"/>
              <w:rPr>
                <w:rFonts w:cs="Arial"/>
              </w:rPr>
            </w:pPr>
            <w:r>
              <w:rPr>
                <w:rFonts w:cs="Arial"/>
              </w:rPr>
              <w:t xml:space="preserve">Consider including </w:t>
            </w:r>
            <w:r w:rsidR="007F4C53">
              <w:rPr>
                <w:rFonts w:cs="Arial"/>
              </w:rPr>
              <w:t xml:space="preserve">further clauses in relation to reports about compliance to </w:t>
            </w:r>
            <w:r w:rsidR="00B0798D">
              <w:rPr>
                <w:rFonts w:cs="Arial"/>
              </w:rPr>
              <w:t>legislate for</w:t>
            </w:r>
            <w:r w:rsidR="007F4C53">
              <w:rPr>
                <w:rFonts w:cs="Arial"/>
              </w:rPr>
              <w:t xml:space="preserve"> an ‘adverse comment’ process, drafted similarly to cl 145</w:t>
            </w:r>
            <w:r w:rsidR="00B0798D">
              <w:rPr>
                <w:rFonts w:cs="Arial"/>
              </w:rPr>
              <w:t>(2)(b).</w:t>
            </w:r>
            <w:r>
              <w:rPr>
                <w:rFonts w:cs="Arial"/>
              </w:rPr>
              <w:t xml:space="preserve"> </w:t>
            </w:r>
          </w:p>
        </w:tc>
      </w:tr>
      <w:tr w:rsidR="00970D03" w:rsidRPr="001C5161" w14:paraId="491B209B" w14:textId="77777777" w:rsidTr="00AE612A">
        <w:tc>
          <w:tcPr>
            <w:tcW w:w="2122" w:type="dxa"/>
          </w:tcPr>
          <w:p w14:paraId="2D9E4476" w14:textId="77777777" w:rsidR="00970D03" w:rsidRDefault="003D471A" w:rsidP="00F12D5D">
            <w:pPr>
              <w:spacing w:after="120"/>
              <w:rPr>
                <w:rFonts w:cs="Arial"/>
              </w:rPr>
            </w:pPr>
            <w:r>
              <w:rPr>
                <w:rFonts w:cs="Arial"/>
              </w:rPr>
              <w:t>Part 11</w:t>
            </w:r>
          </w:p>
          <w:p w14:paraId="296018D8" w14:textId="6F71C9D7" w:rsidR="003D471A" w:rsidRPr="001C5161" w:rsidRDefault="003D471A" w:rsidP="00F12D5D">
            <w:pPr>
              <w:spacing w:after="120"/>
              <w:rPr>
                <w:rFonts w:cs="Arial"/>
              </w:rPr>
            </w:pPr>
            <w:r>
              <w:rPr>
                <w:rFonts w:cs="Arial"/>
              </w:rPr>
              <w:t>Opinions</w:t>
            </w:r>
          </w:p>
        </w:tc>
        <w:tc>
          <w:tcPr>
            <w:tcW w:w="5244" w:type="dxa"/>
          </w:tcPr>
          <w:p w14:paraId="66A5D5C8" w14:textId="5BF74EDE" w:rsidR="00970D03" w:rsidRPr="001C5161" w:rsidRDefault="006256E9" w:rsidP="00F12D5D">
            <w:pPr>
              <w:spacing w:after="120"/>
              <w:rPr>
                <w:rFonts w:cs="Arial"/>
              </w:rPr>
            </w:pPr>
            <w:r>
              <w:rPr>
                <w:rFonts w:cs="Arial"/>
              </w:rPr>
              <w:t>Opinions</w:t>
            </w:r>
            <w:r w:rsidR="003D471A">
              <w:rPr>
                <w:rFonts w:cs="Arial"/>
              </w:rPr>
              <w:t xml:space="preserve"> are rarely utilised, and the QHRC would support their removal from the Act.</w:t>
            </w:r>
          </w:p>
        </w:tc>
        <w:tc>
          <w:tcPr>
            <w:tcW w:w="6542" w:type="dxa"/>
          </w:tcPr>
          <w:p w14:paraId="03074628" w14:textId="54EED343" w:rsidR="00970D03" w:rsidRPr="001C5161" w:rsidRDefault="003D471A" w:rsidP="00F12D5D">
            <w:pPr>
              <w:spacing w:after="120"/>
              <w:rPr>
                <w:rFonts w:cs="Arial"/>
              </w:rPr>
            </w:pPr>
            <w:r>
              <w:rPr>
                <w:rFonts w:cs="Arial"/>
              </w:rPr>
              <w:t>Omit Part 11.</w:t>
            </w:r>
          </w:p>
        </w:tc>
      </w:tr>
      <w:tr w:rsidR="00970D03" w:rsidRPr="001C5161" w14:paraId="5E11F5B7" w14:textId="77777777" w:rsidTr="00AE612A">
        <w:tc>
          <w:tcPr>
            <w:tcW w:w="2122" w:type="dxa"/>
          </w:tcPr>
          <w:p w14:paraId="682A8715" w14:textId="77777777" w:rsidR="00970D03" w:rsidRDefault="007E6517" w:rsidP="00F12D5D">
            <w:pPr>
              <w:spacing w:after="120"/>
              <w:rPr>
                <w:rFonts w:cs="Arial"/>
              </w:rPr>
            </w:pPr>
            <w:r>
              <w:rPr>
                <w:rFonts w:cs="Arial"/>
              </w:rPr>
              <w:t>Cl 171</w:t>
            </w:r>
          </w:p>
          <w:p w14:paraId="30BEBD5E" w14:textId="0418CF64" w:rsidR="007E6517" w:rsidRPr="001C5161" w:rsidRDefault="00811D1D" w:rsidP="00F12D5D">
            <w:pPr>
              <w:spacing w:after="120"/>
              <w:rPr>
                <w:rFonts w:cs="Arial"/>
              </w:rPr>
            </w:pPr>
            <w:r>
              <w:rPr>
                <w:rFonts w:cs="Arial"/>
              </w:rPr>
              <w:t>Commission’s functions</w:t>
            </w:r>
          </w:p>
        </w:tc>
        <w:tc>
          <w:tcPr>
            <w:tcW w:w="5244" w:type="dxa"/>
          </w:tcPr>
          <w:p w14:paraId="4CF0577E" w14:textId="77777777" w:rsidR="00970D03" w:rsidRDefault="00C2037F" w:rsidP="00F12D5D">
            <w:pPr>
              <w:spacing w:after="120"/>
              <w:rPr>
                <w:rFonts w:cs="Arial"/>
              </w:rPr>
            </w:pPr>
            <w:r>
              <w:rPr>
                <w:rFonts w:cs="Arial"/>
              </w:rPr>
              <w:t xml:space="preserve">Inconsistent with </w:t>
            </w:r>
            <w:r w:rsidR="00780CD0">
              <w:rPr>
                <w:rFonts w:cs="Arial"/>
                <w:i/>
                <w:iCs/>
              </w:rPr>
              <w:t xml:space="preserve">Building belonging </w:t>
            </w:r>
            <w:r w:rsidR="00780CD0">
              <w:rPr>
                <w:rFonts w:cs="Arial"/>
              </w:rPr>
              <w:t xml:space="preserve">review recommendation </w:t>
            </w:r>
            <w:r w:rsidR="000438B8">
              <w:rPr>
                <w:rFonts w:cs="Arial"/>
              </w:rPr>
              <w:t>27</w:t>
            </w:r>
            <w:r w:rsidR="00780CD0">
              <w:rPr>
                <w:rFonts w:cs="Arial"/>
              </w:rPr>
              <w:t xml:space="preserve"> that the Commission’s functions should include the ability to recommend to the Attorney-General that additional grounds of discrimination be included in the Act. </w:t>
            </w:r>
          </w:p>
          <w:p w14:paraId="20738E93" w14:textId="7BE3300A" w:rsidR="00245ED3" w:rsidRPr="00780CD0" w:rsidRDefault="00245ED3" w:rsidP="00F12D5D">
            <w:pPr>
              <w:spacing w:after="120"/>
              <w:rPr>
                <w:rFonts w:cs="Arial"/>
              </w:rPr>
            </w:pPr>
            <w:r>
              <w:rPr>
                <w:rFonts w:cs="Arial"/>
              </w:rPr>
              <w:t>The requirement to wait for a request from the Minister is unnecessarily restrictive.</w:t>
            </w:r>
          </w:p>
        </w:tc>
        <w:tc>
          <w:tcPr>
            <w:tcW w:w="6542" w:type="dxa"/>
          </w:tcPr>
          <w:p w14:paraId="75A69225" w14:textId="58A86E82" w:rsidR="00970D03" w:rsidRDefault="000438B8" w:rsidP="00F12D5D">
            <w:pPr>
              <w:spacing w:after="120"/>
              <w:rPr>
                <w:rFonts w:cs="Arial"/>
              </w:rPr>
            </w:pPr>
            <w:r>
              <w:rPr>
                <w:rFonts w:cs="Arial"/>
              </w:rPr>
              <w:t>Amend clause 171(1)(c) as follows</w:t>
            </w:r>
          </w:p>
          <w:p w14:paraId="0C316590" w14:textId="1494A879" w:rsidR="000438B8" w:rsidRPr="000438B8" w:rsidRDefault="000438B8" w:rsidP="00F12D5D">
            <w:pPr>
              <w:pStyle w:val="ListParagraph"/>
              <w:numPr>
                <w:ilvl w:val="0"/>
                <w:numId w:val="12"/>
              </w:numPr>
              <w:spacing w:after="120"/>
              <w:rPr>
                <w:rFonts w:cs="Arial"/>
              </w:rPr>
            </w:pPr>
            <w:r w:rsidRPr="000438B8">
              <w:rPr>
                <w:rFonts w:cs="Arial"/>
                <w:strike/>
              </w:rPr>
              <w:t>When requested by the Minister</w:t>
            </w:r>
            <w:r>
              <w:rPr>
                <w:rFonts w:cs="Arial"/>
              </w:rPr>
              <w:t xml:space="preserve"> </w:t>
            </w:r>
            <w:r w:rsidRPr="00F54B40">
              <w:rPr>
                <w:rFonts w:cs="Arial"/>
                <w:color w:val="347B9F"/>
              </w:rPr>
              <w:t>T</w:t>
            </w:r>
            <w:r>
              <w:rPr>
                <w:rFonts w:cs="Arial"/>
              </w:rPr>
              <w:t>o research and exami</w:t>
            </w:r>
            <w:r w:rsidR="00245ED3">
              <w:rPr>
                <w:rFonts w:cs="Arial"/>
              </w:rPr>
              <w:t>ne additional attributes and to make recommendations to the Minister for the inclusion of the attributes as protected attributes under this Act.</w:t>
            </w:r>
          </w:p>
        </w:tc>
      </w:tr>
      <w:tr w:rsidR="00970D03" w:rsidRPr="001C5161" w14:paraId="0697337D" w14:textId="77777777" w:rsidTr="00AE612A">
        <w:tc>
          <w:tcPr>
            <w:tcW w:w="2122" w:type="dxa"/>
          </w:tcPr>
          <w:p w14:paraId="5E3E2388" w14:textId="77777777" w:rsidR="00970D03" w:rsidRDefault="00F53E87" w:rsidP="00F12D5D">
            <w:pPr>
              <w:spacing w:after="120"/>
              <w:rPr>
                <w:rFonts w:cs="Arial"/>
              </w:rPr>
            </w:pPr>
            <w:r>
              <w:rPr>
                <w:rFonts w:cs="Arial"/>
              </w:rPr>
              <w:t>Cl 173</w:t>
            </w:r>
          </w:p>
          <w:p w14:paraId="720C545B" w14:textId="454DC73E" w:rsidR="00F53E87" w:rsidRPr="001C5161" w:rsidRDefault="00F53E87" w:rsidP="00F12D5D">
            <w:pPr>
              <w:spacing w:after="120"/>
              <w:rPr>
                <w:rFonts w:cs="Arial"/>
              </w:rPr>
            </w:pPr>
            <w:r>
              <w:rPr>
                <w:rFonts w:cs="Arial"/>
              </w:rPr>
              <w:t>Appointment of commissioner</w:t>
            </w:r>
          </w:p>
        </w:tc>
        <w:tc>
          <w:tcPr>
            <w:tcW w:w="5244" w:type="dxa"/>
          </w:tcPr>
          <w:p w14:paraId="25FD391C" w14:textId="1173FE23" w:rsidR="00970D03" w:rsidRDefault="002B62BC" w:rsidP="00F12D5D">
            <w:pPr>
              <w:spacing w:after="120"/>
              <w:rPr>
                <w:rFonts w:cs="Arial"/>
              </w:rPr>
            </w:pPr>
            <w:r>
              <w:rPr>
                <w:rFonts w:cs="Arial"/>
              </w:rPr>
              <w:t xml:space="preserve">The </w:t>
            </w:r>
            <w:r w:rsidR="006E25EE">
              <w:rPr>
                <w:rFonts w:cs="Arial"/>
              </w:rPr>
              <w:t>drafting</w:t>
            </w:r>
            <w:r>
              <w:rPr>
                <w:rFonts w:cs="Arial"/>
              </w:rPr>
              <w:t xml:space="preserve"> currently makes it unclear whether a reappointment can occur</w:t>
            </w:r>
            <w:r w:rsidR="0051122E">
              <w:rPr>
                <w:rFonts w:cs="Arial"/>
              </w:rPr>
              <w:t>, and how long a person can hold office in total</w:t>
            </w:r>
            <w:r>
              <w:rPr>
                <w:rFonts w:cs="Arial"/>
              </w:rPr>
              <w:t>.</w:t>
            </w:r>
          </w:p>
          <w:p w14:paraId="5E0D0FF5" w14:textId="32606F5F" w:rsidR="00744180" w:rsidRPr="001C5161" w:rsidRDefault="006E25EE" w:rsidP="00F12D5D">
            <w:pPr>
              <w:spacing w:after="120"/>
              <w:rPr>
                <w:rFonts w:cs="Arial"/>
              </w:rPr>
            </w:pPr>
            <w:r>
              <w:rPr>
                <w:rFonts w:cs="Arial"/>
              </w:rPr>
              <w:t xml:space="preserve">An alternative approach would be to follow the </w:t>
            </w:r>
            <w:r w:rsidR="0081060A">
              <w:rPr>
                <w:rFonts w:cs="Arial"/>
              </w:rPr>
              <w:t>approach</w:t>
            </w:r>
            <w:r>
              <w:rPr>
                <w:rFonts w:cs="Arial"/>
              </w:rPr>
              <w:t xml:space="preserve"> of the </w:t>
            </w:r>
            <w:r w:rsidRPr="0081060A">
              <w:rPr>
                <w:rFonts w:cs="Arial"/>
                <w:i/>
                <w:iCs/>
              </w:rPr>
              <w:t>Legal Profession Act 2007</w:t>
            </w:r>
            <w:r>
              <w:rPr>
                <w:rFonts w:cs="Arial"/>
              </w:rPr>
              <w:t xml:space="preserve"> in relation to the appointment of the Legal Services Commissioner</w:t>
            </w:r>
            <w:r w:rsidR="0098007C">
              <w:rPr>
                <w:rFonts w:cs="Arial"/>
              </w:rPr>
              <w:t xml:space="preserve">, or the </w:t>
            </w:r>
            <w:r w:rsidR="0098007C" w:rsidRPr="0081060A">
              <w:rPr>
                <w:rFonts w:cs="Arial"/>
                <w:i/>
                <w:iCs/>
              </w:rPr>
              <w:t>Crime and Corruption Act 2001</w:t>
            </w:r>
            <w:r w:rsidR="0098007C">
              <w:rPr>
                <w:rFonts w:cs="Arial"/>
              </w:rPr>
              <w:t xml:space="preserve"> in relation to the appointment of the Chairperson</w:t>
            </w:r>
            <w:r w:rsidR="00744180">
              <w:rPr>
                <w:rFonts w:cs="Arial"/>
              </w:rPr>
              <w:t>.</w:t>
            </w:r>
          </w:p>
        </w:tc>
        <w:tc>
          <w:tcPr>
            <w:tcW w:w="6542" w:type="dxa"/>
          </w:tcPr>
          <w:p w14:paraId="0D04A488" w14:textId="211EF6BC" w:rsidR="00970D03" w:rsidRDefault="00250998" w:rsidP="00F12D5D">
            <w:pPr>
              <w:spacing w:after="120"/>
              <w:rPr>
                <w:rFonts w:cs="Arial"/>
              </w:rPr>
            </w:pPr>
            <w:r>
              <w:rPr>
                <w:rFonts w:cs="Arial"/>
              </w:rPr>
              <w:t xml:space="preserve">Add a </w:t>
            </w:r>
            <w:r w:rsidR="0019318F">
              <w:rPr>
                <w:rFonts w:cs="Arial"/>
              </w:rPr>
              <w:t>sub-</w:t>
            </w:r>
            <w:r>
              <w:rPr>
                <w:rFonts w:cs="Arial"/>
              </w:rPr>
              <w:t>clause that states:</w:t>
            </w:r>
          </w:p>
          <w:p w14:paraId="362A0F3C" w14:textId="3900B40E" w:rsidR="00250998" w:rsidRPr="00250998" w:rsidRDefault="0051122E" w:rsidP="00F12D5D">
            <w:pPr>
              <w:spacing w:after="120"/>
              <w:ind w:left="720"/>
              <w:rPr>
                <w:rFonts w:cs="Arial"/>
              </w:rPr>
            </w:pPr>
            <w:r>
              <w:rPr>
                <w:rFonts w:cs="Arial"/>
              </w:rPr>
              <w:t xml:space="preserve">The commissioner may be </w:t>
            </w:r>
            <w:r w:rsidR="0081060A">
              <w:rPr>
                <w:rFonts w:cs="Arial"/>
              </w:rPr>
              <w:t>reappointed but</w:t>
            </w:r>
            <w:r w:rsidR="00F50D7B">
              <w:rPr>
                <w:rFonts w:cs="Arial"/>
              </w:rPr>
              <w:t xml:space="preserve"> </w:t>
            </w:r>
            <w:r w:rsidR="00CD562C">
              <w:rPr>
                <w:rFonts w:cs="Arial"/>
              </w:rPr>
              <w:t>must</w:t>
            </w:r>
            <w:r w:rsidR="00F50D7B">
              <w:rPr>
                <w:rFonts w:cs="Arial"/>
              </w:rPr>
              <w:t xml:space="preserve"> not hold that office for more than 10 years in total.</w:t>
            </w:r>
          </w:p>
        </w:tc>
      </w:tr>
      <w:tr w:rsidR="00970D03" w:rsidRPr="001C5161" w14:paraId="4E9BDDD4" w14:textId="77777777" w:rsidTr="00AE612A">
        <w:tc>
          <w:tcPr>
            <w:tcW w:w="2122" w:type="dxa"/>
          </w:tcPr>
          <w:p w14:paraId="138417D7" w14:textId="77777777" w:rsidR="00970D03" w:rsidRDefault="00A34DB0" w:rsidP="00F12D5D">
            <w:pPr>
              <w:spacing w:after="120"/>
              <w:rPr>
                <w:rFonts w:cs="Arial"/>
              </w:rPr>
            </w:pPr>
            <w:r>
              <w:rPr>
                <w:rFonts w:cs="Arial"/>
              </w:rPr>
              <w:t>Cl 237</w:t>
            </w:r>
          </w:p>
          <w:p w14:paraId="719EE8D8" w14:textId="24DCB74B" w:rsidR="00A34DB0" w:rsidRPr="001C5161" w:rsidRDefault="00A34DB0" w:rsidP="00F12D5D">
            <w:pPr>
              <w:spacing w:after="120"/>
              <w:rPr>
                <w:rFonts w:cs="Arial"/>
              </w:rPr>
            </w:pPr>
            <w:r>
              <w:rPr>
                <w:rFonts w:cs="Arial"/>
              </w:rPr>
              <w:t>Commission report about operation of Act</w:t>
            </w:r>
          </w:p>
        </w:tc>
        <w:tc>
          <w:tcPr>
            <w:tcW w:w="5244" w:type="dxa"/>
          </w:tcPr>
          <w:p w14:paraId="4EEBDA90" w14:textId="700DB8AF" w:rsidR="00555C58" w:rsidRPr="00F54B40" w:rsidRDefault="00555C58" w:rsidP="00F12D5D">
            <w:pPr>
              <w:spacing w:after="120"/>
              <w:rPr>
                <w:rFonts w:cs="Arial"/>
                <w:i/>
                <w:iCs/>
              </w:rPr>
            </w:pPr>
            <w:r w:rsidRPr="00F54B40">
              <w:rPr>
                <w:rFonts w:cs="Arial"/>
              </w:rPr>
              <w:t>An issue arises currently with the QHRC’s reporting under section 91</w:t>
            </w:r>
            <w:r w:rsidR="008B1377" w:rsidRPr="00F54B40">
              <w:rPr>
                <w:rFonts w:cs="Arial"/>
              </w:rPr>
              <w:t>(e)</w:t>
            </w:r>
            <w:r w:rsidRPr="00F54B40">
              <w:rPr>
                <w:rFonts w:cs="Arial"/>
              </w:rPr>
              <w:t xml:space="preserve"> of the </w:t>
            </w:r>
            <w:r w:rsidRPr="00F54B40">
              <w:rPr>
                <w:rFonts w:cs="Arial"/>
                <w:i/>
                <w:iCs/>
              </w:rPr>
              <w:t>Human Rights Act 2019</w:t>
            </w:r>
            <w:r w:rsidR="008E6B02" w:rsidRPr="00F54B40">
              <w:rPr>
                <w:rFonts w:cs="Arial"/>
                <w:i/>
                <w:iCs/>
              </w:rPr>
              <w:t xml:space="preserve"> </w:t>
            </w:r>
            <w:r w:rsidR="008E6B02" w:rsidRPr="00F54B40">
              <w:rPr>
                <w:rFonts w:cs="Arial"/>
              </w:rPr>
              <w:t>in which the QHRC is required to report on the number of human rights complaints ‘made or referred’ to the commissioner</w:t>
            </w:r>
            <w:r w:rsidRPr="00F54B40">
              <w:rPr>
                <w:rFonts w:cs="Arial"/>
                <w:i/>
                <w:iCs/>
              </w:rPr>
              <w:t xml:space="preserve">. </w:t>
            </w:r>
          </w:p>
          <w:p w14:paraId="79AD452C" w14:textId="754AEFFE" w:rsidR="00684A91" w:rsidRPr="00F54B40" w:rsidRDefault="008E6B02" w:rsidP="00F12D5D">
            <w:pPr>
              <w:spacing w:before="120" w:after="120"/>
              <w:rPr>
                <w:rFonts w:cs="Arial"/>
              </w:rPr>
            </w:pPr>
            <w:r w:rsidRPr="00F54B40">
              <w:rPr>
                <w:rFonts w:cs="Arial"/>
              </w:rPr>
              <w:t>The problem has arisen</w:t>
            </w:r>
            <w:r w:rsidR="00684A91" w:rsidRPr="00F54B40">
              <w:rPr>
                <w:rFonts w:cs="Arial"/>
              </w:rPr>
              <w:t xml:space="preserve"> because the QHRC has a single complaint </w:t>
            </w:r>
            <w:proofErr w:type="spellStart"/>
            <w:r w:rsidR="00684A91" w:rsidRPr="00F54B40">
              <w:rPr>
                <w:rFonts w:cs="Arial"/>
              </w:rPr>
              <w:t>form</w:t>
            </w:r>
            <w:proofErr w:type="spellEnd"/>
            <w:r w:rsidR="00684A91" w:rsidRPr="00F54B40">
              <w:rPr>
                <w:rFonts w:cs="Arial"/>
              </w:rPr>
              <w:t xml:space="preserve"> where a person may make a complaint about either the Human Rights Act, the Anti-Discrimination Act, or </w:t>
            </w:r>
            <w:r w:rsidRPr="00F54B40">
              <w:rPr>
                <w:rFonts w:cs="Arial"/>
              </w:rPr>
              <w:t>both. Having only one complaint form improves access to justice, since many unrepresented complainants do not know which Act or Acts their matter falls under when lodging.</w:t>
            </w:r>
          </w:p>
          <w:p w14:paraId="4A52DC6E" w14:textId="6F3B729B" w:rsidR="008E6B02" w:rsidRPr="00F54B40" w:rsidRDefault="008E6B02" w:rsidP="00F12D5D">
            <w:pPr>
              <w:spacing w:before="120" w:after="120"/>
              <w:rPr>
                <w:rFonts w:cs="Arial"/>
              </w:rPr>
            </w:pPr>
            <w:r w:rsidRPr="00F54B40">
              <w:rPr>
                <w:rFonts w:cs="Arial"/>
              </w:rPr>
              <w:t xml:space="preserve">Because of this, the QHRC cannot say how many complaints of various </w:t>
            </w:r>
            <w:r w:rsidR="00F71C67" w:rsidRPr="00F54B40">
              <w:rPr>
                <w:rFonts w:cs="Arial"/>
              </w:rPr>
              <w:t>types</w:t>
            </w:r>
            <w:r w:rsidRPr="00F54B40">
              <w:rPr>
                <w:rFonts w:cs="Arial"/>
              </w:rPr>
              <w:t xml:space="preserve"> (human rights, discrimination, sexual harassment etc) have been </w:t>
            </w:r>
            <w:r w:rsidRPr="00F54B40">
              <w:rPr>
                <w:rFonts w:cs="Arial"/>
                <w:i/>
                <w:iCs/>
              </w:rPr>
              <w:t>received</w:t>
            </w:r>
            <w:r w:rsidRPr="00F54B40">
              <w:rPr>
                <w:rFonts w:cs="Arial"/>
              </w:rPr>
              <w:t xml:space="preserve"> into the Commission in a financial year. A complaint must be assessed to determine this. </w:t>
            </w:r>
          </w:p>
          <w:p w14:paraId="3B110460" w14:textId="274043C9" w:rsidR="008E6B02" w:rsidRPr="00F54B40" w:rsidRDefault="008E6B02" w:rsidP="00F12D5D">
            <w:pPr>
              <w:spacing w:before="120" w:after="120"/>
              <w:rPr>
                <w:rFonts w:cs="Arial"/>
              </w:rPr>
            </w:pPr>
            <w:r w:rsidRPr="00F54B40">
              <w:rPr>
                <w:rFonts w:cs="Arial"/>
              </w:rPr>
              <w:lastRenderedPageBreak/>
              <w:t xml:space="preserve">When the QHRC </w:t>
            </w:r>
            <w:proofErr w:type="gramStart"/>
            <w:r w:rsidRPr="00F54B40">
              <w:rPr>
                <w:rFonts w:cs="Arial"/>
              </w:rPr>
              <w:t>doesn’t</w:t>
            </w:r>
            <w:proofErr w:type="gramEnd"/>
            <w:r w:rsidRPr="00F54B40">
              <w:rPr>
                <w:rFonts w:cs="Arial"/>
              </w:rPr>
              <w:t xml:space="preserve"> have sufficient resources or a backlog of complaints arises, reporting becomes even more difficult because of the delay between receipt and assessment of the matter.</w:t>
            </w:r>
            <w:r w:rsidR="008B0DA2" w:rsidRPr="00F54B40">
              <w:rPr>
                <w:rFonts w:cs="Arial"/>
              </w:rPr>
              <w:t xml:space="preserve"> </w:t>
            </w:r>
          </w:p>
          <w:p w14:paraId="16D986E3" w14:textId="0189CA18" w:rsidR="008B0DA2" w:rsidRPr="00F54B40" w:rsidRDefault="008B0DA2" w:rsidP="00F12D5D">
            <w:pPr>
              <w:spacing w:before="120" w:after="120"/>
              <w:rPr>
                <w:rFonts w:cs="Arial"/>
              </w:rPr>
            </w:pPr>
            <w:r w:rsidRPr="00F54B40">
              <w:rPr>
                <w:rFonts w:cs="Arial"/>
              </w:rPr>
              <w:t xml:space="preserve">Another issue </w:t>
            </w:r>
            <w:r w:rsidR="00CA22E5" w:rsidRPr="00F54B40">
              <w:rPr>
                <w:rFonts w:cs="Arial"/>
              </w:rPr>
              <w:t>is</w:t>
            </w:r>
            <w:r w:rsidRPr="00F54B40">
              <w:rPr>
                <w:rFonts w:cs="Arial"/>
              </w:rPr>
              <w:t xml:space="preserve"> that until a complaint is </w:t>
            </w:r>
            <w:r w:rsidR="00F873FE" w:rsidRPr="00F54B40">
              <w:rPr>
                <w:rFonts w:cs="Arial"/>
              </w:rPr>
              <w:t>finalised</w:t>
            </w:r>
            <w:r w:rsidRPr="00F54B40">
              <w:rPr>
                <w:rFonts w:cs="Arial"/>
              </w:rPr>
              <w:t xml:space="preserve">, the QHRC Cannot report on what happened with it </w:t>
            </w:r>
            <w:r w:rsidR="00CA22E5" w:rsidRPr="00F54B40">
              <w:rPr>
                <w:rFonts w:cs="Arial"/>
              </w:rPr>
              <w:t>–</w:t>
            </w:r>
            <w:r w:rsidRPr="00F54B40">
              <w:rPr>
                <w:rFonts w:cs="Arial"/>
              </w:rPr>
              <w:t xml:space="preserve"> </w:t>
            </w:r>
            <w:r w:rsidR="00CA22E5" w:rsidRPr="00F54B40">
              <w:rPr>
                <w:rFonts w:cs="Arial"/>
              </w:rPr>
              <w:t>what process was used, how many resolved, and how they were resolved.</w:t>
            </w:r>
          </w:p>
          <w:p w14:paraId="071F3E0D" w14:textId="5C5884ED" w:rsidR="00970D03" w:rsidRPr="00F54B40" w:rsidRDefault="008E6B02" w:rsidP="00F12D5D">
            <w:pPr>
              <w:spacing w:before="120" w:after="120"/>
              <w:rPr>
                <w:rFonts w:cs="Arial"/>
              </w:rPr>
            </w:pPr>
            <w:r w:rsidRPr="00F54B40">
              <w:rPr>
                <w:rFonts w:cs="Arial"/>
              </w:rPr>
              <w:t xml:space="preserve">A simple </w:t>
            </w:r>
            <w:r w:rsidR="00D96845" w:rsidRPr="00F54B40">
              <w:rPr>
                <w:rFonts w:cs="Arial"/>
              </w:rPr>
              <w:t>o</w:t>
            </w:r>
            <w:r w:rsidRPr="00F54B40">
              <w:rPr>
                <w:rFonts w:cs="Arial"/>
              </w:rPr>
              <w:t xml:space="preserve">ption to resolve this is to </w:t>
            </w:r>
            <w:r w:rsidR="00F873FE" w:rsidRPr="00F54B40">
              <w:rPr>
                <w:rFonts w:cs="Arial"/>
              </w:rPr>
              <w:t xml:space="preserve">require reporting only on the matters </w:t>
            </w:r>
            <w:r w:rsidR="00F873FE" w:rsidRPr="00F54B40">
              <w:rPr>
                <w:rFonts w:cs="Arial"/>
                <w:i/>
                <w:iCs/>
              </w:rPr>
              <w:t>finalised</w:t>
            </w:r>
            <w:r w:rsidR="00F873FE" w:rsidRPr="00F54B40">
              <w:rPr>
                <w:rFonts w:cs="Arial"/>
              </w:rPr>
              <w:t xml:space="preserve"> in the reporting period.</w:t>
            </w:r>
          </w:p>
          <w:p w14:paraId="7857ADA3" w14:textId="638E49E1" w:rsidR="009E0988" w:rsidRPr="00F54B40" w:rsidRDefault="00F71C67" w:rsidP="00F12D5D">
            <w:pPr>
              <w:spacing w:before="120" w:after="120"/>
              <w:rPr>
                <w:rFonts w:cs="Arial"/>
              </w:rPr>
            </w:pPr>
            <w:r w:rsidRPr="00F54B40">
              <w:rPr>
                <w:rFonts w:cs="Arial"/>
              </w:rPr>
              <w:t xml:space="preserve">The word ‘type’ of complaint lacks clarity, but the QHRC presumes this means </w:t>
            </w:r>
            <w:r w:rsidR="00EB25E5" w:rsidRPr="00F54B40">
              <w:rPr>
                <w:rFonts w:cs="Arial"/>
              </w:rPr>
              <w:t>which contraventions were complained about.</w:t>
            </w:r>
          </w:p>
        </w:tc>
        <w:tc>
          <w:tcPr>
            <w:tcW w:w="6542" w:type="dxa"/>
          </w:tcPr>
          <w:p w14:paraId="43B45102" w14:textId="77777777" w:rsidR="00970D03" w:rsidRDefault="00D96845" w:rsidP="00F12D5D">
            <w:pPr>
              <w:spacing w:after="120"/>
              <w:rPr>
                <w:rFonts w:cs="Arial"/>
              </w:rPr>
            </w:pPr>
            <w:r>
              <w:rPr>
                <w:rFonts w:cs="Arial"/>
              </w:rPr>
              <w:lastRenderedPageBreak/>
              <w:t>Amend clause 237(2) as follows:</w:t>
            </w:r>
          </w:p>
          <w:p w14:paraId="247A59A7" w14:textId="0CB51E8D" w:rsidR="00D96845" w:rsidRDefault="006D4CDE" w:rsidP="00F12D5D">
            <w:pPr>
              <w:pStyle w:val="ListParagraph"/>
              <w:numPr>
                <w:ilvl w:val="0"/>
                <w:numId w:val="18"/>
              </w:numPr>
              <w:spacing w:after="120"/>
              <w:rPr>
                <w:rFonts w:cs="Arial"/>
              </w:rPr>
            </w:pPr>
            <w:r>
              <w:rPr>
                <w:rFonts w:cs="Arial"/>
              </w:rPr>
              <w:t>t</w:t>
            </w:r>
            <w:r w:rsidR="00D96845">
              <w:rPr>
                <w:rFonts w:cs="Arial"/>
              </w:rPr>
              <w:t>he number of complaints</w:t>
            </w:r>
            <w:r w:rsidR="00456B8D" w:rsidRPr="00456B8D">
              <w:rPr>
                <w:rFonts w:cs="Arial"/>
                <w:strike/>
              </w:rPr>
              <w:t xml:space="preserve"> made or referred to the commissioner</w:t>
            </w:r>
            <w:r w:rsidR="00456B8D">
              <w:rPr>
                <w:rFonts w:cs="Arial"/>
              </w:rPr>
              <w:t xml:space="preserve"> </w:t>
            </w:r>
            <w:r w:rsidR="00456B8D" w:rsidRPr="00F54B40">
              <w:rPr>
                <w:rFonts w:cs="Arial"/>
                <w:color w:val="347B9F"/>
              </w:rPr>
              <w:t xml:space="preserve">finalised </w:t>
            </w:r>
            <w:r w:rsidR="00456B8D">
              <w:rPr>
                <w:rFonts w:cs="Arial"/>
              </w:rPr>
              <w:t>in the financial year</w:t>
            </w:r>
          </w:p>
          <w:p w14:paraId="166055F3" w14:textId="0D306EA1" w:rsidR="00B1794F" w:rsidRPr="006D4CDE" w:rsidRDefault="006D4CDE" w:rsidP="00F12D5D">
            <w:pPr>
              <w:pStyle w:val="ListParagraph"/>
              <w:numPr>
                <w:ilvl w:val="0"/>
                <w:numId w:val="18"/>
              </w:numPr>
              <w:spacing w:after="120"/>
              <w:rPr>
                <w:rFonts w:cs="Arial"/>
                <w:color w:val="0B769F" w:themeColor="accent4" w:themeShade="BF"/>
              </w:rPr>
            </w:pPr>
            <w:r w:rsidRPr="006D4CDE">
              <w:rPr>
                <w:rFonts w:cs="Arial"/>
                <w:strike/>
              </w:rPr>
              <w:t>The types of complaints made or referred to the commissioner</w:t>
            </w:r>
            <w:r w:rsidRPr="006D4CDE">
              <w:rPr>
                <w:rFonts w:cs="Arial"/>
              </w:rPr>
              <w:t xml:space="preserve"> </w:t>
            </w:r>
            <w:r>
              <w:rPr>
                <w:rFonts w:cs="Arial"/>
              </w:rPr>
              <w:t>f</w:t>
            </w:r>
            <w:r w:rsidR="00B1794F" w:rsidRPr="00F54B40">
              <w:rPr>
                <w:rFonts w:cs="Arial"/>
                <w:color w:val="347B9F"/>
              </w:rPr>
              <w:t>or the finalised complaints</w:t>
            </w:r>
            <w:r w:rsidRPr="00F54B40">
              <w:rPr>
                <w:rFonts w:cs="Arial"/>
                <w:color w:val="347B9F"/>
              </w:rPr>
              <w:t>, the contraventions that were complained about.</w:t>
            </w:r>
          </w:p>
          <w:p w14:paraId="1A0CC266" w14:textId="1C54C396" w:rsidR="00456B8D" w:rsidRDefault="006D4CDE" w:rsidP="00F12D5D">
            <w:pPr>
              <w:pStyle w:val="ListParagraph"/>
              <w:numPr>
                <w:ilvl w:val="0"/>
                <w:numId w:val="18"/>
              </w:numPr>
              <w:spacing w:after="120"/>
              <w:rPr>
                <w:rFonts w:cs="Arial"/>
              </w:rPr>
            </w:pPr>
            <w:r>
              <w:rPr>
                <w:rFonts w:cs="Arial"/>
              </w:rPr>
              <w:t>t</w:t>
            </w:r>
            <w:r w:rsidR="00F71C67">
              <w:rPr>
                <w:rFonts w:cs="Arial"/>
              </w:rPr>
              <w:t xml:space="preserve">he </w:t>
            </w:r>
            <w:r w:rsidR="00EB25E5">
              <w:rPr>
                <w:rFonts w:cs="Arial"/>
              </w:rPr>
              <w:t xml:space="preserve">number of </w:t>
            </w:r>
            <w:r w:rsidR="009A5FA1" w:rsidRPr="00F54B40">
              <w:rPr>
                <w:rFonts w:cs="Arial"/>
                <w:color w:val="347B9F"/>
              </w:rPr>
              <w:t>finalised</w:t>
            </w:r>
            <w:r w:rsidR="009A5FA1" w:rsidRPr="009A5FA1">
              <w:rPr>
                <w:rFonts w:cs="Arial"/>
                <w:color w:val="0B769F" w:themeColor="accent4" w:themeShade="BF"/>
              </w:rPr>
              <w:t xml:space="preserve"> </w:t>
            </w:r>
            <w:r w:rsidR="00EB25E5">
              <w:rPr>
                <w:rFonts w:cs="Arial"/>
              </w:rPr>
              <w:t>complaints</w:t>
            </w:r>
            <w:r w:rsidR="00231751">
              <w:rPr>
                <w:rFonts w:cs="Arial"/>
              </w:rPr>
              <w:t xml:space="preserve"> </w:t>
            </w:r>
            <w:r w:rsidR="00231751" w:rsidRPr="009A5FA1">
              <w:rPr>
                <w:rFonts w:cs="Arial"/>
                <w:strike/>
              </w:rPr>
              <w:t>made or referred</w:t>
            </w:r>
            <w:r w:rsidR="00EB25E5">
              <w:rPr>
                <w:rFonts w:cs="Arial"/>
              </w:rPr>
              <w:t xml:space="preserve"> </w:t>
            </w:r>
            <w:r w:rsidR="009E0988">
              <w:rPr>
                <w:rFonts w:cs="Arial"/>
              </w:rPr>
              <w:t xml:space="preserve">to the </w:t>
            </w:r>
            <w:proofErr w:type="gramStart"/>
            <w:r w:rsidR="009E0988">
              <w:rPr>
                <w:rFonts w:cs="Arial"/>
              </w:rPr>
              <w:t>commissioner</w:t>
            </w:r>
            <w:proofErr w:type="gramEnd"/>
            <w:r w:rsidR="009E0988">
              <w:rPr>
                <w:rFonts w:cs="Arial"/>
              </w:rPr>
              <w:t xml:space="preserve"> that were </w:t>
            </w:r>
            <w:r w:rsidR="009E0988" w:rsidRPr="00F54B40">
              <w:rPr>
                <w:rFonts w:cs="Arial"/>
                <w:color w:val="347B9F"/>
              </w:rPr>
              <w:t>not dealt with, and the reasons the commissioner decided not to deal with the complaints.</w:t>
            </w:r>
          </w:p>
          <w:p w14:paraId="0070C04E" w14:textId="02B4E708" w:rsidR="008B0DA2" w:rsidRDefault="006D4CDE" w:rsidP="00F12D5D">
            <w:pPr>
              <w:pStyle w:val="ListParagraph"/>
              <w:numPr>
                <w:ilvl w:val="0"/>
                <w:numId w:val="18"/>
              </w:numPr>
              <w:spacing w:after="120"/>
              <w:rPr>
                <w:rFonts w:cs="Arial"/>
              </w:rPr>
            </w:pPr>
            <w:r>
              <w:rPr>
                <w:rFonts w:cs="Arial"/>
              </w:rPr>
              <w:t>t</w:t>
            </w:r>
            <w:r w:rsidR="008B0DA2">
              <w:rPr>
                <w:rFonts w:cs="Arial"/>
              </w:rPr>
              <w:t xml:space="preserve">he outcome of the </w:t>
            </w:r>
            <w:r w:rsidR="008B0DA2" w:rsidRPr="00F54B40">
              <w:rPr>
                <w:rFonts w:cs="Arial"/>
                <w:color w:val="347B9F"/>
              </w:rPr>
              <w:t>finalised</w:t>
            </w:r>
            <w:r w:rsidR="008B0DA2" w:rsidRPr="008B0DA2">
              <w:rPr>
                <w:rFonts w:cs="Arial"/>
                <w:color w:val="0B769F" w:themeColor="accent4" w:themeShade="BF"/>
              </w:rPr>
              <w:t xml:space="preserve"> </w:t>
            </w:r>
            <w:r w:rsidR="008B0DA2">
              <w:rPr>
                <w:rFonts w:cs="Arial"/>
              </w:rPr>
              <w:t xml:space="preserve">complaints </w:t>
            </w:r>
            <w:r w:rsidR="008B0DA2" w:rsidRPr="002F7E46">
              <w:rPr>
                <w:rFonts w:cs="Arial"/>
                <w:strike/>
              </w:rPr>
              <w:t>made or referred to the commissioner</w:t>
            </w:r>
            <w:r w:rsidR="00716D45">
              <w:rPr>
                <w:rFonts w:cs="Arial"/>
                <w:strike/>
              </w:rPr>
              <w:t>,</w:t>
            </w:r>
            <w:r w:rsidR="00716D45">
              <w:rPr>
                <w:rFonts w:cs="Arial"/>
              </w:rPr>
              <w:t xml:space="preserve"> including </w:t>
            </w:r>
            <w:proofErr w:type="gramStart"/>
            <w:r w:rsidR="002728AB">
              <w:rPr>
                <w:rFonts w:cs="Arial"/>
              </w:rPr>
              <w:t>whether or not</w:t>
            </w:r>
            <w:proofErr w:type="gramEnd"/>
            <w:r w:rsidR="002728AB">
              <w:rPr>
                <w:rFonts w:cs="Arial"/>
              </w:rPr>
              <w:t xml:space="preserve"> the complaints were resolved by dispute resolution or otherwise.</w:t>
            </w:r>
          </w:p>
          <w:p w14:paraId="1E82BFBF" w14:textId="5EF619C4" w:rsidR="002728AB" w:rsidRDefault="006D4CDE" w:rsidP="00F12D5D">
            <w:pPr>
              <w:pStyle w:val="ListParagraph"/>
              <w:numPr>
                <w:ilvl w:val="0"/>
                <w:numId w:val="18"/>
              </w:numPr>
              <w:spacing w:after="120"/>
              <w:rPr>
                <w:rFonts w:cs="Arial"/>
              </w:rPr>
            </w:pPr>
            <w:r>
              <w:rPr>
                <w:rFonts w:cs="Arial"/>
              </w:rPr>
              <w:t>t</w:t>
            </w:r>
            <w:r w:rsidR="006217F8">
              <w:rPr>
                <w:rFonts w:cs="Arial"/>
              </w:rPr>
              <w:t xml:space="preserve">he number of </w:t>
            </w:r>
            <w:r w:rsidR="006217F8" w:rsidRPr="00F54B40">
              <w:rPr>
                <w:rFonts w:cs="Arial"/>
                <w:color w:val="347B9F"/>
              </w:rPr>
              <w:t>finalised</w:t>
            </w:r>
            <w:r w:rsidR="006217F8" w:rsidRPr="009A5FA1">
              <w:rPr>
                <w:rFonts w:cs="Arial"/>
                <w:color w:val="0B769F" w:themeColor="accent4" w:themeShade="BF"/>
              </w:rPr>
              <w:t xml:space="preserve"> </w:t>
            </w:r>
            <w:r w:rsidR="006217F8">
              <w:rPr>
                <w:rFonts w:cs="Arial"/>
              </w:rPr>
              <w:t xml:space="preserve">complaints </w:t>
            </w:r>
            <w:r w:rsidR="006217F8" w:rsidRPr="006217F8">
              <w:rPr>
                <w:rFonts w:cs="Arial"/>
                <w:strike/>
              </w:rPr>
              <w:t xml:space="preserve">made or referred to the </w:t>
            </w:r>
            <w:proofErr w:type="gramStart"/>
            <w:r w:rsidR="006217F8" w:rsidRPr="006217F8">
              <w:rPr>
                <w:rFonts w:cs="Arial"/>
                <w:strike/>
              </w:rPr>
              <w:t>commissioner</w:t>
            </w:r>
            <w:proofErr w:type="gramEnd"/>
            <w:r w:rsidR="006217F8">
              <w:rPr>
                <w:rFonts w:cs="Arial"/>
              </w:rPr>
              <w:t xml:space="preserve"> </w:t>
            </w:r>
            <w:r w:rsidR="00023ACA">
              <w:rPr>
                <w:rFonts w:cs="Arial"/>
              </w:rPr>
              <w:t xml:space="preserve">that were </w:t>
            </w:r>
            <w:r w:rsidR="006217F8">
              <w:rPr>
                <w:rFonts w:cs="Arial"/>
              </w:rPr>
              <w:t xml:space="preserve">– </w:t>
            </w:r>
          </w:p>
          <w:p w14:paraId="70DBD16A" w14:textId="178CAA80" w:rsidR="006217F8" w:rsidRDefault="006D4CDE" w:rsidP="00F12D5D">
            <w:pPr>
              <w:pStyle w:val="ListParagraph"/>
              <w:numPr>
                <w:ilvl w:val="0"/>
                <w:numId w:val="18"/>
              </w:numPr>
              <w:spacing w:after="120"/>
              <w:rPr>
                <w:rFonts w:cs="Arial"/>
              </w:rPr>
            </w:pPr>
            <w:r>
              <w:rPr>
                <w:rFonts w:cs="Arial"/>
              </w:rPr>
              <w:t>f</w:t>
            </w:r>
            <w:r w:rsidR="007A09BD">
              <w:rPr>
                <w:rFonts w:cs="Arial"/>
              </w:rPr>
              <w:t xml:space="preserve">or complaints </w:t>
            </w:r>
            <w:r w:rsidR="007A09BD" w:rsidRPr="00F54B40">
              <w:rPr>
                <w:rFonts w:cs="Arial"/>
                <w:color w:val="347B9F"/>
              </w:rPr>
              <w:t>finalised</w:t>
            </w:r>
            <w:r w:rsidR="00AD05A1" w:rsidRPr="00AD05A1">
              <w:rPr>
                <w:rFonts w:cs="Arial"/>
                <w:strike/>
                <w:color w:val="0B769F" w:themeColor="accent4" w:themeShade="BF"/>
              </w:rPr>
              <w:t xml:space="preserve"> </w:t>
            </w:r>
            <w:r w:rsidR="00AD05A1" w:rsidRPr="006217F8">
              <w:rPr>
                <w:rFonts w:cs="Arial"/>
                <w:strike/>
              </w:rPr>
              <w:t xml:space="preserve">made or referred to </w:t>
            </w:r>
            <w:proofErr w:type="gramStart"/>
            <w:r w:rsidR="00AD05A1" w:rsidRPr="006217F8">
              <w:rPr>
                <w:rFonts w:cs="Arial"/>
                <w:strike/>
              </w:rPr>
              <w:t xml:space="preserve">the </w:t>
            </w:r>
            <w:r w:rsidR="007A09BD">
              <w:rPr>
                <w:rFonts w:cs="Arial"/>
              </w:rPr>
              <w:t xml:space="preserve"> by</w:t>
            </w:r>
            <w:proofErr w:type="gramEnd"/>
            <w:r w:rsidR="007A09BD">
              <w:rPr>
                <w:rFonts w:cs="Arial"/>
              </w:rPr>
              <w:t xml:space="preserve"> the commissioner about discrimination</w:t>
            </w:r>
            <w:r w:rsidR="00AD05A1">
              <w:rPr>
                <w:rFonts w:cs="Arial"/>
              </w:rPr>
              <w:t>….</w:t>
            </w:r>
          </w:p>
          <w:p w14:paraId="6B33E89C" w14:textId="5EA8C7A1" w:rsidR="00D31CE1" w:rsidRDefault="006D4CDE" w:rsidP="00F12D5D">
            <w:pPr>
              <w:pStyle w:val="ListParagraph"/>
              <w:numPr>
                <w:ilvl w:val="0"/>
                <w:numId w:val="18"/>
              </w:numPr>
              <w:spacing w:after="120"/>
              <w:rPr>
                <w:rFonts w:cs="Arial"/>
              </w:rPr>
            </w:pPr>
            <w:r>
              <w:rPr>
                <w:rFonts w:cs="Arial"/>
              </w:rPr>
              <w:t>f</w:t>
            </w:r>
            <w:r w:rsidR="00D31CE1">
              <w:rPr>
                <w:rFonts w:cs="Arial"/>
              </w:rPr>
              <w:t xml:space="preserve">or complaints </w:t>
            </w:r>
            <w:r w:rsidR="00D31CE1" w:rsidRPr="00F54B40">
              <w:rPr>
                <w:rFonts w:cs="Arial"/>
                <w:color w:val="347B9F"/>
              </w:rPr>
              <w:t>finalised</w:t>
            </w:r>
            <w:r w:rsidR="00D31CE1" w:rsidRPr="00AD05A1">
              <w:rPr>
                <w:rFonts w:cs="Arial"/>
                <w:strike/>
                <w:color w:val="0B769F" w:themeColor="accent4" w:themeShade="BF"/>
              </w:rPr>
              <w:t xml:space="preserve"> </w:t>
            </w:r>
            <w:r w:rsidR="00D31CE1" w:rsidRPr="006217F8">
              <w:rPr>
                <w:rFonts w:cs="Arial"/>
                <w:strike/>
              </w:rPr>
              <w:t xml:space="preserve">made or referred to </w:t>
            </w:r>
            <w:proofErr w:type="gramStart"/>
            <w:r w:rsidR="00D31CE1" w:rsidRPr="006217F8">
              <w:rPr>
                <w:rFonts w:cs="Arial"/>
                <w:strike/>
              </w:rPr>
              <w:t xml:space="preserve">the </w:t>
            </w:r>
            <w:r w:rsidR="00D31CE1">
              <w:rPr>
                <w:rFonts w:cs="Arial"/>
              </w:rPr>
              <w:t xml:space="preserve"> by</w:t>
            </w:r>
            <w:proofErr w:type="gramEnd"/>
            <w:r w:rsidR="00D31CE1">
              <w:rPr>
                <w:rFonts w:cs="Arial"/>
              </w:rPr>
              <w:t xml:space="preserve"> the commissioner about </w:t>
            </w:r>
            <w:r w:rsidR="00BE5E54">
              <w:rPr>
                <w:rFonts w:cs="Arial"/>
              </w:rPr>
              <w:t>vilification</w:t>
            </w:r>
            <w:r w:rsidR="00D31CE1">
              <w:rPr>
                <w:rFonts w:cs="Arial"/>
              </w:rPr>
              <w:t>….</w:t>
            </w:r>
          </w:p>
          <w:p w14:paraId="56AD3A21" w14:textId="27BF4C38" w:rsidR="00AD05A1" w:rsidRPr="00C62C0B" w:rsidRDefault="00AD05A1" w:rsidP="00F12D5D">
            <w:pPr>
              <w:spacing w:after="120"/>
              <w:rPr>
                <w:rFonts w:cs="Arial"/>
              </w:rPr>
            </w:pPr>
          </w:p>
        </w:tc>
      </w:tr>
    </w:tbl>
    <w:p w14:paraId="797A6E3D" w14:textId="77777777" w:rsidR="00FE2CC2" w:rsidRDefault="00FE2CC2">
      <w:pPr>
        <w:rPr>
          <w:rFonts w:eastAsiaTheme="majorEastAsia" w:cs="Arial"/>
          <w:color w:val="347B9F"/>
          <w:sz w:val="48"/>
          <w:szCs w:val="48"/>
        </w:rPr>
      </w:pPr>
      <w:r>
        <w:rPr>
          <w:rFonts w:cs="Arial"/>
        </w:rPr>
        <w:lastRenderedPageBreak/>
        <w:br w:type="page"/>
      </w:r>
    </w:p>
    <w:p w14:paraId="3A899451" w14:textId="1B8B78A8" w:rsidR="004D6E2C" w:rsidRPr="001C5161" w:rsidRDefault="00970D03" w:rsidP="004E1FEE">
      <w:pPr>
        <w:pStyle w:val="Heading1"/>
        <w:rPr>
          <w:rFonts w:cs="Arial"/>
        </w:rPr>
      </w:pPr>
      <w:r w:rsidRPr="001C5161">
        <w:rPr>
          <w:rFonts w:cs="Arial"/>
        </w:rPr>
        <w:lastRenderedPageBreak/>
        <w:t>Annexure H: Other issues</w:t>
      </w:r>
    </w:p>
    <w:tbl>
      <w:tblPr>
        <w:tblStyle w:val="TableGrid"/>
        <w:tblpPr w:leftFromText="180" w:rightFromText="180" w:vertAnchor="text" w:horzAnchor="margin" w:tblpX="-10" w:tblpY="215"/>
        <w:tblW w:w="14464" w:type="dxa"/>
        <w:tblLook w:val="04A0" w:firstRow="1" w:lastRow="0" w:firstColumn="1" w:lastColumn="0" w:noHBand="0" w:noVBand="1"/>
      </w:tblPr>
      <w:tblGrid>
        <w:gridCol w:w="2132"/>
        <w:gridCol w:w="5380"/>
        <w:gridCol w:w="6952"/>
      </w:tblGrid>
      <w:tr w:rsidR="00970D03" w:rsidRPr="001C5161" w14:paraId="660A6C7C" w14:textId="77777777" w:rsidTr="00706F3F">
        <w:tc>
          <w:tcPr>
            <w:tcW w:w="2132" w:type="dxa"/>
          </w:tcPr>
          <w:p w14:paraId="40AD919D" w14:textId="017EEF08" w:rsidR="00970D03" w:rsidRPr="001C5161" w:rsidRDefault="00970D03" w:rsidP="00E57A19">
            <w:pPr>
              <w:spacing w:after="120"/>
              <w:rPr>
                <w:rFonts w:cs="Arial"/>
              </w:rPr>
            </w:pPr>
            <w:r w:rsidRPr="008C6F94">
              <w:rPr>
                <w:rFonts w:cs="Arial"/>
                <w:b/>
                <w:bCs/>
                <w:color w:val="000000" w:themeColor="text1"/>
                <w:sz w:val="22"/>
                <w:szCs w:val="22"/>
              </w:rPr>
              <w:t>Clause</w:t>
            </w:r>
          </w:p>
        </w:tc>
        <w:tc>
          <w:tcPr>
            <w:tcW w:w="5380" w:type="dxa"/>
          </w:tcPr>
          <w:p w14:paraId="5DB81597" w14:textId="31E1D35D" w:rsidR="00970D03" w:rsidRPr="001C5161" w:rsidRDefault="00970D03" w:rsidP="00E57A19">
            <w:pPr>
              <w:spacing w:after="120"/>
              <w:rPr>
                <w:rFonts w:cs="Arial"/>
              </w:rPr>
            </w:pPr>
            <w:r w:rsidRPr="008C6F94">
              <w:rPr>
                <w:rFonts w:cs="Arial"/>
                <w:b/>
                <w:bCs/>
                <w:color w:val="000000" w:themeColor="text1"/>
                <w:sz w:val="22"/>
                <w:szCs w:val="22"/>
              </w:rPr>
              <w:t>Issues</w:t>
            </w:r>
          </w:p>
        </w:tc>
        <w:tc>
          <w:tcPr>
            <w:tcW w:w="6952" w:type="dxa"/>
          </w:tcPr>
          <w:p w14:paraId="7A212EB9" w14:textId="3A3F24AA" w:rsidR="00970D03" w:rsidRPr="001C5161" w:rsidRDefault="00970D03" w:rsidP="00E57A19">
            <w:pPr>
              <w:spacing w:after="120"/>
              <w:rPr>
                <w:rFonts w:cs="Arial"/>
              </w:rPr>
            </w:pPr>
            <w:r w:rsidRPr="008C6F94">
              <w:rPr>
                <w:rFonts w:cs="Arial"/>
                <w:b/>
                <w:bCs/>
                <w:color w:val="000000" w:themeColor="text1"/>
                <w:sz w:val="22"/>
                <w:szCs w:val="22"/>
              </w:rPr>
              <w:t xml:space="preserve">Recommended </w:t>
            </w:r>
            <w:r w:rsidR="00085A94" w:rsidRPr="008C6F94">
              <w:rPr>
                <w:rFonts w:cs="Arial"/>
                <w:b/>
                <w:bCs/>
                <w:color w:val="000000" w:themeColor="text1"/>
                <w:sz w:val="22"/>
                <w:szCs w:val="22"/>
              </w:rPr>
              <w:t>changes</w:t>
            </w:r>
          </w:p>
        </w:tc>
      </w:tr>
      <w:tr w:rsidR="00970D03" w:rsidRPr="001C5161" w14:paraId="18CBB308" w14:textId="77777777" w:rsidTr="00706F3F">
        <w:tc>
          <w:tcPr>
            <w:tcW w:w="2132" w:type="dxa"/>
          </w:tcPr>
          <w:p w14:paraId="38F0C5DC" w14:textId="5666A04E" w:rsidR="00970D03" w:rsidRPr="001C5161" w:rsidRDefault="00D37306" w:rsidP="00E57A19">
            <w:pPr>
              <w:spacing w:after="120"/>
              <w:rPr>
                <w:rFonts w:cs="Arial"/>
              </w:rPr>
            </w:pPr>
            <w:r w:rsidRPr="5C73A9CA">
              <w:rPr>
                <w:rFonts w:cs="Arial"/>
              </w:rPr>
              <w:t>Sch 1</w:t>
            </w:r>
          </w:p>
        </w:tc>
        <w:tc>
          <w:tcPr>
            <w:tcW w:w="5380" w:type="dxa"/>
          </w:tcPr>
          <w:p w14:paraId="79F59846" w14:textId="2B7DE283" w:rsidR="003B5638" w:rsidRPr="001C5161" w:rsidRDefault="003B5638" w:rsidP="00E57A19">
            <w:pPr>
              <w:spacing w:after="120"/>
              <w:rPr>
                <w:rFonts w:cs="Arial"/>
              </w:rPr>
            </w:pPr>
            <w:r w:rsidRPr="5C73A9CA">
              <w:rPr>
                <w:rFonts w:cs="Arial"/>
              </w:rPr>
              <w:t xml:space="preserve">The current definition of </w:t>
            </w:r>
            <w:r w:rsidRPr="5C73A9CA">
              <w:rPr>
                <w:rFonts w:cs="Arial"/>
                <w:i/>
                <w:iCs/>
              </w:rPr>
              <w:t>work-related matter</w:t>
            </w:r>
            <w:r w:rsidRPr="5C73A9CA">
              <w:rPr>
                <w:rFonts w:cs="Arial"/>
              </w:rPr>
              <w:t xml:space="preserve"> was inserted by the </w:t>
            </w:r>
            <w:r w:rsidRPr="5C73A9CA">
              <w:rPr>
                <w:rFonts w:cs="Arial"/>
                <w:i/>
                <w:iCs/>
              </w:rPr>
              <w:t>Industrial Relations Act 2016</w:t>
            </w:r>
            <w:r w:rsidRPr="5C73A9CA">
              <w:rPr>
                <w:rFonts w:cs="Arial"/>
              </w:rPr>
              <w:t xml:space="preserve"> to discern the jurisdictions of the QCAT and the QIRC.  It is: </w:t>
            </w:r>
          </w:p>
          <w:p w14:paraId="5DDFA931" w14:textId="17F35F44" w:rsidR="003B5638" w:rsidRPr="001C5161" w:rsidRDefault="003B5638" w:rsidP="00E57A19">
            <w:pPr>
              <w:spacing w:before="80" w:after="120"/>
              <w:ind w:left="318"/>
              <w:rPr>
                <w:rFonts w:cs="Arial"/>
              </w:rPr>
            </w:pPr>
            <w:r w:rsidRPr="5C73A9CA">
              <w:rPr>
                <w:rFonts w:cs="Arial"/>
                <w:b/>
                <w:bCs/>
                <w:i/>
                <w:iCs/>
              </w:rPr>
              <w:t xml:space="preserve">work-related matter </w:t>
            </w:r>
            <w:r w:rsidRPr="5C73A9CA">
              <w:rPr>
                <w:rFonts w:cs="Arial"/>
              </w:rPr>
              <w:t>means a complaint or other matter relating to, or including, work or the work-related area.</w:t>
            </w:r>
          </w:p>
          <w:p w14:paraId="686AAF10" w14:textId="03564FCE" w:rsidR="003B5638" w:rsidRPr="001C5161" w:rsidRDefault="003B5638" w:rsidP="00E57A19">
            <w:pPr>
              <w:spacing w:before="80" w:after="120"/>
              <w:rPr>
                <w:rFonts w:cs="Arial"/>
              </w:rPr>
            </w:pPr>
            <w:r w:rsidRPr="5C73A9CA">
              <w:rPr>
                <w:rFonts w:cs="Arial"/>
              </w:rPr>
              <w:t xml:space="preserve">At the time, we submitted that the definition conflates </w:t>
            </w:r>
            <w:r w:rsidRPr="5C73A9CA">
              <w:rPr>
                <w:rFonts w:cs="Arial"/>
                <w:i/>
                <w:iCs/>
              </w:rPr>
              <w:t>matter</w:t>
            </w:r>
            <w:r w:rsidRPr="5C73A9CA">
              <w:rPr>
                <w:rFonts w:cs="Arial"/>
              </w:rPr>
              <w:t xml:space="preserve"> in the sense of subject matter, </w:t>
            </w:r>
            <w:r w:rsidRPr="5C73A9CA">
              <w:rPr>
                <w:rFonts w:cs="Arial"/>
                <w:i/>
                <w:iCs/>
              </w:rPr>
              <w:t>matter</w:t>
            </w:r>
            <w:r w:rsidRPr="5C73A9CA">
              <w:rPr>
                <w:rFonts w:cs="Arial"/>
              </w:rPr>
              <w:t xml:space="preserve"> in the legal sense of an action or proceeding, and the area of </w:t>
            </w:r>
            <w:r w:rsidRPr="5C73A9CA">
              <w:rPr>
                <w:rFonts w:cs="Arial"/>
                <w:i/>
                <w:iCs/>
              </w:rPr>
              <w:t>work-related</w:t>
            </w:r>
            <w:r w:rsidRPr="5C73A9CA">
              <w:rPr>
                <w:rFonts w:cs="Arial"/>
              </w:rPr>
              <w:t xml:space="preserve"> in the sense of unlawful discrimination.  We also submitted that the definition was not necessary.</w:t>
            </w:r>
          </w:p>
          <w:p w14:paraId="5FCAF917" w14:textId="34748251" w:rsidR="003B5638" w:rsidRPr="001C5161" w:rsidRDefault="003B5638" w:rsidP="00E57A19">
            <w:pPr>
              <w:spacing w:before="80" w:after="120"/>
              <w:rPr>
                <w:rFonts w:cs="Arial"/>
              </w:rPr>
            </w:pPr>
            <w:r w:rsidRPr="5C73A9CA">
              <w:rPr>
                <w:rFonts w:cs="Arial"/>
              </w:rPr>
              <w:t xml:space="preserve">The Bill would define </w:t>
            </w:r>
            <w:r w:rsidRPr="5C73A9CA">
              <w:rPr>
                <w:rFonts w:cs="Arial"/>
                <w:i/>
                <w:iCs/>
              </w:rPr>
              <w:t>work-related matter</w:t>
            </w:r>
            <w:r w:rsidRPr="5C73A9CA">
              <w:rPr>
                <w:rFonts w:cs="Arial"/>
              </w:rPr>
              <w:t xml:space="preserve"> as:</w:t>
            </w:r>
          </w:p>
          <w:p w14:paraId="08C2C000" w14:textId="6E9F4858" w:rsidR="003B5638" w:rsidRPr="001C5161" w:rsidRDefault="003B5638" w:rsidP="00E57A19">
            <w:pPr>
              <w:spacing w:before="80" w:after="120"/>
              <w:ind w:left="318"/>
              <w:rPr>
                <w:rFonts w:cs="Arial"/>
              </w:rPr>
            </w:pPr>
            <w:r w:rsidRPr="5C73A9CA">
              <w:rPr>
                <w:rFonts w:cs="Arial"/>
                <w:b/>
                <w:bCs/>
                <w:i/>
                <w:iCs/>
              </w:rPr>
              <w:t xml:space="preserve">work-related matter </w:t>
            </w:r>
            <w:r w:rsidRPr="5C73A9CA">
              <w:rPr>
                <w:rFonts w:cs="Arial"/>
              </w:rPr>
              <w:t>means a complaint or other matter relating to, or including, work or another activity to which par4, division 2 applies.</w:t>
            </w:r>
          </w:p>
          <w:p w14:paraId="324C6EE8" w14:textId="6ADCE854" w:rsidR="003B5638" w:rsidRPr="001C5161" w:rsidRDefault="003B5638" w:rsidP="00E57A19">
            <w:pPr>
              <w:spacing w:before="80" w:after="120"/>
              <w:rPr>
                <w:rFonts w:cs="Arial"/>
              </w:rPr>
            </w:pPr>
            <w:r w:rsidRPr="5C73A9CA">
              <w:rPr>
                <w:rFonts w:cs="Arial"/>
              </w:rPr>
              <w:t>Part 4 division 2 contains provisions relating to discrimination in work and work-related matters.</w:t>
            </w:r>
          </w:p>
          <w:p w14:paraId="394788E2" w14:textId="439B88B2" w:rsidR="003B5638" w:rsidRPr="001C5161" w:rsidRDefault="003B5638" w:rsidP="00E57A19">
            <w:pPr>
              <w:spacing w:before="80" w:after="120"/>
              <w:rPr>
                <w:rFonts w:cs="Arial"/>
              </w:rPr>
            </w:pPr>
            <w:r w:rsidRPr="5C73A9CA">
              <w:rPr>
                <w:rFonts w:cs="Arial"/>
              </w:rPr>
              <w:t>In every provision or heading where work-related matter is used in the Bill, it is in the sense of subject matter.  Our concerns in 2016 remain.</w:t>
            </w:r>
          </w:p>
          <w:p w14:paraId="085B0E56" w14:textId="7DE42D8F" w:rsidR="003B5638" w:rsidRPr="001C5161" w:rsidRDefault="003B5638" w:rsidP="00E57A19">
            <w:pPr>
              <w:spacing w:before="80" w:after="120"/>
              <w:rPr>
                <w:rFonts w:cs="Arial"/>
              </w:rPr>
            </w:pPr>
            <w:r w:rsidRPr="5C73A9CA">
              <w:rPr>
                <w:rFonts w:cs="Arial"/>
              </w:rPr>
              <w:t>A better definition to reflect the subject matter is:</w:t>
            </w:r>
          </w:p>
          <w:p w14:paraId="07E36995" w14:textId="7C1B3BDF" w:rsidR="00970D03" w:rsidRPr="001C5161" w:rsidRDefault="003B5638" w:rsidP="00E57A19">
            <w:pPr>
              <w:spacing w:after="120"/>
              <w:rPr>
                <w:rFonts w:cs="Arial"/>
              </w:rPr>
            </w:pPr>
            <w:r w:rsidRPr="5C73A9CA">
              <w:rPr>
                <w:rFonts w:cs="Arial"/>
                <w:b/>
                <w:bCs/>
                <w:i/>
                <w:iCs/>
              </w:rPr>
              <w:t xml:space="preserve">work-related matter </w:t>
            </w:r>
            <w:r w:rsidRPr="5C73A9CA">
              <w:rPr>
                <w:rFonts w:cs="Arial"/>
              </w:rPr>
              <w:t>means any subject matter involving or related to work.</w:t>
            </w:r>
          </w:p>
        </w:tc>
        <w:tc>
          <w:tcPr>
            <w:tcW w:w="6952" w:type="dxa"/>
          </w:tcPr>
          <w:p w14:paraId="52A870C2" w14:textId="3FE928BC" w:rsidR="00E57841" w:rsidRPr="001C5161" w:rsidRDefault="00E71DF9" w:rsidP="00E57A19">
            <w:pPr>
              <w:spacing w:after="120"/>
              <w:rPr>
                <w:rFonts w:cs="Arial"/>
              </w:rPr>
            </w:pPr>
            <w:r>
              <w:rPr>
                <w:rFonts w:cs="Arial"/>
              </w:rPr>
              <w:t xml:space="preserve">Replace the </w:t>
            </w:r>
            <w:r w:rsidR="00ED2CA7">
              <w:rPr>
                <w:rFonts w:cs="Arial"/>
              </w:rPr>
              <w:t>Dictionary of work-related matter with the following:</w:t>
            </w:r>
          </w:p>
          <w:p w14:paraId="3A5638BE" w14:textId="22FAA130" w:rsidR="00970D03" w:rsidRPr="001C5161" w:rsidRDefault="00E57841" w:rsidP="00E57A19">
            <w:pPr>
              <w:spacing w:after="120"/>
              <w:rPr>
                <w:rFonts w:cs="Arial"/>
              </w:rPr>
            </w:pPr>
            <w:r w:rsidRPr="000F35D6">
              <w:rPr>
                <w:rFonts w:cs="Arial"/>
                <w:b/>
                <w:i/>
                <w:color w:val="347B9F"/>
              </w:rPr>
              <w:t xml:space="preserve">work-related matter </w:t>
            </w:r>
            <w:r w:rsidRPr="000F35D6">
              <w:rPr>
                <w:rFonts w:cs="Arial"/>
                <w:color w:val="347B9F"/>
              </w:rPr>
              <w:t>means any subject matter involving or related to work.</w:t>
            </w:r>
          </w:p>
        </w:tc>
      </w:tr>
      <w:tr w:rsidR="00970D03" w:rsidRPr="001C5161" w14:paraId="24F56B59" w14:textId="77777777" w:rsidTr="00706F3F">
        <w:tc>
          <w:tcPr>
            <w:tcW w:w="2132" w:type="dxa"/>
          </w:tcPr>
          <w:p w14:paraId="5F5E3799" w14:textId="77777777" w:rsidR="00970D03" w:rsidRDefault="00257C46" w:rsidP="00E57A19">
            <w:pPr>
              <w:spacing w:after="120"/>
              <w:rPr>
                <w:rFonts w:cs="Arial"/>
              </w:rPr>
            </w:pPr>
            <w:r>
              <w:rPr>
                <w:rFonts w:cs="Arial"/>
              </w:rPr>
              <w:t>Cl 82(2)</w:t>
            </w:r>
          </w:p>
          <w:p w14:paraId="59A003DC" w14:textId="02E0A743" w:rsidR="00F851DB" w:rsidRPr="001C5161" w:rsidRDefault="00F851DB" w:rsidP="00E57A19">
            <w:pPr>
              <w:spacing w:after="120"/>
              <w:rPr>
                <w:rFonts w:cs="Arial"/>
              </w:rPr>
            </w:pPr>
            <w:r>
              <w:rPr>
                <w:rFonts w:cs="Arial"/>
              </w:rPr>
              <w:t>How contravention may be dealt with</w:t>
            </w:r>
          </w:p>
        </w:tc>
        <w:tc>
          <w:tcPr>
            <w:tcW w:w="5380" w:type="dxa"/>
          </w:tcPr>
          <w:p w14:paraId="42584D99" w14:textId="5FF89241" w:rsidR="003603D4" w:rsidRDefault="00664EB1" w:rsidP="00E57A19">
            <w:pPr>
              <w:spacing w:after="120"/>
            </w:pPr>
            <w:r>
              <w:t>Where</w:t>
            </w:r>
            <w:r w:rsidR="003603D4" w:rsidRPr="00362280">
              <w:t xml:space="preserve"> a prohibition is also an offence (victimisation, unlawful advertising, inducing unlawful advertising), </w:t>
            </w:r>
            <w:r w:rsidR="003603D4">
              <w:t xml:space="preserve">it </w:t>
            </w:r>
            <w:r w:rsidR="003603D4" w:rsidRPr="00362280">
              <w:t xml:space="preserve">can be dealt with as complaint </w:t>
            </w:r>
            <w:r w:rsidR="009A2A1E">
              <w:rPr>
                <w:i/>
                <w:iCs/>
              </w:rPr>
              <w:t xml:space="preserve">or </w:t>
            </w:r>
            <w:r w:rsidR="003603D4">
              <w:t xml:space="preserve">a </w:t>
            </w:r>
            <w:r w:rsidR="003603D4" w:rsidRPr="00362280">
              <w:t>proceeding for an offence</w:t>
            </w:r>
            <w:r>
              <w:t xml:space="preserve"> under the current Act</w:t>
            </w:r>
            <w:r w:rsidR="003603D4" w:rsidRPr="00362280">
              <w:t>.</w:t>
            </w:r>
          </w:p>
          <w:p w14:paraId="0BBA5CF9" w14:textId="77777777" w:rsidR="00970D03" w:rsidRDefault="003603D4" w:rsidP="00E57A19">
            <w:pPr>
              <w:spacing w:after="120"/>
            </w:pPr>
            <w:r w:rsidRPr="00362280">
              <w:t>Currently there is no bar to the complainant pursing a complaint and the Commissioner taking proceedings for an offence.</w:t>
            </w:r>
          </w:p>
          <w:p w14:paraId="6AC0F379" w14:textId="0E60C4EF" w:rsidR="00893C85" w:rsidRPr="001C5161" w:rsidRDefault="00893C85" w:rsidP="00E57A19">
            <w:pPr>
              <w:spacing w:after="120"/>
              <w:rPr>
                <w:rFonts w:cs="Arial"/>
              </w:rPr>
            </w:pPr>
            <w:r>
              <w:lastRenderedPageBreak/>
              <w:t xml:space="preserve">The QHRC is not aware of </w:t>
            </w:r>
            <w:r w:rsidR="0040790D">
              <w:t>any reasons</w:t>
            </w:r>
            <w:r>
              <w:t xml:space="preserve"> for this </w:t>
            </w:r>
            <w:proofErr w:type="gramStart"/>
            <w:r>
              <w:t>change, and</w:t>
            </w:r>
            <w:proofErr w:type="gramEnd"/>
            <w:r>
              <w:t xml:space="preserve"> is not aware of any issues arising under the </w:t>
            </w:r>
            <w:r w:rsidR="0040790D">
              <w:t>current law that would justify a departure from the status quo.</w:t>
            </w:r>
          </w:p>
        </w:tc>
        <w:tc>
          <w:tcPr>
            <w:tcW w:w="6952" w:type="dxa"/>
          </w:tcPr>
          <w:p w14:paraId="07496006" w14:textId="162DDEDD" w:rsidR="00970D03" w:rsidRPr="001C5161" w:rsidRDefault="00893C85" w:rsidP="00E57A19">
            <w:pPr>
              <w:spacing w:after="120"/>
              <w:rPr>
                <w:rFonts w:cs="Arial"/>
              </w:rPr>
            </w:pPr>
            <w:r>
              <w:rPr>
                <w:rFonts w:cs="Arial"/>
              </w:rPr>
              <w:lastRenderedPageBreak/>
              <w:t>Omit clause 82(2).</w:t>
            </w:r>
          </w:p>
        </w:tc>
      </w:tr>
      <w:tr w:rsidR="00644A67" w:rsidRPr="001C5161" w14:paraId="648EA679" w14:textId="77777777" w:rsidTr="00706F3F">
        <w:tc>
          <w:tcPr>
            <w:tcW w:w="2132" w:type="dxa"/>
          </w:tcPr>
          <w:p w14:paraId="15F8848A" w14:textId="457C6D41" w:rsidR="00644A67" w:rsidRDefault="00644A67" w:rsidP="00E57A19">
            <w:pPr>
              <w:spacing w:after="120"/>
              <w:rPr>
                <w:rFonts w:cs="Arial"/>
              </w:rPr>
            </w:pPr>
            <w:proofErr w:type="spellStart"/>
            <w:r>
              <w:rPr>
                <w:rFonts w:cs="Arial"/>
              </w:rPr>
              <w:t>Cl</w:t>
            </w:r>
            <w:r w:rsidR="00AD74D7">
              <w:rPr>
                <w:rFonts w:cs="Arial"/>
              </w:rPr>
              <w:t>s</w:t>
            </w:r>
            <w:proofErr w:type="spellEnd"/>
            <w:r>
              <w:rPr>
                <w:rFonts w:cs="Arial"/>
              </w:rPr>
              <w:t xml:space="preserve"> 89</w:t>
            </w:r>
            <w:r w:rsidR="00F251B5">
              <w:rPr>
                <w:rFonts w:cs="Arial"/>
              </w:rPr>
              <w:t xml:space="preserve"> and 90</w:t>
            </w:r>
          </w:p>
          <w:p w14:paraId="28035E38" w14:textId="551AA73D" w:rsidR="00644A67" w:rsidRDefault="00644A67" w:rsidP="00E57A19">
            <w:pPr>
              <w:spacing w:after="120"/>
              <w:rPr>
                <w:rFonts w:cs="Arial"/>
              </w:rPr>
            </w:pPr>
            <w:r>
              <w:rPr>
                <w:rFonts w:cs="Arial"/>
              </w:rPr>
              <w:t>Unlawful advertisements</w:t>
            </w:r>
          </w:p>
        </w:tc>
        <w:tc>
          <w:tcPr>
            <w:tcW w:w="5380" w:type="dxa"/>
          </w:tcPr>
          <w:p w14:paraId="24425C2B" w14:textId="6915F2D2" w:rsidR="00644A67" w:rsidRDefault="00644A67" w:rsidP="00E57A19">
            <w:pPr>
              <w:spacing w:after="120"/>
            </w:pPr>
            <w:r>
              <w:t xml:space="preserve">In practice, </w:t>
            </w:r>
            <w:r w:rsidR="00100A11">
              <w:t>unlawful advertisements are</w:t>
            </w:r>
            <w:r>
              <w:t xml:space="preserve"> very difficult to enforce through the complaint function</w:t>
            </w:r>
            <w:r w:rsidR="00D76574">
              <w:t>, as s</w:t>
            </w:r>
            <w:r>
              <w:t xml:space="preserve">tanding issues often arise. These matters would be better dealt with through the QHRC’s new </w:t>
            </w:r>
            <w:r w:rsidR="00F251B5">
              <w:t>compliance</w:t>
            </w:r>
            <w:r>
              <w:t xml:space="preserve"> powers. </w:t>
            </w:r>
          </w:p>
        </w:tc>
        <w:tc>
          <w:tcPr>
            <w:tcW w:w="6952" w:type="dxa"/>
          </w:tcPr>
          <w:p w14:paraId="20D69E96" w14:textId="2E76BA9C" w:rsidR="00F251B5" w:rsidRDefault="00D172BA" w:rsidP="00E57A19">
            <w:pPr>
              <w:spacing w:after="120"/>
              <w:rPr>
                <w:rFonts w:cs="Arial"/>
              </w:rPr>
            </w:pPr>
            <w:r>
              <w:rPr>
                <w:rFonts w:cs="Arial"/>
              </w:rPr>
              <w:t xml:space="preserve">Amend </w:t>
            </w:r>
            <w:r w:rsidR="00F251B5">
              <w:rPr>
                <w:rFonts w:cs="Arial"/>
              </w:rPr>
              <w:t>so that these are only offences and not actionable by making a complaint.</w:t>
            </w:r>
          </w:p>
        </w:tc>
      </w:tr>
      <w:tr w:rsidR="00E60367" w:rsidRPr="001C5161" w14:paraId="7D7F23D9" w14:textId="77777777" w:rsidTr="00706F3F">
        <w:tc>
          <w:tcPr>
            <w:tcW w:w="2132" w:type="dxa"/>
          </w:tcPr>
          <w:p w14:paraId="684590E3" w14:textId="4FD45172" w:rsidR="00E92628" w:rsidRDefault="00E92628" w:rsidP="00E57A19">
            <w:pPr>
              <w:spacing w:after="120"/>
              <w:rPr>
                <w:rFonts w:cs="Arial"/>
              </w:rPr>
            </w:pPr>
            <w:r>
              <w:rPr>
                <w:rFonts w:cs="Arial"/>
              </w:rPr>
              <w:t>Part 13, Div 3.</w:t>
            </w:r>
          </w:p>
          <w:p w14:paraId="42CE7CD6" w14:textId="23A82CC7" w:rsidR="00E60367" w:rsidRDefault="00E60367" w:rsidP="00E57A19">
            <w:pPr>
              <w:spacing w:after="120"/>
              <w:rPr>
                <w:rFonts w:cs="Arial"/>
              </w:rPr>
            </w:pPr>
            <w:proofErr w:type="spellStart"/>
            <w:r>
              <w:rPr>
                <w:rFonts w:cs="Arial"/>
              </w:rPr>
              <w:t>Cl</w:t>
            </w:r>
            <w:r w:rsidR="00AD74D7">
              <w:rPr>
                <w:rFonts w:cs="Arial"/>
              </w:rPr>
              <w:t>s</w:t>
            </w:r>
            <w:proofErr w:type="spellEnd"/>
            <w:r>
              <w:rPr>
                <w:rFonts w:cs="Arial"/>
              </w:rPr>
              <w:t xml:space="preserve"> 186 – 189</w:t>
            </w:r>
          </w:p>
          <w:p w14:paraId="1C689EF5" w14:textId="6EE4811A" w:rsidR="00E92628" w:rsidRDefault="00E92628" w:rsidP="00E57A19">
            <w:pPr>
              <w:spacing w:after="120"/>
              <w:rPr>
                <w:rFonts w:cs="Arial"/>
              </w:rPr>
            </w:pPr>
            <w:r>
              <w:rPr>
                <w:rFonts w:cs="Arial"/>
              </w:rPr>
              <w:t>Commonwealth/State arrangements.</w:t>
            </w:r>
          </w:p>
        </w:tc>
        <w:tc>
          <w:tcPr>
            <w:tcW w:w="5380" w:type="dxa"/>
          </w:tcPr>
          <w:p w14:paraId="74A6D679" w14:textId="3A6F882A" w:rsidR="00E60367" w:rsidRDefault="00E60367" w:rsidP="00E57A19">
            <w:pPr>
              <w:spacing w:after="120"/>
            </w:pPr>
            <w:r>
              <w:t xml:space="preserve">These provisions </w:t>
            </w:r>
            <w:r w:rsidR="00311519">
              <w:t>were in place at</w:t>
            </w:r>
            <w:r>
              <w:t xml:space="preserve"> the commencement of the Anti-Discrimination Act when the </w:t>
            </w:r>
            <w:r w:rsidR="00E92628" w:rsidRPr="00E92628">
              <w:t>Commonwealth Human Rights and Equal Opportunity Commission administered the Anti-Discrimination Commission</w:t>
            </w:r>
            <w:r w:rsidR="00E92628">
              <w:t xml:space="preserve">. They </w:t>
            </w:r>
            <w:r w:rsidR="00311519">
              <w:t xml:space="preserve">are redundant and </w:t>
            </w:r>
            <w:r w:rsidR="00E92628">
              <w:t>can be removed from the Act.</w:t>
            </w:r>
          </w:p>
        </w:tc>
        <w:tc>
          <w:tcPr>
            <w:tcW w:w="6952" w:type="dxa"/>
          </w:tcPr>
          <w:p w14:paraId="3F7EC602" w14:textId="440BF703" w:rsidR="00E60367" w:rsidRDefault="00E92628" w:rsidP="00E57A19">
            <w:pPr>
              <w:spacing w:after="120"/>
              <w:rPr>
                <w:rFonts w:cs="Arial"/>
              </w:rPr>
            </w:pPr>
            <w:r>
              <w:rPr>
                <w:rFonts w:cs="Arial"/>
              </w:rPr>
              <w:t>Omit Part 13, Div 3.</w:t>
            </w:r>
          </w:p>
        </w:tc>
      </w:tr>
    </w:tbl>
    <w:p w14:paraId="756DA4EA" w14:textId="77777777" w:rsidR="00970D03" w:rsidRPr="001C5161" w:rsidRDefault="00970D03" w:rsidP="00970D03">
      <w:pPr>
        <w:rPr>
          <w:rFonts w:cs="Arial"/>
        </w:rPr>
      </w:pPr>
    </w:p>
    <w:sectPr w:rsidR="00970D03" w:rsidRPr="001C5161" w:rsidSect="0044446B">
      <w:footerReference w:type="default" r:id="rId11"/>
      <w:pgSz w:w="16838" w:h="11906" w:orient="landscape"/>
      <w:pgMar w:top="720" w:right="720" w:bottom="720" w:left="72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8069" w14:textId="77777777" w:rsidR="0044446B" w:rsidRDefault="0044446B" w:rsidP="008C44E8">
      <w:pPr>
        <w:spacing w:after="0" w:line="240" w:lineRule="auto"/>
      </w:pPr>
      <w:r>
        <w:separator/>
      </w:r>
    </w:p>
  </w:endnote>
  <w:endnote w:type="continuationSeparator" w:id="0">
    <w:p w14:paraId="6BD1409E" w14:textId="77777777" w:rsidR="0044446B" w:rsidRDefault="0044446B" w:rsidP="008C44E8">
      <w:pPr>
        <w:spacing w:after="0" w:line="240" w:lineRule="auto"/>
      </w:pPr>
      <w:r>
        <w:continuationSeparator/>
      </w:r>
    </w:p>
  </w:endnote>
  <w:endnote w:type="continuationNotice" w:id="1">
    <w:p w14:paraId="4CFABB54" w14:textId="77777777" w:rsidR="0044446B" w:rsidRDefault="00444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5C49" w14:textId="77777777" w:rsidR="00B010E2" w:rsidRDefault="00B010E2" w:rsidP="00B010E2">
    <w:pPr>
      <w:pStyle w:val="Footer"/>
      <w:rPr>
        <w:sz w:val="16"/>
        <w:szCs w:val="16"/>
        <w:lang w:val="en-GB"/>
      </w:rPr>
    </w:pPr>
    <w:r>
      <w:rPr>
        <w:noProof/>
        <w:sz w:val="16"/>
        <w:szCs w:val="16"/>
        <w:lang w:val="en-GB"/>
      </w:rPr>
      <w:drawing>
        <wp:inline distT="0" distB="0" distL="0" distR="0" wp14:anchorId="7B8247A2" wp14:editId="7DC89C12">
          <wp:extent cx="9250763" cy="57150"/>
          <wp:effectExtent l="0" t="0" r="7620" b="0"/>
          <wp:docPr id="1772130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30351" name="Picture 1772130351"/>
                  <pic:cNvPicPr/>
                </pic:nvPicPr>
                <pic:blipFill>
                  <a:blip r:embed="rId1"/>
                  <a:stretch>
                    <a:fillRect/>
                  </a:stretch>
                </pic:blipFill>
                <pic:spPr>
                  <a:xfrm flipV="1">
                    <a:off x="0" y="0"/>
                    <a:ext cx="16213812" cy="100167"/>
                  </a:xfrm>
                  <a:prstGeom prst="rect">
                    <a:avLst/>
                  </a:prstGeom>
                </pic:spPr>
              </pic:pic>
            </a:graphicData>
          </a:graphic>
        </wp:inline>
      </w:drawing>
    </w:r>
  </w:p>
  <w:p w14:paraId="2D3C407A" w14:textId="6043D1FA" w:rsidR="00B010E2" w:rsidRPr="00463A68" w:rsidRDefault="00B010E2" w:rsidP="00B010E2">
    <w:pPr>
      <w:pStyle w:val="Footer"/>
      <w:rPr>
        <w:sz w:val="16"/>
        <w:szCs w:val="16"/>
        <w:lang w:val="en-GB"/>
      </w:rPr>
    </w:pPr>
    <w:r w:rsidRPr="00463A68">
      <w:rPr>
        <w:sz w:val="16"/>
        <w:szCs w:val="16"/>
        <w:lang w:val="en-GB"/>
      </w:rPr>
      <w:t>Queensland Human Rights Commission | www.qhrc.qld.gov.au</w:t>
    </w:r>
    <w:r w:rsidRPr="00463A68">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r>
    <w:r w:rsidRPr="00463A68">
      <w:rPr>
        <w:sz w:val="16"/>
        <w:szCs w:val="16"/>
        <w:lang w:val="en-GB"/>
      </w:rPr>
      <w:fldChar w:fldCharType="begin"/>
    </w:r>
    <w:r w:rsidRPr="00463A68">
      <w:rPr>
        <w:sz w:val="16"/>
        <w:szCs w:val="16"/>
        <w:lang w:val="en-GB"/>
      </w:rPr>
      <w:instrText>PAGE   \* MERGEFORMAT</w:instrText>
    </w:r>
    <w:r w:rsidRPr="00463A68">
      <w:rPr>
        <w:sz w:val="16"/>
        <w:szCs w:val="16"/>
        <w:lang w:val="en-GB"/>
      </w:rPr>
      <w:fldChar w:fldCharType="separate"/>
    </w:r>
    <w:r>
      <w:rPr>
        <w:sz w:val="16"/>
        <w:szCs w:val="16"/>
        <w:lang w:val="en-GB"/>
      </w:rPr>
      <w:t>10</w:t>
    </w:r>
    <w:r w:rsidRPr="00463A68">
      <w:rPr>
        <w:sz w:val="16"/>
        <w:szCs w:val="16"/>
        <w:lang w:val="en-GB"/>
      </w:rPr>
      <w:fldChar w:fldCharType="end"/>
    </w:r>
  </w:p>
  <w:p w14:paraId="61C66334" w14:textId="77777777" w:rsidR="00B010E2" w:rsidRDefault="00B0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381C" w14:textId="77777777" w:rsidR="0044446B" w:rsidRDefault="0044446B" w:rsidP="008C44E8">
      <w:pPr>
        <w:spacing w:after="0" w:line="240" w:lineRule="auto"/>
      </w:pPr>
      <w:r>
        <w:separator/>
      </w:r>
    </w:p>
  </w:footnote>
  <w:footnote w:type="continuationSeparator" w:id="0">
    <w:p w14:paraId="66C07893" w14:textId="77777777" w:rsidR="0044446B" w:rsidRDefault="0044446B" w:rsidP="008C44E8">
      <w:pPr>
        <w:spacing w:after="0" w:line="240" w:lineRule="auto"/>
      </w:pPr>
      <w:r>
        <w:continuationSeparator/>
      </w:r>
    </w:p>
  </w:footnote>
  <w:footnote w:type="continuationNotice" w:id="1">
    <w:p w14:paraId="743F75C6" w14:textId="77777777" w:rsidR="0044446B" w:rsidRDefault="0044446B">
      <w:pPr>
        <w:spacing w:after="0" w:line="240" w:lineRule="auto"/>
      </w:pPr>
    </w:p>
  </w:footnote>
  <w:footnote w:id="2">
    <w:p w14:paraId="4013D596" w14:textId="5BE03CBC" w:rsidR="00302F53" w:rsidRPr="009D3906" w:rsidRDefault="00302F53">
      <w:pPr>
        <w:pStyle w:val="FootnoteText"/>
        <w:rPr>
          <w:sz w:val="18"/>
          <w:szCs w:val="18"/>
          <w:lang w:val="en-GB"/>
        </w:rPr>
      </w:pPr>
      <w:r w:rsidRPr="009D3906">
        <w:rPr>
          <w:rStyle w:val="FootnoteReference"/>
          <w:sz w:val="18"/>
          <w:szCs w:val="18"/>
        </w:rPr>
        <w:footnoteRef/>
      </w:r>
      <w:r w:rsidRPr="009D3906">
        <w:rPr>
          <w:sz w:val="18"/>
          <w:szCs w:val="18"/>
        </w:rPr>
        <w:t xml:space="preserve"> </w:t>
      </w:r>
      <w:r w:rsidR="007019C4" w:rsidRPr="009D3906">
        <w:rPr>
          <w:sz w:val="18"/>
          <w:szCs w:val="18"/>
        </w:rPr>
        <w:t xml:space="preserve">Legal Affairs and Safety Committee, </w:t>
      </w:r>
      <w:r w:rsidR="00554344" w:rsidRPr="009D3906">
        <w:rPr>
          <w:sz w:val="18"/>
          <w:szCs w:val="18"/>
        </w:rPr>
        <w:t>Queensland Parliament</w:t>
      </w:r>
      <w:r w:rsidR="009B1EDC" w:rsidRPr="009D3906">
        <w:rPr>
          <w:sz w:val="18"/>
          <w:szCs w:val="18"/>
        </w:rPr>
        <w:t xml:space="preserve">, </w:t>
      </w:r>
      <w:r w:rsidR="0084172B" w:rsidRPr="009D3906">
        <w:rPr>
          <w:i/>
          <w:iCs/>
          <w:sz w:val="18"/>
          <w:szCs w:val="18"/>
        </w:rPr>
        <w:t xml:space="preserve">Inquiry into </w:t>
      </w:r>
      <w:r w:rsidR="00531E4B" w:rsidRPr="009D3906">
        <w:rPr>
          <w:i/>
          <w:iCs/>
          <w:sz w:val="18"/>
          <w:szCs w:val="18"/>
        </w:rPr>
        <w:t>S</w:t>
      </w:r>
      <w:r w:rsidR="0084172B" w:rsidRPr="009D3906">
        <w:rPr>
          <w:i/>
          <w:iCs/>
          <w:sz w:val="18"/>
          <w:szCs w:val="18"/>
        </w:rPr>
        <w:t xml:space="preserve">erious </w:t>
      </w:r>
      <w:r w:rsidR="00531E4B" w:rsidRPr="009D3906">
        <w:rPr>
          <w:i/>
          <w:iCs/>
          <w:sz w:val="18"/>
          <w:szCs w:val="18"/>
        </w:rPr>
        <w:t>V</w:t>
      </w:r>
      <w:r w:rsidR="0084172B" w:rsidRPr="009D3906">
        <w:rPr>
          <w:i/>
          <w:iCs/>
          <w:sz w:val="18"/>
          <w:szCs w:val="18"/>
        </w:rPr>
        <w:t xml:space="preserve">ilification and </w:t>
      </w:r>
      <w:r w:rsidR="00531E4B" w:rsidRPr="009D3906">
        <w:rPr>
          <w:i/>
          <w:iCs/>
          <w:sz w:val="18"/>
          <w:szCs w:val="18"/>
        </w:rPr>
        <w:t>H</w:t>
      </w:r>
      <w:r w:rsidR="0084172B" w:rsidRPr="009D3906">
        <w:rPr>
          <w:i/>
          <w:iCs/>
          <w:sz w:val="18"/>
          <w:szCs w:val="18"/>
        </w:rPr>
        <w:t xml:space="preserve">ate </w:t>
      </w:r>
      <w:r w:rsidR="00531E4B" w:rsidRPr="009D3906">
        <w:rPr>
          <w:i/>
          <w:iCs/>
          <w:sz w:val="18"/>
          <w:szCs w:val="18"/>
        </w:rPr>
        <w:t>C</w:t>
      </w:r>
      <w:r w:rsidR="0084172B" w:rsidRPr="009D3906">
        <w:rPr>
          <w:i/>
          <w:iCs/>
          <w:sz w:val="18"/>
          <w:szCs w:val="18"/>
        </w:rPr>
        <w:t>rimes</w:t>
      </w:r>
      <w:r w:rsidR="0084172B" w:rsidRPr="009D3906">
        <w:rPr>
          <w:sz w:val="18"/>
          <w:szCs w:val="18"/>
        </w:rPr>
        <w:t xml:space="preserve"> </w:t>
      </w:r>
      <w:r w:rsidR="007A4610" w:rsidRPr="009D3906">
        <w:rPr>
          <w:sz w:val="18"/>
          <w:szCs w:val="18"/>
        </w:rPr>
        <w:t>(</w:t>
      </w:r>
      <w:r w:rsidRPr="009D3906">
        <w:rPr>
          <w:sz w:val="18"/>
          <w:szCs w:val="18"/>
        </w:rPr>
        <w:t xml:space="preserve">Report No. 22, </w:t>
      </w:r>
      <w:r w:rsidR="000A2B20" w:rsidRPr="009D3906">
        <w:rPr>
          <w:sz w:val="18"/>
          <w:szCs w:val="18"/>
        </w:rPr>
        <w:t>January 2022).</w:t>
      </w:r>
    </w:p>
  </w:footnote>
  <w:footnote w:id="3">
    <w:p w14:paraId="170C89BE" w14:textId="0313B1EC" w:rsidR="007E1CCA" w:rsidRPr="008E0C93" w:rsidRDefault="007E1CCA" w:rsidP="007E1CCA">
      <w:pPr>
        <w:pStyle w:val="FootnoteText"/>
        <w:rPr>
          <w:sz w:val="18"/>
          <w:szCs w:val="18"/>
        </w:rPr>
      </w:pPr>
      <w:r w:rsidRPr="008E0C93">
        <w:rPr>
          <w:rStyle w:val="FootnoteReference"/>
          <w:sz w:val="18"/>
          <w:szCs w:val="18"/>
        </w:rPr>
        <w:footnoteRef/>
      </w:r>
      <w:r w:rsidRPr="008E0C93">
        <w:rPr>
          <w:sz w:val="18"/>
          <w:szCs w:val="18"/>
        </w:rPr>
        <w:t xml:space="preserve"> </w:t>
      </w:r>
      <w:r w:rsidR="007019C4" w:rsidRPr="008E0C93">
        <w:rPr>
          <w:sz w:val="18"/>
          <w:szCs w:val="18"/>
        </w:rPr>
        <w:t xml:space="preserve">Legal Affairs and Safety Committee, </w:t>
      </w:r>
      <w:r w:rsidR="001220EB" w:rsidRPr="008E0C93">
        <w:rPr>
          <w:sz w:val="18"/>
          <w:szCs w:val="18"/>
        </w:rPr>
        <w:t xml:space="preserve">Queensland </w:t>
      </w:r>
      <w:r w:rsidR="00576A8C" w:rsidRPr="008E0C93">
        <w:rPr>
          <w:sz w:val="18"/>
          <w:szCs w:val="18"/>
        </w:rPr>
        <w:t>Parliament,</w:t>
      </w:r>
      <w:r w:rsidR="00576A8C" w:rsidRPr="008E0C93">
        <w:rPr>
          <w:i/>
          <w:iCs/>
          <w:sz w:val="18"/>
          <w:szCs w:val="18"/>
        </w:rPr>
        <w:t xml:space="preserve"> </w:t>
      </w:r>
      <w:r w:rsidRPr="008E0C93">
        <w:rPr>
          <w:i/>
          <w:iCs/>
          <w:sz w:val="18"/>
          <w:szCs w:val="18"/>
        </w:rPr>
        <w:t>Criminal Code (Serious Vilification and Hate Crimes) and Other Legislation Amendment Bill 2023</w:t>
      </w:r>
      <w:r w:rsidRPr="008E0C93">
        <w:rPr>
          <w:sz w:val="18"/>
          <w:szCs w:val="18"/>
        </w:rPr>
        <w:t xml:space="preserve"> </w:t>
      </w:r>
      <w:r w:rsidR="00CA67D1" w:rsidRPr="008E0C93">
        <w:rPr>
          <w:sz w:val="18"/>
          <w:szCs w:val="18"/>
        </w:rPr>
        <w:t>(</w:t>
      </w:r>
      <w:r w:rsidRPr="008E0C93">
        <w:rPr>
          <w:sz w:val="18"/>
          <w:szCs w:val="18"/>
        </w:rPr>
        <w:t>Report No. 49, June 2023</w:t>
      </w:r>
      <w:r w:rsidR="008E0C93" w:rsidRPr="008E0C93">
        <w:rPr>
          <w:sz w:val="18"/>
          <w:szCs w:val="18"/>
        </w:rPr>
        <w:t>)</w:t>
      </w:r>
      <w:r w:rsidR="007019C4" w:rsidRPr="008E0C93">
        <w:rPr>
          <w:sz w:val="18"/>
          <w:szCs w:val="18"/>
        </w:rPr>
        <w:t>.</w:t>
      </w:r>
    </w:p>
  </w:footnote>
  <w:footnote w:id="4">
    <w:p w14:paraId="3FAACE10" w14:textId="06579BD5" w:rsidR="00753D2E" w:rsidRPr="0023090C" w:rsidRDefault="00753D2E">
      <w:pPr>
        <w:pStyle w:val="FootnoteText"/>
        <w:rPr>
          <w:sz w:val="18"/>
          <w:szCs w:val="18"/>
          <w:lang w:val="en-GB"/>
        </w:rPr>
      </w:pPr>
      <w:r w:rsidRPr="0023090C">
        <w:rPr>
          <w:rStyle w:val="FootnoteReference"/>
          <w:sz w:val="18"/>
          <w:szCs w:val="18"/>
        </w:rPr>
        <w:footnoteRef/>
      </w:r>
      <w:r w:rsidRPr="0023090C">
        <w:rPr>
          <w:sz w:val="18"/>
          <w:szCs w:val="18"/>
        </w:rPr>
        <w:t xml:space="preserve"> </w:t>
      </w:r>
      <w:r w:rsidR="007019C4" w:rsidRPr="0023090C">
        <w:rPr>
          <w:sz w:val="18"/>
          <w:szCs w:val="18"/>
        </w:rPr>
        <w:t xml:space="preserve">Legal Affairs and Safety Committee, </w:t>
      </w:r>
      <w:r w:rsidR="00D7643A" w:rsidRPr="0023090C">
        <w:rPr>
          <w:sz w:val="18"/>
          <w:szCs w:val="18"/>
        </w:rPr>
        <w:t>Queensland Parliament</w:t>
      </w:r>
      <w:r w:rsidR="00F11A35" w:rsidRPr="0023090C">
        <w:rPr>
          <w:sz w:val="18"/>
          <w:szCs w:val="18"/>
        </w:rPr>
        <w:t>,</w:t>
      </w:r>
      <w:r w:rsidR="00D7643A" w:rsidRPr="0023090C">
        <w:rPr>
          <w:sz w:val="18"/>
          <w:szCs w:val="18"/>
        </w:rPr>
        <w:t xml:space="preserve"> </w:t>
      </w:r>
      <w:r w:rsidR="007019C4" w:rsidRPr="0023090C">
        <w:rPr>
          <w:i/>
          <w:iCs/>
          <w:sz w:val="18"/>
          <w:szCs w:val="18"/>
        </w:rPr>
        <w:t>Criminal Code (Serious Vilification and Hate Crimes) and Other Legislation Amendment Bill 2023</w:t>
      </w:r>
      <w:r w:rsidR="007019C4" w:rsidRPr="0023090C">
        <w:rPr>
          <w:sz w:val="18"/>
          <w:szCs w:val="18"/>
        </w:rPr>
        <w:t xml:space="preserve"> </w:t>
      </w:r>
      <w:r w:rsidR="0023090C" w:rsidRPr="0023090C">
        <w:rPr>
          <w:sz w:val="18"/>
          <w:szCs w:val="18"/>
        </w:rPr>
        <w:t>(</w:t>
      </w:r>
      <w:r w:rsidR="007019C4" w:rsidRPr="0023090C">
        <w:rPr>
          <w:sz w:val="18"/>
          <w:szCs w:val="18"/>
        </w:rPr>
        <w:t>Report No. 49 June 2023</w:t>
      </w:r>
      <w:r w:rsidR="0023090C" w:rsidRPr="0023090C">
        <w:rPr>
          <w:sz w:val="18"/>
          <w:szCs w:val="18"/>
        </w:rPr>
        <w:t>)</w:t>
      </w:r>
      <w:r w:rsidR="007019C4" w:rsidRPr="0023090C">
        <w:rPr>
          <w:sz w:val="18"/>
          <w:szCs w:val="18"/>
        </w:rPr>
        <w:t xml:space="preserve"> </w:t>
      </w:r>
      <w:r w:rsidRPr="0023090C">
        <w:rPr>
          <w:sz w:val="18"/>
          <w:szCs w:val="18"/>
        </w:rPr>
        <w:t>8.</w:t>
      </w:r>
    </w:p>
  </w:footnote>
  <w:footnote w:id="5">
    <w:p w14:paraId="69B2AA64" w14:textId="288ED3C1" w:rsidR="00DA71A6" w:rsidRPr="00DA71A6" w:rsidRDefault="00DA71A6">
      <w:pPr>
        <w:pStyle w:val="FootnoteText"/>
        <w:rPr>
          <w:lang w:val="en-GB"/>
        </w:rPr>
      </w:pPr>
      <w:r w:rsidRPr="00580772">
        <w:rPr>
          <w:rStyle w:val="FootnoteReference"/>
          <w:sz w:val="18"/>
          <w:szCs w:val="18"/>
        </w:rPr>
        <w:footnoteRef/>
      </w:r>
      <w:r w:rsidRPr="00580772">
        <w:rPr>
          <w:sz w:val="18"/>
          <w:szCs w:val="18"/>
        </w:rPr>
        <w:t xml:space="preserve"> </w:t>
      </w:r>
      <w:r w:rsidR="00CE052D" w:rsidRPr="00580772">
        <w:rPr>
          <w:sz w:val="18"/>
          <w:szCs w:val="18"/>
        </w:rPr>
        <w:t>This framework has been drawn from</w:t>
      </w:r>
      <w:r w:rsidR="00484A4E" w:rsidRPr="00580772">
        <w:rPr>
          <w:sz w:val="18"/>
          <w:szCs w:val="18"/>
        </w:rPr>
        <w:t xml:space="preserve"> </w:t>
      </w:r>
      <w:r w:rsidR="00D86CF7" w:rsidRPr="00580772">
        <w:rPr>
          <w:sz w:val="18"/>
          <w:szCs w:val="18"/>
        </w:rPr>
        <w:t>the</w:t>
      </w:r>
      <w:r w:rsidR="00484A4E" w:rsidRPr="00580772">
        <w:rPr>
          <w:sz w:val="18"/>
          <w:szCs w:val="18"/>
        </w:rPr>
        <w:t xml:space="preserve"> </w:t>
      </w:r>
      <w:r w:rsidR="005340FC" w:rsidRPr="00580772">
        <w:rPr>
          <w:sz w:val="18"/>
          <w:szCs w:val="18"/>
        </w:rPr>
        <w:t>Law Commission (United Kingdom</w:t>
      </w:r>
      <w:r w:rsidR="00513133" w:rsidRPr="00580772">
        <w:rPr>
          <w:sz w:val="18"/>
          <w:szCs w:val="18"/>
        </w:rPr>
        <w:t>)</w:t>
      </w:r>
      <w:r w:rsidR="00375681" w:rsidRPr="00580772">
        <w:rPr>
          <w:sz w:val="18"/>
          <w:szCs w:val="18"/>
        </w:rPr>
        <w:t xml:space="preserve">, </w:t>
      </w:r>
      <w:r w:rsidR="00375681" w:rsidRPr="00580772">
        <w:rPr>
          <w:i/>
          <w:iCs/>
          <w:sz w:val="18"/>
          <w:szCs w:val="18"/>
        </w:rPr>
        <w:t xml:space="preserve">Hate </w:t>
      </w:r>
      <w:r w:rsidR="00513133" w:rsidRPr="00580772">
        <w:rPr>
          <w:i/>
          <w:iCs/>
          <w:sz w:val="18"/>
          <w:szCs w:val="18"/>
        </w:rPr>
        <w:t>crime laws</w:t>
      </w:r>
      <w:r w:rsidR="00095BA4">
        <w:rPr>
          <w:i/>
          <w:iCs/>
          <w:sz w:val="18"/>
          <w:szCs w:val="18"/>
        </w:rPr>
        <w:t xml:space="preserve"> </w:t>
      </w:r>
      <w:r w:rsidR="000B4CBD" w:rsidRPr="00580772">
        <w:rPr>
          <w:sz w:val="18"/>
          <w:szCs w:val="18"/>
        </w:rPr>
        <w:t>(</w:t>
      </w:r>
      <w:r w:rsidR="00513133">
        <w:rPr>
          <w:sz w:val="18"/>
          <w:szCs w:val="18"/>
        </w:rPr>
        <w:t>Final report</w:t>
      </w:r>
      <w:r w:rsidR="00095BA4">
        <w:rPr>
          <w:sz w:val="18"/>
          <w:szCs w:val="18"/>
        </w:rPr>
        <w:t xml:space="preserve">, </w:t>
      </w:r>
      <w:r w:rsidR="00381C4E" w:rsidRPr="00580772">
        <w:rPr>
          <w:sz w:val="18"/>
          <w:szCs w:val="18"/>
        </w:rPr>
        <w:t>Law Com No 402</w:t>
      </w:r>
      <w:r w:rsidR="009E378D" w:rsidRPr="00580772">
        <w:rPr>
          <w:sz w:val="18"/>
          <w:szCs w:val="18"/>
        </w:rPr>
        <w:t>,</w:t>
      </w:r>
      <w:r w:rsidR="00580772" w:rsidRPr="00580772">
        <w:rPr>
          <w:sz w:val="18"/>
          <w:szCs w:val="18"/>
        </w:rPr>
        <w:t xml:space="preserve"> </w:t>
      </w:r>
      <w:r w:rsidR="000B4CBD" w:rsidRPr="00580772">
        <w:rPr>
          <w:sz w:val="18"/>
          <w:szCs w:val="18"/>
        </w:rPr>
        <w:t>2021).</w:t>
      </w:r>
    </w:p>
  </w:footnote>
  <w:footnote w:id="6">
    <w:p w14:paraId="21C1AC20" w14:textId="52D7A93D" w:rsidR="00B847F1" w:rsidRPr="00BA3FD5" w:rsidRDefault="00B847F1" w:rsidP="00B847F1">
      <w:pPr>
        <w:pStyle w:val="FootnoteText"/>
        <w:rPr>
          <w:lang w:val="en-GB"/>
        </w:rPr>
      </w:pPr>
      <w:r w:rsidRPr="008333E3">
        <w:rPr>
          <w:rStyle w:val="FootnoteReference"/>
        </w:rPr>
        <w:footnoteRef/>
      </w:r>
      <w:r w:rsidRPr="008333E3">
        <w:t xml:space="preserve"> </w:t>
      </w:r>
      <w:r w:rsidR="008333E3" w:rsidRPr="002607F2">
        <w:rPr>
          <w:i/>
          <w:iCs/>
          <w:sz w:val="18"/>
          <w:szCs w:val="18"/>
        </w:rPr>
        <w:t>Building belonging: Review of Queensland’s Anti-Discrimination Act 1991</w:t>
      </w:r>
      <w:r w:rsidR="008333E3" w:rsidRPr="002607F2">
        <w:rPr>
          <w:sz w:val="18"/>
          <w:szCs w:val="18"/>
        </w:rPr>
        <w:t xml:space="preserve"> (Queensland Human Rights Commission, July 2022), </w:t>
      </w:r>
      <w:r w:rsidR="008333E3" w:rsidRPr="002607F2">
        <w:rPr>
          <w:sz w:val="18"/>
          <w:szCs w:val="18"/>
        </w:rPr>
        <w:t>22</w:t>
      </w:r>
      <w:r w:rsidR="008333E3" w:rsidRPr="002607F2">
        <w:rPr>
          <w:sz w:val="18"/>
          <w:szCs w:val="18"/>
        </w:rPr>
        <w:t>.</w:t>
      </w:r>
    </w:p>
  </w:footnote>
  <w:footnote w:id="7">
    <w:p w14:paraId="23F1664B" w14:textId="6E212994" w:rsidR="005C33C4" w:rsidRPr="005C33C4" w:rsidRDefault="005C33C4">
      <w:pPr>
        <w:pStyle w:val="FootnoteText"/>
        <w:rPr>
          <w:lang w:val="en-GB"/>
        </w:rPr>
      </w:pPr>
      <w:r>
        <w:rPr>
          <w:rStyle w:val="FootnoteReference"/>
        </w:rPr>
        <w:footnoteRef/>
      </w:r>
      <w:r>
        <w:t xml:space="preserve"> </w:t>
      </w:r>
      <w:r>
        <w:rPr>
          <w:lang w:val="en-GB"/>
        </w:rPr>
        <w:t xml:space="preserve">Consultation guide </w:t>
      </w:r>
      <w:r w:rsidR="005A0AC9">
        <w:rPr>
          <w:lang w:val="en-GB"/>
        </w:rPr>
        <w:t>– p 23.</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74E0"/>
    <w:multiLevelType w:val="hybridMultilevel"/>
    <w:tmpl w:val="FFFFFFFF"/>
    <w:lvl w:ilvl="0" w:tplc="72F47614">
      <w:start w:val="1"/>
      <w:numFmt w:val="bullet"/>
      <w:lvlText w:val=""/>
      <w:lvlJc w:val="left"/>
      <w:pPr>
        <w:ind w:left="720" w:hanging="360"/>
      </w:pPr>
      <w:rPr>
        <w:rFonts w:ascii="Symbol" w:hAnsi="Symbol" w:hint="default"/>
      </w:rPr>
    </w:lvl>
    <w:lvl w:ilvl="1" w:tplc="38E070D6">
      <w:start w:val="1"/>
      <w:numFmt w:val="bullet"/>
      <w:lvlText w:val="o"/>
      <w:lvlJc w:val="left"/>
      <w:pPr>
        <w:ind w:left="1440" w:hanging="360"/>
      </w:pPr>
      <w:rPr>
        <w:rFonts w:ascii="Courier New" w:hAnsi="Courier New" w:hint="default"/>
      </w:rPr>
    </w:lvl>
    <w:lvl w:ilvl="2" w:tplc="638EBB9C">
      <w:start w:val="1"/>
      <w:numFmt w:val="bullet"/>
      <w:lvlText w:val=""/>
      <w:lvlJc w:val="left"/>
      <w:pPr>
        <w:ind w:left="2160" w:hanging="360"/>
      </w:pPr>
      <w:rPr>
        <w:rFonts w:ascii="Wingdings" w:hAnsi="Wingdings" w:hint="default"/>
      </w:rPr>
    </w:lvl>
    <w:lvl w:ilvl="3" w:tplc="00226388">
      <w:start w:val="1"/>
      <w:numFmt w:val="bullet"/>
      <w:lvlText w:val=""/>
      <w:lvlJc w:val="left"/>
      <w:pPr>
        <w:ind w:left="2880" w:hanging="360"/>
      </w:pPr>
      <w:rPr>
        <w:rFonts w:ascii="Symbol" w:hAnsi="Symbol" w:hint="default"/>
      </w:rPr>
    </w:lvl>
    <w:lvl w:ilvl="4" w:tplc="EC7AAE88">
      <w:start w:val="1"/>
      <w:numFmt w:val="bullet"/>
      <w:lvlText w:val="o"/>
      <w:lvlJc w:val="left"/>
      <w:pPr>
        <w:ind w:left="3600" w:hanging="360"/>
      </w:pPr>
      <w:rPr>
        <w:rFonts w:ascii="Courier New" w:hAnsi="Courier New" w:hint="default"/>
      </w:rPr>
    </w:lvl>
    <w:lvl w:ilvl="5" w:tplc="264EE43E">
      <w:start w:val="1"/>
      <w:numFmt w:val="bullet"/>
      <w:lvlText w:val=""/>
      <w:lvlJc w:val="left"/>
      <w:pPr>
        <w:ind w:left="4320" w:hanging="360"/>
      </w:pPr>
      <w:rPr>
        <w:rFonts w:ascii="Wingdings" w:hAnsi="Wingdings" w:hint="default"/>
      </w:rPr>
    </w:lvl>
    <w:lvl w:ilvl="6" w:tplc="AAE6CA4E">
      <w:start w:val="1"/>
      <w:numFmt w:val="bullet"/>
      <w:lvlText w:val=""/>
      <w:lvlJc w:val="left"/>
      <w:pPr>
        <w:ind w:left="5040" w:hanging="360"/>
      </w:pPr>
      <w:rPr>
        <w:rFonts w:ascii="Symbol" w:hAnsi="Symbol" w:hint="default"/>
      </w:rPr>
    </w:lvl>
    <w:lvl w:ilvl="7" w:tplc="B46C12FC">
      <w:start w:val="1"/>
      <w:numFmt w:val="bullet"/>
      <w:lvlText w:val="o"/>
      <w:lvlJc w:val="left"/>
      <w:pPr>
        <w:ind w:left="5760" w:hanging="360"/>
      </w:pPr>
      <w:rPr>
        <w:rFonts w:ascii="Courier New" w:hAnsi="Courier New" w:hint="default"/>
      </w:rPr>
    </w:lvl>
    <w:lvl w:ilvl="8" w:tplc="A052008C">
      <w:start w:val="1"/>
      <w:numFmt w:val="bullet"/>
      <w:lvlText w:val=""/>
      <w:lvlJc w:val="left"/>
      <w:pPr>
        <w:ind w:left="6480" w:hanging="360"/>
      </w:pPr>
      <w:rPr>
        <w:rFonts w:ascii="Wingdings" w:hAnsi="Wingdings" w:hint="default"/>
      </w:rPr>
    </w:lvl>
  </w:abstractNum>
  <w:abstractNum w:abstractNumId="1" w15:restartNumberingAfterBreak="0">
    <w:nsid w:val="07945BCD"/>
    <w:multiLevelType w:val="hybridMultilevel"/>
    <w:tmpl w:val="D93C7F80"/>
    <w:lvl w:ilvl="0" w:tplc="53F6611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0250E7E"/>
    <w:multiLevelType w:val="multilevel"/>
    <w:tmpl w:val="CB065428"/>
    <w:lvl w:ilvl="0">
      <w:start w:val="1"/>
      <w:numFmt w:val="decimal"/>
      <w:lvlText w:val="%1."/>
      <w:lvlJc w:val="left"/>
      <w:pPr>
        <w:ind w:left="567" w:hanging="567"/>
      </w:pPr>
      <w:rPr>
        <w:rFonts w:ascii="Arial" w:hAnsi="Arial" w:cs="Arial" w:hint="default"/>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6712E53"/>
    <w:multiLevelType w:val="hybridMultilevel"/>
    <w:tmpl w:val="96D28A22"/>
    <w:lvl w:ilvl="0" w:tplc="335A90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217F9"/>
    <w:multiLevelType w:val="hybridMultilevel"/>
    <w:tmpl w:val="5BC0429A"/>
    <w:lvl w:ilvl="0" w:tplc="61AA13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5D51E9"/>
    <w:multiLevelType w:val="hybridMultilevel"/>
    <w:tmpl w:val="58947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0D15DB"/>
    <w:multiLevelType w:val="hybridMultilevel"/>
    <w:tmpl w:val="29ACF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8E603A"/>
    <w:multiLevelType w:val="hybridMultilevel"/>
    <w:tmpl w:val="3E3012A8"/>
    <w:lvl w:ilvl="0" w:tplc="9D5663D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357A51C5"/>
    <w:multiLevelType w:val="hybridMultilevel"/>
    <w:tmpl w:val="7918F8C6"/>
    <w:lvl w:ilvl="0" w:tplc="86943C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301AFE"/>
    <w:multiLevelType w:val="hybridMultilevel"/>
    <w:tmpl w:val="D08C2F10"/>
    <w:lvl w:ilvl="0" w:tplc="DCC2B196">
      <w:start w:val="1"/>
      <w:numFmt w:val="decimal"/>
      <w:lvlText w:val="(%1)"/>
      <w:lvlJc w:val="left"/>
      <w:pPr>
        <w:ind w:left="720" w:hanging="360"/>
      </w:pPr>
    </w:lvl>
    <w:lvl w:ilvl="1" w:tplc="39D4F1DC">
      <w:start w:val="1"/>
      <w:numFmt w:val="lowerLetter"/>
      <w:lvlText w:val="%2."/>
      <w:lvlJc w:val="left"/>
      <w:pPr>
        <w:ind w:left="1440" w:hanging="360"/>
      </w:pPr>
    </w:lvl>
    <w:lvl w:ilvl="2" w:tplc="2B0818B4">
      <w:start w:val="1"/>
      <w:numFmt w:val="lowerRoman"/>
      <w:lvlText w:val="%3."/>
      <w:lvlJc w:val="right"/>
      <w:pPr>
        <w:ind w:left="2160" w:hanging="180"/>
      </w:pPr>
    </w:lvl>
    <w:lvl w:ilvl="3" w:tplc="F26E2EF4">
      <w:start w:val="1"/>
      <w:numFmt w:val="decimal"/>
      <w:lvlText w:val="%4."/>
      <w:lvlJc w:val="left"/>
      <w:pPr>
        <w:ind w:left="2880" w:hanging="360"/>
      </w:pPr>
    </w:lvl>
    <w:lvl w:ilvl="4" w:tplc="A62A3096">
      <w:start w:val="1"/>
      <w:numFmt w:val="lowerLetter"/>
      <w:lvlText w:val="%5."/>
      <w:lvlJc w:val="left"/>
      <w:pPr>
        <w:ind w:left="3600" w:hanging="360"/>
      </w:pPr>
    </w:lvl>
    <w:lvl w:ilvl="5" w:tplc="4300C2F6">
      <w:start w:val="1"/>
      <w:numFmt w:val="lowerRoman"/>
      <w:lvlText w:val="%6."/>
      <w:lvlJc w:val="right"/>
      <w:pPr>
        <w:ind w:left="4320" w:hanging="180"/>
      </w:pPr>
    </w:lvl>
    <w:lvl w:ilvl="6" w:tplc="E33874F4">
      <w:start w:val="1"/>
      <w:numFmt w:val="decimal"/>
      <w:lvlText w:val="%7."/>
      <w:lvlJc w:val="left"/>
      <w:pPr>
        <w:ind w:left="5040" w:hanging="360"/>
      </w:pPr>
    </w:lvl>
    <w:lvl w:ilvl="7" w:tplc="18C0FCC4">
      <w:start w:val="1"/>
      <w:numFmt w:val="lowerLetter"/>
      <w:lvlText w:val="%8."/>
      <w:lvlJc w:val="left"/>
      <w:pPr>
        <w:ind w:left="5760" w:hanging="360"/>
      </w:pPr>
    </w:lvl>
    <w:lvl w:ilvl="8" w:tplc="74A0AC62">
      <w:start w:val="1"/>
      <w:numFmt w:val="lowerRoman"/>
      <w:lvlText w:val="%9."/>
      <w:lvlJc w:val="right"/>
      <w:pPr>
        <w:ind w:left="6480" w:hanging="180"/>
      </w:pPr>
    </w:lvl>
  </w:abstractNum>
  <w:abstractNum w:abstractNumId="10" w15:restartNumberingAfterBreak="0">
    <w:nsid w:val="3BC76FE9"/>
    <w:multiLevelType w:val="hybridMultilevel"/>
    <w:tmpl w:val="365E0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557B27"/>
    <w:multiLevelType w:val="hybridMultilevel"/>
    <w:tmpl w:val="FFFFFFFF"/>
    <w:lvl w:ilvl="0" w:tplc="C6DA1104">
      <w:start w:val="1"/>
      <w:numFmt w:val="lowerLetter"/>
      <w:lvlText w:val="(%1)"/>
      <w:lvlJc w:val="left"/>
      <w:pPr>
        <w:ind w:left="720" w:hanging="360"/>
      </w:pPr>
    </w:lvl>
    <w:lvl w:ilvl="1" w:tplc="2E8863D4">
      <w:start w:val="1"/>
      <w:numFmt w:val="lowerLetter"/>
      <w:lvlText w:val="%2."/>
      <w:lvlJc w:val="left"/>
      <w:pPr>
        <w:ind w:left="1440" w:hanging="360"/>
      </w:pPr>
    </w:lvl>
    <w:lvl w:ilvl="2" w:tplc="38987A6E">
      <w:start w:val="1"/>
      <w:numFmt w:val="lowerRoman"/>
      <w:lvlText w:val="%3."/>
      <w:lvlJc w:val="right"/>
      <w:pPr>
        <w:ind w:left="2160" w:hanging="180"/>
      </w:pPr>
    </w:lvl>
    <w:lvl w:ilvl="3" w:tplc="69A6995E">
      <w:start w:val="1"/>
      <w:numFmt w:val="decimal"/>
      <w:lvlText w:val="%4."/>
      <w:lvlJc w:val="left"/>
      <w:pPr>
        <w:ind w:left="2880" w:hanging="360"/>
      </w:pPr>
    </w:lvl>
    <w:lvl w:ilvl="4" w:tplc="24EA8E82">
      <w:start w:val="1"/>
      <w:numFmt w:val="lowerLetter"/>
      <w:lvlText w:val="%5."/>
      <w:lvlJc w:val="left"/>
      <w:pPr>
        <w:ind w:left="3600" w:hanging="360"/>
      </w:pPr>
    </w:lvl>
    <w:lvl w:ilvl="5" w:tplc="89642B7C">
      <w:start w:val="1"/>
      <w:numFmt w:val="lowerRoman"/>
      <w:lvlText w:val="%6."/>
      <w:lvlJc w:val="right"/>
      <w:pPr>
        <w:ind w:left="4320" w:hanging="180"/>
      </w:pPr>
    </w:lvl>
    <w:lvl w:ilvl="6" w:tplc="8AC8AC94">
      <w:start w:val="1"/>
      <w:numFmt w:val="decimal"/>
      <w:lvlText w:val="%7."/>
      <w:lvlJc w:val="left"/>
      <w:pPr>
        <w:ind w:left="5040" w:hanging="360"/>
      </w:pPr>
    </w:lvl>
    <w:lvl w:ilvl="7" w:tplc="1E60C884">
      <w:start w:val="1"/>
      <w:numFmt w:val="lowerLetter"/>
      <w:lvlText w:val="%8."/>
      <w:lvlJc w:val="left"/>
      <w:pPr>
        <w:ind w:left="5760" w:hanging="360"/>
      </w:pPr>
    </w:lvl>
    <w:lvl w:ilvl="8" w:tplc="2DD6E512">
      <w:start w:val="1"/>
      <w:numFmt w:val="lowerRoman"/>
      <w:lvlText w:val="%9."/>
      <w:lvlJc w:val="right"/>
      <w:pPr>
        <w:ind w:left="6480" w:hanging="180"/>
      </w:pPr>
    </w:lvl>
  </w:abstractNum>
  <w:abstractNum w:abstractNumId="12" w15:restartNumberingAfterBreak="0">
    <w:nsid w:val="3FB723FA"/>
    <w:multiLevelType w:val="hybridMultilevel"/>
    <w:tmpl w:val="037CE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DF00AE"/>
    <w:multiLevelType w:val="hybridMultilevel"/>
    <w:tmpl w:val="FFFFFFFF"/>
    <w:lvl w:ilvl="0" w:tplc="7EA02946">
      <w:start w:val="1"/>
      <w:numFmt w:val="lowerRoman"/>
      <w:lvlText w:val="(%1)"/>
      <w:lvlJc w:val="left"/>
      <w:pPr>
        <w:ind w:left="720" w:hanging="360"/>
      </w:pPr>
    </w:lvl>
    <w:lvl w:ilvl="1" w:tplc="E5D6066A">
      <w:start w:val="1"/>
      <w:numFmt w:val="lowerLetter"/>
      <w:lvlText w:val="%2."/>
      <w:lvlJc w:val="left"/>
      <w:pPr>
        <w:ind w:left="1440" w:hanging="360"/>
      </w:pPr>
    </w:lvl>
    <w:lvl w:ilvl="2" w:tplc="697AC55A">
      <w:start w:val="1"/>
      <w:numFmt w:val="lowerRoman"/>
      <w:lvlText w:val="%3."/>
      <w:lvlJc w:val="right"/>
      <w:pPr>
        <w:ind w:left="2160" w:hanging="180"/>
      </w:pPr>
    </w:lvl>
    <w:lvl w:ilvl="3" w:tplc="A2587602">
      <w:start w:val="1"/>
      <w:numFmt w:val="decimal"/>
      <w:lvlText w:val="%4."/>
      <w:lvlJc w:val="left"/>
      <w:pPr>
        <w:ind w:left="2880" w:hanging="360"/>
      </w:pPr>
    </w:lvl>
    <w:lvl w:ilvl="4" w:tplc="C2F497B8">
      <w:start w:val="1"/>
      <w:numFmt w:val="lowerLetter"/>
      <w:lvlText w:val="%5."/>
      <w:lvlJc w:val="left"/>
      <w:pPr>
        <w:ind w:left="3600" w:hanging="360"/>
      </w:pPr>
    </w:lvl>
    <w:lvl w:ilvl="5" w:tplc="DFC8A5AA">
      <w:start w:val="1"/>
      <w:numFmt w:val="lowerRoman"/>
      <w:lvlText w:val="%6."/>
      <w:lvlJc w:val="right"/>
      <w:pPr>
        <w:ind w:left="4320" w:hanging="180"/>
      </w:pPr>
    </w:lvl>
    <w:lvl w:ilvl="6" w:tplc="EC3680BE">
      <w:start w:val="1"/>
      <w:numFmt w:val="decimal"/>
      <w:lvlText w:val="%7."/>
      <w:lvlJc w:val="left"/>
      <w:pPr>
        <w:ind w:left="5040" w:hanging="360"/>
      </w:pPr>
    </w:lvl>
    <w:lvl w:ilvl="7" w:tplc="65A25248">
      <w:start w:val="1"/>
      <w:numFmt w:val="lowerLetter"/>
      <w:lvlText w:val="%8."/>
      <w:lvlJc w:val="left"/>
      <w:pPr>
        <w:ind w:left="5760" w:hanging="360"/>
      </w:pPr>
    </w:lvl>
    <w:lvl w:ilvl="8" w:tplc="18FC052A">
      <w:start w:val="1"/>
      <w:numFmt w:val="lowerRoman"/>
      <w:lvlText w:val="%9."/>
      <w:lvlJc w:val="right"/>
      <w:pPr>
        <w:ind w:left="6480" w:hanging="180"/>
      </w:pPr>
    </w:lvl>
  </w:abstractNum>
  <w:abstractNum w:abstractNumId="14" w15:restartNumberingAfterBreak="0">
    <w:nsid w:val="4CCC639C"/>
    <w:multiLevelType w:val="hybridMultilevel"/>
    <w:tmpl w:val="2C8E9258"/>
    <w:lvl w:ilvl="0" w:tplc="E47C08DC">
      <w:start w:val="1"/>
      <w:numFmt w:val="bullet"/>
      <w:lvlText w:val=""/>
      <w:lvlJc w:val="left"/>
      <w:pPr>
        <w:ind w:left="1014" w:hanging="360"/>
      </w:pPr>
      <w:rPr>
        <w:rFonts w:ascii="Wingdings" w:hAnsi="Wingdings" w:hint="default"/>
        <w:color w:val="000000" w:themeColor="text1"/>
        <w:sz w:val="22"/>
      </w:rPr>
    </w:lvl>
    <w:lvl w:ilvl="1" w:tplc="0C090003" w:tentative="1">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15" w15:restartNumberingAfterBreak="0">
    <w:nsid w:val="5430016A"/>
    <w:multiLevelType w:val="hybridMultilevel"/>
    <w:tmpl w:val="EB664C0A"/>
    <w:lvl w:ilvl="0" w:tplc="A66E7B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A9E5DF"/>
    <w:multiLevelType w:val="hybridMultilevel"/>
    <w:tmpl w:val="5BEE305E"/>
    <w:lvl w:ilvl="0" w:tplc="F894D222">
      <w:start w:val="1"/>
      <w:numFmt w:val="lowerLetter"/>
      <w:lvlText w:val="(%1)"/>
      <w:lvlJc w:val="left"/>
      <w:pPr>
        <w:ind w:left="1080" w:hanging="360"/>
      </w:pPr>
    </w:lvl>
    <w:lvl w:ilvl="1" w:tplc="F18A0470">
      <w:start w:val="1"/>
      <w:numFmt w:val="lowerLetter"/>
      <w:lvlText w:val="%2."/>
      <w:lvlJc w:val="left"/>
      <w:pPr>
        <w:ind w:left="1800" w:hanging="360"/>
      </w:pPr>
    </w:lvl>
    <w:lvl w:ilvl="2" w:tplc="74D81788">
      <w:start w:val="1"/>
      <w:numFmt w:val="lowerRoman"/>
      <w:lvlText w:val="%3."/>
      <w:lvlJc w:val="right"/>
      <w:pPr>
        <w:ind w:left="2520" w:hanging="180"/>
      </w:pPr>
    </w:lvl>
    <w:lvl w:ilvl="3" w:tplc="1BECA9A4">
      <w:start w:val="1"/>
      <w:numFmt w:val="decimal"/>
      <w:lvlText w:val="%4."/>
      <w:lvlJc w:val="left"/>
      <w:pPr>
        <w:ind w:left="3240" w:hanging="360"/>
      </w:pPr>
    </w:lvl>
    <w:lvl w:ilvl="4" w:tplc="7340D774">
      <w:start w:val="1"/>
      <w:numFmt w:val="lowerLetter"/>
      <w:lvlText w:val="%5."/>
      <w:lvlJc w:val="left"/>
      <w:pPr>
        <w:ind w:left="3960" w:hanging="360"/>
      </w:pPr>
    </w:lvl>
    <w:lvl w:ilvl="5" w:tplc="0CCE85FA">
      <w:start w:val="1"/>
      <w:numFmt w:val="lowerRoman"/>
      <w:lvlText w:val="%6."/>
      <w:lvlJc w:val="right"/>
      <w:pPr>
        <w:ind w:left="4680" w:hanging="180"/>
      </w:pPr>
    </w:lvl>
    <w:lvl w:ilvl="6" w:tplc="5A4EB95C">
      <w:start w:val="1"/>
      <w:numFmt w:val="decimal"/>
      <w:lvlText w:val="%7."/>
      <w:lvlJc w:val="left"/>
      <w:pPr>
        <w:ind w:left="5400" w:hanging="360"/>
      </w:pPr>
    </w:lvl>
    <w:lvl w:ilvl="7" w:tplc="AF76D816">
      <w:start w:val="1"/>
      <w:numFmt w:val="lowerLetter"/>
      <w:lvlText w:val="%8."/>
      <w:lvlJc w:val="left"/>
      <w:pPr>
        <w:ind w:left="6120" w:hanging="360"/>
      </w:pPr>
    </w:lvl>
    <w:lvl w:ilvl="8" w:tplc="7206AC38">
      <w:start w:val="1"/>
      <w:numFmt w:val="lowerRoman"/>
      <w:lvlText w:val="%9."/>
      <w:lvlJc w:val="right"/>
      <w:pPr>
        <w:ind w:left="6840" w:hanging="180"/>
      </w:pPr>
    </w:lvl>
  </w:abstractNum>
  <w:abstractNum w:abstractNumId="17" w15:restartNumberingAfterBreak="0">
    <w:nsid w:val="5F865BF0"/>
    <w:multiLevelType w:val="hybridMultilevel"/>
    <w:tmpl w:val="A0BAB1BE"/>
    <w:lvl w:ilvl="0" w:tplc="3E3CF71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B03E4A"/>
    <w:multiLevelType w:val="hybridMultilevel"/>
    <w:tmpl w:val="0DDC335E"/>
    <w:lvl w:ilvl="0" w:tplc="4A1C845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D04768"/>
    <w:multiLevelType w:val="hybridMultilevel"/>
    <w:tmpl w:val="E8E067DA"/>
    <w:lvl w:ilvl="0" w:tplc="7F86CDCE">
      <w:start w:val="1"/>
      <w:numFmt w:val="decimal"/>
      <w:lvlText w:val="%1."/>
      <w:lvlJc w:val="left"/>
      <w:pPr>
        <w:ind w:left="1800" w:hanging="360"/>
      </w:pPr>
    </w:lvl>
    <w:lvl w:ilvl="1" w:tplc="CF4064DC">
      <w:start w:val="1"/>
      <w:numFmt w:val="lowerLetter"/>
      <w:lvlText w:val="%2."/>
      <w:lvlJc w:val="left"/>
      <w:pPr>
        <w:ind w:left="2520" w:hanging="360"/>
      </w:pPr>
    </w:lvl>
    <w:lvl w:ilvl="2" w:tplc="AAC24EFC">
      <w:start w:val="1"/>
      <w:numFmt w:val="lowerRoman"/>
      <w:lvlText w:val="%3."/>
      <w:lvlJc w:val="right"/>
      <w:pPr>
        <w:ind w:left="3240" w:hanging="180"/>
      </w:pPr>
    </w:lvl>
    <w:lvl w:ilvl="3" w:tplc="9B2A1B16">
      <w:start w:val="1"/>
      <w:numFmt w:val="decimal"/>
      <w:lvlText w:val="%4."/>
      <w:lvlJc w:val="left"/>
      <w:pPr>
        <w:ind w:left="3960" w:hanging="360"/>
      </w:pPr>
    </w:lvl>
    <w:lvl w:ilvl="4" w:tplc="74766C78">
      <w:start w:val="1"/>
      <w:numFmt w:val="lowerLetter"/>
      <w:lvlText w:val="%5."/>
      <w:lvlJc w:val="left"/>
      <w:pPr>
        <w:ind w:left="4680" w:hanging="360"/>
      </w:pPr>
    </w:lvl>
    <w:lvl w:ilvl="5" w:tplc="9768E230">
      <w:start w:val="1"/>
      <w:numFmt w:val="lowerRoman"/>
      <w:lvlText w:val="%6."/>
      <w:lvlJc w:val="right"/>
      <w:pPr>
        <w:ind w:left="5400" w:hanging="180"/>
      </w:pPr>
    </w:lvl>
    <w:lvl w:ilvl="6" w:tplc="032AD510">
      <w:start w:val="1"/>
      <w:numFmt w:val="decimal"/>
      <w:lvlText w:val="%7."/>
      <w:lvlJc w:val="left"/>
      <w:pPr>
        <w:ind w:left="6120" w:hanging="360"/>
      </w:pPr>
    </w:lvl>
    <w:lvl w:ilvl="7" w:tplc="85B63118">
      <w:start w:val="1"/>
      <w:numFmt w:val="lowerLetter"/>
      <w:lvlText w:val="%8."/>
      <w:lvlJc w:val="left"/>
      <w:pPr>
        <w:ind w:left="6840" w:hanging="360"/>
      </w:pPr>
    </w:lvl>
    <w:lvl w:ilvl="8" w:tplc="CA7438BE">
      <w:start w:val="1"/>
      <w:numFmt w:val="lowerRoman"/>
      <w:lvlText w:val="%9."/>
      <w:lvlJc w:val="right"/>
      <w:pPr>
        <w:ind w:left="7560" w:hanging="180"/>
      </w:pPr>
    </w:lvl>
  </w:abstractNum>
  <w:abstractNum w:abstractNumId="20" w15:restartNumberingAfterBreak="0">
    <w:nsid w:val="6A18742E"/>
    <w:multiLevelType w:val="hybridMultilevel"/>
    <w:tmpl w:val="15A6DDBC"/>
    <w:lvl w:ilvl="0" w:tplc="0410370E">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735594"/>
    <w:multiLevelType w:val="hybridMultilevel"/>
    <w:tmpl w:val="D65AC53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C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B77076"/>
    <w:multiLevelType w:val="hybridMultilevel"/>
    <w:tmpl w:val="4926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80470"/>
    <w:multiLevelType w:val="hybridMultilevel"/>
    <w:tmpl w:val="8CF63E72"/>
    <w:lvl w:ilvl="0" w:tplc="7B641728">
      <w:start w:val="1"/>
      <w:numFmt w:val="decimal"/>
      <w:lvlText w:val="%1."/>
      <w:lvlJc w:val="left"/>
      <w:pPr>
        <w:ind w:left="1004" w:hanging="360"/>
      </w:pPr>
      <w:rPr>
        <w:rFonts w:hint="default"/>
      </w:rPr>
    </w:lvl>
    <w:lvl w:ilvl="1" w:tplc="E47C08DC">
      <w:start w:val="1"/>
      <w:numFmt w:val="bullet"/>
      <w:lvlText w:val=""/>
      <w:lvlJc w:val="left"/>
      <w:pPr>
        <w:ind w:left="1004" w:hanging="360"/>
      </w:pPr>
      <w:rPr>
        <w:rFonts w:ascii="Wingdings" w:hAnsi="Wingdings" w:hint="default"/>
        <w:color w:val="000000" w:themeColor="text1"/>
        <w:sz w:val="22"/>
      </w:r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758E1C94"/>
    <w:multiLevelType w:val="hybridMultilevel"/>
    <w:tmpl w:val="068A42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270B06"/>
    <w:multiLevelType w:val="hybridMultilevel"/>
    <w:tmpl w:val="CFFED8D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200B58"/>
    <w:multiLevelType w:val="hybridMultilevel"/>
    <w:tmpl w:val="198ECF42"/>
    <w:lvl w:ilvl="0" w:tplc="D8442D4C">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1051AE"/>
    <w:multiLevelType w:val="hybridMultilevel"/>
    <w:tmpl w:val="7D084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033267">
    <w:abstractNumId w:val="5"/>
  </w:num>
  <w:num w:numId="2" w16cid:durableId="1934631548">
    <w:abstractNumId w:val="23"/>
  </w:num>
  <w:num w:numId="3" w16cid:durableId="1161703340">
    <w:abstractNumId w:val="14"/>
  </w:num>
  <w:num w:numId="4" w16cid:durableId="1809669158">
    <w:abstractNumId w:val="12"/>
  </w:num>
  <w:num w:numId="5" w16cid:durableId="607851805">
    <w:abstractNumId w:val="16"/>
  </w:num>
  <w:num w:numId="6" w16cid:durableId="74325867">
    <w:abstractNumId w:val="9"/>
  </w:num>
  <w:num w:numId="7" w16cid:durableId="2093234629">
    <w:abstractNumId w:val="19"/>
  </w:num>
  <w:num w:numId="8" w16cid:durableId="1136413280">
    <w:abstractNumId w:val="0"/>
  </w:num>
  <w:num w:numId="9" w16cid:durableId="861826157">
    <w:abstractNumId w:val="21"/>
  </w:num>
  <w:num w:numId="10" w16cid:durableId="36709420">
    <w:abstractNumId w:val="24"/>
  </w:num>
  <w:num w:numId="11" w16cid:durableId="1619681090">
    <w:abstractNumId w:val="13"/>
  </w:num>
  <w:num w:numId="12" w16cid:durableId="40174203">
    <w:abstractNumId w:val="15"/>
  </w:num>
  <w:num w:numId="13" w16cid:durableId="868448116">
    <w:abstractNumId w:val="8"/>
  </w:num>
  <w:num w:numId="14" w16cid:durableId="1775903086">
    <w:abstractNumId w:val="6"/>
  </w:num>
  <w:num w:numId="15" w16cid:durableId="1400594889">
    <w:abstractNumId w:val="25"/>
  </w:num>
  <w:num w:numId="16" w16cid:durableId="541862356">
    <w:abstractNumId w:val="3"/>
  </w:num>
  <w:num w:numId="17" w16cid:durableId="479929839">
    <w:abstractNumId w:val="26"/>
  </w:num>
  <w:num w:numId="18" w16cid:durableId="2084643929">
    <w:abstractNumId w:val="20"/>
  </w:num>
  <w:num w:numId="19" w16cid:durableId="780996370">
    <w:abstractNumId w:val="11"/>
  </w:num>
  <w:num w:numId="20" w16cid:durableId="1165786153">
    <w:abstractNumId w:val="10"/>
  </w:num>
  <w:num w:numId="21" w16cid:durableId="1831095664">
    <w:abstractNumId w:val="27"/>
  </w:num>
  <w:num w:numId="22" w16cid:durableId="957221828">
    <w:abstractNumId w:val="17"/>
  </w:num>
  <w:num w:numId="23" w16cid:durableId="845679410">
    <w:abstractNumId w:val="7"/>
  </w:num>
  <w:num w:numId="24" w16cid:durableId="1543784341">
    <w:abstractNumId w:val="2"/>
  </w:num>
  <w:num w:numId="25" w16cid:durableId="617225852">
    <w:abstractNumId w:val="1"/>
  </w:num>
  <w:num w:numId="26" w16cid:durableId="596789274">
    <w:abstractNumId w:val="22"/>
  </w:num>
  <w:num w:numId="27" w16cid:durableId="1122532518">
    <w:abstractNumId w:val="18"/>
  </w:num>
  <w:num w:numId="28" w16cid:durableId="170402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75"/>
    <w:rsid w:val="000004A7"/>
    <w:rsid w:val="000009EF"/>
    <w:rsid w:val="00000AB9"/>
    <w:rsid w:val="0000197F"/>
    <w:rsid w:val="00001BE5"/>
    <w:rsid w:val="000021AF"/>
    <w:rsid w:val="000025B3"/>
    <w:rsid w:val="0000281E"/>
    <w:rsid w:val="000034D7"/>
    <w:rsid w:val="00003838"/>
    <w:rsid w:val="00003CA4"/>
    <w:rsid w:val="00003EC2"/>
    <w:rsid w:val="00004388"/>
    <w:rsid w:val="00004DAA"/>
    <w:rsid w:val="00005187"/>
    <w:rsid w:val="00005CD3"/>
    <w:rsid w:val="00005EF0"/>
    <w:rsid w:val="00006579"/>
    <w:rsid w:val="000068F9"/>
    <w:rsid w:val="00006EC0"/>
    <w:rsid w:val="00006F99"/>
    <w:rsid w:val="00006FCE"/>
    <w:rsid w:val="000070F2"/>
    <w:rsid w:val="0000710F"/>
    <w:rsid w:val="00007510"/>
    <w:rsid w:val="000107B1"/>
    <w:rsid w:val="000113FD"/>
    <w:rsid w:val="00011AC5"/>
    <w:rsid w:val="00011EF7"/>
    <w:rsid w:val="00012378"/>
    <w:rsid w:val="00012F9C"/>
    <w:rsid w:val="00013368"/>
    <w:rsid w:val="000137E3"/>
    <w:rsid w:val="00013D2D"/>
    <w:rsid w:val="0001407A"/>
    <w:rsid w:val="00014BE2"/>
    <w:rsid w:val="00014EE4"/>
    <w:rsid w:val="0001509D"/>
    <w:rsid w:val="000151FA"/>
    <w:rsid w:val="00015A36"/>
    <w:rsid w:val="00016188"/>
    <w:rsid w:val="00016C91"/>
    <w:rsid w:val="00016E15"/>
    <w:rsid w:val="00017A07"/>
    <w:rsid w:val="00017C53"/>
    <w:rsid w:val="00020BAB"/>
    <w:rsid w:val="00021804"/>
    <w:rsid w:val="000218A0"/>
    <w:rsid w:val="000218EE"/>
    <w:rsid w:val="000229F2"/>
    <w:rsid w:val="00023A94"/>
    <w:rsid w:val="00023ACA"/>
    <w:rsid w:val="00023C23"/>
    <w:rsid w:val="00024521"/>
    <w:rsid w:val="0002463A"/>
    <w:rsid w:val="0002474B"/>
    <w:rsid w:val="00024F7D"/>
    <w:rsid w:val="00025163"/>
    <w:rsid w:val="00025FAE"/>
    <w:rsid w:val="00025FC6"/>
    <w:rsid w:val="00026594"/>
    <w:rsid w:val="000267C5"/>
    <w:rsid w:val="000267E6"/>
    <w:rsid w:val="000272D6"/>
    <w:rsid w:val="000308A5"/>
    <w:rsid w:val="00030E87"/>
    <w:rsid w:val="00030F75"/>
    <w:rsid w:val="000310AB"/>
    <w:rsid w:val="00031333"/>
    <w:rsid w:val="00031802"/>
    <w:rsid w:val="000318DC"/>
    <w:rsid w:val="00031CA0"/>
    <w:rsid w:val="00032AD8"/>
    <w:rsid w:val="000333E8"/>
    <w:rsid w:val="00033DF4"/>
    <w:rsid w:val="0003407A"/>
    <w:rsid w:val="00034178"/>
    <w:rsid w:val="000357CB"/>
    <w:rsid w:val="00035E0A"/>
    <w:rsid w:val="00036047"/>
    <w:rsid w:val="00037759"/>
    <w:rsid w:val="00037A0C"/>
    <w:rsid w:val="00040760"/>
    <w:rsid w:val="00040E59"/>
    <w:rsid w:val="000424B3"/>
    <w:rsid w:val="00042AC5"/>
    <w:rsid w:val="000438B8"/>
    <w:rsid w:val="00044193"/>
    <w:rsid w:val="000444B9"/>
    <w:rsid w:val="00044A58"/>
    <w:rsid w:val="00046C35"/>
    <w:rsid w:val="00047C2B"/>
    <w:rsid w:val="00047F0C"/>
    <w:rsid w:val="0005010C"/>
    <w:rsid w:val="00050135"/>
    <w:rsid w:val="000512EF"/>
    <w:rsid w:val="00051475"/>
    <w:rsid w:val="00051807"/>
    <w:rsid w:val="00052159"/>
    <w:rsid w:val="000521AA"/>
    <w:rsid w:val="00052388"/>
    <w:rsid w:val="00052864"/>
    <w:rsid w:val="00052957"/>
    <w:rsid w:val="00052CEE"/>
    <w:rsid w:val="00052D02"/>
    <w:rsid w:val="00052DA8"/>
    <w:rsid w:val="00052FC6"/>
    <w:rsid w:val="000537C3"/>
    <w:rsid w:val="000538E7"/>
    <w:rsid w:val="00053A63"/>
    <w:rsid w:val="00053BCB"/>
    <w:rsid w:val="00054B91"/>
    <w:rsid w:val="00054C6B"/>
    <w:rsid w:val="000552E0"/>
    <w:rsid w:val="00056233"/>
    <w:rsid w:val="00057027"/>
    <w:rsid w:val="000571CB"/>
    <w:rsid w:val="00057DF0"/>
    <w:rsid w:val="00057E7C"/>
    <w:rsid w:val="00061ADA"/>
    <w:rsid w:val="00062E05"/>
    <w:rsid w:val="00062E8A"/>
    <w:rsid w:val="00062F30"/>
    <w:rsid w:val="000633FC"/>
    <w:rsid w:val="00063752"/>
    <w:rsid w:val="0006398F"/>
    <w:rsid w:val="00063B88"/>
    <w:rsid w:val="00063D5E"/>
    <w:rsid w:val="0006501B"/>
    <w:rsid w:val="0006596F"/>
    <w:rsid w:val="00065D71"/>
    <w:rsid w:val="00065E2D"/>
    <w:rsid w:val="00066306"/>
    <w:rsid w:val="00066958"/>
    <w:rsid w:val="00067074"/>
    <w:rsid w:val="00067960"/>
    <w:rsid w:val="00067A7E"/>
    <w:rsid w:val="00067F73"/>
    <w:rsid w:val="00067F85"/>
    <w:rsid w:val="00067F8A"/>
    <w:rsid w:val="00067F9B"/>
    <w:rsid w:val="00070B9C"/>
    <w:rsid w:val="00070C2C"/>
    <w:rsid w:val="00070D04"/>
    <w:rsid w:val="000713CB"/>
    <w:rsid w:val="00071F9A"/>
    <w:rsid w:val="000722A7"/>
    <w:rsid w:val="0007242B"/>
    <w:rsid w:val="00074008"/>
    <w:rsid w:val="00074BA2"/>
    <w:rsid w:val="00074C20"/>
    <w:rsid w:val="0007529C"/>
    <w:rsid w:val="00075C43"/>
    <w:rsid w:val="000768D2"/>
    <w:rsid w:val="000770BE"/>
    <w:rsid w:val="0007722A"/>
    <w:rsid w:val="00077941"/>
    <w:rsid w:val="00077C93"/>
    <w:rsid w:val="000800C4"/>
    <w:rsid w:val="0008042C"/>
    <w:rsid w:val="000814F9"/>
    <w:rsid w:val="0008232E"/>
    <w:rsid w:val="00082FD7"/>
    <w:rsid w:val="00083470"/>
    <w:rsid w:val="000836DA"/>
    <w:rsid w:val="00083926"/>
    <w:rsid w:val="00084785"/>
    <w:rsid w:val="00085A94"/>
    <w:rsid w:val="00085FA3"/>
    <w:rsid w:val="00086004"/>
    <w:rsid w:val="00086CB1"/>
    <w:rsid w:val="00087056"/>
    <w:rsid w:val="000872A8"/>
    <w:rsid w:val="00087387"/>
    <w:rsid w:val="0008796E"/>
    <w:rsid w:val="00087F17"/>
    <w:rsid w:val="0009000D"/>
    <w:rsid w:val="000904CF"/>
    <w:rsid w:val="00090938"/>
    <w:rsid w:val="000909DD"/>
    <w:rsid w:val="00090F6B"/>
    <w:rsid w:val="00091B9E"/>
    <w:rsid w:val="00091CAF"/>
    <w:rsid w:val="00091EC3"/>
    <w:rsid w:val="0009226A"/>
    <w:rsid w:val="000927BC"/>
    <w:rsid w:val="00092AF7"/>
    <w:rsid w:val="00093063"/>
    <w:rsid w:val="0009361E"/>
    <w:rsid w:val="000937FF"/>
    <w:rsid w:val="00093C3E"/>
    <w:rsid w:val="00093C41"/>
    <w:rsid w:val="000945A8"/>
    <w:rsid w:val="000947BB"/>
    <w:rsid w:val="00094AD2"/>
    <w:rsid w:val="00095147"/>
    <w:rsid w:val="0009527B"/>
    <w:rsid w:val="00095BA4"/>
    <w:rsid w:val="00095F7C"/>
    <w:rsid w:val="000962C4"/>
    <w:rsid w:val="000976F6"/>
    <w:rsid w:val="000978CF"/>
    <w:rsid w:val="000979C6"/>
    <w:rsid w:val="000979EF"/>
    <w:rsid w:val="00097AA4"/>
    <w:rsid w:val="000A09EF"/>
    <w:rsid w:val="000A0B06"/>
    <w:rsid w:val="000A136F"/>
    <w:rsid w:val="000A1F36"/>
    <w:rsid w:val="000A1F53"/>
    <w:rsid w:val="000A21EE"/>
    <w:rsid w:val="000A2335"/>
    <w:rsid w:val="000A2453"/>
    <w:rsid w:val="000A27DA"/>
    <w:rsid w:val="000A280C"/>
    <w:rsid w:val="000A2B20"/>
    <w:rsid w:val="000A3439"/>
    <w:rsid w:val="000A3A3F"/>
    <w:rsid w:val="000A3EFE"/>
    <w:rsid w:val="000A407A"/>
    <w:rsid w:val="000A418A"/>
    <w:rsid w:val="000A4342"/>
    <w:rsid w:val="000A4A92"/>
    <w:rsid w:val="000A501C"/>
    <w:rsid w:val="000A50BD"/>
    <w:rsid w:val="000A54D2"/>
    <w:rsid w:val="000A5E71"/>
    <w:rsid w:val="000B0944"/>
    <w:rsid w:val="000B160A"/>
    <w:rsid w:val="000B23C7"/>
    <w:rsid w:val="000B2423"/>
    <w:rsid w:val="000B2A20"/>
    <w:rsid w:val="000B2DEC"/>
    <w:rsid w:val="000B3747"/>
    <w:rsid w:val="000B3E9F"/>
    <w:rsid w:val="000B435A"/>
    <w:rsid w:val="000B4712"/>
    <w:rsid w:val="000B4CBD"/>
    <w:rsid w:val="000B4D8E"/>
    <w:rsid w:val="000B51D3"/>
    <w:rsid w:val="000B525E"/>
    <w:rsid w:val="000B5717"/>
    <w:rsid w:val="000B5C8B"/>
    <w:rsid w:val="000B6A27"/>
    <w:rsid w:val="000B6C2B"/>
    <w:rsid w:val="000B75BD"/>
    <w:rsid w:val="000C075A"/>
    <w:rsid w:val="000C09B5"/>
    <w:rsid w:val="000C0BF6"/>
    <w:rsid w:val="000C1E00"/>
    <w:rsid w:val="000C2B59"/>
    <w:rsid w:val="000C2F34"/>
    <w:rsid w:val="000C2F74"/>
    <w:rsid w:val="000C36AB"/>
    <w:rsid w:val="000C4003"/>
    <w:rsid w:val="000C441B"/>
    <w:rsid w:val="000C4BA9"/>
    <w:rsid w:val="000C4D29"/>
    <w:rsid w:val="000C4D3C"/>
    <w:rsid w:val="000C508F"/>
    <w:rsid w:val="000C56F4"/>
    <w:rsid w:val="000C5E35"/>
    <w:rsid w:val="000C6C2E"/>
    <w:rsid w:val="000C7E75"/>
    <w:rsid w:val="000D0276"/>
    <w:rsid w:val="000D2654"/>
    <w:rsid w:val="000D300C"/>
    <w:rsid w:val="000D33EB"/>
    <w:rsid w:val="000D3884"/>
    <w:rsid w:val="000D39D1"/>
    <w:rsid w:val="000D3A3B"/>
    <w:rsid w:val="000D3BD2"/>
    <w:rsid w:val="000D4879"/>
    <w:rsid w:val="000D5CD0"/>
    <w:rsid w:val="000D715D"/>
    <w:rsid w:val="000D7BF6"/>
    <w:rsid w:val="000E0299"/>
    <w:rsid w:val="000E0BE9"/>
    <w:rsid w:val="000E0D3A"/>
    <w:rsid w:val="000E2466"/>
    <w:rsid w:val="000E2532"/>
    <w:rsid w:val="000E2785"/>
    <w:rsid w:val="000E30BD"/>
    <w:rsid w:val="000E30C3"/>
    <w:rsid w:val="000E36F0"/>
    <w:rsid w:val="000E3D9F"/>
    <w:rsid w:val="000E3E38"/>
    <w:rsid w:val="000E405A"/>
    <w:rsid w:val="000E46DC"/>
    <w:rsid w:val="000E4804"/>
    <w:rsid w:val="000E4B3B"/>
    <w:rsid w:val="000E5092"/>
    <w:rsid w:val="000E5AD2"/>
    <w:rsid w:val="000E5FFB"/>
    <w:rsid w:val="000E6375"/>
    <w:rsid w:val="000E679F"/>
    <w:rsid w:val="000E7138"/>
    <w:rsid w:val="000E7DF9"/>
    <w:rsid w:val="000E7E6A"/>
    <w:rsid w:val="000F02E3"/>
    <w:rsid w:val="000F0CFA"/>
    <w:rsid w:val="000F13D9"/>
    <w:rsid w:val="000F2214"/>
    <w:rsid w:val="000F24D1"/>
    <w:rsid w:val="000F2DA6"/>
    <w:rsid w:val="000F2DB8"/>
    <w:rsid w:val="000F31FB"/>
    <w:rsid w:val="000F35D6"/>
    <w:rsid w:val="000F4F89"/>
    <w:rsid w:val="000F5ED0"/>
    <w:rsid w:val="000F5F55"/>
    <w:rsid w:val="000F645C"/>
    <w:rsid w:val="000F66D8"/>
    <w:rsid w:val="000F6C3D"/>
    <w:rsid w:val="000F6C96"/>
    <w:rsid w:val="000F70B3"/>
    <w:rsid w:val="000F7D17"/>
    <w:rsid w:val="00100A11"/>
    <w:rsid w:val="00101A12"/>
    <w:rsid w:val="00101E2C"/>
    <w:rsid w:val="00101F46"/>
    <w:rsid w:val="001032A6"/>
    <w:rsid w:val="00103577"/>
    <w:rsid w:val="00103623"/>
    <w:rsid w:val="00103B1A"/>
    <w:rsid w:val="00104C4F"/>
    <w:rsid w:val="00104CF3"/>
    <w:rsid w:val="00105CD8"/>
    <w:rsid w:val="00105CF1"/>
    <w:rsid w:val="0010631B"/>
    <w:rsid w:val="00106320"/>
    <w:rsid w:val="001064D7"/>
    <w:rsid w:val="00106E78"/>
    <w:rsid w:val="00107AA3"/>
    <w:rsid w:val="00107D4D"/>
    <w:rsid w:val="00110ACC"/>
    <w:rsid w:val="00112C40"/>
    <w:rsid w:val="001134DA"/>
    <w:rsid w:val="0011358E"/>
    <w:rsid w:val="00113772"/>
    <w:rsid w:val="00113C4C"/>
    <w:rsid w:val="00114B74"/>
    <w:rsid w:val="00116613"/>
    <w:rsid w:val="001206B2"/>
    <w:rsid w:val="00120772"/>
    <w:rsid w:val="001216DB"/>
    <w:rsid w:val="00121769"/>
    <w:rsid w:val="001220EB"/>
    <w:rsid w:val="00122A83"/>
    <w:rsid w:val="00122BA8"/>
    <w:rsid w:val="00122C26"/>
    <w:rsid w:val="00123350"/>
    <w:rsid w:val="0012375F"/>
    <w:rsid w:val="001239FE"/>
    <w:rsid w:val="00124494"/>
    <w:rsid w:val="00124B09"/>
    <w:rsid w:val="00124B18"/>
    <w:rsid w:val="00124FDC"/>
    <w:rsid w:val="0012516E"/>
    <w:rsid w:val="0012524D"/>
    <w:rsid w:val="00125306"/>
    <w:rsid w:val="001258A3"/>
    <w:rsid w:val="0012648F"/>
    <w:rsid w:val="00126B18"/>
    <w:rsid w:val="00126D85"/>
    <w:rsid w:val="00126EFB"/>
    <w:rsid w:val="001303DD"/>
    <w:rsid w:val="00130602"/>
    <w:rsid w:val="0013066E"/>
    <w:rsid w:val="00131E54"/>
    <w:rsid w:val="00132393"/>
    <w:rsid w:val="00132617"/>
    <w:rsid w:val="001327AB"/>
    <w:rsid w:val="00132990"/>
    <w:rsid w:val="00133253"/>
    <w:rsid w:val="00134699"/>
    <w:rsid w:val="001346DF"/>
    <w:rsid w:val="00134755"/>
    <w:rsid w:val="00134A60"/>
    <w:rsid w:val="00134C0C"/>
    <w:rsid w:val="00134C43"/>
    <w:rsid w:val="00135EA2"/>
    <w:rsid w:val="00136E98"/>
    <w:rsid w:val="0013702B"/>
    <w:rsid w:val="0013778E"/>
    <w:rsid w:val="00137A77"/>
    <w:rsid w:val="00137EA8"/>
    <w:rsid w:val="00141590"/>
    <w:rsid w:val="00142BDC"/>
    <w:rsid w:val="00142C4D"/>
    <w:rsid w:val="0014343D"/>
    <w:rsid w:val="00143EF0"/>
    <w:rsid w:val="00144362"/>
    <w:rsid w:val="00145686"/>
    <w:rsid w:val="001462F5"/>
    <w:rsid w:val="00146E41"/>
    <w:rsid w:val="0014721F"/>
    <w:rsid w:val="00147378"/>
    <w:rsid w:val="00147900"/>
    <w:rsid w:val="00147D1F"/>
    <w:rsid w:val="001502CF"/>
    <w:rsid w:val="00150B07"/>
    <w:rsid w:val="0015156E"/>
    <w:rsid w:val="001515A6"/>
    <w:rsid w:val="001517A3"/>
    <w:rsid w:val="001523BF"/>
    <w:rsid w:val="00152649"/>
    <w:rsid w:val="00152A5C"/>
    <w:rsid w:val="00152D08"/>
    <w:rsid w:val="001546BA"/>
    <w:rsid w:val="001547C8"/>
    <w:rsid w:val="00154B63"/>
    <w:rsid w:val="00154C45"/>
    <w:rsid w:val="00155438"/>
    <w:rsid w:val="0015546A"/>
    <w:rsid w:val="00155B32"/>
    <w:rsid w:val="00155DBC"/>
    <w:rsid w:val="0015668D"/>
    <w:rsid w:val="00156968"/>
    <w:rsid w:val="00156BF1"/>
    <w:rsid w:val="00156F97"/>
    <w:rsid w:val="001602BC"/>
    <w:rsid w:val="001602E8"/>
    <w:rsid w:val="001604C3"/>
    <w:rsid w:val="0016103C"/>
    <w:rsid w:val="0016194D"/>
    <w:rsid w:val="00162381"/>
    <w:rsid w:val="0016267B"/>
    <w:rsid w:val="001629B1"/>
    <w:rsid w:val="001637AF"/>
    <w:rsid w:val="001643A2"/>
    <w:rsid w:val="001644E3"/>
    <w:rsid w:val="0016466A"/>
    <w:rsid w:val="00164A86"/>
    <w:rsid w:val="0016542D"/>
    <w:rsid w:val="00165DE9"/>
    <w:rsid w:val="0016674F"/>
    <w:rsid w:val="00167231"/>
    <w:rsid w:val="00170E2F"/>
    <w:rsid w:val="0017153C"/>
    <w:rsid w:val="001715A4"/>
    <w:rsid w:val="00171B81"/>
    <w:rsid w:val="00171DD3"/>
    <w:rsid w:val="00171E78"/>
    <w:rsid w:val="001725E6"/>
    <w:rsid w:val="00173650"/>
    <w:rsid w:val="00173C4C"/>
    <w:rsid w:val="00174F40"/>
    <w:rsid w:val="001755D3"/>
    <w:rsid w:val="00175F0E"/>
    <w:rsid w:val="001764DE"/>
    <w:rsid w:val="00176534"/>
    <w:rsid w:val="00176A0C"/>
    <w:rsid w:val="00180EDC"/>
    <w:rsid w:val="00181000"/>
    <w:rsid w:val="00181F3D"/>
    <w:rsid w:val="00182011"/>
    <w:rsid w:val="00182BBF"/>
    <w:rsid w:val="001831EE"/>
    <w:rsid w:val="00183491"/>
    <w:rsid w:val="001834E1"/>
    <w:rsid w:val="0018410E"/>
    <w:rsid w:val="001848F4"/>
    <w:rsid w:val="00184C9E"/>
    <w:rsid w:val="00185279"/>
    <w:rsid w:val="00185FAA"/>
    <w:rsid w:val="001860B3"/>
    <w:rsid w:val="001864CA"/>
    <w:rsid w:val="001869C6"/>
    <w:rsid w:val="00186AAA"/>
    <w:rsid w:val="00187392"/>
    <w:rsid w:val="001874E1"/>
    <w:rsid w:val="001902A9"/>
    <w:rsid w:val="00190B2E"/>
    <w:rsid w:val="00191ACE"/>
    <w:rsid w:val="00191FC9"/>
    <w:rsid w:val="0019278E"/>
    <w:rsid w:val="00193036"/>
    <w:rsid w:val="0019318F"/>
    <w:rsid w:val="0019400B"/>
    <w:rsid w:val="00194220"/>
    <w:rsid w:val="00194356"/>
    <w:rsid w:val="001954B5"/>
    <w:rsid w:val="00195536"/>
    <w:rsid w:val="00195C18"/>
    <w:rsid w:val="00195D23"/>
    <w:rsid w:val="0019663B"/>
    <w:rsid w:val="001967CC"/>
    <w:rsid w:val="00196806"/>
    <w:rsid w:val="00197368"/>
    <w:rsid w:val="00197493"/>
    <w:rsid w:val="00197964"/>
    <w:rsid w:val="001A0A58"/>
    <w:rsid w:val="001A0B53"/>
    <w:rsid w:val="001A0C5B"/>
    <w:rsid w:val="001A1037"/>
    <w:rsid w:val="001A153A"/>
    <w:rsid w:val="001A21F4"/>
    <w:rsid w:val="001A23A3"/>
    <w:rsid w:val="001A257A"/>
    <w:rsid w:val="001A2F9A"/>
    <w:rsid w:val="001A32EB"/>
    <w:rsid w:val="001A3349"/>
    <w:rsid w:val="001A36BE"/>
    <w:rsid w:val="001A37EE"/>
    <w:rsid w:val="001A3A3D"/>
    <w:rsid w:val="001A3EDA"/>
    <w:rsid w:val="001A46CD"/>
    <w:rsid w:val="001A4EA4"/>
    <w:rsid w:val="001A52FE"/>
    <w:rsid w:val="001A5348"/>
    <w:rsid w:val="001A5B6F"/>
    <w:rsid w:val="001A5F9B"/>
    <w:rsid w:val="001A60E8"/>
    <w:rsid w:val="001A6227"/>
    <w:rsid w:val="001A6799"/>
    <w:rsid w:val="001A6947"/>
    <w:rsid w:val="001A6E24"/>
    <w:rsid w:val="001A7166"/>
    <w:rsid w:val="001A7E48"/>
    <w:rsid w:val="001B031E"/>
    <w:rsid w:val="001B03AC"/>
    <w:rsid w:val="001B058A"/>
    <w:rsid w:val="001B061F"/>
    <w:rsid w:val="001B0701"/>
    <w:rsid w:val="001B0F19"/>
    <w:rsid w:val="001B1C0C"/>
    <w:rsid w:val="001B2008"/>
    <w:rsid w:val="001B207E"/>
    <w:rsid w:val="001B2102"/>
    <w:rsid w:val="001B28D4"/>
    <w:rsid w:val="001B2A7F"/>
    <w:rsid w:val="001B2BC1"/>
    <w:rsid w:val="001B314D"/>
    <w:rsid w:val="001B34F3"/>
    <w:rsid w:val="001B3892"/>
    <w:rsid w:val="001B3A59"/>
    <w:rsid w:val="001B3E92"/>
    <w:rsid w:val="001B4D19"/>
    <w:rsid w:val="001B57E1"/>
    <w:rsid w:val="001B5D91"/>
    <w:rsid w:val="001B622D"/>
    <w:rsid w:val="001B6E23"/>
    <w:rsid w:val="001B76EA"/>
    <w:rsid w:val="001C0A0C"/>
    <w:rsid w:val="001C1059"/>
    <w:rsid w:val="001C14DF"/>
    <w:rsid w:val="001C14FA"/>
    <w:rsid w:val="001C1CE8"/>
    <w:rsid w:val="001C1E31"/>
    <w:rsid w:val="001C2E2A"/>
    <w:rsid w:val="001C3572"/>
    <w:rsid w:val="001C35F7"/>
    <w:rsid w:val="001C39BE"/>
    <w:rsid w:val="001C40D0"/>
    <w:rsid w:val="001C41CB"/>
    <w:rsid w:val="001C422C"/>
    <w:rsid w:val="001C4867"/>
    <w:rsid w:val="001C5161"/>
    <w:rsid w:val="001C546C"/>
    <w:rsid w:val="001C5D20"/>
    <w:rsid w:val="001C5D8F"/>
    <w:rsid w:val="001C633B"/>
    <w:rsid w:val="001C6427"/>
    <w:rsid w:val="001C6842"/>
    <w:rsid w:val="001C6935"/>
    <w:rsid w:val="001C6A0D"/>
    <w:rsid w:val="001C74FB"/>
    <w:rsid w:val="001C7809"/>
    <w:rsid w:val="001C7A89"/>
    <w:rsid w:val="001C7D51"/>
    <w:rsid w:val="001D0374"/>
    <w:rsid w:val="001D0E7D"/>
    <w:rsid w:val="001D169E"/>
    <w:rsid w:val="001D1BE1"/>
    <w:rsid w:val="001D27D1"/>
    <w:rsid w:val="001D2AB8"/>
    <w:rsid w:val="001D31D3"/>
    <w:rsid w:val="001D40B9"/>
    <w:rsid w:val="001D448C"/>
    <w:rsid w:val="001D4A22"/>
    <w:rsid w:val="001D4C26"/>
    <w:rsid w:val="001D4D00"/>
    <w:rsid w:val="001D5059"/>
    <w:rsid w:val="001D57E7"/>
    <w:rsid w:val="001D68F3"/>
    <w:rsid w:val="001D6E6F"/>
    <w:rsid w:val="001D6E8E"/>
    <w:rsid w:val="001D75E1"/>
    <w:rsid w:val="001D785F"/>
    <w:rsid w:val="001E06A0"/>
    <w:rsid w:val="001E1E91"/>
    <w:rsid w:val="001E202C"/>
    <w:rsid w:val="001E2323"/>
    <w:rsid w:val="001E2541"/>
    <w:rsid w:val="001E25D4"/>
    <w:rsid w:val="001E29E0"/>
    <w:rsid w:val="001E417F"/>
    <w:rsid w:val="001E4BE4"/>
    <w:rsid w:val="001E5CB6"/>
    <w:rsid w:val="001E607F"/>
    <w:rsid w:val="001E6255"/>
    <w:rsid w:val="001E626B"/>
    <w:rsid w:val="001E6580"/>
    <w:rsid w:val="001E741E"/>
    <w:rsid w:val="001E7DFA"/>
    <w:rsid w:val="001F07E8"/>
    <w:rsid w:val="001F0EE5"/>
    <w:rsid w:val="001F0FE4"/>
    <w:rsid w:val="001F13D8"/>
    <w:rsid w:val="001F1738"/>
    <w:rsid w:val="001F1A14"/>
    <w:rsid w:val="001F1AE5"/>
    <w:rsid w:val="001F2854"/>
    <w:rsid w:val="001F2AF0"/>
    <w:rsid w:val="001F34EE"/>
    <w:rsid w:val="001F3689"/>
    <w:rsid w:val="001F3DFF"/>
    <w:rsid w:val="001F455A"/>
    <w:rsid w:val="001F45A4"/>
    <w:rsid w:val="001F4FFB"/>
    <w:rsid w:val="001F520F"/>
    <w:rsid w:val="001F555E"/>
    <w:rsid w:val="001F58E9"/>
    <w:rsid w:val="001F6084"/>
    <w:rsid w:val="001F77FB"/>
    <w:rsid w:val="001F7DC6"/>
    <w:rsid w:val="0020020E"/>
    <w:rsid w:val="00200BDF"/>
    <w:rsid w:val="00200E1E"/>
    <w:rsid w:val="002013A1"/>
    <w:rsid w:val="0020155C"/>
    <w:rsid w:val="0020198A"/>
    <w:rsid w:val="00202075"/>
    <w:rsid w:val="002023AB"/>
    <w:rsid w:val="002028D4"/>
    <w:rsid w:val="00203657"/>
    <w:rsid w:val="00203BE8"/>
    <w:rsid w:val="00203E3A"/>
    <w:rsid w:val="00203F6D"/>
    <w:rsid w:val="00204CE0"/>
    <w:rsid w:val="00204DA0"/>
    <w:rsid w:val="00204F93"/>
    <w:rsid w:val="00205302"/>
    <w:rsid w:val="002058CA"/>
    <w:rsid w:val="00205D18"/>
    <w:rsid w:val="00205F67"/>
    <w:rsid w:val="00206A67"/>
    <w:rsid w:val="00207526"/>
    <w:rsid w:val="002075C5"/>
    <w:rsid w:val="002076D2"/>
    <w:rsid w:val="00207703"/>
    <w:rsid w:val="0020775A"/>
    <w:rsid w:val="002078EA"/>
    <w:rsid w:val="00210879"/>
    <w:rsid w:val="00210A96"/>
    <w:rsid w:val="00211425"/>
    <w:rsid w:val="002116B9"/>
    <w:rsid w:val="00211CA3"/>
    <w:rsid w:val="002123FF"/>
    <w:rsid w:val="00212AAC"/>
    <w:rsid w:val="0021319A"/>
    <w:rsid w:val="0021345A"/>
    <w:rsid w:val="002139E1"/>
    <w:rsid w:val="00213DE4"/>
    <w:rsid w:val="00213ED7"/>
    <w:rsid w:val="00214387"/>
    <w:rsid w:val="002147A4"/>
    <w:rsid w:val="0021499B"/>
    <w:rsid w:val="002154DC"/>
    <w:rsid w:val="00215B1A"/>
    <w:rsid w:val="00215DD1"/>
    <w:rsid w:val="00216495"/>
    <w:rsid w:val="00216891"/>
    <w:rsid w:val="00216A36"/>
    <w:rsid w:val="00217510"/>
    <w:rsid w:val="0021757D"/>
    <w:rsid w:val="0021786D"/>
    <w:rsid w:val="00220583"/>
    <w:rsid w:val="00220AEE"/>
    <w:rsid w:val="00220C26"/>
    <w:rsid w:val="00222459"/>
    <w:rsid w:val="00223306"/>
    <w:rsid w:val="00223FC7"/>
    <w:rsid w:val="0022405B"/>
    <w:rsid w:val="00224291"/>
    <w:rsid w:val="00224404"/>
    <w:rsid w:val="002244BA"/>
    <w:rsid w:val="00224A7A"/>
    <w:rsid w:val="00224B7F"/>
    <w:rsid w:val="00225059"/>
    <w:rsid w:val="002258BD"/>
    <w:rsid w:val="00225AA2"/>
    <w:rsid w:val="002264B6"/>
    <w:rsid w:val="00226692"/>
    <w:rsid w:val="0022690B"/>
    <w:rsid w:val="00226E0C"/>
    <w:rsid w:val="00227924"/>
    <w:rsid w:val="00227A08"/>
    <w:rsid w:val="002307FD"/>
    <w:rsid w:val="0023090C"/>
    <w:rsid w:val="00230CE4"/>
    <w:rsid w:val="00230DE8"/>
    <w:rsid w:val="00231027"/>
    <w:rsid w:val="002310D5"/>
    <w:rsid w:val="00231185"/>
    <w:rsid w:val="002311F0"/>
    <w:rsid w:val="00231751"/>
    <w:rsid w:val="00231A76"/>
    <w:rsid w:val="0023210D"/>
    <w:rsid w:val="0023285F"/>
    <w:rsid w:val="0023321C"/>
    <w:rsid w:val="00235471"/>
    <w:rsid w:val="0023580D"/>
    <w:rsid w:val="00235C2E"/>
    <w:rsid w:val="00235D03"/>
    <w:rsid w:val="002367C2"/>
    <w:rsid w:val="00236A6F"/>
    <w:rsid w:val="00237915"/>
    <w:rsid w:val="00237E2A"/>
    <w:rsid w:val="002411B9"/>
    <w:rsid w:val="0024151F"/>
    <w:rsid w:val="00241587"/>
    <w:rsid w:val="0024218C"/>
    <w:rsid w:val="00242852"/>
    <w:rsid w:val="002431D0"/>
    <w:rsid w:val="00243477"/>
    <w:rsid w:val="00243892"/>
    <w:rsid w:val="0024410C"/>
    <w:rsid w:val="002444CE"/>
    <w:rsid w:val="00244A68"/>
    <w:rsid w:val="00244CA3"/>
    <w:rsid w:val="00244FF8"/>
    <w:rsid w:val="002454C1"/>
    <w:rsid w:val="00245ED3"/>
    <w:rsid w:val="002467F2"/>
    <w:rsid w:val="00246AA6"/>
    <w:rsid w:val="00247140"/>
    <w:rsid w:val="00247199"/>
    <w:rsid w:val="0024721B"/>
    <w:rsid w:val="0024775B"/>
    <w:rsid w:val="00247D37"/>
    <w:rsid w:val="00247E91"/>
    <w:rsid w:val="0024B4F2"/>
    <w:rsid w:val="0025069D"/>
    <w:rsid w:val="00250998"/>
    <w:rsid w:val="00250FF4"/>
    <w:rsid w:val="00251C91"/>
    <w:rsid w:val="00252178"/>
    <w:rsid w:val="002522AF"/>
    <w:rsid w:val="0025289F"/>
    <w:rsid w:val="00252EFC"/>
    <w:rsid w:val="002532E0"/>
    <w:rsid w:val="0025360A"/>
    <w:rsid w:val="002537D9"/>
    <w:rsid w:val="0025427C"/>
    <w:rsid w:val="0025440E"/>
    <w:rsid w:val="002545BE"/>
    <w:rsid w:val="00254EFE"/>
    <w:rsid w:val="002550A5"/>
    <w:rsid w:val="0025553F"/>
    <w:rsid w:val="0025625D"/>
    <w:rsid w:val="00256870"/>
    <w:rsid w:val="002570F5"/>
    <w:rsid w:val="0025753E"/>
    <w:rsid w:val="002579AC"/>
    <w:rsid w:val="00257C46"/>
    <w:rsid w:val="002607F2"/>
    <w:rsid w:val="00260A29"/>
    <w:rsid w:val="00260C1F"/>
    <w:rsid w:val="00260D28"/>
    <w:rsid w:val="00261D77"/>
    <w:rsid w:val="00261DD7"/>
    <w:rsid w:val="00261FC9"/>
    <w:rsid w:val="002623D5"/>
    <w:rsid w:val="00262992"/>
    <w:rsid w:val="00262A7C"/>
    <w:rsid w:val="00262F66"/>
    <w:rsid w:val="002631D0"/>
    <w:rsid w:val="00263671"/>
    <w:rsid w:val="0026375D"/>
    <w:rsid w:val="00263B67"/>
    <w:rsid w:val="00265928"/>
    <w:rsid w:val="00265AF8"/>
    <w:rsid w:val="00265BA2"/>
    <w:rsid w:val="002663F7"/>
    <w:rsid w:val="00266C58"/>
    <w:rsid w:val="00266EBB"/>
    <w:rsid w:val="002673B2"/>
    <w:rsid w:val="002677B0"/>
    <w:rsid w:val="002677E7"/>
    <w:rsid w:val="00267945"/>
    <w:rsid w:val="00267E2D"/>
    <w:rsid w:val="00270B2E"/>
    <w:rsid w:val="002711A4"/>
    <w:rsid w:val="002713F3"/>
    <w:rsid w:val="00271642"/>
    <w:rsid w:val="00272078"/>
    <w:rsid w:val="002728AB"/>
    <w:rsid w:val="00272901"/>
    <w:rsid w:val="00272F33"/>
    <w:rsid w:val="00274BC5"/>
    <w:rsid w:val="00275019"/>
    <w:rsid w:val="00275431"/>
    <w:rsid w:val="002754D1"/>
    <w:rsid w:val="002762AD"/>
    <w:rsid w:val="00276341"/>
    <w:rsid w:val="002768B5"/>
    <w:rsid w:val="00276E2F"/>
    <w:rsid w:val="00280414"/>
    <w:rsid w:val="00280DEA"/>
    <w:rsid w:val="00280E71"/>
    <w:rsid w:val="00281E9D"/>
    <w:rsid w:val="00281F83"/>
    <w:rsid w:val="00282415"/>
    <w:rsid w:val="00282C36"/>
    <w:rsid w:val="00283172"/>
    <w:rsid w:val="002836E0"/>
    <w:rsid w:val="00283839"/>
    <w:rsid w:val="00283F06"/>
    <w:rsid w:val="0028431D"/>
    <w:rsid w:val="00284FC9"/>
    <w:rsid w:val="00285D8E"/>
    <w:rsid w:val="002864D9"/>
    <w:rsid w:val="002875BE"/>
    <w:rsid w:val="00287639"/>
    <w:rsid w:val="00290B72"/>
    <w:rsid w:val="002914F1"/>
    <w:rsid w:val="00291A77"/>
    <w:rsid w:val="00292007"/>
    <w:rsid w:val="002925EA"/>
    <w:rsid w:val="00292883"/>
    <w:rsid w:val="002928F5"/>
    <w:rsid w:val="00292B41"/>
    <w:rsid w:val="00292E6F"/>
    <w:rsid w:val="0029357E"/>
    <w:rsid w:val="002936E5"/>
    <w:rsid w:val="00293785"/>
    <w:rsid w:val="00293C15"/>
    <w:rsid w:val="00293C3F"/>
    <w:rsid w:val="00294204"/>
    <w:rsid w:val="00294C4C"/>
    <w:rsid w:val="002951E8"/>
    <w:rsid w:val="00296BF3"/>
    <w:rsid w:val="00296F0E"/>
    <w:rsid w:val="0029760D"/>
    <w:rsid w:val="0029A7FB"/>
    <w:rsid w:val="002A0803"/>
    <w:rsid w:val="002A195B"/>
    <w:rsid w:val="002A2929"/>
    <w:rsid w:val="002A2B2E"/>
    <w:rsid w:val="002A2D00"/>
    <w:rsid w:val="002A2E49"/>
    <w:rsid w:val="002A2F8A"/>
    <w:rsid w:val="002A33A6"/>
    <w:rsid w:val="002A3995"/>
    <w:rsid w:val="002A4240"/>
    <w:rsid w:val="002A425C"/>
    <w:rsid w:val="002A4347"/>
    <w:rsid w:val="002A43EE"/>
    <w:rsid w:val="002A44E3"/>
    <w:rsid w:val="002A45D9"/>
    <w:rsid w:val="002A4AC5"/>
    <w:rsid w:val="002A4BFA"/>
    <w:rsid w:val="002A4DA3"/>
    <w:rsid w:val="002A4F95"/>
    <w:rsid w:val="002A544C"/>
    <w:rsid w:val="002A5EA2"/>
    <w:rsid w:val="002A6014"/>
    <w:rsid w:val="002A6954"/>
    <w:rsid w:val="002A6997"/>
    <w:rsid w:val="002A78D5"/>
    <w:rsid w:val="002B0A09"/>
    <w:rsid w:val="002B0B8D"/>
    <w:rsid w:val="002B0EF1"/>
    <w:rsid w:val="002B1ACC"/>
    <w:rsid w:val="002B1DC4"/>
    <w:rsid w:val="002B2CB7"/>
    <w:rsid w:val="002B2DBD"/>
    <w:rsid w:val="002B31B3"/>
    <w:rsid w:val="002B39C8"/>
    <w:rsid w:val="002B4269"/>
    <w:rsid w:val="002B4887"/>
    <w:rsid w:val="002B4B61"/>
    <w:rsid w:val="002B4EF4"/>
    <w:rsid w:val="002B562A"/>
    <w:rsid w:val="002B5C5B"/>
    <w:rsid w:val="002B6044"/>
    <w:rsid w:val="002B62BC"/>
    <w:rsid w:val="002B69FB"/>
    <w:rsid w:val="002B79D2"/>
    <w:rsid w:val="002B7B5A"/>
    <w:rsid w:val="002B7C92"/>
    <w:rsid w:val="002C0A0B"/>
    <w:rsid w:val="002C1168"/>
    <w:rsid w:val="002C237C"/>
    <w:rsid w:val="002C2A44"/>
    <w:rsid w:val="002C3129"/>
    <w:rsid w:val="002C3248"/>
    <w:rsid w:val="002C36CE"/>
    <w:rsid w:val="002C376D"/>
    <w:rsid w:val="002C3B57"/>
    <w:rsid w:val="002C4A38"/>
    <w:rsid w:val="002C4ABF"/>
    <w:rsid w:val="002C5134"/>
    <w:rsid w:val="002C5696"/>
    <w:rsid w:val="002C5E83"/>
    <w:rsid w:val="002C61DB"/>
    <w:rsid w:val="002C67A4"/>
    <w:rsid w:val="002C68B7"/>
    <w:rsid w:val="002C6946"/>
    <w:rsid w:val="002C6F1A"/>
    <w:rsid w:val="002C70A1"/>
    <w:rsid w:val="002C71FD"/>
    <w:rsid w:val="002C7A73"/>
    <w:rsid w:val="002D0DD6"/>
    <w:rsid w:val="002D0F98"/>
    <w:rsid w:val="002D1724"/>
    <w:rsid w:val="002D1762"/>
    <w:rsid w:val="002D2037"/>
    <w:rsid w:val="002D24A7"/>
    <w:rsid w:val="002D2601"/>
    <w:rsid w:val="002D2705"/>
    <w:rsid w:val="002D2A28"/>
    <w:rsid w:val="002D2ACD"/>
    <w:rsid w:val="002D312E"/>
    <w:rsid w:val="002D36BA"/>
    <w:rsid w:val="002D3BA9"/>
    <w:rsid w:val="002D450F"/>
    <w:rsid w:val="002D4DA3"/>
    <w:rsid w:val="002D52F4"/>
    <w:rsid w:val="002D567E"/>
    <w:rsid w:val="002D584B"/>
    <w:rsid w:val="002D5B18"/>
    <w:rsid w:val="002D5B4E"/>
    <w:rsid w:val="002D629B"/>
    <w:rsid w:val="002D6546"/>
    <w:rsid w:val="002D65C6"/>
    <w:rsid w:val="002D6E0E"/>
    <w:rsid w:val="002D7C8E"/>
    <w:rsid w:val="002E0033"/>
    <w:rsid w:val="002E005F"/>
    <w:rsid w:val="002E0CA0"/>
    <w:rsid w:val="002E108D"/>
    <w:rsid w:val="002E13F6"/>
    <w:rsid w:val="002E1934"/>
    <w:rsid w:val="002E1C7B"/>
    <w:rsid w:val="002E2D37"/>
    <w:rsid w:val="002E37E4"/>
    <w:rsid w:val="002E442D"/>
    <w:rsid w:val="002E48F6"/>
    <w:rsid w:val="002E4C34"/>
    <w:rsid w:val="002E4D5B"/>
    <w:rsid w:val="002E5352"/>
    <w:rsid w:val="002E54A0"/>
    <w:rsid w:val="002E6613"/>
    <w:rsid w:val="002E663E"/>
    <w:rsid w:val="002E6ABA"/>
    <w:rsid w:val="002E6F66"/>
    <w:rsid w:val="002E72ED"/>
    <w:rsid w:val="002E730C"/>
    <w:rsid w:val="002E7CF0"/>
    <w:rsid w:val="002F03F4"/>
    <w:rsid w:val="002F0E52"/>
    <w:rsid w:val="002F12B9"/>
    <w:rsid w:val="002F141A"/>
    <w:rsid w:val="002F2E59"/>
    <w:rsid w:val="002F3222"/>
    <w:rsid w:val="002F3D1E"/>
    <w:rsid w:val="002F4B35"/>
    <w:rsid w:val="002F5179"/>
    <w:rsid w:val="002F54AE"/>
    <w:rsid w:val="002F60D9"/>
    <w:rsid w:val="002F670B"/>
    <w:rsid w:val="002F6EEF"/>
    <w:rsid w:val="002F7014"/>
    <w:rsid w:val="002F7152"/>
    <w:rsid w:val="002F7740"/>
    <w:rsid w:val="002F7748"/>
    <w:rsid w:val="002F7D93"/>
    <w:rsid w:val="002F7E46"/>
    <w:rsid w:val="003004B4"/>
    <w:rsid w:val="003007C3"/>
    <w:rsid w:val="00300AE7"/>
    <w:rsid w:val="0030106A"/>
    <w:rsid w:val="00301651"/>
    <w:rsid w:val="003016DE"/>
    <w:rsid w:val="0030268F"/>
    <w:rsid w:val="00302E53"/>
    <w:rsid w:val="00302F53"/>
    <w:rsid w:val="00303579"/>
    <w:rsid w:val="00303765"/>
    <w:rsid w:val="003042F5"/>
    <w:rsid w:val="00304E07"/>
    <w:rsid w:val="0030500B"/>
    <w:rsid w:val="003050E6"/>
    <w:rsid w:val="003062BD"/>
    <w:rsid w:val="00306A2D"/>
    <w:rsid w:val="00307E17"/>
    <w:rsid w:val="003100F6"/>
    <w:rsid w:val="0031058F"/>
    <w:rsid w:val="00310A99"/>
    <w:rsid w:val="00311519"/>
    <w:rsid w:val="003117A1"/>
    <w:rsid w:val="00311E06"/>
    <w:rsid w:val="00311F50"/>
    <w:rsid w:val="003122A4"/>
    <w:rsid w:val="003129BB"/>
    <w:rsid w:val="00312F8D"/>
    <w:rsid w:val="00312FA9"/>
    <w:rsid w:val="00313079"/>
    <w:rsid w:val="00314425"/>
    <w:rsid w:val="00314A00"/>
    <w:rsid w:val="00314EE6"/>
    <w:rsid w:val="00315367"/>
    <w:rsid w:val="003155FE"/>
    <w:rsid w:val="00316069"/>
    <w:rsid w:val="00316A5E"/>
    <w:rsid w:val="00316D07"/>
    <w:rsid w:val="00316D43"/>
    <w:rsid w:val="00316E31"/>
    <w:rsid w:val="00317B95"/>
    <w:rsid w:val="00317D8B"/>
    <w:rsid w:val="003203AE"/>
    <w:rsid w:val="0032041F"/>
    <w:rsid w:val="003206A4"/>
    <w:rsid w:val="00320A40"/>
    <w:rsid w:val="00320C13"/>
    <w:rsid w:val="00320C3F"/>
    <w:rsid w:val="00320F0F"/>
    <w:rsid w:val="0032284E"/>
    <w:rsid w:val="00322EAB"/>
    <w:rsid w:val="003234A0"/>
    <w:rsid w:val="00323CC2"/>
    <w:rsid w:val="00324C0C"/>
    <w:rsid w:val="003273B0"/>
    <w:rsid w:val="003275ED"/>
    <w:rsid w:val="00327918"/>
    <w:rsid w:val="0033016B"/>
    <w:rsid w:val="00330614"/>
    <w:rsid w:val="003307E5"/>
    <w:rsid w:val="00331626"/>
    <w:rsid w:val="003317C4"/>
    <w:rsid w:val="0033201D"/>
    <w:rsid w:val="0033271B"/>
    <w:rsid w:val="00332A53"/>
    <w:rsid w:val="00332FDF"/>
    <w:rsid w:val="00333B0D"/>
    <w:rsid w:val="00333FD7"/>
    <w:rsid w:val="003346B6"/>
    <w:rsid w:val="00334FCD"/>
    <w:rsid w:val="003352AE"/>
    <w:rsid w:val="0033537C"/>
    <w:rsid w:val="0033642C"/>
    <w:rsid w:val="0033692F"/>
    <w:rsid w:val="00337269"/>
    <w:rsid w:val="00340124"/>
    <w:rsid w:val="00340331"/>
    <w:rsid w:val="003405C0"/>
    <w:rsid w:val="00342245"/>
    <w:rsid w:val="00342325"/>
    <w:rsid w:val="00342A96"/>
    <w:rsid w:val="00343054"/>
    <w:rsid w:val="003431D7"/>
    <w:rsid w:val="00343ACE"/>
    <w:rsid w:val="00343AEA"/>
    <w:rsid w:val="00343EFE"/>
    <w:rsid w:val="0034414C"/>
    <w:rsid w:val="003441C8"/>
    <w:rsid w:val="003442AB"/>
    <w:rsid w:val="00344F4E"/>
    <w:rsid w:val="00345115"/>
    <w:rsid w:val="0034532C"/>
    <w:rsid w:val="00345690"/>
    <w:rsid w:val="0034579D"/>
    <w:rsid w:val="0034581A"/>
    <w:rsid w:val="00346019"/>
    <w:rsid w:val="00346147"/>
    <w:rsid w:val="0034659B"/>
    <w:rsid w:val="0034690F"/>
    <w:rsid w:val="00346A2E"/>
    <w:rsid w:val="00346CFE"/>
    <w:rsid w:val="00347410"/>
    <w:rsid w:val="003479E4"/>
    <w:rsid w:val="00347B7D"/>
    <w:rsid w:val="00347BA1"/>
    <w:rsid w:val="00347E63"/>
    <w:rsid w:val="0035053F"/>
    <w:rsid w:val="00350AAC"/>
    <w:rsid w:val="00350B83"/>
    <w:rsid w:val="0035164B"/>
    <w:rsid w:val="00351B34"/>
    <w:rsid w:val="003522CD"/>
    <w:rsid w:val="00352399"/>
    <w:rsid w:val="00352CDF"/>
    <w:rsid w:val="003532D8"/>
    <w:rsid w:val="00354379"/>
    <w:rsid w:val="00354512"/>
    <w:rsid w:val="00355A8C"/>
    <w:rsid w:val="00355EE5"/>
    <w:rsid w:val="003560C3"/>
    <w:rsid w:val="00356889"/>
    <w:rsid w:val="003569F7"/>
    <w:rsid w:val="003571D5"/>
    <w:rsid w:val="00357648"/>
    <w:rsid w:val="003603D4"/>
    <w:rsid w:val="00360E98"/>
    <w:rsid w:val="00363FAA"/>
    <w:rsid w:val="003643B0"/>
    <w:rsid w:val="00364A26"/>
    <w:rsid w:val="00364CC3"/>
    <w:rsid w:val="00364D81"/>
    <w:rsid w:val="00365890"/>
    <w:rsid w:val="00365B4B"/>
    <w:rsid w:val="00366120"/>
    <w:rsid w:val="0036640C"/>
    <w:rsid w:val="0036686E"/>
    <w:rsid w:val="00367809"/>
    <w:rsid w:val="003678F7"/>
    <w:rsid w:val="00367926"/>
    <w:rsid w:val="003708C7"/>
    <w:rsid w:val="00370E25"/>
    <w:rsid w:val="00371042"/>
    <w:rsid w:val="003712E0"/>
    <w:rsid w:val="00371506"/>
    <w:rsid w:val="003727E3"/>
    <w:rsid w:val="0037292A"/>
    <w:rsid w:val="00372A34"/>
    <w:rsid w:val="00372C47"/>
    <w:rsid w:val="00372E2C"/>
    <w:rsid w:val="0037308F"/>
    <w:rsid w:val="003735A1"/>
    <w:rsid w:val="003754D7"/>
    <w:rsid w:val="00375681"/>
    <w:rsid w:val="00375FFE"/>
    <w:rsid w:val="00376737"/>
    <w:rsid w:val="0037697C"/>
    <w:rsid w:val="00376DC6"/>
    <w:rsid w:val="00377261"/>
    <w:rsid w:val="0037763D"/>
    <w:rsid w:val="0037768B"/>
    <w:rsid w:val="0037768E"/>
    <w:rsid w:val="003778B4"/>
    <w:rsid w:val="00377F97"/>
    <w:rsid w:val="00380213"/>
    <w:rsid w:val="0038022E"/>
    <w:rsid w:val="00380491"/>
    <w:rsid w:val="003806C1"/>
    <w:rsid w:val="003807E7"/>
    <w:rsid w:val="00381051"/>
    <w:rsid w:val="00381C4E"/>
    <w:rsid w:val="003822EE"/>
    <w:rsid w:val="00382418"/>
    <w:rsid w:val="003829BB"/>
    <w:rsid w:val="00382D66"/>
    <w:rsid w:val="00383D1A"/>
    <w:rsid w:val="00384A2D"/>
    <w:rsid w:val="0038662B"/>
    <w:rsid w:val="0038767F"/>
    <w:rsid w:val="00387B02"/>
    <w:rsid w:val="0039004E"/>
    <w:rsid w:val="00390742"/>
    <w:rsid w:val="00390754"/>
    <w:rsid w:val="0039076F"/>
    <w:rsid w:val="00390A89"/>
    <w:rsid w:val="00390FC8"/>
    <w:rsid w:val="00391AD7"/>
    <w:rsid w:val="00391C7A"/>
    <w:rsid w:val="00391FB5"/>
    <w:rsid w:val="003925E4"/>
    <w:rsid w:val="00393531"/>
    <w:rsid w:val="00393BBD"/>
    <w:rsid w:val="00393E48"/>
    <w:rsid w:val="003942EF"/>
    <w:rsid w:val="00394A0F"/>
    <w:rsid w:val="00394A2A"/>
    <w:rsid w:val="00394F44"/>
    <w:rsid w:val="00395094"/>
    <w:rsid w:val="0039563C"/>
    <w:rsid w:val="00396AEA"/>
    <w:rsid w:val="00396AEB"/>
    <w:rsid w:val="00396DC9"/>
    <w:rsid w:val="0039783A"/>
    <w:rsid w:val="0039788E"/>
    <w:rsid w:val="00397DEF"/>
    <w:rsid w:val="00397E03"/>
    <w:rsid w:val="00397E6E"/>
    <w:rsid w:val="003A07AE"/>
    <w:rsid w:val="003A09C2"/>
    <w:rsid w:val="003A1096"/>
    <w:rsid w:val="003A263A"/>
    <w:rsid w:val="003A2770"/>
    <w:rsid w:val="003A27FA"/>
    <w:rsid w:val="003A39C2"/>
    <w:rsid w:val="003A3D2C"/>
    <w:rsid w:val="003A45A3"/>
    <w:rsid w:val="003A5CF5"/>
    <w:rsid w:val="003A6BEB"/>
    <w:rsid w:val="003A7A0C"/>
    <w:rsid w:val="003B0236"/>
    <w:rsid w:val="003B03A8"/>
    <w:rsid w:val="003B053F"/>
    <w:rsid w:val="003B05FC"/>
    <w:rsid w:val="003B0E14"/>
    <w:rsid w:val="003B0F9F"/>
    <w:rsid w:val="003B125C"/>
    <w:rsid w:val="003B1CC6"/>
    <w:rsid w:val="003B1FAF"/>
    <w:rsid w:val="003B26CE"/>
    <w:rsid w:val="003B3095"/>
    <w:rsid w:val="003B30EA"/>
    <w:rsid w:val="003B3546"/>
    <w:rsid w:val="003B3582"/>
    <w:rsid w:val="003B4236"/>
    <w:rsid w:val="003B47C8"/>
    <w:rsid w:val="003B4DDB"/>
    <w:rsid w:val="003B4E3A"/>
    <w:rsid w:val="003B4EF5"/>
    <w:rsid w:val="003B511F"/>
    <w:rsid w:val="003B5638"/>
    <w:rsid w:val="003B5853"/>
    <w:rsid w:val="003B6006"/>
    <w:rsid w:val="003B6495"/>
    <w:rsid w:val="003B6707"/>
    <w:rsid w:val="003C032E"/>
    <w:rsid w:val="003C0409"/>
    <w:rsid w:val="003C042D"/>
    <w:rsid w:val="003C18C3"/>
    <w:rsid w:val="003C1F96"/>
    <w:rsid w:val="003C1FB7"/>
    <w:rsid w:val="003C20F5"/>
    <w:rsid w:val="003C3022"/>
    <w:rsid w:val="003C4162"/>
    <w:rsid w:val="003C4816"/>
    <w:rsid w:val="003C5041"/>
    <w:rsid w:val="003C5860"/>
    <w:rsid w:val="003C5BE2"/>
    <w:rsid w:val="003C5CF2"/>
    <w:rsid w:val="003C5F1A"/>
    <w:rsid w:val="003C6134"/>
    <w:rsid w:val="003C63EB"/>
    <w:rsid w:val="003C6FAE"/>
    <w:rsid w:val="003C7CC7"/>
    <w:rsid w:val="003C7FC0"/>
    <w:rsid w:val="003D06DF"/>
    <w:rsid w:val="003D082D"/>
    <w:rsid w:val="003D1B1D"/>
    <w:rsid w:val="003D1BC0"/>
    <w:rsid w:val="003D1D71"/>
    <w:rsid w:val="003D1DB7"/>
    <w:rsid w:val="003D24E7"/>
    <w:rsid w:val="003D2A35"/>
    <w:rsid w:val="003D2D19"/>
    <w:rsid w:val="003D360B"/>
    <w:rsid w:val="003D471A"/>
    <w:rsid w:val="003D4A93"/>
    <w:rsid w:val="003D4B07"/>
    <w:rsid w:val="003D578E"/>
    <w:rsid w:val="003D6496"/>
    <w:rsid w:val="003D6599"/>
    <w:rsid w:val="003D6E3D"/>
    <w:rsid w:val="003D7180"/>
    <w:rsid w:val="003D72E0"/>
    <w:rsid w:val="003D7347"/>
    <w:rsid w:val="003D7BEB"/>
    <w:rsid w:val="003E00A6"/>
    <w:rsid w:val="003E0D48"/>
    <w:rsid w:val="003E1933"/>
    <w:rsid w:val="003E298A"/>
    <w:rsid w:val="003E2A77"/>
    <w:rsid w:val="003E4305"/>
    <w:rsid w:val="003E461F"/>
    <w:rsid w:val="003E5231"/>
    <w:rsid w:val="003E567E"/>
    <w:rsid w:val="003E5B3D"/>
    <w:rsid w:val="003E5F36"/>
    <w:rsid w:val="003E6116"/>
    <w:rsid w:val="003E6295"/>
    <w:rsid w:val="003E6B2C"/>
    <w:rsid w:val="003E6D04"/>
    <w:rsid w:val="003E6F79"/>
    <w:rsid w:val="003E71A5"/>
    <w:rsid w:val="003F0245"/>
    <w:rsid w:val="003F0293"/>
    <w:rsid w:val="003F02A5"/>
    <w:rsid w:val="003F04C1"/>
    <w:rsid w:val="003F09F3"/>
    <w:rsid w:val="003F0E5F"/>
    <w:rsid w:val="003F22A2"/>
    <w:rsid w:val="003F296A"/>
    <w:rsid w:val="003F2B2F"/>
    <w:rsid w:val="003F4208"/>
    <w:rsid w:val="003F4354"/>
    <w:rsid w:val="003F4CE1"/>
    <w:rsid w:val="003F4F6D"/>
    <w:rsid w:val="003F5972"/>
    <w:rsid w:val="003F5A6B"/>
    <w:rsid w:val="003F5AC9"/>
    <w:rsid w:val="003F6D1B"/>
    <w:rsid w:val="003F7BDF"/>
    <w:rsid w:val="0040019F"/>
    <w:rsid w:val="0040058A"/>
    <w:rsid w:val="00400C38"/>
    <w:rsid w:val="004015DD"/>
    <w:rsid w:val="00401EC5"/>
    <w:rsid w:val="00401FDB"/>
    <w:rsid w:val="00402588"/>
    <w:rsid w:val="00403F79"/>
    <w:rsid w:val="004049BA"/>
    <w:rsid w:val="00405FF8"/>
    <w:rsid w:val="004067AB"/>
    <w:rsid w:val="00406990"/>
    <w:rsid w:val="00407261"/>
    <w:rsid w:val="00407688"/>
    <w:rsid w:val="004077B1"/>
    <w:rsid w:val="0040790D"/>
    <w:rsid w:val="00407931"/>
    <w:rsid w:val="00410B26"/>
    <w:rsid w:val="00410C29"/>
    <w:rsid w:val="00410C93"/>
    <w:rsid w:val="00410FCC"/>
    <w:rsid w:val="004116D4"/>
    <w:rsid w:val="0041232D"/>
    <w:rsid w:val="0041267C"/>
    <w:rsid w:val="00412BFF"/>
    <w:rsid w:val="004133B5"/>
    <w:rsid w:val="004133F2"/>
    <w:rsid w:val="00413B4F"/>
    <w:rsid w:val="00413B99"/>
    <w:rsid w:val="00414185"/>
    <w:rsid w:val="00414D0D"/>
    <w:rsid w:val="00416191"/>
    <w:rsid w:val="00417AE8"/>
    <w:rsid w:val="00417D31"/>
    <w:rsid w:val="00417EDC"/>
    <w:rsid w:val="004200B4"/>
    <w:rsid w:val="004207AE"/>
    <w:rsid w:val="00421C92"/>
    <w:rsid w:val="00421FCE"/>
    <w:rsid w:val="004228BF"/>
    <w:rsid w:val="00422A11"/>
    <w:rsid w:val="004232FB"/>
    <w:rsid w:val="00424D59"/>
    <w:rsid w:val="00424D6B"/>
    <w:rsid w:val="004256FA"/>
    <w:rsid w:val="00426BDB"/>
    <w:rsid w:val="00426FEA"/>
    <w:rsid w:val="004271C4"/>
    <w:rsid w:val="00427675"/>
    <w:rsid w:val="00427A21"/>
    <w:rsid w:val="0043096E"/>
    <w:rsid w:val="00430AFD"/>
    <w:rsid w:val="00431232"/>
    <w:rsid w:val="0043169A"/>
    <w:rsid w:val="004319AA"/>
    <w:rsid w:val="00431BA4"/>
    <w:rsid w:val="00431F66"/>
    <w:rsid w:val="00432078"/>
    <w:rsid w:val="0043239B"/>
    <w:rsid w:val="00433019"/>
    <w:rsid w:val="004331DD"/>
    <w:rsid w:val="00433437"/>
    <w:rsid w:val="0043408F"/>
    <w:rsid w:val="00434283"/>
    <w:rsid w:val="004350F8"/>
    <w:rsid w:val="004356FE"/>
    <w:rsid w:val="004360D8"/>
    <w:rsid w:val="00436AA8"/>
    <w:rsid w:val="0043760C"/>
    <w:rsid w:val="00437B18"/>
    <w:rsid w:val="0044139D"/>
    <w:rsid w:val="0044147D"/>
    <w:rsid w:val="00442A79"/>
    <w:rsid w:val="004432A2"/>
    <w:rsid w:val="0044446B"/>
    <w:rsid w:val="00444483"/>
    <w:rsid w:val="00444909"/>
    <w:rsid w:val="00444E34"/>
    <w:rsid w:val="00445165"/>
    <w:rsid w:val="004466DD"/>
    <w:rsid w:val="00446718"/>
    <w:rsid w:val="004478A7"/>
    <w:rsid w:val="004507A8"/>
    <w:rsid w:val="0045085D"/>
    <w:rsid w:val="00450C04"/>
    <w:rsid w:val="00451273"/>
    <w:rsid w:val="00451AED"/>
    <w:rsid w:val="00452114"/>
    <w:rsid w:val="00452C08"/>
    <w:rsid w:val="00453433"/>
    <w:rsid w:val="00453C9B"/>
    <w:rsid w:val="004543D4"/>
    <w:rsid w:val="0045446D"/>
    <w:rsid w:val="004548C8"/>
    <w:rsid w:val="00454A8B"/>
    <w:rsid w:val="00454EDD"/>
    <w:rsid w:val="004569C3"/>
    <w:rsid w:val="00456B8D"/>
    <w:rsid w:val="0045725F"/>
    <w:rsid w:val="00457642"/>
    <w:rsid w:val="00457F45"/>
    <w:rsid w:val="0046015B"/>
    <w:rsid w:val="00460A59"/>
    <w:rsid w:val="00460C71"/>
    <w:rsid w:val="00460F71"/>
    <w:rsid w:val="00462B69"/>
    <w:rsid w:val="00462F60"/>
    <w:rsid w:val="00463580"/>
    <w:rsid w:val="004637A3"/>
    <w:rsid w:val="004638A7"/>
    <w:rsid w:val="00463FF4"/>
    <w:rsid w:val="0046487D"/>
    <w:rsid w:val="00464BBA"/>
    <w:rsid w:val="004652DB"/>
    <w:rsid w:val="00465645"/>
    <w:rsid w:val="0046635C"/>
    <w:rsid w:val="00466410"/>
    <w:rsid w:val="00466537"/>
    <w:rsid w:val="00466742"/>
    <w:rsid w:val="00466EB0"/>
    <w:rsid w:val="0046720C"/>
    <w:rsid w:val="00467422"/>
    <w:rsid w:val="00467609"/>
    <w:rsid w:val="00467744"/>
    <w:rsid w:val="0046796A"/>
    <w:rsid w:val="00467E72"/>
    <w:rsid w:val="004702D8"/>
    <w:rsid w:val="00470A8A"/>
    <w:rsid w:val="0047112C"/>
    <w:rsid w:val="00471385"/>
    <w:rsid w:val="00471A93"/>
    <w:rsid w:val="00471C68"/>
    <w:rsid w:val="00472160"/>
    <w:rsid w:val="0047284C"/>
    <w:rsid w:val="00472B32"/>
    <w:rsid w:val="00472C77"/>
    <w:rsid w:val="004730BB"/>
    <w:rsid w:val="00473618"/>
    <w:rsid w:val="0047597A"/>
    <w:rsid w:val="00476047"/>
    <w:rsid w:val="0047612C"/>
    <w:rsid w:val="0047629C"/>
    <w:rsid w:val="004763E9"/>
    <w:rsid w:val="00477952"/>
    <w:rsid w:val="00477A8E"/>
    <w:rsid w:val="00477D35"/>
    <w:rsid w:val="00480110"/>
    <w:rsid w:val="004809E2"/>
    <w:rsid w:val="00481C52"/>
    <w:rsid w:val="0048213E"/>
    <w:rsid w:val="004828D1"/>
    <w:rsid w:val="00483004"/>
    <w:rsid w:val="00483715"/>
    <w:rsid w:val="00483F4F"/>
    <w:rsid w:val="0048405D"/>
    <w:rsid w:val="00484386"/>
    <w:rsid w:val="004843AD"/>
    <w:rsid w:val="00484884"/>
    <w:rsid w:val="00484A4E"/>
    <w:rsid w:val="00484B64"/>
    <w:rsid w:val="00484DCA"/>
    <w:rsid w:val="004851F4"/>
    <w:rsid w:val="00485718"/>
    <w:rsid w:val="004857B6"/>
    <w:rsid w:val="00485C17"/>
    <w:rsid w:val="004860DD"/>
    <w:rsid w:val="004868AC"/>
    <w:rsid w:val="00486A27"/>
    <w:rsid w:val="00486B56"/>
    <w:rsid w:val="00486F53"/>
    <w:rsid w:val="004870BF"/>
    <w:rsid w:val="00487BE3"/>
    <w:rsid w:val="0049012D"/>
    <w:rsid w:val="00490645"/>
    <w:rsid w:val="00490726"/>
    <w:rsid w:val="0049095E"/>
    <w:rsid w:val="00491740"/>
    <w:rsid w:val="004917F4"/>
    <w:rsid w:val="00492CEE"/>
    <w:rsid w:val="004932AF"/>
    <w:rsid w:val="00494167"/>
    <w:rsid w:val="0049551E"/>
    <w:rsid w:val="004955EC"/>
    <w:rsid w:val="00496676"/>
    <w:rsid w:val="0049671D"/>
    <w:rsid w:val="00496FA5"/>
    <w:rsid w:val="0049707C"/>
    <w:rsid w:val="004977E6"/>
    <w:rsid w:val="004A047B"/>
    <w:rsid w:val="004A1095"/>
    <w:rsid w:val="004A1319"/>
    <w:rsid w:val="004A1375"/>
    <w:rsid w:val="004A1C55"/>
    <w:rsid w:val="004A2245"/>
    <w:rsid w:val="004A2F2B"/>
    <w:rsid w:val="004A2FD5"/>
    <w:rsid w:val="004A3F48"/>
    <w:rsid w:val="004A40BC"/>
    <w:rsid w:val="004A4ADA"/>
    <w:rsid w:val="004A4E5E"/>
    <w:rsid w:val="004A4F89"/>
    <w:rsid w:val="004A53A8"/>
    <w:rsid w:val="004A5638"/>
    <w:rsid w:val="004A5E15"/>
    <w:rsid w:val="004A6BE6"/>
    <w:rsid w:val="004A7773"/>
    <w:rsid w:val="004B00A1"/>
    <w:rsid w:val="004B076D"/>
    <w:rsid w:val="004B1142"/>
    <w:rsid w:val="004B11D0"/>
    <w:rsid w:val="004B16E2"/>
    <w:rsid w:val="004B1AD3"/>
    <w:rsid w:val="004B2518"/>
    <w:rsid w:val="004B29D3"/>
    <w:rsid w:val="004B3928"/>
    <w:rsid w:val="004B3953"/>
    <w:rsid w:val="004B3994"/>
    <w:rsid w:val="004B40DC"/>
    <w:rsid w:val="004B47C5"/>
    <w:rsid w:val="004B4E67"/>
    <w:rsid w:val="004B5039"/>
    <w:rsid w:val="004B5495"/>
    <w:rsid w:val="004B5A68"/>
    <w:rsid w:val="004B62CD"/>
    <w:rsid w:val="004B6E5E"/>
    <w:rsid w:val="004B7381"/>
    <w:rsid w:val="004B79CD"/>
    <w:rsid w:val="004C0E76"/>
    <w:rsid w:val="004C17C3"/>
    <w:rsid w:val="004C19DA"/>
    <w:rsid w:val="004C1F32"/>
    <w:rsid w:val="004C2FD3"/>
    <w:rsid w:val="004C403F"/>
    <w:rsid w:val="004C4B3E"/>
    <w:rsid w:val="004C4C72"/>
    <w:rsid w:val="004C4F7E"/>
    <w:rsid w:val="004C51C5"/>
    <w:rsid w:val="004C5504"/>
    <w:rsid w:val="004C6706"/>
    <w:rsid w:val="004C771D"/>
    <w:rsid w:val="004C7AE8"/>
    <w:rsid w:val="004D01AE"/>
    <w:rsid w:val="004D0243"/>
    <w:rsid w:val="004D0827"/>
    <w:rsid w:val="004D0916"/>
    <w:rsid w:val="004D0A07"/>
    <w:rsid w:val="004D129D"/>
    <w:rsid w:val="004D1D1C"/>
    <w:rsid w:val="004D1E21"/>
    <w:rsid w:val="004D226F"/>
    <w:rsid w:val="004D22FE"/>
    <w:rsid w:val="004D38BD"/>
    <w:rsid w:val="004D41E8"/>
    <w:rsid w:val="004D428D"/>
    <w:rsid w:val="004D4CA8"/>
    <w:rsid w:val="004D4E98"/>
    <w:rsid w:val="004D501A"/>
    <w:rsid w:val="004D5251"/>
    <w:rsid w:val="004D534E"/>
    <w:rsid w:val="004D5C09"/>
    <w:rsid w:val="004D6331"/>
    <w:rsid w:val="004D65EF"/>
    <w:rsid w:val="004D685F"/>
    <w:rsid w:val="004D6CAF"/>
    <w:rsid w:val="004D6D59"/>
    <w:rsid w:val="004D6E2C"/>
    <w:rsid w:val="004D759E"/>
    <w:rsid w:val="004E00F0"/>
    <w:rsid w:val="004E0EBE"/>
    <w:rsid w:val="004E1146"/>
    <w:rsid w:val="004E15F0"/>
    <w:rsid w:val="004E1FEE"/>
    <w:rsid w:val="004E213B"/>
    <w:rsid w:val="004E28A6"/>
    <w:rsid w:val="004E2A0E"/>
    <w:rsid w:val="004E2D21"/>
    <w:rsid w:val="004E37DC"/>
    <w:rsid w:val="004E440E"/>
    <w:rsid w:val="004E49E7"/>
    <w:rsid w:val="004E4F0C"/>
    <w:rsid w:val="004E4F38"/>
    <w:rsid w:val="004E564F"/>
    <w:rsid w:val="004E6A08"/>
    <w:rsid w:val="004E7523"/>
    <w:rsid w:val="004E7908"/>
    <w:rsid w:val="004E7ABF"/>
    <w:rsid w:val="004E7C82"/>
    <w:rsid w:val="004E7F6F"/>
    <w:rsid w:val="004F0B17"/>
    <w:rsid w:val="004F0EF7"/>
    <w:rsid w:val="004F1674"/>
    <w:rsid w:val="004F16BD"/>
    <w:rsid w:val="004F1949"/>
    <w:rsid w:val="004F2E43"/>
    <w:rsid w:val="004F4102"/>
    <w:rsid w:val="004F446F"/>
    <w:rsid w:val="004F506D"/>
    <w:rsid w:val="004F50E1"/>
    <w:rsid w:val="004F5214"/>
    <w:rsid w:val="004F5FC8"/>
    <w:rsid w:val="004F65F9"/>
    <w:rsid w:val="004F66AB"/>
    <w:rsid w:val="004F6870"/>
    <w:rsid w:val="004F6CD7"/>
    <w:rsid w:val="004F73EB"/>
    <w:rsid w:val="004F7BFA"/>
    <w:rsid w:val="00500314"/>
    <w:rsid w:val="0050038B"/>
    <w:rsid w:val="00500FB7"/>
    <w:rsid w:val="005010CE"/>
    <w:rsid w:val="00501148"/>
    <w:rsid w:val="00501850"/>
    <w:rsid w:val="005018DD"/>
    <w:rsid w:val="005018E0"/>
    <w:rsid w:val="00501AC7"/>
    <w:rsid w:val="00501C3F"/>
    <w:rsid w:val="00501EAA"/>
    <w:rsid w:val="005020E0"/>
    <w:rsid w:val="005021E8"/>
    <w:rsid w:val="0050250E"/>
    <w:rsid w:val="00502AAE"/>
    <w:rsid w:val="00502E57"/>
    <w:rsid w:val="00503C54"/>
    <w:rsid w:val="00504180"/>
    <w:rsid w:val="00504C21"/>
    <w:rsid w:val="00504E65"/>
    <w:rsid w:val="00504F3D"/>
    <w:rsid w:val="00505540"/>
    <w:rsid w:val="005058A9"/>
    <w:rsid w:val="005067DB"/>
    <w:rsid w:val="00507A6C"/>
    <w:rsid w:val="00507ABD"/>
    <w:rsid w:val="005101AA"/>
    <w:rsid w:val="00510425"/>
    <w:rsid w:val="00510EF3"/>
    <w:rsid w:val="00510F13"/>
    <w:rsid w:val="0051122E"/>
    <w:rsid w:val="00511595"/>
    <w:rsid w:val="00511807"/>
    <w:rsid w:val="005118A8"/>
    <w:rsid w:val="0051225D"/>
    <w:rsid w:val="00513133"/>
    <w:rsid w:val="00514358"/>
    <w:rsid w:val="0051441F"/>
    <w:rsid w:val="00514970"/>
    <w:rsid w:val="005154AE"/>
    <w:rsid w:val="00516088"/>
    <w:rsid w:val="00516380"/>
    <w:rsid w:val="00516737"/>
    <w:rsid w:val="005167FC"/>
    <w:rsid w:val="00516D0A"/>
    <w:rsid w:val="00520165"/>
    <w:rsid w:val="0052048F"/>
    <w:rsid w:val="00520CB2"/>
    <w:rsid w:val="00520F0D"/>
    <w:rsid w:val="00521509"/>
    <w:rsid w:val="005216F4"/>
    <w:rsid w:val="005218CB"/>
    <w:rsid w:val="00521A28"/>
    <w:rsid w:val="00521AD8"/>
    <w:rsid w:val="005220AC"/>
    <w:rsid w:val="00522283"/>
    <w:rsid w:val="00522938"/>
    <w:rsid w:val="00523034"/>
    <w:rsid w:val="005234F7"/>
    <w:rsid w:val="00523555"/>
    <w:rsid w:val="005235C2"/>
    <w:rsid w:val="00523728"/>
    <w:rsid w:val="00524461"/>
    <w:rsid w:val="00524689"/>
    <w:rsid w:val="00524EB2"/>
    <w:rsid w:val="00525D7A"/>
    <w:rsid w:val="00526B48"/>
    <w:rsid w:val="0052763A"/>
    <w:rsid w:val="0053072C"/>
    <w:rsid w:val="00530D91"/>
    <w:rsid w:val="0053158F"/>
    <w:rsid w:val="00531E4B"/>
    <w:rsid w:val="0053220C"/>
    <w:rsid w:val="00532217"/>
    <w:rsid w:val="00533086"/>
    <w:rsid w:val="00533163"/>
    <w:rsid w:val="00533817"/>
    <w:rsid w:val="005340FC"/>
    <w:rsid w:val="0053447C"/>
    <w:rsid w:val="00534AFF"/>
    <w:rsid w:val="0053560D"/>
    <w:rsid w:val="00535842"/>
    <w:rsid w:val="00536174"/>
    <w:rsid w:val="005365B5"/>
    <w:rsid w:val="00540FBD"/>
    <w:rsid w:val="0054157B"/>
    <w:rsid w:val="00541AB2"/>
    <w:rsid w:val="00541B85"/>
    <w:rsid w:val="00542270"/>
    <w:rsid w:val="005422E4"/>
    <w:rsid w:val="005423E3"/>
    <w:rsid w:val="00542E34"/>
    <w:rsid w:val="00544897"/>
    <w:rsid w:val="005449AA"/>
    <w:rsid w:val="00545388"/>
    <w:rsid w:val="0054552F"/>
    <w:rsid w:val="00545C50"/>
    <w:rsid w:val="00546A89"/>
    <w:rsid w:val="00546D0E"/>
    <w:rsid w:val="00546D76"/>
    <w:rsid w:val="005472D0"/>
    <w:rsid w:val="0054784E"/>
    <w:rsid w:val="00547A8D"/>
    <w:rsid w:val="00550B3A"/>
    <w:rsid w:val="00550DCD"/>
    <w:rsid w:val="00550E0C"/>
    <w:rsid w:val="0055175A"/>
    <w:rsid w:val="00552A43"/>
    <w:rsid w:val="005531A5"/>
    <w:rsid w:val="00553F13"/>
    <w:rsid w:val="0055412A"/>
    <w:rsid w:val="00554344"/>
    <w:rsid w:val="00555264"/>
    <w:rsid w:val="005556F3"/>
    <w:rsid w:val="00555C58"/>
    <w:rsid w:val="00555EC4"/>
    <w:rsid w:val="00555FB1"/>
    <w:rsid w:val="00556D7B"/>
    <w:rsid w:val="00557287"/>
    <w:rsid w:val="00557952"/>
    <w:rsid w:val="005604A4"/>
    <w:rsid w:val="00560B77"/>
    <w:rsid w:val="00560BEA"/>
    <w:rsid w:val="00560C02"/>
    <w:rsid w:val="00561350"/>
    <w:rsid w:val="00561A84"/>
    <w:rsid w:val="00561FED"/>
    <w:rsid w:val="00563074"/>
    <w:rsid w:val="0056328C"/>
    <w:rsid w:val="00563C2A"/>
    <w:rsid w:val="00564705"/>
    <w:rsid w:val="0056563D"/>
    <w:rsid w:val="005656BD"/>
    <w:rsid w:val="00565B35"/>
    <w:rsid w:val="00565B60"/>
    <w:rsid w:val="005669DB"/>
    <w:rsid w:val="00566C66"/>
    <w:rsid w:val="0056787A"/>
    <w:rsid w:val="0057073C"/>
    <w:rsid w:val="005709C4"/>
    <w:rsid w:val="00570F72"/>
    <w:rsid w:val="005713D4"/>
    <w:rsid w:val="0057144A"/>
    <w:rsid w:val="00571BC0"/>
    <w:rsid w:val="0057229C"/>
    <w:rsid w:val="00573CD2"/>
    <w:rsid w:val="00574594"/>
    <w:rsid w:val="0057461D"/>
    <w:rsid w:val="00574E96"/>
    <w:rsid w:val="00574F90"/>
    <w:rsid w:val="00576A8C"/>
    <w:rsid w:val="00576EBA"/>
    <w:rsid w:val="00577DB9"/>
    <w:rsid w:val="005803CC"/>
    <w:rsid w:val="00580772"/>
    <w:rsid w:val="0058082E"/>
    <w:rsid w:val="00581D4A"/>
    <w:rsid w:val="00582048"/>
    <w:rsid w:val="00582619"/>
    <w:rsid w:val="00582FD7"/>
    <w:rsid w:val="00583439"/>
    <w:rsid w:val="00583702"/>
    <w:rsid w:val="00584D43"/>
    <w:rsid w:val="00585794"/>
    <w:rsid w:val="00585FFB"/>
    <w:rsid w:val="00586B04"/>
    <w:rsid w:val="005875F1"/>
    <w:rsid w:val="00587A38"/>
    <w:rsid w:val="00587E6F"/>
    <w:rsid w:val="0059028E"/>
    <w:rsid w:val="005903BE"/>
    <w:rsid w:val="005907A2"/>
    <w:rsid w:val="00591E8D"/>
    <w:rsid w:val="0059261E"/>
    <w:rsid w:val="00593399"/>
    <w:rsid w:val="0059364A"/>
    <w:rsid w:val="00593767"/>
    <w:rsid w:val="00593E89"/>
    <w:rsid w:val="00594168"/>
    <w:rsid w:val="005942D9"/>
    <w:rsid w:val="005960DE"/>
    <w:rsid w:val="0059650D"/>
    <w:rsid w:val="00596826"/>
    <w:rsid w:val="00597790"/>
    <w:rsid w:val="005979B5"/>
    <w:rsid w:val="00597D89"/>
    <w:rsid w:val="005A033C"/>
    <w:rsid w:val="005A0402"/>
    <w:rsid w:val="005A0AC9"/>
    <w:rsid w:val="005A10BB"/>
    <w:rsid w:val="005A120E"/>
    <w:rsid w:val="005A13B9"/>
    <w:rsid w:val="005A13F4"/>
    <w:rsid w:val="005A2B43"/>
    <w:rsid w:val="005A3675"/>
    <w:rsid w:val="005A370D"/>
    <w:rsid w:val="005A3CE0"/>
    <w:rsid w:val="005A3F40"/>
    <w:rsid w:val="005A41C9"/>
    <w:rsid w:val="005A436A"/>
    <w:rsid w:val="005A4548"/>
    <w:rsid w:val="005A506B"/>
    <w:rsid w:val="005A5218"/>
    <w:rsid w:val="005A52C3"/>
    <w:rsid w:val="005A5A52"/>
    <w:rsid w:val="005A5CE4"/>
    <w:rsid w:val="005A60A0"/>
    <w:rsid w:val="005A632F"/>
    <w:rsid w:val="005A63DD"/>
    <w:rsid w:val="005A64C3"/>
    <w:rsid w:val="005A69B8"/>
    <w:rsid w:val="005A7236"/>
    <w:rsid w:val="005A75E5"/>
    <w:rsid w:val="005B0B26"/>
    <w:rsid w:val="005B14DB"/>
    <w:rsid w:val="005B2BBA"/>
    <w:rsid w:val="005B2C19"/>
    <w:rsid w:val="005B3190"/>
    <w:rsid w:val="005B3339"/>
    <w:rsid w:val="005B33F2"/>
    <w:rsid w:val="005B3BC6"/>
    <w:rsid w:val="005B448F"/>
    <w:rsid w:val="005B452A"/>
    <w:rsid w:val="005B4F76"/>
    <w:rsid w:val="005B615C"/>
    <w:rsid w:val="005B6DD7"/>
    <w:rsid w:val="005B7935"/>
    <w:rsid w:val="005C07C2"/>
    <w:rsid w:val="005C1E87"/>
    <w:rsid w:val="005C2BD3"/>
    <w:rsid w:val="005C2CAC"/>
    <w:rsid w:val="005C333E"/>
    <w:rsid w:val="005C33C4"/>
    <w:rsid w:val="005C3458"/>
    <w:rsid w:val="005C380A"/>
    <w:rsid w:val="005C3C95"/>
    <w:rsid w:val="005C3EAF"/>
    <w:rsid w:val="005C47EB"/>
    <w:rsid w:val="005C4E19"/>
    <w:rsid w:val="005C4E62"/>
    <w:rsid w:val="005C5E5A"/>
    <w:rsid w:val="005C6A1A"/>
    <w:rsid w:val="005C6EDC"/>
    <w:rsid w:val="005C717B"/>
    <w:rsid w:val="005C738E"/>
    <w:rsid w:val="005C77DF"/>
    <w:rsid w:val="005C7BB0"/>
    <w:rsid w:val="005D0A61"/>
    <w:rsid w:val="005D1185"/>
    <w:rsid w:val="005D11A4"/>
    <w:rsid w:val="005D1B25"/>
    <w:rsid w:val="005D2E95"/>
    <w:rsid w:val="005D31E7"/>
    <w:rsid w:val="005D3325"/>
    <w:rsid w:val="005D35D9"/>
    <w:rsid w:val="005D4279"/>
    <w:rsid w:val="005D4613"/>
    <w:rsid w:val="005D496A"/>
    <w:rsid w:val="005D5070"/>
    <w:rsid w:val="005D5DAE"/>
    <w:rsid w:val="005D6AE7"/>
    <w:rsid w:val="005D6DE9"/>
    <w:rsid w:val="005D7109"/>
    <w:rsid w:val="005D71D2"/>
    <w:rsid w:val="005D755F"/>
    <w:rsid w:val="005D7AEB"/>
    <w:rsid w:val="005E0450"/>
    <w:rsid w:val="005E0C32"/>
    <w:rsid w:val="005E0FA9"/>
    <w:rsid w:val="005E18FE"/>
    <w:rsid w:val="005E1DBC"/>
    <w:rsid w:val="005E2277"/>
    <w:rsid w:val="005E2E1E"/>
    <w:rsid w:val="005E3507"/>
    <w:rsid w:val="005E3712"/>
    <w:rsid w:val="005E3B90"/>
    <w:rsid w:val="005E4AB7"/>
    <w:rsid w:val="005E503B"/>
    <w:rsid w:val="005E5A89"/>
    <w:rsid w:val="005E64CD"/>
    <w:rsid w:val="005E6747"/>
    <w:rsid w:val="005E6AB4"/>
    <w:rsid w:val="005E6E29"/>
    <w:rsid w:val="005E7458"/>
    <w:rsid w:val="005F1C80"/>
    <w:rsid w:val="005F24E2"/>
    <w:rsid w:val="005F27E8"/>
    <w:rsid w:val="005F3945"/>
    <w:rsid w:val="005F3E34"/>
    <w:rsid w:val="005F41B0"/>
    <w:rsid w:val="005F423E"/>
    <w:rsid w:val="005F451F"/>
    <w:rsid w:val="005F51C1"/>
    <w:rsid w:val="005F5A8F"/>
    <w:rsid w:val="005F6D39"/>
    <w:rsid w:val="005F75C2"/>
    <w:rsid w:val="00600F9F"/>
    <w:rsid w:val="00601A7F"/>
    <w:rsid w:val="006020CC"/>
    <w:rsid w:val="006034D5"/>
    <w:rsid w:val="00604237"/>
    <w:rsid w:val="006054CD"/>
    <w:rsid w:val="0060601C"/>
    <w:rsid w:val="00606BF1"/>
    <w:rsid w:val="00606DE1"/>
    <w:rsid w:val="00607019"/>
    <w:rsid w:val="006075E9"/>
    <w:rsid w:val="006076C0"/>
    <w:rsid w:val="00607AB3"/>
    <w:rsid w:val="00610D01"/>
    <w:rsid w:val="006122EE"/>
    <w:rsid w:val="006129E0"/>
    <w:rsid w:val="00613BB2"/>
    <w:rsid w:val="00613C34"/>
    <w:rsid w:val="00614122"/>
    <w:rsid w:val="00614523"/>
    <w:rsid w:val="00614BD4"/>
    <w:rsid w:val="00615146"/>
    <w:rsid w:val="00615B77"/>
    <w:rsid w:val="006166CE"/>
    <w:rsid w:val="00616734"/>
    <w:rsid w:val="0061693D"/>
    <w:rsid w:val="006169D3"/>
    <w:rsid w:val="006173F4"/>
    <w:rsid w:val="00620B7A"/>
    <w:rsid w:val="006217F8"/>
    <w:rsid w:val="006221FA"/>
    <w:rsid w:val="00622676"/>
    <w:rsid w:val="00623104"/>
    <w:rsid w:val="00623917"/>
    <w:rsid w:val="006256E9"/>
    <w:rsid w:val="00625716"/>
    <w:rsid w:val="0062607D"/>
    <w:rsid w:val="00626E8B"/>
    <w:rsid w:val="00626F22"/>
    <w:rsid w:val="00626F9D"/>
    <w:rsid w:val="00627162"/>
    <w:rsid w:val="0062726A"/>
    <w:rsid w:val="0062760D"/>
    <w:rsid w:val="006279FB"/>
    <w:rsid w:val="00627B6A"/>
    <w:rsid w:val="00627D27"/>
    <w:rsid w:val="00627DEC"/>
    <w:rsid w:val="00627E62"/>
    <w:rsid w:val="00630361"/>
    <w:rsid w:val="006307CB"/>
    <w:rsid w:val="00630F77"/>
    <w:rsid w:val="00632A02"/>
    <w:rsid w:val="00632B05"/>
    <w:rsid w:val="00632E1E"/>
    <w:rsid w:val="00632EC7"/>
    <w:rsid w:val="00633617"/>
    <w:rsid w:val="00633741"/>
    <w:rsid w:val="0063401A"/>
    <w:rsid w:val="006340CD"/>
    <w:rsid w:val="006341A2"/>
    <w:rsid w:val="00634225"/>
    <w:rsid w:val="00634559"/>
    <w:rsid w:val="006348D1"/>
    <w:rsid w:val="00634F95"/>
    <w:rsid w:val="0063544C"/>
    <w:rsid w:val="0063609E"/>
    <w:rsid w:val="0063628C"/>
    <w:rsid w:val="006366FD"/>
    <w:rsid w:val="00636C1C"/>
    <w:rsid w:val="00636C77"/>
    <w:rsid w:val="006374AB"/>
    <w:rsid w:val="00637D37"/>
    <w:rsid w:val="0064027A"/>
    <w:rsid w:val="006405F7"/>
    <w:rsid w:val="00640921"/>
    <w:rsid w:val="00641458"/>
    <w:rsid w:val="00641BD9"/>
    <w:rsid w:val="006423B1"/>
    <w:rsid w:val="00643462"/>
    <w:rsid w:val="00643D50"/>
    <w:rsid w:val="006449EE"/>
    <w:rsid w:val="00644A67"/>
    <w:rsid w:val="00644CF1"/>
    <w:rsid w:val="00645236"/>
    <w:rsid w:val="00645985"/>
    <w:rsid w:val="00645C81"/>
    <w:rsid w:val="00646416"/>
    <w:rsid w:val="0064690E"/>
    <w:rsid w:val="00647DD2"/>
    <w:rsid w:val="00650F9D"/>
    <w:rsid w:val="00651142"/>
    <w:rsid w:val="00651D7C"/>
    <w:rsid w:val="00651F68"/>
    <w:rsid w:val="006523C6"/>
    <w:rsid w:val="00653138"/>
    <w:rsid w:val="00653306"/>
    <w:rsid w:val="0065374B"/>
    <w:rsid w:val="00654625"/>
    <w:rsid w:val="00654FDF"/>
    <w:rsid w:val="006550E4"/>
    <w:rsid w:val="00655E43"/>
    <w:rsid w:val="00655FA7"/>
    <w:rsid w:val="0065662F"/>
    <w:rsid w:val="006570FE"/>
    <w:rsid w:val="006573F9"/>
    <w:rsid w:val="006577E6"/>
    <w:rsid w:val="00657B62"/>
    <w:rsid w:val="00657BB2"/>
    <w:rsid w:val="00657D27"/>
    <w:rsid w:val="006609A2"/>
    <w:rsid w:val="00661706"/>
    <w:rsid w:val="006629B9"/>
    <w:rsid w:val="00663B78"/>
    <w:rsid w:val="00663F3E"/>
    <w:rsid w:val="00664B98"/>
    <w:rsid w:val="00664EB1"/>
    <w:rsid w:val="0066549C"/>
    <w:rsid w:val="0066577E"/>
    <w:rsid w:val="00665FF6"/>
    <w:rsid w:val="0066655F"/>
    <w:rsid w:val="00666722"/>
    <w:rsid w:val="006669A5"/>
    <w:rsid w:val="00667394"/>
    <w:rsid w:val="00667600"/>
    <w:rsid w:val="00667760"/>
    <w:rsid w:val="00667FC5"/>
    <w:rsid w:val="0067060A"/>
    <w:rsid w:val="00670CAB"/>
    <w:rsid w:val="006712D0"/>
    <w:rsid w:val="006714AC"/>
    <w:rsid w:val="00671766"/>
    <w:rsid w:val="00671A97"/>
    <w:rsid w:val="00671C1E"/>
    <w:rsid w:val="00672018"/>
    <w:rsid w:val="006725B9"/>
    <w:rsid w:val="00672A14"/>
    <w:rsid w:val="00673797"/>
    <w:rsid w:val="006746DA"/>
    <w:rsid w:val="0067475F"/>
    <w:rsid w:val="00674C4D"/>
    <w:rsid w:val="0067514A"/>
    <w:rsid w:val="006751CC"/>
    <w:rsid w:val="00675443"/>
    <w:rsid w:val="00675FB0"/>
    <w:rsid w:val="00676FBF"/>
    <w:rsid w:val="006771A6"/>
    <w:rsid w:val="006771D9"/>
    <w:rsid w:val="0067726D"/>
    <w:rsid w:val="0067773D"/>
    <w:rsid w:val="00677BD3"/>
    <w:rsid w:val="00677F42"/>
    <w:rsid w:val="00677FC5"/>
    <w:rsid w:val="006816D6"/>
    <w:rsid w:val="00681F73"/>
    <w:rsid w:val="006821B8"/>
    <w:rsid w:val="00682990"/>
    <w:rsid w:val="00682A69"/>
    <w:rsid w:val="00683778"/>
    <w:rsid w:val="00683C7E"/>
    <w:rsid w:val="00683D42"/>
    <w:rsid w:val="00683EBA"/>
    <w:rsid w:val="00684A91"/>
    <w:rsid w:val="00684BBF"/>
    <w:rsid w:val="00684EBD"/>
    <w:rsid w:val="0068597A"/>
    <w:rsid w:val="00685C67"/>
    <w:rsid w:val="00685F27"/>
    <w:rsid w:val="006862E3"/>
    <w:rsid w:val="0068783D"/>
    <w:rsid w:val="00687BD3"/>
    <w:rsid w:val="0068EF05"/>
    <w:rsid w:val="00690569"/>
    <w:rsid w:val="00690995"/>
    <w:rsid w:val="00691A91"/>
    <w:rsid w:val="006924B4"/>
    <w:rsid w:val="006928C8"/>
    <w:rsid w:val="00692B39"/>
    <w:rsid w:val="00692C84"/>
    <w:rsid w:val="00693016"/>
    <w:rsid w:val="006931EA"/>
    <w:rsid w:val="00693506"/>
    <w:rsid w:val="006936D8"/>
    <w:rsid w:val="006939F5"/>
    <w:rsid w:val="00693C7B"/>
    <w:rsid w:val="00694089"/>
    <w:rsid w:val="00694773"/>
    <w:rsid w:val="0069496C"/>
    <w:rsid w:val="00694A04"/>
    <w:rsid w:val="00694A42"/>
    <w:rsid w:val="00695748"/>
    <w:rsid w:val="00695EAC"/>
    <w:rsid w:val="00696039"/>
    <w:rsid w:val="006962A3"/>
    <w:rsid w:val="00696718"/>
    <w:rsid w:val="006967F7"/>
    <w:rsid w:val="006969D2"/>
    <w:rsid w:val="0069732B"/>
    <w:rsid w:val="0069779E"/>
    <w:rsid w:val="006A0487"/>
    <w:rsid w:val="006A0720"/>
    <w:rsid w:val="006A14F9"/>
    <w:rsid w:val="006A165C"/>
    <w:rsid w:val="006A1F11"/>
    <w:rsid w:val="006A2896"/>
    <w:rsid w:val="006A31DC"/>
    <w:rsid w:val="006A37DB"/>
    <w:rsid w:val="006A4226"/>
    <w:rsid w:val="006A4E1D"/>
    <w:rsid w:val="006A6EB0"/>
    <w:rsid w:val="006A79EC"/>
    <w:rsid w:val="006B16C4"/>
    <w:rsid w:val="006B2646"/>
    <w:rsid w:val="006B330B"/>
    <w:rsid w:val="006B3950"/>
    <w:rsid w:val="006B41DD"/>
    <w:rsid w:val="006B448A"/>
    <w:rsid w:val="006B4752"/>
    <w:rsid w:val="006B4BDC"/>
    <w:rsid w:val="006B5275"/>
    <w:rsid w:val="006B5656"/>
    <w:rsid w:val="006B6091"/>
    <w:rsid w:val="006C047B"/>
    <w:rsid w:val="006C090B"/>
    <w:rsid w:val="006C0CEB"/>
    <w:rsid w:val="006C0DA4"/>
    <w:rsid w:val="006C0E52"/>
    <w:rsid w:val="006C1107"/>
    <w:rsid w:val="006C19F1"/>
    <w:rsid w:val="006C207C"/>
    <w:rsid w:val="006C20DB"/>
    <w:rsid w:val="006C2663"/>
    <w:rsid w:val="006C3C08"/>
    <w:rsid w:val="006C4611"/>
    <w:rsid w:val="006C4A4A"/>
    <w:rsid w:val="006C5770"/>
    <w:rsid w:val="006C5A0A"/>
    <w:rsid w:val="006C5D4A"/>
    <w:rsid w:val="006C63FB"/>
    <w:rsid w:val="006C68AB"/>
    <w:rsid w:val="006D0A59"/>
    <w:rsid w:val="006D12F4"/>
    <w:rsid w:val="006D1C49"/>
    <w:rsid w:val="006D227A"/>
    <w:rsid w:val="006D27E3"/>
    <w:rsid w:val="006D4362"/>
    <w:rsid w:val="006D4CDE"/>
    <w:rsid w:val="006D519E"/>
    <w:rsid w:val="006D56CF"/>
    <w:rsid w:val="006D579B"/>
    <w:rsid w:val="006D5EA7"/>
    <w:rsid w:val="006D6382"/>
    <w:rsid w:val="006D6EEA"/>
    <w:rsid w:val="006D7861"/>
    <w:rsid w:val="006D7920"/>
    <w:rsid w:val="006E048E"/>
    <w:rsid w:val="006E13B0"/>
    <w:rsid w:val="006E161D"/>
    <w:rsid w:val="006E16DF"/>
    <w:rsid w:val="006E1C84"/>
    <w:rsid w:val="006E210B"/>
    <w:rsid w:val="006E214E"/>
    <w:rsid w:val="006E25EE"/>
    <w:rsid w:val="006E2678"/>
    <w:rsid w:val="006E274E"/>
    <w:rsid w:val="006E2E06"/>
    <w:rsid w:val="006E3640"/>
    <w:rsid w:val="006E383A"/>
    <w:rsid w:val="006E3C45"/>
    <w:rsid w:val="006E3CA2"/>
    <w:rsid w:val="006E3E14"/>
    <w:rsid w:val="006E4312"/>
    <w:rsid w:val="006E4425"/>
    <w:rsid w:val="006E4430"/>
    <w:rsid w:val="006E4740"/>
    <w:rsid w:val="006E4B57"/>
    <w:rsid w:val="006E4D2E"/>
    <w:rsid w:val="006E4D9A"/>
    <w:rsid w:val="006E4F9D"/>
    <w:rsid w:val="006E5492"/>
    <w:rsid w:val="006E67EC"/>
    <w:rsid w:val="006E6D2E"/>
    <w:rsid w:val="006E74CA"/>
    <w:rsid w:val="006E79A9"/>
    <w:rsid w:val="006F0358"/>
    <w:rsid w:val="006F060F"/>
    <w:rsid w:val="006F0909"/>
    <w:rsid w:val="006F0AD1"/>
    <w:rsid w:val="006F0ADB"/>
    <w:rsid w:val="006F1509"/>
    <w:rsid w:val="006F15B0"/>
    <w:rsid w:val="006F1734"/>
    <w:rsid w:val="006F1B7D"/>
    <w:rsid w:val="006F2106"/>
    <w:rsid w:val="006F25E8"/>
    <w:rsid w:val="006F3530"/>
    <w:rsid w:val="006F3D0C"/>
    <w:rsid w:val="006F4BCC"/>
    <w:rsid w:val="006F4F1E"/>
    <w:rsid w:val="006F56A5"/>
    <w:rsid w:val="006F5FA1"/>
    <w:rsid w:val="006F60BB"/>
    <w:rsid w:val="006F62E5"/>
    <w:rsid w:val="006F7433"/>
    <w:rsid w:val="006F7AE7"/>
    <w:rsid w:val="006F7D0E"/>
    <w:rsid w:val="00700796"/>
    <w:rsid w:val="0070149A"/>
    <w:rsid w:val="007019C4"/>
    <w:rsid w:val="00703019"/>
    <w:rsid w:val="0070371B"/>
    <w:rsid w:val="00703A96"/>
    <w:rsid w:val="00703AF2"/>
    <w:rsid w:val="00703E79"/>
    <w:rsid w:val="007040EE"/>
    <w:rsid w:val="00704F34"/>
    <w:rsid w:val="007052C8"/>
    <w:rsid w:val="007056E4"/>
    <w:rsid w:val="0070570C"/>
    <w:rsid w:val="00706ABC"/>
    <w:rsid w:val="00706F3F"/>
    <w:rsid w:val="007074D1"/>
    <w:rsid w:val="007076CD"/>
    <w:rsid w:val="0071179F"/>
    <w:rsid w:val="00711DBC"/>
    <w:rsid w:val="007123F0"/>
    <w:rsid w:val="00712BE3"/>
    <w:rsid w:val="0071329C"/>
    <w:rsid w:val="007134C0"/>
    <w:rsid w:val="00715AAD"/>
    <w:rsid w:val="00716276"/>
    <w:rsid w:val="0071651C"/>
    <w:rsid w:val="007168C5"/>
    <w:rsid w:val="00716BA2"/>
    <w:rsid w:val="00716D45"/>
    <w:rsid w:val="00717436"/>
    <w:rsid w:val="00720221"/>
    <w:rsid w:val="007210E9"/>
    <w:rsid w:val="007211D0"/>
    <w:rsid w:val="00721649"/>
    <w:rsid w:val="00721EB6"/>
    <w:rsid w:val="00721FAC"/>
    <w:rsid w:val="007230A2"/>
    <w:rsid w:val="007237AE"/>
    <w:rsid w:val="00723E4A"/>
    <w:rsid w:val="00723F88"/>
    <w:rsid w:val="00724CE3"/>
    <w:rsid w:val="007251F1"/>
    <w:rsid w:val="0072564B"/>
    <w:rsid w:val="0072564C"/>
    <w:rsid w:val="00725B51"/>
    <w:rsid w:val="00726270"/>
    <w:rsid w:val="007266EF"/>
    <w:rsid w:val="007270F7"/>
    <w:rsid w:val="007270FB"/>
    <w:rsid w:val="00727249"/>
    <w:rsid w:val="0073006E"/>
    <w:rsid w:val="007305E9"/>
    <w:rsid w:val="00731083"/>
    <w:rsid w:val="00731A46"/>
    <w:rsid w:val="00731D2F"/>
    <w:rsid w:val="00732681"/>
    <w:rsid w:val="00732B67"/>
    <w:rsid w:val="00732EFB"/>
    <w:rsid w:val="00734021"/>
    <w:rsid w:val="0073486B"/>
    <w:rsid w:val="00735348"/>
    <w:rsid w:val="00735483"/>
    <w:rsid w:val="00735919"/>
    <w:rsid w:val="00735D9C"/>
    <w:rsid w:val="007364C3"/>
    <w:rsid w:val="0073651D"/>
    <w:rsid w:val="00736551"/>
    <w:rsid w:val="00736761"/>
    <w:rsid w:val="00736BD5"/>
    <w:rsid w:val="0073731B"/>
    <w:rsid w:val="0073732B"/>
    <w:rsid w:val="00737970"/>
    <w:rsid w:val="00737F0F"/>
    <w:rsid w:val="007400D0"/>
    <w:rsid w:val="00741789"/>
    <w:rsid w:val="00741B21"/>
    <w:rsid w:val="0074207A"/>
    <w:rsid w:val="007428E7"/>
    <w:rsid w:val="0074321B"/>
    <w:rsid w:val="007433FA"/>
    <w:rsid w:val="00743442"/>
    <w:rsid w:val="0074345C"/>
    <w:rsid w:val="00743533"/>
    <w:rsid w:val="00743608"/>
    <w:rsid w:val="00743856"/>
    <w:rsid w:val="00743CCC"/>
    <w:rsid w:val="00743E0C"/>
    <w:rsid w:val="00744180"/>
    <w:rsid w:val="00744B35"/>
    <w:rsid w:val="00744D75"/>
    <w:rsid w:val="007452F9"/>
    <w:rsid w:val="00746433"/>
    <w:rsid w:val="0074649C"/>
    <w:rsid w:val="00746B57"/>
    <w:rsid w:val="0074794D"/>
    <w:rsid w:val="00750EF6"/>
    <w:rsid w:val="007512BC"/>
    <w:rsid w:val="007521E5"/>
    <w:rsid w:val="007521F7"/>
    <w:rsid w:val="0075221C"/>
    <w:rsid w:val="007529BE"/>
    <w:rsid w:val="00752BB0"/>
    <w:rsid w:val="00752FEC"/>
    <w:rsid w:val="0075319D"/>
    <w:rsid w:val="007531D9"/>
    <w:rsid w:val="00753354"/>
    <w:rsid w:val="007537E5"/>
    <w:rsid w:val="00753918"/>
    <w:rsid w:val="00753D2E"/>
    <w:rsid w:val="0075408C"/>
    <w:rsid w:val="00754122"/>
    <w:rsid w:val="00755146"/>
    <w:rsid w:val="007551DF"/>
    <w:rsid w:val="0075534F"/>
    <w:rsid w:val="00755471"/>
    <w:rsid w:val="007556C4"/>
    <w:rsid w:val="00755783"/>
    <w:rsid w:val="00756388"/>
    <w:rsid w:val="00756440"/>
    <w:rsid w:val="0075686B"/>
    <w:rsid w:val="00756944"/>
    <w:rsid w:val="00756F6B"/>
    <w:rsid w:val="007571B6"/>
    <w:rsid w:val="0076073B"/>
    <w:rsid w:val="0076094C"/>
    <w:rsid w:val="00761AC4"/>
    <w:rsid w:val="0076216B"/>
    <w:rsid w:val="0076246A"/>
    <w:rsid w:val="00762657"/>
    <w:rsid w:val="00762829"/>
    <w:rsid w:val="00763018"/>
    <w:rsid w:val="00763491"/>
    <w:rsid w:val="007637C8"/>
    <w:rsid w:val="00763996"/>
    <w:rsid w:val="00763D2E"/>
    <w:rsid w:val="00764ADE"/>
    <w:rsid w:val="00764D2A"/>
    <w:rsid w:val="0076573C"/>
    <w:rsid w:val="00765A0F"/>
    <w:rsid w:val="00766344"/>
    <w:rsid w:val="00766400"/>
    <w:rsid w:val="00766490"/>
    <w:rsid w:val="0076653A"/>
    <w:rsid w:val="007665C1"/>
    <w:rsid w:val="0076693F"/>
    <w:rsid w:val="00766B11"/>
    <w:rsid w:val="00767131"/>
    <w:rsid w:val="00767169"/>
    <w:rsid w:val="0077082D"/>
    <w:rsid w:val="00770C03"/>
    <w:rsid w:val="00770E69"/>
    <w:rsid w:val="007710C2"/>
    <w:rsid w:val="007714A0"/>
    <w:rsid w:val="00772491"/>
    <w:rsid w:val="007731AB"/>
    <w:rsid w:val="007735B2"/>
    <w:rsid w:val="00773602"/>
    <w:rsid w:val="00773FA8"/>
    <w:rsid w:val="00773FDD"/>
    <w:rsid w:val="00774F45"/>
    <w:rsid w:val="00775D90"/>
    <w:rsid w:val="00776BCC"/>
    <w:rsid w:val="00777974"/>
    <w:rsid w:val="00777AF3"/>
    <w:rsid w:val="00777C82"/>
    <w:rsid w:val="00780B52"/>
    <w:rsid w:val="00780C4D"/>
    <w:rsid w:val="00780CD0"/>
    <w:rsid w:val="0078119C"/>
    <w:rsid w:val="007811DF"/>
    <w:rsid w:val="00781668"/>
    <w:rsid w:val="0078194F"/>
    <w:rsid w:val="007827FC"/>
    <w:rsid w:val="0078296A"/>
    <w:rsid w:val="00782F29"/>
    <w:rsid w:val="0078331A"/>
    <w:rsid w:val="00783388"/>
    <w:rsid w:val="00783A2E"/>
    <w:rsid w:val="00784834"/>
    <w:rsid w:val="00784850"/>
    <w:rsid w:val="0078497F"/>
    <w:rsid w:val="007852D5"/>
    <w:rsid w:val="00786945"/>
    <w:rsid w:val="00786CD2"/>
    <w:rsid w:val="0078702D"/>
    <w:rsid w:val="0078707F"/>
    <w:rsid w:val="00787187"/>
    <w:rsid w:val="0078763C"/>
    <w:rsid w:val="00787ED7"/>
    <w:rsid w:val="00790271"/>
    <w:rsid w:val="00790D76"/>
    <w:rsid w:val="007917A6"/>
    <w:rsid w:val="007917BE"/>
    <w:rsid w:val="00792013"/>
    <w:rsid w:val="00792A89"/>
    <w:rsid w:val="00792FE0"/>
    <w:rsid w:val="007934FD"/>
    <w:rsid w:val="007943A2"/>
    <w:rsid w:val="0079449E"/>
    <w:rsid w:val="00794695"/>
    <w:rsid w:val="00795D99"/>
    <w:rsid w:val="0079626B"/>
    <w:rsid w:val="00796336"/>
    <w:rsid w:val="00796545"/>
    <w:rsid w:val="00796E6C"/>
    <w:rsid w:val="0079709B"/>
    <w:rsid w:val="007A09BD"/>
    <w:rsid w:val="007A0D64"/>
    <w:rsid w:val="007A10F4"/>
    <w:rsid w:val="007A1BA9"/>
    <w:rsid w:val="007A2671"/>
    <w:rsid w:val="007A27B1"/>
    <w:rsid w:val="007A2958"/>
    <w:rsid w:val="007A2F92"/>
    <w:rsid w:val="007A2F96"/>
    <w:rsid w:val="007A382A"/>
    <w:rsid w:val="007A4610"/>
    <w:rsid w:val="007A5C39"/>
    <w:rsid w:val="007A6075"/>
    <w:rsid w:val="007A6273"/>
    <w:rsid w:val="007A629A"/>
    <w:rsid w:val="007A739D"/>
    <w:rsid w:val="007A73A3"/>
    <w:rsid w:val="007A7669"/>
    <w:rsid w:val="007A7B02"/>
    <w:rsid w:val="007A7D71"/>
    <w:rsid w:val="007B0A0C"/>
    <w:rsid w:val="007B1958"/>
    <w:rsid w:val="007B2164"/>
    <w:rsid w:val="007B226E"/>
    <w:rsid w:val="007B3186"/>
    <w:rsid w:val="007B3942"/>
    <w:rsid w:val="007B4044"/>
    <w:rsid w:val="007B44EA"/>
    <w:rsid w:val="007B47AD"/>
    <w:rsid w:val="007B4874"/>
    <w:rsid w:val="007B5CCA"/>
    <w:rsid w:val="007B65F3"/>
    <w:rsid w:val="007B6BFC"/>
    <w:rsid w:val="007B70A0"/>
    <w:rsid w:val="007B7969"/>
    <w:rsid w:val="007C048F"/>
    <w:rsid w:val="007C0659"/>
    <w:rsid w:val="007C06BA"/>
    <w:rsid w:val="007C091B"/>
    <w:rsid w:val="007C0991"/>
    <w:rsid w:val="007C0999"/>
    <w:rsid w:val="007C09F0"/>
    <w:rsid w:val="007C0F12"/>
    <w:rsid w:val="007C1839"/>
    <w:rsid w:val="007C19C9"/>
    <w:rsid w:val="007C1C35"/>
    <w:rsid w:val="007C1F57"/>
    <w:rsid w:val="007C2205"/>
    <w:rsid w:val="007C2296"/>
    <w:rsid w:val="007C22C8"/>
    <w:rsid w:val="007C268D"/>
    <w:rsid w:val="007C2B6A"/>
    <w:rsid w:val="007C2BC9"/>
    <w:rsid w:val="007C49C1"/>
    <w:rsid w:val="007C4B2A"/>
    <w:rsid w:val="007C4CA1"/>
    <w:rsid w:val="007C4D20"/>
    <w:rsid w:val="007C4F08"/>
    <w:rsid w:val="007C7AEF"/>
    <w:rsid w:val="007C7EF4"/>
    <w:rsid w:val="007D0A5E"/>
    <w:rsid w:val="007D12ED"/>
    <w:rsid w:val="007D174B"/>
    <w:rsid w:val="007D2622"/>
    <w:rsid w:val="007D309A"/>
    <w:rsid w:val="007D3A4E"/>
    <w:rsid w:val="007D501F"/>
    <w:rsid w:val="007D55F4"/>
    <w:rsid w:val="007D5CD4"/>
    <w:rsid w:val="007D6708"/>
    <w:rsid w:val="007D6DE6"/>
    <w:rsid w:val="007D74B3"/>
    <w:rsid w:val="007D7AA4"/>
    <w:rsid w:val="007E0050"/>
    <w:rsid w:val="007E1101"/>
    <w:rsid w:val="007E1220"/>
    <w:rsid w:val="007E1696"/>
    <w:rsid w:val="007E1AA8"/>
    <w:rsid w:val="007E1CCA"/>
    <w:rsid w:val="007E256A"/>
    <w:rsid w:val="007E2A55"/>
    <w:rsid w:val="007E2C97"/>
    <w:rsid w:val="007E3BFA"/>
    <w:rsid w:val="007E419A"/>
    <w:rsid w:val="007E41D9"/>
    <w:rsid w:val="007E496A"/>
    <w:rsid w:val="007E60AB"/>
    <w:rsid w:val="007E621C"/>
    <w:rsid w:val="007E6517"/>
    <w:rsid w:val="007E6536"/>
    <w:rsid w:val="007E66E7"/>
    <w:rsid w:val="007E7114"/>
    <w:rsid w:val="007E7351"/>
    <w:rsid w:val="007E7DCA"/>
    <w:rsid w:val="007E7F71"/>
    <w:rsid w:val="007F074E"/>
    <w:rsid w:val="007F0ADD"/>
    <w:rsid w:val="007F0D7F"/>
    <w:rsid w:val="007F0FEB"/>
    <w:rsid w:val="007F2890"/>
    <w:rsid w:val="007F31FE"/>
    <w:rsid w:val="007F325C"/>
    <w:rsid w:val="007F39C1"/>
    <w:rsid w:val="007F3E9F"/>
    <w:rsid w:val="007F3FB0"/>
    <w:rsid w:val="007F4160"/>
    <w:rsid w:val="007F499C"/>
    <w:rsid w:val="007F4BD4"/>
    <w:rsid w:val="007F4C53"/>
    <w:rsid w:val="007F4F38"/>
    <w:rsid w:val="007F5932"/>
    <w:rsid w:val="007F629B"/>
    <w:rsid w:val="007F6633"/>
    <w:rsid w:val="007F68AB"/>
    <w:rsid w:val="007F72F4"/>
    <w:rsid w:val="007F799B"/>
    <w:rsid w:val="0080047A"/>
    <w:rsid w:val="00800AF7"/>
    <w:rsid w:val="008013BF"/>
    <w:rsid w:val="00801846"/>
    <w:rsid w:val="00801B25"/>
    <w:rsid w:val="00802759"/>
    <w:rsid w:val="00802B81"/>
    <w:rsid w:val="00802C22"/>
    <w:rsid w:val="00803182"/>
    <w:rsid w:val="008034DE"/>
    <w:rsid w:val="008041C9"/>
    <w:rsid w:val="008042E1"/>
    <w:rsid w:val="008042F1"/>
    <w:rsid w:val="0080435C"/>
    <w:rsid w:val="008046DE"/>
    <w:rsid w:val="00804AD9"/>
    <w:rsid w:val="00804C53"/>
    <w:rsid w:val="00804FE3"/>
    <w:rsid w:val="00805440"/>
    <w:rsid w:val="008077C9"/>
    <w:rsid w:val="00807AC0"/>
    <w:rsid w:val="008100BA"/>
    <w:rsid w:val="008103CE"/>
    <w:rsid w:val="0081060A"/>
    <w:rsid w:val="00810E88"/>
    <w:rsid w:val="00811D1D"/>
    <w:rsid w:val="00811FA1"/>
    <w:rsid w:val="00812140"/>
    <w:rsid w:val="00812CD3"/>
    <w:rsid w:val="00813546"/>
    <w:rsid w:val="008145D8"/>
    <w:rsid w:val="00814763"/>
    <w:rsid w:val="008150A5"/>
    <w:rsid w:val="008153D0"/>
    <w:rsid w:val="00815886"/>
    <w:rsid w:val="00815EB3"/>
    <w:rsid w:val="00816150"/>
    <w:rsid w:val="0081620A"/>
    <w:rsid w:val="008164AB"/>
    <w:rsid w:val="00816AC3"/>
    <w:rsid w:val="00816D42"/>
    <w:rsid w:val="00816D4F"/>
    <w:rsid w:val="008206B1"/>
    <w:rsid w:val="00820755"/>
    <w:rsid w:val="0082138B"/>
    <w:rsid w:val="00821E30"/>
    <w:rsid w:val="00821EE4"/>
    <w:rsid w:val="00822040"/>
    <w:rsid w:val="00822C6C"/>
    <w:rsid w:val="00823886"/>
    <w:rsid w:val="00823CC6"/>
    <w:rsid w:val="008241DA"/>
    <w:rsid w:val="00824240"/>
    <w:rsid w:val="00824A39"/>
    <w:rsid w:val="00824A4C"/>
    <w:rsid w:val="00824EAC"/>
    <w:rsid w:val="008264C3"/>
    <w:rsid w:val="0082745A"/>
    <w:rsid w:val="00827597"/>
    <w:rsid w:val="00827B49"/>
    <w:rsid w:val="00827D37"/>
    <w:rsid w:val="008306B0"/>
    <w:rsid w:val="00830E44"/>
    <w:rsid w:val="00831255"/>
    <w:rsid w:val="00831386"/>
    <w:rsid w:val="0083181A"/>
    <w:rsid w:val="00831848"/>
    <w:rsid w:val="0083192A"/>
    <w:rsid w:val="00831E30"/>
    <w:rsid w:val="00832559"/>
    <w:rsid w:val="0083316E"/>
    <w:rsid w:val="008332C1"/>
    <w:rsid w:val="008333E3"/>
    <w:rsid w:val="008335C2"/>
    <w:rsid w:val="008335FA"/>
    <w:rsid w:val="0083403F"/>
    <w:rsid w:val="0083429C"/>
    <w:rsid w:val="00834643"/>
    <w:rsid w:val="0083484D"/>
    <w:rsid w:val="0083637F"/>
    <w:rsid w:val="008364D3"/>
    <w:rsid w:val="00836B84"/>
    <w:rsid w:val="00837172"/>
    <w:rsid w:val="008372EF"/>
    <w:rsid w:val="00837EE0"/>
    <w:rsid w:val="008400DE"/>
    <w:rsid w:val="00840663"/>
    <w:rsid w:val="00841703"/>
    <w:rsid w:val="0084172B"/>
    <w:rsid w:val="00842668"/>
    <w:rsid w:val="0084268D"/>
    <w:rsid w:val="008431CA"/>
    <w:rsid w:val="00843D73"/>
    <w:rsid w:val="0084447A"/>
    <w:rsid w:val="00844C60"/>
    <w:rsid w:val="00844D37"/>
    <w:rsid w:val="00844D4B"/>
    <w:rsid w:val="00845395"/>
    <w:rsid w:val="00845C1D"/>
    <w:rsid w:val="0084645E"/>
    <w:rsid w:val="008464D6"/>
    <w:rsid w:val="00846A49"/>
    <w:rsid w:val="00847631"/>
    <w:rsid w:val="008476B7"/>
    <w:rsid w:val="00847C6A"/>
    <w:rsid w:val="00850724"/>
    <w:rsid w:val="00850892"/>
    <w:rsid w:val="0085095D"/>
    <w:rsid w:val="00851243"/>
    <w:rsid w:val="00851765"/>
    <w:rsid w:val="008518A9"/>
    <w:rsid w:val="00851DF1"/>
    <w:rsid w:val="00852B50"/>
    <w:rsid w:val="00853C9E"/>
    <w:rsid w:val="00854A7F"/>
    <w:rsid w:val="00854C4B"/>
    <w:rsid w:val="00855082"/>
    <w:rsid w:val="008552B2"/>
    <w:rsid w:val="0085576D"/>
    <w:rsid w:val="008558C8"/>
    <w:rsid w:val="00855C16"/>
    <w:rsid w:val="00855CAC"/>
    <w:rsid w:val="0085606D"/>
    <w:rsid w:val="00856972"/>
    <w:rsid w:val="00857EFF"/>
    <w:rsid w:val="008602D8"/>
    <w:rsid w:val="00860565"/>
    <w:rsid w:val="00860D86"/>
    <w:rsid w:val="00860DD7"/>
    <w:rsid w:val="00861A33"/>
    <w:rsid w:val="008621D1"/>
    <w:rsid w:val="0086297A"/>
    <w:rsid w:val="00862AC7"/>
    <w:rsid w:val="00863D16"/>
    <w:rsid w:val="00863F6B"/>
    <w:rsid w:val="008655EE"/>
    <w:rsid w:val="00865803"/>
    <w:rsid w:val="00865F99"/>
    <w:rsid w:val="008666BA"/>
    <w:rsid w:val="00866CC0"/>
    <w:rsid w:val="00867A07"/>
    <w:rsid w:val="00867F31"/>
    <w:rsid w:val="00867FA2"/>
    <w:rsid w:val="0087081A"/>
    <w:rsid w:val="00870FED"/>
    <w:rsid w:val="008718AD"/>
    <w:rsid w:val="00873560"/>
    <w:rsid w:val="008737DA"/>
    <w:rsid w:val="008744ED"/>
    <w:rsid w:val="008752A0"/>
    <w:rsid w:val="008758BD"/>
    <w:rsid w:val="00876741"/>
    <w:rsid w:val="0087678E"/>
    <w:rsid w:val="00876D83"/>
    <w:rsid w:val="00877444"/>
    <w:rsid w:val="00877DD4"/>
    <w:rsid w:val="008808B6"/>
    <w:rsid w:val="00881243"/>
    <w:rsid w:val="00881469"/>
    <w:rsid w:val="008822E3"/>
    <w:rsid w:val="008824EC"/>
    <w:rsid w:val="008827A8"/>
    <w:rsid w:val="00882B5D"/>
    <w:rsid w:val="00882CC6"/>
    <w:rsid w:val="00882EC3"/>
    <w:rsid w:val="0088335B"/>
    <w:rsid w:val="008837A9"/>
    <w:rsid w:val="00883918"/>
    <w:rsid w:val="0088395F"/>
    <w:rsid w:val="00883E63"/>
    <w:rsid w:val="00884851"/>
    <w:rsid w:val="00884D70"/>
    <w:rsid w:val="0088512C"/>
    <w:rsid w:val="0088537F"/>
    <w:rsid w:val="008858E9"/>
    <w:rsid w:val="00885DFE"/>
    <w:rsid w:val="00885F93"/>
    <w:rsid w:val="00886D2F"/>
    <w:rsid w:val="00886DA0"/>
    <w:rsid w:val="00886E12"/>
    <w:rsid w:val="00887E64"/>
    <w:rsid w:val="00887FE4"/>
    <w:rsid w:val="008901B2"/>
    <w:rsid w:val="00891D7F"/>
    <w:rsid w:val="00892EDB"/>
    <w:rsid w:val="00893962"/>
    <w:rsid w:val="00893A07"/>
    <w:rsid w:val="00893C85"/>
    <w:rsid w:val="008941B7"/>
    <w:rsid w:val="008945AD"/>
    <w:rsid w:val="00895ABC"/>
    <w:rsid w:val="00895B94"/>
    <w:rsid w:val="00895EAD"/>
    <w:rsid w:val="0089707C"/>
    <w:rsid w:val="0089736E"/>
    <w:rsid w:val="008973F7"/>
    <w:rsid w:val="00897BAE"/>
    <w:rsid w:val="00897EEA"/>
    <w:rsid w:val="008A02F3"/>
    <w:rsid w:val="008A0952"/>
    <w:rsid w:val="008A0DAE"/>
    <w:rsid w:val="008A120F"/>
    <w:rsid w:val="008A1247"/>
    <w:rsid w:val="008A17BF"/>
    <w:rsid w:val="008A196C"/>
    <w:rsid w:val="008A26DF"/>
    <w:rsid w:val="008A280E"/>
    <w:rsid w:val="008A360C"/>
    <w:rsid w:val="008A4319"/>
    <w:rsid w:val="008A5002"/>
    <w:rsid w:val="008A5F8A"/>
    <w:rsid w:val="008A6713"/>
    <w:rsid w:val="008A672B"/>
    <w:rsid w:val="008A69A1"/>
    <w:rsid w:val="008A7612"/>
    <w:rsid w:val="008B0356"/>
    <w:rsid w:val="008B0DA2"/>
    <w:rsid w:val="008B0ED7"/>
    <w:rsid w:val="008B1377"/>
    <w:rsid w:val="008B159F"/>
    <w:rsid w:val="008B185F"/>
    <w:rsid w:val="008B278B"/>
    <w:rsid w:val="008B27EE"/>
    <w:rsid w:val="008B370F"/>
    <w:rsid w:val="008B3814"/>
    <w:rsid w:val="008B3AD7"/>
    <w:rsid w:val="008B3C09"/>
    <w:rsid w:val="008B3E6D"/>
    <w:rsid w:val="008B409B"/>
    <w:rsid w:val="008B49D6"/>
    <w:rsid w:val="008B54C9"/>
    <w:rsid w:val="008B5610"/>
    <w:rsid w:val="008B71B3"/>
    <w:rsid w:val="008B7B60"/>
    <w:rsid w:val="008C01F6"/>
    <w:rsid w:val="008C0455"/>
    <w:rsid w:val="008C0515"/>
    <w:rsid w:val="008C0EEB"/>
    <w:rsid w:val="008C159A"/>
    <w:rsid w:val="008C1883"/>
    <w:rsid w:val="008C1C44"/>
    <w:rsid w:val="008C1D8B"/>
    <w:rsid w:val="008C261C"/>
    <w:rsid w:val="008C268C"/>
    <w:rsid w:val="008C2808"/>
    <w:rsid w:val="008C2F60"/>
    <w:rsid w:val="008C3130"/>
    <w:rsid w:val="008C401F"/>
    <w:rsid w:val="008C4048"/>
    <w:rsid w:val="008C44E8"/>
    <w:rsid w:val="008C46BA"/>
    <w:rsid w:val="008C5C25"/>
    <w:rsid w:val="008C6255"/>
    <w:rsid w:val="008C6E30"/>
    <w:rsid w:val="008C6F94"/>
    <w:rsid w:val="008C7041"/>
    <w:rsid w:val="008C708C"/>
    <w:rsid w:val="008C73C7"/>
    <w:rsid w:val="008C7737"/>
    <w:rsid w:val="008D0B1A"/>
    <w:rsid w:val="008D0C9A"/>
    <w:rsid w:val="008D1415"/>
    <w:rsid w:val="008D179D"/>
    <w:rsid w:val="008D18E1"/>
    <w:rsid w:val="008D2504"/>
    <w:rsid w:val="008D2751"/>
    <w:rsid w:val="008D2BA2"/>
    <w:rsid w:val="008D3ACD"/>
    <w:rsid w:val="008D401A"/>
    <w:rsid w:val="008D4158"/>
    <w:rsid w:val="008D4337"/>
    <w:rsid w:val="008D4522"/>
    <w:rsid w:val="008D51EE"/>
    <w:rsid w:val="008D5212"/>
    <w:rsid w:val="008D5456"/>
    <w:rsid w:val="008D5AAD"/>
    <w:rsid w:val="008D5AFF"/>
    <w:rsid w:val="008D624D"/>
    <w:rsid w:val="008D6893"/>
    <w:rsid w:val="008D6AF9"/>
    <w:rsid w:val="008D6EB2"/>
    <w:rsid w:val="008D711B"/>
    <w:rsid w:val="008D7F1A"/>
    <w:rsid w:val="008E0C93"/>
    <w:rsid w:val="008E0D52"/>
    <w:rsid w:val="008E1183"/>
    <w:rsid w:val="008E1705"/>
    <w:rsid w:val="008E1D02"/>
    <w:rsid w:val="008E262C"/>
    <w:rsid w:val="008E331B"/>
    <w:rsid w:val="008E3335"/>
    <w:rsid w:val="008E38B2"/>
    <w:rsid w:val="008E3A6C"/>
    <w:rsid w:val="008E3F50"/>
    <w:rsid w:val="008E4952"/>
    <w:rsid w:val="008E51E0"/>
    <w:rsid w:val="008E594B"/>
    <w:rsid w:val="008E5AA2"/>
    <w:rsid w:val="008E6080"/>
    <w:rsid w:val="008E66A0"/>
    <w:rsid w:val="008E66D6"/>
    <w:rsid w:val="008E67D3"/>
    <w:rsid w:val="008E6B02"/>
    <w:rsid w:val="008E6E9D"/>
    <w:rsid w:val="008E72F4"/>
    <w:rsid w:val="008F1250"/>
    <w:rsid w:val="008F15E8"/>
    <w:rsid w:val="008F1732"/>
    <w:rsid w:val="008F1913"/>
    <w:rsid w:val="008F201C"/>
    <w:rsid w:val="008F30F5"/>
    <w:rsid w:val="008F3E33"/>
    <w:rsid w:val="008F3EF2"/>
    <w:rsid w:val="008F3FF3"/>
    <w:rsid w:val="008F4476"/>
    <w:rsid w:val="008F44F5"/>
    <w:rsid w:val="008F5143"/>
    <w:rsid w:val="008F63A9"/>
    <w:rsid w:val="008F652B"/>
    <w:rsid w:val="008F6ADE"/>
    <w:rsid w:val="0090001E"/>
    <w:rsid w:val="00900BFE"/>
    <w:rsid w:val="00900FA0"/>
    <w:rsid w:val="00901913"/>
    <w:rsid w:val="00902096"/>
    <w:rsid w:val="009023CD"/>
    <w:rsid w:val="0090323D"/>
    <w:rsid w:val="009034F1"/>
    <w:rsid w:val="00903CD0"/>
    <w:rsid w:val="00903F69"/>
    <w:rsid w:val="009044A7"/>
    <w:rsid w:val="009046DC"/>
    <w:rsid w:val="00905C4E"/>
    <w:rsid w:val="009061E8"/>
    <w:rsid w:val="00906583"/>
    <w:rsid w:val="0090667F"/>
    <w:rsid w:val="00907378"/>
    <w:rsid w:val="00907CD2"/>
    <w:rsid w:val="009106B3"/>
    <w:rsid w:val="00910721"/>
    <w:rsid w:val="00910C22"/>
    <w:rsid w:val="00910DD2"/>
    <w:rsid w:val="00910EF7"/>
    <w:rsid w:val="0091122B"/>
    <w:rsid w:val="00911295"/>
    <w:rsid w:val="00911F4C"/>
    <w:rsid w:val="009123C9"/>
    <w:rsid w:val="00912A87"/>
    <w:rsid w:val="00912B62"/>
    <w:rsid w:val="00912FE5"/>
    <w:rsid w:val="00914154"/>
    <w:rsid w:val="009142CC"/>
    <w:rsid w:val="009145CB"/>
    <w:rsid w:val="00914852"/>
    <w:rsid w:val="00914C59"/>
    <w:rsid w:val="009153BA"/>
    <w:rsid w:val="009153DE"/>
    <w:rsid w:val="009164AF"/>
    <w:rsid w:val="00916AB6"/>
    <w:rsid w:val="00917151"/>
    <w:rsid w:val="009179B1"/>
    <w:rsid w:val="00917CCD"/>
    <w:rsid w:val="0092089F"/>
    <w:rsid w:val="00920A06"/>
    <w:rsid w:val="00920A26"/>
    <w:rsid w:val="009212AE"/>
    <w:rsid w:val="009214D9"/>
    <w:rsid w:val="009226AA"/>
    <w:rsid w:val="009231DF"/>
    <w:rsid w:val="009237A6"/>
    <w:rsid w:val="00923C2F"/>
    <w:rsid w:val="00923D49"/>
    <w:rsid w:val="0092462E"/>
    <w:rsid w:val="00924CDC"/>
    <w:rsid w:val="00924E62"/>
    <w:rsid w:val="00925150"/>
    <w:rsid w:val="009253A3"/>
    <w:rsid w:val="0092594F"/>
    <w:rsid w:val="0092640C"/>
    <w:rsid w:val="00926426"/>
    <w:rsid w:val="00926551"/>
    <w:rsid w:val="00926BBD"/>
    <w:rsid w:val="00926BD9"/>
    <w:rsid w:val="00926E75"/>
    <w:rsid w:val="00926FB0"/>
    <w:rsid w:val="00930677"/>
    <w:rsid w:val="00930890"/>
    <w:rsid w:val="00930C04"/>
    <w:rsid w:val="00931331"/>
    <w:rsid w:val="00931541"/>
    <w:rsid w:val="0093177C"/>
    <w:rsid w:val="00931BAD"/>
    <w:rsid w:val="00931CD8"/>
    <w:rsid w:val="00931E92"/>
    <w:rsid w:val="009338CB"/>
    <w:rsid w:val="009339B4"/>
    <w:rsid w:val="00933B1A"/>
    <w:rsid w:val="00933D53"/>
    <w:rsid w:val="00933E2B"/>
    <w:rsid w:val="00933EEF"/>
    <w:rsid w:val="0093492C"/>
    <w:rsid w:val="00934A70"/>
    <w:rsid w:val="00934CD0"/>
    <w:rsid w:val="00934E94"/>
    <w:rsid w:val="00934F21"/>
    <w:rsid w:val="0093535D"/>
    <w:rsid w:val="009355C7"/>
    <w:rsid w:val="009375CD"/>
    <w:rsid w:val="00937976"/>
    <w:rsid w:val="00937C55"/>
    <w:rsid w:val="00940018"/>
    <w:rsid w:val="009406DE"/>
    <w:rsid w:val="00940763"/>
    <w:rsid w:val="009413B1"/>
    <w:rsid w:val="009416FD"/>
    <w:rsid w:val="00941CF4"/>
    <w:rsid w:val="009424C7"/>
    <w:rsid w:val="009429A3"/>
    <w:rsid w:val="00942AE7"/>
    <w:rsid w:val="00943057"/>
    <w:rsid w:val="00943B6C"/>
    <w:rsid w:val="00943EEA"/>
    <w:rsid w:val="0094494B"/>
    <w:rsid w:val="00944C04"/>
    <w:rsid w:val="009454E6"/>
    <w:rsid w:val="00945F13"/>
    <w:rsid w:val="00946AF9"/>
    <w:rsid w:val="00946F76"/>
    <w:rsid w:val="00947102"/>
    <w:rsid w:val="0094764C"/>
    <w:rsid w:val="00950682"/>
    <w:rsid w:val="00950A64"/>
    <w:rsid w:val="00951184"/>
    <w:rsid w:val="009517FD"/>
    <w:rsid w:val="00953829"/>
    <w:rsid w:val="00953DA7"/>
    <w:rsid w:val="00954309"/>
    <w:rsid w:val="0095433B"/>
    <w:rsid w:val="009558B2"/>
    <w:rsid w:val="00955A1C"/>
    <w:rsid w:val="00955D9E"/>
    <w:rsid w:val="00955EC5"/>
    <w:rsid w:val="009562D1"/>
    <w:rsid w:val="00956B55"/>
    <w:rsid w:val="009570B3"/>
    <w:rsid w:val="00957623"/>
    <w:rsid w:val="009579AD"/>
    <w:rsid w:val="00957DD9"/>
    <w:rsid w:val="0096045E"/>
    <w:rsid w:val="009608DF"/>
    <w:rsid w:val="00961888"/>
    <w:rsid w:val="009618EA"/>
    <w:rsid w:val="00962A30"/>
    <w:rsid w:val="00962C4E"/>
    <w:rsid w:val="00963258"/>
    <w:rsid w:val="0096355A"/>
    <w:rsid w:val="009635C6"/>
    <w:rsid w:val="00964579"/>
    <w:rsid w:val="00965667"/>
    <w:rsid w:val="00965774"/>
    <w:rsid w:val="00966B5C"/>
    <w:rsid w:val="009675C6"/>
    <w:rsid w:val="009676B0"/>
    <w:rsid w:val="00967C1A"/>
    <w:rsid w:val="009706B2"/>
    <w:rsid w:val="009709E7"/>
    <w:rsid w:val="00970D03"/>
    <w:rsid w:val="009717A6"/>
    <w:rsid w:val="00971859"/>
    <w:rsid w:val="00973B69"/>
    <w:rsid w:val="00974792"/>
    <w:rsid w:val="0097486D"/>
    <w:rsid w:val="00975DE7"/>
    <w:rsid w:val="0097702A"/>
    <w:rsid w:val="00977824"/>
    <w:rsid w:val="009778BE"/>
    <w:rsid w:val="0098007C"/>
    <w:rsid w:val="00980CAF"/>
    <w:rsid w:val="00980DE0"/>
    <w:rsid w:val="00980EF6"/>
    <w:rsid w:val="0098234A"/>
    <w:rsid w:val="0098241E"/>
    <w:rsid w:val="009824D1"/>
    <w:rsid w:val="00982968"/>
    <w:rsid w:val="00982B05"/>
    <w:rsid w:val="00982E61"/>
    <w:rsid w:val="00983060"/>
    <w:rsid w:val="00984A91"/>
    <w:rsid w:val="00984E47"/>
    <w:rsid w:val="0098505C"/>
    <w:rsid w:val="00985675"/>
    <w:rsid w:val="009856A0"/>
    <w:rsid w:val="00987AF9"/>
    <w:rsid w:val="00990AF2"/>
    <w:rsid w:val="0099122D"/>
    <w:rsid w:val="0099182D"/>
    <w:rsid w:val="00991FFC"/>
    <w:rsid w:val="0099357D"/>
    <w:rsid w:val="00993D5E"/>
    <w:rsid w:val="009945F0"/>
    <w:rsid w:val="00994C68"/>
    <w:rsid w:val="00995004"/>
    <w:rsid w:val="009950A5"/>
    <w:rsid w:val="009951B8"/>
    <w:rsid w:val="0099522C"/>
    <w:rsid w:val="0099540D"/>
    <w:rsid w:val="009957B7"/>
    <w:rsid w:val="00995FB6"/>
    <w:rsid w:val="009964FF"/>
    <w:rsid w:val="00996744"/>
    <w:rsid w:val="00996D60"/>
    <w:rsid w:val="00996DBB"/>
    <w:rsid w:val="009970D2"/>
    <w:rsid w:val="0099730D"/>
    <w:rsid w:val="00997EF2"/>
    <w:rsid w:val="009A0DDB"/>
    <w:rsid w:val="009A1AFE"/>
    <w:rsid w:val="009A1DF0"/>
    <w:rsid w:val="009A2233"/>
    <w:rsid w:val="009A2435"/>
    <w:rsid w:val="009A28B7"/>
    <w:rsid w:val="009A2A1E"/>
    <w:rsid w:val="009A2D33"/>
    <w:rsid w:val="009A2F3D"/>
    <w:rsid w:val="009A4393"/>
    <w:rsid w:val="009A4A51"/>
    <w:rsid w:val="009A4ECF"/>
    <w:rsid w:val="009A5BA0"/>
    <w:rsid w:val="009A5C88"/>
    <w:rsid w:val="009A5F6C"/>
    <w:rsid w:val="009A5FA1"/>
    <w:rsid w:val="009A60D3"/>
    <w:rsid w:val="009A6222"/>
    <w:rsid w:val="009A7CA9"/>
    <w:rsid w:val="009A7E67"/>
    <w:rsid w:val="009B0B52"/>
    <w:rsid w:val="009B0C10"/>
    <w:rsid w:val="009B0E4C"/>
    <w:rsid w:val="009B0EEC"/>
    <w:rsid w:val="009B181A"/>
    <w:rsid w:val="009B1A44"/>
    <w:rsid w:val="009B1EDC"/>
    <w:rsid w:val="009B2061"/>
    <w:rsid w:val="009B2394"/>
    <w:rsid w:val="009B2D1C"/>
    <w:rsid w:val="009B321B"/>
    <w:rsid w:val="009B3B2E"/>
    <w:rsid w:val="009B3E50"/>
    <w:rsid w:val="009B46DA"/>
    <w:rsid w:val="009B474A"/>
    <w:rsid w:val="009B4C77"/>
    <w:rsid w:val="009B56CF"/>
    <w:rsid w:val="009B59A4"/>
    <w:rsid w:val="009B5A8C"/>
    <w:rsid w:val="009B5E78"/>
    <w:rsid w:val="009B6D9E"/>
    <w:rsid w:val="009B6E55"/>
    <w:rsid w:val="009B72FB"/>
    <w:rsid w:val="009C0679"/>
    <w:rsid w:val="009C0A0E"/>
    <w:rsid w:val="009C10BD"/>
    <w:rsid w:val="009C1605"/>
    <w:rsid w:val="009C1C48"/>
    <w:rsid w:val="009C2994"/>
    <w:rsid w:val="009C2C90"/>
    <w:rsid w:val="009C3329"/>
    <w:rsid w:val="009C42FC"/>
    <w:rsid w:val="009C463A"/>
    <w:rsid w:val="009C4A21"/>
    <w:rsid w:val="009C4A6C"/>
    <w:rsid w:val="009C4B51"/>
    <w:rsid w:val="009C4B98"/>
    <w:rsid w:val="009C4BFD"/>
    <w:rsid w:val="009C524B"/>
    <w:rsid w:val="009C528C"/>
    <w:rsid w:val="009C56ED"/>
    <w:rsid w:val="009C5B2D"/>
    <w:rsid w:val="009C7383"/>
    <w:rsid w:val="009C7579"/>
    <w:rsid w:val="009C7B1A"/>
    <w:rsid w:val="009C7BA4"/>
    <w:rsid w:val="009C7E7B"/>
    <w:rsid w:val="009D0381"/>
    <w:rsid w:val="009D05EC"/>
    <w:rsid w:val="009D073E"/>
    <w:rsid w:val="009D08A3"/>
    <w:rsid w:val="009D0A20"/>
    <w:rsid w:val="009D0C05"/>
    <w:rsid w:val="009D0F76"/>
    <w:rsid w:val="009D0FFF"/>
    <w:rsid w:val="009D1785"/>
    <w:rsid w:val="009D1BA8"/>
    <w:rsid w:val="009D1E35"/>
    <w:rsid w:val="009D1F5D"/>
    <w:rsid w:val="009D2180"/>
    <w:rsid w:val="009D21FD"/>
    <w:rsid w:val="009D241D"/>
    <w:rsid w:val="009D25EF"/>
    <w:rsid w:val="009D2997"/>
    <w:rsid w:val="009D3176"/>
    <w:rsid w:val="009D3906"/>
    <w:rsid w:val="009D3E7A"/>
    <w:rsid w:val="009D3F6A"/>
    <w:rsid w:val="009D4AF7"/>
    <w:rsid w:val="009D4B37"/>
    <w:rsid w:val="009D4BB5"/>
    <w:rsid w:val="009D4DA9"/>
    <w:rsid w:val="009D4F74"/>
    <w:rsid w:val="009D57F6"/>
    <w:rsid w:val="009D5A76"/>
    <w:rsid w:val="009D5FF9"/>
    <w:rsid w:val="009D68F5"/>
    <w:rsid w:val="009D6C57"/>
    <w:rsid w:val="009D77EC"/>
    <w:rsid w:val="009E01A2"/>
    <w:rsid w:val="009E051B"/>
    <w:rsid w:val="009E0741"/>
    <w:rsid w:val="009E0988"/>
    <w:rsid w:val="009E113A"/>
    <w:rsid w:val="009E1B63"/>
    <w:rsid w:val="009E2A59"/>
    <w:rsid w:val="009E3006"/>
    <w:rsid w:val="009E33A3"/>
    <w:rsid w:val="009E350F"/>
    <w:rsid w:val="009E35F3"/>
    <w:rsid w:val="009E378D"/>
    <w:rsid w:val="009E442F"/>
    <w:rsid w:val="009E459A"/>
    <w:rsid w:val="009E5551"/>
    <w:rsid w:val="009E56F0"/>
    <w:rsid w:val="009E5735"/>
    <w:rsid w:val="009E5AAE"/>
    <w:rsid w:val="009E5BD9"/>
    <w:rsid w:val="009E63D2"/>
    <w:rsid w:val="009E64D4"/>
    <w:rsid w:val="009E66E4"/>
    <w:rsid w:val="009F0571"/>
    <w:rsid w:val="009F0728"/>
    <w:rsid w:val="009F0D0D"/>
    <w:rsid w:val="009F1DCC"/>
    <w:rsid w:val="009F280E"/>
    <w:rsid w:val="009F3188"/>
    <w:rsid w:val="009F3A0F"/>
    <w:rsid w:val="009F43DB"/>
    <w:rsid w:val="009F48A0"/>
    <w:rsid w:val="009F5548"/>
    <w:rsid w:val="009F5BBF"/>
    <w:rsid w:val="009F5C78"/>
    <w:rsid w:val="009F5D35"/>
    <w:rsid w:val="009F6448"/>
    <w:rsid w:val="009F653F"/>
    <w:rsid w:val="009F6B0D"/>
    <w:rsid w:val="009F6C85"/>
    <w:rsid w:val="009F72EB"/>
    <w:rsid w:val="009F7425"/>
    <w:rsid w:val="009F777F"/>
    <w:rsid w:val="00A0022D"/>
    <w:rsid w:val="00A02141"/>
    <w:rsid w:val="00A0259A"/>
    <w:rsid w:val="00A02D5D"/>
    <w:rsid w:val="00A02FD4"/>
    <w:rsid w:val="00A03513"/>
    <w:rsid w:val="00A04EE3"/>
    <w:rsid w:val="00A05069"/>
    <w:rsid w:val="00A06428"/>
    <w:rsid w:val="00A0677D"/>
    <w:rsid w:val="00A06D15"/>
    <w:rsid w:val="00A07ADA"/>
    <w:rsid w:val="00A100D3"/>
    <w:rsid w:val="00A10262"/>
    <w:rsid w:val="00A10407"/>
    <w:rsid w:val="00A10714"/>
    <w:rsid w:val="00A10AD6"/>
    <w:rsid w:val="00A10DA1"/>
    <w:rsid w:val="00A110E6"/>
    <w:rsid w:val="00A110FB"/>
    <w:rsid w:val="00A112CF"/>
    <w:rsid w:val="00A11368"/>
    <w:rsid w:val="00A11853"/>
    <w:rsid w:val="00A12B1F"/>
    <w:rsid w:val="00A12FC0"/>
    <w:rsid w:val="00A13FF5"/>
    <w:rsid w:val="00A14627"/>
    <w:rsid w:val="00A14683"/>
    <w:rsid w:val="00A14B16"/>
    <w:rsid w:val="00A14B69"/>
    <w:rsid w:val="00A15044"/>
    <w:rsid w:val="00A15786"/>
    <w:rsid w:val="00A16CBD"/>
    <w:rsid w:val="00A16D47"/>
    <w:rsid w:val="00A16ED7"/>
    <w:rsid w:val="00A170CD"/>
    <w:rsid w:val="00A20492"/>
    <w:rsid w:val="00A2127C"/>
    <w:rsid w:val="00A21CB9"/>
    <w:rsid w:val="00A22A3D"/>
    <w:rsid w:val="00A23365"/>
    <w:rsid w:val="00A23471"/>
    <w:rsid w:val="00A2361F"/>
    <w:rsid w:val="00A23C72"/>
    <w:rsid w:val="00A23CA1"/>
    <w:rsid w:val="00A2455C"/>
    <w:rsid w:val="00A2455D"/>
    <w:rsid w:val="00A246B8"/>
    <w:rsid w:val="00A24F0A"/>
    <w:rsid w:val="00A254A2"/>
    <w:rsid w:val="00A259F5"/>
    <w:rsid w:val="00A25EBA"/>
    <w:rsid w:val="00A25F7C"/>
    <w:rsid w:val="00A26950"/>
    <w:rsid w:val="00A26A6A"/>
    <w:rsid w:val="00A27760"/>
    <w:rsid w:val="00A27AF0"/>
    <w:rsid w:val="00A27E5C"/>
    <w:rsid w:val="00A307E3"/>
    <w:rsid w:val="00A30D3E"/>
    <w:rsid w:val="00A30DAC"/>
    <w:rsid w:val="00A30DDB"/>
    <w:rsid w:val="00A31440"/>
    <w:rsid w:val="00A3223B"/>
    <w:rsid w:val="00A32403"/>
    <w:rsid w:val="00A324A9"/>
    <w:rsid w:val="00A32891"/>
    <w:rsid w:val="00A3322F"/>
    <w:rsid w:val="00A3443D"/>
    <w:rsid w:val="00A348F5"/>
    <w:rsid w:val="00A34B5E"/>
    <w:rsid w:val="00A34DB0"/>
    <w:rsid w:val="00A35125"/>
    <w:rsid w:val="00A3518A"/>
    <w:rsid w:val="00A3531D"/>
    <w:rsid w:val="00A3549F"/>
    <w:rsid w:val="00A376CC"/>
    <w:rsid w:val="00A4056B"/>
    <w:rsid w:val="00A41482"/>
    <w:rsid w:val="00A419DB"/>
    <w:rsid w:val="00A41BE6"/>
    <w:rsid w:val="00A41F19"/>
    <w:rsid w:val="00A420C4"/>
    <w:rsid w:val="00A42845"/>
    <w:rsid w:val="00A428A9"/>
    <w:rsid w:val="00A433BE"/>
    <w:rsid w:val="00A43508"/>
    <w:rsid w:val="00A43642"/>
    <w:rsid w:val="00A43787"/>
    <w:rsid w:val="00A437A2"/>
    <w:rsid w:val="00A4439C"/>
    <w:rsid w:val="00A4474B"/>
    <w:rsid w:val="00A44B98"/>
    <w:rsid w:val="00A44D3A"/>
    <w:rsid w:val="00A45298"/>
    <w:rsid w:val="00A45353"/>
    <w:rsid w:val="00A45379"/>
    <w:rsid w:val="00A45AA2"/>
    <w:rsid w:val="00A469B2"/>
    <w:rsid w:val="00A46A2C"/>
    <w:rsid w:val="00A47193"/>
    <w:rsid w:val="00A4798B"/>
    <w:rsid w:val="00A50361"/>
    <w:rsid w:val="00A50E85"/>
    <w:rsid w:val="00A52C84"/>
    <w:rsid w:val="00A53E15"/>
    <w:rsid w:val="00A540AE"/>
    <w:rsid w:val="00A5441F"/>
    <w:rsid w:val="00A552D1"/>
    <w:rsid w:val="00A5558F"/>
    <w:rsid w:val="00A558CE"/>
    <w:rsid w:val="00A55D00"/>
    <w:rsid w:val="00A55F0D"/>
    <w:rsid w:val="00A5646D"/>
    <w:rsid w:val="00A567ED"/>
    <w:rsid w:val="00A5688F"/>
    <w:rsid w:val="00A56E9F"/>
    <w:rsid w:val="00A577ED"/>
    <w:rsid w:val="00A57AAB"/>
    <w:rsid w:val="00A57B76"/>
    <w:rsid w:val="00A57D5A"/>
    <w:rsid w:val="00A57D71"/>
    <w:rsid w:val="00A60D94"/>
    <w:rsid w:val="00A610D1"/>
    <w:rsid w:val="00A62530"/>
    <w:rsid w:val="00A6324E"/>
    <w:rsid w:val="00A633A8"/>
    <w:rsid w:val="00A63967"/>
    <w:rsid w:val="00A647EC"/>
    <w:rsid w:val="00A64881"/>
    <w:rsid w:val="00A65629"/>
    <w:rsid w:val="00A6565A"/>
    <w:rsid w:val="00A65DC1"/>
    <w:rsid w:val="00A65FA8"/>
    <w:rsid w:val="00A66357"/>
    <w:rsid w:val="00A665C2"/>
    <w:rsid w:val="00A66734"/>
    <w:rsid w:val="00A669BD"/>
    <w:rsid w:val="00A66C95"/>
    <w:rsid w:val="00A66CEB"/>
    <w:rsid w:val="00A66F69"/>
    <w:rsid w:val="00A671B4"/>
    <w:rsid w:val="00A679DA"/>
    <w:rsid w:val="00A70107"/>
    <w:rsid w:val="00A702A5"/>
    <w:rsid w:val="00A70B90"/>
    <w:rsid w:val="00A7227B"/>
    <w:rsid w:val="00A73A16"/>
    <w:rsid w:val="00A7424A"/>
    <w:rsid w:val="00A74257"/>
    <w:rsid w:val="00A7445B"/>
    <w:rsid w:val="00A7506E"/>
    <w:rsid w:val="00A753F9"/>
    <w:rsid w:val="00A75469"/>
    <w:rsid w:val="00A7551D"/>
    <w:rsid w:val="00A7588D"/>
    <w:rsid w:val="00A76966"/>
    <w:rsid w:val="00A76EAA"/>
    <w:rsid w:val="00A77A28"/>
    <w:rsid w:val="00A81899"/>
    <w:rsid w:val="00A83064"/>
    <w:rsid w:val="00A831F2"/>
    <w:rsid w:val="00A8324B"/>
    <w:rsid w:val="00A83615"/>
    <w:rsid w:val="00A8380E"/>
    <w:rsid w:val="00A83C46"/>
    <w:rsid w:val="00A83FEF"/>
    <w:rsid w:val="00A8408C"/>
    <w:rsid w:val="00A844E7"/>
    <w:rsid w:val="00A84A08"/>
    <w:rsid w:val="00A84ED8"/>
    <w:rsid w:val="00A8526D"/>
    <w:rsid w:val="00A85312"/>
    <w:rsid w:val="00A85858"/>
    <w:rsid w:val="00A86266"/>
    <w:rsid w:val="00A863BD"/>
    <w:rsid w:val="00A86BC0"/>
    <w:rsid w:val="00A87DB6"/>
    <w:rsid w:val="00A90EB1"/>
    <w:rsid w:val="00A91BF0"/>
    <w:rsid w:val="00A91DF1"/>
    <w:rsid w:val="00A92661"/>
    <w:rsid w:val="00A92CC3"/>
    <w:rsid w:val="00A93056"/>
    <w:rsid w:val="00A9312E"/>
    <w:rsid w:val="00A9317C"/>
    <w:rsid w:val="00A93524"/>
    <w:rsid w:val="00A94175"/>
    <w:rsid w:val="00A94BAF"/>
    <w:rsid w:val="00A94EBB"/>
    <w:rsid w:val="00A96292"/>
    <w:rsid w:val="00A96EB1"/>
    <w:rsid w:val="00A97BDA"/>
    <w:rsid w:val="00A97CA2"/>
    <w:rsid w:val="00AA09E9"/>
    <w:rsid w:val="00AA1C05"/>
    <w:rsid w:val="00AA1D79"/>
    <w:rsid w:val="00AA2046"/>
    <w:rsid w:val="00AA2978"/>
    <w:rsid w:val="00AA29F9"/>
    <w:rsid w:val="00AA3A49"/>
    <w:rsid w:val="00AA4DAF"/>
    <w:rsid w:val="00AA4DF8"/>
    <w:rsid w:val="00AA4FC9"/>
    <w:rsid w:val="00AA5B3F"/>
    <w:rsid w:val="00AA5D01"/>
    <w:rsid w:val="00AA637D"/>
    <w:rsid w:val="00AA667B"/>
    <w:rsid w:val="00AA68ED"/>
    <w:rsid w:val="00AA6D1A"/>
    <w:rsid w:val="00AA75BA"/>
    <w:rsid w:val="00AB0FAC"/>
    <w:rsid w:val="00AB1924"/>
    <w:rsid w:val="00AB1B86"/>
    <w:rsid w:val="00AB1BC4"/>
    <w:rsid w:val="00AB1F37"/>
    <w:rsid w:val="00AB28C7"/>
    <w:rsid w:val="00AB2A0F"/>
    <w:rsid w:val="00AB3DD4"/>
    <w:rsid w:val="00AB4684"/>
    <w:rsid w:val="00AB496B"/>
    <w:rsid w:val="00AB4A6C"/>
    <w:rsid w:val="00AB4AA7"/>
    <w:rsid w:val="00AB5680"/>
    <w:rsid w:val="00AB5AA9"/>
    <w:rsid w:val="00AB5BC7"/>
    <w:rsid w:val="00AB6643"/>
    <w:rsid w:val="00AB67D6"/>
    <w:rsid w:val="00AB6A37"/>
    <w:rsid w:val="00AB6F89"/>
    <w:rsid w:val="00AB7FF2"/>
    <w:rsid w:val="00AC0EAD"/>
    <w:rsid w:val="00AC161F"/>
    <w:rsid w:val="00AC1A1F"/>
    <w:rsid w:val="00AC22F2"/>
    <w:rsid w:val="00AC27C8"/>
    <w:rsid w:val="00AC31E1"/>
    <w:rsid w:val="00AC38B1"/>
    <w:rsid w:val="00AC41D2"/>
    <w:rsid w:val="00AC4CDD"/>
    <w:rsid w:val="00AC4DD3"/>
    <w:rsid w:val="00AC50DE"/>
    <w:rsid w:val="00AC51ED"/>
    <w:rsid w:val="00AC6AFD"/>
    <w:rsid w:val="00AC6DE7"/>
    <w:rsid w:val="00AC6FCC"/>
    <w:rsid w:val="00AC7467"/>
    <w:rsid w:val="00AC7983"/>
    <w:rsid w:val="00AD05A1"/>
    <w:rsid w:val="00AD0AC8"/>
    <w:rsid w:val="00AD1E17"/>
    <w:rsid w:val="00AD2578"/>
    <w:rsid w:val="00AD29F3"/>
    <w:rsid w:val="00AD34AC"/>
    <w:rsid w:val="00AD3F12"/>
    <w:rsid w:val="00AD3F66"/>
    <w:rsid w:val="00AD497F"/>
    <w:rsid w:val="00AD4CD5"/>
    <w:rsid w:val="00AD523D"/>
    <w:rsid w:val="00AD5F80"/>
    <w:rsid w:val="00AD62D2"/>
    <w:rsid w:val="00AD6568"/>
    <w:rsid w:val="00AD6C0B"/>
    <w:rsid w:val="00AD6C87"/>
    <w:rsid w:val="00AD6CF2"/>
    <w:rsid w:val="00AD74D7"/>
    <w:rsid w:val="00AD799D"/>
    <w:rsid w:val="00ADCCFC"/>
    <w:rsid w:val="00AE0059"/>
    <w:rsid w:val="00AE1376"/>
    <w:rsid w:val="00AE1B16"/>
    <w:rsid w:val="00AE1E53"/>
    <w:rsid w:val="00AE2284"/>
    <w:rsid w:val="00AE2DD5"/>
    <w:rsid w:val="00AE2F9B"/>
    <w:rsid w:val="00AE2FF1"/>
    <w:rsid w:val="00AE3146"/>
    <w:rsid w:val="00AE3827"/>
    <w:rsid w:val="00AE3C89"/>
    <w:rsid w:val="00AE3DEF"/>
    <w:rsid w:val="00AE40B7"/>
    <w:rsid w:val="00AE4667"/>
    <w:rsid w:val="00AE4675"/>
    <w:rsid w:val="00AE4C8B"/>
    <w:rsid w:val="00AE5209"/>
    <w:rsid w:val="00AE6057"/>
    <w:rsid w:val="00AE612A"/>
    <w:rsid w:val="00AE66C9"/>
    <w:rsid w:val="00AE6975"/>
    <w:rsid w:val="00AE7141"/>
    <w:rsid w:val="00AF0075"/>
    <w:rsid w:val="00AF081C"/>
    <w:rsid w:val="00AF1400"/>
    <w:rsid w:val="00AF19AB"/>
    <w:rsid w:val="00AF2AE2"/>
    <w:rsid w:val="00AF3063"/>
    <w:rsid w:val="00AF34CE"/>
    <w:rsid w:val="00AF38B3"/>
    <w:rsid w:val="00AF3913"/>
    <w:rsid w:val="00AF3A72"/>
    <w:rsid w:val="00AF3E7C"/>
    <w:rsid w:val="00AF5285"/>
    <w:rsid w:val="00AF556C"/>
    <w:rsid w:val="00AF62D2"/>
    <w:rsid w:val="00AF71E5"/>
    <w:rsid w:val="00AF7272"/>
    <w:rsid w:val="00AF744C"/>
    <w:rsid w:val="00AF7E31"/>
    <w:rsid w:val="00B00447"/>
    <w:rsid w:val="00B010E2"/>
    <w:rsid w:val="00B01126"/>
    <w:rsid w:val="00B011AB"/>
    <w:rsid w:val="00B03476"/>
    <w:rsid w:val="00B03FBB"/>
    <w:rsid w:val="00B045AD"/>
    <w:rsid w:val="00B04677"/>
    <w:rsid w:val="00B04862"/>
    <w:rsid w:val="00B055B2"/>
    <w:rsid w:val="00B055C5"/>
    <w:rsid w:val="00B05EBC"/>
    <w:rsid w:val="00B060E9"/>
    <w:rsid w:val="00B073BA"/>
    <w:rsid w:val="00B0743D"/>
    <w:rsid w:val="00B0798D"/>
    <w:rsid w:val="00B1042F"/>
    <w:rsid w:val="00B10714"/>
    <w:rsid w:val="00B10A83"/>
    <w:rsid w:val="00B11667"/>
    <w:rsid w:val="00B11C25"/>
    <w:rsid w:val="00B12291"/>
    <w:rsid w:val="00B122A9"/>
    <w:rsid w:val="00B123A3"/>
    <w:rsid w:val="00B1246E"/>
    <w:rsid w:val="00B12D17"/>
    <w:rsid w:val="00B12DD9"/>
    <w:rsid w:val="00B133ED"/>
    <w:rsid w:val="00B13E08"/>
    <w:rsid w:val="00B14073"/>
    <w:rsid w:val="00B142BB"/>
    <w:rsid w:val="00B15530"/>
    <w:rsid w:val="00B156C0"/>
    <w:rsid w:val="00B1598F"/>
    <w:rsid w:val="00B15D50"/>
    <w:rsid w:val="00B164CB"/>
    <w:rsid w:val="00B166B2"/>
    <w:rsid w:val="00B16B30"/>
    <w:rsid w:val="00B17273"/>
    <w:rsid w:val="00B1794F"/>
    <w:rsid w:val="00B17969"/>
    <w:rsid w:val="00B20588"/>
    <w:rsid w:val="00B20C6D"/>
    <w:rsid w:val="00B212AB"/>
    <w:rsid w:val="00B213C5"/>
    <w:rsid w:val="00B222F6"/>
    <w:rsid w:val="00B227FC"/>
    <w:rsid w:val="00B22808"/>
    <w:rsid w:val="00B22EFA"/>
    <w:rsid w:val="00B23014"/>
    <w:rsid w:val="00B2327B"/>
    <w:rsid w:val="00B23816"/>
    <w:rsid w:val="00B23CBF"/>
    <w:rsid w:val="00B2401A"/>
    <w:rsid w:val="00B24116"/>
    <w:rsid w:val="00B24BCC"/>
    <w:rsid w:val="00B254F9"/>
    <w:rsid w:val="00B25747"/>
    <w:rsid w:val="00B25AF0"/>
    <w:rsid w:val="00B25CEB"/>
    <w:rsid w:val="00B26821"/>
    <w:rsid w:val="00B30A16"/>
    <w:rsid w:val="00B32999"/>
    <w:rsid w:val="00B33A23"/>
    <w:rsid w:val="00B33C7B"/>
    <w:rsid w:val="00B34AC9"/>
    <w:rsid w:val="00B34B37"/>
    <w:rsid w:val="00B34C8E"/>
    <w:rsid w:val="00B358CC"/>
    <w:rsid w:val="00B35CD5"/>
    <w:rsid w:val="00B35D56"/>
    <w:rsid w:val="00B35EAE"/>
    <w:rsid w:val="00B35FD4"/>
    <w:rsid w:val="00B36A2C"/>
    <w:rsid w:val="00B36E7D"/>
    <w:rsid w:val="00B37466"/>
    <w:rsid w:val="00B4039A"/>
    <w:rsid w:val="00B4087F"/>
    <w:rsid w:val="00B40DC7"/>
    <w:rsid w:val="00B41357"/>
    <w:rsid w:val="00B414F8"/>
    <w:rsid w:val="00B41734"/>
    <w:rsid w:val="00B4183B"/>
    <w:rsid w:val="00B41B4F"/>
    <w:rsid w:val="00B41B9E"/>
    <w:rsid w:val="00B42194"/>
    <w:rsid w:val="00B42387"/>
    <w:rsid w:val="00B42B77"/>
    <w:rsid w:val="00B43EE0"/>
    <w:rsid w:val="00B44305"/>
    <w:rsid w:val="00B44861"/>
    <w:rsid w:val="00B448BD"/>
    <w:rsid w:val="00B44B93"/>
    <w:rsid w:val="00B46165"/>
    <w:rsid w:val="00B464F0"/>
    <w:rsid w:val="00B468F8"/>
    <w:rsid w:val="00B4717B"/>
    <w:rsid w:val="00B4764E"/>
    <w:rsid w:val="00B5070D"/>
    <w:rsid w:val="00B50D1A"/>
    <w:rsid w:val="00B50F55"/>
    <w:rsid w:val="00B5144B"/>
    <w:rsid w:val="00B51836"/>
    <w:rsid w:val="00B51BDE"/>
    <w:rsid w:val="00B51F03"/>
    <w:rsid w:val="00B52080"/>
    <w:rsid w:val="00B526F4"/>
    <w:rsid w:val="00B5337C"/>
    <w:rsid w:val="00B53814"/>
    <w:rsid w:val="00B53F59"/>
    <w:rsid w:val="00B5441F"/>
    <w:rsid w:val="00B5495B"/>
    <w:rsid w:val="00B54993"/>
    <w:rsid w:val="00B54BC9"/>
    <w:rsid w:val="00B55515"/>
    <w:rsid w:val="00B55C8C"/>
    <w:rsid w:val="00B55F00"/>
    <w:rsid w:val="00B57D2C"/>
    <w:rsid w:val="00B601AA"/>
    <w:rsid w:val="00B60786"/>
    <w:rsid w:val="00B60853"/>
    <w:rsid w:val="00B61C79"/>
    <w:rsid w:val="00B63097"/>
    <w:rsid w:val="00B631FE"/>
    <w:rsid w:val="00B634BD"/>
    <w:rsid w:val="00B63C63"/>
    <w:rsid w:val="00B63CA6"/>
    <w:rsid w:val="00B63CB6"/>
    <w:rsid w:val="00B6447F"/>
    <w:rsid w:val="00B64A93"/>
    <w:rsid w:val="00B64DEF"/>
    <w:rsid w:val="00B64E74"/>
    <w:rsid w:val="00B64F5D"/>
    <w:rsid w:val="00B655A6"/>
    <w:rsid w:val="00B65B5C"/>
    <w:rsid w:val="00B65C09"/>
    <w:rsid w:val="00B661F3"/>
    <w:rsid w:val="00B66970"/>
    <w:rsid w:val="00B66E62"/>
    <w:rsid w:val="00B674A6"/>
    <w:rsid w:val="00B70727"/>
    <w:rsid w:val="00B70A19"/>
    <w:rsid w:val="00B70FDA"/>
    <w:rsid w:val="00B71554"/>
    <w:rsid w:val="00B716C9"/>
    <w:rsid w:val="00B72956"/>
    <w:rsid w:val="00B73DF7"/>
    <w:rsid w:val="00B73E2B"/>
    <w:rsid w:val="00B74E08"/>
    <w:rsid w:val="00B750CC"/>
    <w:rsid w:val="00B75E7E"/>
    <w:rsid w:val="00B76EE8"/>
    <w:rsid w:val="00B76F3C"/>
    <w:rsid w:val="00B77460"/>
    <w:rsid w:val="00B7746B"/>
    <w:rsid w:val="00B8042B"/>
    <w:rsid w:val="00B80C68"/>
    <w:rsid w:val="00B81E4A"/>
    <w:rsid w:val="00B82C28"/>
    <w:rsid w:val="00B83159"/>
    <w:rsid w:val="00B83C52"/>
    <w:rsid w:val="00B83D38"/>
    <w:rsid w:val="00B84242"/>
    <w:rsid w:val="00B84759"/>
    <w:rsid w:val="00B847F1"/>
    <w:rsid w:val="00B85C40"/>
    <w:rsid w:val="00B861FB"/>
    <w:rsid w:val="00B8634C"/>
    <w:rsid w:val="00B8676E"/>
    <w:rsid w:val="00B871F7"/>
    <w:rsid w:val="00B906DE"/>
    <w:rsid w:val="00B90739"/>
    <w:rsid w:val="00B9085D"/>
    <w:rsid w:val="00B921C4"/>
    <w:rsid w:val="00B92D0A"/>
    <w:rsid w:val="00B9594D"/>
    <w:rsid w:val="00B9596F"/>
    <w:rsid w:val="00B95A17"/>
    <w:rsid w:val="00B96083"/>
    <w:rsid w:val="00B9636F"/>
    <w:rsid w:val="00B970A2"/>
    <w:rsid w:val="00B970F7"/>
    <w:rsid w:val="00B97159"/>
    <w:rsid w:val="00B97179"/>
    <w:rsid w:val="00B97249"/>
    <w:rsid w:val="00B97A61"/>
    <w:rsid w:val="00B97D7D"/>
    <w:rsid w:val="00B9D768"/>
    <w:rsid w:val="00BA09D8"/>
    <w:rsid w:val="00BA0E5B"/>
    <w:rsid w:val="00BA1133"/>
    <w:rsid w:val="00BA17EC"/>
    <w:rsid w:val="00BA1D49"/>
    <w:rsid w:val="00BA2362"/>
    <w:rsid w:val="00BA3023"/>
    <w:rsid w:val="00BA310C"/>
    <w:rsid w:val="00BA355B"/>
    <w:rsid w:val="00BA3AE6"/>
    <w:rsid w:val="00BA3FD5"/>
    <w:rsid w:val="00BA4013"/>
    <w:rsid w:val="00BA496E"/>
    <w:rsid w:val="00BA49BD"/>
    <w:rsid w:val="00BA571F"/>
    <w:rsid w:val="00BA5B4E"/>
    <w:rsid w:val="00BA620F"/>
    <w:rsid w:val="00BA657E"/>
    <w:rsid w:val="00BA6FEA"/>
    <w:rsid w:val="00BA73FE"/>
    <w:rsid w:val="00BABD9C"/>
    <w:rsid w:val="00BB16F7"/>
    <w:rsid w:val="00BB1D36"/>
    <w:rsid w:val="00BB206A"/>
    <w:rsid w:val="00BB24FD"/>
    <w:rsid w:val="00BB2E79"/>
    <w:rsid w:val="00BB3369"/>
    <w:rsid w:val="00BB3434"/>
    <w:rsid w:val="00BB3908"/>
    <w:rsid w:val="00BB3B82"/>
    <w:rsid w:val="00BB3F98"/>
    <w:rsid w:val="00BB3FF7"/>
    <w:rsid w:val="00BB4AD0"/>
    <w:rsid w:val="00BB4B48"/>
    <w:rsid w:val="00BB62E3"/>
    <w:rsid w:val="00BB6885"/>
    <w:rsid w:val="00BB6A56"/>
    <w:rsid w:val="00BB6D6C"/>
    <w:rsid w:val="00BB73E7"/>
    <w:rsid w:val="00BB7650"/>
    <w:rsid w:val="00BC0410"/>
    <w:rsid w:val="00BC0521"/>
    <w:rsid w:val="00BC0F64"/>
    <w:rsid w:val="00BC0FA1"/>
    <w:rsid w:val="00BC115E"/>
    <w:rsid w:val="00BC12EB"/>
    <w:rsid w:val="00BC14BD"/>
    <w:rsid w:val="00BC1A07"/>
    <w:rsid w:val="00BC241C"/>
    <w:rsid w:val="00BC2D9C"/>
    <w:rsid w:val="00BC33D7"/>
    <w:rsid w:val="00BC34DC"/>
    <w:rsid w:val="00BC3E6B"/>
    <w:rsid w:val="00BC463F"/>
    <w:rsid w:val="00BC4711"/>
    <w:rsid w:val="00BC4C60"/>
    <w:rsid w:val="00BC5592"/>
    <w:rsid w:val="00BC6289"/>
    <w:rsid w:val="00BC62E8"/>
    <w:rsid w:val="00BC6CF0"/>
    <w:rsid w:val="00BC6F13"/>
    <w:rsid w:val="00BD0080"/>
    <w:rsid w:val="00BD0A28"/>
    <w:rsid w:val="00BD0CE7"/>
    <w:rsid w:val="00BD1390"/>
    <w:rsid w:val="00BD158E"/>
    <w:rsid w:val="00BD1834"/>
    <w:rsid w:val="00BD21F8"/>
    <w:rsid w:val="00BD2DB0"/>
    <w:rsid w:val="00BD39C0"/>
    <w:rsid w:val="00BD42B0"/>
    <w:rsid w:val="00BD42BE"/>
    <w:rsid w:val="00BD47C7"/>
    <w:rsid w:val="00BD4B45"/>
    <w:rsid w:val="00BD6EE7"/>
    <w:rsid w:val="00BD7224"/>
    <w:rsid w:val="00BD7459"/>
    <w:rsid w:val="00BD7475"/>
    <w:rsid w:val="00BD767E"/>
    <w:rsid w:val="00BD790F"/>
    <w:rsid w:val="00BD7D7D"/>
    <w:rsid w:val="00BD7DFE"/>
    <w:rsid w:val="00BE0420"/>
    <w:rsid w:val="00BE0809"/>
    <w:rsid w:val="00BE0C6C"/>
    <w:rsid w:val="00BE2055"/>
    <w:rsid w:val="00BE2B7A"/>
    <w:rsid w:val="00BE2BB2"/>
    <w:rsid w:val="00BE2D66"/>
    <w:rsid w:val="00BE2E56"/>
    <w:rsid w:val="00BE30F7"/>
    <w:rsid w:val="00BE423A"/>
    <w:rsid w:val="00BE4290"/>
    <w:rsid w:val="00BE49EB"/>
    <w:rsid w:val="00BE50A0"/>
    <w:rsid w:val="00BE5E54"/>
    <w:rsid w:val="00BE6AA7"/>
    <w:rsid w:val="00BE6F04"/>
    <w:rsid w:val="00BE736B"/>
    <w:rsid w:val="00BEB0D2"/>
    <w:rsid w:val="00BF0D54"/>
    <w:rsid w:val="00BF0F4C"/>
    <w:rsid w:val="00BF123F"/>
    <w:rsid w:val="00BF1571"/>
    <w:rsid w:val="00BF18E8"/>
    <w:rsid w:val="00BF1EAA"/>
    <w:rsid w:val="00BF2891"/>
    <w:rsid w:val="00BF2C4C"/>
    <w:rsid w:val="00BF2FF9"/>
    <w:rsid w:val="00BF30C4"/>
    <w:rsid w:val="00BF3480"/>
    <w:rsid w:val="00BF39B4"/>
    <w:rsid w:val="00BF57BC"/>
    <w:rsid w:val="00BF5C67"/>
    <w:rsid w:val="00BF5C87"/>
    <w:rsid w:val="00BF610E"/>
    <w:rsid w:val="00BF6B69"/>
    <w:rsid w:val="00C02587"/>
    <w:rsid w:val="00C031A9"/>
    <w:rsid w:val="00C03F77"/>
    <w:rsid w:val="00C041CD"/>
    <w:rsid w:val="00C04671"/>
    <w:rsid w:val="00C05B65"/>
    <w:rsid w:val="00C0613A"/>
    <w:rsid w:val="00C062EE"/>
    <w:rsid w:val="00C064E1"/>
    <w:rsid w:val="00C06961"/>
    <w:rsid w:val="00C06EE9"/>
    <w:rsid w:val="00C076D8"/>
    <w:rsid w:val="00C07FC0"/>
    <w:rsid w:val="00C10820"/>
    <w:rsid w:val="00C10C9F"/>
    <w:rsid w:val="00C10D5C"/>
    <w:rsid w:val="00C1143E"/>
    <w:rsid w:val="00C11CA6"/>
    <w:rsid w:val="00C124BC"/>
    <w:rsid w:val="00C126A4"/>
    <w:rsid w:val="00C1271C"/>
    <w:rsid w:val="00C12BD7"/>
    <w:rsid w:val="00C14131"/>
    <w:rsid w:val="00C141B0"/>
    <w:rsid w:val="00C14FB0"/>
    <w:rsid w:val="00C15A0C"/>
    <w:rsid w:val="00C15E5F"/>
    <w:rsid w:val="00C163A0"/>
    <w:rsid w:val="00C165AA"/>
    <w:rsid w:val="00C17A7B"/>
    <w:rsid w:val="00C17BA6"/>
    <w:rsid w:val="00C2037F"/>
    <w:rsid w:val="00C22120"/>
    <w:rsid w:val="00C221DA"/>
    <w:rsid w:val="00C22712"/>
    <w:rsid w:val="00C22C79"/>
    <w:rsid w:val="00C23803"/>
    <w:rsid w:val="00C23BF2"/>
    <w:rsid w:val="00C23D2A"/>
    <w:rsid w:val="00C23DA8"/>
    <w:rsid w:val="00C24111"/>
    <w:rsid w:val="00C24A94"/>
    <w:rsid w:val="00C255B5"/>
    <w:rsid w:val="00C262AA"/>
    <w:rsid w:val="00C26764"/>
    <w:rsid w:val="00C26814"/>
    <w:rsid w:val="00C2691E"/>
    <w:rsid w:val="00C26EFA"/>
    <w:rsid w:val="00C2750E"/>
    <w:rsid w:val="00C27E1A"/>
    <w:rsid w:val="00C30066"/>
    <w:rsid w:val="00C300B9"/>
    <w:rsid w:val="00C306B1"/>
    <w:rsid w:val="00C3081E"/>
    <w:rsid w:val="00C30B11"/>
    <w:rsid w:val="00C31BAF"/>
    <w:rsid w:val="00C321D1"/>
    <w:rsid w:val="00C3250B"/>
    <w:rsid w:val="00C32CA3"/>
    <w:rsid w:val="00C33A0E"/>
    <w:rsid w:val="00C33E0F"/>
    <w:rsid w:val="00C34679"/>
    <w:rsid w:val="00C349C4"/>
    <w:rsid w:val="00C3617B"/>
    <w:rsid w:val="00C36664"/>
    <w:rsid w:val="00C36A3C"/>
    <w:rsid w:val="00C37F07"/>
    <w:rsid w:val="00C37F9E"/>
    <w:rsid w:val="00C400BF"/>
    <w:rsid w:val="00C404E3"/>
    <w:rsid w:val="00C40754"/>
    <w:rsid w:val="00C413CE"/>
    <w:rsid w:val="00C41888"/>
    <w:rsid w:val="00C42267"/>
    <w:rsid w:val="00C425A7"/>
    <w:rsid w:val="00C434AB"/>
    <w:rsid w:val="00C43E81"/>
    <w:rsid w:val="00C4467B"/>
    <w:rsid w:val="00C446C3"/>
    <w:rsid w:val="00C44713"/>
    <w:rsid w:val="00C44B4C"/>
    <w:rsid w:val="00C45E06"/>
    <w:rsid w:val="00C46355"/>
    <w:rsid w:val="00C470FB"/>
    <w:rsid w:val="00C479F8"/>
    <w:rsid w:val="00C47A88"/>
    <w:rsid w:val="00C47CD5"/>
    <w:rsid w:val="00C47E2A"/>
    <w:rsid w:val="00C49779"/>
    <w:rsid w:val="00C50CBA"/>
    <w:rsid w:val="00C50CC5"/>
    <w:rsid w:val="00C50E47"/>
    <w:rsid w:val="00C51435"/>
    <w:rsid w:val="00C519F8"/>
    <w:rsid w:val="00C51B13"/>
    <w:rsid w:val="00C51E01"/>
    <w:rsid w:val="00C51E7F"/>
    <w:rsid w:val="00C52A03"/>
    <w:rsid w:val="00C53134"/>
    <w:rsid w:val="00C534DA"/>
    <w:rsid w:val="00C538F2"/>
    <w:rsid w:val="00C53B44"/>
    <w:rsid w:val="00C54052"/>
    <w:rsid w:val="00C552FD"/>
    <w:rsid w:val="00C55A37"/>
    <w:rsid w:val="00C55EAC"/>
    <w:rsid w:val="00C5674F"/>
    <w:rsid w:val="00C56DAE"/>
    <w:rsid w:val="00C573B1"/>
    <w:rsid w:val="00C575D0"/>
    <w:rsid w:val="00C608E2"/>
    <w:rsid w:val="00C609F6"/>
    <w:rsid w:val="00C60B60"/>
    <w:rsid w:val="00C6132E"/>
    <w:rsid w:val="00C618B1"/>
    <w:rsid w:val="00C61BB8"/>
    <w:rsid w:val="00C61F04"/>
    <w:rsid w:val="00C62183"/>
    <w:rsid w:val="00C62C0B"/>
    <w:rsid w:val="00C630AF"/>
    <w:rsid w:val="00C63346"/>
    <w:rsid w:val="00C63C0E"/>
    <w:rsid w:val="00C64BA7"/>
    <w:rsid w:val="00C64F3B"/>
    <w:rsid w:val="00C65352"/>
    <w:rsid w:val="00C65927"/>
    <w:rsid w:val="00C65E7E"/>
    <w:rsid w:val="00C66687"/>
    <w:rsid w:val="00C6686D"/>
    <w:rsid w:val="00C67120"/>
    <w:rsid w:val="00C711B6"/>
    <w:rsid w:val="00C71FC1"/>
    <w:rsid w:val="00C731CE"/>
    <w:rsid w:val="00C73BDE"/>
    <w:rsid w:val="00C740D7"/>
    <w:rsid w:val="00C742BF"/>
    <w:rsid w:val="00C77564"/>
    <w:rsid w:val="00C80013"/>
    <w:rsid w:val="00C80959"/>
    <w:rsid w:val="00C80964"/>
    <w:rsid w:val="00C80A23"/>
    <w:rsid w:val="00C817B8"/>
    <w:rsid w:val="00C8197E"/>
    <w:rsid w:val="00C81B98"/>
    <w:rsid w:val="00C81EC9"/>
    <w:rsid w:val="00C835D0"/>
    <w:rsid w:val="00C836A6"/>
    <w:rsid w:val="00C83797"/>
    <w:rsid w:val="00C83E0F"/>
    <w:rsid w:val="00C84236"/>
    <w:rsid w:val="00C852AD"/>
    <w:rsid w:val="00C85355"/>
    <w:rsid w:val="00C854C8"/>
    <w:rsid w:val="00C86281"/>
    <w:rsid w:val="00C86730"/>
    <w:rsid w:val="00C86962"/>
    <w:rsid w:val="00C873CF"/>
    <w:rsid w:val="00C876E9"/>
    <w:rsid w:val="00C87930"/>
    <w:rsid w:val="00C9024A"/>
    <w:rsid w:val="00C9038E"/>
    <w:rsid w:val="00C907DF"/>
    <w:rsid w:val="00C90BF0"/>
    <w:rsid w:val="00C90D8C"/>
    <w:rsid w:val="00C91374"/>
    <w:rsid w:val="00C915A3"/>
    <w:rsid w:val="00C927D1"/>
    <w:rsid w:val="00C930A6"/>
    <w:rsid w:val="00C93B0E"/>
    <w:rsid w:val="00C94C95"/>
    <w:rsid w:val="00C94D5D"/>
    <w:rsid w:val="00C954D7"/>
    <w:rsid w:val="00C964B6"/>
    <w:rsid w:val="00C96A6E"/>
    <w:rsid w:val="00CA053E"/>
    <w:rsid w:val="00CA1BA4"/>
    <w:rsid w:val="00CA228C"/>
    <w:rsid w:val="00CA22E5"/>
    <w:rsid w:val="00CA2DB6"/>
    <w:rsid w:val="00CA2ED0"/>
    <w:rsid w:val="00CA3090"/>
    <w:rsid w:val="00CA347E"/>
    <w:rsid w:val="00CA34E6"/>
    <w:rsid w:val="00CA3825"/>
    <w:rsid w:val="00CA51DF"/>
    <w:rsid w:val="00CA5332"/>
    <w:rsid w:val="00CA60F0"/>
    <w:rsid w:val="00CA61F3"/>
    <w:rsid w:val="00CA6332"/>
    <w:rsid w:val="00CA63AB"/>
    <w:rsid w:val="00CA67D1"/>
    <w:rsid w:val="00CA79CE"/>
    <w:rsid w:val="00CB03B9"/>
    <w:rsid w:val="00CB1465"/>
    <w:rsid w:val="00CB1470"/>
    <w:rsid w:val="00CB1616"/>
    <w:rsid w:val="00CB162D"/>
    <w:rsid w:val="00CB1A14"/>
    <w:rsid w:val="00CB1BDE"/>
    <w:rsid w:val="00CB29DD"/>
    <w:rsid w:val="00CB303B"/>
    <w:rsid w:val="00CB3245"/>
    <w:rsid w:val="00CB3681"/>
    <w:rsid w:val="00CB3A98"/>
    <w:rsid w:val="00CB446A"/>
    <w:rsid w:val="00CB4DF9"/>
    <w:rsid w:val="00CB508D"/>
    <w:rsid w:val="00CB582C"/>
    <w:rsid w:val="00CB5979"/>
    <w:rsid w:val="00CB5B7B"/>
    <w:rsid w:val="00CB6CDA"/>
    <w:rsid w:val="00CB7312"/>
    <w:rsid w:val="00CB7906"/>
    <w:rsid w:val="00CB7A72"/>
    <w:rsid w:val="00CB7C40"/>
    <w:rsid w:val="00CB7F00"/>
    <w:rsid w:val="00CC0211"/>
    <w:rsid w:val="00CC0F1B"/>
    <w:rsid w:val="00CC1222"/>
    <w:rsid w:val="00CC19C0"/>
    <w:rsid w:val="00CC2765"/>
    <w:rsid w:val="00CC2ECB"/>
    <w:rsid w:val="00CC3310"/>
    <w:rsid w:val="00CC36CD"/>
    <w:rsid w:val="00CC44F7"/>
    <w:rsid w:val="00CC4C4C"/>
    <w:rsid w:val="00CC51A8"/>
    <w:rsid w:val="00CC5504"/>
    <w:rsid w:val="00CC59E8"/>
    <w:rsid w:val="00CC63BE"/>
    <w:rsid w:val="00CC6400"/>
    <w:rsid w:val="00CC6777"/>
    <w:rsid w:val="00CC6EE7"/>
    <w:rsid w:val="00CC6FF1"/>
    <w:rsid w:val="00CC73A5"/>
    <w:rsid w:val="00CC74FD"/>
    <w:rsid w:val="00CD02D9"/>
    <w:rsid w:val="00CD06F7"/>
    <w:rsid w:val="00CD0D96"/>
    <w:rsid w:val="00CD0E87"/>
    <w:rsid w:val="00CD185E"/>
    <w:rsid w:val="00CD1A63"/>
    <w:rsid w:val="00CD1B7C"/>
    <w:rsid w:val="00CD20A7"/>
    <w:rsid w:val="00CD220E"/>
    <w:rsid w:val="00CD2922"/>
    <w:rsid w:val="00CD35AF"/>
    <w:rsid w:val="00CD362F"/>
    <w:rsid w:val="00CD427B"/>
    <w:rsid w:val="00CD5322"/>
    <w:rsid w:val="00CD5339"/>
    <w:rsid w:val="00CD562C"/>
    <w:rsid w:val="00CD5834"/>
    <w:rsid w:val="00CD62F2"/>
    <w:rsid w:val="00CD634D"/>
    <w:rsid w:val="00CD64C4"/>
    <w:rsid w:val="00CD67BC"/>
    <w:rsid w:val="00CD6B6E"/>
    <w:rsid w:val="00CD6CC8"/>
    <w:rsid w:val="00CD6CE3"/>
    <w:rsid w:val="00CD7131"/>
    <w:rsid w:val="00CD7870"/>
    <w:rsid w:val="00CD7FA7"/>
    <w:rsid w:val="00CE052D"/>
    <w:rsid w:val="00CE0537"/>
    <w:rsid w:val="00CE13A7"/>
    <w:rsid w:val="00CE1953"/>
    <w:rsid w:val="00CE1E71"/>
    <w:rsid w:val="00CE274F"/>
    <w:rsid w:val="00CE2B64"/>
    <w:rsid w:val="00CE38EB"/>
    <w:rsid w:val="00CE3D49"/>
    <w:rsid w:val="00CE3F15"/>
    <w:rsid w:val="00CE40E0"/>
    <w:rsid w:val="00CE4230"/>
    <w:rsid w:val="00CE4E0A"/>
    <w:rsid w:val="00CE584F"/>
    <w:rsid w:val="00CE58FE"/>
    <w:rsid w:val="00CE603D"/>
    <w:rsid w:val="00CE6738"/>
    <w:rsid w:val="00CE7CB5"/>
    <w:rsid w:val="00CF0128"/>
    <w:rsid w:val="00CF06B9"/>
    <w:rsid w:val="00CF0AE5"/>
    <w:rsid w:val="00CF0B8A"/>
    <w:rsid w:val="00CF1BA1"/>
    <w:rsid w:val="00CF23D2"/>
    <w:rsid w:val="00CF2F90"/>
    <w:rsid w:val="00CF344D"/>
    <w:rsid w:val="00CF3A0E"/>
    <w:rsid w:val="00CF4113"/>
    <w:rsid w:val="00CF4C5A"/>
    <w:rsid w:val="00CF50EB"/>
    <w:rsid w:val="00CF53E2"/>
    <w:rsid w:val="00CF598E"/>
    <w:rsid w:val="00CF6130"/>
    <w:rsid w:val="00CF6E06"/>
    <w:rsid w:val="00CF6F8C"/>
    <w:rsid w:val="00CF7619"/>
    <w:rsid w:val="00CF78A3"/>
    <w:rsid w:val="00D00103"/>
    <w:rsid w:val="00D0185F"/>
    <w:rsid w:val="00D019C5"/>
    <w:rsid w:val="00D01C8A"/>
    <w:rsid w:val="00D0298E"/>
    <w:rsid w:val="00D029F2"/>
    <w:rsid w:val="00D04347"/>
    <w:rsid w:val="00D053F4"/>
    <w:rsid w:val="00D05B32"/>
    <w:rsid w:val="00D05B55"/>
    <w:rsid w:val="00D06936"/>
    <w:rsid w:val="00D069E6"/>
    <w:rsid w:val="00D06E42"/>
    <w:rsid w:val="00D06F12"/>
    <w:rsid w:val="00D06F75"/>
    <w:rsid w:val="00D0733C"/>
    <w:rsid w:val="00D07B57"/>
    <w:rsid w:val="00D100E4"/>
    <w:rsid w:val="00D102D8"/>
    <w:rsid w:val="00D10981"/>
    <w:rsid w:val="00D10B1A"/>
    <w:rsid w:val="00D10BB9"/>
    <w:rsid w:val="00D111EE"/>
    <w:rsid w:val="00D113C7"/>
    <w:rsid w:val="00D115EE"/>
    <w:rsid w:val="00D11604"/>
    <w:rsid w:val="00D11B18"/>
    <w:rsid w:val="00D11D8E"/>
    <w:rsid w:val="00D1227C"/>
    <w:rsid w:val="00D1295A"/>
    <w:rsid w:val="00D12A1F"/>
    <w:rsid w:val="00D12D49"/>
    <w:rsid w:val="00D13147"/>
    <w:rsid w:val="00D139CD"/>
    <w:rsid w:val="00D13BED"/>
    <w:rsid w:val="00D13F75"/>
    <w:rsid w:val="00D143DC"/>
    <w:rsid w:val="00D147E5"/>
    <w:rsid w:val="00D14961"/>
    <w:rsid w:val="00D14B85"/>
    <w:rsid w:val="00D16438"/>
    <w:rsid w:val="00D16A96"/>
    <w:rsid w:val="00D172BA"/>
    <w:rsid w:val="00D1764B"/>
    <w:rsid w:val="00D178D2"/>
    <w:rsid w:val="00D179CF"/>
    <w:rsid w:val="00D20884"/>
    <w:rsid w:val="00D2203A"/>
    <w:rsid w:val="00D22C13"/>
    <w:rsid w:val="00D24276"/>
    <w:rsid w:val="00D2481C"/>
    <w:rsid w:val="00D24991"/>
    <w:rsid w:val="00D24BA1"/>
    <w:rsid w:val="00D25A80"/>
    <w:rsid w:val="00D26043"/>
    <w:rsid w:val="00D260E6"/>
    <w:rsid w:val="00D26A42"/>
    <w:rsid w:val="00D27EAC"/>
    <w:rsid w:val="00D300D2"/>
    <w:rsid w:val="00D303E1"/>
    <w:rsid w:val="00D30C37"/>
    <w:rsid w:val="00D30E5D"/>
    <w:rsid w:val="00D3111D"/>
    <w:rsid w:val="00D31C7F"/>
    <w:rsid w:val="00D31CE1"/>
    <w:rsid w:val="00D3200C"/>
    <w:rsid w:val="00D323B6"/>
    <w:rsid w:val="00D32C53"/>
    <w:rsid w:val="00D33474"/>
    <w:rsid w:val="00D3348B"/>
    <w:rsid w:val="00D3361D"/>
    <w:rsid w:val="00D3367F"/>
    <w:rsid w:val="00D348CC"/>
    <w:rsid w:val="00D35EC8"/>
    <w:rsid w:val="00D37306"/>
    <w:rsid w:val="00D42926"/>
    <w:rsid w:val="00D42AA9"/>
    <w:rsid w:val="00D447BA"/>
    <w:rsid w:val="00D45472"/>
    <w:rsid w:val="00D45503"/>
    <w:rsid w:val="00D45672"/>
    <w:rsid w:val="00D46254"/>
    <w:rsid w:val="00D476A1"/>
    <w:rsid w:val="00D4783C"/>
    <w:rsid w:val="00D501AA"/>
    <w:rsid w:val="00D5098D"/>
    <w:rsid w:val="00D51769"/>
    <w:rsid w:val="00D520F3"/>
    <w:rsid w:val="00D526C4"/>
    <w:rsid w:val="00D528AD"/>
    <w:rsid w:val="00D52910"/>
    <w:rsid w:val="00D530D7"/>
    <w:rsid w:val="00D5373D"/>
    <w:rsid w:val="00D53779"/>
    <w:rsid w:val="00D548C8"/>
    <w:rsid w:val="00D54B75"/>
    <w:rsid w:val="00D54B83"/>
    <w:rsid w:val="00D54F06"/>
    <w:rsid w:val="00D550C1"/>
    <w:rsid w:val="00D55EDF"/>
    <w:rsid w:val="00D56019"/>
    <w:rsid w:val="00D56882"/>
    <w:rsid w:val="00D5730E"/>
    <w:rsid w:val="00D57B45"/>
    <w:rsid w:val="00D57DDD"/>
    <w:rsid w:val="00D57F38"/>
    <w:rsid w:val="00D60149"/>
    <w:rsid w:val="00D60DB9"/>
    <w:rsid w:val="00D6108D"/>
    <w:rsid w:val="00D61790"/>
    <w:rsid w:val="00D617DD"/>
    <w:rsid w:val="00D620FD"/>
    <w:rsid w:val="00D62281"/>
    <w:rsid w:val="00D62943"/>
    <w:rsid w:val="00D62CCC"/>
    <w:rsid w:val="00D62E12"/>
    <w:rsid w:val="00D6359F"/>
    <w:rsid w:val="00D63629"/>
    <w:rsid w:val="00D63BD4"/>
    <w:rsid w:val="00D640A4"/>
    <w:rsid w:val="00D64A70"/>
    <w:rsid w:val="00D65861"/>
    <w:rsid w:val="00D667AF"/>
    <w:rsid w:val="00D668EA"/>
    <w:rsid w:val="00D66F44"/>
    <w:rsid w:val="00D672DA"/>
    <w:rsid w:val="00D67491"/>
    <w:rsid w:val="00D67847"/>
    <w:rsid w:val="00D70602"/>
    <w:rsid w:val="00D71D02"/>
    <w:rsid w:val="00D72D5E"/>
    <w:rsid w:val="00D731FC"/>
    <w:rsid w:val="00D738B1"/>
    <w:rsid w:val="00D746E0"/>
    <w:rsid w:val="00D74D57"/>
    <w:rsid w:val="00D751CB"/>
    <w:rsid w:val="00D76039"/>
    <w:rsid w:val="00D7643A"/>
    <w:rsid w:val="00D764BB"/>
    <w:rsid w:val="00D7652B"/>
    <w:rsid w:val="00D76574"/>
    <w:rsid w:val="00D769D6"/>
    <w:rsid w:val="00D77443"/>
    <w:rsid w:val="00D77DF4"/>
    <w:rsid w:val="00D800D3"/>
    <w:rsid w:val="00D802B5"/>
    <w:rsid w:val="00D808E0"/>
    <w:rsid w:val="00D80C3A"/>
    <w:rsid w:val="00D816AD"/>
    <w:rsid w:val="00D816AE"/>
    <w:rsid w:val="00D81AF9"/>
    <w:rsid w:val="00D82413"/>
    <w:rsid w:val="00D83D6B"/>
    <w:rsid w:val="00D844B3"/>
    <w:rsid w:val="00D84A8C"/>
    <w:rsid w:val="00D84C96"/>
    <w:rsid w:val="00D854B0"/>
    <w:rsid w:val="00D85651"/>
    <w:rsid w:val="00D85E5A"/>
    <w:rsid w:val="00D86117"/>
    <w:rsid w:val="00D8631B"/>
    <w:rsid w:val="00D86CF7"/>
    <w:rsid w:val="00D8745D"/>
    <w:rsid w:val="00D8756C"/>
    <w:rsid w:val="00D87874"/>
    <w:rsid w:val="00D8D145"/>
    <w:rsid w:val="00D90BAC"/>
    <w:rsid w:val="00D912FB"/>
    <w:rsid w:val="00D91511"/>
    <w:rsid w:val="00D916F4"/>
    <w:rsid w:val="00D91A15"/>
    <w:rsid w:val="00D91A89"/>
    <w:rsid w:val="00D91AEE"/>
    <w:rsid w:val="00D926CC"/>
    <w:rsid w:val="00D93CD5"/>
    <w:rsid w:val="00D94F68"/>
    <w:rsid w:val="00D94FAF"/>
    <w:rsid w:val="00D950E4"/>
    <w:rsid w:val="00D9530F"/>
    <w:rsid w:val="00D960B8"/>
    <w:rsid w:val="00D96845"/>
    <w:rsid w:val="00D97083"/>
    <w:rsid w:val="00D97088"/>
    <w:rsid w:val="00D971CC"/>
    <w:rsid w:val="00D97A1E"/>
    <w:rsid w:val="00DA043D"/>
    <w:rsid w:val="00DA04FE"/>
    <w:rsid w:val="00DA0A52"/>
    <w:rsid w:val="00DA14C9"/>
    <w:rsid w:val="00DA1B45"/>
    <w:rsid w:val="00DA2D07"/>
    <w:rsid w:val="00DA3282"/>
    <w:rsid w:val="00DA363F"/>
    <w:rsid w:val="00DA36D7"/>
    <w:rsid w:val="00DA4014"/>
    <w:rsid w:val="00DA43C3"/>
    <w:rsid w:val="00DA4434"/>
    <w:rsid w:val="00DA4E01"/>
    <w:rsid w:val="00DA51BB"/>
    <w:rsid w:val="00DA5459"/>
    <w:rsid w:val="00DA5508"/>
    <w:rsid w:val="00DA5AED"/>
    <w:rsid w:val="00DA6B01"/>
    <w:rsid w:val="00DA71A6"/>
    <w:rsid w:val="00DA759B"/>
    <w:rsid w:val="00DA7720"/>
    <w:rsid w:val="00DA7DD4"/>
    <w:rsid w:val="00DB0498"/>
    <w:rsid w:val="00DB05FE"/>
    <w:rsid w:val="00DB0886"/>
    <w:rsid w:val="00DB0E25"/>
    <w:rsid w:val="00DB114C"/>
    <w:rsid w:val="00DB115C"/>
    <w:rsid w:val="00DB1243"/>
    <w:rsid w:val="00DB1E22"/>
    <w:rsid w:val="00DB22EB"/>
    <w:rsid w:val="00DB2D71"/>
    <w:rsid w:val="00DB3830"/>
    <w:rsid w:val="00DB3BFC"/>
    <w:rsid w:val="00DB3F87"/>
    <w:rsid w:val="00DB44C5"/>
    <w:rsid w:val="00DB5DD5"/>
    <w:rsid w:val="00DB6127"/>
    <w:rsid w:val="00DB6878"/>
    <w:rsid w:val="00DB6C41"/>
    <w:rsid w:val="00DB6FE3"/>
    <w:rsid w:val="00DB736D"/>
    <w:rsid w:val="00DB7528"/>
    <w:rsid w:val="00DB75FF"/>
    <w:rsid w:val="00DC0286"/>
    <w:rsid w:val="00DC101D"/>
    <w:rsid w:val="00DC104C"/>
    <w:rsid w:val="00DC13EE"/>
    <w:rsid w:val="00DC1A25"/>
    <w:rsid w:val="00DC238F"/>
    <w:rsid w:val="00DC2484"/>
    <w:rsid w:val="00DC27E2"/>
    <w:rsid w:val="00DC2D8C"/>
    <w:rsid w:val="00DC35EB"/>
    <w:rsid w:val="00DC3BE2"/>
    <w:rsid w:val="00DC429F"/>
    <w:rsid w:val="00DC4547"/>
    <w:rsid w:val="00DC4A7E"/>
    <w:rsid w:val="00DC5A4A"/>
    <w:rsid w:val="00DC6ED6"/>
    <w:rsid w:val="00DC7093"/>
    <w:rsid w:val="00DC719B"/>
    <w:rsid w:val="00DC71E7"/>
    <w:rsid w:val="00DC7973"/>
    <w:rsid w:val="00DD0239"/>
    <w:rsid w:val="00DD0352"/>
    <w:rsid w:val="00DD0494"/>
    <w:rsid w:val="00DD17C5"/>
    <w:rsid w:val="00DD1B48"/>
    <w:rsid w:val="00DD1E94"/>
    <w:rsid w:val="00DD1EC4"/>
    <w:rsid w:val="00DD2993"/>
    <w:rsid w:val="00DD2AF7"/>
    <w:rsid w:val="00DD381D"/>
    <w:rsid w:val="00DD50E3"/>
    <w:rsid w:val="00DD5A8D"/>
    <w:rsid w:val="00DD68AD"/>
    <w:rsid w:val="00DD6AAD"/>
    <w:rsid w:val="00DD6B6D"/>
    <w:rsid w:val="00DD6DAA"/>
    <w:rsid w:val="00DD6F78"/>
    <w:rsid w:val="00DD6FDA"/>
    <w:rsid w:val="00DD7891"/>
    <w:rsid w:val="00DD7E1F"/>
    <w:rsid w:val="00DE0217"/>
    <w:rsid w:val="00DE085D"/>
    <w:rsid w:val="00DE0E0F"/>
    <w:rsid w:val="00DE1337"/>
    <w:rsid w:val="00DE170F"/>
    <w:rsid w:val="00DE19C3"/>
    <w:rsid w:val="00DE206A"/>
    <w:rsid w:val="00DE281A"/>
    <w:rsid w:val="00DE2839"/>
    <w:rsid w:val="00DE30DD"/>
    <w:rsid w:val="00DE349C"/>
    <w:rsid w:val="00DE49A3"/>
    <w:rsid w:val="00DE4AC2"/>
    <w:rsid w:val="00DE6089"/>
    <w:rsid w:val="00DE621D"/>
    <w:rsid w:val="00DE68FE"/>
    <w:rsid w:val="00DE6ED5"/>
    <w:rsid w:val="00DE72C9"/>
    <w:rsid w:val="00DE73D9"/>
    <w:rsid w:val="00DE7F9C"/>
    <w:rsid w:val="00DF0439"/>
    <w:rsid w:val="00DF1394"/>
    <w:rsid w:val="00DF15AE"/>
    <w:rsid w:val="00DF1A67"/>
    <w:rsid w:val="00DF1E55"/>
    <w:rsid w:val="00DF2338"/>
    <w:rsid w:val="00DF2791"/>
    <w:rsid w:val="00DF2B47"/>
    <w:rsid w:val="00DF2F9B"/>
    <w:rsid w:val="00DF3085"/>
    <w:rsid w:val="00DF481D"/>
    <w:rsid w:val="00DF4A52"/>
    <w:rsid w:val="00DF4AAC"/>
    <w:rsid w:val="00DF575E"/>
    <w:rsid w:val="00DF596B"/>
    <w:rsid w:val="00DF5BA4"/>
    <w:rsid w:val="00DF5BFF"/>
    <w:rsid w:val="00DF62D5"/>
    <w:rsid w:val="00DF64A9"/>
    <w:rsid w:val="00DF65DE"/>
    <w:rsid w:val="00DF6D88"/>
    <w:rsid w:val="00DF6E84"/>
    <w:rsid w:val="00DF7404"/>
    <w:rsid w:val="00DF7551"/>
    <w:rsid w:val="00E00998"/>
    <w:rsid w:val="00E00EE6"/>
    <w:rsid w:val="00E00F28"/>
    <w:rsid w:val="00E012BA"/>
    <w:rsid w:val="00E0133C"/>
    <w:rsid w:val="00E017F9"/>
    <w:rsid w:val="00E01E16"/>
    <w:rsid w:val="00E02273"/>
    <w:rsid w:val="00E02531"/>
    <w:rsid w:val="00E0314B"/>
    <w:rsid w:val="00E0372B"/>
    <w:rsid w:val="00E03F44"/>
    <w:rsid w:val="00E0403E"/>
    <w:rsid w:val="00E04200"/>
    <w:rsid w:val="00E045E8"/>
    <w:rsid w:val="00E047A1"/>
    <w:rsid w:val="00E048B7"/>
    <w:rsid w:val="00E04A28"/>
    <w:rsid w:val="00E05D2E"/>
    <w:rsid w:val="00E05E2E"/>
    <w:rsid w:val="00E06483"/>
    <w:rsid w:val="00E0656F"/>
    <w:rsid w:val="00E06C2B"/>
    <w:rsid w:val="00E07828"/>
    <w:rsid w:val="00E1090A"/>
    <w:rsid w:val="00E10C60"/>
    <w:rsid w:val="00E11134"/>
    <w:rsid w:val="00E11441"/>
    <w:rsid w:val="00E1147A"/>
    <w:rsid w:val="00E116B5"/>
    <w:rsid w:val="00E11A79"/>
    <w:rsid w:val="00E11AE2"/>
    <w:rsid w:val="00E11B6A"/>
    <w:rsid w:val="00E12F9D"/>
    <w:rsid w:val="00E1363B"/>
    <w:rsid w:val="00E13821"/>
    <w:rsid w:val="00E13824"/>
    <w:rsid w:val="00E13960"/>
    <w:rsid w:val="00E13BD9"/>
    <w:rsid w:val="00E13CDB"/>
    <w:rsid w:val="00E14126"/>
    <w:rsid w:val="00E143B2"/>
    <w:rsid w:val="00E146D0"/>
    <w:rsid w:val="00E14A50"/>
    <w:rsid w:val="00E14BB9"/>
    <w:rsid w:val="00E15974"/>
    <w:rsid w:val="00E16AAE"/>
    <w:rsid w:val="00E17E1C"/>
    <w:rsid w:val="00E20971"/>
    <w:rsid w:val="00E20C4C"/>
    <w:rsid w:val="00E20F40"/>
    <w:rsid w:val="00E21771"/>
    <w:rsid w:val="00E21A04"/>
    <w:rsid w:val="00E21D25"/>
    <w:rsid w:val="00E22076"/>
    <w:rsid w:val="00E22452"/>
    <w:rsid w:val="00E225E7"/>
    <w:rsid w:val="00E22B79"/>
    <w:rsid w:val="00E22EB9"/>
    <w:rsid w:val="00E231BF"/>
    <w:rsid w:val="00E23ACB"/>
    <w:rsid w:val="00E23B48"/>
    <w:rsid w:val="00E23E07"/>
    <w:rsid w:val="00E25E49"/>
    <w:rsid w:val="00E26B01"/>
    <w:rsid w:val="00E272E4"/>
    <w:rsid w:val="00E306AD"/>
    <w:rsid w:val="00E30F70"/>
    <w:rsid w:val="00E3117B"/>
    <w:rsid w:val="00E3118E"/>
    <w:rsid w:val="00E32282"/>
    <w:rsid w:val="00E32855"/>
    <w:rsid w:val="00E328E1"/>
    <w:rsid w:val="00E32D65"/>
    <w:rsid w:val="00E33118"/>
    <w:rsid w:val="00E33442"/>
    <w:rsid w:val="00E33B07"/>
    <w:rsid w:val="00E33CE5"/>
    <w:rsid w:val="00E33D8D"/>
    <w:rsid w:val="00E3443A"/>
    <w:rsid w:val="00E34590"/>
    <w:rsid w:val="00E34883"/>
    <w:rsid w:val="00E34B24"/>
    <w:rsid w:val="00E365D5"/>
    <w:rsid w:val="00E36F65"/>
    <w:rsid w:val="00E374A4"/>
    <w:rsid w:val="00E37744"/>
    <w:rsid w:val="00E37C2D"/>
    <w:rsid w:val="00E4140C"/>
    <w:rsid w:val="00E41C71"/>
    <w:rsid w:val="00E433A2"/>
    <w:rsid w:val="00E437DE"/>
    <w:rsid w:val="00E43896"/>
    <w:rsid w:val="00E43C2D"/>
    <w:rsid w:val="00E43EE7"/>
    <w:rsid w:val="00E449DA"/>
    <w:rsid w:val="00E44DB8"/>
    <w:rsid w:val="00E45C12"/>
    <w:rsid w:val="00E4634F"/>
    <w:rsid w:val="00E46712"/>
    <w:rsid w:val="00E50027"/>
    <w:rsid w:val="00E504BE"/>
    <w:rsid w:val="00E504E6"/>
    <w:rsid w:val="00E509BB"/>
    <w:rsid w:val="00E50C84"/>
    <w:rsid w:val="00E50F54"/>
    <w:rsid w:val="00E51B51"/>
    <w:rsid w:val="00E52500"/>
    <w:rsid w:val="00E5432B"/>
    <w:rsid w:val="00E54688"/>
    <w:rsid w:val="00E54C23"/>
    <w:rsid w:val="00E55F3D"/>
    <w:rsid w:val="00E5611E"/>
    <w:rsid w:val="00E56DF6"/>
    <w:rsid w:val="00E56F8D"/>
    <w:rsid w:val="00E57841"/>
    <w:rsid w:val="00E579D0"/>
    <w:rsid w:val="00E57A19"/>
    <w:rsid w:val="00E57BBA"/>
    <w:rsid w:val="00E60367"/>
    <w:rsid w:val="00E60D97"/>
    <w:rsid w:val="00E61183"/>
    <w:rsid w:val="00E61A99"/>
    <w:rsid w:val="00E61AEA"/>
    <w:rsid w:val="00E62731"/>
    <w:rsid w:val="00E6284D"/>
    <w:rsid w:val="00E62D07"/>
    <w:rsid w:val="00E639EA"/>
    <w:rsid w:val="00E644A3"/>
    <w:rsid w:val="00E64A02"/>
    <w:rsid w:val="00E652F4"/>
    <w:rsid w:val="00E655E6"/>
    <w:rsid w:val="00E65ADD"/>
    <w:rsid w:val="00E65C15"/>
    <w:rsid w:val="00E65E3A"/>
    <w:rsid w:val="00E6654F"/>
    <w:rsid w:val="00E66C2C"/>
    <w:rsid w:val="00E66EFA"/>
    <w:rsid w:val="00E66F6D"/>
    <w:rsid w:val="00E670D3"/>
    <w:rsid w:val="00E71456"/>
    <w:rsid w:val="00E715BF"/>
    <w:rsid w:val="00E71DF9"/>
    <w:rsid w:val="00E7229A"/>
    <w:rsid w:val="00E72D5E"/>
    <w:rsid w:val="00E72DCA"/>
    <w:rsid w:val="00E72F41"/>
    <w:rsid w:val="00E73399"/>
    <w:rsid w:val="00E7393A"/>
    <w:rsid w:val="00E73CE3"/>
    <w:rsid w:val="00E74404"/>
    <w:rsid w:val="00E74515"/>
    <w:rsid w:val="00E74758"/>
    <w:rsid w:val="00E7574B"/>
    <w:rsid w:val="00E75ADF"/>
    <w:rsid w:val="00E760DA"/>
    <w:rsid w:val="00E76762"/>
    <w:rsid w:val="00E77C7C"/>
    <w:rsid w:val="00E802E0"/>
    <w:rsid w:val="00E81372"/>
    <w:rsid w:val="00E8216D"/>
    <w:rsid w:val="00E822C7"/>
    <w:rsid w:val="00E8260C"/>
    <w:rsid w:val="00E82DB0"/>
    <w:rsid w:val="00E83577"/>
    <w:rsid w:val="00E8358B"/>
    <w:rsid w:val="00E83E68"/>
    <w:rsid w:val="00E83FAF"/>
    <w:rsid w:val="00E84050"/>
    <w:rsid w:val="00E84424"/>
    <w:rsid w:val="00E844BB"/>
    <w:rsid w:val="00E8454A"/>
    <w:rsid w:val="00E8467F"/>
    <w:rsid w:val="00E848DB"/>
    <w:rsid w:val="00E8582D"/>
    <w:rsid w:val="00E8600E"/>
    <w:rsid w:val="00E866A8"/>
    <w:rsid w:val="00E868BA"/>
    <w:rsid w:val="00E875E5"/>
    <w:rsid w:val="00E878D2"/>
    <w:rsid w:val="00E90702"/>
    <w:rsid w:val="00E91945"/>
    <w:rsid w:val="00E91EA1"/>
    <w:rsid w:val="00E92103"/>
    <w:rsid w:val="00E9227B"/>
    <w:rsid w:val="00E92628"/>
    <w:rsid w:val="00E927AB"/>
    <w:rsid w:val="00E929E5"/>
    <w:rsid w:val="00E92E81"/>
    <w:rsid w:val="00E932A8"/>
    <w:rsid w:val="00E939CD"/>
    <w:rsid w:val="00E94560"/>
    <w:rsid w:val="00E94829"/>
    <w:rsid w:val="00E94AB4"/>
    <w:rsid w:val="00E94AB9"/>
    <w:rsid w:val="00E97210"/>
    <w:rsid w:val="00E975A6"/>
    <w:rsid w:val="00E977EB"/>
    <w:rsid w:val="00EA0345"/>
    <w:rsid w:val="00EA089A"/>
    <w:rsid w:val="00EA0999"/>
    <w:rsid w:val="00EA0AB0"/>
    <w:rsid w:val="00EA0FE0"/>
    <w:rsid w:val="00EA1073"/>
    <w:rsid w:val="00EA1551"/>
    <w:rsid w:val="00EA15A8"/>
    <w:rsid w:val="00EA1AAF"/>
    <w:rsid w:val="00EA1BE6"/>
    <w:rsid w:val="00EA1BF9"/>
    <w:rsid w:val="00EA1D50"/>
    <w:rsid w:val="00EA29D6"/>
    <w:rsid w:val="00EA2A09"/>
    <w:rsid w:val="00EA38A0"/>
    <w:rsid w:val="00EA3C90"/>
    <w:rsid w:val="00EA4285"/>
    <w:rsid w:val="00EA430B"/>
    <w:rsid w:val="00EA4592"/>
    <w:rsid w:val="00EA4748"/>
    <w:rsid w:val="00EA521F"/>
    <w:rsid w:val="00EA551D"/>
    <w:rsid w:val="00EA5F3B"/>
    <w:rsid w:val="00EA71C0"/>
    <w:rsid w:val="00EA7510"/>
    <w:rsid w:val="00EA7817"/>
    <w:rsid w:val="00EA7E52"/>
    <w:rsid w:val="00EB0694"/>
    <w:rsid w:val="00EB0A3D"/>
    <w:rsid w:val="00EB0B9C"/>
    <w:rsid w:val="00EB138C"/>
    <w:rsid w:val="00EB15E9"/>
    <w:rsid w:val="00EB169F"/>
    <w:rsid w:val="00EB25E5"/>
    <w:rsid w:val="00EB28F2"/>
    <w:rsid w:val="00EB3B10"/>
    <w:rsid w:val="00EB58DD"/>
    <w:rsid w:val="00EB6560"/>
    <w:rsid w:val="00EB69B6"/>
    <w:rsid w:val="00EB6DBF"/>
    <w:rsid w:val="00EB7327"/>
    <w:rsid w:val="00EB75BB"/>
    <w:rsid w:val="00EB7D0A"/>
    <w:rsid w:val="00EC0B72"/>
    <w:rsid w:val="00EC0C68"/>
    <w:rsid w:val="00EC14F5"/>
    <w:rsid w:val="00EC1BC3"/>
    <w:rsid w:val="00EC2211"/>
    <w:rsid w:val="00EC250D"/>
    <w:rsid w:val="00EC3D03"/>
    <w:rsid w:val="00EC42E4"/>
    <w:rsid w:val="00EC4623"/>
    <w:rsid w:val="00EC4662"/>
    <w:rsid w:val="00EC7BC3"/>
    <w:rsid w:val="00ED0D0F"/>
    <w:rsid w:val="00ED0D88"/>
    <w:rsid w:val="00ED0DDB"/>
    <w:rsid w:val="00ED13C9"/>
    <w:rsid w:val="00ED1B6A"/>
    <w:rsid w:val="00ED243A"/>
    <w:rsid w:val="00ED2501"/>
    <w:rsid w:val="00ED28E0"/>
    <w:rsid w:val="00ED2CA7"/>
    <w:rsid w:val="00ED324A"/>
    <w:rsid w:val="00ED3B27"/>
    <w:rsid w:val="00ED4A85"/>
    <w:rsid w:val="00ED5C34"/>
    <w:rsid w:val="00ED5D43"/>
    <w:rsid w:val="00ED6160"/>
    <w:rsid w:val="00ED6F30"/>
    <w:rsid w:val="00ED7A41"/>
    <w:rsid w:val="00EE010A"/>
    <w:rsid w:val="00EE0625"/>
    <w:rsid w:val="00EE077A"/>
    <w:rsid w:val="00EE091B"/>
    <w:rsid w:val="00EE166D"/>
    <w:rsid w:val="00EE19A6"/>
    <w:rsid w:val="00EE19E6"/>
    <w:rsid w:val="00EE24C4"/>
    <w:rsid w:val="00EE2C8C"/>
    <w:rsid w:val="00EE3A5C"/>
    <w:rsid w:val="00EE3D87"/>
    <w:rsid w:val="00EE49F1"/>
    <w:rsid w:val="00EE4A5F"/>
    <w:rsid w:val="00EE4F8E"/>
    <w:rsid w:val="00EE52C4"/>
    <w:rsid w:val="00EE6096"/>
    <w:rsid w:val="00EE67FB"/>
    <w:rsid w:val="00EE6E6D"/>
    <w:rsid w:val="00EE725C"/>
    <w:rsid w:val="00EE7A89"/>
    <w:rsid w:val="00EE7BAD"/>
    <w:rsid w:val="00EE7C31"/>
    <w:rsid w:val="00EF0BE7"/>
    <w:rsid w:val="00EF0BF3"/>
    <w:rsid w:val="00EF134F"/>
    <w:rsid w:val="00EF14F3"/>
    <w:rsid w:val="00EF1E12"/>
    <w:rsid w:val="00EF2924"/>
    <w:rsid w:val="00EF3B14"/>
    <w:rsid w:val="00EF45F9"/>
    <w:rsid w:val="00EF526C"/>
    <w:rsid w:val="00EF6852"/>
    <w:rsid w:val="00EF6E94"/>
    <w:rsid w:val="00EF704E"/>
    <w:rsid w:val="00EF71A4"/>
    <w:rsid w:val="00EF73AC"/>
    <w:rsid w:val="00EF784E"/>
    <w:rsid w:val="00EF790A"/>
    <w:rsid w:val="00EF7E09"/>
    <w:rsid w:val="00F013E1"/>
    <w:rsid w:val="00F01802"/>
    <w:rsid w:val="00F0193A"/>
    <w:rsid w:val="00F019A5"/>
    <w:rsid w:val="00F023D4"/>
    <w:rsid w:val="00F02FD4"/>
    <w:rsid w:val="00F031D8"/>
    <w:rsid w:val="00F03552"/>
    <w:rsid w:val="00F039EC"/>
    <w:rsid w:val="00F0411D"/>
    <w:rsid w:val="00F06378"/>
    <w:rsid w:val="00F068C9"/>
    <w:rsid w:val="00F070EC"/>
    <w:rsid w:val="00F07F29"/>
    <w:rsid w:val="00F10382"/>
    <w:rsid w:val="00F1115A"/>
    <w:rsid w:val="00F11A35"/>
    <w:rsid w:val="00F11D64"/>
    <w:rsid w:val="00F12D5D"/>
    <w:rsid w:val="00F12FA5"/>
    <w:rsid w:val="00F13DD8"/>
    <w:rsid w:val="00F1492F"/>
    <w:rsid w:val="00F14953"/>
    <w:rsid w:val="00F14B31"/>
    <w:rsid w:val="00F14B91"/>
    <w:rsid w:val="00F15D2B"/>
    <w:rsid w:val="00F15F81"/>
    <w:rsid w:val="00F1607A"/>
    <w:rsid w:val="00F16547"/>
    <w:rsid w:val="00F16CA6"/>
    <w:rsid w:val="00F1735A"/>
    <w:rsid w:val="00F206E0"/>
    <w:rsid w:val="00F20DB0"/>
    <w:rsid w:val="00F2175F"/>
    <w:rsid w:val="00F219B7"/>
    <w:rsid w:val="00F22253"/>
    <w:rsid w:val="00F223BF"/>
    <w:rsid w:val="00F2302F"/>
    <w:rsid w:val="00F231F2"/>
    <w:rsid w:val="00F23C05"/>
    <w:rsid w:val="00F24475"/>
    <w:rsid w:val="00F244C6"/>
    <w:rsid w:val="00F244D7"/>
    <w:rsid w:val="00F24511"/>
    <w:rsid w:val="00F24C62"/>
    <w:rsid w:val="00F251B5"/>
    <w:rsid w:val="00F2563B"/>
    <w:rsid w:val="00F26859"/>
    <w:rsid w:val="00F2685E"/>
    <w:rsid w:val="00F26BC2"/>
    <w:rsid w:val="00F275CC"/>
    <w:rsid w:val="00F2773A"/>
    <w:rsid w:val="00F3078B"/>
    <w:rsid w:val="00F3133C"/>
    <w:rsid w:val="00F3136A"/>
    <w:rsid w:val="00F3181C"/>
    <w:rsid w:val="00F31B27"/>
    <w:rsid w:val="00F31C41"/>
    <w:rsid w:val="00F31D74"/>
    <w:rsid w:val="00F33121"/>
    <w:rsid w:val="00F33301"/>
    <w:rsid w:val="00F338ED"/>
    <w:rsid w:val="00F33F8B"/>
    <w:rsid w:val="00F3409A"/>
    <w:rsid w:val="00F34E40"/>
    <w:rsid w:val="00F34E47"/>
    <w:rsid w:val="00F3546B"/>
    <w:rsid w:val="00F36591"/>
    <w:rsid w:val="00F37A56"/>
    <w:rsid w:val="00F37F11"/>
    <w:rsid w:val="00F40A09"/>
    <w:rsid w:val="00F40C89"/>
    <w:rsid w:val="00F4158D"/>
    <w:rsid w:val="00F4180E"/>
    <w:rsid w:val="00F41DFC"/>
    <w:rsid w:val="00F420E4"/>
    <w:rsid w:val="00F42244"/>
    <w:rsid w:val="00F42293"/>
    <w:rsid w:val="00F42683"/>
    <w:rsid w:val="00F43356"/>
    <w:rsid w:val="00F4358B"/>
    <w:rsid w:val="00F439E5"/>
    <w:rsid w:val="00F44405"/>
    <w:rsid w:val="00F446F2"/>
    <w:rsid w:val="00F44FE3"/>
    <w:rsid w:val="00F464FB"/>
    <w:rsid w:val="00F46A41"/>
    <w:rsid w:val="00F47FE7"/>
    <w:rsid w:val="00F50A52"/>
    <w:rsid w:val="00F50D0A"/>
    <w:rsid w:val="00F50D7B"/>
    <w:rsid w:val="00F5113C"/>
    <w:rsid w:val="00F51EDB"/>
    <w:rsid w:val="00F52154"/>
    <w:rsid w:val="00F52AF5"/>
    <w:rsid w:val="00F52EF8"/>
    <w:rsid w:val="00F53070"/>
    <w:rsid w:val="00F53E87"/>
    <w:rsid w:val="00F54157"/>
    <w:rsid w:val="00F5415D"/>
    <w:rsid w:val="00F54472"/>
    <w:rsid w:val="00F5465B"/>
    <w:rsid w:val="00F54B40"/>
    <w:rsid w:val="00F557E4"/>
    <w:rsid w:val="00F55811"/>
    <w:rsid w:val="00F55AE8"/>
    <w:rsid w:val="00F56422"/>
    <w:rsid w:val="00F56681"/>
    <w:rsid w:val="00F5673A"/>
    <w:rsid w:val="00F56837"/>
    <w:rsid w:val="00F57132"/>
    <w:rsid w:val="00F576E5"/>
    <w:rsid w:val="00F60163"/>
    <w:rsid w:val="00F605F9"/>
    <w:rsid w:val="00F623AC"/>
    <w:rsid w:val="00F629E7"/>
    <w:rsid w:val="00F633CD"/>
    <w:rsid w:val="00F6384F"/>
    <w:rsid w:val="00F63C15"/>
    <w:rsid w:val="00F6417C"/>
    <w:rsid w:val="00F64193"/>
    <w:rsid w:val="00F64556"/>
    <w:rsid w:val="00F647E3"/>
    <w:rsid w:val="00F64C13"/>
    <w:rsid w:val="00F651B0"/>
    <w:rsid w:val="00F658F1"/>
    <w:rsid w:val="00F66008"/>
    <w:rsid w:val="00F66433"/>
    <w:rsid w:val="00F671D7"/>
    <w:rsid w:val="00F6732F"/>
    <w:rsid w:val="00F700B2"/>
    <w:rsid w:val="00F70208"/>
    <w:rsid w:val="00F71749"/>
    <w:rsid w:val="00F71C67"/>
    <w:rsid w:val="00F7248A"/>
    <w:rsid w:val="00F727FC"/>
    <w:rsid w:val="00F73EEC"/>
    <w:rsid w:val="00F744D9"/>
    <w:rsid w:val="00F7489C"/>
    <w:rsid w:val="00F74B12"/>
    <w:rsid w:val="00F74C02"/>
    <w:rsid w:val="00F752DC"/>
    <w:rsid w:val="00F7551F"/>
    <w:rsid w:val="00F75DF6"/>
    <w:rsid w:val="00F770EA"/>
    <w:rsid w:val="00F771F1"/>
    <w:rsid w:val="00F7D149"/>
    <w:rsid w:val="00F8050B"/>
    <w:rsid w:val="00F80711"/>
    <w:rsid w:val="00F81382"/>
    <w:rsid w:val="00F81642"/>
    <w:rsid w:val="00F816AA"/>
    <w:rsid w:val="00F819AE"/>
    <w:rsid w:val="00F82363"/>
    <w:rsid w:val="00F8237D"/>
    <w:rsid w:val="00F82520"/>
    <w:rsid w:val="00F82C4C"/>
    <w:rsid w:val="00F83679"/>
    <w:rsid w:val="00F837B8"/>
    <w:rsid w:val="00F83DA5"/>
    <w:rsid w:val="00F851DB"/>
    <w:rsid w:val="00F86009"/>
    <w:rsid w:val="00F8662E"/>
    <w:rsid w:val="00F8671B"/>
    <w:rsid w:val="00F873FE"/>
    <w:rsid w:val="00F879AE"/>
    <w:rsid w:val="00F9076C"/>
    <w:rsid w:val="00F9081F"/>
    <w:rsid w:val="00F90AE8"/>
    <w:rsid w:val="00F90ECC"/>
    <w:rsid w:val="00F91012"/>
    <w:rsid w:val="00F91131"/>
    <w:rsid w:val="00F9204E"/>
    <w:rsid w:val="00F92D69"/>
    <w:rsid w:val="00F936BA"/>
    <w:rsid w:val="00F93918"/>
    <w:rsid w:val="00F93A77"/>
    <w:rsid w:val="00F94770"/>
    <w:rsid w:val="00F94A7A"/>
    <w:rsid w:val="00F97316"/>
    <w:rsid w:val="00F97AEA"/>
    <w:rsid w:val="00FA03DB"/>
    <w:rsid w:val="00FA048D"/>
    <w:rsid w:val="00FA084A"/>
    <w:rsid w:val="00FA0A76"/>
    <w:rsid w:val="00FA0DC7"/>
    <w:rsid w:val="00FA0F7B"/>
    <w:rsid w:val="00FA1C54"/>
    <w:rsid w:val="00FA2226"/>
    <w:rsid w:val="00FA27DB"/>
    <w:rsid w:val="00FA3874"/>
    <w:rsid w:val="00FA38E2"/>
    <w:rsid w:val="00FA41FB"/>
    <w:rsid w:val="00FA467E"/>
    <w:rsid w:val="00FA4CF5"/>
    <w:rsid w:val="00FA53DC"/>
    <w:rsid w:val="00FA54DB"/>
    <w:rsid w:val="00FA5E3E"/>
    <w:rsid w:val="00FA6051"/>
    <w:rsid w:val="00FA7C3C"/>
    <w:rsid w:val="00FB1069"/>
    <w:rsid w:val="00FB1189"/>
    <w:rsid w:val="00FB12DD"/>
    <w:rsid w:val="00FB130B"/>
    <w:rsid w:val="00FB153B"/>
    <w:rsid w:val="00FB1575"/>
    <w:rsid w:val="00FB2186"/>
    <w:rsid w:val="00FB2A06"/>
    <w:rsid w:val="00FB38DB"/>
    <w:rsid w:val="00FB3CFD"/>
    <w:rsid w:val="00FB3E03"/>
    <w:rsid w:val="00FB4654"/>
    <w:rsid w:val="00FB4BC7"/>
    <w:rsid w:val="00FB50A3"/>
    <w:rsid w:val="00FB6681"/>
    <w:rsid w:val="00FB739B"/>
    <w:rsid w:val="00FB75ED"/>
    <w:rsid w:val="00FB7D53"/>
    <w:rsid w:val="00FC054E"/>
    <w:rsid w:val="00FC0C17"/>
    <w:rsid w:val="00FC13D9"/>
    <w:rsid w:val="00FC1741"/>
    <w:rsid w:val="00FC1944"/>
    <w:rsid w:val="00FC1B7F"/>
    <w:rsid w:val="00FC290C"/>
    <w:rsid w:val="00FC2C4C"/>
    <w:rsid w:val="00FC2E92"/>
    <w:rsid w:val="00FC32A8"/>
    <w:rsid w:val="00FC3310"/>
    <w:rsid w:val="00FC38A7"/>
    <w:rsid w:val="00FC45FB"/>
    <w:rsid w:val="00FC49BA"/>
    <w:rsid w:val="00FC4A64"/>
    <w:rsid w:val="00FC4C57"/>
    <w:rsid w:val="00FC55A4"/>
    <w:rsid w:val="00FC579D"/>
    <w:rsid w:val="00FC5BDE"/>
    <w:rsid w:val="00FC6826"/>
    <w:rsid w:val="00FC6F79"/>
    <w:rsid w:val="00FC7F33"/>
    <w:rsid w:val="00FC7FA0"/>
    <w:rsid w:val="00FC7FD2"/>
    <w:rsid w:val="00FD0C87"/>
    <w:rsid w:val="00FD1D24"/>
    <w:rsid w:val="00FD1D4D"/>
    <w:rsid w:val="00FD2971"/>
    <w:rsid w:val="00FD33A6"/>
    <w:rsid w:val="00FD3A53"/>
    <w:rsid w:val="00FD4234"/>
    <w:rsid w:val="00FD4E46"/>
    <w:rsid w:val="00FD4F96"/>
    <w:rsid w:val="00FD5344"/>
    <w:rsid w:val="00FD6390"/>
    <w:rsid w:val="00FD6513"/>
    <w:rsid w:val="00FD6645"/>
    <w:rsid w:val="00FD7666"/>
    <w:rsid w:val="00FE08E9"/>
    <w:rsid w:val="00FE0BB7"/>
    <w:rsid w:val="00FE0C00"/>
    <w:rsid w:val="00FE0D93"/>
    <w:rsid w:val="00FE10C4"/>
    <w:rsid w:val="00FE14B7"/>
    <w:rsid w:val="00FE17D1"/>
    <w:rsid w:val="00FE1B8F"/>
    <w:rsid w:val="00FE1EBB"/>
    <w:rsid w:val="00FE23AB"/>
    <w:rsid w:val="00FE25FA"/>
    <w:rsid w:val="00FE27B2"/>
    <w:rsid w:val="00FE2AD3"/>
    <w:rsid w:val="00FE2C78"/>
    <w:rsid w:val="00FE2CC2"/>
    <w:rsid w:val="00FE2FB7"/>
    <w:rsid w:val="00FE30A9"/>
    <w:rsid w:val="00FE42A3"/>
    <w:rsid w:val="00FE4710"/>
    <w:rsid w:val="00FE498A"/>
    <w:rsid w:val="00FE59AF"/>
    <w:rsid w:val="00FE636F"/>
    <w:rsid w:val="00FE655A"/>
    <w:rsid w:val="00FE6730"/>
    <w:rsid w:val="00FE7D90"/>
    <w:rsid w:val="00FE7F0C"/>
    <w:rsid w:val="00FECD4A"/>
    <w:rsid w:val="00FF0272"/>
    <w:rsid w:val="00FF0883"/>
    <w:rsid w:val="00FF0CEE"/>
    <w:rsid w:val="00FF0FB8"/>
    <w:rsid w:val="00FF1878"/>
    <w:rsid w:val="00FF2143"/>
    <w:rsid w:val="00FF2871"/>
    <w:rsid w:val="00FF287A"/>
    <w:rsid w:val="00FF2D7E"/>
    <w:rsid w:val="00FF316D"/>
    <w:rsid w:val="00FF3F2B"/>
    <w:rsid w:val="00FF40EA"/>
    <w:rsid w:val="00FF52C5"/>
    <w:rsid w:val="00FF58B7"/>
    <w:rsid w:val="00FF5B02"/>
    <w:rsid w:val="00FF5B42"/>
    <w:rsid w:val="00FF5F00"/>
    <w:rsid w:val="00FF6C54"/>
    <w:rsid w:val="00FF6D20"/>
    <w:rsid w:val="00FF6F40"/>
    <w:rsid w:val="00FF7219"/>
    <w:rsid w:val="00FF79B7"/>
    <w:rsid w:val="00FF7BBF"/>
    <w:rsid w:val="01318D55"/>
    <w:rsid w:val="016C0D6F"/>
    <w:rsid w:val="0171BEE7"/>
    <w:rsid w:val="017DD1C4"/>
    <w:rsid w:val="0188D820"/>
    <w:rsid w:val="019129FD"/>
    <w:rsid w:val="01ADAE68"/>
    <w:rsid w:val="01C24B1C"/>
    <w:rsid w:val="01CDE4FA"/>
    <w:rsid w:val="01DFF4B2"/>
    <w:rsid w:val="01F4428C"/>
    <w:rsid w:val="01F585A7"/>
    <w:rsid w:val="0230D9A7"/>
    <w:rsid w:val="023ABF6B"/>
    <w:rsid w:val="0245488E"/>
    <w:rsid w:val="02798F3C"/>
    <w:rsid w:val="028029A2"/>
    <w:rsid w:val="02A1A172"/>
    <w:rsid w:val="02B891DE"/>
    <w:rsid w:val="02BB07FC"/>
    <w:rsid w:val="02C8B53F"/>
    <w:rsid w:val="02EB8F94"/>
    <w:rsid w:val="032A5BCF"/>
    <w:rsid w:val="032E825E"/>
    <w:rsid w:val="0331E844"/>
    <w:rsid w:val="033CB7D9"/>
    <w:rsid w:val="0354CFEB"/>
    <w:rsid w:val="0369D1E5"/>
    <w:rsid w:val="0372AF04"/>
    <w:rsid w:val="03B5053E"/>
    <w:rsid w:val="03D6B26E"/>
    <w:rsid w:val="041431FC"/>
    <w:rsid w:val="0418E606"/>
    <w:rsid w:val="0468FEAF"/>
    <w:rsid w:val="047030D1"/>
    <w:rsid w:val="04791C35"/>
    <w:rsid w:val="047BCFC1"/>
    <w:rsid w:val="048B2F20"/>
    <w:rsid w:val="048C662F"/>
    <w:rsid w:val="048EDFAA"/>
    <w:rsid w:val="04AEBBD6"/>
    <w:rsid w:val="04EA9D5E"/>
    <w:rsid w:val="04F78E9D"/>
    <w:rsid w:val="04F7C5C0"/>
    <w:rsid w:val="050BDEB0"/>
    <w:rsid w:val="050F880A"/>
    <w:rsid w:val="05627C11"/>
    <w:rsid w:val="057DD321"/>
    <w:rsid w:val="05821354"/>
    <w:rsid w:val="0594F85D"/>
    <w:rsid w:val="05CFB530"/>
    <w:rsid w:val="05F8FFF3"/>
    <w:rsid w:val="06140F3B"/>
    <w:rsid w:val="063869F6"/>
    <w:rsid w:val="063B5C94"/>
    <w:rsid w:val="063E7B84"/>
    <w:rsid w:val="064F648A"/>
    <w:rsid w:val="06670C25"/>
    <w:rsid w:val="067A1EB8"/>
    <w:rsid w:val="067C94DD"/>
    <w:rsid w:val="067EE72A"/>
    <w:rsid w:val="06A9982E"/>
    <w:rsid w:val="06DD4195"/>
    <w:rsid w:val="06EC0E88"/>
    <w:rsid w:val="06FD019E"/>
    <w:rsid w:val="07121B9E"/>
    <w:rsid w:val="0719FC82"/>
    <w:rsid w:val="072F400A"/>
    <w:rsid w:val="073BC74F"/>
    <w:rsid w:val="076147AC"/>
    <w:rsid w:val="077ADEA9"/>
    <w:rsid w:val="079C6E23"/>
    <w:rsid w:val="07A8CE51"/>
    <w:rsid w:val="07A9CC8B"/>
    <w:rsid w:val="07ADECCA"/>
    <w:rsid w:val="07C1EA54"/>
    <w:rsid w:val="07E34860"/>
    <w:rsid w:val="07F80ABE"/>
    <w:rsid w:val="0818BDFE"/>
    <w:rsid w:val="081F7B99"/>
    <w:rsid w:val="0831B4D9"/>
    <w:rsid w:val="0834B383"/>
    <w:rsid w:val="084459BF"/>
    <w:rsid w:val="0866A97E"/>
    <w:rsid w:val="0892AD9B"/>
    <w:rsid w:val="08999AEC"/>
    <w:rsid w:val="08DFC1CB"/>
    <w:rsid w:val="09022587"/>
    <w:rsid w:val="0914ADF3"/>
    <w:rsid w:val="091CCD4F"/>
    <w:rsid w:val="092E4D19"/>
    <w:rsid w:val="0936DDBE"/>
    <w:rsid w:val="0943960D"/>
    <w:rsid w:val="0945BAB5"/>
    <w:rsid w:val="095E5DE8"/>
    <w:rsid w:val="098D2C0E"/>
    <w:rsid w:val="098E8D30"/>
    <w:rsid w:val="098EA6FF"/>
    <w:rsid w:val="09A4C85E"/>
    <w:rsid w:val="09A58A7E"/>
    <w:rsid w:val="09C96C85"/>
    <w:rsid w:val="09F165F2"/>
    <w:rsid w:val="0A01B091"/>
    <w:rsid w:val="0A034428"/>
    <w:rsid w:val="0A0778A2"/>
    <w:rsid w:val="0A1D74FB"/>
    <w:rsid w:val="0A3A79C7"/>
    <w:rsid w:val="0A3EBA99"/>
    <w:rsid w:val="0A5709BB"/>
    <w:rsid w:val="0A713F62"/>
    <w:rsid w:val="0A7179F3"/>
    <w:rsid w:val="0ADAFF51"/>
    <w:rsid w:val="0AE3A135"/>
    <w:rsid w:val="0AE59973"/>
    <w:rsid w:val="0AF3D30B"/>
    <w:rsid w:val="0AF630EB"/>
    <w:rsid w:val="0B09455B"/>
    <w:rsid w:val="0B289E2E"/>
    <w:rsid w:val="0B4258BD"/>
    <w:rsid w:val="0B5262E5"/>
    <w:rsid w:val="0B572AFC"/>
    <w:rsid w:val="0B58E2C3"/>
    <w:rsid w:val="0B6E2EC1"/>
    <w:rsid w:val="0B98B26C"/>
    <w:rsid w:val="0BB00B3C"/>
    <w:rsid w:val="0BB5CCB8"/>
    <w:rsid w:val="0BE60E4E"/>
    <w:rsid w:val="0BEA98FC"/>
    <w:rsid w:val="0BED14A5"/>
    <w:rsid w:val="0C0DA314"/>
    <w:rsid w:val="0C469F5B"/>
    <w:rsid w:val="0C542D9A"/>
    <w:rsid w:val="0C61FE6E"/>
    <w:rsid w:val="0C87413B"/>
    <w:rsid w:val="0CC3F667"/>
    <w:rsid w:val="0CD2B40D"/>
    <w:rsid w:val="0CE13098"/>
    <w:rsid w:val="0D1C9EE9"/>
    <w:rsid w:val="0D20F724"/>
    <w:rsid w:val="0D42B431"/>
    <w:rsid w:val="0D5EA93E"/>
    <w:rsid w:val="0D72902F"/>
    <w:rsid w:val="0D72D92B"/>
    <w:rsid w:val="0D8C8EAA"/>
    <w:rsid w:val="0D9B4121"/>
    <w:rsid w:val="0DBD22AB"/>
    <w:rsid w:val="0DCA885D"/>
    <w:rsid w:val="0DD63E26"/>
    <w:rsid w:val="0DECAA31"/>
    <w:rsid w:val="0DFBF27C"/>
    <w:rsid w:val="0E035E75"/>
    <w:rsid w:val="0E2F666A"/>
    <w:rsid w:val="0E4A9F18"/>
    <w:rsid w:val="0E696842"/>
    <w:rsid w:val="0E852BFC"/>
    <w:rsid w:val="0E95BC2A"/>
    <w:rsid w:val="0EBE8ACC"/>
    <w:rsid w:val="0ED2AF8F"/>
    <w:rsid w:val="0F1659A1"/>
    <w:rsid w:val="0F3147C7"/>
    <w:rsid w:val="0F4EC3F8"/>
    <w:rsid w:val="0F5013AB"/>
    <w:rsid w:val="0F5A1764"/>
    <w:rsid w:val="0F5A86A3"/>
    <w:rsid w:val="0F5EBECC"/>
    <w:rsid w:val="0F7B4CCF"/>
    <w:rsid w:val="0F879A10"/>
    <w:rsid w:val="0F8DC12E"/>
    <w:rsid w:val="0FADD9F7"/>
    <w:rsid w:val="0FAF8A18"/>
    <w:rsid w:val="0FB3481F"/>
    <w:rsid w:val="0FC52601"/>
    <w:rsid w:val="0FCA331F"/>
    <w:rsid w:val="0FD418E3"/>
    <w:rsid w:val="0FD72CE0"/>
    <w:rsid w:val="100ADA57"/>
    <w:rsid w:val="103A0F6E"/>
    <w:rsid w:val="10486B34"/>
    <w:rsid w:val="104D525D"/>
    <w:rsid w:val="104FF318"/>
    <w:rsid w:val="10A7A28A"/>
    <w:rsid w:val="10EB1906"/>
    <w:rsid w:val="11130B36"/>
    <w:rsid w:val="1119642A"/>
    <w:rsid w:val="112733AF"/>
    <w:rsid w:val="1174350A"/>
    <w:rsid w:val="11762B5F"/>
    <w:rsid w:val="117886DF"/>
    <w:rsid w:val="117F2BDD"/>
    <w:rsid w:val="117F7525"/>
    <w:rsid w:val="118A1DC4"/>
    <w:rsid w:val="11974230"/>
    <w:rsid w:val="119BEAA7"/>
    <w:rsid w:val="11A71BE5"/>
    <w:rsid w:val="11C07674"/>
    <w:rsid w:val="11D0DB1B"/>
    <w:rsid w:val="11E71CC1"/>
    <w:rsid w:val="11F14179"/>
    <w:rsid w:val="11F9D722"/>
    <w:rsid w:val="11FEF57F"/>
    <w:rsid w:val="122EAC3F"/>
    <w:rsid w:val="123129A7"/>
    <w:rsid w:val="1257A1CB"/>
    <w:rsid w:val="12850543"/>
    <w:rsid w:val="12936C40"/>
    <w:rsid w:val="1297A3D6"/>
    <w:rsid w:val="12ACBBCE"/>
    <w:rsid w:val="12B48BC0"/>
    <w:rsid w:val="12C0864C"/>
    <w:rsid w:val="12D2CAC4"/>
    <w:rsid w:val="13188E33"/>
    <w:rsid w:val="1325315D"/>
    <w:rsid w:val="134F9E8A"/>
    <w:rsid w:val="1367D411"/>
    <w:rsid w:val="1387B064"/>
    <w:rsid w:val="1388DEB5"/>
    <w:rsid w:val="13B1B8EA"/>
    <w:rsid w:val="13CB5BD9"/>
    <w:rsid w:val="13DB787C"/>
    <w:rsid w:val="13E76D40"/>
    <w:rsid w:val="13F21CF1"/>
    <w:rsid w:val="140F887F"/>
    <w:rsid w:val="1413F920"/>
    <w:rsid w:val="1425BB84"/>
    <w:rsid w:val="14569531"/>
    <w:rsid w:val="14632A8F"/>
    <w:rsid w:val="14673AAB"/>
    <w:rsid w:val="146F5519"/>
    <w:rsid w:val="147EB855"/>
    <w:rsid w:val="148E8568"/>
    <w:rsid w:val="149D1F18"/>
    <w:rsid w:val="14AFDC33"/>
    <w:rsid w:val="14EFF999"/>
    <w:rsid w:val="14FFA0D9"/>
    <w:rsid w:val="15015334"/>
    <w:rsid w:val="1504C91E"/>
    <w:rsid w:val="150B8973"/>
    <w:rsid w:val="150EB0A1"/>
    <w:rsid w:val="1513423D"/>
    <w:rsid w:val="15186C6D"/>
    <w:rsid w:val="15712E88"/>
    <w:rsid w:val="15CC22D8"/>
    <w:rsid w:val="16184033"/>
    <w:rsid w:val="1626EB54"/>
    <w:rsid w:val="164CC758"/>
    <w:rsid w:val="166A28A0"/>
    <w:rsid w:val="166F1D52"/>
    <w:rsid w:val="16784E3E"/>
    <w:rsid w:val="167C46EA"/>
    <w:rsid w:val="16812022"/>
    <w:rsid w:val="168279EF"/>
    <w:rsid w:val="1686793E"/>
    <w:rsid w:val="16997642"/>
    <w:rsid w:val="16A73B2F"/>
    <w:rsid w:val="16D5D711"/>
    <w:rsid w:val="16E1DC0C"/>
    <w:rsid w:val="16F3412F"/>
    <w:rsid w:val="16F7516A"/>
    <w:rsid w:val="171C22EE"/>
    <w:rsid w:val="175AA175"/>
    <w:rsid w:val="176BD591"/>
    <w:rsid w:val="17757C94"/>
    <w:rsid w:val="177965CF"/>
    <w:rsid w:val="178ACF6E"/>
    <w:rsid w:val="178F59AC"/>
    <w:rsid w:val="17F3450C"/>
    <w:rsid w:val="18387A81"/>
    <w:rsid w:val="183A3ED1"/>
    <w:rsid w:val="18530446"/>
    <w:rsid w:val="188D6FD6"/>
    <w:rsid w:val="18BD522E"/>
    <w:rsid w:val="18CD482A"/>
    <w:rsid w:val="18DB5BD3"/>
    <w:rsid w:val="18DDDFA2"/>
    <w:rsid w:val="18E4880E"/>
    <w:rsid w:val="18F81005"/>
    <w:rsid w:val="1908A76F"/>
    <w:rsid w:val="19231708"/>
    <w:rsid w:val="194AAB5E"/>
    <w:rsid w:val="1953F1F4"/>
    <w:rsid w:val="196ACEBF"/>
    <w:rsid w:val="19727726"/>
    <w:rsid w:val="198A8D2C"/>
    <w:rsid w:val="1991F877"/>
    <w:rsid w:val="1998D938"/>
    <w:rsid w:val="19A1C3CB"/>
    <w:rsid w:val="19A77381"/>
    <w:rsid w:val="19B25415"/>
    <w:rsid w:val="19B48B0B"/>
    <w:rsid w:val="19BB4EA7"/>
    <w:rsid w:val="19D6BC95"/>
    <w:rsid w:val="19E57A04"/>
    <w:rsid w:val="19E814AE"/>
    <w:rsid w:val="1A01407B"/>
    <w:rsid w:val="1A134CC4"/>
    <w:rsid w:val="1A21A7D1"/>
    <w:rsid w:val="1A33BCF5"/>
    <w:rsid w:val="1A3E4673"/>
    <w:rsid w:val="1A405332"/>
    <w:rsid w:val="1A4F4F19"/>
    <w:rsid w:val="1A54405A"/>
    <w:rsid w:val="1A5BBCDD"/>
    <w:rsid w:val="1A5D8345"/>
    <w:rsid w:val="1A5DB51B"/>
    <w:rsid w:val="1A808848"/>
    <w:rsid w:val="1A946590"/>
    <w:rsid w:val="1A9C0B55"/>
    <w:rsid w:val="1AA6A819"/>
    <w:rsid w:val="1AC661A7"/>
    <w:rsid w:val="1AC833F6"/>
    <w:rsid w:val="1ACD90CB"/>
    <w:rsid w:val="1ADA26C8"/>
    <w:rsid w:val="1AEE72E2"/>
    <w:rsid w:val="1AF1FE63"/>
    <w:rsid w:val="1B053178"/>
    <w:rsid w:val="1B082069"/>
    <w:rsid w:val="1B290171"/>
    <w:rsid w:val="1B34FC19"/>
    <w:rsid w:val="1B61E997"/>
    <w:rsid w:val="1B7A47AB"/>
    <w:rsid w:val="1B82288F"/>
    <w:rsid w:val="1B8A7237"/>
    <w:rsid w:val="1B98B696"/>
    <w:rsid w:val="1BAD71B7"/>
    <w:rsid w:val="1BC18594"/>
    <w:rsid w:val="1BC9A4F0"/>
    <w:rsid w:val="1BD5719F"/>
    <w:rsid w:val="1BE75541"/>
    <w:rsid w:val="1BE774B5"/>
    <w:rsid w:val="1C14902C"/>
    <w:rsid w:val="1C15C1D6"/>
    <w:rsid w:val="1C1A8B02"/>
    <w:rsid w:val="1C1E55DD"/>
    <w:rsid w:val="1C204423"/>
    <w:rsid w:val="1C47A8E5"/>
    <w:rsid w:val="1C4CE809"/>
    <w:rsid w:val="1C564307"/>
    <w:rsid w:val="1C769EA5"/>
    <w:rsid w:val="1C83030C"/>
    <w:rsid w:val="1C865486"/>
    <w:rsid w:val="1CCCE34A"/>
    <w:rsid w:val="1CD024FE"/>
    <w:rsid w:val="1CD3F3A8"/>
    <w:rsid w:val="1CD4584F"/>
    <w:rsid w:val="1CD75C48"/>
    <w:rsid w:val="1CEFA64F"/>
    <w:rsid w:val="1CFDEBCE"/>
    <w:rsid w:val="1D0207B7"/>
    <w:rsid w:val="1D135585"/>
    <w:rsid w:val="1D1F9FA5"/>
    <w:rsid w:val="1D50B6B4"/>
    <w:rsid w:val="1DB810AA"/>
    <w:rsid w:val="1DC2B901"/>
    <w:rsid w:val="1DCB0B58"/>
    <w:rsid w:val="1DD0A812"/>
    <w:rsid w:val="1DE2D0CF"/>
    <w:rsid w:val="1DE77863"/>
    <w:rsid w:val="1DF1AEC1"/>
    <w:rsid w:val="1E031C69"/>
    <w:rsid w:val="1E113012"/>
    <w:rsid w:val="1E1F768C"/>
    <w:rsid w:val="1E25B995"/>
    <w:rsid w:val="1E2BC939"/>
    <w:rsid w:val="1E33B153"/>
    <w:rsid w:val="1E37C074"/>
    <w:rsid w:val="1E397EF1"/>
    <w:rsid w:val="1E6A78F3"/>
    <w:rsid w:val="1E70869B"/>
    <w:rsid w:val="1E7260A1"/>
    <w:rsid w:val="1E9BC8C7"/>
    <w:rsid w:val="1EA3648C"/>
    <w:rsid w:val="1EB7DCBA"/>
    <w:rsid w:val="1EC398EA"/>
    <w:rsid w:val="1ECAEDFD"/>
    <w:rsid w:val="1ED53779"/>
    <w:rsid w:val="1EFA6E46"/>
    <w:rsid w:val="1F09CC6F"/>
    <w:rsid w:val="1F329803"/>
    <w:rsid w:val="1F32ECA6"/>
    <w:rsid w:val="1F5FB757"/>
    <w:rsid w:val="1FB0CF1D"/>
    <w:rsid w:val="1FB0DDBE"/>
    <w:rsid w:val="1FB5D42D"/>
    <w:rsid w:val="1FC327D1"/>
    <w:rsid w:val="1FCEEBFF"/>
    <w:rsid w:val="1FD5F69C"/>
    <w:rsid w:val="1FE78C74"/>
    <w:rsid w:val="200977FC"/>
    <w:rsid w:val="201D79EA"/>
    <w:rsid w:val="202CD0D8"/>
    <w:rsid w:val="20311841"/>
    <w:rsid w:val="20373F82"/>
    <w:rsid w:val="205940F3"/>
    <w:rsid w:val="2060CDB0"/>
    <w:rsid w:val="206485F5"/>
    <w:rsid w:val="20652AC7"/>
    <w:rsid w:val="208F3FD3"/>
    <w:rsid w:val="20B11371"/>
    <w:rsid w:val="20D85CC9"/>
    <w:rsid w:val="20E099EE"/>
    <w:rsid w:val="20E9B569"/>
    <w:rsid w:val="2114FFCC"/>
    <w:rsid w:val="2117E842"/>
    <w:rsid w:val="2120AE90"/>
    <w:rsid w:val="21241922"/>
    <w:rsid w:val="212436D2"/>
    <w:rsid w:val="213F3AC7"/>
    <w:rsid w:val="21432BDE"/>
    <w:rsid w:val="2198C84B"/>
    <w:rsid w:val="219EF574"/>
    <w:rsid w:val="21B08EE7"/>
    <w:rsid w:val="21B8E73D"/>
    <w:rsid w:val="21B92161"/>
    <w:rsid w:val="21BAC545"/>
    <w:rsid w:val="21BD5F93"/>
    <w:rsid w:val="21C718ED"/>
    <w:rsid w:val="21C9C01D"/>
    <w:rsid w:val="21D28BE1"/>
    <w:rsid w:val="21D3E336"/>
    <w:rsid w:val="21EA83BD"/>
    <w:rsid w:val="222B4A34"/>
    <w:rsid w:val="2265D95E"/>
    <w:rsid w:val="227D8372"/>
    <w:rsid w:val="2293ABC1"/>
    <w:rsid w:val="22982262"/>
    <w:rsid w:val="22AFAB36"/>
    <w:rsid w:val="22B4C0A9"/>
    <w:rsid w:val="22C6D220"/>
    <w:rsid w:val="22D11EB4"/>
    <w:rsid w:val="22E43DEF"/>
    <w:rsid w:val="22E71B9F"/>
    <w:rsid w:val="22FE9D78"/>
    <w:rsid w:val="23106FC7"/>
    <w:rsid w:val="2313F6F6"/>
    <w:rsid w:val="234E8898"/>
    <w:rsid w:val="237C5AFB"/>
    <w:rsid w:val="23A12D8E"/>
    <w:rsid w:val="23A69F3F"/>
    <w:rsid w:val="23A9B28C"/>
    <w:rsid w:val="23C02A15"/>
    <w:rsid w:val="23DC00FC"/>
    <w:rsid w:val="23E7411F"/>
    <w:rsid w:val="23FC3044"/>
    <w:rsid w:val="23FD9B4E"/>
    <w:rsid w:val="2418A70D"/>
    <w:rsid w:val="2418E476"/>
    <w:rsid w:val="242B091E"/>
    <w:rsid w:val="243E5A14"/>
    <w:rsid w:val="243E8BEA"/>
    <w:rsid w:val="24405252"/>
    <w:rsid w:val="2456B828"/>
    <w:rsid w:val="247161CE"/>
    <w:rsid w:val="2476585D"/>
    <w:rsid w:val="2489470F"/>
    <w:rsid w:val="24CAE240"/>
    <w:rsid w:val="24DE2A53"/>
    <w:rsid w:val="24E3D98B"/>
    <w:rsid w:val="24FA5C52"/>
    <w:rsid w:val="25127ED0"/>
    <w:rsid w:val="25245BB7"/>
    <w:rsid w:val="25313587"/>
    <w:rsid w:val="25675FD4"/>
    <w:rsid w:val="258905CD"/>
    <w:rsid w:val="2592EB91"/>
    <w:rsid w:val="259EE679"/>
    <w:rsid w:val="25D3A06F"/>
    <w:rsid w:val="25E0B7F9"/>
    <w:rsid w:val="25F5EEDF"/>
    <w:rsid w:val="25FC3B7C"/>
    <w:rsid w:val="260978F5"/>
    <w:rsid w:val="2611D709"/>
    <w:rsid w:val="26179980"/>
    <w:rsid w:val="26A9CDF8"/>
    <w:rsid w:val="26B96D82"/>
    <w:rsid w:val="26D63F39"/>
    <w:rsid w:val="26E6D0A6"/>
    <w:rsid w:val="27003D27"/>
    <w:rsid w:val="2741FBE7"/>
    <w:rsid w:val="274D4124"/>
    <w:rsid w:val="276F3059"/>
    <w:rsid w:val="2783AB97"/>
    <w:rsid w:val="278D82BA"/>
    <w:rsid w:val="27A07A30"/>
    <w:rsid w:val="27A7C06F"/>
    <w:rsid w:val="27C2C0C5"/>
    <w:rsid w:val="27C85BA8"/>
    <w:rsid w:val="27D331E4"/>
    <w:rsid w:val="27DC6B54"/>
    <w:rsid w:val="27E69040"/>
    <w:rsid w:val="28088193"/>
    <w:rsid w:val="2832F325"/>
    <w:rsid w:val="28729A8C"/>
    <w:rsid w:val="287409F3"/>
    <w:rsid w:val="28975482"/>
    <w:rsid w:val="28BCFCF1"/>
    <w:rsid w:val="28CABF24"/>
    <w:rsid w:val="28E38C77"/>
    <w:rsid w:val="28E994D1"/>
    <w:rsid w:val="28EED968"/>
    <w:rsid w:val="2907C203"/>
    <w:rsid w:val="290BA419"/>
    <w:rsid w:val="291CE882"/>
    <w:rsid w:val="294B5EB6"/>
    <w:rsid w:val="296A3463"/>
    <w:rsid w:val="297A32A4"/>
    <w:rsid w:val="298F7571"/>
    <w:rsid w:val="29A2652F"/>
    <w:rsid w:val="29B31CC9"/>
    <w:rsid w:val="29D24151"/>
    <w:rsid w:val="29E5A737"/>
    <w:rsid w:val="29EAC79E"/>
    <w:rsid w:val="2A0805E9"/>
    <w:rsid w:val="2A0C4BC5"/>
    <w:rsid w:val="2A29534B"/>
    <w:rsid w:val="2A31F4C1"/>
    <w:rsid w:val="2A4258DB"/>
    <w:rsid w:val="2A44AAEF"/>
    <w:rsid w:val="2A564D68"/>
    <w:rsid w:val="2A60854D"/>
    <w:rsid w:val="2A833E58"/>
    <w:rsid w:val="2A83B2F6"/>
    <w:rsid w:val="2AB8BAE4"/>
    <w:rsid w:val="2AB8F018"/>
    <w:rsid w:val="2ABB7089"/>
    <w:rsid w:val="2ABB7D0F"/>
    <w:rsid w:val="2AC23B06"/>
    <w:rsid w:val="2AE0C1F7"/>
    <w:rsid w:val="2B0B8813"/>
    <w:rsid w:val="2B175E5F"/>
    <w:rsid w:val="2B195E53"/>
    <w:rsid w:val="2B1F8327"/>
    <w:rsid w:val="2B2AC5AF"/>
    <w:rsid w:val="2B31C6FF"/>
    <w:rsid w:val="2B4C5022"/>
    <w:rsid w:val="2B54868C"/>
    <w:rsid w:val="2B58593F"/>
    <w:rsid w:val="2B7108C9"/>
    <w:rsid w:val="2B87543F"/>
    <w:rsid w:val="2B949E2F"/>
    <w:rsid w:val="2BBA0EF8"/>
    <w:rsid w:val="2BC59CF0"/>
    <w:rsid w:val="2BCB4F37"/>
    <w:rsid w:val="2BD00AA4"/>
    <w:rsid w:val="2BDF012B"/>
    <w:rsid w:val="2BFF4CC5"/>
    <w:rsid w:val="2C209D90"/>
    <w:rsid w:val="2C338B4D"/>
    <w:rsid w:val="2C513A8F"/>
    <w:rsid w:val="2C54D306"/>
    <w:rsid w:val="2C6DB2A7"/>
    <w:rsid w:val="2C81ED6E"/>
    <w:rsid w:val="2C8B08E9"/>
    <w:rsid w:val="2CA03B9A"/>
    <w:rsid w:val="2CA30637"/>
    <w:rsid w:val="2CA4FC53"/>
    <w:rsid w:val="2CA6F2D2"/>
    <w:rsid w:val="2CADB168"/>
    <w:rsid w:val="2CCBF7E2"/>
    <w:rsid w:val="2CE1E640"/>
    <w:rsid w:val="2D0A1A67"/>
    <w:rsid w:val="2D12EC73"/>
    <w:rsid w:val="2D191A14"/>
    <w:rsid w:val="2D26F5C2"/>
    <w:rsid w:val="2D2E9E7D"/>
    <w:rsid w:val="2D3B5C9D"/>
    <w:rsid w:val="2D4355AE"/>
    <w:rsid w:val="2D5935D0"/>
    <w:rsid w:val="2D5AAC6C"/>
    <w:rsid w:val="2D7B167F"/>
    <w:rsid w:val="2D8782B0"/>
    <w:rsid w:val="2D8A46F6"/>
    <w:rsid w:val="2D9A1266"/>
    <w:rsid w:val="2DA3FFDE"/>
    <w:rsid w:val="2DBC6CBD"/>
    <w:rsid w:val="2DDC5354"/>
    <w:rsid w:val="2DF793D3"/>
    <w:rsid w:val="2E1667C1"/>
    <w:rsid w:val="2E2117CE"/>
    <w:rsid w:val="2E25DD2B"/>
    <w:rsid w:val="2E277281"/>
    <w:rsid w:val="2E2AE70B"/>
    <w:rsid w:val="2E3B0979"/>
    <w:rsid w:val="2E40D7DB"/>
    <w:rsid w:val="2E5601DB"/>
    <w:rsid w:val="2E821929"/>
    <w:rsid w:val="2E90F4FD"/>
    <w:rsid w:val="2EA4BD54"/>
    <w:rsid w:val="2EB99AA3"/>
    <w:rsid w:val="2EE873BC"/>
    <w:rsid w:val="2EECFA61"/>
    <w:rsid w:val="2EEDD130"/>
    <w:rsid w:val="2EFADD83"/>
    <w:rsid w:val="2F01EE72"/>
    <w:rsid w:val="2F253901"/>
    <w:rsid w:val="2F2962B5"/>
    <w:rsid w:val="2F596C0E"/>
    <w:rsid w:val="2F763312"/>
    <w:rsid w:val="2F7AA179"/>
    <w:rsid w:val="2F7D80E6"/>
    <w:rsid w:val="2F947D39"/>
    <w:rsid w:val="2FB34421"/>
    <w:rsid w:val="2FC375B3"/>
    <w:rsid w:val="2FC6C69C"/>
    <w:rsid w:val="2FE001AC"/>
    <w:rsid w:val="2FF7DC74"/>
    <w:rsid w:val="30189CB9"/>
    <w:rsid w:val="302C807F"/>
    <w:rsid w:val="30336F2C"/>
    <w:rsid w:val="30388F93"/>
    <w:rsid w:val="30515191"/>
    <w:rsid w:val="305CA4E1"/>
    <w:rsid w:val="30664A7C"/>
    <w:rsid w:val="30683F2D"/>
    <w:rsid w:val="30703C27"/>
    <w:rsid w:val="30A225F0"/>
    <w:rsid w:val="30B61CE7"/>
    <w:rsid w:val="30B9E625"/>
    <w:rsid w:val="30FA01CC"/>
    <w:rsid w:val="313B105A"/>
    <w:rsid w:val="3140B390"/>
    <w:rsid w:val="31580047"/>
    <w:rsid w:val="3158EC3F"/>
    <w:rsid w:val="316F2025"/>
    <w:rsid w:val="3172AA3B"/>
    <w:rsid w:val="31760E76"/>
    <w:rsid w:val="3187B106"/>
    <w:rsid w:val="3190EA4E"/>
    <w:rsid w:val="319566DD"/>
    <w:rsid w:val="31F28023"/>
    <w:rsid w:val="31F9A2C1"/>
    <w:rsid w:val="31FCC9EF"/>
    <w:rsid w:val="3201F4EE"/>
    <w:rsid w:val="3254353D"/>
    <w:rsid w:val="325B176A"/>
    <w:rsid w:val="326C9678"/>
    <w:rsid w:val="326D8F70"/>
    <w:rsid w:val="327583E8"/>
    <w:rsid w:val="32890FA6"/>
    <w:rsid w:val="32AB83A5"/>
    <w:rsid w:val="32B64A5F"/>
    <w:rsid w:val="32BDCCE9"/>
    <w:rsid w:val="32E4E0B6"/>
    <w:rsid w:val="32E79756"/>
    <w:rsid w:val="32EFB146"/>
    <w:rsid w:val="332D6F0D"/>
    <w:rsid w:val="333D7AF4"/>
    <w:rsid w:val="33493A27"/>
    <w:rsid w:val="33530718"/>
    <w:rsid w:val="335CF0AB"/>
    <w:rsid w:val="3364CCE5"/>
    <w:rsid w:val="3370A9D8"/>
    <w:rsid w:val="33833DEB"/>
    <w:rsid w:val="33835D62"/>
    <w:rsid w:val="33843B54"/>
    <w:rsid w:val="3386FAD2"/>
    <w:rsid w:val="33A2FC98"/>
    <w:rsid w:val="33AA79F1"/>
    <w:rsid w:val="33BB42CF"/>
    <w:rsid w:val="342196A7"/>
    <w:rsid w:val="342756C7"/>
    <w:rsid w:val="34373234"/>
    <w:rsid w:val="3465889E"/>
    <w:rsid w:val="346789B5"/>
    <w:rsid w:val="34789475"/>
    <w:rsid w:val="3491EEA8"/>
    <w:rsid w:val="34A3BF38"/>
    <w:rsid w:val="34B20C01"/>
    <w:rsid w:val="34B91C0D"/>
    <w:rsid w:val="34D77D0F"/>
    <w:rsid w:val="34F90136"/>
    <w:rsid w:val="350B0FDF"/>
    <w:rsid w:val="351F7134"/>
    <w:rsid w:val="3527C520"/>
    <w:rsid w:val="35319C43"/>
    <w:rsid w:val="35331DCC"/>
    <w:rsid w:val="353C2FFE"/>
    <w:rsid w:val="353E283C"/>
    <w:rsid w:val="35798223"/>
    <w:rsid w:val="359DB2E6"/>
    <w:rsid w:val="36142FEA"/>
    <w:rsid w:val="3619F1C2"/>
    <w:rsid w:val="36244687"/>
    <w:rsid w:val="36348FC1"/>
    <w:rsid w:val="3636414D"/>
    <w:rsid w:val="3666FD10"/>
    <w:rsid w:val="36865947"/>
    <w:rsid w:val="36878837"/>
    <w:rsid w:val="36925B79"/>
    <w:rsid w:val="36988F79"/>
    <w:rsid w:val="36ACEF34"/>
    <w:rsid w:val="36B69019"/>
    <w:rsid w:val="36B7BDFC"/>
    <w:rsid w:val="36BB9B1D"/>
    <w:rsid w:val="36CE56B5"/>
    <w:rsid w:val="36D7246B"/>
    <w:rsid w:val="36E05230"/>
    <w:rsid w:val="36F5E381"/>
    <w:rsid w:val="37170301"/>
    <w:rsid w:val="37172C09"/>
    <w:rsid w:val="3728A27F"/>
    <w:rsid w:val="372B52B8"/>
    <w:rsid w:val="372ECED5"/>
    <w:rsid w:val="375063AF"/>
    <w:rsid w:val="3774A5E5"/>
    <w:rsid w:val="37789C91"/>
    <w:rsid w:val="3799C0C0"/>
    <w:rsid w:val="37A0590B"/>
    <w:rsid w:val="37BD7E97"/>
    <w:rsid w:val="37D5AAD5"/>
    <w:rsid w:val="37E08CB8"/>
    <w:rsid w:val="37E6D70B"/>
    <w:rsid w:val="37E9ACC3"/>
    <w:rsid w:val="37F8695D"/>
    <w:rsid w:val="3808036D"/>
    <w:rsid w:val="380996A8"/>
    <w:rsid w:val="381E9331"/>
    <w:rsid w:val="387C8794"/>
    <w:rsid w:val="3894A6F0"/>
    <w:rsid w:val="38AFF3F5"/>
    <w:rsid w:val="38C119DC"/>
    <w:rsid w:val="38C8D396"/>
    <w:rsid w:val="38E646E4"/>
    <w:rsid w:val="3917A367"/>
    <w:rsid w:val="391F7929"/>
    <w:rsid w:val="394C0598"/>
    <w:rsid w:val="3951CAF2"/>
    <w:rsid w:val="395BDFA9"/>
    <w:rsid w:val="395E9F76"/>
    <w:rsid w:val="39689191"/>
    <w:rsid w:val="396C1BA7"/>
    <w:rsid w:val="3979015B"/>
    <w:rsid w:val="39A5D26D"/>
    <w:rsid w:val="39B4CFED"/>
    <w:rsid w:val="39C5E4D5"/>
    <w:rsid w:val="39D34420"/>
    <w:rsid w:val="39D48FF6"/>
    <w:rsid w:val="39D52850"/>
    <w:rsid w:val="39DEA790"/>
    <w:rsid w:val="39F44626"/>
    <w:rsid w:val="3A1B7F23"/>
    <w:rsid w:val="3A374B6E"/>
    <w:rsid w:val="3A380DD6"/>
    <w:rsid w:val="3A3C2F64"/>
    <w:rsid w:val="3A495ACF"/>
    <w:rsid w:val="3A4B5FAF"/>
    <w:rsid w:val="3A4F3B3B"/>
    <w:rsid w:val="3A820F19"/>
    <w:rsid w:val="3A844C86"/>
    <w:rsid w:val="3A93CF42"/>
    <w:rsid w:val="3A962A68"/>
    <w:rsid w:val="3A9A8B8C"/>
    <w:rsid w:val="3ADF0080"/>
    <w:rsid w:val="3AE88A3F"/>
    <w:rsid w:val="3AEA339C"/>
    <w:rsid w:val="3AFE6053"/>
    <w:rsid w:val="3B02E287"/>
    <w:rsid w:val="3B18D714"/>
    <w:rsid w:val="3B5522D6"/>
    <w:rsid w:val="3B5A5341"/>
    <w:rsid w:val="3B6713CA"/>
    <w:rsid w:val="3B6FFB54"/>
    <w:rsid w:val="3B797D91"/>
    <w:rsid w:val="3B79AEA3"/>
    <w:rsid w:val="3B8B09FD"/>
    <w:rsid w:val="3B949665"/>
    <w:rsid w:val="3BCE3FF0"/>
    <w:rsid w:val="3BED245D"/>
    <w:rsid w:val="3C35854F"/>
    <w:rsid w:val="3C3E15D8"/>
    <w:rsid w:val="3C511BAE"/>
    <w:rsid w:val="3C57A23D"/>
    <w:rsid w:val="3C5839B5"/>
    <w:rsid w:val="3C75CCD3"/>
    <w:rsid w:val="3C81AB62"/>
    <w:rsid w:val="3C83D830"/>
    <w:rsid w:val="3C906C6E"/>
    <w:rsid w:val="3CA4BB42"/>
    <w:rsid w:val="3CB3AB56"/>
    <w:rsid w:val="3CD7486A"/>
    <w:rsid w:val="3CE2194E"/>
    <w:rsid w:val="3CE959DF"/>
    <w:rsid w:val="3CF79309"/>
    <w:rsid w:val="3D01DB81"/>
    <w:rsid w:val="3D09514B"/>
    <w:rsid w:val="3D163604"/>
    <w:rsid w:val="3D34C058"/>
    <w:rsid w:val="3D402CCC"/>
    <w:rsid w:val="3D40DC0D"/>
    <w:rsid w:val="3D4B210C"/>
    <w:rsid w:val="3D4F772A"/>
    <w:rsid w:val="3D50F695"/>
    <w:rsid w:val="3D671BF4"/>
    <w:rsid w:val="3D6A7248"/>
    <w:rsid w:val="3D6C1571"/>
    <w:rsid w:val="3D7D70CB"/>
    <w:rsid w:val="3D9DD850"/>
    <w:rsid w:val="3DA92A6D"/>
    <w:rsid w:val="3DDF683D"/>
    <w:rsid w:val="3DEB86B2"/>
    <w:rsid w:val="3E02A950"/>
    <w:rsid w:val="3E03F903"/>
    <w:rsid w:val="3E10FD70"/>
    <w:rsid w:val="3E4990B2"/>
    <w:rsid w:val="3E4F340A"/>
    <w:rsid w:val="3E6308AB"/>
    <w:rsid w:val="3E767AA8"/>
    <w:rsid w:val="3E93C652"/>
    <w:rsid w:val="3E9419A6"/>
    <w:rsid w:val="3E9472A6"/>
    <w:rsid w:val="3E969371"/>
    <w:rsid w:val="3E9A5217"/>
    <w:rsid w:val="3E9D66F7"/>
    <w:rsid w:val="3EF91CBC"/>
    <w:rsid w:val="3F029395"/>
    <w:rsid w:val="3F0A4168"/>
    <w:rsid w:val="3F109CA6"/>
    <w:rsid w:val="3F139B9B"/>
    <w:rsid w:val="3F18C69A"/>
    <w:rsid w:val="3F268B87"/>
    <w:rsid w:val="3F3667FB"/>
    <w:rsid w:val="3F4134D9"/>
    <w:rsid w:val="3F742303"/>
    <w:rsid w:val="3F902224"/>
    <w:rsid w:val="3FAE6A41"/>
    <w:rsid w:val="3FB030A9"/>
    <w:rsid w:val="3FBAADE5"/>
    <w:rsid w:val="3FD86A8D"/>
    <w:rsid w:val="3FE8DC16"/>
    <w:rsid w:val="400B1601"/>
    <w:rsid w:val="401AF745"/>
    <w:rsid w:val="40260AFE"/>
    <w:rsid w:val="4029724F"/>
    <w:rsid w:val="404392C2"/>
    <w:rsid w:val="40615A31"/>
    <w:rsid w:val="4074F249"/>
    <w:rsid w:val="4077E557"/>
    <w:rsid w:val="408FFAA2"/>
    <w:rsid w:val="40A2104E"/>
    <w:rsid w:val="40DAA411"/>
    <w:rsid w:val="40EAE488"/>
    <w:rsid w:val="4105391B"/>
    <w:rsid w:val="410AEEB0"/>
    <w:rsid w:val="412E4621"/>
    <w:rsid w:val="413E8ECF"/>
    <w:rsid w:val="41482AEA"/>
    <w:rsid w:val="4151CCCA"/>
    <w:rsid w:val="416ED45A"/>
    <w:rsid w:val="417780E0"/>
    <w:rsid w:val="417B8EE1"/>
    <w:rsid w:val="4193AD9E"/>
    <w:rsid w:val="41C8A48D"/>
    <w:rsid w:val="41CE6704"/>
    <w:rsid w:val="41E8F027"/>
    <w:rsid w:val="41E98743"/>
    <w:rsid w:val="41FDC425"/>
    <w:rsid w:val="4209F2C1"/>
    <w:rsid w:val="421C2DC9"/>
    <w:rsid w:val="422CE9FC"/>
    <w:rsid w:val="422E396F"/>
    <w:rsid w:val="4237FEB0"/>
    <w:rsid w:val="425F44F2"/>
    <w:rsid w:val="4270A29B"/>
    <w:rsid w:val="42914478"/>
    <w:rsid w:val="42922E44"/>
    <w:rsid w:val="4296C1CB"/>
    <w:rsid w:val="42A16E23"/>
    <w:rsid w:val="42A8698B"/>
    <w:rsid w:val="42D5AF65"/>
    <w:rsid w:val="42DEE5EF"/>
    <w:rsid w:val="42E63DD4"/>
    <w:rsid w:val="430094C5"/>
    <w:rsid w:val="431828EC"/>
    <w:rsid w:val="433810A3"/>
    <w:rsid w:val="43512E53"/>
    <w:rsid w:val="437225AF"/>
    <w:rsid w:val="437C6274"/>
    <w:rsid w:val="438685F5"/>
    <w:rsid w:val="438AA287"/>
    <w:rsid w:val="43ACC5DC"/>
    <w:rsid w:val="43B546D8"/>
    <w:rsid w:val="43B71C9E"/>
    <w:rsid w:val="440C131D"/>
    <w:rsid w:val="4429A6C8"/>
    <w:rsid w:val="445EB7BF"/>
    <w:rsid w:val="449CBD47"/>
    <w:rsid w:val="449F3BEA"/>
    <w:rsid w:val="44AADF91"/>
    <w:rsid w:val="451CB55D"/>
    <w:rsid w:val="4559DBAC"/>
    <w:rsid w:val="4574990F"/>
    <w:rsid w:val="4575BE4B"/>
    <w:rsid w:val="457A7F0B"/>
    <w:rsid w:val="4593DD9C"/>
    <w:rsid w:val="45A2C5D1"/>
    <w:rsid w:val="45B24319"/>
    <w:rsid w:val="45B2E4D5"/>
    <w:rsid w:val="45BA0812"/>
    <w:rsid w:val="45E7555F"/>
    <w:rsid w:val="45F85E60"/>
    <w:rsid w:val="45F868F8"/>
    <w:rsid w:val="4616BB59"/>
    <w:rsid w:val="4662A2B4"/>
    <w:rsid w:val="46689701"/>
    <w:rsid w:val="46904D99"/>
    <w:rsid w:val="4696CDB7"/>
    <w:rsid w:val="469D05E8"/>
    <w:rsid w:val="46AA49DC"/>
    <w:rsid w:val="46B7D85B"/>
    <w:rsid w:val="46D85885"/>
    <w:rsid w:val="46EDBF26"/>
    <w:rsid w:val="47089AFE"/>
    <w:rsid w:val="47212BE3"/>
    <w:rsid w:val="4733E720"/>
    <w:rsid w:val="473AB8E7"/>
    <w:rsid w:val="473C9DF4"/>
    <w:rsid w:val="47491B4C"/>
    <w:rsid w:val="475333E1"/>
    <w:rsid w:val="47734BAF"/>
    <w:rsid w:val="4792CFBA"/>
    <w:rsid w:val="4793AC25"/>
    <w:rsid w:val="47B9EF44"/>
    <w:rsid w:val="47CFE1FC"/>
    <w:rsid w:val="47F22793"/>
    <w:rsid w:val="4809876D"/>
    <w:rsid w:val="48117613"/>
    <w:rsid w:val="4814A61A"/>
    <w:rsid w:val="48192227"/>
    <w:rsid w:val="4832C7DA"/>
    <w:rsid w:val="483ABD74"/>
    <w:rsid w:val="483B9269"/>
    <w:rsid w:val="4842D522"/>
    <w:rsid w:val="484CBA0F"/>
    <w:rsid w:val="486193D8"/>
    <w:rsid w:val="48929F77"/>
    <w:rsid w:val="489B321B"/>
    <w:rsid w:val="48A675EB"/>
    <w:rsid w:val="48C3AE38"/>
    <w:rsid w:val="48C91D1B"/>
    <w:rsid w:val="48CE5401"/>
    <w:rsid w:val="48F6BDFC"/>
    <w:rsid w:val="491E1A85"/>
    <w:rsid w:val="4932CE00"/>
    <w:rsid w:val="493CE3DB"/>
    <w:rsid w:val="493DAFE3"/>
    <w:rsid w:val="49522E27"/>
    <w:rsid w:val="4953B72A"/>
    <w:rsid w:val="4958F6AE"/>
    <w:rsid w:val="495CFCA4"/>
    <w:rsid w:val="496DDE89"/>
    <w:rsid w:val="496E92C8"/>
    <w:rsid w:val="49767CE7"/>
    <w:rsid w:val="49B7C27A"/>
    <w:rsid w:val="4A42BFCF"/>
    <w:rsid w:val="4A750645"/>
    <w:rsid w:val="4A874D83"/>
    <w:rsid w:val="4AA20586"/>
    <w:rsid w:val="4AAC6EB5"/>
    <w:rsid w:val="4ADA9B27"/>
    <w:rsid w:val="4ADBFBED"/>
    <w:rsid w:val="4AF20D20"/>
    <w:rsid w:val="4AFFC809"/>
    <w:rsid w:val="4B04B59F"/>
    <w:rsid w:val="4B122FD1"/>
    <w:rsid w:val="4B123963"/>
    <w:rsid w:val="4B30DCF1"/>
    <w:rsid w:val="4B4AC994"/>
    <w:rsid w:val="4B4F6223"/>
    <w:rsid w:val="4B5EF95F"/>
    <w:rsid w:val="4B7D9D36"/>
    <w:rsid w:val="4BADDFAF"/>
    <w:rsid w:val="4BD61F5C"/>
    <w:rsid w:val="4C0F12F8"/>
    <w:rsid w:val="4C2B804C"/>
    <w:rsid w:val="4C3DD428"/>
    <w:rsid w:val="4C841B58"/>
    <w:rsid w:val="4C891F41"/>
    <w:rsid w:val="4C9BC251"/>
    <w:rsid w:val="4CAE6992"/>
    <w:rsid w:val="4CBE3651"/>
    <w:rsid w:val="4CC97620"/>
    <w:rsid w:val="4CDFFE04"/>
    <w:rsid w:val="4D0E33B1"/>
    <w:rsid w:val="4D268267"/>
    <w:rsid w:val="4D8DDFAE"/>
    <w:rsid w:val="4D9448F3"/>
    <w:rsid w:val="4DBB7817"/>
    <w:rsid w:val="4DBE6708"/>
    <w:rsid w:val="4DC8C272"/>
    <w:rsid w:val="4DFD34AA"/>
    <w:rsid w:val="4E0A2C91"/>
    <w:rsid w:val="4E163541"/>
    <w:rsid w:val="4E21C2A6"/>
    <w:rsid w:val="4E4C8932"/>
    <w:rsid w:val="4E971BAE"/>
    <w:rsid w:val="4E9B4B35"/>
    <w:rsid w:val="4EB5D2B6"/>
    <w:rsid w:val="4EDC86FB"/>
    <w:rsid w:val="4EF24546"/>
    <w:rsid w:val="4F2F1EF4"/>
    <w:rsid w:val="4F33AFC1"/>
    <w:rsid w:val="4F423C60"/>
    <w:rsid w:val="4F464072"/>
    <w:rsid w:val="4F565840"/>
    <w:rsid w:val="4F8DB509"/>
    <w:rsid w:val="4F95A194"/>
    <w:rsid w:val="4FA866B9"/>
    <w:rsid w:val="4FD72AA3"/>
    <w:rsid w:val="5004C15C"/>
    <w:rsid w:val="50065334"/>
    <w:rsid w:val="500E744F"/>
    <w:rsid w:val="500FA180"/>
    <w:rsid w:val="503DDF0A"/>
    <w:rsid w:val="5069C273"/>
    <w:rsid w:val="509B754E"/>
    <w:rsid w:val="50B64146"/>
    <w:rsid w:val="50CD2C86"/>
    <w:rsid w:val="50D49C98"/>
    <w:rsid w:val="50F57052"/>
    <w:rsid w:val="51170981"/>
    <w:rsid w:val="5117A0F9"/>
    <w:rsid w:val="5137224A"/>
    <w:rsid w:val="51446593"/>
    <w:rsid w:val="514EB82A"/>
    <w:rsid w:val="515CF9D5"/>
    <w:rsid w:val="51702DE5"/>
    <w:rsid w:val="5197B83A"/>
    <w:rsid w:val="51B5BC4C"/>
    <w:rsid w:val="51D9C442"/>
    <w:rsid w:val="51E0C095"/>
    <w:rsid w:val="5210F07C"/>
    <w:rsid w:val="52373A08"/>
    <w:rsid w:val="524A95AA"/>
    <w:rsid w:val="52540479"/>
    <w:rsid w:val="52A2F130"/>
    <w:rsid w:val="52C09C15"/>
    <w:rsid w:val="52D69C49"/>
    <w:rsid w:val="52D9AE87"/>
    <w:rsid w:val="52F3293D"/>
    <w:rsid w:val="52F52414"/>
    <w:rsid w:val="530E8CAD"/>
    <w:rsid w:val="53353DC1"/>
    <w:rsid w:val="5336A0A2"/>
    <w:rsid w:val="534A70BA"/>
    <w:rsid w:val="5360BCF8"/>
    <w:rsid w:val="538F6CB6"/>
    <w:rsid w:val="539F6AF7"/>
    <w:rsid w:val="53A3FFCD"/>
    <w:rsid w:val="53BCF40A"/>
    <w:rsid w:val="53C25CC6"/>
    <w:rsid w:val="53DC48C5"/>
    <w:rsid w:val="53FE2DA2"/>
    <w:rsid w:val="5466A195"/>
    <w:rsid w:val="547BD7DC"/>
    <w:rsid w:val="54B2BCE1"/>
    <w:rsid w:val="54BF64C4"/>
    <w:rsid w:val="54C006BB"/>
    <w:rsid w:val="54C8247D"/>
    <w:rsid w:val="54D605B1"/>
    <w:rsid w:val="54F22D03"/>
    <w:rsid w:val="54F91A5B"/>
    <w:rsid w:val="5501264C"/>
    <w:rsid w:val="5501F745"/>
    <w:rsid w:val="550CB4C8"/>
    <w:rsid w:val="550D4D9E"/>
    <w:rsid w:val="5571E661"/>
    <w:rsid w:val="5574602C"/>
    <w:rsid w:val="558E131F"/>
    <w:rsid w:val="55966590"/>
    <w:rsid w:val="55A5A7E5"/>
    <w:rsid w:val="55ADAEAA"/>
    <w:rsid w:val="55C4A05F"/>
    <w:rsid w:val="55DFFBA9"/>
    <w:rsid w:val="55FD99AC"/>
    <w:rsid w:val="55FDEA21"/>
    <w:rsid w:val="5612B00F"/>
    <w:rsid w:val="56161EEA"/>
    <w:rsid w:val="56215B30"/>
    <w:rsid w:val="562A061D"/>
    <w:rsid w:val="5639B944"/>
    <w:rsid w:val="56775B20"/>
    <w:rsid w:val="569F6B0C"/>
    <w:rsid w:val="56ABADB5"/>
    <w:rsid w:val="56BB9CA2"/>
    <w:rsid w:val="56DE9667"/>
    <w:rsid w:val="56E62863"/>
    <w:rsid w:val="56F565CE"/>
    <w:rsid w:val="56FBC5AF"/>
    <w:rsid w:val="56FD7D76"/>
    <w:rsid w:val="570BF8C2"/>
    <w:rsid w:val="5718CA7B"/>
    <w:rsid w:val="573901E9"/>
    <w:rsid w:val="5766783E"/>
    <w:rsid w:val="576A417C"/>
    <w:rsid w:val="57748040"/>
    <w:rsid w:val="577A9D1A"/>
    <w:rsid w:val="578CC829"/>
    <w:rsid w:val="57A6B9D4"/>
    <w:rsid w:val="57B3BFFD"/>
    <w:rsid w:val="57C82DF7"/>
    <w:rsid w:val="57CDF5DA"/>
    <w:rsid w:val="57D4C216"/>
    <w:rsid w:val="57D98773"/>
    <w:rsid w:val="57E434C6"/>
    <w:rsid w:val="57FCDA87"/>
    <w:rsid w:val="58154442"/>
    <w:rsid w:val="58156128"/>
    <w:rsid w:val="5823BC92"/>
    <w:rsid w:val="5846433F"/>
    <w:rsid w:val="5854BB8F"/>
    <w:rsid w:val="58592F8B"/>
    <w:rsid w:val="5879A697"/>
    <w:rsid w:val="588E457B"/>
    <w:rsid w:val="5898EA7F"/>
    <w:rsid w:val="58B54F3A"/>
    <w:rsid w:val="58D4D08B"/>
    <w:rsid w:val="590119AF"/>
    <w:rsid w:val="5902599E"/>
    <w:rsid w:val="5902F01B"/>
    <w:rsid w:val="59108F19"/>
    <w:rsid w:val="597CD212"/>
    <w:rsid w:val="597D6789"/>
    <w:rsid w:val="598DB5E8"/>
    <w:rsid w:val="59A59B48"/>
    <w:rsid w:val="59AE521C"/>
    <w:rsid w:val="59B6450E"/>
    <w:rsid w:val="59D59E26"/>
    <w:rsid w:val="59D86F4E"/>
    <w:rsid w:val="5A0C8D53"/>
    <w:rsid w:val="5A2C4175"/>
    <w:rsid w:val="5A4415D3"/>
    <w:rsid w:val="5A672AB9"/>
    <w:rsid w:val="5A6FA68C"/>
    <w:rsid w:val="5AA1F385"/>
    <w:rsid w:val="5AD04181"/>
    <w:rsid w:val="5ADFC83E"/>
    <w:rsid w:val="5AE1F1FE"/>
    <w:rsid w:val="5B0D4D21"/>
    <w:rsid w:val="5B39837C"/>
    <w:rsid w:val="5B4139D3"/>
    <w:rsid w:val="5B4284AE"/>
    <w:rsid w:val="5B5BACAF"/>
    <w:rsid w:val="5B5DD81A"/>
    <w:rsid w:val="5B87C35E"/>
    <w:rsid w:val="5B8A6413"/>
    <w:rsid w:val="5B90A15C"/>
    <w:rsid w:val="5BA00E41"/>
    <w:rsid w:val="5BA07129"/>
    <w:rsid w:val="5BABA565"/>
    <w:rsid w:val="5BAECC93"/>
    <w:rsid w:val="5BB65572"/>
    <w:rsid w:val="5BC844A7"/>
    <w:rsid w:val="5BF0172A"/>
    <w:rsid w:val="5C021C4A"/>
    <w:rsid w:val="5C1FF7B6"/>
    <w:rsid w:val="5C203BDA"/>
    <w:rsid w:val="5C3984BA"/>
    <w:rsid w:val="5C73A9CA"/>
    <w:rsid w:val="5C78F69B"/>
    <w:rsid w:val="5C81C17C"/>
    <w:rsid w:val="5CB9A2A9"/>
    <w:rsid w:val="5CC77413"/>
    <w:rsid w:val="5CD92B0B"/>
    <w:rsid w:val="5CDB899E"/>
    <w:rsid w:val="5CE7B946"/>
    <w:rsid w:val="5CF2530C"/>
    <w:rsid w:val="5CFF7FE2"/>
    <w:rsid w:val="5D283994"/>
    <w:rsid w:val="5D31899F"/>
    <w:rsid w:val="5D43C96E"/>
    <w:rsid w:val="5D83955E"/>
    <w:rsid w:val="5D937229"/>
    <w:rsid w:val="5D943A80"/>
    <w:rsid w:val="5D9BC7C8"/>
    <w:rsid w:val="5DBB74C3"/>
    <w:rsid w:val="5DBDC055"/>
    <w:rsid w:val="5DD8F33E"/>
    <w:rsid w:val="5E3216AB"/>
    <w:rsid w:val="5E329DA4"/>
    <w:rsid w:val="5E378E20"/>
    <w:rsid w:val="5E59E41A"/>
    <w:rsid w:val="5E5E9596"/>
    <w:rsid w:val="5E926E94"/>
    <w:rsid w:val="5E93E704"/>
    <w:rsid w:val="5E981D6E"/>
    <w:rsid w:val="5ED3B135"/>
    <w:rsid w:val="5ED62E9D"/>
    <w:rsid w:val="5EEDED0B"/>
    <w:rsid w:val="5F06644C"/>
    <w:rsid w:val="5F191763"/>
    <w:rsid w:val="5F26E1BC"/>
    <w:rsid w:val="5F28D48E"/>
    <w:rsid w:val="5F3F3A64"/>
    <w:rsid w:val="5F4B027B"/>
    <w:rsid w:val="5F509221"/>
    <w:rsid w:val="5F7EA1AD"/>
    <w:rsid w:val="5F8C8285"/>
    <w:rsid w:val="5F98CA4B"/>
    <w:rsid w:val="5F9BC51E"/>
    <w:rsid w:val="5FB1B14E"/>
    <w:rsid w:val="5FBB1499"/>
    <w:rsid w:val="5FC5E035"/>
    <w:rsid w:val="5FC8D4EE"/>
    <w:rsid w:val="5FF3DA32"/>
    <w:rsid w:val="5FF6D149"/>
    <w:rsid w:val="6005C15D"/>
    <w:rsid w:val="60122E52"/>
    <w:rsid w:val="6017BBDD"/>
    <w:rsid w:val="6034C2C4"/>
    <w:rsid w:val="60412253"/>
    <w:rsid w:val="60429585"/>
    <w:rsid w:val="6049A910"/>
    <w:rsid w:val="6074098A"/>
    <w:rsid w:val="6091804F"/>
    <w:rsid w:val="609CD7D8"/>
    <w:rsid w:val="60C86E2D"/>
    <w:rsid w:val="60C94AC4"/>
    <w:rsid w:val="60D16164"/>
    <w:rsid w:val="60D7B72D"/>
    <w:rsid w:val="60DA875A"/>
    <w:rsid w:val="612015B0"/>
    <w:rsid w:val="6136BF82"/>
    <w:rsid w:val="613D24D7"/>
    <w:rsid w:val="6141B817"/>
    <w:rsid w:val="61680BA5"/>
    <w:rsid w:val="61874C7F"/>
    <w:rsid w:val="619288BA"/>
    <w:rsid w:val="61A1E189"/>
    <w:rsid w:val="61C1AD10"/>
    <w:rsid w:val="61D68DD9"/>
    <w:rsid w:val="61DB1814"/>
    <w:rsid w:val="621C48AA"/>
    <w:rsid w:val="623CDC59"/>
    <w:rsid w:val="624E831D"/>
    <w:rsid w:val="62522ED6"/>
    <w:rsid w:val="626ADCA1"/>
    <w:rsid w:val="62889973"/>
    <w:rsid w:val="62A6E9EB"/>
    <w:rsid w:val="62A78477"/>
    <w:rsid w:val="62C6CD1E"/>
    <w:rsid w:val="62F2E6B7"/>
    <w:rsid w:val="630B6A7B"/>
    <w:rsid w:val="631A333B"/>
    <w:rsid w:val="632A0E9B"/>
    <w:rsid w:val="633BA75E"/>
    <w:rsid w:val="63508BEB"/>
    <w:rsid w:val="6354CFBB"/>
    <w:rsid w:val="6363F1D1"/>
    <w:rsid w:val="63687876"/>
    <w:rsid w:val="63709266"/>
    <w:rsid w:val="6395A8C9"/>
    <w:rsid w:val="63980042"/>
    <w:rsid w:val="6399BFA5"/>
    <w:rsid w:val="63C763E5"/>
    <w:rsid w:val="63DAD2DD"/>
    <w:rsid w:val="63E85C60"/>
    <w:rsid w:val="63F42655"/>
    <w:rsid w:val="6402FF11"/>
    <w:rsid w:val="640DBF81"/>
    <w:rsid w:val="645D04B7"/>
    <w:rsid w:val="6474A603"/>
    <w:rsid w:val="647D4F3B"/>
    <w:rsid w:val="64ACD81D"/>
    <w:rsid w:val="64C996E7"/>
    <w:rsid w:val="64CD6591"/>
    <w:rsid w:val="64CE4F35"/>
    <w:rsid w:val="64EA612D"/>
    <w:rsid w:val="65352383"/>
    <w:rsid w:val="65563105"/>
    <w:rsid w:val="659BC251"/>
    <w:rsid w:val="65AD6105"/>
    <w:rsid w:val="65B00F7F"/>
    <w:rsid w:val="65B7CC54"/>
    <w:rsid w:val="65D79A41"/>
    <w:rsid w:val="65ED35CE"/>
    <w:rsid w:val="65F3A4AD"/>
    <w:rsid w:val="66010315"/>
    <w:rsid w:val="660E52DF"/>
    <w:rsid w:val="661FA610"/>
    <w:rsid w:val="66254804"/>
    <w:rsid w:val="6646E216"/>
    <w:rsid w:val="667D4E6B"/>
    <w:rsid w:val="66805C61"/>
    <w:rsid w:val="66921176"/>
    <w:rsid w:val="66A9CC2B"/>
    <w:rsid w:val="66AFBE1D"/>
    <w:rsid w:val="66B8E8D5"/>
    <w:rsid w:val="66ED3737"/>
    <w:rsid w:val="66F7A658"/>
    <w:rsid w:val="67090859"/>
    <w:rsid w:val="6766B7BF"/>
    <w:rsid w:val="676D8761"/>
    <w:rsid w:val="67948149"/>
    <w:rsid w:val="67AD122E"/>
    <w:rsid w:val="67AF08AD"/>
    <w:rsid w:val="67C1AFDD"/>
    <w:rsid w:val="67C92573"/>
    <w:rsid w:val="67F2075E"/>
    <w:rsid w:val="680104D8"/>
    <w:rsid w:val="687018F9"/>
    <w:rsid w:val="687867BE"/>
    <w:rsid w:val="6880EC6F"/>
    <w:rsid w:val="688183E7"/>
    <w:rsid w:val="688CCC54"/>
    <w:rsid w:val="688DD1C7"/>
    <w:rsid w:val="68A0829C"/>
    <w:rsid w:val="68A47FBA"/>
    <w:rsid w:val="68ABF1B3"/>
    <w:rsid w:val="68B7C3CE"/>
    <w:rsid w:val="68C793B7"/>
    <w:rsid w:val="68F29072"/>
    <w:rsid w:val="68F4DBD8"/>
    <w:rsid w:val="6924E8C3"/>
    <w:rsid w:val="697829E4"/>
    <w:rsid w:val="6994ACB7"/>
    <w:rsid w:val="69991CFA"/>
    <w:rsid w:val="699E6B6A"/>
    <w:rsid w:val="69A02F38"/>
    <w:rsid w:val="69A160BA"/>
    <w:rsid w:val="69B1362F"/>
    <w:rsid w:val="69FB6930"/>
    <w:rsid w:val="69FC204B"/>
    <w:rsid w:val="6A04EB9C"/>
    <w:rsid w:val="6A207A27"/>
    <w:rsid w:val="6A2A6E8C"/>
    <w:rsid w:val="6A2E5B60"/>
    <w:rsid w:val="6A3EA699"/>
    <w:rsid w:val="6A4DABC9"/>
    <w:rsid w:val="6A6EF686"/>
    <w:rsid w:val="6A7040EB"/>
    <w:rsid w:val="6A7F6EA8"/>
    <w:rsid w:val="6A802D0A"/>
    <w:rsid w:val="6A8C561B"/>
    <w:rsid w:val="6A925E94"/>
    <w:rsid w:val="6AAC6629"/>
    <w:rsid w:val="6AB1486D"/>
    <w:rsid w:val="6AB39006"/>
    <w:rsid w:val="6ADFC55A"/>
    <w:rsid w:val="6AF7031D"/>
    <w:rsid w:val="6B24BA2E"/>
    <w:rsid w:val="6B2D6999"/>
    <w:rsid w:val="6B41299D"/>
    <w:rsid w:val="6B4B90EE"/>
    <w:rsid w:val="6B63AADE"/>
    <w:rsid w:val="6B6BC516"/>
    <w:rsid w:val="6B83525E"/>
    <w:rsid w:val="6BADA7C8"/>
    <w:rsid w:val="6BD07C06"/>
    <w:rsid w:val="6C078A67"/>
    <w:rsid w:val="6C0EB3CE"/>
    <w:rsid w:val="6C49E81E"/>
    <w:rsid w:val="6C533EF1"/>
    <w:rsid w:val="6C5A0475"/>
    <w:rsid w:val="6C5CC00E"/>
    <w:rsid w:val="6C6B385E"/>
    <w:rsid w:val="6C728E6C"/>
    <w:rsid w:val="6C7F9954"/>
    <w:rsid w:val="6C9AB16E"/>
    <w:rsid w:val="6C9FC42B"/>
    <w:rsid w:val="6CB1099A"/>
    <w:rsid w:val="6CEF5094"/>
    <w:rsid w:val="6D1DFDD1"/>
    <w:rsid w:val="6D410D2E"/>
    <w:rsid w:val="6D7082AE"/>
    <w:rsid w:val="6DA7F3BB"/>
    <w:rsid w:val="6DB0538E"/>
    <w:rsid w:val="6DB9B3FC"/>
    <w:rsid w:val="6DC795CF"/>
    <w:rsid w:val="6DDFB217"/>
    <w:rsid w:val="6DE722C7"/>
    <w:rsid w:val="6DF41B8D"/>
    <w:rsid w:val="6E082C08"/>
    <w:rsid w:val="6E380250"/>
    <w:rsid w:val="6E4DAFCF"/>
    <w:rsid w:val="6E4DD61A"/>
    <w:rsid w:val="6E5FA869"/>
    <w:rsid w:val="6E6103C3"/>
    <w:rsid w:val="6E71A51C"/>
    <w:rsid w:val="6E939909"/>
    <w:rsid w:val="6EA7DDA4"/>
    <w:rsid w:val="6EA89349"/>
    <w:rsid w:val="6EB10F66"/>
    <w:rsid w:val="6EC7D74C"/>
    <w:rsid w:val="6ED03D63"/>
    <w:rsid w:val="6ED0D4DB"/>
    <w:rsid w:val="6EEE9D16"/>
    <w:rsid w:val="6EFD784E"/>
    <w:rsid w:val="6F46DD28"/>
    <w:rsid w:val="6FC81BED"/>
    <w:rsid w:val="6FCE7B48"/>
    <w:rsid w:val="6FD5192D"/>
    <w:rsid w:val="6FE5A500"/>
    <w:rsid w:val="6FFE45E9"/>
    <w:rsid w:val="700109BF"/>
    <w:rsid w:val="700334DE"/>
    <w:rsid w:val="70460E00"/>
    <w:rsid w:val="7074E123"/>
    <w:rsid w:val="707A914B"/>
    <w:rsid w:val="708EAE8D"/>
    <w:rsid w:val="70955738"/>
    <w:rsid w:val="70C61B6B"/>
    <w:rsid w:val="7103E712"/>
    <w:rsid w:val="7109CF78"/>
    <w:rsid w:val="712FB69F"/>
    <w:rsid w:val="71383AA2"/>
    <w:rsid w:val="714FCF0C"/>
    <w:rsid w:val="7157BBF3"/>
    <w:rsid w:val="7162F696"/>
    <w:rsid w:val="7175D901"/>
    <w:rsid w:val="717BA528"/>
    <w:rsid w:val="718ACDF2"/>
    <w:rsid w:val="71B77095"/>
    <w:rsid w:val="71B9736B"/>
    <w:rsid w:val="71C02049"/>
    <w:rsid w:val="71C905FA"/>
    <w:rsid w:val="71D19480"/>
    <w:rsid w:val="71DEB479"/>
    <w:rsid w:val="71DF7E66"/>
    <w:rsid w:val="721F1880"/>
    <w:rsid w:val="72693B8E"/>
    <w:rsid w:val="7269D147"/>
    <w:rsid w:val="729DB34E"/>
    <w:rsid w:val="729F5CF8"/>
    <w:rsid w:val="72A35824"/>
    <w:rsid w:val="72F4AE62"/>
    <w:rsid w:val="72FA2E04"/>
    <w:rsid w:val="73177589"/>
    <w:rsid w:val="733CF9E4"/>
    <w:rsid w:val="7340D72F"/>
    <w:rsid w:val="7345AD10"/>
    <w:rsid w:val="734EE919"/>
    <w:rsid w:val="73719357"/>
    <w:rsid w:val="73835B1A"/>
    <w:rsid w:val="73906152"/>
    <w:rsid w:val="7394D094"/>
    <w:rsid w:val="73A4C981"/>
    <w:rsid w:val="73BD8CD4"/>
    <w:rsid w:val="73F6939F"/>
    <w:rsid w:val="74103E6C"/>
    <w:rsid w:val="7411EEE9"/>
    <w:rsid w:val="742255DA"/>
    <w:rsid w:val="742FE913"/>
    <w:rsid w:val="74305735"/>
    <w:rsid w:val="7431B241"/>
    <w:rsid w:val="74382A87"/>
    <w:rsid w:val="74501B5B"/>
    <w:rsid w:val="747C9E79"/>
    <w:rsid w:val="7487CA1D"/>
    <w:rsid w:val="748A6487"/>
    <w:rsid w:val="7496B482"/>
    <w:rsid w:val="74AC0CFD"/>
    <w:rsid w:val="74C770AA"/>
    <w:rsid w:val="74EA5477"/>
    <w:rsid w:val="7504483D"/>
    <w:rsid w:val="750868D0"/>
    <w:rsid w:val="751413AD"/>
    <w:rsid w:val="751AAB59"/>
    <w:rsid w:val="752B2689"/>
    <w:rsid w:val="7573E1F9"/>
    <w:rsid w:val="758E7C19"/>
    <w:rsid w:val="75C81697"/>
    <w:rsid w:val="75E31D5C"/>
    <w:rsid w:val="75FAAD08"/>
    <w:rsid w:val="7607D039"/>
    <w:rsid w:val="762849A9"/>
    <w:rsid w:val="76449C25"/>
    <w:rsid w:val="764AD5A5"/>
    <w:rsid w:val="765FA695"/>
    <w:rsid w:val="766B5AA4"/>
    <w:rsid w:val="766E922D"/>
    <w:rsid w:val="767BBCE8"/>
    <w:rsid w:val="768C1886"/>
    <w:rsid w:val="7695E8E8"/>
    <w:rsid w:val="769E5728"/>
    <w:rsid w:val="76C86E8C"/>
    <w:rsid w:val="76C99202"/>
    <w:rsid w:val="76E2E263"/>
    <w:rsid w:val="76ED5F00"/>
    <w:rsid w:val="76F0B6B5"/>
    <w:rsid w:val="77072D56"/>
    <w:rsid w:val="771012B6"/>
    <w:rsid w:val="772A6480"/>
    <w:rsid w:val="7752F3E2"/>
    <w:rsid w:val="77544177"/>
    <w:rsid w:val="77553BD7"/>
    <w:rsid w:val="7765DF36"/>
    <w:rsid w:val="7775D9CA"/>
    <w:rsid w:val="77AA406C"/>
    <w:rsid w:val="77B474A5"/>
    <w:rsid w:val="78005E25"/>
    <w:rsid w:val="78026769"/>
    <w:rsid w:val="78082B28"/>
    <w:rsid w:val="780F2813"/>
    <w:rsid w:val="78100565"/>
    <w:rsid w:val="78199800"/>
    <w:rsid w:val="781AD417"/>
    <w:rsid w:val="78281BB8"/>
    <w:rsid w:val="7840DE73"/>
    <w:rsid w:val="7847D199"/>
    <w:rsid w:val="785AF708"/>
    <w:rsid w:val="7885CACA"/>
    <w:rsid w:val="78A11356"/>
    <w:rsid w:val="78BE660F"/>
    <w:rsid w:val="78CAC493"/>
    <w:rsid w:val="78CCC749"/>
    <w:rsid w:val="79122025"/>
    <w:rsid w:val="7929B199"/>
    <w:rsid w:val="792FDDC8"/>
    <w:rsid w:val="79312A81"/>
    <w:rsid w:val="793BDA8E"/>
    <w:rsid w:val="79485AA0"/>
    <w:rsid w:val="794973A5"/>
    <w:rsid w:val="79889C36"/>
    <w:rsid w:val="79F73AB1"/>
    <w:rsid w:val="79FB456F"/>
    <w:rsid w:val="7A0540D5"/>
    <w:rsid w:val="7A3D4B88"/>
    <w:rsid w:val="7A6F85FB"/>
    <w:rsid w:val="7A8664B5"/>
    <w:rsid w:val="7A8BA0C7"/>
    <w:rsid w:val="7A905620"/>
    <w:rsid w:val="7ACD178D"/>
    <w:rsid w:val="7AD67BE0"/>
    <w:rsid w:val="7ADE4807"/>
    <w:rsid w:val="7AF7C85D"/>
    <w:rsid w:val="7B084545"/>
    <w:rsid w:val="7B2413D7"/>
    <w:rsid w:val="7B3B9CCA"/>
    <w:rsid w:val="7B584A81"/>
    <w:rsid w:val="7B5B28F3"/>
    <w:rsid w:val="7B67772F"/>
    <w:rsid w:val="7B6801C5"/>
    <w:rsid w:val="7B823228"/>
    <w:rsid w:val="7B88F27D"/>
    <w:rsid w:val="7B9F7C83"/>
    <w:rsid w:val="7BA825CB"/>
    <w:rsid w:val="7BB284DB"/>
    <w:rsid w:val="7BC38FE3"/>
    <w:rsid w:val="7C076700"/>
    <w:rsid w:val="7C1EC8F5"/>
    <w:rsid w:val="7C490C75"/>
    <w:rsid w:val="7C8A6472"/>
    <w:rsid w:val="7C98BE1D"/>
    <w:rsid w:val="7CCA4C20"/>
    <w:rsid w:val="7CE055C1"/>
    <w:rsid w:val="7CF10507"/>
    <w:rsid w:val="7D2C1632"/>
    <w:rsid w:val="7D5C4675"/>
    <w:rsid w:val="7D9254DA"/>
    <w:rsid w:val="7DA52DE0"/>
    <w:rsid w:val="7DBA0667"/>
    <w:rsid w:val="7DBDC084"/>
    <w:rsid w:val="7DC2E9C4"/>
    <w:rsid w:val="7DD0ADB6"/>
    <w:rsid w:val="7DFBD4A0"/>
    <w:rsid w:val="7E0DFAEF"/>
    <w:rsid w:val="7E61443F"/>
    <w:rsid w:val="7E626BEA"/>
    <w:rsid w:val="7EA8595B"/>
    <w:rsid w:val="7EC01A8B"/>
    <w:rsid w:val="7EEA7DBF"/>
    <w:rsid w:val="7EEB580C"/>
    <w:rsid w:val="7EEDE256"/>
    <w:rsid w:val="7EF3DD5E"/>
    <w:rsid w:val="7F042968"/>
    <w:rsid w:val="7F04F0F7"/>
    <w:rsid w:val="7F1054DA"/>
    <w:rsid w:val="7F19F5AB"/>
    <w:rsid w:val="7F1BAF8D"/>
    <w:rsid w:val="7F2080D1"/>
    <w:rsid w:val="7F27AE52"/>
    <w:rsid w:val="7F3A318C"/>
    <w:rsid w:val="7F47F167"/>
    <w:rsid w:val="7F70706D"/>
    <w:rsid w:val="7F74BC18"/>
    <w:rsid w:val="7F8788C7"/>
    <w:rsid w:val="7F908BD6"/>
    <w:rsid w:val="7FB38A2A"/>
    <w:rsid w:val="7FB88C9C"/>
    <w:rsid w:val="7FCECAB1"/>
    <w:rsid w:val="7FDE3F0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DC1F"/>
  <w15:chartTrackingRefBased/>
  <w15:docId w15:val="{C11EA9F4-4B4E-467C-84C0-644D6A98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C73A9CA"/>
    <w:rPr>
      <w:rFonts w:ascii="Arial" w:hAnsi="Arial"/>
      <w:sz w:val="20"/>
      <w:szCs w:val="20"/>
    </w:rPr>
  </w:style>
  <w:style w:type="paragraph" w:styleId="Heading1">
    <w:name w:val="heading 1"/>
    <w:basedOn w:val="Normal"/>
    <w:next w:val="Normal"/>
    <w:link w:val="Heading1Char"/>
    <w:uiPriority w:val="9"/>
    <w:qFormat/>
    <w:rsid w:val="5C73A9CA"/>
    <w:pPr>
      <w:keepNext/>
      <w:keepLines/>
      <w:spacing w:before="360" w:after="80"/>
      <w:outlineLvl w:val="0"/>
    </w:pPr>
    <w:rPr>
      <w:rFonts w:eastAsiaTheme="majorEastAsia" w:cstheme="majorBidi"/>
      <w:color w:val="347B9F"/>
      <w:sz w:val="48"/>
      <w:szCs w:val="48"/>
    </w:rPr>
  </w:style>
  <w:style w:type="paragraph" w:styleId="Heading2">
    <w:name w:val="heading 2"/>
    <w:basedOn w:val="Normal"/>
    <w:next w:val="Normal"/>
    <w:link w:val="Heading2Char"/>
    <w:uiPriority w:val="9"/>
    <w:semiHidden/>
    <w:unhideWhenUsed/>
    <w:qFormat/>
    <w:rsid w:val="5C73A9CA"/>
    <w:pPr>
      <w:keepNext/>
      <w:keepLines/>
      <w:spacing w:before="160" w:after="80"/>
      <w:outlineLvl w:val="1"/>
    </w:pPr>
    <w:rPr>
      <w:rFonts w:eastAsiaTheme="majorEastAsia" w:cstheme="majorBidi"/>
      <w:color w:val="347B9F"/>
      <w:sz w:val="36"/>
      <w:szCs w:val="36"/>
    </w:rPr>
  </w:style>
  <w:style w:type="paragraph" w:styleId="Heading3">
    <w:name w:val="heading 3"/>
    <w:basedOn w:val="Normal"/>
    <w:next w:val="Normal"/>
    <w:link w:val="Heading3Char"/>
    <w:uiPriority w:val="9"/>
    <w:unhideWhenUsed/>
    <w:qFormat/>
    <w:rsid w:val="000C7E75"/>
    <w:pPr>
      <w:keepNext/>
      <w:keepLines/>
      <w:spacing w:before="160" w:after="80"/>
      <w:outlineLvl w:val="2"/>
    </w:pPr>
    <w:rPr>
      <w:rFonts w:eastAsiaTheme="majorEastAsia" w:cstheme="majorBidi"/>
      <w:color w:val="347B9F"/>
      <w:sz w:val="28"/>
      <w:szCs w:val="28"/>
    </w:rPr>
  </w:style>
  <w:style w:type="paragraph" w:styleId="Heading4">
    <w:name w:val="heading 4"/>
    <w:basedOn w:val="Normal"/>
    <w:next w:val="Normal"/>
    <w:link w:val="Heading4Char"/>
    <w:uiPriority w:val="9"/>
    <w:semiHidden/>
    <w:unhideWhenUsed/>
    <w:rsid w:val="000C7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7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7E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5C73A9CA"/>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9"/>
    <w:semiHidden/>
    <w:unhideWhenUsed/>
    <w:qFormat/>
    <w:rsid w:val="5C73A9CA"/>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48"/>
    <w:rPr>
      <w:rFonts w:ascii="Arial" w:eastAsiaTheme="majorEastAsia" w:hAnsi="Arial" w:cstheme="majorBidi"/>
      <w:color w:val="347B9F"/>
      <w:sz w:val="48"/>
      <w:szCs w:val="48"/>
    </w:rPr>
  </w:style>
  <w:style w:type="character" w:customStyle="1" w:styleId="Heading2Char">
    <w:name w:val="Heading 2 Char"/>
    <w:basedOn w:val="DefaultParagraphFont"/>
    <w:link w:val="Heading2"/>
    <w:uiPriority w:val="9"/>
    <w:semiHidden/>
    <w:rsid w:val="00DD1B48"/>
    <w:rPr>
      <w:rFonts w:ascii="Arial" w:eastAsiaTheme="majorEastAsia" w:hAnsi="Arial" w:cstheme="majorBidi"/>
      <w:color w:val="347B9F"/>
      <w:sz w:val="36"/>
      <w:szCs w:val="36"/>
    </w:rPr>
  </w:style>
  <w:style w:type="character" w:customStyle="1" w:styleId="Heading3Char">
    <w:name w:val="Heading 3 Char"/>
    <w:basedOn w:val="DefaultParagraphFont"/>
    <w:link w:val="Heading3"/>
    <w:uiPriority w:val="9"/>
    <w:rsid w:val="000C7E75"/>
    <w:rPr>
      <w:rFonts w:ascii="Arial" w:eastAsiaTheme="majorEastAsia" w:hAnsi="Arial" w:cstheme="majorBidi"/>
      <w:color w:val="347B9F"/>
      <w:sz w:val="28"/>
      <w:szCs w:val="28"/>
    </w:rPr>
  </w:style>
  <w:style w:type="character" w:customStyle="1" w:styleId="Heading4Char">
    <w:name w:val="Heading 4 Char"/>
    <w:basedOn w:val="DefaultParagraphFont"/>
    <w:link w:val="Heading4"/>
    <w:uiPriority w:val="9"/>
    <w:semiHidden/>
    <w:rsid w:val="000C7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75"/>
    <w:rPr>
      <w:rFonts w:eastAsiaTheme="majorEastAsia" w:cstheme="majorBidi"/>
      <w:i/>
      <w:iCs/>
      <w:color w:val="272727"/>
      <w:sz w:val="20"/>
      <w:szCs w:val="20"/>
    </w:rPr>
  </w:style>
  <w:style w:type="character" w:customStyle="1" w:styleId="Heading9Char">
    <w:name w:val="Heading 9 Char"/>
    <w:basedOn w:val="DefaultParagraphFont"/>
    <w:link w:val="Heading9"/>
    <w:uiPriority w:val="9"/>
    <w:semiHidden/>
    <w:rsid w:val="000C7E75"/>
    <w:rPr>
      <w:rFonts w:eastAsiaTheme="majorEastAsia" w:cstheme="majorBidi"/>
      <w:color w:val="272727"/>
      <w:sz w:val="20"/>
      <w:szCs w:val="20"/>
    </w:rPr>
  </w:style>
  <w:style w:type="paragraph" w:styleId="Title">
    <w:name w:val="Title"/>
    <w:basedOn w:val="Normal"/>
    <w:next w:val="Normal"/>
    <w:link w:val="TitleChar"/>
    <w:uiPriority w:val="10"/>
    <w:qFormat/>
    <w:rsid w:val="5C73A9CA"/>
    <w:pPr>
      <w:spacing w:after="80" w:line="240" w:lineRule="auto"/>
      <w:contextualSpacing/>
    </w:pPr>
    <w:rPr>
      <w:rFonts w:eastAsiaTheme="majorEastAsia" w:cstheme="majorBidi"/>
      <w:color w:val="000000" w:themeColor="text1"/>
      <w:sz w:val="72"/>
      <w:szCs w:val="72"/>
    </w:rPr>
  </w:style>
  <w:style w:type="character" w:customStyle="1" w:styleId="TitleChar">
    <w:name w:val="Title Char"/>
    <w:basedOn w:val="DefaultParagraphFont"/>
    <w:link w:val="Title"/>
    <w:uiPriority w:val="10"/>
    <w:rsid w:val="000C7E75"/>
    <w:rPr>
      <w:rFonts w:ascii="Arial" w:eastAsiaTheme="majorEastAsia" w:hAnsi="Arial" w:cstheme="majorBidi"/>
      <w:color w:val="000000" w:themeColor="text1"/>
      <w:sz w:val="72"/>
      <w:szCs w:val="72"/>
    </w:rPr>
  </w:style>
  <w:style w:type="paragraph" w:styleId="Subtitle">
    <w:name w:val="Subtitle"/>
    <w:basedOn w:val="Normal"/>
    <w:next w:val="Normal"/>
    <w:link w:val="SubtitleChar"/>
    <w:uiPriority w:val="11"/>
    <w:qFormat/>
    <w:rsid w:val="5C73A9CA"/>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0C7E75"/>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0C7E75"/>
    <w:pPr>
      <w:spacing w:before="160"/>
    </w:pPr>
    <w:rPr>
      <w:i/>
      <w:iCs/>
      <w:color w:val="000000" w:themeColor="text1"/>
    </w:rPr>
  </w:style>
  <w:style w:type="character" w:customStyle="1" w:styleId="QuoteChar">
    <w:name w:val="Quote Char"/>
    <w:basedOn w:val="DefaultParagraphFont"/>
    <w:link w:val="Quote"/>
    <w:uiPriority w:val="29"/>
    <w:rsid w:val="000C7E75"/>
    <w:rPr>
      <w:rFonts w:ascii="Arial" w:hAnsi="Arial"/>
      <w:i/>
      <w:iCs/>
      <w:color w:val="000000" w:themeColor="text1"/>
    </w:rPr>
  </w:style>
  <w:style w:type="paragraph" w:styleId="ListParagraph">
    <w:name w:val="List Paragraph"/>
    <w:basedOn w:val="Normal"/>
    <w:link w:val="ListParagraphChar"/>
    <w:uiPriority w:val="34"/>
    <w:qFormat/>
    <w:rsid w:val="000C7E75"/>
    <w:pPr>
      <w:ind w:left="720"/>
      <w:contextualSpacing/>
    </w:pPr>
  </w:style>
  <w:style w:type="character" w:styleId="IntenseEmphasis">
    <w:name w:val="Intense Emphasis"/>
    <w:basedOn w:val="DefaultParagraphFont"/>
    <w:uiPriority w:val="21"/>
    <w:qFormat/>
    <w:rsid w:val="000C7E75"/>
    <w:rPr>
      <w:i/>
      <w:iCs/>
      <w:color w:val="0F4761" w:themeColor="accent1" w:themeShade="BF"/>
    </w:rPr>
  </w:style>
  <w:style w:type="paragraph" w:styleId="IntenseQuote">
    <w:name w:val="Intense Quote"/>
    <w:basedOn w:val="Normal"/>
    <w:next w:val="Normal"/>
    <w:link w:val="IntenseQuoteChar"/>
    <w:uiPriority w:val="30"/>
    <w:qFormat/>
    <w:rsid w:val="5C73A9CA"/>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75"/>
    <w:rPr>
      <w:rFonts w:ascii="Arial" w:hAnsi="Arial"/>
      <w:i/>
      <w:iCs/>
      <w:color w:val="0F4761" w:themeColor="accent1" w:themeShade="BF"/>
      <w:sz w:val="20"/>
      <w:szCs w:val="20"/>
    </w:rPr>
  </w:style>
  <w:style w:type="character" w:styleId="IntenseReference">
    <w:name w:val="Intense Reference"/>
    <w:basedOn w:val="DefaultParagraphFont"/>
    <w:uiPriority w:val="32"/>
    <w:qFormat/>
    <w:rsid w:val="000C7E75"/>
    <w:rPr>
      <w:b/>
      <w:bCs/>
      <w:smallCaps/>
      <w:color w:val="0F4761" w:themeColor="accent1" w:themeShade="BF"/>
      <w:spacing w:val="5"/>
    </w:rPr>
  </w:style>
  <w:style w:type="paragraph" w:styleId="NoSpacing">
    <w:name w:val="No Spacing"/>
    <w:uiPriority w:val="1"/>
    <w:qFormat/>
    <w:rsid w:val="000C7E75"/>
    <w:pPr>
      <w:spacing w:after="0" w:line="240" w:lineRule="auto"/>
    </w:pPr>
    <w:rPr>
      <w:rFonts w:ascii="Arial" w:hAnsi="Arial"/>
    </w:rPr>
  </w:style>
  <w:style w:type="table" w:styleId="TableGrid">
    <w:name w:val="Table Grid"/>
    <w:basedOn w:val="TableNormal"/>
    <w:uiPriority w:val="39"/>
    <w:rsid w:val="000C7E75"/>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E8"/>
    <w:rPr>
      <w:rFonts w:ascii="Arial" w:hAnsi="Arial"/>
    </w:rPr>
  </w:style>
  <w:style w:type="paragraph" w:styleId="Footer">
    <w:name w:val="footer"/>
    <w:basedOn w:val="Normal"/>
    <w:link w:val="FooterChar"/>
    <w:uiPriority w:val="99"/>
    <w:unhideWhenUsed/>
    <w:rsid w:val="008C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E8"/>
    <w:rPr>
      <w:rFonts w:ascii="Arial" w:hAnsi="Arial"/>
    </w:rPr>
  </w:style>
  <w:style w:type="character" w:customStyle="1" w:styleId="ListParagraphChar">
    <w:name w:val="List Paragraph Char"/>
    <w:basedOn w:val="DefaultParagraphFont"/>
    <w:link w:val="ListParagraph"/>
    <w:uiPriority w:val="34"/>
    <w:rsid w:val="00DD1E94"/>
    <w:rPr>
      <w:rFonts w:ascii="Arial" w:hAnsi="Arial"/>
    </w:rPr>
  </w:style>
  <w:style w:type="paragraph" w:styleId="FootnoteText">
    <w:name w:val="footnote text"/>
    <w:basedOn w:val="Normal"/>
    <w:link w:val="FootnoteTextChar"/>
    <w:uiPriority w:val="99"/>
    <w:semiHidden/>
    <w:unhideWhenUsed/>
    <w:rsid w:val="5C73A9CA"/>
    <w:pPr>
      <w:spacing w:before="120" w:after="0" w:line="240" w:lineRule="auto"/>
    </w:pPr>
  </w:style>
  <w:style w:type="character" w:customStyle="1" w:styleId="FootnoteTextChar">
    <w:name w:val="Footnote Text Char"/>
    <w:basedOn w:val="DefaultParagraphFont"/>
    <w:link w:val="FootnoteText"/>
    <w:uiPriority w:val="99"/>
    <w:semiHidden/>
    <w:rsid w:val="00DD1E94"/>
    <w:rPr>
      <w:rFonts w:ascii="Arial" w:hAnsi="Arial"/>
      <w:sz w:val="20"/>
      <w:szCs w:val="20"/>
    </w:rPr>
  </w:style>
  <w:style w:type="character" w:styleId="FootnoteReference">
    <w:name w:val="footnote reference"/>
    <w:basedOn w:val="DefaultParagraphFont"/>
    <w:uiPriority w:val="99"/>
    <w:semiHidden/>
    <w:unhideWhenUsed/>
    <w:rsid w:val="00DD1E94"/>
    <w:rPr>
      <w:vertAlign w:val="superscript"/>
    </w:rPr>
  </w:style>
  <w:style w:type="paragraph" w:customStyle="1" w:styleId="Numberedparagraph">
    <w:name w:val="Numbered paragraph"/>
    <w:basedOn w:val="Normal"/>
    <w:link w:val="NumberedparagraphChar"/>
    <w:qFormat/>
    <w:rsid w:val="5DBDC055"/>
    <w:pPr>
      <w:spacing w:before="120" w:after="240" w:line="276" w:lineRule="auto"/>
      <w:contextualSpacing/>
    </w:pPr>
    <w:rPr>
      <w:rFonts w:eastAsiaTheme="minorEastAsia" w:cs="Arial"/>
    </w:rPr>
  </w:style>
  <w:style w:type="character" w:customStyle="1" w:styleId="NumberedparagraphChar">
    <w:name w:val="Numbered paragraph Char"/>
    <w:basedOn w:val="DefaultParagraphFont"/>
    <w:link w:val="Numberedparagraph"/>
    <w:rsid w:val="00C23BF2"/>
    <w:rPr>
      <w:rFonts w:ascii="Arial" w:eastAsiaTheme="minorEastAsia" w:hAnsi="Arial" w:cs="Arial"/>
    </w:rPr>
  </w:style>
  <w:style w:type="paragraph" w:styleId="TOC1">
    <w:name w:val="toc 1"/>
    <w:basedOn w:val="Normal"/>
    <w:next w:val="Normal"/>
    <w:uiPriority w:val="39"/>
    <w:unhideWhenUsed/>
    <w:rsid w:val="00E00998"/>
    <w:pPr>
      <w:spacing w:after="100"/>
    </w:pPr>
  </w:style>
  <w:style w:type="paragraph" w:styleId="TOC2">
    <w:name w:val="toc 2"/>
    <w:basedOn w:val="Normal"/>
    <w:next w:val="Normal"/>
    <w:uiPriority w:val="39"/>
    <w:unhideWhenUsed/>
    <w:rsid w:val="00E00998"/>
    <w:pPr>
      <w:spacing w:after="100"/>
      <w:ind w:left="220"/>
    </w:pPr>
  </w:style>
  <w:style w:type="paragraph" w:styleId="TOC3">
    <w:name w:val="toc 3"/>
    <w:basedOn w:val="Normal"/>
    <w:next w:val="Normal"/>
    <w:uiPriority w:val="39"/>
    <w:unhideWhenUsed/>
    <w:rsid w:val="00E00998"/>
    <w:pPr>
      <w:spacing w:after="100"/>
      <w:ind w:left="440"/>
    </w:pPr>
  </w:style>
  <w:style w:type="paragraph" w:styleId="TOC4">
    <w:name w:val="toc 4"/>
    <w:basedOn w:val="Normal"/>
    <w:next w:val="Normal"/>
    <w:uiPriority w:val="39"/>
    <w:unhideWhenUsed/>
    <w:rsid w:val="00E00998"/>
    <w:pPr>
      <w:spacing w:after="100"/>
      <w:ind w:left="660"/>
    </w:pPr>
  </w:style>
  <w:style w:type="paragraph" w:styleId="TOC5">
    <w:name w:val="toc 5"/>
    <w:basedOn w:val="Normal"/>
    <w:next w:val="Normal"/>
    <w:uiPriority w:val="39"/>
    <w:unhideWhenUsed/>
    <w:rsid w:val="00E00998"/>
    <w:pPr>
      <w:spacing w:after="100"/>
      <w:ind w:left="880"/>
    </w:pPr>
  </w:style>
  <w:style w:type="paragraph" w:styleId="TOC6">
    <w:name w:val="toc 6"/>
    <w:basedOn w:val="Normal"/>
    <w:next w:val="Normal"/>
    <w:uiPriority w:val="39"/>
    <w:unhideWhenUsed/>
    <w:rsid w:val="00E00998"/>
    <w:pPr>
      <w:spacing w:after="100"/>
      <w:ind w:left="1100"/>
    </w:pPr>
  </w:style>
  <w:style w:type="paragraph" w:styleId="TOC7">
    <w:name w:val="toc 7"/>
    <w:basedOn w:val="Normal"/>
    <w:next w:val="Normal"/>
    <w:uiPriority w:val="39"/>
    <w:unhideWhenUsed/>
    <w:rsid w:val="00E00998"/>
    <w:pPr>
      <w:spacing w:after="100"/>
      <w:ind w:left="1320"/>
    </w:pPr>
  </w:style>
  <w:style w:type="paragraph" w:styleId="TOC8">
    <w:name w:val="toc 8"/>
    <w:basedOn w:val="Normal"/>
    <w:next w:val="Normal"/>
    <w:uiPriority w:val="39"/>
    <w:unhideWhenUsed/>
    <w:rsid w:val="00E00998"/>
    <w:pPr>
      <w:spacing w:after="100"/>
      <w:ind w:left="1540"/>
    </w:pPr>
  </w:style>
  <w:style w:type="paragraph" w:styleId="TOC9">
    <w:name w:val="toc 9"/>
    <w:basedOn w:val="Normal"/>
    <w:next w:val="Normal"/>
    <w:uiPriority w:val="39"/>
    <w:unhideWhenUsed/>
    <w:rsid w:val="00E00998"/>
    <w:pPr>
      <w:spacing w:after="100"/>
      <w:ind w:left="1760"/>
    </w:pPr>
  </w:style>
  <w:style w:type="paragraph" w:styleId="EndnoteText">
    <w:name w:val="endnote text"/>
    <w:basedOn w:val="Normal"/>
    <w:link w:val="EndnoteTextChar"/>
    <w:uiPriority w:val="99"/>
    <w:semiHidden/>
    <w:unhideWhenUsed/>
    <w:rsid w:val="00E00998"/>
    <w:pPr>
      <w:spacing w:after="0" w:line="240" w:lineRule="auto"/>
    </w:pPr>
  </w:style>
  <w:style w:type="character" w:customStyle="1" w:styleId="EndnoteTextChar">
    <w:name w:val="Endnote Text Char"/>
    <w:basedOn w:val="DefaultParagraphFont"/>
    <w:link w:val="EndnoteText"/>
    <w:uiPriority w:val="99"/>
    <w:semiHidden/>
    <w:rsid w:val="00E00998"/>
    <w:rPr>
      <w:rFonts w:ascii="Arial" w:hAnsi="Arial"/>
      <w:sz w:val="20"/>
      <w:szCs w:val="20"/>
    </w:rPr>
  </w:style>
  <w:style w:type="character" w:customStyle="1" w:styleId="ui-provider">
    <w:name w:val="ui-provider"/>
    <w:basedOn w:val="DefaultParagraphFont"/>
    <w:rsid w:val="00811FA1"/>
  </w:style>
  <w:style w:type="character" w:styleId="CommentReference">
    <w:name w:val="annotation reference"/>
    <w:basedOn w:val="DefaultParagraphFont"/>
    <w:uiPriority w:val="99"/>
    <w:semiHidden/>
    <w:unhideWhenUsed/>
    <w:rsid w:val="001B57E1"/>
    <w:rPr>
      <w:sz w:val="16"/>
      <w:szCs w:val="16"/>
    </w:rPr>
  </w:style>
  <w:style w:type="paragraph" w:styleId="CommentText">
    <w:name w:val="annotation text"/>
    <w:basedOn w:val="Normal"/>
    <w:link w:val="CommentTextChar"/>
    <w:uiPriority w:val="99"/>
    <w:unhideWhenUsed/>
    <w:rsid w:val="001B57E1"/>
    <w:pPr>
      <w:spacing w:line="240" w:lineRule="auto"/>
    </w:pPr>
  </w:style>
  <w:style w:type="character" w:customStyle="1" w:styleId="CommentTextChar">
    <w:name w:val="Comment Text Char"/>
    <w:basedOn w:val="DefaultParagraphFont"/>
    <w:link w:val="CommentText"/>
    <w:uiPriority w:val="99"/>
    <w:rsid w:val="001B57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B57E1"/>
    <w:rPr>
      <w:b/>
      <w:bCs/>
    </w:rPr>
  </w:style>
  <w:style w:type="character" w:customStyle="1" w:styleId="CommentSubjectChar">
    <w:name w:val="Comment Subject Char"/>
    <w:basedOn w:val="CommentTextChar"/>
    <w:link w:val="CommentSubject"/>
    <w:uiPriority w:val="99"/>
    <w:semiHidden/>
    <w:rsid w:val="001B57E1"/>
    <w:rPr>
      <w:rFonts w:ascii="Arial" w:hAnsi="Arial"/>
      <w:b/>
      <w:bCs/>
      <w:sz w:val="20"/>
      <w:szCs w:val="20"/>
    </w:rPr>
  </w:style>
  <w:style w:type="character" w:styleId="Mention">
    <w:name w:val="Mention"/>
    <w:basedOn w:val="DefaultParagraphFont"/>
    <w:uiPriority w:val="99"/>
    <w:unhideWhenUsed/>
    <w:rsid w:val="001B57E1"/>
    <w:rPr>
      <w:color w:val="2B579A"/>
      <w:shd w:val="clear" w:color="auto" w:fill="E1DFDD"/>
    </w:rPr>
  </w:style>
  <w:style w:type="character" w:customStyle="1" w:styleId="normaltextrun">
    <w:name w:val="normaltextrun"/>
    <w:basedOn w:val="DefaultParagraphFont"/>
    <w:rsid w:val="00B634BD"/>
  </w:style>
  <w:style w:type="character" w:customStyle="1" w:styleId="eop">
    <w:name w:val="eop"/>
    <w:basedOn w:val="DefaultParagraphFont"/>
    <w:rsid w:val="00B634BD"/>
  </w:style>
  <w:style w:type="character" w:customStyle="1" w:styleId="cf01">
    <w:name w:val="cf01"/>
    <w:basedOn w:val="DefaultParagraphFont"/>
    <w:rsid w:val="00FB153B"/>
    <w:rPr>
      <w:rFonts w:ascii="Segoe UI" w:hAnsi="Segoe UI" w:cs="Segoe UI" w:hint="default"/>
      <w:sz w:val="18"/>
      <w:szCs w:val="18"/>
      <w:shd w:val="clear" w:color="auto" w:fill="FFFFFF"/>
    </w:rPr>
  </w:style>
  <w:style w:type="character" w:customStyle="1" w:styleId="cf11">
    <w:name w:val="cf11"/>
    <w:basedOn w:val="DefaultParagraphFont"/>
    <w:rsid w:val="00FB153B"/>
    <w:rPr>
      <w:rFonts w:ascii="Segoe UI" w:hAnsi="Segoe UI" w:cs="Segoe UI" w:hint="default"/>
      <w:i/>
      <w:iCs/>
      <w:sz w:val="18"/>
      <w:szCs w:val="18"/>
      <w:shd w:val="clear" w:color="auto" w:fill="FFFFFF"/>
    </w:rPr>
  </w:style>
  <w:style w:type="paragraph" w:styleId="Revision">
    <w:name w:val="Revision"/>
    <w:hidden/>
    <w:uiPriority w:val="99"/>
    <w:semiHidden/>
    <w:rsid w:val="00E16AAE"/>
    <w:pPr>
      <w:spacing w:after="0" w:line="240" w:lineRule="auto"/>
    </w:pPr>
    <w:rPr>
      <w:rFonts w:ascii="Arial" w:hAnsi="Arial"/>
      <w:sz w:val="20"/>
      <w:szCs w:val="20"/>
    </w:rPr>
  </w:style>
  <w:style w:type="character" w:styleId="UnresolvedMention">
    <w:name w:val="Unresolved Mention"/>
    <w:basedOn w:val="DefaultParagraphFont"/>
    <w:uiPriority w:val="99"/>
    <w:unhideWhenUsed/>
    <w:rsid w:val="00615146"/>
    <w:rPr>
      <w:color w:val="605E5C"/>
      <w:shd w:val="clear" w:color="auto" w:fill="E1DFDD"/>
    </w:rPr>
  </w:style>
  <w:style w:type="paragraph" w:customStyle="1" w:styleId="headingparagraph">
    <w:name w:val="headingparagraph"/>
    <w:basedOn w:val="Normal"/>
    <w:rsid w:val="00E328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name">
    <w:name w:val="headingname"/>
    <w:basedOn w:val="DefaultParagraphFont"/>
    <w:rsid w:val="00E32855"/>
  </w:style>
  <w:style w:type="character" w:customStyle="1" w:styleId="listnumber">
    <w:name w:val="listnumber"/>
    <w:basedOn w:val="DefaultParagraphFont"/>
    <w:rsid w:val="00E3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62402">
      <w:bodyDiv w:val="1"/>
      <w:marLeft w:val="0"/>
      <w:marRight w:val="0"/>
      <w:marTop w:val="0"/>
      <w:marBottom w:val="0"/>
      <w:divBdr>
        <w:top w:val="none" w:sz="0" w:space="0" w:color="auto"/>
        <w:left w:val="none" w:sz="0" w:space="0" w:color="auto"/>
        <w:bottom w:val="none" w:sz="0" w:space="0" w:color="auto"/>
        <w:right w:val="none" w:sz="0" w:space="0" w:color="auto"/>
      </w:divBdr>
      <w:divsChild>
        <w:div w:id="110449426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65899663">
              <w:blockQuote w:val="1"/>
              <w:marLeft w:val="600"/>
              <w:marRight w:val="0"/>
              <w:marTop w:val="120"/>
              <w:marBottom w:val="120"/>
              <w:divBdr>
                <w:top w:val="none" w:sz="0" w:space="0" w:color="auto"/>
                <w:left w:val="none" w:sz="0" w:space="0" w:color="auto"/>
                <w:bottom w:val="none" w:sz="0" w:space="0" w:color="auto"/>
                <w:right w:val="none" w:sz="0" w:space="0" w:color="auto"/>
              </w:divBdr>
            </w:div>
            <w:div w:id="5477641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50785582">
      <w:bodyDiv w:val="1"/>
      <w:marLeft w:val="0"/>
      <w:marRight w:val="0"/>
      <w:marTop w:val="0"/>
      <w:marBottom w:val="0"/>
      <w:divBdr>
        <w:top w:val="none" w:sz="0" w:space="0" w:color="auto"/>
        <w:left w:val="none" w:sz="0" w:space="0" w:color="auto"/>
        <w:bottom w:val="none" w:sz="0" w:space="0" w:color="auto"/>
        <w:right w:val="none" w:sz="0" w:space="0" w:color="auto"/>
      </w:divBdr>
    </w:div>
    <w:div w:id="1951744050">
      <w:bodyDiv w:val="1"/>
      <w:marLeft w:val="0"/>
      <w:marRight w:val="0"/>
      <w:marTop w:val="0"/>
      <w:marBottom w:val="0"/>
      <w:divBdr>
        <w:top w:val="none" w:sz="0" w:space="0" w:color="auto"/>
        <w:left w:val="none" w:sz="0" w:space="0" w:color="auto"/>
        <w:bottom w:val="none" w:sz="0" w:space="0" w:color="auto"/>
        <w:right w:val="none" w:sz="0" w:space="0" w:color="auto"/>
      </w:divBdr>
      <w:divsChild>
        <w:div w:id="143806071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07195722">
              <w:blockQuote w:val="1"/>
              <w:marLeft w:val="600"/>
              <w:marRight w:val="0"/>
              <w:marTop w:val="120"/>
              <w:marBottom w:val="120"/>
              <w:divBdr>
                <w:top w:val="none" w:sz="0" w:space="0" w:color="auto"/>
                <w:left w:val="none" w:sz="0" w:space="0" w:color="auto"/>
                <w:bottom w:val="none" w:sz="0" w:space="0" w:color="auto"/>
                <w:right w:val="none" w:sz="0" w:space="0" w:color="auto"/>
              </w:divBdr>
            </w:div>
            <w:div w:id="17331184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EAAC429-FC81-4E04-BAAB-3DD799C9083F}">
    <t:Anchor>
      <t:Comment id="390777180"/>
    </t:Anchor>
    <t:History>
      <t:Event id="{1CDE6794-BE1F-44B6-9AF4-6F65C52BCFB5}" time="2024-03-23T22:16:53.62Z">
        <t:Attribution userId="S::Scott.McDougall@qhrc.qld.gov.au::366bb7da-7903-4fc1-aadd-df001d1db362" userProvider="AD" userName="Scott McDougall"/>
        <t:Anchor>
          <t:Comment id="390777180"/>
        </t:Anchor>
        <t:Create/>
      </t:Event>
      <t:Event id="{C8E22A99-2314-415C-B2BD-B7C8E37F854D}" time="2024-03-23T22:16:53.62Z">
        <t:Attribution userId="S::Scott.McDougall@qhrc.qld.gov.au::366bb7da-7903-4fc1-aadd-df001d1db362" userProvider="AD" userName="Scott McDougall"/>
        <t:Anchor>
          <t:Comment id="390777180"/>
        </t:Anchor>
        <t:Assign userId="S::Heather.Corkhill@qhrc.qld.gov.au::e9b82c26-d539-488b-a410-320c97e167f6" userProvider="AD" userName="Heather Corkhill"/>
      </t:Event>
      <t:Event id="{A07C4AAF-CD24-40B8-A825-741FDC3E7F25}" time="2024-03-23T22:16:53.62Z">
        <t:Attribution userId="S::Scott.McDougall@qhrc.qld.gov.au::366bb7da-7903-4fc1-aadd-df001d1db362" userProvider="AD" userName="Scott McDougall"/>
        <t:Anchor>
          <t:Comment id="390777180"/>
        </t:Anchor>
        <t:SetTitle title="@Heather Corkhill do we need to deal with the problem of the definition of sex characteristics given our earlier discussion with JAG? Would “physical qualities” work or open a new can of wor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DCC8DB7DD6A34FA19A78F305829D99" ma:contentTypeVersion="6" ma:contentTypeDescription="Create a new document." ma:contentTypeScope="" ma:versionID="e43a76b8188e151d68dbe9461f0884ee">
  <xsd:schema xmlns:xsd="http://www.w3.org/2001/XMLSchema" xmlns:xs="http://www.w3.org/2001/XMLSchema" xmlns:p="http://schemas.microsoft.com/office/2006/metadata/properties" xmlns:ns2="e36519f3-4f2b-4e8b-8702-35122b379ea4" xmlns:ns3="4b19347a-9491-4220-8a59-46d160890b73" targetNamespace="http://schemas.microsoft.com/office/2006/metadata/properties" ma:root="true" ma:fieldsID="a8aa20ddc63a7a9278b1c01ee76e45c9" ns2:_="" ns3:_="">
    <xsd:import namespace="e36519f3-4f2b-4e8b-8702-35122b379ea4"/>
    <xsd:import namespace="4b19347a-9491-4220-8a59-46d160890b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519f3-4f2b-4e8b-8702-35122b3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9347a-9491-4220-8a59-46d160890b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b19347a-9491-4220-8a59-46d160890b73">
      <UserInfo>
        <DisplayName>Heather Corkhill</DisplayName>
        <AccountId>10</AccountId>
        <AccountType/>
      </UserInfo>
      <UserInfo>
        <DisplayName>Kate Marsh</DisplayName>
        <AccountId>18</AccountId>
        <AccountType/>
      </UserInfo>
    </SharedWithUsers>
  </documentManagement>
</p:properties>
</file>

<file path=customXml/itemProps1.xml><?xml version="1.0" encoding="utf-8"?>
<ds:datastoreItem xmlns:ds="http://schemas.openxmlformats.org/officeDocument/2006/customXml" ds:itemID="{43F541BE-9403-4EAD-BCCB-6ADCFB2B283B}">
  <ds:schemaRefs>
    <ds:schemaRef ds:uri="http://schemas.openxmlformats.org/officeDocument/2006/bibliography"/>
  </ds:schemaRefs>
</ds:datastoreItem>
</file>

<file path=customXml/itemProps2.xml><?xml version="1.0" encoding="utf-8"?>
<ds:datastoreItem xmlns:ds="http://schemas.openxmlformats.org/officeDocument/2006/customXml" ds:itemID="{DFB0A342-9CAA-44BA-875C-61B63E3ED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519f3-4f2b-4e8b-8702-35122b379ea4"/>
    <ds:schemaRef ds:uri="4b19347a-9491-4220-8a59-46d16089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99013-5339-436C-98A8-C42E3F66A386}">
  <ds:schemaRefs>
    <ds:schemaRef ds:uri="http://schemas.microsoft.com/sharepoint/v3/contenttype/forms"/>
  </ds:schemaRefs>
</ds:datastoreItem>
</file>

<file path=customXml/itemProps4.xml><?xml version="1.0" encoding="utf-8"?>
<ds:datastoreItem xmlns:ds="http://schemas.openxmlformats.org/officeDocument/2006/customXml" ds:itemID="{1843730B-EDD1-4F16-90D8-EE995028E139}">
  <ds:schemaRefs>
    <ds:schemaRef ds:uri="http://purl.org/dc/terms/"/>
    <ds:schemaRef ds:uri="4b19347a-9491-4220-8a59-46d160890b7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36519f3-4f2b-4e8b-8702-35122b379ea4"/>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8552</Words>
  <Characters>48748</Characters>
  <Application>Microsoft Office Word</Application>
  <DocSecurity>0</DocSecurity>
  <Lines>406</Lines>
  <Paragraphs>114</Paragraphs>
  <ScaleCrop>false</ScaleCrop>
  <Company/>
  <LinksUpToDate>false</LinksUpToDate>
  <CharactersWithSpaces>57186</CharactersWithSpaces>
  <SharedDoc>false</SharedDoc>
  <HLinks>
    <vt:vector size="12" baseType="variant">
      <vt:variant>
        <vt:i4>1441894</vt:i4>
      </vt:variant>
      <vt:variant>
        <vt:i4>3</vt:i4>
      </vt:variant>
      <vt:variant>
        <vt:i4>0</vt:i4>
      </vt:variant>
      <vt:variant>
        <vt:i4>5</vt:i4>
      </vt:variant>
      <vt:variant>
        <vt:lpwstr>mailto:Neroli.Holmes@qhrc.qld.gov.au</vt:lpwstr>
      </vt:variant>
      <vt:variant>
        <vt:lpwstr/>
      </vt:variant>
      <vt:variant>
        <vt:i4>2097242</vt:i4>
      </vt:variant>
      <vt:variant>
        <vt:i4>0</vt:i4>
      </vt:variant>
      <vt:variant>
        <vt:i4>0</vt:i4>
      </vt:variant>
      <vt:variant>
        <vt:i4>5</vt:i4>
      </vt:variant>
      <vt:variant>
        <vt:lpwstr>mailto:Scott.McDougall@qhrc.qld.gov.au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Valle</dc:creator>
  <cp:keywords/>
  <dc:description/>
  <cp:lastModifiedBy>Heather Corkhill</cp:lastModifiedBy>
  <cp:revision>2078</cp:revision>
  <cp:lastPrinted>2024-03-22T12:49:00Z</cp:lastPrinted>
  <dcterms:created xsi:type="dcterms:W3CDTF">2024-03-19T09:51:00Z</dcterms:created>
  <dcterms:modified xsi:type="dcterms:W3CDTF">2024-03-25T04:40:00Z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0x0101002ADCC8DB7DD6A34FA19A78F305829D99</vt:lpwstr>
  </property>
</Properties>
</file>