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color w:val="000000" w:themeColor="text1"/>
          <w:sz w:val="28"/>
          <w:szCs w:val="28"/>
          <w:lang w:val="en-AU"/>
        </w:rPr>
        <w:id w:val="2067608509"/>
        <w:docPartObj>
          <w:docPartGallery w:val="Cover Pages"/>
          <w:docPartUnique/>
        </w:docPartObj>
      </w:sdtPr>
      <w:sdtEndPr>
        <w:rPr>
          <w:rFonts w:cstheme="minorBidi"/>
          <w:sz w:val="16"/>
          <w:szCs w:val="16"/>
        </w:rPr>
      </w:sdtEndPr>
      <w:sdtContent>
        <w:p w14:paraId="046BE9DB" w14:textId="77777777" w:rsidR="0035517B" w:rsidRDefault="0035517B" w:rsidP="00260847">
          <w:pPr>
            <w:pStyle w:val="NoSpacing"/>
            <w:spacing w:before="120" w:after="120"/>
            <w:rPr>
              <w:rFonts w:ascii="Arial" w:hAnsi="Arial" w:cs="Arial"/>
              <w:bCs/>
              <w:sz w:val="28"/>
            </w:rPr>
          </w:pPr>
        </w:p>
        <w:p w14:paraId="3AF72577" w14:textId="77777777" w:rsidR="0035517B" w:rsidRDefault="0035517B" w:rsidP="00260847">
          <w:pPr>
            <w:pStyle w:val="NoSpacing"/>
            <w:spacing w:before="120" w:after="120"/>
            <w:rPr>
              <w:rFonts w:ascii="Arial" w:hAnsi="Arial" w:cs="Arial"/>
              <w:bCs/>
              <w:sz w:val="28"/>
            </w:rPr>
          </w:pPr>
        </w:p>
        <w:p w14:paraId="366514D5"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196CEDE7" wp14:editId="02EF6800">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5EDCF79C" w14:textId="77777777" w:rsidR="0035517B" w:rsidRDefault="0035517B" w:rsidP="00260847">
          <w:pPr>
            <w:pStyle w:val="NoSpacing"/>
            <w:spacing w:before="120" w:after="120"/>
            <w:rPr>
              <w:rFonts w:ascii="Arial" w:hAnsi="Arial" w:cs="Arial"/>
              <w:bCs/>
              <w:sz w:val="28"/>
            </w:rPr>
          </w:pPr>
        </w:p>
        <w:p w14:paraId="5E13F968" w14:textId="77777777" w:rsidR="0035517B" w:rsidRDefault="0035517B" w:rsidP="00260847">
          <w:pPr>
            <w:pStyle w:val="NoSpacing"/>
            <w:spacing w:before="120" w:after="120"/>
            <w:rPr>
              <w:rFonts w:ascii="Arial" w:hAnsi="Arial" w:cs="Arial"/>
              <w:bCs/>
              <w:sz w:val="28"/>
            </w:rPr>
          </w:pPr>
        </w:p>
        <w:p w14:paraId="3F53ED89" w14:textId="77777777" w:rsidR="0035517B" w:rsidRDefault="0035517B" w:rsidP="00260847">
          <w:pPr>
            <w:pStyle w:val="NoSpacing"/>
            <w:spacing w:before="120" w:after="120"/>
            <w:rPr>
              <w:rFonts w:ascii="Arial" w:hAnsi="Arial" w:cs="Arial"/>
              <w:bCs/>
              <w:sz w:val="28"/>
            </w:rPr>
          </w:pPr>
        </w:p>
        <w:p w14:paraId="11CC8A0C" w14:textId="77777777" w:rsidR="0035517B" w:rsidRDefault="0035517B" w:rsidP="00260847">
          <w:pPr>
            <w:pStyle w:val="NoSpacing"/>
            <w:spacing w:before="120" w:after="120"/>
            <w:rPr>
              <w:rFonts w:ascii="Arial" w:hAnsi="Arial" w:cs="Arial"/>
              <w:bCs/>
              <w:sz w:val="28"/>
            </w:rPr>
          </w:pPr>
        </w:p>
        <w:p w14:paraId="6ED8A9B3" w14:textId="77777777" w:rsidR="0035517B" w:rsidRDefault="0035517B" w:rsidP="00260847">
          <w:pPr>
            <w:pStyle w:val="NoSpacing"/>
            <w:spacing w:before="120" w:after="120"/>
            <w:rPr>
              <w:rFonts w:ascii="Arial" w:hAnsi="Arial" w:cs="Arial"/>
              <w:bCs/>
              <w:sz w:val="28"/>
            </w:rPr>
          </w:pPr>
        </w:p>
        <w:p w14:paraId="08F332D7" w14:textId="77777777" w:rsidR="0035517B" w:rsidRDefault="0035517B" w:rsidP="00260847">
          <w:pPr>
            <w:pStyle w:val="NoSpacing"/>
            <w:spacing w:before="120" w:after="120"/>
            <w:rPr>
              <w:rFonts w:ascii="Arial" w:hAnsi="Arial" w:cs="Arial"/>
              <w:bCs/>
              <w:sz w:val="28"/>
            </w:rPr>
          </w:pPr>
        </w:p>
        <w:p w14:paraId="74F20A7D" w14:textId="453D0EE1" w:rsidR="0035517B" w:rsidRPr="0035517B" w:rsidRDefault="008B0476" w:rsidP="0035517B">
          <w:pPr>
            <w:pStyle w:val="Title"/>
          </w:pPr>
          <w:r>
            <w:t>Anti-Discrimination Bill</w:t>
          </w:r>
          <w:r w:rsidR="00442C5D">
            <w:t xml:space="preserve"> 2024</w:t>
          </w:r>
          <w:r w:rsidR="00EE1A9B">
            <w:t xml:space="preserve"> </w:t>
          </w:r>
          <w:r w:rsidR="00442C5D">
            <w:t>consultation</w:t>
          </w:r>
        </w:p>
        <w:p w14:paraId="048959F2" w14:textId="165A330F" w:rsidR="00260847" w:rsidRPr="00022567" w:rsidRDefault="00260847" w:rsidP="00B35855">
          <w:pPr>
            <w:rPr>
              <w:color w:val="004270"/>
              <w:sz w:val="36"/>
              <w:szCs w:val="36"/>
            </w:rPr>
          </w:pPr>
          <w:r w:rsidRPr="00022567">
            <w:rPr>
              <w:color w:val="004270"/>
              <w:sz w:val="36"/>
              <w:szCs w:val="36"/>
            </w:rPr>
            <w:t xml:space="preserve">Submission to </w:t>
          </w:r>
          <w:r w:rsidR="00442C5D" w:rsidRPr="00022567">
            <w:rPr>
              <w:color w:val="004270"/>
              <w:sz w:val="36"/>
              <w:szCs w:val="36"/>
            </w:rPr>
            <w:t xml:space="preserve">Department of Justice and </w:t>
          </w:r>
          <w:r w:rsidR="00CF55AC" w:rsidRPr="00022567">
            <w:rPr>
              <w:color w:val="004270"/>
              <w:sz w:val="36"/>
              <w:szCs w:val="36"/>
            </w:rPr>
            <w:t>Attorney</w:t>
          </w:r>
          <w:r w:rsidR="00442C5D" w:rsidRPr="00022567">
            <w:rPr>
              <w:color w:val="004270"/>
              <w:sz w:val="36"/>
              <w:szCs w:val="36"/>
            </w:rPr>
            <w:t>-General</w:t>
          </w:r>
        </w:p>
        <w:p w14:paraId="244C4832" w14:textId="7FBA3B10" w:rsidR="00260847" w:rsidRPr="00022567" w:rsidRDefault="00EE1A9B" w:rsidP="00B35855">
          <w:pPr>
            <w:rPr>
              <w:color w:val="004270"/>
              <w:sz w:val="36"/>
              <w:szCs w:val="36"/>
            </w:rPr>
          </w:pPr>
          <w:r w:rsidRPr="00022567">
            <w:rPr>
              <w:color w:val="004270"/>
              <w:sz w:val="36"/>
              <w:szCs w:val="36"/>
            </w:rPr>
            <w:t>2</w:t>
          </w:r>
          <w:r w:rsidR="008B0476" w:rsidRPr="00022567">
            <w:rPr>
              <w:color w:val="004270"/>
              <w:sz w:val="36"/>
              <w:szCs w:val="36"/>
            </w:rPr>
            <w:t>2</w:t>
          </w:r>
          <w:r w:rsidR="00F5290B" w:rsidRPr="00022567">
            <w:rPr>
              <w:color w:val="004270"/>
              <w:sz w:val="36"/>
              <w:szCs w:val="36"/>
            </w:rPr>
            <w:t xml:space="preserve"> </w:t>
          </w:r>
          <w:r w:rsidR="008B0476" w:rsidRPr="00022567">
            <w:rPr>
              <w:color w:val="004270"/>
              <w:sz w:val="36"/>
              <w:szCs w:val="36"/>
            </w:rPr>
            <w:t>March</w:t>
          </w:r>
          <w:r w:rsidR="00F5290B" w:rsidRPr="00022567">
            <w:rPr>
              <w:color w:val="004270"/>
              <w:sz w:val="36"/>
              <w:szCs w:val="36"/>
            </w:rPr>
            <w:t xml:space="preserve"> 2024</w:t>
          </w:r>
        </w:p>
        <w:p w14:paraId="28668B38" w14:textId="274822DD" w:rsidR="00E8497D" w:rsidRPr="008A20C0" w:rsidRDefault="00260847" w:rsidP="00E8497D">
          <w:pPr>
            <w:rPr>
              <w:rFonts w:cs="Arial"/>
              <w:bCs/>
              <w:color w:val="004270"/>
              <w:sz w:val="28"/>
              <w:szCs w:val="22"/>
              <w:lang w:val="en-US"/>
            </w:rPr>
          </w:pPr>
          <w:r w:rsidRPr="00022567">
            <w:rPr>
              <w:rFonts w:cs="Arial"/>
              <w:bCs/>
              <w:color w:val="004270"/>
              <w:sz w:val="28"/>
            </w:rPr>
            <w:br w:type="page"/>
          </w:r>
        </w:p>
      </w:sdtContent>
    </w:sdt>
    <w:p w14:paraId="20ABCBAD" w14:textId="5309C8DF" w:rsidR="00A16356" w:rsidRPr="00E8497D" w:rsidRDefault="002D6B60" w:rsidP="005C69C9">
      <w:pPr>
        <w:pStyle w:val="Heading1"/>
        <w:rPr>
          <w:b/>
          <w:color w:val="365F91" w:themeColor="accent1" w:themeShade="BF"/>
          <w:sz w:val="16"/>
          <w:szCs w:val="16"/>
        </w:rPr>
      </w:pPr>
      <w:r>
        <w:lastRenderedPageBreak/>
        <w:t>C</w:t>
      </w:r>
      <w:r w:rsidR="00A16356" w:rsidRPr="00A16356">
        <w:t>ontents</w:t>
      </w:r>
    </w:p>
    <w:p w14:paraId="00A46CEB" w14:textId="796606F9" w:rsidR="006703DF" w:rsidRPr="00B36D11" w:rsidRDefault="04E279A2" w:rsidP="006703DF">
      <w:pPr>
        <w:pStyle w:val="TOC1"/>
        <w:rPr>
          <w:rFonts w:asciiTheme="minorHAnsi" w:hAnsiTheme="minorHAnsi"/>
          <w:b/>
          <w:bCs/>
          <w:color w:val="auto"/>
          <w:szCs w:val="28"/>
          <w:lang w:eastAsia="zh-CN" w:bidi="th-TH"/>
        </w:rPr>
      </w:pPr>
      <w:r>
        <w:fldChar w:fldCharType="begin"/>
      </w:r>
      <w:r>
        <w:instrText>TOC \o "1-3" \h \z \u</w:instrText>
      </w:r>
      <w:r>
        <w:fldChar w:fldCharType="separate"/>
      </w:r>
      <w:hyperlink w:anchor="_Toc161917214" w:history="1">
        <w:r w:rsidR="006703DF" w:rsidRPr="00B36D11">
          <w:rPr>
            <w:rStyle w:val="Hyperlink"/>
            <w:b/>
            <w:bCs/>
            <w:lang w:val="en-US"/>
          </w:rPr>
          <w:t>About the Commission</w:t>
        </w:r>
        <w:r w:rsidR="006703DF" w:rsidRPr="00B36D11">
          <w:rPr>
            <w:b/>
            <w:bCs/>
            <w:webHidden/>
          </w:rPr>
          <w:tab/>
        </w:r>
        <w:r w:rsidR="006703DF" w:rsidRPr="00B36D11">
          <w:rPr>
            <w:b/>
            <w:bCs/>
            <w:webHidden/>
          </w:rPr>
          <w:fldChar w:fldCharType="begin"/>
        </w:r>
        <w:r w:rsidR="006703DF" w:rsidRPr="00B36D11">
          <w:rPr>
            <w:b/>
            <w:bCs/>
            <w:webHidden/>
          </w:rPr>
          <w:instrText xml:space="preserve"> PAGEREF _Toc161917214 \h </w:instrText>
        </w:r>
        <w:r w:rsidR="006703DF" w:rsidRPr="00B36D11">
          <w:rPr>
            <w:b/>
            <w:bCs/>
            <w:webHidden/>
          </w:rPr>
        </w:r>
        <w:r w:rsidR="006703DF" w:rsidRPr="00B36D11">
          <w:rPr>
            <w:b/>
            <w:bCs/>
            <w:webHidden/>
          </w:rPr>
          <w:fldChar w:fldCharType="separate"/>
        </w:r>
        <w:r w:rsidR="002173BE">
          <w:rPr>
            <w:b/>
            <w:bCs/>
            <w:webHidden/>
          </w:rPr>
          <w:t>3</w:t>
        </w:r>
        <w:r w:rsidR="006703DF" w:rsidRPr="00B36D11">
          <w:rPr>
            <w:b/>
            <w:bCs/>
            <w:webHidden/>
          </w:rPr>
          <w:fldChar w:fldCharType="end"/>
        </w:r>
      </w:hyperlink>
    </w:p>
    <w:p w14:paraId="3EF3293F" w14:textId="5CBCBF4B" w:rsidR="006703DF" w:rsidRPr="00B36D11" w:rsidRDefault="00AD778C" w:rsidP="006703DF">
      <w:pPr>
        <w:pStyle w:val="TOC1"/>
        <w:rPr>
          <w:rFonts w:asciiTheme="minorHAnsi" w:hAnsiTheme="minorHAnsi"/>
          <w:b/>
          <w:bCs/>
          <w:color w:val="auto"/>
          <w:szCs w:val="28"/>
          <w:lang w:eastAsia="zh-CN" w:bidi="th-TH"/>
        </w:rPr>
      </w:pPr>
      <w:hyperlink w:anchor="_Toc161917215" w:history="1">
        <w:r w:rsidR="006703DF" w:rsidRPr="00B36D11">
          <w:rPr>
            <w:rStyle w:val="Hyperlink"/>
            <w:b/>
            <w:bCs/>
          </w:rPr>
          <w:t>Summary of submission</w:t>
        </w:r>
        <w:r w:rsidR="006703DF" w:rsidRPr="00B36D11">
          <w:rPr>
            <w:b/>
            <w:bCs/>
            <w:webHidden/>
          </w:rPr>
          <w:tab/>
        </w:r>
        <w:r w:rsidR="006703DF" w:rsidRPr="00B36D11">
          <w:rPr>
            <w:b/>
            <w:bCs/>
            <w:webHidden/>
          </w:rPr>
          <w:fldChar w:fldCharType="begin"/>
        </w:r>
        <w:r w:rsidR="006703DF" w:rsidRPr="00B36D11">
          <w:rPr>
            <w:b/>
            <w:bCs/>
            <w:webHidden/>
          </w:rPr>
          <w:instrText xml:space="preserve"> PAGEREF _Toc161917215 \h </w:instrText>
        </w:r>
        <w:r w:rsidR="006703DF" w:rsidRPr="00B36D11">
          <w:rPr>
            <w:b/>
            <w:bCs/>
            <w:webHidden/>
          </w:rPr>
        </w:r>
        <w:r w:rsidR="006703DF" w:rsidRPr="00B36D11">
          <w:rPr>
            <w:b/>
            <w:bCs/>
            <w:webHidden/>
          </w:rPr>
          <w:fldChar w:fldCharType="separate"/>
        </w:r>
        <w:r w:rsidR="002173BE">
          <w:rPr>
            <w:b/>
            <w:bCs/>
            <w:webHidden/>
          </w:rPr>
          <w:t>3</w:t>
        </w:r>
        <w:r w:rsidR="006703DF" w:rsidRPr="00B36D11">
          <w:rPr>
            <w:b/>
            <w:bCs/>
            <w:webHidden/>
          </w:rPr>
          <w:fldChar w:fldCharType="end"/>
        </w:r>
      </w:hyperlink>
    </w:p>
    <w:p w14:paraId="1182205F" w14:textId="30C88BA8" w:rsidR="006703DF" w:rsidRPr="00B36D11" w:rsidRDefault="00AD778C" w:rsidP="006703DF">
      <w:pPr>
        <w:pStyle w:val="TOC1"/>
        <w:rPr>
          <w:rFonts w:asciiTheme="minorHAnsi" w:hAnsiTheme="minorHAnsi"/>
          <w:b/>
          <w:bCs/>
          <w:color w:val="auto"/>
          <w:szCs w:val="28"/>
          <w:lang w:eastAsia="zh-CN" w:bidi="th-TH"/>
        </w:rPr>
      </w:pPr>
      <w:hyperlink w:anchor="_Toc161917216" w:history="1">
        <w:r w:rsidR="006703DF" w:rsidRPr="00B36D11">
          <w:rPr>
            <w:rStyle w:val="Hyperlink"/>
            <w:b/>
            <w:bCs/>
            <w:lang w:val="en-US"/>
          </w:rPr>
          <w:t>Background</w:t>
        </w:r>
        <w:r w:rsidR="006703DF" w:rsidRPr="00B36D11">
          <w:rPr>
            <w:b/>
            <w:bCs/>
            <w:webHidden/>
          </w:rPr>
          <w:tab/>
        </w:r>
        <w:r w:rsidR="006703DF" w:rsidRPr="00B36D11">
          <w:rPr>
            <w:b/>
            <w:bCs/>
            <w:webHidden/>
          </w:rPr>
          <w:fldChar w:fldCharType="begin"/>
        </w:r>
        <w:r w:rsidR="006703DF" w:rsidRPr="00B36D11">
          <w:rPr>
            <w:b/>
            <w:bCs/>
            <w:webHidden/>
          </w:rPr>
          <w:instrText xml:space="preserve"> PAGEREF _Toc161917216 \h </w:instrText>
        </w:r>
        <w:r w:rsidR="006703DF" w:rsidRPr="00B36D11">
          <w:rPr>
            <w:b/>
            <w:bCs/>
            <w:webHidden/>
          </w:rPr>
        </w:r>
        <w:r w:rsidR="006703DF" w:rsidRPr="00B36D11">
          <w:rPr>
            <w:b/>
            <w:bCs/>
            <w:webHidden/>
          </w:rPr>
          <w:fldChar w:fldCharType="separate"/>
        </w:r>
        <w:r w:rsidR="002173BE">
          <w:rPr>
            <w:b/>
            <w:bCs/>
            <w:webHidden/>
          </w:rPr>
          <w:t>3</w:t>
        </w:r>
        <w:r w:rsidR="006703DF" w:rsidRPr="00B36D11">
          <w:rPr>
            <w:b/>
            <w:bCs/>
            <w:webHidden/>
          </w:rPr>
          <w:fldChar w:fldCharType="end"/>
        </w:r>
      </w:hyperlink>
    </w:p>
    <w:p w14:paraId="48208A38" w14:textId="2BFF8451" w:rsidR="006703DF" w:rsidRPr="00B36D11" w:rsidRDefault="00AD778C" w:rsidP="006703DF">
      <w:pPr>
        <w:pStyle w:val="TOC1"/>
        <w:rPr>
          <w:rFonts w:asciiTheme="minorHAnsi" w:hAnsiTheme="minorHAnsi"/>
          <w:b/>
          <w:bCs/>
          <w:color w:val="auto"/>
          <w:szCs w:val="28"/>
          <w:lang w:eastAsia="zh-CN" w:bidi="th-TH"/>
        </w:rPr>
      </w:pPr>
      <w:hyperlink w:anchor="_Toc161917217" w:history="1">
        <w:r w:rsidR="006703DF" w:rsidRPr="00B36D11">
          <w:rPr>
            <w:rStyle w:val="Hyperlink"/>
            <w:b/>
            <w:bCs/>
          </w:rPr>
          <w:t>Key improvements</w:t>
        </w:r>
        <w:r w:rsidR="006703DF" w:rsidRPr="00B36D11">
          <w:rPr>
            <w:b/>
            <w:bCs/>
            <w:webHidden/>
          </w:rPr>
          <w:tab/>
        </w:r>
        <w:r w:rsidR="006703DF" w:rsidRPr="00B36D11">
          <w:rPr>
            <w:b/>
            <w:bCs/>
            <w:webHidden/>
          </w:rPr>
          <w:fldChar w:fldCharType="begin"/>
        </w:r>
        <w:r w:rsidR="006703DF" w:rsidRPr="00B36D11">
          <w:rPr>
            <w:b/>
            <w:bCs/>
            <w:webHidden/>
          </w:rPr>
          <w:instrText xml:space="preserve"> PAGEREF _Toc161917217 \h </w:instrText>
        </w:r>
        <w:r w:rsidR="006703DF" w:rsidRPr="00B36D11">
          <w:rPr>
            <w:b/>
            <w:bCs/>
            <w:webHidden/>
          </w:rPr>
        </w:r>
        <w:r w:rsidR="006703DF" w:rsidRPr="00B36D11">
          <w:rPr>
            <w:b/>
            <w:bCs/>
            <w:webHidden/>
          </w:rPr>
          <w:fldChar w:fldCharType="separate"/>
        </w:r>
        <w:r w:rsidR="002173BE">
          <w:rPr>
            <w:b/>
            <w:bCs/>
            <w:webHidden/>
          </w:rPr>
          <w:t>5</w:t>
        </w:r>
        <w:r w:rsidR="006703DF" w:rsidRPr="00B36D11">
          <w:rPr>
            <w:b/>
            <w:bCs/>
            <w:webHidden/>
          </w:rPr>
          <w:fldChar w:fldCharType="end"/>
        </w:r>
      </w:hyperlink>
    </w:p>
    <w:p w14:paraId="2363588B" w14:textId="53923D78" w:rsidR="006703DF" w:rsidRDefault="00AD778C" w:rsidP="00CC781B">
      <w:pPr>
        <w:pStyle w:val="TOC2"/>
        <w:rPr>
          <w:rFonts w:asciiTheme="minorHAnsi" w:hAnsiTheme="minorHAnsi"/>
          <w:noProof/>
          <w:color w:val="auto"/>
          <w:szCs w:val="28"/>
          <w:lang w:eastAsia="zh-CN" w:bidi="th-TH"/>
        </w:rPr>
      </w:pPr>
      <w:hyperlink w:anchor="_Toc161917218" w:history="1">
        <w:r w:rsidR="006703DF" w:rsidRPr="00B07607">
          <w:rPr>
            <w:rStyle w:val="Hyperlink"/>
            <w:noProof/>
          </w:rPr>
          <w:t>Shifting to prevention</w:t>
        </w:r>
        <w:r w:rsidR="006703DF">
          <w:rPr>
            <w:noProof/>
            <w:webHidden/>
          </w:rPr>
          <w:tab/>
        </w:r>
        <w:r w:rsidR="006703DF">
          <w:rPr>
            <w:noProof/>
            <w:webHidden/>
          </w:rPr>
          <w:fldChar w:fldCharType="begin"/>
        </w:r>
        <w:r w:rsidR="006703DF">
          <w:rPr>
            <w:noProof/>
            <w:webHidden/>
          </w:rPr>
          <w:instrText xml:space="preserve"> PAGEREF _Toc161917218 \h </w:instrText>
        </w:r>
        <w:r w:rsidR="006703DF">
          <w:rPr>
            <w:noProof/>
            <w:webHidden/>
          </w:rPr>
        </w:r>
        <w:r w:rsidR="006703DF">
          <w:rPr>
            <w:noProof/>
            <w:webHidden/>
          </w:rPr>
          <w:fldChar w:fldCharType="separate"/>
        </w:r>
        <w:r w:rsidR="002173BE">
          <w:rPr>
            <w:noProof/>
            <w:webHidden/>
          </w:rPr>
          <w:t>5</w:t>
        </w:r>
        <w:r w:rsidR="006703DF">
          <w:rPr>
            <w:noProof/>
            <w:webHidden/>
          </w:rPr>
          <w:fldChar w:fldCharType="end"/>
        </w:r>
      </w:hyperlink>
    </w:p>
    <w:p w14:paraId="354889F0" w14:textId="24CBEBD4" w:rsidR="006703DF" w:rsidRDefault="00AD778C" w:rsidP="00CC781B">
      <w:pPr>
        <w:pStyle w:val="TOC2"/>
        <w:rPr>
          <w:rFonts w:asciiTheme="minorHAnsi" w:hAnsiTheme="minorHAnsi"/>
          <w:noProof/>
          <w:color w:val="auto"/>
          <w:szCs w:val="28"/>
          <w:lang w:eastAsia="zh-CN" w:bidi="th-TH"/>
        </w:rPr>
      </w:pPr>
      <w:hyperlink w:anchor="_Toc161917219" w:history="1">
        <w:r w:rsidR="006703DF" w:rsidRPr="00B07607">
          <w:rPr>
            <w:rStyle w:val="Hyperlink"/>
            <w:noProof/>
          </w:rPr>
          <w:t>Refining the key concepts – discrimination and sexual harassment</w:t>
        </w:r>
        <w:r w:rsidR="006703DF">
          <w:rPr>
            <w:noProof/>
            <w:webHidden/>
          </w:rPr>
          <w:tab/>
        </w:r>
        <w:r w:rsidR="006703DF">
          <w:rPr>
            <w:noProof/>
            <w:webHidden/>
          </w:rPr>
          <w:fldChar w:fldCharType="begin"/>
        </w:r>
        <w:r w:rsidR="006703DF">
          <w:rPr>
            <w:noProof/>
            <w:webHidden/>
          </w:rPr>
          <w:instrText xml:space="preserve"> PAGEREF _Toc161917219 \h </w:instrText>
        </w:r>
        <w:r w:rsidR="006703DF">
          <w:rPr>
            <w:noProof/>
            <w:webHidden/>
          </w:rPr>
        </w:r>
        <w:r w:rsidR="006703DF">
          <w:rPr>
            <w:noProof/>
            <w:webHidden/>
          </w:rPr>
          <w:fldChar w:fldCharType="separate"/>
        </w:r>
        <w:r w:rsidR="002173BE">
          <w:rPr>
            <w:noProof/>
            <w:webHidden/>
          </w:rPr>
          <w:t>5</w:t>
        </w:r>
        <w:r w:rsidR="006703DF">
          <w:rPr>
            <w:noProof/>
            <w:webHidden/>
          </w:rPr>
          <w:fldChar w:fldCharType="end"/>
        </w:r>
      </w:hyperlink>
    </w:p>
    <w:p w14:paraId="3AE093EE" w14:textId="5D5DC427" w:rsidR="006703DF" w:rsidRDefault="00AD778C" w:rsidP="00CC781B">
      <w:pPr>
        <w:pStyle w:val="TOC2"/>
        <w:rPr>
          <w:rFonts w:asciiTheme="minorHAnsi" w:hAnsiTheme="minorHAnsi"/>
          <w:noProof/>
          <w:color w:val="auto"/>
          <w:szCs w:val="28"/>
          <w:lang w:eastAsia="zh-CN" w:bidi="th-TH"/>
        </w:rPr>
      </w:pPr>
      <w:hyperlink w:anchor="_Toc161917220" w:history="1">
        <w:r w:rsidR="006703DF" w:rsidRPr="00B07607">
          <w:rPr>
            <w:rStyle w:val="Hyperlink"/>
            <w:noProof/>
          </w:rPr>
          <w:t>Enhancing protections from vilification and hate speech</w:t>
        </w:r>
        <w:r w:rsidR="006703DF">
          <w:rPr>
            <w:noProof/>
            <w:webHidden/>
          </w:rPr>
          <w:tab/>
        </w:r>
        <w:r w:rsidR="006703DF">
          <w:rPr>
            <w:noProof/>
            <w:webHidden/>
          </w:rPr>
          <w:fldChar w:fldCharType="begin"/>
        </w:r>
        <w:r w:rsidR="006703DF">
          <w:rPr>
            <w:noProof/>
            <w:webHidden/>
          </w:rPr>
          <w:instrText xml:space="preserve"> PAGEREF _Toc161917220 \h </w:instrText>
        </w:r>
        <w:r w:rsidR="006703DF">
          <w:rPr>
            <w:noProof/>
            <w:webHidden/>
          </w:rPr>
        </w:r>
        <w:r w:rsidR="006703DF">
          <w:rPr>
            <w:noProof/>
            <w:webHidden/>
          </w:rPr>
          <w:fldChar w:fldCharType="separate"/>
        </w:r>
        <w:r w:rsidR="002173BE">
          <w:rPr>
            <w:noProof/>
            <w:webHidden/>
          </w:rPr>
          <w:t>5</w:t>
        </w:r>
        <w:r w:rsidR="006703DF">
          <w:rPr>
            <w:noProof/>
            <w:webHidden/>
          </w:rPr>
          <w:fldChar w:fldCharType="end"/>
        </w:r>
      </w:hyperlink>
    </w:p>
    <w:p w14:paraId="5497DFD6" w14:textId="008A535F" w:rsidR="006703DF" w:rsidRDefault="00AD778C" w:rsidP="00CC781B">
      <w:pPr>
        <w:pStyle w:val="TOC2"/>
        <w:rPr>
          <w:rFonts w:asciiTheme="minorHAnsi" w:hAnsiTheme="minorHAnsi"/>
          <w:noProof/>
          <w:color w:val="auto"/>
          <w:szCs w:val="28"/>
          <w:lang w:eastAsia="zh-CN" w:bidi="th-TH"/>
        </w:rPr>
      </w:pPr>
      <w:hyperlink w:anchor="_Toc161917221" w:history="1">
        <w:r w:rsidR="006703DF" w:rsidRPr="00B07607">
          <w:rPr>
            <w:rStyle w:val="Hyperlink"/>
            <w:noProof/>
          </w:rPr>
          <w:t>Improving the complaints system</w:t>
        </w:r>
        <w:r w:rsidR="006703DF">
          <w:rPr>
            <w:noProof/>
            <w:webHidden/>
          </w:rPr>
          <w:tab/>
        </w:r>
        <w:r w:rsidR="006703DF">
          <w:rPr>
            <w:noProof/>
            <w:webHidden/>
          </w:rPr>
          <w:fldChar w:fldCharType="begin"/>
        </w:r>
        <w:r w:rsidR="006703DF">
          <w:rPr>
            <w:noProof/>
            <w:webHidden/>
          </w:rPr>
          <w:instrText xml:space="preserve"> PAGEREF _Toc161917221 \h </w:instrText>
        </w:r>
        <w:r w:rsidR="006703DF">
          <w:rPr>
            <w:noProof/>
            <w:webHidden/>
          </w:rPr>
        </w:r>
        <w:r w:rsidR="006703DF">
          <w:rPr>
            <w:noProof/>
            <w:webHidden/>
          </w:rPr>
          <w:fldChar w:fldCharType="separate"/>
        </w:r>
        <w:r w:rsidR="002173BE">
          <w:rPr>
            <w:noProof/>
            <w:webHidden/>
          </w:rPr>
          <w:t>6</w:t>
        </w:r>
        <w:r w:rsidR="006703DF">
          <w:rPr>
            <w:noProof/>
            <w:webHidden/>
          </w:rPr>
          <w:fldChar w:fldCharType="end"/>
        </w:r>
      </w:hyperlink>
    </w:p>
    <w:p w14:paraId="6172EE6E" w14:textId="6A2452EE" w:rsidR="006703DF" w:rsidRDefault="00AD778C" w:rsidP="00CC781B">
      <w:pPr>
        <w:pStyle w:val="TOC2"/>
        <w:rPr>
          <w:rFonts w:asciiTheme="minorHAnsi" w:hAnsiTheme="minorHAnsi"/>
          <w:noProof/>
          <w:color w:val="auto"/>
          <w:szCs w:val="28"/>
          <w:lang w:eastAsia="zh-CN" w:bidi="th-TH"/>
        </w:rPr>
      </w:pPr>
      <w:hyperlink w:anchor="_Toc161917222" w:history="1">
        <w:r w:rsidR="006703DF" w:rsidRPr="00B07607">
          <w:rPr>
            <w:rStyle w:val="Hyperlink"/>
            <w:noProof/>
          </w:rPr>
          <w:t>Increasing protections</w:t>
        </w:r>
        <w:r w:rsidR="006703DF">
          <w:rPr>
            <w:noProof/>
            <w:webHidden/>
          </w:rPr>
          <w:tab/>
        </w:r>
        <w:r w:rsidR="006703DF">
          <w:rPr>
            <w:noProof/>
            <w:webHidden/>
          </w:rPr>
          <w:fldChar w:fldCharType="begin"/>
        </w:r>
        <w:r w:rsidR="006703DF">
          <w:rPr>
            <w:noProof/>
            <w:webHidden/>
          </w:rPr>
          <w:instrText xml:space="preserve"> PAGEREF _Toc161917222 \h </w:instrText>
        </w:r>
        <w:r w:rsidR="006703DF">
          <w:rPr>
            <w:noProof/>
            <w:webHidden/>
          </w:rPr>
        </w:r>
        <w:r w:rsidR="006703DF">
          <w:rPr>
            <w:noProof/>
            <w:webHidden/>
          </w:rPr>
          <w:fldChar w:fldCharType="separate"/>
        </w:r>
        <w:r w:rsidR="002173BE">
          <w:rPr>
            <w:noProof/>
            <w:webHidden/>
          </w:rPr>
          <w:t>6</w:t>
        </w:r>
        <w:r w:rsidR="006703DF">
          <w:rPr>
            <w:noProof/>
            <w:webHidden/>
          </w:rPr>
          <w:fldChar w:fldCharType="end"/>
        </w:r>
      </w:hyperlink>
    </w:p>
    <w:p w14:paraId="1131DC10" w14:textId="0655BB04" w:rsidR="006703DF" w:rsidRDefault="00AD778C" w:rsidP="006703DF">
      <w:pPr>
        <w:pStyle w:val="TOC1"/>
        <w:rPr>
          <w:rFonts w:asciiTheme="minorHAnsi" w:hAnsiTheme="minorHAnsi"/>
          <w:color w:val="auto"/>
          <w:szCs w:val="28"/>
          <w:lang w:eastAsia="zh-CN" w:bidi="th-TH"/>
        </w:rPr>
      </w:pPr>
      <w:hyperlink w:anchor="_Toc161917223" w:history="1">
        <w:r w:rsidR="006703DF" w:rsidRPr="00B36D11">
          <w:rPr>
            <w:rStyle w:val="Hyperlink"/>
            <w:b/>
            <w:bCs/>
          </w:rPr>
          <w:t>Priority concerns</w:t>
        </w:r>
        <w:r w:rsidR="006703DF" w:rsidRPr="00B36D11">
          <w:rPr>
            <w:webHidden/>
          </w:rPr>
          <w:tab/>
        </w:r>
        <w:r w:rsidR="006703DF" w:rsidRPr="00B36D11">
          <w:rPr>
            <w:webHidden/>
          </w:rPr>
          <w:fldChar w:fldCharType="begin"/>
        </w:r>
        <w:r w:rsidR="006703DF" w:rsidRPr="00B36D11">
          <w:rPr>
            <w:webHidden/>
          </w:rPr>
          <w:instrText xml:space="preserve"> PAGEREF _Toc161917223 \h </w:instrText>
        </w:r>
        <w:r w:rsidR="006703DF" w:rsidRPr="00B36D11">
          <w:rPr>
            <w:webHidden/>
          </w:rPr>
        </w:r>
        <w:r w:rsidR="006703DF" w:rsidRPr="00B36D11">
          <w:rPr>
            <w:webHidden/>
          </w:rPr>
          <w:fldChar w:fldCharType="separate"/>
        </w:r>
        <w:r w:rsidR="002173BE">
          <w:rPr>
            <w:webHidden/>
          </w:rPr>
          <w:t>7</w:t>
        </w:r>
        <w:r w:rsidR="006703DF" w:rsidRPr="00B36D11">
          <w:rPr>
            <w:webHidden/>
          </w:rPr>
          <w:fldChar w:fldCharType="end"/>
        </w:r>
      </w:hyperlink>
    </w:p>
    <w:p w14:paraId="40D40D15" w14:textId="32C2BE97" w:rsidR="006703DF" w:rsidRDefault="00AD778C" w:rsidP="00CC781B">
      <w:pPr>
        <w:pStyle w:val="TOC2"/>
        <w:rPr>
          <w:rFonts w:asciiTheme="minorHAnsi" w:hAnsiTheme="minorHAnsi"/>
          <w:noProof/>
          <w:color w:val="auto"/>
          <w:szCs w:val="28"/>
          <w:lang w:eastAsia="zh-CN" w:bidi="th-TH"/>
        </w:rPr>
      </w:pPr>
      <w:hyperlink w:anchor="_Toc161917224" w:history="1">
        <w:r w:rsidR="006703DF" w:rsidRPr="00B07607">
          <w:rPr>
            <w:rStyle w:val="Hyperlink"/>
            <w:noProof/>
          </w:rPr>
          <w:t>Commencement</w:t>
        </w:r>
        <w:r w:rsidR="006703DF">
          <w:rPr>
            <w:noProof/>
            <w:webHidden/>
          </w:rPr>
          <w:tab/>
        </w:r>
        <w:r w:rsidR="006703DF">
          <w:rPr>
            <w:noProof/>
            <w:webHidden/>
          </w:rPr>
          <w:fldChar w:fldCharType="begin"/>
        </w:r>
        <w:r w:rsidR="006703DF">
          <w:rPr>
            <w:noProof/>
            <w:webHidden/>
          </w:rPr>
          <w:instrText xml:space="preserve"> PAGEREF _Toc161917224 \h </w:instrText>
        </w:r>
        <w:r w:rsidR="006703DF">
          <w:rPr>
            <w:noProof/>
            <w:webHidden/>
          </w:rPr>
        </w:r>
        <w:r w:rsidR="006703DF">
          <w:rPr>
            <w:noProof/>
            <w:webHidden/>
          </w:rPr>
          <w:fldChar w:fldCharType="separate"/>
        </w:r>
        <w:r w:rsidR="002173BE">
          <w:rPr>
            <w:noProof/>
            <w:webHidden/>
          </w:rPr>
          <w:t>7</w:t>
        </w:r>
        <w:r w:rsidR="006703DF">
          <w:rPr>
            <w:noProof/>
            <w:webHidden/>
          </w:rPr>
          <w:fldChar w:fldCharType="end"/>
        </w:r>
      </w:hyperlink>
    </w:p>
    <w:p w14:paraId="75055A9A" w14:textId="1BD8BAEB" w:rsidR="006703DF" w:rsidRDefault="00AD778C" w:rsidP="00CC781B">
      <w:pPr>
        <w:pStyle w:val="TOC2"/>
        <w:rPr>
          <w:rFonts w:asciiTheme="minorHAnsi" w:hAnsiTheme="minorHAnsi"/>
          <w:noProof/>
          <w:color w:val="auto"/>
          <w:szCs w:val="28"/>
          <w:lang w:eastAsia="zh-CN" w:bidi="th-TH"/>
        </w:rPr>
      </w:pPr>
      <w:hyperlink w:anchor="_Toc161917226" w:history="1">
        <w:r w:rsidR="006703DF" w:rsidRPr="00B07607">
          <w:rPr>
            <w:rStyle w:val="Hyperlink"/>
            <w:noProof/>
          </w:rPr>
          <w:t>Liability (vicarious liability)</w:t>
        </w:r>
        <w:r w:rsidR="006703DF">
          <w:rPr>
            <w:noProof/>
            <w:webHidden/>
          </w:rPr>
          <w:tab/>
        </w:r>
        <w:r w:rsidR="006703DF">
          <w:rPr>
            <w:noProof/>
            <w:webHidden/>
          </w:rPr>
          <w:fldChar w:fldCharType="begin"/>
        </w:r>
        <w:r w:rsidR="006703DF">
          <w:rPr>
            <w:noProof/>
            <w:webHidden/>
          </w:rPr>
          <w:instrText xml:space="preserve"> PAGEREF _Toc161917226 \h </w:instrText>
        </w:r>
        <w:r w:rsidR="006703DF">
          <w:rPr>
            <w:noProof/>
            <w:webHidden/>
          </w:rPr>
        </w:r>
        <w:r w:rsidR="006703DF">
          <w:rPr>
            <w:noProof/>
            <w:webHidden/>
          </w:rPr>
          <w:fldChar w:fldCharType="separate"/>
        </w:r>
        <w:r w:rsidR="002173BE">
          <w:rPr>
            <w:noProof/>
            <w:webHidden/>
          </w:rPr>
          <w:t>8</w:t>
        </w:r>
        <w:r w:rsidR="006703DF">
          <w:rPr>
            <w:noProof/>
            <w:webHidden/>
          </w:rPr>
          <w:fldChar w:fldCharType="end"/>
        </w:r>
      </w:hyperlink>
    </w:p>
    <w:p w14:paraId="6971BB22" w14:textId="41007223" w:rsidR="006703DF" w:rsidRDefault="00AD778C">
      <w:pPr>
        <w:pStyle w:val="TOC3"/>
        <w:tabs>
          <w:tab w:val="right" w:leader="dot" w:pos="8296"/>
        </w:tabs>
        <w:rPr>
          <w:rFonts w:asciiTheme="minorHAnsi" w:hAnsiTheme="minorHAnsi"/>
          <w:noProof/>
          <w:color w:val="auto"/>
          <w:szCs w:val="28"/>
          <w:lang w:eastAsia="zh-CN" w:bidi="th-TH"/>
        </w:rPr>
      </w:pPr>
      <w:hyperlink w:anchor="_Toc161917227" w:history="1">
        <w:r w:rsidR="006703DF" w:rsidRPr="00B07607">
          <w:rPr>
            <w:rStyle w:val="Hyperlink"/>
            <w:noProof/>
          </w:rPr>
          <w:t>When a person is vicariously liable for others</w:t>
        </w:r>
        <w:r w:rsidR="006703DF">
          <w:rPr>
            <w:noProof/>
            <w:webHidden/>
          </w:rPr>
          <w:tab/>
        </w:r>
        <w:r w:rsidR="006703DF">
          <w:rPr>
            <w:noProof/>
            <w:webHidden/>
          </w:rPr>
          <w:fldChar w:fldCharType="begin"/>
        </w:r>
        <w:r w:rsidR="006703DF">
          <w:rPr>
            <w:noProof/>
            <w:webHidden/>
          </w:rPr>
          <w:instrText xml:space="preserve"> PAGEREF _Toc161917227 \h </w:instrText>
        </w:r>
        <w:r w:rsidR="006703DF">
          <w:rPr>
            <w:noProof/>
            <w:webHidden/>
          </w:rPr>
        </w:r>
        <w:r w:rsidR="006703DF">
          <w:rPr>
            <w:noProof/>
            <w:webHidden/>
          </w:rPr>
          <w:fldChar w:fldCharType="separate"/>
        </w:r>
        <w:r w:rsidR="002173BE">
          <w:rPr>
            <w:noProof/>
            <w:webHidden/>
          </w:rPr>
          <w:t>9</w:t>
        </w:r>
        <w:r w:rsidR="006703DF">
          <w:rPr>
            <w:noProof/>
            <w:webHidden/>
          </w:rPr>
          <w:fldChar w:fldCharType="end"/>
        </w:r>
      </w:hyperlink>
    </w:p>
    <w:p w14:paraId="4B24E47D" w14:textId="0AB45FAD" w:rsidR="006703DF" w:rsidRDefault="00AD778C">
      <w:pPr>
        <w:pStyle w:val="TOC3"/>
        <w:tabs>
          <w:tab w:val="right" w:leader="dot" w:pos="8296"/>
        </w:tabs>
        <w:rPr>
          <w:rFonts w:asciiTheme="minorHAnsi" w:hAnsiTheme="minorHAnsi"/>
          <w:noProof/>
          <w:color w:val="auto"/>
          <w:szCs w:val="28"/>
          <w:lang w:eastAsia="zh-CN" w:bidi="th-TH"/>
        </w:rPr>
      </w:pPr>
      <w:hyperlink w:anchor="_Toc161917228" w:history="1">
        <w:r w:rsidR="006703DF" w:rsidRPr="00B07607">
          <w:rPr>
            <w:rStyle w:val="Hyperlink"/>
            <w:noProof/>
          </w:rPr>
          <w:t>Reasonable steps defence</w:t>
        </w:r>
        <w:r w:rsidR="006703DF">
          <w:rPr>
            <w:noProof/>
            <w:webHidden/>
          </w:rPr>
          <w:tab/>
        </w:r>
        <w:r w:rsidR="006703DF">
          <w:rPr>
            <w:noProof/>
            <w:webHidden/>
          </w:rPr>
          <w:fldChar w:fldCharType="begin"/>
        </w:r>
        <w:r w:rsidR="006703DF">
          <w:rPr>
            <w:noProof/>
            <w:webHidden/>
          </w:rPr>
          <w:instrText xml:space="preserve"> PAGEREF _Toc161917228 \h </w:instrText>
        </w:r>
        <w:r w:rsidR="006703DF">
          <w:rPr>
            <w:noProof/>
            <w:webHidden/>
          </w:rPr>
        </w:r>
        <w:r w:rsidR="006703DF">
          <w:rPr>
            <w:noProof/>
            <w:webHidden/>
          </w:rPr>
          <w:fldChar w:fldCharType="separate"/>
        </w:r>
        <w:r w:rsidR="002173BE">
          <w:rPr>
            <w:noProof/>
            <w:webHidden/>
          </w:rPr>
          <w:t>9</w:t>
        </w:r>
        <w:r w:rsidR="006703DF">
          <w:rPr>
            <w:noProof/>
            <w:webHidden/>
          </w:rPr>
          <w:fldChar w:fldCharType="end"/>
        </w:r>
      </w:hyperlink>
    </w:p>
    <w:p w14:paraId="615E60C8" w14:textId="285DA4E9" w:rsidR="006703DF" w:rsidRDefault="00AD778C" w:rsidP="00CC781B">
      <w:pPr>
        <w:pStyle w:val="TOC2"/>
        <w:rPr>
          <w:rFonts w:asciiTheme="minorHAnsi" w:hAnsiTheme="minorHAnsi"/>
          <w:noProof/>
          <w:color w:val="auto"/>
          <w:szCs w:val="28"/>
          <w:lang w:eastAsia="zh-CN" w:bidi="th-TH"/>
        </w:rPr>
      </w:pPr>
      <w:hyperlink w:anchor="_Toc161917229" w:history="1">
        <w:r w:rsidR="006703DF" w:rsidRPr="00B07607">
          <w:rPr>
            <w:rStyle w:val="Hyperlink"/>
            <w:noProof/>
          </w:rPr>
          <w:t>Acts done in compliance with or authorised by other laws</w:t>
        </w:r>
        <w:r w:rsidR="006703DF">
          <w:rPr>
            <w:noProof/>
            <w:webHidden/>
          </w:rPr>
          <w:tab/>
        </w:r>
        <w:r w:rsidR="006703DF">
          <w:rPr>
            <w:noProof/>
            <w:webHidden/>
          </w:rPr>
          <w:fldChar w:fldCharType="begin"/>
        </w:r>
        <w:r w:rsidR="006703DF">
          <w:rPr>
            <w:noProof/>
            <w:webHidden/>
          </w:rPr>
          <w:instrText xml:space="preserve"> PAGEREF _Toc161917229 \h </w:instrText>
        </w:r>
        <w:r w:rsidR="006703DF">
          <w:rPr>
            <w:noProof/>
            <w:webHidden/>
          </w:rPr>
        </w:r>
        <w:r w:rsidR="006703DF">
          <w:rPr>
            <w:noProof/>
            <w:webHidden/>
          </w:rPr>
          <w:fldChar w:fldCharType="separate"/>
        </w:r>
        <w:r w:rsidR="002173BE">
          <w:rPr>
            <w:noProof/>
            <w:webHidden/>
          </w:rPr>
          <w:t>11</w:t>
        </w:r>
        <w:r w:rsidR="006703DF">
          <w:rPr>
            <w:noProof/>
            <w:webHidden/>
          </w:rPr>
          <w:fldChar w:fldCharType="end"/>
        </w:r>
      </w:hyperlink>
    </w:p>
    <w:p w14:paraId="7CB3BC88" w14:textId="3EFB0373" w:rsidR="006703DF" w:rsidRDefault="00AD778C">
      <w:pPr>
        <w:pStyle w:val="TOC3"/>
        <w:tabs>
          <w:tab w:val="right" w:leader="dot" w:pos="8296"/>
        </w:tabs>
        <w:rPr>
          <w:rFonts w:asciiTheme="minorHAnsi" w:hAnsiTheme="minorHAnsi"/>
          <w:noProof/>
          <w:color w:val="auto"/>
          <w:szCs w:val="28"/>
          <w:lang w:eastAsia="zh-CN" w:bidi="th-TH"/>
        </w:rPr>
      </w:pPr>
      <w:hyperlink w:anchor="_Toc161917230" w:history="1">
        <w:r w:rsidR="006703DF" w:rsidRPr="00B07607">
          <w:rPr>
            <w:rStyle w:val="Hyperlink"/>
            <w:noProof/>
          </w:rPr>
          <w:t>Expansion in scope of application</w:t>
        </w:r>
        <w:r w:rsidR="006703DF">
          <w:rPr>
            <w:noProof/>
            <w:webHidden/>
          </w:rPr>
          <w:tab/>
        </w:r>
        <w:r w:rsidR="006703DF">
          <w:rPr>
            <w:noProof/>
            <w:webHidden/>
          </w:rPr>
          <w:fldChar w:fldCharType="begin"/>
        </w:r>
        <w:r w:rsidR="006703DF">
          <w:rPr>
            <w:noProof/>
            <w:webHidden/>
          </w:rPr>
          <w:instrText xml:space="preserve"> PAGEREF _Toc161917230 \h </w:instrText>
        </w:r>
        <w:r w:rsidR="006703DF">
          <w:rPr>
            <w:noProof/>
            <w:webHidden/>
          </w:rPr>
        </w:r>
        <w:r w:rsidR="006703DF">
          <w:rPr>
            <w:noProof/>
            <w:webHidden/>
          </w:rPr>
          <w:fldChar w:fldCharType="separate"/>
        </w:r>
        <w:r w:rsidR="002173BE">
          <w:rPr>
            <w:noProof/>
            <w:webHidden/>
          </w:rPr>
          <w:t>11</w:t>
        </w:r>
        <w:r w:rsidR="006703DF">
          <w:rPr>
            <w:noProof/>
            <w:webHidden/>
          </w:rPr>
          <w:fldChar w:fldCharType="end"/>
        </w:r>
      </w:hyperlink>
    </w:p>
    <w:p w14:paraId="1654B27B" w14:textId="6A96DC6F" w:rsidR="006703DF" w:rsidRDefault="00AD778C" w:rsidP="00CC781B">
      <w:pPr>
        <w:pStyle w:val="TOC2"/>
        <w:rPr>
          <w:rFonts w:asciiTheme="minorHAnsi" w:hAnsiTheme="minorHAnsi"/>
          <w:noProof/>
          <w:color w:val="auto"/>
          <w:szCs w:val="28"/>
          <w:lang w:eastAsia="zh-CN" w:bidi="th-TH"/>
        </w:rPr>
      </w:pPr>
      <w:hyperlink w:anchor="_Toc161917231" w:history="1">
        <w:r w:rsidR="006703DF" w:rsidRPr="00B07607">
          <w:rPr>
            <w:rStyle w:val="Hyperlink"/>
            <w:noProof/>
          </w:rPr>
          <w:t>Reasonable accommodations</w:t>
        </w:r>
        <w:r w:rsidR="006703DF">
          <w:rPr>
            <w:noProof/>
            <w:webHidden/>
          </w:rPr>
          <w:tab/>
        </w:r>
        <w:r w:rsidR="006703DF">
          <w:rPr>
            <w:noProof/>
            <w:webHidden/>
          </w:rPr>
          <w:fldChar w:fldCharType="begin"/>
        </w:r>
        <w:r w:rsidR="006703DF">
          <w:rPr>
            <w:noProof/>
            <w:webHidden/>
          </w:rPr>
          <w:instrText xml:space="preserve"> PAGEREF _Toc161917231 \h </w:instrText>
        </w:r>
        <w:r w:rsidR="006703DF">
          <w:rPr>
            <w:noProof/>
            <w:webHidden/>
          </w:rPr>
        </w:r>
        <w:r w:rsidR="006703DF">
          <w:rPr>
            <w:noProof/>
            <w:webHidden/>
          </w:rPr>
          <w:fldChar w:fldCharType="separate"/>
        </w:r>
        <w:r w:rsidR="002173BE">
          <w:rPr>
            <w:noProof/>
            <w:webHidden/>
          </w:rPr>
          <w:t>14</w:t>
        </w:r>
        <w:r w:rsidR="006703DF">
          <w:rPr>
            <w:noProof/>
            <w:webHidden/>
          </w:rPr>
          <w:fldChar w:fldCharType="end"/>
        </w:r>
      </w:hyperlink>
    </w:p>
    <w:p w14:paraId="4A4FE2F0" w14:textId="0E1AB660" w:rsidR="006703DF" w:rsidRDefault="00AD778C">
      <w:pPr>
        <w:pStyle w:val="TOC3"/>
        <w:tabs>
          <w:tab w:val="right" w:leader="dot" w:pos="8296"/>
        </w:tabs>
        <w:rPr>
          <w:rFonts w:asciiTheme="minorHAnsi" w:hAnsiTheme="minorHAnsi"/>
          <w:noProof/>
          <w:color w:val="auto"/>
          <w:szCs w:val="28"/>
          <w:lang w:eastAsia="zh-CN" w:bidi="th-TH"/>
        </w:rPr>
      </w:pPr>
      <w:hyperlink w:anchor="_Toc161917232" w:history="1">
        <w:r w:rsidR="006703DF" w:rsidRPr="00B07607">
          <w:rPr>
            <w:rStyle w:val="Hyperlink"/>
            <w:noProof/>
          </w:rPr>
          <w:t>Incorporating concept into definitions of direct and indirect</w:t>
        </w:r>
        <w:r w:rsidR="006703DF">
          <w:rPr>
            <w:noProof/>
            <w:webHidden/>
          </w:rPr>
          <w:tab/>
        </w:r>
        <w:r w:rsidR="006703DF">
          <w:rPr>
            <w:noProof/>
            <w:webHidden/>
          </w:rPr>
          <w:fldChar w:fldCharType="begin"/>
        </w:r>
        <w:r w:rsidR="006703DF">
          <w:rPr>
            <w:noProof/>
            <w:webHidden/>
          </w:rPr>
          <w:instrText xml:space="preserve"> PAGEREF _Toc161917232 \h </w:instrText>
        </w:r>
        <w:r w:rsidR="006703DF">
          <w:rPr>
            <w:noProof/>
            <w:webHidden/>
          </w:rPr>
        </w:r>
        <w:r w:rsidR="006703DF">
          <w:rPr>
            <w:noProof/>
            <w:webHidden/>
          </w:rPr>
          <w:fldChar w:fldCharType="separate"/>
        </w:r>
        <w:r w:rsidR="002173BE">
          <w:rPr>
            <w:noProof/>
            <w:webHidden/>
          </w:rPr>
          <w:t>15</w:t>
        </w:r>
        <w:r w:rsidR="006703DF">
          <w:rPr>
            <w:noProof/>
            <w:webHidden/>
          </w:rPr>
          <w:fldChar w:fldCharType="end"/>
        </w:r>
      </w:hyperlink>
    </w:p>
    <w:p w14:paraId="75C1EB40" w14:textId="105DDD6B" w:rsidR="006703DF" w:rsidRDefault="00AD778C">
      <w:pPr>
        <w:pStyle w:val="TOC3"/>
        <w:tabs>
          <w:tab w:val="right" w:leader="dot" w:pos="8296"/>
        </w:tabs>
        <w:rPr>
          <w:rFonts w:asciiTheme="minorHAnsi" w:hAnsiTheme="minorHAnsi"/>
          <w:noProof/>
          <w:color w:val="auto"/>
          <w:szCs w:val="28"/>
          <w:lang w:eastAsia="zh-CN" w:bidi="th-TH"/>
        </w:rPr>
      </w:pPr>
      <w:hyperlink w:anchor="_Toc161917233" w:history="1">
        <w:r w:rsidR="006703DF" w:rsidRPr="00B07607">
          <w:rPr>
            <w:rStyle w:val="Hyperlink"/>
            <w:noProof/>
          </w:rPr>
          <w:t>Definition of ‘reasonable accommodation’</w:t>
        </w:r>
        <w:r w:rsidR="006703DF">
          <w:rPr>
            <w:noProof/>
            <w:webHidden/>
          </w:rPr>
          <w:tab/>
        </w:r>
        <w:r w:rsidR="006703DF">
          <w:rPr>
            <w:noProof/>
            <w:webHidden/>
          </w:rPr>
          <w:fldChar w:fldCharType="begin"/>
        </w:r>
        <w:r w:rsidR="006703DF">
          <w:rPr>
            <w:noProof/>
            <w:webHidden/>
          </w:rPr>
          <w:instrText xml:space="preserve"> PAGEREF _Toc161917233 \h </w:instrText>
        </w:r>
        <w:r w:rsidR="006703DF">
          <w:rPr>
            <w:noProof/>
            <w:webHidden/>
          </w:rPr>
        </w:r>
        <w:r w:rsidR="006703DF">
          <w:rPr>
            <w:noProof/>
            <w:webHidden/>
          </w:rPr>
          <w:fldChar w:fldCharType="separate"/>
        </w:r>
        <w:r w:rsidR="002173BE">
          <w:rPr>
            <w:noProof/>
            <w:webHidden/>
          </w:rPr>
          <w:t>15</w:t>
        </w:r>
        <w:r w:rsidR="006703DF">
          <w:rPr>
            <w:noProof/>
            <w:webHidden/>
          </w:rPr>
          <w:fldChar w:fldCharType="end"/>
        </w:r>
      </w:hyperlink>
    </w:p>
    <w:p w14:paraId="2B6ADCD4" w14:textId="44AC5235" w:rsidR="006703DF" w:rsidRDefault="00AD778C">
      <w:pPr>
        <w:pStyle w:val="TOC3"/>
        <w:tabs>
          <w:tab w:val="right" w:leader="dot" w:pos="8296"/>
        </w:tabs>
        <w:rPr>
          <w:rFonts w:asciiTheme="minorHAnsi" w:hAnsiTheme="minorHAnsi"/>
          <w:noProof/>
          <w:color w:val="auto"/>
          <w:szCs w:val="28"/>
          <w:lang w:eastAsia="zh-CN" w:bidi="th-TH"/>
        </w:rPr>
      </w:pPr>
      <w:hyperlink w:anchor="_Toc161917234" w:history="1">
        <w:r w:rsidR="006703DF" w:rsidRPr="00B07607">
          <w:rPr>
            <w:rStyle w:val="Hyperlink"/>
            <w:noProof/>
          </w:rPr>
          <w:t>Factors for unjustifiable hardship</w:t>
        </w:r>
        <w:r w:rsidR="006703DF">
          <w:rPr>
            <w:noProof/>
            <w:webHidden/>
          </w:rPr>
          <w:tab/>
        </w:r>
        <w:r w:rsidR="006703DF">
          <w:rPr>
            <w:noProof/>
            <w:webHidden/>
          </w:rPr>
          <w:fldChar w:fldCharType="begin"/>
        </w:r>
        <w:r w:rsidR="006703DF">
          <w:rPr>
            <w:noProof/>
            <w:webHidden/>
          </w:rPr>
          <w:instrText xml:space="preserve"> PAGEREF _Toc161917234 \h </w:instrText>
        </w:r>
        <w:r w:rsidR="006703DF">
          <w:rPr>
            <w:noProof/>
            <w:webHidden/>
          </w:rPr>
        </w:r>
        <w:r w:rsidR="006703DF">
          <w:rPr>
            <w:noProof/>
            <w:webHidden/>
          </w:rPr>
          <w:fldChar w:fldCharType="separate"/>
        </w:r>
        <w:r w:rsidR="002173BE">
          <w:rPr>
            <w:noProof/>
            <w:webHidden/>
          </w:rPr>
          <w:t>16</w:t>
        </w:r>
        <w:r w:rsidR="006703DF">
          <w:rPr>
            <w:noProof/>
            <w:webHidden/>
          </w:rPr>
          <w:fldChar w:fldCharType="end"/>
        </w:r>
      </w:hyperlink>
    </w:p>
    <w:p w14:paraId="3DA67E1E" w14:textId="583D9AE9" w:rsidR="006703DF" w:rsidRDefault="00AD778C" w:rsidP="00CC781B">
      <w:pPr>
        <w:pStyle w:val="TOC2"/>
        <w:rPr>
          <w:rFonts w:asciiTheme="minorHAnsi" w:hAnsiTheme="minorHAnsi"/>
          <w:noProof/>
          <w:color w:val="auto"/>
          <w:szCs w:val="28"/>
          <w:lang w:eastAsia="zh-CN" w:bidi="th-TH"/>
        </w:rPr>
      </w:pPr>
      <w:hyperlink w:anchor="_Toc161917235" w:history="1">
        <w:r w:rsidR="006703DF" w:rsidRPr="00B07607">
          <w:rPr>
            <w:rStyle w:val="Hyperlink"/>
            <w:noProof/>
          </w:rPr>
          <w:t>Positive duty</w:t>
        </w:r>
        <w:r w:rsidR="006703DF">
          <w:rPr>
            <w:noProof/>
            <w:webHidden/>
          </w:rPr>
          <w:tab/>
        </w:r>
        <w:r w:rsidR="006703DF">
          <w:rPr>
            <w:noProof/>
            <w:webHidden/>
          </w:rPr>
          <w:fldChar w:fldCharType="begin"/>
        </w:r>
        <w:r w:rsidR="006703DF">
          <w:rPr>
            <w:noProof/>
            <w:webHidden/>
          </w:rPr>
          <w:instrText xml:space="preserve"> PAGEREF _Toc161917235 \h </w:instrText>
        </w:r>
        <w:r w:rsidR="006703DF">
          <w:rPr>
            <w:noProof/>
            <w:webHidden/>
          </w:rPr>
        </w:r>
        <w:r w:rsidR="006703DF">
          <w:rPr>
            <w:noProof/>
            <w:webHidden/>
          </w:rPr>
          <w:fldChar w:fldCharType="separate"/>
        </w:r>
        <w:r w:rsidR="002173BE">
          <w:rPr>
            <w:noProof/>
            <w:webHidden/>
          </w:rPr>
          <w:t>17</w:t>
        </w:r>
        <w:r w:rsidR="006703DF">
          <w:rPr>
            <w:noProof/>
            <w:webHidden/>
          </w:rPr>
          <w:fldChar w:fldCharType="end"/>
        </w:r>
      </w:hyperlink>
    </w:p>
    <w:p w14:paraId="57BDF069" w14:textId="3AEF4CBD" w:rsidR="006703DF" w:rsidRDefault="00AD778C" w:rsidP="00CC781B">
      <w:pPr>
        <w:pStyle w:val="TOC2"/>
        <w:rPr>
          <w:rFonts w:asciiTheme="minorHAnsi" w:hAnsiTheme="minorHAnsi"/>
          <w:noProof/>
          <w:color w:val="auto"/>
          <w:szCs w:val="28"/>
          <w:lang w:eastAsia="zh-CN" w:bidi="th-TH"/>
        </w:rPr>
      </w:pPr>
      <w:hyperlink w:anchor="_Toc161917237" w:history="1">
        <w:r w:rsidR="006703DF" w:rsidRPr="00B07607">
          <w:rPr>
            <w:rStyle w:val="Hyperlink"/>
            <w:noProof/>
          </w:rPr>
          <w:t>Vilification</w:t>
        </w:r>
        <w:r w:rsidR="006703DF">
          <w:rPr>
            <w:noProof/>
            <w:webHidden/>
          </w:rPr>
          <w:tab/>
        </w:r>
        <w:r w:rsidR="006703DF">
          <w:rPr>
            <w:noProof/>
            <w:webHidden/>
          </w:rPr>
          <w:fldChar w:fldCharType="begin"/>
        </w:r>
        <w:r w:rsidR="006703DF">
          <w:rPr>
            <w:noProof/>
            <w:webHidden/>
          </w:rPr>
          <w:instrText xml:space="preserve"> PAGEREF _Toc161917237 \h </w:instrText>
        </w:r>
        <w:r w:rsidR="006703DF">
          <w:rPr>
            <w:noProof/>
            <w:webHidden/>
          </w:rPr>
        </w:r>
        <w:r w:rsidR="006703DF">
          <w:rPr>
            <w:noProof/>
            <w:webHidden/>
          </w:rPr>
          <w:fldChar w:fldCharType="separate"/>
        </w:r>
        <w:r w:rsidR="002173BE">
          <w:rPr>
            <w:noProof/>
            <w:webHidden/>
          </w:rPr>
          <w:t>18</w:t>
        </w:r>
        <w:r w:rsidR="006703DF">
          <w:rPr>
            <w:noProof/>
            <w:webHidden/>
          </w:rPr>
          <w:fldChar w:fldCharType="end"/>
        </w:r>
      </w:hyperlink>
    </w:p>
    <w:p w14:paraId="613AC3C3" w14:textId="38963F74" w:rsidR="006703DF" w:rsidRDefault="00AD778C" w:rsidP="00CC781B">
      <w:pPr>
        <w:pStyle w:val="TOC2"/>
        <w:rPr>
          <w:rFonts w:asciiTheme="minorHAnsi" w:hAnsiTheme="minorHAnsi"/>
          <w:noProof/>
          <w:color w:val="auto"/>
          <w:szCs w:val="28"/>
          <w:lang w:eastAsia="zh-CN" w:bidi="th-TH"/>
        </w:rPr>
      </w:pPr>
      <w:hyperlink w:anchor="_Toc161917239" w:history="1">
        <w:r w:rsidR="006703DF" w:rsidRPr="00B07607">
          <w:rPr>
            <w:rStyle w:val="Hyperlink"/>
            <w:noProof/>
          </w:rPr>
          <w:t>Complaints functions</w:t>
        </w:r>
        <w:r w:rsidR="006703DF">
          <w:rPr>
            <w:noProof/>
            <w:webHidden/>
          </w:rPr>
          <w:tab/>
        </w:r>
        <w:r w:rsidR="006703DF">
          <w:rPr>
            <w:noProof/>
            <w:webHidden/>
          </w:rPr>
          <w:fldChar w:fldCharType="begin"/>
        </w:r>
        <w:r w:rsidR="006703DF">
          <w:rPr>
            <w:noProof/>
            <w:webHidden/>
          </w:rPr>
          <w:instrText xml:space="preserve"> PAGEREF _Toc161917239 \h </w:instrText>
        </w:r>
        <w:r w:rsidR="006703DF">
          <w:rPr>
            <w:noProof/>
            <w:webHidden/>
          </w:rPr>
        </w:r>
        <w:r w:rsidR="006703DF">
          <w:rPr>
            <w:noProof/>
            <w:webHidden/>
          </w:rPr>
          <w:fldChar w:fldCharType="separate"/>
        </w:r>
        <w:r w:rsidR="002173BE">
          <w:rPr>
            <w:noProof/>
            <w:webHidden/>
          </w:rPr>
          <w:t>20</w:t>
        </w:r>
        <w:r w:rsidR="006703DF">
          <w:rPr>
            <w:noProof/>
            <w:webHidden/>
          </w:rPr>
          <w:fldChar w:fldCharType="end"/>
        </w:r>
      </w:hyperlink>
    </w:p>
    <w:p w14:paraId="2674E7A8" w14:textId="4987C19A" w:rsidR="006703DF" w:rsidRDefault="00AD778C">
      <w:pPr>
        <w:pStyle w:val="TOC3"/>
        <w:tabs>
          <w:tab w:val="right" w:leader="dot" w:pos="8296"/>
        </w:tabs>
        <w:rPr>
          <w:rFonts w:asciiTheme="minorHAnsi" w:hAnsiTheme="minorHAnsi"/>
          <w:noProof/>
          <w:color w:val="auto"/>
          <w:szCs w:val="28"/>
          <w:lang w:eastAsia="zh-CN" w:bidi="th-TH"/>
        </w:rPr>
      </w:pPr>
      <w:hyperlink w:anchor="_Toc161917240" w:history="1">
        <w:r w:rsidR="006703DF" w:rsidRPr="00B07607">
          <w:rPr>
            <w:rStyle w:val="Hyperlink"/>
            <w:noProof/>
          </w:rPr>
          <w:t>Terminology – ‘accepted’ or ‘dealt with’ language</w:t>
        </w:r>
        <w:r w:rsidR="006703DF">
          <w:rPr>
            <w:noProof/>
            <w:webHidden/>
          </w:rPr>
          <w:tab/>
        </w:r>
        <w:r w:rsidR="006703DF">
          <w:rPr>
            <w:noProof/>
            <w:webHidden/>
          </w:rPr>
          <w:fldChar w:fldCharType="begin"/>
        </w:r>
        <w:r w:rsidR="006703DF">
          <w:rPr>
            <w:noProof/>
            <w:webHidden/>
          </w:rPr>
          <w:instrText xml:space="preserve"> PAGEREF _Toc161917240 \h </w:instrText>
        </w:r>
        <w:r w:rsidR="006703DF">
          <w:rPr>
            <w:noProof/>
            <w:webHidden/>
          </w:rPr>
        </w:r>
        <w:r w:rsidR="006703DF">
          <w:rPr>
            <w:noProof/>
            <w:webHidden/>
          </w:rPr>
          <w:fldChar w:fldCharType="separate"/>
        </w:r>
        <w:r w:rsidR="002173BE">
          <w:rPr>
            <w:noProof/>
            <w:webHidden/>
          </w:rPr>
          <w:t>20</w:t>
        </w:r>
        <w:r w:rsidR="006703DF">
          <w:rPr>
            <w:noProof/>
            <w:webHidden/>
          </w:rPr>
          <w:fldChar w:fldCharType="end"/>
        </w:r>
      </w:hyperlink>
    </w:p>
    <w:p w14:paraId="758A5171" w14:textId="415F8858" w:rsidR="006703DF" w:rsidRDefault="00AD778C">
      <w:pPr>
        <w:pStyle w:val="TOC3"/>
        <w:tabs>
          <w:tab w:val="right" w:leader="dot" w:pos="8296"/>
        </w:tabs>
        <w:rPr>
          <w:rFonts w:asciiTheme="minorHAnsi" w:hAnsiTheme="minorHAnsi"/>
          <w:noProof/>
          <w:color w:val="auto"/>
          <w:szCs w:val="28"/>
          <w:lang w:eastAsia="zh-CN" w:bidi="th-TH"/>
        </w:rPr>
      </w:pPr>
      <w:hyperlink w:anchor="_Toc161917242" w:history="1">
        <w:r w:rsidR="006703DF" w:rsidRPr="00B07607">
          <w:rPr>
            <w:rStyle w:val="Hyperlink"/>
            <w:noProof/>
          </w:rPr>
          <w:t>Inflexible notification provisions</w:t>
        </w:r>
        <w:r w:rsidR="006703DF">
          <w:rPr>
            <w:noProof/>
            <w:webHidden/>
          </w:rPr>
          <w:tab/>
        </w:r>
        <w:r w:rsidR="006703DF">
          <w:rPr>
            <w:noProof/>
            <w:webHidden/>
          </w:rPr>
          <w:fldChar w:fldCharType="begin"/>
        </w:r>
        <w:r w:rsidR="006703DF">
          <w:rPr>
            <w:noProof/>
            <w:webHidden/>
          </w:rPr>
          <w:instrText xml:space="preserve"> PAGEREF _Toc161917242 \h </w:instrText>
        </w:r>
        <w:r w:rsidR="006703DF">
          <w:rPr>
            <w:noProof/>
            <w:webHidden/>
          </w:rPr>
        </w:r>
        <w:r w:rsidR="006703DF">
          <w:rPr>
            <w:noProof/>
            <w:webHidden/>
          </w:rPr>
          <w:fldChar w:fldCharType="separate"/>
        </w:r>
        <w:r w:rsidR="002173BE">
          <w:rPr>
            <w:noProof/>
            <w:webHidden/>
          </w:rPr>
          <w:t>21</w:t>
        </w:r>
        <w:r w:rsidR="006703DF">
          <w:rPr>
            <w:noProof/>
            <w:webHidden/>
          </w:rPr>
          <w:fldChar w:fldCharType="end"/>
        </w:r>
      </w:hyperlink>
    </w:p>
    <w:p w14:paraId="566346AC" w14:textId="6552ADB0" w:rsidR="006703DF" w:rsidRDefault="00AD778C">
      <w:pPr>
        <w:pStyle w:val="TOC3"/>
        <w:tabs>
          <w:tab w:val="right" w:leader="dot" w:pos="8296"/>
        </w:tabs>
        <w:rPr>
          <w:rFonts w:asciiTheme="minorHAnsi" w:hAnsiTheme="minorHAnsi"/>
          <w:noProof/>
          <w:color w:val="auto"/>
          <w:szCs w:val="28"/>
          <w:lang w:eastAsia="zh-CN" w:bidi="th-TH"/>
        </w:rPr>
      </w:pPr>
      <w:hyperlink w:anchor="_Toc161917243" w:history="1">
        <w:r w:rsidR="00CB5F71">
          <w:rPr>
            <w:rStyle w:val="Hyperlink"/>
            <w:noProof/>
          </w:rPr>
          <w:t>Commission complaint powers</w:t>
        </w:r>
        <w:r w:rsidR="006703DF" w:rsidRPr="00B07607">
          <w:rPr>
            <w:rStyle w:val="Hyperlink"/>
            <w:noProof/>
          </w:rPr>
          <w:t xml:space="preserve"> narrowed by draft Bill</w:t>
        </w:r>
        <w:r w:rsidR="006703DF">
          <w:rPr>
            <w:noProof/>
            <w:webHidden/>
          </w:rPr>
          <w:tab/>
        </w:r>
      </w:hyperlink>
      <w:r w:rsidR="00E5222D">
        <w:rPr>
          <w:noProof/>
        </w:rPr>
        <w:t>22</w:t>
      </w:r>
    </w:p>
    <w:p w14:paraId="399B209B" w14:textId="26AB497E" w:rsidR="006703DF" w:rsidRDefault="00AD778C">
      <w:pPr>
        <w:pStyle w:val="TOC3"/>
        <w:tabs>
          <w:tab w:val="right" w:leader="dot" w:pos="8296"/>
        </w:tabs>
        <w:rPr>
          <w:rFonts w:asciiTheme="minorHAnsi" w:hAnsiTheme="minorHAnsi"/>
          <w:noProof/>
          <w:color w:val="auto"/>
          <w:szCs w:val="28"/>
          <w:lang w:eastAsia="zh-CN" w:bidi="th-TH"/>
        </w:rPr>
      </w:pPr>
      <w:hyperlink w:anchor="_Toc161917244" w:history="1">
        <w:r w:rsidR="006703DF" w:rsidRPr="00B07607">
          <w:rPr>
            <w:rStyle w:val="Hyperlink"/>
            <w:noProof/>
          </w:rPr>
          <w:t>Organisation (interested) body complaints</w:t>
        </w:r>
        <w:r w:rsidR="006703DF">
          <w:rPr>
            <w:noProof/>
            <w:webHidden/>
          </w:rPr>
          <w:tab/>
        </w:r>
        <w:r w:rsidR="006703DF">
          <w:rPr>
            <w:noProof/>
            <w:webHidden/>
          </w:rPr>
          <w:fldChar w:fldCharType="begin"/>
        </w:r>
        <w:r w:rsidR="006703DF">
          <w:rPr>
            <w:noProof/>
            <w:webHidden/>
          </w:rPr>
          <w:instrText xml:space="preserve"> PAGEREF _Toc161917244 \h </w:instrText>
        </w:r>
        <w:r w:rsidR="006703DF">
          <w:rPr>
            <w:noProof/>
            <w:webHidden/>
          </w:rPr>
        </w:r>
        <w:r w:rsidR="006703DF">
          <w:rPr>
            <w:noProof/>
            <w:webHidden/>
          </w:rPr>
          <w:fldChar w:fldCharType="separate"/>
        </w:r>
        <w:r w:rsidR="002173BE">
          <w:rPr>
            <w:noProof/>
            <w:webHidden/>
          </w:rPr>
          <w:t>23</w:t>
        </w:r>
        <w:r w:rsidR="006703DF">
          <w:rPr>
            <w:noProof/>
            <w:webHidden/>
          </w:rPr>
          <w:fldChar w:fldCharType="end"/>
        </w:r>
      </w:hyperlink>
    </w:p>
    <w:p w14:paraId="0F3EB846" w14:textId="6E7C1601" w:rsidR="006703DF" w:rsidRDefault="00AD778C" w:rsidP="00CC781B">
      <w:pPr>
        <w:pStyle w:val="TOC2"/>
        <w:rPr>
          <w:rFonts w:asciiTheme="minorHAnsi" w:hAnsiTheme="minorHAnsi"/>
          <w:noProof/>
          <w:color w:val="auto"/>
          <w:szCs w:val="28"/>
          <w:lang w:eastAsia="zh-CN" w:bidi="th-TH"/>
        </w:rPr>
      </w:pPr>
      <w:hyperlink w:anchor="_Toc161917245" w:history="1">
        <w:r w:rsidR="006703DF" w:rsidRPr="00B07607">
          <w:rPr>
            <w:rStyle w:val="Hyperlink"/>
            <w:noProof/>
          </w:rPr>
          <w:t>Exceptions – GOR religious</w:t>
        </w:r>
        <w:r w:rsidR="006703DF">
          <w:rPr>
            <w:noProof/>
            <w:webHidden/>
          </w:rPr>
          <w:tab/>
        </w:r>
        <w:r w:rsidR="006703DF">
          <w:rPr>
            <w:noProof/>
            <w:webHidden/>
          </w:rPr>
          <w:fldChar w:fldCharType="begin"/>
        </w:r>
        <w:r w:rsidR="006703DF">
          <w:rPr>
            <w:noProof/>
            <w:webHidden/>
          </w:rPr>
          <w:instrText xml:space="preserve"> PAGEREF _Toc161917245 \h </w:instrText>
        </w:r>
        <w:r w:rsidR="006703DF">
          <w:rPr>
            <w:noProof/>
            <w:webHidden/>
          </w:rPr>
        </w:r>
        <w:r w:rsidR="006703DF">
          <w:rPr>
            <w:noProof/>
            <w:webHidden/>
          </w:rPr>
          <w:fldChar w:fldCharType="separate"/>
        </w:r>
        <w:r w:rsidR="002173BE">
          <w:rPr>
            <w:noProof/>
            <w:webHidden/>
          </w:rPr>
          <w:t>24</w:t>
        </w:r>
        <w:r w:rsidR="006703DF">
          <w:rPr>
            <w:noProof/>
            <w:webHidden/>
          </w:rPr>
          <w:fldChar w:fldCharType="end"/>
        </w:r>
      </w:hyperlink>
    </w:p>
    <w:p w14:paraId="708ACCB2" w14:textId="27AEA6A2" w:rsidR="006703DF" w:rsidRDefault="00AD778C" w:rsidP="00CC781B">
      <w:pPr>
        <w:pStyle w:val="TOC2"/>
      </w:pPr>
      <w:hyperlink w:anchor="_Toc161917247" w:history="1">
        <w:r w:rsidR="006703DF" w:rsidRPr="00B07607">
          <w:rPr>
            <w:rStyle w:val="Hyperlink"/>
            <w:noProof/>
          </w:rPr>
          <w:t>Exceptions – roles in religious bodies</w:t>
        </w:r>
        <w:r w:rsidR="006703DF">
          <w:rPr>
            <w:noProof/>
            <w:webHidden/>
          </w:rPr>
          <w:tab/>
        </w:r>
        <w:r w:rsidR="006703DF">
          <w:rPr>
            <w:noProof/>
            <w:webHidden/>
          </w:rPr>
          <w:fldChar w:fldCharType="begin"/>
        </w:r>
        <w:r w:rsidR="006703DF">
          <w:rPr>
            <w:noProof/>
            <w:webHidden/>
          </w:rPr>
          <w:instrText xml:space="preserve"> PAGEREF _Toc161917247 \h </w:instrText>
        </w:r>
        <w:r w:rsidR="006703DF">
          <w:rPr>
            <w:noProof/>
            <w:webHidden/>
          </w:rPr>
        </w:r>
        <w:r w:rsidR="006703DF">
          <w:rPr>
            <w:noProof/>
            <w:webHidden/>
          </w:rPr>
          <w:fldChar w:fldCharType="separate"/>
        </w:r>
        <w:r w:rsidR="002173BE">
          <w:rPr>
            <w:noProof/>
            <w:webHidden/>
          </w:rPr>
          <w:t>26</w:t>
        </w:r>
        <w:r w:rsidR="006703DF">
          <w:rPr>
            <w:noProof/>
            <w:webHidden/>
          </w:rPr>
          <w:fldChar w:fldCharType="end"/>
        </w:r>
      </w:hyperlink>
    </w:p>
    <w:p w14:paraId="76224DD1" w14:textId="0130B510" w:rsidR="00B016DD" w:rsidRPr="00B36D11" w:rsidRDefault="00AF10F1" w:rsidP="00B016DD">
      <w:pPr>
        <w:rPr>
          <w:b/>
          <w:bCs/>
        </w:rPr>
      </w:pPr>
      <w:r w:rsidRPr="00B36D11">
        <w:rPr>
          <w:b/>
          <w:bCs/>
        </w:rPr>
        <w:t>Annexures</w:t>
      </w:r>
      <w:r w:rsidR="00B36D11" w:rsidRPr="00B36D11">
        <w:rPr>
          <w:b/>
          <w:bCs/>
        </w:rPr>
        <w:t xml:space="preserve"> ………………………………………………………………………………</w:t>
      </w:r>
      <w:r w:rsidR="000E6F8A">
        <w:rPr>
          <w:b/>
          <w:bCs/>
        </w:rPr>
        <w:t>..</w:t>
      </w:r>
      <w:r w:rsidR="00B36D11" w:rsidRPr="00B36D11">
        <w:rPr>
          <w:b/>
          <w:bCs/>
        </w:rPr>
        <w:t>..29</w:t>
      </w:r>
    </w:p>
    <w:p w14:paraId="17DBAB7F" w14:textId="25244E15" w:rsidR="006703DF" w:rsidRDefault="006703DF">
      <w:pPr>
        <w:pStyle w:val="TOC3"/>
        <w:tabs>
          <w:tab w:val="right" w:leader="dot" w:pos="8296"/>
        </w:tabs>
        <w:rPr>
          <w:rFonts w:asciiTheme="minorHAnsi" w:hAnsiTheme="minorHAnsi"/>
          <w:noProof/>
          <w:color w:val="auto"/>
          <w:szCs w:val="28"/>
          <w:lang w:eastAsia="zh-CN" w:bidi="th-TH"/>
        </w:rPr>
      </w:pPr>
    </w:p>
    <w:p w14:paraId="7961E943" w14:textId="310FCD40" w:rsidR="04E279A2" w:rsidRDefault="04E279A2" w:rsidP="04E279A2">
      <w:pPr>
        <w:pStyle w:val="TOC3"/>
        <w:tabs>
          <w:tab w:val="right" w:leader="dot" w:pos="8295"/>
        </w:tabs>
        <w:rPr>
          <w:rStyle w:val="Hyperlink"/>
        </w:rPr>
      </w:pPr>
      <w:r>
        <w:fldChar w:fldCharType="end"/>
      </w:r>
    </w:p>
    <w:p w14:paraId="71267376" w14:textId="77777777" w:rsidR="001855E5" w:rsidRDefault="001855E5">
      <w:pPr>
        <w:spacing w:after="0"/>
        <w:rPr>
          <w:rFonts w:eastAsiaTheme="majorEastAsia" w:cstheme="majorBidi"/>
          <w:color w:val="004270"/>
          <w:sz w:val="36"/>
          <w:szCs w:val="36"/>
          <w:lang w:val="en-US"/>
        </w:rPr>
      </w:pPr>
      <w:bookmarkStart w:id="0" w:name="_Toc161917214"/>
      <w:r>
        <w:rPr>
          <w:lang w:val="en-US"/>
        </w:rPr>
        <w:br w:type="page"/>
      </w:r>
    </w:p>
    <w:p w14:paraId="4014F0A1" w14:textId="73C1E977" w:rsidR="00EE1A9B" w:rsidRDefault="00EE1A9B" w:rsidP="00EE1A9B">
      <w:pPr>
        <w:pStyle w:val="Heading1"/>
        <w:rPr>
          <w:lang w:val="en-US"/>
        </w:rPr>
      </w:pPr>
      <w:r>
        <w:rPr>
          <w:lang w:val="en-US"/>
        </w:rPr>
        <w:lastRenderedPageBreak/>
        <w:t>About the Commission</w:t>
      </w:r>
      <w:bookmarkEnd w:id="0"/>
    </w:p>
    <w:p w14:paraId="61E63882" w14:textId="4330D803" w:rsidR="00EE1A9B" w:rsidRPr="00881C23" w:rsidRDefault="00EE1A9B" w:rsidP="00EE1A9B">
      <w:pPr>
        <w:pStyle w:val="Numberedparagraph"/>
        <w:rPr>
          <w:lang w:val="en-US"/>
        </w:rPr>
      </w:pPr>
      <w:r w:rsidRPr="00881C23">
        <w:rPr>
          <w:lang w:val="en-US"/>
        </w:rPr>
        <w:t>The Queensland Human Rights Commission (</w:t>
      </w:r>
      <w:r w:rsidR="00CE5075">
        <w:rPr>
          <w:b/>
          <w:bCs/>
          <w:lang w:val="en-US"/>
        </w:rPr>
        <w:t>QHRC</w:t>
      </w:r>
      <w:r w:rsidRPr="00881C23">
        <w:rPr>
          <w:lang w:val="en-US"/>
        </w:rPr>
        <w:t xml:space="preserve">) is an independent statutory authority with functions under the </w:t>
      </w:r>
      <w:r w:rsidRPr="00881C23">
        <w:rPr>
          <w:i/>
          <w:iCs/>
          <w:lang w:val="en-US"/>
        </w:rPr>
        <w:t>Anti-Discrimination Act 1991</w:t>
      </w:r>
      <w:r w:rsidRPr="00881C23">
        <w:rPr>
          <w:lang w:val="en-US"/>
        </w:rPr>
        <w:t xml:space="preserve"> </w:t>
      </w:r>
      <w:r w:rsidR="004B1418">
        <w:rPr>
          <w:lang w:val="en-US"/>
        </w:rPr>
        <w:t>(</w:t>
      </w:r>
      <w:r w:rsidR="004B1418" w:rsidRPr="004B1418">
        <w:rPr>
          <w:b/>
          <w:bCs/>
          <w:lang w:val="en-US"/>
        </w:rPr>
        <w:t>Anti-Discrimination Act</w:t>
      </w:r>
      <w:r w:rsidR="004B1418">
        <w:rPr>
          <w:lang w:val="en-US"/>
        </w:rPr>
        <w:t xml:space="preserve">) </w:t>
      </w:r>
      <w:r w:rsidRPr="00881C23">
        <w:rPr>
          <w:lang w:val="en-US"/>
        </w:rPr>
        <w:t xml:space="preserve">and </w:t>
      </w:r>
      <w:r w:rsidR="00A9697F">
        <w:rPr>
          <w:lang w:val="en-US"/>
        </w:rPr>
        <w:t xml:space="preserve">the </w:t>
      </w:r>
      <w:r w:rsidRPr="00881C23">
        <w:rPr>
          <w:i/>
          <w:iCs/>
          <w:lang w:val="en-US"/>
        </w:rPr>
        <w:t xml:space="preserve">Human Rights Act 2019 </w:t>
      </w:r>
      <w:r w:rsidRPr="00881C23">
        <w:rPr>
          <w:lang w:val="en-US"/>
        </w:rPr>
        <w:t>(</w:t>
      </w:r>
      <w:r w:rsidRPr="00F30F2A">
        <w:rPr>
          <w:b/>
          <w:bCs/>
          <w:lang w:val="en-US"/>
        </w:rPr>
        <w:t>Human Rights Act</w:t>
      </w:r>
      <w:r w:rsidRPr="00881C23">
        <w:rPr>
          <w:lang w:val="en-US"/>
        </w:rPr>
        <w:t>), which include:</w:t>
      </w:r>
    </w:p>
    <w:p w14:paraId="5812B010" w14:textId="66FB37B1" w:rsidR="00EE1A9B" w:rsidRPr="00881C23" w:rsidRDefault="00EE1A9B" w:rsidP="00EE1A9B">
      <w:pPr>
        <w:pStyle w:val="Bulletedlist"/>
        <w:rPr>
          <w:lang w:val="en-US"/>
        </w:rPr>
      </w:pPr>
      <w:r w:rsidRPr="00881C23">
        <w:rPr>
          <w:lang w:val="en-US"/>
        </w:rPr>
        <w:t xml:space="preserve">dealing with complaints of discrimination, sexual harassment, vilification, reprisal (under the </w:t>
      </w:r>
      <w:r w:rsidRPr="00881C23">
        <w:rPr>
          <w:i/>
          <w:lang w:val="en-US"/>
        </w:rPr>
        <w:t>Public Interest Disclosure Act 20</w:t>
      </w:r>
      <w:r w:rsidR="00B47772">
        <w:rPr>
          <w:i/>
          <w:lang w:val="en-US"/>
        </w:rPr>
        <w:t>10</w:t>
      </w:r>
      <w:r w:rsidRPr="00881C23">
        <w:rPr>
          <w:lang w:val="en-US"/>
        </w:rPr>
        <w:t xml:space="preserve">), and </w:t>
      </w:r>
      <w:r w:rsidR="002E36CB">
        <w:rPr>
          <w:lang w:val="en-US"/>
        </w:rPr>
        <w:t>con</w:t>
      </w:r>
      <w:r w:rsidR="009C39DF">
        <w:rPr>
          <w:lang w:val="en-US"/>
        </w:rPr>
        <w:t>traventions</w:t>
      </w:r>
      <w:r w:rsidR="002E36CB" w:rsidRPr="00881C23">
        <w:rPr>
          <w:lang w:val="en-US"/>
        </w:rPr>
        <w:t xml:space="preserve"> </w:t>
      </w:r>
      <w:r w:rsidRPr="00881C23">
        <w:rPr>
          <w:lang w:val="en-US"/>
        </w:rPr>
        <w:t>of the Human Rights Act</w:t>
      </w:r>
    </w:p>
    <w:p w14:paraId="5FF931AC" w14:textId="12C5CDB2" w:rsidR="00EE1A9B" w:rsidRPr="00881C23" w:rsidRDefault="00EE1A9B" w:rsidP="00EE1A9B">
      <w:pPr>
        <w:pStyle w:val="Bulletedlist"/>
        <w:rPr>
          <w:lang w:val="en-US"/>
        </w:rPr>
      </w:pPr>
      <w:r w:rsidRPr="00881C23">
        <w:rPr>
          <w:lang w:val="en-US"/>
        </w:rPr>
        <w:t xml:space="preserve">reviewing public entities’ policies, programs, procedures, </w:t>
      </w:r>
      <w:proofErr w:type="gramStart"/>
      <w:r w:rsidRPr="00881C23">
        <w:rPr>
          <w:lang w:val="en-US"/>
        </w:rPr>
        <w:t>practices</w:t>
      </w:r>
      <w:proofErr w:type="gramEnd"/>
      <w:r w:rsidRPr="00881C23">
        <w:rPr>
          <w:lang w:val="en-US"/>
        </w:rPr>
        <w:t xml:space="preserve"> and services in relation to their compatibility with human rights</w:t>
      </w:r>
    </w:p>
    <w:p w14:paraId="75F387D8" w14:textId="4970DFE2" w:rsidR="00EE1A9B" w:rsidRPr="00881C23" w:rsidRDefault="00EE1A9B" w:rsidP="00EE1A9B">
      <w:pPr>
        <w:pStyle w:val="Bulletedlist"/>
        <w:rPr>
          <w:lang w:val="en-US"/>
        </w:rPr>
      </w:pPr>
      <w:r w:rsidRPr="00881C23">
        <w:rPr>
          <w:lang w:val="en-US"/>
        </w:rPr>
        <w:t>promoting an understanding, acceptance, and public discussion of human rights and the Human Rights Act in Queensland</w:t>
      </w:r>
    </w:p>
    <w:p w14:paraId="1B8A68F6" w14:textId="0FB720B0" w:rsidR="00EE1A9B" w:rsidRPr="00881C23" w:rsidRDefault="00EE1A9B" w:rsidP="00EE1A9B">
      <w:pPr>
        <w:pStyle w:val="Bulletedlist"/>
        <w:rPr>
          <w:lang w:val="en-US"/>
        </w:rPr>
      </w:pPr>
      <w:r w:rsidRPr="00881C23">
        <w:rPr>
          <w:lang w:val="en-US"/>
        </w:rPr>
        <w:t>providing education about human rights and the Human Rights Act.</w:t>
      </w:r>
    </w:p>
    <w:p w14:paraId="61A4C307" w14:textId="7E94AAFF" w:rsidR="00CE5075" w:rsidRDefault="00CE5075" w:rsidP="00CE5075">
      <w:pPr>
        <w:pStyle w:val="Heading1"/>
      </w:pPr>
      <w:bookmarkStart w:id="1" w:name="_Toc161917215"/>
      <w:r>
        <w:t>Summary</w:t>
      </w:r>
      <w:r w:rsidR="007B03F3">
        <w:t xml:space="preserve"> of </w:t>
      </w:r>
      <w:r>
        <w:t>submission</w:t>
      </w:r>
      <w:bookmarkEnd w:id="1"/>
    </w:p>
    <w:p w14:paraId="11EA4B91" w14:textId="2151BDC7" w:rsidR="00B84344" w:rsidRPr="00B84344" w:rsidRDefault="00B84344" w:rsidP="00B84344">
      <w:pPr>
        <w:pStyle w:val="Numberedparagraph"/>
        <w:rPr>
          <w:lang w:val="en-US"/>
        </w:rPr>
      </w:pPr>
      <w:r w:rsidRPr="005B2F94">
        <w:t xml:space="preserve">This submission is in response to the </w:t>
      </w:r>
      <w:r w:rsidR="00605D66" w:rsidRPr="005B2F94">
        <w:t>consultation draft of the Anti-Discrimination Bill 2024 (</w:t>
      </w:r>
      <w:r w:rsidR="00605D66" w:rsidRPr="005B2F94">
        <w:rPr>
          <w:b/>
          <w:bCs/>
        </w:rPr>
        <w:t>draft Bill</w:t>
      </w:r>
      <w:r w:rsidR="00605D66" w:rsidRPr="005B2F94">
        <w:t>)</w:t>
      </w:r>
      <w:r w:rsidR="006449AF">
        <w:t>.</w:t>
      </w:r>
    </w:p>
    <w:p w14:paraId="610D7C16" w14:textId="1127156E" w:rsidR="004B1418" w:rsidRDefault="006435ED" w:rsidP="00CE5075">
      <w:pPr>
        <w:pStyle w:val="Numberedparagraph"/>
        <w:rPr>
          <w:lang w:val="en-US"/>
        </w:rPr>
      </w:pPr>
      <w:r>
        <w:rPr>
          <w:lang w:val="en-US"/>
        </w:rPr>
        <w:t xml:space="preserve">The QHRC </w:t>
      </w:r>
      <w:r w:rsidR="00D54591">
        <w:rPr>
          <w:lang w:val="en-US"/>
        </w:rPr>
        <w:t xml:space="preserve">strongly </w:t>
      </w:r>
      <w:r w:rsidR="00140E32">
        <w:rPr>
          <w:lang w:val="en-US"/>
        </w:rPr>
        <w:t>supports</w:t>
      </w:r>
      <w:r w:rsidR="006F7AF4">
        <w:rPr>
          <w:lang w:val="en-US"/>
        </w:rPr>
        <w:t xml:space="preserve"> </w:t>
      </w:r>
      <w:r w:rsidR="00743609">
        <w:rPr>
          <w:lang w:val="en-US"/>
        </w:rPr>
        <w:t xml:space="preserve">the </w:t>
      </w:r>
      <w:r w:rsidR="00D54591">
        <w:rPr>
          <w:lang w:val="en-US"/>
        </w:rPr>
        <w:t>introduction</w:t>
      </w:r>
      <w:r w:rsidR="00743609">
        <w:rPr>
          <w:lang w:val="en-US"/>
        </w:rPr>
        <w:t xml:space="preserve"> of a new Anti-Discrimination </w:t>
      </w:r>
      <w:r w:rsidR="00D54591">
        <w:rPr>
          <w:lang w:val="en-US"/>
        </w:rPr>
        <w:t xml:space="preserve">Bill into </w:t>
      </w:r>
      <w:r w:rsidR="00B84344">
        <w:rPr>
          <w:lang w:val="en-US"/>
        </w:rPr>
        <w:t xml:space="preserve">the </w:t>
      </w:r>
      <w:r w:rsidR="00D54591">
        <w:rPr>
          <w:lang w:val="en-US"/>
        </w:rPr>
        <w:t>Queensland Parliament</w:t>
      </w:r>
      <w:r w:rsidR="004B1418">
        <w:rPr>
          <w:lang w:val="en-US"/>
        </w:rPr>
        <w:t xml:space="preserve">. </w:t>
      </w:r>
    </w:p>
    <w:p w14:paraId="15F78612" w14:textId="0CE0B845" w:rsidR="00605D66" w:rsidRPr="00910B96" w:rsidRDefault="00605D66" w:rsidP="00605D66">
      <w:pPr>
        <w:pStyle w:val="Numberedparagraph"/>
        <w:rPr>
          <w:lang w:val="en-US"/>
        </w:rPr>
      </w:pPr>
      <w:proofErr w:type="gramStart"/>
      <w:r>
        <w:rPr>
          <w:shd w:val="clear" w:color="auto" w:fill="FFFFFF"/>
        </w:rPr>
        <w:t>The majority of</w:t>
      </w:r>
      <w:proofErr w:type="gramEnd"/>
      <w:r>
        <w:rPr>
          <w:shd w:val="clear" w:color="auto" w:fill="FFFFFF"/>
        </w:rPr>
        <w:t xml:space="preserve"> provisions outlined in the draft Bill align closely with the recommendations made by the QHRC's 2022 review of the Anti-Discrimination Act, as detailed in </w:t>
      </w:r>
      <w:r w:rsidRPr="000E7409">
        <w:rPr>
          <w:i/>
          <w:iCs/>
          <w:shd w:val="clear" w:color="auto" w:fill="FFFFFF"/>
        </w:rPr>
        <w:t>Building</w:t>
      </w:r>
      <w:r w:rsidR="007B03F3" w:rsidRPr="000E7409">
        <w:rPr>
          <w:i/>
          <w:iCs/>
          <w:shd w:val="clear" w:color="auto" w:fill="FFFFFF"/>
        </w:rPr>
        <w:t xml:space="preserve"> belonging</w:t>
      </w:r>
      <w:r w:rsidRPr="000E7409">
        <w:rPr>
          <w:i/>
          <w:iCs/>
          <w:shd w:val="clear" w:color="auto" w:fill="FFFFFF"/>
        </w:rPr>
        <w:t>: Review of Queensland’s</w:t>
      </w:r>
      <w:r>
        <w:rPr>
          <w:shd w:val="clear" w:color="auto" w:fill="FFFFFF"/>
        </w:rPr>
        <w:t xml:space="preserve"> </w:t>
      </w:r>
      <w:r w:rsidRPr="008B6873">
        <w:rPr>
          <w:i/>
          <w:iCs/>
          <w:shd w:val="clear" w:color="auto" w:fill="FFFFFF"/>
        </w:rPr>
        <w:t>Anti-Discrimination Act 1991</w:t>
      </w:r>
      <w:r>
        <w:rPr>
          <w:shd w:val="clear" w:color="auto" w:fill="FFFFFF"/>
        </w:rPr>
        <w:t xml:space="preserve"> </w:t>
      </w:r>
      <w:r w:rsidRPr="00980EB6">
        <w:rPr>
          <w:shd w:val="clear" w:color="auto" w:fill="FFFFFF"/>
        </w:rPr>
        <w:t>(</w:t>
      </w:r>
      <w:r w:rsidRPr="007D7A72">
        <w:rPr>
          <w:b/>
          <w:i/>
          <w:shd w:val="clear" w:color="auto" w:fill="FFFFFF"/>
        </w:rPr>
        <w:t>Building belonging</w:t>
      </w:r>
      <w:r w:rsidRPr="005B2F94">
        <w:rPr>
          <w:b/>
          <w:bCs/>
          <w:shd w:val="clear" w:color="auto" w:fill="FFFFFF"/>
        </w:rPr>
        <w:t xml:space="preserve"> </w:t>
      </w:r>
      <w:r w:rsidR="004973C5">
        <w:rPr>
          <w:b/>
          <w:bCs/>
          <w:shd w:val="clear" w:color="auto" w:fill="FFFFFF"/>
        </w:rPr>
        <w:t>r</w:t>
      </w:r>
      <w:r w:rsidR="005B2F94" w:rsidRPr="005B2F94">
        <w:rPr>
          <w:b/>
          <w:bCs/>
          <w:shd w:val="clear" w:color="auto" w:fill="FFFFFF"/>
        </w:rPr>
        <w:t>eview</w:t>
      </w:r>
      <w:r>
        <w:rPr>
          <w:shd w:val="clear" w:color="auto" w:fill="FFFFFF"/>
        </w:rPr>
        <w:t>).</w:t>
      </w:r>
    </w:p>
    <w:p w14:paraId="353C97D9" w14:textId="09E02DDA" w:rsidR="00910B96" w:rsidRPr="00910B96" w:rsidRDefault="00B7115D" w:rsidP="00910B96">
      <w:pPr>
        <w:pStyle w:val="Numberedparagraph"/>
        <w:rPr>
          <w:sz w:val="24"/>
        </w:rPr>
      </w:pPr>
      <w:r>
        <w:t>This submission outlines</w:t>
      </w:r>
      <w:r w:rsidR="00910B96">
        <w:t xml:space="preserve">: </w:t>
      </w:r>
    </w:p>
    <w:p w14:paraId="245D41D9" w14:textId="0B9895BF" w:rsidR="00910B96" w:rsidRPr="00234E67" w:rsidRDefault="00B7115D" w:rsidP="001D4E5B">
      <w:pPr>
        <w:pStyle w:val="Bulletedlist"/>
      </w:pPr>
      <w:r w:rsidRPr="00234E67">
        <w:t>k</w:t>
      </w:r>
      <w:r w:rsidR="003A3FA4" w:rsidRPr="00234E67">
        <w:t>ey</w:t>
      </w:r>
      <w:r w:rsidR="00910B96" w:rsidRPr="00234E67">
        <w:t xml:space="preserve"> improvements</w:t>
      </w:r>
      <w:r w:rsidR="00BD2103" w:rsidRPr="00234E67">
        <w:t xml:space="preserve"> to the law</w:t>
      </w:r>
      <w:r w:rsidR="00910B96" w:rsidRPr="00234E67">
        <w:t xml:space="preserve"> presented in the Bill. </w:t>
      </w:r>
    </w:p>
    <w:p w14:paraId="0D3E3019" w14:textId="07F9ADA6" w:rsidR="00910B96" w:rsidRDefault="00B7115D" w:rsidP="001D4E5B">
      <w:pPr>
        <w:pStyle w:val="Bulletedlist"/>
      </w:pPr>
      <w:r w:rsidRPr="00234E67">
        <w:t>p</w:t>
      </w:r>
      <w:r w:rsidR="00910B96" w:rsidRPr="00234E67">
        <w:t>riority concerns</w:t>
      </w:r>
      <w:r w:rsidR="00910B96">
        <w:t xml:space="preserve"> necessitating amendments.</w:t>
      </w:r>
    </w:p>
    <w:p w14:paraId="2DE731D9" w14:textId="33F04D09" w:rsidR="00D0599B" w:rsidRDefault="00B7115D" w:rsidP="001D4E5B">
      <w:pPr>
        <w:pStyle w:val="Bulletedlist"/>
      </w:pPr>
      <w:r>
        <w:t>s</w:t>
      </w:r>
      <w:r w:rsidR="00D56DBC">
        <w:t xml:space="preserve">uggested amendments </w:t>
      </w:r>
      <w:r w:rsidR="001D4E5B">
        <w:t>across</w:t>
      </w:r>
      <w:r w:rsidR="00D56DBC">
        <w:t xml:space="preserve"> a</w:t>
      </w:r>
      <w:r>
        <w:t xml:space="preserve"> broad</w:t>
      </w:r>
      <w:r w:rsidR="00D56DBC">
        <w:t xml:space="preserve"> range of issues</w:t>
      </w:r>
      <w:r w:rsidR="00C95FDC">
        <w:t xml:space="preserve"> (contained in </w:t>
      </w:r>
      <w:r w:rsidR="006A1A4F">
        <w:t>Annexures</w:t>
      </w:r>
      <w:r w:rsidR="00C95FDC">
        <w:t xml:space="preserve"> A </w:t>
      </w:r>
      <w:r w:rsidR="006E0C26">
        <w:t>-</w:t>
      </w:r>
      <w:r w:rsidR="00C95FDC">
        <w:t xml:space="preserve"> H </w:t>
      </w:r>
      <w:r w:rsidR="007044B2">
        <w:t>to</w:t>
      </w:r>
      <w:r w:rsidR="00C95FDC">
        <w:t xml:space="preserve"> this submission)</w:t>
      </w:r>
      <w:r w:rsidR="00D56DBC">
        <w:t>.</w:t>
      </w:r>
    </w:p>
    <w:p w14:paraId="41C2BC99" w14:textId="7C32B77C" w:rsidR="00D3526A" w:rsidRPr="00881C23" w:rsidRDefault="00E315EC" w:rsidP="00D3526A">
      <w:pPr>
        <w:pStyle w:val="Heading1"/>
        <w:rPr>
          <w:lang w:val="en-US"/>
        </w:rPr>
      </w:pPr>
      <w:bookmarkStart w:id="2" w:name="_Toc161917216"/>
      <w:r w:rsidRPr="42971371">
        <w:rPr>
          <w:lang w:val="en-US"/>
        </w:rPr>
        <w:t>Background</w:t>
      </w:r>
      <w:bookmarkEnd w:id="2"/>
    </w:p>
    <w:p w14:paraId="4259DE12" w14:textId="165B4C75" w:rsidR="008A138D" w:rsidRDefault="002716B2" w:rsidP="004F655B">
      <w:pPr>
        <w:pStyle w:val="Numberedparagraph"/>
      </w:pPr>
      <w:r>
        <w:t>In 2</w:t>
      </w:r>
      <w:r w:rsidR="00603078">
        <w:t xml:space="preserve">021, the Attorney-General </w:t>
      </w:r>
      <w:r w:rsidR="00312AED">
        <w:t xml:space="preserve">asked the Queensland Human Rights Commission to review the </w:t>
      </w:r>
      <w:r w:rsidR="00312AED" w:rsidRPr="00706EF1">
        <w:rPr>
          <w:i/>
        </w:rPr>
        <w:t>Anti-Discrimination Act 1991</w:t>
      </w:r>
      <w:r w:rsidR="007B2BB8">
        <w:rPr>
          <w:i/>
        </w:rPr>
        <w:t xml:space="preserve"> </w:t>
      </w:r>
      <w:r w:rsidR="00976DE0">
        <w:rPr>
          <w:iCs/>
        </w:rPr>
        <w:t>(Qld)</w:t>
      </w:r>
      <w:r w:rsidR="00312AED">
        <w:t xml:space="preserve">. </w:t>
      </w:r>
      <w:r w:rsidR="004F655B" w:rsidRPr="006E0B7E">
        <w:t>The</w:t>
      </w:r>
      <w:r w:rsidR="008A138D">
        <w:t xml:space="preserve"> </w:t>
      </w:r>
      <w:r w:rsidR="00A24A9E">
        <w:t xml:space="preserve">QHRC’s </w:t>
      </w:r>
      <w:r w:rsidR="00960BDB">
        <w:rPr>
          <w:i/>
          <w:iCs/>
        </w:rPr>
        <w:t xml:space="preserve">Building belonging </w:t>
      </w:r>
      <w:r w:rsidR="009D3D52">
        <w:t>r</w:t>
      </w:r>
      <w:r w:rsidR="009D3D52" w:rsidRPr="006E0B7E">
        <w:t>eview</w:t>
      </w:r>
      <w:r w:rsidR="004F655B" w:rsidRPr="006E0B7E">
        <w:t xml:space="preserve"> </w:t>
      </w:r>
      <w:r w:rsidR="00362531">
        <w:t xml:space="preserve">considered whether there was a need for </w:t>
      </w:r>
      <w:r w:rsidR="00C24788">
        <w:t xml:space="preserve">any </w:t>
      </w:r>
      <w:r w:rsidR="00362531">
        <w:t xml:space="preserve">reform </w:t>
      </w:r>
      <w:r w:rsidR="004465C0">
        <w:t xml:space="preserve">to enhance and update the </w:t>
      </w:r>
      <w:proofErr w:type="gramStart"/>
      <w:r w:rsidR="004465C0">
        <w:t>Act</w:t>
      </w:r>
      <w:proofErr w:type="gramEnd"/>
      <w:r w:rsidR="007B1011">
        <w:t xml:space="preserve"> so it best protects and promotes equality, non-discrimination and the realisation of human rights</w:t>
      </w:r>
      <w:r w:rsidR="004F655B" w:rsidRPr="006E0B7E">
        <w:t>.</w:t>
      </w:r>
      <w:r w:rsidR="00537F9A">
        <w:rPr>
          <w:rStyle w:val="FootnoteReference"/>
        </w:rPr>
        <w:footnoteReference w:id="2"/>
      </w:r>
      <w:r w:rsidR="004F655B" w:rsidRPr="006E0B7E">
        <w:t xml:space="preserve"> </w:t>
      </w:r>
    </w:p>
    <w:p w14:paraId="384E163D" w14:textId="3B073966" w:rsidR="004F655B" w:rsidRPr="006E0B7E" w:rsidRDefault="009A0271" w:rsidP="004F655B">
      <w:pPr>
        <w:pStyle w:val="Numberedparagraph"/>
      </w:pPr>
      <w:r>
        <w:lastRenderedPageBreak/>
        <w:t xml:space="preserve">The </w:t>
      </w:r>
      <w:proofErr w:type="gramStart"/>
      <w:r w:rsidR="00960BDB">
        <w:rPr>
          <w:i/>
          <w:iCs/>
        </w:rPr>
        <w:t>Building</w:t>
      </w:r>
      <w:proofErr w:type="gramEnd"/>
      <w:r w:rsidR="00960BDB">
        <w:rPr>
          <w:i/>
          <w:iCs/>
        </w:rPr>
        <w:t xml:space="preserve"> belonging </w:t>
      </w:r>
      <w:r w:rsidR="00960BDB">
        <w:t>review</w:t>
      </w:r>
      <w:r>
        <w:t xml:space="preserve"> was the first thorough </w:t>
      </w:r>
      <w:r w:rsidR="000A3607">
        <w:t xml:space="preserve">consideration of Queensland’s anti-discrimination law in </w:t>
      </w:r>
      <w:r w:rsidR="00007802">
        <w:t xml:space="preserve">over </w:t>
      </w:r>
      <w:r w:rsidR="000A3607">
        <w:t>30 years</w:t>
      </w:r>
      <w:r w:rsidR="0004131E">
        <w:t>.</w:t>
      </w:r>
      <w:r w:rsidR="00475811">
        <w:t xml:space="preserve"> </w:t>
      </w:r>
      <w:r w:rsidR="0004131E">
        <w:t>T</w:t>
      </w:r>
      <w:r w:rsidR="004F655B" w:rsidRPr="006E0B7E">
        <w:t xml:space="preserve">he </w:t>
      </w:r>
      <w:r w:rsidR="004F655B">
        <w:t>R</w:t>
      </w:r>
      <w:r w:rsidR="004F655B" w:rsidRPr="006E0B7E">
        <w:t xml:space="preserve">eview </w:t>
      </w:r>
      <w:r w:rsidR="0004131E">
        <w:t>aimed</w:t>
      </w:r>
      <w:r w:rsidR="0004131E" w:rsidRPr="006E0B7E">
        <w:t xml:space="preserve"> </w:t>
      </w:r>
      <w:r w:rsidR="004F655B" w:rsidRPr="006E0B7E">
        <w:t xml:space="preserve">to ensure the Act's relevance and effectiveness in contemporary Queensland. Through extensive consultations and </w:t>
      </w:r>
      <w:r w:rsidR="004400AD">
        <w:t xml:space="preserve">consideration of survey responses and </w:t>
      </w:r>
      <w:r w:rsidR="004F655B" w:rsidRPr="006E0B7E">
        <w:t xml:space="preserve">submissions, the </w:t>
      </w:r>
      <w:r w:rsidR="004F655B">
        <w:t>Review</w:t>
      </w:r>
      <w:r w:rsidR="004F655B" w:rsidRPr="006E0B7E">
        <w:t xml:space="preserve"> gathered insights from diverse stakeholders</w:t>
      </w:r>
      <w:r w:rsidR="00475811">
        <w:t xml:space="preserve"> </w:t>
      </w:r>
      <w:r w:rsidR="00CD7DF0">
        <w:t>about</w:t>
      </w:r>
      <w:r w:rsidR="00CD7DF0" w:rsidRPr="006E0B7E">
        <w:t xml:space="preserve"> </w:t>
      </w:r>
      <w:r w:rsidR="004F655B" w:rsidRPr="006E0B7E">
        <w:t>the complex nature of discrimination and its</w:t>
      </w:r>
      <w:r w:rsidR="00672A73">
        <w:t xml:space="preserve"> negative</w:t>
      </w:r>
      <w:r w:rsidR="004F655B" w:rsidRPr="006E0B7E">
        <w:t xml:space="preserve"> impact</w:t>
      </w:r>
      <w:r w:rsidR="00672A73">
        <w:t>s</w:t>
      </w:r>
      <w:r w:rsidR="004F655B" w:rsidRPr="006E0B7E">
        <w:t xml:space="preserve"> on affected individuals and communities.</w:t>
      </w:r>
    </w:p>
    <w:p w14:paraId="7C0A8437" w14:textId="598EA209" w:rsidR="00673881" w:rsidRDefault="00CE7278" w:rsidP="004D7465">
      <w:pPr>
        <w:pStyle w:val="Numberedparagraph"/>
      </w:pPr>
      <w:r>
        <w:t xml:space="preserve">The </w:t>
      </w:r>
      <w:proofErr w:type="gramStart"/>
      <w:r w:rsidR="00DF2A2E">
        <w:rPr>
          <w:i/>
          <w:iCs/>
        </w:rPr>
        <w:t>Building</w:t>
      </w:r>
      <w:proofErr w:type="gramEnd"/>
      <w:r w:rsidR="00DF2A2E">
        <w:rPr>
          <w:i/>
          <w:iCs/>
        </w:rPr>
        <w:t xml:space="preserve"> belonging </w:t>
      </w:r>
      <w:r w:rsidR="00DF2A2E">
        <w:t>review</w:t>
      </w:r>
      <w:r w:rsidRPr="00CE7278">
        <w:t xml:space="preserve"> highlighted the limitations of the current Act in addressing systemic discrimination. </w:t>
      </w:r>
      <w:r w:rsidR="004D7465" w:rsidRPr="006E0B7E">
        <w:t>The proposed reforms</w:t>
      </w:r>
      <w:r w:rsidR="004D7465">
        <w:t xml:space="preserve"> set out in the </w:t>
      </w:r>
      <w:proofErr w:type="gramStart"/>
      <w:r w:rsidR="004D7465">
        <w:rPr>
          <w:i/>
          <w:iCs/>
        </w:rPr>
        <w:t>Building</w:t>
      </w:r>
      <w:proofErr w:type="gramEnd"/>
      <w:r w:rsidR="004D7465">
        <w:rPr>
          <w:i/>
          <w:iCs/>
        </w:rPr>
        <w:t xml:space="preserve"> belonging </w:t>
      </w:r>
      <w:r w:rsidR="004D7465">
        <w:t>review</w:t>
      </w:r>
      <w:r w:rsidR="004D7465" w:rsidRPr="006E0B7E">
        <w:t xml:space="preserve"> emphasi</w:t>
      </w:r>
      <w:r w:rsidR="004D7465">
        <w:t>s</w:t>
      </w:r>
      <w:r w:rsidR="004D7465" w:rsidRPr="006E0B7E">
        <w:t xml:space="preserve">ed the importance </w:t>
      </w:r>
      <w:r w:rsidR="004D7465">
        <w:t>of changes that not</w:t>
      </w:r>
      <w:r w:rsidR="004D7465" w:rsidRPr="006E0B7E">
        <w:t xml:space="preserve"> only address individual instances of discrimination but tackle its systemic roots. </w:t>
      </w:r>
      <w:r w:rsidR="00DF2A2E">
        <w:t>This led to recommendations</w:t>
      </w:r>
      <w:r w:rsidR="004F655B" w:rsidRPr="006E0B7E">
        <w:t xml:space="preserve"> for a more proactive approach to </w:t>
      </w:r>
      <w:r w:rsidR="00007802">
        <w:t>addressing</w:t>
      </w:r>
      <w:r w:rsidR="00007802" w:rsidRPr="006E0B7E">
        <w:t xml:space="preserve"> </w:t>
      </w:r>
      <w:r w:rsidR="004F655B" w:rsidRPr="006E0B7E">
        <w:t>discrimination</w:t>
      </w:r>
      <w:r w:rsidR="00F771C1">
        <w:t xml:space="preserve"> </w:t>
      </w:r>
      <w:r w:rsidR="004F655B" w:rsidRPr="006E0B7E">
        <w:t>beyond the existing</w:t>
      </w:r>
      <w:r w:rsidR="00007802">
        <w:t>, reactive,</w:t>
      </w:r>
      <w:r w:rsidR="004F655B" w:rsidRPr="006E0B7E">
        <w:t xml:space="preserve"> complaint</w:t>
      </w:r>
      <w:r w:rsidR="00007802">
        <w:t>s</w:t>
      </w:r>
      <w:r w:rsidR="004F655B" w:rsidRPr="006E0B7E">
        <w:t>-driven framework</w:t>
      </w:r>
      <w:r w:rsidR="00600708">
        <w:t>.</w:t>
      </w:r>
      <w:r w:rsidR="004F655B" w:rsidRPr="006E0B7E">
        <w:t xml:space="preserve"> </w:t>
      </w:r>
    </w:p>
    <w:p w14:paraId="26B80644" w14:textId="36B6F335" w:rsidR="004F655B" w:rsidRPr="006E0B7E" w:rsidRDefault="004F655B" w:rsidP="008F4DBD">
      <w:pPr>
        <w:pStyle w:val="Numberedparagraph"/>
      </w:pPr>
      <w:r w:rsidRPr="006E0B7E">
        <w:t xml:space="preserve">The </w:t>
      </w:r>
      <w:r w:rsidR="004D7465">
        <w:t>Review</w:t>
      </w:r>
      <w:r w:rsidR="000238EE" w:rsidRPr="006E0B7E">
        <w:t xml:space="preserve"> </w:t>
      </w:r>
      <w:r w:rsidR="000238EE">
        <w:t>called for</w:t>
      </w:r>
      <w:r w:rsidR="000238EE" w:rsidRPr="006E0B7E">
        <w:t xml:space="preserve"> </w:t>
      </w:r>
      <w:r w:rsidRPr="006E0B7E">
        <w:t xml:space="preserve">significant reforms, including the introduction of a positive duty for </w:t>
      </w:r>
      <w:r w:rsidR="000238EE" w:rsidRPr="006E0B7E">
        <w:t>organi</w:t>
      </w:r>
      <w:r w:rsidR="000238EE">
        <w:t>s</w:t>
      </w:r>
      <w:r w:rsidR="000238EE" w:rsidRPr="006E0B7E">
        <w:t xml:space="preserve">ations </w:t>
      </w:r>
      <w:r w:rsidRPr="006E0B7E">
        <w:t xml:space="preserve">to </w:t>
      </w:r>
      <w:r w:rsidR="000238EE">
        <w:t>eliminate</w:t>
      </w:r>
      <w:r w:rsidR="000238EE" w:rsidRPr="006E0B7E">
        <w:t xml:space="preserve"> </w:t>
      </w:r>
      <w:r w:rsidRPr="006E0B7E">
        <w:t>discrimination</w:t>
      </w:r>
      <w:r w:rsidR="000238EE">
        <w:t>,</w:t>
      </w:r>
      <w:r w:rsidRPr="006E0B7E">
        <w:t xml:space="preserve"> the </w:t>
      </w:r>
      <w:r w:rsidR="000238EE">
        <w:t xml:space="preserve">redefinition and </w:t>
      </w:r>
      <w:r w:rsidRPr="006E0B7E">
        <w:t>expansion of protected attributes</w:t>
      </w:r>
      <w:r w:rsidR="00E52242">
        <w:t>,</w:t>
      </w:r>
      <w:r w:rsidR="000238EE">
        <w:t xml:space="preserve"> and the recognition of intersectional (combined attribute) discrimination.</w:t>
      </w:r>
    </w:p>
    <w:p w14:paraId="7CD52BF3" w14:textId="53A6C886" w:rsidR="004F655B" w:rsidRPr="006E0B7E" w:rsidRDefault="00673881" w:rsidP="004F655B">
      <w:pPr>
        <w:pStyle w:val="Numberedparagraph"/>
      </w:pPr>
      <w:r>
        <w:t>Other</w:t>
      </w:r>
      <w:r w:rsidRPr="006E0B7E">
        <w:t xml:space="preserve"> </w:t>
      </w:r>
      <w:r w:rsidR="004F655B" w:rsidRPr="006E0B7E">
        <w:t>changes</w:t>
      </w:r>
      <w:r>
        <w:t xml:space="preserve"> to legal definitions and to the complaint process</w:t>
      </w:r>
      <w:r w:rsidR="004F655B" w:rsidRPr="006E0B7E">
        <w:t xml:space="preserve"> </w:t>
      </w:r>
      <w:r>
        <w:t>were directed at</w:t>
      </w:r>
      <w:r w:rsidRPr="006E0B7E">
        <w:t xml:space="preserve"> </w:t>
      </w:r>
      <w:r>
        <w:t>simplifying</w:t>
      </w:r>
      <w:r w:rsidRPr="006E0B7E">
        <w:t xml:space="preserve"> </w:t>
      </w:r>
      <w:r w:rsidR="004F655B" w:rsidRPr="006E0B7E">
        <w:t>the legal framework</w:t>
      </w:r>
      <w:r w:rsidR="006B6FED">
        <w:t xml:space="preserve"> for the benefit of both complainants and duty holders</w:t>
      </w:r>
      <w:r w:rsidR="004F655B" w:rsidRPr="006E0B7E">
        <w:t>, mak</w:t>
      </w:r>
      <w:r w:rsidR="00E52242">
        <w:t>ing</w:t>
      </w:r>
      <w:r w:rsidR="004F655B" w:rsidRPr="006E0B7E">
        <w:t xml:space="preserve"> it more accessible and effective</w:t>
      </w:r>
      <w:r w:rsidR="00E52242">
        <w:t>,</w:t>
      </w:r>
      <w:r>
        <w:t xml:space="preserve"> and improving access to justice</w:t>
      </w:r>
      <w:r w:rsidR="004F655B" w:rsidRPr="006E0B7E">
        <w:t>.</w:t>
      </w:r>
    </w:p>
    <w:p w14:paraId="4C7C1387" w14:textId="1FB11140" w:rsidR="004F655B" w:rsidRDefault="004F655B" w:rsidP="004F655B">
      <w:pPr>
        <w:pStyle w:val="Numberedparagraph"/>
      </w:pPr>
      <w:r w:rsidRPr="006E0B7E">
        <w:t xml:space="preserve">The </w:t>
      </w:r>
      <w:proofErr w:type="gramStart"/>
      <w:r w:rsidR="00D00B2A">
        <w:rPr>
          <w:i/>
          <w:iCs/>
        </w:rPr>
        <w:t>Building</w:t>
      </w:r>
      <w:proofErr w:type="gramEnd"/>
      <w:r w:rsidR="00D00B2A">
        <w:rPr>
          <w:i/>
          <w:iCs/>
        </w:rPr>
        <w:t xml:space="preserve"> belonging </w:t>
      </w:r>
      <w:r w:rsidR="00D00B2A">
        <w:t>review</w:t>
      </w:r>
      <w:r w:rsidR="00D00B2A" w:rsidRPr="006E0B7E">
        <w:t xml:space="preserve"> </w:t>
      </w:r>
      <w:r w:rsidRPr="006E0B7E">
        <w:t xml:space="preserve">concluded with a call for a comprehensive overhaul of the Anti-Discrimination Act, advocating for a new Act that aligns with contemporary societal values and international human rights </w:t>
      </w:r>
      <w:r w:rsidR="00384266">
        <w:t>law</w:t>
      </w:r>
      <w:r w:rsidRPr="006E0B7E">
        <w:t>.</w:t>
      </w:r>
      <w:r w:rsidR="00B47BB8">
        <w:t xml:space="preserve"> The final report</w:t>
      </w:r>
      <w:r w:rsidR="00D828CB">
        <w:rPr>
          <w:rStyle w:val="FootnoteReference"/>
        </w:rPr>
        <w:footnoteReference w:id="3"/>
      </w:r>
      <w:r w:rsidR="00B47BB8">
        <w:t xml:space="preserve"> was delivered to the Attorney-General in July 2022.</w:t>
      </w:r>
      <w:r w:rsidRPr="006E0B7E">
        <w:t xml:space="preserve"> </w:t>
      </w:r>
    </w:p>
    <w:p w14:paraId="4F060BFE" w14:textId="4D72EA94" w:rsidR="004F655B" w:rsidRDefault="004F655B" w:rsidP="004F655B">
      <w:pPr>
        <w:pStyle w:val="Numberedparagraph"/>
      </w:pPr>
      <w:r>
        <w:t xml:space="preserve">In response to the QHRC recommendations in the </w:t>
      </w:r>
      <w:proofErr w:type="gramStart"/>
      <w:r w:rsidRPr="009C0DD2">
        <w:rPr>
          <w:i/>
          <w:iCs/>
        </w:rPr>
        <w:t>Building</w:t>
      </w:r>
      <w:proofErr w:type="gramEnd"/>
      <w:r w:rsidRPr="009C0DD2">
        <w:rPr>
          <w:i/>
          <w:iCs/>
        </w:rPr>
        <w:t xml:space="preserve"> </w:t>
      </w:r>
      <w:r w:rsidR="000A1605" w:rsidRPr="009C0DD2">
        <w:rPr>
          <w:i/>
          <w:iCs/>
        </w:rPr>
        <w:t>b</w:t>
      </w:r>
      <w:r w:rsidRPr="009C0DD2">
        <w:rPr>
          <w:i/>
          <w:iCs/>
        </w:rPr>
        <w:t>elonging</w:t>
      </w:r>
      <w:r>
        <w:t xml:space="preserve"> </w:t>
      </w:r>
      <w:r w:rsidR="00CD6C0A">
        <w:t>review</w:t>
      </w:r>
      <w:r>
        <w:t xml:space="preserve">, the Queensland Government provided their </w:t>
      </w:r>
      <w:r>
        <w:rPr>
          <w:i/>
          <w:iCs/>
        </w:rPr>
        <w:t>F</w:t>
      </w:r>
      <w:r w:rsidRPr="003F6964">
        <w:rPr>
          <w:i/>
          <w:iCs/>
        </w:rPr>
        <w:t>inal Queensland Government Response</w:t>
      </w:r>
      <w:r w:rsidRPr="008B1DA6">
        <w:t xml:space="preserve"> </w:t>
      </w:r>
      <w:r>
        <w:t>which</w:t>
      </w:r>
      <w:r w:rsidRPr="008B1DA6">
        <w:t xml:space="preserve"> was tabled in the Legislative Assembly on 3 April 2023</w:t>
      </w:r>
      <w:r>
        <w:t>. Th</w:t>
      </w:r>
      <w:r w:rsidR="00FE7AF9">
        <w:t>e</w:t>
      </w:r>
      <w:r>
        <w:t xml:space="preserve"> response </w:t>
      </w:r>
      <w:r w:rsidR="005D0B3A">
        <w:t xml:space="preserve">gave </w:t>
      </w:r>
      <w:r w:rsidR="005D0B3A" w:rsidRPr="008B1DA6">
        <w:t>in-</w:t>
      </w:r>
      <w:proofErr w:type="gramStart"/>
      <w:r w:rsidR="005D0B3A" w:rsidRPr="008B1DA6">
        <w:t>principle</w:t>
      </w:r>
      <w:proofErr w:type="gramEnd"/>
      <w:r w:rsidR="005D0B3A">
        <w:t xml:space="preserve"> </w:t>
      </w:r>
      <w:r>
        <w:t>support</w:t>
      </w:r>
      <w:r w:rsidR="005D0B3A">
        <w:t xml:space="preserve"> to</w:t>
      </w:r>
      <w:r>
        <w:t xml:space="preserve"> </w:t>
      </w:r>
      <w:r w:rsidRPr="008B1DA6">
        <w:t xml:space="preserve">all </w:t>
      </w:r>
      <w:r w:rsidR="005D0B3A">
        <w:t xml:space="preserve">of </w:t>
      </w:r>
      <w:r>
        <w:t xml:space="preserve">the QHRC </w:t>
      </w:r>
      <w:r w:rsidRPr="008B1DA6">
        <w:t>recommendations</w:t>
      </w:r>
      <w:r w:rsidR="00497B4E">
        <w:t>,</w:t>
      </w:r>
      <w:r w:rsidRPr="008B1DA6">
        <w:t xml:space="preserve"> and </w:t>
      </w:r>
      <w:r>
        <w:t xml:space="preserve">indicated that it was committed </w:t>
      </w:r>
      <w:r w:rsidRPr="008B1DA6">
        <w:t xml:space="preserve">to the introduction of legislation in </w:t>
      </w:r>
      <w:r>
        <w:t>the current</w:t>
      </w:r>
      <w:r w:rsidRPr="008B1DA6">
        <w:t xml:space="preserve"> term of government.</w:t>
      </w:r>
    </w:p>
    <w:p w14:paraId="467682A0" w14:textId="5264E531" w:rsidR="002846D2" w:rsidRDefault="002846D2" w:rsidP="004F655B">
      <w:pPr>
        <w:pStyle w:val="Numberedparagraph"/>
      </w:pPr>
      <w:r>
        <w:t xml:space="preserve">Vilification and hate crimes laws were </w:t>
      </w:r>
      <w:r w:rsidR="00CD454F">
        <w:t xml:space="preserve">not </w:t>
      </w:r>
      <w:r w:rsidR="009F3101">
        <w:t>examined</w:t>
      </w:r>
      <w:r w:rsidR="00CD454F">
        <w:t xml:space="preserve"> in the </w:t>
      </w:r>
      <w:proofErr w:type="gramStart"/>
      <w:r w:rsidR="00CD454F">
        <w:rPr>
          <w:i/>
          <w:iCs/>
        </w:rPr>
        <w:t>Building</w:t>
      </w:r>
      <w:proofErr w:type="gramEnd"/>
      <w:r w:rsidR="00CD454F">
        <w:rPr>
          <w:i/>
          <w:iCs/>
        </w:rPr>
        <w:t xml:space="preserve"> belonging </w:t>
      </w:r>
      <w:r w:rsidR="00CD454F">
        <w:t xml:space="preserve">review </w:t>
      </w:r>
      <w:r w:rsidR="00151DD7">
        <w:t xml:space="preserve">as </w:t>
      </w:r>
      <w:r w:rsidR="00CD454F">
        <w:t xml:space="preserve">a </w:t>
      </w:r>
      <w:r w:rsidR="00CF7700">
        <w:t>p</w:t>
      </w:r>
      <w:r w:rsidR="00CD454F">
        <w:t xml:space="preserve">arliamentary </w:t>
      </w:r>
      <w:r w:rsidR="00CF7700">
        <w:t>c</w:t>
      </w:r>
      <w:r w:rsidR="00CD454F">
        <w:t xml:space="preserve">ommittee had been </w:t>
      </w:r>
      <w:r w:rsidR="00914B87">
        <w:t>established</w:t>
      </w:r>
      <w:r w:rsidR="00EB42E2">
        <w:t xml:space="preserve"> to consider </w:t>
      </w:r>
      <w:r w:rsidR="00914B87">
        <w:t>the law in Queensland.</w:t>
      </w:r>
      <w:r w:rsidR="00914B87">
        <w:rPr>
          <w:rStyle w:val="FootnoteReference"/>
        </w:rPr>
        <w:footnoteReference w:id="4"/>
      </w:r>
    </w:p>
    <w:p w14:paraId="669FF567" w14:textId="1EC71FCB" w:rsidR="00025089" w:rsidRDefault="00F642B0" w:rsidP="004F655B">
      <w:pPr>
        <w:pStyle w:val="Numberedparagraph"/>
      </w:pPr>
      <w:r>
        <w:t xml:space="preserve">On </w:t>
      </w:r>
      <w:r w:rsidR="009661C8">
        <w:t>3</w:t>
      </w:r>
      <w:r w:rsidR="00DD4EAB">
        <w:t xml:space="preserve">1 </w:t>
      </w:r>
      <w:r w:rsidR="009661C8">
        <w:t>January</w:t>
      </w:r>
      <w:r w:rsidR="00110E4E">
        <w:t xml:space="preserve"> 202</w:t>
      </w:r>
      <w:r w:rsidR="009661C8">
        <w:t>2</w:t>
      </w:r>
      <w:r w:rsidR="00DD4EAB">
        <w:t>,</w:t>
      </w:r>
      <w:r w:rsidR="00C008F2">
        <w:t xml:space="preserve"> the</w:t>
      </w:r>
      <w:r w:rsidR="00DD4EAB">
        <w:t xml:space="preserve"> Legal Affairs and Safety Committee </w:t>
      </w:r>
      <w:r w:rsidR="009F67A8">
        <w:t xml:space="preserve">concluded their </w:t>
      </w:r>
      <w:r w:rsidR="00511911">
        <w:t>i</w:t>
      </w:r>
      <w:r w:rsidR="0022480E">
        <w:t>nqui</w:t>
      </w:r>
      <w:r w:rsidR="00697B7D">
        <w:t>r</w:t>
      </w:r>
      <w:r w:rsidR="00F12368">
        <w:t>y</w:t>
      </w:r>
      <w:r w:rsidR="00D174E5">
        <w:t xml:space="preserve"> </w:t>
      </w:r>
      <w:r w:rsidR="0030099B">
        <w:t xml:space="preserve">into </w:t>
      </w:r>
      <w:r w:rsidR="000846A6">
        <w:t xml:space="preserve">serious vilification and hate crimes </w:t>
      </w:r>
      <w:r w:rsidR="0030099B">
        <w:t>and</w:t>
      </w:r>
      <w:r w:rsidR="000846A6">
        <w:t xml:space="preserve"> provided their</w:t>
      </w:r>
      <w:r w:rsidR="0030099B">
        <w:t xml:space="preserve"> report to the Legislative Assembly </w:t>
      </w:r>
      <w:r w:rsidR="00D43B6C">
        <w:t>(</w:t>
      </w:r>
      <w:r w:rsidR="0076636D">
        <w:t>No. 22, 57th Parliament)</w:t>
      </w:r>
      <w:r w:rsidR="00E455A1">
        <w:t xml:space="preserve">. </w:t>
      </w:r>
      <w:r w:rsidR="00AA4044">
        <w:t xml:space="preserve">The </w:t>
      </w:r>
      <w:r w:rsidR="00CA6442">
        <w:t xml:space="preserve">QHRC </w:t>
      </w:r>
      <w:r w:rsidR="00BA554A">
        <w:t xml:space="preserve">assisted that inquiry </w:t>
      </w:r>
      <w:r w:rsidR="00F67A1C">
        <w:lastRenderedPageBreak/>
        <w:t xml:space="preserve">by making recommendations </w:t>
      </w:r>
      <w:r w:rsidR="00927EC8">
        <w:t>for improvements to both civil and criminal responses to vilification.</w:t>
      </w:r>
      <w:r w:rsidR="00F67A1C">
        <w:t xml:space="preserve"> </w:t>
      </w:r>
      <w:r w:rsidR="00AE1256">
        <w:t xml:space="preserve">The </w:t>
      </w:r>
      <w:r w:rsidR="009F3101">
        <w:t>g</w:t>
      </w:r>
      <w:r w:rsidR="00AE1256">
        <w:t xml:space="preserve">overnment responded </w:t>
      </w:r>
      <w:r w:rsidR="005A7CC5">
        <w:t>in</w:t>
      </w:r>
      <w:r w:rsidR="00AE1256">
        <w:t xml:space="preserve"> </w:t>
      </w:r>
      <w:r w:rsidR="00CF1CFE">
        <w:t>May 2022</w:t>
      </w:r>
      <w:r w:rsidR="00077877">
        <w:t xml:space="preserve"> </w:t>
      </w:r>
      <w:r w:rsidR="009F3101">
        <w:t xml:space="preserve">with </w:t>
      </w:r>
      <w:r w:rsidR="00141B7B">
        <w:t>support</w:t>
      </w:r>
      <w:r w:rsidR="0070289F">
        <w:t xml:space="preserve"> for </w:t>
      </w:r>
      <w:r w:rsidR="00FA1DD1">
        <w:t xml:space="preserve">9 of the recommendations </w:t>
      </w:r>
      <w:r w:rsidR="00113F1F">
        <w:t xml:space="preserve">and </w:t>
      </w:r>
      <w:r w:rsidR="0070289F">
        <w:t>in-</w:t>
      </w:r>
      <w:proofErr w:type="gramStart"/>
      <w:r w:rsidR="0070289F">
        <w:t>principle</w:t>
      </w:r>
      <w:proofErr w:type="gramEnd"/>
      <w:r w:rsidR="0070289F">
        <w:t xml:space="preserve"> </w:t>
      </w:r>
      <w:r w:rsidR="00F965D9">
        <w:t>support</w:t>
      </w:r>
      <w:r w:rsidR="0070289F">
        <w:t xml:space="preserve"> for</w:t>
      </w:r>
      <w:r w:rsidR="00035186">
        <w:t xml:space="preserve"> </w:t>
      </w:r>
      <w:r w:rsidR="00FA1DD1">
        <w:t xml:space="preserve">the </w:t>
      </w:r>
      <w:r w:rsidR="00BB0CD5">
        <w:t>remaining</w:t>
      </w:r>
      <w:r w:rsidR="00FA1DD1">
        <w:t xml:space="preserve"> </w:t>
      </w:r>
      <w:r w:rsidR="00F965D9">
        <w:t xml:space="preserve">8 </w:t>
      </w:r>
      <w:r w:rsidR="005A7CC5">
        <w:t xml:space="preserve">recommendations. </w:t>
      </w:r>
    </w:p>
    <w:p w14:paraId="018C26DD" w14:textId="71E22AE1" w:rsidR="00945DD4" w:rsidRPr="00945DD4" w:rsidRDefault="00F82469" w:rsidP="000E59AB">
      <w:pPr>
        <w:pStyle w:val="Heading1"/>
      </w:pPr>
      <w:bookmarkStart w:id="3" w:name="_Toc161917217"/>
      <w:r>
        <w:t>Key improvements</w:t>
      </w:r>
      <w:bookmarkEnd w:id="3"/>
      <w:r w:rsidR="00945DD4">
        <w:t xml:space="preserve"> </w:t>
      </w:r>
    </w:p>
    <w:p w14:paraId="642BEC57" w14:textId="2D6B08A5" w:rsidR="00F82469" w:rsidRDefault="00A966A0" w:rsidP="00945DD4">
      <w:pPr>
        <w:pStyle w:val="Heading2"/>
        <w:tabs>
          <w:tab w:val="center" w:pos="4249"/>
        </w:tabs>
      </w:pPr>
      <w:bookmarkStart w:id="4" w:name="_Toc161917218"/>
      <w:r>
        <w:t>S</w:t>
      </w:r>
      <w:r w:rsidR="004348D0">
        <w:t>hifting to prevention</w:t>
      </w:r>
      <w:bookmarkEnd w:id="4"/>
    </w:p>
    <w:p w14:paraId="309E8BFB" w14:textId="2002694F" w:rsidR="0001390F" w:rsidRDefault="005B2F94" w:rsidP="0001390F">
      <w:pPr>
        <w:pStyle w:val="Numberedparagraph"/>
      </w:pPr>
      <w:r>
        <w:t>A</w:t>
      </w:r>
      <w:r w:rsidR="00BA280B">
        <w:t xml:space="preserve"> major</w:t>
      </w:r>
      <w:r>
        <w:t xml:space="preserve"> focus of the </w:t>
      </w:r>
      <w:proofErr w:type="gramStart"/>
      <w:r w:rsidRPr="005B2F94">
        <w:rPr>
          <w:i/>
        </w:rPr>
        <w:t>Building</w:t>
      </w:r>
      <w:proofErr w:type="gramEnd"/>
      <w:r w:rsidRPr="005B2F94">
        <w:rPr>
          <w:i/>
        </w:rPr>
        <w:t xml:space="preserve"> </w:t>
      </w:r>
      <w:r w:rsidR="00673FED">
        <w:rPr>
          <w:i/>
          <w:iCs/>
        </w:rPr>
        <w:t>b</w:t>
      </w:r>
      <w:r w:rsidRPr="001B56D7">
        <w:rPr>
          <w:i/>
          <w:iCs/>
        </w:rPr>
        <w:t>elonging</w:t>
      </w:r>
      <w:r w:rsidR="00915072">
        <w:t xml:space="preserve"> </w:t>
      </w:r>
      <w:r w:rsidR="00DC4CE1">
        <w:t xml:space="preserve">review </w:t>
      </w:r>
      <w:r>
        <w:t xml:space="preserve">was </w:t>
      </w:r>
      <w:r w:rsidR="00EC4E2F">
        <w:t xml:space="preserve">to </w:t>
      </w:r>
      <w:r>
        <w:t>creat</w:t>
      </w:r>
      <w:r w:rsidR="00EC4E2F">
        <w:t>e</w:t>
      </w:r>
      <w:r>
        <w:t xml:space="preserve"> a new legislative scheme that focussed on </w:t>
      </w:r>
      <w:r w:rsidR="004348D0">
        <w:t xml:space="preserve">prevention </w:t>
      </w:r>
      <w:r w:rsidR="00BA280B">
        <w:t xml:space="preserve">of </w:t>
      </w:r>
      <w:r>
        <w:t>discrimination and sexual harassment. The draft Bill</w:t>
      </w:r>
      <w:r w:rsidR="00FC300F">
        <w:t xml:space="preserve"> </w:t>
      </w:r>
      <w:r w:rsidR="00000324">
        <w:t xml:space="preserve">achieves this reframe </w:t>
      </w:r>
      <w:r>
        <w:t>by introducing a positive duty to eliminate discrimination and other forms of unlawful conduct</w:t>
      </w:r>
      <w:r w:rsidR="00BA280B">
        <w:t xml:space="preserve">, </w:t>
      </w:r>
      <w:r w:rsidR="00BD4902">
        <w:t>combined</w:t>
      </w:r>
      <w:r w:rsidR="00915072">
        <w:t xml:space="preserve"> with new </w:t>
      </w:r>
      <w:r w:rsidR="00BD4902">
        <w:t>education and compliance</w:t>
      </w:r>
      <w:r w:rsidR="00915072">
        <w:t xml:space="preserve"> powers for the QHRC</w:t>
      </w:r>
      <w:r>
        <w:t xml:space="preserve">. </w:t>
      </w:r>
    </w:p>
    <w:p w14:paraId="7E1D8C31" w14:textId="50850A7F" w:rsidR="00BA4824" w:rsidRDefault="00BA4824" w:rsidP="00BA4824">
      <w:pPr>
        <w:pStyle w:val="Numberedparagraph"/>
      </w:pPr>
      <w:r>
        <w:t xml:space="preserve">For more information on some aspects requiring improvement, refer to </w:t>
      </w:r>
      <w:r w:rsidR="005B1195">
        <w:t xml:space="preserve">Annexure </w:t>
      </w:r>
      <w:r w:rsidR="00863B0D">
        <w:t>G</w:t>
      </w:r>
      <w:r>
        <w:t>.</w:t>
      </w:r>
    </w:p>
    <w:p w14:paraId="655E35EC" w14:textId="09BD2CE4" w:rsidR="0001390F" w:rsidRDefault="00BD4AF4" w:rsidP="00BA7BCE">
      <w:pPr>
        <w:pStyle w:val="Heading2"/>
      </w:pPr>
      <w:bookmarkStart w:id="5" w:name="_Toc161917219"/>
      <w:r>
        <w:t>Refining</w:t>
      </w:r>
      <w:r w:rsidR="00F10825">
        <w:t xml:space="preserve"> the key concepts</w:t>
      </w:r>
      <w:bookmarkEnd w:id="5"/>
    </w:p>
    <w:p w14:paraId="75862E59" w14:textId="503F9284" w:rsidR="00945DD4" w:rsidRDefault="00915072" w:rsidP="00915072">
      <w:pPr>
        <w:pStyle w:val="Numberedparagraph"/>
      </w:pPr>
      <w:r>
        <w:t xml:space="preserve">The </w:t>
      </w:r>
      <w:proofErr w:type="gramStart"/>
      <w:r w:rsidRPr="00BA4824">
        <w:rPr>
          <w:i/>
          <w:iCs/>
        </w:rPr>
        <w:t>Building</w:t>
      </w:r>
      <w:proofErr w:type="gramEnd"/>
      <w:r w:rsidRPr="00BA4824">
        <w:rPr>
          <w:i/>
          <w:iCs/>
        </w:rPr>
        <w:t xml:space="preserve"> belonging</w:t>
      </w:r>
      <w:r>
        <w:t xml:space="preserve"> </w:t>
      </w:r>
      <w:r w:rsidR="00AE2C2C">
        <w:t>r</w:t>
      </w:r>
      <w:r>
        <w:t xml:space="preserve">eview </w:t>
      </w:r>
      <w:r w:rsidR="00323613">
        <w:t>sought to ensure that</w:t>
      </w:r>
      <w:r>
        <w:t xml:space="preserve"> </w:t>
      </w:r>
      <w:r w:rsidR="00945DD4">
        <w:t xml:space="preserve">the legal tests for discrimination respond effectively to the problems they are seeking to address and are easy to understand and apply. </w:t>
      </w:r>
      <w:r w:rsidR="005628B5">
        <w:t>Updates</w:t>
      </w:r>
      <w:r>
        <w:t xml:space="preserve"> to </w:t>
      </w:r>
      <w:r w:rsidR="00D61D27">
        <w:t xml:space="preserve">the meaning of </w:t>
      </w:r>
      <w:r>
        <w:t>direct and indirect discrimination</w:t>
      </w:r>
      <w:r w:rsidR="006A0FC3">
        <w:t xml:space="preserve"> and the new affirmative measures provision</w:t>
      </w:r>
      <w:r w:rsidR="004D352E">
        <w:t>s</w:t>
      </w:r>
      <w:r w:rsidR="00BA7BCE">
        <w:t xml:space="preserve"> </w:t>
      </w:r>
      <w:r w:rsidR="00D61D27">
        <w:t>reflect</w:t>
      </w:r>
      <w:r w:rsidR="00AB5D52">
        <w:t xml:space="preserve"> the purpose and</w:t>
      </w:r>
      <w:r w:rsidR="00D61D27">
        <w:t xml:space="preserve"> </w:t>
      </w:r>
      <w:r w:rsidR="006A0FC3">
        <w:t xml:space="preserve">intention of </w:t>
      </w:r>
      <w:r w:rsidR="00D61D27">
        <w:t>recommendations made by the Review.</w:t>
      </w:r>
    </w:p>
    <w:p w14:paraId="3EC26E1D" w14:textId="2B96E851" w:rsidR="00E6292A" w:rsidRPr="0054417A" w:rsidRDefault="00E6292A" w:rsidP="00E6292A">
      <w:pPr>
        <w:pStyle w:val="Numberedparagraph"/>
      </w:pPr>
      <w:r>
        <w:rPr>
          <w:shd w:val="clear" w:color="auto" w:fill="FFFFFF"/>
        </w:rPr>
        <w:t xml:space="preserve">Consistent with the recommendations of the </w:t>
      </w:r>
      <w:proofErr w:type="gramStart"/>
      <w:r w:rsidRPr="00E6292A">
        <w:rPr>
          <w:i/>
          <w:iCs/>
          <w:shd w:val="clear" w:color="auto" w:fill="FFFFFF"/>
        </w:rPr>
        <w:t>Building</w:t>
      </w:r>
      <w:proofErr w:type="gramEnd"/>
      <w:r w:rsidRPr="00E6292A">
        <w:rPr>
          <w:i/>
          <w:iCs/>
          <w:shd w:val="clear" w:color="auto" w:fill="FFFFFF"/>
        </w:rPr>
        <w:t xml:space="preserve"> belonging</w:t>
      </w:r>
      <w:r>
        <w:rPr>
          <w:shd w:val="clear" w:color="auto" w:fill="FFFFFF"/>
        </w:rPr>
        <w:t xml:space="preserve"> </w:t>
      </w:r>
      <w:r w:rsidR="006E0E1B">
        <w:rPr>
          <w:shd w:val="clear" w:color="auto" w:fill="FFFFFF"/>
        </w:rPr>
        <w:t>r</w:t>
      </w:r>
      <w:r>
        <w:rPr>
          <w:shd w:val="clear" w:color="auto" w:fill="FFFFFF"/>
        </w:rPr>
        <w:t>eview, the draft Bill acknowledge</w:t>
      </w:r>
      <w:r w:rsidR="00CB6185">
        <w:rPr>
          <w:shd w:val="clear" w:color="auto" w:fill="FFFFFF"/>
        </w:rPr>
        <w:t>s</w:t>
      </w:r>
      <w:r>
        <w:rPr>
          <w:shd w:val="clear" w:color="auto" w:fill="FFFFFF"/>
        </w:rPr>
        <w:t xml:space="preserve"> that individuals may encounter discrimination based on multiple grounds, </w:t>
      </w:r>
      <w:r w:rsidR="00CB6185">
        <w:rPr>
          <w:shd w:val="clear" w:color="auto" w:fill="FFFFFF"/>
        </w:rPr>
        <w:t>and ensure</w:t>
      </w:r>
      <w:r w:rsidR="003B2890">
        <w:rPr>
          <w:shd w:val="clear" w:color="auto" w:fill="FFFFFF"/>
        </w:rPr>
        <w:t>s</w:t>
      </w:r>
      <w:r w:rsidR="00CB6185">
        <w:rPr>
          <w:shd w:val="clear" w:color="auto" w:fill="FFFFFF"/>
        </w:rPr>
        <w:t xml:space="preserve"> that </w:t>
      </w:r>
      <w:r w:rsidR="003B2890">
        <w:rPr>
          <w:shd w:val="clear" w:color="auto" w:fill="FFFFFF"/>
        </w:rPr>
        <w:t xml:space="preserve">people </w:t>
      </w:r>
      <w:r w:rsidR="00CB6185">
        <w:rPr>
          <w:shd w:val="clear" w:color="auto" w:fill="FFFFFF"/>
        </w:rPr>
        <w:t xml:space="preserve">can bring complaints based on intersectional experiences of </w:t>
      </w:r>
      <w:r w:rsidR="003B2890">
        <w:rPr>
          <w:shd w:val="clear" w:color="auto" w:fill="FFFFFF"/>
        </w:rPr>
        <w:t>discrimination</w:t>
      </w:r>
      <w:r w:rsidR="00CB6185">
        <w:rPr>
          <w:shd w:val="clear" w:color="auto" w:fill="FFFFFF"/>
        </w:rPr>
        <w:t xml:space="preserve">. </w:t>
      </w:r>
    </w:p>
    <w:p w14:paraId="6EDCD549" w14:textId="22597297" w:rsidR="00C033AE" w:rsidRPr="00E6292A" w:rsidRDefault="0054417A" w:rsidP="004D3D35">
      <w:pPr>
        <w:pStyle w:val="Numberedparagraph"/>
      </w:pPr>
      <w:r>
        <w:rPr>
          <w:shd w:val="clear" w:color="auto" w:fill="FFFFFF"/>
        </w:rPr>
        <w:t>While not</w:t>
      </w:r>
      <w:r w:rsidR="001B7970">
        <w:rPr>
          <w:shd w:val="clear" w:color="auto" w:fill="FFFFFF"/>
        </w:rPr>
        <w:t xml:space="preserve"> </w:t>
      </w:r>
      <w:r>
        <w:rPr>
          <w:shd w:val="clear" w:color="auto" w:fill="FFFFFF"/>
        </w:rPr>
        <w:t xml:space="preserve">addressed </w:t>
      </w:r>
      <w:r w:rsidR="004D3D35">
        <w:rPr>
          <w:shd w:val="clear" w:color="auto" w:fill="FFFFFF"/>
        </w:rPr>
        <w:t>by</w:t>
      </w:r>
      <w:r>
        <w:rPr>
          <w:shd w:val="clear" w:color="auto" w:fill="FFFFFF"/>
        </w:rPr>
        <w:t xml:space="preserve"> the </w:t>
      </w:r>
      <w:proofErr w:type="gramStart"/>
      <w:r w:rsidRPr="00BA4824">
        <w:rPr>
          <w:i/>
          <w:iCs/>
        </w:rPr>
        <w:t>Building</w:t>
      </w:r>
      <w:proofErr w:type="gramEnd"/>
      <w:r w:rsidRPr="00BA4824">
        <w:rPr>
          <w:i/>
          <w:iCs/>
        </w:rPr>
        <w:t xml:space="preserve"> belonging</w:t>
      </w:r>
      <w:r>
        <w:t xml:space="preserve"> </w:t>
      </w:r>
      <w:r w:rsidR="006E0E1B">
        <w:t>r</w:t>
      </w:r>
      <w:r>
        <w:t>eview</w:t>
      </w:r>
      <w:r>
        <w:rPr>
          <w:shd w:val="clear" w:color="auto" w:fill="FFFFFF"/>
        </w:rPr>
        <w:t xml:space="preserve">, the QHRC supports </w:t>
      </w:r>
      <w:r w:rsidR="00903E6E">
        <w:rPr>
          <w:shd w:val="clear" w:color="auto" w:fill="FFFFFF"/>
        </w:rPr>
        <w:t>enhancing</w:t>
      </w:r>
      <w:r>
        <w:rPr>
          <w:shd w:val="clear" w:color="auto" w:fill="FFFFFF"/>
        </w:rPr>
        <w:t xml:space="preserve"> the ‘characteristics extension’</w:t>
      </w:r>
      <w:r w:rsidR="006E0E1B">
        <w:rPr>
          <w:rStyle w:val="FootnoteReference"/>
          <w:shd w:val="clear" w:color="auto" w:fill="FFFFFF"/>
        </w:rPr>
        <w:footnoteReference w:id="5"/>
      </w:r>
      <w:r>
        <w:rPr>
          <w:shd w:val="clear" w:color="auto" w:fill="FFFFFF"/>
        </w:rPr>
        <w:t xml:space="preserve"> </w:t>
      </w:r>
      <w:r w:rsidR="0044658C">
        <w:rPr>
          <w:shd w:val="clear" w:color="auto" w:fill="FFFFFF"/>
        </w:rPr>
        <w:t xml:space="preserve">so that it applies </w:t>
      </w:r>
      <w:r w:rsidR="00903E6E">
        <w:rPr>
          <w:shd w:val="clear" w:color="auto" w:fill="FFFFFF"/>
        </w:rPr>
        <w:t>not only to discrimination</w:t>
      </w:r>
      <w:r w:rsidR="00D73936">
        <w:rPr>
          <w:shd w:val="clear" w:color="auto" w:fill="FFFFFF"/>
        </w:rPr>
        <w:t xml:space="preserve"> but</w:t>
      </w:r>
      <w:r w:rsidR="00903E6E">
        <w:rPr>
          <w:shd w:val="clear" w:color="auto" w:fill="FFFFFF"/>
        </w:rPr>
        <w:t xml:space="preserve"> </w:t>
      </w:r>
      <w:r w:rsidR="0044658C">
        <w:rPr>
          <w:shd w:val="clear" w:color="auto" w:fill="FFFFFF"/>
        </w:rPr>
        <w:t>to other</w:t>
      </w:r>
      <w:r w:rsidR="00D6054A">
        <w:rPr>
          <w:shd w:val="clear" w:color="auto" w:fill="FFFFFF"/>
        </w:rPr>
        <w:t xml:space="preserve"> kinds of</w:t>
      </w:r>
      <w:r w:rsidR="0044658C">
        <w:rPr>
          <w:shd w:val="clear" w:color="auto" w:fill="FFFFFF"/>
        </w:rPr>
        <w:t xml:space="preserve"> unlawful </w:t>
      </w:r>
      <w:r w:rsidR="0044658C" w:rsidRPr="00D6007D">
        <w:t>conduct</w:t>
      </w:r>
      <w:r w:rsidR="0044658C">
        <w:rPr>
          <w:shd w:val="clear" w:color="auto" w:fill="FFFFFF"/>
        </w:rPr>
        <w:t>, such as vilification</w:t>
      </w:r>
      <w:r w:rsidR="00C033AE">
        <w:rPr>
          <w:shd w:val="clear" w:color="auto" w:fill="FFFFFF"/>
        </w:rPr>
        <w:t>.</w:t>
      </w:r>
    </w:p>
    <w:p w14:paraId="2E78672F" w14:textId="54615A84" w:rsidR="00BA4824" w:rsidRDefault="00BA4824" w:rsidP="00915072">
      <w:pPr>
        <w:pStyle w:val="Numberedparagraph"/>
      </w:pPr>
      <w:r>
        <w:t xml:space="preserve">For more information on some aspects requiring improvement, refer to </w:t>
      </w:r>
      <w:r w:rsidR="006A1A4F">
        <w:t>Annexure</w:t>
      </w:r>
      <w:r>
        <w:t xml:space="preserve"> </w:t>
      </w:r>
      <w:r w:rsidR="00503E08">
        <w:t>B.</w:t>
      </w:r>
    </w:p>
    <w:p w14:paraId="7EC3925B" w14:textId="4F1C1183" w:rsidR="00C033AE" w:rsidRDefault="00C033AE" w:rsidP="00C033AE">
      <w:pPr>
        <w:pStyle w:val="Heading2"/>
      </w:pPr>
      <w:bookmarkStart w:id="6" w:name="_Toc161917220"/>
      <w:r>
        <w:t>Enhancing protections from vilification and hate speech</w:t>
      </w:r>
      <w:bookmarkEnd w:id="6"/>
    </w:p>
    <w:p w14:paraId="7DBE96F6" w14:textId="1FBEB0DD" w:rsidR="00D078C5" w:rsidRPr="00D078C5" w:rsidRDefault="00541691" w:rsidP="00D078C5">
      <w:pPr>
        <w:pStyle w:val="Numberedparagraph"/>
      </w:pPr>
      <w:r>
        <w:t>While v</w:t>
      </w:r>
      <w:r w:rsidR="00D078C5" w:rsidRPr="00D078C5">
        <w:t xml:space="preserve">ilification was excluded from the terms of reference for the QHRC’s review of the Anti-Discrimination Act, </w:t>
      </w:r>
      <w:r>
        <w:t>the Bill</w:t>
      </w:r>
      <w:r w:rsidR="00D078C5" w:rsidRPr="00D078C5">
        <w:t xml:space="preserve"> reflect</w:t>
      </w:r>
      <w:r>
        <w:t>s</w:t>
      </w:r>
      <w:r w:rsidR="00D078C5" w:rsidRPr="00D078C5">
        <w:t xml:space="preserve"> many recommendations made by the QHRC </w:t>
      </w:r>
      <w:r>
        <w:t>to</w:t>
      </w:r>
      <w:r w:rsidR="00D078C5" w:rsidRPr="00D078C5">
        <w:t xml:space="preserve"> the Legal Affairs and Safety Committee Inquiry into vilification and hate crime laws. </w:t>
      </w:r>
    </w:p>
    <w:p w14:paraId="0B2557C5" w14:textId="3FBD527E" w:rsidR="00D078C5" w:rsidRPr="00D67276" w:rsidRDefault="00D078C5" w:rsidP="00C033AE">
      <w:pPr>
        <w:pStyle w:val="Numberedparagraph"/>
      </w:pPr>
      <w:r w:rsidRPr="00D67276">
        <w:lastRenderedPageBreak/>
        <w:t>Positive enhancements</w:t>
      </w:r>
      <w:r w:rsidR="00675C2D" w:rsidRPr="00D67276">
        <w:t xml:space="preserve"> have </w:t>
      </w:r>
      <w:r w:rsidRPr="00D67276">
        <w:t xml:space="preserve">been included in the draft Bill </w:t>
      </w:r>
      <w:r w:rsidR="00D67276">
        <w:t xml:space="preserve">to </w:t>
      </w:r>
      <w:r w:rsidR="00B7622B">
        <w:t xml:space="preserve">improve Queensland’s </w:t>
      </w:r>
      <w:r w:rsidR="00025C78">
        <w:t xml:space="preserve">civil vilification </w:t>
      </w:r>
      <w:r w:rsidR="009D3049">
        <w:t xml:space="preserve">laws, </w:t>
      </w:r>
      <w:r w:rsidRPr="00D67276">
        <w:t>including:</w:t>
      </w:r>
    </w:p>
    <w:p w14:paraId="090CE4E8" w14:textId="332D4842" w:rsidR="00D078C5" w:rsidRPr="00D67276" w:rsidRDefault="005A3DBE" w:rsidP="00D078C5">
      <w:pPr>
        <w:pStyle w:val="Bulletedlist"/>
      </w:pPr>
      <w:r>
        <w:t>i</w:t>
      </w:r>
      <w:r w:rsidR="004A15F1">
        <w:t xml:space="preserve">ntroduction of </w:t>
      </w:r>
      <w:r w:rsidR="00D078C5" w:rsidRPr="00D67276">
        <w:t xml:space="preserve">a new </w:t>
      </w:r>
      <w:r w:rsidR="00675C2D" w:rsidRPr="00D67276">
        <w:t>harm-based provision</w:t>
      </w:r>
      <w:r w:rsidR="00BE73D1" w:rsidRPr="00D67276">
        <w:t xml:space="preserve"> (clause 84)</w:t>
      </w:r>
    </w:p>
    <w:p w14:paraId="602028D4" w14:textId="6B39E0F1" w:rsidR="00C033AE" w:rsidRPr="00D67276" w:rsidRDefault="000055E4" w:rsidP="00D078C5">
      <w:pPr>
        <w:pStyle w:val="Bulletedlist"/>
      </w:pPr>
      <w:r>
        <w:t>e</w:t>
      </w:r>
      <w:r w:rsidR="00AA5FB8" w:rsidRPr="00D67276">
        <w:t>xtended</w:t>
      </w:r>
      <w:r w:rsidR="00675C2D" w:rsidRPr="00D67276">
        <w:t xml:space="preserve"> meaning of ‘public’ to include workplaces and schools </w:t>
      </w:r>
      <w:r w:rsidR="00AA5FB8" w:rsidRPr="00D67276">
        <w:t>(clause 83)</w:t>
      </w:r>
    </w:p>
    <w:p w14:paraId="1DD6E1FE" w14:textId="26777D01" w:rsidR="00AE566A" w:rsidRPr="00D67276" w:rsidRDefault="000055E4" w:rsidP="00D078C5">
      <w:pPr>
        <w:pStyle w:val="Bulletedlist"/>
      </w:pPr>
      <w:r>
        <w:t>p</w:t>
      </w:r>
      <w:r w:rsidR="00871C36" w:rsidRPr="00D67276">
        <w:t>rotection of people based on their age, disability</w:t>
      </w:r>
      <w:r>
        <w:t>,</w:t>
      </w:r>
      <w:r w:rsidR="00A415D1" w:rsidRPr="00D67276">
        <w:t xml:space="preserve"> and sex, in addition to the current protection</w:t>
      </w:r>
      <w:r w:rsidR="004A15F1">
        <w:t>s</w:t>
      </w:r>
      <w:r w:rsidR="00A415D1" w:rsidRPr="00D67276">
        <w:t xml:space="preserve"> based on race, religion, gender identity</w:t>
      </w:r>
      <w:r>
        <w:t>,</w:t>
      </w:r>
      <w:r w:rsidR="00A415D1" w:rsidRPr="00D67276">
        <w:t xml:space="preserve"> and sexuality (sexual orientation in the draft Bill) (clause 84</w:t>
      </w:r>
      <w:r w:rsidR="00D878D0" w:rsidRPr="00D67276">
        <w:t>(2) and clause 85</w:t>
      </w:r>
      <w:r w:rsidR="00D67276" w:rsidRPr="00D67276">
        <w:t>(1))</w:t>
      </w:r>
      <w:r w:rsidR="00A415D1" w:rsidRPr="00D67276">
        <w:t>.</w:t>
      </w:r>
    </w:p>
    <w:p w14:paraId="695DE368" w14:textId="2F4E1C21" w:rsidR="00675C2D" w:rsidRDefault="00675C2D" w:rsidP="00675C2D">
      <w:pPr>
        <w:pStyle w:val="Numberedparagraph"/>
      </w:pPr>
      <w:r>
        <w:t xml:space="preserve">For more information on some aspects requiring improvement, refer to </w:t>
      </w:r>
      <w:r w:rsidR="006A1A4F">
        <w:t>Annexure</w:t>
      </w:r>
      <w:r w:rsidR="00A7059C">
        <w:t xml:space="preserve">s </w:t>
      </w:r>
      <w:r w:rsidR="00042E2B">
        <w:t>B.</w:t>
      </w:r>
    </w:p>
    <w:p w14:paraId="16375C31" w14:textId="191EA82A" w:rsidR="00BA7BCE" w:rsidRDefault="00BA7BCE" w:rsidP="00BA7BCE">
      <w:pPr>
        <w:pStyle w:val="Heading2"/>
      </w:pPr>
      <w:bookmarkStart w:id="7" w:name="_Toc161917221"/>
      <w:r>
        <w:t>Improv</w:t>
      </w:r>
      <w:r w:rsidR="008875CD">
        <w:t>ing</w:t>
      </w:r>
      <w:r>
        <w:t xml:space="preserve"> the complaints system</w:t>
      </w:r>
      <w:bookmarkEnd w:id="7"/>
    </w:p>
    <w:p w14:paraId="1B70BAB1" w14:textId="47E1FCFA" w:rsidR="00D31C0F" w:rsidRDefault="0078263D" w:rsidP="00BA7BCE">
      <w:pPr>
        <w:pStyle w:val="Numberedparagraph"/>
      </w:pPr>
      <w:r>
        <w:t>In response to</w:t>
      </w:r>
      <w:r w:rsidR="00BA7BCE">
        <w:t xml:space="preserve"> the </w:t>
      </w:r>
      <w:proofErr w:type="gramStart"/>
      <w:r w:rsidR="00BA7BCE">
        <w:rPr>
          <w:i/>
          <w:iCs/>
        </w:rPr>
        <w:t>Building</w:t>
      </w:r>
      <w:proofErr w:type="gramEnd"/>
      <w:r w:rsidR="00BA7BCE">
        <w:rPr>
          <w:i/>
          <w:iCs/>
        </w:rPr>
        <w:t xml:space="preserve"> belonging </w:t>
      </w:r>
      <w:r w:rsidR="00DD5A4E">
        <w:t>review</w:t>
      </w:r>
      <w:r w:rsidR="00BA7BCE">
        <w:t>, the</w:t>
      </w:r>
      <w:r>
        <w:t xml:space="preserve"> draft</w:t>
      </w:r>
      <w:r w:rsidR="00BA7BCE">
        <w:t xml:space="preserve"> </w:t>
      </w:r>
      <w:r w:rsidR="00BA4824">
        <w:t xml:space="preserve">Bill updates the QHRC’s complaints function to ensure that the QHRC </w:t>
      </w:r>
      <w:r w:rsidR="00B877D5">
        <w:t>can</w:t>
      </w:r>
      <w:r w:rsidR="00BA4824">
        <w:t xml:space="preserve"> deliver a flexible, modern</w:t>
      </w:r>
      <w:r w:rsidR="00B408F1">
        <w:t>,</w:t>
      </w:r>
      <w:r w:rsidR="00BA4824">
        <w:t xml:space="preserve"> and efficient dispute resolution service. </w:t>
      </w:r>
    </w:p>
    <w:p w14:paraId="574F7078" w14:textId="4462E399" w:rsidR="00D31C0F" w:rsidRDefault="00BA4824" w:rsidP="00E91C0C">
      <w:pPr>
        <w:pStyle w:val="Numberedparagraph"/>
      </w:pPr>
      <w:r>
        <w:t>Several changes</w:t>
      </w:r>
      <w:r w:rsidR="00B408F1">
        <w:t>,</w:t>
      </w:r>
      <w:r>
        <w:t xml:space="preserve"> such as </w:t>
      </w:r>
      <w:r w:rsidR="000D7625">
        <w:t xml:space="preserve">increasing </w:t>
      </w:r>
      <w:r>
        <w:t xml:space="preserve">the time limit </w:t>
      </w:r>
      <w:r w:rsidR="00650947">
        <w:t xml:space="preserve">on </w:t>
      </w:r>
      <w:r>
        <w:t>making complaints</w:t>
      </w:r>
      <w:r w:rsidR="00AB3C53">
        <w:t xml:space="preserve"> and improvement of the representative </w:t>
      </w:r>
      <w:proofErr w:type="gramStart"/>
      <w:r w:rsidR="00AB3C53">
        <w:t>complaints</w:t>
      </w:r>
      <w:proofErr w:type="gramEnd"/>
      <w:r w:rsidR="00AB3C53">
        <w:t xml:space="preserve"> provisions</w:t>
      </w:r>
      <w:r w:rsidR="00650947">
        <w:t>,</w:t>
      </w:r>
      <w:r>
        <w:t xml:space="preserve"> enhance access to justice</w:t>
      </w:r>
      <w:r w:rsidR="009F01B0">
        <w:t xml:space="preserve"> for </w:t>
      </w:r>
      <w:r w:rsidR="00851AD8">
        <w:t>people affected by discrimination</w:t>
      </w:r>
      <w:r>
        <w:t xml:space="preserve">. </w:t>
      </w:r>
      <w:r w:rsidR="00D31C0F">
        <w:t xml:space="preserve">A </w:t>
      </w:r>
      <w:r w:rsidR="00E91C0C">
        <w:t xml:space="preserve">shift towards </w:t>
      </w:r>
      <w:r w:rsidR="00D31C0F">
        <w:t xml:space="preserve">a shared burden of proof </w:t>
      </w:r>
      <w:r w:rsidR="00F5391B">
        <w:t xml:space="preserve">in the tribunal hearing process </w:t>
      </w:r>
      <w:r w:rsidR="00A25E9B">
        <w:t>will also enhance</w:t>
      </w:r>
      <w:r w:rsidR="00D31C0F">
        <w:t xml:space="preserve"> </w:t>
      </w:r>
      <w:r w:rsidR="00E91C0C">
        <w:t>access to justice.</w:t>
      </w:r>
    </w:p>
    <w:p w14:paraId="46915A73" w14:textId="4F5D43FD" w:rsidR="00BA4824" w:rsidRPr="00BA7BCE" w:rsidRDefault="00BA4824" w:rsidP="00D31DB9">
      <w:pPr>
        <w:pStyle w:val="Numberedparagraph"/>
      </w:pPr>
      <w:r>
        <w:t xml:space="preserve">For more information on some aspects requiring improvement, refer to </w:t>
      </w:r>
      <w:r w:rsidR="006A1A4F">
        <w:t>Annexure</w:t>
      </w:r>
      <w:r>
        <w:t xml:space="preserve"> </w:t>
      </w:r>
      <w:r w:rsidR="00B905F5">
        <w:t>F</w:t>
      </w:r>
      <w:r>
        <w:t>.</w:t>
      </w:r>
    </w:p>
    <w:p w14:paraId="2B7E4551" w14:textId="3C22577F" w:rsidR="00945DD4" w:rsidRDefault="00945DD4" w:rsidP="0078263D">
      <w:pPr>
        <w:pStyle w:val="Heading2"/>
      </w:pPr>
      <w:bookmarkStart w:id="8" w:name="_Toc161917222"/>
      <w:r>
        <w:t>Increas</w:t>
      </w:r>
      <w:r w:rsidR="00722996">
        <w:t>ing</w:t>
      </w:r>
      <w:r>
        <w:t xml:space="preserve"> protection</w:t>
      </w:r>
      <w:r w:rsidR="00722996">
        <w:t>s</w:t>
      </w:r>
      <w:bookmarkEnd w:id="8"/>
    </w:p>
    <w:p w14:paraId="6A8F3666" w14:textId="742D3165" w:rsidR="00945DD4" w:rsidRDefault="00722996" w:rsidP="00D31DB9">
      <w:pPr>
        <w:pStyle w:val="Numberedparagraph"/>
      </w:pPr>
      <w:r>
        <w:t xml:space="preserve">The </w:t>
      </w:r>
      <w:r>
        <w:rPr>
          <w:i/>
          <w:iCs/>
        </w:rPr>
        <w:t xml:space="preserve">Building Belonging </w:t>
      </w:r>
      <w:r w:rsidR="00A339B9">
        <w:t>r</w:t>
      </w:r>
      <w:r>
        <w:t>eview aimed to e</w:t>
      </w:r>
      <w:r w:rsidR="00945DD4">
        <w:t xml:space="preserve">nsure </w:t>
      </w:r>
      <w:r>
        <w:t xml:space="preserve">that </w:t>
      </w:r>
      <w:r w:rsidR="00945DD4">
        <w:t xml:space="preserve">all people who require protection under the </w:t>
      </w:r>
      <w:r>
        <w:t xml:space="preserve">Anti-Discrimination </w:t>
      </w:r>
      <w:r w:rsidR="00945DD4">
        <w:t xml:space="preserve">Act are included, and that coverage of the law extends to all contexts and settings </w:t>
      </w:r>
      <w:r w:rsidR="00010FEB">
        <w:t xml:space="preserve">in which </w:t>
      </w:r>
      <w:r w:rsidR="00945DD4">
        <w:t>unfair discrimination occurs, subject to reasonable exceptions.</w:t>
      </w:r>
    </w:p>
    <w:p w14:paraId="7B8C15A0" w14:textId="59CBFF52" w:rsidR="00722996" w:rsidRDefault="0049094C" w:rsidP="00D31DB9">
      <w:pPr>
        <w:pStyle w:val="Numberedparagraph"/>
      </w:pPr>
      <w:r>
        <w:t xml:space="preserve">The draft Bill closely follows the recommendations of the </w:t>
      </w:r>
      <w:r>
        <w:rPr>
          <w:i/>
          <w:iCs/>
        </w:rPr>
        <w:t xml:space="preserve">Building Belonging </w:t>
      </w:r>
      <w:r w:rsidR="00A339B9">
        <w:t>r</w:t>
      </w:r>
      <w:r>
        <w:t xml:space="preserve">eview </w:t>
      </w:r>
      <w:r w:rsidR="00010FEB">
        <w:t xml:space="preserve">and </w:t>
      </w:r>
      <w:r>
        <w:t>includ</w:t>
      </w:r>
      <w:r w:rsidR="00010FEB">
        <w:t>es</w:t>
      </w:r>
      <w:r>
        <w:t xml:space="preserve"> </w:t>
      </w:r>
      <w:r w:rsidR="00722996">
        <w:t>new attributes</w:t>
      </w:r>
      <w:r w:rsidR="00010FEB">
        <w:t>,</w:t>
      </w:r>
      <w:r w:rsidR="00722996">
        <w:t xml:space="preserve"> </w:t>
      </w:r>
      <w:r>
        <w:t xml:space="preserve">such as homelessness and subjection to domestic </w:t>
      </w:r>
      <w:r w:rsidR="00E637EE">
        <w:t xml:space="preserve">or </w:t>
      </w:r>
      <w:r>
        <w:t xml:space="preserve">family </w:t>
      </w:r>
      <w:proofErr w:type="gramStart"/>
      <w:r>
        <w:t>violence, and</w:t>
      </w:r>
      <w:proofErr w:type="gramEnd"/>
      <w:r>
        <w:t xml:space="preserve"> improv</w:t>
      </w:r>
      <w:r w:rsidR="00E637EE">
        <w:t>es</w:t>
      </w:r>
      <w:r>
        <w:t xml:space="preserve"> the definitions of several attributes where </w:t>
      </w:r>
      <w:r w:rsidR="00F160B7">
        <w:t xml:space="preserve">the scope was too narrow or </w:t>
      </w:r>
      <w:r>
        <w:t xml:space="preserve">further </w:t>
      </w:r>
      <w:r w:rsidR="00F160B7">
        <w:t>clarity was needed.</w:t>
      </w:r>
      <w:r>
        <w:t xml:space="preserve"> </w:t>
      </w:r>
    </w:p>
    <w:p w14:paraId="76A409A3" w14:textId="5E2587A4" w:rsidR="00F10825" w:rsidRDefault="0078263D" w:rsidP="0001390F">
      <w:pPr>
        <w:pStyle w:val="Numberedparagraph"/>
      </w:pPr>
      <w:r>
        <w:t xml:space="preserve">Most </w:t>
      </w:r>
      <w:r w:rsidR="005D71F9">
        <w:t xml:space="preserve">of the </w:t>
      </w:r>
      <w:r w:rsidR="005D71F9">
        <w:rPr>
          <w:i/>
          <w:iCs/>
        </w:rPr>
        <w:t xml:space="preserve">Building Belonging </w:t>
      </w:r>
      <w:r w:rsidR="00E637EE">
        <w:t>r</w:t>
      </w:r>
      <w:r w:rsidR="005D71F9">
        <w:t xml:space="preserve">eview’s </w:t>
      </w:r>
      <w:r>
        <w:t>recommendations for updates</w:t>
      </w:r>
      <w:r w:rsidR="005D71F9">
        <w:t xml:space="preserve"> to</w:t>
      </w:r>
      <w:r w:rsidR="00E637EE">
        <w:t>,</w:t>
      </w:r>
      <w:r>
        <w:t xml:space="preserve"> or omission of </w:t>
      </w:r>
      <w:r w:rsidR="005D71F9">
        <w:t>exceptions</w:t>
      </w:r>
      <w:r w:rsidR="00DF43F1">
        <w:t>,</w:t>
      </w:r>
      <w:r w:rsidR="005D71F9">
        <w:t xml:space="preserve"> have also been implemented in the draft Bill.</w:t>
      </w:r>
    </w:p>
    <w:p w14:paraId="38EEFE95" w14:textId="7C161DAC" w:rsidR="000C1373" w:rsidRPr="0001390F" w:rsidRDefault="000C1373" w:rsidP="00892212">
      <w:pPr>
        <w:pStyle w:val="Numberedparagraph"/>
      </w:pPr>
      <w:r>
        <w:t xml:space="preserve">For more information on some aspects requiring improvement, refer to </w:t>
      </w:r>
      <w:r w:rsidR="00DE63CB">
        <w:t>Annexures A and E</w:t>
      </w:r>
      <w:r>
        <w:t>.</w:t>
      </w:r>
    </w:p>
    <w:p w14:paraId="76AFBEE3" w14:textId="43A48408" w:rsidR="00F82469" w:rsidRPr="000E59AB" w:rsidRDefault="00F82469" w:rsidP="000E59AB">
      <w:pPr>
        <w:pStyle w:val="Heading1"/>
      </w:pPr>
      <w:bookmarkStart w:id="9" w:name="_Toc161917223"/>
      <w:r w:rsidRPr="000E59AB">
        <w:lastRenderedPageBreak/>
        <w:t>Priority concerns</w:t>
      </w:r>
      <w:bookmarkEnd w:id="9"/>
    </w:p>
    <w:p w14:paraId="0AAC4D97" w14:textId="29ABF321" w:rsidR="00337580" w:rsidRDefault="00337580" w:rsidP="000E59AB">
      <w:pPr>
        <w:pStyle w:val="Heading2"/>
      </w:pPr>
      <w:bookmarkStart w:id="10" w:name="_Toc161917224"/>
      <w:r>
        <w:t>Commencement</w:t>
      </w:r>
      <w:bookmarkEnd w:id="10"/>
    </w:p>
    <w:p w14:paraId="5C438955" w14:textId="62BF3105" w:rsidR="00DC79F5" w:rsidRDefault="00DC4CE1" w:rsidP="000E59AB">
      <w:pPr>
        <w:pStyle w:val="Numberedparagraph"/>
      </w:pPr>
      <w:r>
        <w:t xml:space="preserve">The </w:t>
      </w:r>
      <w:r w:rsidR="00D115B4">
        <w:t>draft Bill indicates an intention for t</w:t>
      </w:r>
      <w:r w:rsidR="005B035D">
        <w:t xml:space="preserve">he </w:t>
      </w:r>
      <w:r w:rsidR="00DC79F5">
        <w:t xml:space="preserve">Anti-Discrimination </w:t>
      </w:r>
      <w:r w:rsidR="00D115B4">
        <w:t>Act</w:t>
      </w:r>
      <w:r w:rsidR="00DC79F5">
        <w:t xml:space="preserve"> </w:t>
      </w:r>
      <w:r w:rsidR="00D115B4">
        <w:t xml:space="preserve">to </w:t>
      </w:r>
      <w:r w:rsidR="00DC79F5">
        <w:t>commence by proclamation, rather than on a specified date</w:t>
      </w:r>
      <w:r w:rsidR="004209B4">
        <w:t>.</w:t>
      </w:r>
      <w:r w:rsidR="004209B4">
        <w:rPr>
          <w:rStyle w:val="FootnoteReference"/>
        </w:rPr>
        <w:footnoteReference w:id="6"/>
      </w:r>
    </w:p>
    <w:p w14:paraId="7D2E4D06" w14:textId="57A5D2C4" w:rsidR="00337580" w:rsidRDefault="008B03AF" w:rsidP="000E59AB">
      <w:pPr>
        <w:pStyle w:val="Numberedparagraph"/>
      </w:pPr>
      <w:r>
        <w:t xml:space="preserve">The </w:t>
      </w:r>
      <w:proofErr w:type="gramStart"/>
      <w:r>
        <w:rPr>
          <w:i/>
        </w:rPr>
        <w:t>Building</w:t>
      </w:r>
      <w:proofErr w:type="gramEnd"/>
      <w:r>
        <w:rPr>
          <w:i/>
        </w:rPr>
        <w:t xml:space="preserve"> </w:t>
      </w:r>
      <w:r w:rsidR="00246F82">
        <w:rPr>
          <w:i/>
          <w:iCs/>
        </w:rPr>
        <w:t xml:space="preserve">belonging </w:t>
      </w:r>
      <w:r w:rsidR="00246F82">
        <w:t>review</w:t>
      </w:r>
      <w:r>
        <w:t xml:space="preserve"> recommended</w:t>
      </w:r>
      <w:r w:rsidR="00015A53">
        <w:t xml:space="preserve"> </w:t>
      </w:r>
      <w:r w:rsidR="006017C6">
        <w:t xml:space="preserve">that </w:t>
      </w:r>
      <w:r w:rsidR="00E82864">
        <w:t xml:space="preserve">the </w:t>
      </w:r>
      <w:r w:rsidR="00BF4B2E">
        <w:t>QHRC</w:t>
      </w:r>
      <w:r w:rsidR="00E82864">
        <w:t xml:space="preserve"> be</w:t>
      </w:r>
      <w:r w:rsidR="00E5155C">
        <w:t xml:space="preserve"> given additional functions </w:t>
      </w:r>
      <w:r w:rsidR="00BF4B2E">
        <w:t xml:space="preserve">to </w:t>
      </w:r>
      <w:r w:rsidR="00E82864">
        <w:t xml:space="preserve">allow </w:t>
      </w:r>
      <w:r w:rsidR="00E5155C">
        <w:t>it</w:t>
      </w:r>
      <w:r w:rsidR="00E82864">
        <w:t xml:space="preserve"> to </w:t>
      </w:r>
      <w:r w:rsidR="009D57C8">
        <w:t xml:space="preserve">support </w:t>
      </w:r>
      <w:r w:rsidR="00EF3CA9">
        <w:t xml:space="preserve">proactive </w:t>
      </w:r>
      <w:r w:rsidR="00E103FF">
        <w:t>compliance</w:t>
      </w:r>
      <w:r w:rsidR="00264F79">
        <w:t xml:space="preserve"> </w:t>
      </w:r>
      <w:r w:rsidR="00426FE0">
        <w:t xml:space="preserve">with the positive duty </w:t>
      </w:r>
      <w:r w:rsidR="00264F79">
        <w:t xml:space="preserve">and </w:t>
      </w:r>
      <w:r w:rsidR="00BF4B2E">
        <w:t xml:space="preserve">to </w:t>
      </w:r>
      <w:r w:rsidR="00264F79">
        <w:t>effective</w:t>
      </w:r>
      <w:r w:rsidR="00426FE0">
        <w:t>ly</w:t>
      </w:r>
      <w:r w:rsidR="00264F79">
        <w:t xml:space="preserve"> </w:t>
      </w:r>
      <w:r w:rsidR="00E82864">
        <w:t>address non-</w:t>
      </w:r>
      <w:r w:rsidR="00E5155C">
        <w:t>compliance</w:t>
      </w:r>
      <w:r w:rsidR="00264F79">
        <w:t xml:space="preserve">. </w:t>
      </w:r>
      <w:r w:rsidR="00BF4B2E">
        <w:t>The Review</w:t>
      </w:r>
      <w:r w:rsidR="000B154D">
        <w:t xml:space="preserve"> recommended that</w:t>
      </w:r>
      <w:r w:rsidR="00D56A76">
        <w:t xml:space="preserve">, while these functions should be introduced </w:t>
      </w:r>
      <w:r w:rsidR="00A7653D">
        <w:t>immediately</w:t>
      </w:r>
      <w:r w:rsidR="00D56A76">
        <w:t>,</w:t>
      </w:r>
      <w:r w:rsidR="006017C6">
        <w:t xml:space="preserve"> </w:t>
      </w:r>
      <w:r w:rsidR="00A7653D">
        <w:t xml:space="preserve">provisions related to ‘upper end enforcement’ </w:t>
      </w:r>
      <w:r w:rsidR="007B65D9">
        <w:t xml:space="preserve">should be </w:t>
      </w:r>
      <w:r w:rsidR="006017C6">
        <w:t xml:space="preserve">staged to allow duty holders time to seek and receive guidance on </w:t>
      </w:r>
      <w:r w:rsidR="00610DFB">
        <w:t xml:space="preserve">steps they may need to take to comply with any new obligations. </w:t>
      </w:r>
    </w:p>
    <w:p w14:paraId="486DADEC" w14:textId="5AD7C65F" w:rsidR="00E734E1" w:rsidRDefault="00E734E1" w:rsidP="000E59AB">
      <w:pPr>
        <w:pStyle w:val="Numberedparagraph"/>
      </w:pPr>
      <w:r>
        <w:t xml:space="preserve">The QHRC </w:t>
      </w:r>
      <w:r w:rsidR="00A22891">
        <w:t>observes</w:t>
      </w:r>
      <w:r w:rsidR="005058F5">
        <w:t xml:space="preserve"> that </w:t>
      </w:r>
      <w:r w:rsidR="0072505E">
        <w:t xml:space="preserve">financial </w:t>
      </w:r>
      <w:r>
        <w:t xml:space="preserve">penalties are not included </w:t>
      </w:r>
      <w:r w:rsidR="0072505E">
        <w:t>in the suite of</w:t>
      </w:r>
      <w:r w:rsidR="0061280A">
        <w:t xml:space="preserve"> </w:t>
      </w:r>
      <w:r w:rsidR="0072505E">
        <w:t xml:space="preserve">compliance </w:t>
      </w:r>
      <w:r w:rsidR="0061280A">
        <w:t>option</w:t>
      </w:r>
      <w:r w:rsidR="0072505E">
        <w:t>s</w:t>
      </w:r>
      <w:r w:rsidR="0061280A">
        <w:t xml:space="preserve"> under the draft Bill</w:t>
      </w:r>
      <w:r w:rsidR="00175997">
        <w:t>.</w:t>
      </w:r>
      <w:r w:rsidR="005058F5">
        <w:t xml:space="preserve"> </w:t>
      </w:r>
      <w:r w:rsidR="00175997">
        <w:t>This means</w:t>
      </w:r>
      <w:r w:rsidR="005058F5">
        <w:t xml:space="preserve"> that all regulatory action that may be taken by the </w:t>
      </w:r>
      <w:r w:rsidR="00673003">
        <w:t>QHRC</w:t>
      </w:r>
      <w:r w:rsidR="005058F5">
        <w:t xml:space="preserve"> as a</w:t>
      </w:r>
      <w:r w:rsidR="00175997">
        <w:t xml:space="preserve">n outcome of </w:t>
      </w:r>
      <w:r w:rsidR="00106FA4">
        <w:t>an</w:t>
      </w:r>
      <w:r w:rsidR="00175997">
        <w:t xml:space="preserve"> investigation</w:t>
      </w:r>
      <w:r w:rsidR="005058F5">
        <w:t xml:space="preserve"> </w:t>
      </w:r>
      <w:r w:rsidR="00CC5171">
        <w:t>will be voluntar</w:t>
      </w:r>
      <w:r w:rsidR="00B26884">
        <w:t>ily entered into by a duty holder</w:t>
      </w:r>
      <w:r w:rsidR="00CC5171">
        <w:t>.</w:t>
      </w:r>
      <w:r w:rsidR="0004148C" w:rsidDel="006D44E9">
        <w:t xml:space="preserve"> </w:t>
      </w:r>
      <w:r w:rsidR="006D44E9">
        <w:rPr>
          <w:szCs w:val="22"/>
        </w:rPr>
        <w:t>This aligns with one of the main purposes of the draft Bill, which is to promote and facilitate voluntary compliance.</w:t>
      </w:r>
    </w:p>
    <w:p w14:paraId="6B58D077" w14:textId="77777777" w:rsidR="0045271E" w:rsidRPr="0045271E" w:rsidRDefault="00437D99" w:rsidP="000E59AB">
      <w:pPr>
        <w:pStyle w:val="Numberedparagraph"/>
      </w:pPr>
      <w:r>
        <w:rPr>
          <w:szCs w:val="22"/>
        </w:rPr>
        <w:t>Accordingly, we consider that</w:t>
      </w:r>
      <w:r w:rsidR="005677EA">
        <w:rPr>
          <w:szCs w:val="22"/>
        </w:rPr>
        <w:t xml:space="preserve"> there is no longer adequate justification for staged introduction, and that all provisions in the Act should commence</w:t>
      </w:r>
      <w:r w:rsidR="000702C0">
        <w:rPr>
          <w:szCs w:val="22"/>
        </w:rPr>
        <w:t xml:space="preserve"> on a specified commencement date.</w:t>
      </w:r>
    </w:p>
    <w:p w14:paraId="05AC7B4E" w14:textId="78FA190C" w:rsidR="00437D99" w:rsidRDefault="00516CA5" w:rsidP="000E59AB">
      <w:pPr>
        <w:pStyle w:val="Numberedparagraph"/>
      </w:pPr>
      <w:r>
        <w:rPr>
          <w:szCs w:val="22"/>
        </w:rPr>
        <w:t>T</w:t>
      </w:r>
      <w:r w:rsidR="0045271E">
        <w:rPr>
          <w:szCs w:val="22"/>
        </w:rPr>
        <w:t xml:space="preserve">his </w:t>
      </w:r>
      <w:r>
        <w:rPr>
          <w:szCs w:val="22"/>
        </w:rPr>
        <w:t>approach</w:t>
      </w:r>
      <w:r w:rsidR="0045271E">
        <w:rPr>
          <w:szCs w:val="22"/>
        </w:rPr>
        <w:t xml:space="preserve"> will </w:t>
      </w:r>
      <w:r w:rsidR="009815BC" w:rsidRPr="009815BC">
        <w:rPr>
          <w:szCs w:val="22"/>
        </w:rPr>
        <w:t xml:space="preserve">ensure </w:t>
      </w:r>
      <w:r w:rsidR="00A373AE">
        <w:rPr>
          <w:szCs w:val="22"/>
        </w:rPr>
        <w:t xml:space="preserve">the </w:t>
      </w:r>
      <w:r w:rsidR="009815BC" w:rsidRPr="009815BC">
        <w:rPr>
          <w:szCs w:val="22"/>
        </w:rPr>
        <w:t>timely passage of the legislation</w:t>
      </w:r>
      <w:r w:rsidR="0045271E">
        <w:rPr>
          <w:szCs w:val="22"/>
        </w:rPr>
        <w:t xml:space="preserve"> and provide certainty to the community</w:t>
      </w:r>
      <w:r w:rsidR="000E6237">
        <w:rPr>
          <w:szCs w:val="22"/>
        </w:rPr>
        <w:t>,</w:t>
      </w:r>
      <w:r w:rsidR="0045271E">
        <w:rPr>
          <w:szCs w:val="22"/>
        </w:rPr>
        <w:t xml:space="preserve"> stakeholders, </w:t>
      </w:r>
      <w:r w:rsidR="000E6237">
        <w:rPr>
          <w:szCs w:val="22"/>
        </w:rPr>
        <w:t xml:space="preserve">and </w:t>
      </w:r>
      <w:r w:rsidR="0045271E">
        <w:rPr>
          <w:szCs w:val="22"/>
        </w:rPr>
        <w:t xml:space="preserve">the </w:t>
      </w:r>
      <w:r w:rsidR="005D3D6B">
        <w:rPr>
          <w:szCs w:val="22"/>
        </w:rPr>
        <w:t>QHRC</w:t>
      </w:r>
      <w:r w:rsidR="0045271E">
        <w:rPr>
          <w:szCs w:val="22"/>
        </w:rPr>
        <w:t>,</w:t>
      </w:r>
      <w:r w:rsidR="000702C0">
        <w:rPr>
          <w:szCs w:val="22"/>
        </w:rPr>
        <w:t xml:space="preserve"> </w:t>
      </w:r>
      <w:r w:rsidR="000A42F1">
        <w:rPr>
          <w:szCs w:val="22"/>
        </w:rPr>
        <w:t>about the new law.</w:t>
      </w:r>
    </w:p>
    <w:p w14:paraId="31E8E338" w14:textId="41223427" w:rsidR="00DC79F5" w:rsidRDefault="000A42F1" w:rsidP="000E59AB">
      <w:pPr>
        <w:pStyle w:val="Numberedparagraph"/>
      </w:pPr>
      <w:r>
        <w:t>The</w:t>
      </w:r>
      <w:r w:rsidR="003E1820" w:rsidDel="000A42F1">
        <w:t xml:space="preserve"> </w:t>
      </w:r>
      <w:r w:rsidR="005D3D6B">
        <w:t>QHRC</w:t>
      </w:r>
      <w:r>
        <w:t xml:space="preserve"> will have a key role in implementation</w:t>
      </w:r>
      <w:r w:rsidR="00296E6C">
        <w:t xml:space="preserve"> of the regulatory function</w:t>
      </w:r>
      <w:r>
        <w:t xml:space="preserve">, and this holds significant resourcing and staffing implications. To ensure the </w:t>
      </w:r>
      <w:r w:rsidR="005D3D6B">
        <w:t>QHRC</w:t>
      </w:r>
      <w:r>
        <w:t xml:space="preserve"> can provide adequate support, awareness</w:t>
      </w:r>
      <w:r w:rsidR="00DC782B">
        <w:t>,</w:t>
      </w:r>
      <w:r>
        <w:t xml:space="preserve"> and education to stakeholders and the broader Queensland </w:t>
      </w:r>
      <w:r w:rsidR="0003235D">
        <w:t>c</w:t>
      </w:r>
      <w:r>
        <w:t xml:space="preserve">ommunity on these </w:t>
      </w:r>
      <w:r w:rsidR="0003235D">
        <w:t xml:space="preserve">fundamental </w:t>
      </w:r>
      <w:r>
        <w:t xml:space="preserve">changes, certainty of the commencement date is imperative. </w:t>
      </w:r>
    </w:p>
    <w:p w14:paraId="6A728A00" w14:textId="1737A656" w:rsidR="000F3FAE" w:rsidRDefault="003C7DC3" w:rsidP="000E59AB">
      <w:pPr>
        <w:pStyle w:val="Numberedparagraph"/>
      </w:pPr>
      <w:r>
        <w:rPr>
          <w:noProof/>
        </w:rPr>
        <mc:AlternateContent>
          <mc:Choice Requires="wps">
            <w:drawing>
              <wp:anchor distT="0" distB="0" distL="114300" distR="114300" simplePos="0" relativeHeight="251658240" behindDoc="1" locked="0" layoutInCell="1" allowOverlap="1" wp14:anchorId="4CF4F08E" wp14:editId="557BDDFA">
                <wp:simplePos x="0" y="0"/>
                <wp:positionH relativeFrom="column">
                  <wp:posOffset>-3810</wp:posOffset>
                </wp:positionH>
                <wp:positionV relativeFrom="paragraph">
                  <wp:posOffset>1160780</wp:posOffset>
                </wp:positionV>
                <wp:extent cx="5419725" cy="657225"/>
                <wp:effectExtent l="0" t="0" r="9525" b="9525"/>
                <wp:wrapNone/>
                <wp:docPr id="1840762637" name="Rectangle 2"/>
                <wp:cNvGraphicFramePr/>
                <a:graphic xmlns:a="http://schemas.openxmlformats.org/drawingml/2006/main">
                  <a:graphicData uri="http://schemas.microsoft.com/office/word/2010/wordprocessingShape">
                    <wps:wsp>
                      <wps:cNvSpPr/>
                      <wps:spPr>
                        <a:xfrm>
                          <a:off x="0" y="0"/>
                          <a:ext cx="5419725" cy="657225"/>
                        </a:xfrm>
                        <a:prstGeom prst="rect">
                          <a:avLst/>
                        </a:prstGeom>
                        <a:solidFill>
                          <a:srgbClr val="0042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60AE7" id="Rectangle 2" o:spid="_x0000_s1026" style="position:absolute;margin-left:-.3pt;margin-top:91.4pt;width:426.75pt;height:51.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XVZgIAAEoFAAAOAAAAZHJzL2Uyb0RvYy54bWysVF9r2zAQfx/sOwi9r46ztF1DnRJaOgal&#10;LWtHnxVZSgSyTjspcbJPv5PsOFlXKIy9SHe63/2/0+XVtrFsozAYcBUvT0acKSehNm5Z8R/Pt5++&#10;cBaicLWw4FTFdyrwq9nHD5etn6oxrMDWChkZcWHa+oqvYvTToghypRoRTsArR0IN2IhILC6LGkVL&#10;1htbjEejs6IFrD2CVCHQ600n5LNsX2sl44PWQUVmK06xxXxiPhfpLGaXYrpE4VdG9mGIf4iiEcaR&#10;08HUjYiCrdH8ZaoxEiGAjicSmgK0NlLlHCibcvQqm6eV8CrnQsUJfihT+H9m5f3myT8ilaH1YRqI&#10;TFlsNTbppvjYNhdrNxRLbSOT9Hg6KS/Ox6ecSZKdnZ6PiSYzxUHbY4hfFTQsERVHakaukdjchdhB&#10;95DkLIA19a2xNjO4XFxbZBuRGjeajM9zr8j6HzDrEthBUussdi8qt753c8gsU3FnVdKy7rvSzNSU&#10;S5njykOnBq9CSuVi2SeV0UlNk6tB8fP7ij0+qXZRDcrj95UHjewZXByUG+MA3zJgh5B1h6eeHOWd&#10;yAXUu0dkCN06BC9vDbXoToT4KJDmnzaFdjo+0KEttBWHnuJsBfjrrfeEp7EkKWct7VPFw8+1QMWZ&#10;/eZoYC/KySQtYGYmNC7E4LFkcSxx6+YaqPMl/R5eZjLho92TGqF5odWfJ68kEk6S74rLiHvmOnZ7&#10;Tp+HVPN5htHSeRHv3JOX+66nEXzevgj0/ZxGmvB72O+emL4a1w6b+uFgvo6gTZ7lQ137etPC5m3o&#10;P5f0IxzzGXX4Ame/AQAA//8DAFBLAwQUAAYACAAAACEA5cmYQN8AAAAJAQAADwAAAGRycy9kb3du&#10;cmV2LnhtbEyPzWrDMBCE74W+g9hCb4lchxrbtRxKIJdAC3VKz4q1/mmslbGU2Hn7bk/tcWeG2W+K&#10;7WIHccXJ944UPK0jEEi1Mz21Cj6P+1UKwgdNRg+OUMENPWzL+7tC58bN9IHXKrSCS8jnWkEXwphL&#10;6esOrfZrNyKx17jJ6sDn1Eoz6ZnL7SDjKEqk1T3xh06PuOuwPlcXq2D+lhtT7b9uuzqjw/n9rTlE&#10;WaPU48Py+gIi4BL+wvCLz+hQMtPJXch4MShYJRxkOY15Afvpc5yBOCmI02QDsizk/wXlDwAAAP//&#10;AwBQSwECLQAUAAYACAAAACEAtoM4kv4AAADhAQAAEwAAAAAAAAAAAAAAAAAAAAAAW0NvbnRlbnRf&#10;VHlwZXNdLnhtbFBLAQItABQABgAIAAAAIQA4/SH/1gAAAJQBAAALAAAAAAAAAAAAAAAAAC8BAABf&#10;cmVscy8ucmVsc1BLAQItABQABgAIAAAAIQCw0NXVZgIAAEoFAAAOAAAAAAAAAAAAAAAAAC4CAABk&#10;cnMvZTJvRG9jLnhtbFBLAQItABQABgAIAAAAIQDlyZhA3wAAAAkBAAAPAAAAAAAAAAAAAAAAAMAE&#10;AABkcnMvZG93bnJldi54bWxQSwUGAAAAAAQABADzAAAAzAUAAAAA&#10;" fillcolor="#004270" stroked="f"/>
            </w:pict>
          </mc:Fallback>
        </mc:AlternateContent>
      </w:r>
      <w:r w:rsidR="000F3FAE">
        <w:t>A significant part of t</w:t>
      </w:r>
      <w:r w:rsidR="000A42F1">
        <w:t>his</w:t>
      </w:r>
      <w:r w:rsidR="000F3FAE">
        <w:t xml:space="preserve"> work will be </w:t>
      </w:r>
      <w:r w:rsidR="000A42F1">
        <w:t>to consult on, develop</w:t>
      </w:r>
      <w:r w:rsidR="0003235D">
        <w:t>,</w:t>
      </w:r>
      <w:r w:rsidR="000A42F1">
        <w:t xml:space="preserve"> publish</w:t>
      </w:r>
      <w:r w:rsidR="00DC782B">
        <w:t xml:space="preserve">, and publicise </w:t>
      </w:r>
      <w:r w:rsidR="000F3FAE">
        <w:t xml:space="preserve">guidelines and education programs for duty holders to </w:t>
      </w:r>
      <w:r w:rsidR="001416E2">
        <w:t>ensure that they are ready to comply with the updated Act</w:t>
      </w:r>
      <w:r w:rsidR="000A42F1">
        <w:t xml:space="preserve">. This significant program of work would be assisted by clear commencement timeframes. </w:t>
      </w:r>
      <w:r w:rsidR="002765D9">
        <w:t>Further</w:t>
      </w:r>
      <w:r w:rsidR="004314EC">
        <w:t>,</w:t>
      </w:r>
      <w:r w:rsidR="002765D9">
        <w:t xml:space="preserve"> a </w:t>
      </w:r>
      <w:r w:rsidR="004314EC">
        <w:t>single</w:t>
      </w:r>
      <w:r w:rsidR="002765D9">
        <w:t xml:space="preserve"> commencement</w:t>
      </w:r>
      <w:r w:rsidR="009C0E2B">
        <w:t xml:space="preserve"> </w:t>
      </w:r>
      <w:r w:rsidR="00D30E21">
        <w:t xml:space="preserve">date for the reforms </w:t>
      </w:r>
      <w:r w:rsidR="00C75AF2">
        <w:t xml:space="preserve">will </w:t>
      </w:r>
      <w:r w:rsidR="004E697B">
        <w:t xml:space="preserve">reduce </w:t>
      </w:r>
      <w:r w:rsidR="00A715F7">
        <w:t xml:space="preserve">costs and </w:t>
      </w:r>
      <w:r w:rsidR="00C75AF2">
        <w:t xml:space="preserve">avoid </w:t>
      </w:r>
      <w:r w:rsidR="00295633">
        <w:t xml:space="preserve">the potential for </w:t>
      </w:r>
      <w:r w:rsidR="00C75AF2">
        <w:t xml:space="preserve">unnecessary </w:t>
      </w:r>
      <w:r w:rsidR="00871434">
        <w:t xml:space="preserve">confusion </w:t>
      </w:r>
      <w:r w:rsidR="00295633">
        <w:t xml:space="preserve">that may result from </w:t>
      </w:r>
      <w:r w:rsidR="008257DE">
        <w:t>staged</w:t>
      </w:r>
      <w:r w:rsidR="000E0DC1">
        <w:t xml:space="preserve"> commencement.</w:t>
      </w:r>
    </w:p>
    <w:p w14:paraId="24FC0155" w14:textId="11EC3A28" w:rsidR="00337580" w:rsidRPr="003C7DC3" w:rsidRDefault="00337580" w:rsidP="003C7DC3">
      <w:pPr>
        <w:pStyle w:val="Heading3"/>
        <w:spacing w:before="240"/>
        <w:ind w:left="567"/>
        <w:rPr>
          <w:color w:val="FFFFFF" w:themeColor="background1"/>
        </w:rPr>
      </w:pPr>
      <w:bookmarkStart w:id="11" w:name="_Toc161917225"/>
      <w:r w:rsidRPr="003C7DC3">
        <w:rPr>
          <w:color w:val="FFFFFF" w:themeColor="background1"/>
        </w:rPr>
        <w:t>Recommendation</w:t>
      </w:r>
      <w:bookmarkEnd w:id="11"/>
    </w:p>
    <w:p w14:paraId="58C72AC3" w14:textId="45259C06" w:rsidR="00D115B4" w:rsidRPr="003C7DC3" w:rsidRDefault="00D115B4" w:rsidP="003C7DC3">
      <w:pPr>
        <w:ind w:left="567"/>
        <w:rPr>
          <w:color w:val="FFFFFF" w:themeColor="background1"/>
        </w:rPr>
      </w:pPr>
      <w:r w:rsidRPr="003C7DC3">
        <w:rPr>
          <w:color w:val="FFFFFF" w:themeColor="background1"/>
        </w:rPr>
        <w:t xml:space="preserve">The Anti-Discrimination Act should commence on </w:t>
      </w:r>
      <w:r w:rsidR="00DD1905" w:rsidRPr="003C7DC3">
        <w:rPr>
          <w:color w:val="FFFFFF" w:themeColor="background1"/>
        </w:rPr>
        <w:t>1 September 2025</w:t>
      </w:r>
      <w:r w:rsidRPr="003C7DC3">
        <w:rPr>
          <w:color w:val="FFFFFF" w:themeColor="background1"/>
        </w:rPr>
        <w:t>.</w:t>
      </w:r>
    </w:p>
    <w:p w14:paraId="1DE8D9DD" w14:textId="77777777" w:rsidR="003C7DC3" w:rsidRPr="00D115B4" w:rsidRDefault="003C7DC3" w:rsidP="00D115B4"/>
    <w:p w14:paraId="2A4ED9F9" w14:textId="009B00BD" w:rsidR="00892212" w:rsidRDefault="00892212" w:rsidP="000E59AB">
      <w:pPr>
        <w:pStyle w:val="Heading2"/>
      </w:pPr>
      <w:bookmarkStart w:id="12" w:name="_Toc161917226"/>
      <w:r>
        <w:lastRenderedPageBreak/>
        <w:t>Liability</w:t>
      </w:r>
      <w:r w:rsidR="00830B67">
        <w:t xml:space="preserve"> </w:t>
      </w:r>
      <w:r w:rsidR="0021085C">
        <w:t>(vicarious liability)</w:t>
      </w:r>
      <w:bookmarkEnd w:id="12"/>
    </w:p>
    <w:p w14:paraId="42644F3C" w14:textId="091ABDAB" w:rsidR="00E065C3" w:rsidRDefault="00113BFA" w:rsidP="000E59AB">
      <w:pPr>
        <w:pStyle w:val="Numberedparagraph"/>
      </w:pPr>
      <w:r>
        <w:t xml:space="preserve">The </w:t>
      </w:r>
      <w:proofErr w:type="gramStart"/>
      <w:r>
        <w:rPr>
          <w:i/>
          <w:iCs/>
        </w:rPr>
        <w:t>Building</w:t>
      </w:r>
      <w:proofErr w:type="gramEnd"/>
      <w:r>
        <w:rPr>
          <w:i/>
          <w:iCs/>
        </w:rPr>
        <w:t xml:space="preserve"> </w:t>
      </w:r>
      <w:r w:rsidR="003D5F35">
        <w:rPr>
          <w:i/>
          <w:iCs/>
        </w:rPr>
        <w:t>b</w:t>
      </w:r>
      <w:r>
        <w:rPr>
          <w:i/>
          <w:iCs/>
        </w:rPr>
        <w:t xml:space="preserve">elonging </w:t>
      </w:r>
      <w:r w:rsidR="003D5F35">
        <w:t>r</w:t>
      </w:r>
      <w:r>
        <w:t xml:space="preserve">eview did not </w:t>
      </w:r>
      <w:r w:rsidR="00EA4ECE">
        <w:t xml:space="preserve">make any recommendations for changes to </w:t>
      </w:r>
      <w:r w:rsidR="00E17660">
        <w:t>provisions regarding</w:t>
      </w:r>
      <w:r w:rsidR="00365917" w:rsidDel="002E0744">
        <w:t xml:space="preserve"> </w:t>
      </w:r>
      <w:r w:rsidR="00E17660">
        <w:t>vicarious liability</w:t>
      </w:r>
      <w:r w:rsidR="00094EA7">
        <w:t>, currently contained in sections 132 to 133 of the Anti-Discrimination Act.</w:t>
      </w:r>
      <w:r w:rsidR="00753038">
        <w:t xml:space="preserve"> </w:t>
      </w:r>
      <w:r w:rsidR="00015508">
        <w:t xml:space="preserve">In </w:t>
      </w:r>
      <w:proofErr w:type="gramStart"/>
      <w:r w:rsidR="00015508">
        <w:t>Queensland</w:t>
      </w:r>
      <w:proofErr w:type="gramEnd"/>
      <w:r w:rsidR="00015508">
        <w:t xml:space="preserve"> t</w:t>
      </w:r>
      <w:r w:rsidR="00753038">
        <w:t xml:space="preserve">he law on vicarious liability </w:t>
      </w:r>
      <w:r w:rsidR="00897F51">
        <w:t>is settled</w:t>
      </w:r>
      <w:r w:rsidR="00753038">
        <w:t>, and stakeholders did not raise any concerns</w:t>
      </w:r>
      <w:r w:rsidR="00855ACF">
        <w:t xml:space="preserve"> with the Review</w:t>
      </w:r>
      <w:r w:rsidR="00753038">
        <w:t xml:space="preserve"> about the wording of the current provisions. </w:t>
      </w:r>
    </w:p>
    <w:p w14:paraId="5B291560" w14:textId="25ABFBE5" w:rsidR="00074B9E" w:rsidRDefault="00DD0C28" w:rsidP="000E59AB">
      <w:pPr>
        <w:pStyle w:val="Numberedparagraph"/>
      </w:pPr>
      <w:r>
        <w:t>Part 8 of the Bill</w:t>
      </w:r>
      <w:r w:rsidR="000672A2">
        <w:rPr>
          <w:rStyle w:val="FootnoteReference"/>
        </w:rPr>
        <w:footnoteReference w:id="7"/>
      </w:r>
      <w:r w:rsidR="008A30DB">
        <w:t xml:space="preserve"> </w:t>
      </w:r>
      <w:r w:rsidR="00DE7E5C">
        <w:t xml:space="preserve">replaces </w:t>
      </w:r>
      <w:r w:rsidR="00FA1583">
        <w:t>the current Act</w:t>
      </w:r>
      <w:r w:rsidR="001B7D00">
        <w:t xml:space="preserve">’s </w:t>
      </w:r>
      <w:r w:rsidR="00AB0503">
        <w:t xml:space="preserve">vicarious liability provisions with </w:t>
      </w:r>
      <w:r w:rsidR="008A5387">
        <w:t xml:space="preserve">new provisions </w:t>
      </w:r>
      <w:r w:rsidR="00C657DE">
        <w:t>for</w:t>
      </w:r>
      <w:r w:rsidR="008A5387">
        <w:t xml:space="preserve"> </w:t>
      </w:r>
      <w:r w:rsidR="00C657DE">
        <w:t>‘</w:t>
      </w:r>
      <w:r w:rsidR="008A5387">
        <w:t>liability</w:t>
      </w:r>
      <w:r w:rsidR="00C657DE">
        <w:t>’</w:t>
      </w:r>
      <w:r w:rsidR="008A5387">
        <w:t xml:space="preserve">, the effect of which is likely to </w:t>
      </w:r>
      <w:r w:rsidR="001777FD">
        <w:t>drastically</w:t>
      </w:r>
      <w:r w:rsidR="008A5387">
        <w:t xml:space="preserve"> alter</w:t>
      </w:r>
      <w:r w:rsidR="00074B9E">
        <w:t xml:space="preserve"> the extent to which a person will be held liable for the actions of their workers or agents. </w:t>
      </w:r>
    </w:p>
    <w:p w14:paraId="6889ED2E" w14:textId="04831F2B" w:rsidR="00A110D1" w:rsidRDefault="00A110D1" w:rsidP="000E59AB">
      <w:pPr>
        <w:pStyle w:val="Numberedparagraph"/>
      </w:pPr>
      <w:r>
        <w:t xml:space="preserve">Section 132 of the </w:t>
      </w:r>
      <w:r w:rsidR="006544E6">
        <w:t xml:space="preserve">Anti-Discrimination Act </w:t>
      </w:r>
      <w:r w:rsidR="003F5EE9">
        <w:t>sets out</w:t>
      </w:r>
      <w:r>
        <w:t xml:space="preserve"> the </w:t>
      </w:r>
      <w:r w:rsidR="00EA4098">
        <w:t>reason</w:t>
      </w:r>
      <w:r w:rsidR="00FB734F">
        <w:t xml:space="preserve"> for</w:t>
      </w:r>
      <w:r w:rsidR="00EA4098" w:rsidDel="00FB734F">
        <w:t xml:space="preserve"> </w:t>
      </w:r>
      <w:r>
        <w:t xml:space="preserve">vicarious liability </w:t>
      </w:r>
      <w:r w:rsidR="00E934E5">
        <w:t xml:space="preserve">provision </w:t>
      </w:r>
      <w:r w:rsidR="00996958">
        <w:t>in the Act</w:t>
      </w:r>
      <w:r w:rsidR="00A3572E">
        <w:t xml:space="preserve"> and the work it </w:t>
      </w:r>
      <w:proofErr w:type="gramStart"/>
      <w:r w:rsidR="00A3572E">
        <w:t>has to</w:t>
      </w:r>
      <w:proofErr w:type="gramEnd"/>
      <w:r w:rsidR="00A3572E">
        <w:t xml:space="preserve"> do</w:t>
      </w:r>
      <w:r>
        <w:t>:</w:t>
      </w:r>
    </w:p>
    <w:p w14:paraId="7FF6D7E2" w14:textId="25D2EB24" w:rsidR="00A110D1" w:rsidRDefault="006544E6" w:rsidP="000E59AB">
      <w:pPr>
        <w:pStyle w:val="Quote"/>
        <w:numPr>
          <w:ilvl w:val="0"/>
          <w:numId w:val="14"/>
        </w:numPr>
      </w:pPr>
      <w:r>
        <w:t>One of the purposes of the Act is to promote equality of opportunity for everyone by making a person liable for certain acts of the person’s workers or agents.</w:t>
      </w:r>
    </w:p>
    <w:p w14:paraId="146A6DC2" w14:textId="0B888D07" w:rsidR="006544E6" w:rsidRDefault="006544E6" w:rsidP="000E59AB">
      <w:pPr>
        <w:pStyle w:val="Quote"/>
        <w:numPr>
          <w:ilvl w:val="0"/>
          <w:numId w:val="14"/>
        </w:numPr>
      </w:pPr>
      <w:r>
        <w:t>This purpose is to be achieved by making a person civilly liable for a contravention of the Act by the person’s workers or agents.</w:t>
      </w:r>
    </w:p>
    <w:p w14:paraId="2D47317D" w14:textId="3D6E6B26" w:rsidR="006544E6" w:rsidRDefault="006544E6" w:rsidP="000E59AB">
      <w:pPr>
        <w:pStyle w:val="Numberedparagraph"/>
      </w:pPr>
      <w:r>
        <w:t xml:space="preserve">Section </w:t>
      </w:r>
      <w:r w:rsidR="005825CA">
        <w:t>133</w:t>
      </w:r>
      <w:r w:rsidR="009C4D0F">
        <w:t xml:space="preserve">(1) </w:t>
      </w:r>
      <w:r>
        <w:t>of the Anti-Discrimination Act</w:t>
      </w:r>
      <w:r w:rsidR="005825CA">
        <w:t xml:space="preserve"> </w:t>
      </w:r>
      <w:r w:rsidR="009D06D1">
        <w:t>states that where a person’s workers or agents contravene the Act ‘in the course of work or while acting as</w:t>
      </w:r>
      <w:r w:rsidR="009D06D1" w:rsidDel="00CB4032">
        <w:t xml:space="preserve"> </w:t>
      </w:r>
      <w:r w:rsidR="009D06D1">
        <w:t xml:space="preserve">agent, both the </w:t>
      </w:r>
      <w:r w:rsidR="009C6AA2">
        <w:t>person and the</w:t>
      </w:r>
      <w:r w:rsidR="009D06D1">
        <w:t xml:space="preserve"> worker or agent</w:t>
      </w:r>
      <w:proofErr w:type="gramStart"/>
      <w:r w:rsidR="009D06D1">
        <w:t>, as the case m</w:t>
      </w:r>
      <w:r w:rsidR="00A4079A">
        <w:t>a</w:t>
      </w:r>
      <w:r w:rsidR="009D06D1">
        <w:t>y be</w:t>
      </w:r>
      <w:r w:rsidR="009B5D70">
        <w:t>,</w:t>
      </w:r>
      <w:r w:rsidR="009D06D1">
        <w:t xml:space="preserve"> are</w:t>
      </w:r>
      <w:proofErr w:type="gramEnd"/>
      <w:r w:rsidR="009D06D1">
        <w:t xml:space="preserve"> jointly and severally </w:t>
      </w:r>
      <w:r w:rsidR="00532B9F">
        <w:t xml:space="preserve">civilly </w:t>
      </w:r>
      <w:r w:rsidR="009D06D1">
        <w:t>liable for the contravention</w:t>
      </w:r>
      <w:r w:rsidR="00794F63">
        <w:t>’</w:t>
      </w:r>
      <w:r w:rsidR="009D06D1">
        <w:t xml:space="preserve"> and action can be taken </w:t>
      </w:r>
      <w:r w:rsidR="00A96FF1">
        <w:t xml:space="preserve">against </w:t>
      </w:r>
      <w:r w:rsidR="009D06D1">
        <w:t xml:space="preserve">the </w:t>
      </w:r>
      <w:r w:rsidR="009B5D70">
        <w:t>worker or agent</w:t>
      </w:r>
      <w:r w:rsidR="003F50F8">
        <w:t>,</w:t>
      </w:r>
      <w:r w:rsidR="009B5D70">
        <w:t xml:space="preserve"> </w:t>
      </w:r>
      <w:r w:rsidR="009D06D1">
        <w:t xml:space="preserve">the </w:t>
      </w:r>
      <w:r w:rsidR="008370EB">
        <w:t>vicariously liable party, or both.</w:t>
      </w:r>
      <w:r w:rsidR="009468B3">
        <w:t xml:space="preserve"> However, section 133(2) </w:t>
      </w:r>
      <w:r w:rsidR="00157537">
        <w:t xml:space="preserve">provides that: </w:t>
      </w:r>
    </w:p>
    <w:p w14:paraId="0069D1AE" w14:textId="7B677C4F" w:rsidR="001035F1" w:rsidRPr="00AC0865" w:rsidRDefault="001035F1" w:rsidP="00AC0865">
      <w:pPr>
        <w:pStyle w:val="Numberedparagraph"/>
        <w:numPr>
          <w:ilvl w:val="0"/>
          <w:numId w:val="23"/>
        </w:numPr>
        <w:ind w:left="1276" w:hanging="425"/>
        <w:rPr>
          <w:szCs w:val="22"/>
        </w:rPr>
      </w:pPr>
      <w:r w:rsidRPr="00AC0865">
        <w:rPr>
          <w:szCs w:val="22"/>
        </w:rPr>
        <w:t xml:space="preserve">It is a defence </w:t>
      </w:r>
      <w:r w:rsidR="0088171F" w:rsidRPr="00AC0865">
        <w:rPr>
          <w:szCs w:val="22"/>
        </w:rPr>
        <w:t>to a proceeding for a contravention of the Act arising under subsection (1) if the respondent proves, on the balance of probabilities, that the respondent took reasonable steps to prevent the worker or agent contravening the Act.</w:t>
      </w:r>
    </w:p>
    <w:p w14:paraId="721BBE07" w14:textId="22C55FA3" w:rsidR="002419B7" w:rsidRDefault="00C4071F" w:rsidP="002419B7">
      <w:pPr>
        <w:pStyle w:val="Numberedparagraph"/>
        <w:rPr>
          <w:rFonts w:ascii="Segoe UI" w:hAnsi="Segoe UI" w:cs="Segoe UI"/>
          <w:sz w:val="18"/>
          <w:szCs w:val="18"/>
        </w:rPr>
      </w:pPr>
      <w:r>
        <w:rPr>
          <w:rStyle w:val="normaltextrun"/>
          <w:szCs w:val="22"/>
        </w:rPr>
        <w:t>The draft Bill has omitted the current vicarious liability sections</w:t>
      </w:r>
      <w:r w:rsidR="00273149">
        <w:rPr>
          <w:rStyle w:val="normaltextrun"/>
          <w:szCs w:val="22"/>
        </w:rPr>
        <w:t xml:space="preserve">. </w:t>
      </w:r>
      <w:r w:rsidR="002419B7">
        <w:rPr>
          <w:rStyle w:val="normaltextrun"/>
          <w:szCs w:val="22"/>
        </w:rPr>
        <w:t xml:space="preserve">The liability </w:t>
      </w:r>
      <w:r w:rsidR="00B53E22">
        <w:rPr>
          <w:rStyle w:val="normaltextrun"/>
          <w:szCs w:val="22"/>
        </w:rPr>
        <w:t>clauses</w:t>
      </w:r>
      <w:r w:rsidR="002419B7">
        <w:rPr>
          <w:rStyle w:val="normaltextrun"/>
          <w:szCs w:val="22"/>
        </w:rPr>
        <w:t xml:space="preserve"> set out in Clauses </w:t>
      </w:r>
      <w:r w:rsidR="00757642">
        <w:rPr>
          <w:rStyle w:val="normaltextrun"/>
          <w:szCs w:val="22"/>
        </w:rPr>
        <w:t>93 to 96</w:t>
      </w:r>
      <w:r w:rsidR="002419B7">
        <w:rPr>
          <w:rStyle w:val="normaltextrun"/>
          <w:szCs w:val="22"/>
        </w:rPr>
        <w:t xml:space="preserve"> introduce new concepts of:</w:t>
      </w:r>
      <w:r w:rsidR="002419B7">
        <w:rPr>
          <w:rStyle w:val="eop"/>
          <w:szCs w:val="22"/>
        </w:rPr>
        <w:t> </w:t>
      </w:r>
    </w:p>
    <w:p w14:paraId="2D560017" w14:textId="77777777" w:rsidR="002419B7" w:rsidRDefault="002419B7" w:rsidP="002419B7">
      <w:pPr>
        <w:pStyle w:val="Bulletedlist"/>
      </w:pPr>
      <w:r>
        <w:rPr>
          <w:rStyle w:val="normaltextrun"/>
          <w:i/>
          <w:iCs/>
          <w:szCs w:val="22"/>
        </w:rPr>
        <w:t>representative</w:t>
      </w:r>
      <w:r>
        <w:rPr>
          <w:rStyle w:val="normaltextrun"/>
          <w:szCs w:val="22"/>
        </w:rPr>
        <w:t xml:space="preserve"> – rather than worker or agent</w:t>
      </w:r>
      <w:r>
        <w:rPr>
          <w:rStyle w:val="eop"/>
          <w:szCs w:val="22"/>
        </w:rPr>
        <w:t> </w:t>
      </w:r>
    </w:p>
    <w:p w14:paraId="574E3B69" w14:textId="77777777" w:rsidR="002419B7" w:rsidRDefault="002419B7" w:rsidP="002419B7">
      <w:pPr>
        <w:pStyle w:val="Bulletedlist"/>
      </w:pPr>
      <w:r>
        <w:rPr>
          <w:rStyle w:val="normaltextrun"/>
          <w:i/>
          <w:iCs/>
          <w:szCs w:val="22"/>
        </w:rPr>
        <w:t>within the scope of the representative’s actual or apparent authority</w:t>
      </w:r>
      <w:r>
        <w:rPr>
          <w:rStyle w:val="normaltextrun"/>
          <w:szCs w:val="22"/>
        </w:rPr>
        <w:t xml:space="preserve"> – rather than in the course of work or while acting as agent</w:t>
      </w:r>
      <w:r>
        <w:rPr>
          <w:rStyle w:val="eop"/>
          <w:szCs w:val="22"/>
        </w:rPr>
        <w:t> </w:t>
      </w:r>
    </w:p>
    <w:p w14:paraId="6F4A08CD" w14:textId="77777777" w:rsidR="002419B7" w:rsidRDefault="002419B7" w:rsidP="002419B7">
      <w:pPr>
        <w:pStyle w:val="Bulletedlist"/>
      </w:pPr>
      <w:r>
        <w:rPr>
          <w:rStyle w:val="normaltextrun"/>
          <w:szCs w:val="22"/>
        </w:rPr>
        <w:t xml:space="preserve">reasonable </w:t>
      </w:r>
      <w:r>
        <w:rPr>
          <w:rStyle w:val="normaltextrun"/>
          <w:i/>
          <w:iCs/>
          <w:szCs w:val="22"/>
        </w:rPr>
        <w:t>diligence</w:t>
      </w:r>
      <w:r>
        <w:rPr>
          <w:rStyle w:val="normaltextrun"/>
          <w:szCs w:val="22"/>
        </w:rPr>
        <w:t xml:space="preserve"> (for the defence) – rather than reasonable steps</w:t>
      </w:r>
      <w:r>
        <w:rPr>
          <w:rStyle w:val="eop"/>
          <w:szCs w:val="22"/>
        </w:rPr>
        <w:t> </w:t>
      </w:r>
    </w:p>
    <w:p w14:paraId="0640A2A0" w14:textId="77777777" w:rsidR="002419B7" w:rsidRDefault="002419B7" w:rsidP="002419B7">
      <w:pPr>
        <w:pStyle w:val="Bulletedlist"/>
      </w:pPr>
      <w:r>
        <w:rPr>
          <w:rStyle w:val="normaltextrun"/>
          <w:szCs w:val="22"/>
        </w:rPr>
        <w:t xml:space="preserve">proving a </w:t>
      </w:r>
      <w:r>
        <w:rPr>
          <w:rStyle w:val="normaltextrun"/>
          <w:i/>
          <w:iCs/>
          <w:szCs w:val="22"/>
        </w:rPr>
        <w:t>person’s state of mind</w:t>
      </w:r>
      <w:r>
        <w:rPr>
          <w:rStyle w:val="normaltextrun"/>
          <w:szCs w:val="22"/>
        </w:rPr>
        <w:t xml:space="preserve"> about a particular act or omission.</w:t>
      </w:r>
      <w:r>
        <w:rPr>
          <w:rStyle w:val="eop"/>
          <w:szCs w:val="22"/>
        </w:rPr>
        <w:t> </w:t>
      </w:r>
    </w:p>
    <w:p w14:paraId="76C36B82" w14:textId="26ACC4FC" w:rsidR="002419B7" w:rsidRPr="0049431D" w:rsidRDefault="002419B7" w:rsidP="002419B7">
      <w:pPr>
        <w:pStyle w:val="Numberedparagraph"/>
        <w:rPr>
          <w:rStyle w:val="normaltextrun"/>
          <w:rFonts w:ascii="Segoe UI" w:hAnsi="Segoe UI" w:cs="Segoe UI"/>
          <w:sz w:val="18"/>
          <w:szCs w:val="18"/>
        </w:rPr>
      </w:pPr>
      <w:r w:rsidRPr="295230FD">
        <w:rPr>
          <w:rStyle w:val="normaltextrun"/>
        </w:rPr>
        <w:lastRenderedPageBreak/>
        <w:t>The Consultation guide in relation to the draft Bill does not explain the reason for these changes</w:t>
      </w:r>
      <w:r w:rsidR="00B53E22">
        <w:rPr>
          <w:rStyle w:val="normaltextrun"/>
        </w:rPr>
        <w:t>.</w:t>
      </w:r>
    </w:p>
    <w:p w14:paraId="71681F6C" w14:textId="62A2912F" w:rsidR="0049431D" w:rsidRPr="002419B7" w:rsidRDefault="0049431D" w:rsidP="0049431D">
      <w:pPr>
        <w:pStyle w:val="Heading3"/>
        <w:rPr>
          <w:rFonts w:ascii="Segoe UI" w:hAnsi="Segoe UI" w:cs="Segoe UI"/>
          <w:sz w:val="18"/>
          <w:szCs w:val="18"/>
        </w:rPr>
      </w:pPr>
      <w:bookmarkStart w:id="13" w:name="_Toc161917227"/>
      <w:r>
        <w:rPr>
          <w:rStyle w:val="normaltextrun"/>
        </w:rPr>
        <w:t xml:space="preserve">When a person is </w:t>
      </w:r>
      <w:r w:rsidR="00900FC2">
        <w:rPr>
          <w:rStyle w:val="normaltextrun"/>
        </w:rPr>
        <w:t xml:space="preserve">vicariously </w:t>
      </w:r>
      <w:r>
        <w:rPr>
          <w:rStyle w:val="normaltextrun"/>
        </w:rPr>
        <w:t>liable</w:t>
      </w:r>
      <w:r w:rsidR="00340358">
        <w:rPr>
          <w:rStyle w:val="normaltextrun"/>
        </w:rPr>
        <w:t xml:space="preserve"> for others</w:t>
      </w:r>
      <w:bookmarkEnd w:id="13"/>
    </w:p>
    <w:p w14:paraId="0F85AC7E" w14:textId="518E2F00" w:rsidR="007965D7" w:rsidRDefault="007965D7" w:rsidP="000E59AB">
      <w:pPr>
        <w:pStyle w:val="Numberedparagraph"/>
        <w:rPr>
          <w:rFonts w:ascii="Segoe UI" w:hAnsi="Segoe UI" w:cs="Segoe UI"/>
          <w:color w:val="auto"/>
          <w:sz w:val="18"/>
          <w:szCs w:val="18"/>
        </w:rPr>
      </w:pPr>
      <w:r>
        <w:rPr>
          <w:rStyle w:val="normaltextrun"/>
          <w:szCs w:val="22"/>
        </w:rPr>
        <w:t>Clause 96</w:t>
      </w:r>
      <w:r w:rsidR="00740239">
        <w:rPr>
          <w:rStyle w:val="normaltextrun"/>
          <w:szCs w:val="22"/>
        </w:rPr>
        <w:t xml:space="preserve"> of the draft Bill</w:t>
      </w:r>
      <w:r>
        <w:rPr>
          <w:rStyle w:val="normaltextrun"/>
          <w:szCs w:val="22"/>
        </w:rPr>
        <w:t xml:space="preserve"> provides for liability of a </w:t>
      </w:r>
      <w:r>
        <w:rPr>
          <w:rStyle w:val="normaltextrun"/>
          <w:i/>
          <w:iCs/>
          <w:szCs w:val="22"/>
        </w:rPr>
        <w:t>representative</w:t>
      </w:r>
      <w:r>
        <w:rPr>
          <w:rStyle w:val="normaltextrun"/>
          <w:szCs w:val="22"/>
        </w:rPr>
        <w:t xml:space="preserve"> of a person. </w:t>
      </w:r>
      <w:r w:rsidR="000F2620">
        <w:rPr>
          <w:rStyle w:val="normaltextrun"/>
          <w:szCs w:val="22"/>
        </w:rPr>
        <w:t>‘</w:t>
      </w:r>
      <w:r>
        <w:rPr>
          <w:rStyle w:val="normaltextrun"/>
          <w:szCs w:val="22"/>
        </w:rPr>
        <w:t>Representative of a person</w:t>
      </w:r>
      <w:r w:rsidR="000F2620">
        <w:rPr>
          <w:rStyle w:val="normaltextrun"/>
          <w:szCs w:val="22"/>
        </w:rPr>
        <w:t>’</w:t>
      </w:r>
      <w:r>
        <w:rPr>
          <w:rStyle w:val="normaltextrun"/>
          <w:szCs w:val="22"/>
        </w:rPr>
        <w:t xml:space="preserve"> is defined in clause 93 by reference to </w:t>
      </w:r>
      <w:r>
        <w:rPr>
          <w:rStyle w:val="normaltextrun"/>
          <w:i/>
          <w:iCs/>
          <w:szCs w:val="22"/>
        </w:rPr>
        <w:t>employee</w:t>
      </w:r>
      <w:r>
        <w:rPr>
          <w:rStyle w:val="normaltextrun"/>
          <w:szCs w:val="22"/>
        </w:rPr>
        <w:t xml:space="preserve"> and </w:t>
      </w:r>
      <w:r>
        <w:rPr>
          <w:rStyle w:val="normaltextrun"/>
          <w:i/>
          <w:iCs/>
          <w:szCs w:val="22"/>
        </w:rPr>
        <w:t>agent</w:t>
      </w:r>
      <w:r>
        <w:rPr>
          <w:rStyle w:val="normaltextrun"/>
          <w:szCs w:val="22"/>
        </w:rPr>
        <w:t>.</w:t>
      </w:r>
      <w:r w:rsidR="00B273D7">
        <w:rPr>
          <w:rStyle w:val="normaltextrun"/>
          <w:szCs w:val="22"/>
        </w:rPr>
        <w:t xml:space="preserve"> </w:t>
      </w:r>
      <w:r>
        <w:rPr>
          <w:rStyle w:val="eop"/>
          <w:szCs w:val="22"/>
        </w:rPr>
        <w:t> </w:t>
      </w:r>
    </w:p>
    <w:p w14:paraId="16371141" w14:textId="6AACE6EE" w:rsidR="007965D7" w:rsidRDefault="000F2620" w:rsidP="000E59AB">
      <w:pPr>
        <w:pStyle w:val="Numberedparagraph"/>
        <w:rPr>
          <w:rFonts w:ascii="Segoe UI" w:hAnsi="Segoe UI" w:cs="Segoe UI"/>
          <w:sz w:val="18"/>
          <w:szCs w:val="18"/>
        </w:rPr>
      </w:pPr>
      <w:r>
        <w:rPr>
          <w:rStyle w:val="normaltextrun"/>
          <w:szCs w:val="22"/>
        </w:rPr>
        <w:t>‘</w:t>
      </w:r>
      <w:r w:rsidR="007965D7">
        <w:rPr>
          <w:rStyle w:val="normaltextrun"/>
          <w:szCs w:val="22"/>
        </w:rPr>
        <w:t>Employee</w:t>
      </w:r>
      <w:r>
        <w:rPr>
          <w:rStyle w:val="normaltextrun"/>
          <w:szCs w:val="22"/>
        </w:rPr>
        <w:t>’</w:t>
      </w:r>
      <w:r w:rsidR="007965D7">
        <w:rPr>
          <w:rStyle w:val="normaltextrun"/>
          <w:szCs w:val="22"/>
        </w:rPr>
        <w:t xml:space="preserve"> is defined for the purposes of Part 8 (liability) for an </w:t>
      </w:r>
      <w:r w:rsidR="007965D7">
        <w:rPr>
          <w:rStyle w:val="normaltextrun"/>
          <w:i/>
          <w:iCs/>
          <w:szCs w:val="22"/>
        </w:rPr>
        <w:t>entity</w:t>
      </w:r>
      <w:r w:rsidR="007965D7">
        <w:rPr>
          <w:rStyle w:val="normaltextrun"/>
          <w:szCs w:val="22"/>
        </w:rPr>
        <w:t xml:space="preserve"> as including a person engaged by the </w:t>
      </w:r>
      <w:r w:rsidR="007965D7">
        <w:rPr>
          <w:rStyle w:val="normaltextrun"/>
          <w:i/>
          <w:iCs/>
          <w:szCs w:val="22"/>
        </w:rPr>
        <w:t>entity</w:t>
      </w:r>
      <w:r w:rsidR="007965D7">
        <w:rPr>
          <w:rStyle w:val="normaltextrun"/>
          <w:szCs w:val="22"/>
        </w:rPr>
        <w:t xml:space="preserve"> under a contract of service. Entity is not defined in the</w:t>
      </w:r>
      <w:r>
        <w:rPr>
          <w:rStyle w:val="normaltextrun"/>
          <w:szCs w:val="22"/>
        </w:rPr>
        <w:t xml:space="preserve"> draft</w:t>
      </w:r>
      <w:r w:rsidR="007965D7">
        <w:rPr>
          <w:rStyle w:val="normaltextrun"/>
          <w:szCs w:val="22"/>
        </w:rPr>
        <w:t xml:space="preserve"> </w:t>
      </w:r>
      <w:proofErr w:type="gramStart"/>
      <w:r w:rsidR="007965D7">
        <w:rPr>
          <w:rStyle w:val="normaltextrun"/>
          <w:szCs w:val="22"/>
        </w:rPr>
        <w:t>Bill,</w:t>
      </w:r>
      <w:proofErr w:type="gramEnd"/>
      <w:r w:rsidR="007965D7">
        <w:rPr>
          <w:rStyle w:val="normaltextrun"/>
          <w:szCs w:val="22"/>
        </w:rPr>
        <w:t xml:space="preserve"> however </w:t>
      </w:r>
      <w:r w:rsidR="00204121">
        <w:rPr>
          <w:rStyle w:val="normaltextrun"/>
          <w:szCs w:val="22"/>
        </w:rPr>
        <w:t>section 35 of the</w:t>
      </w:r>
      <w:r w:rsidR="007965D7">
        <w:rPr>
          <w:rStyle w:val="normaltextrun"/>
          <w:szCs w:val="22"/>
        </w:rPr>
        <w:t xml:space="preserve"> </w:t>
      </w:r>
      <w:r w:rsidR="007965D7">
        <w:rPr>
          <w:rStyle w:val="normaltextrun"/>
          <w:i/>
          <w:iCs/>
          <w:szCs w:val="22"/>
        </w:rPr>
        <w:t>Acts Interpretation Act 1954</w:t>
      </w:r>
      <w:r w:rsidR="007965D7">
        <w:rPr>
          <w:rStyle w:val="normaltextrun"/>
          <w:szCs w:val="22"/>
        </w:rPr>
        <w:t xml:space="preserve"> </w:t>
      </w:r>
      <w:r w:rsidR="00EA1763">
        <w:rPr>
          <w:rStyle w:val="normaltextrun"/>
          <w:szCs w:val="22"/>
        </w:rPr>
        <w:t xml:space="preserve">(Qld) </w:t>
      </w:r>
      <w:r w:rsidR="007965D7">
        <w:rPr>
          <w:rStyle w:val="normaltextrun"/>
          <w:szCs w:val="22"/>
        </w:rPr>
        <w:t>provides that a reference in an Act to an entity is a reference to an entity in and for Queensland.</w:t>
      </w:r>
      <w:r w:rsidR="007965D7">
        <w:rPr>
          <w:rStyle w:val="eop"/>
          <w:szCs w:val="22"/>
        </w:rPr>
        <w:t> </w:t>
      </w:r>
    </w:p>
    <w:p w14:paraId="0D8D5821" w14:textId="1F3C482E" w:rsidR="007965D7" w:rsidRPr="00E84B1B" w:rsidRDefault="007965D7" w:rsidP="000E59AB">
      <w:pPr>
        <w:pStyle w:val="Numberedparagraph"/>
        <w:rPr>
          <w:rFonts w:ascii="Segoe UI" w:hAnsi="Segoe UI" w:cs="Segoe UI"/>
          <w:sz w:val="18"/>
          <w:szCs w:val="18"/>
        </w:rPr>
      </w:pPr>
      <w:r>
        <w:rPr>
          <w:rStyle w:val="normaltextrun"/>
          <w:szCs w:val="22"/>
        </w:rPr>
        <w:t xml:space="preserve">The meaning of </w:t>
      </w:r>
      <w:r w:rsidR="002127C1">
        <w:rPr>
          <w:rStyle w:val="normaltextrun"/>
          <w:szCs w:val="22"/>
        </w:rPr>
        <w:t>‘</w:t>
      </w:r>
      <w:r>
        <w:rPr>
          <w:rStyle w:val="normaltextrun"/>
          <w:szCs w:val="22"/>
        </w:rPr>
        <w:t>agent</w:t>
      </w:r>
      <w:r w:rsidR="002127C1">
        <w:rPr>
          <w:rStyle w:val="normaltextrun"/>
          <w:szCs w:val="22"/>
        </w:rPr>
        <w:t>’</w:t>
      </w:r>
      <w:r>
        <w:rPr>
          <w:rStyle w:val="normaltextrun"/>
          <w:szCs w:val="22"/>
        </w:rPr>
        <w:t xml:space="preserve"> is defined in the dictionary to mean a person who has </w:t>
      </w:r>
      <w:r>
        <w:rPr>
          <w:rStyle w:val="normaltextrun"/>
          <w:i/>
          <w:iCs/>
          <w:szCs w:val="22"/>
        </w:rPr>
        <w:t>actual, implied, or ostensible authority</w:t>
      </w:r>
      <w:r>
        <w:rPr>
          <w:rStyle w:val="normaltextrun"/>
          <w:szCs w:val="22"/>
        </w:rPr>
        <w:t xml:space="preserve"> to act on behalf of another.</w:t>
      </w:r>
      <w:r w:rsidR="005A71A5">
        <w:rPr>
          <w:rStyle w:val="eop"/>
          <w:szCs w:val="22"/>
        </w:rPr>
        <w:t xml:space="preserve"> </w:t>
      </w:r>
      <w:r w:rsidRPr="00E84B1B">
        <w:rPr>
          <w:rStyle w:val="normaltextrun"/>
          <w:szCs w:val="22"/>
        </w:rPr>
        <w:t xml:space="preserve">However, clause 96 limits liability to acts or omissions within the scope of the representative’s </w:t>
      </w:r>
      <w:r w:rsidRPr="00E84B1B">
        <w:rPr>
          <w:rStyle w:val="normaltextrun"/>
          <w:i/>
          <w:iCs/>
          <w:szCs w:val="22"/>
        </w:rPr>
        <w:t>actual or apparent authority</w:t>
      </w:r>
      <w:r w:rsidRPr="00E84B1B">
        <w:rPr>
          <w:rStyle w:val="normaltextrun"/>
          <w:szCs w:val="22"/>
        </w:rPr>
        <w:t>.</w:t>
      </w:r>
      <w:r w:rsidRPr="00E84B1B">
        <w:rPr>
          <w:rStyle w:val="eop"/>
          <w:szCs w:val="22"/>
        </w:rPr>
        <w:t> </w:t>
      </w:r>
    </w:p>
    <w:p w14:paraId="53AED7CF" w14:textId="344E7E12" w:rsidR="001C1387" w:rsidRPr="00A00BCC" w:rsidRDefault="009B4155" w:rsidP="000E59AB">
      <w:pPr>
        <w:pStyle w:val="Numberedparagraph"/>
        <w:rPr>
          <w:rStyle w:val="normaltextrun"/>
          <w:rFonts w:ascii="Segoe UI" w:hAnsi="Segoe UI" w:cs="Segoe UI"/>
          <w:sz w:val="18"/>
          <w:szCs w:val="18"/>
        </w:rPr>
      </w:pPr>
      <w:r>
        <w:rPr>
          <w:rStyle w:val="normaltextrun"/>
          <w:szCs w:val="22"/>
        </w:rPr>
        <w:t>There is</w:t>
      </w:r>
      <w:r w:rsidR="001C1387" w:rsidRPr="001C1387">
        <w:rPr>
          <w:rStyle w:val="normaltextrun"/>
          <w:szCs w:val="22"/>
        </w:rPr>
        <w:t xml:space="preserve"> clear </w:t>
      </w:r>
      <w:r>
        <w:rPr>
          <w:rStyle w:val="normaltextrun"/>
          <w:szCs w:val="22"/>
        </w:rPr>
        <w:t xml:space="preserve">Queensland </w:t>
      </w:r>
      <w:r w:rsidR="001C1387" w:rsidRPr="001C1387">
        <w:rPr>
          <w:rStyle w:val="normaltextrun"/>
          <w:szCs w:val="22"/>
        </w:rPr>
        <w:t xml:space="preserve">jurisprudence on the meaning of </w:t>
      </w:r>
      <w:r w:rsidR="004465FA">
        <w:rPr>
          <w:rStyle w:val="normaltextrun"/>
          <w:szCs w:val="22"/>
        </w:rPr>
        <w:t>‘</w:t>
      </w:r>
      <w:r w:rsidR="001C1387" w:rsidRPr="00ED1E7D">
        <w:rPr>
          <w:rStyle w:val="normaltextrun"/>
          <w:szCs w:val="22"/>
        </w:rPr>
        <w:t>in the course of work</w:t>
      </w:r>
      <w:r w:rsidR="004465FA">
        <w:rPr>
          <w:rStyle w:val="normaltextrun"/>
          <w:szCs w:val="22"/>
        </w:rPr>
        <w:t>’</w:t>
      </w:r>
      <w:r w:rsidR="001C1387" w:rsidRPr="001C1387">
        <w:rPr>
          <w:rStyle w:val="normaltextrun"/>
          <w:szCs w:val="22"/>
        </w:rPr>
        <w:t>.</w:t>
      </w:r>
      <w:r w:rsidR="00916D84">
        <w:rPr>
          <w:rStyle w:val="FootnoteReference"/>
          <w:szCs w:val="22"/>
        </w:rPr>
        <w:footnoteReference w:id="8"/>
      </w:r>
      <w:r w:rsidR="001C1387" w:rsidRPr="001C1387">
        <w:rPr>
          <w:rStyle w:val="normaltextrun"/>
          <w:szCs w:val="22"/>
        </w:rPr>
        <w:t xml:space="preserve"> The words are construed broadly, and their interpretation is not confined to analogies from the law of vicarious liability in tort. The expression </w:t>
      </w:r>
      <w:r w:rsidR="00CE4ADF">
        <w:rPr>
          <w:rStyle w:val="normaltextrun"/>
          <w:szCs w:val="22"/>
        </w:rPr>
        <w:t>‘</w:t>
      </w:r>
      <w:r w:rsidR="001C1387" w:rsidRPr="00ED1E7D">
        <w:rPr>
          <w:rStyle w:val="normaltextrun"/>
          <w:szCs w:val="22"/>
        </w:rPr>
        <w:t>acting as agent</w:t>
      </w:r>
      <w:r w:rsidR="00CE4ADF">
        <w:rPr>
          <w:rStyle w:val="normaltextrun"/>
          <w:szCs w:val="22"/>
        </w:rPr>
        <w:t>’</w:t>
      </w:r>
      <w:r w:rsidR="001C1387" w:rsidRPr="001C1387">
        <w:rPr>
          <w:rStyle w:val="normaltextrun"/>
          <w:i/>
          <w:iCs/>
          <w:szCs w:val="22"/>
        </w:rPr>
        <w:t xml:space="preserve"> </w:t>
      </w:r>
      <w:r w:rsidR="001C1387" w:rsidRPr="001C1387">
        <w:rPr>
          <w:rStyle w:val="normaltextrun"/>
          <w:szCs w:val="22"/>
        </w:rPr>
        <w:t>does not require connection with the performance of work, merely the existence of an agency, and whether the conduct was within some perceived scope of apparent or ostensible authority is not an element for deciding vicarious liability.</w:t>
      </w:r>
      <w:r w:rsidR="00AA120C">
        <w:rPr>
          <w:rStyle w:val="FootnoteReference"/>
          <w:szCs w:val="22"/>
        </w:rPr>
        <w:footnoteReference w:id="9"/>
      </w:r>
    </w:p>
    <w:p w14:paraId="40D5A226" w14:textId="45DC9D27" w:rsidR="001C1387" w:rsidRPr="000A132B" w:rsidRDefault="001C1387" w:rsidP="000E59AB">
      <w:pPr>
        <w:pStyle w:val="Numberedparagraph"/>
        <w:rPr>
          <w:rStyle w:val="eop"/>
          <w:rFonts w:ascii="Segoe UI" w:hAnsi="Segoe UI" w:cs="Segoe UI"/>
          <w:sz w:val="18"/>
          <w:szCs w:val="18"/>
        </w:rPr>
      </w:pPr>
      <w:r w:rsidRPr="001C1387">
        <w:rPr>
          <w:rStyle w:val="normaltextrun"/>
          <w:szCs w:val="22"/>
        </w:rPr>
        <w:t xml:space="preserve">The changes to vicarious liability in clauses 93 to 96 would limit the current broad coverage of liability for the conduct of a person’s workers or agents. The limitation is inconsistent with the government’s stated purpose of the </w:t>
      </w:r>
      <w:r w:rsidR="002C1995">
        <w:rPr>
          <w:rStyle w:val="normaltextrun"/>
          <w:szCs w:val="22"/>
        </w:rPr>
        <w:t xml:space="preserve">draft </w:t>
      </w:r>
      <w:r w:rsidRPr="001C1387">
        <w:rPr>
          <w:rStyle w:val="normaltextrun"/>
          <w:szCs w:val="22"/>
        </w:rPr>
        <w:t>Bill to protect people more effectively from discrimination, sexual harassment, vilification and victimisation and other unlawful conduct.</w:t>
      </w:r>
      <w:r w:rsidRPr="001C1387">
        <w:rPr>
          <w:rStyle w:val="eop"/>
          <w:szCs w:val="22"/>
        </w:rPr>
        <w:t> </w:t>
      </w:r>
    </w:p>
    <w:p w14:paraId="5A5DB3A4" w14:textId="77777777" w:rsidR="000A132B" w:rsidRPr="00757E07" w:rsidRDefault="000A132B" w:rsidP="000E59AB">
      <w:pPr>
        <w:pStyle w:val="Numberedparagraph"/>
        <w:rPr>
          <w:rStyle w:val="normaltextrun"/>
          <w:rFonts w:ascii="Segoe UI" w:hAnsi="Segoe UI" w:cs="Segoe UI"/>
          <w:sz w:val="18"/>
          <w:szCs w:val="18"/>
        </w:rPr>
      </w:pPr>
      <w:r>
        <w:rPr>
          <w:rStyle w:val="normaltextrun"/>
          <w:szCs w:val="22"/>
        </w:rPr>
        <w:t xml:space="preserve">The new phrasing is likely to limit the liability of organisations where a worker has done something that is clearly not within the scope of their work tasks, such as when an employee has sexually assaulted another employee on work premises. </w:t>
      </w:r>
    </w:p>
    <w:p w14:paraId="0AD7B0F7" w14:textId="77777777" w:rsidR="00757E07" w:rsidRPr="009F4DD8" w:rsidRDefault="00757E07" w:rsidP="00757E07">
      <w:pPr>
        <w:pStyle w:val="Heading3"/>
      </w:pPr>
      <w:bookmarkStart w:id="14" w:name="_Toc161917228"/>
      <w:r>
        <w:t>Reasonable steps defence</w:t>
      </w:r>
      <w:bookmarkEnd w:id="14"/>
    </w:p>
    <w:p w14:paraId="0D596248" w14:textId="77777777" w:rsidR="001C1387" w:rsidRPr="009B4155" w:rsidRDefault="001C1387" w:rsidP="000E59AB">
      <w:pPr>
        <w:pStyle w:val="Numberedparagraph"/>
        <w:rPr>
          <w:rStyle w:val="eop"/>
          <w:rFonts w:ascii="Segoe UI" w:hAnsi="Segoe UI" w:cs="Segoe UI"/>
          <w:sz w:val="18"/>
          <w:szCs w:val="18"/>
        </w:rPr>
      </w:pPr>
      <w:r w:rsidRPr="001C1387">
        <w:rPr>
          <w:rStyle w:val="normaltextrun"/>
          <w:szCs w:val="22"/>
        </w:rPr>
        <w:t>As to the defence</w:t>
      </w:r>
      <w:r w:rsidR="000A132B">
        <w:rPr>
          <w:rStyle w:val="normaltextrun"/>
          <w:szCs w:val="22"/>
        </w:rPr>
        <w:t xml:space="preserve"> in clause 96</w:t>
      </w:r>
      <w:r w:rsidRPr="001C1387">
        <w:rPr>
          <w:rStyle w:val="normaltextrun"/>
          <w:szCs w:val="22"/>
        </w:rPr>
        <w:t xml:space="preserve">, there is also no basis for changing the existing defence of taking reasonable steps to </w:t>
      </w:r>
      <w:r w:rsidRPr="001C1387">
        <w:rPr>
          <w:rStyle w:val="normaltextrun"/>
          <w:i/>
          <w:iCs/>
          <w:szCs w:val="22"/>
        </w:rPr>
        <w:t>exercising reasonable diligence</w:t>
      </w:r>
      <w:r w:rsidRPr="001C1387">
        <w:rPr>
          <w:rStyle w:val="normaltextrun"/>
          <w:szCs w:val="22"/>
        </w:rPr>
        <w:t>. The latter expression is less likely to be understood by those who have a duty to prevent contraventions of the Act.</w:t>
      </w:r>
      <w:r w:rsidRPr="001C1387">
        <w:rPr>
          <w:rStyle w:val="eop"/>
          <w:szCs w:val="22"/>
        </w:rPr>
        <w:t> </w:t>
      </w:r>
      <w:r w:rsidR="00943A87">
        <w:rPr>
          <w:rStyle w:val="eop"/>
          <w:szCs w:val="22"/>
        </w:rPr>
        <w:t xml:space="preserve">It is also </w:t>
      </w:r>
      <w:r w:rsidR="00F713EF">
        <w:rPr>
          <w:rStyle w:val="eop"/>
          <w:szCs w:val="22"/>
        </w:rPr>
        <w:t>in</w:t>
      </w:r>
      <w:r w:rsidR="00943A87">
        <w:rPr>
          <w:rStyle w:val="eop"/>
          <w:szCs w:val="22"/>
        </w:rPr>
        <w:t xml:space="preserve">congruent with </w:t>
      </w:r>
      <w:r w:rsidR="00D17FC7">
        <w:rPr>
          <w:rStyle w:val="eop"/>
          <w:szCs w:val="22"/>
        </w:rPr>
        <w:t xml:space="preserve">the new positive duty in </w:t>
      </w:r>
      <w:r w:rsidR="00D17FC7">
        <w:rPr>
          <w:rStyle w:val="eop"/>
          <w:szCs w:val="22"/>
        </w:rPr>
        <w:lastRenderedPageBreak/>
        <w:t>clause 19 of the Bill which requires taking ‘reasonable and proportionate measures.’</w:t>
      </w:r>
    </w:p>
    <w:p w14:paraId="391C0A4C" w14:textId="6F4FB5E2" w:rsidR="009B4155" w:rsidRPr="00D036F2" w:rsidRDefault="009B4155" w:rsidP="000E59AB">
      <w:pPr>
        <w:pStyle w:val="Numberedparagraph"/>
        <w:rPr>
          <w:rStyle w:val="eop"/>
          <w:rFonts w:ascii="Segoe UI" w:hAnsi="Segoe UI" w:cs="Segoe UI"/>
          <w:sz w:val="18"/>
          <w:szCs w:val="18"/>
        </w:rPr>
      </w:pPr>
      <w:r>
        <w:rPr>
          <w:rStyle w:val="eop"/>
          <w:szCs w:val="22"/>
        </w:rPr>
        <w:t xml:space="preserve">Further, there is helpful case law </w:t>
      </w:r>
      <w:r w:rsidR="009D0A3A">
        <w:rPr>
          <w:rStyle w:val="eop"/>
          <w:szCs w:val="22"/>
        </w:rPr>
        <w:t>in Queensland</w:t>
      </w:r>
      <w:r w:rsidR="00853DDE">
        <w:rPr>
          <w:rStyle w:val="FootnoteReference"/>
          <w:szCs w:val="22"/>
        </w:rPr>
        <w:footnoteReference w:id="10"/>
      </w:r>
      <w:r w:rsidR="009D0A3A">
        <w:rPr>
          <w:rStyle w:val="eop"/>
          <w:szCs w:val="22"/>
        </w:rPr>
        <w:t xml:space="preserve"> that assists duty holders to understand their obligations</w:t>
      </w:r>
      <w:r w:rsidR="003E1624">
        <w:rPr>
          <w:rStyle w:val="eop"/>
          <w:szCs w:val="22"/>
        </w:rPr>
        <w:t xml:space="preserve"> to take ‘reasonable steps’</w:t>
      </w:r>
      <w:r w:rsidR="002052A5">
        <w:rPr>
          <w:rStyle w:val="eop"/>
          <w:szCs w:val="22"/>
        </w:rPr>
        <w:t xml:space="preserve">, depending on the </w:t>
      </w:r>
      <w:r w:rsidR="00853DDE">
        <w:rPr>
          <w:rStyle w:val="eop"/>
          <w:szCs w:val="22"/>
        </w:rPr>
        <w:t>size and capacity of the employer</w:t>
      </w:r>
      <w:r w:rsidR="002052A5">
        <w:rPr>
          <w:rStyle w:val="eop"/>
          <w:szCs w:val="22"/>
        </w:rPr>
        <w:t>.</w:t>
      </w:r>
      <w:r w:rsidR="00763199">
        <w:rPr>
          <w:rStyle w:val="eop"/>
          <w:szCs w:val="22"/>
        </w:rPr>
        <w:t xml:space="preserve"> This case law </w:t>
      </w:r>
      <w:r w:rsidR="00F713EF">
        <w:rPr>
          <w:rStyle w:val="eop"/>
          <w:szCs w:val="22"/>
        </w:rPr>
        <w:t xml:space="preserve">may no longer be </w:t>
      </w:r>
      <w:r w:rsidR="003F03E4">
        <w:rPr>
          <w:rStyle w:val="eop"/>
          <w:szCs w:val="22"/>
        </w:rPr>
        <w:t xml:space="preserve">relied upon </w:t>
      </w:r>
      <w:r w:rsidR="00F713EF">
        <w:rPr>
          <w:rStyle w:val="eop"/>
          <w:szCs w:val="22"/>
        </w:rPr>
        <w:t>if the words change from ‘reasonable steps’ to ‘reasonable diligence’.</w:t>
      </w:r>
    </w:p>
    <w:p w14:paraId="0FACAFE7" w14:textId="673F0A4C" w:rsidR="00757E07" w:rsidRDefault="00757E07" w:rsidP="00757E07">
      <w:pPr>
        <w:pStyle w:val="Numberedparagraph"/>
      </w:pPr>
      <w:r>
        <w:t>All Australian discrimination laws contain a defence to liability for a worker or agent’s contravention of the Act. The QHRC is concerned that the new provisions are out of step with most vicarious liability provisions in state and federal discrimination laws in Australia.</w:t>
      </w:r>
    </w:p>
    <w:p w14:paraId="6EE4DEEC" w14:textId="3BE7EB6E" w:rsidR="00757E07" w:rsidRDefault="00757E07" w:rsidP="00757E07">
      <w:pPr>
        <w:pStyle w:val="Numberedparagraph"/>
      </w:pPr>
      <w:r>
        <w:t xml:space="preserve">The QHRC was unable to identify any </w:t>
      </w:r>
      <w:r w:rsidR="00B17144">
        <w:t>jurisdictions</w:t>
      </w:r>
      <w:r>
        <w:t xml:space="preserve"> of where </w:t>
      </w:r>
      <w:r w:rsidR="00B17144">
        <w:t>'due diligence'</w:t>
      </w:r>
      <w:r>
        <w:t xml:space="preserve"> was </w:t>
      </w:r>
      <w:r w:rsidR="00B17144">
        <w:t>the wording</w:t>
      </w:r>
      <w:r>
        <w:t xml:space="preserve"> of </w:t>
      </w:r>
      <w:r w:rsidR="00B17144">
        <w:t>the defence</w:t>
      </w:r>
      <w:r>
        <w:t xml:space="preserve"> to vicarious liability.</w:t>
      </w:r>
      <w:r w:rsidR="002A4F64">
        <w:rPr>
          <w:rStyle w:val="FootnoteReference"/>
        </w:rPr>
        <w:footnoteReference w:id="11"/>
      </w:r>
      <w:r w:rsidR="00B17144">
        <w:t xml:space="preserve"> </w:t>
      </w:r>
    </w:p>
    <w:p w14:paraId="12C89416" w14:textId="256C80E7" w:rsidR="00757E07" w:rsidRDefault="00757E07" w:rsidP="00757E07">
      <w:pPr>
        <w:pStyle w:val="Numberedparagraph"/>
      </w:pPr>
      <w:r>
        <w:t xml:space="preserve">The majority of vicarious liability provisions </w:t>
      </w:r>
      <w:r w:rsidR="00A05D42">
        <w:t>in state or federal laws</w:t>
      </w:r>
      <w:r>
        <w:t xml:space="preserve"> either contain the words ‘reasonable steps’ or ‘all reasonable </w:t>
      </w:r>
      <w:proofErr w:type="gramStart"/>
      <w:r>
        <w:t>steps’</w:t>
      </w:r>
      <w:proofErr w:type="gramEnd"/>
      <w:r>
        <w:t xml:space="preserve">. Like section 133(2) of the current Queensland Act, taking ‘reasonable steps’ is a defence under </w:t>
      </w:r>
      <w:r w:rsidR="00304F5E">
        <w:t>Tasmanian</w:t>
      </w:r>
      <w:r w:rsidR="00304F5E">
        <w:rPr>
          <w:rStyle w:val="FootnoteReference"/>
        </w:rPr>
        <w:footnoteReference w:id="12"/>
      </w:r>
      <w:r>
        <w:t xml:space="preserve"> and </w:t>
      </w:r>
      <w:r w:rsidR="00304F5E">
        <w:t>South Australian</w:t>
      </w:r>
      <w:r w:rsidR="00304F5E">
        <w:rPr>
          <w:rStyle w:val="FootnoteReference"/>
        </w:rPr>
        <w:footnoteReference w:id="13"/>
      </w:r>
      <w:r w:rsidR="00304F5E">
        <w:t xml:space="preserve"> laws.</w:t>
      </w:r>
      <w:r>
        <w:t xml:space="preserve"> Taking ‘</w:t>
      </w:r>
      <w:r w:rsidRPr="009F4DD8">
        <w:rPr>
          <w:i/>
          <w:iCs/>
        </w:rPr>
        <w:t>all</w:t>
      </w:r>
      <w:r>
        <w:t xml:space="preserve"> reasonable steps’ (emphasis added) is a defence under </w:t>
      </w:r>
      <w:r w:rsidR="00304F5E">
        <w:t>N</w:t>
      </w:r>
      <w:r w:rsidR="00F74867">
        <w:t xml:space="preserve">ew </w:t>
      </w:r>
      <w:r w:rsidR="00304F5E">
        <w:t>S</w:t>
      </w:r>
      <w:r w:rsidR="00F74867">
        <w:t xml:space="preserve">outh </w:t>
      </w:r>
      <w:r w:rsidR="00304F5E">
        <w:t>W</w:t>
      </w:r>
      <w:r w:rsidR="00F74867">
        <w:t>ales</w:t>
      </w:r>
      <w:r w:rsidR="00304F5E">
        <w:t>, Western Australian, Northern Territory, ACT</w:t>
      </w:r>
      <w:r w:rsidR="00EF6C1F">
        <w:t xml:space="preserve"> laws, and under the federal </w:t>
      </w:r>
      <w:r w:rsidR="00594025">
        <w:t>race</w:t>
      </w:r>
      <w:r>
        <w:t xml:space="preserve"> and </w:t>
      </w:r>
      <w:r w:rsidR="00594025">
        <w:t>sex discrimination laws.</w:t>
      </w:r>
      <w:r w:rsidR="00594025">
        <w:rPr>
          <w:rStyle w:val="FootnoteReference"/>
        </w:rPr>
        <w:footnoteReference w:id="14"/>
      </w:r>
      <w:r>
        <w:t xml:space="preserve"> </w:t>
      </w:r>
      <w:r w:rsidR="002C4040">
        <w:t>Victorian legislation</w:t>
      </w:r>
      <w:r>
        <w:t xml:space="preserve"> provides a similar exception to vicarious liability where the employer or principal took ‘reasonable precautions’ to prevent the contravention.</w:t>
      </w:r>
      <w:r w:rsidR="002C4040">
        <w:rPr>
          <w:rStyle w:val="FootnoteReference"/>
        </w:rPr>
        <w:footnoteReference w:id="15"/>
      </w:r>
      <w:r>
        <w:t xml:space="preserve"> </w:t>
      </w:r>
    </w:p>
    <w:p w14:paraId="3AC38ADA" w14:textId="61DD6D0F" w:rsidR="00D036F2" w:rsidRPr="001C1387" w:rsidRDefault="008E0879" w:rsidP="004D31A4">
      <w:pPr>
        <w:pStyle w:val="Numberedparagraph"/>
        <w:rPr>
          <w:rFonts w:ascii="Segoe UI" w:hAnsi="Segoe UI" w:cs="Segoe UI"/>
          <w:sz w:val="18"/>
          <w:szCs w:val="18"/>
        </w:rPr>
      </w:pPr>
      <w:r>
        <w:rPr>
          <w:rStyle w:val="eop"/>
          <w:szCs w:val="22"/>
        </w:rPr>
        <w:t xml:space="preserve">In addition, </w:t>
      </w:r>
      <w:r w:rsidR="004044F9">
        <w:rPr>
          <w:rStyle w:val="eop"/>
          <w:szCs w:val="22"/>
        </w:rPr>
        <w:t>t</w:t>
      </w:r>
      <w:r w:rsidR="002C4040">
        <w:rPr>
          <w:rStyle w:val="eop"/>
          <w:szCs w:val="22"/>
        </w:rPr>
        <w:t xml:space="preserve">he current drafting </w:t>
      </w:r>
      <w:r w:rsidR="005C5B4E">
        <w:rPr>
          <w:rStyle w:val="eop"/>
          <w:szCs w:val="22"/>
        </w:rPr>
        <w:t xml:space="preserve">includes a section </w:t>
      </w:r>
      <w:r w:rsidR="00A156FE">
        <w:rPr>
          <w:rStyle w:val="eop"/>
          <w:szCs w:val="22"/>
        </w:rPr>
        <w:t>regarding proof of a person’s state of mind about a particular act or omission.</w:t>
      </w:r>
      <w:r w:rsidR="00A156FE">
        <w:rPr>
          <w:rStyle w:val="FootnoteReference"/>
          <w:szCs w:val="22"/>
        </w:rPr>
        <w:footnoteReference w:id="16"/>
      </w:r>
      <w:r w:rsidR="00A156FE">
        <w:rPr>
          <w:rStyle w:val="eop"/>
          <w:szCs w:val="22"/>
        </w:rPr>
        <w:t xml:space="preserve"> </w:t>
      </w:r>
      <w:r w:rsidR="002C4040">
        <w:rPr>
          <w:rStyle w:val="eop"/>
          <w:szCs w:val="22"/>
        </w:rPr>
        <w:t>P</w:t>
      </w:r>
      <w:r w:rsidR="00621239">
        <w:rPr>
          <w:rStyle w:val="eop"/>
          <w:szCs w:val="22"/>
        </w:rPr>
        <w:t xml:space="preserve">roving </w:t>
      </w:r>
      <w:r w:rsidR="004D31A4">
        <w:rPr>
          <w:rStyle w:val="eop"/>
          <w:szCs w:val="22"/>
        </w:rPr>
        <w:t>a</w:t>
      </w:r>
      <w:r w:rsidR="00D036F2">
        <w:rPr>
          <w:rStyle w:val="eop"/>
          <w:szCs w:val="22"/>
        </w:rPr>
        <w:t xml:space="preserve"> person’s state of mind about a particular act or omission</w:t>
      </w:r>
      <w:r w:rsidR="004D31A4">
        <w:rPr>
          <w:rStyle w:val="eop"/>
          <w:szCs w:val="22"/>
        </w:rPr>
        <w:t xml:space="preserve"> is rarely relevant</w:t>
      </w:r>
      <w:r w:rsidR="002C4040">
        <w:rPr>
          <w:rStyle w:val="eop"/>
          <w:szCs w:val="22"/>
        </w:rPr>
        <w:t xml:space="preserve"> </w:t>
      </w:r>
      <w:r w:rsidR="0053148E">
        <w:rPr>
          <w:rStyle w:val="eop"/>
          <w:szCs w:val="22"/>
        </w:rPr>
        <w:t>in</w:t>
      </w:r>
      <w:r w:rsidR="002C4040">
        <w:rPr>
          <w:rStyle w:val="eop"/>
          <w:szCs w:val="22"/>
        </w:rPr>
        <w:t xml:space="preserve"> </w:t>
      </w:r>
      <w:r w:rsidR="0053148E">
        <w:rPr>
          <w:rStyle w:val="eop"/>
          <w:szCs w:val="22"/>
        </w:rPr>
        <w:t>anti-</w:t>
      </w:r>
      <w:r w:rsidR="002C4040">
        <w:rPr>
          <w:rStyle w:val="eop"/>
          <w:szCs w:val="22"/>
        </w:rPr>
        <w:t>discrimination law</w:t>
      </w:r>
      <w:r w:rsidR="00670AD8">
        <w:rPr>
          <w:rStyle w:val="eop"/>
          <w:szCs w:val="22"/>
        </w:rPr>
        <w:t xml:space="preserve">, particularly as </w:t>
      </w:r>
      <w:r w:rsidR="00F80FE6">
        <w:rPr>
          <w:rStyle w:val="eop"/>
          <w:szCs w:val="22"/>
        </w:rPr>
        <w:t xml:space="preserve">a person’s </w:t>
      </w:r>
      <w:r w:rsidR="000572BE">
        <w:rPr>
          <w:rStyle w:val="eop"/>
          <w:szCs w:val="22"/>
        </w:rPr>
        <w:t>motivation</w:t>
      </w:r>
      <w:r w:rsidR="00F80FE6">
        <w:rPr>
          <w:rStyle w:val="eop"/>
          <w:szCs w:val="22"/>
        </w:rPr>
        <w:t xml:space="preserve"> for discrimination and whether they are </w:t>
      </w:r>
      <w:r w:rsidR="00F80FE6">
        <w:rPr>
          <w:rStyle w:val="eop"/>
          <w:szCs w:val="22"/>
        </w:rPr>
        <w:lastRenderedPageBreak/>
        <w:t xml:space="preserve">aware of the discrimination </w:t>
      </w:r>
      <w:r w:rsidR="00A951D4">
        <w:rPr>
          <w:rStyle w:val="eop"/>
          <w:szCs w:val="22"/>
        </w:rPr>
        <w:t>do not matter</w:t>
      </w:r>
      <w:r w:rsidR="00F80FE6">
        <w:rPr>
          <w:rStyle w:val="eop"/>
          <w:szCs w:val="22"/>
        </w:rPr>
        <w:t>.</w:t>
      </w:r>
      <w:r w:rsidR="00A951D4">
        <w:rPr>
          <w:rStyle w:val="FootnoteReference"/>
          <w:szCs w:val="22"/>
        </w:rPr>
        <w:footnoteReference w:id="17"/>
      </w:r>
      <w:r w:rsidR="00F80FE6">
        <w:rPr>
          <w:rStyle w:val="eop"/>
          <w:szCs w:val="22"/>
        </w:rPr>
        <w:t xml:space="preserve"> One exception may be in relation to </w:t>
      </w:r>
      <w:r w:rsidR="004B38AD">
        <w:rPr>
          <w:noProof/>
        </w:rPr>
        <mc:AlternateContent>
          <mc:Choice Requires="wps">
            <w:drawing>
              <wp:anchor distT="0" distB="0" distL="114300" distR="114300" simplePos="0" relativeHeight="251658241" behindDoc="1" locked="0" layoutInCell="1" allowOverlap="1" wp14:anchorId="648013B0" wp14:editId="425DE54E">
                <wp:simplePos x="0" y="0"/>
                <wp:positionH relativeFrom="margin">
                  <wp:align>left</wp:align>
                </wp:positionH>
                <wp:positionV relativeFrom="paragraph">
                  <wp:posOffset>433070</wp:posOffset>
                </wp:positionV>
                <wp:extent cx="5419725" cy="962025"/>
                <wp:effectExtent l="0" t="0" r="9525" b="9525"/>
                <wp:wrapNone/>
                <wp:docPr id="1120286727" name="Rectangle 2"/>
                <wp:cNvGraphicFramePr/>
                <a:graphic xmlns:a="http://schemas.openxmlformats.org/drawingml/2006/main">
                  <a:graphicData uri="http://schemas.microsoft.com/office/word/2010/wordprocessingShape">
                    <wps:wsp>
                      <wps:cNvSpPr/>
                      <wps:spPr>
                        <a:xfrm>
                          <a:off x="0" y="0"/>
                          <a:ext cx="5419725" cy="962025"/>
                        </a:xfrm>
                        <a:prstGeom prst="rect">
                          <a:avLst/>
                        </a:prstGeom>
                        <a:solidFill>
                          <a:srgbClr val="0042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49C129" id="Rectangle 2" o:spid="_x0000_s1026" style="position:absolute;margin-left:0;margin-top:34.1pt;width:426.75pt;height:75.75pt;z-index:-25165823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V9iZwIAAEoFAAAOAAAAZHJzL2Uyb0RvYy54bWysVF9r2zAQfx/sOwi9r469tF1DnRJSMgal&#10;LWtHnxVZSgyyTjspcbJPv5PsOFlXKIy9SHe63/2/0/XNrjFsq9DXYEuen404U1ZCVdtVyX88Lz59&#10;4cwHYSthwKqS75XnN9OPH65bN1EFrMFUChkZsX7SupKvQ3CTLPNyrRrhz8ApS0IN2IhALK6yCkVL&#10;1huTFaPRRdYCVg5BKu/p9bYT8mmyr7WS4UFrrwIzJafYQjoxnct4ZtNrMVmhcOta9mGIf4iiEbUl&#10;p4OpWxEE22D9l6mmlggedDiT0GSgdS1VyoGyyUevsnlaC6dSLlQc74Yy+f9nVt5vn9wjUhla5yee&#10;yJjFTmMTb4qP7VKx9kOx1C4wSY/n4/zqsjjnTJLs6qIYEU1msqO2Qx++KmhYJEqO1IxUI7G986GD&#10;HiDRmQdTV4vamMTgajk3yLYiNm40Li5Tr8j6HzBjI9hCVOssdi8qtb53c8wsUWFvVNQy9rvSrK4o&#10;lzzFlYZODV6FlMqGvE8qoaOaJleD4uf3FXt8VO2iGpSL95UHjeQZbBiUm9oCvmXADCHrDk89Ock7&#10;kkuo9o/IELp18E4uamrRnfDhUSDNP20K7XR4oEMbaEsOPcXZGvDXW+8RT2NJUs5a2qeS+58bgYoz&#10;883SwF7l43FcwMSMzy8LYvBUsjyV2E0zB+p8Tr+Hk4mM+GAOpEZoXmj1Z9EriYSV5LvkMuCBmYdu&#10;z+nzkGo2SzBaOifCnX1y8tD1OILPuxeBrp/TQBN+D4fdE5NX49phYz8szDYBdJ1m+VjXvt60sGkb&#10;+s8l/ginfEIdv8DpbwAAAP//AwBQSwMEFAAGAAgAAAAhAM0R7yHeAAAABwEAAA8AAABkcnMvZG93&#10;bnJldi54bWxMj09Lw0AUxO+C32F5gje7aUprEvNSpNBLQcEonrfZlz82+zZkt0367V1P9jjMMPOb&#10;fDubXlxodJ1lhOUiAkFcWd1xg/D1uX9KQDivWKveMiFcycG2uL/LVabtxB90KX0jQgm7TCG03g+Z&#10;lK5qySi3sANx8Go7GuWDHBupRzWFctPLOIo20qiOw0KrBtq1VJ3Ks0GYfuRKl/vv665K+XB6f6sP&#10;UVojPj7Mry8gPM3+Pwx/+AEdisB0tGfWTvQI4YhH2CQxiOAm69UaxBEhXqbPIItc3vIXvwAAAP//&#10;AwBQSwECLQAUAAYACAAAACEAtoM4kv4AAADhAQAAEwAAAAAAAAAAAAAAAAAAAAAAW0NvbnRlbnRf&#10;VHlwZXNdLnhtbFBLAQItABQABgAIAAAAIQA4/SH/1gAAAJQBAAALAAAAAAAAAAAAAAAAAC8BAABf&#10;cmVscy8ucmVsc1BLAQItABQABgAIAAAAIQD59V9iZwIAAEoFAAAOAAAAAAAAAAAAAAAAAC4CAABk&#10;cnMvZTJvRG9jLnhtbFBLAQItABQABgAIAAAAIQDNEe8h3gAAAAcBAAAPAAAAAAAAAAAAAAAAAMEE&#10;AABkcnMvZG93bnJldi54bWxQSwUGAAAAAAQABADzAAAAzAUAAAAA&#10;" fillcolor="#004270" stroked="f">
                <w10:wrap anchorx="margin"/>
              </v:rect>
            </w:pict>
          </mc:Fallback>
        </mc:AlternateContent>
      </w:r>
      <w:r w:rsidR="00F80FE6">
        <w:rPr>
          <w:rStyle w:val="eop"/>
          <w:szCs w:val="22"/>
        </w:rPr>
        <w:t>sexual harassment</w:t>
      </w:r>
      <w:r w:rsidR="00D036F2">
        <w:rPr>
          <w:rStyle w:val="eop"/>
          <w:szCs w:val="22"/>
        </w:rPr>
        <w:t>.</w:t>
      </w:r>
      <w:r w:rsidR="004D31A4">
        <w:rPr>
          <w:rStyle w:val="FootnoteReference"/>
          <w:szCs w:val="22"/>
        </w:rPr>
        <w:footnoteReference w:id="18"/>
      </w:r>
      <w:r w:rsidR="00D036F2">
        <w:rPr>
          <w:rStyle w:val="eop"/>
          <w:szCs w:val="22"/>
        </w:rPr>
        <w:t xml:space="preserve"> Therefore, clause 96(3) appears to be superfluous.</w:t>
      </w:r>
    </w:p>
    <w:p w14:paraId="303507E9" w14:textId="3C872AEB" w:rsidR="00A5214C" w:rsidRPr="004A7C64" w:rsidRDefault="00E065C3" w:rsidP="004A7C64">
      <w:pPr>
        <w:pStyle w:val="Heading3"/>
        <w:spacing w:before="240"/>
        <w:ind w:left="567"/>
        <w:rPr>
          <w:color w:val="FFFFFF" w:themeColor="background1"/>
        </w:rPr>
      </w:pPr>
      <w:r w:rsidRPr="004A7C64">
        <w:rPr>
          <w:color w:val="FFFFFF" w:themeColor="background1"/>
        </w:rPr>
        <w:t>Recommendation</w:t>
      </w:r>
    </w:p>
    <w:p w14:paraId="424BC5F6" w14:textId="11117CAA" w:rsidR="00F80C1C" w:rsidRPr="004A7C64" w:rsidRDefault="00F80C1C" w:rsidP="004A7C64">
      <w:pPr>
        <w:ind w:left="567"/>
        <w:rPr>
          <w:color w:val="FFFFFF" w:themeColor="background1"/>
        </w:rPr>
      </w:pPr>
      <w:r w:rsidRPr="004A7C64">
        <w:rPr>
          <w:color w:val="FFFFFF" w:themeColor="background1"/>
        </w:rPr>
        <w:t xml:space="preserve">Section 133 of the Anti-Discrimination Act should be reinstated, and a clause that is </w:t>
      </w:r>
      <w:proofErr w:type="gramStart"/>
      <w:r w:rsidRPr="004A7C64">
        <w:rPr>
          <w:color w:val="FFFFFF" w:themeColor="background1"/>
        </w:rPr>
        <w:t>similar to</w:t>
      </w:r>
      <w:proofErr w:type="gramEnd"/>
      <w:r w:rsidRPr="004A7C64">
        <w:rPr>
          <w:color w:val="FFFFFF" w:themeColor="background1"/>
        </w:rPr>
        <w:t xml:space="preserve"> section 132, which explains the purpose of the liability provisions, should be included.</w:t>
      </w:r>
    </w:p>
    <w:p w14:paraId="4840AA91" w14:textId="08E48A0C" w:rsidR="004A7C64" w:rsidRDefault="004A7C64" w:rsidP="004A7C64">
      <w:pPr>
        <w:ind w:left="567"/>
      </w:pPr>
    </w:p>
    <w:p w14:paraId="6760D057" w14:textId="40F53F75" w:rsidR="00892212" w:rsidRDefault="00892212" w:rsidP="000E59AB">
      <w:pPr>
        <w:pStyle w:val="Heading2"/>
      </w:pPr>
      <w:bookmarkStart w:id="15" w:name="_Toc161917229"/>
      <w:r>
        <w:t xml:space="preserve">Acts done in compliance </w:t>
      </w:r>
      <w:r w:rsidR="005A7AA7">
        <w:t>with</w:t>
      </w:r>
      <w:r w:rsidR="00383A96">
        <w:t xml:space="preserve"> </w:t>
      </w:r>
      <w:r>
        <w:t>or authorised by other laws</w:t>
      </w:r>
      <w:bookmarkEnd w:id="15"/>
    </w:p>
    <w:p w14:paraId="39A56151" w14:textId="2ADFAB85" w:rsidR="00EF567D" w:rsidRDefault="007623F9" w:rsidP="00EF567D">
      <w:pPr>
        <w:pStyle w:val="Numberedparagraph"/>
      </w:pPr>
      <w:r>
        <w:t>Clause 56</w:t>
      </w:r>
      <w:r w:rsidR="00211AC9">
        <w:t>(1)</w:t>
      </w:r>
      <w:r>
        <w:t xml:space="preserve"> of the draft Bill </w:t>
      </w:r>
      <w:r w:rsidR="005A2F59">
        <w:t xml:space="preserve">provides an exception </w:t>
      </w:r>
      <w:r w:rsidR="006C5F30">
        <w:t>where</w:t>
      </w:r>
      <w:r w:rsidR="000E24E2" w:rsidDel="006C5F30">
        <w:t xml:space="preserve"> </w:t>
      </w:r>
      <w:r w:rsidR="00960CD5">
        <w:t>discrimination</w:t>
      </w:r>
      <w:r w:rsidR="00960CD5" w:rsidDel="006C5F30">
        <w:t xml:space="preserve"> </w:t>
      </w:r>
      <w:r w:rsidR="00960CD5">
        <w:t xml:space="preserve">is necessary to comply with </w:t>
      </w:r>
      <w:r w:rsidR="002C748F">
        <w:t>S</w:t>
      </w:r>
      <w:r w:rsidR="00351C79">
        <w:t xml:space="preserve">tate or Commonwealth laws, or to comply with an order of a court or tribunal. </w:t>
      </w:r>
    </w:p>
    <w:p w14:paraId="7D88B4E2" w14:textId="3B79D4CB" w:rsidR="00EF567D" w:rsidRDefault="00EF567D" w:rsidP="00EF567D">
      <w:pPr>
        <w:pStyle w:val="Numberedparagraph"/>
      </w:pPr>
      <w:r>
        <w:t xml:space="preserve">The QHRC </w:t>
      </w:r>
      <w:r w:rsidR="00BF3FB2">
        <w:t>supports</w:t>
      </w:r>
      <w:r w:rsidR="000E2567">
        <w:t xml:space="preserve"> </w:t>
      </w:r>
      <w:r>
        <w:t xml:space="preserve">the exception </w:t>
      </w:r>
      <w:r w:rsidR="00F962A0">
        <w:t xml:space="preserve">that </w:t>
      </w:r>
      <w:r>
        <w:t>appl</w:t>
      </w:r>
      <w:r w:rsidR="00F962A0">
        <w:t>ies</w:t>
      </w:r>
      <w:r>
        <w:t xml:space="preserve"> to acts necessary to comply with an order of a court or tribunal.</w:t>
      </w:r>
    </w:p>
    <w:p w14:paraId="45B5C768" w14:textId="538D3A0B" w:rsidR="00E8778D" w:rsidRDefault="00EF567D" w:rsidP="000E59AB">
      <w:pPr>
        <w:pStyle w:val="Numberedparagraph"/>
      </w:pPr>
      <w:r>
        <w:t xml:space="preserve">However, it has serious concerns </w:t>
      </w:r>
      <w:r w:rsidR="00F962A0">
        <w:t xml:space="preserve">about </w:t>
      </w:r>
      <w:r w:rsidR="0023459A">
        <w:t>cl 56(1)</w:t>
      </w:r>
      <w:r w:rsidR="005038B9">
        <w:t xml:space="preserve">(a) </w:t>
      </w:r>
      <w:r w:rsidR="00333C7E">
        <w:t xml:space="preserve">which creates an exception </w:t>
      </w:r>
      <w:r w:rsidR="00DF252A">
        <w:t>to</w:t>
      </w:r>
      <w:r w:rsidR="00333C7E">
        <w:t xml:space="preserve"> discrimin</w:t>
      </w:r>
      <w:r w:rsidR="00575925">
        <w:t>ation</w:t>
      </w:r>
      <w:r w:rsidR="00333C7E">
        <w:t xml:space="preserve"> </w:t>
      </w:r>
      <w:r w:rsidR="00344288">
        <w:t>in relation to compliance with other laws</w:t>
      </w:r>
      <w:r w:rsidR="009640EB">
        <w:t xml:space="preserve">. </w:t>
      </w:r>
      <w:r w:rsidR="00FF481C">
        <w:t>Although s</w:t>
      </w:r>
      <w:r w:rsidR="00575925">
        <w:t>ection</w:t>
      </w:r>
      <w:r w:rsidR="00FF481C">
        <w:t xml:space="preserve"> 106 of the Anti-Discrimination Act provides a similar exception, clause 56 </w:t>
      </w:r>
      <w:r w:rsidR="00AF43A3">
        <w:t>of the draft Bill significantly expands</w:t>
      </w:r>
      <w:r w:rsidR="00EE49A0">
        <w:rPr>
          <w:rStyle w:val="FootnoteReference"/>
        </w:rPr>
        <w:footnoteReference w:id="19"/>
      </w:r>
      <w:r w:rsidR="00AF43A3">
        <w:t xml:space="preserve"> the scope of the exception</w:t>
      </w:r>
      <w:r w:rsidR="00B1443B">
        <w:t xml:space="preserve"> by:</w:t>
      </w:r>
    </w:p>
    <w:p w14:paraId="63DCE21A" w14:textId="0716149F" w:rsidR="00B1443B" w:rsidRDefault="00BD7B58" w:rsidP="00B1443B">
      <w:pPr>
        <w:pStyle w:val="Bulletedlist"/>
      </w:pPr>
      <w:r>
        <w:t>a</w:t>
      </w:r>
      <w:r w:rsidR="00B1443B">
        <w:t xml:space="preserve">pplying to future legislation as well as </w:t>
      </w:r>
      <w:proofErr w:type="spellStart"/>
      <w:r w:rsidR="00B1443B">
        <w:t>past</w:t>
      </w:r>
      <w:proofErr w:type="spellEnd"/>
      <w:r w:rsidR="00B1443B">
        <w:t xml:space="preserve"> legislation (the current exception </w:t>
      </w:r>
      <w:r w:rsidR="003F7EDB">
        <w:t xml:space="preserve">only </w:t>
      </w:r>
      <w:r w:rsidR="00B1443B">
        <w:t xml:space="preserve">applies to legislation in force as </w:t>
      </w:r>
      <w:proofErr w:type="gramStart"/>
      <w:r w:rsidR="00B1443B">
        <w:t>at</w:t>
      </w:r>
      <w:proofErr w:type="gramEnd"/>
      <w:r w:rsidR="00B1443B">
        <w:t xml:space="preserve"> </w:t>
      </w:r>
      <w:r w:rsidR="00205049">
        <w:t>30</w:t>
      </w:r>
      <w:r w:rsidR="00AF43A3">
        <w:t xml:space="preserve"> </w:t>
      </w:r>
      <w:r>
        <w:t>June 1992)</w:t>
      </w:r>
    </w:p>
    <w:p w14:paraId="03D35294" w14:textId="2EE0196B" w:rsidR="00BD7B58" w:rsidRDefault="00BD7B58" w:rsidP="00B1443B">
      <w:pPr>
        <w:pStyle w:val="Bulletedlist"/>
      </w:pPr>
      <w:r>
        <w:t>applying to both State and Commonwealth legislation</w:t>
      </w:r>
      <w:r w:rsidR="002B368B">
        <w:rPr>
          <w:rStyle w:val="FootnoteReference"/>
        </w:rPr>
        <w:footnoteReference w:id="20"/>
      </w:r>
      <w:r w:rsidR="000B04EB">
        <w:t xml:space="preserve"> </w:t>
      </w:r>
    </w:p>
    <w:p w14:paraId="165E9AF3" w14:textId="663BD9BD" w:rsidR="00BD7B58" w:rsidRDefault="005817F8" w:rsidP="00B1443B">
      <w:pPr>
        <w:pStyle w:val="Bulletedlist"/>
      </w:pPr>
      <w:r>
        <w:t>applying to conduct that is ‘</w:t>
      </w:r>
      <w:r w:rsidR="00550065">
        <w:t>necessary to comply with, or</w:t>
      </w:r>
      <w:r w:rsidR="009B15B3">
        <w:t xml:space="preserve"> is</w:t>
      </w:r>
      <w:r w:rsidR="00550065">
        <w:t xml:space="preserve"> </w:t>
      </w:r>
      <w:r>
        <w:t>authorised by’</w:t>
      </w:r>
      <w:r w:rsidR="00836618">
        <w:t xml:space="preserve"> legislation, rather than conduct that is ‘</w:t>
      </w:r>
      <w:r w:rsidR="00550065">
        <w:t xml:space="preserve">necessary to comply </w:t>
      </w:r>
      <w:proofErr w:type="gramStart"/>
      <w:r w:rsidR="00550065">
        <w:t>with, or</w:t>
      </w:r>
      <w:proofErr w:type="gramEnd"/>
      <w:r w:rsidR="00550065">
        <w:t xml:space="preserve"> </w:t>
      </w:r>
      <w:r w:rsidR="00005BE3">
        <w:t xml:space="preserve">is </w:t>
      </w:r>
      <w:r w:rsidR="00836618" w:rsidRPr="00550065">
        <w:rPr>
          <w:i/>
          <w:iCs/>
        </w:rPr>
        <w:t>specifically</w:t>
      </w:r>
      <w:r w:rsidR="00836618">
        <w:t xml:space="preserve"> authorised’</w:t>
      </w:r>
      <w:r w:rsidR="009B15B3">
        <w:t xml:space="preserve"> by </w:t>
      </w:r>
      <w:r w:rsidR="00005BE3">
        <w:t>another law</w:t>
      </w:r>
      <w:r w:rsidR="00EC5ADD">
        <w:t>.</w:t>
      </w:r>
    </w:p>
    <w:p w14:paraId="6FBA3B44" w14:textId="50E3B73A" w:rsidR="00CE28A3" w:rsidRDefault="00910421" w:rsidP="00390568">
      <w:pPr>
        <w:pStyle w:val="Numberedparagraph"/>
      </w:pPr>
      <w:r>
        <w:t>These</w:t>
      </w:r>
      <w:r w:rsidR="00735E47">
        <w:t xml:space="preserve"> three changes </w:t>
      </w:r>
      <w:r w:rsidR="0031576E">
        <w:t xml:space="preserve">will greatly </w:t>
      </w:r>
      <w:r w:rsidR="00EF4A95">
        <w:t>broaden</w:t>
      </w:r>
      <w:r w:rsidR="000509D6">
        <w:t xml:space="preserve"> </w:t>
      </w:r>
      <w:r w:rsidR="0031576E">
        <w:t xml:space="preserve">the circumstances in which a </w:t>
      </w:r>
      <w:r w:rsidR="00792FD4">
        <w:t xml:space="preserve">person </w:t>
      </w:r>
      <w:r w:rsidR="0031576E">
        <w:t>may rely on the exception</w:t>
      </w:r>
      <w:r w:rsidR="00A36E19">
        <w:t xml:space="preserve"> </w:t>
      </w:r>
      <w:r w:rsidR="004137FC">
        <w:t>and give</w:t>
      </w:r>
      <w:r w:rsidR="00A36E19">
        <w:t xml:space="preserve"> rise to</w:t>
      </w:r>
      <w:r w:rsidR="00AB7D22">
        <w:t xml:space="preserve"> significant gaps in protection.</w:t>
      </w:r>
    </w:p>
    <w:p w14:paraId="6E743C4D" w14:textId="1D668F11" w:rsidR="00A014F6" w:rsidRPr="00770E31" w:rsidRDefault="00770E31" w:rsidP="002B2116">
      <w:pPr>
        <w:pStyle w:val="Heading3"/>
        <w:rPr>
          <w:b w:val="0"/>
        </w:rPr>
      </w:pPr>
      <w:bookmarkStart w:id="16" w:name="_Toc161917230"/>
      <w:r>
        <w:t>Expansion in scope of application</w:t>
      </w:r>
      <w:bookmarkEnd w:id="16"/>
    </w:p>
    <w:p w14:paraId="274C5B62" w14:textId="25E50FF3" w:rsidR="00CA1456" w:rsidRDefault="00BE31E9" w:rsidP="00390568">
      <w:pPr>
        <w:pStyle w:val="Numberedparagraph"/>
      </w:pPr>
      <w:r>
        <w:t>C</w:t>
      </w:r>
      <w:r w:rsidR="00A014F6">
        <w:t>lause 56</w:t>
      </w:r>
      <w:r w:rsidR="00D30AB1">
        <w:t xml:space="preserve"> </w:t>
      </w:r>
      <w:r>
        <w:t xml:space="preserve">broadens </w:t>
      </w:r>
      <w:r w:rsidR="00D30AB1">
        <w:t>the application of the exception</w:t>
      </w:r>
      <w:r w:rsidR="008D4A7E">
        <w:t xml:space="preserve"> to </w:t>
      </w:r>
      <w:r w:rsidR="008D4A7E" w:rsidRPr="005C195D">
        <w:t>any</w:t>
      </w:r>
      <w:r w:rsidR="008D4A7E">
        <w:rPr>
          <w:i/>
          <w:iCs/>
        </w:rPr>
        <w:t xml:space="preserve"> </w:t>
      </w:r>
      <w:r w:rsidR="008D4A7E">
        <w:t xml:space="preserve">law, </w:t>
      </w:r>
      <w:r w:rsidR="008825D1">
        <w:t xml:space="preserve">existing or future, </w:t>
      </w:r>
      <w:r w:rsidR="008D4A7E">
        <w:t>State or Commonwealth. By doing so</w:t>
      </w:r>
      <w:r w:rsidR="005C523A">
        <w:t>,</w:t>
      </w:r>
      <w:r w:rsidR="008D4A7E">
        <w:t xml:space="preserve"> it </w:t>
      </w:r>
      <w:r w:rsidR="008825D1">
        <w:t>displaces</w:t>
      </w:r>
      <w:r w:rsidR="00D30AB1">
        <w:t xml:space="preserve"> ordinary principles of statutory construction that would otherwise apply</w:t>
      </w:r>
      <w:r w:rsidR="00642C01">
        <w:t xml:space="preserve"> to resolve </w:t>
      </w:r>
      <w:r w:rsidR="0060344D">
        <w:t>any potential inconsistency between laws</w:t>
      </w:r>
      <w:r w:rsidR="00D30AB1">
        <w:t xml:space="preserve">. Under those ordinary principles, where there is </w:t>
      </w:r>
      <w:r w:rsidR="0060344D">
        <w:t>an</w:t>
      </w:r>
      <w:r w:rsidR="00D30AB1">
        <w:t xml:space="preserve"> </w:t>
      </w:r>
      <w:r w:rsidR="00795DC0">
        <w:t>overlap</w:t>
      </w:r>
      <w:r w:rsidR="00D30AB1">
        <w:t xml:space="preserve"> between two legislative provisions a court will </w:t>
      </w:r>
      <w:r w:rsidR="00795DC0">
        <w:t xml:space="preserve">try to read them </w:t>
      </w:r>
      <w:r w:rsidR="00E145FA">
        <w:t xml:space="preserve">in a way that </w:t>
      </w:r>
      <w:r w:rsidR="00E145FA">
        <w:lastRenderedPageBreak/>
        <w:t>allows them to operate concurrently.</w:t>
      </w:r>
      <w:r w:rsidR="00E145FA">
        <w:rPr>
          <w:rStyle w:val="FootnoteReference"/>
        </w:rPr>
        <w:footnoteReference w:id="21"/>
      </w:r>
      <w:r w:rsidR="00A8723D">
        <w:t xml:space="preserve"> This </w:t>
      </w:r>
      <w:r w:rsidR="003A6CD0">
        <w:t>approach</w:t>
      </w:r>
      <w:r w:rsidR="00A8723D">
        <w:t xml:space="preserve"> promotes the objects of the draft Bill, whereas an exception that gives precedence to other legislation, past </w:t>
      </w:r>
      <w:r w:rsidR="003A6CD0">
        <w:t xml:space="preserve">or </w:t>
      </w:r>
      <w:r w:rsidR="00A8723D">
        <w:t>future, does not.</w:t>
      </w:r>
    </w:p>
    <w:p w14:paraId="5DEF1B47" w14:textId="4B8EA323" w:rsidR="002D04AC" w:rsidRDefault="00390568" w:rsidP="00B444B0">
      <w:pPr>
        <w:pStyle w:val="Numberedparagraph"/>
      </w:pPr>
      <w:r>
        <w:t xml:space="preserve">The </w:t>
      </w:r>
      <w:proofErr w:type="gramStart"/>
      <w:r w:rsidRPr="00D23FCB">
        <w:rPr>
          <w:i/>
          <w:iCs/>
        </w:rPr>
        <w:t>Building</w:t>
      </w:r>
      <w:proofErr w:type="gramEnd"/>
      <w:r w:rsidRPr="00D23FCB">
        <w:rPr>
          <w:i/>
          <w:iCs/>
        </w:rPr>
        <w:t xml:space="preserve"> belonging</w:t>
      </w:r>
      <w:r>
        <w:t xml:space="preserve"> review did not recommend any </w:t>
      </w:r>
      <w:r w:rsidR="00004E17">
        <w:t xml:space="preserve">change </w:t>
      </w:r>
      <w:r>
        <w:t xml:space="preserve">to the existing </w:t>
      </w:r>
      <w:r w:rsidR="006533B5">
        <w:t>exception</w:t>
      </w:r>
      <w:r>
        <w:t>,</w:t>
      </w:r>
      <w:r w:rsidR="00C90F79">
        <w:t xml:space="preserve"> and </w:t>
      </w:r>
      <w:r w:rsidR="003B1F0D">
        <w:t>no concerns from stakeholders were noted</w:t>
      </w:r>
      <w:r w:rsidR="00EB3CD5">
        <w:t xml:space="preserve"> </w:t>
      </w:r>
      <w:r w:rsidR="003A6CD0">
        <w:t xml:space="preserve">by </w:t>
      </w:r>
      <w:r w:rsidR="00EB3CD5">
        <w:t xml:space="preserve">the </w:t>
      </w:r>
      <w:r w:rsidR="003A6CD0">
        <w:t>R</w:t>
      </w:r>
      <w:r w:rsidR="00EB3CD5">
        <w:t xml:space="preserve">eview that might justify such </w:t>
      </w:r>
      <w:r w:rsidR="00BF239B">
        <w:t>an expansion of scope</w:t>
      </w:r>
      <w:r w:rsidR="00EB3CD5">
        <w:t xml:space="preserve">. </w:t>
      </w:r>
      <w:proofErr w:type="gramStart"/>
      <w:r w:rsidR="00EB3CD5">
        <w:t>A</w:t>
      </w:r>
      <w:r w:rsidR="00BD705D">
        <w:t xml:space="preserve"> number of</w:t>
      </w:r>
      <w:proofErr w:type="gramEnd"/>
      <w:r w:rsidR="00BD705D">
        <w:t xml:space="preserve"> </w:t>
      </w:r>
      <w:r w:rsidR="00EB3CD5">
        <w:t xml:space="preserve">other </w:t>
      </w:r>
      <w:r w:rsidR="00584B3B">
        <w:t xml:space="preserve">Australian </w:t>
      </w:r>
      <w:r w:rsidR="00BD705D">
        <w:t>jurisdictions</w:t>
      </w:r>
      <w:r w:rsidR="00EB3CD5">
        <w:t xml:space="preserve"> </w:t>
      </w:r>
      <w:r w:rsidR="00BD705D">
        <w:t>operate without such exceptions</w:t>
      </w:r>
      <w:r w:rsidR="006D682F">
        <w:t xml:space="preserve"> in their discrimination laws</w:t>
      </w:r>
      <w:r w:rsidR="00BD705D">
        <w:t xml:space="preserve">, </w:t>
      </w:r>
      <w:r w:rsidR="00902014">
        <w:t xml:space="preserve">and law reform bodies have recommended the removal of </w:t>
      </w:r>
      <w:r w:rsidR="006D682F">
        <w:t xml:space="preserve">existing provisions </w:t>
      </w:r>
      <w:r w:rsidR="005F13C6">
        <w:t xml:space="preserve">to comply </w:t>
      </w:r>
      <w:r w:rsidR="00F2237D">
        <w:t xml:space="preserve">with </w:t>
      </w:r>
      <w:r w:rsidR="000B2EBF">
        <w:t xml:space="preserve">other Acts </w:t>
      </w:r>
      <w:r w:rsidR="00902014">
        <w:t xml:space="preserve">in state </w:t>
      </w:r>
      <w:r w:rsidR="00713C43">
        <w:t xml:space="preserve">and territory </w:t>
      </w:r>
      <w:r w:rsidR="00902014">
        <w:t>legislation</w:t>
      </w:r>
      <w:r w:rsidR="00F24524">
        <w:t>.</w:t>
      </w:r>
      <w:r w:rsidR="00306FB9">
        <w:rPr>
          <w:rStyle w:val="FootnoteReference"/>
        </w:rPr>
        <w:footnoteReference w:id="22"/>
      </w:r>
      <w:r w:rsidR="00F24524">
        <w:t xml:space="preserve"> </w:t>
      </w:r>
    </w:p>
    <w:p w14:paraId="317CEA5B" w14:textId="64E03E64" w:rsidR="000E5FA2" w:rsidRDefault="002347BB" w:rsidP="00B012EE">
      <w:pPr>
        <w:pStyle w:val="Numberedparagraph"/>
      </w:pPr>
      <w:r>
        <w:t>T</w:t>
      </w:r>
      <w:r w:rsidR="006F577A">
        <w:t xml:space="preserve">he Consultation </w:t>
      </w:r>
      <w:r w:rsidR="009C00C4">
        <w:t>guide</w:t>
      </w:r>
      <w:r>
        <w:t xml:space="preserve"> provides </w:t>
      </w:r>
      <w:r w:rsidR="00E53E44">
        <w:t xml:space="preserve">limited justification </w:t>
      </w:r>
      <w:r w:rsidR="00347B26">
        <w:t>for this significant change</w:t>
      </w:r>
      <w:r w:rsidR="00F80DC6">
        <w:t xml:space="preserve">, and </w:t>
      </w:r>
      <w:r w:rsidR="007474D4">
        <w:t>mentions</w:t>
      </w:r>
      <w:r w:rsidR="0068593F">
        <w:t xml:space="preserve"> </w:t>
      </w:r>
      <w:r w:rsidR="00FE77F8">
        <w:t xml:space="preserve">compliance with </w:t>
      </w:r>
      <w:r w:rsidR="007474D4">
        <w:t xml:space="preserve">a </w:t>
      </w:r>
      <w:r w:rsidR="00FE77F8">
        <w:t>Commonwealth Act that regulate</w:t>
      </w:r>
      <w:r w:rsidR="007474D4">
        <w:t>s</w:t>
      </w:r>
      <w:r w:rsidR="00FE77F8">
        <w:t xml:space="preserve"> superannuation </w:t>
      </w:r>
      <w:r w:rsidR="00F80DC6">
        <w:t>and to</w:t>
      </w:r>
      <w:r w:rsidR="007474D4">
        <w:t>:</w:t>
      </w:r>
      <w:r w:rsidR="00F80DC6">
        <w:t xml:space="preserve"> </w:t>
      </w:r>
    </w:p>
    <w:p w14:paraId="750DDC34" w14:textId="09C67CB1" w:rsidR="00D12A33" w:rsidRDefault="00F80DC6" w:rsidP="001471BA">
      <w:pPr>
        <w:pStyle w:val="Quote"/>
        <w:rPr>
          <w:rFonts w:asciiTheme="minorHAnsi" w:hAnsiTheme="minorHAnsi"/>
        </w:rPr>
      </w:pPr>
      <w:r>
        <w:t>…</w:t>
      </w:r>
      <w:r w:rsidR="00D12A33">
        <w:t xml:space="preserve"> permit discrimination </w:t>
      </w:r>
      <w:proofErr w:type="gramStart"/>
      <w:r w:rsidR="00D12A33">
        <w:t>on the basis of</w:t>
      </w:r>
      <w:proofErr w:type="gramEnd"/>
      <w:r w:rsidR="00D12A33">
        <w:t xml:space="preserve"> immigration or migration status where necessary to comply with a law of the State or the Commonwealth regarding the regulation of immigration to Australia.</w:t>
      </w:r>
      <w:r w:rsidR="001B0687">
        <w:rPr>
          <w:rStyle w:val="FootnoteReference"/>
        </w:rPr>
        <w:footnoteReference w:id="23"/>
      </w:r>
    </w:p>
    <w:p w14:paraId="547A11E9" w14:textId="2F633EAD" w:rsidR="00997E18" w:rsidRDefault="009C00C4" w:rsidP="00997E18">
      <w:pPr>
        <w:pStyle w:val="Numberedparagraph"/>
      </w:pPr>
      <w:r>
        <w:t>S</w:t>
      </w:r>
      <w:r w:rsidR="00B618D5">
        <w:t xml:space="preserve">uch a broad exception is not the least restrictive means to </w:t>
      </w:r>
      <w:r w:rsidR="00604387">
        <w:t xml:space="preserve">achieve this end. </w:t>
      </w:r>
      <w:r w:rsidR="001F33C3">
        <w:t>The</w:t>
      </w:r>
      <w:r w:rsidR="00494A03">
        <w:t xml:space="preserve"> Anti-Discrimination Act has been working </w:t>
      </w:r>
      <w:r w:rsidR="00BC5E6C">
        <w:t xml:space="preserve">effectively </w:t>
      </w:r>
      <w:r w:rsidR="00494A03">
        <w:t>in this area</w:t>
      </w:r>
      <w:r w:rsidR="00AA5B09">
        <w:t xml:space="preserve"> for more than 30 years</w:t>
      </w:r>
      <w:r w:rsidR="00494A03">
        <w:t xml:space="preserve"> without </w:t>
      </w:r>
      <w:r w:rsidR="009F0ECF">
        <w:t xml:space="preserve">any exception for laws passed after 1992. </w:t>
      </w:r>
      <w:r w:rsidR="00997E18">
        <w:t xml:space="preserve">Given that any legislation </w:t>
      </w:r>
      <w:r w:rsidR="00932544">
        <w:t>invoked under</w:t>
      </w:r>
      <w:r w:rsidR="00997E18">
        <w:t xml:space="preserve"> the </w:t>
      </w:r>
      <w:r w:rsidR="00D734F3">
        <w:t>‘existing provision of another Act’ provision</w:t>
      </w:r>
      <w:r w:rsidR="00997E18">
        <w:t xml:space="preserve"> in s 106 of the Anti-Discrimination Act would now be 30 years old, it should not be necessary to reproduce the exception relating to those laws in the new Bill. If any inconsistency remains, it should be dealt with through ordinary principles of statutory interpretation.</w:t>
      </w:r>
    </w:p>
    <w:p w14:paraId="2C6D4D3F" w14:textId="48FEF462" w:rsidR="00A03B79" w:rsidRDefault="00024623" w:rsidP="00A3786C">
      <w:pPr>
        <w:pStyle w:val="Numberedparagraph"/>
      </w:pPr>
      <w:r>
        <w:t>If there are concerns that the introduction of new protected attributes</w:t>
      </w:r>
      <w:r w:rsidR="00A510AA">
        <w:t xml:space="preserve">, or expansion of </w:t>
      </w:r>
      <w:r w:rsidR="003017AF">
        <w:t xml:space="preserve">the </w:t>
      </w:r>
      <w:r w:rsidR="00A510AA">
        <w:t>definition of some attributes,</w:t>
      </w:r>
      <w:r>
        <w:t xml:space="preserve"> might cause difficulties </w:t>
      </w:r>
      <w:r w:rsidR="00A5719C">
        <w:t>with</w:t>
      </w:r>
      <w:r w:rsidR="00C55BC0">
        <w:t xml:space="preserve"> the</w:t>
      </w:r>
      <w:r>
        <w:t xml:space="preserve"> application of </w:t>
      </w:r>
      <w:proofErr w:type="gramStart"/>
      <w:r>
        <w:t>particular laws</w:t>
      </w:r>
      <w:proofErr w:type="gramEnd"/>
      <w:r w:rsidR="00A81D52">
        <w:t xml:space="preserve"> (for example, the Blue Card and Yellow Card regimes, or </w:t>
      </w:r>
      <w:r w:rsidR="00E5676C">
        <w:t>legislation touching on immigration status)</w:t>
      </w:r>
      <w:r w:rsidR="00B618D5">
        <w:t xml:space="preserve"> even after the application </w:t>
      </w:r>
      <w:r w:rsidR="00B618D5">
        <w:lastRenderedPageBreak/>
        <w:t>of ordinary Constitutional or statutory interpretation principles,</w:t>
      </w:r>
      <w:r w:rsidR="008C61E4">
        <w:t xml:space="preserve"> th</w:t>
      </w:r>
      <w:r w:rsidR="0015559F">
        <w:t>o</w:t>
      </w:r>
      <w:r w:rsidR="00891E00">
        <w:t>se</w:t>
      </w:r>
      <w:r w:rsidR="006D0725">
        <w:t xml:space="preserve"> specific </w:t>
      </w:r>
      <w:r w:rsidR="00891E00">
        <w:t>laws</w:t>
      </w:r>
      <w:r w:rsidR="006D0725">
        <w:t xml:space="preserve"> should be </w:t>
      </w:r>
      <w:r w:rsidR="005753B0">
        <w:t>identified,</w:t>
      </w:r>
      <w:r w:rsidR="00AA5B09">
        <w:t xml:space="preserve"> and the exception limited to th</w:t>
      </w:r>
      <w:r w:rsidR="0015559F">
        <w:t>em</w:t>
      </w:r>
      <w:r w:rsidR="00891E00">
        <w:t>.</w:t>
      </w:r>
      <w:r w:rsidR="004F4761">
        <w:rPr>
          <w:rStyle w:val="FootnoteReference"/>
        </w:rPr>
        <w:footnoteReference w:id="24"/>
      </w:r>
      <w:r w:rsidR="00891E00">
        <w:t xml:space="preserve"> </w:t>
      </w:r>
    </w:p>
    <w:p w14:paraId="509B4E8E" w14:textId="11C36BAA" w:rsidR="00D12A33" w:rsidRPr="00E8778D" w:rsidRDefault="00891E00" w:rsidP="00A3786C">
      <w:pPr>
        <w:pStyle w:val="Numberedparagraph"/>
      </w:pPr>
      <w:r>
        <w:t xml:space="preserve">Alternatively, </w:t>
      </w:r>
      <w:r w:rsidR="002D4D47">
        <w:t>any broader exception</w:t>
      </w:r>
      <w:r w:rsidR="0087714B">
        <w:t>s</w:t>
      </w:r>
      <w:r w:rsidR="002D4D47">
        <w:t xml:space="preserve"> should be limited to </w:t>
      </w:r>
      <w:r w:rsidR="00D6429D">
        <w:t>th</w:t>
      </w:r>
      <w:r w:rsidR="000A47BB">
        <w:t>e new or amended</w:t>
      </w:r>
      <w:r w:rsidR="00D6429D">
        <w:t xml:space="preserve"> attributes </w:t>
      </w:r>
      <w:r w:rsidR="004816D5">
        <w:t xml:space="preserve">and to laws passed before commencement of the Bill. </w:t>
      </w:r>
      <w:r w:rsidR="00C64C2E">
        <w:t>W</w:t>
      </w:r>
      <w:r w:rsidR="00F810B2">
        <w:t xml:space="preserve">hen </w:t>
      </w:r>
      <w:r w:rsidR="009E6121">
        <w:t>parliament pass</w:t>
      </w:r>
      <w:r w:rsidR="00EB3777">
        <w:t>es</w:t>
      </w:r>
      <w:r w:rsidR="00027856">
        <w:t xml:space="preserve"> new</w:t>
      </w:r>
      <w:r w:rsidR="009E6121">
        <w:t xml:space="preserve"> </w:t>
      </w:r>
      <w:proofErr w:type="gramStart"/>
      <w:r w:rsidR="009E6121">
        <w:t>legislation</w:t>
      </w:r>
      <w:proofErr w:type="gramEnd"/>
      <w:r w:rsidR="009E6121">
        <w:t xml:space="preserve"> </w:t>
      </w:r>
      <w:r w:rsidR="00F810B2">
        <w:t xml:space="preserve">they </w:t>
      </w:r>
      <w:r w:rsidR="00AD6882">
        <w:t>are</w:t>
      </w:r>
      <w:r w:rsidR="009E6121">
        <w:t xml:space="preserve"> </w:t>
      </w:r>
      <w:r w:rsidR="00714AFD">
        <w:t xml:space="preserve">taken to </w:t>
      </w:r>
      <w:r w:rsidR="003E3FA6">
        <w:t>be aware of existing anti-discrimination protections</w:t>
      </w:r>
      <w:r w:rsidR="00EB53FF">
        <w:t xml:space="preserve">, and if they wish to </w:t>
      </w:r>
      <w:r w:rsidR="002620A3">
        <w:t>create an exception from</w:t>
      </w:r>
      <w:r w:rsidR="00EB53FF">
        <w:t xml:space="preserve"> such protections </w:t>
      </w:r>
      <w:r w:rsidR="003570BB">
        <w:t xml:space="preserve">this should be done </w:t>
      </w:r>
      <w:r w:rsidR="00EB53FF">
        <w:t xml:space="preserve">clearly in the </w:t>
      </w:r>
      <w:r w:rsidR="002620A3">
        <w:t>later Act.</w:t>
      </w:r>
    </w:p>
    <w:p w14:paraId="79A4B51D" w14:textId="0F4B36B8" w:rsidR="004862F7" w:rsidRDefault="004862F7" w:rsidP="00E94136">
      <w:pPr>
        <w:pStyle w:val="Heading3"/>
        <w:rPr>
          <w:b w:val="0"/>
        </w:rPr>
      </w:pPr>
      <w:r w:rsidRPr="004862F7">
        <w:t>Conduct ‘authorised by’ another law</w:t>
      </w:r>
    </w:p>
    <w:p w14:paraId="30A06B73" w14:textId="77777777" w:rsidR="00712B4A" w:rsidRDefault="00C64C2E" w:rsidP="004862F7">
      <w:pPr>
        <w:pStyle w:val="Numberedparagraph"/>
      </w:pPr>
      <w:r>
        <w:t>B</w:t>
      </w:r>
      <w:r w:rsidR="004862F7">
        <w:t xml:space="preserve">y including the words ‘or is authorised by’ another law, the exception in clause 56(1) allows a </w:t>
      </w:r>
      <w:r w:rsidR="00A2514D">
        <w:t xml:space="preserve">person </w:t>
      </w:r>
      <w:r w:rsidR="004862F7">
        <w:t xml:space="preserve">to act inconsistently with the draft Bill not only where another law </w:t>
      </w:r>
      <w:r w:rsidR="005C62A0">
        <w:t>compels</w:t>
      </w:r>
      <w:r w:rsidR="004862F7">
        <w:t xml:space="preserve"> such action,</w:t>
      </w:r>
      <w:r w:rsidR="004862F7">
        <w:rPr>
          <w:rStyle w:val="FootnoteReference"/>
        </w:rPr>
        <w:footnoteReference w:id="25"/>
      </w:r>
      <w:r w:rsidR="004862F7">
        <w:t xml:space="preserve"> but also where </w:t>
      </w:r>
      <w:r w:rsidR="00C3763E">
        <w:t>there is</w:t>
      </w:r>
      <w:r w:rsidR="004862F7">
        <w:t xml:space="preserve"> a </w:t>
      </w:r>
      <w:r w:rsidR="004862F7" w:rsidRPr="00791CB1">
        <w:t>discretion</w:t>
      </w:r>
      <w:r w:rsidR="004862F7" w:rsidRPr="000501F3">
        <w:rPr>
          <w:i/>
          <w:iCs/>
        </w:rPr>
        <w:t xml:space="preserve"> </w:t>
      </w:r>
      <w:r w:rsidR="00E7479B">
        <w:t>under another law</w:t>
      </w:r>
      <w:r w:rsidR="004862F7">
        <w:t xml:space="preserve"> that would allow </w:t>
      </w:r>
      <w:r w:rsidR="008A095A">
        <w:t>the person</w:t>
      </w:r>
      <w:r w:rsidR="004862F7">
        <w:t xml:space="preserve"> to act </w:t>
      </w:r>
      <w:r w:rsidR="008F1F7F">
        <w:t>in a certain way</w:t>
      </w:r>
      <w:r w:rsidR="004862F7">
        <w:t>.</w:t>
      </w:r>
      <w:r w:rsidR="004862F7">
        <w:rPr>
          <w:rStyle w:val="FootnoteReference"/>
        </w:rPr>
        <w:footnoteReference w:id="26"/>
      </w:r>
      <w:r w:rsidR="004862F7">
        <w:t xml:space="preserve"> Although this reflects the existing position to some extent under s 106 of the Anti-Discrimination Act, it </w:t>
      </w:r>
      <w:r w:rsidR="008D534C">
        <w:t>appears to have</w:t>
      </w:r>
      <w:r w:rsidR="004862F7">
        <w:t xml:space="preserve"> been made even more permissive by removal of the word ‘specifically’ and its scope of operation significantly increased by the </w:t>
      </w:r>
      <w:r w:rsidR="00E26B92">
        <w:t>fact it now applies to any other law</w:t>
      </w:r>
      <w:r w:rsidR="004862F7">
        <w:t xml:space="preserve">. </w:t>
      </w:r>
    </w:p>
    <w:p w14:paraId="0DA31E5C" w14:textId="5678F543" w:rsidR="004862F7" w:rsidRDefault="004862F7" w:rsidP="004862F7">
      <w:pPr>
        <w:pStyle w:val="Numberedparagraph"/>
      </w:pPr>
      <w:r>
        <w:t>Allowing discretions to operate in this way is inconsistent with the purposes of the draft Bill</w:t>
      </w:r>
      <w:r w:rsidR="005F1B58">
        <w:t xml:space="preserve">. </w:t>
      </w:r>
      <w:r w:rsidR="00EC556C">
        <w:t>If</w:t>
      </w:r>
      <w:r>
        <w:t xml:space="preserve"> this exception is retained</w:t>
      </w:r>
      <w:r w:rsidR="00EC556C">
        <w:t xml:space="preserve"> at all</w:t>
      </w:r>
      <w:r>
        <w:t xml:space="preserve"> the words ‘</w:t>
      </w:r>
      <w:r w:rsidR="008E6D87">
        <w:t xml:space="preserve">or is </w:t>
      </w:r>
      <w:r>
        <w:t xml:space="preserve">authorised by’ </w:t>
      </w:r>
      <w:r w:rsidR="00EC556C">
        <w:t>must</w:t>
      </w:r>
      <w:r>
        <w:t xml:space="preserve"> be removed.</w:t>
      </w:r>
    </w:p>
    <w:p w14:paraId="461B2EAF" w14:textId="4051641D" w:rsidR="004862F7" w:rsidRPr="004862F7" w:rsidRDefault="00BC4AD9" w:rsidP="00E94136">
      <w:pPr>
        <w:pStyle w:val="Heading3"/>
        <w:rPr>
          <w:b w:val="0"/>
        </w:rPr>
      </w:pPr>
      <w:r>
        <w:t xml:space="preserve">Suggested </w:t>
      </w:r>
      <w:r w:rsidR="005973B9">
        <w:t>drafting for more limited exception</w:t>
      </w:r>
    </w:p>
    <w:p w14:paraId="5C19291F" w14:textId="60526E24" w:rsidR="00632950" w:rsidRDefault="002218BD" w:rsidP="00632950">
      <w:pPr>
        <w:pStyle w:val="Numberedparagraph"/>
      </w:pPr>
      <w:r>
        <w:t xml:space="preserve">Ideally, the exception in Clause 56 </w:t>
      </w:r>
      <w:r w:rsidR="00141773">
        <w:t xml:space="preserve">should be limited to </w:t>
      </w:r>
      <w:r w:rsidR="00C61D7F">
        <w:t xml:space="preserve">conduct necessary to comply </w:t>
      </w:r>
      <w:r w:rsidR="001C2AB4">
        <w:t xml:space="preserve">with an order of a court or tribunal, with no specific exception for compliance with other laws. However, if it is considered necessary to address specific issues associated with the </w:t>
      </w:r>
      <w:r w:rsidR="00732E13">
        <w:t xml:space="preserve">redefined </w:t>
      </w:r>
      <w:r w:rsidR="008042D9">
        <w:t>or</w:t>
      </w:r>
      <w:r w:rsidR="001C2AB4">
        <w:t xml:space="preserve"> new attributes</w:t>
      </w:r>
      <w:r w:rsidR="00D17B39">
        <w:t xml:space="preserve">, </w:t>
      </w:r>
      <w:r w:rsidR="00145168">
        <w:t xml:space="preserve">the following drafting illustrates </w:t>
      </w:r>
      <w:r w:rsidR="00742255">
        <w:t>potential options to improve the drafting:</w:t>
      </w:r>
    </w:p>
    <w:p w14:paraId="4C4B624D" w14:textId="6D94AAC0" w:rsidR="00632950" w:rsidRPr="001D6346" w:rsidRDefault="00632950" w:rsidP="00EC178A">
      <w:pPr>
        <w:autoSpaceDE w:val="0"/>
        <w:autoSpaceDN w:val="0"/>
        <w:adjustRightInd w:val="0"/>
        <w:ind w:firstLine="567"/>
        <w:rPr>
          <w:rFonts w:cs="Arial"/>
        </w:rPr>
      </w:pPr>
      <w:r w:rsidRPr="001D6346">
        <w:rPr>
          <w:rFonts w:cs="Arial"/>
        </w:rPr>
        <w:t xml:space="preserve">Option </w:t>
      </w:r>
      <w:r w:rsidR="00E94136">
        <w:rPr>
          <w:rFonts w:cs="Arial"/>
        </w:rPr>
        <w:t>o</w:t>
      </w:r>
      <w:r w:rsidRPr="001D6346">
        <w:rPr>
          <w:rFonts w:cs="Arial"/>
        </w:rPr>
        <w:t>ne:</w:t>
      </w:r>
    </w:p>
    <w:p w14:paraId="2D0E71C0" w14:textId="77777777" w:rsidR="00EC178A" w:rsidRPr="00CD3849" w:rsidRDefault="00EC178A" w:rsidP="00EC178A">
      <w:pPr>
        <w:autoSpaceDE w:val="0"/>
        <w:autoSpaceDN w:val="0"/>
        <w:adjustRightInd w:val="0"/>
        <w:ind w:left="567"/>
        <w:contextualSpacing/>
        <w:rPr>
          <w:rFonts w:cs="Arial"/>
          <w:b/>
          <w:bCs/>
        </w:rPr>
      </w:pPr>
      <w:r w:rsidRPr="00CD3849">
        <w:rPr>
          <w:rFonts w:cs="Arial"/>
          <w:b/>
          <w:bCs/>
        </w:rPr>
        <w:t>Compliance with legislation or court or tribunal orders</w:t>
      </w:r>
    </w:p>
    <w:p w14:paraId="1E2E99C9" w14:textId="77777777" w:rsidR="00EC178A" w:rsidRPr="000D780A" w:rsidRDefault="00EC178A" w:rsidP="0036044B">
      <w:pPr>
        <w:pStyle w:val="ListParagraph"/>
        <w:numPr>
          <w:ilvl w:val="0"/>
          <w:numId w:val="21"/>
        </w:numPr>
        <w:autoSpaceDE w:val="0"/>
        <w:autoSpaceDN w:val="0"/>
        <w:adjustRightInd w:val="0"/>
        <w:spacing w:line="276" w:lineRule="auto"/>
        <w:ind w:left="1281" w:hanging="357"/>
        <w:rPr>
          <w:rFonts w:cs="Arial"/>
        </w:rPr>
      </w:pPr>
      <w:r w:rsidRPr="000D780A">
        <w:rPr>
          <w:rFonts w:cs="Arial"/>
        </w:rPr>
        <w:t>A person may discriminate against another person if the discrimination is necessary to comply with an order of a court or tribunal.</w:t>
      </w:r>
    </w:p>
    <w:p w14:paraId="7CCE6EFC" w14:textId="77777777" w:rsidR="00EC178A" w:rsidRDefault="00EC178A" w:rsidP="0036044B">
      <w:pPr>
        <w:pStyle w:val="ListParagraph"/>
        <w:numPr>
          <w:ilvl w:val="0"/>
          <w:numId w:val="21"/>
        </w:numPr>
        <w:autoSpaceDE w:val="0"/>
        <w:autoSpaceDN w:val="0"/>
        <w:adjustRightInd w:val="0"/>
        <w:spacing w:line="276" w:lineRule="auto"/>
        <w:ind w:left="1281" w:hanging="357"/>
        <w:rPr>
          <w:rFonts w:cs="Arial"/>
        </w:rPr>
      </w:pPr>
      <w:r>
        <w:rPr>
          <w:rFonts w:cs="Arial"/>
        </w:rPr>
        <w:lastRenderedPageBreak/>
        <w:t xml:space="preserve">A person may discriminate against another person </w:t>
      </w:r>
      <w:proofErr w:type="gramStart"/>
      <w:r>
        <w:rPr>
          <w:rFonts w:cs="Arial"/>
        </w:rPr>
        <w:t>on the</w:t>
      </w:r>
      <w:r w:rsidRPr="000D780A">
        <w:rPr>
          <w:rFonts w:cs="Arial"/>
        </w:rPr>
        <w:t xml:space="preserve"> basis of</w:t>
      </w:r>
      <w:proofErr w:type="gramEnd"/>
      <w:r w:rsidRPr="000D780A">
        <w:rPr>
          <w:rFonts w:cs="Arial"/>
        </w:rPr>
        <w:t xml:space="preserve"> </w:t>
      </w:r>
      <w:r>
        <w:rPr>
          <w:rFonts w:cs="Arial"/>
        </w:rPr>
        <w:t>[</w:t>
      </w:r>
      <w:r w:rsidRPr="5AA9358F">
        <w:rPr>
          <w:rFonts w:cs="Arial"/>
        </w:rPr>
        <w:t>relevant new or amended attribute/s</w:t>
      </w:r>
      <w:r>
        <w:rPr>
          <w:rFonts w:cs="Arial"/>
        </w:rPr>
        <w:t>] if the discrimination is necessary to comply with any of the following as in force at the commencement of this section:</w:t>
      </w:r>
    </w:p>
    <w:p w14:paraId="1684B7E1" w14:textId="77777777" w:rsidR="00EC178A" w:rsidRDefault="00EC178A" w:rsidP="00EC178A">
      <w:pPr>
        <w:pStyle w:val="ListParagraph"/>
        <w:numPr>
          <w:ilvl w:val="1"/>
          <w:numId w:val="21"/>
        </w:numPr>
        <w:autoSpaceDE w:val="0"/>
        <w:autoSpaceDN w:val="0"/>
        <w:adjustRightInd w:val="0"/>
        <w:ind w:left="2007"/>
        <w:rPr>
          <w:rFonts w:cs="Arial"/>
        </w:rPr>
      </w:pPr>
      <w:r w:rsidRPr="00BB4F0A">
        <w:rPr>
          <w:rFonts w:cs="Arial"/>
          <w:i/>
          <w:iCs/>
        </w:rPr>
        <w:t xml:space="preserve">Working with Children (Risk Management and Screening Act) </w:t>
      </w:r>
      <w:proofErr w:type="gramStart"/>
      <w:r w:rsidRPr="00BB4F0A">
        <w:rPr>
          <w:rFonts w:cs="Arial"/>
          <w:i/>
          <w:iCs/>
        </w:rPr>
        <w:t>2000</w:t>
      </w:r>
      <w:r>
        <w:rPr>
          <w:rFonts w:cs="Arial"/>
        </w:rPr>
        <w:t>;</w:t>
      </w:r>
      <w:proofErr w:type="gramEnd"/>
    </w:p>
    <w:p w14:paraId="7C8EEFCD" w14:textId="77777777" w:rsidR="00EC178A" w:rsidRDefault="00EC178A" w:rsidP="00EC178A">
      <w:pPr>
        <w:pStyle w:val="ListParagraph"/>
        <w:numPr>
          <w:ilvl w:val="1"/>
          <w:numId w:val="21"/>
        </w:numPr>
        <w:autoSpaceDE w:val="0"/>
        <w:autoSpaceDN w:val="0"/>
        <w:adjustRightInd w:val="0"/>
        <w:ind w:left="2007"/>
        <w:rPr>
          <w:rFonts w:cs="Arial"/>
        </w:rPr>
      </w:pPr>
      <w:r w:rsidRPr="00BB4F0A">
        <w:rPr>
          <w:rFonts w:cs="Arial"/>
          <w:i/>
          <w:iCs/>
        </w:rPr>
        <w:t xml:space="preserve">Disability Service Act </w:t>
      </w:r>
      <w:proofErr w:type="gramStart"/>
      <w:r w:rsidRPr="00BB4F0A">
        <w:rPr>
          <w:rFonts w:cs="Arial"/>
          <w:i/>
          <w:iCs/>
        </w:rPr>
        <w:t>2006</w:t>
      </w:r>
      <w:r>
        <w:rPr>
          <w:rFonts w:cs="Arial"/>
        </w:rPr>
        <w:t>;</w:t>
      </w:r>
      <w:proofErr w:type="gramEnd"/>
    </w:p>
    <w:p w14:paraId="12928D1A" w14:textId="77777777" w:rsidR="00EC178A" w:rsidRDefault="00EC178A" w:rsidP="00EC178A">
      <w:pPr>
        <w:pStyle w:val="ListParagraph"/>
        <w:numPr>
          <w:ilvl w:val="1"/>
          <w:numId w:val="21"/>
        </w:numPr>
        <w:autoSpaceDE w:val="0"/>
        <w:autoSpaceDN w:val="0"/>
        <w:adjustRightInd w:val="0"/>
        <w:ind w:left="2007"/>
        <w:rPr>
          <w:rFonts w:cs="Arial"/>
        </w:rPr>
      </w:pPr>
      <w:r>
        <w:rPr>
          <w:rFonts w:cs="Arial"/>
        </w:rPr>
        <w:t>….</w:t>
      </w:r>
    </w:p>
    <w:p w14:paraId="292FE26E" w14:textId="5588B776" w:rsidR="00EC178A" w:rsidRPr="00EC178A" w:rsidRDefault="00EC178A" w:rsidP="00EC178A">
      <w:pPr>
        <w:autoSpaceDE w:val="0"/>
        <w:autoSpaceDN w:val="0"/>
        <w:adjustRightInd w:val="0"/>
        <w:ind w:firstLine="567"/>
        <w:rPr>
          <w:rFonts w:cs="Arial"/>
        </w:rPr>
      </w:pPr>
      <w:r w:rsidRPr="00EC178A">
        <w:rPr>
          <w:rFonts w:cs="Arial"/>
        </w:rPr>
        <w:t xml:space="preserve">Option </w:t>
      </w:r>
      <w:r w:rsidR="00CF4362">
        <w:rPr>
          <w:rFonts w:cs="Arial"/>
        </w:rPr>
        <w:t>t</w:t>
      </w:r>
      <w:r w:rsidRPr="00EC178A">
        <w:rPr>
          <w:rFonts w:cs="Arial"/>
        </w:rPr>
        <w:t>wo:</w:t>
      </w:r>
    </w:p>
    <w:p w14:paraId="03070E3A" w14:textId="52C6A189" w:rsidR="00632950" w:rsidRPr="00CD3849" w:rsidRDefault="00632950" w:rsidP="00632950">
      <w:pPr>
        <w:autoSpaceDE w:val="0"/>
        <w:autoSpaceDN w:val="0"/>
        <w:adjustRightInd w:val="0"/>
        <w:ind w:left="567"/>
        <w:contextualSpacing/>
        <w:rPr>
          <w:rFonts w:cs="Arial"/>
          <w:b/>
          <w:bCs/>
        </w:rPr>
      </w:pPr>
      <w:r w:rsidRPr="00CD3849">
        <w:rPr>
          <w:rFonts w:cs="Arial"/>
          <w:b/>
          <w:bCs/>
        </w:rPr>
        <w:t>Compliance with legislation or court or tribunal orders</w:t>
      </w:r>
    </w:p>
    <w:p w14:paraId="40B969EA" w14:textId="77777777" w:rsidR="00632950" w:rsidRPr="000D780A" w:rsidRDefault="00632950" w:rsidP="00632950">
      <w:pPr>
        <w:pStyle w:val="ListParagraph"/>
        <w:numPr>
          <w:ilvl w:val="0"/>
          <w:numId w:val="19"/>
        </w:numPr>
        <w:autoSpaceDE w:val="0"/>
        <w:autoSpaceDN w:val="0"/>
        <w:adjustRightInd w:val="0"/>
        <w:ind w:left="1287"/>
        <w:rPr>
          <w:rFonts w:cs="Arial"/>
        </w:rPr>
      </w:pPr>
      <w:r w:rsidRPr="000D780A">
        <w:rPr>
          <w:rFonts w:cs="Arial"/>
        </w:rPr>
        <w:t>A person may discriminate against another person if the discrimination is necessary to comply with an order of a court or tribunal.</w:t>
      </w:r>
    </w:p>
    <w:p w14:paraId="2420FB3F" w14:textId="36CCDE83" w:rsidR="00632950" w:rsidRDefault="00632950" w:rsidP="00632950">
      <w:pPr>
        <w:pStyle w:val="ListParagraph"/>
        <w:numPr>
          <w:ilvl w:val="0"/>
          <w:numId w:val="19"/>
        </w:numPr>
        <w:autoSpaceDE w:val="0"/>
        <w:autoSpaceDN w:val="0"/>
        <w:adjustRightInd w:val="0"/>
        <w:ind w:left="1287"/>
        <w:rPr>
          <w:rFonts w:cs="Arial"/>
        </w:rPr>
      </w:pPr>
      <w:r>
        <w:rPr>
          <w:rFonts w:cs="Arial"/>
        </w:rPr>
        <w:t xml:space="preserve">A person may discriminate against another person </w:t>
      </w:r>
      <w:proofErr w:type="gramStart"/>
      <w:r>
        <w:rPr>
          <w:rFonts w:cs="Arial"/>
        </w:rPr>
        <w:t>on the</w:t>
      </w:r>
      <w:r w:rsidRPr="000D780A">
        <w:rPr>
          <w:rFonts w:cs="Arial"/>
        </w:rPr>
        <w:t xml:space="preserve"> basis of</w:t>
      </w:r>
      <w:proofErr w:type="gramEnd"/>
      <w:r w:rsidRPr="000D780A">
        <w:rPr>
          <w:rFonts w:cs="Arial"/>
        </w:rPr>
        <w:t xml:space="preserve"> </w:t>
      </w:r>
      <w:r w:rsidR="00B90EF2">
        <w:rPr>
          <w:rFonts w:cs="Arial"/>
        </w:rPr>
        <w:t>[</w:t>
      </w:r>
      <w:r w:rsidR="6D20C03B" w:rsidRPr="259FCE88">
        <w:rPr>
          <w:rFonts w:cs="Arial"/>
        </w:rPr>
        <w:t>relevant new</w:t>
      </w:r>
      <w:r>
        <w:rPr>
          <w:rFonts w:cs="Arial"/>
        </w:rPr>
        <w:t xml:space="preserve"> or </w:t>
      </w:r>
      <w:r w:rsidR="6D20C03B" w:rsidRPr="259FCE88">
        <w:rPr>
          <w:rFonts w:cs="Arial"/>
        </w:rPr>
        <w:t xml:space="preserve">amended </w:t>
      </w:r>
      <w:r w:rsidR="6D20C03B" w:rsidRPr="5AA9358F">
        <w:rPr>
          <w:rFonts w:cs="Arial"/>
        </w:rPr>
        <w:t>attribute/s</w:t>
      </w:r>
      <w:r w:rsidR="00B90EF2" w:rsidRPr="259FCE88">
        <w:rPr>
          <w:rFonts w:cs="Arial"/>
        </w:rPr>
        <w:t>]</w:t>
      </w:r>
      <w:r w:rsidRPr="259FCE88">
        <w:rPr>
          <w:rFonts w:cs="Arial"/>
        </w:rPr>
        <w:t>,</w:t>
      </w:r>
      <w:r>
        <w:rPr>
          <w:rFonts w:cs="Arial"/>
        </w:rPr>
        <w:t xml:space="preserve"> if the discrimination is necessary to comply with an existing provision</w:t>
      </w:r>
      <w:r w:rsidR="00F91075">
        <w:rPr>
          <w:rFonts w:cs="Arial"/>
        </w:rPr>
        <w:t xml:space="preserve"> </w:t>
      </w:r>
      <w:r w:rsidR="009F13FF">
        <w:rPr>
          <w:rFonts w:cs="Arial"/>
        </w:rPr>
        <w:t>of an</w:t>
      </w:r>
      <w:r w:rsidR="00B64493">
        <w:rPr>
          <w:rFonts w:cs="Arial"/>
        </w:rPr>
        <w:t>other Act</w:t>
      </w:r>
      <w:r>
        <w:rPr>
          <w:rFonts w:cs="Arial"/>
        </w:rPr>
        <w:t>.</w:t>
      </w:r>
    </w:p>
    <w:p w14:paraId="20536413" w14:textId="77777777" w:rsidR="00632950" w:rsidRDefault="00632950" w:rsidP="00632950">
      <w:pPr>
        <w:pStyle w:val="ListParagraph"/>
        <w:numPr>
          <w:ilvl w:val="0"/>
          <w:numId w:val="19"/>
        </w:numPr>
        <w:autoSpaceDE w:val="0"/>
        <w:autoSpaceDN w:val="0"/>
        <w:adjustRightInd w:val="0"/>
        <w:ind w:left="1287"/>
        <w:rPr>
          <w:rFonts w:cs="Arial"/>
        </w:rPr>
      </w:pPr>
      <w:r>
        <w:rPr>
          <w:rFonts w:cs="Arial"/>
        </w:rPr>
        <w:t>In this section—</w:t>
      </w:r>
    </w:p>
    <w:p w14:paraId="3A32EB9E" w14:textId="77777777" w:rsidR="00632950" w:rsidRDefault="00632950" w:rsidP="00632950">
      <w:pPr>
        <w:pStyle w:val="ListParagraph"/>
        <w:autoSpaceDE w:val="0"/>
        <w:autoSpaceDN w:val="0"/>
        <w:adjustRightInd w:val="0"/>
        <w:ind w:left="1287"/>
        <w:rPr>
          <w:rFonts w:cs="Arial"/>
        </w:rPr>
      </w:pPr>
      <w:r>
        <w:rPr>
          <w:rFonts w:cs="Arial"/>
          <w:b/>
          <w:bCs/>
          <w:i/>
          <w:iCs/>
        </w:rPr>
        <w:t xml:space="preserve">Existing provision </w:t>
      </w:r>
      <w:r w:rsidRPr="00B96486">
        <w:rPr>
          <w:rFonts w:cs="Arial"/>
        </w:rPr>
        <w:t>means a provision of an Act in existence at</w:t>
      </w:r>
      <w:r>
        <w:rPr>
          <w:rFonts w:cs="Arial"/>
          <w:i/>
          <w:iCs/>
        </w:rPr>
        <w:t xml:space="preserve"> </w:t>
      </w:r>
      <w:r>
        <w:rPr>
          <w:rFonts w:cs="Arial"/>
        </w:rPr>
        <w:t>the commencement of this section.</w:t>
      </w:r>
    </w:p>
    <w:p w14:paraId="0608B65C" w14:textId="04F38C1D" w:rsidR="00E065C3" w:rsidRDefault="00DB2F01" w:rsidP="00DB2F01">
      <w:pPr>
        <w:pStyle w:val="Heading3"/>
        <w:spacing w:before="240"/>
        <w:ind w:left="720"/>
      </w:pPr>
      <w:r w:rsidRPr="00DB2F01">
        <w:rPr>
          <w:noProof/>
          <w:color w:val="FFFFFF" w:themeColor="background1"/>
        </w:rPr>
        <mc:AlternateContent>
          <mc:Choice Requires="wps">
            <w:drawing>
              <wp:anchor distT="0" distB="0" distL="114300" distR="114300" simplePos="0" relativeHeight="251658242" behindDoc="1" locked="0" layoutInCell="1" allowOverlap="1" wp14:anchorId="7069BA01" wp14:editId="3268A028">
                <wp:simplePos x="0" y="0"/>
                <wp:positionH relativeFrom="margin">
                  <wp:align>left</wp:align>
                </wp:positionH>
                <wp:positionV relativeFrom="paragraph">
                  <wp:posOffset>-1270</wp:posOffset>
                </wp:positionV>
                <wp:extent cx="5419725" cy="1571625"/>
                <wp:effectExtent l="0" t="0" r="9525" b="9525"/>
                <wp:wrapNone/>
                <wp:docPr id="856018707" name="Rectangle 2"/>
                <wp:cNvGraphicFramePr/>
                <a:graphic xmlns:a="http://schemas.openxmlformats.org/drawingml/2006/main">
                  <a:graphicData uri="http://schemas.microsoft.com/office/word/2010/wordprocessingShape">
                    <wps:wsp>
                      <wps:cNvSpPr/>
                      <wps:spPr>
                        <a:xfrm>
                          <a:off x="0" y="0"/>
                          <a:ext cx="5419725" cy="1571625"/>
                        </a:xfrm>
                        <a:prstGeom prst="rect">
                          <a:avLst/>
                        </a:prstGeom>
                        <a:solidFill>
                          <a:srgbClr val="0042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87447B" id="Rectangle 2" o:spid="_x0000_s1026" style="position:absolute;margin-left:0;margin-top:-.1pt;width:426.75pt;height:123.75pt;z-index:-25165823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AhZwIAAEsFAAAOAAAAZHJzL2Uyb0RvYy54bWysVN1r2zAQfx/sfxB6Xx1nSbOGOCWkdAxK&#10;W9aOPiuylBhknXZS4mR//U6y42RdoTD2It3pvj9+ml3va8N2Cn0FtuD5xYAzZSWUlV0X/Mfz7acv&#10;nPkgbCkMWFXwg/L8ev7xw6xxUzWEDZhSISMn1k8bV/BNCG6aZV5uVC38BThlSagBaxGIxXVWomjI&#10;e22y4WBwmTWApUOQynt6vWmFfJ78a61keNDaq8BMwSm3kE5M5yqe2XwmpmsUblPJLg3xD1nUorIU&#10;tHd1I4JgW6z+clVXEsGDDhcS6gy0rqRKNVA1+eBVNU8b4VSqhZrjXd8m///cyvvdk3tEakPj/NQT&#10;GavYa6zjTfmxfWrWoW+W2gcm6XE8yq8mwzFnkmT5eJJfEkN+spO5Qx++KqhZJAqONI3UJLG786FV&#10;ParEaB5MVd5WxiQG16ulQbYTcXKD0XCShkXe/1AzNipbiGatx/ZFpdl3YU6lJSocjIpWxn5XmlUl&#10;FZOnvNLWqT6qkFLZkHdFJe1opilUb/j5fcNOP5q2WfXGw/eNe4sUGWzojevKAr7lwPQp61afZnJW&#10;dyRXUB4ekSG0ePBO3lY0ojvhw6NAAgBBhUAdHujQBpqCQ0dxtgH89dZ71Ke9JClnDQGq4P7nVqDi&#10;zHyztLFX+WgUEZiY0XgyJAbPJatzid3WS6DJ5/R9OJnIqB/MkdQI9QthfxGjkkhYSbELLgMemWVo&#10;gU6/h1SLRVIj1DkR7uyTk8epxxV83r8IdN2eBlrxeziCT0xfrWurG+dhYbENoKu0y6e+dv0mxCY0&#10;dL9L/BLO+aR1+gPnvwEAAP//AwBQSwMEFAAGAAgAAAAhAMkQcAPdAAAABgEAAA8AAABkcnMvZG93&#10;bnJldi54bWxMj81OwzAQhO9IvIO1SNxah4RCm2ZToUq9VAKpAfXsxpsfGq+j2G3St8ec4Dia0cw3&#10;2WYynbjS4FrLCE/zCARxaXXLNcLX5262BOG8Yq06y4RwIweb/P4uU6m2Ix/oWvhahBJ2qUJovO9T&#10;KV3ZkFFubnvi4FV2MMoHOdRSD2oM5aaTcRS9SKNaDguN6mnbUHkuLgZh/JaJLnbH27Zc8f788V7t&#10;o1WF+Pgwva1BeJr8Xxh+8QM65IHpZC+snegQwhGPMItBBHO5SBYgTgjx82sCMs/kf/z8BwAA//8D&#10;AFBLAQItABQABgAIAAAAIQC2gziS/gAAAOEBAAATAAAAAAAAAAAAAAAAAAAAAABbQ29udGVudF9U&#10;eXBlc10ueG1sUEsBAi0AFAAGAAgAAAAhADj9If/WAAAAlAEAAAsAAAAAAAAAAAAAAAAALwEAAF9y&#10;ZWxzLy5yZWxzUEsBAi0AFAAGAAgAAAAhAN0WkCFnAgAASwUAAA4AAAAAAAAAAAAAAAAALgIAAGRy&#10;cy9lMm9Eb2MueG1sUEsBAi0AFAAGAAgAAAAhAMkQcAPdAAAABgEAAA8AAAAAAAAAAAAAAAAAwQQA&#10;AGRycy9kb3ducmV2LnhtbFBLBQYAAAAABAAEAPMAAADLBQAAAAA=&#10;" fillcolor="#004270" stroked="f">
                <w10:wrap anchorx="margin"/>
              </v:rect>
            </w:pict>
          </mc:Fallback>
        </mc:AlternateContent>
      </w:r>
      <w:r w:rsidR="00E065C3" w:rsidRPr="00DB2F01">
        <w:rPr>
          <w:color w:val="FFFFFF" w:themeColor="background1"/>
        </w:rPr>
        <w:t>Recommendation</w:t>
      </w:r>
    </w:p>
    <w:p w14:paraId="3AE428D3" w14:textId="3462DD47" w:rsidR="00BB4F0A" w:rsidRPr="00DB2F01" w:rsidRDefault="0001333C" w:rsidP="00DB2F01">
      <w:pPr>
        <w:ind w:left="720"/>
        <w:rPr>
          <w:color w:val="FFFFFF" w:themeColor="background1"/>
        </w:rPr>
      </w:pPr>
      <w:r w:rsidRPr="00DB2F01">
        <w:rPr>
          <w:color w:val="FFFFFF" w:themeColor="background1"/>
        </w:rPr>
        <w:t>Clause</w:t>
      </w:r>
      <w:r w:rsidR="00BB4F0A" w:rsidRPr="00DB2F01">
        <w:rPr>
          <w:color w:val="FFFFFF" w:themeColor="background1"/>
        </w:rPr>
        <w:t xml:space="preserve"> 56(1) </w:t>
      </w:r>
      <w:r w:rsidR="00BA053D" w:rsidRPr="00DB2F01">
        <w:rPr>
          <w:color w:val="FFFFFF" w:themeColor="background1"/>
        </w:rPr>
        <w:t>of</w:t>
      </w:r>
      <w:r w:rsidR="00BB4F0A" w:rsidRPr="00DB2F01">
        <w:rPr>
          <w:color w:val="FFFFFF" w:themeColor="background1"/>
        </w:rPr>
        <w:t xml:space="preserve"> the draft Bill</w:t>
      </w:r>
      <w:r w:rsidRPr="00DB2F01">
        <w:rPr>
          <w:color w:val="FFFFFF" w:themeColor="background1"/>
        </w:rPr>
        <w:t xml:space="preserve"> should be amended to</w:t>
      </w:r>
      <w:r w:rsidR="00F97191" w:rsidRPr="00DB2F01">
        <w:rPr>
          <w:color w:val="FFFFFF" w:themeColor="background1"/>
        </w:rPr>
        <w:t xml:space="preserve"> remove the exception for compliance with other laws.</w:t>
      </w:r>
      <w:r w:rsidR="00D44A82" w:rsidRPr="00DB2F01">
        <w:rPr>
          <w:color w:val="FFFFFF" w:themeColor="background1"/>
        </w:rPr>
        <w:t xml:space="preserve"> However, if such an exception is retained it should be amended to:</w:t>
      </w:r>
    </w:p>
    <w:p w14:paraId="3AB62506" w14:textId="1F2BC1F3" w:rsidR="00D44A82" w:rsidRPr="00DB2F01" w:rsidRDefault="00D44A82" w:rsidP="00DB2F01">
      <w:pPr>
        <w:pStyle w:val="Bulletedlist"/>
        <w:ind w:left="1855"/>
        <w:rPr>
          <w:color w:val="FFFFFF" w:themeColor="background1"/>
        </w:rPr>
      </w:pPr>
      <w:r w:rsidRPr="00DB2F01">
        <w:rPr>
          <w:color w:val="FFFFFF" w:themeColor="background1"/>
        </w:rPr>
        <w:t>limit the exception to</w:t>
      </w:r>
      <w:r w:rsidR="002432F3" w:rsidRPr="00DB2F01">
        <w:rPr>
          <w:color w:val="FFFFFF" w:themeColor="background1"/>
        </w:rPr>
        <w:t xml:space="preserve"> specific statutory regimes, or to </w:t>
      </w:r>
      <w:r w:rsidR="001F1780" w:rsidRPr="00DB2F01">
        <w:rPr>
          <w:color w:val="FFFFFF" w:themeColor="background1"/>
        </w:rPr>
        <w:t xml:space="preserve">existing legislation as it relates to </w:t>
      </w:r>
      <w:r w:rsidR="002432F3" w:rsidRPr="00DB2F01">
        <w:rPr>
          <w:color w:val="FFFFFF" w:themeColor="background1"/>
        </w:rPr>
        <w:t>new or amended protected attributes</w:t>
      </w:r>
      <w:r w:rsidR="0026208F" w:rsidRPr="00DB2F01">
        <w:rPr>
          <w:color w:val="FFFFFF" w:themeColor="background1"/>
        </w:rPr>
        <w:t>; and</w:t>
      </w:r>
      <w:r w:rsidR="00F97191" w:rsidRPr="00DB2F01">
        <w:rPr>
          <w:color w:val="FFFFFF" w:themeColor="background1"/>
        </w:rPr>
        <w:t xml:space="preserve"> </w:t>
      </w:r>
    </w:p>
    <w:p w14:paraId="2EAA42C2" w14:textId="7A2088DF" w:rsidR="002432F3" w:rsidRPr="00DB2F01" w:rsidRDefault="00F97191" w:rsidP="00DB2F01">
      <w:pPr>
        <w:pStyle w:val="Bulletedlist"/>
        <w:ind w:left="1855"/>
        <w:rPr>
          <w:color w:val="FFFFFF" w:themeColor="background1"/>
        </w:rPr>
      </w:pPr>
      <w:r w:rsidRPr="00DB2F01">
        <w:rPr>
          <w:color w:val="FFFFFF" w:themeColor="background1"/>
        </w:rPr>
        <w:t>remove reference to actions that are ‘authorised by’ another law</w:t>
      </w:r>
      <w:r w:rsidR="00D44A82" w:rsidRPr="00DB2F01">
        <w:rPr>
          <w:color w:val="FFFFFF" w:themeColor="background1"/>
        </w:rPr>
        <w:t>.</w:t>
      </w:r>
    </w:p>
    <w:p w14:paraId="76BCF188" w14:textId="77777777" w:rsidR="00DB2F01" w:rsidRPr="00DB2F01" w:rsidRDefault="00DB2F01" w:rsidP="00DB2F01">
      <w:pPr>
        <w:pStyle w:val="Bulletedlist"/>
        <w:numPr>
          <w:ilvl w:val="0"/>
          <w:numId w:val="0"/>
        </w:numPr>
      </w:pPr>
    </w:p>
    <w:p w14:paraId="2397AEC6" w14:textId="476A5EB9" w:rsidR="00774D42" w:rsidRDefault="00774D42" w:rsidP="000E59AB">
      <w:pPr>
        <w:pStyle w:val="Heading2"/>
      </w:pPr>
      <w:bookmarkStart w:id="17" w:name="_Toc161917231"/>
      <w:r>
        <w:t>Reasonable accommodations</w:t>
      </w:r>
      <w:bookmarkEnd w:id="17"/>
    </w:p>
    <w:p w14:paraId="2B4F1807" w14:textId="46D849C4" w:rsidR="00FE6B74" w:rsidRDefault="00FE6B74" w:rsidP="00B91412">
      <w:pPr>
        <w:pStyle w:val="Numberedparagraph"/>
      </w:pPr>
      <w:r>
        <w:t xml:space="preserve">The </w:t>
      </w:r>
      <w:proofErr w:type="gramStart"/>
      <w:r>
        <w:rPr>
          <w:i/>
          <w:iCs/>
        </w:rPr>
        <w:t>Building</w:t>
      </w:r>
      <w:proofErr w:type="gramEnd"/>
      <w:r>
        <w:rPr>
          <w:i/>
          <w:iCs/>
        </w:rPr>
        <w:t xml:space="preserve"> belonging </w:t>
      </w:r>
      <w:r>
        <w:t xml:space="preserve">review recommended the inclusion of a new, stand-alone </w:t>
      </w:r>
      <w:r w:rsidR="00637335">
        <w:t>requirement</w:t>
      </w:r>
      <w:r>
        <w:t xml:space="preserve"> to make reasonable accommodations for a person with a disability</w:t>
      </w:r>
      <w:r w:rsidR="00612673">
        <w:t>. The intention was that this</w:t>
      </w:r>
      <w:r w:rsidR="00715ACC">
        <w:t xml:space="preserve"> requirement would </w:t>
      </w:r>
      <w:r>
        <w:t>be enforc</w:t>
      </w:r>
      <w:r w:rsidR="00715ACC">
        <w:t>eable by people with a disability in the same manner as other contraventions of the Act</w:t>
      </w:r>
      <w:r>
        <w:t>.</w:t>
      </w:r>
      <w:r>
        <w:rPr>
          <w:rStyle w:val="FootnoteReference"/>
        </w:rPr>
        <w:footnoteReference w:id="27"/>
      </w:r>
    </w:p>
    <w:p w14:paraId="491E9550" w14:textId="22F6AC2F" w:rsidR="00FE6B74" w:rsidRDefault="00FE6B74" w:rsidP="00B91412">
      <w:pPr>
        <w:pStyle w:val="Numberedparagraph"/>
      </w:pPr>
      <w:r>
        <w:t>However, the draft Bill</w:t>
      </w:r>
      <w:r w:rsidR="00347A37">
        <w:t xml:space="preserve"> </w:t>
      </w:r>
      <w:r w:rsidR="00382F5C">
        <w:t>includes</w:t>
      </w:r>
      <w:r w:rsidR="00360292">
        <w:t xml:space="preserve"> the concept of reasonable accommodations</w:t>
      </w:r>
      <w:r w:rsidR="002F37B3">
        <w:t xml:space="preserve"> through</w:t>
      </w:r>
      <w:r>
        <w:t>:</w:t>
      </w:r>
    </w:p>
    <w:p w14:paraId="03D522B8" w14:textId="44A360BD" w:rsidR="008C1817" w:rsidRDefault="00382F5C" w:rsidP="00E160C9">
      <w:pPr>
        <w:pStyle w:val="Bulletedlist"/>
      </w:pPr>
      <w:r>
        <w:t>c</w:t>
      </w:r>
      <w:r w:rsidR="00263F86">
        <w:t xml:space="preserve">reating </w:t>
      </w:r>
      <w:r w:rsidR="00FE6B74">
        <w:t xml:space="preserve">a positive duty that is </w:t>
      </w:r>
      <w:r w:rsidR="00FE6B74" w:rsidRPr="00347A37">
        <w:rPr>
          <w:i/>
        </w:rPr>
        <w:t>not</w:t>
      </w:r>
      <w:r w:rsidR="00FE6B74">
        <w:t xml:space="preserve"> actionable by a</w:t>
      </w:r>
      <w:r w:rsidR="008C1817">
        <w:t>n individual through making a</w:t>
      </w:r>
      <w:r w:rsidR="00FE6B74">
        <w:t xml:space="preserve"> complaint</w:t>
      </w:r>
      <w:r w:rsidR="0056705C">
        <w:t xml:space="preserve"> (clause </w:t>
      </w:r>
      <w:r w:rsidR="00291609">
        <w:t>18)</w:t>
      </w:r>
      <w:r w:rsidR="008C1817">
        <w:t>; and</w:t>
      </w:r>
    </w:p>
    <w:p w14:paraId="5200E8AA" w14:textId="64F71C87" w:rsidR="00E160C9" w:rsidRDefault="00382F5C" w:rsidP="00E160C9">
      <w:pPr>
        <w:pStyle w:val="Bulletedlist"/>
      </w:pPr>
      <w:r>
        <w:t>incorporating it into</w:t>
      </w:r>
      <w:r w:rsidR="0015154D">
        <w:t xml:space="preserve"> to the </w:t>
      </w:r>
      <w:r w:rsidR="00F7399B">
        <w:t>definitions of</w:t>
      </w:r>
      <w:r w:rsidR="0015154D">
        <w:t xml:space="preserve"> direct and indirect discrimination</w:t>
      </w:r>
      <w:r w:rsidR="00C32D02">
        <w:t xml:space="preserve"> (clauses 14 and 15)</w:t>
      </w:r>
      <w:r w:rsidR="0015154D">
        <w:t>.</w:t>
      </w:r>
    </w:p>
    <w:p w14:paraId="43597426" w14:textId="60D32D49" w:rsidR="002F37B3" w:rsidRDefault="002F37B3" w:rsidP="002F37B3">
      <w:pPr>
        <w:pStyle w:val="Numberedparagraph"/>
      </w:pPr>
      <w:r>
        <w:t>The QHRC has several concerns about this approach.</w:t>
      </w:r>
    </w:p>
    <w:p w14:paraId="51FC1DBE" w14:textId="46FC436B" w:rsidR="008C1817" w:rsidRDefault="002B2116" w:rsidP="00F7399B">
      <w:pPr>
        <w:pStyle w:val="Heading3"/>
      </w:pPr>
      <w:bookmarkStart w:id="18" w:name="_Toc161917232"/>
      <w:r>
        <w:lastRenderedPageBreak/>
        <w:t>Incorporating concept into</w:t>
      </w:r>
      <w:r w:rsidR="00F7399B">
        <w:t xml:space="preserve"> definitions of direct and indirect</w:t>
      </w:r>
      <w:bookmarkEnd w:id="18"/>
    </w:p>
    <w:p w14:paraId="4C505B54" w14:textId="409065F0" w:rsidR="00FE6B74" w:rsidRPr="00510425" w:rsidRDefault="001B1D85" w:rsidP="00FE6B74">
      <w:pPr>
        <w:pStyle w:val="Numberedparagraph"/>
      </w:pPr>
      <w:r>
        <w:t xml:space="preserve">The draft Bill </w:t>
      </w:r>
      <w:r w:rsidR="001B2BB5">
        <w:t>imports reasonable accommodations into both direct and indirect discrimination creat</w:t>
      </w:r>
      <w:r w:rsidR="009130C0">
        <w:t>ing</w:t>
      </w:r>
      <w:r w:rsidR="001B2BB5">
        <w:t xml:space="preserve"> unnecessary complexity</w:t>
      </w:r>
      <w:r w:rsidR="009130C0">
        <w:t xml:space="preserve">. </w:t>
      </w:r>
      <w:r w:rsidR="00AD29B4">
        <w:t xml:space="preserve">This </w:t>
      </w:r>
      <w:r w:rsidR="00244F16">
        <w:t>drafting</w:t>
      </w:r>
      <w:r w:rsidR="009130C0">
        <w:t xml:space="preserve"> </w:t>
      </w:r>
      <w:r w:rsidR="001B2BB5">
        <w:t xml:space="preserve">may also </w:t>
      </w:r>
      <w:r w:rsidR="00A176C6">
        <w:t xml:space="preserve">lead to </w:t>
      </w:r>
      <w:r w:rsidR="00763586">
        <w:t>an</w:t>
      </w:r>
      <w:r w:rsidR="00B36E77">
        <w:t xml:space="preserve"> incorrect interpretation</w:t>
      </w:r>
      <w:r w:rsidR="00A176C6">
        <w:t xml:space="preserve"> that people without the attribute of disability are not entitled to reasonable accommodations</w:t>
      </w:r>
      <w:r w:rsidR="00763586">
        <w:t>, where this may currently be argued under indirect discrimination, such as on the grounds of family responsibilities</w:t>
      </w:r>
      <w:r w:rsidR="00A176C6">
        <w:t xml:space="preserve">. </w:t>
      </w:r>
    </w:p>
    <w:p w14:paraId="01DF0736" w14:textId="63D6C029" w:rsidR="00700063" w:rsidRDefault="00821029" w:rsidP="007928DE">
      <w:pPr>
        <w:pStyle w:val="Numberedparagraph"/>
      </w:pPr>
      <w:r>
        <w:t xml:space="preserve">Reasonable accommodations as </w:t>
      </w:r>
      <w:r w:rsidR="007928DE">
        <w:t xml:space="preserve">a kind of </w:t>
      </w:r>
      <w:r>
        <w:t xml:space="preserve">direct discrimination creates </w:t>
      </w:r>
      <w:r w:rsidR="00974B2B">
        <w:t>confusion because there is no causation element like there is for ‘traditional’ direct discrimination.</w:t>
      </w:r>
      <w:r w:rsidR="007928DE">
        <w:t xml:space="preserve"> </w:t>
      </w:r>
      <w:r w:rsidR="00700063">
        <w:t xml:space="preserve">Attempting to </w:t>
      </w:r>
      <w:r w:rsidR="006C29BC">
        <w:t>cast</w:t>
      </w:r>
      <w:r w:rsidR="00F760DA">
        <w:t xml:space="preserve"> </w:t>
      </w:r>
      <w:r w:rsidR="00FB2FAB">
        <w:t xml:space="preserve">reasonable accommodation </w:t>
      </w:r>
      <w:r w:rsidR="00E06D22">
        <w:t>as</w:t>
      </w:r>
      <w:r w:rsidR="00FB2FAB">
        <w:t xml:space="preserve"> a type of direct discrimination</w:t>
      </w:r>
      <w:r w:rsidR="007F10F8">
        <w:t>, which requires</w:t>
      </w:r>
      <w:r w:rsidR="005C5F13">
        <w:t xml:space="preserve"> </w:t>
      </w:r>
      <w:r w:rsidR="00DD689C">
        <w:t>the</w:t>
      </w:r>
      <w:r w:rsidR="005C5F13">
        <w:t xml:space="preserve"> person </w:t>
      </w:r>
      <w:r w:rsidR="00DD689C">
        <w:t xml:space="preserve">with disability </w:t>
      </w:r>
      <w:r w:rsidR="005C5F13">
        <w:t>to be treated unfavourably</w:t>
      </w:r>
      <w:r w:rsidR="00CA2F29">
        <w:t xml:space="preserve">, </w:t>
      </w:r>
      <w:r w:rsidR="00FB2FAB">
        <w:t xml:space="preserve">also creates problems when trying to </w:t>
      </w:r>
      <w:r w:rsidR="004548EB">
        <w:t>define</w:t>
      </w:r>
      <w:r w:rsidR="00700063" w:rsidRPr="00C20FE2">
        <w:t xml:space="preserve"> ‘reasonable accommodation’ in cl</w:t>
      </w:r>
      <w:r w:rsidR="0077690E">
        <w:t>ause</w:t>
      </w:r>
      <w:r w:rsidR="00700063" w:rsidRPr="00C20FE2">
        <w:t xml:space="preserve"> </w:t>
      </w:r>
      <w:r w:rsidR="004548EB">
        <w:t>12.</w:t>
      </w:r>
    </w:p>
    <w:p w14:paraId="7C2C35CF" w14:textId="69DF52B8" w:rsidR="00C74F9C" w:rsidRDefault="0094554B" w:rsidP="007928DE">
      <w:pPr>
        <w:pStyle w:val="Numberedparagraph"/>
      </w:pPr>
      <w:r>
        <w:t>M</w:t>
      </w:r>
      <w:r w:rsidR="00E06F29">
        <w:t xml:space="preserve">aking a complaint about </w:t>
      </w:r>
      <w:r w:rsidR="006C76BD">
        <w:t xml:space="preserve">reasonable accommodations </w:t>
      </w:r>
      <w:r w:rsidR="00E06F29">
        <w:t>as a type of</w:t>
      </w:r>
      <w:r w:rsidR="00BC2494">
        <w:t xml:space="preserve"> indirect discrimination </w:t>
      </w:r>
      <w:r w:rsidR="00287EF7">
        <w:t>under clause 1</w:t>
      </w:r>
      <w:r w:rsidR="00B5418E">
        <w:t>5</w:t>
      </w:r>
      <w:r w:rsidR="00287EF7">
        <w:t>(2)</w:t>
      </w:r>
      <w:r w:rsidR="006C76BD">
        <w:t xml:space="preserve"> </w:t>
      </w:r>
      <w:r w:rsidR="00F05CFE">
        <w:t>requires the person to demonstrate</w:t>
      </w:r>
      <w:r w:rsidR="00F65192">
        <w:t xml:space="preserve">: 1) The imposition of a term, 2) that </w:t>
      </w:r>
      <w:r w:rsidR="002159F2">
        <w:t xml:space="preserve">has </w:t>
      </w:r>
      <w:r w:rsidR="00F65192">
        <w:t xml:space="preserve">the effect </w:t>
      </w:r>
      <w:r w:rsidR="0098650C">
        <w:t>of disadvantaging the person because of the disability</w:t>
      </w:r>
      <w:r w:rsidR="00F65192">
        <w:t xml:space="preserve">, 3) </w:t>
      </w:r>
      <w:r w:rsidR="0098650C">
        <w:t xml:space="preserve">where </w:t>
      </w:r>
      <w:r w:rsidR="006651D6">
        <w:t xml:space="preserve">the person would not be disadvantaged by the condition if a reasonable accommodation </w:t>
      </w:r>
      <w:proofErr w:type="gramStart"/>
      <w:r w:rsidR="006651D6">
        <w:t>was</w:t>
      </w:r>
      <w:proofErr w:type="gramEnd"/>
      <w:r w:rsidR="006651D6">
        <w:t xml:space="preserve"> made</w:t>
      </w:r>
      <w:r w:rsidR="00F65192">
        <w:t xml:space="preserve">, </w:t>
      </w:r>
      <w:r w:rsidR="006651D6">
        <w:t xml:space="preserve">and </w:t>
      </w:r>
      <w:r w:rsidR="00F65192">
        <w:t xml:space="preserve">4) </w:t>
      </w:r>
      <w:r w:rsidR="00674CC1">
        <w:t>failure or refusal to make the reasonable accommodation</w:t>
      </w:r>
      <w:r w:rsidR="00F65192">
        <w:t>.</w:t>
      </w:r>
      <w:r w:rsidR="00674CC1">
        <w:t xml:space="preserve"> The person with disability</w:t>
      </w:r>
      <w:r w:rsidR="00F65192">
        <w:t xml:space="preserve"> </w:t>
      </w:r>
      <w:r w:rsidR="0067021B">
        <w:t>would then have to go on to prove the elements in cl 12(1)(a), further discussed in the next section, when t</w:t>
      </w:r>
      <w:r w:rsidR="00C74F9C">
        <w:t xml:space="preserve">he </w:t>
      </w:r>
      <w:r w:rsidR="00D802BC">
        <w:t>case</w:t>
      </w:r>
      <w:r w:rsidR="00C74F9C">
        <w:t xml:space="preserve"> could be argued more simply as a form of indirect discrimination under clause 15(1).</w:t>
      </w:r>
      <w:r w:rsidR="00D802BC">
        <w:t xml:space="preserve"> </w:t>
      </w:r>
    </w:p>
    <w:p w14:paraId="09AAB830" w14:textId="6E2D25C6" w:rsidR="00297B2A" w:rsidRDefault="00A17C6F" w:rsidP="007928DE">
      <w:pPr>
        <w:pStyle w:val="Numberedparagraph"/>
      </w:pPr>
      <w:r>
        <w:t>The preferred</w:t>
      </w:r>
      <w:r w:rsidR="00130B38">
        <w:t xml:space="preserve"> alternative</w:t>
      </w:r>
      <w:r>
        <w:t xml:space="preserve">, in line with </w:t>
      </w:r>
      <w:r w:rsidR="00033540">
        <w:t xml:space="preserve">recommendations made in </w:t>
      </w:r>
      <w:r w:rsidR="00033540" w:rsidRPr="00D802BC">
        <w:rPr>
          <w:i/>
          <w:iCs/>
        </w:rPr>
        <w:t>Building Belonging</w:t>
      </w:r>
      <w:r w:rsidR="00AD7D42">
        <w:t>,</w:t>
      </w:r>
      <w:r w:rsidR="00033540">
        <w:t xml:space="preserve"> </w:t>
      </w:r>
      <w:r w:rsidR="00130B38">
        <w:t>is to create a third, stand</w:t>
      </w:r>
      <w:r w:rsidR="0049224E">
        <w:t>-</w:t>
      </w:r>
      <w:r w:rsidR="00130B38">
        <w:t xml:space="preserve">alone </w:t>
      </w:r>
      <w:r w:rsidR="00993148">
        <w:t>obligation to make</w:t>
      </w:r>
      <w:r w:rsidR="007E7429">
        <w:t xml:space="preserve"> reasonable accommodations, entirely separate from direct and indirect </w:t>
      </w:r>
      <w:r w:rsidR="00297B2A">
        <w:t>discrimination.</w:t>
      </w:r>
    </w:p>
    <w:p w14:paraId="12AE3353" w14:textId="4AE39238" w:rsidR="0094554B" w:rsidRDefault="00EC7B79" w:rsidP="004D13D6">
      <w:pPr>
        <w:pStyle w:val="Heading3"/>
      </w:pPr>
      <w:bookmarkStart w:id="19" w:name="_Toc161917233"/>
      <w:r>
        <w:t>Definition</w:t>
      </w:r>
      <w:r w:rsidR="003D18A2">
        <w:t xml:space="preserve"> of </w:t>
      </w:r>
      <w:r w:rsidR="00AA3135">
        <w:t>‘reasonable accommodation’</w:t>
      </w:r>
      <w:bookmarkEnd w:id="19"/>
    </w:p>
    <w:p w14:paraId="38E5AE5D" w14:textId="5EC7450E" w:rsidR="00AA3135" w:rsidRDefault="003A1463" w:rsidP="00873F9B">
      <w:pPr>
        <w:pStyle w:val="Numberedparagraph"/>
      </w:pPr>
      <w:r>
        <w:t xml:space="preserve">Clause 12 </w:t>
      </w:r>
      <w:r w:rsidR="00A33B02">
        <w:t xml:space="preserve">defines what is a reasonable accommodation in relation a person with a disability. </w:t>
      </w:r>
    </w:p>
    <w:p w14:paraId="2B987D11" w14:textId="0AF5736C" w:rsidR="00602274" w:rsidRDefault="00602274" w:rsidP="00873F9B">
      <w:pPr>
        <w:pStyle w:val="Numberedparagraph"/>
      </w:pPr>
      <w:r>
        <w:t>To prove an accommodation is reasonable, a person must show it is:</w:t>
      </w:r>
    </w:p>
    <w:p w14:paraId="55FE387E" w14:textId="1DB124AC" w:rsidR="00602274" w:rsidRDefault="00DB2870" w:rsidP="00602274">
      <w:pPr>
        <w:pStyle w:val="Bulletedlist"/>
      </w:pPr>
      <w:r>
        <w:t>n</w:t>
      </w:r>
      <w:r w:rsidR="00602274">
        <w:t>ecessary</w:t>
      </w:r>
    </w:p>
    <w:p w14:paraId="5D9A9281" w14:textId="2FD89441" w:rsidR="00602274" w:rsidRDefault="00DB2870" w:rsidP="00602274">
      <w:pPr>
        <w:pStyle w:val="Bulletedlist"/>
      </w:pPr>
      <w:r>
        <w:t>a</w:t>
      </w:r>
      <w:r w:rsidR="00602274">
        <w:t>ppropriate to be made</w:t>
      </w:r>
    </w:p>
    <w:p w14:paraId="6FE33793" w14:textId="77777777" w:rsidR="00D802BC" w:rsidRDefault="00DB2870" w:rsidP="00D802BC">
      <w:pPr>
        <w:pStyle w:val="Bulletedlist"/>
      </w:pPr>
      <w:r>
        <w:t>e</w:t>
      </w:r>
      <w:r w:rsidR="00602274">
        <w:t>ffective</w:t>
      </w:r>
    </w:p>
    <w:p w14:paraId="424B4A44" w14:textId="60567569" w:rsidR="00602274" w:rsidRDefault="00B02956" w:rsidP="00D802BC">
      <w:pPr>
        <w:pStyle w:val="Bulletedlist"/>
      </w:pPr>
      <w:r>
        <w:t>t</w:t>
      </w:r>
      <w:r w:rsidR="009717FB">
        <w:t>o ensure the person is not treated unfavourably</w:t>
      </w:r>
      <w:r w:rsidR="00DB2870">
        <w:t>.</w:t>
      </w:r>
    </w:p>
    <w:p w14:paraId="0FBC7159" w14:textId="4DF2E1E5" w:rsidR="00602274" w:rsidRDefault="00602274" w:rsidP="00602274">
      <w:pPr>
        <w:pStyle w:val="Numberedparagraph"/>
      </w:pPr>
      <w:r>
        <w:t xml:space="preserve">Rather than factors to establish what is </w:t>
      </w:r>
      <w:r w:rsidR="00027622">
        <w:t>‘</w:t>
      </w:r>
      <w:r>
        <w:t>reasonable</w:t>
      </w:r>
      <w:r w:rsidR="00027622">
        <w:t>’</w:t>
      </w:r>
      <w:r>
        <w:t xml:space="preserve">, these are framed as elements that each need to be proved by the person with a disability. This </w:t>
      </w:r>
      <w:r w:rsidR="00C44CB5">
        <w:t xml:space="preserve">unnecessarily </w:t>
      </w:r>
      <w:r w:rsidR="00930050">
        <w:t>restricts an assessment of what is ‘reasonable</w:t>
      </w:r>
      <w:proofErr w:type="gramStart"/>
      <w:r w:rsidR="00930050">
        <w:t>’, and</w:t>
      </w:r>
      <w:proofErr w:type="gramEnd"/>
      <w:r w:rsidR="00930050">
        <w:t xml:space="preserve"> </w:t>
      </w:r>
      <w:r w:rsidR="000C5BAE">
        <w:t>may</w:t>
      </w:r>
      <w:r w:rsidR="006D3254">
        <w:t xml:space="preserve"> </w:t>
      </w:r>
      <w:r w:rsidR="001D1745">
        <w:t xml:space="preserve">impose too </w:t>
      </w:r>
      <w:r w:rsidR="0066195D">
        <w:t xml:space="preserve">high a burden on the person with disability to demonstrate. </w:t>
      </w:r>
    </w:p>
    <w:p w14:paraId="40243307" w14:textId="1ED0714F" w:rsidR="009A6BAD" w:rsidRDefault="009A6BAD" w:rsidP="00602274">
      <w:pPr>
        <w:pStyle w:val="Numberedparagraph"/>
      </w:pPr>
      <w:r>
        <w:t xml:space="preserve">As </w:t>
      </w:r>
      <w:r w:rsidR="00D802BC">
        <w:t>necessity</w:t>
      </w:r>
      <w:r w:rsidR="00A57080">
        <w:t xml:space="preserve">, </w:t>
      </w:r>
      <w:r>
        <w:t>appropriateness and effectiveness are arguably aspects of reasonableness, there seems to be no benefit in confining the meaning by including these additional terms.</w:t>
      </w:r>
    </w:p>
    <w:p w14:paraId="28428684" w14:textId="50319C26" w:rsidR="007572DC" w:rsidRDefault="007572DC" w:rsidP="007572DC">
      <w:pPr>
        <w:pStyle w:val="Heading3"/>
      </w:pPr>
      <w:bookmarkStart w:id="20" w:name="_Toc161917234"/>
      <w:r>
        <w:lastRenderedPageBreak/>
        <w:t>Factors for unjustifiable hardship</w:t>
      </w:r>
      <w:bookmarkEnd w:id="20"/>
    </w:p>
    <w:p w14:paraId="1E63CDE5" w14:textId="09C4BE4E" w:rsidR="007572DC" w:rsidRDefault="00AB6C83" w:rsidP="00297B2A">
      <w:pPr>
        <w:pStyle w:val="Numberedparagraph"/>
      </w:pPr>
      <w:r>
        <w:t>In clause 12(3) t</w:t>
      </w:r>
      <w:r w:rsidR="007572DC">
        <w:t>he word</w:t>
      </w:r>
      <w:r w:rsidR="00F265D3">
        <w:t xml:space="preserve"> ‘must’ should be </w:t>
      </w:r>
      <w:r w:rsidR="00FD3138">
        <w:t>changed to ‘may’</w:t>
      </w:r>
      <w:r w:rsidR="0052200C">
        <w:t xml:space="preserve">. Not </w:t>
      </w:r>
      <w:proofErr w:type="gramStart"/>
      <w:r w:rsidR="0052200C">
        <w:t>all of</w:t>
      </w:r>
      <w:proofErr w:type="gramEnd"/>
      <w:r w:rsidR="0052200C">
        <w:t xml:space="preserve"> the factors will be relevant to each </w:t>
      </w:r>
      <w:r w:rsidR="00F11A9E">
        <w:t>situation</w:t>
      </w:r>
      <w:r w:rsidR="00440FA1">
        <w:t>, and so</w:t>
      </w:r>
      <w:r w:rsidR="00A74207">
        <w:t xml:space="preserve"> mandating</w:t>
      </w:r>
      <w:r w:rsidR="00440FA1">
        <w:t xml:space="preserve"> consideration of all factors</w:t>
      </w:r>
      <w:r w:rsidR="003D3FAD">
        <w:t xml:space="preserve"> in every case</w:t>
      </w:r>
      <w:r w:rsidR="00440FA1">
        <w:t xml:space="preserve"> is unnecessarily onerous.</w:t>
      </w:r>
      <w:r w:rsidR="00A163C8">
        <w:t xml:space="preserve"> </w:t>
      </w:r>
    </w:p>
    <w:p w14:paraId="2FEA15E4" w14:textId="3A622822" w:rsidR="00130B38" w:rsidRDefault="00424F6A" w:rsidP="00297B2A">
      <w:pPr>
        <w:pStyle w:val="Numberedparagraph"/>
      </w:pPr>
      <w:r>
        <w:t>Clause 12(3)</w:t>
      </w:r>
      <w:r w:rsidR="00A62F74">
        <w:t>(</w:t>
      </w:r>
      <w:r w:rsidR="007B40A1">
        <w:t>b</w:t>
      </w:r>
      <w:r w:rsidR="00A62F74">
        <w:t>)</w:t>
      </w:r>
      <w:r>
        <w:t xml:space="preserve"> refers to </w:t>
      </w:r>
      <w:r w:rsidR="000869DB">
        <w:t xml:space="preserve">ensuring a </w:t>
      </w:r>
      <w:r w:rsidR="000244B2">
        <w:t xml:space="preserve">person with disability </w:t>
      </w:r>
      <w:r w:rsidR="000869DB">
        <w:t>is not</w:t>
      </w:r>
      <w:r w:rsidR="00A53604">
        <w:t xml:space="preserve"> </w:t>
      </w:r>
      <w:r>
        <w:t>‘</w:t>
      </w:r>
      <w:r w:rsidR="000244B2">
        <w:t>treated unfavourably</w:t>
      </w:r>
      <w:r>
        <w:t xml:space="preserve">’ which reinforces the problem of </w:t>
      </w:r>
      <w:r w:rsidR="00B978BF">
        <w:t>attempting</w:t>
      </w:r>
      <w:r>
        <w:t xml:space="preserve"> to frame</w:t>
      </w:r>
      <w:r w:rsidR="00B978BF">
        <w:t xml:space="preserve"> a</w:t>
      </w:r>
      <w:r>
        <w:t xml:space="preserve"> </w:t>
      </w:r>
      <w:r w:rsidR="007C259A">
        <w:t xml:space="preserve">failure to make reasonable accommodations as a form of direct discrimination. </w:t>
      </w:r>
      <w:r w:rsidR="003C12AA">
        <w:t>I</w:t>
      </w:r>
      <w:r w:rsidR="007C259A">
        <w:t>t would be preferabl</w:t>
      </w:r>
      <w:r w:rsidR="00BC1F1F">
        <w:t>e</w:t>
      </w:r>
      <w:r w:rsidR="007C259A">
        <w:t xml:space="preserve"> to refer to ‘disadvantage’</w:t>
      </w:r>
      <w:r w:rsidR="002F441A">
        <w:t>,</w:t>
      </w:r>
      <w:r w:rsidR="007C259A">
        <w:t xml:space="preserve"> which aligns better with </w:t>
      </w:r>
      <w:r w:rsidR="00B978BF">
        <w:t xml:space="preserve">the formulation of </w:t>
      </w:r>
      <w:r w:rsidR="007C259A">
        <w:t>indirect discrimination.</w:t>
      </w:r>
    </w:p>
    <w:p w14:paraId="1CB00063" w14:textId="71F36536" w:rsidR="00E37402" w:rsidRPr="00261C28" w:rsidRDefault="00261C28" w:rsidP="00261C28">
      <w:pPr>
        <w:pStyle w:val="Heading3"/>
        <w:spacing w:before="240"/>
        <w:ind w:left="567"/>
        <w:rPr>
          <w:color w:val="FFFFFF" w:themeColor="background1"/>
        </w:rPr>
      </w:pPr>
      <w:r>
        <w:rPr>
          <w:noProof/>
        </w:rPr>
        <mc:AlternateContent>
          <mc:Choice Requires="wps">
            <w:drawing>
              <wp:anchor distT="0" distB="0" distL="114300" distR="114300" simplePos="0" relativeHeight="251658243" behindDoc="1" locked="0" layoutInCell="1" allowOverlap="1" wp14:anchorId="2FFDFD49" wp14:editId="17F5E3C9">
                <wp:simplePos x="0" y="0"/>
                <wp:positionH relativeFrom="margin">
                  <wp:align>left</wp:align>
                </wp:positionH>
                <wp:positionV relativeFrom="paragraph">
                  <wp:posOffset>-76200</wp:posOffset>
                </wp:positionV>
                <wp:extent cx="5419725" cy="5705475"/>
                <wp:effectExtent l="0" t="0" r="9525" b="9525"/>
                <wp:wrapNone/>
                <wp:docPr id="443871595" name="Rectangle 2"/>
                <wp:cNvGraphicFramePr/>
                <a:graphic xmlns:a="http://schemas.openxmlformats.org/drawingml/2006/main">
                  <a:graphicData uri="http://schemas.microsoft.com/office/word/2010/wordprocessingShape">
                    <wps:wsp>
                      <wps:cNvSpPr/>
                      <wps:spPr>
                        <a:xfrm>
                          <a:off x="0" y="0"/>
                          <a:ext cx="5419725" cy="5705475"/>
                        </a:xfrm>
                        <a:prstGeom prst="rect">
                          <a:avLst/>
                        </a:prstGeom>
                        <a:solidFill>
                          <a:srgbClr val="0042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7550E1" id="Rectangle 2" o:spid="_x0000_s1026" style="position:absolute;margin-left:0;margin-top:-6pt;width:426.75pt;height:449.25pt;z-index:-25165823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3EYaAIAAEsFAAAOAAAAZHJzL2Uyb0RvYy54bWysVN9r2zAQfh/sfxB6Xx1nybKGOCWkdAxK&#10;W9qOPiuylBhknXZS4mR//U6y42RdoTD2Yp903/2+T7OrfW3YTqGvwBY8vxhwpqyEsrLrgv94vvn0&#10;lTMfhC2FAasKflCeX80/fpg1bqqGsAFTKmTkxPpp4wq+CcFNs8zLjaqFvwCnLCk1YC0CHXGdlSga&#10;8l6bbDgYfMkawNIhSOU93V63Sj5P/rVWMtxr7VVgpuCUW0hfTN9V/GbzmZiuUbhNJbs0xD9kUYvK&#10;UtDe1bUIgm2x+stVXUkEDzpcSKgz0LqSKtVA1eSDV9U8bYRTqRZqjnd9m/z/cyvvdk/uAakNjfNT&#10;T2KsYq+xjn/Kj+1Tsw59s9Q+MEmX41F+ORmOOZOkG08G49FkHNuZncwd+vBNQc2iUHCkaaQmid2t&#10;Dy30CInRPJiqvKmMSQdcr5YG2U7EyQ1Gw0kaFnn/A2ZsBFuIZq3H9kal2XdhTqUlKRyMilbGPirN&#10;qpKKyVNeaetUH1VIqWzIu6ISOpppCtUbfn7fsMNH0zar3nj4vnFvkSKDDb1xXVnAtxyYPmXd4mkm&#10;Z3VHcQXl4QEZQssH7+RNRSO6FT48CCQCEFWI1OGePtpAU3DoJM42gL/euo942kvSctYQoQruf24F&#10;Ks7Md0sbe5mPRpGB6TAaT4Z0wHPN6lxjt/USaPI5PR9OJjHigzmKGqF+Ie4vYlRSCSspdsFlwONh&#10;GVqi0+sh1WKRYMQ6J8KtfXLyOPW4gs/7F4Gu29NAK34HR/KJ6at1bbFxHhYW2wC6Srt86mvXb2Js&#10;YkP3usQn4fycUKc3cP4bAAD//wMAUEsDBBQABgAIAAAAIQDl7Ady3gAAAAgBAAAPAAAAZHJzL2Rv&#10;d25yZXYueG1sTI9Pa8JAEMXvBb/DMkJvulGJxDQbKYIXoYXG0vOanfyp2dmQXU389p2e2tsb3uPN&#10;72X7yXbijoNvHSlYLSMQSKUzLdUKPs/HRQLCB01Gd45QwQM97PPZU6ZT40b6wHsRasEl5FOtoAmh&#10;T6X0ZYNW+6Xrkdir3GB14HOopRn0yOW2k+so2kqrW+IPje7x0GB5LW5WwfgtN6Y4fj0O5Y5O1/e3&#10;6hTtKqWe59PrC4iAU/gLwy8+o0POTBd3I+NFp4CHBAWL1ZoF20m8iUFcWCTbGGSeyf8D8h8AAAD/&#10;/wMAUEsBAi0AFAAGAAgAAAAhALaDOJL+AAAA4QEAABMAAAAAAAAAAAAAAAAAAAAAAFtDb250ZW50&#10;X1R5cGVzXS54bWxQSwECLQAUAAYACAAAACEAOP0h/9YAAACUAQAACwAAAAAAAAAAAAAAAAAvAQAA&#10;X3JlbHMvLnJlbHNQSwECLQAUAAYACAAAACEAX7dxGGgCAABLBQAADgAAAAAAAAAAAAAAAAAuAgAA&#10;ZHJzL2Uyb0RvYy54bWxQSwECLQAUAAYACAAAACEA5ewHct4AAAAIAQAADwAAAAAAAAAAAAAAAADC&#10;BAAAZHJzL2Rvd25yZXYueG1sUEsFBgAAAAAEAAQA8wAAAM0FAAAAAA==&#10;" fillcolor="#004270" stroked="f">
                <w10:wrap anchorx="margin"/>
              </v:rect>
            </w:pict>
          </mc:Fallback>
        </mc:AlternateContent>
      </w:r>
      <w:r w:rsidR="00E37402" w:rsidRPr="00261C28">
        <w:rPr>
          <w:color w:val="FFFFFF" w:themeColor="background1"/>
        </w:rPr>
        <w:t>Recommendation</w:t>
      </w:r>
    </w:p>
    <w:p w14:paraId="32A38564" w14:textId="73A2E137" w:rsidR="0079306B" w:rsidRPr="00261C28" w:rsidRDefault="0079306B" w:rsidP="008542C5">
      <w:pPr>
        <w:ind w:left="567"/>
        <w:rPr>
          <w:color w:val="FFFFFF" w:themeColor="background1"/>
        </w:rPr>
      </w:pPr>
      <w:r w:rsidRPr="00261C28">
        <w:rPr>
          <w:color w:val="FFFFFF" w:themeColor="background1"/>
        </w:rPr>
        <w:t xml:space="preserve">Omit clauses 12, 14(2), 15(2) and 18. </w:t>
      </w:r>
    </w:p>
    <w:p w14:paraId="48DF5874" w14:textId="2BD61FF5" w:rsidR="0079306B" w:rsidRPr="00261C28" w:rsidRDefault="0079306B" w:rsidP="008542C5">
      <w:pPr>
        <w:ind w:left="567"/>
        <w:rPr>
          <w:color w:val="FFFFFF" w:themeColor="background1"/>
        </w:rPr>
      </w:pPr>
      <w:r w:rsidRPr="00261C28">
        <w:rPr>
          <w:color w:val="FFFFFF" w:themeColor="background1"/>
        </w:rPr>
        <w:t>Insert new contravention of ‘reasonable accommodations for people with disability’ – separate to direct and indirect discrimination. Suggested drafting:</w:t>
      </w:r>
    </w:p>
    <w:p w14:paraId="3B513448" w14:textId="77777777" w:rsidR="0079306B" w:rsidRPr="00261C28" w:rsidRDefault="0079306B" w:rsidP="008542C5">
      <w:pPr>
        <w:ind w:left="567"/>
        <w:rPr>
          <w:b/>
          <w:color w:val="FFFFFF" w:themeColor="background1"/>
        </w:rPr>
      </w:pPr>
      <w:r w:rsidRPr="00261C28">
        <w:rPr>
          <w:b/>
          <w:color w:val="FFFFFF" w:themeColor="background1"/>
        </w:rPr>
        <w:t>Reasonable accommodations for people with disability</w:t>
      </w:r>
    </w:p>
    <w:p w14:paraId="44555383" w14:textId="4DA03319" w:rsidR="0079306B" w:rsidRPr="00261C28" w:rsidRDefault="0079306B" w:rsidP="00261C28">
      <w:pPr>
        <w:ind w:left="720"/>
        <w:rPr>
          <w:color w:val="FFFFFF" w:themeColor="background1"/>
        </w:rPr>
      </w:pPr>
      <w:r w:rsidRPr="00261C28">
        <w:rPr>
          <w:color w:val="FFFFFF" w:themeColor="background1"/>
        </w:rPr>
        <w:t>(1)</w:t>
      </w:r>
      <w:r w:rsidR="00261C28">
        <w:rPr>
          <w:color w:val="FFFFFF" w:themeColor="background1"/>
        </w:rPr>
        <w:t xml:space="preserve"> </w:t>
      </w:r>
      <w:r w:rsidRPr="00261C28">
        <w:rPr>
          <w:color w:val="FFFFFF" w:themeColor="background1"/>
        </w:rPr>
        <w:t>A person (</w:t>
      </w:r>
      <w:r w:rsidRPr="00261C28">
        <w:rPr>
          <w:b/>
          <w:bCs/>
          <w:color w:val="FFFFFF" w:themeColor="background1"/>
        </w:rPr>
        <w:t>the first person</w:t>
      </w:r>
      <w:r w:rsidRPr="00261C28">
        <w:rPr>
          <w:color w:val="FFFFFF" w:themeColor="background1"/>
        </w:rPr>
        <w:t xml:space="preserve">) discriminates against a person with disability if: </w:t>
      </w:r>
    </w:p>
    <w:p w14:paraId="18719851" w14:textId="2CD76B2A" w:rsidR="0079306B" w:rsidRPr="00261C28" w:rsidRDefault="0079306B" w:rsidP="00261C28">
      <w:pPr>
        <w:ind w:left="1440"/>
        <w:rPr>
          <w:color w:val="FFFFFF" w:themeColor="background1"/>
        </w:rPr>
      </w:pPr>
      <w:r w:rsidRPr="00261C28">
        <w:rPr>
          <w:color w:val="FFFFFF" w:themeColor="background1"/>
        </w:rPr>
        <w:t>(a)</w:t>
      </w:r>
      <w:r w:rsidR="00261C28">
        <w:rPr>
          <w:color w:val="FFFFFF" w:themeColor="background1"/>
        </w:rPr>
        <w:t xml:space="preserve"> </w:t>
      </w:r>
      <w:r w:rsidR="007A5124" w:rsidRPr="00261C28">
        <w:rPr>
          <w:color w:val="FFFFFF" w:themeColor="background1"/>
        </w:rPr>
        <w:t>t</w:t>
      </w:r>
      <w:r w:rsidRPr="00261C28">
        <w:rPr>
          <w:color w:val="FFFFFF" w:themeColor="background1"/>
        </w:rPr>
        <w:t xml:space="preserve">he person with disability </w:t>
      </w:r>
      <w:r w:rsidR="006A57F8" w:rsidRPr="00261C28">
        <w:rPr>
          <w:color w:val="FFFFFF" w:themeColor="background1"/>
        </w:rPr>
        <w:t xml:space="preserve">requests </w:t>
      </w:r>
      <w:r w:rsidR="00F73217" w:rsidRPr="00261C28">
        <w:rPr>
          <w:color w:val="FFFFFF" w:themeColor="background1"/>
        </w:rPr>
        <w:t xml:space="preserve">a </w:t>
      </w:r>
      <w:r w:rsidRPr="00261C28">
        <w:rPr>
          <w:color w:val="FFFFFF" w:themeColor="background1"/>
        </w:rPr>
        <w:t>reasonable accommodation; and</w:t>
      </w:r>
    </w:p>
    <w:p w14:paraId="58ED1917" w14:textId="5C7CC690" w:rsidR="0079306B" w:rsidRPr="00261C28" w:rsidRDefault="0079306B" w:rsidP="00261C28">
      <w:pPr>
        <w:ind w:left="1440"/>
        <w:rPr>
          <w:color w:val="FFFFFF" w:themeColor="background1"/>
        </w:rPr>
      </w:pPr>
      <w:r w:rsidRPr="00261C28">
        <w:rPr>
          <w:color w:val="FFFFFF" w:themeColor="background1"/>
        </w:rPr>
        <w:t>(b)</w:t>
      </w:r>
      <w:r w:rsidR="00261C28">
        <w:rPr>
          <w:color w:val="FFFFFF" w:themeColor="background1"/>
        </w:rPr>
        <w:t xml:space="preserve"> </w:t>
      </w:r>
      <w:r w:rsidR="007A5124" w:rsidRPr="00261C28">
        <w:rPr>
          <w:color w:val="FFFFFF" w:themeColor="background1"/>
        </w:rPr>
        <w:t>t</w:t>
      </w:r>
      <w:r w:rsidRPr="00261C28">
        <w:rPr>
          <w:color w:val="FFFFFF" w:themeColor="background1"/>
        </w:rPr>
        <w:t>he accommodation does not impose unjustifiable hardship on the first person; and</w:t>
      </w:r>
    </w:p>
    <w:p w14:paraId="6E7AD3C4" w14:textId="0BE27541" w:rsidR="00F73217" w:rsidRPr="00261C28" w:rsidRDefault="0079306B" w:rsidP="00261C28">
      <w:pPr>
        <w:ind w:left="1440"/>
        <w:rPr>
          <w:color w:val="FFFFFF" w:themeColor="background1"/>
        </w:rPr>
      </w:pPr>
      <w:r w:rsidRPr="00261C28">
        <w:rPr>
          <w:color w:val="FFFFFF" w:themeColor="background1"/>
        </w:rPr>
        <w:t>(c)</w:t>
      </w:r>
      <w:r w:rsidR="00261C28">
        <w:rPr>
          <w:color w:val="FFFFFF" w:themeColor="background1"/>
        </w:rPr>
        <w:t xml:space="preserve"> </w:t>
      </w:r>
      <w:r w:rsidR="007A5124" w:rsidRPr="00261C28">
        <w:rPr>
          <w:color w:val="FFFFFF" w:themeColor="background1"/>
        </w:rPr>
        <w:t>t</w:t>
      </w:r>
      <w:r w:rsidRPr="00261C28">
        <w:rPr>
          <w:color w:val="FFFFFF" w:themeColor="background1"/>
        </w:rPr>
        <w:t>he first person fails or refuses to make the accommodation.</w:t>
      </w:r>
    </w:p>
    <w:p w14:paraId="236299B1" w14:textId="77777777" w:rsidR="0079306B" w:rsidRPr="00261C28" w:rsidRDefault="0079306B" w:rsidP="0061169B">
      <w:pPr>
        <w:ind w:left="720" w:firstLine="720"/>
        <w:rPr>
          <w:i/>
          <w:iCs/>
          <w:color w:val="FFFFFF" w:themeColor="background1"/>
        </w:rPr>
      </w:pPr>
      <w:r w:rsidRPr="00261C28">
        <w:rPr>
          <w:i/>
          <w:iCs/>
          <w:color w:val="FFFFFF" w:themeColor="background1"/>
        </w:rPr>
        <w:t xml:space="preserve">Examples of what may be a reasonable accommodation – </w:t>
      </w:r>
    </w:p>
    <w:p w14:paraId="18AED479" w14:textId="4831D44F" w:rsidR="0079306B" w:rsidRPr="00261C28" w:rsidRDefault="0079306B" w:rsidP="00A52E6F">
      <w:pPr>
        <w:ind w:left="1440"/>
        <w:rPr>
          <w:i/>
          <w:iCs/>
          <w:color w:val="FFFFFF" w:themeColor="background1"/>
        </w:rPr>
      </w:pPr>
      <w:r w:rsidRPr="00261C28">
        <w:rPr>
          <w:i/>
          <w:iCs/>
          <w:color w:val="FFFFFF" w:themeColor="background1"/>
        </w:rPr>
        <w:t>1.</w:t>
      </w:r>
      <w:r w:rsidR="00A52E6F">
        <w:rPr>
          <w:i/>
          <w:iCs/>
          <w:color w:val="FFFFFF" w:themeColor="background1"/>
        </w:rPr>
        <w:t xml:space="preserve"> </w:t>
      </w:r>
      <w:r w:rsidRPr="00261C28">
        <w:rPr>
          <w:i/>
          <w:iCs/>
          <w:color w:val="FFFFFF" w:themeColor="background1"/>
        </w:rPr>
        <w:t>A reasonable accommodation for a person with vision impairment may be buying a screen reading software for the person.</w:t>
      </w:r>
    </w:p>
    <w:p w14:paraId="0619F024" w14:textId="3FE5DA70" w:rsidR="0079306B" w:rsidRPr="00261C28" w:rsidRDefault="0079306B" w:rsidP="00A52E6F">
      <w:pPr>
        <w:ind w:left="1440"/>
        <w:rPr>
          <w:i/>
          <w:iCs/>
          <w:color w:val="FFFFFF" w:themeColor="background1"/>
        </w:rPr>
      </w:pPr>
      <w:r w:rsidRPr="00261C28">
        <w:rPr>
          <w:i/>
          <w:iCs/>
          <w:color w:val="FFFFFF" w:themeColor="background1"/>
        </w:rPr>
        <w:t>2.</w:t>
      </w:r>
      <w:r w:rsidR="00A52E6F">
        <w:rPr>
          <w:i/>
          <w:iCs/>
          <w:color w:val="FFFFFF" w:themeColor="background1"/>
        </w:rPr>
        <w:t xml:space="preserve"> </w:t>
      </w:r>
      <w:r w:rsidRPr="00261C28">
        <w:rPr>
          <w:i/>
          <w:iCs/>
          <w:color w:val="FFFFFF" w:themeColor="background1"/>
        </w:rPr>
        <w:t>A reasonable accommodation for a person who uses a wheelchair may be physical modifications to the person’s workstation to accommodate the wheelchair.</w:t>
      </w:r>
    </w:p>
    <w:p w14:paraId="2C1E41D0" w14:textId="77777777" w:rsidR="0079306B" w:rsidRPr="00261C28" w:rsidRDefault="0079306B" w:rsidP="00176389">
      <w:pPr>
        <w:ind w:left="720"/>
        <w:rPr>
          <w:color w:val="FFFFFF" w:themeColor="background1"/>
        </w:rPr>
      </w:pPr>
      <w:r w:rsidRPr="00261C28">
        <w:rPr>
          <w:color w:val="FFFFFF" w:themeColor="background1"/>
        </w:rPr>
        <w:t xml:space="preserve">(2) The first person has the onus of proving that making the accommodation would impose an unjustifiable hardship, on the balance of probabilities. </w:t>
      </w:r>
    </w:p>
    <w:p w14:paraId="785D2034" w14:textId="08B9B60D" w:rsidR="0079306B" w:rsidRPr="00261C28" w:rsidRDefault="0079306B" w:rsidP="00176389">
      <w:pPr>
        <w:ind w:left="720"/>
        <w:rPr>
          <w:color w:val="FFFFFF" w:themeColor="background1"/>
        </w:rPr>
      </w:pPr>
      <w:r w:rsidRPr="00261C28">
        <w:rPr>
          <w:color w:val="FFFFFF" w:themeColor="background1"/>
        </w:rPr>
        <w:t>(3) In deciding whether an accommodation in relation to a person with disability would impose an unjustifiable hardship on the first person, the following matters may be considered:</w:t>
      </w:r>
    </w:p>
    <w:p w14:paraId="27A96420" w14:textId="6B217131" w:rsidR="0079306B" w:rsidRPr="00261C28" w:rsidRDefault="0079306B" w:rsidP="00176389">
      <w:pPr>
        <w:ind w:left="1440"/>
        <w:rPr>
          <w:color w:val="FFFFFF" w:themeColor="background1"/>
        </w:rPr>
      </w:pPr>
      <w:r w:rsidRPr="00261C28">
        <w:rPr>
          <w:color w:val="FFFFFF" w:themeColor="background1"/>
        </w:rPr>
        <w:t xml:space="preserve">[insert </w:t>
      </w:r>
      <w:r w:rsidR="00B65F52" w:rsidRPr="00261C28">
        <w:rPr>
          <w:color w:val="FFFFFF" w:themeColor="background1"/>
        </w:rPr>
        <w:t>c</w:t>
      </w:r>
      <w:r w:rsidRPr="00261C28">
        <w:rPr>
          <w:color w:val="FFFFFF" w:themeColor="background1"/>
        </w:rPr>
        <w:t>l 12(3)(a) to (h</w:t>
      </w:r>
      <w:proofErr w:type="gramStart"/>
      <w:r w:rsidRPr="00261C28">
        <w:rPr>
          <w:color w:val="FFFFFF" w:themeColor="background1"/>
        </w:rPr>
        <w:t>), but</w:t>
      </w:r>
      <w:proofErr w:type="gramEnd"/>
      <w:r w:rsidRPr="00261C28">
        <w:rPr>
          <w:color w:val="FFFFFF" w:themeColor="background1"/>
        </w:rPr>
        <w:t xml:space="preserve"> amend cl 12(3)(c) to read ‘…to ensure the person with disability is not disadvantaged’.]</w:t>
      </w:r>
    </w:p>
    <w:p w14:paraId="4862D232" w14:textId="0119FE17" w:rsidR="008854B1" w:rsidRDefault="00DF468E" w:rsidP="008542C5">
      <w:pPr>
        <w:ind w:left="567"/>
        <w:rPr>
          <w:color w:val="FFFFFF" w:themeColor="background1"/>
        </w:rPr>
      </w:pPr>
      <w:r w:rsidRPr="00261C28">
        <w:rPr>
          <w:color w:val="FFFFFF" w:themeColor="background1"/>
        </w:rPr>
        <w:t>Make c</w:t>
      </w:r>
      <w:r w:rsidR="008854B1" w:rsidRPr="00261C28">
        <w:rPr>
          <w:color w:val="FFFFFF" w:themeColor="background1"/>
        </w:rPr>
        <w:t xml:space="preserve">orresponding </w:t>
      </w:r>
      <w:r w:rsidR="005F199F" w:rsidRPr="00261C28">
        <w:rPr>
          <w:color w:val="FFFFFF" w:themeColor="background1"/>
        </w:rPr>
        <w:t xml:space="preserve">amendments </w:t>
      </w:r>
      <w:r w:rsidRPr="00261C28">
        <w:rPr>
          <w:color w:val="FFFFFF" w:themeColor="background1"/>
        </w:rPr>
        <w:t>in</w:t>
      </w:r>
      <w:r w:rsidR="005F199F" w:rsidRPr="00261C28">
        <w:rPr>
          <w:color w:val="FFFFFF" w:themeColor="background1"/>
        </w:rPr>
        <w:t xml:space="preserve"> cl 13</w:t>
      </w:r>
      <w:r w:rsidR="00B97C89" w:rsidRPr="00261C28">
        <w:rPr>
          <w:color w:val="FFFFFF" w:themeColor="background1"/>
        </w:rPr>
        <w:t xml:space="preserve">, to ensure this new </w:t>
      </w:r>
      <w:r w:rsidR="00DF36AA" w:rsidRPr="00261C28">
        <w:rPr>
          <w:color w:val="FFFFFF" w:themeColor="background1"/>
        </w:rPr>
        <w:t xml:space="preserve">contravention </w:t>
      </w:r>
      <w:r w:rsidR="0047599A" w:rsidRPr="00261C28">
        <w:rPr>
          <w:color w:val="FFFFFF" w:themeColor="background1"/>
        </w:rPr>
        <w:t xml:space="preserve">is </w:t>
      </w:r>
      <w:r w:rsidR="009D0F1A" w:rsidRPr="00261C28">
        <w:rPr>
          <w:color w:val="FFFFFF" w:themeColor="background1"/>
        </w:rPr>
        <w:t>incorporated</w:t>
      </w:r>
      <w:r w:rsidR="00FF064A" w:rsidRPr="00261C28">
        <w:rPr>
          <w:color w:val="FFFFFF" w:themeColor="background1"/>
        </w:rPr>
        <w:t xml:space="preserve"> and applies to all areas in which unlawful discrimination </w:t>
      </w:r>
      <w:r w:rsidR="009D1069" w:rsidRPr="00261C28">
        <w:rPr>
          <w:color w:val="FFFFFF" w:themeColor="background1"/>
        </w:rPr>
        <w:t>is prohibited</w:t>
      </w:r>
      <w:r w:rsidR="009D0F1A" w:rsidRPr="00261C28">
        <w:rPr>
          <w:color w:val="FFFFFF" w:themeColor="background1"/>
        </w:rPr>
        <w:t xml:space="preserve">. </w:t>
      </w:r>
    </w:p>
    <w:p w14:paraId="5D21BECF" w14:textId="77777777" w:rsidR="00A52E6F" w:rsidRPr="00261C28" w:rsidRDefault="00A52E6F" w:rsidP="008542C5">
      <w:pPr>
        <w:ind w:left="567"/>
        <w:rPr>
          <w:color w:val="FFFFFF" w:themeColor="background1"/>
        </w:rPr>
      </w:pPr>
    </w:p>
    <w:p w14:paraId="63B39144" w14:textId="34084AB8" w:rsidR="00B4270E" w:rsidRDefault="006E7662" w:rsidP="000E59AB">
      <w:pPr>
        <w:pStyle w:val="Heading2"/>
      </w:pPr>
      <w:bookmarkStart w:id="21" w:name="_Toc161917235"/>
      <w:r>
        <w:lastRenderedPageBreak/>
        <w:t>Positive duty</w:t>
      </w:r>
      <w:bookmarkEnd w:id="21"/>
    </w:p>
    <w:p w14:paraId="6A4553D8" w14:textId="49A98F1A" w:rsidR="003B38CC" w:rsidRDefault="00F76B52" w:rsidP="000E59AB">
      <w:pPr>
        <w:pStyle w:val="Numberedparagraph"/>
      </w:pPr>
      <w:r>
        <w:t xml:space="preserve">Consistent with the </w:t>
      </w:r>
      <w:r>
        <w:rPr>
          <w:i/>
          <w:iCs/>
        </w:rPr>
        <w:t xml:space="preserve">Building belonging </w:t>
      </w:r>
      <w:r w:rsidR="0085577E">
        <w:t>r</w:t>
      </w:r>
      <w:r>
        <w:t>eview</w:t>
      </w:r>
      <w:r w:rsidR="00815B64">
        <w:t xml:space="preserve"> recommendations,</w:t>
      </w:r>
      <w:r w:rsidR="00815B64">
        <w:rPr>
          <w:rStyle w:val="FootnoteReference"/>
        </w:rPr>
        <w:footnoteReference w:id="28"/>
      </w:r>
      <w:r>
        <w:t xml:space="preserve"> the QHRC supports the inclusion of a general positive duty</w:t>
      </w:r>
      <w:r w:rsidR="00815B64">
        <w:t xml:space="preserve"> in clause 19 of the draft Bill.</w:t>
      </w:r>
    </w:p>
    <w:p w14:paraId="66E719FF" w14:textId="20A33E8F" w:rsidR="004A12E8" w:rsidRDefault="00610B83" w:rsidP="000E59AB">
      <w:pPr>
        <w:pStyle w:val="Numberedparagraph"/>
      </w:pPr>
      <w:r>
        <w:t xml:space="preserve">However, </w:t>
      </w:r>
      <w:r w:rsidR="007B7565">
        <w:t xml:space="preserve">it is unclear whether the draft Bill </w:t>
      </w:r>
      <w:r w:rsidR="00262B7F">
        <w:t xml:space="preserve">fulfils </w:t>
      </w:r>
      <w:r w:rsidR="00660C51">
        <w:t xml:space="preserve">the </w:t>
      </w:r>
      <w:r w:rsidR="00222C7A">
        <w:t xml:space="preserve">Review’s </w:t>
      </w:r>
      <w:r w:rsidR="00660C51">
        <w:t xml:space="preserve">recommendation </w:t>
      </w:r>
      <w:r w:rsidR="001D7206">
        <w:t>that:</w:t>
      </w:r>
    </w:p>
    <w:p w14:paraId="16DD7D65" w14:textId="0B946422" w:rsidR="00EA4BDF" w:rsidRDefault="00EA4BDF" w:rsidP="000E59AB">
      <w:pPr>
        <w:pStyle w:val="Quote"/>
      </w:pPr>
      <w:r>
        <w:t xml:space="preserve">The </w:t>
      </w:r>
      <w:r w:rsidR="001C54A5">
        <w:t>duty should apply to anyone who has a legal obligation under the Act, and for all attributes and areas covered by the Act.</w:t>
      </w:r>
      <w:r w:rsidR="00BE4618">
        <w:rPr>
          <w:rStyle w:val="FootnoteReference"/>
        </w:rPr>
        <w:footnoteReference w:id="29"/>
      </w:r>
    </w:p>
    <w:p w14:paraId="46772B15" w14:textId="03BD7A2D" w:rsidR="003F346A" w:rsidRPr="003F346A" w:rsidRDefault="00D84CFE" w:rsidP="000E59AB">
      <w:pPr>
        <w:pStyle w:val="Numberedparagraph"/>
      </w:pPr>
      <w:r>
        <w:t>Clause 19(1)</w:t>
      </w:r>
      <w:r w:rsidR="00E16BDA">
        <w:t xml:space="preserve"> specifies </w:t>
      </w:r>
      <w:r w:rsidR="00A4135C">
        <w:t>that the</w:t>
      </w:r>
      <w:r w:rsidR="002B26A5">
        <w:t xml:space="preserve"> duty applies to corporations, </w:t>
      </w:r>
      <w:r w:rsidR="005B4D41">
        <w:t>partnerships, unincorporated</w:t>
      </w:r>
      <w:r w:rsidR="002B26A5">
        <w:t xml:space="preserve"> bodies</w:t>
      </w:r>
      <w:r w:rsidR="003E1469">
        <w:t>,</w:t>
      </w:r>
      <w:r w:rsidR="00101EB1">
        <w:t xml:space="preserve"> </w:t>
      </w:r>
      <w:r w:rsidR="007767B7">
        <w:t>and</w:t>
      </w:r>
      <w:r w:rsidR="00101EB1">
        <w:t xml:space="preserve"> sole traders</w:t>
      </w:r>
      <w:r w:rsidR="002B26A5">
        <w:t xml:space="preserve"> </w:t>
      </w:r>
      <w:r w:rsidR="00277A36">
        <w:t xml:space="preserve">who </w:t>
      </w:r>
      <w:r w:rsidR="002B26A5">
        <w:rPr>
          <w:i/>
          <w:iCs/>
        </w:rPr>
        <w:t>carry on a business or operations</w:t>
      </w:r>
      <w:r w:rsidR="002B26A5">
        <w:t>.</w:t>
      </w:r>
      <w:r w:rsidR="00101EB1">
        <w:t xml:space="preserve"> The term ‘operations’ is not defined</w:t>
      </w:r>
      <w:r w:rsidR="00B76A09">
        <w:t>. The</w:t>
      </w:r>
      <w:r w:rsidR="00662E71">
        <w:t xml:space="preserve"> positive duty in the</w:t>
      </w:r>
      <w:r w:rsidR="00B76A09">
        <w:t xml:space="preserve"> </w:t>
      </w:r>
      <w:r w:rsidR="00523BB9">
        <w:t xml:space="preserve">federal </w:t>
      </w:r>
      <w:r w:rsidR="00B76A09">
        <w:t xml:space="preserve">Sex Discrimination Act refers to </w:t>
      </w:r>
      <w:r w:rsidR="009432A8">
        <w:t xml:space="preserve">‘a person conducting a business or undertaking’ </w:t>
      </w:r>
      <w:r w:rsidR="00B443C3">
        <w:t>but this is in the context of a positive duty that only applies to the area of work.</w:t>
      </w:r>
      <w:r w:rsidR="009432A8">
        <w:rPr>
          <w:rStyle w:val="FootnoteReference"/>
        </w:rPr>
        <w:footnoteReference w:id="30"/>
      </w:r>
      <w:r w:rsidR="00B443C3">
        <w:t xml:space="preserve"> It is </w:t>
      </w:r>
      <w:r w:rsidR="00523BB9">
        <w:t>unclear</w:t>
      </w:r>
      <w:r w:rsidR="00B443C3">
        <w:t xml:space="preserve"> how</w:t>
      </w:r>
      <w:r w:rsidR="00692754">
        <w:t>, or whether</w:t>
      </w:r>
      <w:r w:rsidR="00882825">
        <w:t>,</w:t>
      </w:r>
      <w:r w:rsidR="00B443C3">
        <w:t xml:space="preserve"> ‘business or operations’ applies </w:t>
      </w:r>
      <w:r w:rsidR="00B91F97">
        <w:t xml:space="preserve">in the context of </w:t>
      </w:r>
      <w:r w:rsidR="00D760D7">
        <w:t xml:space="preserve">schools, </w:t>
      </w:r>
      <w:r w:rsidR="00B91F97">
        <w:t>universities, and government entities.</w:t>
      </w:r>
    </w:p>
    <w:p w14:paraId="527BB468" w14:textId="0806236A" w:rsidR="00907DFB" w:rsidRDefault="009D2FD3" w:rsidP="000E59AB">
      <w:pPr>
        <w:pStyle w:val="Numberedparagraph"/>
      </w:pPr>
      <w:r>
        <w:t xml:space="preserve">Clause 19 may have been drafted </w:t>
      </w:r>
      <w:r w:rsidR="00816ADE">
        <w:t xml:space="preserve">in </w:t>
      </w:r>
      <w:r w:rsidR="007E01F3">
        <w:t>this</w:t>
      </w:r>
      <w:r>
        <w:t xml:space="preserve"> way</w:t>
      </w:r>
      <w:r w:rsidR="00EC4569">
        <w:t xml:space="preserve"> to ensure that natural persons are not bound by the duty</w:t>
      </w:r>
      <w:r w:rsidR="00426305">
        <w:t>.</w:t>
      </w:r>
      <w:r w:rsidR="00EC4569">
        <w:t xml:space="preserve"> </w:t>
      </w:r>
      <w:r w:rsidR="00426305">
        <w:t>T</w:t>
      </w:r>
      <w:r w:rsidR="00EC4569">
        <w:t xml:space="preserve">he QHRC </w:t>
      </w:r>
      <w:r w:rsidR="00027F9C">
        <w:t>has no issue with</w:t>
      </w:r>
      <w:r w:rsidR="00426305">
        <w:t xml:space="preserve"> natural persons </w:t>
      </w:r>
      <w:r w:rsidR="008E6919">
        <w:t>not be</w:t>
      </w:r>
      <w:r w:rsidR="00027F9C">
        <w:t>ing</w:t>
      </w:r>
      <w:r w:rsidR="008E6919">
        <w:t xml:space="preserve"> bound by the </w:t>
      </w:r>
      <w:proofErr w:type="gramStart"/>
      <w:r w:rsidR="008E6919">
        <w:t>duty</w:t>
      </w:r>
      <w:r w:rsidR="00D8367F">
        <w:t>, unless</w:t>
      </w:r>
      <w:proofErr w:type="gramEnd"/>
      <w:r w:rsidR="00D8367F">
        <w:t xml:space="preserve"> sole traders</w:t>
      </w:r>
      <w:r w:rsidR="008E6919">
        <w:t>.</w:t>
      </w:r>
      <w:r w:rsidR="00EC4569">
        <w:t xml:space="preserve"> However, </w:t>
      </w:r>
      <w:r w:rsidR="002D70C4">
        <w:t>the current drafting</w:t>
      </w:r>
      <w:r w:rsidR="00EC4569">
        <w:t xml:space="preserve"> </w:t>
      </w:r>
      <w:r w:rsidR="007A0AE5">
        <w:t>does not make clear</w:t>
      </w:r>
      <w:r w:rsidR="00E21634">
        <w:t xml:space="preserve"> </w:t>
      </w:r>
      <w:r w:rsidR="000F717A">
        <w:t>who the duty applies to</w:t>
      </w:r>
      <w:r w:rsidR="006F4A64">
        <w:t xml:space="preserve"> and</w:t>
      </w:r>
      <w:proofErr w:type="gramStart"/>
      <w:r w:rsidR="00816ADE">
        <w:t>,</w:t>
      </w:r>
      <w:r w:rsidR="006F4A64">
        <w:t xml:space="preserve"> </w:t>
      </w:r>
      <w:r w:rsidR="00816ADE">
        <w:t>i</w:t>
      </w:r>
      <w:r w:rsidR="00EC4569">
        <w:t>n particular</w:t>
      </w:r>
      <w:r w:rsidR="00685593">
        <w:t>,</w:t>
      </w:r>
      <w:r w:rsidR="00EC4569">
        <w:t xml:space="preserve"> </w:t>
      </w:r>
      <w:r w:rsidR="00816ADE">
        <w:t>whether</w:t>
      </w:r>
      <w:proofErr w:type="gramEnd"/>
      <w:r w:rsidR="00EC4569">
        <w:t xml:space="preserve"> educational authorities, educational institutions, local government</w:t>
      </w:r>
      <w:r w:rsidR="007B1C86">
        <w:t>s</w:t>
      </w:r>
      <w:r w:rsidR="00195E52">
        <w:t xml:space="preserve">, </w:t>
      </w:r>
      <w:r w:rsidR="00816ADE">
        <w:t xml:space="preserve">the </w:t>
      </w:r>
      <w:r w:rsidR="00195E52">
        <w:t xml:space="preserve">Queensland Police Service, </w:t>
      </w:r>
      <w:r w:rsidR="00EC4569">
        <w:t>and the State of Queensland are bound by the duty.</w:t>
      </w:r>
      <w:r w:rsidR="228BEB73">
        <w:t xml:space="preserve"> </w:t>
      </w:r>
    </w:p>
    <w:p w14:paraId="66263370" w14:textId="6803D7AC" w:rsidR="00EA4BDF" w:rsidRDefault="00907DFB" w:rsidP="000E59AB">
      <w:pPr>
        <w:pStyle w:val="Numberedparagraph"/>
      </w:pPr>
      <w:r>
        <w:t xml:space="preserve">Unclear drafting </w:t>
      </w:r>
      <w:r w:rsidR="228BEB73">
        <w:t xml:space="preserve">means that duty holders in certain areas of activity, </w:t>
      </w:r>
      <w:r w:rsidR="00D221DF">
        <w:t>notably</w:t>
      </w:r>
      <w:r w:rsidR="228BEB73">
        <w:t xml:space="preserve"> education and </w:t>
      </w:r>
      <w:r w:rsidR="00FB1A93">
        <w:t>a</w:t>
      </w:r>
      <w:r w:rsidR="00595AB7">
        <w:t xml:space="preserve">dministration of </w:t>
      </w:r>
      <w:r w:rsidR="228BEB73">
        <w:t xml:space="preserve">State Laws and </w:t>
      </w:r>
      <w:r w:rsidR="000A6437">
        <w:t>p</w:t>
      </w:r>
      <w:r w:rsidR="228BEB73">
        <w:t xml:space="preserve">rograms may not be </w:t>
      </w:r>
      <w:r w:rsidR="00531340">
        <w:t>bound</w:t>
      </w:r>
      <w:r w:rsidR="00243E36">
        <w:t xml:space="preserve"> by the provision</w:t>
      </w:r>
      <w:r w:rsidR="228BEB73">
        <w:t>.</w:t>
      </w:r>
      <w:r>
        <w:t xml:space="preserve"> A lack of </w:t>
      </w:r>
      <w:r w:rsidR="000C39AF">
        <w:t>clarity</w:t>
      </w:r>
      <w:r w:rsidR="00E973A3">
        <w:t xml:space="preserve"> </w:t>
      </w:r>
      <w:r>
        <w:t xml:space="preserve">about </w:t>
      </w:r>
      <w:r w:rsidR="00396A4F">
        <w:t xml:space="preserve">who is </w:t>
      </w:r>
      <w:r w:rsidR="004B6E6B">
        <w:t xml:space="preserve">required to take </w:t>
      </w:r>
      <w:r w:rsidR="00B74D7F">
        <w:t xml:space="preserve">reasonable and proportionate measures to </w:t>
      </w:r>
      <w:r w:rsidR="00F72625">
        <w:t>eliminate unlawful conduct</w:t>
      </w:r>
      <w:r>
        <w:t xml:space="preserve"> </w:t>
      </w:r>
      <w:r w:rsidR="00F90562">
        <w:t>will</w:t>
      </w:r>
      <w:r>
        <w:t xml:space="preserve"> </w:t>
      </w:r>
      <w:r w:rsidR="0054162A">
        <w:t xml:space="preserve">be detrimental to the </w:t>
      </w:r>
      <w:r w:rsidR="00B31D47">
        <w:t>effect</w:t>
      </w:r>
      <w:r w:rsidR="003C288D">
        <w:t>iveness of the positive duty and</w:t>
      </w:r>
      <w:r w:rsidR="00433660">
        <w:t xml:space="preserve"> result in </w:t>
      </w:r>
      <w:r w:rsidR="00A2732F">
        <w:t>disputes</w:t>
      </w:r>
      <w:r w:rsidR="003C288D">
        <w:t xml:space="preserve"> about the QHRC’s </w:t>
      </w:r>
      <w:r w:rsidR="00746ABE">
        <w:t xml:space="preserve">ability </w:t>
      </w:r>
      <w:r w:rsidR="003C288D">
        <w:t>to enforce the duty.</w:t>
      </w:r>
    </w:p>
    <w:p w14:paraId="17DE12B4" w14:textId="06781D2E" w:rsidR="00360368" w:rsidRDefault="007767B7" w:rsidP="00BD70E5">
      <w:pPr>
        <w:pStyle w:val="Numberedparagraph"/>
      </w:pPr>
      <w:r>
        <w:t>The words ‘</w:t>
      </w:r>
      <w:r w:rsidR="00306CB3">
        <w:t>and</w:t>
      </w:r>
      <w:r>
        <w:t xml:space="preserve"> other unlawful conduct’ should be included </w:t>
      </w:r>
      <w:r w:rsidR="005B0314">
        <w:t xml:space="preserve">in </w:t>
      </w:r>
      <w:r w:rsidR="007D6189">
        <w:t>the</w:t>
      </w:r>
      <w:r w:rsidR="00AE531B">
        <w:t xml:space="preserve"> heading for </w:t>
      </w:r>
      <w:r w:rsidR="007D6189">
        <w:t xml:space="preserve">clause 19 </w:t>
      </w:r>
      <w:r w:rsidR="00720F22">
        <w:t xml:space="preserve">and </w:t>
      </w:r>
      <w:r w:rsidR="001F1B8C">
        <w:t xml:space="preserve">added </w:t>
      </w:r>
      <w:r w:rsidR="005D6A0B">
        <w:t xml:space="preserve">to </w:t>
      </w:r>
      <w:r w:rsidR="00720F22">
        <w:t>clause 19 (1)</w:t>
      </w:r>
      <w:r w:rsidR="00955289">
        <w:t xml:space="preserve"> which currently </w:t>
      </w:r>
      <w:r w:rsidR="001F4513">
        <w:t xml:space="preserve">requires that persons </w:t>
      </w:r>
      <w:r w:rsidR="00482AEF">
        <w:t>‘must not engage i</w:t>
      </w:r>
      <w:r w:rsidR="00AE531B">
        <w:t xml:space="preserve">n </w:t>
      </w:r>
      <w:r w:rsidR="00955289">
        <w:t xml:space="preserve">discrimination, sexual harassment, vilification </w:t>
      </w:r>
      <w:r w:rsidR="00AE531B">
        <w:t>or</w:t>
      </w:r>
      <w:r w:rsidR="00955289">
        <w:t xml:space="preserve"> victimisation</w:t>
      </w:r>
      <w:r w:rsidR="006470DC">
        <w:t>’</w:t>
      </w:r>
      <w:r w:rsidR="003A0F6F">
        <w:t xml:space="preserve">. </w:t>
      </w:r>
      <w:r w:rsidR="00955289">
        <w:t>T</w:t>
      </w:r>
      <w:r w:rsidR="00360368">
        <w:t xml:space="preserve">he duty applies to part 4, 6, </w:t>
      </w:r>
      <w:r w:rsidR="007D7000">
        <w:t>and</w:t>
      </w:r>
      <w:r w:rsidR="00360368">
        <w:t xml:space="preserve"> 7 of the Act</w:t>
      </w:r>
      <w:r w:rsidR="00713173">
        <w:t>.</w:t>
      </w:r>
      <w:r w:rsidR="003A0F6F">
        <w:t xml:space="preserve"> Part 7</w:t>
      </w:r>
      <w:r w:rsidR="00720F22">
        <w:t xml:space="preserve"> </w:t>
      </w:r>
      <w:r w:rsidR="007D7000">
        <w:t>includes</w:t>
      </w:r>
      <w:r w:rsidR="00720F22">
        <w:t xml:space="preserve"> vilification </w:t>
      </w:r>
      <w:r w:rsidR="001D2391">
        <w:t xml:space="preserve">(Div 2) </w:t>
      </w:r>
      <w:r w:rsidR="00720F22">
        <w:t>and victimisation</w:t>
      </w:r>
      <w:r w:rsidR="001D2391">
        <w:t xml:space="preserve"> (Div 3)</w:t>
      </w:r>
      <w:r w:rsidR="00720F22">
        <w:t>, but</w:t>
      </w:r>
      <w:r w:rsidR="003A0F6F">
        <w:t xml:space="preserve"> also includes </w:t>
      </w:r>
      <w:r w:rsidR="007F7709">
        <w:t xml:space="preserve">unlawful advertising </w:t>
      </w:r>
      <w:r w:rsidR="008235E4">
        <w:t xml:space="preserve">(Div 4) </w:t>
      </w:r>
      <w:r w:rsidR="007F7709">
        <w:t xml:space="preserve">and </w:t>
      </w:r>
      <w:r w:rsidR="00D024CD">
        <w:t xml:space="preserve">unlawful requests </w:t>
      </w:r>
      <w:r w:rsidR="004A06E3">
        <w:t>or encouragement</w:t>
      </w:r>
      <w:r w:rsidR="008235E4">
        <w:t xml:space="preserve"> (Div 5).</w:t>
      </w:r>
    </w:p>
    <w:p w14:paraId="51A723AD" w14:textId="19817086" w:rsidR="00573E2E" w:rsidRDefault="00A63D65" w:rsidP="00F66DE4">
      <w:pPr>
        <w:pStyle w:val="Numberedparagraph"/>
      </w:pPr>
      <w:r>
        <w:rPr>
          <w:noProof/>
        </w:rPr>
        <w:lastRenderedPageBreak/>
        <mc:AlternateContent>
          <mc:Choice Requires="wps">
            <w:drawing>
              <wp:anchor distT="0" distB="0" distL="114300" distR="114300" simplePos="0" relativeHeight="251658244" behindDoc="1" locked="0" layoutInCell="1" allowOverlap="1" wp14:anchorId="1BD28E8A" wp14:editId="2484FBCF">
                <wp:simplePos x="0" y="0"/>
                <wp:positionH relativeFrom="margin">
                  <wp:posOffset>0</wp:posOffset>
                </wp:positionH>
                <wp:positionV relativeFrom="paragraph">
                  <wp:posOffset>609074</wp:posOffset>
                </wp:positionV>
                <wp:extent cx="5419725" cy="3181350"/>
                <wp:effectExtent l="0" t="0" r="9525" b="0"/>
                <wp:wrapNone/>
                <wp:docPr id="677674889" name="Rectangle 2"/>
                <wp:cNvGraphicFramePr/>
                <a:graphic xmlns:a="http://schemas.openxmlformats.org/drawingml/2006/main">
                  <a:graphicData uri="http://schemas.microsoft.com/office/word/2010/wordprocessingShape">
                    <wps:wsp>
                      <wps:cNvSpPr/>
                      <wps:spPr>
                        <a:xfrm>
                          <a:off x="0" y="0"/>
                          <a:ext cx="5419725" cy="3181350"/>
                        </a:xfrm>
                        <a:prstGeom prst="rect">
                          <a:avLst/>
                        </a:prstGeom>
                        <a:solidFill>
                          <a:srgbClr val="0042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893E0E" id="Rectangle 2" o:spid="_x0000_s1026" style="position:absolute;margin-left:0;margin-top:47.95pt;width:426.75pt;height:250.5pt;z-index:-2516582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InUaQIAAEsFAAAOAAAAZHJzL2Uyb0RvYy54bWysVF9r2zAQfx/sOwi9r47TZG1DnRJSMgal&#10;LW1HnxVZSgyyTjspcbJPv5PsOFlXKIy9SHe63/2/0/XNrjZsq9BXYAuenw04U1ZCWdlVwX+8LL5c&#10;cuaDsKUwYFXB98rzm+nnT9eNm6ghrMGUChkZsX7SuIKvQ3CTLPNyrWrhz8ApS0INWItALK6yEkVD&#10;1muTDQeDr1kDWDoEqbyn19tWyKfJvtZKhgetvQrMFJxiC+nEdC7jmU2vxWSFwq0r2YUh/iGKWlSW&#10;nPambkUQbIPVX6bqSiJ40OFMQp2B1pVUKQfKJh+8yeZ5LZxKuVBxvOvL5P+fWXm/fXaPSGVonJ94&#10;ImMWO411vCk+tkvF2vfFUrvAJD2OR/nVxXDMmSTZeX6Zn49TObOjukMfvimoWSQKjtSNVCSxvfOB&#10;XBL0AInePJiqXFTGJAZXy7lBthWxc4PR8OJg/Q+YsRFsIaq1FtsXlXrfuTmmlqiwNypqGfukNKtK&#10;SiZPcaWpU71XIaWyIY8zQpEmdFTT5KpXPP9YscNH1TaqXnn4sXKvkTyDDb1yXVnA9wyYPmTd4in8&#10;k7wjuYRy/4gMod0H7+SiohbdCR8eBdIC0KrQUocHOrSBpuDQUZytAX+99x7xNJck5ayhhSq4/7kR&#10;qDgz3y1N7FU+GsUNTMxofDEkBk8ly1OJ3dRzoM7n9H04mciID+ZAaoT6lXZ/Fr2SSFhJvgsuAx6Y&#10;eWgXnX4PqWazBKOtcyLc2WcnD12PI/iyexXoujkNNOL3cFg+MXkzri029sPCbBNAV2mWj3Xt6k0b&#10;mwan+13il3DKJ9TxD5z+BgAA//8DAFBLAwQUAAYACAAAACEA+EutRd0AAAAHAQAADwAAAGRycy9k&#10;b3ducmV2LnhtbEyPzWrDMBCE74W+g9hCb42cBofI9TqUQC6BFuqWnhVr/ZNYK2MpsfP2VU/tcZhh&#10;5pt8O9teXGn0nWOE5SIBQVw503GD8PW5f9qA8EGz0b1jQriRh21xf5frzLiJP+hahkbEEvaZRmhD&#10;GDIpfdWS1X7hBuLo1W60OkQ5NtKMeorltpfPSbKWVnccF1o90K6l6lxeLMJ0kitT7r9vu0rx4fz+&#10;Vh8SVSM+PsyvLyACzeEvDL/4ER2KyHR0FzZe9AjxSEBQqQIR3U26SkEcEVK1ViCLXP7nL34AAAD/&#10;/wMAUEsBAi0AFAAGAAgAAAAhALaDOJL+AAAA4QEAABMAAAAAAAAAAAAAAAAAAAAAAFtDb250ZW50&#10;X1R5cGVzXS54bWxQSwECLQAUAAYACAAAACEAOP0h/9YAAACUAQAACwAAAAAAAAAAAAAAAAAvAQAA&#10;X3JlbHMvLnJlbHNQSwECLQAUAAYACAAAACEAg+SJ1GkCAABLBQAADgAAAAAAAAAAAAAAAAAuAgAA&#10;ZHJzL2Uyb0RvYy54bWxQSwECLQAUAAYACAAAACEA+EutRd0AAAAHAQAADwAAAAAAAAAAAAAAAADD&#10;BAAAZHJzL2Rvd25yZXYueG1sUEsFBgAAAAAEAAQA8wAAAM0FAAAAAA==&#10;" fillcolor="#004270" stroked="f">
                <w10:wrap anchorx="margin"/>
              </v:rect>
            </w:pict>
          </mc:Fallback>
        </mc:AlternateContent>
      </w:r>
      <w:r w:rsidR="00573E2E">
        <w:t>Clause 19 should be redrafted to ensure that all duty holders are required to comply with the positive duty</w:t>
      </w:r>
      <w:r w:rsidR="007D7000">
        <w:t xml:space="preserve"> and </w:t>
      </w:r>
      <w:r w:rsidR="001A230D">
        <w:t xml:space="preserve">to </w:t>
      </w:r>
      <w:r w:rsidR="00CE47FB">
        <w:t>clarify</w:t>
      </w:r>
      <w:r w:rsidR="007D7000">
        <w:t xml:space="preserve"> that all forms of unlawful conduct in Parts 4, 6 and 7 are covered</w:t>
      </w:r>
      <w:r w:rsidR="00AC3537">
        <w:t xml:space="preserve"> by the positive duty provisions</w:t>
      </w:r>
      <w:r w:rsidR="007D7000">
        <w:t>.</w:t>
      </w:r>
    </w:p>
    <w:p w14:paraId="3C31B277" w14:textId="1EFAE073" w:rsidR="003B38CC" w:rsidRPr="007C5336" w:rsidRDefault="003B38CC" w:rsidP="007C5336">
      <w:pPr>
        <w:pStyle w:val="Heading3"/>
        <w:spacing w:before="240"/>
        <w:ind w:left="567"/>
        <w:rPr>
          <w:color w:val="FFFFFF" w:themeColor="background1"/>
        </w:rPr>
      </w:pPr>
      <w:bookmarkStart w:id="22" w:name="_Toc161917236"/>
      <w:r w:rsidRPr="007C5336">
        <w:rPr>
          <w:color w:val="FFFFFF" w:themeColor="background1"/>
        </w:rPr>
        <w:t>Recommendation</w:t>
      </w:r>
      <w:r w:rsidR="006378CC" w:rsidRPr="007C5336">
        <w:rPr>
          <w:color w:val="FFFFFF" w:themeColor="background1"/>
        </w:rPr>
        <w:t>s</w:t>
      </w:r>
      <w:bookmarkEnd w:id="22"/>
    </w:p>
    <w:p w14:paraId="4E7C29D9" w14:textId="0E0C7EC7" w:rsidR="00452807" w:rsidRPr="007C5336" w:rsidRDefault="00CB475B" w:rsidP="007C5336">
      <w:pPr>
        <w:pStyle w:val="Numberedparagraph"/>
        <w:numPr>
          <w:ilvl w:val="0"/>
          <w:numId w:val="0"/>
        </w:numPr>
        <w:ind w:left="567"/>
        <w:rPr>
          <w:color w:val="FFFFFF" w:themeColor="background1"/>
        </w:rPr>
      </w:pPr>
      <w:r w:rsidRPr="007C5336">
        <w:rPr>
          <w:color w:val="FFFFFF" w:themeColor="background1"/>
        </w:rPr>
        <w:t xml:space="preserve">Clause 19 </w:t>
      </w:r>
      <w:r w:rsidR="008251F6" w:rsidRPr="007C5336">
        <w:rPr>
          <w:color w:val="FFFFFF" w:themeColor="background1"/>
        </w:rPr>
        <w:t>(</w:t>
      </w:r>
      <w:r w:rsidR="00300FA6" w:rsidRPr="007C5336">
        <w:rPr>
          <w:color w:val="FFFFFF" w:themeColor="background1"/>
        </w:rPr>
        <w:t xml:space="preserve">Duty to eliminate discrimination, sexual harassment, </w:t>
      </w:r>
      <w:proofErr w:type="gramStart"/>
      <w:r w:rsidR="00300FA6" w:rsidRPr="007C5336">
        <w:rPr>
          <w:color w:val="FFFFFF" w:themeColor="background1"/>
        </w:rPr>
        <w:t>vilification</w:t>
      </w:r>
      <w:proofErr w:type="gramEnd"/>
      <w:r w:rsidR="00300FA6" w:rsidRPr="007C5336">
        <w:rPr>
          <w:color w:val="FFFFFF" w:themeColor="background1"/>
        </w:rPr>
        <w:t xml:space="preserve"> and victimisation)</w:t>
      </w:r>
      <w:r w:rsidR="00452807" w:rsidRPr="007C5336">
        <w:rPr>
          <w:color w:val="FFFFFF" w:themeColor="background1"/>
        </w:rPr>
        <w:t xml:space="preserve"> should contain a list of duty holders bound by the Act, which include</w:t>
      </w:r>
      <w:r w:rsidR="00DE7111" w:rsidRPr="007C5336">
        <w:rPr>
          <w:color w:val="FFFFFF" w:themeColor="background1"/>
        </w:rPr>
        <w:t>s</w:t>
      </w:r>
      <w:r w:rsidR="00452807" w:rsidRPr="007C5336">
        <w:rPr>
          <w:color w:val="FFFFFF" w:themeColor="background1"/>
        </w:rPr>
        <w:t>:</w:t>
      </w:r>
    </w:p>
    <w:p w14:paraId="0C5E44CC" w14:textId="77777777" w:rsidR="00B627BC" w:rsidRPr="007C5336" w:rsidRDefault="00BC65D4" w:rsidP="007C5336">
      <w:pPr>
        <w:pStyle w:val="ListParagraph"/>
        <w:numPr>
          <w:ilvl w:val="1"/>
          <w:numId w:val="26"/>
        </w:numPr>
        <w:ind w:left="1551"/>
        <w:rPr>
          <w:color w:val="FFFFFF" w:themeColor="background1"/>
        </w:rPr>
      </w:pPr>
      <w:r w:rsidRPr="007C5336">
        <w:rPr>
          <w:color w:val="FFFFFF" w:themeColor="background1"/>
        </w:rPr>
        <w:t>a corporatio</w:t>
      </w:r>
      <w:r w:rsidR="00B627BC" w:rsidRPr="007C5336">
        <w:rPr>
          <w:color w:val="FFFFFF" w:themeColor="background1"/>
        </w:rPr>
        <w:t>n</w:t>
      </w:r>
    </w:p>
    <w:p w14:paraId="17820D38" w14:textId="77777777" w:rsidR="00B627BC" w:rsidRPr="007C5336" w:rsidRDefault="00B627BC" w:rsidP="007C5336">
      <w:pPr>
        <w:pStyle w:val="ListParagraph"/>
        <w:numPr>
          <w:ilvl w:val="1"/>
          <w:numId w:val="26"/>
        </w:numPr>
        <w:ind w:left="1551"/>
        <w:rPr>
          <w:color w:val="FFFFFF" w:themeColor="background1"/>
        </w:rPr>
      </w:pPr>
      <w:r w:rsidRPr="007C5336">
        <w:rPr>
          <w:color w:val="FFFFFF" w:themeColor="background1"/>
        </w:rPr>
        <w:t>a partnership</w:t>
      </w:r>
    </w:p>
    <w:p w14:paraId="7341DF47" w14:textId="77777777" w:rsidR="00B627BC" w:rsidRPr="007C5336" w:rsidRDefault="00B627BC" w:rsidP="007C5336">
      <w:pPr>
        <w:pStyle w:val="ListParagraph"/>
        <w:numPr>
          <w:ilvl w:val="1"/>
          <w:numId w:val="26"/>
        </w:numPr>
        <w:ind w:left="1551"/>
        <w:rPr>
          <w:color w:val="FFFFFF" w:themeColor="background1"/>
        </w:rPr>
      </w:pPr>
      <w:r w:rsidRPr="007C5336">
        <w:rPr>
          <w:color w:val="FFFFFF" w:themeColor="background1"/>
        </w:rPr>
        <w:t>an unincorporated body</w:t>
      </w:r>
    </w:p>
    <w:p w14:paraId="411FA100" w14:textId="77777777" w:rsidR="007E2751" w:rsidRPr="007C5336" w:rsidRDefault="007E2751" w:rsidP="007C5336">
      <w:pPr>
        <w:pStyle w:val="ListParagraph"/>
        <w:numPr>
          <w:ilvl w:val="1"/>
          <w:numId w:val="26"/>
        </w:numPr>
        <w:ind w:left="1551"/>
        <w:rPr>
          <w:color w:val="FFFFFF" w:themeColor="background1"/>
        </w:rPr>
      </w:pPr>
      <w:r w:rsidRPr="007C5336">
        <w:rPr>
          <w:color w:val="FFFFFF" w:themeColor="background1"/>
        </w:rPr>
        <w:t>a sole trader</w:t>
      </w:r>
    </w:p>
    <w:p w14:paraId="757060BA" w14:textId="77777777" w:rsidR="5F6A1891" w:rsidRPr="007C5336" w:rsidRDefault="00195E52" w:rsidP="007C5336">
      <w:pPr>
        <w:pStyle w:val="ListParagraph"/>
        <w:numPr>
          <w:ilvl w:val="1"/>
          <w:numId w:val="26"/>
        </w:numPr>
        <w:ind w:left="1551"/>
        <w:rPr>
          <w:color w:val="FFFFFF" w:themeColor="background1"/>
        </w:rPr>
      </w:pPr>
      <w:r w:rsidRPr="007C5336">
        <w:rPr>
          <w:color w:val="FFFFFF" w:themeColor="background1"/>
        </w:rPr>
        <w:t xml:space="preserve">a government entity within the meaning of the </w:t>
      </w:r>
      <w:r w:rsidRPr="007C5336">
        <w:rPr>
          <w:i/>
          <w:color w:val="FFFFFF" w:themeColor="background1"/>
        </w:rPr>
        <w:t>Public Sector Act 2022</w:t>
      </w:r>
      <w:r w:rsidRPr="007C5336">
        <w:rPr>
          <w:color w:val="FFFFFF" w:themeColor="background1"/>
        </w:rPr>
        <w:t>, section 276</w:t>
      </w:r>
    </w:p>
    <w:p w14:paraId="733BB6B4" w14:textId="77777777" w:rsidR="00195E52" w:rsidRPr="007C5336" w:rsidRDefault="00195E52" w:rsidP="007C5336">
      <w:pPr>
        <w:pStyle w:val="ListParagraph"/>
        <w:numPr>
          <w:ilvl w:val="1"/>
          <w:numId w:val="26"/>
        </w:numPr>
        <w:ind w:left="1551"/>
        <w:rPr>
          <w:color w:val="FFFFFF" w:themeColor="background1"/>
        </w:rPr>
      </w:pPr>
      <w:r w:rsidRPr="007C5336">
        <w:rPr>
          <w:color w:val="FFFFFF" w:themeColor="background1"/>
        </w:rPr>
        <w:t xml:space="preserve">the </w:t>
      </w:r>
      <w:r w:rsidR="00085298" w:rsidRPr="007C5336">
        <w:rPr>
          <w:color w:val="FFFFFF" w:themeColor="background1"/>
        </w:rPr>
        <w:t>Queensland</w:t>
      </w:r>
      <w:r w:rsidRPr="007C5336">
        <w:rPr>
          <w:color w:val="FFFFFF" w:themeColor="background1"/>
        </w:rPr>
        <w:t xml:space="preserve"> Police Service</w:t>
      </w:r>
    </w:p>
    <w:p w14:paraId="54DD1066" w14:textId="77777777" w:rsidR="00195E52" w:rsidRPr="007C5336" w:rsidRDefault="00195E52" w:rsidP="007C5336">
      <w:pPr>
        <w:pStyle w:val="ListParagraph"/>
        <w:numPr>
          <w:ilvl w:val="1"/>
          <w:numId w:val="26"/>
        </w:numPr>
        <w:ind w:left="1551"/>
        <w:rPr>
          <w:color w:val="FFFFFF" w:themeColor="background1"/>
        </w:rPr>
      </w:pPr>
      <w:r w:rsidRPr="007C5336">
        <w:rPr>
          <w:color w:val="FFFFFF" w:themeColor="background1"/>
        </w:rPr>
        <w:t>a local government</w:t>
      </w:r>
    </w:p>
    <w:p w14:paraId="3FCB0062" w14:textId="77777777" w:rsidR="00195E52" w:rsidRPr="007C5336" w:rsidRDefault="00B304F1" w:rsidP="007C5336">
      <w:pPr>
        <w:pStyle w:val="ListParagraph"/>
        <w:numPr>
          <w:ilvl w:val="1"/>
          <w:numId w:val="26"/>
        </w:numPr>
        <w:ind w:left="1551"/>
        <w:rPr>
          <w:color w:val="FFFFFF" w:themeColor="background1"/>
        </w:rPr>
      </w:pPr>
      <w:r w:rsidRPr="007C5336">
        <w:rPr>
          <w:color w:val="FFFFFF" w:themeColor="background1"/>
        </w:rPr>
        <w:t>an educational institution</w:t>
      </w:r>
    </w:p>
    <w:p w14:paraId="69DA7595" w14:textId="77777777" w:rsidR="00B304F1" w:rsidRPr="007C5336" w:rsidRDefault="00B304F1" w:rsidP="007C5336">
      <w:pPr>
        <w:pStyle w:val="ListParagraph"/>
        <w:numPr>
          <w:ilvl w:val="1"/>
          <w:numId w:val="26"/>
        </w:numPr>
        <w:ind w:left="1551"/>
        <w:rPr>
          <w:color w:val="FFFFFF" w:themeColor="background1"/>
        </w:rPr>
      </w:pPr>
      <w:r w:rsidRPr="007C5336">
        <w:rPr>
          <w:color w:val="FFFFFF" w:themeColor="background1"/>
        </w:rPr>
        <w:t>an educational authorit</w:t>
      </w:r>
      <w:r w:rsidR="00AB45F5" w:rsidRPr="007C5336">
        <w:rPr>
          <w:color w:val="FFFFFF" w:themeColor="background1"/>
        </w:rPr>
        <w:t>y.</w:t>
      </w:r>
    </w:p>
    <w:p w14:paraId="4720DF3E" w14:textId="01B610AC" w:rsidR="003B38CC" w:rsidRPr="007C5336" w:rsidRDefault="001A230D" w:rsidP="007C5336">
      <w:pPr>
        <w:ind w:left="567"/>
        <w:rPr>
          <w:color w:val="FFFFFF" w:themeColor="background1"/>
        </w:rPr>
      </w:pPr>
      <w:r w:rsidRPr="007C5336">
        <w:rPr>
          <w:color w:val="FFFFFF" w:themeColor="background1"/>
        </w:rPr>
        <w:t xml:space="preserve">Amend </w:t>
      </w:r>
      <w:r w:rsidR="00F90A66" w:rsidRPr="007C5336">
        <w:rPr>
          <w:color w:val="FFFFFF" w:themeColor="background1"/>
        </w:rPr>
        <w:t xml:space="preserve">the </w:t>
      </w:r>
      <w:r w:rsidR="009F0C17" w:rsidRPr="007C5336">
        <w:rPr>
          <w:color w:val="FFFFFF" w:themeColor="background1"/>
        </w:rPr>
        <w:t xml:space="preserve">clause 19 </w:t>
      </w:r>
      <w:r w:rsidR="00E0552C" w:rsidRPr="007C5336">
        <w:rPr>
          <w:color w:val="FFFFFF" w:themeColor="background1"/>
        </w:rPr>
        <w:t xml:space="preserve">heading </w:t>
      </w:r>
      <w:r w:rsidR="0040792A" w:rsidRPr="007C5336">
        <w:rPr>
          <w:color w:val="FFFFFF" w:themeColor="background1"/>
        </w:rPr>
        <w:t xml:space="preserve">and </w:t>
      </w:r>
      <w:r w:rsidRPr="007C5336">
        <w:rPr>
          <w:color w:val="FFFFFF" w:themeColor="background1"/>
        </w:rPr>
        <w:t xml:space="preserve">clause 19(1) </w:t>
      </w:r>
      <w:r w:rsidR="002A7FC8" w:rsidRPr="007C5336">
        <w:rPr>
          <w:color w:val="FFFFFF" w:themeColor="background1"/>
        </w:rPr>
        <w:t>to include the words ‘and other unlawful conduct’.</w:t>
      </w:r>
    </w:p>
    <w:p w14:paraId="11954CB9" w14:textId="79C092B5" w:rsidR="00FE5560" w:rsidRDefault="001036AD" w:rsidP="000E59AB">
      <w:pPr>
        <w:pStyle w:val="Heading2"/>
      </w:pPr>
      <w:bookmarkStart w:id="23" w:name="_Toc161917237"/>
      <w:r>
        <w:t>The legal test for v</w:t>
      </w:r>
      <w:r w:rsidR="00FE5560">
        <w:t>ilification</w:t>
      </w:r>
      <w:bookmarkEnd w:id="23"/>
    </w:p>
    <w:p w14:paraId="255DD52F" w14:textId="218E13E8" w:rsidR="00FE5560" w:rsidRDefault="00780ACD" w:rsidP="000E59AB">
      <w:pPr>
        <w:pStyle w:val="Numberedparagraph"/>
      </w:pPr>
      <w:r>
        <w:t>T</w:t>
      </w:r>
      <w:r w:rsidR="00746CF2">
        <w:t xml:space="preserve">he draft Bill </w:t>
      </w:r>
      <w:r w:rsidR="00837D56">
        <w:t xml:space="preserve">mostly </w:t>
      </w:r>
      <w:r w:rsidR="00D107C5">
        <w:t>reflect</w:t>
      </w:r>
      <w:r w:rsidR="00746CF2">
        <w:t>s</w:t>
      </w:r>
      <w:r w:rsidR="00D107C5">
        <w:t xml:space="preserve"> </w:t>
      </w:r>
      <w:r w:rsidR="00746CF2">
        <w:t>the</w:t>
      </w:r>
      <w:r w:rsidR="00D107C5">
        <w:t xml:space="preserve"> recommendations made by</w:t>
      </w:r>
      <w:r w:rsidR="00644764">
        <w:t xml:space="preserve"> the </w:t>
      </w:r>
      <w:r w:rsidR="00D107C5">
        <w:t xml:space="preserve">QHRC </w:t>
      </w:r>
      <w:r w:rsidR="00837D56">
        <w:t xml:space="preserve">to </w:t>
      </w:r>
      <w:r w:rsidR="00D107C5">
        <w:t>the Legal Affairs and Safety Committee Inquiry into vilification and hate crime laws.</w:t>
      </w:r>
      <w:r w:rsidR="00D107C5">
        <w:rPr>
          <w:rStyle w:val="FootnoteReference"/>
        </w:rPr>
        <w:footnoteReference w:id="31"/>
      </w:r>
    </w:p>
    <w:p w14:paraId="26F3B04C" w14:textId="5AFDD4CB" w:rsidR="00D107C5" w:rsidRDefault="0072781C" w:rsidP="000E59AB">
      <w:pPr>
        <w:pStyle w:val="Numberedparagraph"/>
      </w:pPr>
      <w:r>
        <w:t>However, t</w:t>
      </w:r>
      <w:r w:rsidR="00FC7BFB">
        <w:t xml:space="preserve">he QHRC has concerns about the </w:t>
      </w:r>
      <w:r w:rsidR="005C7D17">
        <w:t>drafting of</w:t>
      </w:r>
      <w:r w:rsidR="00715C4B">
        <w:t xml:space="preserve"> clause 85</w:t>
      </w:r>
      <w:r w:rsidR="004171A5">
        <w:t>(1)</w:t>
      </w:r>
      <w:r w:rsidR="00860CE3">
        <w:t xml:space="preserve">. The new provision entitled </w:t>
      </w:r>
      <w:r w:rsidR="00A41BB0">
        <w:t>‘</w:t>
      </w:r>
      <w:r w:rsidR="00860CE3" w:rsidRPr="005B0CF4">
        <w:t>Inciting hatred, serious contempt or severe ridicule</w:t>
      </w:r>
      <w:r w:rsidR="00A41BB0">
        <w:t>’</w:t>
      </w:r>
      <w:r w:rsidR="00860CE3">
        <w:t xml:space="preserve"> </w:t>
      </w:r>
      <w:r w:rsidR="004171A5">
        <w:t xml:space="preserve">replaces the existing </w:t>
      </w:r>
      <w:r w:rsidR="008F5187">
        <w:t>vilification provision in</w:t>
      </w:r>
      <w:r w:rsidR="004171A5">
        <w:t xml:space="preserve"> section 124A</w:t>
      </w:r>
      <w:r w:rsidR="008F5187">
        <w:t xml:space="preserve"> of the Anti-Discrimination Act.</w:t>
      </w:r>
    </w:p>
    <w:p w14:paraId="23927D53" w14:textId="790DFC96" w:rsidR="008F5187" w:rsidRDefault="00715257" w:rsidP="000E59AB">
      <w:pPr>
        <w:pStyle w:val="Numberedparagraph"/>
      </w:pPr>
      <w:r>
        <w:t xml:space="preserve">The intention of the change is to make </w:t>
      </w:r>
      <w:r w:rsidR="0031519B">
        <w:t>the law</w:t>
      </w:r>
      <w:r>
        <w:t xml:space="preserve"> clear that it is not necessary to show actual incitement of hatred, serious contempt</w:t>
      </w:r>
      <w:r w:rsidR="00EB2659">
        <w:t>,</w:t>
      </w:r>
      <w:r>
        <w:t xml:space="preserve"> or severe ridicule</w:t>
      </w:r>
      <w:r w:rsidR="00B44EE0">
        <w:t>.</w:t>
      </w:r>
      <w:r w:rsidR="00CD36E1">
        <w:rPr>
          <w:rStyle w:val="FootnoteReference"/>
        </w:rPr>
        <w:footnoteReference w:id="32"/>
      </w:r>
      <w:r w:rsidR="00CD36E1">
        <w:t xml:space="preserve"> However, the QHRC does not consider that this drafting achieves th</w:t>
      </w:r>
      <w:r w:rsidR="0013389E">
        <w:t>e</w:t>
      </w:r>
      <w:r w:rsidR="00CD36E1">
        <w:t xml:space="preserve"> purpose.</w:t>
      </w:r>
    </w:p>
    <w:p w14:paraId="1279CCB6" w14:textId="5341E491" w:rsidR="00CD36E1" w:rsidRDefault="00CD36E1" w:rsidP="00CD36E1">
      <w:pPr>
        <w:pStyle w:val="Numberedparagraph"/>
      </w:pPr>
      <w:r>
        <w:t>Existing section 124A was modelled on the N</w:t>
      </w:r>
      <w:r w:rsidR="00B8471F">
        <w:t xml:space="preserve">ew </w:t>
      </w:r>
      <w:r>
        <w:t>S</w:t>
      </w:r>
      <w:r w:rsidR="00B8471F">
        <w:t xml:space="preserve">outh </w:t>
      </w:r>
      <w:r>
        <w:t>W</w:t>
      </w:r>
      <w:r w:rsidR="00B8471F">
        <w:t>ales</w:t>
      </w:r>
      <w:r>
        <w:t xml:space="preserve"> provision, whereas clause 85 seems more akin to sections 7 and 8 of the Victorian </w:t>
      </w:r>
      <w:r w:rsidRPr="5804BDB0">
        <w:rPr>
          <w:i/>
          <w:iCs/>
        </w:rPr>
        <w:t>R</w:t>
      </w:r>
      <w:r w:rsidRPr="00DE4338">
        <w:rPr>
          <w:i/>
          <w:iCs/>
        </w:rPr>
        <w:t>acial</w:t>
      </w:r>
      <w:r>
        <w:rPr>
          <w:i/>
          <w:iCs/>
        </w:rPr>
        <w:t xml:space="preserve"> and Religious Tolerance Act </w:t>
      </w:r>
      <w:r w:rsidRPr="00361AB9">
        <w:rPr>
          <w:i/>
          <w:iCs/>
        </w:rPr>
        <w:t>2001</w:t>
      </w:r>
      <w:r>
        <w:t xml:space="preserve"> (RRT Act). </w:t>
      </w:r>
    </w:p>
    <w:p w14:paraId="65AF2926" w14:textId="30C82331" w:rsidR="00CD36E1" w:rsidRDefault="00CD36E1" w:rsidP="00CD36E1">
      <w:pPr>
        <w:pStyle w:val="Numberedparagraph"/>
      </w:pPr>
      <w:r>
        <w:lastRenderedPageBreak/>
        <w:t>The word ‘incite’ has been construed in both N</w:t>
      </w:r>
      <w:r w:rsidR="00B8471F">
        <w:t xml:space="preserve">ew </w:t>
      </w:r>
      <w:r>
        <w:t>S</w:t>
      </w:r>
      <w:r w:rsidR="00B8471F">
        <w:t xml:space="preserve">outh </w:t>
      </w:r>
      <w:r>
        <w:t>W</w:t>
      </w:r>
      <w:r w:rsidR="00B8471F">
        <w:t>ales</w:t>
      </w:r>
      <w:r>
        <w:t xml:space="preserve"> and Victoria</w:t>
      </w:r>
      <w:r w:rsidR="00B8471F">
        <w:t>n</w:t>
      </w:r>
      <w:r>
        <w:t xml:space="preserve"> case law as meaning ‘to rouse, to stimulate, to urge, to spur on, to animate’</w:t>
      </w:r>
      <w:r>
        <w:rPr>
          <w:rStyle w:val="FootnoteReference"/>
        </w:rPr>
        <w:footnoteReference w:id="33"/>
      </w:r>
      <w:r>
        <w:t xml:space="preserve"> and that it is not necessary for a person to in fact be incited by the words or publications.</w:t>
      </w:r>
      <w:r>
        <w:rPr>
          <w:rStyle w:val="FootnoteReference"/>
        </w:rPr>
        <w:footnoteReference w:id="34"/>
      </w:r>
      <w:r>
        <w:t xml:space="preserve"> These authorities were cited by the NSW Court of Appeal in </w:t>
      </w:r>
      <w:r>
        <w:rPr>
          <w:i/>
          <w:iCs/>
        </w:rPr>
        <w:t>Sunol v Collier (No 2)</w:t>
      </w:r>
      <w:r>
        <w:rPr>
          <w:rStyle w:val="FootnoteReference"/>
        </w:rPr>
        <w:footnoteReference w:id="35"/>
      </w:r>
      <w:r>
        <w:rPr>
          <w:i/>
          <w:iCs/>
        </w:rPr>
        <w:t xml:space="preserve"> </w:t>
      </w:r>
      <w:r>
        <w:t>and have been followed and applied by Queensland tribunals.</w:t>
      </w:r>
      <w:r>
        <w:rPr>
          <w:rStyle w:val="FootnoteReference"/>
        </w:rPr>
        <w:footnoteReference w:id="36"/>
      </w:r>
    </w:p>
    <w:p w14:paraId="0BCA7824" w14:textId="7432B33D" w:rsidR="00CD36E1" w:rsidRPr="00502BB6" w:rsidRDefault="00CD36E1" w:rsidP="00CD36E1">
      <w:pPr>
        <w:pStyle w:val="Numberedparagraph"/>
      </w:pPr>
      <w:r>
        <w:t xml:space="preserve">In Queensland, the test enunciated in </w:t>
      </w:r>
      <w:r w:rsidRPr="00BE3469">
        <w:rPr>
          <w:i/>
          <w:iCs/>
        </w:rPr>
        <w:t>Kazak</w:t>
      </w:r>
      <w:r>
        <w:t xml:space="preserve"> has been applied: that is, whether the ordinary reader/listener/observer would consider they were being urged on to hatred </w:t>
      </w:r>
      <w:r w:rsidR="005E617E">
        <w:t xml:space="preserve">(or the other relevant </w:t>
      </w:r>
      <w:r w:rsidR="009C16B5">
        <w:t>sentiments</w:t>
      </w:r>
      <w:r w:rsidR="005E617E">
        <w:t xml:space="preserve">) </w:t>
      </w:r>
      <w:r>
        <w:t xml:space="preserve">towards </w:t>
      </w:r>
      <w:r w:rsidR="005E617E">
        <w:t xml:space="preserve">a person or group of persons </w:t>
      </w:r>
      <w:r>
        <w:t>because of the</w:t>
      </w:r>
      <w:r w:rsidR="00D556BC">
        <w:t>ir</w:t>
      </w:r>
      <w:r>
        <w:t xml:space="preserve"> race or other </w:t>
      </w:r>
      <w:r w:rsidRPr="00502BB6">
        <w:t>relevant attribute.</w:t>
      </w:r>
    </w:p>
    <w:p w14:paraId="716FAEAE" w14:textId="374A1291" w:rsidR="00CD36E1" w:rsidRPr="00502BB6" w:rsidRDefault="00CD36E1" w:rsidP="00CD36E1">
      <w:pPr>
        <w:pStyle w:val="Numberedparagraph"/>
      </w:pPr>
      <w:r w:rsidRPr="00502BB6">
        <w:t xml:space="preserve">Changing the expression of the prohibition to </w:t>
      </w:r>
      <w:r w:rsidR="000B4F4C" w:rsidRPr="00B96D11">
        <w:t>‘</w:t>
      </w:r>
      <w:r w:rsidRPr="0022606B">
        <w:t>incites, or is reasonably likely to incite</w:t>
      </w:r>
      <w:r w:rsidR="00B96D11">
        <w:t>,</w:t>
      </w:r>
      <w:r w:rsidR="00314179" w:rsidRPr="0022606B">
        <w:t>’</w:t>
      </w:r>
      <w:r w:rsidRPr="00502BB6">
        <w:t xml:space="preserve"> suggests that </w:t>
      </w:r>
      <w:r w:rsidR="00BC1974" w:rsidRPr="00BC1974">
        <w:t>‘</w:t>
      </w:r>
      <w:r w:rsidRPr="0022606B">
        <w:t xml:space="preserve">conduct </w:t>
      </w:r>
      <w:r w:rsidRPr="00780E95">
        <w:t>that incites</w:t>
      </w:r>
      <w:r w:rsidR="00BC1974" w:rsidRPr="00780E95">
        <w:t>’</w:t>
      </w:r>
      <w:r w:rsidRPr="00502BB6">
        <w:t xml:space="preserve"> means actual incitement. This has the potential to create a shift in the way vilification provisions have been construed and applied. </w:t>
      </w:r>
    </w:p>
    <w:p w14:paraId="648D2C7D" w14:textId="1BDD0C67" w:rsidR="00CD36E1" w:rsidRPr="00502BB6" w:rsidRDefault="00CD36E1" w:rsidP="00CD36E1">
      <w:pPr>
        <w:pStyle w:val="Numberedparagraph"/>
      </w:pPr>
      <w:r w:rsidRPr="00502BB6">
        <w:t xml:space="preserve">In the Victorian decision in </w:t>
      </w:r>
      <w:r w:rsidRPr="00502BB6">
        <w:rPr>
          <w:i/>
          <w:iCs/>
        </w:rPr>
        <w:t>Catch the Fire Ministries</w:t>
      </w:r>
      <w:r w:rsidR="002B13DF">
        <w:rPr>
          <w:i/>
          <w:iCs/>
        </w:rPr>
        <w:t>,</w:t>
      </w:r>
      <w:r w:rsidRPr="00502BB6">
        <w:t xml:space="preserve"> an element of the audience was incorporated into the test. Nettle JA said that there could be no incitement without an audience. This is at odds with Queensland decisions where the element of </w:t>
      </w:r>
      <w:r w:rsidR="002B13DF">
        <w:t>‘</w:t>
      </w:r>
      <w:r w:rsidRPr="00502BB6">
        <w:t>public act</w:t>
      </w:r>
      <w:r w:rsidR="002B13DF">
        <w:t>’</w:t>
      </w:r>
      <w:r w:rsidRPr="00502BB6">
        <w:t xml:space="preserve"> and its meaning could result in there not being an actual audience.</w:t>
      </w:r>
      <w:r w:rsidRPr="00502BB6">
        <w:rPr>
          <w:rStyle w:val="FootnoteReference"/>
        </w:rPr>
        <w:footnoteReference w:id="37"/>
      </w:r>
      <w:r w:rsidRPr="00502BB6">
        <w:t xml:space="preserve"> </w:t>
      </w:r>
    </w:p>
    <w:p w14:paraId="16F0AB2D" w14:textId="60B34B74" w:rsidR="00CD36E1" w:rsidRDefault="00CD36E1" w:rsidP="00CD36E1">
      <w:pPr>
        <w:pStyle w:val="Numberedparagraph"/>
      </w:pPr>
      <w:r>
        <w:t xml:space="preserve">Legislation is drafted for the public at large. It is a fundamental feature of the rule of law that legislation be clear and able to be understood by those who are bound by it. Section 4(3)(k) of the </w:t>
      </w:r>
      <w:r w:rsidRPr="00E4150A">
        <w:rPr>
          <w:i/>
          <w:iCs/>
        </w:rPr>
        <w:t>Legislative Standards Act 1992</w:t>
      </w:r>
      <w:r>
        <w:t xml:space="preserve"> provides that legislation should be unambiguous and drafted in a sufficiently clear and precise way.</w:t>
      </w:r>
      <w:r>
        <w:rPr>
          <w:rStyle w:val="FootnoteReference"/>
        </w:rPr>
        <w:footnoteReference w:id="38"/>
      </w:r>
    </w:p>
    <w:p w14:paraId="45E82728" w14:textId="050D41E5" w:rsidR="00D62561" w:rsidRDefault="00A63D65" w:rsidP="00D62561">
      <w:pPr>
        <w:pStyle w:val="Numberedparagraph"/>
      </w:pPr>
      <w:r>
        <w:rPr>
          <w:noProof/>
        </w:rPr>
        <w:lastRenderedPageBreak/>
        <mc:AlternateContent>
          <mc:Choice Requires="wps">
            <w:drawing>
              <wp:anchor distT="0" distB="0" distL="114300" distR="114300" simplePos="0" relativeHeight="251658245" behindDoc="1" locked="0" layoutInCell="1" allowOverlap="1" wp14:anchorId="5D59F7DE" wp14:editId="2AA5BDB6">
                <wp:simplePos x="0" y="0"/>
                <wp:positionH relativeFrom="margin">
                  <wp:posOffset>0</wp:posOffset>
                </wp:positionH>
                <wp:positionV relativeFrom="paragraph">
                  <wp:posOffset>612249</wp:posOffset>
                </wp:positionV>
                <wp:extent cx="5419725" cy="1200150"/>
                <wp:effectExtent l="0" t="0" r="9525" b="0"/>
                <wp:wrapNone/>
                <wp:docPr id="1398694668" name="Rectangle 2"/>
                <wp:cNvGraphicFramePr/>
                <a:graphic xmlns:a="http://schemas.openxmlformats.org/drawingml/2006/main">
                  <a:graphicData uri="http://schemas.microsoft.com/office/word/2010/wordprocessingShape">
                    <wps:wsp>
                      <wps:cNvSpPr/>
                      <wps:spPr>
                        <a:xfrm>
                          <a:off x="0" y="0"/>
                          <a:ext cx="5419725" cy="1200150"/>
                        </a:xfrm>
                        <a:prstGeom prst="rect">
                          <a:avLst/>
                        </a:prstGeom>
                        <a:solidFill>
                          <a:srgbClr val="0042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139199" id="Rectangle 2" o:spid="_x0000_s1026" style="position:absolute;margin-left:0;margin-top:48.2pt;width:426.75pt;height:94.5pt;z-index:-25165823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oVOaAIAAEsFAAAOAAAAZHJzL2Uyb0RvYy54bWysVF9r2zAQfx/sOwi9r46zZF1DnRJaOgal&#10;K2tHnxVZSgSyTjspcbJPv5PsOFlXKIy9SHe63/2/0+XVrrFsqzAYcBUvz0acKSehNm5V8R9Ptx8+&#10;cxaicLWw4FTF9yrwq/n7d5etn6kxrMHWChkZcWHW+oqvY/SzoghyrRoRzsArR0IN2IhILK6KGkVL&#10;1htbjEejT0ULWHsEqUKg15tOyOfZvtZKxm9aBxWZrTjFFvOJ+Vyms5hfitkKhV8b2Ych/iGKRhhH&#10;TgdTNyIKtkHzl6nGSIQAOp5JaArQ2kiVc6BsytGLbB7XwqucCxUn+KFM4f+ZlffbR/+AVIbWh1kg&#10;MmWx09ikm+Jju1ys/VAstYtM0uN0Ul6cj6ecSZKV1ItymstZHNU9hvhFQcMSUXGkbuQiie1diOSS&#10;oAdI8hbAmvrWWJsZXC2vLbKtSJ0bTcbnB+t/wKxLYAdJrbPYvajc+97NMbVMxb1VScu670ozU1My&#10;ZY4rT50avAoplYtlmhGKNKOTmiZXg+LHtxV7fFLtohqUx28rDxrZM7g4KDfGAb5mwA4h6w5P4Z/k&#10;ncgl1PsHZAjdPgQvbw216E6E+CCQFoBWhZY6fqNDW2grDj3F2Rrw12vvCU9zSVLOWlqoioefG4GK&#10;M/vV0cRelJNJ2sDMTKbnY2LwVLI8lbhNcw3U+ZK+Dy8zmfDRHkiN0DzT7i+SVxIJJ8l3xWXEA3Md&#10;u0Wn30OqxSLDaOu8iHfu0ctD19MIPu2eBfp+TiON+D0clk/MXoxrh039cLDYRNAmz/Kxrn29aWPz&#10;4PS/S/oSTvmMOv6B898AAAD//wMAUEsDBBQABgAIAAAAIQBqx8FY3gAAAAcBAAAPAAAAZHJzL2Rv&#10;d25yZXYueG1sTI9PS8NAFMTvgt9heYI3u7FtShLzUqTQS0HBKJ632Zc/Nvs2ZLdN+u1dT/Y4zDDz&#10;m3w7m15caHSdZYTnRQSCuLK64wbh63P/lIBwXrFWvWVCuJKDbXF/l6tM24k/6FL6RoQSdplCaL0f&#10;Mild1ZJRbmEH4uDVdjTKBzk2Uo9qCuWml8so2kijOg4LrRpo11J1Ks8GYfqRK13uv6+7KuXD6f2t&#10;PkRpjfj4ML++gPA0+/8w/OEHdCgC09GeWTvRI4QjHiHdrEEEN4lXMYgjwjKJ1yCLXN7yF78AAAD/&#10;/wMAUEsBAi0AFAAGAAgAAAAhALaDOJL+AAAA4QEAABMAAAAAAAAAAAAAAAAAAAAAAFtDb250ZW50&#10;X1R5cGVzXS54bWxQSwECLQAUAAYACAAAACEAOP0h/9YAAACUAQAACwAAAAAAAAAAAAAAAAAvAQAA&#10;X3JlbHMvLnJlbHNQSwECLQAUAAYACAAAACEAjvaFTmgCAABLBQAADgAAAAAAAAAAAAAAAAAuAgAA&#10;ZHJzL2Uyb0RvYy54bWxQSwECLQAUAAYACAAAACEAasfBWN4AAAAHAQAADwAAAAAAAAAAAAAAAADC&#10;BAAAZHJzL2Rvd25yZXYueG1sUEsFBgAAAAAEAAQA8wAAAM0FAAAAAA==&#10;" fillcolor="#004270" stroked="f">
                <w10:wrap anchorx="margin"/>
              </v:rect>
            </w:pict>
          </mc:Fallback>
        </mc:AlternateContent>
      </w:r>
      <w:r w:rsidR="00CD36E1">
        <w:t xml:space="preserve">With those principles in mind, and the potential for clause 85 to change the law, the better approach is to keep the wording of section 124A but changing </w:t>
      </w:r>
      <w:r w:rsidR="00CD36E1" w:rsidRPr="00536C0A">
        <w:rPr>
          <w:i/>
          <w:iCs/>
        </w:rPr>
        <w:t>incite</w:t>
      </w:r>
      <w:r w:rsidR="00CD36E1">
        <w:t xml:space="preserve"> to </w:t>
      </w:r>
      <w:r w:rsidR="00CD36E1" w:rsidRPr="00536C0A">
        <w:rPr>
          <w:i/>
          <w:iCs/>
        </w:rPr>
        <w:t>urge or promote</w:t>
      </w:r>
      <w:r w:rsidR="00CD36E1">
        <w:t>.</w:t>
      </w:r>
    </w:p>
    <w:p w14:paraId="7A82E6FA" w14:textId="7D822689" w:rsidR="00FE5560" w:rsidRPr="00790B41" w:rsidRDefault="00FE5560" w:rsidP="001F6673">
      <w:pPr>
        <w:pStyle w:val="Heading3"/>
        <w:spacing w:before="240"/>
        <w:ind w:left="567"/>
        <w:rPr>
          <w:color w:val="FFFFFF" w:themeColor="background1"/>
        </w:rPr>
      </w:pPr>
      <w:bookmarkStart w:id="24" w:name="_Toc161917238"/>
      <w:r w:rsidRPr="00790B41">
        <w:rPr>
          <w:color w:val="FFFFFF" w:themeColor="background1"/>
        </w:rPr>
        <w:t>Recommendation</w:t>
      </w:r>
      <w:bookmarkEnd w:id="24"/>
    </w:p>
    <w:p w14:paraId="7EE287BF" w14:textId="1B93F43F" w:rsidR="00FE5560" w:rsidRPr="00790B41" w:rsidRDefault="00E35BA3" w:rsidP="00790B41">
      <w:pPr>
        <w:ind w:left="567"/>
        <w:rPr>
          <w:color w:val="FFFFFF" w:themeColor="background1"/>
        </w:rPr>
      </w:pPr>
      <w:r w:rsidRPr="00790B41">
        <w:rPr>
          <w:color w:val="FFFFFF" w:themeColor="background1"/>
        </w:rPr>
        <w:t xml:space="preserve">Clause 85 should be amended </w:t>
      </w:r>
      <w:r w:rsidR="009241E1" w:rsidRPr="00790B41">
        <w:rPr>
          <w:color w:val="FFFFFF" w:themeColor="background1"/>
        </w:rPr>
        <w:t>so it provides:</w:t>
      </w:r>
    </w:p>
    <w:p w14:paraId="75052076" w14:textId="71C9399E" w:rsidR="009241E1" w:rsidRPr="00790B41" w:rsidRDefault="0070754E" w:rsidP="00790B41">
      <w:pPr>
        <w:spacing w:before="80" w:after="80" w:line="259" w:lineRule="auto"/>
        <w:ind w:left="1418"/>
        <w:rPr>
          <w:color w:val="FFFFFF" w:themeColor="background1"/>
        </w:rPr>
      </w:pPr>
      <w:r w:rsidRPr="00790B41">
        <w:rPr>
          <w:color w:val="FFFFFF" w:themeColor="background1"/>
        </w:rPr>
        <w:t>A person must not, by a public act, urge or promote hatred towards, serious contempt for, or severe ridicule of, a person or group of persons on the ground of …</w:t>
      </w:r>
    </w:p>
    <w:p w14:paraId="36999519" w14:textId="77777777" w:rsidR="00790B41" w:rsidRDefault="00790B41" w:rsidP="00790B41">
      <w:pPr>
        <w:spacing w:before="80" w:after="80" w:line="259" w:lineRule="auto"/>
        <w:ind w:left="1418"/>
      </w:pPr>
    </w:p>
    <w:p w14:paraId="403D7A34" w14:textId="3354920A" w:rsidR="00D62561" w:rsidRDefault="00D62561" w:rsidP="00D62561">
      <w:pPr>
        <w:pStyle w:val="Numberedparagraph"/>
      </w:pPr>
      <w:r>
        <w:t xml:space="preserve">Refer to Annexure </w:t>
      </w:r>
      <w:r w:rsidR="001036AD">
        <w:t>B for commentary regarding the selection of attributes for protection from vilification and hate crimes.</w:t>
      </w:r>
    </w:p>
    <w:p w14:paraId="0E8C5824" w14:textId="41BA8013" w:rsidR="00FE5560" w:rsidRDefault="00637EBD" w:rsidP="000E59AB">
      <w:pPr>
        <w:pStyle w:val="Heading2"/>
      </w:pPr>
      <w:bookmarkStart w:id="25" w:name="_Toc161917239"/>
      <w:r>
        <w:t>Complaints functions</w:t>
      </w:r>
      <w:bookmarkEnd w:id="25"/>
    </w:p>
    <w:p w14:paraId="0E5BEB44" w14:textId="12C5FD2D" w:rsidR="000D611A" w:rsidRDefault="003B7AE6" w:rsidP="000D611A">
      <w:pPr>
        <w:pStyle w:val="Numberedparagraph"/>
      </w:pPr>
      <w:r>
        <w:t>Overall</w:t>
      </w:r>
      <w:r w:rsidR="000D611A">
        <w:t xml:space="preserve">, </w:t>
      </w:r>
      <w:r w:rsidR="00945C3F">
        <w:t>Part</w:t>
      </w:r>
      <w:r w:rsidR="002E34F6">
        <w:t xml:space="preserve"> 9 of the draft Bill reflects the </w:t>
      </w:r>
      <w:r w:rsidR="009F3609">
        <w:t>objectives</w:t>
      </w:r>
      <w:r w:rsidR="004F0406">
        <w:t xml:space="preserve"> of the </w:t>
      </w:r>
      <w:r w:rsidR="000456F8">
        <w:t>reforms recommended</w:t>
      </w:r>
      <w:r w:rsidR="004F0406">
        <w:t xml:space="preserve"> in the </w:t>
      </w:r>
      <w:proofErr w:type="gramStart"/>
      <w:r w:rsidR="004F0406">
        <w:rPr>
          <w:i/>
          <w:iCs/>
        </w:rPr>
        <w:t>Building</w:t>
      </w:r>
      <w:proofErr w:type="gramEnd"/>
      <w:r w:rsidR="004F0406">
        <w:rPr>
          <w:i/>
          <w:iCs/>
        </w:rPr>
        <w:t xml:space="preserve"> </w:t>
      </w:r>
      <w:r w:rsidR="00D90936">
        <w:rPr>
          <w:i/>
          <w:iCs/>
        </w:rPr>
        <w:t>b</w:t>
      </w:r>
      <w:r w:rsidR="004F0406">
        <w:rPr>
          <w:i/>
          <w:iCs/>
        </w:rPr>
        <w:t xml:space="preserve">elonging </w:t>
      </w:r>
      <w:r w:rsidR="00D90936">
        <w:t>r</w:t>
      </w:r>
      <w:r w:rsidR="004F0406">
        <w:t>eview, including that it:</w:t>
      </w:r>
    </w:p>
    <w:p w14:paraId="21D064FB" w14:textId="3B9C22E8" w:rsidR="004F0406" w:rsidRDefault="006134FC" w:rsidP="00510D69">
      <w:pPr>
        <w:pStyle w:val="Bulletedlist"/>
      </w:pPr>
      <w:r>
        <w:t>r</w:t>
      </w:r>
      <w:r w:rsidR="001A1EA9">
        <w:t>etains the</w:t>
      </w:r>
      <w:r w:rsidR="00F45BF9">
        <w:t xml:space="preserve"> compulsory dispute resolution process, </w:t>
      </w:r>
      <w:r w:rsidR="001A1EA9">
        <w:t xml:space="preserve">while </w:t>
      </w:r>
      <w:r w:rsidR="00420AF8">
        <w:t>reshaping the legislative framework to</w:t>
      </w:r>
      <w:r w:rsidR="00183A91">
        <w:t xml:space="preserve"> facilitate </w:t>
      </w:r>
      <w:r w:rsidR="001A1EA9">
        <w:t>a more flexible and responsive dispute resolution process at the QHRC</w:t>
      </w:r>
      <w:r>
        <w:t xml:space="preserve"> (Recommendation 9)</w:t>
      </w:r>
    </w:p>
    <w:p w14:paraId="738E0470" w14:textId="02EF2354" w:rsidR="001A1EA9" w:rsidRDefault="00FE054B" w:rsidP="00510D69">
      <w:pPr>
        <w:pStyle w:val="Bulletedlist"/>
      </w:pPr>
      <w:r>
        <w:t>m</w:t>
      </w:r>
      <w:r w:rsidR="001A1EA9">
        <w:t xml:space="preserve">akes changes to improve </w:t>
      </w:r>
      <w:r w:rsidR="00527E44">
        <w:t>access to justice,</w:t>
      </w:r>
      <w:r w:rsidR="00AD3857">
        <w:t xml:space="preserve"> including a longer</w:t>
      </w:r>
      <w:r w:rsidR="00203488">
        <w:t xml:space="preserve"> </w:t>
      </w:r>
      <w:r w:rsidR="00407016">
        <w:t>2-year</w:t>
      </w:r>
      <w:r w:rsidR="00AD3857">
        <w:t xml:space="preserve"> time limit to make a complaint</w:t>
      </w:r>
      <w:r w:rsidR="005C56DC">
        <w:t xml:space="preserve"> (Recommendation 8)</w:t>
      </w:r>
      <w:r w:rsidR="003B7AE6">
        <w:t>.</w:t>
      </w:r>
    </w:p>
    <w:p w14:paraId="42A81B27" w14:textId="7F45DAA0" w:rsidR="00FA734E" w:rsidRDefault="00FA734E" w:rsidP="00FA734E">
      <w:pPr>
        <w:pStyle w:val="Numberedparagraph"/>
      </w:pPr>
      <w:r>
        <w:t xml:space="preserve">However, aspects </w:t>
      </w:r>
      <w:r w:rsidR="005C56DC">
        <w:t xml:space="preserve">of the draft Bill </w:t>
      </w:r>
      <w:r>
        <w:t xml:space="preserve">require amendment to ensure that the QHRC can </w:t>
      </w:r>
      <w:r w:rsidR="00582C62">
        <w:t xml:space="preserve">make </w:t>
      </w:r>
      <w:r w:rsidR="00BA2D60">
        <w:t xml:space="preserve">the complaints </w:t>
      </w:r>
      <w:r w:rsidR="00255656">
        <w:t>process</w:t>
      </w:r>
      <w:r w:rsidR="00582C62">
        <w:t xml:space="preserve"> more effective and efficient</w:t>
      </w:r>
      <w:r w:rsidR="00255656">
        <w:t>.</w:t>
      </w:r>
    </w:p>
    <w:p w14:paraId="3464347D" w14:textId="6E8D81FF" w:rsidR="00505973" w:rsidRDefault="00505973" w:rsidP="00915C03">
      <w:pPr>
        <w:pStyle w:val="Heading3"/>
      </w:pPr>
      <w:bookmarkStart w:id="26" w:name="_Toc161917240"/>
      <w:r>
        <w:t xml:space="preserve">Terminology </w:t>
      </w:r>
      <w:r w:rsidR="00EC033E">
        <w:t>–</w:t>
      </w:r>
      <w:r>
        <w:t xml:space="preserve"> </w:t>
      </w:r>
      <w:r w:rsidR="00EC033E">
        <w:t>‘</w:t>
      </w:r>
      <w:r w:rsidR="006924DA">
        <w:t>a</w:t>
      </w:r>
      <w:r>
        <w:t>ccepted</w:t>
      </w:r>
      <w:r w:rsidR="00EC033E">
        <w:t>’</w:t>
      </w:r>
      <w:r>
        <w:t xml:space="preserve"> </w:t>
      </w:r>
      <w:r w:rsidR="00393941">
        <w:t>or</w:t>
      </w:r>
      <w:r>
        <w:t xml:space="preserve"> </w:t>
      </w:r>
      <w:r w:rsidR="00393941">
        <w:t>‘</w:t>
      </w:r>
      <w:r>
        <w:t>dealt with</w:t>
      </w:r>
      <w:r w:rsidR="00393941">
        <w:t>’</w:t>
      </w:r>
      <w:r>
        <w:t xml:space="preserve"> language</w:t>
      </w:r>
      <w:bookmarkEnd w:id="26"/>
    </w:p>
    <w:p w14:paraId="30347FB7" w14:textId="65B8290A" w:rsidR="002847DE" w:rsidRPr="00EF0AA8" w:rsidRDefault="002847DE" w:rsidP="002847DE">
      <w:pPr>
        <w:pStyle w:val="Numberedparagraph"/>
        <w:rPr>
          <w:i/>
          <w:iCs/>
        </w:rPr>
      </w:pPr>
      <w:r w:rsidRPr="002847DE">
        <w:t xml:space="preserve">The </w:t>
      </w:r>
      <w:r>
        <w:t>draft</w:t>
      </w:r>
      <w:r w:rsidRPr="002847DE">
        <w:t xml:space="preserve"> Bill uses inconsistent language </w:t>
      </w:r>
      <w:r w:rsidR="006924DA">
        <w:t>when referring</w:t>
      </w:r>
      <w:r w:rsidRPr="002847DE">
        <w:t xml:space="preserve"> to actions taken by the Commissioner in relation to complaints. It refers to </w:t>
      </w:r>
      <w:r w:rsidR="00407016">
        <w:t>‘</w:t>
      </w:r>
      <w:r w:rsidRPr="002847DE">
        <w:t>dealing with</w:t>
      </w:r>
      <w:r w:rsidR="00407016">
        <w:t xml:space="preserve">’ </w:t>
      </w:r>
      <w:r w:rsidRPr="002847DE">
        <w:t>complaints in some clauses</w:t>
      </w:r>
      <w:r w:rsidR="00407016">
        <w:rPr>
          <w:rStyle w:val="FootnoteReference"/>
        </w:rPr>
        <w:footnoteReference w:id="39"/>
      </w:r>
      <w:r w:rsidRPr="002847DE">
        <w:t xml:space="preserve"> </w:t>
      </w:r>
      <w:r w:rsidR="00407016">
        <w:t>and ‘accepting’ complaints in others.</w:t>
      </w:r>
      <w:r w:rsidR="00010D45">
        <w:rPr>
          <w:rStyle w:val="FootnoteReference"/>
        </w:rPr>
        <w:footnoteReference w:id="40"/>
      </w:r>
    </w:p>
    <w:p w14:paraId="1C82B33E" w14:textId="0D7BE29B" w:rsidR="00EF0AA8" w:rsidRDefault="00EF0AA8" w:rsidP="00EF0AA8">
      <w:pPr>
        <w:pStyle w:val="Numberedparagraph"/>
      </w:pPr>
      <w:r>
        <w:t xml:space="preserve">While it is important to maintain the distinction between complaints that fall within the </w:t>
      </w:r>
      <w:r w:rsidR="001C18C4">
        <w:t>C</w:t>
      </w:r>
      <w:r>
        <w:t xml:space="preserve">ommissioner’s jurisdiction and those that do not, referring to complaints as ‘accepted’ or ‘not accepted’ is confusing and misleading to parties who do not understand the distinction. </w:t>
      </w:r>
    </w:p>
    <w:p w14:paraId="191FB7B8" w14:textId="13D3CF13" w:rsidR="00BD42FF" w:rsidRDefault="00BD42FF" w:rsidP="00BD42FF">
      <w:pPr>
        <w:pStyle w:val="Numberedparagraph"/>
      </w:pPr>
      <w:r>
        <w:t xml:space="preserve">Parties often interpret the term ‘accepted complaint’ to mean that the </w:t>
      </w:r>
      <w:r w:rsidR="00A24D52">
        <w:t>C</w:t>
      </w:r>
      <w:r>
        <w:t xml:space="preserve">ommissioner has decided the complaint </w:t>
      </w:r>
      <w:r w:rsidR="00497874">
        <w:t>has merit</w:t>
      </w:r>
      <w:r>
        <w:t xml:space="preserve"> and/or that a finding has already been made that the alleged conduct did occur and did amount to unlawful discrimination. </w:t>
      </w:r>
      <w:r w:rsidR="00E938CE">
        <w:t>Conversely, c</w:t>
      </w:r>
      <w:r>
        <w:t xml:space="preserve">omplainants </w:t>
      </w:r>
      <w:r w:rsidR="00F2540E">
        <w:t>may</w:t>
      </w:r>
      <w:r>
        <w:t xml:space="preserve"> interpret</w:t>
      </w:r>
      <w:r w:rsidR="00820238">
        <w:t xml:space="preserve"> </w:t>
      </w:r>
      <w:r w:rsidR="00ED0BAF">
        <w:t>‘</w:t>
      </w:r>
      <w:r w:rsidR="00820238">
        <w:t>not accepting’ their complaint</w:t>
      </w:r>
      <w:r>
        <w:t xml:space="preserve"> to mean that the </w:t>
      </w:r>
      <w:r w:rsidR="003C43CB">
        <w:t>C</w:t>
      </w:r>
      <w:r>
        <w:t xml:space="preserve">ommissioner does not accept that the allegations </w:t>
      </w:r>
      <w:r>
        <w:lastRenderedPageBreak/>
        <w:t xml:space="preserve">occurred, when </w:t>
      </w:r>
      <w:r w:rsidR="00151CAE">
        <w:t>it</w:t>
      </w:r>
      <w:r>
        <w:t xml:space="preserve"> </w:t>
      </w:r>
      <w:r w:rsidR="00151CAE">
        <w:t>generally</w:t>
      </w:r>
      <w:r w:rsidR="002A7E25">
        <w:t xml:space="preserve"> only</w:t>
      </w:r>
      <w:r>
        <w:t xml:space="preserve"> means that the </w:t>
      </w:r>
      <w:r w:rsidR="003C43CB">
        <w:t>C</w:t>
      </w:r>
      <w:r>
        <w:t>ommissioner has assessed the allegations as having insufficient detail to indicate a contravention of the Anti-Discrimination Act.</w:t>
      </w:r>
    </w:p>
    <w:p w14:paraId="797A539C" w14:textId="25AD1193" w:rsidR="003C43CB" w:rsidRDefault="003C43CB" w:rsidP="003C43CB">
      <w:pPr>
        <w:pStyle w:val="Numberedparagraph"/>
      </w:pPr>
      <w:r>
        <w:t>The language used to maintain the distinction is therefore important in building trust between Commission staff and complaint parties</w:t>
      </w:r>
      <w:r w:rsidR="00B81E80">
        <w:t>, w</w:t>
      </w:r>
      <w:r w:rsidR="0064604D">
        <w:t>h</w:t>
      </w:r>
      <w:r w:rsidR="00B81E80">
        <w:t>ich is</w:t>
      </w:r>
      <w:r>
        <w:t xml:space="preserve"> an essential element </w:t>
      </w:r>
      <w:r w:rsidR="007E03DD">
        <w:t>for</w:t>
      </w:r>
      <w:r>
        <w:t xml:space="preserve"> providing successful dispute resolution services</w:t>
      </w:r>
      <w:r w:rsidR="007E03DD">
        <w:t>.</w:t>
      </w:r>
      <w:r>
        <w:t xml:space="preserve"> </w:t>
      </w:r>
    </w:p>
    <w:p w14:paraId="7B33CDAD" w14:textId="2CE2BA07" w:rsidR="00EF0AA8" w:rsidRPr="0045292A" w:rsidRDefault="00A63D65" w:rsidP="0045292A">
      <w:pPr>
        <w:pStyle w:val="Numberedparagraph"/>
      </w:pPr>
      <w:r>
        <w:rPr>
          <w:noProof/>
        </w:rPr>
        <mc:AlternateContent>
          <mc:Choice Requires="wps">
            <w:drawing>
              <wp:anchor distT="0" distB="0" distL="114300" distR="114300" simplePos="0" relativeHeight="251658246" behindDoc="1" locked="0" layoutInCell="1" allowOverlap="1" wp14:anchorId="2B57BB96" wp14:editId="61A60820">
                <wp:simplePos x="0" y="0"/>
                <wp:positionH relativeFrom="margin">
                  <wp:posOffset>0</wp:posOffset>
                </wp:positionH>
                <wp:positionV relativeFrom="paragraph">
                  <wp:posOffset>1533634</wp:posOffset>
                </wp:positionV>
                <wp:extent cx="5419725" cy="1790700"/>
                <wp:effectExtent l="0" t="0" r="9525" b="0"/>
                <wp:wrapNone/>
                <wp:docPr id="1957154285" name="Rectangle 2"/>
                <wp:cNvGraphicFramePr/>
                <a:graphic xmlns:a="http://schemas.openxmlformats.org/drawingml/2006/main">
                  <a:graphicData uri="http://schemas.microsoft.com/office/word/2010/wordprocessingShape">
                    <wps:wsp>
                      <wps:cNvSpPr/>
                      <wps:spPr>
                        <a:xfrm>
                          <a:off x="0" y="0"/>
                          <a:ext cx="5419725" cy="1790700"/>
                        </a:xfrm>
                        <a:prstGeom prst="rect">
                          <a:avLst/>
                        </a:prstGeom>
                        <a:solidFill>
                          <a:srgbClr val="0042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0DA240" id="Rectangle 2" o:spid="_x0000_s1026" style="position:absolute;margin-left:0;margin-top:120.75pt;width:426.75pt;height:141pt;z-index:-25165823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KeaQIAAEsFAAAOAAAAZHJzL2Uyb0RvYy54bWysVF9r2zAQfx/sOwi9r7azdFlDnRJaOgal&#10;DW1HnxVZSgyyTjspcbJPv5PsOFlXKIy9SHe63/2/0+XVrjFsq9DXYEtenOWcKSuhqu2q5D+ebz99&#10;5cwHYSthwKqS75XnV7OPHy5bN1UjWIOpFDIyYv20dSVfh+CmWeblWjXCn4FTloQasBGBWFxlFYqW&#10;rDcmG+X5l6wFrByCVN7T600n5LNkX2slw4PWXgVmSk6xhXRiOpfxzGaXYrpC4da17MMQ/xBFI2pL&#10;TgdTNyIItsH6L1NNLRE86HAmoclA61qqlANlU+SvsnlaC6dSLlQc74Yy+f9nVt5vn9wCqQyt81NP&#10;ZMxip7GJN8XHdqlY+6FYaheYpMfzcXExGZ1zJklWTC7ySZ7KmR3VHfrwTUHDIlFypG6kIontnQ/k&#10;kqAHSPTmwdTVbW1MYnC1vDbItiJ2Lh+PJgfrf8CMjWALUa2z2L2o1PvezTG1RIW9UVHL2EelWV1R&#10;MkWKK02dGrwKKZUNRZwRijSho5omV4Pi5/cVe3xU7aIalEfvKw8ayTPYMCg3tQV8y4AZQtYdnsI/&#10;yTuSS6j2C2QI3T54J29ratGd8GEhkBaAVoWWOjzQoQ20JYee4mwN+Out94inuSQpZy0tVMn9z41A&#10;xZn5bmliL4rxOG5gYsbnkxExeCpZnkrsprkG6nxB34eTiYz4YA6kRmheaPfn0SuJhJXku+Qy4IG5&#10;Dt2i0+8h1XyeYLR1ToQ7++TkoetxBJ93LwJdP6eBRvweDssnpq/GtcPGfliYbwLoOs3ysa59vWlj&#10;0+D0v0v8Ek75hDr+gbPfAAAA//8DAFBLAwQUAAYACAAAACEA7PZPEt4AAAAIAQAADwAAAGRycy9k&#10;b3ducmV2LnhtbEyPzW7CMBCE75X6DtZW4lYcAqkgzQZVSFyQqNS06tnEzk+J11FsSHh7tqf2NqsZ&#10;zX6TbSfbiasZfOsIYTGPQBgqnW6pRvj63D+vQfigSKvOkUG4GQ/b/PEhU6l2I32YaxFqwSXkU4XQ&#10;hNCnUvqyMVb5uesNsVe5warA51BLPaiRy20n4yh6kVa1xB8a1ZtdY8pzcbEI449c6mL/fduVGzqc&#10;34/VIdpUiLOn6e0VRDBT+AvDLz6jQ85MJ3ch7UWHwEMCQrxaJCDYXidLFieEJGYh80z+H5DfAQAA&#10;//8DAFBLAQItABQABgAIAAAAIQC2gziS/gAAAOEBAAATAAAAAAAAAAAAAAAAAAAAAABbQ29udGVu&#10;dF9UeXBlc10ueG1sUEsBAi0AFAAGAAgAAAAhADj9If/WAAAAlAEAAAsAAAAAAAAAAAAAAAAALwEA&#10;AF9yZWxzLy5yZWxzUEsBAi0AFAAGAAgAAAAhAEC1Mp5pAgAASwUAAA4AAAAAAAAAAAAAAAAALgIA&#10;AGRycy9lMm9Eb2MueG1sUEsBAi0AFAAGAAgAAAAhAOz2TxLeAAAACAEAAA8AAAAAAAAAAAAAAAAA&#10;wwQAAGRycy9kb3ducmV2LnhtbFBLBQYAAAAABAAEAPMAAADOBQAAAAA=&#10;" fillcolor="#004270" stroked="f">
                <w10:wrap anchorx="margin"/>
              </v:rect>
            </w:pict>
          </mc:Fallback>
        </mc:AlternateContent>
      </w:r>
      <w:r w:rsidR="006A7F82" w:rsidRPr="006A7F82">
        <w:t xml:space="preserve">The </w:t>
      </w:r>
      <w:r w:rsidR="00261981">
        <w:t>message</w:t>
      </w:r>
      <w:r w:rsidR="00261981" w:rsidRPr="006A7F82">
        <w:t xml:space="preserve"> </w:t>
      </w:r>
      <w:r w:rsidR="006A7F82" w:rsidRPr="006A7F82">
        <w:t xml:space="preserve">the </w:t>
      </w:r>
      <w:r w:rsidR="006A7F82">
        <w:t>draft</w:t>
      </w:r>
      <w:r w:rsidR="006A7F82" w:rsidRPr="006A7F82">
        <w:t xml:space="preserve"> Bill needs to convey is that the </w:t>
      </w:r>
      <w:r w:rsidR="007E03DD">
        <w:t>C</w:t>
      </w:r>
      <w:r w:rsidR="006A7F82" w:rsidRPr="006A7F82">
        <w:t xml:space="preserve">ommissioner will deal with complaints that are within jurisdiction and </w:t>
      </w:r>
      <w:r w:rsidR="006A7F82">
        <w:t>will not</w:t>
      </w:r>
      <w:r w:rsidR="006A7F82" w:rsidRPr="006A7F82">
        <w:t xml:space="preserve"> deal with those that </w:t>
      </w:r>
      <w:proofErr w:type="gramStart"/>
      <w:r w:rsidR="006A7F82" w:rsidRPr="006A7F82">
        <w:t>aren’t</w:t>
      </w:r>
      <w:proofErr w:type="gramEnd"/>
      <w:r w:rsidR="006A7F82" w:rsidRPr="006A7F82">
        <w:t xml:space="preserve">. </w:t>
      </w:r>
      <w:r w:rsidR="006E283B">
        <w:t>T</w:t>
      </w:r>
      <w:r w:rsidR="007D625B">
        <w:t>he ordinary meaning of the words ‘deal with complaint’ includes taking any action in relation to it</w:t>
      </w:r>
      <w:r w:rsidR="00E80D71">
        <w:t>. This</w:t>
      </w:r>
      <w:r w:rsidR="006E3214">
        <w:t xml:space="preserve"> include</w:t>
      </w:r>
      <w:r w:rsidR="00F25629">
        <w:t>s</w:t>
      </w:r>
      <w:r w:rsidR="006E3214">
        <w:t xml:space="preserve"> the </w:t>
      </w:r>
      <w:r w:rsidR="002224D0">
        <w:t xml:space="preserve">discrete </w:t>
      </w:r>
      <w:r w:rsidR="005377A0">
        <w:t xml:space="preserve">processes </w:t>
      </w:r>
      <w:r w:rsidR="009A6371">
        <w:t xml:space="preserve">of </w:t>
      </w:r>
      <w:r w:rsidR="007D625B">
        <w:t xml:space="preserve">assessing </w:t>
      </w:r>
      <w:r w:rsidR="000577A0">
        <w:t xml:space="preserve">the </w:t>
      </w:r>
      <w:r w:rsidR="00E80D71">
        <w:t xml:space="preserve">complaint </w:t>
      </w:r>
      <w:r w:rsidR="007D625B">
        <w:t xml:space="preserve">to determine whether </w:t>
      </w:r>
      <w:r w:rsidR="000577A0">
        <w:t>it is</w:t>
      </w:r>
      <w:r w:rsidR="007D625B">
        <w:t xml:space="preserve"> within jurisdiction and</w:t>
      </w:r>
      <w:r w:rsidR="00077BFB">
        <w:t>,</w:t>
      </w:r>
      <w:r w:rsidR="007D625B">
        <w:t xml:space="preserve"> </w:t>
      </w:r>
      <w:r w:rsidR="000E1236">
        <w:t>where it is found to be within jurisdiction,</w:t>
      </w:r>
      <w:r w:rsidR="007D625B">
        <w:t xml:space="preserve"> </w:t>
      </w:r>
      <w:r w:rsidR="00E95BA3">
        <w:t xml:space="preserve">the subsequent process </w:t>
      </w:r>
      <w:r w:rsidR="00E84F93">
        <w:t xml:space="preserve">of </w:t>
      </w:r>
      <w:r w:rsidR="0043035B">
        <w:t>complaint res</w:t>
      </w:r>
      <w:r w:rsidR="001565A7">
        <w:t>o</w:t>
      </w:r>
      <w:r w:rsidR="0043035B">
        <w:t>l</w:t>
      </w:r>
      <w:r w:rsidR="001565A7">
        <w:t>u</w:t>
      </w:r>
      <w:r w:rsidR="0043035B">
        <w:t>tion</w:t>
      </w:r>
      <w:r w:rsidR="00CB21E8">
        <w:t>.</w:t>
      </w:r>
      <w:r w:rsidR="00B8577F">
        <w:t xml:space="preserve"> </w:t>
      </w:r>
      <w:r w:rsidR="00F865ED">
        <w:t>Emphasising t</w:t>
      </w:r>
      <w:r w:rsidR="0052372A">
        <w:t>he distinction between the two processes</w:t>
      </w:r>
      <w:r w:rsidR="006A7F82">
        <w:t xml:space="preserve"> can be achieved through </w:t>
      </w:r>
      <w:r w:rsidR="00117748">
        <w:t>consistent use of the terms ‘decided to deal with’ or ‘not deal with’.</w:t>
      </w:r>
    </w:p>
    <w:p w14:paraId="7C61BD39" w14:textId="500A0EB3" w:rsidR="000005FA" w:rsidRPr="00910C56" w:rsidRDefault="000005FA" w:rsidP="00910C56">
      <w:pPr>
        <w:pStyle w:val="Heading3"/>
        <w:spacing w:before="240"/>
        <w:ind w:left="567"/>
        <w:rPr>
          <w:color w:val="FFFFFF" w:themeColor="background1"/>
        </w:rPr>
      </w:pPr>
      <w:bookmarkStart w:id="27" w:name="_Toc161917241"/>
      <w:r w:rsidRPr="00910C56">
        <w:rPr>
          <w:color w:val="FFFFFF" w:themeColor="background1"/>
        </w:rPr>
        <w:t>Recommendation</w:t>
      </w:r>
      <w:bookmarkEnd w:id="27"/>
    </w:p>
    <w:p w14:paraId="46CF934E" w14:textId="0BFE3119" w:rsidR="00A71FBA" w:rsidRPr="00910C56" w:rsidRDefault="00A71FBA" w:rsidP="00910C56">
      <w:pPr>
        <w:spacing w:before="240" w:after="240" w:line="276" w:lineRule="auto"/>
        <w:ind w:left="567"/>
        <w:rPr>
          <w:color w:val="FFFFFF" w:themeColor="background1"/>
        </w:rPr>
      </w:pPr>
      <w:r w:rsidRPr="00910C56">
        <w:rPr>
          <w:color w:val="FFFFFF" w:themeColor="background1"/>
        </w:rPr>
        <w:t xml:space="preserve">All references in the draft Bill to ‘acceptance’ of </w:t>
      </w:r>
      <w:r w:rsidR="00CF531E" w:rsidRPr="00910C56">
        <w:rPr>
          <w:color w:val="FFFFFF" w:themeColor="background1"/>
        </w:rPr>
        <w:t>the</w:t>
      </w:r>
      <w:r w:rsidRPr="00910C56">
        <w:rPr>
          <w:color w:val="FFFFFF" w:themeColor="background1"/>
        </w:rPr>
        <w:t xml:space="preserve"> complaint be replaced with language to indicate the Commissioner has ‘decided to deal with’ the complaint or ‘is dealing with’ the complaint. </w:t>
      </w:r>
    </w:p>
    <w:p w14:paraId="19AC6E86" w14:textId="2BE7DC60" w:rsidR="00D77FD3" w:rsidRPr="00910C56" w:rsidRDefault="00A71FBA" w:rsidP="00910C56">
      <w:pPr>
        <w:spacing w:before="240" w:after="240" w:line="276" w:lineRule="auto"/>
        <w:ind w:left="567"/>
        <w:rPr>
          <w:color w:val="FFFFFF" w:themeColor="background1"/>
        </w:rPr>
      </w:pPr>
      <w:r w:rsidRPr="00910C56">
        <w:rPr>
          <w:color w:val="FFFFFF" w:themeColor="background1"/>
        </w:rPr>
        <w:t xml:space="preserve">References to </w:t>
      </w:r>
      <w:r w:rsidR="00D77FD3" w:rsidRPr="00910C56">
        <w:rPr>
          <w:color w:val="FFFFFF" w:themeColor="background1"/>
        </w:rPr>
        <w:t>‘</w:t>
      </w:r>
      <w:r w:rsidRPr="00910C56">
        <w:rPr>
          <w:color w:val="FFFFFF" w:themeColor="background1"/>
        </w:rPr>
        <w:t>accepted</w:t>
      </w:r>
      <w:r w:rsidR="00D77FD3" w:rsidRPr="00910C56">
        <w:rPr>
          <w:color w:val="FFFFFF" w:themeColor="background1"/>
        </w:rPr>
        <w:t xml:space="preserve"> complaint’</w:t>
      </w:r>
      <w:r w:rsidRPr="00910C56">
        <w:rPr>
          <w:color w:val="FFFFFF" w:themeColor="background1"/>
        </w:rPr>
        <w:t xml:space="preserve"> should be replaced with </w:t>
      </w:r>
      <w:r w:rsidR="00D77FD3" w:rsidRPr="00910C56">
        <w:rPr>
          <w:color w:val="FFFFFF" w:themeColor="background1"/>
        </w:rPr>
        <w:t>‘</w:t>
      </w:r>
      <w:r w:rsidRPr="00910C56">
        <w:rPr>
          <w:color w:val="FFFFFF" w:themeColor="background1"/>
        </w:rPr>
        <w:t>complaint that the commissioner has decided to deal with</w:t>
      </w:r>
      <w:r w:rsidR="00D77FD3" w:rsidRPr="00910C56">
        <w:rPr>
          <w:color w:val="FFFFFF" w:themeColor="background1"/>
        </w:rPr>
        <w:t>’</w:t>
      </w:r>
      <w:r w:rsidRPr="00910C56">
        <w:rPr>
          <w:color w:val="FFFFFF" w:themeColor="background1"/>
        </w:rPr>
        <w:t xml:space="preserve"> or </w:t>
      </w:r>
      <w:r w:rsidR="00D77FD3" w:rsidRPr="00910C56">
        <w:rPr>
          <w:color w:val="FFFFFF" w:themeColor="background1"/>
        </w:rPr>
        <w:t>‘</w:t>
      </w:r>
      <w:r w:rsidRPr="00910C56">
        <w:rPr>
          <w:color w:val="FFFFFF" w:themeColor="background1"/>
        </w:rPr>
        <w:t>complaint that the commissioner is dealing with</w:t>
      </w:r>
      <w:r w:rsidR="00D77FD3" w:rsidRPr="00910C56">
        <w:rPr>
          <w:color w:val="FFFFFF" w:themeColor="background1"/>
        </w:rPr>
        <w:t>’</w:t>
      </w:r>
      <w:r w:rsidR="00FD5F9E" w:rsidRPr="00910C56">
        <w:rPr>
          <w:color w:val="FFFFFF" w:themeColor="background1"/>
        </w:rPr>
        <w:t>, depending on the context</w:t>
      </w:r>
      <w:r w:rsidR="00D77FD3" w:rsidRPr="00910C56">
        <w:rPr>
          <w:color w:val="FFFFFF" w:themeColor="background1"/>
        </w:rPr>
        <w:t>.</w:t>
      </w:r>
    </w:p>
    <w:p w14:paraId="336B404B" w14:textId="557BB0E5" w:rsidR="00505973" w:rsidRDefault="000005FA" w:rsidP="007E1E6A">
      <w:pPr>
        <w:pStyle w:val="Heading3"/>
      </w:pPr>
      <w:bookmarkStart w:id="28" w:name="_Toc161917242"/>
      <w:r>
        <w:t>Inflexible notification provisions</w:t>
      </w:r>
      <w:bookmarkEnd w:id="28"/>
    </w:p>
    <w:p w14:paraId="27F3F585" w14:textId="29B8429C" w:rsidR="007E1E6A" w:rsidRDefault="007E1E6A" w:rsidP="007E1E6A">
      <w:pPr>
        <w:pStyle w:val="Numberedparagraph"/>
      </w:pPr>
      <w:r>
        <w:t xml:space="preserve">One of the </w:t>
      </w:r>
      <w:r w:rsidR="002A2126">
        <w:t>disadvantages</w:t>
      </w:r>
      <w:r>
        <w:t xml:space="preserve"> </w:t>
      </w:r>
      <w:r w:rsidR="00F72C74">
        <w:t xml:space="preserve">of the current Anti-Discrimination Act, as discussed in the </w:t>
      </w:r>
      <w:proofErr w:type="gramStart"/>
      <w:r w:rsidR="00F72C74" w:rsidRPr="00F72C74">
        <w:rPr>
          <w:i/>
          <w:iCs/>
        </w:rPr>
        <w:t>Building</w:t>
      </w:r>
      <w:proofErr w:type="gramEnd"/>
      <w:r w:rsidR="00F72C74" w:rsidRPr="00F72C74">
        <w:rPr>
          <w:i/>
          <w:iCs/>
        </w:rPr>
        <w:t xml:space="preserve"> belonging </w:t>
      </w:r>
      <w:r w:rsidR="00F72C74" w:rsidRPr="003F3F40">
        <w:t>review</w:t>
      </w:r>
      <w:r w:rsidR="00E55264">
        <w:t>,</w:t>
      </w:r>
      <w:r w:rsidR="00F91590">
        <w:rPr>
          <w:rStyle w:val="FootnoteReference"/>
        </w:rPr>
        <w:footnoteReference w:id="41"/>
      </w:r>
      <w:r w:rsidR="00F72C74">
        <w:t xml:space="preserve"> is that it </w:t>
      </w:r>
      <w:r w:rsidR="00497258">
        <w:t>includes</w:t>
      </w:r>
      <w:r w:rsidR="00F72C74">
        <w:t xml:space="preserve"> rigid procedural timeframes and processes </w:t>
      </w:r>
      <w:r w:rsidR="00C604B7">
        <w:t xml:space="preserve">that </w:t>
      </w:r>
      <w:r w:rsidR="00F72C74">
        <w:t>limit flexibility</w:t>
      </w:r>
      <w:r w:rsidR="006B2B1F">
        <w:t xml:space="preserve"> delivering </w:t>
      </w:r>
      <w:r w:rsidR="00EF227F">
        <w:t>dispute resolution</w:t>
      </w:r>
      <w:r w:rsidR="006B2B1F">
        <w:t xml:space="preserve"> services</w:t>
      </w:r>
      <w:r w:rsidR="00F72C74">
        <w:t xml:space="preserve">. </w:t>
      </w:r>
    </w:p>
    <w:p w14:paraId="2D24E9F6" w14:textId="28F3D576" w:rsidR="00662E0D" w:rsidRDefault="00662E0D" w:rsidP="007E1E6A">
      <w:pPr>
        <w:pStyle w:val="Numberedparagraph"/>
      </w:pPr>
      <w:r>
        <w:t xml:space="preserve">The current notification provisions in </w:t>
      </w:r>
      <w:r w:rsidR="005717B6">
        <w:t xml:space="preserve">section 143 </w:t>
      </w:r>
      <w:r w:rsidR="006D1581">
        <w:t>require</w:t>
      </w:r>
      <w:r w:rsidR="00582ACC">
        <w:t xml:space="preserve"> the QHRC </w:t>
      </w:r>
      <w:r w:rsidR="006D1581">
        <w:t xml:space="preserve">to </w:t>
      </w:r>
      <w:r w:rsidR="00582ACC">
        <w:t>send out</w:t>
      </w:r>
      <w:r w:rsidR="00601104">
        <w:t xml:space="preserve"> long and complex letters </w:t>
      </w:r>
      <w:r w:rsidR="00582ACC">
        <w:t>to</w:t>
      </w:r>
      <w:r w:rsidR="00601104">
        <w:t xml:space="preserve"> </w:t>
      </w:r>
      <w:r w:rsidR="00582ACC">
        <w:t xml:space="preserve">complaint parties. </w:t>
      </w:r>
      <w:r w:rsidR="00A2421F">
        <w:t>Paper-based processes not only have resource implications</w:t>
      </w:r>
      <w:r w:rsidR="00B02FD4">
        <w:t>,</w:t>
      </w:r>
      <w:r w:rsidR="00A2421F">
        <w:t xml:space="preserve"> but place individuals with literacy issues or English as a</w:t>
      </w:r>
      <w:r w:rsidR="0014507D">
        <w:t>n additional</w:t>
      </w:r>
      <w:r w:rsidR="006E34F5">
        <w:t xml:space="preserve"> </w:t>
      </w:r>
      <w:r w:rsidR="00A2421F">
        <w:t>language at a disadvantage.</w:t>
      </w:r>
    </w:p>
    <w:p w14:paraId="6573AF74" w14:textId="0E97CB7D" w:rsidR="00AF1515" w:rsidRDefault="00551AB6" w:rsidP="007E1E6A">
      <w:pPr>
        <w:pStyle w:val="Numberedparagraph"/>
      </w:pPr>
      <w:r>
        <w:t xml:space="preserve">While many of the inflexible notification provisions have been removed, </w:t>
      </w:r>
      <w:r w:rsidR="00452760">
        <w:t xml:space="preserve">the </w:t>
      </w:r>
      <w:r>
        <w:t xml:space="preserve">new clause 123 </w:t>
      </w:r>
      <w:r w:rsidR="00662E0D">
        <w:t>is likely to cr</w:t>
      </w:r>
      <w:r w:rsidR="00601104">
        <w:t xml:space="preserve">eate similar problems. </w:t>
      </w:r>
      <w:r w:rsidR="00582ACC">
        <w:t xml:space="preserve">Some of the information </w:t>
      </w:r>
      <w:r w:rsidR="006979E3">
        <w:t>required</w:t>
      </w:r>
      <w:r w:rsidR="00582ACC">
        <w:t xml:space="preserve"> </w:t>
      </w:r>
      <w:r w:rsidR="001D0E86">
        <w:t>in a</w:t>
      </w:r>
      <w:r w:rsidR="001471A9">
        <w:t xml:space="preserve"> notice to </w:t>
      </w:r>
      <w:r w:rsidR="00AF1515">
        <w:t xml:space="preserve">the respondent </w:t>
      </w:r>
      <w:r w:rsidR="00582ACC">
        <w:t>could b</w:t>
      </w:r>
      <w:r w:rsidR="0076792C">
        <w:t>e explained verbally</w:t>
      </w:r>
      <w:r w:rsidR="00495B9F">
        <w:t xml:space="preserve"> or</w:t>
      </w:r>
      <w:r w:rsidR="0076792C">
        <w:t xml:space="preserve"> included on the</w:t>
      </w:r>
      <w:r w:rsidR="006979E3">
        <w:t xml:space="preserve"> QHRC’s</w:t>
      </w:r>
      <w:r w:rsidR="0076792C">
        <w:t xml:space="preserve"> website</w:t>
      </w:r>
      <w:r w:rsidR="00495B9F">
        <w:t>.</w:t>
      </w:r>
      <w:r w:rsidR="00DF4866">
        <w:t xml:space="preserve"> </w:t>
      </w:r>
    </w:p>
    <w:p w14:paraId="2AB9B198" w14:textId="18D74372" w:rsidR="00F91590" w:rsidRDefault="00B41489" w:rsidP="007E1E6A">
      <w:pPr>
        <w:pStyle w:val="Numberedparagraph"/>
      </w:pPr>
      <w:r>
        <w:t>In the QHRC’s experience</w:t>
      </w:r>
      <w:r w:rsidR="006979E3">
        <w:t xml:space="preserve">, </w:t>
      </w:r>
      <w:r w:rsidR="00DE2E05">
        <w:t xml:space="preserve">respondents seldom </w:t>
      </w:r>
      <w:r w:rsidR="005848D4">
        <w:t xml:space="preserve">take the opportunity </w:t>
      </w:r>
      <w:r w:rsidR="00F229CE">
        <w:t xml:space="preserve">to </w:t>
      </w:r>
      <w:r w:rsidR="00845A77">
        <w:t xml:space="preserve">make submissions in writing </w:t>
      </w:r>
      <w:r w:rsidR="0024122B">
        <w:t xml:space="preserve">in response </w:t>
      </w:r>
      <w:r w:rsidR="006A5E02">
        <w:t xml:space="preserve">to </w:t>
      </w:r>
      <w:r w:rsidR="00DD6DF2">
        <w:t>a</w:t>
      </w:r>
      <w:r w:rsidR="006A5E02">
        <w:t xml:space="preserve"> complaint</w:t>
      </w:r>
      <w:r w:rsidR="002A4130">
        <w:t xml:space="preserve"> </w:t>
      </w:r>
      <w:r w:rsidR="0024122B">
        <w:t>and</w:t>
      </w:r>
      <w:r w:rsidR="00D45C28">
        <w:t>,</w:t>
      </w:r>
      <w:r w:rsidR="0024122B">
        <w:t xml:space="preserve"> when they do</w:t>
      </w:r>
      <w:r w:rsidR="00D45C28">
        <w:t>,</w:t>
      </w:r>
      <w:r w:rsidR="0024122B">
        <w:t xml:space="preserve"> the</w:t>
      </w:r>
      <w:r w:rsidR="00DF4866">
        <w:t xml:space="preserve"> </w:t>
      </w:r>
      <w:r w:rsidR="002A4130">
        <w:t xml:space="preserve">written </w:t>
      </w:r>
      <w:r w:rsidR="002A4130">
        <w:lastRenderedPageBreak/>
        <w:t>responses</w:t>
      </w:r>
      <w:r w:rsidR="009455A6">
        <w:t xml:space="preserve"> rarely </w:t>
      </w:r>
      <w:r w:rsidR="0038571C">
        <w:t xml:space="preserve">help to resolve the </w:t>
      </w:r>
      <w:r w:rsidR="009455A6">
        <w:t>complaint</w:t>
      </w:r>
      <w:r w:rsidR="002A4130">
        <w:t>.</w:t>
      </w:r>
      <w:r w:rsidR="00316D97">
        <w:t xml:space="preserve"> Requiring the QHRC to advise respondents </w:t>
      </w:r>
      <w:r w:rsidR="00332480">
        <w:t xml:space="preserve">of this option is of little </w:t>
      </w:r>
      <w:r w:rsidR="00D609D0">
        <w:t>worth</w:t>
      </w:r>
      <w:r w:rsidR="00332480">
        <w:t>.</w:t>
      </w:r>
    </w:p>
    <w:p w14:paraId="0C0B7088" w14:textId="0583BE4F" w:rsidR="00922AAE" w:rsidRDefault="00922AAE" w:rsidP="007E1E6A">
      <w:pPr>
        <w:pStyle w:val="Numberedparagraph"/>
      </w:pPr>
      <w:r>
        <w:t xml:space="preserve">A requirement to provide the ‘substance’ of a complaint to a respondent </w:t>
      </w:r>
      <w:r w:rsidR="00EC3D95">
        <w:t xml:space="preserve">will </w:t>
      </w:r>
      <w:r>
        <w:t xml:space="preserve">create a burden on QHRC’s </w:t>
      </w:r>
      <w:r w:rsidR="00040650">
        <w:t>resources when</w:t>
      </w:r>
      <w:r>
        <w:t xml:space="preserve"> the only requirement should be to provide a copy</w:t>
      </w:r>
      <w:r w:rsidR="00071CF0">
        <w:t xml:space="preserve"> of the complaint</w:t>
      </w:r>
      <w:r>
        <w:t>.</w:t>
      </w:r>
    </w:p>
    <w:p w14:paraId="27E9977A" w14:textId="77777777" w:rsidR="00CC411F" w:rsidRDefault="00CC411F" w:rsidP="007E1E6A">
      <w:pPr>
        <w:pStyle w:val="Numberedparagraph"/>
      </w:pPr>
      <w:r>
        <w:t xml:space="preserve">To achieve the goal of a more flexible and efficient process, any extraneous notification requirements should be removed from the draft Bill. The </w:t>
      </w:r>
      <w:r w:rsidRPr="00CC411F">
        <w:rPr>
          <w:i/>
          <w:iCs/>
        </w:rPr>
        <w:t>Equal Opportunity Act 2010</w:t>
      </w:r>
      <w:r>
        <w:t xml:space="preserve"> (Vic) contains no similar notification requirements. </w:t>
      </w:r>
    </w:p>
    <w:p w14:paraId="7E78FF5C" w14:textId="27D0B0D4" w:rsidR="00F11513" w:rsidRPr="007E1E6A" w:rsidRDefault="00A63D65" w:rsidP="007E1E6A">
      <w:pPr>
        <w:pStyle w:val="Numberedparagraph"/>
      </w:pPr>
      <w:r>
        <w:rPr>
          <w:noProof/>
        </w:rPr>
        <mc:AlternateContent>
          <mc:Choice Requires="wps">
            <w:drawing>
              <wp:anchor distT="0" distB="0" distL="114300" distR="114300" simplePos="0" relativeHeight="251658247" behindDoc="1" locked="0" layoutInCell="1" allowOverlap="1" wp14:anchorId="512C4ECB" wp14:editId="1A0E7345">
                <wp:simplePos x="0" y="0"/>
                <wp:positionH relativeFrom="margin">
                  <wp:posOffset>0</wp:posOffset>
                </wp:positionH>
                <wp:positionV relativeFrom="paragraph">
                  <wp:posOffset>427464</wp:posOffset>
                </wp:positionV>
                <wp:extent cx="5419725" cy="1885950"/>
                <wp:effectExtent l="0" t="0" r="9525" b="0"/>
                <wp:wrapNone/>
                <wp:docPr id="1670803860" name="Rectangle 2"/>
                <wp:cNvGraphicFramePr/>
                <a:graphic xmlns:a="http://schemas.openxmlformats.org/drawingml/2006/main">
                  <a:graphicData uri="http://schemas.microsoft.com/office/word/2010/wordprocessingShape">
                    <wps:wsp>
                      <wps:cNvSpPr/>
                      <wps:spPr>
                        <a:xfrm>
                          <a:off x="0" y="0"/>
                          <a:ext cx="5419725" cy="1885950"/>
                        </a:xfrm>
                        <a:prstGeom prst="rect">
                          <a:avLst/>
                        </a:prstGeom>
                        <a:solidFill>
                          <a:srgbClr val="0042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21B8BD" id="Rectangle 2" o:spid="_x0000_s1026" style="position:absolute;margin-left:0;margin-top:33.65pt;width:426.75pt;height:148.5pt;z-index:-25165823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U0aQIAAEsFAAAOAAAAZHJzL2Uyb0RvYy54bWysVF9v2jAQf5+072D5fQ1hsLaooUJUTJOq&#10;Fq2d+mwcGyI5Pu9sCOzT7+yEwLpKlaa92He+3/2/883tvjZsp9BXYAueXww4U1ZCWdl1wX88Lz5d&#10;ceaDsKUwYFXBD8rz2+nHDzeNm6ghbMCUChkZsX7SuIJvQnCTLPNyo2rhL8ApS0INWItALK6zEkVD&#10;1muTDQeDL1kDWDoEqbyn17tWyKfJvtZKhketvQrMFJxiC+nEdK7imU1vxGSNwm0q2YUh/iGKWlSW&#10;nPam7kQQbIvVX6bqSiJ40OFCQp2B1pVUKQfKJh+8yuZpI5xKuVBxvOvL5P+fWfmwe3JLpDI0zk88&#10;kTGLvcY63hQf26diHfpiqX1gkh7Ho/z6cjjmTJIsv7oaX49TObOTukMfviqoWSQKjtSNVCSxu/eB&#10;XBL0CInePJiqXFTGJAbXq7lBthOxc4PR8PJo/Q+YsRFsIaq1FtsXlXrfuTmllqhwMCpqGftdaVaV&#10;lEye4kpTp3qvQkplQx5nhCJN6KimyVWv+Pl9xQ4fVduoeuXh+8q9RvIMNvTKdWUB3zJg+pB1i6fw&#10;z/KO5ArKwxIZQrsP3slFRS26Fz4sBdIC0KrQUodHOrSBpuDQUZxtAH+99R7xNJck5ayhhSq4/7kV&#10;qDgz3yxN7HU+GsUNTMxofDkkBs8lq3OJ3dZzoM7n9H04mciID+ZIaoT6hXZ/Fr2SSFhJvgsuAx6Z&#10;eWgXnX4PqWazBKOtcyLc2ycnj12PI/i8fxHoujkNNOIPcFw+MXk1ri029sPCbBtAV2mWT3Xt6k0b&#10;mwan+13il3DOJ9TpD5z+BgAA//8DAFBLAwQUAAYACAAAACEAv+jQId0AAAAHAQAADwAAAGRycy9k&#10;b3ducmV2LnhtbEyPzU7DMBCE70i8g7VI3KgDpqEN2VSoUi+VQCIgzm68+aHxOordJn17zAmOoxnN&#10;fJNvZtuLM42+c4xwv0hAEFfOdNwgfH7s7lYgfNBsdO+YEC7kYVNcX+U6M27idzqXoRGxhH2mEdoQ&#10;hkxKX7VktV+4gTh6tRutDlGOjTSjnmK57eVDkqTS6o7jQqsH2rZUHcuTRZi+pTLl7uuyrda8P769&#10;1vtkXSPe3swvzyACzeEvDL/4ER2KyHRwJzZe9AjxSEBInxSI6K6WagnigKDSRwWyyOV//uIHAAD/&#10;/wMAUEsBAi0AFAAGAAgAAAAhALaDOJL+AAAA4QEAABMAAAAAAAAAAAAAAAAAAAAAAFtDb250ZW50&#10;X1R5cGVzXS54bWxQSwECLQAUAAYACAAAACEAOP0h/9YAAACUAQAACwAAAAAAAAAAAAAAAAAvAQAA&#10;X3JlbHMvLnJlbHNQSwECLQAUAAYACAAAACEAE1DlNGkCAABLBQAADgAAAAAAAAAAAAAAAAAuAgAA&#10;ZHJzL2Uyb0RvYy54bWxQSwECLQAUAAYACAAAACEAv+jQId0AAAAHAQAADwAAAAAAAAAAAAAAAADD&#10;BAAAZHJzL2Rvd25yZXYueG1sUEsFBgAAAAAEAAQA8wAAAM0FAAAAAA==&#10;" fillcolor="#004270" stroked="f">
                <w10:wrap anchorx="margin"/>
              </v:rect>
            </w:pict>
          </mc:Fallback>
        </mc:AlternateContent>
      </w:r>
      <w:r w:rsidR="00F11513">
        <w:t xml:space="preserve">Whether or not </w:t>
      </w:r>
      <w:r w:rsidR="00CC411F">
        <w:t>a specific</w:t>
      </w:r>
      <w:r w:rsidR="00F11513">
        <w:t xml:space="preserve"> provision is included, the </w:t>
      </w:r>
      <w:r w:rsidR="00FD1E9F">
        <w:t xml:space="preserve">QHRC has a duty under administrative law to provide procedural fairness to all parties. </w:t>
      </w:r>
    </w:p>
    <w:p w14:paraId="23798F48" w14:textId="314E66F6" w:rsidR="000005FA" w:rsidRPr="00515CBF" w:rsidRDefault="000005FA" w:rsidP="00702FBF">
      <w:pPr>
        <w:pStyle w:val="Heading3"/>
        <w:spacing w:before="240"/>
        <w:ind w:left="567"/>
        <w:rPr>
          <w:color w:val="FFFFFF" w:themeColor="background1"/>
        </w:rPr>
      </w:pPr>
      <w:r w:rsidRPr="00515CBF">
        <w:rPr>
          <w:color w:val="FFFFFF" w:themeColor="background1"/>
        </w:rPr>
        <w:t>Recommendation</w:t>
      </w:r>
    </w:p>
    <w:p w14:paraId="32D7240B" w14:textId="7E38B72C" w:rsidR="003913AB" w:rsidRPr="00515CBF" w:rsidRDefault="00FD1E9F" w:rsidP="00702FBF">
      <w:pPr>
        <w:ind w:left="567"/>
        <w:rPr>
          <w:color w:val="FFFFFF" w:themeColor="background1"/>
        </w:rPr>
      </w:pPr>
      <w:r w:rsidRPr="00515CBF">
        <w:rPr>
          <w:color w:val="FFFFFF" w:themeColor="background1"/>
        </w:rPr>
        <w:t xml:space="preserve">Clause 123 should either be </w:t>
      </w:r>
      <w:r w:rsidR="00A32C29" w:rsidRPr="00515CBF">
        <w:rPr>
          <w:color w:val="FFFFFF" w:themeColor="background1"/>
        </w:rPr>
        <w:t>removed</w:t>
      </w:r>
      <w:r w:rsidRPr="00515CBF">
        <w:rPr>
          <w:color w:val="FFFFFF" w:themeColor="background1"/>
        </w:rPr>
        <w:t xml:space="preserve">, or </w:t>
      </w:r>
      <w:r w:rsidR="003913AB" w:rsidRPr="00515CBF">
        <w:rPr>
          <w:color w:val="FFFFFF" w:themeColor="background1"/>
        </w:rPr>
        <w:t>amended to read as follows:</w:t>
      </w:r>
    </w:p>
    <w:p w14:paraId="7ACEE34C" w14:textId="77777777" w:rsidR="00AF778F" w:rsidRPr="00515CBF" w:rsidRDefault="00AF778F" w:rsidP="00702FBF">
      <w:pPr>
        <w:ind w:left="567"/>
        <w:rPr>
          <w:rFonts w:cs="Arial"/>
          <w:b/>
          <w:bCs/>
          <w:color w:val="FFFFFF" w:themeColor="background1"/>
        </w:rPr>
      </w:pPr>
      <w:r w:rsidRPr="00515CBF">
        <w:rPr>
          <w:rFonts w:cs="Arial"/>
          <w:b/>
          <w:bCs/>
          <w:color w:val="FFFFFF" w:themeColor="background1"/>
        </w:rPr>
        <w:t>123 Decision by commissioner to deal with complaint</w:t>
      </w:r>
    </w:p>
    <w:p w14:paraId="6DF2CA2D" w14:textId="3BAE55CC" w:rsidR="00AF778F" w:rsidRPr="00515CBF" w:rsidRDefault="00AF778F" w:rsidP="009C162E">
      <w:pPr>
        <w:ind w:left="720"/>
        <w:rPr>
          <w:rFonts w:cs="Arial"/>
          <w:color w:val="FFFFFF" w:themeColor="background1"/>
        </w:rPr>
      </w:pPr>
      <w:r w:rsidRPr="00515CBF">
        <w:rPr>
          <w:rFonts w:cs="Arial"/>
          <w:color w:val="FFFFFF" w:themeColor="background1"/>
        </w:rPr>
        <w:t>(1)</w:t>
      </w:r>
      <w:r w:rsidR="009C162E" w:rsidRPr="00515CBF">
        <w:rPr>
          <w:rFonts w:cs="Arial"/>
          <w:color w:val="FFFFFF" w:themeColor="background1"/>
        </w:rPr>
        <w:t xml:space="preserve"> </w:t>
      </w:r>
      <w:r w:rsidRPr="00515CBF">
        <w:rPr>
          <w:rFonts w:cs="Arial"/>
          <w:color w:val="FFFFFF" w:themeColor="background1"/>
        </w:rPr>
        <w:t>If the commissioner decides to deal with a complaint, the commissioner must:</w:t>
      </w:r>
    </w:p>
    <w:p w14:paraId="16430C06" w14:textId="684F8E60" w:rsidR="00AF778F" w:rsidRPr="00515CBF" w:rsidRDefault="00AF778F" w:rsidP="009C162E">
      <w:pPr>
        <w:ind w:left="1440"/>
        <w:rPr>
          <w:rFonts w:cs="Arial"/>
          <w:color w:val="FFFFFF" w:themeColor="background1"/>
        </w:rPr>
      </w:pPr>
      <w:r w:rsidRPr="00515CBF">
        <w:rPr>
          <w:rFonts w:cs="Arial"/>
          <w:color w:val="FFFFFF" w:themeColor="background1"/>
        </w:rPr>
        <w:t>(a)</w:t>
      </w:r>
      <w:r w:rsidR="009C162E" w:rsidRPr="00515CBF">
        <w:rPr>
          <w:rFonts w:cs="Arial"/>
          <w:color w:val="FFFFFF" w:themeColor="background1"/>
        </w:rPr>
        <w:t xml:space="preserve"> </w:t>
      </w:r>
      <w:r w:rsidRPr="00515CBF">
        <w:rPr>
          <w:rFonts w:cs="Arial"/>
          <w:color w:val="FFFFFF" w:themeColor="background1"/>
        </w:rPr>
        <w:t>notify the complainant and respondent that the Commission is dealing with the complaint; and</w:t>
      </w:r>
    </w:p>
    <w:p w14:paraId="12A7FECF" w14:textId="63800C3C" w:rsidR="00AF778F" w:rsidRPr="00515CBF" w:rsidRDefault="00AF778F" w:rsidP="00515CBF">
      <w:pPr>
        <w:ind w:left="1287" w:firstLine="153"/>
        <w:rPr>
          <w:rFonts w:cs="Arial"/>
          <w:color w:val="FFFFFF" w:themeColor="background1"/>
        </w:rPr>
      </w:pPr>
      <w:r w:rsidRPr="00515CBF">
        <w:rPr>
          <w:rFonts w:cs="Arial"/>
          <w:color w:val="FFFFFF" w:themeColor="background1"/>
        </w:rPr>
        <w:t>(b)</w:t>
      </w:r>
      <w:r w:rsidR="00515CBF" w:rsidRPr="00515CBF">
        <w:rPr>
          <w:rFonts w:cs="Arial"/>
          <w:color w:val="FFFFFF" w:themeColor="background1"/>
        </w:rPr>
        <w:t xml:space="preserve"> </w:t>
      </w:r>
      <w:r w:rsidRPr="00515CBF">
        <w:rPr>
          <w:rFonts w:cs="Arial"/>
          <w:color w:val="FFFFFF" w:themeColor="background1"/>
        </w:rPr>
        <w:t>provide a copy of the complaint to the respondent.</w:t>
      </w:r>
    </w:p>
    <w:p w14:paraId="5721A6DE" w14:textId="77777777" w:rsidR="00B06FBF" w:rsidRDefault="00B06FBF" w:rsidP="00B06FBF">
      <w:pPr>
        <w:rPr>
          <w:rFonts w:cs="Arial"/>
          <w:b/>
          <w:bCs/>
        </w:rPr>
      </w:pPr>
    </w:p>
    <w:p w14:paraId="18A0AF13" w14:textId="03B00477" w:rsidR="000005FA" w:rsidRDefault="00DF28F8" w:rsidP="00AF778F">
      <w:pPr>
        <w:pStyle w:val="Heading3"/>
      </w:pPr>
      <w:r>
        <w:t>Commission complaint powers narrowed by draft Bill</w:t>
      </w:r>
    </w:p>
    <w:p w14:paraId="3068D919" w14:textId="28CB089A" w:rsidR="0031786A" w:rsidRDefault="0031786A" w:rsidP="00E428CB">
      <w:pPr>
        <w:pStyle w:val="Numberedparagraph"/>
      </w:pPr>
      <w:r>
        <w:t xml:space="preserve">Certain powers for the QHRC to deal with complaints dealt </w:t>
      </w:r>
      <w:r w:rsidR="00EB6ED5">
        <w:t xml:space="preserve">with </w:t>
      </w:r>
      <w:r>
        <w:t>elsewhere or to conciliate a matter where an unfair agreement exists between the parties are no longer included in the draft Bill.</w:t>
      </w:r>
    </w:p>
    <w:p w14:paraId="1745B6DB" w14:textId="2C3961C7" w:rsidR="00E428CB" w:rsidRDefault="009C5FDD" w:rsidP="00E428CB">
      <w:pPr>
        <w:pStyle w:val="Numberedparagraph"/>
      </w:pPr>
      <w:r>
        <w:t>Currently</w:t>
      </w:r>
      <w:r w:rsidR="008C1E9D">
        <w:t xml:space="preserve">, the QHRC </w:t>
      </w:r>
      <w:r w:rsidR="001B0A68">
        <w:t>can</w:t>
      </w:r>
      <w:r w:rsidR="00D717B9">
        <w:t xml:space="preserve"> reject</w:t>
      </w:r>
      <w:r w:rsidR="00DE07CE">
        <w:t xml:space="preserve"> or </w:t>
      </w:r>
      <w:r w:rsidR="00D717B9">
        <w:t xml:space="preserve">stay a complaint where the </w:t>
      </w:r>
      <w:r w:rsidR="006F285C">
        <w:t>C</w:t>
      </w:r>
      <w:r w:rsidR="00D717B9">
        <w:t>ommissioner</w:t>
      </w:r>
      <w:r w:rsidR="00B23BD1">
        <w:t>:</w:t>
      </w:r>
    </w:p>
    <w:p w14:paraId="75AD5EF0" w14:textId="70B79EC8" w:rsidR="00B23BD1" w:rsidRDefault="00F24C49" w:rsidP="00AC62C6">
      <w:pPr>
        <w:pStyle w:val="Bulletedlist"/>
      </w:pPr>
      <w:r>
        <w:t>reasonably considers the act or omission that is the subject of the complaint may be effectively or conveniently dealt with by another entity</w:t>
      </w:r>
      <w:r>
        <w:rPr>
          <w:rStyle w:val="FootnoteReference"/>
        </w:rPr>
        <w:footnoteReference w:id="42"/>
      </w:r>
    </w:p>
    <w:p w14:paraId="5C6EFC30" w14:textId="38585575" w:rsidR="00CB2410" w:rsidRDefault="00CB2410" w:rsidP="00AC62C6">
      <w:pPr>
        <w:pStyle w:val="Bulletedlist"/>
      </w:pPr>
      <w:r>
        <w:t>reasonably considers the act or omission the subject of the complaint has been adequately dealt with by another entity</w:t>
      </w:r>
      <w:r w:rsidR="00B83A24">
        <w:t>.</w:t>
      </w:r>
      <w:r>
        <w:rPr>
          <w:rStyle w:val="FootnoteReference"/>
        </w:rPr>
        <w:footnoteReference w:id="43"/>
      </w:r>
    </w:p>
    <w:p w14:paraId="17440D39" w14:textId="7B1ECD71" w:rsidR="00DE07CE" w:rsidRDefault="00DE07CE" w:rsidP="00DE07CE">
      <w:pPr>
        <w:pStyle w:val="Numberedparagraph"/>
      </w:pPr>
      <w:r>
        <w:t xml:space="preserve">The QHRC may also lapse a complaint where </w:t>
      </w:r>
      <w:r w:rsidR="005A1EC8">
        <w:t>the complaint:</w:t>
      </w:r>
    </w:p>
    <w:p w14:paraId="468F6B71" w14:textId="3EB476AB" w:rsidR="005A1EC8" w:rsidRDefault="006C23F5" w:rsidP="00AC62C6">
      <w:pPr>
        <w:pStyle w:val="Bulletedlist"/>
      </w:pPr>
      <w:r>
        <w:t xml:space="preserve">has been </w:t>
      </w:r>
      <w:r w:rsidR="00475ABE">
        <w:t>adeq</w:t>
      </w:r>
      <w:r w:rsidR="00B24015">
        <w:t xml:space="preserve">uately </w:t>
      </w:r>
      <w:r>
        <w:t>dealt with by another entity or may be effectively or conveniently dealt with by another entity.</w:t>
      </w:r>
      <w:r>
        <w:rPr>
          <w:rStyle w:val="FootnoteReference"/>
        </w:rPr>
        <w:footnoteReference w:id="44"/>
      </w:r>
    </w:p>
    <w:p w14:paraId="3D06B88E" w14:textId="389DD536" w:rsidR="00980CEE" w:rsidRDefault="00980CEE" w:rsidP="00980CEE">
      <w:pPr>
        <w:pStyle w:val="Numberedparagraph"/>
      </w:pPr>
      <w:r>
        <w:lastRenderedPageBreak/>
        <w:t xml:space="preserve">These provisions are used </w:t>
      </w:r>
      <w:r w:rsidR="00113F9A">
        <w:t xml:space="preserve">at the discretion of </w:t>
      </w:r>
      <w:r>
        <w:t xml:space="preserve">the QHRC in circumstances </w:t>
      </w:r>
      <w:r w:rsidR="00113F9A">
        <w:t xml:space="preserve">such as </w:t>
      </w:r>
      <w:r>
        <w:t>where the parties have already been through a</w:t>
      </w:r>
      <w:r w:rsidR="00885A1D">
        <w:t xml:space="preserve">nother </w:t>
      </w:r>
      <w:r w:rsidR="00113F9A">
        <w:t xml:space="preserve">complaint </w:t>
      </w:r>
      <w:r w:rsidR="00885A1D">
        <w:t xml:space="preserve">process, </w:t>
      </w:r>
      <w:r w:rsidR="00113F9A">
        <w:t>for example</w:t>
      </w:r>
      <w:r w:rsidR="00460040">
        <w:t>,</w:t>
      </w:r>
      <w:r w:rsidR="00885A1D">
        <w:t xml:space="preserve"> a conciliation through the Australian Human Rights Commission</w:t>
      </w:r>
      <w:r w:rsidR="00113F9A">
        <w:t xml:space="preserve"> about the same alleged conduct</w:t>
      </w:r>
      <w:r w:rsidR="00885A1D">
        <w:t>.</w:t>
      </w:r>
    </w:p>
    <w:p w14:paraId="66ECBA81" w14:textId="358591C0" w:rsidR="004B6EB2" w:rsidRDefault="004B6EB2" w:rsidP="004B6EB2">
      <w:pPr>
        <w:pStyle w:val="Numberedparagraph"/>
      </w:pPr>
      <w:r>
        <w:t>Further, where a complainant has entered into an unfair agreement not to complain</w:t>
      </w:r>
      <w:r w:rsidR="005670D2">
        <w:t xml:space="preserve">, the QHRC is able to </w:t>
      </w:r>
      <w:r w:rsidR="00C423DF">
        <w:t>nonetheless deal with a complaint in these circumstances.</w:t>
      </w:r>
      <w:r w:rsidR="006E15BC">
        <w:rPr>
          <w:rStyle w:val="FootnoteReference"/>
        </w:rPr>
        <w:footnoteReference w:id="45"/>
      </w:r>
      <w:r w:rsidR="00C423DF">
        <w:t xml:space="preserve"> </w:t>
      </w:r>
      <w:r w:rsidR="00356A5F">
        <w:t xml:space="preserve">This </w:t>
      </w:r>
      <w:r w:rsidR="0063212A" w:rsidRPr="0063212A">
        <w:t>power is rarely exercised, but is necessary in cases where a complainant, particularly a vulnerable complainant, has been coerced or deceived into entering an unfair agreement with the effect of removing their right to make a complaint.</w:t>
      </w:r>
    </w:p>
    <w:p w14:paraId="6AE511A7" w14:textId="6FCD657B" w:rsidR="00DF28F8" w:rsidRPr="00E428CB" w:rsidRDefault="00A63D65" w:rsidP="004B6EB2">
      <w:pPr>
        <w:pStyle w:val="Numberedparagraph"/>
      </w:pPr>
      <w:r>
        <w:rPr>
          <w:noProof/>
        </w:rPr>
        <mc:AlternateContent>
          <mc:Choice Requires="wps">
            <w:drawing>
              <wp:anchor distT="0" distB="0" distL="114300" distR="114300" simplePos="0" relativeHeight="251658248" behindDoc="1" locked="0" layoutInCell="1" allowOverlap="1" wp14:anchorId="11A312D7" wp14:editId="77ABC19D">
                <wp:simplePos x="0" y="0"/>
                <wp:positionH relativeFrom="margin">
                  <wp:align>left</wp:align>
                </wp:positionH>
                <wp:positionV relativeFrom="paragraph">
                  <wp:posOffset>417764</wp:posOffset>
                </wp:positionV>
                <wp:extent cx="5419725" cy="2144111"/>
                <wp:effectExtent l="0" t="0" r="9525" b="8890"/>
                <wp:wrapNone/>
                <wp:docPr id="861679250" name="Rectangle 2"/>
                <wp:cNvGraphicFramePr/>
                <a:graphic xmlns:a="http://schemas.openxmlformats.org/drawingml/2006/main">
                  <a:graphicData uri="http://schemas.microsoft.com/office/word/2010/wordprocessingShape">
                    <wps:wsp>
                      <wps:cNvSpPr/>
                      <wps:spPr>
                        <a:xfrm>
                          <a:off x="0" y="0"/>
                          <a:ext cx="5419725" cy="2144111"/>
                        </a:xfrm>
                        <a:prstGeom prst="rect">
                          <a:avLst/>
                        </a:prstGeom>
                        <a:solidFill>
                          <a:srgbClr val="0042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A1920E" id="Rectangle 2" o:spid="_x0000_s1026" style="position:absolute;margin-left:0;margin-top:32.9pt;width:426.75pt;height:168.85pt;z-index:-2516582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YmZwIAAEsFAAAOAAAAZHJzL2Uyb0RvYy54bWysVN9r2zAQfh/sfxB6Xx176bqGOCWkdAxK&#10;W9qOPiuylBhknXZS4mR//U6y42RdoTD2Yp903/2+T9OrXWPYVqGvwZY8PxtxpqyEqrarkv94vvn0&#10;lTMfhK2EAatKvleeX80+fpi2bqIKWIOpFDJyYv2kdSVfh+AmWeblWjXCn4FTlpQasBGBjrjKKhQt&#10;eW9MVoxGX7IWsHIIUnlPt9edks+Sf62VDPdaexWYKTnlFtIX03cZv9lsKiYrFG5dyz4N8Q9ZNKK2&#10;FHRwdS2CYBus/3LV1BLBgw5nEpoMtK6lSjVQNfnoVTVPa+FUqoWa493QJv//3Mq77ZN7QGpD6/zE&#10;kxir2Gls4p/yY7vUrP3QLLULTNLl+Ti/vCjOOZOkK/LxOM/z2M7saO7Qh28KGhaFkiNNIzVJbG99&#10;6KAHSIzmwdTVTW1MOuBquTDItiJObjQuLtKwyPsfMGMj2EI06zx2NyrNvg9zLC1JYW9UtDL2UWlW&#10;V1RMnvJKW6eGqEJKZcOhqISOZppCDYaf3zfs8dG0y2owLt43HixSZLBhMG5qC/iWAzOkrDs8zeSk&#10;7iguodo/IEPo+OCdvKlpRLfChweBRACiCpE63NNHG2hLDr3E2Rrw11v3EU97SVrOWiJUyf3PjUDF&#10;mfluaWMvaUUiA9NhfH5R0AFPNctTjd00C6DJ5/R8OJnEiA/mIGqE5oW4P49RSSWspNgllwEPh0Xo&#10;iE6vh1TzeYIR65wIt/bJycPU4wo+714Eun5PA634HRzIJyav1rXDxnlYmG8C6Drt8rGvfb+JsYkN&#10;/esSn4TTc0Id38DZbwAAAP//AwBQSwMEFAAGAAgAAAAhACIRC4jdAAAABwEAAA8AAABkcnMvZG93&#10;bnJldi54bWxMj81OwzAQhO9IvIO1SNyoXUqqNsSpUKVeKoFEQJzdePPTxusodpv07VlO9LajGc18&#10;m20m14kLDqH1pGE+UyCQSm9bqjV8f+2eViBCNGRN5wk1XDHAJr+/y0xq/UifeCliLbiEQmo0NDH2&#10;qZShbNCZMPM9EnuVH5yJLIda2sGMXO46+azUUjrTEi80psdtg+WpODsN41EubLH7uW7LNe1PH+/V&#10;Xq0rrR8fprdXEBGn+B+GP3xGh5yZDv5MNohOAz8SNSwT5md3lSwSEAcNL4oPmWfylj//BQAA//8D&#10;AFBLAQItABQABgAIAAAAIQC2gziS/gAAAOEBAAATAAAAAAAAAAAAAAAAAAAAAABbQ29udGVudF9U&#10;eXBlc10ueG1sUEsBAi0AFAAGAAgAAAAhADj9If/WAAAAlAEAAAsAAAAAAAAAAAAAAAAALwEAAF9y&#10;ZWxzLy5yZWxzUEsBAi0AFAAGAAgAAAAhAF9ZNiZnAgAASwUAAA4AAAAAAAAAAAAAAAAALgIAAGRy&#10;cy9lMm9Eb2MueG1sUEsBAi0AFAAGAAgAAAAhACIRC4jdAAAABwEAAA8AAAAAAAAAAAAAAAAAwQQA&#10;AGRycy9kb3ducmV2LnhtbFBLBQYAAAAABAAEAPMAAADLBQAAAAA=&#10;" fillcolor="#004270" stroked="f">
                <w10:wrap anchorx="margin"/>
              </v:rect>
            </w:pict>
          </mc:Fallback>
        </mc:AlternateContent>
      </w:r>
      <w:r w:rsidR="00DF28F8">
        <w:t>The QHRC suggests the restoration of these existing powers that are necessary for the effective performance of its functions.</w:t>
      </w:r>
    </w:p>
    <w:p w14:paraId="484BB85E" w14:textId="34A3179B" w:rsidR="000005FA" w:rsidRPr="00401C52" w:rsidRDefault="000005FA" w:rsidP="00401C52">
      <w:pPr>
        <w:pStyle w:val="Heading3"/>
        <w:spacing w:before="240"/>
        <w:ind w:left="567"/>
        <w:rPr>
          <w:color w:val="FFFFFF" w:themeColor="background1"/>
        </w:rPr>
      </w:pPr>
      <w:r w:rsidRPr="00401C52">
        <w:rPr>
          <w:color w:val="FFFFFF" w:themeColor="background1"/>
        </w:rPr>
        <w:t>Recommendation</w:t>
      </w:r>
    </w:p>
    <w:p w14:paraId="4219F2A8" w14:textId="41331902" w:rsidR="00094A91" w:rsidRPr="00401C52" w:rsidRDefault="00AE7371" w:rsidP="00401C52">
      <w:pPr>
        <w:ind w:left="567"/>
        <w:rPr>
          <w:color w:val="FFFFFF" w:themeColor="background1"/>
        </w:rPr>
      </w:pPr>
      <w:r w:rsidRPr="00401C52">
        <w:rPr>
          <w:color w:val="FFFFFF" w:themeColor="background1"/>
        </w:rPr>
        <w:t>Clause</w:t>
      </w:r>
      <w:r w:rsidR="00094A91" w:rsidRPr="00401C52">
        <w:rPr>
          <w:color w:val="FFFFFF" w:themeColor="background1"/>
        </w:rPr>
        <w:t xml:space="preserve"> 117 be amended</w:t>
      </w:r>
      <w:r w:rsidR="002E743A" w:rsidRPr="00401C52">
        <w:rPr>
          <w:color w:val="FFFFFF" w:themeColor="background1"/>
        </w:rPr>
        <w:t xml:space="preserve"> to</w:t>
      </w:r>
      <w:r w:rsidR="00094A91" w:rsidRPr="00401C52">
        <w:rPr>
          <w:color w:val="FFFFFF" w:themeColor="background1"/>
        </w:rPr>
        <w:t>:</w:t>
      </w:r>
    </w:p>
    <w:p w14:paraId="3786FCB9" w14:textId="5B46FE16" w:rsidR="00094A91" w:rsidRPr="00401C52" w:rsidRDefault="00094A91" w:rsidP="00401C52">
      <w:pPr>
        <w:pStyle w:val="Bulletedlist"/>
        <w:ind w:left="1702" w:right="284"/>
        <w:rPr>
          <w:color w:val="FFFFFF" w:themeColor="background1"/>
        </w:rPr>
      </w:pPr>
      <w:r w:rsidRPr="00401C52">
        <w:rPr>
          <w:color w:val="FFFFFF" w:themeColor="background1"/>
        </w:rPr>
        <w:t>expand the wording of clause 117(1)(b) to allow the commissioner to decide not to deal with a complaint if they consider it may be appropriately dealt with by another entity</w:t>
      </w:r>
      <w:r w:rsidR="002E743A" w:rsidRPr="00401C52">
        <w:rPr>
          <w:color w:val="FFFFFF" w:themeColor="background1"/>
        </w:rPr>
        <w:t>,</w:t>
      </w:r>
      <w:r w:rsidRPr="00401C52">
        <w:rPr>
          <w:color w:val="FFFFFF" w:themeColor="background1"/>
        </w:rPr>
        <w:t xml:space="preserve"> or they consider it has been adequately dealt with by another entity</w:t>
      </w:r>
    </w:p>
    <w:p w14:paraId="4A345601" w14:textId="6FED6C75" w:rsidR="00AF1EB0" w:rsidRPr="00401C52" w:rsidRDefault="00094A91" w:rsidP="00401C52">
      <w:pPr>
        <w:pStyle w:val="Bulletedlist"/>
        <w:ind w:left="1702" w:right="284"/>
        <w:rPr>
          <w:color w:val="FFFFFF" w:themeColor="background1"/>
        </w:rPr>
      </w:pPr>
      <w:r w:rsidRPr="00401C52">
        <w:rPr>
          <w:color w:val="FFFFFF" w:themeColor="background1"/>
        </w:rPr>
        <w:t>include an additional paragraph in clause 117(2) that would allow the commissioner to have regard to ‘any other relevant factor’</w:t>
      </w:r>
      <w:r w:rsidR="00AE7371" w:rsidRPr="00401C52">
        <w:rPr>
          <w:color w:val="FFFFFF" w:themeColor="background1"/>
        </w:rPr>
        <w:t>.</w:t>
      </w:r>
    </w:p>
    <w:p w14:paraId="6163994E" w14:textId="0266AFE1" w:rsidR="00E12A80" w:rsidRPr="00401C52" w:rsidRDefault="00F62353" w:rsidP="00401C52">
      <w:pPr>
        <w:ind w:left="567"/>
        <w:rPr>
          <w:color w:val="FFFFFF" w:themeColor="background1"/>
        </w:rPr>
      </w:pPr>
      <w:r w:rsidRPr="00401C52">
        <w:rPr>
          <w:color w:val="FFFFFF" w:themeColor="background1"/>
        </w:rPr>
        <w:t xml:space="preserve">A provision equivalent to section 137 of the current Act (Unfair agreements not to complain are not binding) </w:t>
      </w:r>
      <w:r w:rsidR="0016215D" w:rsidRPr="00401C52">
        <w:rPr>
          <w:color w:val="FFFFFF" w:themeColor="background1"/>
        </w:rPr>
        <w:t xml:space="preserve">should </w:t>
      </w:r>
      <w:r w:rsidRPr="00401C52">
        <w:rPr>
          <w:color w:val="FFFFFF" w:themeColor="background1"/>
        </w:rPr>
        <w:t xml:space="preserve">be included in the </w:t>
      </w:r>
      <w:r w:rsidR="00BF6328" w:rsidRPr="00401C52">
        <w:rPr>
          <w:color w:val="FFFFFF" w:themeColor="background1"/>
        </w:rPr>
        <w:t>Act.</w:t>
      </w:r>
    </w:p>
    <w:p w14:paraId="24708AE0" w14:textId="77777777" w:rsidR="004E6E31" w:rsidRDefault="004E6E31" w:rsidP="004E6E31"/>
    <w:p w14:paraId="364FF9F6" w14:textId="320C0BE6" w:rsidR="00BF6328" w:rsidRDefault="00E12A80" w:rsidP="00BF6328">
      <w:pPr>
        <w:pStyle w:val="Heading3"/>
      </w:pPr>
      <w:bookmarkStart w:id="29" w:name="_Toc161917244"/>
      <w:r>
        <w:t>Organisation (interested</w:t>
      </w:r>
      <w:r w:rsidR="00B53ED3">
        <w:t xml:space="preserve"> body</w:t>
      </w:r>
      <w:r w:rsidR="00CC01F5">
        <w:t>)</w:t>
      </w:r>
      <w:r w:rsidR="00B53ED3">
        <w:t xml:space="preserve"> complaints</w:t>
      </w:r>
      <w:bookmarkEnd w:id="29"/>
    </w:p>
    <w:p w14:paraId="4170BC65" w14:textId="58390138" w:rsidR="00A00EA8" w:rsidRDefault="00DC02A9" w:rsidP="00BF6328">
      <w:pPr>
        <w:pStyle w:val="Numberedparagraph"/>
      </w:pPr>
      <w:r>
        <w:t xml:space="preserve">The </w:t>
      </w:r>
      <w:proofErr w:type="gramStart"/>
      <w:r>
        <w:rPr>
          <w:i/>
          <w:iCs/>
        </w:rPr>
        <w:t>Building</w:t>
      </w:r>
      <w:proofErr w:type="gramEnd"/>
      <w:r>
        <w:rPr>
          <w:i/>
          <w:iCs/>
        </w:rPr>
        <w:t xml:space="preserve"> belonging </w:t>
      </w:r>
      <w:r>
        <w:t xml:space="preserve">review recommended that organisations be able to make complaints </w:t>
      </w:r>
      <w:r w:rsidR="008069B3">
        <w:t>about any</w:t>
      </w:r>
      <w:r>
        <w:t xml:space="preserve"> unlawful conduct</w:t>
      </w:r>
      <w:r w:rsidR="00790703">
        <w:t xml:space="preserve">, not just </w:t>
      </w:r>
      <w:r>
        <w:t xml:space="preserve">vilification, as is currently </w:t>
      </w:r>
      <w:r w:rsidR="00DD431A">
        <w:t xml:space="preserve">provided for </w:t>
      </w:r>
      <w:r>
        <w:t>under the ‘relevant body’ complaint provision</w:t>
      </w:r>
      <w:r w:rsidR="00023D4C">
        <w:t xml:space="preserve"> in section </w:t>
      </w:r>
      <w:r w:rsidR="00C24AD0">
        <w:t>134</w:t>
      </w:r>
      <w:r w:rsidR="00D27F99">
        <w:t>(3)</w:t>
      </w:r>
      <w:r>
        <w:t>.</w:t>
      </w:r>
      <w:r>
        <w:rPr>
          <w:rStyle w:val="FootnoteReference"/>
        </w:rPr>
        <w:footnoteReference w:id="46"/>
      </w:r>
      <w:r w:rsidR="002C5D07">
        <w:t xml:space="preserve"> </w:t>
      </w:r>
    </w:p>
    <w:p w14:paraId="719457EA" w14:textId="3ED47F67" w:rsidR="00BF6328" w:rsidRDefault="002C5D07" w:rsidP="00BF6328">
      <w:pPr>
        <w:pStyle w:val="Numberedparagraph"/>
      </w:pPr>
      <w:r w:rsidRPr="002C5D07">
        <w:t xml:space="preserve">The recommendation was </w:t>
      </w:r>
      <w:r w:rsidR="002D64B5">
        <w:t>intended</w:t>
      </w:r>
      <w:r w:rsidRPr="002C5D07">
        <w:t xml:space="preserve"> to </w:t>
      </w:r>
      <w:r w:rsidR="002D64B5">
        <w:t>reduce</w:t>
      </w:r>
      <w:r w:rsidRPr="002C5D07">
        <w:t xml:space="preserve"> pressure on individual complainants </w:t>
      </w:r>
      <w:r w:rsidR="00C903F8">
        <w:t xml:space="preserve">and </w:t>
      </w:r>
      <w:r w:rsidRPr="002C5D07">
        <w:t>improv</w:t>
      </w:r>
      <w:r w:rsidR="008359F6">
        <w:t>e</w:t>
      </w:r>
      <w:r w:rsidRPr="002C5D07">
        <w:t xml:space="preserve"> access to justice</w:t>
      </w:r>
      <w:r>
        <w:t xml:space="preserve"> in circumstances </w:t>
      </w:r>
      <w:r w:rsidR="001D22F4">
        <w:t xml:space="preserve">of </w:t>
      </w:r>
      <w:r>
        <w:t>systemic discrimination.</w:t>
      </w:r>
      <w:r w:rsidR="00A00EA8">
        <w:t xml:space="preserve"> For </w:t>
      </w:r>
      <w:r w:rsidR="005F4891">
        <w:t>example</w:t>
      </w:r>
      <w:r w:rsidR="00A00EA8">
        <w:t xml:space="preserve">, where </w:t>
      </w:r>
      <w:r w:rsidR="00BB7153">
        <w:t>a large proportion of people</w:t>
      </w:r>
      <w:r w:rsidR="00A00EA8">
        <w:t xml:space="preserve"> with </w:t>
      </w:r>
      <w:r w:rsidR="00BB7153">
        <w:t>a protected</w:t>
      </w:r>
      <w:r w:rsidR="00A00EA8">
        <w:t xml:space="preserve"> attribute </w:t>
      </w:r>
      <w:r w:rsidR="00BB7153">
        <w:t>are negatively</w:t>
      </w:r>
      <w:r w:rsidR="00A00EA8">
        <w:t xml:space="preserve"> affected by a </w:t>
      </w:r>
      <w:r w:rsidR="00BB7153">
        <w:t xml:space="preserve">discriminatory </w:t>
      </w:r>
      <w:r w:rsidR="00A00EA8">
        <w:t>policy, it should not require one person with that attribute to have the burden of bringing a complaint.</w:t>
      </w:r>
    </w:p>
    <w:p w14:paraId="2EC3BEB2" w14:textId="4AF4C21D" w:rsidR="000341DE" w:rsidRDefault="00CF4AC6" w:rsidP="00183B2A">
      <w:pPr>
        <w:pStyle w:val="Numberedparagraph"/>
      </w:pPr>
      <w:r>
        <w:t>Relevant body complaints about</w:t>
      </w:r>
      <w:r w:rsidR="00183B2A">
        <w:t xml:space="preserve"> vilification have been retained on largely the same terms</w:t>
      </w:r>
      <w:r>
        <w:t xml:space="preserve"> as the current Act</w:t>
      </w:r>
      <w:r w:rsidR="00183B2A">
        <w:t xml:space="preserve"> in clause 103 of the draft Bill.</w:t>
      </w:r>
      <w:r w:rsidR="000341DE">
        <w:t xml:space="preserve"> </w:t>
      </w:r>
      <w:r w:rsidR="00B02177">
        <w:t xml:space="preserve">A new category of </w:t>
      </w:r>
      <w:r w:rsidR="00BE4034">
        <w:t>o</w:t>
      </w:r>
      <w:r w:rsidR="000341DE">
        <w:t>rganisational complaint, called ‘interested body’ complaints</w:t>
      </w:r>
      <w:r w:rsidR="00CC5607">
        <w:t>, has been included</w:t>
      </w:r>
      <w:r w:rsidR="000341DE">
        <w:t xml:space="preserve"> </w:t>
      </w:r>
      <w:r w:rsidR="00E86052">
        <w:t>as clause 104</w:t>
      </w:r>
      <w:r w:rsidR="000341DE">
        <w:t xml:space="preserve"> in the draft Bill</w:t>
      </w:r>
      <w:r w:rsidR="00CC5607">
        <w:t xml:space="preserve">. </w:t>
      </w:r>
      <w:r w:rsidR="00115416">
        <w:t xml:space="preserve">This provision allows </w:t>
      </w:r>
      <w:r w:rsidR="0013346B">
        <w:t>a complaint to be made</w:t>
      </w:r>
      <w:r w:rsidR="00115416">
        <w:t xml:space="preserve"> </w:t>
      </w:r>
      <w:r w:rsidR="00506004">
        <w:t xml:space="preserve">about </w:t>
      </w:r>
      <w:r w:rsidR="00506004">
        <w:lastRenderedPageBreak/>
        <w:t xml:space="preserve">any alleged contravention of </w:t>
      </w:r>
      <w:r w:rsidR="00035F5E">
        <w:t>the</w:t>
      </w:r>
      <w:r w:rsidR="00E86052">
        <w:t xml:space="preserve"> </w:t>
      </w:r>
      <w:r w:rsidR="002971F4">
        <w:t xml:space="preserve">Act </w:t>
      </w:r>
      <w:r w:rsidR="00B35C7F">
        <w:t xml:space="preserve">by a </w:t>
      </w:r>
      <w:r w:rsidR="00431760">
        <w:t>body that has an</w:t>
      </w:r>
      <w:r w:rsidR="00B35C7F">
        <w:t xml:space="preserve"> </w:t>
      </w:r>
      <w:r w:rsidR="00902CE5">
        <w:t>interest</w:t>
      </w:r>
      <w:r w:rsidR="00431760">
        <w:t xml:space="preserve"> </w:t>
      </w:r>
      <w:r w:rsidR="00F360B7">
        <w:t>in the complaint for reasons that are set out in the definition of ‘interested body’.</w:t>
      </w:r>
    </w:p>
    <w:p w14:paraId="52FF2F46" w14:textId="2692A63E" w:rsidR="00183B2A" w:rsidRDefault="005B51F7" w:rsidP="00183B2A">
      <w:pPr>
        <w:pStyle w:val="Numberedparagraph"/>
      </w:pPr>
      <w:r>
        <w:t>The provisions for i</w:t>
      </w:r>
      <w:r w:rsidR="000341DE">
        <w:t>nterested body complaints</w:t>
      </w:r>
      <w:r w:rsidR="00191438">
        <w:t xml:space="preserve">, as presently drafted, </w:t>
      </w:r>
      <w:r w:rsidR="000341DE">
        <w:t>require</w:t>
      </w:r>
      <w:r w:rsidR="00A30C3E">
        <w:t xml:space="preserve"> each</w:t>
      </w:r>
      <w:r w:rsidR="000341DE">
        <w:t xml:space="preserve"> </w:t>
      </w:r>
      <w:r>
        <w:t xml:space="preserve">person </w:t>
      </w:r>
      <w:r w:rsidR="0080572E">
        <w:t xml:space="preserve">on whose behalf the complaint is made </w:t>
      </w:r>
      <w:r w:rsidR="000341DE">
        <w:t xml:space="preserve">to be named in the complaint, and </w:t>
      </w:r>
      <w:r w:rsidR="00175762">
        <w:t xml:space="preserve">to </w:t>
      </w:r>
      <w:r w:rsidR="00EE05B1">
        <w:t xml:space="preserve">have given </w:t>
      </w:r>
      <w:r w:rsidR="000341DE">
        <w:t>consent</w:t>
      </w:r>
      <w:r w:rsidR="00191438">
        <w:t>.</w:t>
      </w:r>
      <w:r w:rsidR="00323DF5">
        <w:t xml:space="preserve"> This defeats the purpose of the </w:t>
      </w:r>
      <w:proofErr w:type="gramStart"/>
      <w:r w:rsidR="006024B5">
        <w:rPr>
          <w:i/>
          <w:iCs/>
        </w:rPr>
        <w:t>Building</w:t>
      </w:r>
      <w:proofErr w:type="gramEnd"/>
      <w:r w:rsidR="006024B5">
        <w:rPr>
          <w:i/>
          <w:iCs/>
        </w:rPr>
        <w:t xml:space="preserve"> belonging </w:t>
      </w:r>
      <w:r w:rsidR="006024B5">
        <w:t>review</w:t>
      </w:r>
      <w:r w:rsidR="00F93115">
        <w:t>’s</w:t>
      </w:r>
      <w:r w:rsidR="00323DF5">
        <w:t xml:space="preserve"> recommendation. </w:t>
      </w:r>
    </w:p>
    <w:p w14:paraId="233A6C1A" w14:textId="77777777" w:rsidR="00307951" w:rsidRDefault="00307951" w:rsidP="00307951">
      <w:pPr>
        <w:pStyle w:val="Numberedparagraph"/>
      </w:pPr>
      <w:r>
        <w:t>The provision in it is current form is unlikely to be used by organisations to address matters involving systemic discrimination.</w:t>
      </w:r>
    </w:p>
    <w:p w14:paraId="04379889" w14:textId="0A7B0B2B" w:rsidR="00183B2A" w:rsidRDefault="00A04A2F" w:rsidP="00BF6328">
      <w:pPr>
        <w:pStyle w:val="Numberedparagraph"/>
      </w:pPr>
      <w:r>
        <w:t xml:space="preserve">The current drafting creates no more than another form of agency, which is already </w:t>
      </w:r>
      <w:r w:rsidR="001248EA">
        <w:t>covered by clause 101(b) of the draft Bill. The</w:t>
      </w:r>
      <w:r w:rsidR="00E12A80">
        <w:t xml:space="preserve"> provision is even more </w:t>
      </w:r>
      <w:r w:rsidR="00755B31">
        <w:t xml:space="preserve">restrictive </w:t>
      </w:r>
      <w:r w:rsidR="00E12A80">
        <w:t xml:space="preserve">than </w:t>
      </w:r>
      <w:r w:rsidR="00755B31">
        <w:t>the</w:t>
      </w:r>
      <w:r w:rsidR="00E12A80">
        <w:t xml:space="preserve"> agency</w:t>
      </w:r>
      <w:r w:rsidR="00755B31">
        <w:t xml:space="preserve"> provision</w:t>
      </w:r>
      <w:r w:rsidR="00E12A80">
        <w:t xml:space="preserve">, </w:t>
      </w:r>
      <w:r w:rsidR="00755B31">
        <w:t>as</w:t>
      </w:r>
      <w:r w:rsidR="00E12A80">
        <w:t xml:space="preserve"> the interested body must show that they have an ‘interest in the complaint’ in </w:t>
      </w:r>
      <w:r w:rsidR="00E33210">
        <w:t xml:space="preserve">terms of </w:t>
      </w:r>
      <w:r w:rsidR="00E12A80">
        <w:t xml:space="preserve">the criteria listed in clause 104(2). </w:t>
      </w:r>
    </w:p>
    <w:p w14:paraId="21D80F86" w14:textId="0BDB500F" w:rsidR="0013014F" w:rsidRDefault="00D36C01" w:rsidP="00BF6328">
      <w:pPr>
        <w:pStyle w:val="Numberedparagraph"/>
      </w:pPr>
      <w:r>
        <w:t>A</w:t>
      </w:r>
      <w:r w:rsidR="0013014F">
        <w:t xml:space="preserve"> simple </w:t>
      </w:r>
      <w:r w:rsidR="002B5FF4">
        <w:t xml:space="preserve">remedy </w:t>
      </w:r>
      <w:r w:rsidR="0013014F">
        <w:t>is to extend clause 103</w:t>
      </w:r>
      <w:r w:rsidR="00A956E2">
        <w:t xml:space="preserve"> </w:t>
      </w:r>
      <w:r w:rsidR="00BB3F8B">
        <w:t>(</w:t>
      </w:r>
      <w:r w:rsidR="00A956E2">
        <w:t>relevant bod</w:t>
      </w:r>
      <w:r w:rsidR="00BB3F8B">
        <w:t>y complaints)</w:t>
      </w:r>
      <w:r w:rsidR="0013014F">
        <w:t xml:space="preserve"> to include vilification </w:t>
      </w:r>
      <w:r w:rsidR="0013014F">
        <w:rPr>
          <w:i/>
          <w:iCs/>
        </w:rPr>
        <w:t xml:space="preserve">and </w:t>
      </w:r>
      <w:r w:rsidR="0013014F">
        <w:t>discrimination</w:t>
      </w:r>
      <w:r w:rsidR="00E33210">
        <w:t xml:space="preserve"> a</w:t>
      </w:r>
      <w:r w:rsidR="007D50D5">
        <w:t xml:space="preserve">nd other </w:t>
      </w:r>
      <w:r w:rsidR="00750C9E">
        <w:t>unlawful conduct</w:t>
      </w:r>
      <w:r w:rsidR="0013014F">
        <w:t xml:space="preserve">. </w:t>
      </w:r>
      <w:r w:rsidR="006A2C4A">
        <w:t>C</w:t>
      </w:r>
      <w:r w:rsidR="00A956E2">
        <w:t xml:space="preserve">lause 103(2) </w:t>
      </w:r>
      <w:r w:rsidR="0041215B">
        <w:t>qualifies</w:t>
      </w:r>
      <w:r w:rsidR="00A956E2">
        <w:t xml:space="preserve"> </w:t>
      </w:r>
      <w:r w:rsidR="00007707">
        <w:t xml:space="preserve">these complaints </w:t>
      </w:r>
      <w:r w:rsidR="00B7308F">
        <w:t>(</w:t>
      </w:r>
      <w:r w:rsidR="00EF0DBC">
        <w:t xml:space="preserve">‘the commissioner </w:t>
      </w:r>
      <w:r w:rsidR="00EF0DBC" w:rsidRPr="006A2C4A">
        <w:rPr>
          <w:i/>
          <w:iCs/>
        </w:rPr>
        <w:t>may</w:t>
      </w:r>
      <w:r w:rsidR="00EF0DBC">
        <w:t xml:space="preserve"> accept a relevant body’s complaint</w:t>
      </w:r>
      <w:r w:rsidR="00415043">
        <w:t xml:space="preserve">’) </w:t>
      </w:r>
      <w:r w:rsidR="008961AD">
        <w:t>and</w:t>
      </w:r>
      <w:r w:rsidR="005A6265">
        <w:t xml:space="preserve"> </w:t>
      </w:r>
      <w:r w:rsidR="006556B3">
        <w:t>impos</w:t>
      </w:r>
      <w:r w:rsidR="00BD4742">
        <w:t>es</w:t>
      </w:r>
      <w:r w:rsidR="006556B3">
        <w:t xml:space="preserve"> conditions that the </w:t>
      </w:r>
      <w:r w:rsidR="002F23D3">
        <w:t>c</w:t>
      </w:r>
      <w:r w:rsidR="006556B3">
        <w:t>ommissioner mus</w:t>
      </w:r>
      <w:r w:rsidR="00553EAD">
        <w:t xml:space="preserve">t </w:t>
      </w:r>
      <w:r w:rsidR="00481864">
        <w:t xml:space="preserve">be satisfied about </w:t>
      </w:r>
      <w:r w:rsidR="005119F9">
        <w:t>before accepting the complaint</w:t>
      </w:r>
      <w:r w:rsidR="00EB31F8">
        <w:t xml:space="preserve">. </w:t>
      </w:r>
    </w:p>
    <w:p w14:paraId="13B95493" w14:textId="7F295FA0" w:rsidR="00EB31F8" w:rsidRPr="00BF6328" w:rsidRDefault="003E0AC2" w:rsidP="00BF6328">
      <w:pPr>
        <w:pStyle w:val="Numberedparagraph"/>
      </w:pPr>
      <w:r>
        <w:rPr>
          <w:noProof/>
        </w:rPr>
        <mc:AlternateContent>
          <mc:Choice Requires="wps">
            <w:drawing>
              <wp:anchor distT="0" distB="0" distL="114300" distR="114300" simplePos="0" relativeHeight="251658249" behindDoc="1" locked="0" layoutInCell="1" allowOverlap="1" wp14:anchorId="64153424" wp14:editId="020A43B0">
                <wp:simplePos x="0" y="0"/>
                <wp:positionH relativeFrom="margin">
                  <wp:align>left</wp:align>
                </wp:positionH>
                <wp:positionV relativeFrom="paragraph">
                  <wp:posOffset>777240</wp:posOffset>
                </wp:positionV>
                <wp:extent cx="5419725" cy="819150"/>
                <wp:effectExtent l="0" t="0" r="9525" b="0"/>
                <wp:wrapNone/>
                <wp:docPr id="539179389" name="Rectangle 2"/>
                <wp:cNvGraphicFramePr/>
                <a:graphic xmlns:a="http://schemas.openxmlformats.org/drawingml/2006/main">
                  <a:graphicData uri="http://schemas.microsoft.com/office/word/2010/wordprocessingShape">
                    <wps:wsp>
                      <wps:cNvSpPr/>
                      <wps:spPr>
                        <a:xfrm>
                          <a:off x="0" y="0"/>
                          <a:ext cx="5419725" cy="819150"/>
                        </a:xfrm>
                        <a:prstGeom prst="rect">
                          <a:avLst/>
                        </a:prstGeom>
                        <a:solidFill>
                          <a:srgbClr val="0042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03EC3B" id="Rectangle 2" o:spid="_x0000_s1026" style="position:absolute;margin-left:0;margin-top:61.2pt;width:426.75pt;height:64.5pt;z-index:-25165823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0mkaAIAAEoFAAAOAAAAZHJzL2Uyb0RvYy54bWysVF9v2jAQf5+072D5fQ1hsLaIUCGqTpOq&#10;Fq2d+mwcGyI5Pu9sCOzT7+yEwLpKlaa92He+3/2/8/RmXxu2U+grsAXPLwacKSuhrOy64D+e7z5d&#10;ceaDsKUwYFXBD8rzm9nHD9PGTdQQNmBKhYyMWD9pXME3IbhJlnm5UbXwF+CUJaEGrEUgFtdZiaIh&#10;67XJhoPBl6wBLB2CVN7T620r5LNkX2slw6PWXgVmCk6xhXRiOlfxzGZTMVmjcJtKdmGIf4iiFpUl&#10;p72pWxEE22L1l6m6kggedLiQUGegdSVVyoGyyQevsnnaCKdSLlQc7/oy+f9nVj7sntwSqQyN8xNP&#10;ZMxir7GON8XH9qlYh75Yah+YpMfxKL++HI45kyS7yq/zcapmdtJ26MNXBTWLRMGRmpFqJHb3PpBH&#10;gh4h0ZkHU5V3lTGJwfVqYZDtRGzcYDS8PFr/A2ZsBFuIaq3F9kWl1nduTpklKhyMilrGfleaVSXl&#10;kqe40tCp3quQUtmQxxGhSBM6qmly1St+fl+xw0fVNqpeefi+cq+RPIMNvXJdWcC3DJg+ZN3iKfyz&#10;vCO5gvKwRIbQroN38q6iFt0LH5YCaf5pU2inwyMd2kBTcOgozjaAv956j3gaS5Jy1tA+Fdz/3ApU&#10;nJlvlgb2Oh+N4gImZjS+HBKD55LVucRu6wVQ53P6PZxMZMQHcyQ1Qv1Cqz+PXkkkrCTfBZcBj8wi&#10;tHtOn4dU83mC0dI5Ee7tk5PHrscRfN6/CHTdnAaa8Ac47p6YvBrXFhv7YWG+DaCrNMununb1poVN&#10;g9N9LvFHOOcT6vQFzn4DAAD//wMAUEsDBBQABgAIAAAAIQBnIL6Y3wAAAAgBAAAPAAAAZHJzL2Rv&#10;d25yZXYueG1sTI/NbsIwEITvlfoO1lbqrTgEUkGIgyokLkit1LTq2cSbH4jXUWxIePtuT+U4O6uZ&#10;b7LtZDtxxcG3jhTMZxEIpNKZlmoF31/7lxUIHzQZ3TlCBTf0sM0fHzKdGjfSJ16LUAsOIZ9qBU0I&#10;fSqlLxu02s9cj8Re5QarA8uhlmbQI4fbTsZR9CqtbokbGt3jrsHyXFysgvEkF6bY/9x25ZoO54/3&#10;6hCtK6Wen6a3DYiAU/h/hj98RoecmY7uQsaLTgEPCXyN4yUItlfJIgFxVBAn8yXIPJP3A/JfAAAA&#10;//8DAFBLAQItABQABgAIAAAAIQC2gziS/gAAAOEBAAATAAAAAAAAAAAAAAAAAAAAAABbQ29udGVu&#10;dF9UeXBlc10ueG1sUEsBAi0AFAAGAAgAAAAhADj9If/WAAAAlAEAAAsAAAAAAAAAAAAAAAAALwEA&#10;AF9yZWxzLy5yZWxzUEsBAi0AFAAGAAgAAAAhABBrSaRoAgAASgUAAA4AAAAAAAAAAAAAAAAALgIA&#10;AGRycy9lMm9Eb2MueG1sUEsBAi0AFAAGAAgAAAAhAGcgvpjfAAAACAEAAA8AAAAAAAAAAAAAAAAA&#10;wgQAAGRycy9kb3ducmV2LnhtbFBLBQYAAAAABAAEAPMAAADOBQAAAAA=&#10;" fillcolor="#004270" stroked="f">
                <w10:wrap anchorx="margin"/>
              </v:rect>
            </w:pict>
          </mc:Fallback>
        </mc:AlternateContent>
      </w:r>
      <w:r w:rsidR="006A2C4A">
        <w:t xml:space="preserve">The QHRC accepts that not all complaints are suitable to be dealt with as an interested body complaint. </w:t>
      </w:r>
      <w:r w:rsidR="0033365B">
        <w:t xml:space="preserve">To ensure </w:t>
      </w:r>
      <w:r w:rsidR="0031710D">
        <w:t>transparency</w:t>
      </w:r>
      <w:r w:rsidR="00A00EA8">
        <w:t xml:space="preserve"> and procedural fairness</w:t>
      </w:r>
      <w:r w:rsidR="0069646B">
        <w:t>, the</w:t>
      </w:r>
      <w:r w:rsidR="00A00EA8">
        <w:t xml:space="preserve"> </w:t>
      </w:r>
      <w:r w:rsidR="007602CF">
        <w:t>QHRC could publish guidelines</w:t>
      </w:r>
      <w:r w:rsidR="005B2F21">
        <w:t xml:space="preserve"> about how </w:t>
      </w:r>
      <w:r w:rsidR="0069646B">
        <w:t xml:space="preserve">the commissioner </w:t>
      </w:r>
      <w:r w:rsidR="005B2F21">
        <w:t xml:space="preserve">will exercise </w:t>
      </w:r>
      <w:r w:rsidR="002028AC">
        <w:t xml:space="preserve">their </w:t>
      </w:r>
      <w:r w:rsidR="005B2F21">
        <w:t>discretion to deal with a</w:t>
      </w:r>
      <w:r w:rsidR="0071418E">
        <w:t xml:space="preserve"> complaint of this kind</w:t>
      </w:r>
      <w:r w:rsidR="007602CF">
        <w:t>.</w:t>
      </w:r>
    </w:p>
    <w:p w14:paraId="27BCBDF9" w14:textId="0AA8AD9C" w:rsidR="00B53ED3" w:rsidRPr="003E0AC2" w:rsidRDefault="00B53ED3" w:rsidP="00A63D65">
      <w:pPr>
        <w:pStyle w:val="Heading3"/>
        <w:spacing w:before="240"/>
        <w:ind w:left="567"/>
        <w:rPr>
          <w:color w:val="FFFFFF" w:themeColor="background1"/>
        </w:rPr>
      </w:pPr>
      <w:r w:rsidRPr="003E0AC2">
        <w:rPr>
          <w:color w:val="FFFFFF" w:themeColor="background1"/>
        </w:rPr>
        <w:t>Recommendation</w:t>
      </w:r>
    </w:p>
    <w:p w14:paraId="3CD4BC61" w14:textId="4C5B69B2" w:rsidR="000005FA" w:rsidRPr="003E0AC2" w:rsidRDefault="00057451" w:rsidP="00A63D65">
      <w:pPr>
        <w:ind w:left="567"/>
        <w:rPr>
          <w:color w:val="FFFFFF" w:themeColor="background1"/>
        </w:rPr>
      </w:pPr>
      <w:r w:rsidRPr="003E0AC2">
        <w:rPr>
          <w:color w:val="FFFFFF" w:themeColor="background1"/>
        </w:rPr>
        <w:t xml:space="preserve">Clause 103 should be amended to </w:t>
      </w:r>
      <w:r w:rsidR="00850E91" w:rsidRPr="003E0AC2">
        <w:rPr>
          <w:color w:val="FFFFFF" w:themeColor="background1"/>
        </w:rPr>
        <w:t>include the contravention of discrimination</w:t>
      </w:r>
      <w:r w:rsidR="006A2C4A" w:rsidRPr="003E0AC2">
        <w:rPr>
          <w:color w:val="FFFFFF" w:themeColor="background1"/>
        </w:rPr>
        <w:t xml:space="preserve"> and unnecessary questions</w:t>
      </w:r>
      <w:r w:rsidR="00E81CA6" w:rsidRPr="003E0AC2">
        <w:rPr>
          <w:color w:val="FFFFFF" w:themeColor="background1"/>
        </w:rPr>
        <w:t xml:space="preserve"> (clause 92)</w:t>
      </w:r>
      <w:r w:rsidR="00850E91" w:rsidRPr="003E0AC2">
        <w:rPr>
          <w:color w:val="FFFFFF" w:themeColor="background1"/>
        </w:rPr>
        <w:t xml:space="preserve">, rather than being confined to </w:t>
      </w:r>
      <w:r w:rsidR="003664CF" w:rsidRPr="003E0AC2">
        <w:rPr>
          <w:color w:val="FFFFFF" w:themeColor="background1"/>
        </w:rPr>
        <w:t xml:space="preserve">vilification. </w:t>
      </w:r>
    </w:p>
    <w:p w14:paraId="7745BC06" w14:textId="7C357B60" w:rsidR="003E0AC2" w:rsidRPr="00B66887" w:rsidRDefault="003E0AC2" w:rsidP="00B66887">
      <w:pPr>
        <w:ind w:left="153"/>
      </w:pPr>
    </w:p>
    <w:p w14:paraId="4931907E" w14:textId="1213C2A5" w:rsidR="00E8614E" w:rsidRPr="004D2C8B" w:rsidRDefault="000005FA" w:rsidP="004D2C8B">
      <w:pPr>
        <w:pStyle w:val="Numberedparagraph"/>
      </w:pPr>
      <w:r>
        <w:t xml:space="preserve">For other </w:t>
      </w:r>
      <w:r w:rsidR="008F3001">
        <w:t xml:space="preserve">detailed </w:t>
      </w:r>
      <w:r>
        <w:t xml:space="preserve">recommendations regarding complaints see </w:t>
      </w:r>
      <w:r w:rsidR="007817A1">
        <w:t>Annexure</w:t>
      </w:r>
      <w:r>
        <w:t xml:space="preserve"> </w:t>
      </w:r>
      <w:r w:rsidR="00C11DF8">
        <w:t>F</w:t>
      </w:r>
      <w:r w:rsidR="003664CF">
        <w:t>.</w:t>
      </w:r>
    </w:p>
    <w:p w14:paraId="441BFCA6" w14:textId="23CBF0E0" w:rsidR="008E797D" w:rsidRDefault="008E797D" w:rsidP="001D00A2">
      <w:pPr>
        <w:pStyle w:val="Heading2"/>
      </w:pPr>
      <w:bookmarkStart w:id="30" w:name="_Toc161917245"/>
      <w:r>
        <w:t>Exception</w:t>
      </w:r>
      <w:bookmarkEnd w:id="30"/>
      <w:r w:rsidR="001D00A2">
        <w:t xml:space="preserve"> </w:t>
      </w:r>
      <w:r w:rsidR="001D00A2">
        <w:rPr>
          <w:rFonts w:cs="Arial"/>
        </w:rPr>
        <w:t xml:space="preserve">— </w:t>
      </w:r>
      <w:r w:rsidR="001D00A2">
        <w:t xml:space="preserve">Genuine occupational requirement for religious bodies </w:t>
      </w:r>
    </w:p>
    <w:p w14:paraId="229DB6CE" w14:textId="28D2D815" w:rsidR="008E797D" w:rsidRDefault="003F7BFC" w:rsidP="000E59AB">
      <w:pPr>
        <w:pStyle w:val="Numberedparagraph"/>
      </w:pPr>
      <w:r>
        <w:t xml:space="preserve">Clause 29 of the draft Bill </w:t>
      </w:r>
      <w:r w:rsidR="00843375">
        <w:t>reflects a more tailored excepti</w:t>
      </w:r>
      <w:r w:rsidR="002D0733">
        <w:t>on</w:t>
      </w:r>
      <w:r w:rsidR="00843375">
        <w:t xml:space="preserve"> </w:t>
      </w:r>
      <w:r w:rsidR="001E7C6C">
        <w:t xml:space="preserve">in relation to employment by religious bodies than currently exists in the Anti-Discrimination Act, consistent with Recommendations 39.1–39.2 of the </w:t>
      </w:r>
      <w:proofErr w:type="gramStart"/>
      <w:r w:rsidR="001E7C6C">
        <w:rPr>
          <w:i/>
          <w:iCs/>
        </w:rPr>
        <w:t>Building</w:t>
      </w:r>
      <w:proofErr w:type="gramEnd"/>
      <w:r w:rsidR="001E7C6C">
        <w:rPr>
          <w:i/>
          <w:iCs/>
        </w:rPr>
        <w:t xml:space="preserve"> belonging</w:t>
      </w:r>
      <w:r w:rsidR="001E7C6C">
        <w:t xml:space="preserve"> </w:t>
      </w:r>
      <w:r w:rsidR="0038724C">
        <w:t>r</w:t>
      </w:r>
      <w:r w:rsidR="001E7C6C">
        <w:t>eview.</w:t>
      </w:r>
    </w:p>
    <w:p w14:paraId="0711020B" w14:textId="6C850C7B" w:rsidR="00D01667" w:rsidRDefault="00D01667" w:rsidP="000E59AB">
      <w:pPr>
        <w:pStyle w:val="Numberedparagraph"/>
      </w:pPr>
      <w:r>
        <w:t xml:space="preserve">However, by </w:t>
      </w:r>
      <w:r w:rsidR="00907FAF">
        <w:t>the inclusion of</w:t>
      </w:r>
      <w:r>
        <w:t xml:space="preserve"> clause 29(1)(b), the exception </w:t>
      </w:r>
      <w:r w:rsidR="00FE1226">
        <w:t>may</w:t>
      </w:r>
      <w:r w:rsidR="006E3F7E">
        <w:t xml:space="preserve"> </w:t>
      </w:r>
      <w:r w:rsidR="00625AD6">
        <w:t xml:space="preserve">operate more narrowly than </w:t>
      </w:r>
      <w:r w:rsidR="00470D8A">
        <w:t>anticipated in the recommendation</w:t>
      </w:r>
      <w:r w:rsidR="009F5A33">
        <w:t xml:space="preserve">, </w:t>
      </w:r>
      <w:r w:rsidR="00C1541C">
        <w:t xml:space="preserve">as it </w:t>
      </w:r>
      <w:r w:rsidR="00B32D6D">
        <w:t>is tied</w:t>
      </w:r>
      <w:r w:rsidR="00C1541C">
        <w:t xml:space="preserve"> directly to a</w:t>
      </w:r>
      <w:r w:rsidR="00C55018">
        <w:t xml:space="preserve">n inability to meet the genuine occupational </w:t>
      </w:r>
      <w:r w:rsidR="00904BE8">
        <w:t>requirement</w:t>
      </w:r>
      <w:r w:rsidR="009868F7">
        <w:t xml:space="preserve">, rather than providing </w:t>
      </w:r>
      <w:r w:rsidR="009868F7">
        <w:lastRenderedPageBreak/>
        <w:t>scope for</w:t>
      </w:r>
      <w:r w:rsidR="00E70943">
        <w:t xml:space="preserve"> </w:t>
      </w:r>
      <w:r w:rsidR="00DB4B7A">
        <w:t xml:space="preserve">reasonable and proportionate </w:t>
      </w:r>
      <w:r w:rsidR="0058495C">
        <w:t xml:space="preserve">different treatment on the grounds of religion </w:t>
      </w:r>
      <w:r w:rsidR="00A82CF9">
        <w:t>simply because a</w:t>
      </w:r>
      <w:r w:rsidR="00800946">
        <w:t xml:space="preserve"> particular position involves religious aspects.</w:t>
      </w:r>
      <w:r w:rsidR="00C55018">
        <w:rPr>
          <w:rStyle w:val="FootnoteReference"/>
        </w:rPr>
        <w:footnoteReference w:id="47"/>
      </w:r>
      <w:r w:rsidR="009D3763">
        <w:t xml:space="preserve"> </w:t>
      </w:r>
    </w:p>
    <w:p w14:paraId="1CFA6E27" w14:textId="77777777" w:rsidR="007B6CA8" w:rsidRDefault="008A46DF" w:rsidP="000E59AB">
      <w:pPr>
        <w:pStyle w:val="Numberedparagraph"/>
      </w:pPr>
      <w:r>
        <w:t xml:space="preserve">Since </w:t>
      </w:r>
      <w:r w:rsidR="0038724C">
        <w:t xml:space="preserve">completion of the </w:t>
      </w:r>
      <w:proofErr w:type="gramStart"/>
      <w:r w:rsidR="0038724C">
        <w:rPr>
          <w:i/>
          <w:iCs/>
        </w:rPr>
        <w:t>Building</w:t>
      </w:r>
      <w:proofErr w:type="gramEnd"/>
      <w:r w:rsidR="0038724C">
        <w:rPr>
          <w:i/>
          <w:iCs/>
        </w:rPr>
        <w:t xml:space="preserve"> belonging </w:t>
      </w:r>
      <w:r w:rsidR="0038724C">
        <w:t>review</w:t>
      </w:r>
      <w:r>
        <w:t xml:space="preserve">, and the </w:t>
      </w:r>
      <w:r w:rsidR="00D33E56">
        <w:t>release of the draft</w:t>
      </w:r>
      <w:r>
        <w:t xml:space="preserve"> Bill, recommendations of the Australian Law Reform Commission (</w:t>
      </w:r>
      <w:r>
        <w:rPr>
          <w:b/>
          <w:bCs/>
        </w:rPr>
        <w:t>ALRC</w:t>
      </w:r>
      <w:r>
        <w:t xml:space="preserve">) for reform </w:t>
      </w:r>
      <w:r w:rsidR="008A108E">
        <w:t>to religious exceptions in Commonwealth law have been made public</w:t>
      </w:r>
      <w:r w:rsidR="0041058A">
        <w:t>.</w:t>
      </w:r>
      <w:r w:rsidR="00E84D9E">
        <w:rPr>
          <w:rStyle w:val="FootnoteReference"/>
        </w:rPr>
        <w:footnoteReference w:id="48"/>
      </w:r>
    </w:p>
    <w:p w14:paraId="480C2100" w14:textId="6BA13E69" w:rsidR="00C46A19" w:rsidRDefault="0041058A" w:rsidP="000E59AB">
      <w:pPr>
        <w:pStyle w:val="Numberedparagraph"/>
      </w:pPr>
      <w:r>
        <w:t xml:space="preserve">The </w:t>
      </w:r>
      <w:r w:rsidR="002921EE">
        <w:t>QHRC</w:t>
      </w:r>
      <w:r>
        <w:t xml:space="preserve"> considers that a similar approach to that recommended by the ALRC provides an appropriate way to </w:t>
      </w:r>
      <w:r w:rsidR="00EE1D05">
        <w:t>achieve the</w:t>
      </w:r>
      <w:r w:rsidR="0032785C">
        <w:t xml:space="preserve"> overall</w:t>
      </w:r>
      <w:r w:rsidR="00EE1D05">
        <w:t xml:space="preserve"> intention of the recommendation, in a way that is </w:t>
      </w:r>
      <w:r w:rsidR="00CF591D">
        <w:t xml:space="preserve">consistent with </w:t>
      </w:r>
      <w:r w:rsidR="00230709">
        <w:t>the various rights involved</w:t>
      </w:r>
      <w:r w:rsidR="00B325BB">
        <w:t xml:space="preserve"> and potential changes to Commonwealth legislation</w:t>
      </w:r>
      <w:r>
        <w:t>. This would be to:</w:t>
      </w:r>
    </w:p>
    <w:p w14:paraId="6866EC27" w14:textId="49346213" w:rsidR="00CD5A1F" w:rsidRDefault="001A4636" w:rsidP="00CD5A1F">
      <w:pPr>
        <w:pStyle w:val="Bulletedlist"/>
      </w:pPr>
      <w:r>
        <w:t xml:space="preserve">retain the current drafting of </w:t>
      </w:r>
      <w:r w:rsidR="007A5311">
        <w:t xml:space="preserve">the Genuine occupational requirements – generally exception in </w:t>
      </w:r>
      <w:r>
        <w:t>cl</w:t>
      </w:r>
      <w:r w:rsidR="007B6CA8">
        <w:t>ause</w:t>
      </w:r>
      <w:r>
        <w:t xml:space="preserve"> 28 (with minor amendments</w:t>
      </w:r>
      <w:r w:rsidR="00F42553">
        <w:t xml:space="preserve"> as</w:t>
      </w:r>
      <w:r>
        <w:t xml:space="preserve"> </w:t>
      </w:r>
      <w:r w:rsidR="00211D33">
        <w:t xml:space="preserve">shown in </w:t>
      </w:r>
      <w:r w:rsidR="001F0A37">
        <w:t>Annexure</w:t>
      </w:r>
      <w:r w:rsidR="00BB6700">
        <w:t xml:space="preserve"> E</w:t>
      </w:r>
      <w:r w:rsidR="00211D33">
        <w:t>)</w:t>
      </w:r>
      <w:r w:rsidR="00640E27">
        <w:t>;</w:t>
      </w:r>
      <w:r w:rsidR="00F42553">
        <w:t xml:space="preserve"> and</w:t>
      </w:r>
    </w:p>
    <w:p w14:paraId="3089951F" w14:textId="5A75579C" w:rsidR="00191816" w:rsidRDefault="00F42553" w:rsidP="00CD5A1F">
      <w:pPr>
        <w:pStyle w:val="Bulletedlist"/>
      </w:pPr>
      <w:r>
        <w:t>include an additional, broader exception,</w:t>
      </w:r>
      <w:r w:rsidR="00191816">
        <w:t xml:space="preserve"> applying at selection only,</w:t>
      </w:r>
      <w:r>
        <w:t xml:space="preserve"> that a</w:t>
      </w:r>
      <w:r w:rsidR="005B704B">
        <w:t>llows greater scope for discrimination on the grounds of religious belief or religious activity</w:t>
      </w:r>
      <w:r w:rsidR="00965D1E">
        <w:t xml:space="preserve"> </w:t>
      </w:r>
      <w:r w:rsidR="00CD5A1F">
        <w:t xml:space="preserve">where the duties of the role </w:t>
      </w:r>
      <w:r w:rsidR="00060178">
        <w:t>involve</w:t>
      </w:r>
      <w:r w:rsidR="00191816">
        <w:t xml:space="preserve"> the teaching, </w:t>
      </w:r>
      <w:proofErr w:type="gramStart"/>
      <w:r w:rsidR="00191816">
        <w:t>observance</w:t>
      </w:r>
      <w:proofErr w:type="gramEnd"/>
      <w:r w:rsidR="00191816">
        <w:t xml:space="preserve"> or practice of religion</w:t>
      </w:r>
      <w:r w:rsidR="00F51BD8">
        <w:t>, where this is reasonable and proportionate</w:t>
      </w:r>
      <w:r w:rsidR="00191816">
        <w:t>.</w:t>
      </w:r>
      <w:r w:rsidR="00986026">
        <w:rPr>
          <w:rStyle w:val="FootnoteReference"/>
        </w:rPr>
        <w:footnoteReference w:id="49"/>
      </w:r>
    </w:p>
    <w:p w14:paraId="0248D655" w14:textId="77777777" w:rsidR="002921EE" w:rsidRDefault="005556F6" w:rsidP="000E16C6">
      <w:pPr>
        <w:pStyle w:val="Numberedparagraph"/>
      </w:pPr>
      <w:r>
        <w:t>As is explored in the ALRC’s report,</w:t>
      </w:r>
      <w:r w:rsidR="00057CC6">
        <w:t xml:space="preserve"> and consistent with the </w:t>
      </w:r>
      <w:r w:rsidR="001829AD">
        <w:t xml:space="preserve">position adopted in the </w:t>
      </w:r>
      <w:r w:rsidR="001829AD">
        <w:rPr>
          <w:i/>
          <w:iCs/>
        </w:rPr>
        <w:t xml:space="preserve">Building belonging </w:t>
      </w:r>
      <w:r w:rsidR="00FE09EA">
        <w:t>r</w:t>
      </w:r>
      <w:r w:rsidR="001829AD">
        <w:t>eview,</w:t>
      </w:r>
      <w:r>
        <w:t xml:space="preserve"> </w:t>
      </w:r>
      <w:r w:rsidR="00EC6AD4">
        <w:t xml:space="preserve">this </w:t>
      </w:r>
      <w:r w:rsidR="00B147CF">
        <w:t>suggested broader exception</w:t>
      </w:r>
      <w:r w:rsidR="001335C0">
        <w:t xml:space="preserve"> at the point of selection</w:t>
      </w:r>
      <w:r w:rsidR="00EC6AD4">
        <w:t xml:space="preserve"> </w:t>
      </w:r>
      <w:r w:rsidR="002830F7">
        <w:t xml:space="preserve">recognises the legitimate interest that religious bodies have in employing people </w:t>
      </w:r>
      <w:r w:rsidR="00FF5120">
        <w:t>sharing the beliefs of the organisation</w:t>
      </w:r>
      <w:r w:rsidR="00625AB5">
        <w:t xml:space="preserve"> where it is relevant to their role</w:t>
      </w:r>
      <w:r w:rsidR="006907B9">
        <w:t xml:space="preserve">, and the </w:t>
      </w:r>
      <w:r w:rsidR="00937D40">
        <w:t xml:space="preserve">fact that </w:t>
      </w:r>
      <w:r w:rsidR="007C38DD">
        <w:t xml:space="preserve">discrimination on the grounds of religious belief and activity </w:t>
      </w:r>
      <w:r w:rsidR="006D5E9D">
        <w:t>will usually have a</w:t>
      </w:r>
      <w:r w:rsidR="007C38DD">
        <w:t xml:space="preserve"> less </w:t>
      </w:r>
      <w:r w:rsidR="000E7AB2">
        <w:t>severe</w:t>
      </w:r>
      <w:r w:rsidR="007C38DD">
        <w:t xml:space="preserve"> impact on </w:t>
      </w:r>
      <w:r w:rsidR="00B5081B">
        <w:t>the rights of prospective,</w:t>
      </w:r>
      <w:r w:rsidR="003746F5">
        <w:t xml:space="preserve"> as opposed to</w:t>
      </w:r>
      <w:r w:rsidR="00B5081B">
        <w:t xml:space="preserve"> </w:t>
      </w:r>
      <w:r w:rsidR="007E7868">
        <w:t>existing, employees.</w:t>
      </w:r>
      <w:r w:rsidR="00FD4A08">
        <w:rPr>
          <w:rStyle w:val="FootnoteReference"/>
        </w:rPr>
        <w:footnoteReference w:id="50"/>
      </w:r>
      <w:r w:rsidR="0078727A">
        <w:t xml:space="preserve"> </w:t>
      </w:r>
    </w:p>
    <w:p w14:paraId="5A3C3FAC" w14:textId="514F4E1A" w:rsidR="009D3763" w:rsidRDefault="000F6E61" w:rsidP="000E16C6">
      <w:pPr>
        <w:pStyle w:val="Numberedparagraph"/>
      </w:pPr>
      <w:r>
        <w:t xml:space="preserve">By the operation of clause 28, </w:t>
      </w:r>
      <w:r w:rsidR="0046046F">
        <w:t>this approach</w:t>
      </w:r>
      <w:r w:rsidR="00CF7532">
        <w:t xml:space="preserve"> still allows d</w:t>
      </w:r>
      <w:r w:rsidR="00B63C49">
        <w:t xml:space="preserve">ifferent treatment of </w:t>
      </w:r>
      <w:r>
        <w:t xml:space="preserve">existing employees on religious grounds, but only where </w:t>
      </w:r>
      <w:r w:rsidR="00AC580D">
        <w:t>that person’s religious belief or religious activity</w:t>
      </w:r>
      <w:r w:rsidR="00B40D37">
        <w:t xml:space="preserve"> (or lack thereof)</w:t>
      </w:r>
      <w:r>
        <w:t xml:space="preserve"> mean</w:t>
      </w:r>
      <w:r w:rsidR="00AC580D">
        <w:t>s</w:t>
      </w:r>
      <w:r>
        <w:t xml:space="preserve"> that </w:t>
      </w:r>
      <w:r w:rsidR="00AC580D">
        <w:t>they</w:t>
      </w:r>
      <w:r>
        <w:t xml:space="preserve"> cannot fulfil the </w:t>
      </w:r>
      <w:r w:rsidR="00F5727C">
        <w:t>essential</w:t>
      </w:r>
      <w:r>
        <w:t xml:space="preserve"> requirements of their </w:t>
      </w:r>
      <w:proofErr w:type="gramStart"/>
      <w:r w:rsidR="00BC217E">
        <w:t xml:space="preserve">particular </w:t>
      </w:r>
      <w:r>
        <w:t>role</w:t>
      </w:r>
      <w:proofErr w:type="gramEnd"/>
      <w:r w:rsidR="00386105">
        <w:t xml:space="preserve"> concerning the teaching, </w:t>
      </w:r>
      <w:r w:rsidR="00386105">
        <w:lastRenderedPageBreak/>
        <w:t>observance or practice of religion</w:t>
      </w:r>
      <w:r w:rsidR="002B51C5">
        <w:t>,</w:t>
      </w:r>
      <w:r w:rsidR="000E163A">
        <w:t xml:space="preserve"> </w:t>
      </w:r>
      <w:r w:rsidR="002B51C5">
        <w:t xml:space="preserve">consistent with international human rights law </w:t>
      </w:r>
      <w:r w:rsidR="00A63D65">
        <w:rPr>
          <w:noProof/>
        </w:rPr>
        <mc:AlternateContent>
          <mc:Choice Requires="wps">
            <w:drawing>
              <wp:anchor distT="0" distB="0" distL="114300" distR="114300" simplePos="0" relativeHeight="251658250" behindDoc="1" locked="0" layoutInCell="1" allowOverlap="1" wp14:anchorId="5A1A2FA6" wp14:editId="61CC3894">
                <wp:simplePos x="0" y="0"/>
                <wp:positionH relativeFrom="margin">
                  <wp:align>left</wp:align>
                </wp:positionH>
                <wp:positionV relativeFrom="paragraph">
                  <wp:posOffset>394137</wp:posOffset>
                </wp:positionV>
                <wp:extent cx="5419725" cy="5376041"/>
                <wp:effectExtent l="0" t="0" r="9525" b="0"/>
                <wp:wrapNone/>
                <wp:docPr id="1092225045" name="Rectangle 2"/>
                <wp:cNvGraphicFramePr/>
                <a:graphic xmlns:a="http://schemas.openxmlformats.org/drawingml/2006/main">
                  <a:graphicData uri="http://schemas.microsoft.com/office/word/2010/wordprocessingShape">
                    <wps:wsp>
                      <wps:cNvSpPr/>
                      <wps:spPr>
                        <a:xfrm>
                          <a:off x="0" y="0"/>
                          <a:ext cx="5419725" cy="5376041"/>
                        </a:xfrm>
                        <a:prstGeom prst="rect">
                          <a:avLst/>
                        </a:prstGeom>
                        <a:solidFill>
                          <a:srgbClr val="0042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C0C553" id="Rectangle 2" o:spid="_x0000_s1026" style="position:absolute;margin-left:0;margin-top:31.05pt;width:426.75pt;height:423.3pt;z-index:-25165823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bYFaAIAAEsFAAAOAAAAZHJzL2Uyb0RvYy54bWysVN9r2zAQfh/sfxB6Xx2nSbOGOiW0dAxK&#10;G9qOPiuylBhknXZS4mR//U6y42RdoTD2Yp903/2+T1fXu9qwrUJfgS14fjbgTFkJZWVXBf/xcvfl&#10;K2c+CFsKA1YVfK88v559/nTVuKkawhpMqZCRE+unjSv4OgQ3zTIv16oW/gycsqTUgLUIdMRVVqJo&#10;yHttsuFgcJE1gKVDkMp7ur1tlXyW/GutZHjU2qvATMEpt5C+mL7L+M1mV2K6QuHWlezSEP+QRS0q&#10;S0F7V7ciCLbB6i9XdSURPOhwJqHOQOtKqlQDVZMP3lTzvBZOpVqoOd71bfL/z6182D67BVIbGuen&#10;nsRYxU5jHf+UH9ulZu37ZqldYJIux6P8cjIccyZJNz6fXAxGeWxndjR36MM3BTWLQsGRppGaJLb3&#10;PrTQAyRG82Cq8q4yJh1wtbwxyLYiTm4wGk7SsMj7HzBjI9hCNGs9tjcqzb4LcywtSWFvVLQy9klp&#10;VpVUTJ7ySlun+qhCSmXDoaiEjmaaQvWG5x8bdvho2mbVGw8/Nu4tUmSwoTeuKwv4ngPTp6xbPM3k&#10;pO4oLqHcL5AhtHzwTt5VNKJ74cNCIBGAqEKkDo/00QaagkMncbYG/PXefcTTXpKWs4YIVXD/cyNQ&#10;cWa+W9rYy3w0igxMh9F4MqQDnmqWpxq7qW+AJp/T8+FkEiM+mIOoEepX4v48RiWVsJJiF1wGPBxu&#10;Qkt0ej2kms8TjFjnRLi3z04eph5X8GX3KtB1expoxR/gQD4xfbOuLTbOw8J8E0BXaZePfe36TYxN&#10;bOhel/gknJ4T6vgGzn4DAAD//wMAUEsDBBQABgAIAAAAIQAmGgl23gAAAAcBAAAPAAAAZHJzL2Rv&#10;d25yZXYueG1sTI9Pa8JAFMTvhX6H5RV6qxsVbRLzIkXwIrTQtPS8Zl/+aPZtyK4mfvtuT/U4zDDz&#10;m2w7mU5caXCtZYT5LAJBXFrdco3w/bV/iUE4r1irzjIh3MjBNn98yFSq7cifdC18LUIJu1QhNN73&#10;qZSubMgoN7M9cfAqOxjlgxxqqQc1hnLTyUUUraVRLYeFRvW0a6g8FxeDMJ7kUhf7n9uuTPhw/niv&#10;DlFSIT4/TW8bEJ4m/x+GP/yADnlgOtoLayc6hHDEI6wXcxDBjVfLFYgjQhLFryDzTN7z578AAAD/&#10;/wMAUEsBAi0AFAAGAAgAAAAhALaDOJL+AAAA4QEAABMAAAAAAAAAAAAAAAAAAAAAAFtDb250ZW50&#10;X1R5cGVzXS54bWxQSwECLQAUAAYACAAAACEAOP0h/9YAAACUAQAACwAAAAAAAAAAAAAAAAAvAQAA&#10;X3JlbHMvLnJlbHNQSwECLQAUAAYACAAAACEA1UG2BWgCAABLBQAADgAAAAAAAAAAAAAAAAAuAgAA&#10;ZHJzL2Uyb0RvYy54bWxQSwECLQAUAAYACAAAACEAJhoJdt4AAAAHAQAADwAAAAAAAAAAAAAAAADC&#10;BAAAZHJzL2Rvd25yZXYueG1sUEsFBgAAAAAEAAQA8wAAAM0FAAAAAA==&#10;" fillcolor="#004270" stroked="f">
                <w10:wrap anchorx="margin"/>
              </v:rect>
            </w:pict>
          </mc:Fallback>
        </mc:AlternateContent>
      </w:r>
      <w:r w:rsidR="002B51C5">
        <w:t>and international labour law.</w:t>
      </w:r>
    </w:p>
    <w:p w14:paraId="5084967E" w14:textId="364A0930" w:rsidR="00B53ED3" w:rsidRPr="00B91E61" w:rsidRDefault="00B53ED3" w:rsidP="00B91E61">
      <w:pPr>
        <w:pStyle w:val="Heading3"/>
        <w:spacing w:before="240"/>
        <w:ind w:left="567" w:right="284"/>
        <w:rPr>
          <w:color w:val="FFFFFF" w:themeColor="background1"/>
        </w:rPr>
      </w:pPr>
      <w:bookmarkStart w:id="31" w:name="_Toc161917246"/>
      <w:r w:rsidRPr="00B91E61">
        <w:rPr>
          <w:color w:val="FFFFFF" w:themeColor="background1"/>
        </w:rPr>
        <w:t>Recommendation</w:t>
      </w:r>
      <w:bookmarkEnd w:id="31"/>
    </w:p>
    <w:p w14:paraId="2035F1A9" w14:textId="02DFFB4D" w:rsidR="00B53ED3" w:rsidRPr="00B91E61" w:rsidRDefault="007E2E9F" w:rsidP="00B91E61">
      <w:pPr>
        <w:pStyle w:val="Numberedparagraph"/>
        <w:numPr>
          <w:ilvl w:val="0"/>
          <w:numId w:val="0"/>
        </w:numPr>
        <w:ind w:left="567" w:right="284"/>
        <w:rPr>
          <w:color w:val="FFFFFF" w:themeColor="background1"/>
        </w:rPr>
      </w:pPr>
      <w:r w:rsidRPr="00B91E61">
        <w:rPr>
          <w:color w:val="FFFFFF" w:themeColor="background1"/>
        </w:rPr>
        <w:t>Include an additional</w:t>
      </w:r>
      <w:r w:rsidR="003F3E96" w:rsidRPr="00B91E61">
        <w:rPr>
          <w:color w:val="FFFFFF" w:themeColor="background1"/>
        </w:rPr>
        <w:t xml:space="preserve"> </w:t>
      </w:r>
      <w:r w:rsidR="00A86315" w:rsidRPr="00B91E61">
        <w:rPr>
          <w:color w:val="FFFFFF" w:themeColor="background1"/>
        </w:rPr>
        <w:t xml:space="preserve">exception relating to </w:t>
      </w:r>
      <w:r w:rsidR="00462154" w:rsidRPr="00B91E61">
        <w:rPr>
          <w:color w:val="FFFFFF" w:themeColor="background1"/>
        </w:rPr>
        <w:t xml:space="preserve">selection of </w:t>
      </w:r>
      <w:r w:rsidR="00494E81" w:rsidRPr="00B91E61">
        <w:rPr>
          <w:color w:val="FFFFFF" w:themeColor="background1"/>
        </w:rPr>
        <w:t>people for work</w:t>
      </w:r>
      <w:r w:rsidR="00A86315" w:rsidRPr="00B91E61">
        <w:rPr>
          <w:color w:val="FFFFFF" w:themeColor="background1"/>
        </w:rPr>
        <w:t xml:space="preserve"> by religious bodies</w:t>
      </w:r>
      <w:r w:rsidRPr="00B91E61">
        <w:rPr>
          <w:color w:val="FFFFFF" w:themeColor="background1"/>
        </w:rPr>
        <w:t xml:space="preserve"> as follow</w:t>
      </w:r>
      <w:r w:rsidR="00D61292" w:rsidRPr="00B91E61">
        <w:rPr>
          <w:color w:val="FFFFFF" w:themeColor="background1"/>
        </w:rPr>
        <w:t>s</w:t>
      </w:r>
      <w:r w:rsidR="00494E81" w:rsidRPr="00B91E61">
        <w:rPr>
          <w:color w:val="FFFFFF" w:themeColor="background1"/>
        </w:rPr>
        <w:t>:</w:t>
      </w:r>
    </w:p>
    <w:p w14:paraId="0E4E5B9D" w14:textId="419F9E38" w:rsidR="00830929" w:rsidRPr="00B91E61" w:rsidRDefault="00830929" w:rsidP="00B91E61">
      <w:pPr>
        <w:pStyle w:val="Numberedparagraph"/>
        <w:numPr>
          <w:ilvl w:val="0"/>
          <w:numId w:val="0"/>
        </w:numPr>
        <w:ind w:left="567" w:right="284"/>
        <w:rPr>
          <w:b/>
          <w:bCs/>
          <w:color w:val="FFFFFF" w:themeColor="background1"/>
        </w:rPr>
      </w:pPr>
      <w:r w:rsidRPr="00B91E61">
        <w:rPr>
          <w:b/>
          <w:bCs/>
          <w:color w:val="FFFFFF" w:themeColor="background1"/>
        </w:rPr>
        <w:t>Religious bodies: preferencing in selection</w:t>
      </w:r>
    </w:p>
    <w:p w14:paraId="6F1D3C52" w14:textId="4DEABFFF" w:rsidR="00830929" w:rsidRPr="00B91E61" w:rsidRDefault="00830929" w:rsidP="00B91E61">
      <w:pPr>
        <w:pStyle w:val="Numberedparagraph"/>
        <w:numPr>
          <w:ilvl w:val="0"/>
          <w:numId w:val="0"/>
        </w:numPr>
        <w:ind w:left="720" w:right="284"/>
        <w:rPr>
          <w:color w:val="FFFFFF" w:themeColor="background1"/>
        </w:rPr>
      </w:pPr>
      <w:r w:rsidRPr="00B91E61">
        <w:rPr>
          <w:color w:val="FFFFFF" w:themeColor="background1"/>
        </w:rPr>
        <w:t>(1)</w:t>
      </w:r>
      <w:r w:rsidR="000E4E33" w:rsidRPr="00B91E61">
        <w:rPr>
          <w:color w:val="FFFFFF" w:themeColor="background1"/>
        </w:rPr>
        <w:t xml:space="preserve"> </w:t>
      </w:r>
      <w:r w:rsidRPr="00B91E61">
        <w:rPr>
          <w:color w:val="FFFFFF" w:themeColor="background1"/>
        </w:rPr>
        <w:t xml:space="preserve">A person may discriminate against another person </w:t>
      </w:r>
      <w:proofErr w:type="gramStart"/>
      <w:r w:rsidRPr="00B91E61">
        <w:rPr>
          <w:color w:val="FFFFFF" w:themeColor="background1"/>
        </w:rPr>
        <w:t>on the basis</w:t>
      </w:r>
      <w:r w:rsidR="00851D4D" w:rsidRPr="00B91E61">
        <w:rPr>
          <w:color w:val="FFFFFF" w:themeColor="background1"/>
        </w:rPr>
        <w:t xml:space="preserve"> of</w:t>
      </w:r>
      <w:proofErr w:type="gramEnd"/>
      <w:r w:rsidRPr="00B91E61">
        <w:rPr>
          <w:color w:val="FFFFFF" w:themeColor="background1"/>
        </w:rPr>
        <w:t xml:space="preserve"> religious belief or religious activity in relation to a matter mentioned in section 22(1)(a), (b) or (d) </w:t>
      </w:r>
      <w:r w:rsidR="00822124" w:rsidRPr="00B91E61">
        <w:rPr>
          <w:color w:val="FFFFFF" w:themeColor="background1"/>
        </w:rPr>
        <w:t xml:space="preserve">by giving preference to a member of the relevant religion </w:t>
      </w:r>
      <w:r w:rsidRPr="00B91E61">
        <w:rPr>
          <w:color w:val="FFFFFF" w:themeColor="background1"/>
        </w:rPr>
        <w:t>where—</w:t>
      </w:r>
    </w:p>
    <w:p w14:paraId="69012A2C" w14:textId="5B0F380B" w:rsidR="00830929" w:rsidRPr="00B91E61" w:rsidRDefault="00830929" w:rsidP="00B91E61">
      <w:pPr>
        <w:pStyle w:val="Numberedparagraph"/>
        <w:numPr>
          <w:ilvl w:val="0"/>
          <w:numId w:val="0"/>
        </w:numPr>
        <w:ind w:left="1287" w:right="284" w:firstLine="153"/>
        <w:rPr>
          <w:color w:val="FFFFFF" w:themeColor="background1"/>
        </w:rPr>
      </w:pPr>
      <w:r w:rsidRPr="00B91E61">
        <w:rPr>
          <w:color w:val="FFFFFF" w:themeColor="background1"/>
        </w:rPr>
        <w:t>(a)</w:t>
      </w:r>
      <w:r w:rsidR="006B0B9C" w:rsidRPr="00B91E61">
        <w:rPr>
          <w:color w:val="FFFFFF" w:themeColor="background1"/>
        </w:rPr>
        <w:t xml:space="preserve"> </w:t>
      </w:r>
      <w:r w:rsidRPr="00B91E61">
        <w:rPr>
          <w:color w:val="FFFFFF" w:themeColor="background1"/>
        </w:rPr>
        <w:t xml:space="preserve">the work is for a religious </w:t>
      </w:r>
      <w:proofErr w:type="gramStart"/>
      <w:r w:rsidRPr="00B91E61">
        <w:rPr>
          <w:color w:val="FFFFFF" w:themeColor="background1"/>
        </w:rPr>
        <w:t>body;</w:t>
      </w:r>
      <w:proofErr w:type="gramEnd"/>
    </w:p>
    <w:p w14:paraId="4A6D2F1F" w14:textId="3D9124C0" w:rsidR="00830929" w:rsidRPr="00B91E61" w:rsidRDefault="00830929" w:rsidP="00B91E61">
      <w:pPr>
        <w:pStyle w:val="Numberedparagraph"/>
        <w:numPr>
          <w:ilvl w:val="0"/>
          <w:numId w:val="0"/>
        </w:numPr>
        <w:ind w:left="1440" w:right="284"/>
        <w:rPr>
          <w:color w:val="FFFFFF" w:themeColor="background1"/>
        </w:rPr>
      </w:pPr>
      <w:r w:rsidRPr="00B91E61">
        <w:rPr>
          <w:color w:val="FFFFFF" w:themeColor="background1"/>
        </w:rPr>
        <w:t>(b) the duties of the position involve, or would involve, the participation by the worker in the teaching</w:t>
      </w:r>
      <w:r w:rsidR="00CB0858" w:rsidRPr="00B91E61">
        <w:rPr>
          <w:color w:val="FFFFFF" w:themeColor="background1"/>
        </w:rPr>
        <w:t xml:space="preserve">, </w:t>
      </w:r>
      <w:proofErr w:type="gramStart"/>
      <w:r w:rsidR="00CB0858" w:rsidRPr="00B91E61">
        <w:rPr>
          <w:color w:val="FFFFFF" w:themeColor="background1"/>
        </w:rPr>
        <w:t>observance</w:t>
      </w:r>
      <w:proofErr w:type="gramEnd"/>
      <w:r w:rsidRPr="00B91E61">
        <w:rPr>
          <w:color w:val="FFFFFF" w:themeColor="background1"/>
        </w:rPr>
        <w:t xml:space="preserve"> or practice of the relevant religion; and </w:t>
      </w:r>
    </w:p>
    <w:p w14:paraId="59B59F36" w14:textId="2EFA0A9B" w:rsidR="00830929" w:rsidRPr="00B91E61" w:rsidRDefault="00830929" w:rsidP="00B91E61">
      <w:pPr>
        <w:pStyle w:val="Numberedparagraph"/>
        <w:numPr>
          <w:ilvl w:val="0"/>
          <w:numId w:val="0"/>
        </w:numPr>
        <w:ind w:left="1440" w:right="284"/>
        <w:rPr>
          <w:color w:val="FFFFFF" w:themeColor="background1"/>
        </w:rPr>
      </w:pPr>
      <w:r w:rsidRPr="00B91E61">
        <w:rPr>
          <w:color w:val="FFFFFF" w:themeColor="background1"/>
        </w:rPr>
        <w:t>(c) the discrimination is reasonable and proportionate in the circumstances.</w:t>
      </w:r>
    </w:p>
    <w:p w14:paraId="3F035814" w14:textId="072E563C" w:rsidR="0084711D" w:rsidRPr="00B91E61" w:rsidRDefault="00830929" w:rsidP="00B91E61">
      <w:pPr>
        <w:pStyle w:val="Numberedparagraph"/>
        <w:numPr>
          <w:ilvl w:val="0"/>
          <w:numId w:val="0"/>
        </w:numPr>
        <w:ind w:left="720" w:right="284"/>
        <w:rPr>
          <w:color w:val="FFFFFF" w:themeColor="background1"/>
        </w:rPr>
      </w:pPr>
      <w:r w:rsidRPr="00B91E61">
        <w:rPr>
          <w:color w:val="FFFFFF" w:themeColor="background1"/>
        </w:rPr>
        <w:t>(</w:t>
      </w:r>
      <w:r w:rsidR="00606E98" w:rsidRPr="00B91E61">
        <w:rPr>
          <w:color w:val="FFFFFF" w:themeColor="background1"/>
        </w:rPr>
        <w:t>2</w:t>
      </w:r>
      <w:r w:rsidRPr="00B91E61">
        <w:rPr>
          <w:color w:val="FFFFFF" w:themeColor="background1"/>
        </w:rPr>
        <w:t xml:space="preserve">) </w:t>
      </w:r>
      <w:r w:rsidR="0084711D" w:rsidRPr="00B91E61">
        <w:rPr>
          <w:color w:val="FFFFFF" w:themeColor="background1"/>
        </w:rPr>
        <w:t>For the purposes of sub-section (1) the relevant religion is the religion in accordance with which the religious body is conducted.</w:t>
      </w:r>
    </w:p>
    <w:p w14:paraId="240E5DC6" w14:textId="2E752414" w:rsidR="00494E81" w:rsidRPr="00B91E61" w:rsidRDefault="0084711D" w:rsidP="00B91E61">
      <w:pPr>
        <w:pStyle w:val="Numberedparagraph"/>
        <w:numPr>
          <w:ilvl w:val="0"/>
          <w:numId w:val="0"/>
        </w:numPr>
        <w:ind w:left="720" w:right="284"/>
        <w:rPr>
          <w:color w:val="FFFFFF" w:themeColor="background1"/>
        </w:rPr>
      </w:pPr>
      <w:r w:rsidRPr="00B91E61">
        <w:rPr>
          <w:color w:val="FFFFFF" w:themeColor="background1"/>
        </w:rPr>
        <w:t>(3)</w:t>
      </w:r>
      <w:r w:rsidR="00B91E61" w:rsidRPr="00B91E61">
        <w:rPr>
          <w:color w:val="FFFFFF" w:themeColor="background1"/>
        </w:rPr>
        <w:t xml:space="preserve"> </w:t>
      </w:r>
      <w:r w:rsidR="00830929" w:rsidRPr="00B91E61">
        <w:rPr>
          <w:color w:val="FFFFFF" w:themeColor="background1"/>
        </w:rPr>
        <w:t xml:space="preserve">To remove any doubt, it is declared that a person </w:t>
      </w:r>
      <w:proofErr w:type="spellStart"/>
      <w:r w:rsidR="00830929" w:rsidRPr="00B91E61">
        <w:rPr>
          <w:color w:val="FFFFFF" w:themeColor="background1"/>
        </w:rPr>
        <w:t>can not</w:t>
      </w:r>
      <w:proofErr w:type="spellEnd"/>
      <w:r w:rsidR="00830929" w:rsidRPr="00B91E61">
        <w:rPr>
          <w:color w:val="FFFFFF" w:themeColor="background1"/>
        </w:rPr>
        <w:t xml:space="preserve"> rely on subsection (1) to discriminate against another person </w:t>
      </w:r>
      <w:proofErr w:type="gramStart"/>
      <w:r w:rsidR="00830929" w:rsidRPr="00B91E61">
        <w:rPr>
          <w:color w:val="FFFFFF" w:themeColor="background1"/>
        </w:rPr>
        <w:t>on the basis of</w:t>
      </w:r>
      <w:proofErr w:type="gramEnd"/>
      <w:r w:rsidR="00830929" w:rsidRPr="00B91E61">
        <w:rPr>
          <w:color w:val="FFFFFF" w:themeColor="background1"/>
        </w:rPr>
        <w:t xml:space="preserve"> a protected attribute other than religious belief or religious activity.</w:t>
      </w:r>
    </w:p>
    <w:p w14:paraId="51A35DEE" w14:textId="1179A32F" w:rsidR="003F3E96" w:rsidRPr="00B91E61" w:rsidRDefault="003F3E96" w:rsidP="00B91E61">
      <w:pPr>
        <w:pStyle w:val="Numberedparagraph"/>
        <w:numPr>
          <w:ilvl w:val="0"/>
          <w:numId w:val="0"/>
        </w:numPr>
        <w:ind w:left="567" w:right="284"/>
        <w:rPr>
          <w:color w:val="FFFFFF" w:themeColor="background1"/>
        </w:rPr>
      </w:pPr>
      <w:r w:rsidRPr="00B91E61">
        <w:rPr>
          <w:color w:val="FFFFFF" w:themeColor="background1"/>
        </w:rPr>
        <w:t>For other detailed recommendations in relation to clause 29</w:t>
      </w:r>
      <w:r w:rsidR="00606E98" w:rsidRPr="00B91E61">
        <w:rPr>
          <w:color w:val="FFFFFF" w:themeColor="background1"/>
        </w:rPr>
        <w:t>,</w:t>
      </w:r>
      <w:r w:rsidR="00752039" w:rsidRPr="00B91E61">
        <w:rPr>
          <w:color w:val="FFFFFF" w:themeColor="background1"/>
        </w:rPr>
        <w:t xml:space="preserve"> and </w:t>
      </w:r>
      <w:r w:rsidR="00AC52D1" w:rsidRPr="00B91E61">
        <w:rPr>
          <w:color w:val="FFFFFF" w:themeColor="background1"/>
        </w:rPr>
        <w:t>a related issue concerning clause 28(3),</w:t>
      </w:r>
      <w:r w:rsidR="00606E98" w:rsidRPr="00B91E61">
        <w:rPr>
          <w:color w:val="FFFFFF" w:themeColor="background1"/>
        </w:rPr>
        <w:t xml:space="preserve"> see A</w:t>
      </w:r>
      <w:r w:rsidR="0053357F" w:rsidRPr="00B91E61">
        <w:rPr>
          <w:color w:val="FFFFFF" w:themeColor="background1"/>
        </w:rPr>
        <w:t>nnexure D.</w:t>
      </w:r>
    </w:p>
    <w:p w14:paraId="49234AA5" w14:textId="77777777" w:rsidR="00B91E61" w:rsidRDefault="00B91E61" w:rsidP="00DD5D1C">
      <w:pPr>
        <w:pStyle w:val="Heading2"/>
      </w:pPr>
      <w:bookmarkStart w:id="32" w:name="_Toc161917247"/>
    </w:p>
    <w:p w14:paraId="6124A779" w14:textId="3E41D113" w:rsidR="00DD5D1C" w:rsidRDefault="00DD5D1C" w:rsidP="00DD5D1C">
      <w:pPr>
        <w:pStyle w:val="Heading2"/>
      </w:pPr>
      <w:r>
        <w:t xml:space="preserve">Exception </w:t>
      </w:r>
      <w:r w:rsidR="00E17CFD">
        <w:rPr>
          <w:rFonts w:cs="Arial"/>
        </w:rPr>
        <w:t xml:space="preserve">— </w:t>
      </w:r>
      <w:r w:rsidR="00B91E61">
        <w:t>R</w:t>
      </w:r>
      <w:r>
        <w:t>oles in religious bodies</w:t>
      </w:r>
      <w:bookmarkEnd w:id="32"/>
    </w:p>
    <w:p w14:paraId="7E953964" w14:textId="2001B478" w:rsidR="00456C2E" w:rsidRDefault="0031037A" w:rsidP="00161717">
      <w:pPr>
        <w:pStyle w:val="Numberedparagraph"/>
      </w:pPr>
      <w:r>
        <w:t xml:space="preserve">Clause 61 introduces new </w:t>
      </w:r>
      <w:r w:rsidR="00AF125B">
        <w:t>wording</w:t>
      </w:r>
      <w:r>
        <w:t xml:space="preserve"> to the existing religious roles exceptions in the Anti-Discrimination Act, </w:t>
      </w:r>
      <w:r w:rsidR="00456C2E">
        <w:t xml:space="preserve">extending the exception </w:t>
      </w:r>
      <w:r w:rsidR="00AF125B">
        <w:t xml:space="preserve">to </w:t>
      </w:r>
      <w:r w:rsidR="003D6DA4">
        <w:t>a ‘</w:t>
      </w:r>
      <w:r w:rsidR="006F388B">
        <w:t>role that otherwise</w:t>
      </w:r>
      <w:r>
        <w:t xml:space="preserve"> </w:t>
      </w:r>
      <w:r w:rsidR="00F53B1D">
        <w:t xml:space="preserve">involves the propagation of the </w:t>
      </w:r>
      <w:r w:rsidR="00161717">
        <w:t>doctrines, tenets or beliefs of the religion concerned’</w:t>
      </w:r>
      <w:r w:rsidR="00456C2E">
        <w:t xml:space="preserve"> (cl</w:t>
      </w:r>
      <w:r w:rsidR="00342747">
        <w:t> </w:t>
      </w:r>
      <w:r w:rsidR="00456C2E">
        <w:t>61(2)(a))</w:t>
      </w:r>
      <w:r w:rsidR="00161717">
        <w:t xml:space="preserve">. </w:t>
      </w:r>
    </w:p>
    <w:p w14:paraId="14C47F64" w14:textId="01CA2BAE" w:rsidR="00A610E0" w:rsidRDefault="001E14AC" w:rsidP="00161717">
      <w:pPr>
        <w:pStyle w:val="Numberedparagraph"/>
      </w:pPr>
      <w:r>
        <w:t>The inclusion of this wording may be</w:t>
      </w:r>
      <w:r w:rsidR="0031037A">
        <w:t xml:space="preserve"> intended to implement Recommendation 37.1 of the </w:t>
      </w:r>
      <w:proofErr w:type="gramStart"/>
      <w:r w:rsidR="0031037A">
        <w:rPr>
          <w:i/>
          <w:iCs/>
        </w:rPr>
        <w:t>Building</w:t>
      </w:r>
      <w:proofErr w:type="gramEnd"/>
      <w:r w:rsidR="0031037A">
        <w:rPr>
          <w:i/>
          <w:iCs/>
        </w:rPr>
        <w:t xml:space="preserve"> belonging </w:t>
      </w:r>
      <w:r w:rsidR="0031037A">
        <w:t>Review</w:t>
      </w:r>
      <w:r w:rsidR="00161717">
        <w:t xml:space="preserve">, to clarify that certain lay positions may be </w:t>
      </w:r>
      <w:r w:rsidR="00161717">
        <w:lastRenderedPageBreak/>
        <w:t>covered by th</w:t>
      </w:r>
      <w:r w:rsidR="0011182D">
        <w:t>e</w:t>
      </w:r>
      <w:r w:rsidR="00161717">
        <w:t xml:space="preserve"> exception</w:t>
      </w:r>
      <w:r w:rsidR="0011182D">
        <w:t xml:space="preserve"> relating to </w:t>
      </w:r>
      <w:r w:rsidR="00A610E0">
        <w:t>special roles within</w:t>
      </w:r>
      <w:r w:rsidR="0011182D">
        <w:t xml:space="preserve"> religious </w:t>
      </w:r>
      <w:r w:rsidR="00A610E0">
        <w:t>organisations</w:t>
      </w:r>
      <w:r w:rsidR="00437E23">
        <w:t xml:space="preserve"> associated with religious </w:t>
      </w:r>
      <w:r w:rsidR="00D94D5C">
        <w:t>observances</w:t>
      </w:r>
      <w:r w:rsidR="00C37631">
        <w:t xml:space="preserve"> and practices</w:t>
      </w:r>
      <w:r w:rsidR="0031037A">
        <w:t>.</w:t>
      </w:r>
      <w:r w:rsidR="00215B69">
        <w:rPr>
          <w:rStyle w:val="FootnoteReference"/>
        </w:rPr>
        <w:footnoteReference w:id="51"/>
      </w:r>
      <w:r w:rsidR="00215B69">
        <w:t xml:space="preserve"> </w:t>
      </w:r>
    </w:p>
    <w:p w14:paraId="5639C5D1" w14:textId="7B5D0C7F" w:rsidR="00DD5D1C" w:rsidRDefault="00215B69" w:rsidP="00DD5D1C">
      <w:pPr>
        <w:pStyle w:val="Numberedparagraph"/>
      </w:pPr>
      <w:r>
        <w:t xml:space="preserve">However, </w:t>
      </w:r>
      <w:r w:rsidR="00176F0D">
        <w:t xml:space="preserve">when read with the new definition of ‘religious bodies’ in the draft Bill, </w:t>
      </w:r>
      <w:r w:rsidR="00D84871">
        <w:t>the words in cl 61(2)(b)</w:t>
      </w:r>
      <w:r w:rsidR="00DD2A29">
        <w:t xml:space="preserve"> </w:t>
      </w:r>
      <w:r w:rsidR="00456C2E">
        <w:t xml:space="preserve">have the potential to </w:t>
      </w:r>
      <w:r w:rsidR="00480FDF">
        <w:t>significantly</w:t>
      </w:r>
      <w:r w:rsidR="00456C2E">
        <w:t xml:space="preserve"> expand the scope of the exception</w:t>
      </w:r>
      <w:r w:rsidR="009A54D5">
        <w:t xml:space="preserve"> </w:t>
      </w:r>
      <w:r w:rsidR="00940CB1">
        <w:t xml:space="preserve">to many or all staff within </w:t>
      </w:r>
      <w:r w:rsidR="00EE0269">
        <w:t>faith-based</w:t>
      </w:r>
      <w:r w:rsidR="001628D8">
        <w:t xml:space="preserve"> organisations such as schools or hospitals</w:t>
      </w:r>
      <w:r w:rsidR="00D84871">
        <w:t xml:space="preserve">, who may be considered </w:t>
      </w:r>
      <w:r w:rsidR="00382949">
        <w:t xml:space="preserve">by those organisations </w:t>
      </w:r>
      <w:r w:rsidR="00D84871">
        <w:t xml:space="preserve">as being </w:t>
      </w:r>
      <w:r w:rsidR="00587086">
        <w:t>involved in the propagation of the religion</w:t>
      </w:r>
      <w:r w:rsidR="001628D8">
        <w:t xml:space="preserve">. This was not the intention of Recommendation </w:t>
      </w:r>
      <w:proofErr w:type="gramStart"/>
      <w:r w:rsidR="001628D8">
        <w:t>37.1, and</w:t>
      </w:r>
      <w:proofErr w:type="gramEnd"/>
      <w:r w:rsidR="001628D8">
        <w:t xml:space="preserve"> would undermine the changes made to religious employment exceptions in cl 29</w:t>
      </w:r>
      <w:r w:rsidR="00610E8F">
        <w:t>.</w:t>
      </w:r>
      <w:r w:rsidR="00E063B6">
        <w:t xml:space="preserve"> </w:t>
      </w:r>
    </w:p>
    <w:p w14:paraId="68F1EB8F" w14:textId="35679A93" w:rsidR="00E063B6" w:rsidRDefault="00E063B6" w:rsidP="00161717">
      <w:pPr>
        <w:pStyle w:val="Numberedparagraph"/>
      </w:pPr>
      <w:r>
        <w:t>The intention of R</w:t>
      </w:r>
      <w:r w:rsidR="00C91835">
        <w:t>e</w:t>
      </w:r>
      <w:r>
        <w:t>commend</w:t>
      </w:r>
      <w:r w:rsidR="00C91835">
        <w:t>ation 37.1 is, however, met by the inclusion of the words in clause 61(2)(</w:t>
      </w:r>
      <w:r w:rsidR="00996006">
        <w:t>a), so these should be retained</w:t>
      </w:r>
      <w:r w:rsidR="00C62353">
        <w:t>, while cl</w:t>
      </w:r>
      <w:r w:rsidR="00D1750A">
        <w:t xml:space="preserve"> 61(2)(b) </w:t>
      </w:r>
      <w:r w:rsidR="004B7EAC">
        <w:t>should be omitted</w:t>
      </w:r>
      <w:r w:rsidR="00D1750A">
        <w:t>.</w:t>
      </w:r>
      <w:r w:rsidR="00D5173C">
        <w:t xml:space="preserve"> This </w:t>
      </w:r>
      <w:r w:rsidR="003052D9">
        <w:t>would</w:t>
      </w:r>
      <w:r w:rsidR="00D5173C">
        <w:t xml:space="preserve"> also</w:t>
      </w:r>
      <w:r w:rsidR="003052D9">
        <w:t xml:space="preserve"> be</w:t>
      </w:r>
      <w:r w:rsidR="00D5173C">
        <w:t xml:space="preserve"> consistent with</w:t>
      </w:r>
      <w:r w:rsidR="00FA14CA">
        <w:t xml:space="preserve"> a</w:t>
      </w:r>
      <w:r w:rsidR="00D5173C">
        <w:t xml:space="preserve"> </w:t>
      </w:r>
      <w:r w:rsidR="007C3F4D">
        <w:t>recent recommendation of the ALRC</w:t>
      </w:r>
      <w:r w:rsidR="00E52807">
        <w:t xml:space="preserve"> in relation to an equivalent exception in the </w:t>
      </w:r>
      <w:r w:rsidR="00E52807">
        <w:rPr>
          <w:i/>
          <w:iCs/>
        </w:rPr>
        <w:t>Sex Discrimination Act</w:t>
      </w:r>
      <w:r w:rsidR="00F317EC">
        <w:rPr>
          <w:i/>
          <w:iCs/>
        </w:rPr>
        <w:t xml:space="preserve"> 1984</w:t>
      </w:r>
      <w:r w:rsidR="00F317EC">
        <w:t xml:space="preserve"> (</w:t>
      </w:r>
      <w:proofErr w:type="spellStart"/>
      <w:r w:rsidR="00F317EC">
        <w:t>Cth</w:t>
      </w:r>
      <w:proofErr w:type="spellEnd"/>
      <w:r w:rsidR="00F317EC">
        <w:t>)</w:t>
      </w:r>
      <w:r w:rsidR="00E52807">
        <w:t>.</w:t>
      </w:r>
      <w:r w:rsidR="0086062B">
        <w:rPr>
          <w:rStyle w:val="FootnoteReference"/>
        </w:rPr>
        <w:footnoteReference w:id="52"/>
      </w:r>
    </w:p>
    <w:p w14:paraId="248D780B" w14:textId="48C7A6AA" w:rsidR="009A5FDE" w:rsidRDefault="00D1750A" w:rsidP="00161717">
      <w:pPr>
        <w:pStyle w:val="Numberedparagraph"/>
        <w:rPr>
          <w:rStyle w:val="normaltextrun"/>
          <w:color w:val="000000"/>
          <w:shd w:val="clear" w:color="auto" w:fill="FFFFFF"/>
        </w:rPr>
      </w:pPr>
      <w:r>
        <w:t xml:space="preserve">Greater clarity </w:t>
      </w:r>
      <w:r w:rsidR="006B65BA">
        <w:t>about</w:t>
      </w:r>
      <w:r>
        <w:t xml:space="preserve"> the scope of the provision </w:t>
      </w:r>
      <w:r w:rsidR="006B65BA">
        <w:t>w</w:t>
      </w:r>
      <w:r>
        <w:t xml:space="preserve">ould also be </w:t>
      </w:r>
      <w:r w:rsidR="006B65BA">
        <w:t xml:space="preserve">achieved by amending its heading </w:t>
      </w:r>
      <w:r w:rsidR="000E137F">
        <w:t xml:space="preserve">to </w:t>
      </w:r>
      <w:r w:rsidR="00D25D11">
        <w:t>‘</w:t>
      </w:r>
      <w:r w:rsidR="005A2D8A">
        <w:t>Participation in</w:t>
      </w:r>
      <w:r w:rsidR="00D25D11">
        <w:t xml:space="preserve"> religious observance</w:t>
      </w:r>
      <w:r w:rsidR="002E51F7">
        <w:t xml:space="preserve"> </w:t>
      </w:r>
      <w:r w:rsidR="005A2D8A">
        <w:t xml:space="preserve">or </w:t>
      </w:r>
      <w:r w:rsidR="002E51F7">
        <w:t>practice</w:t>
      </w:r>
      <w:r w:rsidR="00D25D11">
        <w:t>’</w:t>
      </w:r>
      <w:r w:rsidR="00CE1B86">
        <w:t xml:space="preserve">, reflecting the </w:t>
      </w:r>
      <w:r w:rsidR="008B073B">
        <w:t xml:space="preserve">characterisation of the purpose of </w:t>
      </w:r>
      <w:r w:rsidR="00BA7934">
        <w:t xml:space="preserve">equivalent provisions by the </w:t>
      </w:r>
      <w:r w:rsidR="00AE1E2E">
        <w:t xml:space="preserve">Anti-Discrimination Tribunal of Queensland in </w:t>
      </w:r>
      <w:r w:rsidR="00AE1E2E">
        <w:rPr>
          <w:i/>
          <w:iCs/>
        </w:rPr>
        <w:t>Walsh v St Vincent de Paul Society Queensland (No 2)</w:t>
      </w:r>
      <w:r w:rsidR="001C5160">
        <w:t xml:space="preserve"> </w:t>
      </w:r>
      <w:r w:rsidR="006E4AA8">
        <w:t>and</w:t>
      </w:r>
      <w:r w:rsidR="00DC0CB7">
        <w:t xml:space="preserve"> </w:t>
      </w:r>
      <w:r w:rsidR="00FD4C8A">
        <w:t xml:space="preserve">by </w:t>
      </w:r>
      <w:r w:rsidR="001049EF">
        <w:t xml:space="preserve">Maxwell P of </w:t>
      </w:r>
      <w:r w:rsidR="00E42076">
        <w:t>the Victorian Court</w:t>
      </w:r>
      <w:r w:rsidR="00D55C85">
        <w:t xml:space="preserve"> of Appeal</w:t>
      </w:r>
      <w:r w:rsidR="008B073B">
        <w:t xml:space="preserve"> </w:t>
      </w:r>
      <w:r w:rsidR="00185E12">
        <w:t xml:space="preserve">in </w:t>
      </w:r>
      <w:r w:rsidR="00E42076" w:rsidRPr="5804BDB0">
        <w:rPr>
          <w:rStyle w:val="normaltextrun"/>
          <w:i/>
          <w:iCs/>
          <w:color w:val="000000"/>
          <w:shd w:val="clear" w:color="auto" w:fill="FFFFFF"/>
        </w:rPr>
        <w:t>Christian Youth Camps Ltd v </w:t>
      </w:r>
      <w:proofErr w:type="spellStart"/>
      <w:r w:rsidR="00185E12" w:rsidRPr="5804BDB0">
        <w:rPr>
          <w:rStyle w:val="normaltextrun"/>
          <w:i/>
          <w:iCs/>
          <w:color w:val="000000"/>
          <w:shd w:val="clear" w:color="auto" w:fill="FFFFFF"/>
        </w:rPr>
        <w:t>Cobaw</w:t>
      </w:r>
      <w:proofErr w:type="spellEnd"/>
      <w:r w:rsidR="00E42076" w:rsidRPr="5804BDB0">
        <w:rPr>
          <w:rStyle w:val="normaltextrun"/>
          <w:i/>
          <w:iCs/>
          <w:color w:val="000000"/>
          <w:shd w:val="clear" w:color="auto" w:fill="FFFFFF"/>
        </w:rPr>
        <w:t> Community Health Services Ltd</w:t>
      </w:r>
      <w:r w:rsidR="00E42076" w:rsidRPr="5804BDB0">
        <w:rPr>
          <w:rStyle w:val="normaltextrun"/>
          <w:color w:val="000000"/>
          <w:shd w:val="clear" w:color="auto" w:fill="FFFFFF"/>
        </w:rPr>
        <w:t>.</w:t>
      </w:r>
      <w:r w:rsidR="00E42076" w:rsidRPr="5804BDB0">
        <w:rPr>
          <w:rStyle w:val="FootnoteReference"/>
          <w:color w:val="000000"/>
          <w:shd w:val="clear" w:color="auto" w:fill="FFFFFF"/>
        </w:rPr>
        <w:footnoteReference w:id="53"/>
      </w:r>
      <w:r w:rsidR="00E42076" w:rsidRPr="5804BDB0">
        <w:rPr>
          <w:rStyle w:val="normaltextrun"/>
          <w:color w:val="000000"/>
          <w:shd w:val="clear" w:color="auto" w:fill="FFFFFF"/>
        </w:rPr>
        <w:t> </w:t>
      </w:r>
    </w:p>
    <w:p w14:paraId="2E51AFAF" w14:textId="77777777" w:rsidR="009A5FDE" w:rsidRDefault="009A5FDE">
      <w:pPr>
        <w:spacing w:after="0"/>
        <w:rPr>
          <w:rStyle w:val="normaltextrun"/>
          <w:rFonts w:cs="Arial"/>
          <w:color w:val="000000"/>
          <w:shd w:val="clear" w:color="auto" w:fill="FFFFFF"/>
        </w:rPr>
      </w:pPr>
      <w:r>
        <w:rPr>
          <w:rStyle w:val="normaltextrun"/>
          <w:color w:val="000000"/>
          <w:shd w:val="clear" w:color="auto" w:fill="FFFFFF"/>
        </w:rPr>
        <w:br w:type="page"/>
      </w:r>
    </w:p>
    <w:p w14:paraId="5D505DC7" w14:textId="4FB0353D" w:rsidR="00DD5D1C" w:rsidRPr="00890F1E" w:rsidRDefault="00890F1E" w:rsidP="00A7312A">
      <w:pPr>
        <w:pStyle w:val="Heading3"/>
        <w:spacing w:before="240"/>
        <w:ind w:left="567"/>
        <w:rPr>
          <w:color w:val="FFFFFF" w:themeColor="background1"/>
        </w:rPr>
      </w:pPr>
      <w:bookmarkStart w:id="33" w:name="_Toc161917248"/>
      <w:r>
        <w:rPr>
          <w:noProof/>
        </w:rPr>
        <w:lastRenderedPageBreak/>
        <mc:AlternateContent>
          <mc:Choice Requires="wps">
            <w:drawing>
              <wp:anchor distT="0" distB="0" distL="114300" distR="114300" simplePos="0" relativeHeight="251658251" behindDoc="1" locked="0" layoutInCell="1" allowOverlap="1" wp14:anchorId="0BD9DE98" wp14:editId="612F8570">
                <wp:simplePos x="0" y="0"/>
                <wp:positionH relativeFrom="margin">
                  <wp:align>left</wp:align>
                </wp:positionH>
                <wp:positionV relativeFrom="paragraph">
                  <wp:posOffset>-146649</wp:posOffset>
                </wp:positionV>
                <wp:extent cx="5419725" cy="2794599"/>
                <wp:effectExtent l="0" t="0" r="9525" b="6350"/>
                <wp:wrapNone/>
                <wp:docPr id="1367638953" name="Rectangle 2"/>
                <wp:cNvGraphicFramePr/>
                <a:graphic xmlns:a="http://schemas.openxmlformats.org/drawingml/2006/main">
                  <a:graphicData uri="http://schemas.microsoft.com/office/word/2010/wordprocessingShape">
                    <wps:wsp>
                      <wps:cNvSpPr/>
                      <wps:spPr>
                        <a:xfrm>
                          <a:off x="0" y="0"/>
                          <a:ext cx="5419725" cy="2794599"/>
                        </a:xfrm>
                        <a:prstGeom prst="rect">
                          <a:avLst/>
                        </a:prstGeom>
                        <a:solidFill>
                          <a:srgbClr val="0042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DF26FA" id="Rectangle 2" o:spid="_x0000_s1026" style="position:absolute;margin-left:0;margin-top:-11.55pt;width:426.75pt;height:220.05pt;z-index:-25165822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Y1baAIAAEsFAAAOAAAAZHJzL2Uyb0RvYy54bWysVN9r2zAQfh/sfxB6Xx17ybKEOiW0dAxK&#10;V9aOPiuylBhknXZS4mR//U6y42RdoTD2Yp903/2+T5dX+8awnUJfgy15fjHiTFkJVW3XJf/xdPvh&#10;M2c+CFsJA1aV/KA8v1q8f3fZurkqYAOmUsjIifXz1pV8E4KbZ5mXG9UIfwFOWVJqwEYEOuI6q1C0&#10;5L0xWTEafcpawMohSOU93d50Sr5I/rVWMnzT2qvATMkpt5C+mL6r+M0Wl2K+RuE2tezTEP+QRSNq&#10;S0EHVzciCLbF+i9XTS0RPOhwIaHJQOtaqlQDVZOPXlTzuBFOpVqoOd4NbfL/z6283z26B6Q2tM7P&#10;PYmxir3GJv4pP7ZPzToMzVL7wCRdTsb5bFpMOJOkK6az8WQ2i+3MTuYOffiioGFRKDnSNFKTxO7O&#10;hw56hMRoHkxd3dbGpAOuV9cG2U7EyY3GxTQNi7z/ATM2gi1Es85jd6PS7Pswp9KSFA5GRStjvyvN&#10;6oqKyVNeaevUEFVIqWzI+6ISOpppCjUYfnzbsMdH0y6rwbh423iwSJHBhsG4qS3gaw7MkLLu8DST&#10;s7qjuILq8IAMoeODd/K2phHdCR8eBBIBiCpE6vCNPtpAW3LoJc42gL9eu4942kvSctYSoUruf24F&#10;Ks7MV0sbO8vH48jAdBhPpgUd8FyzOtfYbXMNNPmcng8nkxjxwRxFjdA8E/eXMSqphJUUu+Qy4PFw&#10;HTqi0+sh1XKZYMQ6J8KdfXTyOPW4gk/7Z4Gu39NAK34PR/KJ+Yt17bBxHhaW2wC6Trt86mvfb2Js&#10;YkP/usQn4fycUKc3cPEbAAD//wMAUEsDBBQABgAIAAAAIQD3k8Oo3wAAAAgBAAAPAAAAZHJzL2Rv&#10;d25yZXYueG1sTI/NTsMwEITvSLyDtUjcWicNpW3IpkKVeqkEEgH17MabHxqvo9ht0rfHnOA4mtHM&#10;N9l2Mp240uBaywjxPAJBXFrdco3w9bmfrUE4r1irzjIh3MjBNr+/y1Sq7cgfdC18LUIJu1QhNN73&#10;qZSubMgoN7c9cfAqOxjlgxxqqQc1hnLTyUUUPUujWg4Ljepp11B5Li4GYfyWiS72x9uu3PDh/P5W&#10;HaJNhfj4ML2+gPA0+b8w/OIHdMgD08leWDvRIYQjHmG2SGIQwV4vkyWIE8JTvIpA5pn8fyD/AQAA&#10;//8DAFBLAQItABQABgAIAAAAIQC2gziS/gAAAOEBAAATAAAAAAAAAAAAAAAAAAAAAABbQ29udGVu&#10;dF9UeXBlc10ueG1sUEsBAi0AFAAGAAgAAAAhADj9If/WAAAAlAEAAAsAAAAAAAAAAAAAAAAALwEA&#10;AF9yZWxzLy5yZWxzUEsBAi0AFAAGAAgAAAAhADd9jVtoAgAASwUAAA4AAAAAAAAAAAAAAAAALgIA&#10;AGRycy9lMm9Eb2MueG1sUEsBAi0AFAAGAAgAAAAhAPeTw6jfAAAACAEAAA8AAAAAAAAAAAAAAAAA&#10;wgQAAGRycy9kb3ducmV2LnhtbFBLBQYAAAAABAAEAPMAAADOBQAAAAA=&#10;" fillcolor="#004270" stroked="f">
                <w10:wrap anchorx="margin"/>
              </v:rect>
            </w:pict>
          </mc:Fallback>
        </mc:AlternateContent>
      </w:r>
      <w:r w:rsidR="00DD5D1C" w:rsidRPr="00890F1E">
        <w:rPr>
          <w:color w:val="FFFFFF" w:themeColor="background1"/>
        </w:rPr>
        <w:t>Recommendation</w:t>
      </w:r>
      <w:bookmarkEnd w:id="33"/>
    </w:p>
    <w:p w14:paraId="3A72CFB4" w14:textId="2E0A9601" w:rsidR="00D03E1F" w:rsidRPr="00890F1E" w:rsidRDefault="00D03E1F" w:rsidP="00A7312A">
      <w:pPr>
        <w:ind w:left="567"/>
        <w:rPr>
          <w:color w:val="FFFFFF" w:themeColor="background1"/>
        </w:rPr>
      </w:pPr>
      <w:r w:rsidRPr="00890F1E">
        <w:rPr>
          <w:color w:val="FFFFFF" w:themeColor="background1"/>
        </w:rPr>
        <w:t>Amend clause 61 so that it reads:</w:t>
      </w:r>
    </w:p>
    <w:p w14:paraId="0DDD2005" w14:textId="764B7685" w:rsidR="00387780" w:rsidRPr="00890F1E" w:rsidRDefault="00387780" w:rsidP="00A7312A">
      <w:pPr>
        <w:pStyle w:val="paragraph"/>
        <w:spacing w:before="0" w:beforeAutospacing="0" w:after="120" w:afterAutospacing="0"/>
        <w:ind w:firstLine="567"/>
        <w:textAlignment w:val="baseline"/>
        <w:rPr>
          <w:rFonts w:ascii="Segoe UI" w:hAnsi="Segoe UI" w:cs="Segoe UI"/>
          <w:color w:val="FFFFFF" w:themeColor="background1"/>
          <w:sz w:val="18"/>
          <w:szCs w:val="18"/>
        </w:rPr>
      </w:pPr>
      <w:r w:rsidRPr="00890F1E">
        <w:rPr>
          <w:rStyle w:val="normaltextrun"/>
          <w:rFonts w:ascii="Arial" w:hAnsi="Arial" w:cs="Arial"/>
          <w:b/>
          <w:bCs/>
          <w:color w:val="FFFFFF" w:themeColor="background1"/>
          <w:sz w:val="22"/>
          <w:szCs w:val="22"/>
        </w:rPr>
        <w:t>Participation in religious observance or practice</w:t>
      </w:r>
      <w:r w:rsidR="00B273D7" w:rsidRPr="00890F1E">
        <w:rPr>
          <w:rStyle w:val="normaltextrun"/>
          <w:rFonts w:ascii="Arial" w:hAnsi="Arial" w:cs="Arial"/>
          <w:b/>
          <w:bCs/>
          <w:color w:val="FFFFFF" w:themeColor="background1"/>
          <w:sz w:val="22"/>
          <w:szCs w:val="22"/>
        </w:rPr>
        <w:t xml:space="preserve"> </w:t>
      </w:r>
      <w:r w:rsidRPr="00890F1E">
        <w:rPr>
          <w:rStyle w:val="eop"/>
          <w:rFonts w:eastAsiaTheme="majorEastAsia" w:cs="Arial"/>
          <w:color w:val="FFFFFF" w:themeColor="background1"/>
          <w:sz w:val="22"/>
          <w:szCs w:val="22"/>
        </w:rPr>
        <w:t> </w:t>
      </w:r>
    </w:p>
    <w:p w14:paraId="0DC86D60" w14:textId="5A60AC28" w:rsidR="00387780" w:rsidRPr="00890F1E" w:rsidRDefault="00387780" w:rsidP="00646372">
      <w:pPr>
        <w:pStyle w:val="paragraph"/>
        <w:spacing w:before="0" w:beforeAutospacing="0" w:after="120" w:afterAutospacing="0"/>
        <w:ind w:left="720"/>
        <w:textAlignment w:val="baseline"/>
        <w:rPr>
          <w:rFonts w:ascii="Segoe UI" w:hAnsi="Segoe UI" w:cs="Segoe UI"/>
          <w:color w:val="FFFFFF" w:themeColor="background1"/>
          <w:sz w:val="18"/>
          <w:szCs w:val="18"/>
        </w:rPr>
      </w:pPr>
      <w:r w:rsidRPr="00890F1E">
        <w:rPr>
          <w:rStyle w:val="normaltextrun"/>
          <w:rFonts w:ascii="Arial" w:hAnsi="Arial" w:cs="Arial"/>
          <w:color w:val="FFFFFF" w:themeColor="background1"/>
          <w:sz w:val="22"/>
          <w:szCs w:val="22"/>
        </w:rPr>
        <w:t>(1) This Act does not apply in relation to—</w:t>
      </w:r>
      <w:r w:rsidR="00B273D7" w:rsidRPr="00890F1E">
        <w:rPr>
          <w:rStyle w:val="normaltextrun"/>
          <w:rFonts w:ascii="Arial" w:hAnsi="Arial" w:cs="Arial"/>
          <w:color w:val="FFFFFF" w:themeColor="background1"/>
          <w:sz w:val="22"/>
          <w:szCs w:val="22"/>
        </w:rPr>
        <w:t xml:space="preserve"> </w:t>
      </w:r>
      <w:r w:rsidRPr="00890F1E">
        <w:rPr>
          <w:rStyle w:val="eop"/>
          <w:rFonts w:eastAsiaTheme="majorEastAsia" w:cs="Arial"/>
          <w:color w:val="FFFFFF" w:themeColor="background1"/>
          <w:sz w:val="22"/>
          <w:szCs w:val="22"/>
        </w:rPr>
        <w:t> </w:t>
      </w:r>
    </w:p>
    <w:p w14:paraId="7A0406D5" w14:textId="12C468E8" w:rsidR="007B3495" w:rsidRPr="00890F1E" w:rsidRDefault="00387780" w:rsidP="00A7312A">
      <w:pPr>
        <w:pStyle w:val="paragraph"/>
        <w:spacing w:before="0" w:beforeAutospacing="0" w:after="120" w:afterAutospacing="0"/>
        <w:ind w:left="1440"/>
        <w:textAlignment w:val="baseline"/>
        <w:rPr>
          <w:rStyle w:val="normaltextrun"/>
          <w:rFonts w:ascii="Arial" w:hAnsi="Arial" w:cs="Arial"/>
          <w:color w:val="FFFFFF" w:themeColor="background1"/>
          <w:sz w:val="22"/>
          <w:szCs w:val="22"/>
        </w:rPr>
      </w:pPr>
      <w:r w:rsidRPr="00890F1E">
        <w:rPr>
          <w:rStyle w:val="normaltextrun"/>
          <w:rFonts w:ascii="Arial" w:hAnsi="Arial" w:cs="Arial"/>
          <w:color w:val="FFFFFF" w:themeColor="background1"/>
          <w:sz w:val="22"/>
          <w:szCs w:val="22"/>
        </w:rPr>
        <w:t>(a)</w:t>
      </w:r>
      <w:r w:rsidR="00A7312A" w:rsidRPr="00890F1E">
        <w:rPr>
          <w:rStyle w:val="normaltextrun"/>
          <w:rFonts w:ascii="Arial" w:hAnsi="Arial" w:cs="Arial"/>
          <w:color w:val="FFFFFF" w:themeColor="background1"/>
          <w:sz w:val="22"/>
          <w:szCs w:val="22"/>
        </w:rPr>
        <w:t xml:space="preserve"> </w:t>
      </w:r>
      <w:r w:rsidRPr="00890F1E">
        <w:rPr>
          <w:rStyle w:val="normaltextrun"/>
          <w:rFonts w:ascii="Arial" w:hAnsi="Arial" w:cs="Arial"/>
          <w:color w:val="FFFFFF" w:themeColor="background1"/>
          <w:sz w:val="22"/>
          <w:szCs w:val="22"/>
        </w:rPr>
        <w:t>the ordination or appointment of people as priests, ministers of religion or members of a religious order or to another religious role; or</w:t>
      </w:r>
    </w:p>
    <w:p w14:paraId="633CD7E0" w14:textId="397C9906" w:rsidR="007B3495" w:rsidRPr="00890F1E" w:rsidRDefault="007B3495" w:rsidP="00A7312A">
      <w:pPr>
        <w:pStyle w:val="paragraph"/>
        <w:spacing w:before="0" w:beforeAutospacing="0" w:after="120" w:afterAutospacing="0"/>
        <w:ind w:left="1440"/>
        <w:textAlignment w:val="baseline"/>
        <w:rPr>
          <w:rFonts w:ascii="Segoe UI" w:hAnsi="Segoe UI" w:cs="Segoe UI"/>
          <w:color w:val="FFFFFF" w:themeColor="background1"/>
          <w:sz w:val="18"/>
          <w:szCs w:val="18"/>
        </w:rPr>
      </w:pPr>
      <w:r w:rsidRPr="00890F1E">
        <w:rPr>
          <w:rStyle w:val="normaltextrun"/>
          <w:rFonts w:ascii="Arial" w:hAnsi="Arial" w:cs="Arial"/>
          <w:color w:val="FFFFFF" w:themeColor="background1"/>
          <w:sz w:val="22"/>
          <w:szCs w:val="22"/>
        </w:rPr>
        <w:t>(b)</w:t>
      </w:r>
      <w:r w:rsidR="00A7312A" w:rsidRPr="00890F1E">
        <w:rPr>
          <w:rStyle w:val="normaltextrun"/>
          <w:rFonts w:ascii="Arial" w:hAnsi="Arial" w:cs="Arial"/>
          <w:color w:val="FFFFFF" w:themeColor="background1"/>
          <w:sz w:val="22"/>
          <w:szCs w:val="22"/>
        </w:rPr>
        <w:t xml:space="preserve"> </w:t>
      </w:r>
      <w:r w:rsidR="00387780" w:rsidRPr="00890F1E">
        <w:rPr>
          <w:rStyle w:val="normaltextrun"/>
          <w:rFonts w:ascii="Arial" w:hAnsi="Arial" w:cs="Arial"/>
          <w:color w:val="FFFFFF" w:themeColor="background1"/>
          <w:sz w:val="22"/>
          <w:szCs w:val="22"/>
        </w:rPr>
        <w:t>the training or education of people seeking ordination or appointment as priests, ministers of religion or members of a religious order or to another religious role; or</w:t>
      </w:r>
      <w:r w:rsidR="00B273D7" w:rsidRPr="00890F1E">
        <w:rPr>
          <w:rStyle w:val="normaltextrun"/>
          <w:rFonts w:ascii="Arial" w:hAnsi="Arial" w:cs="Arial"/>
          <w:color w:val="FFFFFF" w:themeColor="background1"/>
          <w:sz w:val="22"/>
          <w:szCs w:val="22"/>
        </w:rPr>
        <w:t xml:space="preserve"> </w:t>
      </w:r>
      <w:r w:rsidR="00387780" w:rsidRPr="00890F1E">
        <w:rPr>
          <w:rStyle w:val="eop"/>
          <w:rFonts w:eastAsiaTheme="majorEastAsia" w:cs="Arial"/>
          <w:color w:val="FFFFFF" w:themeColor="background1"/>
          <w:sz w:val="22"/>
          <w:szCs w:val="22"/>
        </w:rPr>
        <w:t> </w:t>
      </w:r>
    </w:p>
    <w:p w14:paraId="35738312" w14:textId="7C073CF7" w:rsidR="00387780" w:rsidRPr="00890F1E" w:rsidRDefault="00387780" w:rsidP="00A7312A">
      <w:pPr>
        <w:pStyle w:val="paragraph"/>
        <w:spacing w:before="0" w:beforeAutospacing="0" w:after="120" w:afterAutospacing="0"/>
        <w:ind w:left="1440"/>
        <w:textAlignment w:val="baseline"/>
        <w:rPr>
          <w:rFonts w:ascii="Segoe UI" w:hAnsi="Segoe UI" w:cs="Segoe UI"/>
          <w:color w:val="FFFFFF" w:themeColor="background1"/>
          <w:sz w:val="18"/>
          <w:szCs w:val="18"/>
        </w:rPr>
      </w:pPr>
      <w:r w:rsidRPr="00890F1E">
        <w:rPr>
          <w:rStyle w:val="normaltextrun"/>
          <w:rFonts w:ascii="Arial" w:hAnsi="Arial" w:cs="Arial"/>
          <w:color w:val="FFFFFF" w:themeColor="background1"/>
          <w:sz w:val="22"/>
          <w:szCs w:val="22"/>
        </w:rPr>
        <w:t>(c) the selection or appointment of people to perform functions in relation to, or otherwise participate in, any religious observance or practice.</w:t>
      </w:r>
      <w:r w:rsidR="00B273D7" w:rsidRPr="00890F1E">
        <w:rPr>
          <w:rStyle w:val="normaltextrun"/>
          <w:rFonts w:ascii="Arial" w:hAnsi="Arial" w:cs="Arial"/>
          <w:color w:val="FFFFFF" w:themeColor="background1"/>
          <w:sz w:val="22"/>
          <w:szCs w:val="22"/>
        </w:rPr>
        <w:t xml:space="preserve"> </w:t>
      </w:r>
      <w:r w:rsidRPr="00890F1E">
        <w:rPr>
          <w:rStyle w:val="eop"/>
          <w:rFonts w:eastAsiaTheme="majorEastAsia" w:cs="Arial"/>
          <w:color w:val="FFFFFF" w:themeColor="background1"/>
          <w:sz w:val="22"/>
          <w:szCs w:val="22"/>
        </w:rPr>
        <w:t> </w:t>
      </w:r>
    </w:p>
    <w:p w14:paraId="2B782973" w14:textId="5EE2CDDA" w:rsidR="00387780" w:rsidRPr="00890F1E" w:rsidRDefault="00890F1E" w:rsidP="00A7312A">
      <w:pPr>
        <w:pStyle w:val="paragraph"/>
        <w:spacing w:before="0" w:beforeAutospacing="0" w:after="120" w:afterAutospacing="0"/>
        <w:ind w:left="720"/>
        <w:textAlignment w:val="baseline"/>
        <w:rPr>
          <w:rFonts w:ascii="Segoe UI" w:hAnsi="Segoe UI" w:cs="Segoe UI"/>
          <w:color w:val="FFFFFF" w:themeColor="background1"/>
          <w:sz w:val="18"/>
          <w:szCs w:val="18"/>
        </w:rPr>
      </w:pPr>
      <w:r>
        <w:rPr>
          <w:noProof/>
        </w:rPr>
        <mc:AlternateContent>
          <mc:Choice Requires="wps">
            <w:drawing>
              <wp:anchor distT="0" distB="0" distL="114300" distR="114300" simplePos="0" relativeHeight="251658252" behindDoc="1" locked="0" layoutInCell="1" allowOverlap="1" wp14:anchorId="4CC0B14A" wp14:editId="6D61A3B4">
                <wp:simplePos x="0" y="0"/>
                <wp:positionH relativeFrom="margin">
                  <wp:align>left</wp:align>
                </wp:positionH>
                <wp:positionV relativeFrom="paragraph">
                  <wp:posOffset>-133350</wp:posOffset>
                </wp:positionV>
                <wp:extent cx="5419725" cy="790575"/>
                <wp:effectExtent l="0" t="0" r="9525" b="9525"/>
                <wp:wrapNone/>
                <wp:docPr id="1460253690" name="Rectangle 2"/>
                <wp:cNvGraphicFramePr/>
                <a:graphic xmlns:a="http://schemas.openxmlformats.org/drawingml/2006/main">
                  <a:graphicData uri="http://schemas.microsoft.com/office/word/2010/wordprocessingShape">
                    <wps:wsp>
                      <wps:cNvSpPr/>
                      <wps:spPr>
                        <a:xfrm>
                          <a:off x="0" y="0"/>
                          <a:ext cx="5419725" cy="790575"/>
                        </a:xfrm>
                        <a:prstGeom prst="rect">
                          <a:avLst/>
                        </a:prstGeom>
                        <a:solidFill>
                          <a:srgbClr val="0042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F230A6" id="Rectangle 2" o:spid="_x0000_s1026" style="position:absolute;margin-left:0;margin-top:-10.5pt;width:426.75pt;height:62.25pt;z-index:-2516582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ANaAIAAEoFAAAOAAAAZHJzL2Uyb0RvYy54bWysVF9v2jAQf5+072D5fQ1hMFbUUCEqpklV&#10;W7Wd+mwcGyI5Pu9sCOzT7+yEwLpKlaa92He+3/2/89X1vjZsp9BXYAueXww4U1ZCWdl1wX88Lz99&#10;5cwHYUthwKqCH5Tn17OPH64aN1VD2IApFTIyYv20cQXfhOCmWeblRtXCX4BTloQasBaBWFxnJYqG&#10;rNcmGw4GX7IGsHQIUnlPrzetkM+Sfa2VDPdaexWYKTjFFtKJ6VzFM5tdiekahdtUsgtD/EMUtags&#10;Oe1N3Ygg2Barv0zVlUTwoMOFhDoDrSupUg6UTT54lc3TRjiVcqHieNeXyf8/s/Ju9+QekMrQOD/1&#10;RMYs9hrreFN8bJ+KdeiLpfaBSXocj/LLyXDMmSTZ5HIwnoxjNbOTtkMfvimoWSQKjtSMVCOxu/Wh&#10;hR4h0ZkHU5XLypjE4Hq1MMh2IjZuMBpOUq/I+h8wYyPYQlRrLbYvKrW+c3PKLFHhYFTUMvZRaVaV&#10;lEue4kpDp3qvQkplQ94lldBRTZOrXvHz+4odPqq2UfXKw/eVe43kGWzolevKAr5lwPQh6xZPPTnL&#10;O5IrKA8PyBDadfBOLitq0a3w4UEgzT9tCu10uKdDG2gKDh3F2Qbw11vvEU9jSVLOGtqngvufW4GK&#10;M/Pd0sBe5qNRXMDEjMaTITF4LlmdS+y2XgB1Pqffw8lERnwwR1Ij1C+0+vPolUTCSvJdcBnwyCxC&#10;u+f0eUg1nycYLZ0T4dY+OXnsehzB5/2LQNfNaaAJv4Pj7onpq3FtsbEfFubbALpKs3yqa1dvWti0&#10;Dd3nEn+Ecz6hTl/g7DcAAAD//wMAUEsDBBQABgAIAAAAIQDQa2dM3QAAAAgBAAAPAAAAZHJzL2Rv&#10;d25yZXYueG1sTI/NbsIwEITvlXgHayv1BjYgKkjjIITEBamVmlY9m3jzU+J1FBsS3r7bE9xmNaPZ&#10;b9Lt6FpxxT40njTMZwoEUuFtQ5WG76/DdA0iREPWtJ5Qww0DbLPJU2oS6wf6xGseK8ElFBKjoY6x&#10;S6QMRY3OhJnvkNgrfe9M5LOvpO3NwOWulQulXqUzDfGH2nS4r7E45xenYfiVS5sffm77YkPH88d7&#10;eVSbUuuX53H3BiLiGO9h+MdndMiY6eQvZINoNfCQqGG6mLNge71arkCcOKdYyCyVjwOyPwAAAP//&#10;AwBQSwECLQAUAAYACAAAACEAtoM4kv4AAADhAQAAEwAAAAAAAAAAAAAAAAAAAAAAW0NvbnRlbnRf&#10;VHlwZXNdLnhtbFBLAQItABQABgAIAAAAIQA4/SH/1gAAAJQBAAALAAAAAAAAAAAAAAAAAC8BAABf&#10;cmVscy8ucmVsc1BLAQItABQABgAIAAAAIQA8KGANaAIAAEoFAAAOAAAAAAAAAAAAAAAAAC4CAABk&#10;cnMvZTJvRG9jLnhtbFBLAQItABQABgAIAAAAIQDQa2dM3QAAAAgBAAAPAAAAAAAAAAAAAAAAAMIE&#10;AABkcnMvZG93bnJldi54bWxQSwUGAAAAAAQABADzAAAAzAUAAAAA&#10;" fillcolor="#004270" stroked="f">
                <w10:wrap anchorx="margin"/>
              </v:rect>
            </w:pict>
          </mc:Fallback>
        </mc:AlternateContent>
      </w:r>
      <w:r w:rsidR="00387780" w:rsidRPr="00890F1E">
        <w:rPr>
          <w:rStyle w:val="normaltextrun"/>
          <w:rFonts w:ascii="Arial" w:hAnsi="Arial" w:cs="Arial"/>
          <w:color w:val="FFFFFF" w:themeColor="background1"/>
          <w:sz w:val="22"/>
          <w:szCs w:val="22"/>
        </w:rPr>
        <w:t xml:space="preserve">(2) For subsection (1)(a) and (b), another religious role is a role within a religious body that is the same as, or </w:t>
      </w:r>
      <w:proofErr w:type="gramStart"/>
      <w:r w:rsidR="00387780" w:rsidRPr="00890F1E">
        <w:rPr>
          <w:rStyle w:val="normaltextrun"/>
          <w:rFonts w:ascii="Arial" w:hAnsi="Arial" w:cs="Arial"/>
          <w:color w:val="FFFFFF" w:themeColor="background1"/>
          <w:sz w:val="22"/>
          <w:szCs w:val="22"/>
        </w:rPr>
        <w:t>similar to</w:t>
      </w:r>
      <w:proofErr w:type="gramEnd"/>
      <w:r w:rsidR="00387780" w:rsidRPr="00890F1E">
        <w:rPr>
          <w:rStyle w:val="normaltextrun"/>
          <w:rFonts w:ascii="Arial" w:hAnsi="Arial" w:cs="Arial"/>
          <w:color w:val="FFFFFF" w:themeColor="background1"/>
          <w:sz w:val="22"/>
          <w:szCs w:val="22"/>
        </w:rPr>
        <w:t>, the role of a priest, minister of religion or member of a religious order.</w:t>
      </w:r>
      <w:r w:rsidR="00387780" w:rsidRPr="00890F1E">
        <w:rPr>
          <w:rStyle w:val="eop"/>
          <w:rFonts w:eastAsiaTheme="majorEastAsia" w:cs="Arial"/>
          <w:color w:val="FFFFFF" w:themeColor="background1"/>
          <w:sz w:val="22"/>
          <w:szCs w:val="22"/>
        </w:rPr>
        <w:t> </w:t>
      </w:r>
    </w:p>
    <w:p w14:paraId="5C27904B" w14:textId="3A49822F" w:rsidR="00415180" w:rsidRDefault="00415180" w:rsidP="00D03E1F"/>
    <w:p w14:paraId="6BA80C0A" w14:textId="41179961" w:rsidR="00415180" w:rsidRDefault="00415180" w:rsidP="00415180">
      <w:pPr>
        <w:pStyle w:val="Numberedparagraph"/>
      </w:pPr>
      <w:r>
        <w:t>Thank you for the opportunity to provide this submission. The QHRC looks forward to the timely passage of the Anti-Discrimination Bill through parliament.</w:t>
      </w:r>
    </w:p>
    <w:p w14:paraId="4BF48B9C" w14:textId="77777777" w:rsidR="00D03E1F" w:rsidRPr="00D03E1F" w:rsidRDefault="00D03E1F" w:rsidP="00D03E1F"/>
    <w:p w14:paraId="187FCE9A" w14:textId="7E48E6C3" w:rsidR="00B32F49" w:rsidRPr="004C6656" w:rsidRDefault="00B32F49" w:rsidP="00187D9F">
      <w:pPr>
        <w:pStyle w:val="Bulletedlist"/>
        <w:numPr>
          <w:ilvl w:val="0"/>
          <w:numId w:val="0"/>
        </w:numPr>
        <w:rPr>
          <w:lang w:val="en-US"/>
        </w:rPr>
      </w:pPr>
    </w:p>
    <w:sectPr w:rsidR="00B32F49" w:rsidRPr="004C6656" w:rsidSect="00313ACD">
      <w:footerReference w:type="default" r:id="rId13"/>
      <w:headerReference w:type="first" r:id="rId14"/>
      <w:footerReference w:type="first" r:id="rId15"/>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F46A7" w14:textId="77777777" w:rsidR="00D96A52" w:rsidRDefault="00D96A52" w:rsidP="0034134D">
      <w:r>
        <w:separator/>
      </w:r>
    </w:p>
  </w:endnote>
  <w:endnote w:type="continuationSeparator" w:id="0">
    <w:p w14:paraId="44539FCB" w14:textId="77777777" w:rsidR="00D96A52" w:rsidRDefault="00D96A52" w:rsidP="0034134D">
      <w:r>
        <w:continuationSeparator/>
      </w:r>
    </w:p>
  </w:endnote>
  <w:endnote w:type="continuationNotice" w:id="1">
    <w:p w14:paraId="6B7FF002" w14:textId="77777777" w:rsidR="00D96A52" w:rsidRDefault="00D96A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Next Rounded">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0ECC" w14:textId="2382EFEF" w:rsidR="00964A34" w:rsidRDefault="00964A34">
    <w:pPr>
      <w:pStyle w:val="Footer"/>
      <w:rPr>
        <w:sz w:val="16"/>
        <w:szCs w:val="16"/>
        <w:lang w:val="en-GB"/>
      </w:rPr>
    </w:pPr>
    <w:r>
      <w:rPr>
        <w:noProof/>
        <w:sz w:val="16"/>
        <w:szCs w:val="16"/>
        <w:lang w:val="en-GB"/>
      </w:rPr>
      <w:drawing>
        <wp:inline distT="0" distB="0" distL="0" distR="0" wp14:anchorId="713B7006" wp14:editId="39607B05">
          <wp:extent cx="5396230" cy="40005"/>
          <wp:effectExtent l="0" t="0" r="0" b="0"/>
          <wp:docPr id="1772130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30351" name="Picture 1772130351"/>
                  <pic:cNvPicPr/>
                </pic:nvPicPr>
                <pic:blipFill>
                  <a:blip r:embed="rId1"/>
                  <a:stretch>
                    <a:fillRect/>
                  </a:stretch>
                </pic:blipFill>
                <pic:spPr>
                  <a:xfrm>
                    <a:off x="0" y="0"/>
                    <a:ext cx="5396230" cy="40005"/>
                  </a:xfrm>
                  <a:prstGeom prst="rect">
                    <a:avLst/>
                  </a:prstGeom>
                </pic:spPr>
              </pic:pic>
            </a:graphicData>
          </a:graphic>
        </wp:inline>
      </w:drawing>
    </w:r>
  </w:p>
  <w:p w14:paraId="68C483D9" w14:textId="77777777" w:rsidR="00316C2C" w:rsidRPr="00463A68" w:rsidRDefault="00316C2C">
    <w:pPr>
      <w:pStyle w:val="Footer"/>
      <w:rPr>
        <w:sz w:val="16"/>
        <w:szCs w:val="16"/>
        <w:lang w:val="en-GB"/>
      </w:rPr>
    </w:pPr>
    <w:r w:rsidRPr="00463A68">
      <w:rPr>
        <w:sz w:val="16"/>
        <w:szCs w:val="16"/>
        <w:lang w:val="en-GB"/>
      </w:rPr>
      <w:t xml:space="preserve">Queensland Human Rights Commission </w:t>
    </w:r>
    <w:r w:rsidR="00463A68" w:rsidRPr="00463A68">
      <w:rPr>
        <w:sz w:val="16"/>
        <w:szCs w:val="16"/>
        <w:lang w:val="en-GB"/>
      </w:rPr>
      <w:t>| www.qhrc.qld.gov.au</w:t>
    </w:r>
    <w:r w:rsidR="00463A68" w:rsidRPr="00463A68">
      <w:rPr>
        <w:sz w:val="16"/>
        <w:szCs w:val="16"/>
        <w:lang w:val="en-GB"/>
      </w:rPr>
      <w:tab/>
    </w:r>
    <w:r w:rsidR="00463A68">
      <w:rPr>
        <w:sz w:val="16"/>
        <w:szCs w:val="16"/>
        <w:lang w:val="en-GB"/>
      </w:rPr>
      <w:tab/>
    </w:r>
    <w:r w:rsidR="00463A68" w:rsidRPr="00463A68">
      <w:rPr>
        <w:sz w:val="16"/>
        <w:szCs w:val="16"/>
        <w:lang w:val="en-GB"/>
      </w:rPr>
      <w:fldChar w:fldCharType="begin"/>
    </w:r>
    <w:r w:rsidR="00463A68" w:rsidRPr="00463A68">
      <w:rPr>
        <w:sz w:val="16"/>
        <w:szCs w:val="16"/>
        <w:lang w:val="en-GB"/>
      </w:rPr>
      <w:instrText>PAGE   \* MERGEFORMAT</w:instrText>
    </w:r>
    <w:r w:rsidR="00463A68" w:rsidRPr="00463A68">
      <w:rPr>
        <w:sz w:val="16"/>
        <w:szCs w:val="16"/>
        <w:lang w:val="en-GB"/>
      </w:rPr>
      <w:fldChar w:fldCharType="separate"/>
    </w:r>
    <w:r w:rsidR="00463A68" w:rsidRPr="00463A68">
      <w:rPr>
        <w:sz w:val="16"/>
        <w:szCs w:val="16"/>
        <w:lang w:val="en-GB"/>
      </w:rPr>
      <w:t>1</w:t>
    </w:r>
    <w:r w:rsidR="00463A68" w:rsidRPr="00463A68">
      <w:rPr>
        <w:sz w:val="16"/>
        <w:szCs w:val="16"/>
        <w:lang w:val="en-GB"/>
      </w:rPr>
      <w:fldChar w:fldCharType="end"/>
    </w:r>
  </w:p>
  <w:p w14:paraId="4E10A9E1" w14:textId="77777777" w:rsidR="00EA56DC" w:rsidRDefault="00EA56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3422" w14:textId="77777777" w:rsidR="007C510E" w:rsidRDefault="007C510E" w:rsidP="000731D3">
    <w:pPr>
      <w:pStyle w:val="Footer"/>
      <w:pBdr>
        <w:top w:val="single" w:sz="4" w:space="1" w:color="auto"/>
      </w:pBdr>
      <w:jc w:val="right"/>
      <w:rPr>
        <w:rFonts w:cs="Arial"/>
        <w:sz w:val="20"/>
        <w:szCs w:val="20"/>
      </w:rPr>
    </w:pPr>
  </w:p>
  <w:p w14:paraId="6AEFEF70" w14:textId="77777777" w:rsidR="007C510E" w:rsidRPr="004A2375" w:rsidRDefault="007C510E"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CB0BBF">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A06AA" w14:textId="77777777" w:rsidR="00D96A52" w:rsidRDefault="00D96A52" w:rsidP="0034134D">
      <w:r>
        <w:separator/>
      </w:r>
    </w:p>
  </w:footnote>
  <w:footnote w:type="continuationSeparator" w:id="0">
    <w:p w14:paraId="16438459" w14:textId="77777777" w:rsidR="00D96A52" w:rsidRDefault="00D96A52" w:rsidP="0034134D">
      <w:r>
        <w:continuationSeparator/>
      </w:r>
    </w:p>
  </w:footnote>
  <w:footnote w:type="continuationNotice" w:id="1">
    <w:p w14:paraId="22172CBC" w14:textId="77777777" w:rsidR="00D96A52" w:rsidRDefault="00D96A52">
      <w:pPr>
        <w:spacing w:after="0"/>
      </w:pPr>
    </w:p>
  </w:footnote>
  <w:footnote w:id="2">
    <w:p w14:paraId="41F31B82" w14:textId="5BC0D336" w:rsidR="00537F9A" w:rsidRPr="00537F9A" w:rsidRDefault="00537F9A">
      <w:pPr>
        <w:pStyle w:val="FootnoteText"/>
      </w:pPr>
      <w:r>
        <w:rPr>
          <w:rStyle w:val="FootnoteReference"/>
        </w:rPr>
        <w:footnoteRef/>
      </w:r>
      <w:r w:rsidR="00B86A46" w:rsidRPr="00B86A46">
        <w:t xml:space="preserve"> </w:t>
      </w:r>
      <w:r w:rsidR="00B86A46" w:rsidRPr="007D34ED">
        <w:t xml:space="preserve">Review of the </w:t>
      </w:r>
      <w:r w:rsidR="00B86A46" w:rsidRPr="005B0CF4">
        <w:rPr>
          <w:i/>
        </w:rPr>
        <w:t>Anti-Discrimination Act 1991</w:t>
      </w:r>
      <w:r w:rsidR="00B86A46" w:rsidRPr="007D34ED">
        <w:t xml:space="preserve"> (Qld), Terms of Reference</w:t>
      </w:r>
      <w:r w:rsidR="007B2BB8">
        <w:t xml:space="preserve"> 2</w:t>
      </w:r>
      <w:r w:rsidR="00B86A46">
        <w:t>.</w:t>
      </w:r>
    </w:p>
  </w:footnote>
  <w:footnote w:id="3">
    <w:p w14:paraId="66EF9120" w14:textId="3EAEF113" w:rsidR="00D828CB" w:rsidRPr="00D828CB" w:rsidRDefault="00D828CB">
      <w:pPr>
        <w:pStyle w:val="FootnoteText"/>
      </w:pPr>
      <w:r>
        <w:rPr>
          <w:rStyle w:val="FootnoteReference"/>
        </w:rPr>
        <w:footnoteRef/>
      </w:r>
      <w:r>
        <w:t xml:space="preserve"> </w:t>
      </w:r>
      <w:r w:rsidR="00D327E4" w:rsidRPr="002B5FA1">
        <w:rPr>
          <w:i/>
          <w:iCs/>
        </w:rPr>
        <w:t>Building belonging: Review of Queensland’s Anti-Discrimination Act 1991</w:t>
      </w:r>
      <w:r w:rsidR="00D327E4" w:rsidRPr="002B5FA1">
        <w:t xml:space="preserve"> (Queensland Human Rights Commission, July 2022)</w:t>
      </w:r>
      <w:r w:rsidR="00D327E4">
        <w:t>.</w:t>
      </w:r>
    </w:p>
  </w:footnote>
  <w:footnote w:id="4">
    <w:p w14:paraId="04180471" w14:textId="1A5F4BDB" w:rsidR="00914B87" w:rsidRPr="00914B87" w:rsidRDefault="00914B87">
      <w:pPr>
        <w:pStyle w:val="FootnoteText"/>
      </w:pPr>
      <w:r>
        <w:rPr>
          <w:rStyle w:val="FootnoteReference"/>
        </w:rPr>
        <w:footnoteRef/>
      </w:r>
      <w:r>
        <w:t xml:space="preserve"> </w:t>
      </w:r>
      <w:r w:rsidR="007E3B29" w:rsidRPr="007D34ED">
        <w:t xml:space="preserve">Review of the </w:t>
      </w:r>
      <w:r w:rsidR="007E3B29" w:rsidRPr="005B0CF4">
        <w:rPr>
          <w:i/>
        </w:rPr>
        <w:t>Anti-Discrimination Act 1991</w:t>
      </w:r>
      <w:r w:rsidR="007E3B29" w:rsidRPr="007D34ED">
        <w:t xml:space="preserve"> (Qld), Terms of Reference</w:t>
      </w:r>
      <w:r w:rsidR="007E3B29">
        <w:t xml:space="preserve"> </w:t>
      </w:r>
      <w:r>
        <w:t>4</w:t>
      </w:r>
      <w:r w:rsidR="006E027C">
        <w:t>.</w:t>
      </w:r>
    </w:p>
  </w:footnote>
  <w:footnote w:id="5">
    <w:p w14:paraId="5C8DCD17" w14:textId="0127538A" w:rsidR="006E0E1B" w:rsidRPr="006E0E1B" w:rsidRDefault="006E0E1B">
      <w:pPr>
        <w:pStyle w:val="FootnoteText"/>
      </w:pPr>
      <w:r>
        <w:rPr>
          <w:rStyle w:val="FootnoteReference"/>
        </w:rPr>
        <w:footnoteRef/>
      </w:r>
      <w:r>
        <w:t xml:space="preserve"> </w:t>
      </w:r>
      <w:r w:rsidR="003B2890" w:rsidRPr="004209B4">
        <w:t>Anti-Discrimination Act 2024 Draft Bill (Qld)</w:t>
      </w:r>
      <w:r w:rsidR="003B2890">
        <w:t xml:space="preserve"> </w:t>
      </w:r>
      <w:r>
        <w:rPr>
          <w:shd w:val="clear" w:color="auto" w:fill="FFFFFF"/>
        </w:rPr>
        <w:t>cl 11</w:t>
      </w:r>
      <w:r w:rsidR="0040256D">
        <w:rPr>
          <w:shd w:val="clear" w:color="auto" w:fill="FFFFFF"/>
        </w:rPr>
        <w:t>.</w:t>
      </w:r>
    </w:p>
  </w:footnote>
  <w:footnote w:id="6">
    <w:p w14:paraId="5BC872CB" w14:textId="640DCB3F" w:rsidR="004209B4" w:rsidRPr="004209B4" w:rsidRDefault="004209B4">
      <w:pPr>
        <w:pStyle w:val="FootnoteText"/>
        <w:rPr>
          <w:lang w:val="en-GB"/>
        </w:rPr>
      </w:pPr>
      <w:r>
        <w:rPr>
          <w:rStyle w:val="FootnoteReference"/>
        </w:rPr>
        <w:footnoteRef/>
      </w:r>
      <w:r>
        <w:t xml:space="preserve"> </w:t>
      </w:r>
      <w:r w:rsidRPr="004209B4">
        <w:t>Anti-Discrimination Act 2024 Draft Bill (Qld)</w:t>
      </w:r>
      <w:r>
        <w:t xml:space="preserve"> cl 2.</w:t>
      </w:r>
    </w:p>
  </w:footnote>
  <w:footnote w:id="7">
    <w:p w14:paraId="51EB4A39" w14:textId="5D7C6850" w:rsidR="000672A2" w:rsidRPr="000672A2" w:rsidRDefault="000672A2">
      <w:pPr>
        <w:pStyle w:val="FootnoteText"/>
        <w:rPr>
          <w:lang w:val="en-GB"/>
        </w:rPr>
      </w:pPr>
      <w:r>
        <w:rPr>
          <w:rStyle w:val="FootnoteReference"/>
        </w:rPr>
        <w:footnoteRef/>
      </w:r>
      <w:r>
        <w:t xml:space="preserve"> </w:t>
      </w:r>
      <w:r w:rsidRPr="004209B4">
        <w:t>Anti-Discrimination Act 2024 Draft Bill (Qld)</w:t>
      </w:r>
      <w:r>
        <w:t xml:space="preserve"> </w:t>
      </w:r>
      <w:proofErr w:type="spellStart"/>
      <w:r>
        <w:t>cls</w:t>
      </w:r>
      <w:proofErr w:type="spellEnd"/>
      <w:r>
        <w:t xml:space="preserve"> 93 </w:t>
      </w:r>
      <w:r w:rsidR="009F4DD8">
        <w:t>-</w:t>
      </w:r>
      <w:r>
        <w:t xml:space="preserve"> 96</w:t>
      </w:r>
      <w:r w:rsidR="009F4DD8">
        <w:t>.</w:t>
      </w:r>
    </w:p>
  </w:footnote>
  <w:footnote w:id="8">
    <w:p w14:paraId="55D56CA9" w14:textId="1AECAFE1" w:rsidR="00916D84" w:rsidRPr="00916D84" w:rsidRDefault="00916D84">
      <w:pPr>
        <w:pStyle w:val="FootnoteText"/>
        <w:rPr>
          <w:lang w:val="en-GB"/>
        </w:rPr>
      </w:pPr>
      <w:r>
        <w:rPr>
          <w:rStyle w:val="FootnoteReference"/>
        </w:rPr>
        <w:footnoteRef/>
      </w:r>
      <w:r>
        <w:t xml:space="preserve"> </w:t>
      </w:r>
      <w:r>
        <w:rPr>
          <w:rStyle w:val="normaltextrun"/>
          <w:rFonts w:cs="Arial"/>
          <w:i/>
          <w:iCs/>
          <w:color w:val="000000"/>
          <w:szCs w:val="20"/>
          <w:shd w:val="clear" w:color="auto" w:fill="FFFFFF"/>
          <w:lang w:val="en-US"/>
        </w:rPr>
        <w:t>Oaks Hotels &amp; Resorts Limited v Knauer &amp; Ors </w:t>
      </w:r>
      <w:r>
        <w:rPr>
          <w:rStyle w:val="normaltextrun"/>
          <w:rFonts w:cs="Arial"/>
          <w:color w:val="000000"/>
          <w:szCs w:val="20"/>
          <w:shd w:val="clear" w:color="auto" w:fill="FFFFFF"/>
          <w:lang w:val="en-US"/>
        </w:rPr>
        <w:t>[2018] QCA 359.</w:t>
      </w:r>
      <w:r>
        <w:rPr>
          <w:rStyle w:val="eop"/>
          <w:rFonts w:cs="Arial"/>
          <w:color w:val="000000"/>
          <w:szCs w:val="20"/>
          <w:shd w:val="clear" w:color="auto" w:fill="FFFFFF"/>
        </w:rPr>
        <w:t> </w:t>
      </w:r>
    </w:p>
  </w:footnote>
  <w:footnote w:id="9">
    <w:p w14:paraId="2DB16214" w14:textId="5F33A7EC" w:rsidR="00AA120C" w:rsidRPr="00AA120C" w:rsidRDefault="00AA120C">
      <w:pPr>
        <w:pStyle w:val="FootnoteText"/>
        <w:rPr>
          <w:lang w:val="en-GB"/>
        </w:rPr>
      </w:pPr>
      <w:r>
        <w:rPr>
          <w:rStyle w:val="FootnoteReference"/>
        </w:rPr>
        <w:footnoteRef/>
      </w:r>
      <w:r>
        <w:t xml:space="preserve"> </w:t>
      </w:r>
      <w:r>
        <w:rPr>
          <w:rStyle w:val="normaltextrun"/>
          <w:rFonts w:cs="Arial"/>
          <w:i/>
          <w:iCs/>
          <w:color w:val="000000"/>
          <w:szCs w:val="20"/>
          <w:shd w:val="clear" w:color="auto" w:fill="FFFFFF"/>
          <w:lang w:val="en-US"/>
        </w:rPr>
        <w:t>JKL Limited v STU &amp; Ors </w:t>
      </w:r>
      <w:r>
        <w:rPr>
          <w:rStyle w:val="normaltextrun"/>
          <w:rFonts w:cs="Arial"/>
          <w:color w:val="000000"/>
          <w:szCs w:val="20"/>
          <w:shd w:val="clear" w:color="auto" w:fill="FFFFFF"/>
          <w:lang w:val="en-US"/>
        </w:rPr>
        <w:t>[2018] QCATA 29.</w:t>
      </w:r>
    </w:p>
  </w:footnote>
  <w:footnote w:id="10">
    <w:p w14:paraId="03C3CA8C" w14:textId="77777777" w:rsidR="00853DDE" w:rsidRPr="0093525D" w:rsidRDefault="00853DDE">
      <w:pPr>
        <w:pStyle w:val="FootnoteText"/>
      </w:pPr>
      <w:r>
        <w:rPr>
          <w:rStyle w:val="FootnoteReference"/>
        </w:rPr>
        <w:footnoteRef/>
      </w:r>
      <w:r>
        <w:t xml:space="preserve"> </w:t>
      </w:r>
      <w:r w:rsidR="00590CEF" w:rsidRPr="00590CEF">
        <w:rPr>
          <w:i/>
          <w:iCs/>
        </w:rPr>
        <w:t>Mt Isa Mines Limited v Hopper </w:t>
      </w:r>
      <w:r w:rsidR="00590CEF" w:rsidRPr="00590CEF">
        <w:t xml:space="preserve">[1999] 2 </w:t>
      </w:r>
      <w:proofErr w:type="spellStart"/>
      <w:r w:rsidR="00590CEF" w:rsidRPr="00590CEF">
        <w:t>Qd</w:t>
      </w:r>
      <w:proofErr w:type="spellEnd"/>
      <w:r w:rsidR="00590CEF" w:rsidRPr="00590CEF">
        <w:t xml:space="preserve"> R 496</w:t>
      </w:r>
      <w:r w:rsidR="0093525D">
        <w:t xml:space="preserve">; </w:t>
      </w:r>
      <w:r w:rsidR="00B4532A" w:rsidRPr="00B4532A">
        <w:rPr>
          <w:i/>
          <w:iCs/>
        </w:rPr>
        <w:t>Webb v State of Queensland </w:t>
      </w:r>
      <w:r w:rsidR="00B4532A" w:rsidRPr="00B4532A">
        <w:t>[2006] QADT 8</w:t>
      </w:r>
      <w:r w:rsidR="007D4FA0">
        <w:t xml:space="preserve">; </w:t>
      </w:r>
      <w:r w:rsidR="007D4FA0" w:rsidRPr="007D4FA0">
        <w:rPr>
          <w:i/>
          <w:iCs/>
        </w:rPr>
        <w:t>KW v BG Limited &amp; Ors </w:t>
      </w:r>
      <w:r w:rsidR="007D4FA0" w:rsidRPr="007D4FA0">
        <w:t>[2009] QADT 7</w:t>
      </w:r>
      <w:r w:rsidR="007D42DD">
        <w:t>.</w:t>
      </w:r>
    </w:p>
  </w:footnote>
  <w:footnote w:id="11">
    <w:p w14:paraId="4B3FB879" w14:textId="563E458A" w:rsidR="002A4F64" w:rsidRPr="002A4F64" w:rsidRDefault="002A4F64">
      <w:pPr>
        <w:pStyle w:val="FootnoteText"/>
      </w:pPr>
      <w:r>
        <w:rPr>
          <w:rStyle w:val="FootnoteReference"/>
        </w:rPr>
        <w:footnoteRef/>
      </w:r>
      <w:r>
        <w:t xml:space="preserve"> The </w:t>
      </w:r>
      <w:r w:rsidRPr="009F4DD8">
        <w:rPr>
          <w:i/>
        </w:rPr>
        <w:t>Disability Discrimination Act 1992</w:t>
      </w:r>
      <w:r>
        <w:t xml:space="preserve"> (</w:t>
      </w:r>
      <w:proofErr w:type="spellStart"/>
      <w:r>
        <w:t>Cth</w:t>
      </w:r>
      <w:proofErr w:type="spellEnd"/>
      <w:r>
        <w:t xml:space="preserve">) s 123(2), (4) requires the body to establish that they both took ‘reasonable precautions </w:t>
      </w:r>
      <w:r w:rsidRPr="00CA3D70">
        <w:rPr>
          <w:i/>
        </w:rPr>
        <w:t>and</w:t>
      </w:r>
      <w:r w:rsidRPr="009F4DD8">
        <w:rPr>
          <w:i/>
        </w:rPr>
        <w:t xml:space="preserve"> </w:t>
      </w:r>
      <w:r>
        <w:t xml:space="preserve">exercised due diligence’ (emphasis added) as does the </w:t>
      </w:r>
      <w:r w:rsidRPr="009F4DD8">
        <w:rPr>
          <w:i/>
        </w:rPr>
        <w:t>Age Discrimination Act 2004</w:t>
      </w:r>
      <w:r>
        <w:t xml:space="preserve"> (</w:t>
      </w:r>
      <w:proofErr w:type="spellStart"/>
      <w:r>
        <w:t>Cth</w:t>
      </w:r>
      <w:proofErr w:type="spellEnd"/>
      <w:r>
        <w:t>) ss 57(2), (4).</w:t>
      </w:r>
    </w:p>
  </w:footnote>
  <w:footnote w:id="12">
    <w:p w14:paraId="1181435C" w14:textId="4445FDE1" w:rsidR="00304F5E" w:rsidRPr="00304F5E" w:rsidRDefault="00304F5E">
      <w:pPr>
        <w:pStyle w:val="FootnoteText"/>
      </w:pPr>
      <w:r>
        <w:rPr>
          <w:rStyle w:val="FootnoteReference"/>
        </w:rPr>
        <w:footnoteRef/>
      </w:r>
      <w:r>
        <w:t xml:space="preserve"> </w:t>
      </w:r>
      <w:r w:rsidRPr="009F4DD8">
        <w:rPr>
          <w:i/>
        </w:rPr>
        <w:t>Anti-Discrimination Act 1998</w:t>
      </w:r>
      <w:r>
        <w:t xml:space="preserve"> (Tas) s 104(2)</w:t>
      </w:r>
    </w:p>
  </w:footnote>
  <w:footnote w:id="13">
    <w:p w14:paraId="1BD147BD" w14:textId="4B1161A7" w:rsidR="00304F5E" w:rsidRPr="00304F5E" w:rsidRDefault="00304F5E">
      <w:pPr>
        <w:pStyle w:val="FootnoteText"/>
      </w:pPr>
      <w:r>
        <w:rPr>
          <w:rStyle w:val="FootnoteReference"/>
        </w:rPr>
        <w:footnoteRef/>
      </w:r>
      <w:r>
        <w:t xml:space="preserve"> </w:t>
      </w:r>
      <w:r w:rsidRPr="009F4DD8">
        <w:rPr>
          <w:i/>
        </w:rPr>
        <w:t>Equal Opportunity Act 1984</w:t>
      </w:r>
      <w:r>
        <w:t xml:space="preserve"> (SA) s 91(2).</w:t>
      </w:r>
    </w:p>
  </w:footnote>
  <w:footnote w:id="14">
    <w:p w14:paraId="142F8105" w14:textId="18155E88" w:rsidR="00594025" w:rsidRPr="00594025" w:rsidRDefault="00594025">
      <w:pPr>
        <w:pStyle w:val="FootnoteText"/>
      </w:pPr>
      <w:r>
        <w:rPr>
          <w:rStyle w:val="FootnoteReference"/>
        </w:rPr>
        <w:footnoteRef/>
      </w:r>
      <w:r>
        <w:t xml:space="preserve"> </w:t>
      </w:r>
      <w:r w:rsidRPr="009F4DD8">
        <w:rPr>
          <w:i/>
        </w:rPr>
        <w:t>Anti-Discrimination Act 1977</w:t>
      </w:r>
      <w:r>
        <w:t xml:space="preserve"> (NSW) s 53(3), the </w:t>
      </w:r>
      <w:r w:rsidRPr="009F4DD8">
        <w:rPr>
          <w:i/>
        </w:rPr>
        <w:t>Equal Opportunity Act 1984</w:t>
      </w:r>
      <w:r>
        <w:t xml:space="preserve"> (WA) s 161(2), the </w:t>
      </w:r>
      <w:r w:rsidRPr="009F4DD8">
        <w:rPr>
          <w:i/>
          <w:iCs/>
        </w:rPr>
        <w:t>Ant</w:t>
      </w:r>
      <w:r>
        <w:rPr>
          <w:i/>
          <w:iCs/>
        </w:rPr>
        <w:t>i</w:t>
      </w:r>
      <w:r w:rsidRPr="009F4DD8">
        <w:rPr>
          <w:i/>
        </w:rPr>
        <w:t>-Discrimination Act 1992</w:t>
      </w:r>
      <w:r>
        <w:t xml:space="preserve"> (NT) s 105(2), the </w:t>
      </w:r>
      <w:r w:rsidRPr="009F4DD8">
        <w:rPr>
          <w:i/>
        </w:rPr>
        <w:t>Discrimination Act 1991</w:t>
      </w:r>
      <w:r>
        <w:t xml:space="preserve"> (ACT) s 121</w:t>
      </w:r>
      <w:proofErr w:type="gramStart"/>
      <w:r>
        <w:t>A(</w:t>
      </w:r>
      <w:proofErr w:type="gramEnd"/>
      <w:r>
        <w:t xml:space="preserve">3), the </w:t>
      </w:r>
      <w:r w:rsidRPr="009F4DD8">
        <w:rPr>
          <w:i/>
          <w:iCs/>
        </w:rPr>
        <w:t>Racial Discrimination Act 1975</w:t>
      </w:r>
      <w:r>
        <w:t xml:space="preserve"> (</w:t>
      </w:r>
      <w:proofErr w:type="spellStart"/>
      <w:r>
        <w:t>Cth</w:t>
      </w:r>
      <w:proofErr w:type="spellEnd"/>
      <w:r>
        <w:t xml:space="preserve">) ss 18A(2), 18E(2), and the </w:t>
      </w:r>
      <w:r w:rsidRPr="009F4DD8">
        <w:rPr>
          <w:i/>
        </w:rPr>
        <w:t>Sex Discrimination Act 1984</w:t>
      </w:r>
      <w:r>
        <w:t xml:space="preserve"> (</w:t>
      </w:r>
      <w:proofErr w:type="spellStart"/>
      <w:r>
        <w:t>Cth</w:t>
      </w:r>
      <w:proofErr w:type="spellEnd"/>
      <w:r>
        <w:t>) s 106(2).</w:t>
      </w:r>
    </w:p>
  </w:footnote>
  <w:footnote w:id="15">
    <w:p w14:paraId="756B1111" w14:textId="7A72906C" w:rsidR="002C4040" w:rsidRPr="002C4040" w:rsidRDefault="002C4040">
      <w:pPr>
        <w:pStyle w:val="FootnoteText"/>
      </w:pPr>
      <w:r>
        <w:rPr>
          <w:rStyle w:val="FootnoteReference"/>
        </w:rPr>
        <w:footnoteRef/>
      </w:r>
      <w:r>
        <w:t xml:space="preserve"> The </w:t>
      </w:r>
      <w:r w:rsidRPr="003B18D5">
        <w:rPr>
          <w:i/>
        </w:rPr>
        <w:t>Equal Opportunity Act 2010</w:t>
      </w:r>
      <w:r>
        <w:t xml:space="preserve"> (Vic) s 110.</w:t>
      </w:r>
    </w:p>
  </w:footnote>
  <w:footnote w:id="16">
    <w:p w14:paraId="400C0855" w14:textId="4DE36DDC" w:rsidR="00A156FE" w:rsidRPr="00A156FE" w:rsidRDefault="00A156FE">
      <w:pPr>
        <w:pStyle w:val="FootnoteText"/>
      </w:pPr>
      <w:r>
        <w:rPr>
          <w:rStyle w:val="FootnoteReference"/>
        </w:rPr>
        <w:footnoteRef/>
      </w:r>
      <w:r>
        <w:t xml:space="preserve"> Anti-Discrimination Act 2024 Draft Bill (Qld) cl </w:t>
      </w:r>
      <w:r w:rsidR="00B65AD6">
        <w:t>96(3).</w:t>
      </w:r>
    </w:p>
  </w:footnote>
  <w:footnote w:id="17">
    <w:p w14:paraId="07147757" w14:textId="00420D2F" w:rsidR="00A951D4" w:rsidRPr="00A951D4" w:rsidRDefault="00A951D4">
      <w:pPr>
        <w:pStyle w:val="FootnoteText"/>
      </w:pPr>
      <w:r>
        <w:rPr>
          <w:rStyle w:val="FootnoteReference"/>
        </w:rPr>
        <w:footnoteRef/>
      </w:r>
      <w:r>
        <w:t xml:space="preserve"> </w:t>
      </w:r>
      <w:r w:rsidR="006C448D">
        <w:t>Anti-Discrimination</w:t>
      </w:r>
      <w:r w:rsidR="00C30E02">
        <w:t xml:space="preserve"> Act 2024 Draft Bill (Qld) </w:t>
      </w:r>
      <w:proofErr w:type="spellStart"/>
      <w:r w:rsidR="00C30E02">
        <w:t>c</w:t>
      </w:r>
      <w:r w:rsidR="00A15C29">
        <w:t>l</w:t>
      </w:r>
      <w:r w:rsidR="000572BE">
        <w:t>s</w:t>
      </w:r>
      <w:proofErr w:type="spellEnd"/>
      <w:r w:rsidR="00A15C29">
        <w:t xml:space="preserve"> 13(2)</w:t>
      </w:r>
      <w:r w:rsidR="000572BE">
        <w:t>-(3).</w:t>
      </w:r>
    </w:p>
  </w:footnote>
  <w:footnote w:id="18">
    <w:p w14:paraId="27F40896" w14:textId="717E8A8D" w:rsidR="004D31A4" w:rsidRPr="004D31A4" w:rsidRDefault="004D31A4">
      <w:pPr>
        <w:pStyle w:val="FootnoteText"/>
      </w:pPr>
      <w:r>
        <w:rPr>
          <w:rStyle w:val="FootnoteReference"/>
        </w:rPr>
        <w:footnoteRef/>
      </w:r>
      <w:r>
        <w:t xml:space="preserve"> </w:t>
      </w:r>
      <w:r w:rsidR="00060336">
        <w:t xml:space="preserve">Anti-Discrimination Act 2024 Draft Bill (Qld) </w:t>
      </w:r>
      <w:r w:rsidR="00625518">
        <w:t>c</w:t>
      </w:r>
      <w:r w:rsidR="006037E4">
        <w:t>l</w:t>
      </w:r>
      <w:r>
        <w:t xml:space="preserve"> 79(b)(</w:t>
      </w:r>
      <w:proofErr w:type="spellStart"/>
      <w:r>
        <w:t>i</w:t>
      </w:r>
      <w:proofErr w:type="spellEnd"/>
      <w:r>
        <w:t>).</w:t>
      </w:r>
    </w:p>
  </w:footnote>
  <w:footnote w:id="19">
    <w:p w14:paraId="3FFC2057" w14:textId="44EB2DAF" w:rsidR="00EE49A0" w:rsidRPr="00387F97" w:rsidRDefault="00EE49A0" w:rsidP="00EE49A0">
      <w:pPr>
        <w:pStyle w:val="FootnoteText"/>
        <w:rPr>
          <w:lang w:val="en-GB"/>
        </w:rPr>
      </w:pPr>
      <w:r>
        <w:rPr>
          <w:rStyle w:val="FootnoteReference"/>
        </w:rPr>
        <w:footnoteRef/>
      </w:r>
      <w:r>
        <w:t xml:space="preserve"> </w:t>
      </w:r>
      <w:r>
        <w:rPr>
          <w:lang w:val="en-GB"/>
        </w:rPr>
        <w:t xml:space="preserve">Clause 56 also narrows the exception in some ways, including by removing compliance with </w:t>
      </w:r>
      <w:r w:rsidR="00C6670E">
        <w:rPr>
          <w:lang w:val="en-GB"/>
        </w:rPr>
        <w:t xml:space="preserve">an existing </w:t>
      </w:r>
      <w:r>
        <w:rPr>
          <w:lang w:val="en-GB"/>
        </w:rPr>
        <w:t>provision o</w:t>
      </w:r>
      <w:r w:rsidR="00E253C8">
        <w:rPr>
          <w:lang w:val="en-GB"/>
        </w:rPr>
        <w:t>f</w:t>
      </w:r>
      <w:r>
        <w:rPr>
          <w:lang w:val="en-GB"/>
        </w:rPr>
        <w:t xml:space="preserve"> an industrial agreement under the repealed </w:t>
      </w:r>
      <w:r w:rsidRPr="006703DF">
        <w:rPr>
          <w:i/>
          <w:lang w:val="en-GB"/>
        </w:rPr>
        <w:t>Industrial Relations Act</w:t>
      </w:r>
      <w:r w:rsidR="004272EC" w:rsidRPr="006703DF">
        <w:rPr>
          <w:i/>
          <w:lang w:val="en-GB"/>
        </w:rPr>
        <w:t xml:space="preserve"> 1999</w:t>
      </w:r>
      <w:r w:rsidR="004F40FF">
        <w:rPr>
          <w:lang w:val="en-GB"/>
        </w:rPr>
        <w:t xml:space="preserve"> (Qld)</w:t>
      </w:r>
      <w:r>
        <w:rPr>
          <w:lang w:val="en-GB"/>
        </w:rPr>
        <w:t>.</w:t>
      </w:r>
    </w:p>
  </w:footnote>
  <w:footnote w:id="20">
    <w:p w14:paraId="36D8B196" w14:textId="484823BA" w:rsidR="002B368B" w:rsidRPr="002B368B" w:rsidRDefault="002B368B">
      <w:pPr>
        <w:pStyle w:val="FootnoteText"/>
        <w:rPr>
          <w:lang w:val="en-GB"/>
        </w:rPr>
      </w:pPr>
      <w:r>
        <w:rPr>
          <w:rStyle w:val="FootnoteReference"/>
        </w:rPr>
        <w:footnoteRef/>
      </w:r>
      <w:r>
        <w:t xml:space="preserve"> </w:t>
      </w:r>
      <w:r>
        <w:rPr>
          <w:lang w:val="en-GB"/>
        </w:rPr>
        <w:t>Section 106 of the Anti-Discrimination Act refers to</w:t>
      </w:r>
      <w:r w:rsidR="00607D6F">
        <w:rPr>
          <w:lang w:val="en-GB"/>
        </w:rPr>
        <w:t xml:space="preserve"> acts necessary to comply with or specifically authorised by</w:t>
      </w:r>
      <w:r>
        <w:rPr>
          <w:lang w:val="en-GB"/>
        </w:rPr>
        <w:t xml:space="preserve"> another ‘Act’, and ‘Act’ is defined in the </w:t>
      </w:r>
      <w:r>
        <w:rPr>
          <w:i/>
          <w:iCs/>
          <w:lang w:val="en-GB"/>
        </w:rPr>
        <w:t>Acts Interpretation Act 1954</w:t>
      </w:r>
      <w:r>
        <w:rPr>
          <w:lang w:val="en-GB"/>
        </w:rPr>
        <w:t xml:space="preserve"> (Qld)</w:t>
      </w:r>
      <w:r w:rsidR="00B625F6">
        <w:rPr>
          <w:lang w:val="en-GB"/>
        </w:rPr>
        <w:t xml:space="preserve"> s 6,</w:t>
      </w:r>
      <w:r>
        <w:rPr>
          <w:lang w:val="en-GB"/>
        </w:rPr>
        <w:t xml:space="preserve"> to mean </w:t>
      </w:r>
      <w:r w:rsidR="006F7C1C">
        <w:rPr>
          <w:lang w:val="en-GB"/>
        </w:rPr>
        <w:t>‘</w:t>
      </w:r>
      <w:r w:rsidR="00D35113">
        <w:rPr>
          <w:lang w:val="en-GB"/>
        </w:rPr>
        <w:t>an Act of the Queensland Parliament</w:t>
      </w:r>
      <w:r w:rsidR="006F7C1C">
        <w:rPr>
          <w:lang w:val="en-GB"/>
        </w:rPr>
        <w:t>’</w:t>
      </w:r>
      <w:r w:rsidR="00B625F6">
        <w:rPr>
          <w:lang w:val="en-GB"/>
        </w:rPr>
        <w:t>.</w:t>
      </w:r>
    </w:p>
  </w:footnote>
  <w:footnote w:id="21">
    <w:p w14:paraId="04D75467" w14:textId="77B3EAEA" w:rsidR="00E145FA" w:rsidRPr="00BC1F7C" w:rsidRDefault="00E145FA" w:rsidP="00E145FA">
      <w:pPr>
        <w:pStyle w:val="FootnoteText"/>
        <w:rPr>
          <w:lang w:val="en-GB"/>
        </w:rPr>
      </w:pPr>
      <w:r>
        <w:rPr>
          <w:rStyle w:val="FootnoteReference"/>
        </w:rPr>
        <w:footnoteRef/>
      </w:r>
      <w:r>
        <w:t xml:space="preserve"> See, </w:t>
      </w:r>
      <w:r w:rsidR="00022978">
        <w:t>for example</w:t>
      </w:r>
      <w:r>
        <w:t xml:space="preserve">, </w:t>
      </w:r>
      <w:r>
        <w:rPr>
          <w:i/>
          <w:iCs/>
        </w:rPr>
        <w:t>State of Queensland v Attrill</w:t>
      </w:r>
      <w:r>
        <w:t xml:space="preserve"> [2012] QCA 299, [</w:t>
      </w:r>
      <w:r w:rsidR="0085470B">
        <w:t>29</w:t>
      </w:r>
      <w:r>
        <w:t>]</w:t>
      </w:r>
      <w:r w:rsidR="00A21609">
        <w:t xml:space="preserve"> and </w:t>
      </w:r>
      <w:r w:rsidR="008C7CFD">
        <w:t xml:space="preserve">Neil </w:t>
      </w:r>
      <w:r w:rsidRPr="00906A09">
        <w:t xml:space="preserve">Rees, </w:t>
      </w:r>
      <w:r w:rsidR="008C7CFD" w:rsidRPr="00906A09">
        <w:t xml:space="preserve">Simon </w:t>
      </w:r>
      <w:r w:rsidRPr="00906A09">
        <w:t xml:space="preserve">Rice and </w:t>
      </w:r>
      <w:r w:rsidR="008C7CFD" w:rsidRPr="00906A09">
        <w:t xml:space="preserve">Dominique </w:t>
      </w:r>
      <w:r w:rsidRPr="00906A09">
        <w:t>Allen</w:t>
      </w:r>
      <w:r w:rsidR="00ED58E1">
        <w:t xml:space="preserve">, </w:t>
      </w:r>
      <w:r w:rsidR="008C7CFD">
        <w:rPr>
          <w:i/>
          <w:iCs/>
        </w:rPr>
        <w:t>Australian anti-</w:t>
      </w:r>
      <w:proofErr w:type="gramStart"/>
      <w:r w:rsidR="008C7CFD">
        <w:rPr>
          <w:i/>
          <w:iCs/>
        </w:rPr>
        <w:t>discrimination</w:t>
      </w:r>
      <w:proofErr w:type="gramEnd"/>
      <w:r w:rsidR="008C7CFD">
        <w:rPr>
          <w:i/>
          <w:iCs/>
        </w:rPr>
        <w:t xml:space="preserve"> and equal opportunity law</w:t>
      </w:r>
      <w:r w:rsidR="008C7CFD">
        <w:t xml:space="preserve"> (</w:t>
      </w:r>
      <w:r w:rsidR="0019484B">
        <w:t>Federation Press,</w:t>
      </w:r>
      <w:r w:rsidR="00E42D8B">
        <w:t xml:space="preserve"> </w:t>
      </w:r>
      <w:r w:rsidR="00906A09">
        <w:t>3</w:t>
      </w:r>
      <w:r w:rsidR="00906A09" w:rsidRPr="00906A09">
        <w:rPr>
          <w:vertAlign w:val="superscript"/>
        </w:rPr>
        <w:t>rd</w:t>
      </w:r>
      <w:r w:rsidR="00906A09">
        <w:t xml:space="preserve"> ed, 2018)</w:t>
      </w:r>
      <w:r>
        <w:t>, [15.10.8].</w:t>
      </w:r>
    </w:p>
  </w:footnote>
  <w:footnote w:id="22">
    <w:p w14:paraId="0994DEC3" w14:textId="677292C6" w:rsidR="00306FB9" w:rsidRPr="00D055D6" w:rsidRDefault="00306FB9">
      <w:pPr>
        <w:pStyle w:val="FootnoteText"/>
      </w:pPr>
      <w:r>
        <w:rPr>
          <w:rStyle w:val="FootnoteReference"/>
        </w:rPr>
        <w:footnoteRef/>
      </w:r>
      <w:r>
        <w:t xml:space="preserve"> </w:t>
      </w:r>
      <w:r w:rsidR="00CF54C8">
        <w:t xml:space="preserve">South Australia and </w:t>
      </w:r>
      <w:r>
        <w:rPr>
          <w:lang w:val="en-GB"/>
        </w:rPr>
        <w:t>Western Australia do not have an exception for compliance with laws</w:t>
      </w:r>
      <w:r w:rsidR="00CF54C8">
        <w:rPr>
          <w:lang w:val="en-GB"/>
        </w:rPr>
        <w:t>. T</w:t>
      </w:r>
      <w:r>
        <w:rPr>
          <w:lang w:val="en-GB"/>
        </w:rPr>
        <w:t>he WA Law Reform Commission recently examined the issue</w:t>
      </w:r>
      <w:r w:rsidR="00CF54C8">
        <w:rPr>
          <w:lang w:val="en-GB"/>
        </w:rPr>
        <w:t xml:space="preserve"> and</w:t>
      </w:r>
      <w:r>
        <w:rPr>
          <w:lang w:val="en-GB"/>
        </w:rPr>
        <w:t xml:space="preserve"> </w:t>
      </w:r>
      <w:r w:rsidR="00815CF5">
        <w:t xml:space="preserve">concluded that there was no reason to reinstate </w:t>
      </w:r>
      <w:r w:rsidR="00CF54C8">
        <w:t xml:space="preserve">a </w:t>
      </w:r>
      <w:proofErr w:type="gramStart"/>
      <w:r w:rsidR="00CF54C8">
        <w:t>previously-existing</w:t>
      </w:r>
      <w:proofErr w:type="gramEnd"/>
      <w:r w:rsidR="00CF54C8">
        <w:t xml:space="preserve"> exception</w:t>
      </w:r>
      <w:r w:rsidR="00815CF5">
        <w:t>. It also noted that ‘Law Reform bodies in the ACT, Victoria and NSW have recommended the repeal or amendment of similar provisions that provide an exception for acts done to comply with the requirements of another law’</w:t>
      </w:r>
      <w:r w:rsidR="00D055D6">
        <w:t xml:space="preserve">: WA Law Reform Commission, </w:t>
      </w:r>
      <w:r w:rsidR="00D055D6">
        <w:rPr>
          <w:i/>
          <w:iCs/>
        </w:rPr>
        <w:t xml:space="preserve">Review of the Equal Opportunity </w:t>
      </w:r>
      <w:r w:rsidR="00D055D6" w:rsidRPr="0091761F">
        <w:rPr>
          <w:i/>
          <w:iCs/>
        </w:rPr>
        <w:t>Act 1984</w:t>
      </w:r>
      <w:r w:rsidR="00D055D6">
        <w:t xml:space="preserve"> (WA) (May 2022: Final Report) 158</w:t>
      </w:r>
      <w:r w:rsidR="00D055D6" w:rsidRPr="00345198">
        <w:t>.</w:t>
      </w:r>
    </w:p>
  </w:footnote>
  <w:footnote w:id="23">
    <w:p w14:paraId="08895B5B" w14:textId="0231EF68" w:rsidR="001B0687" w:rsidRPr="001B0687" w:rsidRDefault="001B0687">
      <w:pPr>
        <w:pStyle w:val="FootnoteText"/>
        <w:rPr>
          <w:lang w:val="en-GB"/>
        </w:rPr>
      </w:pPr>
      <w:r>
        <w:rPr>
          <w:rStyle w:val="FootnoteReference"/>
        </w:rPr>
        <w:footnoteRef/>
      </w:r>
      <w:r>
        <w:t xml:space="preserve"> </w:t>
      </w:r>
      <w:r w:rsidR="003C3BDA">
        <w:t xml:space="preserve">Department of Justice and Attorney-General (Qld), </w:t>
      </w:r>
      <w:r w:rsidR="003C3BDA" w:rsidRPr="000055D2">
        <w:rPr>
          <w:i/>
          <w:iCs/>
        </w:rPr>
        <w:t>Consultation Guide: Anti-Discrimination Bill 2024 (Exposure Draft)</w:t>
      </w:r>
      <w:r w:rsidR="003C3BDA">
        <w:t xml:space="preserve"> February 2024, </w:t>
      </w:r>
      <w:r w:rsidR="00A3786C">
        <w:rPr>
          <w:lang w:val="en-GB"/>
        </w:rPr>
        <w:t>30.</w:t>
      </w:r>
    </w:p>
  </w:footnote>
  <w:footnote w:id="24">
    <w:p w14:paraId="1C0E2531" w14:textId="32DEF8B5" w:rsidR="004F4761" w:rsidRPr="00CA14C6" w:rsidRDefault="004F4761">
      <w:pPr>
        <w:pStyle w:val="FootnoteText"/>
        <w:rPr>
          <w:lang w:val="en-GB"/>
        </w:rPr>
      </w:pPr>
      <w:r>
        <w:rPr>
          <w:rStyle w:val="FootnoteReference"/>
        </w:rPr>
        <w:footnoteRef/>
      </w:r>
      <w:r>
        <w:t xml:space="preserve"> </w:t>
      </w:r>
      <w:r>
        <w:rPr>
          <w:lang w:val="en-GB"/>
        </w:rPr>
        <w:t xml:space="preserve">This is the approach taken in a number of Commonwealth laws, including </w:t>
      </w:r>
      <w:r w:rsidR="001A01E9">
        <w:rPr>
          <w:lang w:val="en-GB"/>
        </w:rPr>
        <w:t xml:space="preserve">the </w:t>
      </w:r>
      <w:r w:rsidR="001A01E9">
        <w:rPr>
          <w:i/>
          <w:iCs/>
          <w:lang w:val="en-GB"/>
        </w:rPr>
        <w:t>Sex Discrimination Act 1984</w:t>
      </w:r>
      <w:r w:rsidR="001F5E31">
        <w:rPr>
          <w:lang w:val="en-GB"/>
        </w:rPr>
        <w:t xml:space="preserve"> (</w:t>
      </w:r>
      <w:proofErr w:type="spellStart"/>
      <w:r w:rsidR="001F5E31">
        <w:rPr>
          <w:lang w:val="en-GB"/>
        </w:rPr>
        <w:t>Cth</w:t>
      </w:r>
      <w:proofErr w:type="spellEnd"/>
      <w:r w:rsidR="001F5E31">
        <w:rPr>
          <w:lang w:val="en-GB"/>
        </w:rPr>
        <w:t>)</w:t>
      </w:r>
      <w:r w:rsidR="001A01E9">
        <w:rPr>
          <w:lang w:val="en-GB"/>
        </w:rPr>
        <w:t xml:space="preserve"> s </w:t>
      </w:r>
      <w:r w:rsidR="006F5E6B">
        <w:rPr>
          <w:lang w:val="en-GB"/>
        </w:rPr>
        <w:t>40(2)</w:t>
      </w:r>
      <w:r w:rsidR="001F5E31">
        <w:rPr>
          <w:lang w:val="en-GB"/>
        </w:rPr>
        <w:t xml:space="preserve">; </w:t>
      </w:r>
      <w:r w:rsidR="001F5E31">
        <w:rPr>
          <w:i/>
          <w:iCs/>
          <w:lang w:val="en-GB"/>
        </w:rPr>
        <w:t>Disability Discrimination Act</w:t>
      </w:r>
      <w:r w:rsidR="001F5E31">
        <w:rPr>
          <w:lang w:val="en-GB"/>
        </w:rPr>
        <w:t xml:space="preserve"> </w:t>
      </w:r>
      <w:r w:rsidR="00E835CC">
        <w:rPr>
          <w:i/>
          <w:iCs/>
          <w:lang w:val="en-GB"/>
        </w:rPr>
        <w:t>1992</w:t>
      </w:r>
      <w:r w:rsidR="00E835CC">
        <w:rPr>
          <w:lang w:val="en-GB"/>
        </w:rPr>
        <w:t xml:space="preserve"> (</w:t>
      </w:r>
      <w:proofErr w:type="spellStart"/>
      <w:r w:rsidR="00E835CC">
        <w:rPr>
          <w:lang w:val="en-GB"/>
        </w:rPr>
        <w:t>Cth</w:t>
      </w:r>
      <w:proofErr w:type="spellEnd"/>
      <w:r w:rsidR="00E835CC">
        <w:rPr>
          <w:lang w:val="en-GB"/>
        </w:rPr>
        <w:t xml:space="preserve">) s </w:t>
      </w:r>
      <w:r w:rsidR="00BE4891">
        <w:rPr>
          <w:lang w:val="en-GB"/>
        </w:rPr>
        <w:t>47(2)</w:t>
      </w:r>
      <w:r w:rsidR="00707066">
        <w:rPr>
          <w:lang w:val="en-GB"/>
        </w:rPr>
        <w:t xml:space="preserve">; </w:t>
      </w:r>
      <w:r w:rsidR="00CA14C6">
        <w:rPr>
          <w:i/>
          <w:iCs/>
          <w:lang w:val="en-GB"/>
        </w:rPr>
        <w:t>Age Discrimination Act 2004</w:t>
      </w:r>
      <w:r w:rsidR="00CA14C6">
        <w:rPr>
          <w:lang w:val="en-GB"/>
        </w:rPr>
        <w:t xml:space="preserve"> (</w:t>
      </w:r>
      <w:proofErr w:type="spellStart"/>
      <w:r w:rsidR="00CA14C6">
        <w:rPr>
          <w:lang w:val="en-GB"/>
        </w:rPr>
        <w:t>Cth</w:t>
      </w:r>
      <w:proofErr w:type="spellEnd"/>
      <w:r w:rsidR="00CA14C6">
        <w:rPr>
          <w:lang w:val="en-GB"/>
        </w:rPr>
        <w:t>) s</w:t>
      </w:r>
      <w:r w:rsidR="0041017D">
        <w:rPr>
          <w:lang w:val="en-GB"/>
        </w:rPr>
        <w:t>s (</w:t>
      </w:r>
      <w:proofErr w:type="gramStart"/>
      <w:r w:rsidR="0041017D">
        <w:rPr>
          <w:lang w:val="en-GB"/>
        </w:rPr>
        <w:t>1)-(</w:t>
      </w:r>
      <w:proofErr w:type="gramEnd"/>
      <w:r w:rsidR="0041017D">
        <w:rPr>
          <w:lang w:val="en-GB"/>
        </w:rPr>
        <w:t>1A).</w:t>
      </w:r>
    </w:p>
  </w:footnote>
  <w:footnote w:id="25">
    <w:p w14:paraId="45D0752E" w14:textId="4085DD95" w:rsidR="004862F7" w:rsidRPr="0054752F" w:rsidRDefault="004862F7" w:rsidP="004862F7">
      <w:pPr>
        <w:pStyle w:val="FootnoteText"/>
        <w:rPr>
          <w:lang w:val="en-GB"/>
        </w:rPr>
      </w:pPr>
      <w:r>
        <w:rPr>
          <w:rStyle w:val="FootnoteReference"/>
        </w:rPr>
        <w:footnoteRef/>
      </w:r>
      <w:r>
        <w:t xml:space="preserve"> The words ‘in direct compliance with’ and analogous phrases such as ‘necessary to comply with’ have been interpreted narrowly in this way: </w:t>
      </w:r>
      <w:r>
        <w:rPr>
          <w:i/>
          <w:iCs/>
        </w:rPr>
        <w:t xml:space="preserve">Waters v Public Transport Commission </w:t>
      </w:r>
      <w:r>
        <w:t xml:space="preserve">(1991) 173 CLR 349, </w:t>
      </w:r>
      <w:r w:rsidR="00433429">
        <w:t>369-370</w:t>
      </w:r>
      <w:r w:rsidR="004B295E">
        <w:t xml:space="preserve"> (</w:t>
      </w:r>
      <w:r w:rsidR="003B4C26">
        <w:t xml:space="preserve">Mason CJ and </w:t>
      </w:r>
      <w:proofErr w:type="spellStart"/>
      <w:r w:rsidR="003B4C26">
        <w:t>Gaudron</w:t>
      </w:r>
      <w:proofErr w:type="spellEnd"/>
      <w:r w:rsidR="003B4C26">
        <w:t xml:space="preserve"> J)</w:t>
      </w:r>
      <w:r w:rsidR="004B295E">
        <w:t>, 413 (McHugh J)</w:t>
      </w:r>
      <w:r>
        <w:t xml:space="preserve">; </w:t>
      </w:r>
      <w:r w:rsidR="003E0BEA">
        <w:t>Neil</w:t>
      </w:r>
      <w:r>
        <w:t xml:space="preserve"> </w:t>
      </w:r>
      <w:r w:rsidRPr="00906A09">
        <w:t xml:space="preserve">Rees, </w:t>
      </w:r>
      <w:r w:rsidR="003E0BEA" w:rsidRPr="00906A09">
        <w:t xml:space="preserve">Simon </w:t>
      </w:r>
      <w:r w:rsidRPr="00906A09">
        <w:t xml:space="preserve">Rice and </w:t>
      </w:r>
      <w:r w:rsidR="003E0BEA" w:rsidRPr="00906A09">
        <w:t xml:space="preserve">Dominique </w:t>
      </w:r>
      <w:r w:rsidRPr="00906A09">
        <w:t>Allen</w:t>
      </w:r>
      <w:r w:rsidR="003E0BEA">
        <w:t xml:space="preserve">, </w:t>
      </w:r>
      <w:r w:rsidR="003E0BEA">
        <w:rPr>
          <w:i/>
          <w:iCs/>
        </w:rPr>
        <w:t>Australian anti-discrimination and equal opportunity law</w:t>
      </w:r>
      <w:r w:rsidR="003E0BEA">
        <w:t xml:space="preserve"> (</w:t>
      </w:r>
      <w:r w:rsidR="002A209C">
        <w:t>Federation Press</w:t>
      </w:r>
      <w:r w:rsidR="00417142">
        <w:t>,</w:t>
      </w:r>
      <w:r w:rsidR="002A209C">
        <w:t xml:space="preserve"> </w:t>
      </w:r>
      <w:r w:rsidR="003E0BEA">
        <w:t>3</w:t>
      </w:r>
      <w:r w:rsidR="003E0BEA" w:rsidRPr="00906A09">
        <w:rPr>
          <w:vertAlign w:val="superscript"/>
        </w:rPr>
        <w:t>rd</w:t>
      </w:r>
      <w:r w:rsidR="003E0BEA">
        <w:t xml:space="preserve"> ed, 2018) </w:t>
      </w:r>
      <w:r>
        <w:t>[</w:t>
      </w:r>
      <w:r w:rsidR="00883A53">
        <w:t>15.10.26</w:t>
      </w:r>
      <w:r>
        <w:t>]</w:t>
      </w:r>
      <w:proofErr w:type="gramStart"/>
      <w:r w:rsidR="00883A53">
        <w:t>–</w:t>
      </w:r>
      <w:r w:rsidR="00B8535C">
        <w:t>[</w:t>
      </w:r>
      <w:proofErr w:type="gramEnd"/>
      <w:r w:rsidR="00AD7BDF">
        <w:t>15.10.30</w:t>
      </w:r>
      <w:r>
        <w:t>].</w:t>
      </w:r>
    </w:p>
  </w:footnote>
  <w:footnote w:id="26">
    <w:p w14:paraId="692C43AB" w14:textId="5F6EE24F" w:rsidR="004862F7" w:rsidRDefault="004862F7" w:rsidP="004862F7">
      <w:pPr>
        <w:pStyle w:val="FootnoteText"/>
      </w:pPr>
      <w:r>
        <w:rPr>
          <w:rStyle w:val="FootnoteReference"/>
        </w:rPr>
        <w:footnoteRef/>
      </w:r>
      <w:r>
        <w:t xml:space="preserve"> This is how the words ‘authorised by’ have been interpreted:</w:t>
      </w:r>
      <w:r w:rsidRPr="00852F32">
        <w:rPr>
          <w:i/>
          <w:iCs/>
        </w:rPr>
        <w:t xml:space="preserve"> </w:t>
      </w:r>
      <w:r>
        <w:rPr>
          <w:i/>
          <w:iCs/>
        </w:rPr>
        <w:t>Wojcik v Roads Corporation</w:t>
      </w:r>
      <w:r>
        <w:t xml:space="preserve"> [1997] VADT 75, discussed in </w:t>
      </w:r>
      <w:r w:rsidR="00A471D5">
        <w:t xml:space="preserve">Neil </w:t>
      </w:r>
      <w:r w:rsidR="00A471D5" w:rsidRPr="00906A09">
        <w:t>Rees, Simon</w:t>
      </w:r>
      <w:r w:rsidRPr="00906A09">
        <w:t xml:space="preserve"> Rice and </w:t>
      </w:r>
      <w:r w:rsidR="00A471D5" w:rsidRPr="00906A09">
        <w:t xml:space="preserve">Dominique </w:t>
      </w:r>
      <w:r w:rsidRPr="00906A09">
        <w:t>Allen</w:t>
      </w:r>
      <w:r>
        <w:t xml:space="preserve">, </w:t>
      </w:r>
      <w:r w:rsidR="00A471D5">
        <w:rPr>
          <w:i/>
          <w:iCs/>
        </w:rPr>
        <w:t>Australian anti-</w:t>
      </w:r>
      <w:proofErr w:type="gramStart"/>
      <w:r w:rsidR="00A471D5">
        <w:rPr>
          <w:i/>
          <w:iCs/>
        </w:rPr>
        <w:t>discrimination</w:t>
      </w:r>
      <w:proofErr w:type="gramEnd"/>
      <w:r w:rsidR="00A471D5">
        <w:rPr>
          <w:i/>
          <w:iCs/>
        </w:rPr>
        <w:t xml:space="preserve"> and equal opportunity law</w:t>
      </w:r>
      <w:r w:rsidR="00A471D5">
        <w:t xml:space="preserve"> (</w:t>
      </w:r>
      <w:r w:rsidR="004011B8">
        <w:t xml:space="preserve">Federation Press, </w:t>
      </w:r>
      <w:r w:rsidR="00A471D5">
        <w:t>3</w:t>
      </w:r>
      <w:r w:rsidR="00A471D5" w:rsidRPr="00906A09">
        <w:rPr>
          <w:vertAlign w:val="superscript"/>
        </w:rPr>
        <w:t>rd</w:t>
      </w:r>
      <w:r w:rsidR="00A471D5">
        <w:t xml:space="preserve"> ed, 2018)</w:t>
      </w:r>
      <w:r>
        <w:t>, [15.10.31].</w:t>
      </w:r>
    </w:p>
  </w:footnote>
  <w:footnote w:id="27">
    <w:p w14:paraId="234A9E09" w14:textId="667BB659" w:rsidR="00FE6B74" w:rsidRPr="00FE6B74" w:rsidRDefault="00FE6B74">
      <w:pPr>
        <w:pStyle w:val="FootnoteText"/>
      </w:pPr>
      <w:r>
        <w:rPr>
          <w:rStyle w:val="FootnoteReference"/>
        </w:rPr>
        <w:footnoteRef/>
      </w:r>
      <w:r>
        <w:t xml:space="preserve"> </w:t>
      </w:r>
      <w:r w:rsidR="0076794A" w:rsidRPr="002B5FA1">
        <w:rPr>
          <w:i/>
          <w:iCs/>
        </w:rPr>
        <w:t xml:space="preserve">Building belonging: </w:t>
      </w:r>
      <w:r w:rsidR="0076794A" w:rsidRPr="0076794A">
        <w:rPr>
          <w:i/>
          <w:iCs/>
        </w:rPr>
        <w:t>Review of Queensland’s Anti-Discrimination Act 1991</w:t>
      </w:r>
      <w:r w:rsidR="0076794A" w:rsidRPr="0076794A">
        <w:t xml:space="preserve"> (Queensland Human Rights Commission, July 2022), </w:t>
      </w:r>
      <w:r w:rsidRPr="0076794A">
        <w:t xml:space="preserve">Recommendation </w:t>
      </w:r>
      <w:r w:rsidR="00AA1578" w:rsidRPr="0076794A">
        <w:t>5.</w:t>
      </w:r>
    </w:p>
  </w:footnote>
  <w:footnote w:id="28">
    <w:p w14:paraId="402B8F6F" w14:textId="6F336FC3" w:rsidR="00815B64" w:rsidRPr="002B5FA1" w:rsidRDefault="00815B64">
      <w:pPr>
        <w:pStyle w:val="FootnoteText"/>
        <w:rPr>
          <w:lang w:val="en-GB"/>
        </w:rPr>
      </w:pPr>
      <w:r w:rsidRPr="002B5FA1">
        <w:rPr>
          <w:rStyle w:val="FootnoteReference"/>
        </w:rPr>
        <w:footnoteRef/>
      </w:r>
      <w:r w:rsidR="00A73E60" w:rsidRPr="002B5FA1">
        <w:t xml:space="preserve"> </w:t>
      </w:r>
      <w:r w:rsidR="00565DED" w:rsidRPr="002B5FA1">
        <w:t xml:space="preserve">The Review, </w:t>
      </w:r>
      <w:r w:rsidR="00AE0B00" w:rsidRPr="002B5FA1">
        <w:rPr>
          <w:i/>
          <w:iCs/>
        </w:rPr>
        <w:t xml:space="preserve">Building belonging: Review of </w:t>
      </w:r>
      <w:r w:rsidR="0076794A" w:rsidRPr="002B5FA1">
        <w:rPr>
          <w:i/>
          <w:iCs/>
        </w:rPr>
        <w:t>Queensland’s</w:t>
      </w:r>
      <w:r w:rsidR="00AE0B00" w:rsidRPr="002B5FA1">
        <w:rPr>
          <w:i/>
          <w:iCs/>
        </w:rPr>
        <w:t xml:space="preserve"> Anti-Discrimination Act 1991</w:t>
      </w:r>
      <w:r w:rsidR="00AE0B00" w:rsidRPr="002B5FA1">
        <w:t xml:space="preserve"> </w:t>
      </w:r>
      <w:r w:rsidR="002D5B03" w:rsidRPr="002B5FA1">
        <w:t xml:space="preserve">(Queensland Human Rights Commission, July 2022) </w:t>
      </w:r>
      <w:r w:rsidR="002E5332" w:rsidRPr="002B5FA1">
        <w:t>25,</w:t>
      </w:r>
      <w:r w:rsidRPr="002B5FA1">
        <w:t xml:space="preserve"> </w:t>
      </w:r>
      <w:r w:rsidR="004A12E8" w:rsidRPr="002B5FA1">
        <w:rPr>
          <w:lang w:val="en-GB"/>
        </w:rPr>
        <w:t xml:space="preserve">Recommendation </w:t>
      </w:r>
      <w:r w:rsidR="00F30781" w:rsidRPr="002B5FA1">
        <w:rPr>
          <w:lang w:val="en-GB"/>
        </w:rPr>
        <w:t>1</w:t>
      </w:r>
      <w:r w:rsidR="004A12E8" w:rsidRPr="002B5FA1">
        <w:rPr>
          <w:lang w:val="en-GB"/>
        </w:rPr>
        <w:t>5.</w:t>
      </w:r>
    </w:p>
  </w:footnote>
  <w:footnote w:id="29">
    <w:p w14:paraId="6738FD87" w14:textId="70AD76E1" w:rsidR="00BE4618" w:rsidRPr="002B5FA1" w:rsidRDefault="00BE4618">
      <w:pPr>
        <w:pStyle w:val="FootnoteText"/>
        <w:rPr>
          <w:lang w:val="en-GB"/>
        </w:rPr>
      </w:pPr>
      <w:r w:rsidRPr="002B5FA1">
        <w:rPr>
          <w:rStyle w:val="FootnoteReference"/>
        </w:rPr>
        <w:footnoteRef/>
      </w:r>
      <w:r w:rsidRPr="002B5FA1">
        <w:t xml:space="preserve"> </w:t>
      </w:r>
      <w:r w:rsidR="000277E7" w:rsidRPr="002B5FA1">
        <w:t xml:space="preserve">The Review, </w:t>
      </w:r>
      <w:r w:rsidR="000277E7" w:rsidRPr="002B5FA1">
        <w:rPr>
          <w:i/>
          <w:iCs/>
        </w:rPr>
        <w:t>Building belonging: Review of Queensland’s Anti-Discrimination Act 1991</w:t>
      </w:r>
      <w:r w:rsidR="000277E7" w:rsidRPr="002B5FA1">
        <w:t xml:space="preserve"> (Queensland Human Rights Commission, July 2022) 25, </w:t>
      </w:r>
      <w:r w:rsidRPr="002B5FA1">
        <w:rPr>
          <w:lang w:val="en-GB"/>
        </w:rPr>
        <w:t>Recommendation 15.2.</w:t>
      </w:r>
    </w:p>
  </w:footnote>
  <w:footnote w:id="30">
    <w:p w14:paraId="16AA5D18" w14:textId="51514380" w:rsidR="009432A8" w:rsidRPr="009432A8" w:rsidRDefault="009432A8">
      <w:pPr>
        <w:pStyle w:val="FootnoteText"/>
        <w:rPr>
          <w:lang w:val="en-GB"/>
        </w:rPr>
      </w:pPr>
      <w:r w:rsidRPr="002B5FA1">
        <w:rPr>
          <w:rStyle w:val="FootnoteReference"/>
        </w:rPr>
        <w:footnoteRef/>
      </w:r>
      <w:r w:rsidRPr="002B5FA1">
        <w:t xml:space="preserve"> </w:t>
      </w:r>
      <w:r w:rsidR="00642D34" w:rsidRPr="002B5FA1">
        <w:t xml:space="preserve">Sex Discrimination Act </w:t>
      </w:r>
      <w:r w:rsidR="00C7340D" w:rsidRPr="002B5FA1">
        <w:t>1984 (</w:t>
      </w:r>
      <w:proofErr w:type="spellStart"/>
      <w:r w:rsidR="00C7340D" w:rsidRPr="002B5FA1">
        <w:t>Cth</w:t>
      </w:r>
      <w:proofErr w:type="spellEnd"/>
      <w:r w:rsidR="00C7340D" w:rsidRPr="002B5FA1">
        <w:t xml:space="preserve">) </w:t>
      </w:r>
      <w:r w:rsidR="00C7340D" w:rsidRPr="002B5FA1">
        <w:rPr>
          <w:lang w:val="en-GB"/>
        </w:rPr>
        <w:t>s</w:t>
      </w:r>
      <w:r w:rsidR="005C1461" w:rsidRPr="002B5FA1">
        <w:rPr>
          <w:lang w:val="en-GB"/>
        </w:rPr>
        <w:t xml:space="preserve"> 47C</w:t>
      </w:r>
      <w:r w:rsidR="00C7340D" w:rsidRPr="002B5FA1">
        <w:rPr>
          <w:lang w:val="en-GB"/>
        </w:rPr>
        <w:t>.</w:t>
      </w:r>
    </w:p>
  </w:footnote>
  <w:footnote w:id="31">
    <w:p w14:paraId="2A489129" w14:textId="488563D2" w:rsidR="00D107C5" w:rsidRPr="001347C4" w:rsidRDefault="00D107C5">
      <w:pPr>
        <w:pStyle w:val="FootnoteText"/>
        <w:rPr>
          <w:lang w:val="en-GB"/>
        </w:rPr>
      </w:pPr>
      <w:r>
        <w:rPr>
          <w:rStyle w:val="FootnoteReference"/>
        </w:rPr>
        <w:footnoteRef/>
      </w:r>
      <w:r>
        <w:t xml:space="preserve"> </w:t>
      </w:r>
      <w:r w:rsidR="00A674AD">
        <w:rPr>
          <w:lang w:val="en-GB"/>
        </w:rPr>
        <w:t>Queensland Human Rights Commission, Submission No</w:t>
      </w:r>
      <w:r w:rsidR="00A96928">
        <w:rPr>
          <w:lang w:val="en-GB"/>
        </w:rPr>
        <w:t>s</w:t>
      </w:r>
      <w:r w:rsidR="00350964">
        <w:rPr>
          <w:lang w:val="en-GB"/>
        </w:rPr>
        <w:t xml:space="preserve"> </w:t>
      </w:r>
      <w:r w:rsidR="00A96928">
        <w:rPr>
          <w:lang w:val="en-GB"/>
        </w:rPr>
        <w:t>0</w:t>
      </w:r>
      <w:r w:rsidR="00350964">
        <w:rPr>
          <w:lang w:val="en-GB"/>
        </w:rPr>
        <w:t>36</w:t>
      </w:r>
      <w:r w:rsidR="007C2FD1">
        <w:rPr>
          <w:lang w:val="en-GB"/>
        </w:rPr>
        <w:t xml:space="preserve"> and</w:t>
      </w:r>
      <w:r w:rsidR="00350964">
        <w:rPr>
          <w:lang w:val="en-GB"/>
        </w:rPr>
        <w:t xml:space="preserve"> </w:t>
      </w:r>
      <w:r w:rsidR="00A96928">
        <w:rPr>
          <w:lang w:val="en-GB"/>
        </w:rPr>
        <w:t>0</w:t>
      </w:r>
      <w:r w:rsidR="00350964">
        <w:rPr>
          <w:lang w:val="en-GB"/>
        </w:rPr>
        <w:t>82</w:t>
      </w:r>
      <w:r w:rsidR="00A674AD">
        <w:rPr>
          <w:lang w:val="en-GB"/>
        </w:rPr>
        <w:t xml:space="preserve"> </w:t>
      </w:r>
      <w:r w:rsidR="003D5D20">
        <w:rPr>
          <w:lang w:val="en-GB"/>
        </w:rPr>
        <w:t xml:space="preserve">to </w:t>
      </w:r>
      <w:r w:rsidR="004B1186" w:rsidRPr="004B1186">
        <w:t xml:space="preserve">Legal Affairs and Safety Committee, </w:t>
      </w:r>
      <w:r w:rsidR="00AA7737">
        <w:t xml:space="preserve">Queensland Parliament </w:t>
      </w:r>
      <w:r w:rsidR="004B1186" w:rsidRPr="005B0CF4">
        <w:rPr>
          <w:i/>
        </w:rPr>
        <w:t>Inquiry into serious vilification and hate crimes</w:t>
      </w:r>
      <w:r w:rsidR="001347C4">
        <w:rPr>
          <w:i/>
          <w:iCs/>
        </w:rPr>
        <w:t xml:space="preserve"> </w:t>
      </w:r>
      <w:r w:rsidR="001347C4">
        <w:t>(</w:t>
      </w:r>
      <w:r w:rsidR="00DE0C4B">
        <w:t>12 July 2021, 11 November 2021).</w:t>
      </w:r>
    </w:p>
  </w:footnote>
  <w:footnote w:id="32">
    <w:p w14:paraId="5B0AD7E2" w14:textId="6EBCA101" w:rsidR="00CD36E1" w:rsidRPr="00CD36E1" w:rsidRDefault="00CD36E1">
      <w:pPr>
        <w:pStyle w:val="FootnoteText"/>
      </w:pPr>
      <w:r>
        <w:rPr>
          <w:rStyle w:val="FootnoteReference"/>
        </w:rPr>
        <w:footnoteRef/>
      </w:r>
      <w:r>
        <w:t xml:space="preserve"> </w:t>
      </w:r>
      <w:r w:rsidR="001E5D3B">
        <w:t>Department of Justice and Attorney-General</w:t>
      </w:r>
      <w:r w:rsidR="00924A3C">
        <w:t xml:space="preserve"> (Qld)</w:t>
      </w:r>
      <w:r w:rsidR="001E5D3B">
        <w:t xml:space="preserve">, </w:t>
      </w:r>
      <w:r w:rsidRPr="005B0CF4">
        <w:rPr>
          <w:i/>
        </w:rPr>
        <w:t xml:space="preserve">Consultation </w:t>
      </w:r>
      <w:r w:rsidR="00AA4294" w:rsidRPr="005B0CF4">
        <w:rPr>
          <w:i/>
          <w:iCs/>
        </w:rPr>
        <w:t>G</w:t>
      </w:r>
      <w:r w:rsidRPr="005B0CF4">
        <w:rPr>
          <w:i/>
          <w:iCs/>
        </w:rPr>
        <w:t>uide</w:t>
      </w:r>
      <w:r w:rsidR="00397E98" w:rsidRPr="005B0CF4">
        <w:rPr>
          <w:i/>
          <w:iCs/>
        </w:rPr>
        <w:t>:</w:t>
      </w:r>
      <w:r w:rsidR="00397E98" w:rsidRPr="005B0CF4">
        <w:rPr>
          <w:i/>
        </w:rPr>
        <w:t xml:space="preserve"> Anti-Discrimination Bill 2024 (Exposure Draft)</w:t>
      </w:r>
      <w:r w:rsidR="00397E98">
        <w:t xml:space="preserve"> </w:t>
      </w:r>
      <w:r w:rsidR="00D70296">
        <w:t>February 2024</w:t>
      </w:r>
      <w:r w:rsidR="00782E0B">
        <w:t>,</w:t>
      </w:r>
      <w:r w:rsidR="00D70296">
        <w:t xml:space="preserve"> </w:t>
      </w:r>
      <w:r w:rsidR="008A4C57">
        <w:t>35.</w:t>
      </w:r>
    </w:p>
  </w:footnote>
  <w:footnote w:id="33">
    <w:p w14:paraId="1DDDF64C" w14:textId="557985F8" w:rsidR="00CD36E1" w:rsidRPr="0063284D" w:rsidRDefault="00CD36E1" w:rsidP="00CD36E1">
      <w:pPr>
        <w:pStyle w:val="FootnoteText"/>
        <w:rPr>
          <w:lang w:val="en-US"/>
        </w:rPr>
      </w:pPr>
      <w:r>
        <w:rPr>
          <w:rStyle w:val="FootnoteReference"/>
        </w:rPr>
        <w:footnoteRef/>
      </w:r>
      <w:r>
        <w:t xml:space="preserve"> </w:t>
      </w:r>
      <w:r>
        <w:rPr>
          <w:i/>
          <w:iCs/>
          <w:lang w:val="en-US"/>
        </w:rPr>
        <w:t xml:space="preserve">Catch the Fire Ministries Inc v Islamic Council of Victoria Inc </w:t>
      </w:r>
      <w:r>
        <w:rPr>
          <w:lang w:val="en-US"/>
        </w:rPr>
        <w:t xml:space="preserve">[2006] VSCA 284, (2006) 15 VR 207; </w:t>
      </w:r>
      <w:r>
        <w:rPr>
          <w:i/>
          <w:iCs/>
          <w:lang w:val="en-US"/>
        </w:rPr>
        <w:t xml:space="preserve">Kazak v John Fairfax Publications Limited </w:t>
      </w:r>
      <w:r>
        <w:rPr>
          <w:lang w:val="en-US"/>
        </w:rPr>
        <w:t xml:space="preserve">[2000] NSWADT 77; </w:t>
      </w:r>
      <w:r>
        <w:rPr>
          <w:i/>
          <w:iCs/>
          <w:lang w:val="en-US"/>
        </w:rPr>
        <w:t xml:space="preserve">Burns v Dye </w:t>
      </w:r>
      <w:r>
        <w:rPr>
          <w:lang w:val="en-US"/>
        </w:rPr>
        <w:t xml:space="preserve">[2002] NSWADT 32; </w:t>
      </w:r>
      <w:proofErr w:type="spellStart"/>
      <w:r>
        <w:rPr>
          <w:i/>
          <w:iCs/>
          <w:lang w:val="en-US"/>
        </w:rPr>
        <w:t>Veloskey</w:t>
      </w:r>
      <w:proofErr w:type="spellEnd"/>
      <w:r>
        <w:rPr>
          <w:i/>
          <w:iCs/>
          <w:lang w:val="en-US"/>
        </w:rPr>
        <w:t xml:space="preserve"> v Karagiannakis </w:t>
      </w:r>
      <w:r>
        <w:rPr>
          <w:lang w:val="en-US"/>
        </w:rPr>
        <w:t xml:space="preserve">[2002] NSWADTAP 18; </w:t>
      </w:r>
      <w:r w:rsidRPr="0063284D">
        <w:rPr>
          <w:i/>
          <w:iCs/>
          <w:lang w:val="en-US"/>
        </w:rPr>
        <w:t>Burns v Laws (No 2)</w:t>
      </w:r>
      <w:r>
        <w:rPr>
          <w:lang w:val="en-US"/>
        </w:rPr>
        <w:t xml:space="preserve"> [2007] NSWADT 47.</w:t>
      </w:r>
    </w:p>
  </w:footnote>
  <w:footnote w:id="34">
    <w:p w14:paraId="673E7801" w14:textId="35B2BB4E" w:rsidR="00CD36E1" w:rsidRPr="004D7AE4" w:rsidRDefault="00CD36E1" w:rsidP="00CD36E1">
      <w:pPr>
        <w:pStyle w:val="FootnoteText"/>
        <w:rPr>
          <w:i/>
          <w:iCs/>
          <w:lang w:val="en-US"/>
        </w:rPr>
      </w:pPr>
      <w:r>
        <w:rPr>
          <w:rStyle w:val="FootnoteReference"/>
        </w:rPr>
        <w:footnoteRef/>
      </w:r>
      <w:r>
        <w:t xml:space="preserve"> </w:t>
      </w:r>
      <w:r>
        <w:rPr>
          <w:i/>
          <w:iCs/>
        </w:rPr>
        <w:t>Catch the Fire Ministries</w:t>
      </w:r>
      <w:r w:rsidR="003E7EB1">
        <w:rPr>
          <w:i/>
          <w:iCs/>
        </w:rPr>
        <w:t xml:space="preserve"> </w:t>
      </w:r>
      <w:r w:rsidR="003E7EB1">
        <w:rPr>
          <w:i/>
          <w:iCs/>
          <w:lang w:val="en-US"/>
        </w:rPr>
        <w:t xml:space="preserve">Inc v Islamic Council of Victoria Inc </w:t>
      </w:r>
      <w:r w:rsidR="003E7EB1">
        <w:rPr>
          <w:lang w:val="en-US"/>
        </w:rPr>
        <w:t>[2006] VSCA 284, (2006) 15 VR 207</w:t>
      </w:r>
      <w:r w:rsidR="003733D6">
        <w:rPr>
          <w:lang w:val="en-US"/>
        </w:rPr>
        <w:t xml:space="preserve"> [154]</w:t>
      </w:r>
      <w:r>
        <w:t xml:space="preserve">; </w:t>
      </w:r>
      <w:proofErr w:type="spellStart"/>
      <w:r>
        <w:rPr>
          <w:i/>
          <w:iCs/>
        </w:rPr>
        <w:t>V</w:t>
      </w:r>
      <w:r w:rsidR="00232AC4">
        <w:rPr>
          <w:i/>
          <w:iCs/>
        </w:rPr>
        <w:t>e</w:t>
      </w:r>
      <w:r>
        <w:rPr>
          <w:i/>
          <w:iCs/>
        </w:rPr>
        <w:t>loskey</w:t>
      </w:r>
      <w:proofErr w:type="spellEnd"/>
      <w:r w:rsidR="00D420DB">
        <w:rPr>
          <w:i/>
          <w:iCs/>
        </w:rPr>
        <w:t xml:space="preserve"> </w:t>
      </w:r>
      <w:r w:rsidR="00D420DB">
        <w:rPr>
          <w:i/>
          <w:iCs/>
          <w:lang w:val="en-US"/>
        </w:rPr>
        <w:t xml:space="preserve">v Karagiannakis </w:t>
      </w:r>
      <w:r w:rsidR="00D420DB">
        <w:rPr>
          <w:lang w:val="en-US"/>
        </w:rPr>
        <w:t>[2002] NSWADTAP</w:t>
      </w:r>
      <w:r w:rsidR="00CE7040">
        <w:rPr>
          <w:lang w:val="en-US"/>
        </w:rPr>
        <w:t xml:space="preserve"> 18</w:t>
      </w:r>
      <w:r w:rsidR="00D420DB">
        <w:rPr>
          <w:lang w:val="en-US"/>
        </w:rPr>
        <w:t xml:space="preserve"> </w:t>
      </w:r>
      <w:r w:rsidR="00610A97">
        <w:rPr>
          <w:lang w:val="en-US"/>
        </w:rPr>
        <w:t>[25]</w:t>
      </w:r>
      <w:r>
        <w:rPr>
          <w:i/>
          <w:iCs/>
        </w:rPr>
        <w:t>.</w:t>
      </w:r>
    </w:p>
  </w:footnote>
  <w:footnote w:id="35">
    <w:p w14:paraId="628EB99E" w14:textId="77777777" w:rsidR="00CD36E1" w:rsidRPr="004D7AE4" w:rsidRDefault="00CD36E1" w:rsidP="00CD36E1">
      <w:pPr>
        <w:pStyle w:val="FootnoteText"/>
        <w:rPr>
          <w:lang w:val="en-US"/>
        </w:rPr>
      </w:pPr>
      <w:r>
        <w:rPr>
          <w:rStyle w:val="FootnoteReference"/>
        </w:rPr>
        <w:footnoteRef/>
      </w:r>
      <w:r>
        <w:t xml:space="preserve"> </w:t>
      </w:r>
      <w:r>
        <w:rPr>
          <w:i/>
          <w:iCs/>
          <w:lang w:val="en-US"/>
        </w:rPr>
        <w:t xml:space="preserve">Sunol v Collier (No 2) </w:t>
      </w:r>
      <w:r>
        <w:rPr>
          <w:lang w:val="en-US"/>
        </w:rPr>
        <w:t>[2012] NSWCA 44.</w:t>
      </w:r>
    </w:p>
  </w:footnote>
  <w:footnote w:id="36">
    <w:p w14:paraId="1873DAE3" w14:textId="77777777" w:rsidR="00CD36E1" w:rsidRPr="00987AD0" w:rsidRDefault="00CD36E1" w:rsidP="00CD36E1">
      <w:pPr>
        <w:pStyle w:val="FootnoteText"/>
        <w:rPr>
          <w:lang w:val="en-US"/>
        </w:rPr>
      </w:pPr>
      <w:r>
        <w:rPr>
          <w:rStyle w:val="FootnoteReference"/>
        </w:rPr>
        <w:footnoteRef/>
      </w:r>
      <w:r>
        <w:t xml:space="preserve"> </w:t>
      </w:r>
      <w:r>
        <w:rPr>
          <w:lang w:val="en-US"/>
        </w:rPr>
        <w:t xml:space="preserve">See for example, </w:t>
      </w:r>
      <w:r>
        <w:rPr>
          <w:i/>
          <w:iCs/>
          <w:lang w:val="en-US"/>
        </w:rPr>
        <w:t xml:space="preserve">Wilson &amp; McCollum v Lawson </w:t>
      </w:r>
      <w:r>
        <w:rPr>
          <w:lang w:val="en-US"/>
        </w:rPr>
        <w:t xml:space="preserve">[2008] QADT 27; </w:t>
      </w:r>
      <w:r>
        <w:rPr>
          <w:i/>
          <w:iCs/>
          <w:lang w:val="en-US"/>
        </w:rPr>
        <w:t xml:space="preserve">Peters v Constance </w:t>
      </w:r>
      <w:r>
        <w:rPr>
          <w:lang w:val="en-US"/>
        </w:rPr>
        <w:t xml:space="preserve">[2005] QADT 9; </w:t>
      </w:r>
      <w:r>
        <w:rPr>
          <w:i/>
          <w:iCs/>
          <w:lang w:val="en-US"/>
        </w:rPr>
        <w:t xml:space="preserve">Deen v Lamb </w:t>
      </w:r>
      <w:r>
        <w:rPr>
          <w:lang w:val="en-US"/>
        </w:rPr>
        <w:t>[2001] QADT 20.</w:t>
      </w:r>
    </w:p>
  </w:footnote>
  <w:footnote w:id="37">
    <w:p w14:paraId="2FA0ECF0" w14:textId="0418BE8D" w:rsidR="00CD36E1" w:rsidRPr="005C039C" w:rsidRDefault="00CD36E1" w:rsidP="00CD36E1">
      <w:pPr>
        <w:pStyle w:val="FootnoteText"/>
      </w:pPr>
      <w:r w:rsidRPr="005C039C">
        <w:rPr>
          <w:rStyle w:val="FootnoteReference"/>
        </w:rPr>
        <w:footnoteRef/>
      </w:r>
      <w:r w:rsidRPr="005C039C">
        <w:t xml:space="preserve"> See for example </w:t>
      </w:r>
      <w:r w:rsidRPr="005C039C">
        <w:rPr>
          <w:i/>
          <w:iCs/>
        </w:rPr>
        <w:t xml:space="preserve">Peters v Constance </w:t>
      </w:r>
      <w:r w:rsidRPr="005C039C">
        <w:t xml:space="preserve">[2005] 9 where it was sufficient that the conduct was capable of being heard by others in the apartment block. </w:t>
      </w:r>
      <w:proofErr w:type="gramStart"/>
      <w:r w:rsidRPr="005C039C">
        <w:t>Also</w:t>
      </w:r>
      <w:proofErr w:type="gramEnd"/>
      <w:r w:rsidRPr="005C039C">
        <w:t xml:space="preserve"> </w:t>
      </w:r>
      <w:r w:rsidRPr="005C039C">
        <w:rPr>
          <w:i/>
          <w:iCs/>
        </w:rPr>
        <w:t xml:space="preserve">Wilson &amp; McCollum v Lawson </w:t>
      </w:r>
      <w:r w:rsidRPr="005C039C">
        <w:t xml:space="preserve">[2008] QADT 27, </w:t>
      </w:r>
      <w:proofErr w:type="spellStart"/>
      <w:r w:rsidRPr="005C039C">
        <w:rPr>
          <w:i/>
          <w:iCs/>
        </w:rPr>
        <w:t>Huenerberg</w:t>
      </w:r>
      <w:proofErr w:type="spellEnd"/>
      <w:r w:rsidRPr="005C039C">
        <w:rPr>
          <w:i/>
          <w:iCs/>
        </w:rPr>
        <w:t xml:space="preserve"> v Murray</w:t>
      </w:r>
      <w:r w:rsidRPr="005C039C">
        <w:t xml:space="preserve"> [2023] QCAT 175, and </w:t>
      </w:r>
      <w:r w:rsidRPr="005C039C">
        <w:rPr>
          <w:i/>
          <w:iCs/>
        </w:rPr>
        <w:t xml:space="preserve">Zhai v </w:t>
      </w:r>
      <w:proofErr w:type="spellStart"/>
      <w:r w:rsidRPr="005C039C">
        <w:rPr>
          <w:i/>
          <w:iCs/>
        </w:rPr>
        <w:t>Kullack</w:t>
      </w:r>
      <w:proofErr w:type="spellEnd"/>
      <w:r w:rsidRPr="005C039C">
        <w:t xml:space="preserve"> [2024] QCAT 56, where comments in a residential neighbourhood were capable of being heard by passers-by and other neighbours.</w:t>
      </w:r>
    </w:p>
  </w:footnote>
  <w:footnote w:id="38">
    <w:p w14:paraId="4BAE8F0D" w14:textId="77777777" w:rsidR="00CD36E1" w:rsidRPr="005C039C" w:rsidRDefault="00CD36E1" w:rsidP="00CD36E1">
      <w:pPr>
        <w:pStyle w:val="FootnoteText"/>
      </w:pPr>
      <w:r w:rsidRPr="005C039C">
        <w:rPr>
          <w:rStyle w:val="FootnoteReference"/>
        </w:rPr>
        <w:footnoteRef/>
      </w:r>
      <w:r w:rsidRPr="005C039C">
        <w:t xml:space="preserve"> Office of the Queensland Parliamentary Counsel, </w:t>
      </w:r>
      <w:r w:rsidRPr="005C039C">
        <w:rPr>
          <w:i/>
          <w:iCs/>
        </w:rPr>
        <w:t>Principles of good legislation: OQPC guide to FLPs – Clear Meaning</w:t>
      </w:r>
      <w:r w:rsidRPr="005C039C">
        <w:t>, 19 June 2013.</w:t>
      </w:r>
    </w:p>
  </w:footnote>
  <w:footnote w:id="39">
    <w:p w14:paraId="2D1DC610" w14:textId="315FCD45" w:rsidR="00407016" w:rsidRPr="00407016" w:rsidRDefault="00407016">
      <w:pPr>
        <w:pStyle w:val="FootnoteText"/>
        <w:rPr>
          <w:lang w:val="en-GB"/>
        </w:rPr>
      </w:pPr>
      <w:r>
        <w:rPr>
          <w:rStyle w:val="FootnoteReference"/>
        </w:rPr>
        <w:footnoteRef/>
      </w:r>
      <w:r>
        <w:t xml:space="preserve"> </w:t>
      </w:r>
      <w:r w:rsidR="00D14823" w:rsidRPr="004209B4">
        <w:t>Anti-Discrimination Act 2024 Draft Bill (Qld)</w:t>
      </w:r>
      <w:r w:rsidR="00D14823">
        <w:t xml:space="preserve"> </w:t>
      </w:r>
      <w:proofErr w:type="spellStart"/>
      <w:r w:rsidR="00FE43EF">
        <w:t>cls</w:t>
      </w:r>
      <w:proofErr w:type="spellEnd"/>
      <w:r w:rsidR="00FE43EF">
        <w:t xml:space="preserve"> </w:t>
      </w:r>
      <w:r>
        <w:t>115-122, 190-191, 218.</w:t>
      </w:r>
    </w:p>
  </w:footnote>
  <w:footnote w:id="40">
    <w:p w14:paraId="6B3F0580" w14:textId="52955A40" w:rsidR="00010D45" w:rsidRPr="00010D45" w:rsidRDefault="00010D45">
      <w:pPr>
        <w:pStyle w:val="FootnoteText"/>
        <w:rPr>
          <w:lang w:val="en-GB"/>
        </w:rPr>
      </w:pPr>
      <w:r>
        <w:rPr>
          <w:rStyle w:val="FootnoteReference"/>
        </w:rPr>
        <w:footnoteRef/>
      </w:r>
      <w:r>
        <w:t xml:space="preserve"> </w:t>
      </w:r>
      <w:r w:rsidR="00461E75" w:rsidRPr="004209B4">
        <w:t>Anti-Discrimination Act 2024 Draft Bill (Qld)</w:t>
      </w:r>
      <w:r>
        <w:t xml:space="preserve"> </w:t>
      </w:r>
      <w:proofErr w:type="spellStart"/>
      <w:r w:rsidR="006924DA">
        <w:t>cls</w:t>
      </w:r>
      <w:proofErr w:type="spellEnd"/>
      <w:r w:rsidR="006924DA">
        <w:t xml:space="preserve"> </w:t>
      </w:r>
      <w:r w:rsidRPr="00010D45">
        <w:t>98, 103, 105, 108, 110, 116(2), 123, 125, 126, 127, 128, 129, 130, 237, 273</w:t>
      </w:r>
      <w:r w:rsidR="006924DA">
        <w:t>.</w:t>
      </w:r>
    </w:p>
  </w:footnote>
  <w:footnote w:id="41">
    <w:p w14:paraId="0E123266" w14:textId="154321FE" w:rsidR="00F91590" w:rsidRPr="00F91590" w:rsidRDefault="00F91590">
      <w:pPr>
        <w:pStyle w:val="FootnoteText"/>
        <w:rPr>
          <w:lang w:val="en-GB"/>
        </w:rPr>
      </w:pPr>
      <w:r>
        <w:rPr>
          <w:rStyle w:val="FootnoteReference"/>
        </w:rPr>
        <w:footnoteRef/>
      </w:r>
      <w:r>
        <w:t xml:space="preserve"> </w:t>
      </w:r>
      <w:r w:rsidR="00D45A3D">
        <w:t xml:space="preserve">The Review, </w:t>
      </w:r>
      <w:r w:rsidR="00D45A3D" w:rsidRPr="00EE62A5">
        <w:rPr>
          <w:i/>
          <w:iCs/>
        </w:rPr>
        <w:t>Building belonging: Review of Queens</w:t>
      </w:r>
      <w:r w:rsidR="00D27F99">
        <w:rPr>
          <w:i/>
          <w:iCs/>
        </w:rPr>
        <w:t>l</w:t>
      </w:r>
      <w:r w:rsidR="00D45A3D" w:rsidRPr="00EE62A5">
        <w:rPr>
          <w:i/>
          <w:iCs/>
        </w:rPr>
        <w:t>and’s Anti-Discrimination Act 1991</w:t>
      </w:r>
      <w:r w:rsidR="00D45A3D">
        <w:t xml:space="preserve"> (Queensland Human Rights Commission, July </w:t>
      </w:r>
      <w:r w:rsidR="00D45A3D" w:rsidRPr="00B63739">
        <w:t xml:space="preserve">2022) </w:t>
      </w:r>
      <w:r w:rsidR="00551AB6" w:rsidRPr="00B63739">
        <w:rPr>
          <w:lang w:val="en-GB"/>
        </w:rPr>
        <w:t>165-167.</w:t>
      </w:r>
    </w:p>
  </w:footnote>
  <w:footnote w:id="42">
    <w:p w14:paraId="4391A066" w14:textId="38AE02F6" w:rsidR="00F24C49" w:rsidRPr="00F24C49" w:rsidRDefault="00F24C49">
      <w:pPr>
        <w:pStyle w:val="FootnoteText"/>
        <w:rPr>
          <w:lang w:val="en-GB"/>
        </w:rPr>
      </w:pPr>
      <w:r>
        <w:rPr>
          <w:rStyle w:val="FootnoteReference"/>
        </w:rPr>
        <w:footnoteRef/>
      </w:r>
      <w:r>
        <w:t xml:space="preserve"> </w:t>
      </w:r>
      <w:r w:rsidR="00F15170" w:rsidRPr="0031786A">
        <w:rPr>
          <w:i/>
          <w:iCs/>
        </w:rPr>
        <w:t>Anti-Discrimination Act 1991</w:t>
      </w:r>
      <w:r w:rsidR="00F15170">
        <w:t xml:space="preserve"> (Qld) </w:t>
      </w:r>
      <w:r w:rsidR="00F15170">
        <w:rPr>
          <w:lang w:val="en-GB"/>
        </w:rPr>
        <w:t xml:space="preserve">s </w:t>
      </w:r>
      <w:r>
        <w:rPr>
          <w:lang w:val="en-GB"/>
        </w:rPr>
        <w:t>140</w:t>
      </w:r>
      <w:r w:rsidR="00F15170">
        <w:rPr>
          <w:lang w:val="en-GB"/>
        </w:rPr>
        <w:t>(1)</w:t>
      </w:r>
      <w:r>
        <w:rPr>
          <w:lang w:val="en-GB"/>
        </w:rPr>
        <w:t>(b)</w:t>
      </w:r>
      <w:r w:rsidR="00F15170">
        <w:rPr>
          <w:lang w:val="en-GB"/>
        </w:rPr>
        <w:t>.</w:t>
      </w:r>
      <w:r>
        <w:rPr>
          <w:lang w:val="en-GB"/>
        </w:rPr>
        <w:t xml:space="preserve"> </w:t>
      </w:r>
    </w:p>
  </w:footnote>
  <w:footnote w:id="43">
    <w:p w14:paraId="48C90697" w14:textId="17C52324" w:rsidR="00CB2410" w:rsidRPr="00CB2410" w:rsidRDefault="00CB2410">
      <w:pPr>
        <w:pStyle w:val="FootnoteText"/>
        <w:rPr>
          <w:lang w:val="en-GB"/>
        </w:rPr>
      </w:pPr>
      <w:r>
        <w:rPr>
          <w:rStyle w:val="FootnoteReference"/>
        </w:rPr>
        <w:footnoteRef/>
      </w:r>
      <w:r>
        <w:t xml:space="preserve"> </w:t>
      </w:r>
      <w:r w:rsidR="00A56411" w:rsidRPr="00EE62A5">
        <w:rPr>
          <w:i/>
          <w:iCs/>
        </w:rPr>
        <w:t>Anti-Discrimination Act 1991</w:t>
      </w:r>
      <w:r w:rsidR="00A56411">
        <w:t xml:space="preserve"> (Qld)</w:t>
      </w:r>
      <w:r w:rsidR="009F3A0C">
        <w:t xml:space="preserve"> s</w:t>
      </w:r>
      <w:r w:rsidR="006619B6">
        <w:rPr>
          <w:lang w:val="en-GB"/>
        </w:rPr>
        <w:t xml:space="preserve"> </w:t>
      </w:r>
      <w:r>
        <w:rPr>
          <w:lang w:val="en-GB"/>
        </w:rPr>
        <w:t>140(2)</w:t>
      </w:r>
      <w:r w:rsidR="003209EB">
        <w:rPr>
          <w:lang w:val="en-GB"/>
        </w:rPr>
        <w:t>.</w:t>
      </w:r>
    </w:p>
  </w:footnote>
  <w:footnote w:id="44">
    <w:p w14:paraId="222E9FA1" w14:textId="64B2FA24" w:rsidR="006C23F5" w:rsidRPr="006C23F5" w:rsidRDefault="006C23F5">
      <w:pPr>
        <w:pStyle w:val="FootnoteText"/>
        <w:rPr>
          <w:lang w:val="en-GB"/>
        </w:rPr>
      </w:pPr>
      <w:r>
        <w:rPr>
          <w:rStyle w:val="FootnoteReference"/>
        </w:rPr>
        <w:footnoteRef/>
      </w:r>
      <w:r>
        <w:t xml:space="preserve"> </w:t>
      </w:r>
      <w:r w:rsidR="00874EA9" w:rsidRPr="00EE62A5">
        <w:rPr>
          <w:i/>
          <w:iCs/>
        </w:rPr>
        <w:t>Anti-Discrimination Act 1991</w:t>
      </w:r>
      <w:r w:rsidR="00874EA9">
        <w:t xml:space="preserve"> (Qld)</w:t>
      </w:r>
      <w:r w:rsidR="008156B4">
        <w:t xml:space="preserve"> s</w:t>
      </w:r>
      <w:r w:rsidR="008156B4">
        <w:rPr>
          <w:lang w:val="en-GB"/>
        </w:rPr>
        <w:t xml:space="preserve"> </w:t>
      </w:r>
      <w:r>
        <w:rPr>
          <w:lang w:val="en-GB"/>
        </w:rPr>
        <w:t>168</w:t>
      </w:r>
      <w:proofErr w:type="gramStart"/>
      <w:r>
        <w:rPr>
          <w:lang w:val="en-GB"/>
        </w:rPr>
        <w:t>A(</w:t>
      </w:r>
      <w:proofErr w:type="gramEnd"/>
      <w:r>
        <w:rPr>
          <w:lang w:val="en-GB"/>
        </w:rPr>
        <w:t>1).</w:t>
      </w:r>
    </w:p>
  </w:footnote>
  <w:footnote w:id="45">
    <w:p w14:paraId="70A19EB8" w14:textId="63006D31" w:rsidR="006E15BC" w:rsidRPr="006E15BC" w:rsidRDefault="006E15BC">
      <w:pPr>
        <w:pStyle w:val="FootnoteText"/>
        <w:rPr>
          <w:lang w:val="en-GB"/>
        </w:rPr>
      </w:pPr>
      <w:r>
        <w:rPr>
          <w:rStyle w:val="FootnoteReference"/>
        </w:rPr>
        <w:footnoteRef/>
      </w:r>
      <w:r>
        <w:t xml:space="preserve"> </w:t>
      </w:r>
      <w:r w:rsidR="00994EE2" w:rsidRPr="00EE62A5">
        <w:rPr>
          <w:i/>
          <w:iCs/>
        </w:rPr>
        <w:t>Anti-Discrimination Act 1991</w:t>
      </w:r>
      <w:r w:rsidR="00994EE2">
        <w:t xml:space="preserve"> (Qld) </w:t>
      </w:r>
      <w:r w:rsidR="009C5FDD">
        <w:rPr>
          <w:lang w:val="en-GB"/>
        </w:rPr>
        <w:t>s</w:t>
      </w:r>
      <w:r>
        <w:rPr>
          <w:lang w:val="en-GB"/>
        </w:rPr>
        <w:t xml:space="preserve"> 137.</w:t>
      </w:r>
    </w:p>
  </w:footnote>
  <w:footnote w:id="46">
    <w:p w14:paraId="04C8018D" w14:textId="2269D462" w:rsidR="00DC02A9" w:rsidRPr="00DC02A9" w:rsidRDefault="00DC02A9">
      <w:pPr>
        <w:pStyle w:val="FootnoteText"/>
        <w:rPr>
          <w:lang w:val="en-GB"/>
        </w:rPr>
      </w:pPr>
      <w:r>
        <w:rPr>
          <w:rStyle w:val="FootnoteReference"/>
        </w:rPr>
        <w:footnoteRef/>
      </w:r>
      <w:r>
        <w:t xml:space="preserve"> </w:t>
      </w:r>
      <w:r w:rsidR="00D27F99">
        <w:t xml:space="preserve">The Review, </w:t>
      </w:r>
      <w:r w:rsidR="00D27F99" w:rsidRPr="00EE62A5">
        <w:rPr>
          <w:i/>
          <w:iCs/>
        </w:rPr>
        <w:t>Building belonging: Review of Queens</w:t>
      </w:r>
      <w:r w:rsidR="00D27F99">
        <w:rPr>
          <w:i/>
          <w:iCs/>
        </w:rPr>
        <w:t>l</w:t>
      </w:r>
      <w:r w:rsidR="00D27F99" w:rsidRPr="00EE62A5">
        <w:rPr>
          <w:i/>
          <w:iCs/>
        </w:rPr>
        <w:t>and’s Anti-Discrimination Act 1991</w:t>
      </w:r>
      <w:r w:rsidR="00D27F99">
        <w:t xml:space="preserve"> (Queensland Human Rights Commission, July 2022) </w:t>
      </w:r>
      <w:r w:rsidR="00B01FDA">
        <w:t xml:space="preserve">19, </w:t>
      </w:r>
      <w:r w:rsidR="00B01FDA">
        <w:rPr>
          <w:lang w:val="en-GB"/>
        </w:rPr>
        <w:t>r</w:t>
      </w:r>
      <w:r w:rsidR="00337860">
        <w:rPr>
          <w:lang w:val="en-GB"/>
        </w:rPr>
        <w:t>ecommendation 10</w:t>
      </w:r>
      <w:r w:rsidR="00A04E2E">
        <w:rPr>
          <w:lang w:val="en-GB"/>
        </w:rPr>
        <w:t>.1.</w:t>
      </w:r>
    </w:p>
  </w:footnote>
  <w:footnote w:id="47">
    <w:p w14:paraId="75907B31" w14:textId="648800C1" w:rsidR="00C55018" w:rsidRPr="00C93D3E" w:rsidRDefault="00C55018">
      <w:pPr>
        <w:pStyle w:val="FootnoteText"/>
        <w:rPr>
          <w:lang w:val="en-GB"/>
        </w:rPr>
      </w:pPr>
      <w:r>
        <w:rPr>
          <w:rStyle w:val="FootnoteReference"/>
        </w:rPr>
        <w:footnoteRef/>
      </w:r>
      <w:r>
        <w:t xml:space="preserve"> </w:t>
      </w:r>
      <w:r>
        <w:rPr>
          <w:lang w:val="en-GB"/>
        </w:rPr>
        <w:t xml:space="preserve">Reflecting to a large extent the position under ss 82A and 83A </w:t>
      </w:r>
      <w:r w:rsidR="00C93D3E">
        <w:rPr>
          <w:lang w:val="en-GB"/>
        </w:rPr>
        <w:t xml:space="preserve">of the </w:t>
      </w:r>
      <w:r w:rsidR="00C93D3E">
        <w:rPr>
          <w:i/>
          <w:iCs/>
          <w:lang w:val="en-GB"/>
        </w:rPr>
        <w:t>Equal Opportunity Act 2010</w:t>
      </w:r>
      <w:r w:rsidR="00C93D3E">
        <w:rPr>
          <w:lang w:val="en-GB"/>
        </w:rPr>
        <w:t xml:space="preserve"> (Vic)</w:t>
      </w:r>
      <w:r w:rsidR="00C74294">
        <w:rPr>
          <w:lang w:val="en-GB"/>
        </w:rPr>
        <w:t>,</w:t>
      </w:r>
      <w:r w:rsidR="0067070E">
        <w:rPr>
          <w:lang w:val="en-GB"/>
        </w:rPr>
        <w:t xml:space="preserve"> but</w:t>
      </w:r>
      <w:r w:rsidR="00C74986">
        <w:rPr>
          <w:lang w:val="en-GB"/>
        </w:rPr>
        <w:t xml:space="preserve"> </w:t>
      </w:r>
      <w:r w:rsidR="0067070E">
        <w:rPr>
          <w:lang w:val="en-GB"/>
        </w:rPr>
        <w:t xml:space="preserve">narrower than the position </w:t>
      </w:r>
      <w:r w:rsidR="00C74986">
        <w:rPr>
          <w:lang w:val="en-GB"/>
        </w:rPr>
        <w:t>in Tasmania and the ACT</w:t>
      </w:r>
      <w:r w:rsidR="00B25F9A">
        <w:rPr>
          <w:lang w:val="en-GB"/>
        </w:rPr>
        <w:t xml:space="preserve">, which provide broader scope for </w:t>
      </w:r>
      <w:r w:rsidR="002F0DDB">
        <w:rPr>
          <w:lang w:val="en-GB"/>
        </w:rPr>
        <w:t>discrimination the grounds of religious belief and religious activity</w:t>
      </w:r>
      <w:r w:rsidR="00B11F4A">
        <w:rPr>
          <w:lang w:val="en-GB"/>
        </w:rPr>
        <w:t xml:space="preserve"> for some or all staff</w:t>
      </w:r>
      <w:r w:rsidR="00397783">
        <w:rPr>
          <w:lang w:val="en-GB"/>
        </w:rPr>
        <w:t xml:space="preserve"> of religious bodies</w:t>
      </w:r>
      <w:r w:rsidR="0058566B">
        <w:rPr>
          <w:lang w:val="en-GB"/>
        </w:rPr>
        <w:t xml:space="preserve">: </w:t>
      </w:r>
      <w:r w:rsidR="0058566B">
        <w:rPr>
          <w:i/>
          <w:iCs/>
          <w:lang w:val="en-GB"/>
        </w:rPr>
        <w:t>Anti-Discrimination Act 1992</w:t>
      </w:r>
      <w:r w:rsidR="0058566B">
        <w:rPr>
          <w:lang w:val="en-GB"/>
        </w:rPr>
        <w:t xml:space="preserve"> (ACT), </w:t>
      </w:r>
      <w:r w:rsidR="00CC2CFB">
        <w:rPr>
          <w:lang w:val="en-GB"/>
        </w:rPr>
        <w:t xml:space="preserve">ss 44, 46; </w:t>
      </w:r>
      <w:r w:rsidR="00CC2CFB">
        <w:rPr>
          <w:i/>
          <w:iCs/>
          <w:lang w:val="en-GB"/>
        </w:rPr>
        <w:t>Anti-Discrimination Act 199</w:t>
      </w:r>
      <w:r w:rsidR="00B10F12">
        <w:rPr>
          <w:i/>
          <w:iCs/>
          <w:lang w:val="en-GB"/>
        </w:rPr>
        <w:t>8</w:t>
      </w:r>
      <w:r w:rsidR="00CC2CFB">
        <w:rPr>
          <w:lang w:val="en-GB"/>
        </w:rPr>
        <w:t xml:space="preserve"> (Tas), s</w:t>
      </w:r>
      <w:r w:rsidR="00B10F12">
        <w:rPr>
          <w:lang w:val="en-GB"/>
        </w:rPr>
        <w:t xml:space="preserve"> 51</w:t>
      </w:r>
      <w:r w:rsidR="00C74986">
        <w:rPr>
          <w:lang w:val="en-GB"/>
        </w:rPr>
        <w:t>.</w:t>
      </w:r>
    </w:p>
  </w:footnote>
  <w:footnote w:id="48">
    <w:p w14:paraId="03684652" w14:textId="524D0209" w:rsidR="00E84D9E" w:rsidRPr="00E84D9E" w:rsidRDefault="00E84D9E">
      <w:pPr>
        <w:pStyle w:val="FootnoteText"/>
        <w:rPr>
          <w:lang w:val="en-GB"/>
        </w:rPr>
      </w:pPr>
      <w:r>
        <w:rPr>
          <w:rStyle w:val="FootnoteReference"/>
        </w:rPr>
        <w:footnoteRef/>
      </w:r>
      <w:r>
        <w:t xml:space="preserve"> Australian Law Reform Commission, </w:t>
      </w:r>
      <w:r>
        <w:rPr>
          <w:i/>
          <w:iCs/>
        </w:rPr>
        <w:t>Maximising the realisation of human rights: Religious educational institutions and anti-discrimination laws</w:t>
      </w:r>
      <w:r>
        <w:t xml:space="preserve"> (ALRC Report 142, December 2023)</w:t>
      </w:r>
      <w:r w:rsidR="00A03A8C">
        <w:t xml:space="preserve">, tabled in </w:t>
      </w:r>
      <w:r w:rsidR="00811D15">
        <w:t>the Commonwealth House of Representatives</w:t>
      </w:r>
      <w:r w:rsidR="00A03A8C">
        <w:t xml:space="preserve"> on </w:t>
      </w:r>
      <w:r w:rsidR="003568A2">
        <w:t>21 March 2024.</w:t>
      </w:r>
    </w:p>
  </w:footnote>
  <w:footnote w:id="49">
    <w:p w14:paraId="62AEE0C0" w14:textId="60EF2B52" w:rsidR="00986026" w:rsidRPr="00986026" w:rsidRDefault="00986026">
      <w:pPr>
        <w:pStyle w:val="FootnoteText"/>
        <w:rPr>
          <w:lang w:val="en-GB"/>
        </w:rPr>
      </w:pPr>
      <w:r>
        <w:rPr>
          <w:rStyle w:val="FootnoteReference"/>
        </w:rPr>
        <w:footnoteRef/>
      </w:r>
      <w:r>
        <w:t xml:space="preserve"> </w:t>
      </w:r>
      <w:proofErr w:type="gramStart"/>
      <w:r>
        <w:rPr>
          <w:lang w:val="en-GB"/>
        </w:rPr>
        <w:t>Similar to</w:t>
      </w:r>
      <w:proofErr w:type="gramEnd"/>
      <w:r>
        <w:rPr>
          <w:lang w:val="en-GB"/>
        </w:rPr>
        <w:t xml:space="preserve"> the exception in </w:t>
      </w:r>
      <w:r>
        <w:rPr>
          <w:i/>
          <w:iCs/>
          <w:lang w:val="en-GB"/>
        </w:rPr>
        <w:t>Anti-Discrimination Act 1992</w:t>
      </w:r>
      <w:r>
        <w:rPr>
          <w:lang w:val="en-GB"/>
        </w:rPr>
        <w:t xml:space="preserve"> (ACT), s </w:t>
      </w:r>
      <w:r w:rsidR="00196A6D">
        <w:rPr>
          <w:lang w:val="en-GB"/>
        </w:rPr>
        <w:t xml:space="preserve">44(b), </w:t>
      </w:r>
      <w:r w:rsidR="00D92E57">
        <w:rPr>
          <w:lang w:val="en-GB"/>
        </w:rPr>
        <w:t>allowing</w:t>
      </w:r>
      <w:r w:rsidR="00196A6D">
        <w:rPr>
          <w:lang w:val="en-GB"/>
        </w:rPr>
        <w:t xml:space="preserve"> </w:t>
      </w:r>
      <w:r w:rsidR="000B60E9">
        <w:rPr>
          <w:lang w:val="en-GB"/>
        </w:rPr>
        <w:t xml:space="preserve">discrimination by religious bodies </w:t>
      </w:r>
      <w:r w:rsidR="009A6571">
        <w:rPr>
          <w:lang w:val="en-GB"/>
        </w:rPr>
        <w:t>on the ground of religio</w:t>
      </w:r>
      <w:r w:rsidR="00B33263">
        <w:rPr>
          <w:lang w:val="en-GB"/>
        </w:rPr>
        <w:t xml:space="preserve">us conviction </w:t>
      </w:r>
      <w:r w:rsidR="000B60E9">
        <w:rPr>
          <w:lang w:val="en-GB"/>
        </w:rPr>
        <w:t>in relation to</w:t>
      </w:r>
      <w:r w:rsidR="00196A6D">
        <w:rPr>
          <w:lang w:val="en-GB"/>
        </w:rPr>
        <w:t xml:space="preserve"> </w:t>
      </w:r>
      <w:r w:rsidR="000B60E9">
        <w:t>employment or work in a hospital or other place conducted by the body in which health services are provided.</w:t>
      </w:r>
    </w:p>
  </w:footnote>
  <w:footnote w:id="50">
    <w:p w14:paraId="7DF8DC22" w14:textId="1A0D8455" w:rsidR="00FD4A08" w:rsidRPr="00FD4A08" w:rsidRDefault="00FD4A08">
      <w:pPr>
        <w:pStyle w:val="FootnoteText"/>
        <w:rPr>
          <w:lang w:val="en-GB"/>
        </w:rPr>
      </w:pPr>
      <w:r>
        <w:rPr>
          <w:rStyle w:val="FootnoteReference"/>
        </w:rPr>
        <w:footnoteRef/>
      </w:r>
      <w:r>
        <w:t xml:space="preserve"> Australian Law Reform Commission, </w:t>
      </w:r>
      <w:r>
        <w:rPr>
          <w:i/>
          <w:iCs/>
        </w:rPr>
        <w:t>Maximising the realisation of human rights: Religious educational institutions and anti-discrimination laws</w:t>
      </w:r>
      <w:r>
        <w:t xml:space="preserve"> (ALRC Report 142, December 2023), </w:t>
      </w:r>
      <w:r w:rsidR="00552C1C">
        <w:t>209</w:t>
      </w:r>
      <w:r w:rsidR="00552C1C">
        <w:rPr>
          <w:rFonts w:cs="Arial"/>
        </w:rPr>
        <w:t>–</w:t>
      </w:r>
      <w:r w:rsidR="001413D8">
        <w:t>2</w:t>
      </w:r>
      <w:r w:rsidR="008F3BC5">
        <w:t>40</w:t>
      </w:r>
      <w:r w:rsidR="00A8324B">
        <w:t xml:space="preserve">, </w:t>
      </w:r>
      <w:proofErr w:type="gramStart"/>
      <w:r w:rsidR="00A8324B">
        <w:t>in particular 217</w:t>
      </w:r>
      <w:proofErr w:type="gramEnd"/>
      <w:r w:rsidR="00613454">
        <w:rPr>
          <w:rFonts w:cs="Arial"/>
        </w:rPr>
        <w:t>–</w:t>
      </w:r>
      <w:r w:rsidR="00613454">
        <w:t>219</w:t>
      </w:r>
      <w:r w:rsidR="008F3BC5">
        <w:t>.</w:t>
      </w:r>
    </w:p>
  </w:footnote>
  <w:footnote w:id="51">
    <w:p w14:paraId="5B0B71E3" w14:textId="67AA30EC" w:rsidR="00215B69" w:rsidRDefault="00215B69">
      <w:pPr>
        <w:pStyle w:val="FootnoteText"/>
      </w:pPr>
      <w:r>
        <w:rPr>
          <w:rStyle w:val="FootnoteReference"/>
        </w:rPr>
        <w:footnoteRef/>
      </w:r>
      <w:r>
        <w:t xml:space="preserve"> </w:t>
      </w:r>
      <w:r w:rsidR="00DE051D">
        <w:t xml:space="preserve">Department of Justice and Attorney-General (Qld), </w:t>
      </w:r>
      <w:r w:rsidR="00DE051D" w:rsidRPr="000055D2">
        <w:rPr>
          <w:i/>
          <w:iCs/>
        </w:rPr>
        <w:t>Consultation Guide: Anti-Discrimination Bill 2024 (Exposure Draft)</w:t>
      </w:r>
      <w:r w:rsidR="00DE051D">
        <w:t xml:space="preserve"> February 2024</w:t>
      </w:r>
      <w:r w:rsidR="00C54319">
        <w:t>, 31.</w:t>
      </w:r>
    </w:p>
  </w:footnote>
  <w:footnote w:id="52">
    <w:p w14:paraId="72AC4AE2" w14:textId="5CF1FFEA" w:rsidR="0086062B" w:rsidRPr="001677E8" w:rsidRDefault="0086062B">
      <w:pPr>
        <w:pStyle w:val="FootnoteText"/>
        <w:rPr>
          <w:i/>
          <w:iCs/>
          <w:lang w:val="en-GB"/>
        </w:rPr>
      </w:pPr>
      <w:r>
        <w:rPr>
          <w:rStyle w:val="FootnoteReference"/>
        </w:rPr>
        <w:footnoteRef/>
      </w:r>
      <w:r>
        <w:t xml:space="preserve"> Australian Law Reform Commission, </w:t>
      </w:r>
      <w:r>
        <w:rPr>
          <w:i/>
          <w:iCs/>
        </w:rPr>
        <w:t>Maximising the</w:t>
      </w:r>
      <w:r w:rsidR="00A42248">
        <w:rPr>
          <w:i/>
          <w:iCs/>
        </w:rPr>
        <w:t xml:space="preserve"> realisation of human rights: Religious educational institutions and anti-discrimination laws</w:t>
      </w:r>
      <w:r w:rsidR="00A42248">
        <w:t xml:space="preserve"> (ALRC Report 142, December 2023), rec</w:t>
      </w:r>
      <w:r w:rsidR="00277FB5">
        <w:t xml:space="preserve"> 2</w:t>
      </w:r>
      <w:r w:rsidR="007C2B2A">
        <w:t xml:space="preserve">, concerning </w:t>
      </w:r>
      <w:r w:rsidR="007C2B2A">
        <w:rPr>
          <w:i/>
          <w:iCs/>
        </w:rPr>
        <w:t>Sex Discrimination Act 1984</w:t>
      </w:r>
      <w:r w:rsidR="007C2B2A">
        <w:t xml:space="preserve"> (</w:t>
      </w:r>
      <w:proofErr w:type="spellStart"/>
      <w:r w:rsidR="007C2B2A">
        <w:t>Cth</w:t>
      </w:r>
      <w:proofErr w:type="spellEnd"/>
      <w:r w:rsidR="007C2B2A">
        <w:t>), s 37</w:t>
      </w:r>
      <w:r w:rsidR="00277FB5">
        <w:t>.</w:t>
      </w:r>
    </w:p>
  </w:footnote>
  <w:footnote w:id="53">
    <w:p w14:paraId="4C724170" w14:textId="016F57A4" w:rsidR="00E42076" w:rsidRDefault="00E42076">
      <w:pPr>
        <w:pStyle w:val="FootnoteText"/>
      </w:pPr>
      <w:r>
        <w:rPr>
          <w:rStyle w:val="FootnoteReference"/>
        </w:rPr>
        <w:footnoteRef/>
      </w:r>
      <w:r>
        <w:t xml:space="preserve"> </w:t>
      </w:r>
      <w:r w:rsidR="007776E4" w:rsidRPr="007E7FDC">
        <w:rPr>
          <w:i/>
          <w:iCs/>
        </w:rPr>
        <w:t xml:space="preserve">Walsh v St Vincent de Paul Society Queensland </w:t>
      </w:r>
      <w:r w:rsidR="007776E4" w:rsidRPr="007776E4">
        <w:t>(No.2) [2008] QADT 32</w:t>
      </w:r>
      <w:r w:rsidR="007E7FDC">
        <w:t xml:space="preserve"> [</w:t>
      </w:r>
      <w:r w:rsidR="007347F0">
        <w:t>74]</w:t>
      </w:r>
      <w:proofErr w:type="gramStart"/>
      <w:r w:rsidR="007347F0">
        <w:rPr>
          <w:rFonts w:cs="Arial"/>
        </w:rPr>
        <w:t>–</w:t>
      </w:r>
      <w:r w:rsidR="007347F0">
        <w:t>[</w:t>
      </w:r>
      <w:proofErr w:type="gramEnd"/>
      <w:r w:rsidR="007347F0">
        <w:t>77]</w:t>
      </w:r>
      <w:r w:rsidR="007776E4" w:rsidRPr="007776E4">
        <w:t xml:space="preserve"> </w:t>
      </w:r>
      <w:r w:rsidR="007776E4">
        <w:t>(</w:t>
      </w:r>
      <w:r w:rsidR="007E7FDC">
        <w:t>Member Wensley QC);</w:t>
      </w:r>
      <w:r w:rsidRPr="00F92571">
        <w:rPr>
          <w:rStyle w:val="normaltextrun"/>
          <w:rFonts w:cs="Arial"/>
          <w:i/>
          <w:iCs/>
          <w:color w:val="000000"/>
          <w:szCs w:val="20"/>
          <w:shd w:val="clear" w:color="auto" w:fill="FFFFFF"/>
        </w:rPr>
        <w:t>Christian Youth Camps Ltd v </w:t>
      </w:r>
      <w:proofErr w:type="spellStart"/>
      <w:r w:rsidRPr="00F92571">
        <w:rPr>
          <w:rStyle w:val="normaltextrun"/>
          <w:rFonts w:cs="Arial"/>
          <w:i/>
          <w:iCs/>
          <w:color w:val="000000"/>
          <w:szCs w:val="20"/>
          <w:shd w:val="clear" w:color="auto" w:fill="FFFFFF"/>
        </w:rPr>
        <w:t>Cobaw</w:t>
      </w:r>
      <w:proofErr w:type="spellEnd"/>
      <w:r w:rsidRPr="00F92571">
        <w:rPr>
          <w:rStyle w:val="normaltextrun"/>
          <w:rFonts w:cs="Arial"/>
          <w:i/>
          <w:iCs/>
          <w:color w:val="000000"/>
          <w:szCs w:val="20"/>
          <w:shd w:val="clear" w:color="auto" w:fill="FFFFFF"/>
        </w:rPr>
        <w:t> Community Health Services Ltd</w:t>
      </w:r>
      <w:r w:rsidRPr="00F92571">
        <w:rPr>
          <w:rStyle w:val="normaltextrun"/>
          <w:rFonts w:cs="Arial"/>
          <w:color w:val="000000"/>
          <w:szCs w:val="20"/>
          <w:shd w:val="clear" w:color="auto" w:fill="FFFFFF"/>
        </w:rPr>
        <w:t> (2014) 50 VR 256 [226].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7C6F" w14:textId="77777777" w:rsidR="007C510E" w:rsidRPr="000731D3" w:rsidRDefault="007C510E" w:rsidP="000731D3">
    <w:pPr>
      <w:pStyle w:val="Header"/>
      <w:rPr>
        <w:rFonts w:cs="Arial"/>
        <w:color w:val="365F91" w:themeColor="accent1" w:themeShade="BF"/>
      </w:rPr>
    </w:pPr>
    <w:r>
      <w:rPr>
        <w:rFonts w:cs="Arial"/>
        <w:color w:val="365F91" w:themeColor="accent1" w:themeShade="BF"/>
      </w:rPr>
      <w:t>[title]</w:t>
    </w:r>
  </w:p>
  <w:p w14:paraId="0EBD9535" w14:textId="77777777" w:rsidR="007C510E" w:rsidRPr="000731D3" w:rsidRDefault="007C510E" w:rsidP="000731D3">
    <w:pPr>
      <w:pStyle w:val="Header"/>
      <w:pBdr>
        <w:bottom w:val="single" w:sz="4" w:space="1" w:color="auto"/>
      </w:pBdr>
      <w:rPr>
        <w:rFonts w:cs="Arial"/>
        <w:sz w:val="20"/>
        <w:szCs w:val="20"/>
      </w:rPr>
    </w:pPr>
  </w:p>
  <w:p w14:paraId="1A11C56F" w14:textId="77777777" w:rsidR="007C510E" w:rsidRPr="000731D3" w:rsidRDefault="007C510E"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369D"/>
    <w:multiLevelType w:val="hybridMultilevel"/>
    <w:tmpl w:val="B06E082E"/>
    <w:lvl w:ilvl="0" w:tplc="F9F602BE">
      <w:start w:val="1"/>
      <w:numFmt w:val="lowerRoman"/>
      <w:lvlText w:val="(%1)"/>
      <w:lvlJc w:val="left"/>
      <w:pPr>
        <w:ind w:left="720" w:hanging="72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C321BFF"/>
    <w:multiLevelType w:val="hybridMultilevel"/>
    <w:tmpl w:val="2F66E5B2"/>
    <w:lvl w:ilvl="0" w:tplc="22C0618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CC2EF1"/>
    <w:multiLevelType w:val="hybridMultilevel"/>
    <w:tmpl w:val="B06E082E"/>
    <w:lvl w:ilvl="0" w:tplc="FFFFFFFF">
      <w:start w:val="1"/>
      <w:numFmt w:val="lowerRoman"/>
      <w:lvlText w:val="(%1)"/>
      <w:lvlJc w:val="left"/>
      <w:pPr>
        <w:ind w:left="720" w:hanging="72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1C6F4A"/>
    <w:multiLevelType w:val="multilevel"/>
    <w:tmpl w:val="DBBE8DDE"/>
    <w:lvl w:ilvl="0">
      <w:start w:val="1"/>
      <w:numFmt w:val="bullet"/>
      <w:lvlText w:val=""/>
      <w:lvlJc w:val="left"/>
      <w:pPr>
        <w:ind w:left="1985"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4" w15:restartNumberingAfterBreak="0">
    <w:nsid w:val="10250E7E"/>
    <w:multiLevelType w:val="multilevel"/>
    <w:tmpl w:val="FF6A10E4"/>
    <w:lvl w:ilvl="0">
      <w:start w:val="1"/>
      <w:numFmt w:val="decimal"/>
      <w:pStyle w:val="Numberedparagraph"/>
      <w:lvlText w:val="%1."/>
      <w:lvlJc w:val="left"/>
      <w:pPr>
        <w:ind w:left="567" w:hanging="567"/>
      </w:pPr>
      <w:rPr>
        <w:rFonts w:ascii="Arial" w:hAnsi="Arial" w:cs="Arial" w:hint="default"/>
        <w:i w:val="0"/>
        <w:iCs w:val="0"/>
        <w:sz w:val="22"/>
        <w:szCs w:val="22"/>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 w15:restartNumberingAfterBreak="0">
    <w:nsid w:val="14DA1108"/>
    <w:multiLevelType w:val="multilevel"/>
    <w:tmpl w:val="41466C6E"/>
    <w:lvl w:ilvl="0">
      <w:start w:val="1"/>
      <w:numFmt w:val="bullet"/>
      <w:lvlText w:val=""/>
      <w:lvlJc w:val="left"/>
      <w:pPr>
        <w:ind w:left="1134" w:hanging="567"/>
      </w:pPr>
      <w:rPr>
        <w:rFonts w:ascii="Symbol" w:hAnsi="Symbol" w:hint="default"/>
      </w:rPr>
    </w:lvl>
    <w:lvl w:ilvl="1">
      <w:start w:val="1"/>
      <w:numFmt w:val="lowerLetter"/>
      <w:lvlText w:val="%2."/>
      <w:lvlJc w:val="left"/>
      <w:pPr>
        <w:ind w:left="1474" w:hanging="283"/>
      </w:pPr>
      <w:rPr>
        <w:rFonts w:hint="default"/>
        <w:b w:val="0"/>
        <w:i w:val="0"/>
        <w:sz w:val="24"/>
      </w:rPr>
    </w:lvl>
    <w:lvl w:ilvl="2">
      <w:start w:val="1"/>
      <w:numFmt w:val="lowerRoman"/>
      <w:lvlText w:val="%3."/>
      <w:lvlJc w:val="right"/>
      <w:pPr>
        <w:ind w:left="1814" w:hanging="113"/>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6" w15:restartNumberingAfterBreak="0">
    <w:nsid w:val="165A2450"/>
    <w:multiLevelType w:val="hybridMultilevel"/>
    <w:tmpl w:val="C554CB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501E51"/>
    <w:multiLevelType w:val="hybridMultilevel"/>
    <w:tmpl w:val="762E6188"/>
    <w:lvl w:ilvl="0" w:tplc="4BA6A0E6">
      <w:start w:val="2"/>
      <w:numFmt w:val="decimal"/>
      <w:lvlText w:val="(%1)"/>
      <w:lvlJc w:val="left"/>
      <w:pPr>
        <w:ind w:left="126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753544"/>
    <w:multiLevelType w:val="hybridMultilevel"/>
    <w:tmpl w:val="7BF03878"/>
    <w:lvl w:ilvl="0" w:tplc="70E683AA">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F660E10"/>
    <w:multiLevelType w:val="hybridMultilevel"/>
    <w:tmpl w:val="D02835E6"/>
    <w:lvl w:ilvl="0" w:tplc="9A262B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070707"/>
    <w:multiLevelType w:val="multilevel"/>
    <w:tmpl w:val="2D68494C"/>
    <w:lvl w:ilvl="0">
      <w:start w:val="1"/>
      <w:numFmt w:val="lowerRoman"/>
      <w:lvlText w:val="%1."/>
      <w:lvlJc w:val="right"/>
      <w:pPr>
        <w:ind w:left="1985" w:hanging="567"/>
      </w:pPr>
      <w:rPr>
        <w:rFonts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1" w15:restartNumberingAfterBreak="0">
    <w:nsid w:val="470B3FAC"/>
    <w:multiLevelType w:val="multilevel"/>
    <w:tmpl w:val="F202FC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05931"/>
    <w:multiLevelType w:val="hybridMultilevel"/>
    <w:tmpl w:val="D060A5B0"/>
    <w:lvl w:ilvl="0" w:tplc="13A26B8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A6A78A6"/>
    <w:multiLevelType w:val="hybridMultilevel"/>
    <w:tmpl w:val="970C4332"/>
    <w:lvl w:ilvl="0" w:tplc="7E1EA18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3286A35"/>
    <w:multiLevelType w:val="multilevel"/>
    <w:tmpl w:val="D9065636"/>
    <w:lvl w:ilvl="0">
      <w:start w:val="1"/>
      <w:numFmt w:val="bullet"/>
      <w:lvlText w:val=""/>
      <w:lvlJc w:val="left"/>
      <w:pPr>
        <w:ind w:left="567" w:hanging="567"/>
      </w:pPr>
      <w:rPr>
        <w:rFonts w:ascii="Symbol" w:hAnsi="Symbol" w:hint="default"/>
        <w:sz w:val="22"/>
        <w:szCs w:val="22"/>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5" w15:restartNumberingAfterBreak="0">
    <w:nsid w:val="5333BCA6"/>
    <w:multiLevelType w:val="hybridMultilevel"/>
    <w:tmpl w:val="6EF4F78A"/>
    <w:lvl w:ilvl="0" w:tplc="FC7A6486">
      <w:start w:val="1"/>
      <w:numFmt w:val="bullet"/>
      <w:lvlText w:val=""/>
      <w:lvlJc w:val="left"/>
      <w:pPr>
        <w:ind w:left="720" w:hanging="360"/>
      </w:pPr>
      <w:rPr>
        <w:rFonts w:ascii="Symbol" w:hAnsi="Symbol" w:hint="default"/>
      </w:rPr>
    </w:lvl>
    <w:lvl w:ilvl="1" w:tplc="E83A8040">
      <w:start w:val="1"/>
      <w:numFmt w:val="bullet"/>
      <w:lvlText w:val="o"/>
      <w:lvlJc w:val="left"/>
      <w:pPr>
        <w:ind w:left="1440" w:hanging="360"/>
      </w:pPr>
      <w:rPr>
        <w:rFonts w:ascii="Courier New" w:hAnsi="Courier New" w:hint="default"/>
      </w:rPr>
    </w:lvl>
    <w:lvl w:ilvl="2" w:tplc="A9F0F430">
      <w:start w:val="1"/>
      <w:numFmt w:val="bullet"/>
      <w:lvlText w:val=""/>
      <w:lvlJc w:val="left"/>
      <w:pPr>
        <w:ind w:left="2160" w:hanging="360"/>
      </w:pPr>
      <w:rPr>
        <w:rFonts w:ascii="Wingdings" w:hAnsi="Wingdings" w:hint="default"/>
      </w:rPr>
    </w:lvl>
    <w:lvl w:ilvl="3" w:tplc="895AC176">
      <w:start w:val="1"/>
      <w:numFmt w:val="bullet"/>
      <w:lvlText w:val=""/>
      <w:lvlJc w:val="left"/>
      <w:pPr>
        <w:ind w:left="2880" w:hanging="360"/>
      </w:pPr>
      <w:rPr>
        <w:rFonts w:ascii="Symbol" w:hAnsi="Symbol" w:hint="default"/>
      </w:rPr>
    </w:lvl>
    <w:lvl w:ilvl="4" w:tplc="63F66A40">
      <w:start w:val="1"/>
      <w:numFmt w:val="bullet"/>
      <w:lvlText w:val="o"/>
      <w:lvlJc w:val="left"/>
      <w:pPr>
        <w:ind w:left="3600" w:hanging="360"/>
      </w:pPr>
      <w:rPr>
        <w:rFonts w:ascii="Courier New" w:hAnsi="Courier New" w:hint="default"/>
      </w:rPr>
    </w:lvl>
    <w:lvl w:ilvl="5" w:tplc="A96874BA">
      <w:start w:val="1"/>
      <w:numFmt w:val="bullet"/>
      <w:lvlText w:val=""/>
      <w:lvlJc w:val="left"/>
      <w:pPr>
        <w:ind w:left="4320" w:hanging="360"/>
      </w:pPr>
      <w:rPr>
        <w:rFonts w:ascii="Wingdings" w:hAnsi="Wingdings" w:hint="default"/>
      </w:rPr>
    </w:lvl>
    <w:lvl w:ilvl="6" w:tplc="92F07588">
      <w:start w:val="1"/>
      <w:numFmt w:val="bullet"/>
      <w:lvlText w:val=""/>
      <w:lvlJc w:val="left"/>
      <w:pPr>
        <w:ind w:left="5040" w:hanging="360"/>
      </w:pPr>
      <w:rPr>
        <w:rFonts w:ascii="Symbol" w:hAnsi="Symbol" w:hint="default"/>
      </w:rPr>
    </w:lvl>
    <w:lvl w:ilvl="7" w:tplc="813C4A9C">
      <w:start w:val="1"/>
      <w:numFmt w:val="bullet"/>
      <w:lvlText w:val="o"/>
      <w:lvlJc w:val="left"/>
      <w:pPr>
        <w:ind w:left="5760" w:hanging="360"/>
      </w:pPr>
      <w:rPr>
        <w:rFonts w:ascii="Courier New" w:hAnsi="Courier New" w:hint="default"/>
      </w:rPr>
    </w:lvl>
    <w:lvl w:ilvl="8" w:tplc="9D02E1C4">
      <w:start w:val="1"/>
      <w:numFmt w:val="bullet"/>
      <w:lvlText w:val=""/>
      <w:lvlJc w:val="left"/>
      <w:pPr>
        <w:ind w:left="6480" w:hanging="360"/>
      </w:pPr>
      <w:rPr>
        <w:rFonts w:ascii="Wingdings" w:hAnsi="Wingdings" w:hint="default"/>
      </w:rPr>
    </w:lvl>
  </w:abstractNum>
  <w:abstractNum w:abstractNumId="16" w15:restartNumberingAfterBreak="0">
    <w:nsid w:val="54E21BB7"/>
    <w:multiLevelType w:val="hybridMultilevel"/>
    <w:tmpl w:val="34ACFCBA"/>
    <w:lvl w:ilvl="0" w:tplc="ADA4174C">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5A2D36E0"/>
    <w:multiLevelType w:val="multilevel"/>
    <w:tmpl w:val="D9065636"/>
    <w:lvl w:ilvl="0">
      <w:start w:val="1"/>
      <w:numFmt w:val="bullet"/>
      <w:lvlText w:val=""/>
      <w:lvlJc w:val="left"/>
      <w:pPr>
        <w:ind w:left="567" w:hanging="567"/>
      </w:pPr>
      <w:rPr>
        <w:rFonts w:ascii="Symbol" w:hAnsi="Symbol" w:hint="default"/>
        <w:sz w:val="22"/>
        <w:szCs w:val="22"/>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8" w15:restartNumberingAfterBreak="0">
    <w:nsid w:val="5E8709AA"/>
    <w:multiLevelType w:val="hybridMultilevel"/>
    <w:tmpl w:val="FFFFFFFF"/>
    <w:lvl w:ilvl="0" w:tplc="C51C5F98">
      <w:start w:val="1"/>
      <w:numFmt w:val="bullet"/>
      <w:lvlText w:val=""/>
      <w:lvlJc w:val="left"/>
      <w:pPr>
        <w:ind w:left="720" w:hanging="360"/>
      </w:pPr>
      <w:rPr>
        <w:rFonts w:ascii="Symbol" w:hAnsi="Symbol" w:hint="default"/>
      </w:rPr>
    </w:lvl>
    <w:lvl w:ilvl="1" w:tplc="A9E09B20">
      <w:start w:val="1"/>
      <w:numFmt w:val="bullet"/>
      <w:lvlText w:val="o"/>
      <w:lvlJc w:val="left"/>
      <w:pPr>
        <w:ind w:left="1440" w:hanging="360"/>
      </w:pPr>
      <w:rPr>
        <w:rFonts w:ascii="Courier New" w:hAnsi="Courier New" w:hint="default"/>
      </w:rPr>
    </w:lvl>
    <w:lvl w:ilvl="2" w:tplc="8E746DBA">
      <w:start w:val="1"/>
      <w:numFmt w:val="bullet"/>
      <w:lvlText w:val=""/>
      <w:lvlJc w:val="left"/>
      <w:pPr>
        <w:ind w:left="2160" w:hanging="360"/>
      </w:pPr>
      <w:rPr>
        <w:rFonts w:ascii="Wingdings" w:hAnsi="Wingdings" w:hint="default"/>
      </w:rPr>
    </w:lvl>
    <w:lvl w:ilvl="3" w:tplc="02BA1568">
      <w:start w:val="1"/>
      <w:numFmt w:val="bullet"/>
      <w:lvlText w:val=""/>
      <w:lvlJc w:val="left"/>
      <w:pPr>
        <w:ind w:left="2880" w:hanging="360"/>
      </w:pPr>
      <w:rPr>
        <w:rFonts w:ascii="Symbol" w:hAnsi="Symbol" w:hint="default"/>
      </w:rPr>
    </w:lvl>
    <w:lvl w:ilvl="4" w:tplc="AB0ED622">
      <w:start w:val="1"/>
      <w:numFmt w:val="bullet"/>
      <w:lvlText w:val="o"/>
      <w:lvlJc w:val="left"/>
      <w:pPr>
        <w:ind w:left="3600" w:hanging="360"/>
      </w:pPr>
      <w:rPr>
        <w:rFonts w:ascii="Courier New" w:hAnsi="Courier New" w:hint="default"/>
      </w:rPr>
    </w:lvl>
    <w:lvl w:ilvl="5" w:tplc="73EA7610">
      <w:start w:val="1"/>
      <w:numFmt w:val="bullet"/>
      <w:lvlText w:val=""/>
      <w:lvlJc w:val="left"/>
      <w:pPr>
        <w:ind w:left="4320" w:hanging="360"/>
      </w:pPr>
      <w:rPr>
        <w:rFonts w:ascii="Wingdings" w:hAnsi="Wingdings" w:hint="default"/>
      </w:rPr>
    </w:lvl>
    <w:lvl w:ilvl="6" w:tplc="B6C65842">
      <w:start w:val="1"/>
      <w:numFmt w:val="bullet"/>
      <w:lvlText w:val=""/>
      <w:lvlJc w:val="left"/>
      <w:pPr>
        <w:ind w:left="5040" w:hanging="360"/>
      </w:pPr>
      <w:rPr>
        <w:rFonts w:ascii="Symbol" w:hAnsi="Symbol" w:hint="default"/>
      </w:rPr>
    </w:lvl>
    <w:lvl w:ilvl="7" w:tplc="4B960E98">
      <w:start w:val="1"/>
      <w:numFmt w:val="bullet"/>
      <w:lvlText w:val="o"/>
      <w:lvlJc w:val="left"/>
      <w:pPr>
        <w:ind w:left="5760" w:hanging="360"/>
      </w:pPr>
      <w:rPr>
        <w:rFonts w:ascii="Courier New" w:hAnsi="Courier New" w:hint="default"/>
      </w:rPr>
    </w:lvl>
    <w:lvl w:ilvl="8" w:tplc="25A6D05E">
      <w:start w:val="1"/>
      <w:numFmt w:val="bullet"/>
      <w:lvlText w:val=""/>
      <w:lvlJc w:val="left"/>
      <w:pPr>
        <w:ind w:left="6480" w:hanging="360"/>
      </w:pPr>
      <w:rPr>
        <w:rFonts w:ascii="Wingdings" w:hAnsi="Wingdings" w:hint="default"/>
      </w:rPr>
    </w:lvl>
  </w:abstractNum>
  <w:abstractNum w:abstractNumId="19" w15:restartNumberingAfterBreak="0">
    <w:nsid w:val="5F865BF0"/>
    <w:multiLevelType w:val="hybridMultilevel"/>
    <w:tmpl w:val="A0BAB1BE"/>
    <w:lvl w:ilvl="0" w:tplc="3E3CF71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7B0C01"/>
    <w:multiLevelType w:val="hybridMultilevel"/>
    <w:tmpl w:val="59F8EAF6"/>
    <w:lvl w:ilvl="0" w:tplc="105C1228">
      <w:start w:val="1"/>
      <w:numFmt w:val="lowerRoman"/>
      <w:lvlText w:val="(%1)"/>
      <w:lvlJc w:val="left"/>
      <w:pPr>
        <w:ind w:left="72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80E217B"/>
    <w:multiLevelType w:val="multilevel"/>
    <w:tmpl w:val="97A06F3E"/>
    <w:lvl w:ilvl="0">
      <w:start w:val="1"/>
      <w:numFmt w:val="bullet"/>
      <w:pStyle w:val="Bulletedlist"/>
      <w:lvlText w:val=""/>
      <w:lvlJc w:val="left"/>
      <w:pPr>
        <w:ind w:left="1985"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2" w15:restartNumberingAfterBreak="0">
    <w:nsid w:val="6A8F5085"/>
    <w:multiLevelType w:val="multilevel"/>
    <w:tmpl w:val="103E7414"/>
    <w:lvl w:ilvl="0">
      <w:start w:val="1"/>
      <w:numFmt w:val="bullet"/>
      <w:lvlText w:val=""/>
      <w:lvlJc w:val="left"/>
      <w:pPr>
        <w:ind w:left="567" w:hanging="567"/>
      </w:pPr>
      <w:rPr>
        <w:rFonts w:ascii="Symbol" w:hAnsi="Symbol" w:hint="default"/>
        <w:sz w:val="22"/>
        <w:szCs w:val="22"/>
      </w:rPr>
    </w:lvl>
    <w:lvl w:ilvl="1">
      <w:start w:val="1"/>
      <w:numFmt w:val="bullet"/>
      <w:lvlText w:val=""/>
      <w:lvlJc w:val="left"/>
      <w:pPr>
        <w:ind w:left="984" w:hanging="360"/>
      </w:pPr>
      <w:rPr>
        <w:rFonts w:ascii="Symbol" w:hAnsi="Symbol" w:hint="default"/>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3" w15:restartNumberingAfterBreak="0">
    <w:nsid w:val="6AB57244"/>
    <w:multiLevelType w:val="hybridMultilevel"/>
    <w:tmpl w:val="C554CBBC"/>
    <w:lvl w:ilvl="0" w:tplc="A5ECC49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3078C5"/>
    <w:multiLevelType w:val="hybridMultilevel"/>
    <w:tmpl w:val="B06E082E"/>
    <w:lvl w:ilvl="0" w:tplc="FFFFFFFF">
      <w:start w:val="1"/>
      <w:numFmt w:val="lowerRoman"/>
      <w:lvlText w:val="(%1)"/>
      <w:lvlJc w:val="left"/>
      <w:pPr>
        <w:ind w:left="720" w:hanging="72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A055E28"/>
    <w:multiLevelType w:val="hybridMultilevel"/>
    <w:tmpl w:val="422A960C"/>
    <w:lvl w:ilvl="0" w:tplc="21A048D4">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A8B6D27"/>
    <w:multiLevelType w:val="hybridMultilevel"/>
    <w:tmpl w:val="F1CA6FC4"/>
    <w:lvl w:ilvl="0" w:tplc="CB2AA590">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DCF3A8D"/>
    <w:multiLevelType w:val="hybridMultilevel"/>
    <w:tmpl w:val="12A8246E"/>
    <w:lvl w:ilvl="0" w:tplc="898C2CC6">
      <w:start w:val="1"/>
      <w:numFmt w:val="decimal"/>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28" w15:restartNumberingAfterBreak="0">
    <w:nsid w:val="7EE54FF7"/>
    <w:multiLevelType w:val="hybridMultilevel"/>
    <w:tmpl w:val="B872A198"/>
    <w:lvl w:ilvl="0" w:tplc="BD061840">
      <w:start w:val="1"/>
      <w:numFmt w:val="bullet"/>
      <w:lvlText w:val=""/>
      <w:lvlJc w:val="left"/>
      <w:pPr>
        <w:ind w:left="720" w:hanging="360"/>
      </w:pPr>
      <w:rPr>
        <w:rFonts w:ascii="Symbol" w:hAnsi="Symbol" w:hint="default"/>
      </w:rPr>
    </w:lvl>
    <w:lvl w:ilvl="1" w:tplc="9E128A92">
      <w:start w:val="1"/>
      <w:numFmt w:val="bullet"/>
      <w:lvlText w:val="o"/>
      <w:lvlJc w:val="left"/>
      <w:pPr>
        <w:ind w:left="1440" w:hanging="360"/>
      </w:pPr>
      <w:rPr>
        <w:rFonts w:ascii="Courier New" w:hAnsi="Courier New" w:hint="default"/>
      </w:rPr>
    </w:lvl>
    <w:lvl w:ilvl="2" w:tplc="A9907086">
      <w:start w:val="1"/>
      <w:numFmt w:val="bullet"/>
      <w:lvlText w:val=""/>
      <w:lvlJc w:val="left"/>
      <w:pPr>
        <w:ind w:left="2160" w:hanging="360"/>
      </w:pPr>
      <w:rPr>
        <w:rFonts w:ascii="Wingdings" w:hAnsi="Wingdings" w:hint="default"/>
      </w:rPr>
    </w:lvl>
    <w:lvl w:ilvl="3" w:tplc="4D4A8DD8">
      <w:start w:val="1"/>
      <w:numFmt w:val="bullet"/>
      <w:lvlText w:val=""/>
      <w:lvlJc w:val="left"/>
      <w:pPr>
        <w:ind w:left="2880" w:hanging="360"/>
      </w:pPr>
      <w:rPr>
        <w:rFonts w:ascii="Symbol" w:hAnsi="Symbol" w:hint="default"/>
      </w:rPr>
    </w:lvl>
    <w:lvl w:ilvl="4" w:tplc="41640368">
      <w:start w:val="1"/>
      <w:numFmt w:val="bullet"/>
      <w:lvlText w:val="o"/>
      <w:lvlJc w:val="left"/>
      <w:pPr>
        <w:ind w:left="3600" w:hanging="360"/>
      </w:pPr>
      <w:rPr>
        <w:rFonts w:ascii="Courier New" w:hAnsi="Courier New" w:hint="default"/>
      </w:rPr>
    </w:lvl>
    <w:lvl w:ilvl="5" w:tplc="E7B6E09A">
      <w:start w:val="1"/>
      <w:numFmt w:val="bullet"/>
      <w:lvlText w:val=""/>
      <w:lvlJc w:val="left"/>
      <w:pPr>
        <w:ind w:left="4320" w:hanging="360"/>
      </w:pPr>
      <w:rPr>
        <w:rFonts w:ascii="Wingdings" w:hAnsi="Wingdings" w:hint="default"/>
      </w:rPr>
    </w:lvl>
    <w:lvl w:ilvl="6" w:tplc="1A9ACFBE">
      <w:start w:val="1"/>
      <w:numFmt w:val="bullet"/>
      <w:lvlText w:val=""/>
      <w:lvlJc w:val="left"/>
      <w:pPr>
        <w:ind w:left="5040" w:hanging="360"/>
      </w:pPr>
      <w:rPr>
        <w:rFonts w:ascii="Symbol" w:hAnsi="Symbol" w:hint="default"/>
      </w:rPr>
    </w:lvl>
    <w:lvl w:ilvl="7" w:tplc="427055C4">
      <w:start w:val="1"/>
      <w:numFmt w:val="bullet"/>
      <w:lvlText w:val="o"/>
      <w:lvlJc w:val="left"/>
      <w:pPr>
        <w:ind w:left="5760" w:hanging="360"/>
      </w:pPr>
      <w:rPr>
        <w:rFonts w:ascii="Courier New" w:hAnsi="Courier New" w:hint="default"/>
      </w:rPr>
    </w:lvl>
    <w:lvl w:ilvl="8" w:tplc="C8D8AAB6">
      <w:start w:val="1"/>
      <w:numFmt w:val="bullet"/>
      <w:lvlText w:val=""/>
      <w:lvlJc w:val="left"/>
      <w:pPr>
        <w:ind w:left="6480" w:hanging="360"/>
      </w:pPr>
      <w:rPr>
        <w:rFonts w:ascii="Wingdings" w:hAnsi="Wingdings" w:hint="default"/>
      </w:rPr>
    </w:lvl>
  </w:abstractNum>
  <w:num w:numId="1" w16cid:durableId="1925988804">
    <w:abstractNumId w:val="4"/>
  </w:num>
  <w:num w:numId="2" w16cid:durableId="633802199">
    <w:abstractNumId w:val="21"/>
  </w:num>
  <w:num w:numId="3" w16cid:durableId="669141725">
    <w:abstractNumId w:val="26"/>
  </w:num>
  <w:num w:numId="4" w16cid:durableId="1512833827">
    <w:abstractNumId w:val="8"/>
  </w:num>
  <w:num w:numId="5" w16cid:durableId="1771779838">
    <w:abstractNumId w:val="25"/>
  </w:num>
  <w:num w:numId="6" w16cid:durableId="1521889049">
    <w:abstractNumId w:val="5"/>
  </w:num>
  <w:num w:numId="7" w16cid:durableId="950435700">
    <w:abstractNumId w:val="0"/>
  </w:num>
  <w:num w:numId="8" w16cid:durableId="1048185146">
    <w:abstractNumId w:val="20"/>
  </w:num>
  <w:num w:numId="9" w16cid:durableId="1993605932">
    <w:abstractNumId w:val="24"/>
  </w:num>
  <w:num w:numId="10" w16cid:durableId="1601833419">
    <w:abstractNumId w:val="2"/>
  </w:num>
  <w:num w:numId="11" w16cid:durableId="1042554315">
    <w:abstractNumId w:val="12"/>
  </w:num>
  <w:num w:numId="12" w16cid:durableId="1985041091">
    <w:abstractNumId w:val="16"/>
  </w:num>
  <w:num w:numId="13" w16cid:durableId="1828857643">
    <w:abstractNumId w:val="9"/>
  </w:num>
  <w:num w:numId="14" w16cid:durableId="123353640">
    <w:abstractNumId w:val="27"/>
  </w:num>
  <w:num w:numId="15" w16cid:durableId="39715563">
    <w:abstractNumId w:val="11"/>
  </w:num>
  <w:num w:numId="16" w16cid:durableId="842621465">
    <w:abstractNumId w:val="28"/>
  </w:num>
  <w:num w:numId="17" w16cid:durableId="693000083">
    <w:abstractNumId w:val="18"/>
  </w:num>
  <w:num w:numId="18" w16cid:durableId="590159973">
    <w:abstractNumId w:val="15"/>
  </w:num>
  <w:num w:numId="19" w16cid:durableId="1655178585">
    <w:abstractNumId w:val="23"/>
  </w:num>
  <w:num w:numId="20" w16cid:durableId="1777476798">
    <w:abstractNumId w:val="13"/>
  </w:num>
  <w:num w:numId="21" w16cid:durableId="1077630908">
    <w:abstractNumId w:val="6"/>
  </w:num>
  <w:num w:numId="22" w16cid:durableId="367147628">
    <w:abstractNumId w:val="1"/>
  </w:num>
  <w:num w:numId="23" w16cid:durableId="559484145">
    <w:abstractNumId w:val="7"/>
  </w:num>
  <w:num w:numId="24" w16cid:durableId="1314143568">
    <w:abstractNumId w:val="14"/>
  </w:num>
  <w:num w:numId="25" w16cid:durableId="83109201">
    <w:abstractNumId w:val="17"/>
  </w:num>
  <w:num w:numId="26" w16cid:durableId="1404988880">
    <w:abstractNumId w:val="22"/>
  </w:num>
  <w:num w:numId="27" w16cid:durableId="1474180880">
    <w:abstractNumId w:val="10"/>
  </w:num>
  <w:num w:numId="28" w16cid:durableId="84428250">
    <w:abstractNumId w:val="19"/>
  </w:num>
  <w:num w:numId="29" w16cid:durableId="71644181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4C"/>
    <w:rsid w:val="00000055"/>
    <w:rsid w:val="0000018A"/>
    <w:rsid w:val="00000324"/>
    <w:rsid w:val="000005FA"/>
    <w:rsid w:val="00000AE7"/>
    <w:rsid w:val="00000B9B"/>
    <w:rsid w:val="00000DAD"/>
    <w:rsid w:val="00001E5A"/>
    <w:rsid w:val="000021CD"/>
    <w:rsid w:val="000021E6"/>
    <w:rsid w:val="00002C60"/>
    <w:rsid w:val="00002CA2"/>
    <w:rsid w:val="00002F05"/>
    <w:rsid w:val="000030BA"/>
    <w:rsid w:val="000033D4"/>
    <w:rsid w:val="000037A4"/>
    <w:rsid w:val="000037AA"/>
    <w:rsid w:val="00003C40"/>
    <w:rsid w:val="00003CD9"/>
    <w:rsid w:val="00004E17"/>
    <w:rsid w:val="00005186"/>
    <w:rsid w:val="00005304"/>
    <w:rsid w:val="0000537C"/>
    <w:rsid w:val="000055E4"/>
    <w:rsid w:val="000057C4"/>
    <w:rsid w:val="00005AAA"/>
    <w:rsid w:val="00005AD6"/>
    <w:rsid w:val="00005BE3"/>
    <w:rsid w:val="00006689"/>
    <w:rsid w:val="00007707"/>
    <w:rsid w:val="00007802"/>
    <w:rsid w:val="00007B12"/>
    <w:rsid w:val="00007E2F"/>
    <w:rsid w:val="00007F77"/>
    <w:rsid w:val="0001075A"/>
    <w:rsid w:val="000107E5"/>
    <w:rsid w:val="00010D45"/>
    <w:rsid w:val="00010F2F"/>
    <w:rsid w:val="00010F91"/>
    <w:rsid w:val="00010FEB"/>
    <w:rsid w:val="00011A22"/>
    <w:rsid w:val="0001230B"/>
    <w:rsid w:val="00012435"/>
    <w:rsid w:val="00012B39"/>
    <w:rsid w:val="0001333C"/>
    <w:rsid w:val="000135C1"/>
    <w:rsid w:val="0001390F"/>
    <w:rsid w:val="000143C1"/>
    <w:rsid w:val="000145FE"/>
    <w:rsid w:val="000153C5"/>
    <w:rsid w:val="00015508"/>
    <w:rsid w:val="00015A53"/>
    <w:rsid w:val="00015FE1"/>
    <w:rsid w:val="00016051"/>
    <w:rsid w:val="00016824"/>
    <w:rsid w:val="000178A6"/>
    <w:rsid w:val="00017C17"/>
    <w:rsid w:val="00017F32"/>
    <w:rsid w:val="0002018D"/>
    <w:rsid w:val="000202D0"/>
    <w:rsid w:val="0002083A"/>
    <w:rsid w:val="00020D68"/>
    <w:rsid w:val="00021318"/>
    <w:rsid w:val="000217A0"/>
    <w:rsid w:val="0002193F"/>
    <w:rsid w:val="00021D8C"/>
    <w:rsid w:val="00021F7E"/>
    <w:rsid w:val="000220BC"/>
    <w:rsid w:val="000224CC"/>
    <w:rsid w:val="00022567"/>
    <w:rsid w:val="000228CD"/>
    <w:rsid w:val="00022978"/>
    <w:rsid w:val="0002351E"/>
    <w:rsid w:val="000238EE"/>
    <w:rsid w:val="00023D4C"/>
    <w:rsid w:val="00023EC7"/>
    <w:rsid w:val="000244B2"/>
    <w:rsid w:val="0002452F"/>
    <w:rsid w:val="00024623"/>
    <w:rsid w:val="00024759"/>
    <w:rsid w:val="00024CFB"/>
    <w:rsid w:val="00024D3A"/>
    <w:rsid w:val="00025089"/>
    <w:rsid w:val="00025C78"/>
    <w:rsid w:val="0002612D"/>
    <w:rsid w:val="0002647E"/>
    <w:rsid w:val="000264AB"/>
    <w:rsid w:val="000269BA"/>
    <w:rsid w:val="00027091"/>
    <w:rsid w:val="000273B6"/>
    <w:rsid w:val="00027622"/>
    <w:rsid w:val="000277E7"/>
    <w:rsid w:val="0002781D"/>
    <w:rsid w:val="00027856"/>
    <w:rsid w:val="00027999"/>
    <w:rsid w:val="000279DE"/>
    <w:rsid w:val="00027B02"/>
    <w:rsid w:val="00027BDD"/>
    <w:rsid w:val="00027F9C"/>
    <w:rsid w:val="000301A7"/>
    <w:rsid w:val="00030BAE"/>
    <w:rsid w:val="000311CE"/>
    <w:rsid w:val="000313A4"/>
    <w:rsid w:val="00031854"/>
    <w:rsid w:val="000318DE"/>
    <w:rsid w:val="00031A46"/>
    <w:rsid w:val="000321FD"/>
    <w:rsid w:val="0003235D"/>
    <w:rsid w:val="00032A4D"/>
    <w:rsid w:val="0003318C"/>
    <w:rsid w:val="00033540"/>
    <w:rsid w:val="0003355E"/>
    <w:rsid w:val="000335BB"/>
    <w:rsid w:val="00033BAD"/>
    <w:rsid w:val="00033DAE"/>
    <w:rsid w:val="00033E84"/>
    <w:rsid w:val="000341DE"/>
    <w:rsid w:val="00035186"/>
    <w:rsid w:val="00035507"/>
    <w:rsid w:val="00035F5E"/>
    <w:rsid w:val="0003634E"/>
    <w:rsid w:val="000368D3"/>
    <w:rsid w:val="00037CCE"/>
    <w:rsid w:val="00037D7C"/>
    <w:rsid w:val="00040114"/>
    <w:rsid w:val="000401F1"/>
    <w:rsid w:val="000403C2"/>
    <w:rsid w:val="00040650"/>
    <w:rsid w:val="00040676"/>
    <w:rsid w:val="00040E05"/>
    <w:rsid w:val="00040F6A"/>
    <w:rsid w:val="00041121"/>
    <w:rsid w:val="0004131E"/>
    <w:rsid w:val="0004148C"/>
    <w:rsid w:val="00041E58"/>
    <w:rsid w:val="00041ED6"/>
    <w:rsid w:val="0004207D"/>
    <w:rsid w:val="00042493"/>
    <w:rsid w:val="00042A8E"/>
    <w:rsid w:val="00042CC9"/>
    <w:rsid w:val="00042D2A"/>
    <w:rsid w:val="00042E2B"/>
    <w:rsid w:val="00042F02"/>
    <w:rsid w:val="00042FD5"/>
    <w:rsid w:val="00043D18"/>
    <w:rsid w:val="00043D4D"/>
    <w:rsid w:val="00044355"/>
    <w:rsid w:val="000445B3"/>
    <w:rsid w:val="0004461F"/>
    <w:rsid w:val="00044A7F"/>
    <w:rsid w:val="00044D88"/>
    <w:rsid w:val="00044E10"/>
    <w:rsid w:val="000451C7"/>
    <w:rsid w:val="0004560F"/>
    <w:rsid w:val="000456F8"/>
    <w:rsid w:val="00045B3E"/>
    <w:rsid w:val="00045B46"/>
    <w:rsid w:val="00045D4B"/>
    <w:rsid w:val="000463EF"/>
    <w:rsid w:val="00046489"/>
    <w:rsid w:val="00046F34"/>
    <w:rsid w:val="00047983"/>
    <w:rsid w:val="00047EE9"/>
    <w:rsid w:val="000501F3"/>
    <w:rsid w:val="0005063D"/>
    <w:rsid w:val="000509D6"/>
    <w:rsid w:val="00051A70"/>
    <w:rsid w:val="00051F49"/>
    <w:rsid w:val="0005205E"/>
    <w:rsid w:val="00052178"/>
    <w:rsid w:val="0005225A"/>
    <w:rsid w:val="000525AE"/>
    <w:rsid w:val="00052E26"/>
    <w:rsid w:val="000530AB"/>
    <w:rsid w:val="00053512"/>
    <w:rsid w:val="0005379A"/>
    <w:rsid w:val="00053AC4"/>
    <w:rsid w:val="00053C8F"/>
    <w:rsid w:val="00054120"/>
    <w:rsid w:val="00054FD1"/>
    <w:rsid w:val="00055063"/>
    <w:rsid w:val="00055445"/>
    <w:rsid w:val="000558B9"/>
    <w:rsid w:val="00056239"/>
    <w:rsid w:val="0005693B"/>
    <w:rsid w:val="00056960"/>
    <w:rsid w:val="00056EC6"/>
    <w:rsid w:val="00057023"/>
    <w:rsid w:val="000572BE"/>
    <w:rsid w:val="00057451"/>
    <w:rsid w:val="00057517"/>
    <w:rsid w:val="00057574"/>
    <w:rsid w:val="000577A0"/>
    <w:rsid w:val="00057CC6"/>
    <w:rsid w:val="00057D21"/>
    <w:rsid w:val="00057DFE"/>
    <w:rsid w:val="00060077"/>
    <w:rsid w:val="00060178"/>
    <w:rsid w:val="00060336"/>
    <w:rsid w:val="0006054D"/>
    <w:rsid w:val="000606F0"/>
    <w:rsid w:val="0006098C"/>
    <w:rsid w:val="00060F15"/>
    <w:rsid w:val="00060FE3"/>
    <w:rsid w:val="00061590"/>
    <w:rsid w:val="00061C30"/>
    <w:rsid w:val="00061E18"/>
    <w:rsid w:val="000627DB"/>
    <w:rsid w:val="00062D8D"/>
    <w:rsid w:val="00062EB4"/>
    <w:rsid w:val="000633FF"/>
    <w:rsid w:val="00063642"/>
    <w:rsid w:val="00063962"/>
    <w:rsid w:val="00063D29"/>
    <w:rsid w:val="00063EDF"/>
    <w:rsid w:val="000641D0"/>
    <w:rsid w:val="00064570"/>
    <w:rsid w:val="00065009"/>
    <w:rsid w:val="0006542A"/>
    <w:rsid w:val="0006589A"/>
    <w:rsid w:val="00066A80"/>
    <w:rsid w:val="00066AA7"/>
    <w:rsid w:val="00066D41"/>
    <w:rsid w:val="00066FD4"/>
    <w:rsid w:val="00067192"/>
    <w:rsid w:val="00067219"/>
    <w:rsid w:val="000672A2"/>
    <w:rsid w:val="00067394"/>
    <w:rsid w:val="0006774D"/>
    <w:rsid w:val="00067D6E"/>
    <w:rsid w:val="000702C0"/>
    <w:rsid w:val="000704C6"/>
    <w:rsid w:val="00070814"/>
    <w:rsid w:val="000708EC"/>
    <w:rsid w:val="000713B8"/>
    <w:rsid w:val="000715B5"/>
    <w:rsid w:val="00071CF0"/>
    <w:rsid w:val="00071CF4"/>
    <w:rsid w:val="00071E0A"/>
    <w:rsid w:val="0007242A"/>
    <w:rsid w:val="0007294C"/>
    <w:rsid w:val="00072BD3"/>
    <w:rsid w:val="00072C56"/>
    <w:rsid w:val="00072CE6"/>
    <w:rsid w:val="00072EC0"/>
    <w:rsid w:val="000731D3"/>
    <w:rsid w:val="000736C2"/>
    <w:rsid w:val="00073886"/>
    <w:rsid w:val="00073936"/>
    <w:rsid w:val="00073AFB"/>
    <w:rsid w:val="00073CF6"/>
    <w:rsid w:val="00073D46"/>
    <w:rsid w:val="0007456E"/>
    <w:rsid w:val="00074B9E"/>
    <w:rsid w:val="000756B5"/>
    <w:rsid w:val="00075AB0"/>
    <w:rsid w:val="0007630B"/>
    <w:rsid w:val="000765CB"/>
    <w:rsid w:val="0007682B"/>
    <w:rsid w:val="00076C82"/>
    <w:rsid w:val="0007714C"/>
    <w:rsid w:val="00077877"/>
    <w:rsid w:val="000779C8"/>
    <w:rsid w:val="00077BFB"/>
    <w:rsid w:val="000803E7"/>
    <w:rsid w:val="000808A5"/>
    <w:rsid w:val="00080B72"/>
    <w:rsid w:val="000810D1"/>
    <w:rsid w:val="0008122A"/>
    <w:rsid w:val="0008166F"/>
    <w:rsid w:val="00082075"/>
    <w:rsid w:val="00082825"/>
    <w:rsid w:val="00082FC1"/>
    <w:rsid w:val="0008324B"/>
    <w:rsid w:val="000836AB"/>
    <w:rsid w:val="00083CE0"/>
    <w:rsid w:val="00084022"/>
    <w:rsid w:val="00084169"/>
    <w:rsid w:val="000841A3"/>
    <w:rsid w:val="000846A6"/>
    <w:rsid w:val="00085298"/>
    <w:rsid w:val="0008546E"/>
    <w:rsid w:val="00085AF6"/>
    <w:rsid w:val="00085D79"/>
    <w:rsid w:val="000869DB"/>
    <w:rsid w:val="00087384"/>
    <w:rsid w:val="00087B0D"/>
    <w:rsid w:val="00087B2A"/>
    <w:rsid w:val="00087BF6"/>
    <w:rsid w:val="00087D65"/>
    <w:rsid w:val="00087F00"/>
    <w:rsid w:val="00087FA6"/>
    <w:rsid w:val="000901DF"/>
    <w:rsid w:val="0009033A"/>
    <w:rsid w:val="00090576"/>
    <w:rsid w:val="00090F46"/>
    <w:rsid w:val="000913B9"/>
    <w:rsid w:val="00091A09"/>
    <w:rsid w:val="00091C27"/>
    <w:rsid w:val="000926B7"/>
    <w:rsid w:val="000928DD"/>
    <w:rsid w:val="00092937"/>
    <w:rsid w:val="00092BA2"/>
    <w:rsid w:val="00092CE2"/>
    <w:rsid w:val="000932AF"/>
    <w:rsid w:val="000934BD"/>
    <w:rsid w:val="00093705"/>
    <w:rsid w:val="000937F5"/>
    <w:rsid w:val="00093AC8"/>
    <w:rsid w:val="00093BEC"/>
    <w:rsid w:val="00093FEA"/>
    <w:rsid w:val="000940F1"/>
    <w:rsid w:val="00094A91"/>
    <w:rsid w:val="00094E0E"/>
    <w:rsid w:val="00094EA7"/>
    <w:rsid w:val="00094EE4"/>
    <w:rsid w:val="000955E0"/>
    <w:rsid w:val="00095B19"/>
    <w:rsid w:val="00095D44"/>
    <w:rsid w:val="00095EA0"/>
    <w:rsid w:val="00095F74"/>
    <w:rsid w:val="00095FBB"/>
    <w:rsid w:val="00096517"/>
    <w:rsid w:val="00096594"/>
    <w:rsid w:val="00096AC2"/>
    <w:rsid w:val="00096F31"/>
    <w:rsid w:val="000976A5"/>
    <w:rsid w:val="00097C24"/>
    <w:rsid w:val="00097C9E"/>
    <w:rsid w:val="000A0133"/>
    <w:rsid w:val="000A044A"/>
    <w:rsid w:val="000A0712"/>
    <w:rsid w:val="000A0A2F"/>
    <w:rsid w:val="000A11E9"/>
    <w:rsid w:val="000A12D1"/>
    <w:rsid w:val="000A132B"/>
    <w:rsid w:val="000A1605"/>
    <w:rsid w:val="000A1B5E"/>
    <w:rsid w:val="000A201B"/>
    <w:rsid w:val="000A22B8"/>
    <w:rsid w:val="000A2804"/>
    <w:rsid w:val="000A2894"/>
    <w:rsid w:val="000A2D4D"/>
    <w:rsid w:val="000A32B3"/>
    <w:rsid w:val="000A3607"/>
    <w:rsid w:val="000A3AC4"/>
    <w:rsid w:val="000A40C5"/>
    <w:rsid w:val="000A42F1"/>
    <w:rsid w:val="000A4341"/>
    <w:rsid w:val="000A47BB"/>
    <w:rsid w:val="000A492B"/>
    <w:rsid w:val="000A4CB2"/>
    <w:rsid w:val="000A4DB8"/>
    <w:rsid w:val="000A5271"/>
    <w:rsid w:val="000A5503"/>
    <w:rsid w:val="000A55D6"/>
    <w:rsid w:val="000A574F"/>
    <w:rsid w:val="000A5B1C"/>
    <w:rsid w:val="000A6341"/>
    <w:rsid w:val="000A6437"/>
    <w:rsid w:val="000A7BB6"/>
    <w:rsid w:val="000A7BD9"/>
    <w:rsid w:val="000A7DC8"/>
    <w:rsid w:val="000B028F"/>
    <w:rsid w:val="000B04EB"/>
    <w:rsid w:val="000B0BBB"/>
    <w:rsid w:val="000B0CEC"/>
    <w:rsid w:val="000B1117"/>
    <w:rsid w:val="000B154D"/>
    <w:rsid w:val="000B1718"/>
    <w:rsid w:val="000B190B"/>
    <w:rsid w:val="000B270F"/>
    <w:rsid w:val="000B2869"/>
    <w:rsid w:val="000B2C95"/>
    <w:rsid w:val="000B2E45"/>
    <w:rsid w:val="000B2EBF"/>
    <w:rsid w:val="000B2F93"/>
    <w:rsid w:val="000B353B"/>
    <w:rsid w:val="000B3D8D"/>
    <w:rsid w:val="000B3F30"/>
    <w:rsid w:val="000B4114"/>
    <w:rsid w:val="000B4928"/>
    <w:rsid w:val="000B4D6F"/>
    <w:rsid w:val="000B4D80"/>
    <w:rsid w:val="000B4F4C"/>
    <w:rsid w:val="000B4F6C"/>
    <w:rsid w:val="000B50DB"/>
    <w:rsid w:val="000B5497"/>
    <w:rsid w:val="000B57AB"/>
    <w:rsid w:val="000B594B"/>
    <w:rsid w:val="000B5B45"/>
    <w:rsid w:val="000B5D4B"/>
    <w:rsid w:val="000B5F04"/>
    <w:rsid w:val="000B60E9"/>
    <w:rsid w:val="000B6770"/>
    <w:rsid w:val="000B680E"/>
    <w:rsid w:val="000B6884"/>
    <w:rsid w:val="000B6C72"/>
    <w:rsid w:val="000B707F"/>
    <w:rsid w:val="000B73D7"/>
    <w:rsid w:val="000B74FF"/>
    <w:rsid w:val="000B794F"/>
    <w:rsid w:val="000B7B2D"/>
    <w:rsid w:val="000B7CDC"/>
    <w:rsid w:val="000C0155"/>
    <w:rsid w:val="000C017B"/>
    <w:rsid w:val="000C08A2"/>
    <w:rsid w:val="000C0EB7"/>
    <w:rsid w:val="000C10EF"/>
    <w:rsid w:val="000C12DC"/>
    <w:rsid w:val="000C1373"/>
    <w:rsid w:val="000C1ADE"/>
    <w:rsid w:val="000C24AD"/>
    <w:rsid w:val="000C3099"/>
    <w:rsid w:val="000C37D3"/>
    <w:rsid w:val="000C3916"/>
    <w:rsid w:val="000C39AF"/>
    <w:rsid w:val="000C3EA3"/>
    <w:rsid w:val="000C4431"/>
    <w:rsid w:val="000C4C3C"/>
    <w:rsid w:val="000C5853"/>
    <w:rsid w:val="000C5B2A"/>
    <w:rsid w:val="000C5BAE"/>
    <w:rsid w:val="000C5E59"/>
    <w:rsid w:val="000C6377"/>
    <w:rsid w:val="000C6396"/>
    <w:rsid w:val="000C6EA6"/>
    <w:rsid w:val="000C731C"/>
    <w:rsid w:val="000C7E5F"/>
    <w:rsid w:val="000D035B"/>
    <w:rsid w:val="000D0B5B"/>
    <w:rsid w:val="000D0CBD"/>
    <w:rsid w:val="000D1011"/>
    <w:rsid w:val="000D1ADA"/>
    <w:rsid w:val="000D2746"/>
    <w:rsid w:val="000D2E32"/>
    <w:rsid w:val="000D32DE"/>
    <w:rsid w:val="000D3540"/>
    <w:rsid w:val="000D3B4F"/>
    <w:rsid w:val="000D4965"/>
    <w:rsid w:val="000D4971"/>
    <w:rsid w:val="000D49A5"/>
    <w:rsid w:val="000D4F49"/>
    <w:rsid w:val="000D4FFC"/>
    <w:rsid w:val="000D5E2B"/>
    <w:rsid w:val="000D611A"/>
    <w:rsid w:val="000D6D90"/>
    <w:rsid w:val="000D6F44"/>
    <w:rsid w:val="000D7450"/>
    <w:rsid w:val="000D7625"/>
    <w:rsid w:val="000D7719"/>
    <w:rsid w:val="000D780A"/>
    <w:rsid w:val="000D7881"/>
    <w:rsid w:val="000D7AD2"/>
    <w:rsid w:val="000D7C5D"/>
    <w:rsid w:val="000E085D"/>
    <w:rsid w:val="000E0DC1"/>
    <w:rsid w:val="000E0FEF"/>
    <w:rsid w:val="000E0FFC"/>
    <w:rsid w:val="000E1039"/>
    <w:rsid w:val="000E106B"/>
    <w:rsid w:val="000E1236"/>
    <w:rsid w:val="000E137F"/>
    <w:rsid w:val="000E163A"/>
    <w:rsid w:val="000E16C6"/>
    <w:rsid w:val="000E1A2A"/>
    <w:rsid w:val="000E1B43"/>
    <w:rsid w:val="000E1FAD"/>
    <w:rsid w:val="000E22EA"/>
    <w:rsid w:val="000E24E2"/>
    <w:rsid w:val="000E2567"/>
    <w:rsid w:val="000E270F"/>
    <w:rsid w:val="000E281F"/>
    <w:rsid w:val="000E2BA0"/>
    <w:rsid w:val="000E3226"/>
    <w:rsid w:val="000E3F0A"/>
    <w:rsid w:val="000E4215"/>
    <w:rsid w:val="000E42A9"/>
    <w:rsid w:val="000E4440"/>
    <w:rsid w:val="000E45D1"/>
    <w:rsid w:val="000E4E33"/>
    <w:rsid w:val="000E4F12"/>
    <w:rsid w:val="000E51C4"/>
    <w:rsid w:val="000E53DD"/>
    <w:rsid w:val="000E5590"/>
    <w:rsid w:val="000E5660"/>
    <w:rsid w:val="000E57A9"/>
    <w:rsid w:val="000E59AB"/>
    <w:rsid w:val="000E5E5E"/>
    <w:rsid w:val="000E5FA2"/>
    <w:rsid w:val="000E6237"/>
    <w:rsid w:val="000E6DA6"/>
    <w:rsid w:val="000E6F8A"/>
    <w:rsid w:val="000E7037"/>
    <w:rsid w:val="000E715A"/>
    <w:rsid w:val="000E7409"/>
    <w:rsid w:val="000E7AB2"/>
    <w:rsid w:val="000E7B93"/>
    <w:rsid w:val="000E7F86"/>
    <w:rsid w:val="000F0445"/>
    <w:rsid w:val="000F0BC1"/>
    <w:rsid w:val="000F0FE1"/>
    <w:rsid w:val="000F12BE"/>
    <w:rsid w:val="000F13EA"/>
    <w:rsid w:val="000F17A6"/>
    <w:rsid w:val="000F196C"/>
    <w:rsid w:val="000F19BC"/>
    <w:rsid w:val="000F23F4"/>
    <w:rsid w:val="000F2620"/>
    <w:rsid w:val="000F2825"/>
    <w:rsid w:val="000F315E"/>
    <w:rsid w:val="000F338C"/>
    <w:rsid w:val="000F37A7"/>
    <w:rsid w:val="000F3B59"/>
    <w:rsid w:val="000F3E81"/>
    <w:rsid w:val="000F3FAE"/>
    <w:rsid w:val="000F4098"/>
    <w:rsid w:val="000F49FD"/>
    <w:rsid w:val="000F4F44"/>
    <w:rsid w:val="000F5253"/>
    <w:rsid w:val="000F5823"/>
    <w:rsid w:val="000F5B20"/>
    <w:rsid w:val="000F5B35"/>
    <w:rsid w:val="000F5B70"/>
    <w:rsid w:val="000F61B4"/>
    <w:rsid w:val="000F62AE"/>
    <w:rsid w:val="000F6A80"/>
    <w:rsid w:val="000F6E61"/>
    <w:rsid w:val="000F7009"/>
    <w:rsid w:val="000F717A"/>
    <w:rsid w:val="000F7BC4"/>
    <w:rsid w:val="001004FA"/>
    <w:rsid w:val="00100711"/>
    <w:rsid w:val="00100FBF"/>
    <w:rsid w:val="00101208"/>
    <w:rsid w:val="0010133C"/>
    <w:rsid w:val="001018E2"/>
    <w:rsid w:val="00101AF6"/>
    <w:rsid w:val="00101EB1"/>
    <w:rsid w:val="00101F65"/>
    <w:rsid w:val="0010232D"/>
    <w:rsid w:val="001025E9"/>
    <w:rsid w:val="001035F1"/>
    <w:rsid w:val="001036AD"/>
    <w:rsid w:val="00103985"/>
    <w:rsid w:val="00103CAB"/>
    <w:rsid w:val="0010421B"/>
    <w:rsid w:val="001049C0"/>
    <w:rsid w:val="001049EF"/>
    <w:rsid w:val="00104CF2"/>
    <w:rsid w:val="00104D16"/>
    <w:rsid w:val="00105217"/>
    <w:rsid w:val="0010583A"/>
    <w:rsid w:val="0010596C"/>
    <w:rsid w:val="00105E77"/>
    <w:rsid w:val="00106591"/>
    <w:rsid w:val="001066BD"/>
    <w:rsid w:val="001067CF"/>
    <w:rsid w:val="00106FA4"/>
    <w:rsid w:val="00107FFC"/>
    <w:rsid w:val="001100D6"/>
    <w:rsid w:val="00110B05"/>
    <w:rsid w:val="00110BF3"/>
    <w:rsid w:val="00110C16"/>
    <w:rsid w:val="00110D68"/>
    <w:rsid w:val="00110E05"/>
    <w:rsid w:val="00110E4E"/>
    <w:rsid w:val="0011182D"/>
    <w:rsid w:val="00111D20"/>
    <w:rsid w:val="0011203C"/>
    <w:rsid w:val="0011243E"/>
    <w:rsid w:val="00112BE5"/>
    <w:rsid w:val="00112D38"/>
    <w:rsid w:val="0011392D"/>
    <w:rsid w:val="00113999"/>
    <w:rsid w:val="00113BBB"/>
    <w:rsid w:val="00113BFA"/>
    <w:rsid w:val="00113DC1"/>
    <w:rsid w:val="00113F1F"/>
    <w:rsid w:val="00113F9A"/>
    <w:rsid w:val="001140C0"/>
    <w:rsid w:val="0011420E"/>
    <w:rsid w:val="001144F1"/>
    <w:rsid w:val="001146CA"/>
    <w:rsid w:val="001146F5"/>
    <w:rsid w:val="00114E9B"/>
    <w:rsid w:val="00115150"/>
    <w:rsid w:val="00115416"/>
    <w:rsid w:val="001157E0"/>
    <w:rsid w:val="0011593E"/>
    <w:rsid w:val="0011657D"/>
    <w:rsid w:val="0011672F"/>
    <w:rsid w:val="001167F7"/>
    <w:rsid w:val="00116A97"/>
    <w:rsid w:val="00116C5C"/>
    <w:rsid w:val="001170D6"/>
    <w:rsid w:val="00117748"/>
    <w:rsid w:val="001177C6"/>
    <w:rsid w:val="001203CB"/>
    <w:rsid w:val="0012198B"/>
    <w:rsid w:val="00121E0D"/>
    <w:rsid w:val="00121E1C"/>
    <w:rsid w:val="00121E6F"/>
    <w:rsid w:val="001223DD"/>
    <w:rsid w:val="00123114"/>
    <w:rsid w:val="00123C27"/>
    <w:rsid w:val="00123E22"/>
    <w:rsid w:val="00123EC5"/>
    <w:rsid w:val="00123ECD"/>
    <w:rsid w:val="00124254"/>
    <w:rsid w:val="001248EA"/>
    <w:rsid w:val="00124A35"/>
    <w:rsid w:val="00125A1F"/>
    <w:rsid w:val="00126A81"/>
    <w:rsid w:val="00127119"/>
    <w:rsid w:val="0012722C"/>
    <w:rsid w:val="00127478"/>
    <w:rsid w:val="00127DBC"/>
    <w:rsid w:val="0013014F"/>
    <w:rsid w:val="00130416"/>
    <w:rsid w:val="001304EE"/>
    <w:rsid w:val="001308C8"/>
    <w:rsid w:val="00130AFD"/>
    <w:rsid w:val="00130B08"/>
    <w:rsid w:val="00130B38"/>
    <w:rsid w:val="00130B53"/>
    <w:rsid w:val="0013109B"/>
    <w:rsid w:val="0013157E"/>
    <w:rsid w:val="00131C48"/>
    <w:rsid w:val="00132B6B"/>
    <w:rsid w:val="00132DFE"/>
    <w:rsid w:val="001330B0"/>
    <w:rsid w:val="0013346B"/>
    <w:rsid w:val="00133482"/>
    <w:rsid w:val="001335C0"/>
    <w:rsid w:val="0013389E"/>
    <w:rsid w:val="001339AF"/>
    <w:rsid w:val="00133A58"/>
    <w:rsid w:val="00134259"/>
    <w:rsid w:val="001343C0"/>
    <w:rsid w:val="001344EB"/>
    <w:rsid w:val="001347C4"/>
    <w:rsid w:val="0013481A"/>
    <w:rsid w:val="00134980"/>
    <w:rsid w:val="00134B53"/>
    <w:rsid w:val="00134BB6"/>
    <w:rsid w:val="00135398"/>
    <w:rsid w:val="001353AA"/>
    <w:rsid w:val="00135D92"/>
    <w:rsid w:val="00135FF1"/>
    <w:rsid w:val="00136377"/>
    <w:rsid w:val="00136404"/>
    <w:rsid w:val="0013682B"/>
    <w:rsid w:val="00136AB7"/>
    <w:rsid w:val="00136D2F"/>
    <w:rsid w:val="00136DD7"/>
    <w:rsid w:val="00140104"/>
    <w:rsid w:val="00140E32"/>
    <w:rsid w:val="001413D8"/>
    <w:rsid w:val="001416E2"/>
    <w:rsid w:val="00141773"/>
    <w:rsid w:val="00141887"/>
    <w:rsid w:val="001419B7"/>
    <w:rsid w:val="00141B7B"/>
    <w:rsid w:val="001420FD"/>
    <w:rsid w:val="001427A9"/>
    <w:rsid w:val="001429C8"/>
    <w:rsid w:val="00143072"/>
    <w:rsid w:val="0014358B"/>
    <w:rsid w:val="0014360D"/>
    <w:rsid w:val="001437E7"/>
    <w:rsid w:val="00143B72"/>
    <w:rsid w:val="00143EBD"/>
    <w:rsid w:val="001442C8"/>
    <w:rsid w:val="0014507D"/>
    <w:rsid w:val="00145168"/>
    <w:rsid w:val="00145654"/>
    <w:rsid w:val="00145F0A"/>
    <w:rsid w:val="001461B6"/>
    <w:rsid w:val="00146397"/>
    <w:rsid w:val="00146A1E"/>
    <w:rsid w:val="00146DC9"/>
    <w:rsid w:val="00146F44"/>
    <w:rsid w:val="001471A9"/>
    <w:rsid w:val="001471BA"/>
    <w:rsid w:val="001473DD"/>
    <w:rsid w:val="0014757D"/>
    <w:rsid w:val="0014799F"/>
    <w:rsid w:val="00150272"/>
    <w:rsid w:val="00150373"/>
    <w:rsid w:val="00150C8B"/>
    <w:rsid w:val="00151185"/>
    <w:rsid w:val="0015142A"/>
    <w:rsid w:val="0015154D"/>
    <w:rsid w:val="00151981"/>
    <w:rsid w:val="00151CAE"/>
    <w:rsid w:val="00151DD7"/>
    <w:rsid w:val="00152898"/>
    <w:rsid w:val="0015296E"/>
    <w:rsid w:val="00152D6A"/>
    <w:rsid w:val="00153798"/>
    <w:rsid w:val="0015415F"/>
    <w:rsid w:val="00154374"/>
    <w:rsid w:val="001549B9"/>
    <w:rsid w:val="00154A32"/>
    <w:rsid w:val="0015559F"/>
    <w:rsid w:val="001559CC"/>
    <w:rsid w:val="00155DD0"/>
    <w:rsid w:val="001560E2"/>
    <w:rsid w:val="00156532"/>
    <w:rsid w:val="001565A7"/>
    <w:rsid w:val="001565D6"/>
    <w:rsid w:val="00156D55"/>
    <w:rsid w:val="00157053"/>
    <w:rsid w:val="00157359"/>
    <w:rsid w:val="001573ED"/>
    <w:rsid w:val="00157482"/>
    <w:rsid w:val="00157537"/>
    <w:rsid w:val="00157711"/>
    <w:rsid w:val="001578A9"/>
    <w:rsid w:val="00157B79"/>
    <w:rsid w:val="00157C22"/>
    <w:rsid w:val="00157CA2"/>
    <w:rsid w:val="00157CE9"/>
    <w:rsid w:val="0016036E"/>
    <w:rsid w:val="00160742"/>
    <w:rsid w:val="00161636"/>
    <w:rsid w:val="00161717"/>
    <w:rsid w:val="00161B20"/>
    <w:rsid w:val="00161B6F"/>
    <w:rsid w:val="00161EB3"/>
    <w:rsid w:val="0016202A"/>
    <w:rsid w:val="0016215D"/>
    <w:rsid w:val="0016227B"/>
    <w:rsid w:val="00162575"/>
    <w:rsid w:val="001628D8"/>
    <w:rsid w:val="00162B79"/>
    <w:rsid w:val="00162CC2"/>
    <w:rsid w:val="00162D1B"/>
    <w:rsid w:val="001635FD"/>
    <w:rsid w:val="00163B98"/>
    <w:rsid w:val="0016458C"/>
    <w:rsid w:val="0016481C"/>
    <w:rsid w:val="00164A44"/>
    <w:rsid w:val="00164B3A"/>
    <w:rsid w:val="00164F08"/>
    <w:rsid w:val="001656F6"/>
    <w:rsid w:val="00166006"/>
    <w:rsid w:val="00166745"/>
    <w:rsid w:val="00167017"/>
    <w:rsid w:val="00167579"/>
    <w:rsid w:val="001677E8"/>
    <w:rsid w:val="00167B7E"/>
    <w:rsid w:val="00170022"/>
    <w:rsid w:val="00170239"/>
    <w:rsid w:val="001702BA"/>
    <w:rsid w:val="00170622"/>
    <w:rsid w:val="00170CBD"/>
    <w:rsid w:val="00171B1A"/>
    <w:rsid w:val="00171DD3"/>
    <w:rsid w:val="00171E48"/>
    <w:rsid w:val="00171EBF"/>
    <w:rsid w:val="0017227A"/>
    <w:rsid w:val="001722DF"/>
    <w:rsid w:val="00172599"/>
    <w:rsid w:val="0017374A"/>
    <w:rsid w:val="00173CD1"/>
    <w:rsid w:val="00173CDD"/>
    <w:rsid w:val="00173DB0"/>
    <w:rsid w:val="0017409C"/>
    <w:rsid w:val="001741C1"/>
    <w:rsid w:val="00174565"/>
    <w:rsid w:val="001747C1"/>
    <w:rsid w:val="00174E37"/>
    <w:rsid w:val="00174ED2"/>
    <w:rsid w:val="00175588"/>
    <w:rsid w:val="00175762"/>
    <w:rsid w:val="00175997"/>
    <w:rsid w:val="00175B18"/>
    <w:rsid w:val="00175B32"/>
    <w:rsid w:val="001761F2"/>
    <w:rsid w:val="0017625F"/>
    <w:rsid w:val="00176389"/>
    <w:rsid w:val="00176F0D"/>
    <w:rsid w:val="00177402"/>
    <w:rsid w:val="00177414"/>
    <w:rsid w:val="001777FD"/>
    <w:rsid w:val="00177BBC"/>
    <w:rsid w:val="00180FDD"/>
    <w:rsid w:val="00181575"/>
    <w:rsid w:val="001818B8"/>
    <w:rsid w:val="0018203A"/>
    <w:rsid w:val="001825CB"/>
    <w:rsid w:val="0018274A"/>
    <w:rsid w:val="00182865"/>
    <w:rsid w:val="001829AD"/>
    <w:rsid w:val="00182E06"/>
    <w:rsid w:val="001832A2"/>
    <w:rsid w:val="00183504"/>
    <w:rsid w:val="00183A91"/>
    <w:rsid w:val="00183B2A"/>
    <w:rsid w:val="00183C12"/>
    <w:rsid w:val="00183E83"/>
    <w:rsid w:val="00184161"/>
    <w:rsid w:val="001846DD"/>
    <w:rsid w:val="00184DED"/>
    <w:rsid w:val="001851A6"/>
    <w:rsid w:val="00185251"/>
    <w:rsid w:val="00185324"/>
    <w:rsid w:val="001855E5"/>
    <w:rsid w:val="0018592F"/>
    <w:rsid w:val="00185D88"/>
    <w:rsid w:val="00185E12"/>
    <w:rsid w:val="00185EF6"/>
    <w:rsid w:val="00185F3E"/>
    <w:rsid w:val="0018628F"/>
    <w:rsid w:val="001864BB"/>
    <w:rsid w:val="00186A46"/>
    <w:rsid w:val="00186D57"/>
    <w:rsid w:val="001874D0"/>
    <w:rsid w:val="00187A74"/>
    <w:rsid w:val="00187AEB"/>
    <w:rsid w:val="00187B09"/>
    <w:rsid w:val="00187D9F"/>
    <w:rsid w:val="00187FF5"/>
    <w:rsid w:val="001901F3"/>
    <w:rsid w:val="0019042F"/>
    <w:rsid w:val="00190E4D"/>
    <w:rsid w:val="0019118C"/>
    <w:rsid w:val="00191236"/>
    <w:rsid w:val="00191438"/>
    <w:rsid w:val="001914E9"/>
    <w:rsid w:val="001916E4"/>
    <w:rsid w:val="00191816"/>
    <w:rsid w:val="00191BF1"/>
    <w:rsid w:val="0019203A"/>
    <w:rsid w:val="0019215F"/>
    <w:rsid w:val="0019270F"/>
    <w:rsid w:val="00192CA4"/>
    <w:rsid w:val="00192D3D"/>
    <w:rsid w:val="00192D8A"/>
    <w:rsid w:val="00192F5C"/>
    <w:rsid w:val="0019366F"/>
    <w:rsid w:val="0019397D"/>
    <w:rsid w:val="00193ABE"/>
    <w:rsid w:val="00193E2E"/>
    <w:rsid w:val="0019403E"/>
    <w:rsid w:val="0019484B"/>
    <w:rsid w:val="00194945"/>
    <w:rsid w:val="0019560C"/>
    <w:rsid w:val="00195E52"/>
    <w:rsid w:val="00195E9F"/>
    <w:rsid w:val="00196387"/>
    <w:rsid w:val="0019657C"/>
    <w:rsid w:val="00196667"/>
    <w:rsid w:val="0019691A"/>
    <w:rsid w:val="00196988"/>
    <w:rsid w:val="00196A6D"/>
    <w:rsid w:val="00196DD9"/>
    <w:rsid w:val="00197ABE"/>
    <w:rsid w:val="001A01E9"/>
    <w:rsid w:val="001A02F0"/>
    <w:rsid w:val="001A0306"/>
    <w:rsid w:val="001A03B9"/>
    <w:rsid w:val="001A06A1"/>
    <w:rsid w:val="001A0902"/>
    <w:rsid w:val="001A12BD"/>
    <w:rsid w:val="001A1509"/>
    <w:rsid w:val="001A1EA9"/>
    <w:rsid w:val="001A230D"/>
    <w:rsid w:val="001A240F"/>
    <w:rsid w:val="001A26EF"/>
    <w:rsid w:val="001A2AB6"/>
    <w:rsid w:val="001A2D62"/>
    <w:rsid w:val="001A3026"/>
    <w:rsid w:val="001A3120"/>
    <w:rsid w:val="001A3266"/>
    <w:rsid w:val="001A38A1"/>
    <w:rsid w:val="001A3AC7"/>
    <w:rsid w:val="001A3B7A"/>
    <w:rsid w:val="001A4636"/>
    <w:rsid w:val="001A4B59"/>
    <w:rsid w:val="001A534B"/>
    <w:rsid w:val="001A5494"/>
    <w:rsid w:val="001A56A3"/>
    <w:rsid w:val="001A644F"/>
    <w:rsid w:val="001A67A8"/>
    <w:rsid w:val="001A6C7E"/>
    <w:rsid w:val="001A6DD0"/>
    <w:rsid w:val="001A70F0"/>
    <w:rsid w:val="001A7D1A"/>
    <w:rsid w:val="001A7E28"/>
    <w:rsid w:val="001B035B"/>
    <w:rsid w:val="001B0687"/>
    <w:rsid w:val="001B0921"/>
    <w:rsid w:val="001B09D0"/>
    <w:rsid w:val="001B0A68"/>
    <w:rsid w:val="001B1A27"/>
    <w:rsid w:val="001B1B47"/>
    <w:rsid w:val="001B1D85"/>
    <w:rsid w:val="001B1FE6"/>
    <w:rsid w:val="001B2073"/>
    <w:rsid w:val="001B2097"/>
    <w:rsid w:val="001B2297"/>
    <w:rsid w:val="001B252F"/>
    <w:rsid w:val="001B2BB5"/>
    <w:rsid w:val="001B2DDD"/>
    <w:rsid w:val="001B31D3"/>
    <w:rsid w:val="001B33ED"/>
    <w:rsid w:val="001B3431"/>
    <w:rsid w:val="001B3D88"/>
    <w:rsid w:val="001B3DF0"/>
    <w:rsid w:val="001B3FCD"/>
    <w:rsid w:val="001B4BE1"/>
    <w:rsid w:val="001B4D5F"/>
    <w:rsid w:val="001B5022"/>
    <w:rsid w:val="001B52E7"/>
    <w:rsid w:val="001B5470"/>
    <w:rsid w:val="001B56D7"/>
    <w:rsid w:val="001B57C6"/>
    <w:rsid w:val="001B6830"/>
    <w:rsid w:val="001B6903"/>
    <w:rsid w:val="001B6960"/>
    <w:rsid w:val="001B6B94"/>
    <w:rsid w:val="001B6E48"/>
    <w:rsid w:val="001B74BE"/>
    <w:rsid w:val="001B7970"/>
    <w:rsid w:val="001B7B46"/>
    <w:rsid w:val="001B7D00"/>
    <w:rsid w:val="001B7ED4"/>
    <w:rsid w:val="001C0040"/>
    <w:rsid w:val="001C01FD"/>
    <w:rsid w:val="001C1100"/>
    <w:rsid w:val="001C127F"/>
    <w:rsid w:val="001C1387"/>
    <w:rsid w:val="001C14AE"/>
    <w:rsid w:val="001C15CF"/>
    <w:rsid w:val="001C18C4"/>
    <w:rsid w:val="001C1C06"/>
    <w:rsid w:val="001C27EB"/>
    <w:rsid w:val="001C2959"/>
    <w:rsid w:val="001C2AB4"/>
    <w:rsid w:val="001C2B8D"/>
    <w:rsid w:val="001C2D65"/>
    <w:rsid w:val="001C2EB7"/>
    <w:rsid w:val="001C2FE2"/>
    <w:rsid w:val="001C3388"/>
    <w:rsid w:val="001C33B2"/>
    <w:rsid w:val="001C3425"/>
    <w:rsid w:val="001C3C22"/>
    <w:rsid w:val="001C3E34"/>
    <w:rsid w:val="001C416B"/>
    <w:rsid w:val="001C4C21"/>
    <w:rsid w:val="001C4C80"/>
    <w:rsid w:val="001C5127"/>
    <w:rsid w:val="001C5160"/>
    <w:rsid w:val="001C548A"/>
    <w:rsid w:val="001C54A5"/>
    <w:rsid w:val="001C567E"/>
    <w:rsid w:val="001C590C"/>
    <w:rsid w:val="001C59BD"/>
    <w:rsid w:val="001C5A25"/>
    <w:rsid w:val="001C5EAB"/>
    <w:rsid w:val="001C6487"/>
    <w:rsid w:val="001C6992"/>
    <w:rsid w:val="001C7164"/>
    <w:rsid w:val="001C7296"/>
    <w:rsid w:val="001C7A3E"/>
    <w:rsid w:val="001D00A2"/>
    <w:rsid w:val="001D088F"/>
    <w:rsid w:val="001D0940"/>
    <w:rsid w:val="001D0D5D"/>
    <w:rsid w:val="001D0E86"/>
    <w:rsid w:val="001D1745"/>
    <w:rsid w:val="001D1AFB"/>
    <w:rsid w:val="001D1F75"/>
    <w:rsid w:val="001D22F4"/>
    <w:rsid w:val="001D2391"/>
    <w:rsid w:val="001D2D12"/>
    <w:rsid w:val="001D2FC9"/>
    <w:rsid w:val="001D3CE7"/>
    <w:rsid w:val="001D3E6F"/>
    <w:rsid w:val="001D407D"/>
    <w:rsid w:val="001D434F"/>
    <w:rsid w:val="001D444E"/>
    <w:rsid w:val="001D4BA3"/>
    <w:rsid w:val="001D4E5B"/>
    <w:rsid w:val="001D50C0"/>
    <w:rsid w:val="001D5347"/>
    <w:rsid w:val="001D5767"/>
    <w:rsid w:val="001D5842"/>
    <w:rsid w:val="001D5AD5"/>
    <w:rsid w:val="001D6346"/>
    <w:rsid w:val="001D7206"/>
    <w:rsid w:val="001D7572"/>
    <w:rsid w:val="001D7758"/>
    <w:rsid w:val="001D7833"/>
    <w:rsid w:val="001D78F8"/>
    <w:rsid w:val="001D7999"/>
    <w:rsid w:val="001D7AD4"/>
    <w:rsid w:val="001D7DB0"/>
    <w:rsid w:val="001D7DEB"/>
    <w:rsid w:val="001E06CB"/>
    <w:rsid w:val="001E0B91"/>
    <w:rsid w:val="001E0BCC"/>
    <w:rsid w:val="001E0BF6"/>
    <w:rsid w:val="001E0D87"/>
    <w:rsid w:val="001E10AF"/>
    <w:rsid w:val="001E1459"/>
    <w:rsid w:val="001E14AC"/>
    <w:rsid w:val="001E179D"/>
    <w:rsid w:val="001E19A3"/>
    <w:rsid w:val="001E1A03"/>
    <w:rsid w:val="001E1AE7"/>
    <w:rsid w:val="001E2124"/>
    <w:rsid w:val="001E2149"/>
    <w:rsid w:val="001E2200"/>
    <w:rsid w:val="001E2320"/>
    <w:rsid w:val="001E254B"/>
    <w:rsid w:val="001E25A0"/>
    <w:rsid w:val="001E2B61"/>
    <w:rsid w:val="001E3068"/>
    <w:rsid w:val="001E3647"/>
    <w:rsid w:val="001E3A26"/>
    <w:rsid w:val="001E3F14"/>
    <w:rsid w:val="001E41A4"/>
    <w:rsid w:val="001E4753"/>
    <w:rsid w:val="001E482E"/>
    <w:rsid w:val="001E483A"/>
    <w:rsid w:val="001E519C"/>
    <w:rsid w:val="001E5D3B"/>
    <w:rsid w:val="001E5FF2"/>
    <w:rsid w:val="001E691D"/>
    <w:rsid w:val="001E78C0"/>
    <w:rsid w:val="001E7B66"/>
    <w:rsid w:val="001E7C6C"/>
    <w:rsid w:val="001F019B"/>
    <w:rsid w:val="001F0611"/>
    <w:rsid w:val="001F0A37"/>
    <w:rsid w:val="001F1177"/>
    <w:rsid w:val="001F131F"/>
    <w:rsid w:val="001F1401"/>
    <w:rsid w:val="001F149B"/>
    <w:rsid w:val="001F15ED"/>
    <w:rsid w:val="001F1780"/>
    <w:rsid w:val="001F1B8C"/>
    <w:rsid w:val="001F2358"/>
    <w:rsid w:val="001F285D"/>
    <w:rsid w:val="001F2FAB"/>
    <w:rsid w:val="001F3261"/>
    <w:rsid w:val="001F33AC"/>
    <w:rsid w:val="001F33C3"/>
    <w:rsid w:val="001F3489"/>
    <w:rsid w:val="001F3646"/>
    <w:rsid w:val="001F3F19"/>
    <w:rsid w:val="001F4513"/>
    <w:rsid w:val="001F478A"/>
    <w:rsid w:val="001F489D"/>
    <w:rsid w:val="001F4B56"/>
    <w:rsid w:val="001F4CF2"/>
    <w:rsid w:val="001F4F1D"/>
    <w:rsid w:val="001F4F31"/>
    <w:rsid w:val="001F5689"/>
    <w:rsid w:val="001F57DE"/>
    <w:rsid w:val="001F5BA6"/>
    <w:rsid w:val="001F5E31"/>
    <w:rsid w:val="001F5F4B"/>
    <w:rsid w:val="001F6673"/>
    <w:rsid w:val="001F6682"/>
    <w:rsid w:val="001F6B34"/>
    <w:rsid w:val="001F6E09"/>
    <w:rsid w:val="001F6EEA"/>
    <w:rsid w:val="001F7930"/>
    <w:rsid w:val="001F7B22"/>
    <w:rsid w:val="001F7B9C"/>
    <w:rsid w:val="001F7D25"/>
    <w:rsid w:val="002017D0"/>
    <w:rsid w:val="00201EAC"/>
    <w:rsid w:val="00201FE4"/>
    <w:rsid w:val="00202336"/>
    <w:rsid w:val="0020287D"/>
    <w:rsid w:val="002028AC"/>
    <w:rsid w:val="00202F43"/>
    <w:rsid w:val="00203348"/>
    <w:rsid w:val="00203488"/>
    <w:rsid w:val="002034C0"/>
    <w:rsid w:val="00203687"/>
    <w:rsid w:val="00203692"/>
    <w:rsid w:val="00203A77"/>
    <w:rsid w:val="00203C26"/>
    <w:rsid w:val="00203EDC"/>
    <w:rsid w:val="00204020"/>
    <w:rsid w:val="00204121"/>
    <w:rsid w:val="00204C2B"/>
    <w:rsid w:val="00204DF1"/>
    <w:rsid w:val="00205049"/>
    <w:rsid w:val="002052A5"/>
    <w:rsid w:val="00205480"/>
    <w:rsid w:val="0020576C"/>
    <w:rsid w:val="00205ACF"/>
    <w:rsid w:val="0020771E"/>
    <w:rsid w:val="00207B68"/>
    <w:rsid w:val="00207C1C"/>
    <w:rsid w:val="0021085C"/>
    <w:rsid w:val="00210C95"/>
    <w:rsid w:val="00211AC9"/>
    <w:rsid w:val="00211D33"/>
    <w:rsid w:val="00212046"/>
    <w:rsid w:val="00212080"/>
    <w:rsid w:val="002120B3"/>
    <w:rsid w:val="002127C1"/>
    <w:rsid w:val="00212A0F"/>
    <w:rsid w:val="0021311C"/>
    <w:rsid w:val="0021358C"/>
    <w:rsid w:val="002139A6"/>
    <w:rsid w:val="00214297"/>
    <w:rsid w:val="0021433F"/>
    <w:rsid w:val="002143EA"/>
    <w:rsid w:val="002145E0"/>
    <w:rsid w:val="00214CB9"/>
    <w:rsid w:val="00214F23"/>
    <w:rsid w:val="002159F2"/>
    <w:rsid w:val="00215B69"/>
    <w:rsid w:val="00215FEA"/>
    <w:rsid w:val="0021635B"/>
    <w:rsid w:val="002164A8"/>
    <w:rsid w:val="00216AEB"/>
    <w:rsid w:val="002173BE"/>
    <w:rsid w:val="00217416"/>
    <w:rsid w:val="00217D18"/>
    <w:rsid w:val="00217EA5"/>
    <w:rsid w:val="00217EC2"/>
    <w:rsid w:val="002205FA"/>
    <w:rsid w:val="00220942"/>
    <w:rsid w:val="00220B56"/>
    <w:rsid w:val="00220C2F"/>
    <w:rsid w:val="002214B7"/>
    <w:rsid w:val="00221513"/>
    <w:rsid w:val="00221673"/>
    <w:rsid w:val="002218BD"/>
    <w:rsid w:val="00221B16"/>
    <w:rsid w:val="002223CC"/>
    <w:rsid w:val="002224D0"/>
    <w:rsid w:val="002226D0"/>
    <w:rsid w:val="002227A4"/>
    <w:rsid w:val="00222C7A"/>
    <w:rsid w:val="002237B8"/>
    <w:rsid w:val="00223ACB"/>
    <w:rsid w:val="00224110"/>
    <w:rsid w:val="00224498"/>
    <w:rsid w:val="0022480E"/>
    <w:rsid w:val="002257D3"/>
    <w:rsid w:val="00225AB6"/>
    <w:rsid w:val="00225AF1"/>
    <w:rsid w:val="0022606B"/>
    <w:rsid w:val="00226471"/>
    <w:rsid w:val="00226B38"/>
    <w:rsid w:val="00227178"/>
    <w:rsid w:val="00227D9E"/>
    <w:rsid w:val="0023014E"/>
    <w:rsid w:val="00230709"/>
    <w:rsid w:val="0023071B"/>
    <w:rsid w:val="00230A5A"/>
    <w:rsid w:val="00230A76"/>
    <w:rsid w:val="00230B23"/>
    <w:rsid w:val="00231535"/>
    <w:rsid w:val="00231A97"/>
    <w:rsid w:val="00231AB2"/>
    <w:rsid w:val="00231E88"/>
    <w:rsid w:val="00232081"/>
    <w:rsid w:val="002320E3"/>
    <w:rsid w:val="00232196"/>
    <w:rsid w:val="0023234B"/>
    <w:rsid w:val="0023268A"/>
    <w:rsid w:val="00232AC4"/>
    <w:rsid w:val="002332CB"/>
    <w:rsid w:val="00233402"/>
    <w:rsid w:val="00233684"/>
    <w:rsid w:val="002336A7"/>
    <w:rsid w:val="00233C9E"/>
    <w:rsid w:val="00233F0F"/>
    <w:rsid w:val="00233F52"/>
    <w:rsid w:val="0023459A"/>
    <w:rsid w:val="002347BB"/>
    <w:rsid w:val="00234DC7"/>
    <w:rsid w:val="00234E67"/>
    <w:rsid w:val="00235527"/>
    <w:rsid w:val="002365A2"/>
    <w:rsid w:val="00237431"/>
    <w:rsid w:val="002379A5"/>
    <w:rsid w:val="00237AB5"/>
    <w:rsid w:val="00237BEB"/>
    <w:rsid w:val="0024001D"/>
    <w:rsid w:val="002406F8"/>
    <w:rsid w:val="00240A92"/>
    <w:rsid w:val="00240AEB"/>
    <w:rsid w:val="00240D97"/>
    <w:rsid w:val="00240EF9"/>
    <w:rsid w:val="0024122B"/>
    <w:rsid w:val="0024194E"/>
    <w:rsid w:val="002419B7"/>
    <w:rsid w:val="00241B55"/>
    <w:rsid w:val="00241F5E"/>
    <w:rsid w:val="00241F93"/>
    <w:rsid w:val="00241FE7"/>
    <w:rsid w:val="00242560"/>
    <w:rsid w:val="00242964"/>
    <w:rsid w:val="00242AE8"/>
    <w:rsid w:val="00242CC4"/>
    <w:rsid w:val="002432F3"/>
    <w:rsid w:val="00243E36"/>
    <w:rsid w:val="002444FC"/>
    <w:rsid w:val="00244F16"/>
    <w:rsid w:val="0024532E"/>
    <w:rsid w:val="0024535F"/>
    <w:rsid w:val="002455F7"/>
    <w:rsid w:val="00245BDB"/>
    <w:rsid w:val="00245C3E"/>
    <w:rsid w:val="00245CB7"/>
    <w:rsid w:val="0024608E"/>
    <w:rsid w:val="00246878"/>
    <w:rsid w:val="00246F82"/>
    <w:rsid w:val="00247005"/>
    <w:rsid w:val="00250010"/>
    <w:rsid w:val="002502C9"/>
    <w:rsid w:val="002505BA"/>
    <w:rsid w:val="002507C0"/>
    <w:rsid w:val="00250CC1"/>
    <w:rsid w:val="00250DAA"/>
    <w:rsid w:val="002510F0"/>
    <w:rsid w:val="0025141D"/>
    <w:rsid w:val="00251A80"/>
    <w:rsid w:val="00251B1B"/>
    <w:rsid w:val="00251C0A"/>
    <w:rsid w:val="00251E9A"/>
    <w:rsid w:val="00252022"/>
    <w:rsid w:val="00252696"/>
    <w:rsid w:val="00253303"/>
    <w:rsid w:val="002533C2"/>
    <w:rsid w:val="00253436"/>
    <w:rsid w:val="0025382D"/>
    <w:rsid w:val="00253B42"/>
    <w:rsid w:val="00253C53"/>
    <w:rsid w:val="00253D95"/>
    <w:rsid w:val="00253F4E"/>
    <w:rsid w:val="002540C1"/>
    <w:rsid w:val="0025439C"/>
    <w:rsid w:val="00254A16"/>
    <w:rsid w:val="00255656"/>
    <w:rsid w:val="00256474"/>
    <w:rsid w:val="00256A81"/>
    <w:rsid w:val="00257059"/>
    <w:rsid w:val="00257A7A"/>
    <w:rsid w:val="00257E2D"/>
    <w:rsid w:val="0026021A"/>
    <w:rsid w:val="00260847"/>
    <w:rsid w:val="00261981"/>
    <w:rsid w:val="00261C28"/>
    <w:rsid w:val="00261E4F"/>
    <w:rsid w:val="0026208F"/>
    <w:rsid w:val="002620A3"/>
    <w:rsid w:val="00262371"/>
    <w:rsid w:val="00262B7F"/>
    <w:rsid w:val="00262C40"/>
    <w:rsid w:val="00263109"/>
    <w:rsid w:val="002635BB"/>
    <w:rsid w:val="00263AE4"/>
    <w:rsid w:val="00263B27"/>
    <w:rsid w:val="00263CC8"/>
    <w:rsid w:val="00263F86"/>
    <w:rsid w:val="002640A6"/>
    <w:rsid w:val="002642A1"/>
    <w:rsid w:val="00264ACD"/>
    <w:rsid w:val="00264B4A"/>
    <w:rsid w:val="00264F79"/>
    <w:rsid w:val="00265558"/>
    <w:rsid w:val="00265A65"/>
    <w:rsid w:val="00265C2E"/>
    <w:rsid w:val="00265D13"/>
    <w:rsid w:val="0026605A"/>
    <w:rsid w:val="00266086"/>
    <w:rsid w:val="0026618C"/>
    <w:rsid w:val="00266885"/>
    <w:rsid w:val="0027007F"/>
    <w:rsid w:val="002700B6"/>
    <w:rsid w:val="002709C3"/>
    <w:rsid w:val="00270A11"/>
    <w:rsid w:val="00270CFB"/>
    <w:rsid w:val="00270D18"/>
    <w:rsid w:val="00270E80"/>
    <w:rsid w:val="002716B2"/>
    <w:rsid w:val="0027176E"/>
    <w:rsid w:val="00271829"/>
    <w:rsid w:val="00271D0A"/>
    <w:rsid w:val="0027260D"/>
    <w:rsid w:val="00273149"/>
    <w:rsid w:val="002731CE"/>
    <w:rsid w:val="00273CA5"/>
    <w:rsid w:val="00274CBE"/>
    <w:rsid w:val="00275126"/>
    <w:rsid w:val="002752F8"/>
    <w:rsid w:val="002757F2"/>
    <w:rsid w:val="002761EB"/>
    <w:rsid w:val="002765D9"/>
    <w:rsid w:val="00276620"/>
    <w:rsid w:val="00276811"/>
    <w:rsid w:val="00277A36"/>
    <w:rsid w:val="00277FB5"/>
    <w:rsid w:val="002804B3"/>
    <w:rsid w:val="00280C77"/>
    <w:rsid w:val="00280E80"/>
    <w:rsid w:val="00280F90"/>
    <w:rsid w:val="00281715"/>
    <w:rsid w:val="00281972"/>
    <w:rsid w:val="00281ACC"/>
    <w:rsid w:val="00281AE8"/>
    <w:rsid w:val="00281E23"/>
    <w:rsid w:val="00281E7B"/>
    <w:rsid w:val="002820C1"/>
    <w:rsid w:val="00282569"/>
    <w:rsid w:val="00282E15"/>
    <w:rsid w:val="00283006"/>
    <w:rsid w:val="002830F7"/>
    <w:rsid w:val="00283582"/>
    <w:rsid w:val="00283D88"/>
    <w:rsid w:val="00283F68"/>
    <w:rsid w:val="0028411C"/>
    <w:rsid w:val="002846D2"/>
    <w:rsid w:val="00284738"/>
    <w:rsid w:val="002847DE"/>
    <w:rsid w:val="00284FF0"/>
    <w:rsid w:val="0028561D"/>
    <w:rsid w:val="002857A1"/>
    <w:rsid w:val="00285871"/>
    <w:rsid w:val="0028649E"/>
    <w:rsid w:val="00286953"/>
    <w:rsid w:val="00286A05"/>
    <w:rsid w:val="00286A62"/>
    <w:rsid w:val="00286AA8"/>
    <w:rsid w:val="00286D73"/>
    <w:rsid w:val="00286FE4"/>
    <w:rsid w:val="00287061"/>
    <w:rsid w:val="00287291"/>
    <w:rsid w:val="00287601"/>
    <w:rsid w:val="00287A48"/>
    <w:rsid w:val="00287ADD"/>
    <w:rsid w:val="00287B41"/>
    <w:rsid w:val="00287BC4"/>
    <w:rsid w:val="00287EF7"/>
    <w:rsid w:val="0029008A"/>
    <w:rsid w:val="002900FD"/>
    <w:rsid w:val="002902A7"/>
    <w:rsid w:val="00291568"/>
    <w:rsid w:val="00291609"/>
    <w:rsid w:val="002917E0"/>
    <w:rsid w:val="00291BD0"/>
    <w:rsid w:val="00291F11"/>
    <w:rsid w:val="002920F6"/>
    <w:rsid w:val="002921EE"/>
    <w:rsid w:val="002928A1"/>
    <w:rsid w:val="00292A08"/>
    <w:rsid w:val="00292ACF"/>
    <w:rsid w:val="00292C50"/>
    <w:rsid w:val="00292C70"/>
    <w:rsid w:val="00292CCC"/>
    <w:rsid w:val="0029308E"/>
    <w:rsid w:val="00293B2D"/>
    <w:rsid w:val="00293D92"/>
    <w:rsid w:val="002948BC"/>
    <w:rsid w:val="0029510F"/>
    <w:rsid w:val="0029525C"/>
    <w:rsid w:val="00295633"/>
    <w:rsid w:val="00295B52"/>
    <w:rsid w:val="002962CF"/>
    <w:rsid w:val="0029630E"/>
    <w:rsid w:val="002968F9"/>
    <w:rsid w:val="00296B8B"/>
    <w:rsid w:val="00296E6C"/>
    <w:rsid w:val="00296F24"/>
    <w:rsid w:val="002971F4"/>
    <w:rsid w:val="00297986"/>
    <w:rsid w:val="00297B2A"/>
    <w:rsid w:val="00297C42"/>
    <w:rsid w:val="00297D72"/>
    <w:rsid w:val="002A03F1"/>
    <w:rsid w:val="002A08B7"/>
    <w:rsid w:val="002A0CCF"/>
    <w:rsid w:val="002A1A60"/>
    <w:rsid w:val="002A209C"/>
    <w:rsid w:val="002A20B1"/>
    <w:rsid w:val="002A2126"/>
    <w:rsid w:val="002A2584"/>
    <w:rsid w:val="002A2712"/>
    <w:rsid w:val="002A277A"/>
    <w:rsid w:val="002A288C"/>
    <w:rsid w:val="002A2A6A"/>
    <w:rsid w:val="002A39B1"/>
    <w:rsid w:val="002A3D32"/>
    <w:rsid w:val="002A3F79"/>
    <w:rsid w:val="002A4130"/>
    <w:rsid w:val="002A4675"/>
    <w:rsid w:val="002A4DC4"/>
    <w:rsid w:val="002A4F64"/>
    <w:rsid w:val="002A5473"/>
    <w:rsid w:val="002A5776"/>
    <w:rsid w:val="002A64F1"/>
    <w:rsid w:val="002A67DE"/>
    <w:rsid w:val="002A6811"/>
    <w:rsid w:val="002A7B96"/>
    <w:rsid w:val="002A7D59"/>
    <w:rsid w:val="002A7E25"/>
    <w:rsid w:val="002A7FC8"/>
    <w:rsid w:val="002B04E8"/>
    <w:rsid w:val="002B08D8"/>
    <w:rsid w:val="002B13DF"/>
    <w:rsid w:val="002B1581"/>
    <w:rsid w:val="002B1A6B"/>
    <w:rsid w:val="002B2116"/>
    <w:rsid w:val="002B2603"/>
    <w:rsid w:val="002B26A5"/>
    <w:rsid w:val="002B29E7"/>
    <w:rsid w:val="002B309F"/>
    <w:rsid w:val="002B3167"/>
    <w:rsid w:val="002B368B"/>
    <w:rsid w:val="002B3B21"/>
    <w:rsid w:val="002B3E46"/>
    <w:rsid w:val="002B40F5"/>
    <w:rsid w:val="002B432D"/>
    <w:rsid w:val="002B4849"/>
    <w:rsid w:val="002B49CC"/>
    <w:rsid w:val="002B4AE5"/>
    <w:rsid w:val="002B4E8C"/>
    <w:rsid w:val="002B4F64"/>
    <w:rsid w:val="002B5034"/>
    <w:rsid w:val="002B51C5"/>
    <w:rsid w:val="002B5CD9"/>
    <w:rsid w:val="002B5FA1"/>
    <w:rsid w:val="002B5FF4"/>
    <w:rsid w:val="002B6057"/>
    <w:rsid w:val="002B61FB"/>
    <w:rsid w:val="002B6295"/>
    <w:rsid w:val="002B6359"/>
    <w:rsid w:val="002B65D4"/>
    <w:rsid w:val="002B73E6"/>
    <w:rsid w:val="002B7583"/>
    <w:rsid w:val="002B76F7"/>
    <w:rsid w:val="002B7862"/>
    <w:rsid w:val="002B7890"/>
    <w:rsid w:val="002B79CE"/>
    <w:rsid w:val="002B7D14"/>
    <w:rsid w:val="002C003F"/>
    <w:rsid w:val="002C0719"/>
    <w:rsid w:val="002C0B15"/>
    <w:rsid w:val="002C0CF0"/>
    <w:rsid w:val="002C141C"/>
    <w:rsid w:val="002C1995"/>
    <w:rsid w:val="002C1D2E"/>
    <w:rsid w:val="002C2367"/>
    <w:rsid w:val="002C2606"/>
    <w:rsid w:val="002C2C1B"/>
    <w:rsid w:val="002C3706"/>
    <w:rsid w:val="002C3FA6"/>
    <w:rsid w:val="002C4040"/>
    <w:rsid w:val="002C433F"/>
    <w:rsid w:val="002C44BB"/>
    <w:rsid w:val="002C4B18"/>
    <w:rsid w:val="002C5170"/>
    <w:rsid w:val="002C522D"/>
    <w:rsid w:val="002C598C"/>
    <w:rsid w:val="002C5D07"/>
    <w:rsid w:val="002C5D40"/>
    <w:rsid w:val="002C64BE"/>
    <w:rsid w:val="002C6693"/>
    <w:rsid w:val="002C677F"/>
    <w:rsid w:val="002C71A0"/>
    <w:rsid w:val="002C748F"/>
    <w:rsid w:val="002C7730"/>
    <w:rsid w:val="002C7758"/>
    <w:rsid w:val="002C78DD"/>
    <w:rsid w:val="002D00D3"/>
    <w:rsid w:val="002D04AC"/>
    <w:rsid w:val="002D0733"/>
    <w:rsid w:val="002D08D0"/>
    <w:rsid w:val="002D0B08"/>
    <w:rsid w:val="002D0BB3"/>
    <w:rsid w:val="002D0D7A"/>
    <w:rsid w:val="002D0E21"/>
    <w:rsid w:val="002D1336"/>
    <w:rsid w:val="002D17FE"/>
    <w:rsid w:val="002D1801"/>
    <w:rsid w:val="002D186D"/>
    <w:rsid w:val="002D19AA"/>
    <w:rsid w:val="002D1A6F"/>
    <w:rsid w:val="002D1F78"/>
    <w:rsid w:val="002D23C3"/>
    <w:rsid w:val="002D249D"/>
    <w:rsid w:val="002D32FF"/>
    <w:rsid w:val="002D3391"/>
    <w:rsid w:val="002D3655"/>
    <w:rsid w:val="002D3F2E"/>
    <w:rsid w:val="002D43C2"/>
    <w:rsid w:val="002D444D"/>
    <w:rsid w:val="002D46A2"/>
    <w:rsid w:val="002D4A04"/>
    <w:rsid w:val="002D4D47"/>
    <w:rsid w:val="002D4E4C"/>
    <w:rsid w:val="002D5077"/>
    <w:rsid w:val="002D51EF"/>
    <w:rsid w:val="002D52F1"/>
    <w:rsid w:val="002D5B03"/>
    <w:rsid w:val="002D64B5"/>
    <w:rsid w:val="002D674F"/>
    <w:rsid w:val="002D6B60"/>
    <w:rsid w:val="002D6B62"/>
    <w:rsid w:val="002D6BAF"/>
    <w:rsid w:val="002D6CBF"/>
    <w:rsid w:val="002D7083"/>
    <w:rsid w:val="002D70C4"/>
    <w:rsid w:val="002D761B"/>
    <w:rsid w:val="002D79D9"/>
    <w:rsid w:val="002D79EC"/>
    <w:rsid w:val="002D7BE1"/>
    <w:rsid w:val="002D7C74"/>
    <w:rsid w:val="002E01C9"/>
    <w:rsid w:val="002E01D2"/>
    <w:rsid w:val="002E0744"/>
    <w:rsid w:val="002E0E6C"/>
    <w:rsid w:val="002E0FE5"/>
    <w:rsid w:val="002E155D"/>
    <w:rsid w:val="002E1B39"/>
    <w:rsid w:val="002E2556"/>
    <w:rsid w:val="002E25F3"/>
    <w:rsid w:val="002E2777"/>
    <w:rsid w:val="002E2BF8"/>
    <w:rsid w:val="002E34F6"/>
    <w:rsid w:val="002E36CB"/>
    <w:rsid w:val="002E3739"/>
    <w:rsid w:val="002E3B01"/>
    <w:rsid w:val="002E433B"/>
    <w:rsid w:val="002E4A5F"/>
    <w:rsid w:val="002E504D"/>
    <w:rsid w:val="002E5136"/>
    <w:rsid w:val="002E51E0"/>
    <w:rsid w:val="002E51F7"/>
    <w:rsid w:val="002E5332"/>
    <w:rsid w:val="002E5A1B"/>
    <w:rsid w:val="002E6402"/>
    <w:rsid w:val="002E6501"/>
    <w:rsid w:val="002E658B"/>
    <w:rsid w:val="002E65EC"/>
    <w:rsid w:val="002E6748"/>
    <w:rsid w:val="002E6B79"/>
    <w:rsid w:val="002E6C1A"/>
    <w:rsid w:val="002E743A"/>
    <w:rsid w:val="002E7A10"/>
    <w:rsid w:val="002E7DD1"/>
    <w:rsid w:val="002E7F1F"/>
    <w:rsid w:val="002E7FDA"/>
    <w:rsid w:val="002F015A"/>
    <w:rsid w:val="002F03C6"/>
    <w:rsid w:val="002F08D1"/>
    <w:rsid w:val="002F0DDB"/>
    <w:rsid w:val="002F0EFF"/>
    <w:rsid w:val="002F1404"/>
    <w:rsid w:val="002F1A48"/>
    <w:rsid w:val="002F1A4D"/>
    <w:rsid w:val="002F1FAE"/>
    <w:rsid w:val="002F23D3"/>
    <w:rsid w:val="002F2621"/>
    <w:rsid w:val="002F2B6F"/>
    <w:rsid w:val="002F2F12"/>
    <w:rsid w:val="002F31C6"/>
    <w:rsid w:val="002F37B3"/>
    <w:rsid w:val="002F3CA2"/>
    <w:rsid w:val="002F441A"/>
    <w:rsid w:val="002F48DE"/>
    <w:rsid w:val="002F4ADE"/>
    <w:rsid w:val="002F4D78"/>
    <w:rsid w:val="002F5189"/>
    <w:rsid w:val="002F6366"/>
    <w:rsid w:val="002F6C82"/>
    <w:rsid w:val="002F730E"/>
    <w:rsid w:val="002F7C4B"/>
    <w:rsid w:val="002F7C71"/>
    <w:rsid w:val="0030003D"/>
    <w:rsid w:val="0030099B"/>
    <w:rsid w:val="00300BF2"/>
    <w:rsid w:val="00300FA6"/>
    <w:rsid w:val="003014B8"/>
    <w:rsid w:val="003017AF"/>
    <w:rsid w:val="003017D0"/>
    <w:rsid w:val="00301A83"/>
    <w:rsid w:val="00303478"/>
    <w:rsid w:val="0030364D"/>
    <w:rsid w:val="003036DB"/>
    <w:rsid w:val="00303C1B"/>
    <w:rsid w:val="00303F48"/>
    <w:rsid w:val="00304795"/>
    <w:rsid w:val="003048F2"/>
    <w:rsid w:val="00304989"/>
    <w:rsid w:val="00304CD6"/>
    <w:rsid w:val="00304F5E"/>
    <w:rsid w:val="003052D9"/>
    <w:rsid w:val="003055F6"/>
    <w:rsid w:val="003060AB"/>
    <w:rsid w:val="00306180"/>
    <w:rsid w:val="00306276"/>
    <w:rsid w:val="00306CB3"/>
    <w:rsid w:val="00306DFE"/>
    <w:rsid w:val="00306E3A"/>
    <w:rsid w:val="00306FB9"/>
    <w:rsid w:val="00307727"/>
    <w:rsid w:val="00307951"/>
    <w:rsid w:val="00310320"/>
    <w:rsid w:val="0031037A"/>
    <w:rsid w:val="00310A06"/>
    <w:rsid w:val="00310CB2"/>
    <w:rsid w:val="0031182C"/>
    <w:rsid w:val="0031247E"/>
    <w:rsid w:val="00312AED"/>
    <w:rsid w:val="00312B14"/>
    <w:rsid w:val="00312C2A"/>
    <w:rsid w:val="00312E91"/>
    <w:rsid w:val="003133AF"/>
    <w:rsid w:val="00313750"/>
    <w:rsid w:val="00313835"/>
    <w:rsid w:val="00313ABE"/>
    <w:rsid w:val="00313ACD"/>
    <w:rsid w:val="00314156"/>
    <w:rsid w:val="00314179"/>
    <w:rsid w:val="003142D0"/>
    <w:rsid w:val="00314598"/>
    <w:rsid w:val="00314743"/>
    <w:rsid w:val="0031517A"/>
    <w:rsid w:val="0031519B"/>
    <w:rsid w:val="00315295"/>
    <w:rsid w:val="0031576E"/>
    <w:rsid w:val="00315CD6"/>
    <w:rsid w:val="00315DFD"/>
    <w:rsid w:val="00315F09"/>
    <w:rsid w:val="00315F53"/>
    <w:rsid w:val="003165C3"/>
    <w:rsid w:val="00316C2C"/>
    <w:rsid w:val="00316D97"/>
    <w:rsid w:val="0031710D"/>
    <w:rsid w:val="003176A8"/>
    <w:rsid w:val="0031786A"/>
    <w:rsid w:val="00317A0E"/>
    <w:rsid w:val="00317B25"/>
    <w:rsid w:val="00317D3C"/>
    <w:rsid w:val="003204FA"/>
    <w:rsid w:val="003209EB"/>
    <w:rsid w:val="00320C4C"/>
    <w:rsid w:val="00320C92"/>
    <w:rsid w:val="00320CAA"/>
    <w:rsid w:val="00321118"/>
    <w:rsid w:val="00321445"/>
    <w:rsid w:val="00321804"/>
    <w:rsid w:val="00321CD3"/>
    <w:rsid w:val="00321D94"/>
    <w:rsid w:val="003222B7"/>
    <w:rsid w:val="00322F7C"/>
    <w:rsid w:val="00322FDF"/>
    <w:rsid w:val="00323613"/>
    <w:rsid w:val="00323B56"/>
    <w:rsid w:val="00323BB0"/>
    <w:rsid w:val="00323DF5"/>
    <w:rsid w:val="00324866"/>
    <w:rsid w:val="00324A0A"/>
    <w:rsid w:val="00324EEF"/>
    <w:rsid w:val="00324F89"/>
    <w:rsid w:val="0032516B"/>
    <w:rsid w:val="003258DF"/>
    <w:rsid w:val="00326387"/>
    <w:rsid w:val="0032644E"/>
    <w:rsid w:val="003264A7"/>
    <w:rsid w:val="003268D4"/>
    <w:rsid w:val="003268E8"/>
    <w:rsid w:val="00326ABD"/>
    <w:rsid w:val="00326BEE"/>
    <w:rsid w:val="00326D32"/>
    <w:rsid w:val="00326D46"/>
    <w:rsid w:val="00326F04"/>
    <w:rsid w:val="00326F54"/>
    <w:rsid w:val="00327588"/>
    <w:rsid w:val="0032785C"/>
    <w:rsid w:val="003279EE"/>
    <w:rsid w:val="0033001E"/>
    <w:rsid w:val="003300B1"/>
    <w:rsid w:val="003304DA"/>
    <w:rsid w:val="00330A68"/>
    <w:rsid w:val="00330E80"/>
    <w:rsid w:val="00330F97"/>
    <w:rsid w:val="003316CD"/>
    <w:rsid w:val="003319A7"/>
    <w:rsid w:val="00331E19"/>
    <w:rsid w:val="0033216F"/>
    <w:rsid w:val="00332480"/>
    <w:rsid w:val="0033272C"/>
    <w:rsid w:val="003330DE"/>
    <w:rsid w:val="00333269"/>
    <w:rsid w:val="0033365B"/>
    <w:rsid w:val="003337C8"/>
    <w:rsid w:val="00333B2A"/>
    <w:rsid w:val="00333BB5"/>
    <w:rsid w:val="00333C7E"/>
    <w:rsid w:val="00334288"/>
    <w:rsid w:val="00334477"/>
    <w:rsid w:val="0033465A"/>
    <w:rsid w:val="00334A06"/>
    <w:rsid w:val="00335F60"/>
    <w:rsid w:val="00336285"/>
    <w:rsid w:val="0033629A"/>
    <w:rsid w:val="0033718B"/>
    <w:rsid w:val="0033724A"/>
    <w:rsid w:val="00337580"/>
    <w:rsid w:val="00337860"/>
    <w:rsid w:val="003378D3"/>
    <w:rsid w:val="00340255"/>
    <w:rsid w:val="00340358"/>
    <w:rsid w:val="00340903"/>
    <w:rsid w:val="00340D1E"/>
    <w:rsid w:val="00340DED"/>
    <w:rsid w:val="0034134D"/>
    <w:rsid w:val="00341A32"/>
    <w:rsid w:val="00342235"/>
    <w:rsid w:val="00342267"/>
    <w:rsid w:val="00342457"/>
    <w:rsid w:val="00342481"/>
    <w:rsid w:val="00342747"/>
    <w:rsid w:val="00342B98"/>
    <w:rsid w:val="003434A3"/>
    <w:rsid w:val="003436A4"/>
    <w:rsid w:val="00343714"/>
    <w:rsid w:val="00343A44"/>
    <w:rsid w:val="00343A78"/>
    <w:rsid w:val="00343E9E"/>
    <w:rsid w:val="0034400A"/>
    <w:rsid w:val="003441F0"/>
    <w:rsid w:val="00344288"/>
    <w:rsid w:val="00344E7C"/>
    <w:rsid w:val="00344F59"/>
    <w:rsid w:val="00345198"/>
    <w:rsid w:val="00345212"/>
    <w:rsid w:val="00345ABF"/>
    <w:rsid w:val="00346619"/>
    <w:rsid w:val="00347075"/>
    <w:rsid w:val="00347459"/>
    <w:rsid w:val="003476F1"/>
    <w:rsid w:val="00347A37"/>
    <w:rsid w:val="00347B26"/>
    <w:rsid w:val="00347CB1"/>
    <w:rsid w:val="0035041B"/>
    <w:rsid w:val="0035077C"/>
    <w:rsid w:val="00350964"/>
    <w:rsid w:val="00350B58"/>
    <w:rsid w:val="00350D39"/>
    <w:rsid w:val="00351245"/>
    <w:rsid w:val="003512B3"/>
    <w:rsid w:val="0035161B"/>
    <w:rsid w:val="00351A62"/>
    <w:rsid w:val="00351C79"/>
    <w:rsid w:val="003521DD"/>
    <w:rsid w:val="00352217"/>
    <w:rsid w:val="00353AD3"/>
    <w:rsid w:val="00353E4D"/>
    <w:rsid w:val="00353EB9"/>
    <w:rsid w:val="00353FC5"/>
    <w:rsid w:val="0035435F"/>
    <w:rsid w:val="0035459E"/>
    <w:rsid w:val="00354758"/>
    <w:rsid w:val="0035517B"/>
    <w:rsid w:val="003553E9"/>
    <w:rsid w:val="003553EB"/>
    <w:rsid w:val="00355F36"/>
    <w:rsid w:val="00355FDE"/>
    <w:rsid w:val="0035654D"/>
    <w:rsid w:val="003568A2"/>
    <w:rsid w:val="00356A5F"/>
    <w:rsid w:val="003570BB"/>
    <w:rsid w:val="00357166"/>
    <w:rsid w:val="00357469"/>
    <w:rsid w:val="0036008B"/>
    <w:rsid w:val="00360292"/>
    <w:rsid w:val="00360368"/>
    <w:rsid w:val="0036044B"/>
    <w:rsid w:val="00360E69"/>
    <w:rsid w:val="0036128B"/>
    <w:rsid w:val="00361332"/>
    <w:rsid w:val="003617B1"/>
    <w:rsid w:val="0036212B"/>
    <w:rsid w:val="003624F1"/>
    <w:rsid w:val="00362531"/>
    <w:rsid w:val="003632A0"/>
    <w:rsid w:val="003632C3"/>
    <w:rsid w:val="00363408"/>
    <w:rsid w:val="0036377D"/>
    <w:rsid w:val="00363EB9"/>
    <w:rsid w:val="003646F3"/>
    <w:rsid w:val="003648D9"/>
    <w:rsid w:val="0036533B"/>
    <w:rsid w:val="0036533F"/>
    <w:rsid w:val="003655D9"/>
    <w:rsid w:val="0036570E"/>
    <w:rsid w:val="00365917"/>
    <w:rsid w:val="00365F03"/>
    <w:rsid w:val="0036635B"/>
    <w:rsid w:val="003664CF"/>
    <w:rsid w:val="003668D7"/>
    <w:rsid w:val="00366D73"/>
    <w:rsid w:val="00367105"/>
    <w:rsid w:val="003676D0"/>
    <w:rsid w:val="003679E5"/>
    <w:rsid w:val="00370336"/>
    <w:rsid w:val="00370D8F"/>
    <w:rsid w:val="00370E97"/>
    <w:rsid w:val="00370EC3"/>
    <w:rsid w:val="003713A7"/>
    <w:rsid w:val="00371677"/>
    <w:rsid w:val="00371B4E"/>
    <w:rsid w:val="00371BCD"/>
    <w:rsid w:val="00372954"/>
    <w:rsid w:val="00372AE6"/>
    <w:rsid w:val="003733D6"/>
    <w:rsid w:val="00373651"/>
    <w:rsid w:val="003737D6"/>
    <w:rsid w:val="00373915"/>
    <w:rsid w:val="003746F5"/>
    <w:rsid w:val="0037484D"/>
    <w:rsid w:val="00374930"/>
    <w:rsid w:val="00374C83"/>
    <w:rsid w:val="0037529C"/>
    <w:rsid w:val="003753BD"/>
    <w:rsid w:val="0037575D"/>
    <w:rsid w:val="003758F0"/>
    <w:rsid w:val="00376106"/>
    <w:rsid w:val="003761DF"/>
    <w:rsid w:val="003768A6"/>
    <w:rsid w:val="0037699A"/>
    <w:rsid w:val="00376AA5"/>
    <w:rsid w:val="00377118"/>
    <w:rsid w:val="003800B6"/>
    <w:rsid w:val="0038075B"/>
    <w:rsid w:val="0038100C"/>
    <w:rsid w:val="00381391"/>
    <w:rsid w:val="003814A1"/>
    <w:rsid w:val="00381738"/>
    <w:rsid w:val="00381A5D"/>
    <w:rsid w:val="0038208F"/>
    <w:rsid w:val="00382103"/>
    <w:rsid w:val="0038216D"/>
    <w:rsid w:val="00382949"/>
    <w:rsid w:val="00382F5C"/>
    <w:rsid w:val="00382F8B"/>
    <w:rsid w:val="00383021"/>
    <w:rsid w:val="00383434"/>
    <w:rsid w:val="0038355F"/>
    <w:rsid w:val="003836C5"/>
    <w:rsid w:val="00383A96"/>
    <w:rsid w:val="00383F41"/>
    <w:rsid w:val="00384191"/>
    <w:rsid w:val="00384266"/>
    <w:rsid w:val="003847F0"/>
    <w:rsid w:val="003848DD"/>
    <w:rsid w:val="00384936"/>
    <w:rsid w:val="00384B57"/>
    <w:rsid w:val="00385449"/>
    <w:rsid w:val="0038571C"/>
    <w:rsid w:val="00385DDB"/>
    <w:rsid w:val="00386105"/>
    <w:rsid w:val="003863A5"/>
    <w:rsid w:val="0038647F"/>
    <w:rsid w:val="0038679F"/>
    <w:rsid w:val="00387140"/>
    <w:rsid w:val="0038724C"/>
    <w:rsid w:val="0038769A"/>
    <w:rsid w:val="003876AC"/>
    <w:rsid w:val="003876C1"/>
    <w:rsid w:val="00387780"/>
    <w:rsid w:val="00387916"/>
    <w:rsid w:val="00387D8B"/>
    <w:rsid w:val="00387F97"/>
    <w:rsid w:val="0039028D"/>
    <w:rsid w:val="003902A5"/>
    <w:rsid w:val="00390568"/>
    <w:rsid w:val="00390D1E"/>
    <w:rsid w:val="00390E6B"/>
    <w:rsid w:val="003913AB"/>
    <w:rsid w:val="00391537"/>
    <w:rsid w:val="00391830"/>
    <w:rsid w:val="00391BB4"/>
    <w:rsid w:val="00391BFE"/>
    <w:rsid w:val="003923E6"/>
    <w:rsid w:val="00392522"/>
    <w:rsid w:val="00392B95"/>
    <w:rsid w:val="00392F43"/>
    <w:rsid w:val="0039353E"/>
    <w:rsid w:val="003935C2"/>
    <w:rsid w:val="00393723"/>
    <w:rsid w:val="00393875"/>
    <w:rsid w:val="00393941"/>
    <w:rsid w:val="003939F9"/>
    <w:rsid w:val="00393CD3"/>
    <w:rsid w:val="003943C8"/>
    <w:rsid w:val="00394F63"/>
    <w:rsid w:val="00395332"/>
    <w:rsid w:val="003956ED"/>
    <w:rsid w:val="00395898"/>
    <w:rsid w:val="00396929"/>
    <w:rsid w:val="00396A4F"/>
    <w:rsid w:val="00396B4B"/>
    <w:rsid w:val="00397783"/>
    <w:rsid w:val="00397857"/>
    <w:rsid w:val="00397D8B"/>
    <w:rsid w:val="00397E98"/>
    <w:rsid w:val="00397F3D"/>
    <w:rsid w:val="00397F7C"/>
    <w:rsid w:val="003A0149"/>
    <w:rsid w:val="003A0699"/>
    <w:rsid w:val="003A0F6F"/>
    <w:rsid w:val="003A116F"/>
    <w:rsid w:val="003A1463"/>
    <w:rsid w:val="003A1CD3"/>
    <w:rsid w:val="003A285E"/>
    <w:rsid w:val="003A3A7C"/>
    <w:rsid w:val="003A3FA4"/>
    <w:rsid w:val="003A47B8"/>
    <w:rsid w:val="003A47DC"/>
    <w:rsid w:val="003A5099"/>
    <w:rsid w:val="003A578D"/>
    <w:rsid w:val="003A6097"/>
    <w:rsid w:val="003A628D"/>
    <w:rsid w:val="003A6534"/>
    <w:rsid w:val="003A666E"/>
    <w:rsid w:val="003A68DD"/>
    <w:rsid w:val="003A6CD0"/>
    <w:rsid w:val="003A6F33"/>
    <w:rsid w:val="003A6FEB"/>
    <w:rsid w:val="003A7373"/>
    <w:rsid w:val="003A7887"/>
    <w:rsid w:val="003B01A3"/>
    <w:rsid w:val="003B0CAB"/>
    <w:rsid w:val="003B14F9"/>
    <w:rsid w:val="003B18D5"/>
    <w:rsid w:val="003B197E"/>
    <w:rsid w:val="003B1F0D"/>
    <w:rsid w:val="003B2890"/>
    <w:rsid w:val="003B2DCC"/>
    <w:rsid w:val="003B38CC"/>
    <w:rsid w:val="003B3CD2"/>
    <w:rsid w:val="003B3E31"/>
    <w:rsid w:val="003B4C26"/>
    <w:rsid w:val="003B4CEC"/>
    <w:rsid w:val="003B5078"/>
    <w:rsid w:val="003B5284"/>
    <w:rsid w:val="003B534E"/>
    <w:rsid w:val="003B576E"/>
    <w:rsid w:val="003B579C"/>
    <w:rsid w:val="003B5CB2"/>
    <w:rsid w:val="003B5DE0"/>
    <w:rsid w:val="003B60EC"/>
    <w:rsid w:val="003B648C"/>
    <w:rsid w:val="003B649E"/>
    <w:rsid w:val="003B66F3"/>
    <w:rsid w:val="003B732A"/>
    <w:rsid w:val="003B7419"/>
    <w:rsid w:val="003B7465"/>
    <w:rsid w:val="003B778B"/>
    <w:rsid w:val="003B7AE6"/>
    <w:rsid w:val="003B7B48"/>
    <w:rsid w:val="003B7C93"/>
    <w:rsid w:val="003C07D0"/>
    <w:rsid w:val="003C0B0C"/>
    <w:rsid w:val="003C0DA6"/>
    <w:rsid w:val="003C0FFF"/>
    <w:rsid w:val="003C12AA"/>
    <w:rsid w:val="003C15C9"/>
    <w:rsid w:val="003C1B25"/>
    <w:rsid w:val="003C1C74"/>
    <w:rsid w:val="003C1E44"/>
    <w:rsid w:val="003C22F7"/>
    <w:rsid w:val="003C2709"/>
    <w:rsid w:val="003C288D"/>
    <w:rsid w:val="003C2D81"/>
    <w:rsid w:val="003C2DD4"/>
    <w:rsid w:val="003C2F67"/>
    <w:rsid w:val="003C35B4"/>
    <w:rsid w:val="003C37D4"/>
    <w:rsid w:val="003C3B31"/>
    <w:rsid w:val="003C3BDA"/>
    <w:rsid w:val="003C43CB"/>
    <w:rsid w:val="003C443B"/>
    <w:rsid w:val="003C464B"/>
    <w:rsid w:val="003C500F"/>
    <w:rsid w:val="003C5254"/>
    <w:rsid w:val="003C58D1"/>
    <w:rsid w:val="003C5CC0"/>
    <w:rsid w:val="003C6609"/>
    <w:rsid w:val="003C666D"/>
    <w:rsid w:val="003C695F"/>
    <w:rsid w:val="003C6A61"/>
    <w:rsid w:val="003C6C1B"/>
    <w:rsid w:val="003C6F24"/>
    <w:rsid w:val="003C703A"/>
    <w:rsid w:val="003C7625"/>
    <w:rsid w:val="003C7DC3"/>
    <w:rsid w:val="003D0059"/>
    <w:rsid w:val="003D0108"/>
    <w:rsid w:val="003D08E3"/>
    <w:rsid w:val="003D099C"/>
    <w:rsid w:val="003D0A38"/>
    <w:rsid w:val="003D0A7F"/>
    <w:rsid w:val="003D0AB9"/>
    <w:rsid w:val="003D0DC2"/>
    <w:rsid w:val="003D18A2"/>
    <w:rsid w:val="003D19E5"/>
    <w:rsid w:val="003D2378"/>
    <w:rsid w:val="003D2996"/>
    <w:rsid w:val="003D2D68"/>
    <w:rsid w:val="003D320F"/>
    <w:rsid w:val="003D34C2"/>
    <w:rsid w:val="003D3542"/>
    <w:rsid w:val="003D3811"/>
    <w:rsid w:val="003D3AAC"/>
    <w:rsid w:val="003D3BCD"/>
    <w:rsid w:val="003D3FAD"/>
    <w:rsid w:val="003D4931"/>
    <w:rsid w:val="003D4A0F"/>
    <w:rsid w:val="003D4F74"/>
    <w:rsid w:val="003D5B18"/>
    <w:rsid w:val="003D5CBF"/>
    <w:rsid w:val="003D5D20"/>
    <w:rsid w:val="003D5F35"/>
    <w:rsid w:val="003D60AB"/>
    <w:rsid w:val="003D625C"/>
    <w:rsid w:val="003D6346"/>
    <w:rsid w:val="003D6572"/>
    <w:rsid w:val="003D67D9"/>
    <w:rsid w:val="003D6BBA"/>
    <w:rsid w:val="003D6BED"/>
    <w:rsid w:val="003D6DA4"/>
    <w:rsid w:val="003D6FEA"/>
    <w:rsid w:val="003D7619"/>
    <w:rsid w:val="003D7856"/>
    <w:rsid w:val="003D7DDB"/>
    <w:rsid w:val="003D7E84"/>
    <w:rsid w:val="003D7EB9"/>
    <w:rsid w:val="003E0162"/>
    <w:rsid w:val="003E0AC2"/>
    <w:rsid w:val="003E0BEA"/>
    <w:rsid w:val="003E13A8"/>
    <w:rsid w:val="003E1469"/>
    <w:rsid w:val="003E15D0"/>
    <w:rsid w:val="003E15F9"/>
    <w:rsid w:val="003E1624"/>
    <w:rsid w:val="003E1820"/>
    <w:rsid w:val="003E2A2C"/>
    <w:rsid w:val="003E3546"/>
    <w:rsid w:val="003E3DAF"/>
    <w:rsid w:val="003E3FA6"/>
    <w:rsid w:val="003E49F1"/>
    <w:rsid w:val="003E4B6B"/>
    <w:rsid w:val="003E4F6E"/>
    <w:rsid w:val="003E4F7A"/>
    <w:rsid w:val="003E5072"/>
    <w:rsid w:val="003E51D4"/>
    <w:rsid w:val="003E5479"/>
    <w:rsid w:val="003E5864"/>
    <w:rsid w:val="003E6BB6"/>
    <w:rsid w:val="003E7236"/>
    <w:rsid w:val="003E7327"/>
    <w:rsid w:val="003E7795"/>
    <w:rsid w:val="003E7EB1"/>
    <w:rsid w:val="003F03E4"/>
    <w:rsid w:val="003F0760"/>
    <w:rsid w:val="003F0808"/>
    <w:rsid w:val="003F0963"/>
    <w:rsid w:val="003F0E4E"/>
    <w:rsid w:val="003F1290"/>
    <w:rsid w:val="003F184D"/>
    <w:rsid w:val="003F18EF"/>
    <w:rsid w:val="003F1BE2"/>
    <w:rsid w:val="003F1D63"/>
    <w:rsid w:val="003F2847"/>
    <w:rsid w:val="003F324C"/>
    <w:rsid w:val="003F3315"/>
    <w:rsid w:val="003F346A"/>
    <w:rsid w:val="003F3963"/>
    <w:rsid w:val="003F3E06"/>
    <w:rsid w:val="003F3E96"/>
    <w:rsid w:val="003F3F40"/>
    <w:rsid w:val="003F4516"/>
    <w:rsid w:val="003F49C7"/>
    <w:rsid w:val="003F50C8"/>
    <w:rsid w:val="003F50F8"/>
    <w:rsid w:val="003F55EE"/>
    <w:rsid w:val="003F5A93"/>
    <w:rsid w:val="003F5A98"/>
    <w:rsid w:val="003F5EE9"/>
    <w:rsid w:val="003F6A83"/>
    <w:rsid w:val="003F6F7E"/>
    <w:rsid w:val="003F757B"/>
    <w:rsid w:val="003F7633"/>
    <w:rsid w:val="003F792A"/>
    <w:rsid w:val="003F7ADF"/>
    <w:rsid w:val="003F7BFC"/>
    <w:rsid w:val="003F7EDB"/>
    <w:rsid w:val="004000D1"/>
    <w:rsid w:val="00400542"/>
    <w:rsid w:val="004008E2"/>
    <w:rsid w:val="00400A23"/>
    <w:rsid w:val="004011B8"/>
    <w:rsid w:val="00401A62"/>
    <w:rsid w:val="00401C52"/>
    <w:rsid w:val="00402155"/>
    <w:rsid w:val="0040256D"/>
    <w:rsid w:val="00402748"/>
    <w:rsid w:val="00402814"/>
    <w:rsid w:val="0040304F"/>
    <w:rsid w:val="00403161"/>
    <w:rsid w:val="00403FC4"/>
    <w:rsid w:val="004044E4"/>
    <w:rsid w:val="004044F9"/>
    <w:rsid w:val="0040465C"/>
    <w:rsid w:val="00404A45"/>
    <w:rsid w:val="00404C85"/>
    <w:rsid w:val="004051DE"/>
    <w:rsid w:val="00405759"/>
    <w:rsid w:val="004057F5"/>
    <w:rsid w:val="00405DC1"/>
    <w:rsid w:val="004060FE"/>
    <w:rsid w:val="004061F1"/>
    <w:rsid w:val="0040636B"/>
    <w:rsid w:val="00406FB5"/>
    <w:rsid w:val="00407016"/>
    <w:rsid w:val="0040792A"/>
    <w:rsid w:val="00407B0A"/>
    <w:rsid w:val="00407BD2"/>
    <w:rsid w:val="00407D50"/>
    <w:rsid w:val="00407E7B"/>
    <w:rsid w:val="0041017D"/>
    <w:rsid w:val="0041058A"/>
    <w:rsid w:val="004107F0"/>
    <w:rsid w:val="00410D98"/>
    <w:rsid w:val="00410FB5"/>
    <w:rsid w:val="00411E7D"/>
    <w:rsid w:val="0041215B"/>
    <w:rsid w:val="00412671"/>
    <w:rsid w:val="004126DC"/>
    <w:rsid w:val="0041284B"/>
    <w:rsid w:val="00412A94"/>
    <w:rsid w:val="00413230"/>
    <w:rsid w:val="004134D8"/>
    <w:rsid w:val="00413785"/>
    <w:rsid w:val="004137FC"/>
    <w:rsid w:val="00413835"/>
    <w:rsid w:val="004138D7"/>
    <w:rsid w:val="00414253"/>
    <w:rsid w:val="0041483F"/>
    <w:rsid w:val="00414AB0"/>
    <w:rsid w:val="00415043"/>
    <w:rsid w:val="00415180"/>
    <w:rsid w:val="00415262"/>
    <w:rsid w:val="0041537E"/>
    <w:rsid w:val="004158C8"/>
    <w:rsid w:val="00415933"/>
    <w:rsid w:val="00415B58"/>
    <w:rsid w:val="00415ECB"/>
    <w:rsid w:val="00415F4F"/>
    <w:rsid w:val="00416018"/>
    <w:rsid w:val="00416121"/>
    <w:rsid w:val="004166A4"/>
    <w:rsid w:val="00416ED1"/>
    <w:rsid w:val="00417142"/>
    <w:rsid w:val="004171A5"/>
    <w:rsid w:val="00417909"/>
    <w:rsid w:val="004179F2"/>
    <w:rsid w:val="00417F3B"/>
    <w:rsid w:val="004208F8"/>
    <w:rsid w:val="004209B4"/>
    <w:rsid w:val="00420A54"/>
    <w:rsid w:val="00420AF8"/>
    <w:rsid w:val="00421429"/>
    <w:rsid w:val="0042151E"/>
    <w:rsid w:val="00421A34"/>
    <w:rsid w:val="00421B85"/>
    <w:rsid w:val="00422952"/>
    <w:rsid w:val="00422C39"/>
    <w:rsid w:val="00423081"/>
    <w:rsid w:val="00423BC6"/>
    <w:rsid w:val="00423CFE"/>
    <w:rsid w:val="00423E3E"/>
    <w:rsid w:val="00424CCC"/>
    <w:rsid w:val="00424F32"/>
    <w:rsid w:val="00424F6A"/>
    <w:rsid w:val="004254CC"/>
    <w:rsid w:val="00425B91"/>
    <w:rsid w:val="004260C9"/>
    <w:rsid w:val="00426305"/>
    <w:rsid w:val="004268EC"/>
    <w:rsid w:val="00426950"/>
    <w:rsid w:val="00426F01"/>
    <w:rsid w:val="00426F89"/>
    <w:rsid w:val="00426FE0"/>
    <w:rsid w:val="00427223"/>
    <w:rsid w:val="004272EC"/>
    <w:rsid w:val="004279F0"/>
    <w:rsid w:val="00427A26"/>
    <w:rsid w:val="0043035B"/>
    <w:rsid w:val="00430CCB"/>
    <w:rsid w:val="00430DD1"/>
    <w:rsid w:val="004313E3"/>
    <w:rsid w:val="004314EC"/>
    <w:rsid w:val="0043170C"/>
    <w:rsid w:val="00431760"/>
    <w:rsid w:val="004318FE"/>
    <w:rsid w:val="00431960"/>
    <w:rsid w:val="00431A83"/>
    <w:rsid w:val="00431D51"/>
    <w:rsid w:val="004320FF"/>
    <w:rsid w:val="0043258E"/>
    <w:rsid w:val="00432675"/>
    <w:rsid w:val="0043268D"/>
    <w:rsid w:val="004332E7"/>
    <w:rsid w:val="004333CE"/>
    <w:rsid w:val="00433429"/>
    <w:rsid w:val="00433660"/>
    <w:rsid w:val="004338AD"/>
    <w:rsid w:val="004338C0"/>
    <w:rsid w:val="004339A7"/>
    <w:rsid w:val="00433A39"/>
    <w:rsid w:val="00433B0D"/>
    <w:rsid w:val="00433E1F"/>
    <w:rsid w:val="00433F7A"/>
    <w:rsid w:val="00434788"/>
    <w:rsid w:val="004348D0"/>
    <w:rsid w:val="00434987"/>
    <w:rsid w:val="004349C6"/>
    <w:rsid w:val="00434D50"/>
    <w:rsid w:val="00434D8F"/>
    <w:rsid w:val="00434EEF"/>
    <w:rsid w:val="00435757"/>
    <w:rsid w:val="0043577D"/>
    <w:rsid w:val="00435DF6"/>
    <w:rsid w:val="00435E33"/>
    <w:rsid w:val="0043649B"/>
    <w:rsid w:val="00437634"/>
    <w:rsid w:val="004379F9"/>
    <w:rsid w:val="00437D99"/>
    <w:rsid w:val="00437E23"/>
    <w:rsid w:val="00437EE8"/>
    <w:rsid w:val="00437F68"/>
    <w:rsid w:val="00437F88"/>
    <w:rsid w:val="00440009"/>
    <w:rsid w:val="004400AD"/>
    <w:rsid w:val="00440507"/>
    <w:rsid w:val="0044092C"/>
    <w:rsid w:val="00440969"/>
    <w:rsid w:val="004409AC"/>
    <w:rsid w:val="00440E35"/>
    <w:rsid w:val="00440FA1"/>
    <w:rsid w:val="00441027"/>
    <w:rsid w:val="004418EC"/>
    <w:rsid w:val="00441D4A"/>
    <w:rsid w:val="00441E32"/>
    <w:rsid w:val="00441E57"/>
    <w:rsid w:val="0044217F"/>
    <w:rsid w:val="0044235E"/>
    <w:rsid w:val="004424F3"/>
    <w:rsid w:val="00442503"/>
    <w:rsid w:val="00442A64"/>
    <w:rsid w:val="00442BE5"/>
    <w:rsid w:val="00442C5D"/>
    <w:rsid w:val="004430CF"/>
    <w:rsid w:val="00443ABE"/>
    <w:rsid w:val="004441B0"/>
    <w:rsid w:val="004441C6"/>
    <w:rsid w:val="00444767"/>
    <w:rsid w:val="00444AA9"/>
    <w:rsid w:val="004454F4"/>
    <w:rsid w:val="00445ACB"/>
    <w:rsid w:val="00445C35"/>
    <w:rsid w:val="0044658C"/>
    <w:rsid w:val="004465C0"/>
    <w:rsid w:val="004465FA"/>
    <w:rsid w:val="0044708F"/>
    <w:rsid w:val="0044724B"/>
    <w:rsid w:val="0044734E"/>
    <w:rsid w:val="00447386"/>
    <w:rsid w:val="004474C1"/>
    <w:rsid w:val="00450271"/>
    <w:rsid w:val="004503BB"/>
    <w:rsid w:val="00450612"/>
    <w:rsid w:val="00450741"/>
    <w:rsid w:val="00451416"/>
    <w:rsid w:val="00451633"/>
    <w:rsid w:val="00451CB4"/>
    <w:rsid w:val="0045271E"/>
    <w:rsid w:val="00452760"/>
    <w:rsid w:val="00452807"/>
    <w:rsid w:val="0045292A"/>
    <w:rsid w:val="004538FC"/>
    <w:rsid w:val="00453D36"/>
    <w:rsid w:val="004544AA"/>
    <w:rsid w:val="004548EB"/>
    <w:rsid w:val="00454DA5"/>
    <w:rsid w:val="00455347"/>
    <w:rsid w:val="004554C6"/>
    <w:rsid w:val="004556C0"/>
    <w:rsid w:val="0045589B"/>
    <w:rsid w:val="00455AD3"/>
    <w:rsid w:val="00455AEE"/>
    <w:rsid w:val="00455CDF"/>
    <w:rsid w:val="00456C2E"/>
    <w:rsid w:val="0045721F"/>
    <w:rsid w:val="00457405"/>
    <w:rsid w:val="004574A2"/>
    <w:rsid w:val="0045765D"/>
    <w:rsid w:val="0045778C"/>
    <w:rsid w:val="00457FB3"/>
    <w:rsid w:val="00460040"/>
    <w:rsid w:val="0046046F"/>
    <w:rsid w:val="004605E0"/>
    <w:rsid w:val="00461E75"/>
    <w:rsid w:val="0046210F"/>
    <w:rsid w:val="00462154"/>
    <w:rsid w:val="004621CC"/>
    <w:rsid w:val="004625A7"/>
    <w:rsid w:val="00462AEC"/>
    <w:rsid w:val="00462D28"/>
    <w:rsid w:val="00462F3D"/>
    <w:rsid w:val="0046353A"/>
    <w:rsid w:val="00463A68"/>
    <w:rsid w:val="00463BC6"/>
    <w:rsid w:val="00463BED"/>
    <w:rsid w:val="00463BEF"/>
    <w:rsid w:val="00463CE1"/>
    <w:rsid w:val="004642E5"/>
    <w:rsid w:val="00464550"/>
    <w:rsid w:val="0046491A"/>
    <w:rsid w:val="00464DBE"/>
    <w:rsid w:val="00464E1C"/>
    <w:rsid w:val="004651BF"/>
    <w:rsid w:val="00465696"/>
    <w:rsid w:val="00465818"/>
    <w:rsid w:val="004660BC"/>
    <w:rsid w:val="00466216"/>
    <w:rsid w:val="004663DC"/>
    <w:rsid w:val="004670CB"/>
    <w:rsid w:val="004678AB"/>
    <w:rsid w:val="00467BAB"/>
    <w:rsid w:val="00470367"/>
    <w:rsid w:val="004706DE"/>
    <w:rsid w:val="00470753"/>
    <w:rsid w:val="00470900"/>
    <w:rsid w:val="00470D8A"/>
    <w:rsid w:val="00471B0D"/>
    <w:rsid w:val="00471E86"/>
    <w:rsid w:val="0047209C"/>
    <w:rsid w:val="00472463"/>
    <w:rsid w:val="004734DF"/>
    <w:rsid w:val="00473689"/>
    <w:rsid w:val="00473A3E"/>
    <w:rsid w:val="00473BA6"/>
    <w:rsid w:val="00473BD1"/>
    <w:rsid w:val="00473D2D"/>
    <w:rsid w:val="004741F4"/>
    <w:rsid w:val="00474514"/>
    <w:rsid w:val="004747B5"/>
    <w:rsid w:val="00474AA4"/>
    <w:rsid w:val="00474B26"/>
    <w:rsid w:val="0047538C"/>
    <w:rsid w:val="0047544C"/>
    <w:rsid w:val="004754D7"/>
    <w:rsid w:val="0047556E"/>
    <w:rsid w:val="00475811"/>
    <w:rsid w:val="00475942"/>
    <w:rsid w:val="0047599A"/>
    <w:rsid w:val="00475ABE"/>
    <w:rsid w:val="00475EC5"/>
    <w:rsid w:val="00476963"/>
    <w:rsid w:val="00476B6F"/>
    <w:rsid w:val="00477B83"/>
    <w:rsid w:val="00477EEE"/>
    <w:rsid w:val="00480133"/>
    <w:rsid w:val="00480405"/>
    <w:rsid w:val="0048094F"/>
    <w:rsid w:val="00480FDF"/>
    <w:rsid w:val="0048134F"/>
    <w:rsid w:val="004815DA"/>
    <w:rsid w:val="004816D5"/>
    <w:rsid w:val="00481864"/>
    <w:rsid w:val="00481E81"/>
    <w:rsid w:val="00481FD2"/>
    <w:rsid w:val="004820BE"/>
    <w:rsid w:val="004820C8"/>
    <w:rsid w:val="004824DB"/>
    <w:rsid w:val="004826FE"/>
    <w:rsid w:val="00482857"/>
    <w:rsid w:val="00482AEF"/>
    <w:rsid w:val="00483506"/>
    <w:rsid w:val="0048390B"/>
    <w:rsid w:val="00483CE9"/>
    <w:rsid w:val="00485022"/>
    <w:rsid w:val="004850B7"/>
    <w:rsid w:val="004854F1"/>
    <w:rsid w:val="004855D9"/>
    <w:rsid w:val="004856E2"/>
    <w:rsid w:val="00485A4A"/>
    <w:rsid w:val="004862F7"/>
    <w:rsid w:val="004873F2"/>
    <w:rsid w:val="00487526"/>
    <w:rsid w:val="00487559"/>
    <w:rsid w:val="004878E6"/>
    <w:rsid w:val="00487B62"/>
    <w:rsid w:val="00487D3E"/>
    <w:rsid w:val="0049016E"/>
    <w:rsid w:val="0049094C"/>
    <w:rsid w:val="00490F80"/>
    <w:rsid w:val="00491C4E"/>
    <w:rsid w:val="00491F2B"/>
    <w:rsid w:val="0049224E"/>
    <w:rsid w:val="004923E5"/>
    <w:rsid w:val="004925F2"/>
    <w:rsid w:val="00492A36"/>
    <w:rsid w:val="00492B03"/>
    <w:rsid w:val="00493A21"/>
    <w:rsid w:val="00493D49"/>
    <w:rsid w:val="0049431D"/>
    <w:rsid w:val="0049460F"/>
    <w:rsid w:val="00494A03"/>
    <w:rsid w:val="00494BE1"/>
    <w:rsid w:val="00494E81"/>
    <w:rsid w:val="00494EE7"/>
    <w:rsid w:val="004950FD"/>
    <w:rsid w:val="0049531D"/>
    <w:rsid w:val="004957B8"/>
    <w:rsid w:val="00495AF8"/>
    <w:rsid w:val="00495B9F"/>
    <w:rsid w:val="00495FB1"/>
    <w:rsid w:val="004965C9"/>
    <w:rsid w:val="0049683B"/>
    <w:rsid w:val="00496D07"/>
    <w:rsid w:val="00497258"/>
    <w:rsid w:val="004973C5"/>
    <w:rsid w:val="004974FD"/>
    <w:rsid w:val="00497608"/>
    <w:rsid w:val="00497874"/>
    <w:rsid w:val="00497B4E"/>
    <w:rsid w:val="00497BE9"/>
    <w:rsid w:val="004A06E3"/>
    <w:rsid w:val="004A0B1C"/>
    <w:rsid w:val="004A12E8"/>
    <w:rsid w:val="004A15F1"/>
    <w:rsid w:val="004A175F"/>
    <w:rsid w:val="004A1ECB"/>
    <w:rsid w:val="004A1F30"/>
    <w:rsid w:val="004A2375"/>
    <w:rsid w:val="004A25AC"/>
    <w:rsid w:val="004A2B2D"/>
    <w:rsid w:val="004A2C65"/>
    <w:rsid w:val="004A32EB"/>
    <w:rsid w:val="004A3BD5"/>
    <w:rsid w:val="004A3DFF"/>
    <w:rsid w:val="004A4066"/>
    <w:rsid w:val="004A42CD"/>
    <w:rsid w:val="004A50F2"/>
    <w:rsid w:val="004A5278"/>
    <w:rsid w:val="004A5426"/>
    <w:rsid w:val="004A5739"/>
    <w:rsid w:val="004A5BC0"/>
    <w:rsid w:val="004A5CEB"/>
    <w:rsid w:val="004A5D67"/>
    <w:rsid w:val="004A5E2F"/>
    <w:rsid w:val="004A5F7C"/>
    <w:rsid w:val="004A6006"/>
    <w:rsid w:val="004A6F71"/>
    <w:rsid w:val="004A6FA9"/>
    <w:rsid w:val="004A7103"/>
    <w:rsid w:val="004A7521"/>
    <w:rsid w:val="004A7C64"/>
    <w:rsid w:val="004A7F23"/>
    <w:rsid w:val="004B02AB"/>
    <w:rsid w:val="004B04BE"/>
    <w:rsid w:val="004B0599"/>
    <w:rsid w:val="004B0618"/>
    <w:rsid w:val="004B06F8"/>
    <w:rsid w:val="004B0A0F"/>
    <w:rsid w:val="004B0AC1"/>
    <w:rsid w:val="004B1162"/>
    <w:rsid w:val="004B1186"/>
    <w:rsid w:val="004B1418"/>
    <w:rsid w:val="004B160F"/>
    <w:rsid w:val="004B177B"/>
    <w:rsid w:val="004B17D5"/>
    <w:rsid w:val="004B1A8F"/>
    <w:rsid w:val="004B1EA3"/>
    <w:rsid w:val="004B295E"/>
    <w:rsid w:val="004B2CB1"/>
    <w:rsid w:val="004B2CB8"/>
    <w:rsid w:val="004B2D02"/>
    <w:rsid w:val="004B2FB8"/>
    <w:rsid w:val="004B371C"/>
    <w:rsid w:val="004B38AD"/>
    <w:rsid w:val="004B3DA4"/>
    <w:rsid w:val="004B3FE2"/>
    <w:rsid w:val="004B4103"/>
    <w:rsid w:val="004B4300"/>
    <w:rsid w:val="004B448C"/>
    <w:rsid w:val="004B48BF"/>
    <w:rsid w:val="004B4C8C"/>
    <w:rsid w:val="004B4E03"/>
    <w:rsid w:val="004B4E42"/>
    <w:rsid w:val="004B52DA"/>
    <w:rsid w:val="004B550B"/>
    <w:rsid w:val="004B5565"/>
    <w:rsid w:val="004B5784"/>
    <w:rsid w:val="004B5B1C"/>
    <w:rsid w:val="004B5D54"/>
    <w:rsid w:val="004B5E2B"/>
    <w:rsid w:val="004B62B2"/>
    <w:rsid w:val="004B6E6B"/>
    <w:rsid w:val="004B6EB2"/>
    <w:rsid w:val="004B6F68"/>
    <w:rsid w:val="004B71ED"/>
    <w:rsid w:val="004B7D36"/>
    <w:rsid w:val="004B7EAC"/>
    <w:rsid w:val="004C00AF"/>
    <w:rsid w:val="004C01A9"/>
    <w:rsid w:val="004C0217"/>
    <w:rsid w:val="004C0342"/>
    <w:rsid w:val="004C0878"/>
    <w:rsid w:val="004C13B0"/>
    <w:rsid w:val="004C17FC"/>
    <w:rsid w:val="004C2886"/>
    <w:rsid w:val="004C30CE"/>
    <w:rsid w:val="004C40BF"/>
    <w:rsid w:val="004C4698"/>
    <w:rsid w:val="004C4B69"/>
    <w:rsid w:val="004C5D74"/>
    <w:rsid w:val="004C5E14"/>
    <w:rsid w:val="004C5E3F"/>
    <w:rsid w:val="004C60E2"/>
    <w:rsid w:val="004C6116"/>
    <w:rsid w:val="004C6286"/>
    <w:rsid w:val="004C62E7"/>
    <w:rsid w:val="004C6656"/>
    <w:rsid w:val="004C73EE"/>
    <w:rsid w:val="004C76CC"/>
    <w:rsid w:val="004C7D27"/>
    <w:rsid w:val="004C7DD8"/>
    <w:rsid w:val="004D07DD"/>
    <w:rsid w:val="004D0845"/>
    <w:rsid w:val="004D11CA"/>
    <w:rsid w:val="004D13D6"/>
    <w:rsid w:val="004D1723"/>
    <w:rsid w:val="004D19DE"/>
    <w:rsid w:val="004D2350"/>
    <w:rsid w:val="004D2C8B"/>
    <w:rsid w:val="004D3146"/>
    <w:rsid w:val="004D31A4"/>
    <w:rsid w:val="004D352E"/>
    <w:rsid w:val="004D39CE"/>
    <w:rsid w:val="004D3A12"/>
    <w:rsid w:val="004D3B84"/>
    <w:rsid w:val="004D3D31"/>
    <w:rsid w:val="004D3D35"/>
    <w:rsid w:val="004D548A"/>
    <w:rsid w:val="004D5689"/>
    <w:rsid w:val="004D6218"/>
    <w:rsid w:val="004D7465"/>
    <w:rsid w:val="004D772A"/>
    <w:rsid w:val="004E0268"/>
    <w:rsid w:val="004E0499"/>
    <w:rsid w:val="004E0F0D"/>
    <w:rsid w:val="004E1225"/>
    <w:rsid w:val="004E153D"/>
    <w:rsid w:val="004E1652"/>
    <w:rsid w:val="004E1A41"/>
    <w:rsid w:val="004E1F72"/>
    <w:rsid w:val="004E23D4"/>
    <w:rsid w:val="004E27A4"/>
    <w:rsid w:val="004E27F2"/>
    <w:rsid w:val="004E2C8A"/>
    <w:rsid w:val="004E37EC"/>
    <w:rsid w:val="004E3CB0"/>
    <w:rsid w:val="004E3D6B"/>
    <w:rsid w:val="004E40A2"/>
    <w:rsid w:val="004E4137"/>
    <w:rsid w:val="004E4343"/>
    <w:rsid w:val="004E4435"/>
    <w:rsid w:val="004E4BA2"/>
    <w:rsid w:val="004E5543"/>
    <w:rsid w:val="004E58C1"/>
    <w:rsid w:val="004E6728"/>
    <w:rsid w:val="004E697B"/>
    <w:rsid w:val="004E6B35"/>
    <w:rsid w:val="004E6C36"/>
    <w:rsid w:val="004E6E31"/>
    <w:rsid w:val="004E7170"/>
    <w:rsid w:val="004E7748"/>
    <w:rsid w:val="004E795B"/>
    <w:rsid w:val="004E7C69"/>
    <w:rsid w:val="004F0196"/>
    <w:rsid w:val="004F01CA"/>
    <w:rsid w:val="004F0406"/>
    <w:rsid w:val="004F0826"/>
    <w:rsid w:val="004F0AB1"/>
    <w:rsid w:val="004F0D07"/>
    <w:rsid w:val="004F14AD"/>
    <w:rsid w:val="004F1DDC"/>
    <w:rsid w:val="004F238A"/>
    <w:rsid w:val="004F2452"/>
    <w:rsid w:val="004F24B3"/>
    <w:rsid w:val="004F269B"/>
    <w:rsid w:val="004F26F3"/>
    <w:rsid w:val="004F27E3"/>
    <w:rsid w:val="004F2879"/>
    <w:rsid w:val="004F2A00"/>
    <w:rsid w:val="004F2CB8"/>
    <w:rsid w:val="004F2FEE"/>
    <w:rsid w:val="004F30FD"/>
    <w:rsid w:val="004F33D6"/>
    <w:rsid w:val="004F3592"/>
    <w:rsid w:val="004F37C8"/>
    <w:rsid w:val="004F3A86"/>
    <w:rsid w:val="004F3E05"/>
    <w:rsid w:val="004F40FF"/>
    <w:rsid w:val="004F4761"/>
    <w:rsid w:val="004F4CB1"/>
    <w:rsid w:val="004F4F9E"/>
    <w:rsid w:val="004F595A"/>
    <w:rsid w:val="004F6007"/>
    <w:rsid w:val="004F6211"/>
    <w:rsid w:val="004F655B"/>
    <w:rsid w:val="004F6927"/>
    <w:rsid w:val="004F6934"/>
    <w:rsid w:val="004F6C49"/>
    <w:rsid w:val="004F6FFE"/>
    <w:rsid w:val="004F7087"/>
    <w:rsid w:val="004F7970"/>
    <w:rsid w:val="005000D5"/>
    <w:rsid w:val="0050033E"/>
    <w:rsid w:val="005009D5"/>
    <w:rsid w:val="00500B72"/>
    <w:rsid w:val="00500D27"/>
    <w:rsid w:val="005011EF"/>
    <w:rsid w:val="00501490"/>
    <w:rsid w:val="0050153B"/>
    <w:rsid w:val="00501F67"/>
    <w:rsid w:val="00502924"/>
    <w:rsid w:val="005029D1"/>
    <w:rsid w:val="00502BB6"/>
    <w:rsid w:val="00503191"/>
    <w:rsid w:val="005038B9"/>
    <w:rsid w:val="00503E08"/>
    <w:rsid w:val="005044AC"/>
    <w:rsid w:val="00504E4A"/>
    <w:rsid w:val="005051DE"/>
    <w:rsid w:val="005052D0"/>
    <w:rsid w:val="005055D1"/>
    <w:rsid w:val="0050569F"/>
    <w:rsid w:val="005058F5"/>
    <w:rsid w:val="00505973"/>
    <w:rsid w:val="00505A67"/>
    <w:rsid w:val="00505E1D"/>
    <w:rsid w:val="00506004"/>
    <w:rsid w:val="0050601A"/>
    <w:rsid w:val="005061CF"/>
    <w:rsid w:val="005063AC"/>
    <w:rsid w:val="0050644B"/>
    <w:rsid w:val="0050661F"/>
    <w:rsid w:val="00506C8B"/>
    <w:rsid w:val="00507541"/>
    <w:rsid w:val="0050775F"/>
    <w:rsid w:val="005078D2"/>
    <w:rsid w:val="0050797F"/>
    <w:rsid w:val="00507D8E"/>
    <w:rsid w:val="0051000F"/>
    <w:rsid w:val="005101A3"/>
    <w:rsid w:val="00510B72"/>
    <w:rsid w:val="00510D69"/>
    <w:rsid w:val="0051117C"/>
    <w:rsid w:val="005115B2"/>
    <w:rsid w:val="00511911"/>
    <w:rsid w:val="00511926"/>
    <w:rsid w:val="005119F9"/>
    <w:rsid w:val="00511CAE"/>
    <w:rsid w:val="00512747"/>
    <w:rsid w:val="00512934"/>
    <w:rsid w:val="00512C78"/>
    <w:rsid w:val="00512D31"/>
    <w:rsid w:val="00513155"/>
    <w:rsid w:val="00513287"/>
    <w:rsid w:val="005136A1"/>
    <w:rsid w:val="005138BF"/>
    <w:rsid w:val="00513DA6"/>
    <w:rsid w:val="00513DF3"/>
    <w:rsid w:val="00514114"/>
    <w:rsid w:val="005148B8"/>
    <w:rsid w:val="005149A0"/>
    <w:rsid w:val="00514BF6"/>
    <w:rsid w:val="00514DC1"/>
    <w:rsid w:val="00515056"/>
    <w:rsid w:val="005157F9"/>
    <w:rsid w:val="00515A12"/>
    <w:rsid w:val="00515A6C"/>
    <w:rsid w:val="00515B00"/>
    <w:rsid w:val="00515CBF"/>
    <w:rsid w:val="00515F96"/>
    <w:rsid w:val="00516283"/>
    <w:rsid w:val="00516669"/>
    <w:rsid w:val="005169A0"/>
    <w:rsid w:val="00516A71"/>
    <w:rsid w:val="00516CA5"/>
    <w:rsid w:val="005170E3"/>
    <w:rsid w:val="00517160"/>
    <w:rsid w:val="00517B90"/>
    <w:rsid w:val="00517D74"/>
    <w:rsid w:val="00520A26"/>
    <w:rsid w:val="00521220"/>
    <w:rsid w:val="0052177F"/>
    <w:rsid w:val="005218B5"/>
    <w:rsid w:val="00521AB2"/>
    <w:rsid w:val="00521D21"/>
    <w:rsid w:val="0052200C"/>
    <w:rsid w:val="0052227D"/>
    <w:rsid w:val="0052236F"/>
    <w:rsid w:val="005226EB"/>
    <w:rsid w:val="0052372A"/>
    <w:rsid w:val="00523842"/>
    <w:rsid w:val="00523BB9"/>
    <w:rsid w:val="00523FAB"/>
    <w:rsid w:val="00524A7D"/>
    <w:rsid w:val="00525354"/>
    <w:rsid w:val="00525AEE"/>
    <w:rsid w:val="00525FFD"/>
    <w:rsid w:val="00526205"/>
    <w:rsid w:val="00526A32"/>
    <w:rsid w:val="00526AC8"/>
    <w:rsid w:val="00526F12"/>
    <w:rsid w:val="005274D7"/>
    <w:rsid w:val="005277BB"/>
    <w:rsid w:val="00527E44"/>
    <w:rsid w:val="00527E89"/>
    <w:rsid w:val="005300E5"/>
    <w:rsid w:val="00530E1D"/>
    <w:rsid w:val="00530F84"/>
    <w:rsid w:val="00531130"/>
    <w:rsid w:val="0053113B"/>
    <w:rsid w:val="00531340"/>
    <w:rsid w:val="0053148E"/>
    <w:rsid w:val="005316B5"/>
    <w:rsid w:val="0053171A"/>
    <w:rsid w:val="0053192F"/>
    <w:rsid w:val="00531959"/>
    <w:rsid w:val="005319DE"/>
    <w:rsid w:val="005320F0"/>
    <w:rsid w:val="00532479"/>
    <w:rsid w:val="00532B9F"/>
    <w:rsid w:val="00532E8B"/>
    <w:rsid w:val="00533168"/>
    <w:rsid w:val="005333FA"/>
    <w:rsid w:val="0053357F"/>
    <w:rsid w:val="005339D4"/>
    <w:rsid w:val="00533F17"/>
    <w:rsid w:val="0053453F"/>
    <w:rsid w:val="00534792"/>
    <w:rsid w:val="0053523B"/>
    <w:rsid w:val="0053529C"/>
    <w:rsid w:val="0053568F"/>
    <w:rsid w:val="0053591F"/>
    <w:rsid w:val="00536446"/>
    <w:rsid w:val="00536593"/>
    <w:rsid w:val="00536E7F"/>
    <w:rsid w:val="00537021"/>
    <w:rsid w:val="00537775"/>
    <w:rsid w:val="005377A0"/>
    <w:rsid w:val="005377F0"/>
    <w:rsid w:val="00537F9A"/>
    <w:rsid w:val="005400B8"/>
    <w:rsid w:val="00540192"/>
    <w:rsid w:val="005403BF"/>
    <w:rsid w:val="00540C66"/>
    <w:rsid w:val="00541273"/>
    <w:rsid w:val="005414A3"/>
    <w:rsid w:val="0054162A"/>
    <w:rsid w:val="00541691"/>
    <w:rsid w:val="00542915"/>
    <w:rsid w:val="005429FA"/>
    <w:rsid w:val="00542B5D"/>
    <w:rsid w:val="0054405F"/>
    <w:rsid w:val="0054417A"/>
    <w:rsid w:val="0054452C"/>
    <w:rsid w:val="005445AE"/>
    <w:rsid w:val="00545476"/>
    <w:rsid w:val="005455D8"/>
    <w:rsid w:val="00545866"/>
    <w:rsid w:val="00545FAB"/>
    <w:rsid w:val="0054641A"/>
    <w:rsid w:val="00546AB7"/>
    <w:rsid w:val="005472F1"/>
    <w:rsid w:val="0054752F"/>
    <w:rsid w:val="00547988"/>
    <w:rsid w:val="00547A49"/>
    <w:rsid w:val="00550065"/>
    <w:rsid w:val="00550CB1"/>
    <w:rsid w:val="00551197"/>
    <w:rsid w:val="00551313"/>
    <w:rsid w:val="0055150A"/>
    <w:rsid w:val="0055170E"/>
    <w:rsid w:val="005518C7"/>
    <w:rsid w:val="00551AB6"/>
    <w:rsid w:val="0055229E"/>
    <w:rsid w:val="005522C3"/>
    <w:rsid w:val="00552563"/>
    <w:rsid w:val="00552605"/>
    <w:rsid w:val="00552C1C"/>
    <w:rsid w:val="00553167"/>
    <w:rsid w:val="00553374"/>
    <w:rsid w:val="005533E0"/>
    <w:rsid w:val="00553DE0"/>
    <w:rsid w:val="00553EAD"/>
    <w:rsid w:val="00553FFB"/>
    <w:rsid w:val="00554256"/>
    <w:rsid w:val="005548E3"/>
    <w:rsid w:val="005554CC"/>
    <w:rsid w:val="005556F6"/>
    <w:rsid w:val="00555BF4"/>
    <w:rsid w:val="00555D8F"/>
    <w:rsid w:val="00556361"/>
    <w:rsid w:val="0055688B"/>
    <w:rsid w:val="005569D9"/>
    <w:rsid w:val="00556AF5"/>
    <w:rsid w:val="00556C6A"/>
    <w:rsid w:val="00557A44"/>
    <w:rsid w:val="00560439"/>
    <w:rsid w:val="0056099C"/>
    <w:rsid w:val="00560C2E"/>
    <w:rsid w:val="0056122A"/>
    <w:rsid w:val="005612DD"/>
    <w:rsid w:val="00561C07"/>
    <w:rsid w:val="0056277F"/>
    <w:rsid w:val="005628B5"/>
    <w:rsid w:val="0056313E"/>
    <w:rsid w:val="005636F2"/>
    <w:rsid w:val="00564321"/>
    <w:rsid w:val="00564390"/>
    <w:rsid w:val="005643C7"/>
    <w:rsid w:val="005648C8"/>
    <w:rsid w:val="005650EE"/>
    <w:rsid w:val="00565AF4"/>
    <w:rsid w:val="00565B4A"/>
    <w:rsid w:val="00565DED"/>
    <w:rsid w:val="00565E9A"/>
    <w:rsid w:val="00566DAC"/>
    <w:rsid w:val="0056705C"/>
    <w:rsid w:val="00567083"/>
    <w:rsid w:val="005670D2"/>
    <w:rsid w:val="0056731B"/>
    <w:rsid w:val="005677EA"/>
    <w:rsid w:val="00567B17"/>
    <w:rsid w:val="005707AA"/>
    <w:rsid w:val="00570905"/>
    <w:rsid w:val="00571440"/>
    <w:rsid w:val="005717B6"/>
    <w:rsid w:val="00571B0F"/>
    <w:rsid w:val="00571EAF"/>
    <w:rsid w:val="00571F5D"/>
    <w:rsid w:val="00572192"/>
    <w:rsid w:val="0057313F"/>
    <w:rsid w:val="00573229"/>
    <w:rsid w:val="00573B34"/>
    <w:rsid w:val="00573DCE"/>
    <w:rsid w:val="00573E2E"/>
    <w:rsid w:val="00574F29"/>
    <w:rsid w:val="005752D3"/>
    <w:rsid w:val="0057536A"/>
    <w:rsid w:val="005753B0"/>
    <w:rsid w:val="005756EF"/>
    <w:rsid w:val="00575925"/>
    <w:rsid w:val="005761C8"/>
    <w:rsid w:val="00576CF4"/>
    <w:rsid w:val="005774F6"/>
    <w:rsid w:val="005776B5"/>
    <w:rsid w:val="005776BC"/>
    <w:rsid w:val="00577C23"/>
    <w:rsid w:val="00580083"/>
    <w:rsid w:val="00580229"/>
    <w:rsid w:val="0058022A"/>
    <w:rsid w:val="0058028C"/>
    <w:rsid w:val="005804E2"/>
    <w:rsid w:val="005806B3"/>
    <w:rsid w:val="005817F8"/>
    <w:rsid w:val="005819D5"/>
    <w:rsid w:val="00582125"/>
    <w:rsid w:val="005825CA"/>
    <w:rsid w:val="00582A6D"/>
    <w:rsid w:val="00582ACC"/>
    <w:rsid w:val="00582C62"/>
    <w:rsid w:val="00582F47"/>
    <w:rsid w:val="0058309D"/>
    <w:rsid w:val="005831D7"/>
    <w:rsid w:val="005834D2"/>
    <w:rsid w:val="00583813"/>
    <w:rsid w:val="00583C33"/>
    <w:rsid w:val="00583DFC"/>
    <w:rsid w:val="00583FB2"/>
    <w:rsid w:val="005847CD"/>
    <w:rsid w:val="0058487D"/>
    <w:rsid w:val="00584895"/>
    <w:rsid w:val="005848D4"/>
    <w:rsid w:val="0058495C"/>
    <w:rsid w:val="00584B3B"/>
    <w:rsid w:val="00584B78"/>
    <w:rsid w:val="00585504"/>
    <w:rsid w:val="005855FF"/>
    <w:rsid w:val="0058566B"/>
    <w:rsid w:val="00585A33"/>
    <w:rsid w:val="00585E51"/>
    <w:rsid w:val="005861F4"/>
    <w:rsid w:val="005862F8"/>
    <w:rsid w:val="0058680D"/>
    <w:rsid w:val="00586A45"/>
    <w:rsid w:val="00586C30"/>
    <w:rsid w:val="00586CDD"/>
    <w:rsid w:val="00587086"/>
    <w:rsid w:val="0058712F"/>
    <w:rsid w:val="00587AE4"/>
    <w:rsid w:val="00587FB8"/>
    <w:rsid w:val="005902B0"/>
    <w:rsid w:val="00590832"/>
    <w:rsid w:val="00590CEF"/>
    <w:rsid w:val="00590D05"/>
    <w:rsid w:val="00590F34"/>
    <w:rsid w:val="005916EB"/>
    <w:rsid w:val="00591A0D"/>
    <w:rsid w:val="00591D59"/>
    <w:rsid w:val="00591EF5"/>
    <w:rsid w:val="00592021"/>
    <w:rsid w:val="0059247C"/>
    <w:rsid w:val="00592C99"/>
    <w:rsid w:val="00592EB3"/>
    <w:rsid w:val="0059389E"/>
    <w:rsid w:val="00593DBA"/>
    <w:rsid w:val="00594025"/>
    <w:rsid w:val="00594DCA"/>
    <w:rsid w:val="00594F56"/>
    <w:rsid w:val="00595A8E"/>
    <w:rsid w:val="00595AB7"/>
    <w:rsid w:val="00595B39"/>
    <w:rsid w:val="00595C86"/>
    <w:rsid w:val="005960E9"/>
    <w:rsid w:val="005960EA"/>
    <w:rsid w:val="005961B6"/>
    <w:rsid w:val="00596553"/>
    <w:rsid w:val="0059672C"/>
    <w:rsid w:val="00596FBB"/>
    <w:rsid w:val="0059701D"/>
    <w:rsid w:val="005972E8"/>
    <w:rsid w:val="005973B9"/>
    <w:rsid w:val="00597547"/>
    <w:rsid w:val="00597815"/>
    <w:rsid w:val="00597CD7"/>
    <w:rsid w:val="00597DD4"/>
    <w:rsid w:val="00597E88"/>
    <w:rsid w:val="005A04D9"/>
    <w:rsid w:val="005A0BCE"/>
    <w:rsid w:val="005A1092"/>
    <w:rsid w:val="005A17BE"/>
    <w:rsid w:val="005A181C"/>
    <w:rsid w:val="005A1B47"/>
    <w:rsid w:val="005A1EC8"/>
    <w:rsid w:val="005A1FBA"/>
    <w:rsid w:val="005A2180"/>
    <w:rsid w:val="005A264C"/>
    <w:rsid w:val="005A2873"/>
    <w:rsid w:val="005A2997"/>
    <w:rsid w:val="005A2AF7"/>
    <w:rsid w:val="005A2D8A"/>
    <w:rsid w:val="005A2F59"/>
    <w:rsid w:val="005A3DBE"/>
    <w:rsid w:val="005A4418"/>
    <w:rsid w:val="005A4972"/>
    <w:rsid w:val="005A4979"/>
    <w:rsid w:val="005A577E"/>
    <w:rsid w:val="005A61BD"/>
    <w:rsid w:val="005A6265"/>
    <w:rsid w:val="005A62BE"/>
    <w:rsid w:val="005A641B"/>
    <w:rsid w:val="005A64BF"/>
    <w:rsid w:val="005A6E59"/>
    <w:rsid w:val="005A6FA9"/>
    <w:rsid w:val="005A71A5"/>
    <w:rsid w:val="005A7357"/>
    <w:rsid w:val="005A763D"/>
    <w:rsid w:val="005A7968"/>
    <w:rsid w:val="005A7AA7"/>
    <w:rsid w:val="005A7CC5"/>
    <w:rsid w:val="005B0314"/>
    <w:rsid w:val="005B035D"/>
    <w:rsid w:val="005B0818"/>
    <w:rsid w:val="005B0CF4"/>
    <w:rsid w:val="005B1049"/>
    <w:rsid w:val="005B1195"/>
    <w:rsid w:val="005B1E43"/>
    <w:rsid w:val="005B200D"/>
    <w:rsid w:val="005B2693"/>
    <w:rsid w:val="005B28DF"/>
    <w:rsid w:val="005B2EF9"/>
    <w:rsid w:val="005B2F21"/>
    <w:rsid w:val="005B2F94"/>
    <w:rsid w:val="005B30F3"/>
    <w:rsid w:val="005B3467"/>
    <w:rsid w:val="005B404C"/>
    <w:rsid w:val="005B492A"/>
    <w:rsid w:val="005B4D41"/>
    <w:rsid w:val="005B4E8B"/>
    <w:rsid w:val="005B51F7"/>
    <w:rsid w:val="005B5812"/>
    <w:rsid w:val="005B59F5"/>
    <w:rsid w:val="005B5E04"/>
    <w:rsid w:val="005B614E"/>
    <w:rsid w:val="005B704B"/>
    <w:rsid w:val="005B71A9"/>
    <w:rsid w:val="005B7E50"/>
    <w:rsid w:val="005C027D"/>
    <w:rsid w:val="005C094C"/>
    <w:rsid w:val="005C1461"/>
    <w:rsid w:val="005C1473"/>
    <w:rsid w:val="005C15E0"/>
    <w:rsid w:val="005C195D"/>
    <w:rsid w:val="005C1CF2"/>
    <w:rsid w:val="005C1E2A"/>
    <w:rsid w:val="005C20B9"/>
    <w:rsid w:val="005C2411"/>
    <w:rsid w:val="005C2805"/>
    <w:rsid w:val="005C2E1F"/>
    <w:rsid w:val="005C318D"/>
    <w:rsid w:val="005C32CF"/>
    <w:rsid w:val="005C3B72"/>
    <w:rsid w:val="005C3FB8"/>
    <w:rsid w:val="005C4318"/>
    <w:rsid w:val="005C48B3"/>
    <w:rsid w:val="005C5226"/>
    <w:rsid w:val="005C523A"/>
    <w:rsid w:val="005C56DC"/>
    <w:rsid w:val="005C5885"/>
    <w:rsid w:val="005C5B4E"/>
    <w:rsid w:val="005C5B6F"/>
    <w:rsid w:val="005C5CA4"/>
    <w:rsid w:val="005C5F13"/>
    <w:rsid w:val="005C62A0"/>
    <w:rsid w:val="005C62EC"/>
    <w:rsid w:val="005C664B"/>
    <w:rsid w:val="005C6940"/>
    <w:rsid w:val="005C69C9"/>
    <w:rsid w:val="005C6B1F"/>
    <w:rsid w:val="005C6CF9"/>
    <w:rsid w:val="005C6DC1"/>
    <w:rsid w:val="005C715A"/>
    <w:rsid w:val="005C71E4"/>
    <w:rsid w:val="005C76DE"/>
    <w:rsid w:val="005C78C9"/>
    <w:rsid w:val="005C7AAF"/>
    <w:rsid w:val="005C7D17"/>
    <w:rsid w:val="005C7F57"/>
    <w:rsid w:val="005D0A28"/>
    <w:rsid w:val="005D0B3A"/>
    <w:rsid w:val="005D107D"/>
    <w:rsid w:val="005D1967"/>
    <w:rsid w:val="005D1C0E"/>
    <w:rsid w:val="005D1FB8"/>
    <w:rsid w:val="005D22CD"/>
    <w:rsid w:val="005D24A5"/>
    <w:rsid w:val="005D2830"/>
    <w:rsid w:val="005D31BB"/>
    <w:rsid w:val="005D35A5"/>
    <w:rsid w:val="005D3791"/>
    <w:rsid w:val="005D3B51"/>
    <w:rsid w:val="005D3D6B"/>
    <w:rsid w:val="005D4603"/>
    <w:rsid w:val="005D4CE0"/>
    <w:rsid w:val="005D4D6A"/>
    <w:rsid w:val="005D5767"/>
    <w:rsid w:val="005D5A16"/>
    <w:rsid w:val="005D6A0B"/>
    <w:rsid w:val="005D6E5A"/>
    <w:rsid w:val="005D71F9"/>
    <w:rsid w:val="005E056C"/>
    <w:rsid w:val="005E0CD9"/>
    <w:rsid w:val="005E1114"/>
    <w:rsid w:val="005E119E"/>
    <w:rsid w:val="005E17CF"/>
    <w:rsid w:val="005E1E69"/>
    <w:rsid w:val="005E29EA"/>
    <w:rsid w:val="005E2AEF"/>
    <w:rsid w:val="005E338E"/>
    <w:rsid w:val="005E3524"/>
    <w:rsid w:val="005E3A33"/>
    <w:rsid w:val="005E3FBD"/>
    <w:rsid w:val="005E4388"/>
    <w:rsid w:val="005E4464"/>
    <w:rsid w:val="005E446A"/>
    <w:rsid w:val="005E452A"/>
    <w:rsid w:val="005E4B07"/>
    <w:rsid w:val="005E4B20"/>
    <w:rsid w:val="005E4BB7"/>
    <w:rsid w:val="005E5159"/>
    <w:rsid w:val="005E57F7"/>
    <w:rsid w:val="005E59DC"/>
    <w:rsid w:val="005E5CD5"/>
    <w:rsid w:val="005E5DE9"/>
    <w:rsid w:val="005E5FAA"/>
    <w:rsid w:val="005E605B"/>
    <w:rsid w:val="005E617E"/>
    <w:rsid w:val="005E6F91"/>
    <w:rsid w:val="005E719B"/>
    <w:rsid w:val="005E7361"/>
    <w:rsid w:val="005E767E"/>
    <w:rsid w:val="005E7A4A"/>
    <w:rsid w:val="005E7AE6"/>
    <w:rsid w:val="005F01B9"/>
    <w:rsid w:val="005F058F"/>
    <w:rsid w:val="005F0907"/>
    <w:rsid w:val="005F0D0F"/>
    <w:rsid w:val="005F0F47"/>
    <w:rsid w:val="005F13C6"/>
    <w:rsid w:val="005F15C4"/>
    <w:rsid w:val="005F1806"/>
    <w:rsid w:val="005F199F"/>
    <w:rsid w:val="005F1B58"/>
    <w:rsid w:val="005F1DDE"/>
    <w:rsid w:val="005F1DE9"/>
    <w:rsid w:val="005F23BD"/>
    <w:rsid w:val="005F2470"/>
    <w:rsid w:val="005F2673"/>
    <w:rsid w:val="005F3005"/>
    <w:rsid w:val="005F36D7"/>
    <w:rsid w:val="005F39A5"/>
    <w:rsid w:val="005F3B16"/>
    <w:rsid w:val="005F3E1E"/>
    <w:rsid w:val="005F4891"/>
    <w:rsid w:val="005F4C92"/>
    <w:rsid w:val="005F4E1D"/>
    <w:rsid w:val="005F5124"/>
    <w:rsid w:val="005F573B"/>
    <w:rsid w:val="005F57EC"/>
    <w:rsid w:val="005F5960"/>
    <w:rsid w:val="005F59BC"/>
    <w:rsid w:val="005F59EA"/>
    <w:rsid w:val="005F5CF3"/>
    <w:rsid w:val="005F5EDE"/>
    <w:rsid w:val="005F5FFB"/>
    <w:rsid w:val="005F66D1"/>
    <w:rsid w:val="005F684C"/>
    <w:rsid w:val="005F6B56"/>
    <w:rsid w:val="005F6CDD"/>
    <w:rsid w:val="005F70CF"/>
    <w:rsid w:val="005F7558"/>
    <w:rsid w:val="005F77AC"/>
    <w:rsid w:val="005F78C1"/>
    <w:rsid w:val="00600708"/>
    <w:rsid w:val="0060070E"/>
    <w:rsid w:val="00601010"/>
    <w:rsid w:val="00601104"/>
    <w:rsid w:val="00601578"/>
    <w:rsid w:val="006017C6"/>
    <w:rsid w:val="006017E1"/>
    <w:rsid w:val="00601CDF"/>
    <w:rsid w:val="006021E3"/>
    <w:rsid w:val="00602274"/>
    <w:rsid w:val="006024B5"/>
    <w:rsid w:val="00603078"/>
    <w:rsid w:val="006032AF"/>
    <w:rsid w:val="00603432"/>
    <w:rsid w:val="0060344D"/>
    <w:rsid w:val="006037E4"/>
    <w:rsid w:val="0060398F"/>
    <w:rsid w:val="006039B7"/>
    <w:rsid w:val="00603D8B"/>
    <w:rsid w:val="00603DA0"/>
    <w:rsid w:val="006041A8"/>
    <w:rsid w:val="00604387"/>
    <w:rsid w:val="0060460F"/>
    <w:rsid w:val="00604906"/>
    <w:rsid w:val="00604BC5"/>
    <w:rsid w:val="0060503C"/>
    <w:rsid w:val="0060504D"/>
    <w:rsid w:val="00605D66"/>
    <w:rsid w:val="006062DC"/>
    <w:rsid w:val="006063D5"/>
    <w:rsid w:val="00606E98"/>
    <w:rsid w:val="00607D6F"/>
    <w:rsid w:val="00610A97"/>
    <w:rsid w:val="00610B83"/>
    <w:rsid w:val="00610CDC"/>
    <w:rsid w:val="00610DFB"/>
    <w:rsid w:val="00610E8F"/>
    <w:rsid w:val="00610E96"/>
    <w:rsid w:val="0061169B"/>
    <w:rsid w:val="0061182E"/>
    <w:rsid w:val="00611D3C"/>
    <w:rsid w:val="00612490"/>
    <w:rsid w:val="00612673"/>
    <w:rsid w:val="00612772"/>
    <w:rsid w:val="0061280A"/>
    <w:rsid w:val="00612F05"/>
    <w:rsid w:val="00613413"/>
    <w:rsid w:val="00613454"/>
    <w:rsid w:val="006134FC"/>
    <w:rsid w:val="00613B81"/>
    <w:rsid w:val="00613C45"/>
    <w:rsid w:val="00613D84"/>
    <w:rsid w:val="0061451B"/>
    <w:rsid w:val="00614A4E"/>
    <w:rsid w:val="00615682"/>
    <w:rsid w:val="006156A6"/>
    <w:rsid w:val="0061592D"/>
    <w:rsid w:val="00615D48"/>
    <w:rsid w:val="00616F75"/>
    <w:rsid w:val="006170B4"/>
    <w:rsid w:val="00617792"/>
    <w:rsid w:val="00617AEE"/>
    <w:rsid w:val="00617E4F"/>
    <w:rsid w:val="0062028B"/>
    <w:rsid w:val="00620661"/>
    <w:rsid w:val="0062091C"/>
    <w:rsid w:val="00620D03"/>
    <w:rsid w:val="00621239"/>
    <w:rsid w:val="006213B8"/>
    <w:rsid w:val="0062146F"/>
    <w:rsid w:val="00621C8D"/>
    <w:rsid w:val="00621EA1"/>
    <w:rsid w:val="006224AF"/>
    <w:rsid w:val="0062321C"/>
    <w:rsid w:val="0062459C"/>
    <w:rsid w:val="00624C0D"/>
    <w:rsid w:val="00624CCA"/>
    <w:rsid w:val="00624E4D"/>
    <w:rsid w:val="0062522D"/>
    <w:rsid w:val="00625518"/>
    <w:rsid w:val="00625981"/>
    <w:rsid w:val="00625AB5"/>
    <w:rsid w:val="00625AD6"/>
    <w:rsid w:val="00625F0D"/>
    <w:rsid w:val="006264A2"/>
    <w:rsid w:val="006264E9"/>
    <w:rsid w:val="00626D17"/>
    <w:rsid w:val="0062717E"/>
    <w:rsid w:val="00627334"/>
    <w:rsid w:val="006273AA"/>
    <w:rsid w:val="00627AA8"/>
    <w:rsid w:val="00627AB1"/>
    <w:rsid w:val="00627CAE"/>
    <w:rsid w:val="00627DDF"/>
    <w:rsid w:val="006300B4"/>
    <w:rsid w:val="00630847"/>
    <w:rsid w:val="006308A4"/>
    <w:rsid w:val="00630E7B"/>
    <w:rsid w:val="00631206"/>
    <w:rsid w:val="00631472"/>
    <w:rsid w:val="0063190F"/>
    <w:rsid w:val="00631924"/>
    <w:rsid w:val="00631A08"/>
    <w:rsid w:val="00631C3F"/>
    <w:rsid w:val="00631D91"/>
    <w:rsid w:val="00632003"/>
    <w:rsid w:val="0063212A"/>
    <w:rsid w:val="006327B8"/>
    <w:rsid w:val="00632950"/>
    <w:rsid w:val="00632BA6"/>
    <w:rsid w:val="00633067"/>
    <w:rsid w:val="006335BE"/>
    <w:rsid w:val="00633696"/>
    <w:rsid w:val="0063374D"/>
    <w:rsid w:val="00633767"/>
    <w:rsid w:val="00633BDF"/>
    <w:rsid w:val="00633C97"/>
    <w:rsid w:val="00633E61"/>
    <w:rsid w:val="006343A0"/>
    <w:rsid w:val="00634A03"/>
    <w:rsid w:val="006358AC"/>
    <w:rsid w:val="0063689D"/>
    <w:rsid w:val="00636DB0"/>
    <w:rsid w:val="00636F3A"/>
    <w:rsid w:val="006370D8"/>
    <w:rsid w:val="00637335"/>
    <w:rsid w:val="006378CC"/>
    <w:rsid w:val="00637B43"/>
    <w:rsid w:val="00637EBD"/>
    <w:rsid w:val="00640548"/>
    <w:rsid w:val="00640787"/>
    <w:rsid w:val="00640A63"/>
    <w:rsid w:val="00640E27"/>
    <w:rsid w:val="006410FC"/>
    <w:rsid w:val="00641178"/>
    <w:rsid w:val="00641600"/>
    <w:rsid w:val="00641658"/>
    <w:rsid w:val="00641AB1"/>
    <w:rsid w:val="00641C87"/>
    <w:rsid w:val="00641FD8"/>
    <w:rsid w:val="0064229E"/>
    <w:rsid w:val="00642641"/>
    <w:rsid w:val="0064274D"/>
    <w:rsid w:val="006428BE"/>
    <w:rsid w:val="006429B2"/>
    <w:rsid w:val="00642A9B"/>
    <w:rsid w:val="00642C01"/>
    <w:rsid w:val="00642D34"/>
    <w:rsid w:val="00643042"/>
    <w:rsid w:val="006433C0"/>
    <w:rsid w:val="006435ED"/>
    <w:rsid w:val="0064380C"/>
    <w:rsid w:val="006439D0"/>
    <w:rsid w:val="00643D5A"/>
    <w:rsid w:val="00644626"/>
    <w:rsid w:val="00644764"/>
    <w:rsid w:val="006449AF"/>
    <w:rsid w:val="00644C0E"/>
    <w:rsid w:val="00644E93"/>
    <w:rsid w:val="00645182"/>
    <w:rsid w:val="00645C2B"/>
    <w:rsid w:val="00645E2A"/>
    <w:rsid w:val="00645EC2"/>
    <w:rsid w:val="0064604D"/>
    <w:rsid w:val="00646119"/>
    <w:rsid w:val="006461E5"/>
    <w:rsid w:val="00646372"/>
    <w:rsid w:val="006463CA"/>
    <w:rsid w:val="006466AD"/>
    <w:rsid w:val="00646F13"/>
    <w:rsid w:val="006470DC"/>
    <w:rsid w:val="00647AF1"/>
    <w:rsid w:val="00647BFF"/>
    <w:rsid w:val="006506EE"/>
    <w:rsid w:val="00650947"/>
    <w:rsid w:val="00650F18"/>
    <w:rsid w:val="00651A3C"/>
    <w:rsid w:val="00651E53"/>
    <w:rsid w:val="006522B9"/>
    <w:rsid w:val="006524BE"/>
    <w:rsid w:val="00652767"/>
    <w:rsid w:val="00652810"/>
    <w:rsid w:val="00652BAB"/>
    <w:rsid w:val="00652D8D"/>
    <w:rsid w:val="00652E4C"/>
    <w:rsid w:val="00652EF5"/>
    <w:rsid w:val="00653130"/>
    <w:rsid w:val="006533B5"/>
    <w:rsid w:val="0065369D"/>
    <w:rsid w:val="006537B7"/>
    <w:rsid w:val="0065381A"/>
    <w:rsid w:val="00654026"/>
    <w:rsid w:val="0065412B"/>
    <w:rsid w:val="006544E6"/>
    <w:rsid w:val="00654D81"/>
    <w:rsid w:val="00655038"/>
    <w:rsid w:val="00655087"/>
    <w:rsid w:val="0065539B"/>
    <w:rsid w:val="00655486"/>
    <w:rsid w:val="006556B3"/>
    <w:rsid w:val="0065595D"/>
    <w:rsid w:val="00655988"/>
    <w:rsid w:val="00655C54"/>
    <w:rsid w:val="00656294"/>
    <w:rsid w:val="00656384"/>
    <w:rsid w:val="00656413"/>
    <w:rsid w:val="0065655F"/>
    <w:rsid w:val="00656595"/>
    <w:rsid w:val="00656BAA"/>
    <w:rsid w:val="00657089"/>
    <w:rsid w:val="00657D9E"/>
    <w:rsid w:val="00657E53"/>
    <w:rsid w:val="00660490"/>
    <w:rsid w:val="006605FB"/>
    <w:rsid w:val="0066093E"/>
    <w:rsid w:val="00660BC2"/>
    <w:rsid w:val="00660BC7"/>
    <w:rsid w:val="00660C51"/>
    <w:rsid w:val="00661141"/>
    <w:rsid w:val="0066195D"/>
    <w:rsid w:val="006619B6"/>
    <w:rsid w:val="00661C6E"/>
    <w:rsid w:val="00661CE7"/>
    <w:rsid w:val="00661DA4"/>
    <w:rsid w:val="0066243F"/>
    <w:rsid w:val="0066247D"/>
    <w:rsid w:val="00662714"/>
    <w:rsid w:val="00662963"/>
    <w:rsid w:val="00662E0D"/>
    <w:rsid w:val="00662E1B"/>
    <w:rsid w:val="00662E71"/>
    <w:rsid w:val="006631A2"/>
    <w:rsid w:val="00663337"/>
    <w:rsid w:val="0066334E"/>
    <w:rsid w:val="0066372C"/>
    <w:rsid w:val="00663FCC"/>
    <w:rsid w:val="00664BC0"/>
    <w:rsid w:val="0066517D"/>
    <w:rsid w:val="006651D6"/>
    <w:rsid w:val="00665E81"/>
    <w:rsid w:val="00666F16"/>
    <w:rsid w:val="0066756D"/>
    <w:rsid w:val="00667EB5"/>
    <w:rsid w:val="0067021B"/>
    <w:rsid w:val="006703DF"/>
    <w:rsid w:val="006705B5"/>
    <w:rsid w:val="0067070E"/>
    <w:rsid w:val="00670AD8"/>
    <w:rsid w:val="00670BC6"/>
    <w:rsid w:val="0067101B"/>
    <w:rsid w:val="006713F3"/>
    <w:rsid w:val="00671429"/>
    <w:rsid w:val="00671766"/>
    <w:rsid w:val="006717C4"/>
    <w:rsid w:val="00671876"/>
    <w:rsid w:val="00671EC2"/>
    <w:rsid w:val="0067217A"/>
    <w:rsid w:val="006721C9"/>
    <w:rsid w:val="00672343"/>
    <w:rsid w:val="00672A73"/>
    <w:rsid w:val="00672E6E"/>
    <w:rsid w:val="00673003"/>
    <w:rsid w:val="006733D8"/>
    <w:rsid w:val="00673571"/>
    <w:rsid w:val="0067366C"/>
    <w:rsid w:val="00673881"/>
    <w:rsid w:val="00673C6E"/>
    <w:rsid w:val="00673FED"/>
    <w:rsid w:val="006741AD"/>
    <w:rsid w:val="00674644"/>
    <w:rsid w:val="006746BB"/>
    <w:rsid w:val="006746EE"/>
    <w:rsid w:val="006749C5"/>
    <w:rsid w:val="00674CC1"/>
    <w:rsid w:val="00675090"/>
    <w:rsid w:val="006759B6"/>
    <w:rsid w:val="00675C2D"/>
    <w:rsid w:val="00675CA7"/>
    <w:rsid w:val="006767B1"/>
    <w:rsid w:val="006769BF"/>
    <w:rsid w:val="00676E5E"/>
    <w:rsid w:val="0067713D"/>
    <w:rsid w:val="00677BD6"/>
    <w:rsid w:val="00677F33"/>
    <w:rsid w:val="0068027C"/>
    <w:rsid w:val="00680382"/>
    <w:rsid w:val="00680649"/>
    <w:rsid w:val="00680A9A"/>
    <w:rsid w:val="00680D1D"/>
    <w:rsid w:val="00680D50"/>
    <w:rsid w:val="00680D97"/>
    <w:rsid w:val="00681188"/>
    <w:rsid w:val="0068118E"/>
    <w:rsid w:val="00681344"/>
    <w:rsid w:val="0068172B"/>
    <w:rsid w:val="006817C7"/>
    <w:rsid w:val="00681DBC"/>
    <w:rsid w:val="00681E2E"/>
    <w:rsid w:val="00681F98"/>
    <w:rsid w:val="0068203A"/>
    <w:rsid w:val="00682652"/>
    <w:rsid w:val="00682753"/>
    <w:rsid w:val="006828BD"/>
    <w:rsid w:val="006830C4"/>
    <w:rsid w:val="0068389D"/>
    <w:rsid w:val="00684008"/>
    <w:rsid w:val="006842CE"/>
    <w:rsid w:val="006845E4"/>
    <w:rsid w:val="00684614"/>
    <w:rsid w:val="00684E1C"/>
    <w:rsid w:val="0068501D"/>
    <w:rsid w:val="006851B0"/>
    <w:rsid w:val="00685593"/>
    <w:rsid w:val="0068559F"/>
    <w:rsid w:val="00685864"/>
    <w:rsid w:val="0068593F"/>
    <w:rsid w:val="00685DC3"/>
    <w:rsid w:val="00685F8D"/>
    <w:rsid w:val="00685F9D"/>
    <w:rsid w:val="006869A7"/>
    <w:rsid w:val="006870AC"/>
    <w:rsid w:val="00687C06"/>
    <w:rsid w:val="00690109"/>
    <w:rsid w:val="006902F3"/>
    <w:rsid w:val="006905B9"/>
    <w:rsid w:val="0069078B"/>
    <w:rsid w:val="006907B9"/>
    <w:rsid w:val="00690AA2"/>
    <w:rsid w:val="00690CFF"/>
    <w:rsid w:val="00691011"/>
    <w:rsid w:val="00691774"/>
    <w:rsid w:val="0069187D"/>
    <w:rsid w:val="00691ACC"/>
    <w:rsid w:val="00691D42"/>
    <w:rsid w:val="00691DD1"/>
    <w:rsid w:val="00691DEA"/>
    <w:rsid w:val="006924DA"/>
    <w:rsid w:val="00692754"/>
    <w:rsid w:val="00692C53"/>
    <w:rsid w:val="0069317D"/>
    <w:rsid w:val="006932E5"/>
    <w:rsid w:val="00693425"/>
    <w:rsid w:val="0069355A"/>
    <w:rsid w:val="00694221"/>
    <w:rsid w:val="00694888"/>
    <w:rsid w:val="00694EC0"/>
    <w:rsid w:val="00695080"/>
    <w:rsid w:val="006959B1"/>
    <w:rsid w:val="00695BA9"/>
    <w:rsid w:val="00696140"/>
    <w:rsid w:val="0069646B"/>
    <w:rsid w:val="006967C8"/>
    <w:rsid w:val="00696811"/>
    <w:rsid w:val="00696D44"/>
    <w:rsid w:val="006979E3"/>
    <w:rsid w:val="00697B7D"/>
    <w:rsid w:val="006A0330"/>
    <w:rsid w:val="006A0FC3"/>
    <w:rsid w:val="006A111B"/>
    <w:rsid w:val="006A1132"/>
    <w:rsid w:val="006A11BE"/>
    <w:rsid w:val="006A1350"/>
    <w:rsid w:val="006A1734"/>
    <w:rsid w:val="006A17B4"/>
    <w:rsid w:val="006A1A4F"/>
    <w:rsid w:val="006A1BDC"/>
    <w:rsid w:val="006A1CAB"/>
    <w:rsid w:val="006A25B5"/>
    <w:rsid w:val="006A2C1B"/>
    <w:rsid w:val="006A2C4A"/>
    <w:rsid w:val="006A2F5F"/>
    <w:rsid w:val="006A3133"/>
    <w:rsid w:val="006A326A"/>
    <w:rsid w:val="006A361A"/>
    <w:rsid w:val="006A369E"/>
    <w:rsid w:val="006A39A0"/>
    <w:rsid w:val="006A3A3E"/>
    <w:rsid w:val="006A44CE"/>
    <w:rsid w:val="006A4A3C"/>
    <w:rsid w:val="006A4AC6"/>
    <w:rsid w:val="006A4E3C"/>
    <w:rsid w:val="006A4F6F"/>
    <w:rsid w:val="006A57F8"/>
    <w:rsid w:val="006A5922"/>
    <w:rsid w:val="006A5E02"/>
    <w:rsid w:val="006A5F0A"/>
    <w:rsid w:val="006A667B"/>
    <w:rsid w:val="006A66D1"/>
    <w:rsid w:val="006A7B3A"/>
    <w:rsid w:val="006A7F82"/>
    <w:rsid w:val="006B00D2"/>
    <w:rsid w:val="006B02A7"/>
    <w:rsid w:val="006B0345"/>
    <w:rsid w:val="006B0500"/>
    <w:rsid w:val="006B065F"/>
    <w:rsid w:val="006B06AF"/>
    <w:rsid w:val="006B0B9C"/>
    <w:rsid w:val="006B117D"/>
    <w:rsid w:val="006B119F"/>
    <w:rsid w:val="006B167B"/>
    <w:rsid w:val="006B17DC"/>
    <w:rsid w:val="006B1BB1"/>
    <w:rsid w:val="006B1BE5"/>
    <w:rsid w:val="006B1BFD"/>
    <w:rsid w:val="006B22D7"/>
    <w:rsid w:val="006B2380"/>
    <w:rsid w:val="006B2425"/>
    <w:rsid w:val="006B2613"/>
    <w:rsid w:val="006B2B1F"/>
    <w:rsid w:val="006B3A39"/>
    <w:rsid w:val="006B3A98"/>
    <w:rsid w:val="006B4A0F"/>
    <w:rsid w:val="006B4E5B"/>
    <w:rsid w:val="006B4F43"/>
    <w:rsid w:val="006B500A"/>
    <w:rsid w:val="006B53C9"/>
    <w:rsid w:val="006B6277"/>
    <w:rsid w:val="006B65BA"/>
    <w:rsid w:val="006B6D70"/>
    <w:rsid w:val="006B6E06"/>
    <w:rsid w:val="006B6E63"/>
    <w:rsid w:val="006B6FED"/>
    <w:rsid w:val="006B74ED"/>
    <w:rsid w:val="006B75EF"/>
    <w:rsid w:val="006B78C0"/>
    <w:rsid w:val="006B7949"/>
    <w:rsid w:val="006C0085"/>
    <w:rsid w:val="006C04B4"/>
    <w:rsid w:val="006C07AE"/>
    <w:rsid w:val="006C1CEC"/>
    <w:rsid w:val="006C1EFC"/>
    <w:rsid w:val="006C23F5"/>
    <w:rsid w:val="006C245B"/>
    <w:rsid w:val="006C2828"/>
    <w:rsid w:val="006C29BC"/>
    <w:rsid w:val="006C2A5E"/>
    <w:rsid w:val="006C35EA"/>
    <w:rsid w:val="006C391E"/>
    <w:rsid w:val="006C3BEA"/>
    <w:rsid w:val="006C3C04"/>
    <w:rsid w:val="006C40CD"/>
    <w:rsid w:val="006C448D"/>
    <w:rsid w:val="006C4F9C"/>
    <w:rsid w:val="006C578B"/>
    <w:rsid w:val="006C5F30"/>
    <w:rsid w:val="006C6574"/>
    <w:rsid w:val="006C6662"/>
    <w:rsid w:val="006C6821"/>
    <w:rsid w:val="006C7048"/>
    <w:rsid w:val="006C7125"/>
    <w:rsid w:val="006C738D"/>
    <w:rsid w:val="006C73A0"/>
    <w:rsid w:val="006C7599"/>
    <w:rsid w:val="006C75F0"/>
    <w:rsid w:val="006C76AA"/>
    <w:rsid w:val="006C76BD"/>
    <w:rsid w:val="006C7736"/>
    <w:rsid w:val="006C7A77"/>
    <w:rsid w:val="006D0725"/>
    <w:rsid w:val="006D0CD6"/>
    <w:rsid w:val="006D1341"/>
    <w:rsid w:val="006D1497"/>
    <w:rsid w:val="006D1581"/>
    <w:rsid w:val="006D16B3"/>
    <w:rsid w:val="006D1886"/>
    <w:rsid w:val="006D21F1"/>
    <w:rsid w:val="006D25B2"/>
    <w:rsid w:val="006D260B"/>
    <w:rsid w:val="006D2F52"/>
    <w:rsid w:val="006D3254"/>
    <w:rsid w:val="006D345F"/>
    <w:rsid w:val="006D35B3"/>
    <w:rsid w:val="006D392D"/>
    <w:rsid w:val="006D3B2F"/>
    <w:rsid w:val="006D3E97"/>
    <w:rsid w:val="006D44E9"/>
    <w:rsid w:val="006D464A"/>
    <w:rsid w:val="006D4A68"/>
    <w:rsid w:val="006D5595"/>
    <w:rsid w:val="006D5E9D"/>
    <w:rsid w:val="006D6033"/>
    <w:rsid w:val="006D628F"/>
    <w:rsid w:val="006D682F"/>
    <w:rsid w:val="006D72C7"/>
    <w:rsid w:val="006D79D8"/>
    <w:rsid w:val="006D7E01"/>
    <w:rsid w:val="006E0247"/>
    <w:rsid w:val="006E027C"/>
    <w:rsid w:val="006E03DC"/>
    <w:rsid w:val="006E0447"/>
    <w:rsid w:val="006E0B8C"/>
    <w:rsid w:val="006E0C26"/>
    <w:rsid w:val="006E0E1B"/>
    <w:rsid w:val="006E0E6D"/>
    <w:rsid w:val="006E15BC"/>
    <w:rsid w:val="006E1A4A"/>
    <w:rsid w:val="006E1AC3"/>
    <w:rsid w:val="006E20F1"/>
    <w:rsid w:val="006E27E8"/>
    <w:rsid w:val="006E283B"/>
    <w:rsid w:val="006E2BD6"/>
    <w:rsid w:val="006E2F94"/>
    <w:rsid w:val="006E3053"/>
    <w:rsid w:val="006E30D3"/>
    <w:rsid w:val="006E3214"/>
    <w:rsid w:val="006E34F5"/>
    <w:rsid w:val="006E3CB0"/>
    <w:rsid w:val="006E3F7E"/>
    <w:rsid w:val="006E4AA8"/>
    <w:rsid w:val="006E4D3F"/>
    <w:rsid w:val="006E534C"/>
    <w:rsid w:val="006E57F3"/>
    <w:rsid w:val="006E5B76"/>
    <w:rsid w:val="006E5D9A"/>
    <w:rsid w:val="006E5FEC"/>
    <w:rsid w:val="006E6150"/>
    <w:rsid w:val="006E6571"/>
    <w:rsid w:val="006E65B3"/>
    <w:rsid w:val="006E67BC"/>
    <w:rsid w:val="006E742B"/>
    <w:rsid w:val="006E7446"/>
    <w:rsid w:val="006E7662"/>
    <w:rsid w:val="006E798A"/>
    <w:rsid w:val="006E7ACA"/>
    <w:rsid w:val="006E7D5A"/>
    <w:rsid w:val="006E7ED8"/>
    <w:rsid w:val="006F0979"/>
    <w:rsid w:val="006F099D"/>
    <w:rsid w:val="006F09D1"/>
    <w:rsid w:val="006F19B3"/>
    <w:rsid w:val="006F1EFD"/>
    <w:rsid w:val="006F1F8D"/>
    <w:rsid w:val="006F26B4"/>
    <w:rsid w:val="006F275D"/>
    <w:rsid w:val="006F27E3"/>
    <w:rsid w:val="006F285C"/>
    <w:rsid w:val="006F344F"/>
    <w:rsid w:val="006F388B"/>
    <w:rsid w:val="006F3918"/>
    <w:rsid w:val="006F3B95"/>
    <w:rsid w:val="006F4376"/>
    <w:rsid w:val="006F48F8"/>
    <w:rsid w:val="006F4A64"/>
    <w:rsid w:val="006F515A"/>
    <w:rsid w:val="006F524F"/>
    <w:rsid w:val="006F577A"/>
    <w:rsid w:val="006F5C4A"/>
    <w:rsid w:val="006F5E6B"/>
    <w:rsid w:val="006F6F9F"/>
    <w:rsid w:val="006F6FF2"/>
    <w:rsid w:val="006F754B"/>
    <w:rsid w:val="006F76B3"/>
    <w:rsid w:val="006F799F"/>
    <w:rsid w:val="006F7A27"/>
    <w:rsid w:val="006F7AF4"/>
    <w:rsid w:val="006F7C1C"/>
    <w:rsid w:val="00700063"/>
    <w:rsid w:val="0070016D"/>
    <w:rsid w:val="007009AB"/>
    <w:rsid w:val="0070163C"/>
    <w:rsid w:val="00701BE5"/>
    <w:rsid w:val="007021CE"/>
    <w:rsid w:val="0070289F"/>
    <w:rsid w:val="00702F31"/>
    <w:rsid w:val="00702FBF"/>
    <w:rsid w:val="0070335A"/>
    <w:rsid w:val="0070370E"/>
    <w:rsid w:val="00703B89"/>
    <w:rsid w:val="007044B2"/>
    <w:rsid w:val="00705750"/>
    <w:rsid w:val="00705AEE"/>
    <w:rsid w:val="00705B79"/>
    <w:rsid w:val="007069A1"/>
    <w:rsid w:val="00706A05"/>
    <w:rsid w:val="00706EF1"/>
    <w:rsid w:val="00706FF2"/>
    <w:rsid w:val="00707066"/>
    <w:rsid w:val="00707280"/>
    <w:rsid w:val="0070739E"/>
    <w:rsid w:val="0070754E"/>
    <w:rsid w:val="0070759E"/>
    <w:rsid w:val="007075E7"/>
    <w:rsid w:val="007077D3"/>
    <w:rsid w:val="0070799A"/>
    <w:rsid w:val="00710AC0"/>
    <w:rsid w:val="00710F08"/>
    <w:rsid w:val="007111BA"/>
    <w:rsid w:val="007112D8"/>
    <w:rsid w:val="007112E6"/>
    <w:rsid w:val="007118F8"/>
    <w:rsid w:val="00711C5A"/>
    <w:rsid w:val="00711D02"/>
    <w:rsid w:val="00712157"/>
    <w:rsid w:val="007127C0"/>
    <w:rsid w:val="00712B4A"/>
    <w:rsid w:val="00712D2C"/>
    <w:rsid w:val="00713173"/>
    <w:rsid w:val="007137C0"/>
    <w:rsid w:val="00713C43"/>
    <w:rsid w:val="0071418E"/>
    <w:rsid w:val="0071447F"/>
    <w:rsid w:val="007148A9"/>
    <w:rsid w:val="00714AFD"/>
    <w:rsid w:val="00714F60"/>
    <w:rsid w:val="00715257"/>
    <w:rsid w:val="0071548D"/>
    <w:rsid w:val="00715954"/>
    <w:rsid w:val="00715ACC"/>
    <w:rsid w:val="00715BF3"/>
    <w:rsid w:val="00715C4B"/>
    <w:rsid w:val="00715E8C"/>
    <w:rsid w:val="00715F2B"/>
    <w:rsid w:val="0071668E"/>
    <w:rsid w:val="0071687B"/>
    <w:rsid w:val="00716A22"/>
    <w:rsid w:val="00716B9F"/>
    <w:rsid w:val="00716D7C"/>
    <w:rsid w:val="007176AD"/>
    <w:rsid w:val="00717B6D"/>
    <w:rsid w:val="00720A18"/>
    <w:rsid w:val="00720F22"/>
    <w:rsid w:val="007215CF"/>
    <w:rsid w:val="0072163A"/>
    <w:rsid w:val="00721AEC"/>
    <w:rsid w:val="00721EC0"/>
    <w:rsid w:val="00722186"/>
    <w:rsid w:val="007222A2"/>
    <w:rsid w:val="007228D4"/>
    <w:rsid w:val="00722996"/>
    <w:rsid w:val="00722CE5"/>
    <w:rsid w:val="00722E56"/>
    <w:rsid w:val="00723352"/>
    <w:rsid w:val="00724C58"/>
    <w:rsid w:val="0072505E"/>
    <w:rsid w:val="0072542E"/>
    <w:rsid w:val="00725A7A"/>
    <w:rsid w:val="00725CF7"/>
    <w:rsid w:val="00726146"/>
    <w:rsid w:val="007268C6"/>
    <w:rsid w:val="00726D8B"/>
    <w:rsid w:val="007270D3"/>
    <w:rsid w:val="0072746C"/>
    <w:rsid w:val="0072781C"/>
    <w:rsid w:val="00727AB7"/>
    <w:rsid w:val="00727B2F"/>
    <w:rsid w:val="00730224"/>
    <w:rsid w:val="00730CFB"/>
    <w:rsid w:val="007310C0"/>
    <w:rsid w:val="007314AA"/>
    <w:rsid w:val="007314B4"/>
    <w:rsid w:val="007315A4"/>
    <w:rsid w:val="007322B8"/>
    <w:rsid w:val="007324B6"/>
    <w:rsid w:val="00732E13"/>
    <w:rsid w:val="00733132"/>
    <w:rsid w:val="00733617"/>
    <w:rsid w:val="00733A07"/>
    <w:rsid w:val="007347F0"/>
    <w:rsid w:val="00734E7A"/>
    <w:rsid w:val="007351A9"/>
    <w:rsid w:val="00735450"/>
    <w:rsid w:val="007357C8"/>
    <w:rsid w:val="00735BA1"/>
    <w:rsid w:val="00735E47"/>
    <w:rsid w:val="007366BE"/>
    <w:rsid w:val="00736B2B"/>
    <w:rsid w:val="00737151"/>
    <w:rsid w:val="007375DF"/>
    <w:rsid w:val="007377EE"/>
    <w:rsid w:val="0073792D"/>
    <w:rsid w:val="00737D53"/>
    <w:rsid w:val="00740239"/>
    <w:rsid w:val="00740810"/>
    <w:rsid w:val="00741901"/>
    <w:rsid w:val="007419CD"/>
    <w:rsid w:val="007420B9"/>
    <w:rsid w:val="00742255"/>
    <w:rsid w:val="0074249B"/>
    <w:rsid w:val="00742F5A"/>
    <w:rsid w:val="007431BA"/>
    <w:rsid w:val="00743384"/>
    <w:rsid w:val="00743609"/>
    <w:rsid w:val="007437D9"/>
    <w:rsid w:val="007437F9"/>
    <w:rsid w:val="00743A16"/>
    <w:rsid w:val="00743B1E"/>
    <w:rsid w:val="00743F8D"/>
    <w:rsid w:val="0074414B"/>
    <w:rsid w:val="00744BE6"/>
    <w:rsid w:val="00744C07"/>
    <w:rsid w:val="00745346"/>
    <w:rsid w:val="00745D67"/>
    <w:rsid w:val="00746523"/>
    <w:rsid w:val="0074675C"/>
    <w:rsid w:val="00746ABE"/>
    <w:rsid w:val="00746CF2"/>
    <w:rsid w:val="00746D88"/>
    <w:rsid w:val="00747425"/>
    <w:rsid w:val="007474D4"/>
    <w:rsid w:val="00747665"/>
    <w:rsid w:val="00747828"/>
    <w:rsid w:val="00750241"/>
    <w:rsid w:val="00750C9E"/>
    <w:rsid w:val="00750D61"/>
    <w:rsid w:val="00750F04"/>
    <w:rsid w:val="00751522"/>
    <w:rsid w:val="00751871"/>
    <w:rsid w:val="00751AE0"/>
    <w:rsid w:val="00752033"/>
    <w:rsid w:val="00752039"/>
    <w:rsid w:val="00752C85"/>
    <w:rsid w:val="00752C87"/>
    <w:rsid w:val="00752D5D"/>
    <w:rsid w:val="00753038"/>
    <w:rsid w:val="007536A3"/>
    <w:rsid w:val="00753E17"/>
    <w:rsid w:val="0075409A"/>
    <w:rsid w:val="007540E4"/>
    <w:rsid w:val="00754C41"/>
    <w:rsid w:val="0075511F"/>
    <w:rsid w:val="0075530B"/>
    <w:rsid w:val="00755572"/>
    <w:rsid w:val="007556D0"/>
    <w:rsid w:val="007556D4"/>
    <w:rsid w:val="00755B31"/>
    <w:rsid w:val="00755BB7"/>
    <w:rsid w:val="00755FF5"/>
    <w:rsid w:val="007561B1"/>
    <w:rsid w:val="00756284"/>
    <w:rsid w:val="00756732"/>
    <w:rsid w:val="0075680E"/>
    <w:rsid w:val="0075680F"/>
    <w:rsid w:val="00756AF8"/>
    <w:rsid w:val="00756C24"/>
    <w:rsid w:val="007572DC"/>
    <w:rsid w:val="00757318"/>
    <w:rsid w:val="00757642"/>
    <w:rsid w:val="00757E07"/>
    <w:rsid w:val="007602CF"/>
    <w:rsid w:val="007612DA"/>
    <w:rsid w:val="0076152B"/>
    <w:rsid w:val="007619FB"/>
    <w:rsid w:val="00761A6F"/>
    <w:rsid w:val="00761F87"/>
    <w:rsid w:val="00762130"/>
    <w:rsid w:val="007623F9"/>
    <w:rsid w:val="007629E6"/>
    <w:rsid w:val="00762C54"/>
    <w:rsid w:val="00763199"/>
    <w:rsid w:val="00763586"/>
    <w:rsid w:val="00763604"/>
    <w:rsid w:val="00763627"/>
    <w:rsid w:val="007646CC"/>
    <w:rsid w:val="00765243"/>
    <w:rsid w:val="0076636D"/>
    <w:rsid w:val="00766719"/>
    <w:rsid w:val="007668DB"/>
    <w:rsid w:val="00766A39"/>
    <w:rsid w:val="0076792C"/>
    <w:rsid w:val="0076794A"/>
    <w:rsid w:val="00767A26"/>
    <w:rsid w:val="00767BA4"/>
    <w:rsid w:val="00767BF7"/>
    <w:rsid w:val="0077005E"/>
    <w:rsid w:val="00770D77"/>
    <w:rsid w:val="00770E31"/>
    <w:rsid w:val="00771A03"/>
    <w:rsid w:val="00771C77"/>
    <w:rsid w:val="00771DAA"/>
    <w:rsid w:val="007722A0"/>
    <w:rsid w:val="0077239B"/>
    <w:rsid w:val="00772A6E"/>
    <w:rsid w:val="007732C5"/>
    <w:rsid w:val="00773463"/>
    <w:rsid w:val="0077351F"/>
    <w:rsid w:val="007736C1"/>
    <w:rsid w:val="00773A44"/>
    <w:rsid w:val="00773C70"/>
    <w:rsid w:val="00774665"/>
    <w:rsid w:val="00774AE4"/>
    <w:rsid w:val="00774D42"/>
    <w:rsid w:val="00774D8F"/>
    <w:rsid w:val="00775599"/>
    <w:rsid w:val="00775FB5"/>
    <w:rsid w:val="007762D8"/>
    <w:rsid w:val="007767B7"/>
    <w:rsid w:val="0077690E"/>
    <w:rsid w:val="007769AE"/>
    <w:rsid w:val="007776E4"/>
    <w:rsid w:val="0077786B"/>
    <w:rsid w:val="00780ACD"/>
    <w:rsid w:val="00780E95"/>
    <w:rsid w:val="00781072"/>
    <w:rsid w:val="007817A1"/>
    <w:rsid w:val="007819E5"/>
    <w:rsid w:val="00781B89"/>
    <w:rsid w:val="00781C32"/>
    <w:rsid w:val="00781D5C"/>
    <w:rsid w:val="00782477"/>
    <w:rsid w:val="007825F1"/>
    <w:rsid w:val="0078263D"/>
    <w:rsid w:val="00782907"/>
    <w:rsid w:val="00782982"/>
    <w:rsid w:val="00782E0B"/>
    <w:rsid w:val="00783017"/>
    <w:rsid w:val="0078328D"/>
    <w:rsid w:val="00783DE8"/>
    <w:rsid w:val="00783EFF"/>
    <w:rsid w:val="007841E8"/>
    <w:rsid w:val="007846A5"/>
    <w:rsid w:val="0078522E"/>
    <w:rsid w:val="00785479"/>
    <w:rsid w:val="007858F1"/>
    <w:rsid w:val="00785AD5"/>
    <w:rsid w:val="00785CA5"/>
    <w:rsid w:val="00785E14"/>
    <w:rsid w:val="00785FC7"/>
    <w:rsid w:val="00786C2B"/>
    <w:rsid w:val="0078715E"/>
    <w:rsid w:val="0078727A"/>
    <w:rsid w:val="00787B56"/>
    <w:rsid w:val="00787CC5"/>
    <w:rsid w:val="00787D51"/>
    <w:rsid w:val="0079029C"/>
    <w:rsid w:val="00790392"/>
    <w:rsid w:val="00790703"/>
    <w:rsid w:val="00790A25"/>
    <w:rsid w:val="00790B41"/>
    <w:rsid w:val="007910C7"/>
    <w:rsid w:val="00791CB1"/>
    <w:rsid w:val="007928DE"/>
    <w:rsid w:val="00792B57"/>
    <w:rsid w:val="00792CB6"/>
    <w:rsid w:val="00792FD4"/>
    <w:rsid w:val="0079306B"/>
    <w:rsid w:val="007933E4"/>
    <w:rsid w:val="00793495"/>
    <w:rsid w:val="00793CCC"/>
    <w:rsid w:val="00794571"/>
    <w:rsid w:val="00794A36"/>
    <w:rsid w:val="00794BBA"/>
    <w:rsid w:val="00794F63"/>
    <w:rsid w:val="00795853"/>
    <w:rsid w:val="00795AA4"/>
    <w:rsid w:val="00795DC0"/>
    <w:rsid w:val="007961BF"/>
    <w:rsid w:val="00796236"/>
    <w:rsid w:val="007963A8"/>
    <w:rsid w:val="007965D7"/>
    <w:rsid w:val="00796BEC"/>
    <w:rsid w:val="00796F4E"/>
    <w:rsid w:val="007975F1"/>
    <w:rsid w:val="007978E6"/>
    <w:rsid w:val="007978E8"/>
    <w:rsid w:val="007A04CF"/>
    <w:rsid w:val="007A0607"/>
    <w:rsid w:val="007A0AE5"/>
    <w:rsid w:val="007A0F27"/>
    <w:rsid w:val="007A18E5"/>
    <w:rsid w:val="007A1DD8"/>
    <w:rsid w:val="007A261A"/>
    <w:rsid w:val="007A2657"/>
    <w:rsid w:val="007A2723"/>
    <w:rsid w:val="007A28B1"/>
    <w:rsid w:val="007A2BC7"/>
    <w:rsid w:val="007A2C9C"/>
    <w:rsid w:val="007A2ED8"/>
    <w:rsid w:val="007A42A8"/>
    <w:rsid w:val="007A45D7"/>
    <w:rsid w:val="007A46A1"/>
    <w:rsid w:val="007A4760"/>
    <w:rsid w:val="007A4EB4"/>
    <w:rsid w:val="007A5124"/>
    <w:rsid w:val="007A51C3"/>
    <w:rsid w:val="007A52AF"/>
    <w:rsid w:val="007A5311"/>
    <w:rsid w:val="007A5786"/>
    <w:rsid w:val="007A5B75"/>
    <w:rsid w:val="007A5D57"/>
    <w:rsid w:val="007A5D9E"/>
    <w:rsid w:val="007A5F2B"/>
    <w:rsid w:val="007A60FD"/>
    <w:rsid w:val="007A62E6"/>
    <w:rsid w:val="007A6999"/>
    <w:rsid w:val="007A6C06"/>
    <w:rsid w:val="007A6D16"/>
    <w:rsid w:val="007A7852"/>
    <w:rsid w:val="007A7999"/>
    <w:rsid w:val="007A7C9D"/>
    <w:rsid w:val="007B03F3"/>
    <w:rsid w:val="007B05C8"/>
    <w:rsid w:val="007B0806"/>
    <w:rsid w:val="007B0A5F"/>
    <w:rsid w:val="007B0DD8"/>
    <w:rsid w:val="007B1011"/>
    <w:rsid w:val="007B1139"/>
    <w:rsid w:val="007B1C86"/>
    <w:rsid w:val="007B29E0"/>
    <w:rsid w:val="007B2BB8"/>
    <w:rsid w:val="007B2C43"/>
    <w:rsid w:val="007B2E0B"/>
    <w:rsid w:val="007B2EEF"/>
    <w:rsid w:val="007B312C"/>
    <w:rsid w:val="007B33EB"/>
    <w:rsid w:val="007B3495"/>
    <w:rsid w:val="007B34BB"/>
    <w:rsid w:val="007B35B9"/>
    <w:rsid w:val="007B399D"/>
    <w:rsid w:val="007B3B11"/>
    <w:rsid w:val="007B3FDA"/>
    <w:rsid w:val="007B4038"/>
    <w:rsid w:val="007B40A1"/>
    <w:rsid w:val="007B47ED"/>
    <w:rsid w:val="007B4F57"/>
    <w:rsid w:val="007B5369"/>
    <w:rsid w:val="007B538A"/>
    <w:rsid w:val="007B54F3"/>
    <w:rsid w:val="007B59DD"/>
    <w:rsid w:val="007B5FFE"/>
    <w:rsid w:val="007B6109"/>
    <w:rsid w:val="007B65D9"/>
    <w:rsid w:val="007B6CA8"/>
    <w:rsid w:val="007B6ECA"/>
    <w:rsid w:val="007B7565"/>
    <w:rsid w:val="007B7970"/>
    <w:rsid w:val="007B7ABC"/>
    <w:rsid w:val="007B7E4E"/>
    <w:rsid w:val="007C01A5"/>
    <w:rsid w:val="007C11BD"/>
    <w:rsid w:val="007C122E"/>
    <w:rsid w:val="007C18C6"/>
    <w:rsid w:val="007C1D84"/>
    <w:rsid w:val="007C1F36"/>
    <w:rsid w:val="007C2254"/>
    <w:rsid w:val="007C259A"/>
    <w:rsid w:val="007C29BB"/>
    <w:rsid w:val="007C2B2A"/>
    <w:rsid w:val="007C2DD6"/>
    <w:rsid w:val="007C2FD1"/>
    <w:rsid w:val="007C3126"/>
    <w:rsid w:val="007C3883"/>
    <w:rsid w:val="007C38DD"/>
    <w:rsid w:val="007C3B1C"/>
    <w:rsid w:val="007C3F4D"/>
    <w:rsid w:val="007C4392"/>
    <w:rsid w:val="007C46D6"/>
    <w:rsid w:val="007C47D8"/>
    <w:rsid w:val="007C50FD"/>
    <w:rsid w:val="007C510E"/>
    <w:rsid w:val="007C51AA"/>
    <w:rsid w:val="007C5336"/>
    <w:rsid w:val="007C557C"/>
    <w:rsid w:val="007C59DB"/>
    <w:rsid w:val="007C5E48"/>
    <w:rsid w:val="007C62E7"/>
    <w:rsid w:val="007C637D"/>
    <w:rsid w:val="007C63B5"/>
    <w:rsid w:val="007C7098"/>
    <w:rsid w:val="007C7712"/>
    <w:rsid w:val="007C7B24"/>
    <w:rsid w:val="007C7EDE"/>
    <w:rsid w:val="007C7FE0"/>
    <w:rsid w:val="007D0136"/>
    <w:rsid w:val="007D03D8"/>
    <w:rsid w:val="007D0694"/>
    <w:rsid w:val="007D0A7A"/>
    <w:rsid w:val="007D0AF8"/>
    <w:rsid w:val="007D1096"/>
    <w:rsid w:val="007D1280"/>
    <w:rsid w:val="007D1A4C"/>
    <w:rsid w:val="007D1E64"/>
    <w:rsid w:val="007D1E9F"/>
    <w:rsid w:val="007D1FB7"/>
    <w:rsid w:val="007D288A"/>
    <w:rsid w:val="007D2E2F"/>
    <w:rsid w:val="007D30E2"/>
    <w:rsid w:val="007D3177"/>
    <w:rsid w:val="007D33AF"/>
    <w:rsid w:val="007D34ED"/>
    <w:rsid w:val="007D3757"/>
    <w:rsid w:val="007D39F3"/>
    <w:rsid w:val="007D3C12"/>
    <w:rsid w:val="007D42DD"/>
    <w:rsid w:val="007D4FA0"/>
    <w:rsid w:val="007D50D5"/>
    <w:rsid w:val="007D59D0"/>
    <w:rsid w:val="007D6189"/>
    <w:rsid w:val="007D625B"/>
    <w:rsid w:val="007D63E9"/>
    <w:rsid w:val="007D6C8E"/>
    <w:rsid w:val="007D7000"/>
    <w:rsid w:val="007D78FF"/>
    <w:rsid w:val="007D7A72"/>
    <w:rsid w:val="007E0102"/>
    <w:rsid w:val="007E01F3"/>
    <w:rsid w:val="007E03DD"/>
    <w:rsid w:val="007E0544"/>
    <w:rsid w:val="007E0A24"/>
    <w:rsid w:val="007E0AB8"/>
    <w:rsid w:val="007E0B83"/>
    <w:rsid w:val="007E0D7F"/>
    <w:rsid w:val="007E0EF8"/>
    <w:rsid w:val="007E0F43"/>
    <w:rsid w:val="007E1344"/>
    <w:rsid w:val="007E137F"/>
    <w:rsid w:val="007E14BA"/>
    <w:rsid w:val="007E1CCE"/>
    <w:rsid w:val="007E1E6A"/>
    <w:rsid w:val="007E2018"/>
    <w:rsid w:val="007E2751"/>
    <w:rsid w:val="007E2E7A"/>
    <w:rsid w:val="007E2E9F"/>
    <w:rsid w:val="007E30A1"/>
    <w:rsid w:val="007E319D"/>
    <w:rsid w:val="007E321A"/>
    <w:rsid w:val="007E33FC"/>
    <w:rsid w:val="007E3A2D"/>
    <w:rsid w:val="007E3B29"/>
    <w:rsid w:val="007E4A1D"/>
    <w:rsid w:val="007E52D6"/>
    <w:rsid w:val="007E54E2"/>
    <w:rsid w:val="007E5BF9"/>
    <w:rsid w:val="007E5F1D"/>
    <w:rsid w:val="007E650F"/>
    <w:rsid w:val="007E6695"/>
    <w:rsid w:val="007E69AC"/>
    <w:rsid w:val="007E7429"/>
    <w:rsid w:val="007E74F2"/>
    <w:rsid w:val="007E7733"/>
    <w:rsid w:val="007E7868"/>
    <w:rsid w:val="007E7B3D"/>
    <w:rsid w:val="007E7FDC"/>
    <w:rsid w:val="007F0345"/>
    <w:rsid w:val="007F0582"/>
    <w:rsid w:val="007F085B"/>
    <w:rsid w:val="007F0EE1"/>
    <w:rsid w:val="007F10F8"/>
    <w:rsid w:val="007F1232"/>
    <w:rsid w:val="007F127B"/>
    <w:rsid w:val="007F1916"/>
    <w:rsid w:val="007F1D9A"/>
    <w:rsid w:val="007F1EA9"/>
    <w:rsid w:val="007F20B6"/>
    <w:rsid w:val="007F2132"/>
    <w:rsid w:val="007F2AEB"/>
    <w:rsid w:val="007F2D6C"/>
    <w:rsid w:val="007F2DE3"/>
    <w:rsid w:val="007F31AD"/>
    <w:rsid w:val="007F3EBE"/>
    <w:rsid w:val="007F412B"/>
    <w:rsid w:val="007F458A"/>
    <w:rsid w:val="007F495F"/>
    <w:rsid w:val="007F49F0"/>
    <w:rsid w:val="007F4A12"/>
    <w:rsid w:val="007F4A95"/>
    <w:rsid w:val="007F4CD9"/>
    <w:rsid w:val="007F4D65"/>
    <w:rsid w:val="007F4F44"/>
    <w:rsid w:val="007F53A9"/>
    <w:rsid w:val="007F5D6B"/>
    <w:rsid w:val="007F6B4C"/>
    <w:rsid w:val="007F6CA3"/>
    <w:rsid w:val="007F72F5"/>
    <w:rsid w:val="007F738A"/>
    <w:rsid w:val="007F7441"/>
    <w:rsid w:val="007F7709"/>
    <w:rsid w:val="007F78D1"/>
    <w:rsid w:val="00800946"/>
    <w:rsid w:val="00800B6B"/>
    <w:rsid w:val="00800B9A"/>
    <w:rsid w:val="00800E70"/>
    <w:rsid w:val="0080110E"/>
    <w:rsid w:val="008014F6"/>
    <w:rsid w:val="008016DE"/>
    <w:rsid w:val="0080171D"/>
    <w:rsid w:val="00801D6E"/>
    <w:rsid w:val="008023B9"/>
    <w:rsid w:val="008024CC"/>
    <w:rsid w:val="0080290B"/>
    <w:rsid w:val="00802C3C"/>
    <w:rsid w:val="008036B0"/>
    <w:rsid w:val="008037F9"/>
    <w:rsid w:val="008038A3"/>
    <w:rsid w:val="00804072"/>
    <w:rsid w:val="008042D9"/>
    <w:rsid w:val="00804408"/>
    <w:rsid w:val="008047F4"/>
    <w:rsid w:val="008056A1"/>
    <w:rsid w:val="0080572E"/>
    <w:rsid w:val="00805768"/>
    <w:rsid w:val="008057E0"/>
    <w:rsid w:val="0080588A"/>
    <w:rsid w:val="00806384"/>
    <w:rsid w:val="0080694E"/>
    <w:rsid w:val="008069B3"/>
    <w:rsid w:val="00806E3C"/>
    <w:rsid w:val="00806EA1"/>
    <w:rsid w:val="00806F06"/>
    <w:rsid w:val="00806F25"/>
    <w:rsid w:val="00806FF7"/>
    <w:rsid w:val="00807308"/>
    <w:rsid w:val="00807726"/>
    <w:rsid w:val="008100A4"/>
    <w:rsid w:val="008101EC"/>
    <w:rsid w:val="0081034D"/>
    <w:rsid w:val="0081177B"/>
    <w:rsid w:val="00811D15"/>
    <w:rsid w:val="00812905"/>
    <w:rsid w:val="008131DB"/>
    <w:rsid w:val="00813214"/>
    <w:rsid w:val="008133B9"/>
    <w:rsid w:val="0081341B"/>
    <w:rsid w:val="0081392F"/>
    <w:rsid w:val="00814407"/>
    <w:rsid w:val="008148F9"/>
    <w:rsid w:val="0081507F"/>
    <w:rsid w:val="008156B4"/>
    <w:rsid w:val="00815B64"/>
    <w:rsid w:val="00815CF5"/>
    <w:rsid w:val="00815FFB"/>
    <w:rsid w:val="00816ADE"/>
    <w:rsid w:val="00817295"/>
    <w:rsid w:val="00817453"/>
    <w:rsid w:val="0081757A"/>
    <w:rsid w:val="00817764"/>
    <w:rsid w:val="0081788E"/>
    <w:rsid w:val="00817A49"/>
    <w:rsid w:val="00817CD6"/>
    <w:rsid w:val="00820238"/>
    <w:rsid w:val="00820B37"/>
    <w:rsid w:val="00820EB5"/>
    <w:rsid w:val="00820F6C"/>
    <w:rsid w:val="00821029"/>
    <w:rsid w:val="00821072"/>
    <w:rsid w:val="00821654"/>
    <w:rsid w:val="00821C41"/>
    <w:rsid w:val="00821D9F"/>
    <w:rsid w:val="00822124"/>
    <w:rsid w:val="00822638"/>
    <w:rsid w:val="008228D1"/>
    <w:rsid w:val="00822DD5"/>
    <w:rsid w:val="00822E23"/>
    <w:rsid w:val="008230C4"/>
    <w:rsid w:val="00823592"/>
    <w:rsid w:val="008235E4"/>
    <w:rsid w:val="00823AF2"/>
    <w:rsid w:val="00824393"/>
    <w:rsid w:val="008251F6"/>
    <w:rsid w:val="0082549B"/>
    <w:rsid w:val="008257DE"/>
    <w:rsid w:val="008258A4"/>
    <w:rsid w:val="00825A80"/>
    <w:rsid w:val="00825C02"/>
    <w:rsid w:val="00825C35"/>
    <w:rsid w:val="008260A6"/>
    <w:rsid w:val="00826581"/>
    <w:rsid w:val="00826669"/>
    <w:rsid w:val="00827429"/>
    <w:rsid w:val="00827684"/>
    <w:rsid w:val="008277FF"/>
    <w:rsid w:val="00827F92"/>
    <w:rsid w:val="00827FE2"/>
    <w:rsid w:val="008302C8"/>
    <w:rsid w:val="008302F4"/>
    <w:rsid w:val="00830816"/>
    <w:rsid w:val="00830929"/>
    <w:rsid w:val="00830B67"/>
    <w:rsid w:val="00830DB5"/>
    <w:rsid w:val="00831CAC"/>
    <w:rsid w:val="00831F54"/>
    <w:rsid w:val="0083224E"/>
    <w:rsid w:val="00832696"/>
    <w:rsid w:val="0083287A"/>
    <w:rsid w:val="008337DD"/>
    <w:rsid w:val="00833980"/>
    <w:rsid w:val="00833A9B"/>
    <w:rsid w:val="00833BE8"/>
    <w:rsid w:val="00833EB9"/>
    <w:rsid w:val="008344AA"/>
    <w:rsid w:val="00834579"/>
    <w:rsid w:val="00834C66"/>
    <w:rsid w:val="00834CB5"/>
    <w:rsid w:val="008352D5"/>
    <w:rsid w:val="00835888"/>
    <w:rsid w:val="008359F6"/>
    <w:rsid w:val="00835D7E"/>
    <w:rsid w:val="00836618"/>
    <w:rsid w:val="0083681B"/>
    <w:rsid w:val="00836BC0"/>
    <w:rsid w:val="008370EB"/>
    <w:rsid w:val="00837D56"/>
    <w:rsid w:val="00837EBB"/>
    <w:rsid w:val="00840A7A"/>
    <w:rsid w:val="00840C2A"/>
    <w:rsid w:val="00840DD4"/>
    <w:rsid w:val="00840F08"/>
    <w:rsid w:val="00841379"/>
    <w:rsid w:val="008414E3"/>
    <w:rsid w:val="008416B3"/>
    <w:rsid w:val="0084200D"/>
    <w:rsid w:val="00842488"/>
    <w:rsid w:val="00842AFD"/>
    <w:rsid w:val="00842CC3"/>
    <w:rsid w:val="00843375"/>
    <w:rsid w:val="0084347A"/>
    <w:rsid w:val="00843519"/>
    <w:rsid w:val="00843B29"/>
    <w:rsid w:val="00843D0D"/>
    <w:rsid w:val="00844150"/>
    <w:rsid w:val="008442A6"/>
    <w:rsid w:val="0084445C"/>
    <w:rsid w:val="00844D82"/>
    <w:rsid w:val="00845099"/>
    <w:rsid w:val="0084515B"/>
    <w:rsid w:val="008456EB"/>
    <w:rsid w:val="00845933"/>
    <w:rsid w:val="008459FE"/>
    <w:rsid w:val="00845A5B"/>
    <w:rsid w:val="00845A77"/>
    <w:rsid w:val="00845AD0"/>
    <w:rsid w:val="00845C7E"/>
    <w:rsid w:val="00845D34"/>
    <w:rsid w:val="0084670A"/>
    <w:rsid w:val="00847026"/>
    <w:rsid w:val="008470F3"/>
    <w:rsid w:val="0084711D"/>
    <w:rsid w:val="00847368"/>
    <w:rsid w:val="00850155"/>
    <w:rsid w:val="00850468"/>
    <w:rsid w:val="008506BF"/>
    <w:rsid w:val="008507AA"/>
    <w:rsid w:val="00850982"/>
    <w:rsid w:val="00850E91"/>
    <w:rsid w:val="00850FBC"/>
    <w:rsid w:val="00851519"/>
    <w:rsid w:val="00851603"/>
    <w:rsid w:val="00851AD8"/>
    <w:rsid w:val="00851D4D"/>
    <w:rsid w:val="008525E8"/>
    <w:rsid w:val="00852715"/>
    <w:rsid w:val="00852F32"/>
    <w:rsid w:val="00853226"/>
    <w:rsid w:val="0085338B"/>
    <w:rsid w:val="00853481"/>
    <w:rsid w:val="00853540"/>
    <w:rsid w:val="00853BCD"/>
    <w:rsid w:val="00853DDE"/>
    <w:rsid w:val="008542C5"/>
    <w:rsid w:val="008544CD"/>
    <w:rsid w:val="0085470B"/>
    <w:rsid w:val="0085513E"/>
    <w:rsid w:val="008551AA"/>
    <w:rsid w:val="0085577E"/>
    <w:rsid w:val="00855958"/>
    <w:rsid w:val="00855A51"/>
    <w:rsid w:val="00855ACF"/>
    <w:rsid w:val="0085650D"/>
    <w:rsid w:val="00856812"/>
    <w:rsid w:val="00857198"/>
    <w:rsid w:val="0086062B"/>
    <w:rsid w:val="00860CE3"/>
    <w:rsid w:val="00860ED4"/>
    <w:rsid w:val="00862B19"/>
    <w:rsid w:val="00862F60"/>
    <w:rsid w:val="008636A6"/>
    <w:rsid w:val="00863B0D"/>
    <w:rsid w:val="00863B67"/>
    <w:rsid w:val="008642B7"/>
    <w:rsid w:val="0086439D"/>
    <w:rsid w:val="008647CE"/>
    <w:rsid w:val="00864BA3"/>
    <w:rsid w:val="00864F47"/>
    <w:rsid w:val="00864F8D"/>
    <w:rsid w:val="0086567D"/>
    <w:rsid w:val="008656AB"/>
    <w:rsid w:val="008658DB"/>
    <w:rsid w:val="008658F1"/>
    <w:rsid w:val="00865DD6"/>
    <w:rsid w:val="00866378"/>
    <w:rsid w:val="00867128"/>
    <w:rsid w:val="00867646"/>
    <w:rsid w:val="008677E7"/>
    <w:rsid w:val="00867AC4"/>
    <w:rsid w:val="00867AFD"/>
    <w:rsid w:val="00870B0A"/>
    <w:rsid w:val="00870BB5"/>
    <w:rsid w:val="00870D04"/>
    <w:rsid w:val="0087107B"/>
    <w:rsid w:val="00871324"/>
    <w:rsid w:val="00871412"/>
    <w:rsid w:val="00871434"/>
    <w:rsid w:val="00871B41"/>
    <w:rsid w:val="00871C36"/>
    <w:rsid w:val="00871FC4"/>
    <w:rsid w:val="008722F1"/>
    <w:rsid w:val="00872B23"/>
    <w:rsid w:val="00872BA2"/>
    <w:rsid w:val="00873198"/>
    <w:rsid w:val="008733C0"/>
    <w:rsid w:val="00873487"/>
    <w:rsid w:val="008735F0"/>
    <w:rsid w:val="00873704"/>
    <w:rsid w:val="00873EC3"/>
    <w:rsid w:val="00873F9B"/>
    <w:rsid w:val="00874403"/>
    <w:rsid w:val="0087453D"/>
    <w:rsid w:val="00874819"/>
    <w:rsid w:val="00874B3A"/>
    <w:rsid w:val="00874CF9"/>
    <w:rsid w:val="00874EA9"/>
    <w:rsid w:val="00874F54"/>
    <w:rsid w:val="00874F78"/>
    <w:rsid w:val="0087539E"/>
    <w:rsid w:val="00875938"/>
    <w:rsid w:val="00875D2F"/>
    <w:rsid w:val="00875FD2"/>
    <w:rsid w:val="00876024"/>
    <w:rsid w:val="0087654F"/>
    <w:rsid w:val="00876685"/>
    <w:rsid w:val="008766DF"/>
    <w:rsid w:val="00876AC0"/>
    <w:rsid w:val="0087714B"/>
    <w:rsid w:val="008778CD"/>
    <w:rsid w:val="0087795A"/>
    <w:rsid w:val="00877D83"/>
    <w:rsid w:val="00877E3D"/>
    <w:rsid w:val="00877E5C"/>
    <w:rsid w:val="008803AE"/>
    <w:rsid w:val="00881000"/>
    <w:rsid w:val="0088101D"/>
    <w:rsid w:val="008812F9"/>
    <w:rsid w:val="008815A1"/>
    <w:rsid w:val="008816CE"/>
    <w:rsid w:val="0088171F"/>
    <w:rsid w:val="008821AB"/>
    <w:rsid w:val="008825D1"/>
    <w:rsid w:val="00882825"/>
    <w:rsid w:val="008833B7"/>
    <w:rsid w:val="00883A53"/>
    <w:rsid w:val="00883E13"/>
    <w:rsid w:val="00883FA3"/>
    <w:rsid w:val="00884E03"/>
    <w:rsid w:val="00885009"/>
    <w:rsid w:val="0088526C"/>
    <w:rsid w:val="008854B1"/>
    <w:rsid w:val="00885A1D"/>
    <w:rsid w:val="00885F2E"/>
    <w:rsid w:val="00885FA7"/>
    <w:rsid w:val="00886015"/>
    <w:rsid w:val="008862D9"/>
    <w:rsid w:val="00886883"/>
    <w:rsid w:val="00886B82"/>
    <w:rsid w:val="008875CD"/>
    <w:rsid w:val="00887BDB"/>
    <w:rsid w:val="00887C64"/>
    <w:rsid w:val="00887D26"/>
    <w:rsid w:val="008909F4"/>
    <w:rsid w:val="00890B58"/>
    <w:rsid w:val="00890C0C"/>
    <w:rsid w:val="00890F1E"/>
    <w:rsid w:val="008918FB"/>
    <w:rsid w:val="00891924"/>
    <w:rsid w:val="00891994"/>
    <w:rsid w:val="00891E00"/>
    <w:rsid w:val="00891ED5"/>
    <w:rsid w:val="0089208D"/>
    <w:rsid w:val="00892212"/>
    <w:rsid w:val="008924AF"/>
    <w:rsid w:val="00892872"/>
    <w:rsid w:val="00892928"/>
    <w:rsid w:val="008929C5"/>
    <w:rsid w:val="00892A50"/>
    <w:rsid w:val="00892E54"/>
    <w:rsid w:val="00892F90"/>
    <w:rsid w:val="008930A1"/>
    <w:rsid w:val="008930CA"/>
    <w:rsid w:val="00893786"/>
    <w:rsid w:val="00893F20"/>
    <w:rsid w:val="00894271"/>
    <w:rsid w:val="0089454F"/>
    <w:rsid w:val="00894DF8"/>
    <w:rsid w:val="00894FC6"/>
    <w:rsid w:val="00895771"/>
    <w:rsid w:val="00895B90"/>
    <w:rsid w:val="00895BA1"/>
    <w:rsid w:val="00895F1B"/>
    <w:rsid w:val="008961AD"/>
    <w:rsid w:val="00896295"/>
    <w:rsid w:val="00896F1B"/>
    <w:rsid w:val="00896FCD"/>
    <w:rsid w:val="008970A8"/>
    <w:rsid w:val="008972C4"/>
    <w:rsid w:val="00897B5C"/>
    <w:rsid w:val="00897D19"/>
    <w:rsid w:val="00897DFF"/>
    <w:rsid w:val="00897F51"/>
    <w:rsid w:val="008A0071"/>
    <w:rsid w:val="008A032A"/>
    <w:rsid w:val="008A03C5"/>
    <w:rsid w:val="008A095A"/>
    <w:rsid w:val="008A0C68"/>
    <w:rsid w:val="008A108E"/>
    <w:rsid w:val="008A138D"/>
    <w:rsid w:val="008A1883"/>
    <w:rsid w:val="008A1F2D"/>
    <w:rsid w:val="008A1FB2"/>
    <w:rsid w:val="008A20C0"/>
    <w:rsid w:val="008A23E5"/>
    <w:rsid w:val="008A26E0"/>
    <w:rsid w:val="008A289A"/>
    <w:rsid w:val="008A3021"/>
    <w:rsid w:val="008A30DB"/>
    <w:rsid w:val="008A3C30"/>
    <w:rsid w:val="008A3CDA"/>
    <w:rsid w:val="008A40DF"/>
    <w:rsid w:val="008A41D4"/>
    <w:rsid w:val="008A4367"/>
    <w:rsid w:val="008A4539"/>
    <w:rsid w:val="008A46DF"/>
    <w:rsid w:val="008A4C57"/>
    <w:rsid w:val="008A4D83"/>
    <w:rsid w:val="008A4E8D"/>
    <w:rsid w:val="008A5387"/>
    <w:rsid w:val="008A565D"/>
    <w:rsid w:val="008A5CDD"/>
    <w:rsid w:val="008A5CF3"/>
    <w:rsid w:val="008A5ED7"/>
    <w:rsid w:val="008A6000"/>
    <w:rsid w:val="008A64A6"/>
    <w:rsid w:val="008A6DAA"/>
    <w:rsid w:val="008A71BF"/>
    <w:rsid w:val="008A723A"/>
    <w:rsid w:val="008A7953"/>
    <w:rsid w:val="008A795B"/>
    <w:rsid w:val="008A7B04"/>
    <w:rsid w:val="008B0352"/>
    <w:rsid w:val="008B03AF"/>
    <w:rsid w:val="008B0476"/>
    <w:rsid w:val="008B066E"/>
    <w:rsid w:val="008B073B"/>
    <w:rsid w:val="008B07FA"/>
    <w:rsid w:val="008B0804"/>
    <w:rsid w:val="008B0B05"/>
    <w:rsid w:val="008B0B4C"/>
    <w:rsid w:val="008B0EBD"/>
    <w:rsid w:val="008B1247"/>
    <w:rsid w:val="008B1369"/>
    <w:rsid w:val="008B2096"/>
    <w:rsid w:val="008B2304"/>
    <w:rsid w:val="008B298B"/>
    <w:rsid w:val="008B29CE"/>
    <w:rsid w:val="008B3191"/>
    <w:rsid w:val="008B3E9C"/>
    <w:rsid w:val="008B443A"/>
    <w:rsid w:val="008B5321"/>
    <w:rsid w:val="008B56B4"/>
    <w:rsid w:val="008B6421"/>
    <w:rsid w:val="008B6873"/>
    <w:rsid w:val="008B689F"/>
    <w:rsid w:val="008B6EB9"/>
    <w:rsid w:val="008B74E5"/>
    <w:rsid w:val="008B76A5"/>
    <w:rsid w:val="008B7A34"/>
    <w:rsid w:val="008B7AEC"/>
    <w:rsid w:val="008C0823"/>
    <w:rsid w:val="008C0A7A"/>
    <w:rsid w:val="008C0F39"/>
    <w:rsid w:val="008C0F45"/>
    <w:rsid w:val="008C1195"/>
    <w:rsid w:val="008C1817"/>
    <w:rsid w:val="008C19DE"/>
    <w:rsid w:val="008C1E9D"/>
    <w:rsid w:val="008C217A"/>
    <w:rsid w:val="008C26F2"/>
    <w:rsid w:val="008C2A2C"/>
    <w:rsid w:val="008C2BD3"/>
    <w:rsid w:val="008C336D"/>
    <w:rsid w:val="008C3811"/>
    <w:rsid w:val="008C3937"/>
    <w:rsid w:val="008C3C50"/>
    <w:rsid w:val="008C3D59"/>
    <w:rsid w:val="008C46D3"/>
    <w:rsid w:val="008C503F"/>
    <w:rsid w:val="008C51DD"/>
    <w:rsid w:val="008C5407"/>
    <w:rsid w:val="008C5950"/>
    <w:rsid w:val="008C6189"/>
    <w:rsid w:val="008C61E4"/>
    <w:rsid w:val="008C694C"/>
    <w:rsid w:val="008C6B21"/>
    <w:rsid w:val="008C6D95"/>
    <w:rsid w:val="008C7168"/>
    <w:rsid w:val="008C7383"/>
    <w:rsid w:val="008C765D"/>
    <w:rsid w:val="008C77D3"/>
    <w:rsid w:val="008C78FF"/>
    <w:rsid w:val="008C79A0"/>
    <w:rsid w:val="008C7CFD"/>
    <w:rsid w:val="008C7D80"/>
    <w:rsid w:val="008C7FBF"/>
    <w:rsid w:val="008D13F7"/>
    <w:rsid w:val="008D2938"/>
    <w:rsid w:val="008D29B3"/>
    <w:rsid w:val="008D2A15"/>
    <w:rsid w:val="008D2DEB"/>
    <w:rsid w:val="008D3C78"/>
    <w:rsid w:val="008D3D06"/>
    <w:rsid w:val="008D3D8D"/>
    <w:rsid w:val="008D3F3A"/>
    <w:rsid w:val="008D4293"/>
    <w:rsid w:val="008D47A0"/>
    <w:rsid w:val="008D47CC"/>
    <w:rsid w:val="008D4A7E"/>
    <w:rsid w:val="008D4CAD"/>
    <w:rsid w:val="008D4D8D"/>
    <w:rsid w:val="008D4FA8"/>
    <w:rsid w:val="008D534C"/>
    <w:rsid w:val="008D5496"/>
    <w:rsid w:val="008D56BF"/>
    <w:rsid w:val="008D5E68"/>
    <w:rsid w:val="008D6573"/>
    <w:rsid w:val="008D66B0"/>
    <w:rsid w:val="008D6D09"/>
    <w:rsid w:val="008D6FAF"/>
    <w:rsid w:val="008D717A"/>
    <w:rsid w:val="008D71DB"/>
    <w:rsid w:val="008D731D"/>
    <w:rsid w:val="008D7A3E"/>
    <w:rsid w:val="008D7FFD"/>
    <w:rsid w:val="008E0124"/>
    <w:rsid w:val="008E0879"/>
    <w:rsid w:val="008E1039"/>
    <w:rsid w:val="008E1564"/>
    <w:rsid w:val="008E1CA6"/>
    <w:rsid w:val="008E2119"/>
    <w:rsid w:val="008E2E52"/>
    <w:rsid w:val="008E2FB8"/>
    <w:rsid w:val="008E304C"/>
    <w:rsid w:val="008E3096"/>
    <w:rsid w:val="008E3363"/>
    <w:rsid w:val="008E3467"/>
    <w:rsid w:val="008E4550"/>
    <w:rsid w:val="008E4BEB"/>
    <w:rsid w:val="008E5CE3"/>
    <w:rsid w:val="008E5F60"/>
    <w:rsid w:val="008E6116"/>
    <w:rsid w:val="008E661F"/>
    <w:rsid w:val="008E6919"/>
    <w:rsid w:val="008E6AFB"/>
    <w:rsid w:val="008E6D87"/>
    <w:rsid w:val="008E7085"/>
    <w:rsid w:val="008E792D"/>
    <w:rsid w:val="008E797D"/>
    <w:rsid w:val="008F0338"/>
    <w:rsid w:val="008F0CDA"/>
    <w:rsid w:val="008F1015"/>
    <w:rsid w:val="008F15D7"/>
    <w:rsid w:val="008F1719"/>
    <w:rsid w:val="008F172B"/>
    <w:rsid w:val="008F1F34"/>
    <w:rsid w:val="008F1F7F"/>
    <w:rsid w:val="008F204E"/>
    <w:rsid w:val="008F232F"/>
    <w:rsid w:val="008F2494"/>
    <w:rsid w:val="008F2F0F"/>
    <w:rsid w:val="008F3001"/>
    <w:rsid w:val="008F3354"/>
    <w:rsid w:val="008F3A04"/>
    <w:rsid w:val="008F3BC5"/>
    <w:rsid w:val="008F3FF9"/>
    <w:rsid w:val="008F44B1"/>
    <w:rsid w:val="008F4669"/>
    <w:rsid w:val="008F46D7"/>
    <w:rsid w:val="008F472E"/>
    <w:rsid w:val="008F49D2"/>
    <w:rsid w:val="008F4DBD"/>
    <w:rsid w:val="008F5187"/>
    <w:rsid w:val="008F5B31"/>
    <w:rsid w:val="008F5B58"/>
    <w:rsid w:val="008F6056"/>
    <w:rsid w:val="008F67E7"/>
    <w:rsid w:val="008F6ABD"/>
    <w:rsid w:val="008F6AE0"/>
    <w:rsid w:val="008F7ECE"/>
    <w:rsid w:val="009002C0"/>
    <w:rsid w:val="00900D6B"/>
    <w:rsid w:val="00900FC2"/>
    <w:rsid w:val="0090102E"/>
    <w:rsid w:val="00901B30"/>
    <w:rsid w:val="00902014"/>
    <w:rsid w:val="00902650"/>
    <w:rsid w:val="00902CE5"/>
    <w:rsid w:val="00902F1C"/>
    <w:rsid w:val="00903600"/>
    <w:rsid w:val="00903A64"/>
    <w:rsid w:val="00903E6E"/>
    <w:rsid w:val="00903FBC"/>
    <w:rsid w:val="009040D6"/>
    <w:rsid w:val="009040EC"/>
    <w:rsid w:val="009043D6"/>
    <w:rsid w:val="00904BE8"/>
    <w:rsid w:val="00904D48"/>
    <w:rsid w:val="00904D75"/>
    <w:rsid w:val="009056F4"/>
    <w:rsid w:val="00905A21"/>
    <w:rsid w:val="00905B9D"/>
    <w:rsid w:val="009065A2"/>
    <w:rsid w:val="0090695C"/>
    <w:rsid w:val="00906A09"/>
    <w:rsid w:val="009070EC"/>
    <w:rsid w:val="009072A9"/>
    <w:rsid w:val="00907412"/>
    <w:rsid w:val="0090745E"/>
    <w:rsid w:val="009078A8"/>
    <w:rsid w:val="00907971"/>
    <w:rsid w:val="00907BE9"/>
    <w:rsid w:val="00907CD3"/>
    <w:rsid w:val="00907DFB"/>
    <w:rsid w:val="00907FAF"/>
    <w:rsid w:val="00910270"/>
    <w:rsid w:val="009102C6"/>
    <w:rsid w:val="00910421"/>
    <w:rsid w:val="009104E9"/>
    <w:rsid w:val="00910A51"/>
    <w:rsid w:val="00910B41"/>
    <w:rsid w:val="00910B96"/>
    <w:rsid w:val="00910C56"/>
    <w:rsid w:val="009116DC"/>
    <w:rsid w:val="00911B1E"/>
    <w:rsid w:val="00911E2A"/>
    <w:rsid w:val="009120CF"/>
    <w:rsid w:val="009125BF"/>
    <w:rsid w:val="00912E3F"/>
    <w:rsid w:val="00912E7D"/>
    <w:rsid w:val="00912EE0"/>
    <w:rsid w:val="009130C0"/>
    <w:rsid w:val="00913EDF"/>
    <w:rsid w:val="009142E9"/>
    <w:rsid w:val="00914828"/>
    <w:rsid w:val="00914AD2"/>
    <w:rsid w:val="00914B87"/>
    <w:rsid w:val="00914EC8"/>
    <w:rsid w:val="00915072"/>
    <w:rsid w:val="00915074"/>
    <w:rsid w:val="00915589"/>
    <w:rsid w:val="00915C03"/>
    <w:rsid w:val="00915CA4"/>
    <w:rsid w:val="00915CFF"/>
    <w:rsid w:val="009165C7"/>
    <w:rsid w:val="0091667C"/>
    <w:rsid w:val="009169C2"/>
    <w:rsid w:val="00916D84"/>
    <w:rsid w:val="009173F7"/>
    <w:rsid w:val="009207B2"/>
    <w:rsid w:val="00920F45"/>
    <w:rsid w:val="00920F88"/>
    <w:rsid w:val="009223DF"/>
    <w:rsid w:val="009224DC"/>
    <w:rsid w:val="009228E1"/>
    <w:rsid w:val="00922AAE"/>
    <w:rsid w:val="009238F5"/>
    <w:rsid w:val="009238FF"/>
    <w:rsid w:val="00923910"/>
    <w:rsid w:val="009241E1"/>
    <w:rsid w:val="009242D7"/>
    <w:rsid w:val="00924A3C"/>
    <w:rsid w:val="00924C1F"/>
    <w:rsid w:val="00924C98"/>
    <w:rsid w:val="00924DCF"/>
    <w:rsid w:val="00925A64"/>
    <w:rsid w:val="00925B7D"/>
    <w:rsid w:val="00925D05"/>
    <w:rsid w:val="0092672E"/>
    <w:rsid w:val="00926D33"/>
    <w:rsid w:val="0092719C"/>
    <w:rsid w:val="00927422"/>
    <w:rsid w:val="00927713"/>
    <w:rsid w:val="00927EC8"/>
    <w:rsid w:val="00930050"/>
    <w:rsid w:val="0093007F"/>
    <w:rsid w:val="00930456"/>
    <w:rsid w:val="00930ACE"/>
    <w:rsid w:val="00932201"/>
    <w:rsid w:val="00932544"/>
    <w:rsid w:val="009333AD"/>
    <w:rsid w:val="00933CD7"/>
    <w:rsid w:val="00933E47"/>
    <w:rsid w:val="0093467B"/>
    <w:rsid w:val="00934B1C"/>
    <w:rsid w:val="00934FD6"/>
    <w:rsid w:val="0093525D"/>
    <w:rsid w:val="0093587D"/>
    <w:rsid w:val="00935CEF"/>
    <w:rsid w:val="00936778"/>
    <w:rsid w:val="009367AD"/>
    <w:rsid w:val="00936BEC"/>
    <w:rsid w:val="00936D13"/>
    <w:rsid w:val="00936EF0"/>
    <w:rsid w:val="00937073"/>
    <w:rsid w:val="009370D4"/>
    <w:rsid w:val="00937594"/>
    <w:rsid w:val="0093760A"/>
    <w:rsid w:val="00937898"/>
    <w:rsid w:val="00937B67"/>
    <w:rsid w:val="00937D40"/>
    <w:rsid w:val="00937FD6"/>
    <w:rsid w:val="00940485"/>
    <w:rsid w:val="00940B63"/>
    <w:rsid w:val="00940CB1"/>
    <w:rsid w:val="0094296B"/>
    <w:rsid w:val="009432A8"/>
    <w:rsid w:val="0094337A"/>
    <w:rsid w:val="009435B0"/>
    <w:rsid w:val="00943A87"/>
    <w:rsid w:val="009446E2"/>
    <w:rsid w:val="009452E2"/>
    <w:rsid w:val="00945446"/>
    <w:rsid w:val="0094554B"/>
    <w:rsid w:val="009455A6"/>
    <w:rsid w:val="00945C3F"/>
    <w:rsid w:val="00945DD4"/>
    <w:rsid w:val="00946420"/>
    <w:rsid w:val="009464BF"/>
    <w:rsid w:val="00946730"/>
    <w:rsid w:val="009468B3"/>
    <w:rsid w:val="00947054"/>
    <w:rsid w:val="0094708D"/>
    <w:rsid w:val="0094787B"/>
    <w:rsid w:val="00947C5C"/>
    <w:rsid w:val="00947EF4"/>
    <w:rsid w:val="009513CA"/>
    <w:rsid w:val="009514D2"/>
    <w:rsid w:val="0095240F"/>
    <w:rsid w:val="00952CC3"/>
    <w:rsid w:val="00952D0E"/>
    <w:rsid w:val="00952E95"/>
    <w:rsid w:val="00952F1C"/>
    <w:rsid w:val="00953023"/>
    <w:rsid w:val="00955289"/>
    <w:rsid w:val="0095577E"/>
    <w:rsid w:val="0095605B"/>
    <w:rsid w:val="0095652E"/>
    <w:rsid w:val="00956789"/>
    <w:rsid w:val="00956FC2"/>
    <w:rsid w:val="00957C3E"/>
    <w:rsid w:val="00957FD8"/>
    <w:rsid w:val="0096083C"/>
    <w:rsid w:val="00960BDB"/>
    <w:rsid w:val="00960C6C"/>
    <w:rsid w:val="00960CD5"/>
    <w:rsid w:val="00960D81"/>
    <w:rsid w:val="009613C5"/>
    <w:rsid w:val="00961AD0"/>
    <w:rsid w:val="00961DCE"/>
    <w:rsid w:val="009622F5"/>
    <w:rsid w:val="009633F9"/>
    <w:rsid w:val="009640EB"/>
    <w:rsid w:val="00964799"/>
    <w:rsid w:val="00964938"/>
    <w:rsid w:val="00964A34"/>
    <w:rsid w:val="00964C89"/>
    <w:rsid w:val="00965131"/>
    <w:rsid w:val="00965189"/>
    <w:rsid w:val="00965714"/>
    <w:rsid w:val="00965739"/>
    <w:rsid w:val="00965A1E"/>
    <w:rsid w:val="00965D1E"/>
    <w:rsid w:val="00965DBF"/>
    <w:rsid w:val="00965E9D"/>
    <w:rsid w:val="009660F2"/>
    <w:rsid w:val="0096610F"/>
    <w:rsid w:val="009661C8"/>
    <w:rsid w:val="00966404"/>
    <w:rsid w:val="00966A92"/>
    <w:rsid w:val="00966E5B"/>
    <w:rsid w:val="009676C8"/>
    <w:rsid w:val="00967766"/>
    <w:rsid w:val="00967B6D"/>
    <w:rsid w:val="00970039"/>
    <w:rsid w:val="0097003C"/>
    <w:rsid w:val="0097053B"/>
    <w:rsid w:val="00970B95"/>
    <w:rsid w:val="00971458"/>
    <w:rsid w:val="009715BB"/>
    <w:rsid w:val="009717FB"/>
    <w:rsid w:val="00971F38"/>
    <w:rsid w:val="00972002"/>
    <w:rsid w:val="00972576"/>
    <w:rsid w:val="0097283F"/>
    <w:rsid w:val="00972920"/>
    <w:rsid w:val="00972B12"/>
    <w:rsid w:val="009730C1"/>
    <w:rsid w:val="0097324F"/>
    <w:rsid w:val="009734F2"/>
    <w:rsid w:val="00973593"/>
    <w:rsid w:val="00973951"/>
    <w:rsid w:val="00973B65"/>
    <w:rsid w:val="00974025"/>
    <w:rsid w:val="00974521"/>
    <w:rsid w:val="009746DD"/>
    <w:rsid w:val="00974B2B"/>
    <w:rsid w:val="00974D2A"/>
    <w:rsid w:val="0097524D"/>
    <w:rsid w:val="00975890"/>
    <w:rsid w:val="00976775"/>
    <w:rsid w:val="00976DE0"/>
    <w:rsid w:val="00977031"/>
    <w:rsid w:val="009770D7"/>
    <w:rsid w:val="00977271"/>
    <w:rsid w:val="00977A30"/>
    <w:rsid w:val="00977B5C"/>
    <w:rsid w:val="00977E24"/>
    <w:rsid w:val="00980A97"/>
    <w:rsid w:val="00980CEE"/>
    <w:rsid w:val="00980EB6"/>
    <w:rsid w:val="009811B5"/>
    <w:rsid w:val="009815BC"/>
    <w:rsid w:val="00981775"/>
    <w:rsid w:val="00981DD4"/>
    <w:rsid w:val="009823D4"/>
    <w:rsid w:val="0098245B"/>
    <w:rsid w:val="00982732"/>
    <w:rsid w:val="00982EB8"/>
    <w:rsid w:val="00983B8E"/>
    <w:rsid w:val="00983BCC"/>
    <w:rsid w:val="00983F19"/>
    <w:rsid w:val="009841B5"/>
    <w:rsid w:val="00984B5B"/>
    <w:rsid w:val="00984BE5"/>
    <w:rsid w:val="00984CE5"/>
    <w:rsid w:val="00984FF0"/>
    <w:rsid w:val="00985CEE"/>
    <w:rsid w:val="00986026"/>
    <w:rsid w:val="0098650C"/>
    <w:rsid w:val="009868F7"/>
    <w:rsid w:val="00987057"/>
    <w:rsid w:val="0098712D"/>
    <w:rsid w:val="00987335"/>
    <w:rsid w:val="00987AC9"/>
    <w:rsid w:val="00990BB3"/>
    <w:rsid w:val="00990E24"/>
    <w:rsid w:val="009913BA"/>
    <w:rsid w:val="009915CC"/>
    <w:rsid w:val="0099273E"/>
    <w:rsid w:val="00992C67"/>
    <w:rsid w:val="00992F19"/>
    <w:rsid w:val="00993148"/>
    <w:rsid w:val="009931FF"/>
    <w:rsid w:val="0099325E"/>
    <w:rsid w:val="0099336B"/>
    <w:rsid w:val="009936E4"/>
    <w:rsid w:val="0099390E"/>
    <w:rsid w:val="0099453C"/>
    <w:rsid w:val="00994EE2"/>
    <w:rsid w:val="00994EEA"/>
    <w:rsid w:val="00995692"/>
    <w:rsid w:val="00995820"/>
    <w:rsid w:val="00995A84"/>
    <w:rsid w:val="00996006"/>
    <w:rsid w:val="00996434"/>
    <w:rsid w:val="00996958"/>
    <w:rsid w:val="00996E02"/>
    <w:rsid w:val="00996E57"/>
    <w:rsid w:val="009973FF"/>
    <w:rsid w:val="00997DBE"/>
    <w:rsid w:val="00997E18"/>
    <w:rsid w:val="00997FDE"/>
    <w:rsid w:val="009A0271"/>
    <w:rsid w:val="009A0AEB"/>
    <w:rsid w:val="009A0D34"/>
    <w:rsid w:val="009A0EDC"/>
    <w:rsid w:val="009A1E3B"/>
    <w:rsid w:val="009A3D72"/>
    <w:rsid w:val="009A3E19"/>
    <w:rsid w:val="009A3F93"/>
    <w:rsid w:val="009A4941"/>
    <w:rsid w:val="009A4A67"/>
    <w:rsid w:val="009A54D5"/>
    <w:rsid w:val="009A556B"/>
    <w:rsid w:val="009A5FDE"/>
    <w:rsid w:val="009A62EC"/>
    <w:rsid w:val="009A6371"/>
    <w:rsid w:val="009A6571"/>
    <w:rsid w:val="009A6968"/>
    <w:rsid w:val="009A6BAD"/>
    <w:rsid w:val="009B05A7"/>
    <w:rsid w:val="009B12ED"/>
    <w:rsid w:val="009B15B3"/>
    <w:rsid w:val="009B1A0B"/>
    <w:rsid w:val="009B1D9A"/>
    <w:rsid w:val="009B20A9"/>
    <w:rsid w:val="009B218D"/>
    <w:rsid w:val="009B22F1"/>
    <w:rsid w:val="009B2691"/>
    <w:rsid w:val="009B2861"/>
    <w:rsid w:val="009B2A74"/>
    <w:rsid w:val="009B3E0B"/>
    <w:rsid w:val="009B4155"/>
    <w:rsid w:val="009B4997"/>
    <w:rsid w:val="009B507D"/>
    <w:rsid w:val="009B5812"/>
    <w:rsid w:val="009B5D70"/>
    <w:rsid w:val="009B5DC1"/>
    <w:rsid w:val="009B670A"/>
    <w:rsid w:val="009B7DE6"/>
    <w:rsid w:val="009C00C4"/>
    <w:rsid w:val="009C017E"/>
    <w:rsid w:val="009C04EB"/>
    <w:rsid w:val="009C06EF"/>
    <w:rsid w:val="009C0962"/>
    <w:rsid w:val="009C0DD2"/>
    <w:rsid w:val="009C0E2B"/>
    <w:rsid w:val="009C0F25"/>
    <w:rsid w:val="009C10CF"/>
    <w:rsid w:val="009C162E"/>
    <w:rsid w:val="009C16B5"/>
    <w:rsid w:val="009C1746"/>
    <w:rsid w:val="009C1C6C"/>
    <w:rsid w:val="009C22E2"/>
    <w:rsid w:val="009C235D"/>
    <w:rsid w:val="009C28B0"/>
    <w:rsid w:val="009C2D03"/>
    <w:rsid w:val="009C2DB3"/>
    <w:rsid w:val="009C2DB8"/>
    <w:rsid w:val="009C39DF"/>
    <w:rsid w:val="009C3ED0"/>
    <w:rsid w:val="009C4A72"/>
    <w:rsid w:val="009C4D0F"/>
    <w:rsid w:val="009C5508"/>
    <w:rsid w:val="009C5B00"/>
    <w:rsid w:val="009C5FDD"/>
    <w:rsid w:val="009C609C"/>
    <w:rsid w:val="009C6AA2"/>
    <w:rsid w:val="009C6BDF"/>
    <w:rsid w:val="009C6D00"/>
    <w:rsid w:val="009C728B"/>
    <w:rsid w:val="009C7413"/>
    <w:rsid w:val="009C7487"/>
    <w:rsid w:val="009D03FF"/>
    <w:rsid w:val="009D0411"/>
    <w:rsid w:val="009D0430"/>
    <w:rsid w:val="009D04B2"/>
    <w:rsid w:val="009D06D1"/>
    <w:rsid w:val="009D07BA"/>
    <w:rsid w:val="009D0A3A"/>
    <w:rsid w:val="009D0F1A"/>
    <w:rsid w:val="009D1069"/>
    <w:rsid w:val="009D1B30"/>
    <w:rsid w:val="009D2303"/>
    <w:rsid w:val="009D278A"/>
    <w:rsid w:val="009D2D9C"/>
    <w:rsid w:val="009D2EFD"/>
    <w:rsid w:val="009D2FB0"/>
    <w:rsid w:val="009D2FD3"/>
    <w:rsid w:val="009D3049"/>
    <w:rsid w:val="009D3109"/>
    <w:rsid w:val="009D3290"/>
    <w:rsid w:val="009D3763"/>
    <w:rsid w:val="009D3B40"/>
    <w:rsid w:val="009D3D52"/>
    <w:rsid w:val="009D410D"/>
    <w:rsid w:val="009D475B"/>
    <w:rsid w:val="009D50CE"/>
    <w:rsid w:val="009D518D"/>
    <w:rsid w:val="009D569B"/>
    <w:rsid w:val="009D57C8"/>
    <w:rsid w:val="009D5861"/>
    <w:rsid w:val="009D5A22"/>
    <w:rsid w:val="009D6128"/>
    <w:rsid w:val="009D6631"/>
    <w:rsid w:val="009D6B67"/>
    <w:rsid w:val="009D6C70"/>
    <w:rsid w:val="009D6CF4"/>
    <w:rsid w:val="009D712D"/>
    <w:rsid w:val="009D7712"/>
    <w:rsid w:val="009D7DE4"/>
    <w:rsid w:val="009E0064"/>
    <w:rsid w:val="009E0A96"/>
    <w:rsid w:val="009E1082"/>
    <w:rsid w:val="009E1137"/>
    <w:rsid w:val="009E13F6"/>
    <w:rsid w:val="009E164A"/>
    <w:rsid w:val="009E18D3"/>
    <w:rsid w:val="009E1B64"/>
    <w:rsid w:val="009E237A"/>
    <w:rsid w:val="009E268E"/>
    <w:rsid w:val="009E2B04"/>
    <w:rsid w:val="009E3791"/>
    <w:rsid w:val="009E3C8F"/>
    <w:rsid w:val="009E404E"/>
    <w:rsid w:val="009E4308"/>
    <w:rsid w:val="009E47A2"/>
    <w:rsid w:val="009E4930"/>
    <w:rsid w:val="009E4950"/>
    <w:rsid w:val="009E4A7B"/>
    <w:rsid w:val="009E4DAE"/>
    <w:rsid w:val="009E504A"/>
    <w:rsid w:val="009E5265"/>
    <w:rsid w:val="009E57BD"/>
    <w:rsid w:val="009E6121"/>
    <w:rsid w:val="009E6ACA"/>
    <w:rsid w:val="009E700A"/>
    <w:rsid w:val="009E79C2"/>
    <w:rsid w:val="009F01B0"/>
    <w:rsid w:val="009F0257"/>
    <w:rsid w:val="009F0306"/>
    <w:rsid w:val="009F0355"/>
    <w:rsid w:val="009F055E"/>
    <w:rsid w:val="009F0C17"/>
    <w:rsid w:val="009F0C84"/>
    <w:rsid w:val="009F0ECF"/>
    <w:rsid w:val="009F13FF"/>
    <w:rsid w:val="009F1668"/>
    <w:rsid w:val="009F1AF4"/>
    <w:rsid w:val="009F1B28"/>
    <w:rsid w:val="009F1E37"/>
    <w:rsid w:val="009F1F61"/>
    <w:rsid w:val="009F239E"/>
    <w:rsid w:val="009F2563"/>
    <w:rsid w:val="009F2641"/>
    <w:rsid w:val="009F2A83"/>
    <w:rsid w:val="009F2F75"/>
    <w:rsid w:val="009F30C0"/>
    <w:rsid w:val="009F3101"/>
    <w:rsid w:val="009F3609"/>
    <w:rsid w:val="009F39D9"/>
    <w:rsid w:val="009F3A0C"/>
    <w:rsid w:val="009F3AFA"/>
    <w:rsid w:val="009F3E8A"/>
    <w:rsid w:val="009F4377"/>
    <w:rsid w:val="009F46C8"/>
    <w:rsid w:val="009F4DD8"/>
    <w:rsid w:val="009F51B3"/>
    <w:rsid w:val="009F5748"/>
    <w:rsid w:val="009F5A33"/>
    <w:rsid w:val="009F5B71"/>
    <w:rsid w:val="009F60DC"/>
    <w:rsid w:val="009F60DF"/>
    <w:rsid w:val="009F67A8"/>
    <w:rsid w:val="009F688C"/>
    <w:rsid w:val="009F714D"/>
    <w:rsid w:val="009F74FA"/>
    <w:rsid w:val="009F7866"/>
    <w:rsid w:val="009F7878"/>
    <w:rsid w:val="009F7E3E"/>
    <w:rsid w:val="00A00716"/>
    <w:rsid w:val="00A0082F"/>
    <w:rsid w:val="00A00B69"/>
    <w:rsid w:val="00A00BCC"/>
    <w:rsid w:val="00A00EA8"/>
    <w:rsid w:val="00A00F8B"/>
    <w:rsid w:val="00A014F6"/>
    <w:rsid w:val="00A01693"/>
    <w:rsid w:val="00A01A59"/>
    <w:rsid w:val="00A01CC8"/>
    <w:rsid w:val="00A01E42"/>
    <w:rsid w:val="00A023C1"/>
    <w:rsid w:val="00A02A9C"/>
    <w:rsid w:val="00A02AFC"/>
    <w:rsid w:val="00A02B54"/>
    <w:rsid w:val="00A02E1B"/>
    <w:rsid w:val="00A031C4"/>
    <w:rsid w:val="00A03345"/>
    <w:rsid w:val="00A03A8C"/>
    <w:rsid w:val="00A03B79"/>
    <w:rsid w:val="00A03EDF"/>
    <w:rsid w:val="00A03F31"/>
    <w:rsid w:val="00A0417F"/>
    <w:rsid w:val="00A04A2F"/>
    <w:rsid w:val="00A04E2E"/>
    <w:rsid w:val="00A0543F"/>
    <w:rsid w:val="00A05C28"/>
    <w:rsid w:val="00A05D36"/>
    <w:rsid w:val="00A05D42"/>
    <w:rsid w:val="00A05DAF"/>
    <w:rsid w:val="00A05E51"/>
    <w:rsid w:val="00A05FC5"/>
    <w:rsid w:val="00A064B3"/>
    <w:rsid w:val="00A070A4"/>
    <w:rsid w:val="00A101F9"/>
    <w:rsid w:val="00A102DA"/>
    <w:rsid w:val="00A1080D"/>
    <w:rsid w:val="00A10CFD"/>
    <w:rsid w:val="00A10F4C"/>
    <w:rsid w:val="00A10F80"/>
    <w:rsid w:val="00A10F97"/>
    <w:rsid w:val="00A110D1"/>
    <w:rsid w:val="00A111CA"/>
    <w:rsid w:val="00A11389"/>
    <w:rsid w:val="00A11668"/>
    <w:rsid w:val="00A11B12"/>
    <w:rsid w:val="00A11C4A"/>
    <w:rsid w:val="00A11DEC"/>
    <w:rsid w:val="00A11FD4"/>
    <w:rsid w:val="00A120AC"/>
    <w:rsid w:val="00A12B3C"/>
    <w:rsid w:val="00A12BF7"/>
    <w:rsid w:val="00A12CFD"/>
    <w:rsid w:val="00A13035"/>
    <w:rsid w:val="00A1339F"/>
    <w:rsid w:val="00A133E2"/>
    <w:rsid w:val="00A1345E"/>
    <w:rsid w:val="00A14341"/>
    <w:rsid w:val="00A14A20"/>
    <w:rsid w:val="00A1507F"/>
    <w:rsid w:val="00A15113"/>
    <w:rsid w:val="00A15336"/>
    <w:rsid w:val="00A15608"/>
    <w:rsid w:val="00A156FE"/>
    <w:rsid w:val="00A15C29"/>
    <w:rsid w:val="00A15E0B"/>
    <w:rsid w:val="00A15EB7"/>
    <w:rsid w:val="00A15EC5"/>
    <w:rsid w:val="00A161AC"/>
    <w:rsid w:val="00A16356"/>
    <w:rsid w:val="00A163C8"/>
    <w:rsid w:val="00A164FA"/>
    <w:rsid w:val="00A169C8"/>
    <w:rsid w:val="00A1718B"/>
    <w:rsid w:val="00A1722E"/>
    <w:rsid w:val="00A176C6"/>
    <w:rsid w:val="00A17C26"/>
    <w:rsid w:val="00A17C6F"/>
    <w:rsid w:val="00A202FD"/>
    <w:rsid w:val="00A20630"/>
    <w:rsid w:val="00A20ABF"/>
    <w:rsid w:val="00A20BE4"/>
    <w:rsid w:val="00A20D2C"/>
    <w:rsid w:val="00A20F7A"/>
    <w:rsid w:val="00A213FA"/>
    <w:rsid w:val="00A21609"/>
    <w:rsid w:val="00A218AD"/>
    <w:rsid w:val="00A21BCB"/>
    <w:rsid w:val="00A21D30"/>
    <w:rsid w:val="00A21E22"/>
    <w:rsid w:val="00A22891"/>
    <w:rsid w:val="00A23272"/>
    <w:rsid w:val="00A23584"/>
    <w:rsid w:val="00A2364B"/>
    <w:rsid w:val="00A23C6F"/>
    <w:rsid w:val="00A2421F"/>
    <w:rsid w:val="00A2476E"/>
    <w:rsid w:val="00A2498A"/>
    <w:rsid w:val="00A24A9E"/>
    <w:rsid w:val="00A24D52"/>
    <w:rsid w:val="00A2514D"/>
    <w:rsid w:val="00A252C6"/>
    <w:rsid w:val="00A25858"/>
    <w:rsid w:val="00A25C12"/>
    <w:rsid w:val="00A25E9B"/>
    <w:rsid w:val="00A2640D"/>
    <w:rsid w:val="00A2709C"/>
    <w:rsid w:val="00A2732F"/>
    <w:rsid w:val="00A273A8"/>
    <w:rsid w:val="00A2740F"/>
    <w:rsid w:val="00A2759F"/>
    <w:rsid w:val="00A27A52"/>
    <w:rsid w:val="00A27D57"/>
    <w:rsid w:val="00A27E42"/>
    <w:rsid w:val="00A27F33"/>
    <w:rsid w:val="00A30198"/>
    <w:rsid w:val="00A30417"/>
    <w:rsid w:val="00A3093A"/>
    <w:rsid w:val="00A30943"/>
    <w:rsid w:val="00A30954"/>
    <w:rsid w:val="00A30A4E"/>
    <w:rsid w:val="00A30C3E"/>
    <w:rsid w:val="00A30D20"/>
    <w:rsid w:val="00A31573"/>
    <w:rsid w:val="00A31685"/>
    <w:rsid w:val="00A31AC4"/>
    <w:rsid w:val="00A32440"/>
    <w:rsid w:val="00A32818"/>
    <w:rsid w:val="00A328FB"/>
    <w:rsid w:val="00A32A9C"/>
    <w:rsid w:val="00A32C29"/>
    <w:rsid w:val="00A33402"/>
    <w:rsid w:val="00A339B9"/>
    <w:rsid w:val="00A33B02"/>
    <w:rsid w:val="00A33D37"/>
    <w:rsid w:val="00A34138"/>
    <w:rsid w:val="00A34457"/>
    <w:rsid w:val="00A34677"/>
    <w:rsid w:val="00A34A69"/>
    <w:rsid w:val="00A35346"/>
    <w:rsid w:val="00A3572E"/>
    <w:rsid w:val="00A35BBA"/>
    <w:rsid w:val="00A35FDE"/>
    <w:rsid w:val="00A36385"/>
    <w:rsid w:val="00A364BA"/>
    <w:rsid w:val="00A36A9A"/>
    <w:rsid w:val="00A36E19"/>
    <w:rsid w:val="00A36EF5"/>
    <w:rsid w:val="00A37164"/>
    <w:rsid w:val="00A373AE"/>
    <w:rsid w:val="00A37530"/>
    <w:rsid w:val="00A37539"/>
    <w:rsid w:val="00A3786C"/>
    <w:rsid w:val="00A37C73"/>
    <w:rsid w:val="00A37D58"/>
    <w:rsid w:val="00A4079A"/>
    <w:rsid w:val="00A40F3A"/>
    <w:rsid w:val="00A4135C"/>
    <w:rsid w:val="00A415D1"/>
    <w:rsid w:val="00A41656"/>
    <w:rsid w:val="00A41B07"/>
    <w:rsid w:val="00A41BB0"/>
    <w:rsid w:val="00A41C8B"/>
    <w:rsid w:val="00A42135"/>
    <w:rsid w:val="00A42248"/>
    <w:rsid w:val="00A42304"/>
    <w:rsid w:val="00A42468"/>
    <w:rsid w:val="00A4294D"/>
    <w:rsid w:val="00A42BF4"/>
    <w:rsid w:val="00A42D7B"/>
    <w:rsid w:val="00A42FD4"/>
    <w:rsid w:val="00A430C6"/>
    <w:rsid w:val="00A43134"/>
    <w:rsid w:val="00A43148"/>
    <w:rsid w:val="00A4329E"/>
    <w:rsid w:val="00A43531"/>
    <w:rsid w:val="00A438DF"/>
    <w:rsid w:val="00A43D6B"/>
    <w:rsid w:val="00A4460B"/>
    <w:rsid w:val="00A4467E"/>
    <w:rsid w:val="00A44B9B"/>
    <w:rsid w:val="00A44C7F"/>
    <w:rsid w:val="00A44E55"/>
    <w:rsid w:val="00A451DC"/>
    <w:rsid w:val="00A45369"/>
    <w:rsid w:val="00A45A50"/>
    <w:rsid w:val="00A45D06"/>
    <w:rsid w:val="00A45EEE"/>
    <w:rsid w:val="00A45F40"/>
    <w:rsid w:val="00A45F53"/>
    <w:rsid w:val="00A466E8"/>
    <w:rsid w:val="00A46A39"/>
    <w:rsid w:val="00A46AF2"/>
    <w:rsid w:val="00A46C4E"/>
    <w:rsid w:val="00A471D5"/>
    <w:rsid w:val="00A472DF"/>
    <w:rsid w:val="00A4778C"/>
    <w:rsid w:val="00A50412"/>
    <w:rsid w:val="00A508BF"/>
    <w:rsid w:val="00A50979"/>
    <w:rsid w:val="00A510AA"/>
    <w:rsid w:val="00A51369"/>
    <w:rsid w:val="00A514F5"/>
    <w:rsid w:val="00A5176D"/>
    <w:rsid w:val="00A517F8"/>
    <w:rsid w:val="00A51AD1"/>
    <w:rsid w:val="00A51B90"/>
    <w:rsid w:val="00A51D3A"/>
    <w:rsid w:val="00A51DE4"/>
    <w:rsid w:val="00A5214C"/>
    <w:rsid w:val="00A52198"/>
    <w:rsid w:val="00A529F4"/>
    <w:rsid w:val="00A52A8B"/>
    <w:rsid w:val="00A52BFC"/>
    <w:rsid w:val="00A52DEF"/>
    <w:rsid w:val="00A52E6F"/>
    <w:rsid w:val="00A5306C"/>
    <w:rsid w:val="00A53604"/>
    <w:rsid w:val="00A5360C"/>
    <w:rsid w:val="00A53D1F"/>
    <w:rsid w:val="00A53DB8"/>
    <w:rsid w:val="00A54151"/>
    <w:rsid w:val="00A542C0"/>
    <w:rsid w:val="00A550D7"/>
    <w:rsid w:val="00A55253"/>
    <w:rsid w:val="00A553A8"/>
    <w:rsid w:val="00A556D0"/>
    <w:rsid w:val="00A5638D"/>
    <w:rsid w:val="00A56411"/>
    <w:rsid w:val="00A5662E"/>
    <w:rsid w:val="00A568D6"/>
    <w:rsid w:val="00A5693F"/>
    <w:rsid w:val="00A569E1"/>
    <w:rsid w:val="00A57080"/>
    <w:rsid w:val="00A5708B"/>
    <w:rsid w:val="00A5719C"/>
    <w:rsid w:val="00A5749A"/>
    <w:rsid w:val="00A5750E"/>
    <w:rsid w:val="00A57B00"/>
    <w:rsid w:val="00A57D9E"/>
    <w:rsid w:val="00A57DF7"/>
    <w:rsid w:val="00A60CDA"/>
    <w:rsid w:val="00A60E08"/>
    <w:rsid w:val="00A60FD0"/>
    <w:rsid w:val="00A610E0"/>
    <w:rsid w:val="00A61210"/>
    <w:rsid w:val="00A61509"/>
    <w:rsid w:val="00A61AAF"/>
    <w:rsid w:val="00A62398"/>
    <w:rsid w:val="00A6253D"/>
    <w:rsid w:val="00A62F74"/>
    <w:rsid w:val="00A63111"/>
    <w:rsid w:val="00A639DF"/>
    <w:rsid w:val="00A63D65"/>
    <w:rsid w:val="00A64112"/>
    <w:rsid w:val="00A64ACF"/>
    <w:rsid w:val="00A653FB"/>
    <w:rsid w:val="00A65A85"/>
    <w:rsid w:val="00A674AD"/>
    <w:rsid w:val="00A6763E"/>
    <w:rsid w:val="00A70106"/>
    <w:rsid w:val="00A7032B"/>
    <w:rsid w:val="00A7059C"/>
    <w:rsid w:val="00A70D05"/>
    <w:rsid w:val="00A70E36"/>
    <w:rsid w:val="00A715F7"/>
    <w:rsid w:val="00A71797"/>
    <w:rsid w:val="00A71A16"/>
    <w:rsid w:val="00A71FBA"/>
    <w:rsid w:val="00A722E8"/>
    <w:rsid w:val="00A725C8"/>
    <w:rsid w:val="00A72838"/>
    <w:rsid w:val="00A7283E"/>
    <w:rsid w:val="00A7292A"/>
    <w:rsid w:val="00A72F79"/>
    <w:rsid w:val="00A73042"/>
    <w:rsid w:val="00A7312A"/>
    <w:rsid w:val="00A731EE"/>
    <w:rsid w:val="00A7338F"/>
    <w:rsid w:val="00A733DF"/>
    <w:rsid w:val="00A73A22"/>
    <w:rsid w:val="00A73C1D"/>
    <w:rsid w:val="00A73E60"/>
    <w:rsid w:val="00A73F96"/>
    <w:rsid w:val="00A74207"/>
    <w:rsid w:val="00A74253"/>
    <w:rsid w:val="00A74354"/>
    <w:rsid w:val="00A74C52"/>
    <w:rsid w:val="00A751A2"/>
    <w:rsid w:val="00A752D2"/>
    <w:rsid w:val="00A759E9"/>
    <w:rsid w:val="00A760A2"/>
    <w:rsid w:val="00A7613D"/>
    <w:rsid w:val="00A76194"/>
    <w:rsid w:val="00A76278"/>
    <w:rsid w:val="00A763C9"/>
    <w:rsid w:val="00A7653D"/>
    <w:rsid w:val="00A7671F"/>
    <w:rsid w:val="00A77102"/>
    <w:rsid w:val="00A77A1D"/>
    <w:rsid w:val="00A77B21"/>
    <w:rsid w:val="00A77B97"/>
    <w:rsid w:val="00A77BB8"/>
    <w:rsid w:val="00A77D96"/>
    <w:rsid w:val="00A77E59"/>
    <w:rsid w:val="00A77EDD"/>
    <w:rsid w:val="00A80D39"/>
    <w:rsid w:val="00A80D53"/>
    <w:rsid w:val="00A80E99"/>
    <w:rsid w:val="00A8121F"/>
    <w:rsid w:val="00A815A8"/>
    <w:rsid w:val="00A81725"/>
    <w:rsid w:val="00A81D52"/>
    <w:rsid w:val="00A823A3"/>
    <w:rsid w:val="00A8263A"/>
    <w:rsid w:val="00A82703"/>
    <w:rsid w:val="00A82CF9"/>
    <w:rsid w:val="00A8324B"/>
    <w:rsid w:val="00A83BD8"/>
    <w:rsid w:val="00A84948"/>
    <w:rsid w:val="00A84C91"/>
    <w:rsid w:val="00A84D5E"/>
    <w:rsid w:val="00A85456"/>
    <w:rsid w:val="00A85C49"/>
    <w:rsid w:val="00A85DAB"/>
    <w:rsid w:val="00A85E80"/>
    <w:rsid w:val="00A85E9E"/>
    <w:rsid w:val="00A86189"/>
    <w:rsid w:val="00A86315"/>
    <w:rsid w:val="00A8667F"/>
    <w:rsid w:val="00A8681A"/>
    <w:rsid w:val="00A8684B"/>
    <w:rsid w:val="00A86AEF"/>
    <w:rsid w:val="00A870F9"/>
    <w:rsid w:val="00A871C8"/>
    <w:rsid w:val="00A8723D"/>
    <w:rsid w:val="00A87A8D"/>
    <w:rsid w:val="00A87D42"/>
    <w:rsid w:val="00A87FD7"/>
    <w:rsid w:val="00A9032F"/>
    <w:rsid w:val="00A90373"/>
    <w:rsid w:val="00A9059E"/>
    <w:rsid w:val="00A9077A"/>
    <w:rsid w:val="00A90B1C"/>
    <w:rsid w:val="00A9141D"/>
    <w:rsid w:val="00A91465"/>
    <w:rsid w:val="00A915FE"/>
    <w:rsid w:val="00A917D1"/>
    <w:rsid w:val="00A9240B"/>
    <w:rsid w:val="00A925D7"/>
    <w:rsid w:val="00A9267E"/>
    <w:rsid w:val="00A92E0A"/>
    <w:rsid w:val="00A93233"/>
    <w:rsid w:val="00A932D1"/>
    <w:rsid w:val="00A935E3"/>
    <w:rsid w:val="00A93A76"/>
    <w:rsid w:val="00A93DD6"/>
    <w:rsid w:val="00A946BB"/>
    <w:rsid w:val="00A9497F"/>
    <w:rsid w:val="00A951D4"/>
    <w:rsid w:val="00A953CA"/>
    <w:rsid w:val="00A956E2"/>
    <w:rsid w:val="00A956E3"/>
    <w:rsid w:val="00A959D0"/>
    <w:rsid w:val="00A9632A"/>
    <w:rsid w:val="00A9656B"/>
    <w:rsid w:val="00A966A0"/>
    <w:rsid w:val="00A96928"/>
    <w:rsid w:val="00A9697F"/>
    <w:rsid w:val="00A96E06"/>
    <w:rsid w:val="00A96FF1"/>
    <w:rsid w:val="00A9705F"/>
    <w:rsid w:val="00A976CA"/>
    <w:rsid w:val="00A97753"/>
    <w:rsid w:val="00A979DB"/>
    <w:rsid w:val="00A97EAE"/>
    <w:rsid w:val="00AA0257"/>
    <w:rsid w:val="00AA0919"/>
    <w:rsid w:val="00AA0963"/>
    <w:rsid w:val="00AA0C41"/>
    <w:rsid w:val="00AA120C"/>
    <w:rsid w:val="00AA1578"/>
    <w:rsid w:val="00AA1B62"/>
    <w:rsid w:val="00AA2345"/>
    <w:rsid w:val="00AA2DB3"/>
    <w:rsid w:val="00AA3135"/>
    <w:rsid w:val="00AA3C38"/>
    <w:rsid w:val="00AA4044"/>
    <w:rsid w:val="00AA409B"/>
    <w:rsid w:val="00AA41EF"/>
    <w:rsid w:val="00AA423C"/>
    <w:rsid w:val="00AA423D"/>
    <w:rsid w:val="00AA4294"/>
    <w:rsid w:val="00AA476C"/>
    <w:rsid w:val="00AA477D"/>
    <w:rsid w:val="00AA5270"/>
    <w:rsid w:val="00AA5548"/>
    <w:rsid w:val="00AA5B09"/>
    <w:rsid w:val="00AA5E20"/>
    <w:rsid w:val="00AA5FB8"/>
    <w:rsid w:val="00AA5FD0"/>
    <w:rsid w:val="00AA7221"/>
    <w:rsid w:val="00AA748C"/>
    <w:rsid w:val="00AA7737"/>
    <w:rsid w:val="00AB0105"/>
    <w:rsid w:val="00AB0404"/>
    <w:rsid w:val="00AB04C4"/>
    <w:rsid w:val="00AB0503"/>
    <w:rsid w:val="00AB06AC"/>
    <w:rsid w:val="00AB0A6F"/>
    <w:rsid w:val="00AB0BE7"/>
    <w:rsid w:val="00AB0C10"/>
    <w:rsid w:val="00AB0E8C"/>
    <w:rsid w:val="00AB109C"/>
    <w:rsid w:val="00AB17BD"/>
    <w:rsid w:val="00AB1B99"/>
    <w:rsid w:val="00AB1F64"/>
    <w:rsid w:val="00AB20A7"/>
    <w:rsid w:val="00AB22DB"/>
    <w:rsid w:val="00AB24DA"/>
    <w:rsid w:val="00AB28A8"/>
    <w:rsid w:val="00AB2A78"/>
    <w:rsid w:val="00AB34DD"/>
    <w:rsid w:val="00AB3599"/>
    <w:rsid w:val="00AB36A9"/>
    <w:rsid w:val="00AB379C"/>
    <w:rsid w:val="00AB37F0"/>
    <w:rsid w:val="00AB3C53"/>
    <w:rsid w:val="00AB3F38"/>
    <w:rsid w:val="00AB424F"/>
    <w:rsid w:val="00AB45F5"/>
    <w:rsid w:val="00AB48B7"/>
    <w:rsid w:val="00AB4ECC"/>
    <w:rsid w:val="00AB5128"/>
    <w:rsid w:val="00AB5416"/>
    <w:rsid w:val="00AB5421"/>
    <w:rsid w:val="00AB5D02"/>
    <w:rsid w:val="00AB5D52"/>
    <w:rsid w:val="00AB5D6A"/>
    <w:rsid w:val="00AB603D"/>
    <w:rsid w:val="00AB652C"/>
    <w:rsid w:val="00AB66D2"/>
    <w:rsid w:val="00AB6A5A"/>
    <w:rsid w:val="00AB6C83"/>
    <w:rsid w:val="00AB6DEC"/>
    <w:rsid w:val="00AB6E04"/>
    <w:rsid w:val="00AB7007"/>
    <w:rsid w:val="00AB7A7D"/>
    <w:rsid w:val="00AB7D22"/>
    <w:rsid w:val="00AC01F2"/>
    <w:rsid w:val="00AC0254"/>
    <w:rsid w:val="00AC06F2"/>
    <w:rsid w:val="00AC0865"/>
    <w:rsid w:val="00AC08F0"/>
    <w:rsid w:val="00AC0C9F"/>
    <w:rsid w:val="00AC1435"/>
    <w:rsid w:val="00AC1804"/>
    <w:rsid w:val="00AC1AED"/>
    <w:rsid w:val="00AC1BD6"/>
    <w:rsid w:val="00AC1C32"/>
    <w:rsid w:val="00AC1D59"/>
    <w:rsid w:val="00AC21E7"/>
    <w:rsid w:val="00AC22F4"/>
    <w:rsid w:val="00AC2525"/>
    <w:rsid w:val="00AC286B"/>
    <w:rsid w:val="00AC2944"/>
    <w:rsid w:val="00AC29A9"/>
    <w:rsid w:val="00AC2EF5"/>
    <w:rsid w:val="00AC3537"/>
    <w:rsid w:val="00AC3D19"/>
    <w:rsid w:val="00AC424F"/>
    <w:rsid w:val="00AC44EE"/>
    <w:rsid w:val="00AC4574"/>
    <w:rsid w:val="00AC4735"/>
    <w:rsid w:val="00AC4744"/>
    <w:rsid w:val="00AC482D"/>
    <w:rsid w:val="00AC48B6"/>
    <w:rsid w:val="00AC4ECB"/>
    <w:rsid w:val="00AC52D1"/>
    <w:rsid w:val="00AC55D6"/>
    <w:rsid w:val="00AC580D"/>
    <w:rsid w:val="00AC62C6"/>
    <w:rsid w:val="00AC65C2"/>
    <w:rsid w:val="00AC692F"/>
    <w:rsid w:val="00AC732B"/>
    <w:rsid w:val="00AC7597"/>
    <w:rsid w:val="00AC764B"/>
    <w:rsid w:val="00AC7F82"/>
    <w:rsid w:val="00AD0810"/>
    <w:rsid w:val="00AD0873"/>
    <w:rsid w:val="00AD12AD"/>
    <w:rsid w:val="00AD151E"/>
    <w:rsid w:val="00AD15D0"/>
    <w:rsid w:val="00AD1D67"/>
    <w:rsid w:val="00AD1EB7"/>
    <w:rsid w:val="00AD2278"/>
    <w:rsid w:val="00AD2647"/>
    <w:rsid w:val="00AD277A"/>
    <w:rsid w:val="00AD29B4"/>
    <w:rsid w:val="00AD3041"/>
    <w:rsid w:val="00AD3823"/>
    <w:rsid w:val="00AD3857"/>
    <w:rsid w:val="00AD39ED"/>
    <w:rsid w:val="00AD3A0D"/>
    <w:rsid w:val="00AD3AAB"/>
    <w:rsid w:val="00AD40C4"/>
    <w:rsid w:val="00AD4F4B"/>
    <w:rsid w:val="00AD5910"/>
    <w:rsid w:val="00AD5D1D"/>
    <w:rsid w:val="00AD60DC"/>
    <w:rsid w:val="00AD673C"/>
    <w:rsid w:val="00AD6882"/>
    <w:rsid w:val="00AD6D40"/>
    <w:rsid w:val="00AD703F"/>
    <w:rsid w:val="00AD7341"/>
    <w:rsid w:val="00AD7425"/>
    <w:rsid w:val="00AD778C"/>
    <w:rsid w:val="00AD7971"/>
    <w:rsid w:val="00AD7BAA"/>
    <w:rsid w:val="00AD7BDF"/>
    <w:rsid w:val="00AD7D42"/>
    <w:rsid w:val="00AE02EE"/>
    <w:rsid w:val="00AE05ED"/>
    <w:rsid w:val="00AE0B00"/>
    <w:rsid w:val="00AE0BDF"/>
    <w:rsid w:val="00AE11D9"/>
    <w:rsid w:val="00AE1256"/>
    <w:rsid w:val="00AE176D"/>
    <w:rsid w:val="00AE1E2E"/>
    <w:rsid w:val="00AE2C2C"/>
    <w:rsid w:val="00AE3008"/>
    <w:rsid w:val="00AE3122"/>
    <w:rsid w:val="00AE3298"/>
    <w:rsid w:val="00AE337D"/>
    <w:rsid w:val="00AE33FC"/>
    <w:rsid w:val="00AE34C1"/>
    <w:rsid w:val="00AE3A61"/>
    <w:rsid w:val="00AE401A"/>
    <w:rsid w:val="00AE40F0"/>
    <w:rsid w:val="00AE428E"/>
    <w:rsid w:val="00AE4646"/>
    <w:rsid w:val="00AE476A"/>
    <w:rsid w:val="00AE531B"/>
    <w:rsid w:val="00AE566A"/>
    <w:rsid w:val="00AE5B1B"/>
    <w:rsid w:val="00AE5E85"/>
    <w:rsid w:val="00AE5F34"/>
    <w:rsid w:val="00AE60F1"/>
    <w:rsid w:val="00AE63E5"/>
    <w:rsid w:val="00AE6705"/>
    <w:rsid w:val="00AE707B"/>
    <w:rsid w:val="00AE7371"/>
    <w:rsid w:val="00AE7A5C"/>
    <w:rsid w:val="00AE7B45"/>
    <w:rsid w:val="00AF0204"/>
    <w:rsid w:val="00AF0BDD"/>
    <w:rsid w:val="00AF0FD4"/>
    <w:rsid w:val="00AF10F1"/>
    <w:rsid w:val="00AF116E"/>
    <w:rsid w:val="00AF125B"/>
    <w:rsid w:val="00AF1515"/>
    <w:rsid w:val="00AF16A2"/>
    <w:rsid w:val="00AF1B6D"/>
    <w:rsid w:val="00AF1E9E"/>
    <w:rsid w:val="00AF1EB0"/>
    <w:rsid w:val="00AF1FF7"/>
    <w:rsid w:val="00AF3CD3"/>
    <w:rsid w:val="00AF43A3"/>
    <w:rsid w:val="00AF4617"/>
    <w:rsid w:val="00AF576C"/>
    <w:rsid w:val="00AF59C2"/>
    <w:rsid w:val="00AF6270"/>
    <w:rsid w:val="00AF6684"/>
    <w:rsid w:val="00AF699C"/>
    <w:rsid w:val="00AF6A39"/>
    <w:rsid w:val="00AF6B1D"/>
    <w:rsid w:val="00AF7182"/>
    <w:rsid w:val="00AF7436"/>
    <w:rsid w:val="00AF778F"/>
    <w:rsid w:val="00AF7DA1"/>
    <w:rsid w:val="00B0008F"/>
    <w:rsid w:val="00B0055E"/>
    <w:rsid w:val="00B0089B"/>
    <w:rsid w:val="00B00C18"/>
    <w:rsid w:val="00B01285"/>
    <w:rsid w:val="00B012EE"/>
    <w:rsid w:val="00B016DD"/>
    <w:rsid w:val="00B01FDA"/>
    <w:rsid w:val="00B02177"/>
    <w:rsid w:val="00B023FD"/>
    <w:rsid w:val="00B02893"/>
    <w:rsid w:val="00B02956"/>
    <w:rsid w:val="00B02ABF"/>
    <w:rsid w:val="00B02FD4"/>
    <w:rsid w:val="00B03079"/>
    <w:rsid w:val="00B04127"/>
    <w:rsid w:val="00B041A3"/>
    <w:rsid w:val="00B04314"/>
    <w:rsid w:val="00B04519"/>
    <w:rsid w:val="00B0457C"/>
    <w:rsid w:val="00B048A2"/>
    <w:rsid w:val="00B04D28"/>
    <w:rsid w:val="00B05DEB"/>
    <w:rsid w:val="00B06953"/>
    <w:rsid w:val="00B06CB0"/>
    <w:rsid w:val="00B06DCC"/>
    <w:rsid w:val="00B06FBF"/>
    <w:rsid w:val="00B07DB2"/>
    <w:rsid w:val="00B101EE"/>
    <w:rsid w:val="00B10825"/>
    <w:rsid w:val="00B10846"/>
    <w:rsid w:val="00B10B54"/>
    <w:rsid w:val="00B10F12"/>
    <w:rsid w:val="00B11661"/>
    <w:rsid w:val="00B11763"/>
    <w:rsid w:val="00B118BE"/>
    <w:rsid w:val="00B11C6B"/>
    <w:rsid w:val="00B11F47"/>
    <w:rsid w:val="00B11F4A"/>
    <w:rsid w:val="00B120C7"/>
    <w:rsid w:val="00B121C5"/>
    <w:rsid w:val="00B12BAB"/>
    <w:rsid w:val="00B13412"/>
    <w:rsid w:val="00B13811"/>
    <w:rsid w:val="00B1394C"/>
    <w:rsid w:val="00B13E04"/>
    <w:rsid w:val="00B13FF6"/>
    <w:rsid w:val="00B1443B"/>
    <w:rsid w:val="00B147CF"/>
    <w:rsid w:val="00B148E5"/>
    <w:rsid w:val="00B14BF1"/>
    <w:rsid w:val="00B14C1D"/>
    <w:rsid w:val="00B1506E"/>
    <w:rsid w:val="00B1565C"/>
    <w:rsid w:val="00B16BE6"/>
    <w:rsid w:val="00B17144"/>
    <w:rsid w:val="00B17EA2"/>
    <w:rsid w:val="00B17F0D"/>
    <w:rsid w:val="00B20E21"/>
    <w:rsid w:val="00B20FE3"/>
    <w:rsid w:val="00B21237"/>
    <w:rsid w:val="00B21CC2"/>
    <w:rsid w:val="00B21D0E"/>
    <w:rsid w:val="00B21E36"/>
    <w:rsid w:val="00B21F4F"/>
    <w:rsid w:val="00B22053"/>
    <w:rsid w:val="00B22851"/>
    <w:rsid w:val="00B2300E"/>
    <w:rsid w:val="00B23A94"/>
    <w:rsid w:val="00B23ABE"/>
    <w:rsid w:val="00B23BD1"/>
    <w:rsid w:val="00B24015"/>
    <w:rsid w:val="00B24464"/>
    <w:rsid w:val="00B24C1B"/>
    <w:rsid w:val="00B251DA"/>
    <w:rsid w:val="00B25884"/>
    <w:rsid w:val="00B2588E"/>
    <w:rsid w:val="00B25F9A"/>
    <w:rsid w:val="00B26884"/>
    <w:rsid w:val="00B2692A"/>
    <w:rsid w:val="00B273D7"/>
    <w:rsid w:val="00B3001B"/>
    <w:rsid w:val="00B304F1"/>
    <w:rsid w:val="00B30552"/>
    <w:rsid w:val="00B309A9"/>
    <w:rsid w:val="00B3125A"/>
    <w:rsid w:val="00B312A9"/>
    <w:rsid w:val="00B31350"/>
    <w:rsid w:val="00B31D47"/>
    <w:rsid w:val="00B32203"/>
    <w:rsid w:val="00B32495"/>
    <w:rsid w:val="00B325BB"/>
    <w:rsid w:val="00B32AF6"/>
    <w:rsid w:val="00B32D1E"/>
    <w:rsid w:val="00B32D6D"/>
    <w:rsid w:val="00B32F49"/>
    <w:rsid w:val="00B33263"/>
    <w:rsid w:val="00B33446"/>
    <w:rsid w:val="00B3361C"/>
    <w:rsid w:val="00B33791"/>
    <w:rsid w:val="00B3399A"/>
    <w:rsid w:val="00B33ADA"/>
    <w:rsid w:val="00B33E0A"/>
    <w:rsid w:val="00B34EB0"/>
    <w:rsid w:val="00B34FDB"/>
    <w:rsid w:val="00B35795"/>
    <w:rsid w:val="00B35855"/>
    <w:rsid w:val="00B35C7F"/>
    <w:rsid w:val="00B360EA"/>
    <w:rsid w:val="00B3647D"/>
    <w:rsid w:val="00B36731"/>
    <w:rsid w:val="00B36852"/>
    <w:rsid w:val="00B36A85"/>
    <w:rsid w:val="00B36B05"/>
    <w:rsid w:val="00B36D11"/>
    <w:rsid w:val="00B36DDA"/>
    <w:rsid w:val="00B36E77"/>
    <w:rsid w:val="00B37368"/>
    <w:rsid w:val="00B3740E"/>
    <w:rsid w:val="00B374FF"/>
    <w:rsid w:val="00B3771D"/>
    <w:rsid w:val="00B37A8A"/>
    <w:rsid w:val="00B403F8"/>
    <w:rsid w:val="00B406A8"/>
    <w:rsid w:val="00B408F1"/>
    <w:rsid w:val="00B40C84"/>
    <w:rsid w:val="00B40D37"/>
    <w:rsid w:val="00B4113C"/>
    <w:rsid w:val="00B41214"/>
    <w:rsid w:val="00B41356"/>
    <w:rsid w:val="00B41489"/>
    <w:rsid w:val="00B41769"/>
    <w:rsid w:val="00B417D2"/>
    <w:rsid w:val="00B420F6"/>
    <w:rsid w:val="00B42149"/>
    <w:rsid w:val="00B42592"/>
    <w:rsid w:val="00B426EA"/>
    <w:rsid w:val="00B4270E"/>
    <w:rsid w:val="00B42731"/>
    <w:rsid w:val="00B42CEC"/>
    <w:rsid w:val="00B43138"/>
    <w:rsid w:val="00B4335E"/>
    <w:rsid w:val="00B4388C"/>
    <w:rsid w:val="00B443C3"/>
    <w:rsid w:val="00B444B0"/>
    <w:rsid w:val="00B4467E"/>
    <w:rsid w:val="00B44AA6"/>
    <w:rsid w:val="00B44AC0"/>
    <w:rsid w:val="00B44D13"/>
    <w:rsid w:val="00B44DB0"/>
    <w:rsid w:val="00B44EE0"/>
    <w:rsid w:val="00B4532A"/>
    <w:rsid w:val="00B45A44"/>
    <w:rsid w:val="00B45BD5"/>
    <w:rsid w:val="00B45DB4"/>
    <w:rsid w:val="00B46442"/>
    <w:rsid w:val="00B46BAB"/>
    <w:rsid w:val="00B46CA5"/>
    <w:rsid w:val="00B473CF"/>
    <w:rsid w:val="00B47680"/>
    <w:rsid w:val="00B47772"/>
    <w:rsid w:val="00B47867"/>
    <w:rsid w:val="00B47BB8"/>
    <w:rsid w:val="00B47EEA"/>
    <w:rsid w:val="00B47F67"/>
    <w:rsid w:val="00B5036E"/>
    <w:rsid w:val="00B50660"/>
    <w:rsid w:val="00B5081B"/>
    <w:rsid w:val="00B5091C"/>
    <w:rsid w:val="00B50B9E"/>
    <w:rsid w:val="00B50F67"/>
    <w:rsid w:val="00B51ECC"/>
    <w:rsid w:val="00B520F4"/>
    <w:rsid w:val="00B5228A"/>
    <w:rsid w:val="00B530B8"/>
    <w:rsid w:val="00B535B4"/>
    <w:rsid w:val="00B53806"/>
    <w:rsid w:val="00B53E22"/>
    <w:rsid w:val="00B53ED3"/>
    <w:rsid w:val="00B540F2"/>
    <w:rsid w:val="00B5417A"/>
    <w:rsid w:val="00B5418E"/>
    <w:rsid w:val="00B54307"/>
    <w:rsid w:val="00B54325"/>
    <w:rsid w:val="00B54593"/>
    <w:rsid w:val="00B54902"/>
    <w:rsid w:val="00B54AB8"/>
    <w:rsid w:val="00B55343"/>
    <w:rsid w:val="00B55357"/>
    <w:rsid w:val="00B5567A"/>
    <w:rsid w:val="00B55E53"/>
    <w:rsid w:val="00B55E81"/>
    <w:rsid w:val="00B55F93"/>
    <w:rsid w:val="00B56021"/>
    <w:rsid w:val="00B56408"/>
    <w:rsid w:val="00B56A6E"/>
    <w:rsid w:val="00B56CB4"/>
    <w:rsid w:val="00B56F98"/>
    <w:rsid w:val="00B572EA"/>
    <w:rsid w:val="00B60072"/>
    <w:rsid w:val="00B605E7"/>
    <w:rsid w:val="00B6084E"/>
    <w:rsid w:val="00B60D17"/>
    <w:rsid w:val="00B61758"/>
    <w:rsid w:val="00B617F0"/>
    <w:rsid w:val="00B618D5"/>
    <w:rsid w:val="00B6245D"/>
    <w:rsid w:val="00B625F6"/>
    <w:rsid w:val="00B62710"/>
    <w:rsid w:val="00B627BC"/>
    <w:rsid w:val="00B629CE"/>
    <w:rsid w:val="00B62A09"/>
    <w:rsid w:val="00B62D3F"/>
    <w:rsid w:val="00B6311C"/>
    <w:rsid w:val="00B63189"/>
    <w:rsid w:val="00B635F2"/>
    <w:rsid w:val="00B63739"/>
    <w:rsid w:val="00B63C49"/>
    <w:rsid w:val="00B63CD5"/>
    <w:rsid w:val="00B63F47"/>
    <w:rsid w:val="00B643BB"/>
    <w:rsid w:val="00B64493"/>
    <w:rsid w:val="00B646BD"/>
    <w:rsid w:val="00B647B2"/>
    <w:rsid w:val="00B649E9"/>
    <w:rsid w:val="00B652B4"/>
    <w:rsid w:val="00B659B1"/>
    <w:rsid w:val="00B65AD6"/>
    <w:rsid w:val="00B65F52"/>
    <w:rsid w:val="00B6648A"/>
    <w:rsid w:val="00B664B6"/>
    <w:rsid w:val="00B66887"/>
    <w:rsid w:val="00B6741F"/>
    <w:rsid w:val="00B6762F"/>
    <w:rsid w:val="00B67931"/>
    <w:rsid w:val="00B67D3C"/>
    <w:rsid w:val="00B67E6E"/>
    <w:rsid w:val="00B70102"/>
    <w:rsid w:val="00B7050E"/>
    <w:rsid w:val="00B70519"/>
    <w:rsid w:val="00B70563"/>
    <w:rsid w:val="00B70C98"/>
    <w:rsid w:val="00B70C9A"/>
    <w:rsid w:val="00B7113D"/>
    <w:rsid w:val="00B7115D"/>
    <w:rsid w:val="00B7194A"/>
    <w:rsid w:val="00B71C4D"/>
    <w:rsid w:val="00B720C4"/>
    <w:rsid w:val="00B720D2"/>
    <w:rsid w:val="00B72198"/>
    <w:rsid w:val="00B72E39"/>
    <w:rsid w:val="00B73044"/>
    <w:rsid w:val="00B7308F"/>
    <w:rsid w:val="00B73B48"/>
    <w:rsid w:val="00B73E85"/>
    <w:rsid w:val="00B745EA"/>
    <w:rsid w:val="00B7487E"/>
    <w:rsid w:val="00B74D7F"/>
    <w:rsid w:val="00B74FF9"/>
    <w:rsid w:val="00B750D5"/>
    <w:rsid w:val="00B75469"/>
    <w:rsid w:val="00B755B4"/>
    <w:rsid w:val="00B7622B"/>
    <w:rsid w:val="00B763E4"/>
    <w:rsid w:val="00B7656F"/>
    <w:rsid w:val="00B76908"/>
    <w:rsid w:val="00B76A09"/>
    <w:rsid w:val="00B76E3E"/>
    <w:rsid w:val="00B776E7"/>
    <w:rsid w:val="00B779B4"/>
    <w:rsid w:val="00B8056B"/>
    <w:rsid w:val="00B8058E"/>
    <w:rsid w:val="00B81012"/>
    <w:rsid w:val="00B811FD"/>
    <w:rsid w:val="00B8193C"/>
    <w:rsid w:val="00B81B13"/>
    <w:rsid w:val="00B81B43"/>
    <w:rsid w:val="00B81E80"/>
    <w:rsid w:val="00B82543"/>
    <w:rsid w:val="00B82CE9"/>
    <w:rsid w:val="00B82E80"/>
    <w:rsid w:val="00B8319D"/>
    <w:rsid w:val="00B83218"/>
    <w:rsid w:val="00B834A0"/>
    <w:rsid w:val="00B8386D"/>
    <w:rsid w:val="00B83A24"/>
    <w:rsid w:val="00B83AE9"/>
    <w:rsid w:val="00B83B02"/>
    <w:rsid w:val="00B84344"/>
    <w:rsid w:val="00B84530"/>
    <w:rsid w:val="00B8471F"/>
    <w:rsid w:val="00B8472E"/>
    <w:rsid w:val="00B8495C"/>
    <w:rsid w:val="00B84969"/>
    <w:rsid w:val="00B84BB2"/>
    <w:rsid w:val="00B84DDA"/>
    <w:rsid w:val="00B85345"/>
    <w:rsid w:val="00B8535C"/>
    <w:rsid w:val="00B85605"/>
    <w:rsid w:val="00B8577F"/>
    <w:rsid w:val="00B85E17"/>
    <w:rsid w:val="00B86A46"/>
    <w:rsid w:val="00B86C47"/>
    <w:rsid w:val="00B86EB6"/>
    <w:rsid w:val="00B87028"/>
    <w:rsid w:val="00B8743D"/>
    <w:rsid w:val="00B8749E"/>
    <w:rsid w:val="00B877D5"/>
    <w:rsid w:val="00B87EE9"/>
    <w:rsid w:val="00B87FB4"/>
    <w:rsid w:val="00B90039"/>
    <w:rsid w:val="00B900CA"/>
    <w:rsid w:val="00B9011D"/>
    <w:rsid w:val="00B901DA"/>
    <w:rsid w:val="00B905F5"/>
    <w:rsid w:val="00B9089C"/>
    <w:rsid w:val="00B90958"/>
    <w:rsid w:val="00B90D62"/>
    <w:rsid w:val="00B90EF2"/>
    <w:rsid w:val="00B91412"/>
    <w:rsid w:val="00B914EC"/>
    <w:rsid w:val="00B914FA"/>
    <w:rsid w:val="00B91CA4"/>
    <w:rsid w:val="00B91D73"/>
    <w:rsid w:val="00B91E1C"/>
    <w:rsid w:val="00B91E61"/>
    <w:rsid w:val="00B91EA6"/>
    <w:rsid w:val="00B91F97"/>
    <w:rsid w:val="00B923CD"/>
    <w:rsid w:val="00B926CA"/>
    <w:rsid w:val="00B9296D"/>
    <w:rsid w:val="00B92DC7"/>
    <w:rsid w:val="00B930BF"/>
    <w:rsid w:val="00B933A9"/>
    <w:rsid w:val="00B933AB"/>
    <w:rsid w:val="00B93A67"/>
    <w:rsid w:val="00B93CE2"/>
    <w:rsid w:val="00B93F15"/>
    <w:rsid w:val="00B9422B"/>
    <w:rsid w:val="00B94D1F"/>
    <w:rsid w:val="00B94D54"/>
    <w:rsid w:val="00B94E62"/>
    <w:rsid w:val="00B96117"/>
    <w:rsid w:val="00B96486"/>
    <w:rsid w:val="00B9653B"/>
    <w:rsid w:val="00B966A1"/>
    <w:rsid w:val="00B96A39"/>
    <w:rsid w:val="00B96D11"/>
    <w:rsid w:val="00B9754D"/>
    <w:rsid w:val="00B97586"/>
    <w:rsid w:val="00B978BF"/>
    <w:rsid w:val="00B97A91"/>
    <w:rsid w:val="00B97C89"/>
    <w:rsid w:val="00BA02E3"/>
    <w:rsid w:val="00BA053D"/>
    <w:rsid w:val="00BA062B"/>
    <w:rsid w:val="00BA0653"/>
    <w:rsid w:val="00BA103F"/>
    <w:rsid w:val="00BA1638"/>
    <w:rsid w:val="00BA1647"/>
    <w:rsid w:val="00BA1B55"/>
    <w:rsid w:val="00BA1DD8"/>
    <w:rsid w:val="00BA2264"/>
    <w:rsid w:val="00BA280B"/>
    <w:rsid w:val="00BA2BAC"/>
    <w:rsid w:val="00BA2D60"/>
    <w:rsid w:val="00BA2EF0"/>
    <w:rsid w:val="00BA2F1C"/>
    <w:rsid w:val="00BA32AB"/>
    <w:rsid w:val="00BA365A"/>
    <w:rsid w:val="00BA36A3"/>
    <w:rsid w:val="00BA386A"/>
    <w:rsid w:val="00BA3929"/>
    <w:rsid w:val="00BA41C7"/>
    <w:rsid w:val="00BA41E0"/>
    <w:rsid w:val="00BA4539"/>
    <w:rsid w:val="00BA4766"/>
    <w:rsid w:val="00BA47F5"/>
    <w:rsid w:val="00BA4824"/>
    <w:rsid w:val="00BA4A29"/>
    <w:rsid w:val="00BA4D8B"/>
    <w:rsid w:val="00BA4F24"/>
    <w:rsid w:val="00BA503A"/>
    <w:rsid w:val="00BA54DC"/>
    <w:rsid w:val="00BA554A"/>
    <w:rsid w:val="00BA5CF5"/>
    <w:rsid w:val="00BA5FE0"/>
    <w:rsid w:val="00BA61CA"/>
    <w:rsid w:val="00BA65A5"/>
    <w:rsid w:val="00BA6D00"/>
    <w:rsid w:val="00BA750E"/>
    <w:rsid w:val="00BA7934"/>
    <w:rsid w:val="00BA7B7D"/>
    <w:rsid w:val="00BA7BCE"/>
    <w:rsid w:val="00BA7F98"/>
    <w:rsid w:val="00BB0518"/>
    <w:rsid w:val="00BB0678"/>
    <w:rsid w:val="00BB0B80"/>
    <w:rsid w:val="00BB0CD5"/>
    <w:rsid w:val="00BB0E5B"/>
    <w:rsid w:val="00BB1545"/>
    <w:rsid w:val="00BB1FB2"/>
    <w:rsid w:val="00BB273F"/>
    <w:rsid w:val="00BB2823"/>
    <w:rsid w:val="00BB2DD6"/>
    <w:rsid w:val="00BB2F50"/>
    <w:rsid w:val="00BB3382"/>
    <w:rsid w:val="00BB3474"/>
    <w:rsid w:val="00BB3757"/>
    <w:rsid w:val="00BB3C31"/>
    <w:rsid w:val="00BB3F8B"/>
    <w:rsid w:val="00BB4244"/>
    <w:rsid w:val="00BB4527"/>
    <w:rsid w:val="00BB4F0A"/>
    <w:rsid w:val="00BB516B"/>
    <w:rsid w:val="00BB5DC2"/>
    <w:rsid w:val="00BB5FA1"/>
    <w:rsid w:val="00BB61A6"/>
    <w:rsid w:val="00BB6700"/>
    <w:rsid w:val="00BB6887"/>
    <w:rsid w:val="00BB68A8"/>
    <w:rsid w:val="00BB6D07"/>
    <w:rsid w:val="00BB6F32"/>
    <w:rsid w:val="00BB7153"/>
    <w:rsid w:val="00BB75E2"/>
    <w:rsid w:val="00BB7A93"/>
    <w:rsid w:val="00BB7D62"/>
    <w:rsid w:val="00BC0FB8"/>
    <w:rsid w:val="00BC15C5"/>
    <w:rsid w:val="00BC18D4"/>
    <w:rsid w:val="00BC1974"/>
    <w:rsid w:val="00BC1EA5"/>
    <w:rsid w:val="00BC1EE2"/>
    <w:rsid w:val="00BC1F1F"/>
    <w:rsid w:val="00BC1F7C"/>
    <w:rsid w:val="00BC217E"/>
    <w:rsid w:val="00BC235E"/>
    <w:rsid w:val="00BC2494"/>
    <w:rsid w:val="00BC2D79"/>
    <w:rsid w:val="00BC3619"/>
    <w:rsid w:val="00BC3B0F"/>
    <w:rsid w:val="00BC407A"/>
    <w:rsid w:val="00BC496B"/>
    <w:rsid w:val="00BC4AD9"/>
    <w:rsid w:val="00BC4C40"/>
    <w:rsid w:val="00BC5091"/>
    <w:rsid w:val="00BC537B"/>
    <w:rsid w:val="00BC5DFF"/>
    <w:rsid w:val="00BC5E60"/>
    <w:rsid w:val="00BC5E6C"/>
    <w:rsid w:val="00BC631E"/>
    <w:rsid w:val="00BC649E"/>
    <w:rsid w:val="00BC65D4"/>
    <w:rsid w:val="00BC676C"/>
    <w:rsid w:val="00BC6C04"/>
    <w:rsid w:val="00BC6CC9"/>
    <w:rsid w:val="00BC7412"/>
    <w:rsid w:val="00BC7483"/>
    <w:rsid w:val="00BC769D"/>
    <w:rsid w:val="00BC7F41"/>
    <w:rsid w:val="00BD0018"/>
    <w:rsid w:val="00BD03C5"/>
    <w:rsid w:val="00BD0766"/>
    <w:rsid w:val="00BD0992"/>
    <w:rsid w:val="00BD140A"/>
    <w:rsid w:val="00BD1E33"/>
    <w:rsid w:val="00BD2103"/>
    <w:rsid w:val="00BD216C"/>
    <w:rsid w:val="00BD2354"/>
    <w:rsid w:val="00BD2C98"/>
    <w:rsid w:val="00BD35E1"/>
    <w:rsid w:val="00BD3892"/>
    <w:rsid w:val="00BD3A8D"/>
    <w:rsid w:val="00BD3E70"/>
    <w:rsid w:val="00BD42FF"/>
    <w:rsid w:val="00BD4536"/>
    <w:rsid w:val="00BD4742"/>
    <w:rsid w:val="00BD4902"/>
    <w:rsid w:val="00BD4AF4"/>
    <w:rsid w:val="00BD5B5E"/>
    <w:rsid w:val="00BD618A"/>
    <w:rsid w:val="00BD61FF"/>
    <w:rsid w:val="00BD6457"/>
    <w:rsid w:val="00BD674E"/>
    <w:rsid w:val="00BD678F"/>
    <w:rsid w:val="00BD6927"/>
    <w:rsid w:val="00BD6C5F"/>
    <w:rsid w:val="00BD6E81"/>
    <w:rsid w:val="00BD705D"/>
    <w:rsid w:val="00BD70C5"/>
    <w:rsid w:val="00BD70E5"/>
    <w:rsid w:val="00BD73DE"/>
    <w:rsid w:val="00BD74AA"/>
    <w:rsid w:val="00BD7B58"/>
    <w:rsid w:val="00BD7BF2"/>
    <w:rsid w:val="00BD7E28"/>
    <w:rsid w:val="00BD7E6F"/>
    <w:rsid w:val="00BE04CB"/>
    <w:rsid w:val="00BE15B2"/>
    <w:rsid w:val="00BE17B3"/>
    <w:rsid w:val="00BE1DC6"/>
    <w:rsid w:val="00BE1E24"/>
    <w:rsid w:val="00BE2181"/>
    <w:rsid w:val="00BE22A8"/>
    <w:rsid w:val="00BE2C7A"/>
    <w:rsid w:val="00BE31E9"/>
    <w:rsid w:val="00BE3574"/>
    <w:rsid w:val="00BE35B8"/>
    <w:rsid w:val="00BE388E"/>
    <w:rsid w:val="00BE3CAB"/>
    <w:rsid w:val="00BE3D85"/>
    <w:rsid w:val="00BE4032"/>
    <w:rsid w:val="00BE4034"/>
    <w:rsid w:val="00BE4618"/>
    <w:rsid w:val="00BE4891"/>
    <w:rsid w:val="00BE4F62"/>
    <w:rsid w:val="00BE5283"/>
    <w:rsid w:val="00BE561C"/>
    <w:rsid w:val="00BE5BCB"/>
    <w:rsid w:val="00BE5CA1"/>
    <w:rsid w:val="00BE602B"/>
    <w:rsid w:val="00BE67B8"/>
    <w:rsid w:val="00BE67EE"/>
    <w:rsid w:val="00BE68A5"/>
    <w:rsid w:val="00BE6CB4"/>
    <w:rsid w:val="00BE6E0B"/>
    <w:rsid w:val="00BE73D1"/>
    <w:rsid w:val="00BE78BC"/>
    <w:rsid w:val="00BF03F2"/>
    <w:rsid w:val="00BF04AB"/>
    <w:rsid w:val="00BF05A3"/>
    <w:rsid w:val="00BF0FEA"/>
    <w:rsid w:val="00BF11C5"/>
    <w:rsid w:val="00BF1357"/>
    <w:rsid w:val="00BF164B"/>
    <w:rsid w:val="00BF1992"/>
    <w:rsid w:val="00BF1B23"/>
    <w:rsid w:val="00BF239B"/>
    <w:rsid w:val="00BF267F"/>
    <w:rsid w:val="00BF2D0D"/>
    <w:rsid w:val="00BF2F8B"/>
    <w:rsid w:val="00BF3206"/>
    <w:rsid w:val="00BF3605"/>
    <w:rsid w:val="00BF3FB2"/>
    <w:rsid w:val="00BF47BA"/>
    <w:rsid w:val="00BF47CE"/>
    <w:rsid w:val="00BF4B2E"/>
    <w:rsid w:val="00BF4DD0"/>
    <w:rsid w:val="00BF5676"/>
    <w:rsid w:val="00BF5DF3"/>
    <w:rsid w:val="00BF6055"/>
    <w:rsid w:val="00BF6328"/>
    <w:rsid w:val="00BF635E"/>
    <w:rsid w:val="00BF6451"/>
    <w:rsid w:val="00BF688B"/>
    <w:rsid w:val="00BF6E38"/>
    <w:rsid w:val="00BF6E82"/>
    <w:rsid w:val="00BF6FC7"/>
    <w:rsid w:val="00BF70E6"/>
    <w:rsid w:val="00BF7A50"/>
    <w:rsid w:val="00C00306"/>
    <w:rsid w:val="00C00469"/>
    <w:rsid w:val="00C008F2"/>
    <w:rsid w:val="00C00BE3"/>
    <w:rsid w:val="00C015CD"/>
    <w:rsid w:val="00C01AB3"/>
    <w:rsid w:val="00C01CBA"/>
    <w:rsid w:val="00C026C3"/>
    <w:rsid w:val="00C02C41"/>
    <w:rsid w:val="00C02E7D"/>
    <w:rsid w:val="00C0314B"/>
    <w:rsid w:val="00C033AE"/>
    <w:rsid w:val="00C0383E"/>
    <w:rsid w:val="00C03D09"/>
    <w:rsid w:val="00C03EF2"/>
    <w:rsid w:val="00C04613"/>
    <w:rsid w:val="00C04FA3"/>
    <w:rsid w:val="00C05725"/>
    <w:rsid w:val="00C05CD7"/>
    <w:rsid w:val="00C05DCF"/>
    <w:rsid w:val="00C05EA1"/>
    <w:rsid w:val="00C063D6"/>
    <w:rsid w:val="00C06AF9"/>
    <w:rsid w:val="00C07114"/>
    <w:rsid w:val="00C077D0"/>
    <w:rsid w:val="00C078E8"/>
    <w:rsid w:val="00C07923"/>
    <w:rsid w:val="00C07F48"/>
    <w:rsid w:val="00C100C3"/>
    <w:rsid w:val="00C106B8"/>
    <w:rsid w:val="00C106F2"/>
    <w:rsid w:val="00C11059"/>
    <w:rsid w:val="00C1111E"/>
    <w:rsid w:val="00C114D7"/>
    <w:rsid w:val="00C117A0"/>
    <w:rsid w:val="00C11DF8"/>
    <w:rsid w:val="00C11EDD"/>
    <w:rsid w:val="00C121DD"/>
    <w:rsid w:val="00C125BC"/>
    <w:rsid w:val="00C12984"/>
    <w:rsid w:val="00C12F50"/>
    <w:rsid w:val="00C13F11"/>
    <w:rsid w:val="00C141C1"/>
    <w:rsid w:val="00C144F1"/>
    <w:rsid w:val="00C14C35"/>
    <w:rsid w:val="00C14E9A"/>
    <w:rsid w:val="00C1541C"/>
    <w:rsid w:val="00C15869"/>
    <w:rsid w:val="00C15AD4"/>
    <w:rsid w:val="00C15B09"/>
    <w:rsid w:val="00C15F32"/>
    <w:rsid w:val="00C1681F"/>
    <w:rsid w:val="00C16C2C"/>
    <w:rsid w:val="00C177EA"/>
    <w:rsid w:val="00C17D27"/>
    <w:rsid w:val="00C2037D"/>
    <w:rsid w:val="00C206C5"/>
    <w:rsid w:val="00C20FC8"/>
    <w:rsid w:val="00C21507"/>
    <w:rsid w:val="00C215CC"/>
    <w:rsid w:val="00C22203"/>
    <w:rsid w:val="00C2226A"/>
    <w:rsid w:val="00C22338"/>
    <w:rsid w:val="00C224B3"/>
    <w:rsid w:val="00C23822"/>
    <w:rsid w:val="00C23B1F"/>
    <w:rsid w:val="00C24788"/>
    <w:rsid w:val="00C248AB"/>
    <w:rsid w:val="00C24A30"/>
    <w:rsid w:val="00C24A47"/>
    <w:rsid w:val="00C24AD0"/>
    <w:rsid w:val="00C24BCF"/>
    <w:rsid w:val="00C24C25"/>
    <w:rsid w:val="00C2532B"/>
    <w:rsid w:val="00C253A8"/>
    <w:rsid w:val="00C255F9"/>
    <w:rsid w:val="00C258AB"/>
    <w:rsid w:val="00C2628A"/>
    <w:rsid w:val="00C264F9"/>
    <w:rsid w:val="00C268F9"/>
    <w:rsid w:val="00C26B11"/>
    <w:rsid w:val="00C26E99"/>
    <w:rsid w:val="00C26F3A"/>
    <w:rsid w:val="00C271C4"/>
    <w:rsid w:val="00C272DD"/>
    <w:rsid w:val="00C27C2F"/>
    <w:rsid w:val="00C27C81"/>
    <w:rsid w:val="00C27F61"/>
    <w:rsid w:val="00C307A6"/>
    <w:rsid w:val="00C30E02"/>
    <w:rsid w:val="00C30F5E"/>
    <w:rsid w:val="00C3111B"/>
    <w:rsid w:val="00C3147B"/>
    <w:rsid w:val="00C3149B"/>
    <w:rsid w:val="00C3240B"/>
    <w:rsid w:val="00C325E4"/>
    <w:rsid w:val="00C32ACF"/>
    <w:rsid w:val="00C32D02"/>
    <w:rsid w:val="00C33271"/>
    <w:rsid w:val="00C33329"/>
    <w:rsid w:val="00C33416"/>
    <w:rsid w:val="00C33899"/>
    <w:rsid w:val="00C339CA"/>
    <w:rsid w:val="00C33D69"/>
    <w:rsid w:val="00C3471D"/>
    <w:rsid w:val="00C349EE"/>
    <w:rsid w:val="00C34ACE"/>
    <w:rsid w:val="00C35743"/>
    <w:rsid w:val="00C3581C"/>
    <w:rsid w:val="00C35BE1"/>
    <w:rsid w:val="00C35F34"/>
    <w:rsid w:val="00C364BE"/>
    <w:rsid w:val="00C36D3C"/>
    <w:rsid w:val="00C36EF6"/>
    <w:rsid w:val="00C36FB8"/>
    <w:rsid w:val="00C37048"/>
    <w:rsid w:val="00C37631"/>
    <w:rsid w:val="00C3763E"/>
    <w:rsid w:val="00C3789E"/>
    <w:rsid w:val="00C40198"/>
    <w:rsid w:val="00C4071F"/>
    <w:rsid w:val="00C40789"/>
    <w:rsid w:val="00C4115C"/>
    <w:rsid w:val="00C4116E"/>
    <w:rsid w:val="00C412A9"/>
    <w:rsid w:val="00C423DF"/>
    <w:rsid w:val="00C4284D"/>
    <w:rsid w:val="00C42A16"/>
    <w:rsid w:val="00C42A92"/>
    <w:rsid w:val="00C42B46"/>
    <w:rsid w:val="00C4384B"/>
    <w:rsid w:val="00C43D90"/>
    <w:rsid w:val="00C444BC"/>
    <w:rsid w:val="00C44978"/>
    <w:rsid w:val="00C44ABA"/>
    <w:rsid w:val="00C44CB5"/>
    <w:rsid w:val="00C44DAC"/>
    <w:rsid w:val="00C4569E"/>
    <w:rsid w:val="00C459FE"/>
    <w:rsid w:val="00C45C01"/>
    <w:rsid w:val="00C45FE5"/>
    <w:rsid w:val="00C46265"/>
    <w:rsid w:val="00C467BE"/>
    <w:rsid w:val="00C46827"/>
    <w:rsid w:val="00C46918"/>
    <w:rsid w:val="00C46A19"/>
    <w:rsid w:val="00C4794C"/>
    <w:rsid w:val="00C500E8"/>
    <w:rsid w:val="00C5052C"/>
    <w:rsid w:val="00C50B2E"/>
    <w:rsid w:val="00C51607"/>
    <w:rsid w:val="00C519B4"/>
    <w:rsid w:val="00C526DC"/>
    <w:rsid w:val="00C5278B"/>
    <w:rsid w:val="00C52A9A"/>
    <w:rsid w:val="00C52C4F"/>
    <w:rsid w:val="00C52D0B"/>
    <w:rsid w:val="00C5312F"/>
    <w:rsid w:val="00C53796"/>
    <w:rsid w:val="00C53A3C"/>
    <w:rsid w:val="00C53DD8"/>
    <w:rsid w:val="00C54319"/>
    <w:rsid w:val="00C54B62"/>
    <w:rsid w:val="00C55018"/>
    <w:rsid w:val="00C555DD"/>
    <w:rsid w:val="00C559C5"/>
    <w:rsid w:val="00C559EF"/>
    <w:rsid w:val="00C55A23"/>
    <w:rsid w:val="00C55BC0"/>
    <w:rsid w:val="00C55E60"/>
    <w:rsid w:val="00C561B6"/>
    <w:rsid w:val="00C56247"/>
    <w:rsid w:val="00C56E0B"/>
    <w:rsid w:val="00C5711D"/>
    <w:rsid w:val="00C572E8"/>
    <w:rsid w:val="00C5736C"/>
    <w:rsid w:val="00C57384"/>
    <w:rsid w:val="00C57ECF"/>
    <w:rsid w:val="00C604B7"/>
    <w:rsid w:val="00C60558"/>
    <w:rsid w:val="00C608D9"/>
    <w:rsid w:val="00C60D04"/>
    <w:rsid w:val="00C60DE0"/>
    <w:rsid w:val="00C60ECB"/>
    <w:rsid w:val="00C612F7"/>
    <w:rsid w:val="00C61746"/>
    <w:rsid w:val="00C61BF4"/>
    <w:rsid w:val="00C61C17"/>
    <w:rsid w:val="00C61D7F"/>
    <w:rsid w:val="00C61DD0"/>
    <w:rsid w:val="00C6201D"/>
    <w:rsid w:val="00C62353"/>
    <w:rsid w:val="00C627FD"/>
    <w:rsid w:val="00C62859"/>
    <w:rsid w:val="00C62C71"/>
    <w:rsid w:val="00C631EB"/>
    <w:rsid w:val="00C63ACE"/>
    <w:rsid w:val="00C641D7"/>
    <w:rsid w:val="00C64533"/>
    <w:rsid w:val="00C64A4B"/>
    <w:rsid w:val="00C64C2E"/>
    <w:rsid w:val="00C64F92"/>
    <w:rsid w:val="00C65519"/>
    <w:rsid w:val="00C6561A"/>
    <w:rsid w:val="00C657DE"/>
    <w:rsid w:val="00C65A77"/>
    <w:rsid w:val="00C65F00"/>
    <w:rsid w:val="00C6670E"/>
    <w:rsid w:val="00C66A10"/>
    <w:rsid w:val="00C66AF2"/>
    <w:rsid w:val="00C66B92"/>
    <w:rsid w:val="00C66E1D"/>
    <w:rsid w:val="00C67574"/>
    <w:rsid w:val="00C67728"/>
    <w:rsid w:val="00C678BC"/>
    <w:rsid w:val="00C6791A"/>
    <w:rsid w:val="00C67A91"/>
    <w:rsid w:val="00C700AE"/>
    <w:rsid w:val="00C703F3"/>
    <w:rsid w:val="00C70E2C"/>
    <w:rsid w:val="00C710C8"/>
    <w:rsid w:val="00C71A57"/>
    <w:rsid w:val="00C71CAB"/>
    <w:rsid w:val="00C71DDE"/>
    <w:rsid w:val="00C72891"/>
    <w:rsid w:val="00C72A70"/>
    <w:rsid w:val="00C72FA9"/>
    <w:rsid w:val="00C7340D"/>
    <w:rsid w:val="00C736F3"/>
    <w:rsid w:val="00C73706"/>
    <w:rsid w:val="00C73C6A"/>
    <w:rsid w:val="00C73E92"/>
    <w:rsid w:val="00C74294"/>
    <w:rsid w:val="00C74623"/>
    <w:rsid w:val="00C74700"/>
    <w:rsid w:val="00C74986"/>
    <w:rsid w:val="00C74E70"/>
    <w:rsid w:val="00C74F42"/>
    <w:rsid w:val="00C74F9C"/>
    <w:rsid w:val="00C75717"/>
    <w:rsid w:val="00C75745"/>
    <w:rsid w:val="00C75AF2"/>
    <w:rsid w:val="00C761CF"/>
    <w:rsid w:val="00C7745E"/>
    <w:rsid w:val="00C77BB7"/>
    <w:rsid w:val="00C77FF1"/>
    <w:rsid w:val="00C801BF"/>
    <w:rsid w:val="00C80AC8"/>
    <w:rsid w:val="00C80E5C"/>
    <w:rsid w:val="00C81229"/>
    <w:rsid w:val="00C82393"/>
    <w:rsid w:val="00C8292D"/>
    <w:rsid w:val="00C830BE"/>
    <w:rsid w:val="00C83199"/>
    <w:rsid w:val="00C832D0"/>
    <w:rsid w:val="00C837FC"/>
    <w:rsid w:val="00C83FF7"/>
    <w:rsid w:val="00C850BD"/>
    <w:rsid w:val="00C85382"/>
    <w:rsid w:val="00C8546B"/>
    <w:rsid w:val="00C854DC"/>
    <w:rsid w:val="00C85577"/>
    <w:rsid w:val="00C8564F"/>
    <w:rsid w:val="00C856B8"/>
    <w:rsid w:val="00C85700"/>
    <w:rsid w:val="00C85968"/>
    <w:rsid w:val="00C859BC"/>
    <w:rsid w:val="00C85BD4"/>
    <w:rsid w:val="00C903AC"/>
    <w:rsid w:val="00C903F8"/>
    <w:rsid w:val="00C90502"/>
    <w:rsid w:val="00C9078D"/>
    <w:rsid w:val="00C90906"/>
    <w:rsid w:val="00C90A7F"/>
    <w:rsid w:val="00C90F79"/>
    <w:rsid w:val="00C917A1"/>
    <w:rsid w:val="00C91835"/>
    <w:rsid w:val="00C91EB4"/>
    <w:rsid w:val="00C91FB9"/>
    <w:rsid w:val="00C92335"/>
    <w:rsid w:val="00C92544"/>
    <w:rsid w:val="00C92738"/>
    <w:rsid w:val="00C92E0C"/>
    <w:rsid w:val="00C92F66"/>
    <w:rsid w:val="00C9339F"/>
    <w:rsid w:val="00C93423"/>
    <w:rsid w:val="00C93474"/>
    <w:rsid w:val="00C93815"/>
    <w:rsid w:val="00C93828"/>
    <w:rsid w:val="00C93B19"/>
    <w:rsid w:val="00C93BF0"/>
    <w:rsid w:val="00C93D3E"/>
    <w:rsid w:val="00C944A5"/>
    <w:rsid w:val="00C9461F"/>
    <w:rsid w:val="00C94E5C"/>
    <w:rsid w:val="00C95C53"/>
    <w:rsid w:val="00C95FDC"/>
    <w:rsid w:val="00C96B8E"/>
    <w:rsid w:val="00C9716F"/>
    <w:rsid w:val="00C97324"/>
    <w:rsid w:val="00CA02DE"/>
    <w:rsid w:val="00CA05B1"/>
    <w:rsid w:val="00CA06D9"/>
    <w:rsid w:val="00CA0C66"/>
    <w:rsid w:val="00CA0CCE"/>
    <w:rsid w:val="00CA0F2A"/>
    <w:rsid w:val="00CA0F6D"/>
    <w:rsid w:val="00CA11A9"/>
    <w:rsid w:val="00CA1297"/>
    <w:rsid w:val="00CA1456"/>
    <w:rsid w:val="00CA14C6"/>
    <w:rsid w:val="00CA159F"/>
    <w:rsid w:val="00CA162B"/>
    <w:rsid w:val="00CA17F5"/>
    <w:rsid w:val="00CA1E22"/>
    <w:rsid w:val="00CA23CF"/>
    <w:rsid w:val="00CA25A9"/>
    <w:rsid w:val="00CA2DFE"/>
    <w:rsid w:val="00CA2F07"/>
    <w:rsid w:val="00CA2F29"/>
    <w:rsid w:val="00CA309B"/>
    <w:rsid w:val="00CA35CC"/>
    <w:rsid w:val="00CA3605"/>
    <w:rsid w:val="00CA3A49"/>
    <w:rsid w:val="00CA3D70"/>
    <w:rsid w:val="00CA3E50"/>
    <w:rsid w:val="00CA464E"/>
    <w:rsid w:val="00CA4879"/>
    <w:rsid w:val="00CA4A2F"/>
    <w:rsid w:val="00CA4C3A"/>
    <w:rsid w:val="00CA5650"/>
    <w:rsid w:val="00CA5EAA"/>
    <w:rsid w:val="00CA6093"/>
    <w:rsid w:val="00CA6134"/>
    <w:rsid w:val="00CA6442"/>
    <w:rsid w:val="00CA69FD"/>
    <w:rsid w:val="00CA6E1C"/>
    <w:rsid w:val="00CA72D0"/>
    <w:rsid w:val="00CA76B2"/>
    <w:rsid w:val="00CB0407"/>
    <w:rsid w:val="00CB04A7"/>
    <w:rsid w:val="00CB0858"/>
    <w:rsid w:val="00CB0AB5"/>
    <w:rsid w:val="00CB0BBF"/>
    <w:rsid w:val="00CB0EB7"/>
    <w:rsid w:val="00CB1A61"/>
    <w:rsid w:val="00CB1CA0"/>
    <w:rsid w:val="00CB1D10"/>
    <w:rsid w:val="00CB21E8"/>
    <w:rsid w:val="00CB2410"/>
    <w:rsid w:val="00CB29E1"/>
    <w:rsid w:val="00CB3663"/>
    <w:rsid w:val="00CB3F94"/>
    <w:rsid w:val="00CB4032"/>
    <w:rsid w:val="00CB45E1"/>
    <w:rsid w:val="00CB475B"/>
    <w:rsid w:val="00CB4E4B"/>
    <w:rsid w:val="00CB4E92"/>
    <w:rsid w:val="00CB55D1"/>
    <w:rsid w:val="00CB5D3F"/>
    <w:rsid w:val="00CB5F71"/>
    <w:rsid w:val="00CB6185"/>
    <w:rsid w:val="00CB66DE"/>
    <w:rsid w:val="00CB67DC"/>
    <w:rsid w:val="00CB683D"/>
    <w:rsid w:val="00CB75B2"/>
    <w:rsid w:val="00CB76FA"/>
    <w:rsid w:val="00CB79E3"/>
    <w:rsid w:val="00CB7F17"/>
    <w:rsid w:val="00CB7F8E"/>
    <w:rsid w:val="00CC01F5"/>
    <w:rsid w:val="00CC0652"/>
    <w:rsid w:val="00CC0959"/>
    <w:rsid w:val="00CC108B"/>
    <w:rsid w:val="00CC11F9"/>
    <w:rsid w:val="00CC1319"/>
    <w:rsid w:val="00CC189B"/>
    <w:rsid w:val="00CC21D2"/>
    <w:rsid w:val="00CC225D"/>
    <w:rsid w:val="00CC22AF"/>
    <w:rsid w:val="00CC2B02"/>
    <w:rsid w:val="00CC2CFB"/>
    <w:rsid w:val="00CC2E5C"/>
    <w:rsid w:val="00CC2FAC"/>
    <w:rsid w:val="00CC334D"/>
    <w:rsid w:val="00CC3451"/>
    <w:rsid w:val="00CC3B73"/>
    <w:rsid w:val="00CC3BCF"/>
    <w:rsid w:val="00CC3C5B"/>
    <w:rsid w:val="00CC3EEF"/>
    <w:rsid w:val="00CC411F"/>
    <w:rsid w:val="00CC450B"/>
    <w:rsid w:val="00CC466E"/>
    <w:rsid w:val="00CC5171"/>
    <w:rsid w:val="00CC55E6"/>
    <w:rsid w:val="00CC5607"/>
    <w:rsid w:val="00CC6273"/>
    <w:rsid w:val="00CC6C41"/>
    <w:rsid w:val="00CC6D60"/>
    <w:rsid w:val="00CC71A7"/>
    <w:rsid w:val="00CC781B"/>
    <w:rsid w:val="00CC7DFD"/>
    <w:rsid w:val="00CD06EA"/>
    <w:rsid w:val="00CD0DB1"/>
    <w:rsid w:val="00CD0DD8"/>
    <w:rsid w:val="00CD0E39"/>
    <w:rsid w:val="00CD0FE8"/>
    <w:rsid w:val="00CD150E"/>
    <w:rsid w:val="00CD1D00"/>
    <w:rsid w:val="00CD2194"/>
    <w:rsid w:val="00CD23FD"/>
    <w:rsid w:val="00CD24D9"/>
    <w:rsid w:val="00CD266B"/>
    <w:rsid w:val="00CD28BB"/>
    <w:rsid w:val="00CD2979"/>
    <w:rsid w:val="00CD2A2B"/>
    <w:rsid w:val="00CD3095"/>
    <w:rsid w:val="00CD31ED"/>
    <w:rsid w:val="00CD35EF"/>
    <w:rsid w:val="00CD36E1"/>
    <w:rsid w:val="00CD3891"/>
    <w:rsid w:val="00CD3C15"/>
    <w:rsid w:val="00CD454F"/>
    <w:rsid w:val="00CD478E"/>
    <w:rsid w:val="00CD5A1F"/>
    <w:rsid w:val="00CD5BB2"/>
    <w:rsid w:val="00CD5E6C"/>
    <w:rsid w:val="00CD6A30"/>
    <w:rsid w:val="00CD6C0A"/>
    <w:rsid w:val="00CD7472"/>
    <w:rsid w:val="00CD751B"/>
    <w:rsid w:val="00CD7704"/>
    <w:rsid w:val="00CD7DF0"/>
    <w:rsid w:val="00CE00E0"/>
    <w:rsid w:val="00CE0501"/>
    <w:rsid w:val="00CE0A5D"/>
    <w:rsid w:val="00CE1311"/>
    <w:rsid w:val="00CE14AA"/>
    <w:rsid w:val="00CE19B0"/>
    <w:rsid w:val="00CE1B86"/>
    <w:rsid w:val="00CE1C7C"/>
    <w:rsid w:val="00CE1CAA"/>
    <w:rsid w:val="00CE1D30"/>
    <w:rsid w:val="00CE218F"/>
    <w:rsid w:val="00CE28A3"/>
    <w:rsid w:val="00CE34FA"/>
    <w:rsid w:val="00CE3953"/>
    <w:rsid w:val="00CE3A1F"/>
    <w:rsid w:val="00CE4544"/>
    <w:rsid w:val="00CE47FB"/>
    <w:rsid w:val="00CE48EA"/>
    <w:rsid w:val="00CE4ADF"/>
    <w:rsid w:val="00CE4BB6"/>
    <w:rsid w:val="00CE4D87"/>
    <w:rsid w:val="00CE5075"/>
    <w:rsid w:val="00CE59DA"/>
    <w:rsid w:val="00CE694C"/>
    <w:rsid w:val="00CE6FA8"/>
    <w:rsid w:val="00CE7040"/>
    <w:rsid w:val="00CE7278"/>
    <w:rsid w:val="00CE74F3"/>
    <w:rsid w:val="00CE74F9"/>
    <w:rsid w:val="00CE769E"/>
    <w:rsid w:val="00CF01C3"/>
    <w:rsid w:val="00CF0AF7"/>
    <w:rsid w:val="00CF0B3D"/>
    <w:rsid w:val="00CF0CA4"/>
    <w:rsid w:val="00CF0CD2"/>
    <w:rsid w:val="00CF0F0B"/>
    <w:rsid w:val="00CF1118"/>
    <w:rsid w:val="00CF11D5"/>
    <w:rsid w:val="00CF1A6D"/>
    <w:rsid w:val="00CF1CFE"/>
    <w:rsid w:val="00CF1D74"/>
    <w:rsid w:val="00CF2E16"/>
    <w:rsid w:val="00CF2ED2"/>
    <w:rsid w:val="00CF2FC4"/>
    <w:rsid w:val="00CF36E4"/>
    <w:rsid w:val="00CF3726"/>
    <w:rsid w:val="00CF3D50"/>
    <w:rsid w:val="00CF4155"/>
    <w:rsid w:val="00CF4165"/>
    <w:rsid w:val="00CF4362"/>
    <w:rsid w:val="00CF4949"/>
    <w:rsid w:val="00CF4AC6"/>
    <w:rsid w:val="00CF4C39"/>
    <w:rsid w:val="00CF50D8"/>
    <w:rsid w:val="00CF531E"/>
    <w:rsid w:val="00CF54C8"/>
    <w:rsid w:val="00CF55AC"/>
    <w:rsid w:val="00CF591D"/>
    <w:rsid w:val="00CF5CE2"/>
    <w:rsid w:val="00CF63E2"/>
    <w:rsid w:val="00CF688E"/>
    <w:rsid w:val="00CF7532"/>
    <w:rsid w:val="00CF7700"/>
    <w:rsid w:val="00D0048E"/>
    <w:rsid w:val="00D009F8"/>
    <w:rsid w:val="00D00B2A"/>
    <w:rsid w:val="00D00C71"/>
    <w:rsid w:val="00D01667"/>
    <w:rsid w:val="00D01EB2"/>
    <w:rsid w:val="00D024CC"/>
    <w:rsid w:val="00D024CD"/>
    <w:rsid w:val="00D02818"/>
    <w:rsid w:val="00D03305"/>
    <w:rsid w:val="00D036F2"/>
    <w:rsid w:val="00D03C98"/>
    <w:rsid w:val="00D03E1F"/>
    <w:rsid w:val="00D040B9"/>
    <w:rsid w:val="00D04306"/>
    <w:rsid w:val="00D043E4"/>
    <w:rsid w:val="00D044FE"/>
    <w:rsid w:val="00D04674"/>
    <w:rsid w:val="00D0471E"/>
    <w:rsid w:val="00D0496A"/>
    <w:rsid w:val="00D04BFB"/>
    <w:rsid w:val="00D04EFF"/>
    <w:rsid w:val="00D055D6"/>
    <w:rsid w:val="00D05845"/>
    <w:rsid w:val="00D05953"/>
    <w:rsid w:val="00D05970"/>
    <w:rsid w:val="00D0599B"/>
    <w:rsid w:val="00D05A77"/>
    <w:rsid w:val="00D05B31"/>
    <w:rsid w:val="00D05E5B"/>
    <w:rsid w:val="00D06069"/>
    <w:rsid w:val="00D064E2"/>
    <w:rsid w:val="00D069A8"/>
    <w:rsid w:val="00D06A7A"/>
    <w:rsid w:val="00D06EC9"/>
    <w:rsid w:val="00D073F3"/>
    <w:rsid w:val="00D078C5"/>
    <w:rsid w:val="00D07B6D"/>
    <w:rsid w:val="00D10268"/>
    <w:rsid w:val="00D102EC"/>
    <w:rsid w:val="00D104D7"/>
    <w:rsid w:val="00D107C5"/>
    <w:rsid w:val="00D114BD"/>
    <w:rsid w:val="00D115B4"/>
    <w:rsid w:val="00D11B9D"/>
    <w:rsid w:val="00D11D5C"/>
    <w:rsid w:val="00D11EED"/>
    <w:rsid w:val="00D12353"/>
    <w:rsid w:val="00D125E1"/>
    <w:rsid w:val="00D12A33"/>
    <w:rsid w:val="00D134E9"/>
    <w:rsid w:val="00D138D8"/>
    <w:rsid w:val="00D13CA1"/>
    <w:rsid w:val="00D13D34"/>
    <w:rsid w:val="00D13F71"/>
    <w:rsid w:val="00D14547"/>
    <w:rsid w:val="00D14823"/>
    <w:rsid w:val="00D149E8"/>
    <w:rsid w:val="00D15C1B"/>
    <w:rsid w:val="00D15C4E"/>
    <w:rsid w:val="00D15C6E"/>
    <w:rsid w:val="00D1615A"/>
    <w:rsid w:val="00D16B44"/>
    <w:rsid w:val="00D1707D"/>
    <w:rsid w:val="00D174E5"/>
    <w:rsid w:val="00D1750A"/>
    <w:rsid w:val="00D175A9"/>
    <w:rsid w:val="00D17B39"/>
    <w:rsid w:val="00D17E95"/>
    <w:rsid w:val="00D17F8F"/>
    <w:rsid w:val="00D17FC7"/>
    <w:rsid w:val="00D202CB"/>
    <w:rsid w:val="00D2079E"/>
    <w:rsid w:val="00D21103"/>
    <w:rsid w:val="00D21B47"/>
    <w:rsid w:val="00D21C34"/>
    <w:rsid w:val="00D21D21"/>
    <w:rsid w:val="00D221DF"/>
    <w:rsid w:val="00D22774"/>
    <w:rsid w:val="00D229E9"/>
    <w:rsid w:val="00D22BAE"/>
    <w:rsid w:val="00D22E41"/>
    <w:rsid w:val="00D23821"/>
    <w:rsid w:val="00D23D68"/>
    <w:rsid w:val="00D23FCB"/>
    <w:rsid w:val="00D24B37"/>
    <w:rsid w:val="00D24BE3"/>
    <w:rsid w:val="00D24D1F"/>
    <w:rsid w:val="00D24E40"/>
    <w:rsid w:val="00D250D0"/>
    <w:rsid w:val="00D25378"/>
    <w:rsid w:val="00D2569F"/>
    <w:rsid w:val="00D25AB5"/>
    <w:rsid w:val="00D25D11"/>
    <w:rsid w:val="00D262A3"/>
    <w:rsid w:val="00D26F5F"/>
    <w:rsid w:val="00D27359"/>
    <w:rsid w:val="00D276D2"/>
    <w:rsid w:val="00D278CF"/>
    <w:rsid w:val="00D27D0E"/>
    <w:rsid w:val="00D27ED7"/>
    <w:rsid w:val="00D27F87"/>
    <w:rsid w:val="00D27F99"/>
    <w:rsid w:val="00D30742"/>
    <w:rsid w:val="00D30A56"/>
    <w:rsid w:val="00D30AB1"/>
    <w:rsid w:val="00D30E21"/>
    <w:rsid w:val="00D310E0"/>
    <w:rsid w:val="00D312FB"/>
    <w:rsid w:val="00D31312"/>
    <w:rsid w:val="00D317B7"/>
    <w:rsid w:val="00D31AC5"/>
    <w:rsid w:val="00D31C0F"/>
    <w:rsid w:val="00D31DB9"/>
    <w:rsid w:val="00D327E4"/>
    <w:rsid w:val="00D32D49"/>
    <w:rsid w:val="00D33110"/>
    <w:rsid w:val="00D3326E"/>
    <w:rsid w:val="00D339B4"/>
    <w:rsid w:val="00D33E56"/>
    <w:rsid w:val="00D33FEE"/>
    <w:rsid w:val="00D341BB"/>
    <w:rsid w:val="00D3441D"/>
    <w:rsid w:val="00D347D8"/>
    <w:rsid w:val="00D34CDF"/>
    <w:rsid w:val="00D35113"/>
    <w:rsid w:val="00D3512F"/>
    <w:rsid w:val="00D3526A"/>
    <w:rsid w:val="00D355F6"/>
    <w:rsid w:val="00D35B0E"/>
    <w:rsid w:val="00D35BF8"/>
    <w:rsid w:val="00D35C88"/>
    <w:rsid w:val="00D3618E"/>
    <w:rsid w:val="00D3649C"/>
    <w:rsid w:val="00D36C01"/>
    <w:rsid w:val="00D3743C"/>
    <w:rsid w:val="00D374CF"/>
    <w:rsid w:val="00D37B14"/>
    <w:rsid w:val="00D37CF3"/>
    <w:rsid w:val="00D4059F"/>
    <w:rsid w:val="00D407C2"/>
    <w:rsid w:val="00D409F6"/>
    <w:rsid w:val="00D40B4E"/>
    <w:rsid w:val="00D41047"/>
    <w:rsid w:val="00D4116C"/>
    <w:rsid w:val="00D41E56"/>
    <w:rsid w:val="00D420DB"/>
    <w:rsid w:val="00D4253B"/>
    <w:rsid w:val="00D42DA3"/>
    <w:rsid w:val="00D431A2"/>
    <w:rsid w:val="00D4328D"/>
    <w:rsid w:val="00D43A48"/>
    <w:rsid w:val="00D43B6C"/>
    <w:rsid w:val="00D43BE5"/>
    <w:rsid w:val="00D44545"/>
    <w:rsid w:val="00D4480D"/>
    <w:rsid w:val="00D448F1"/>
    <w:rsid w:val="00D44A82"/>
    <w:rsid w:val="00D450C3"/>
    <w:rsid w:val="00D45378"/>
    <w:rsid w:val="00D45A3D"/>
    <w:rsid w:val="00D45A3E"/>
    <w:rsid w:val="00D45C28"/>
    <w:rsid w:val="00D45D14"/>
    <w:rsid w:val="00D45D91"/>
    <w:rsid w:val="00D45DA3"/>
    <w:rsid w:val="00D460CC"/>
    <w:rsid w:val="00D46582"/>
    <w:rsid w:val="00D46F38"/>
    <w:rsid w:val="00D47253"/>
    <w:rsid w:val="00D4740B"/>
    <w:rsid w:val="00D4769D"/>
    <w:rsid w:val="00D500ED"/>
    <w:rsid w:val="00D50ABC"/>
    <w:rsid w:val="00D50AEA"/>
    <w:rsid w:val="00D511A6"/>
    <w:rsid w:val="00D5173C"/>
    <w:rsid w:val="00D51FE6"/>
    <w:rsid w:val="00D524FE"/>
    <w:rsid w:val="00D52A95"/>
    <w:rsid w:val="00D52C55"/>
    <w:rsid w:val="00D52E8B"/>
    <w:rsid w:val="00D53121"/>
    <w:rsid w:val="00D533D4"/>
    <w:rsid w:val="00D535A6"/>
    <w:rsid w:val="00D539D3"/>
    <w:rsid w:val="00D53D6F"/>
    <w:rsid w:val="00D543C4"/>
    <w:rsid w:val="00D543CB"/>
    <w:rsid w:val="00D54591"/>
    <w:rsid w:val="00D5474B"/>
    <w:rsid w:val="00D54F97"/>
    <w:rsid w:val="00D55614"/>
    <w:rsid w:val="00D556BC"/>
    <w:rsid w:val="00D55847"/>
    <w:rsid w:val="00D55C85"/>
    <w:rsid w:val="00D56172"/>
    <w:rsid w:val="00D5631A"/>
    <w:rsid w:val="00D56A76"/>
    <w:rsid w:val="00D56DBC"/>
    <w:rsid w:val="00D574A1"/>
    <w:rsid w:val="00D57592"/>
    <w:rsid w:val="00D57772"/>
    <w:rsid w:val="00D577EF"/>
    <w:rsid w:val="00D57A2E"/>
    <w:rsid w:val="00D6007D"/>
    <w:rsid w:val="00D6054A"/>
    <w:rsid w:val="00D60628"/>
    <w:rsid w:val="00D60936"/>
    <w:rsid w:val="00D609D0"/>
    <w:rsid w:val="00D6100F"/>
    <w:rsid w:val="00D61057"/>
    <w:rsid w:val="00D61292"/>
    <w:rsid w:val="00D6138A"/>
    <w:rsid w:val="00D6188B"/>
    <w:rsid w:val="00D61922"/>
    <w:rsid w:val="00D61B81"/>
    <w:rsid w:val="00D61D27"/>
    <w:rsid w:val="00D61F3B"/>
    <w:rsid w:val="00D6241A"/>
    <w:rsid w:val="00D62561"/>
    <w:rsid w:val="00D62756"/>
    <w:rsid w:val="00D62A6A"/>
    <w:rsid w:val="00D62CAE"/>
    <w:rsid w:val="00D62FDC"/>
    <w:rsid w:val="00D635CE"/>
    <w:rsid w:val="00D63B30"/>
    <w:rsid w:val="00D63BCB"/>
    <w:rsid w:val="00D63DDD"/>
    <w:rsid w:val="00D64101"/>
    <w:rsid w:val="00D64202"/>
    <w:rsid w:val="00D6429D"/>
    <w:rsid w:val="00D64506"/>
    <w:rsid w:val="00D6460C"/>
    <w:rsid w:val="00D64D5F"/>
    <w:rsid w:val="00D66139"/>
    <w:rsid w:val="00D66540"/>
    <w:rsid w:val="00D66DF1"/>
    <w:rsid w:val="00D66F1D"/>
    <w:rsid w:val="00D67276"/>
    <w:rsid w:val="00D6797F"/>
    <w:rsid w:val="00D67CD3"/>
    <w:rsid w:val="00D67DAE"/>
    <w:rsid w:val="00D67DD8"/>
    <w:rsid w:val="00D67E2D"/>
    <w:rsid w:val="00D70296"/>
    <w:rsid w:val="00D704A3"/>
    <w:rsid w:val="00D70641"/>
    <w:rsid w:val="00D70BCC"/>
    <w:rsid w:val="00D70CCE"/>
    <w:rsid w:val="00D710A3"/>
    <w:rsid w:val="00D714A1"/>
    <w:rsid w:val="00D717B9"/>
    <w:rsid w:val="00D7208A"/>
    <w:rsid w:val="00D721C6"/>
    <w:rsid w:val="00D7278C"/>
    <w:rsid w:val="00D72DF1"/>
    <w:rsid w:val="00D7310F"/>
    <w:rsid w:val="00D73159"/>
    <w:rsid w:val="00D73483"/>
    <w:rsid w:val="00D734F3"/>
    <w:rsid w:val="00D7368F"/>
    <w:rsid w:val="00D73746"/>
    <w:rsid w:val="00D73936"/>
    <w:rsid w:val="00D73B3C"/>
    <w:rsid w:val="00D74335"/>
    <w:rsid w:val="00D74554"/>
    <w:rsid w:val="00D746CA"/>
    <w:rsid w:val="00D7488F"/>
    <w:rsid w:val="00D748AF"/>
    <w:rsid w:val="00D7566F"/>
    <w:rsid w:val="00D75731"/>
    <w:rsid w:val="00D7575F"/>
    <w:rsid w:val="00D75783"/>
    <w:rsid w:val="00D75BBC"/>
    <w:rsid w:val="00D760D7"/>
    <w:rsid w:val="00D761B5"/>
    <w:rsid w:val="00D76513"/>
    <w:rsid w:val="00D76AB6"/>
    <w:rsid w:val="00D76E4B"/>
    <w:rsid w:val="00D76F2A"/>
    <w:rsid w:val="00D77D52"/>
    <w:rsid w:val="00D77F69"/>
    <w:rsid w:val="00D77FD3"/>
    <w:rsid w:val="00D80020"/>
    <w:rsid w:val="00D801FD"/>
    <w:rsid w:val="00D802BC"/>
    <w:rsid w:val="00D80767"/>
    <w:rsid w:val="00D808C1"/>
    <w:rsid w:val="00D80949"/>
    <w:rsid w:val="00D8111F"/>
    <w:rsid w:val="00D82379"/>
    <w:rsid w:val="00D8284F"/>
    <w:rsid w:val="00D8288C"/>
    <w:rsid w:val="00D828CB"/>
    <w:rsid w:val="00D82F82"/>
    <w:rsid w:val="00D8367F"/>
    <w:rsid w:val="00D83DF9"/>
    <w:rsid w:val="00D84321"/>
    <w:rsid w:val="00D84613"/>
    <w:rsid w:val="00D846E8"/>
    <w:rsid w:val="00D84871"/>
    <w:rsid w:val="00D84C4F"/>
    <w:rsid w:val="00D84CFE"/>
    <w:rsid w:val="00D85756"/>
    <w:rsid w:val="00D85757"/>
    <w:rsid w:val="00D85997"/>
    <w:rsid w:val="00D85C00"/>
    <w:rsid w:val="00D85D76"/>
    <w:rsid w:val="00D86027"/>
    <w:rsid w:val="00D86386"/>
    <w:rsid w:val="00D869DA"/>
    <w:rsid w:val="00D87756"/>
    <w:rsid w:val="00D877E8"/>
    <w:rsid w:val="00D878D0"/>
    <w:rsid w:val="00D87F75"/>
    <w:rsid w:val="00D900B2"/>
    <w:rsid w:val="00D905E0"/>
    <w:rsid w:val="00D90619"/>
    <w:rsid w:val="00D90936"/>
    <w:rsid w:val="00D910AE"/>
    <w:rsid w:val="00D910C4"/>
    <w:rsid w:val="00D9112C"/>
    <w:rsid w:val="00D91175"/>
    <w:rsid w:val="00D91274"/>
    <w:rsid w:val="00D9127E"/>
    <w:rsid w:val="00D91DFB"/>
    <w:rsid w:val="00D92793"/>
    <w:rsid w:val="00D928EF"/>
    <w:rsid w:val="00D92C5E"/>
    <w:rsid w:val="00D92E57"/>
    <w:rsid w:val="00D93336"/>
    <w:rsid w:val="00D93B50"/>
    <w:rsid w:val="00D94D5C"/>
    <w:rsid w:val="00D950A5"/>
    <w:rsid w:val="00D9522F"/>
    <w:rsid w:val="00D95B45"/>
    <w:rsid w:val="00D96A49"/>
    <w:rsid w:val="00D96A52"/>
    <w:rsid w:val="00D97536"/>
    <w:rsid w:val="00D97BCD"/>
    <w:rsid w:val="00D97D32"/>
    <w:rsid w:val="00DA017E"/>
    <w:rsid w:val="00DA069D"/>
    <w:rsid w:val="00DA08FE"/>
    <w:rsid w:val="00DA0A89"/>
    <w:rsid w:val="00DA0AB9"/>
    <w:rsid w:val="00DA15B1"/>
    <w:rsid w:val="00DA1727"/>
    <w:rsid w:val="00DA177B"/>
    <w:rsid w:val="00DA21C6"/>
    <w:rsid w:val="00DA23E6"/>
    <w:rsid w:val="00DA26E2"/>
    <w:rsid w:val="00DA2AA7"/>
    <w:rsid w:val="00DA3605"/>
    <w:rsid w:val="00DA3686"/>
    <w:rsid w:val="00DA3EDD"/>
    <w:rsid w:val="00DA3FBD"/>
    <w:rsid w:val="00DA4014"/>
    <w:rsid w:val="00DA4352"/>
    <w:rsid w:val="00DA442D"/>
    <w:rsid w:val="00DA447C"/>
    <w:rsid w:val="00DA4EF9"/>
    <w:rsid w:val="00DA5A47"/>
    <w:rsid w:val="00DA60BE"/>
    <w:rsid w:val="00DA64CF"/>
    <w:rsid w:val="00DA6B78"/>
    <w:rsid w:val="00DA70C0"/>
    <w:rsid w:val="00DA70C7"/>
    <w:rsid w:val="00DA7A3F"/>
    <w:rsid w:val="00DA7A85"/>
    <w:rsid w:val="00DA7EC6"/>
    <w:rsid w:val="00DA7EFA"/>
    <w:rsid w:val="00DB0BFB"/>
    <w:rsid w:val="00DB0C25"/>
    <w:rsid w:val="00DB114D"/>
    <w:rsid w:val="00DB1200"/>
    <w:rsid w:val="00DB1213"/>
    <w:rsid w:val="00DB1250"/>
    <w:rsid w:val="00DB12B5"/>
    <w:rsid w:val="00DB198C"/>
    <w:rsid w:val="00DB1B89"/>
    <w:rsid w:val="00DB262A"/>
    <w:rsid w:val="00DB2870"/>
    <w:rsid w:val="00DB2D06"/>
    <w:rsid w:val="00DB2DB5"/>
    <w:rsid w:val="00DB2F01"/>
    <w:rsid w:val="00DB341F"/>
    <w:rsid w:val="00DB38A0"/>
    <w:rsid w:val="00DB3B5E"/>
    <w:rsid w:val="00DB4193"/>
    <w:rsid w:val="00DB43FE"/>
    <w:rsid w:val="00DB4B7A"/>
    <w:rsid w:val="00DB4C3F"/>
    <w:rsid w:val="00DB5C5E"/>
    <w:rsid w:val="00DB6008"/>
    <w:rsid w:val="00DB62B3"/>
    <w:rsid w:val="00DB6D9A"/>
    <w:rsid w:val="00DB7460"/>
    <w:rsid w:val="00DB7C11"/>
    <w:rsid w:val="00DC0059"/>
    <w:rsid w:val="00DC02A9"/>
    <w:rsid w:val="00DC09A1"/>
    <w:rsid w:val="00DC0A10"/>
    <w:rsid w:val="00DC0CB7"/>
    <w:rsid w:val="00DC0D8D"/>
    <w:rsid w:val="00DC0EDF"/>
    <w:rsid w:val="00DC1940"/>
    <w:rsid w:val="00DC226F"/>
    <w:rsid w:val="00DC2638"/>
    <w:rsid w:val="00DC35D6"/>
    <w:rsid w:val="00DC397F"/>
    <w:rsid w:val="00DC4746"/>
    <w:rsid w:val="00DC4A30"/>
    <w:rsid w:val="00DC4CE1"/>
    <w:rsid w:val="00DC4F4E"/>
    <w:rsid w:val="00DC553C"/>
    <w:rsid w:val="00DC58E2"/>
    <w:rsid w:val="00DC59D1"/>
    <w:rsid w:val="00DC5A42"/>
    <w:rsid w:val="00DC5F8A"/>
    <w:rsid w:val="00DC60A6"/>
    <w:rsid w:val="00DC61BE"/>
    <w:rsid w:val="00DC61C0"/>
    <w:rsid w:val="00DC6A2E"/>
    <w:rsid w:val="00DC6FB7"/>
    <w:rsid w:val="00DC7280"/>
    <w:rsid w:val="00DC7556"/>
    <w:rsid w:val="00DC782B"/>
    <w:rsid w:val="00DC79F5"/>
    <w:rsid w:val="00DC7BAF"/>
    <w:rsid w:val="00DC7BCB"/>
    <w:rsid w:val="00DD0B53"/>
    <w:rsid w:val="00DD0C28"/>
    <w:rsid w:val="00DD0FA1"/>
    <w:rsid w:val="00DD116E"/>
    <w:rsid w:val="00DD1905"/>
    <w:rsid w:val="00DD1CFD"/>
    <w:rsid w:val="00DD230A"/>
    <w:rsid w:val="00DD27AF"/>
    <w:rsid w:val="00DD27CE"/>
    <w:rsid w:val="00DD2998"/>
    <w:rsid w:val="00DD2A29"/>
    <w:rsid w:val="00DD3374"/>
    <w:rsid w:val="00DD3D65"/>
    <w:rsid w:val="00DD4139"/>
    <w:rsid w:val="00DD4168"/>
    <w:rsid w:val="00DD431A"/>
    <w:rsid w:val="00DD473F"/>
    <w:rsid w:val="00DD4A8E"/>
    <w:rsid w:val="00DD4D3D"/>
    <w:rsid w:val="00DD4EAB"/>
    <w:rsid w:val="00DD4F08"/>
    <w:rsid w:val="00DD4FDE"/>
    <w:rsid w:val="00DD4FF6"/>
    <w:rsid w:val="00DD508D"/>
    <w:rsid w:val="00DD511A"/>
    <w:rsid w:val="00DD5211"/>
    <w:rsid w:val="00DD5393"/>
    <w:rsid w:val="00DD598B"/>
    <w:rsid w:val="00DD5A4E"/>
    <w:rsid w:val="00DD5B86"/>
    <w:rsid w:val="00DD5D1C"/>
    <w:rsid w:val="00DD689C"/>
    <w:rsid w:val="00DD6DF2"/>
    <w:rsid w:val="00DD723D"/>
    <w:rsid w:val="00DD735A"/>
    <w:rsid w:val="00DD74E3"/>
    <w:rsid w:val="00DD75B4"/>
    <w:rsid w:val="00DD7883"/>
    <w:rsid w:val="00DD7AA4"/>
    <w:rsid w:val="00DD7C80"/>
    <w:rsid w:val="00DD7F18"/>
    <w:rsid w:val="00DE040D"/>
    <w:rsid w:val="00DE0482"/>
    <w:rsid w:val="00DE051D"/>
    <w:rsid w:val="00DE06F4"/>
    <w:rsid w:val="00DE07CE"/>
    <w:rsid w:val="00DE0C4B"/>
    <w:rsid w:val="00DE1AD0"/>
    <w:rsid w:val="00DE207F"/>
    <w:rsid w:val="00DE22B2"/>
    <w:rsid w:val="00DE22CD"/>
    <w:rsid w:val="00DE2E05"/>
    <w:rsid w:val="00DE2E8D"/>
    <w:rsid w:val="00DE338E"/>
    <w:rsid w:val="00DE3DEF"/>
    <w:rsid w:val="00DE4287"/>
    <w:rsid w:val="00DE4338"/>
    <w:rsid w:val="00DE4389"/>
    <w:rsid w:val="00DE4667"/>
    <w:rsid w:val="00DE4FE9"/>
    <w:rsid w:val="00DE554B"/>
    <w:rsid w:val="00DE5645"/>
    <w:rsid w:val="00DE5858"/>
    <w:rsid w:val="00DE5C90"/>
    <w:rsid w:val="00DE62F6"/>
    <w:rsid w:val="00DE63CB"/>
    <w:rsid w:val="00DE63E2"/>
    <w:rsid w:val="00DE7111"/>
    <w:rsid w:val="00DE780F"/>
    <w:rsid w:val="00DE789D"/>
    <w:rsid w:val="00DE7A73"/>
    <w:rsid w:val="00DE7BB4"/>
    <w:rsid w:val="00DE7CFF"/>
    <w:rsid w:val="00DE7E5C"/>
    <w:rsid w:val="00DF036E"/>
    <w:rsid w:val="00DF04A1"/>
    <w:rsid w:val="00DF073F"/>
    <w:rsid w:val="00DF0782"/>
    <w:rsid w:val="00DF09CC"/>
    <w:rsid w:val="00DF1481"/>
    <w:rsid w:val="00DF1D52"/>
    <w:rsid w:val="00DF1DDC"/>
    <w:rsid w:val="00DF1EF6"/>
    <w:rsid w:val="00DF21F1"/>
    <w:rsid w:val="00DF22A0"/>
    <w:rsid w:val="00DF252A"/>
    <w:rsid w:val="00DF28F8"/>
    <w:rsid w:val="00DF2956"/>
    <w:rsid w:val="00DF2A2E"/>
    <w:rsid w:val="00DF2EA6"/>
    <w:rsid w:val="00DF3523"/>
    <w:rsid w:val="00DF352A"/>
    <w:rsid w:val="00DF36AA"/>
    <w:rsid w:val="00DF3FF8"/>
    <w:rsid w:val="00DF43F1"/>
    <w:rsid w:val="00DF44B9"/>
    <w:rsid w:val="00DF468E"/>
    <w:rsid w:val="00DF4866"/>
    <w:rsid w:val="00DF4BAD"/>
    <w:rsid w:val="00DF5AE3"/>
    <w:rsid w:val="00DF5D1E"/>
    <w:rsid w:val="00DF5EC5"/>
    <w:rsid w:val="00DF6D5B"/>
    <w:rsid w:val="00DF6E68"/>
    <w:rsid w:val="00DF6F42"/>
    <w:rsid w:val="00DF7B2C"/>
    <w:rsid w:val="00E0029B"/>
    <w:rsid w:val="00E0043B"/>
    <w:rsid w:val="00E008AB"/>
    <w:rsid w:val="00E00C7B"/>
    <w:rsid w:val="00E00CA5"/>
    <w:rsid w:val="00E00E67"/>
    <w:rsid w:val="00E01748"/>
    <w:rsid w:val="00E01B17"/>
    <w:rsid w:val="00E01BA2"/>
    <w:rsid w:val="00E01D46"/>
    <w:rsid w:val="00E01E0F"/>
    <w:rsid w:val="00E02013"/>
    <w:rsid w:val="00E0202E"/>
    <w:rsid w:val="00E02219"/>
    <w:rsid w:val="00E0249A"/>
    <w:rsid w:val="00E02899"/>
    <w:rsid w:val="00E02955"/>
    <w:rsid w:val="00E02B4A"/>
    <w:rsid w:val="00E02BF6"/>
    <w:rsid w:val="00E03F9C"/>
    <w:rsid w:val="00E042C2"/>
    <w:rsid w:val="00E04304"/>
    <w:rsid w:val="00E0552C"/>
    <w:rsid w:val="00E0573F"/>
    <w:rsid w:val="00E057B8"/>
    <w:rsid w:val="00E05B83"/>
    <w:rsid w:val="00E063B6"/>
    <w:rsid w:val="00E064B4"/>
    <w:rsid w:val="00E06525"/>
    <w:rsid w:val="00E065C3"/>
    <w:rsid w:val="00E06D22"/>
    <w:rsid w:val="00E06E3A"/>
    <w:rsid w:val="00E06F29"/>
    <w:rsid w:val="00E0706A"/>
    <w:rsid w:val="00E071DE"/>
    <w:rsid w:val="00E075A0"/>
    <w:rsid w:val="00E07DD9"/>
    <w:rsid w:val="00E07ECA"/>
    <w:rsid w:val="00E103FF"/>
    <w:rsid w:val="00E10AF7"/>
    <w:rsid w:val="00E1107C"/>
    <w:rsid w:val="00E111A4"/>
    <w:rsid w:val="00E1185F"/>
    <w:rsid w:val="00E11BE8"/>
    <w:rsid w:val="00E11CA0"/>
    <w:rsid w:val="00E11F13"/>
    <w:rsid w:val="00E12A80"/>
    <w:rsid w:val="00E12EF5"/>
    <w:rsid w:val="00E13530"/>
    <w:rsid w:val="00E13558"/>
    <w:rsid w:val="00E13690"/>
    <w:rsid w:val="00E13710"/>
    <w:rsid w:val="00E13C29"/>
    <w:rsid w:val="00E1401B"/>
    <w:rsid w:val="00E145FA"/>
    <w:rsid w:val="00E14B54"/>
    <w:rsid w:val="00E14BE1"/>
    <w:rsid w:val="00E15092"/>
    <w:rsid w:val="00E150AF"/>
    <w:rsid w:val="00E1513E"/>
    <w:rsid w:val="00E153CA"/>
    <w:rsid w:val="00E15624"/>
    <w:rsid w:val="00E1573D"/>
    <w:rsid w:val="00E15E88"/>
    <w:rsid w:val="00E160C9"/>
    <w:rsid w:val="00E1631A"/>
    <w:rsid w:val="00E16BDA"/>
    <w:rsid w:val="00E17028"/>
    <w:rsid w:val="00E1703B"/>
    <w:rsid w:val="00E175F2"/>
    <w:rsid w:val="00E17660"/>
    <w:rsid w:val="00E178D4"/>
    <w:rsid w:val="00E17CFD"/>
    <w:rsid w:val="00E17E1A"/>
    <w:rsid w:val="00E21119"/>
    <w:rsid w:val="00E21634"/>
    <w:rsid w:val="00E21B46"/>
    <w:rsid w:val="00E22246"/>
    <w:rsid w:val="00E2224C"/>
    <w:rsid w:val="00E22467"/>
    <w:rsid w:val="00E226C0"/>
    <w:rsid w:val="00E2272D"/>
    <w:rsid w:val="00E22897"/>
    <w:rsid w:val="00E22BFA"/>
    <w:rsid w:val="00E22DD2"/>
    <w:rsid w:val="00E22E50"/>
    <w:rsid w:val="00E23948"/>
    <w:rsid w:val="00E23EB6"/>
    <w:rsid w:val="00E23F4E"/>
    <w:rsid w:val="00E24265"/>
    <w:rsid w:val="00E244D9"/>
    <w:rsid w:val="00E24ECB"/>
    <w:rsid w:val="00E253C8"/>
    <w:rsid w:val="00E2549C"/>
    <w:rsid w:val="00E25C69"/>
    <w:rsid w:val="00E25E77"/>
    <w:rsid w:val="00E25FBF"/>
    <w:rsid w:val="00E26705"/>
    <w:rsid w:val="00E268D9"/>
    <w:rsid w:val="00E2696B"/>
    <w:rsid w:val="00E26B92"/>
    <w:rsid w:val="00E27337"/>
    <w:rsid w:val="00E2759C"/>
    <w:rsid w:val="00E27DCB"/>
    <w:rsid w:val="00E27F33"/>
    <w:rsid w:val="00E3083E"/>
    <w:rsid w:val="00E30F46"/>
    <w:rsid w:val="00E3109F"/>
    <w:rsid w:val="00E310BD"/>
    <w:rsid w:val="00E3144E"/>
    <w:rsid w:val="00E315EC"/>
    <w:rsid w:val="00E3225C"/>
    <w:rsid w:val="00E32AE4"/>
    <w:rsid w:val="00E32D3A"/>
    <w:rsid w:val="00E32F52"/>
    <w:rsid w:val="00E32F5E"/>
    <w:rsid w:val="00E33210"/>
    <w:rsid w:val="00E33513"/>
    <w:rsid w:val="00E34317"/>
    <w:rsid w:val="00E344D8"/>
    <w:rsid w:val="00E3462D"/>
    <w:rsid w:val="00E34BDC"/>
    <w:rsid w:val="00E34D39"/>
    <w:rsid w:val="00E34FA3"/>
    <w:rsid w:val="00E35710"/>
    <w:rsid w:val="00E359C2"/>
    <w:rsid w:val="00E35BA3"/>
    <w:rsid w:val="00E35C92"/>
    <w:rsid w:val="00E360C0"/>
    <w:rsid w:val="00E362DE"/>
    <w:rsid w:val="00E366B0"/>
    <w:rsid w:val="00E36F33"/>
    <w:rsid w:val="00E37402"/>
    <w:rsid w:val="00E375C9"/>
    <w:rsid w:val="00E3775F"/>
    <w:rsid w:val="00E37B4B"/>
    <w:rsid w:val="00E37EB7"/>
    <w:rsid w:val="00E37F1F"/>
    <w:rsid w:val="00E402F8"/>
    <w:rsid w:val="00E408EE"/>
    <w:rsid w:val="00E40AE5"/>
    <w:rsid w:val="00E40C7B"/>
    <w:rsid w:val="00E40D6B"/>
    <w:rsid w:val="00E414AE"/>
    <w:rsid w:val="00E4177B"/>
    <w:rsid w:val="00E41C70"/>
    <w:rsid w:val="00E41D98"/>
    <w:rsid w:val="00E42076"/>
    <w:rsid w:val="00E428CB"/>
    <w:rsid w:val="00E42D8B"/>
    <w:rsid w:val="00E43305"/>
    <w:rsid w:val="00E4382C"/>
    <w:rsid w:val="00E43A7B"/>
    <w:rsid w:val="00E44184"/>
    <w:rsid w:val="00E443BF"/>
    <w:rsid w:val="00E44559"/>
    <w:rsid w:val="00E4457F"/>
    <w:rsid w:val="00E44682"/>
    <w:rsid w:val="00E44B08"/>
    <w:rsid w:val="00E44EA6"/>
    <w:rsid w:val="00E44EAF"/>
    <w:rsid w:val="00E455A1"/>
    <w:rsid w:val="00E45768"/>
    <w:rsid w:val="00E45E4C"/>
    <w:rsid w:val="00E45E7D"/>
    <w:rsid w:val="00E4633F"/>
    <w:rsid w:val="00E46860"/>
    <w:rsid w:val="00E468B0"/>
    <w:rsid w:val="00E468B8"/>
    <w:rsid w:val="00E46BAC"/>
    <w:rsid w:val="00E46EDE"/>
    <w:rsid w:val="00E472DA"/>
    <w:rsid w:val="00E4761A"/>
    <w:rsid w:val="00E504A2"/>
    <w:rsid w:val="00E50C86"/>
    <w:rsid w:val="00E511B7"/>
    <w:rsid w:val="00E5133B"/>
    <w:rsid w:val="00E5155C"/>
    <w:rsid w:val="00E5196F"/>
    <w:rsid w:val="00E51B5F"/>
    <w:rsid w:val="00E5222D"/>
    <w:rsid w:val="00E52242"/>
    <w:rsid w:val="00E526DF"/>
    <w:rsid w:val="00E52807"/>
    <w:rsid w:val="00E52A93"/>
    <w:rsid w:val="00E53149"/>
    <w:rsid w:val="00E539C8"/>
    <w:rsid w:val="00E539E4"/>
    <w:rsid w:val="00E53AE4"/>
    <w:rsid w:val="00E53E44"/>
    <w:rsid w:val="00E5420A"/>
    <w:rsid w:val="00E5488F"/>
    <w:rsid w:val="00E54B68"/>
    <w:rsid w:val="00E54C50"/>
    <w:rsid w:val="00E55142"/>
    <w:rsid w:val="00E55206"/>
    <w:rsid w:val="00E55264"/>
    <w:rsid w:val="00E55F97"/>
    <w:rsid w:val="00E5676C"/>
    <w:rsid w:val="00E56C01"/>
    <w:rsid w:val="00E56F01"/>
    <w:rsid w:val="00E57302"/>
    <w:rsid w:val="00E57B62"/>
    <w:rsid w:val="00E57CC2"/>
    <w:rsid w:val="00E60049"/>
    <w:rsid w:val="00E60871"/>
    <w:rsid w:val="00E60B9D"/>
    <w:rsid w:val="00E60C68"/>
    <w:rsid w:val="00E60CB1"/>
    <w:rsid w:val="00E60E9F"/>
    <w:rsid w:val="00E6103A"/>
    <w:rsid w:val="00E614AB"/>
    <w:rsid w:val="00E614D1"/>
    <w:rsid w:val="00E61591"/>
    <w:rsid w:val="00E61BEB"/>
    <w:rsid w:val="00E623C1"/>
    <w:rsid w:val="00E62465"/>
    <w:rsid w:val="00E6292A"/>
    <w:rsid w:val="00E63308"/>
    <w:rsid w:val="00E637EE"/>
    <w:rsid w:val="00E64554"/>
    <w:rsid w:val="00E64AA4"/>
    <w:rsid w:val="00E65067"/>
    <w:rsid w:val="00E6537B"/>
    <w:rsid w:val="00E65763"/>
    <w:rsid w:val="00E65AF9"/>
    <w:rsid w:val="00E65CB9"/>
    <w:rsid w:val="00E665C9"/>
    <w:rsid w:val="00E6724C"/>
    <w:rsid w:val="00E67668"/>
    <w:rsid w:val="00E6776E"/>
    <w:rsid w:val="00E67A96"/>
    <w:rsid w:val="00E67C36"/>
    <w:rsid w:val="00E67E0C"/>
    <w:rsid w:val="00E701E5"/>
    <w:rsid w:val="00E70943"/>
    <w:rsid w:val="00E710D2"/>
    <w:rsid w:val="00E71565"/>
    <w:rsid w:val="00E716D5"/>
    <w:rsid w:val="00E71759"/>
    <w:rsid w:val="00E717CE"/>
    <w:rsid w:val="00E717F9"/>
    <w:rsid w:val="00E71AE1"/>
    <w:rsid w:val="00E72FA5"/>
    <w:rsid w:val="00E734E1"/>
    <w:rsid w:val="00E7371F"/>
    <w:rsid w:val="00E73787"/>
    <w:rsid w:val="00E74271"/>
    <w:rsid w:val="00E74375"/>
    <w:rsid w:val="00E7479B"/>
    <w:rsid w:val="00E75589"/>
    <w:rsid w:val="00E755EC"/>
    <w:rsid w:val="00E756AC"/>
    <w:rsid w:val="00E758B5"/>
    <w:rsid w:val="00E763E5"/>
    <w:rsid w:val="00E76714"/>
    <w:rsid w:val="00E77237"/>
    <w:rsid w:val="00E7746A"/>
    <w:rsid w:val="00E77B0A"/>
    <w:rsid w:val="00E77D57"/>
    <w:rsid w:val="00E80433"/>
    <w:rsid w:val="00E80C0E"/>
    <w:rsid w:val="00E80D71"/>
    <w:rsid w:val="00E80FCC"/>
    <w:rsid w:val="00E8172C"/>
    <w:rsid w:val="00E81A5C"/>
    <w:rsid w:val="00E81CA6"/>
    <w:rsid w:val="00E81D03"/>
    <w:rsid w:val="00E81E52"/>
    <w:rsid w:val="00E825D6"/>
    <w:rsid w:val="00E82864"/>
    <w:rsid w:val="00E82A0A"/>
    <w:rsid w:val="00E82BA4"/>
    <w:rsid w:val="00E82F69"/>
    <w:rsid w:val="00E831D0"/>
    <w:rsid w:val="00E835CC"/>
    <w:rsid w:val="00E836DF"/>
    <w:rsid w:val="00E83762"/>
    <w:rsid w:val="00E837CD"/>
    <w:rsid w:val="00E83A43"/>
    <w:rsid w:val="00E83B91"/>
    <w:rsid w:val="00E84551"/>
    <w:rsid w:val="00E8486E"/>
    <w:rsid w:val="00E8497D"/>
    <w:rsid w:val="00E84B1B"/>
    <w:rsid w:val="00E84BC5"/>
    <w:rsid w:val="00E84D15"/>
    <w:rsid w:val="00E84D38"/>
    <w:rsid w:val="00E84D9E"/>
    <w:rsid w:val="00E84E0D"/>
    <w:rsid w:val="00E84F93"/>
    <w:rsid w:val="00E85074"/>
    <w:rsid w:val="00E85530"/>
    <w:rsid w:val="00E8582E"/>
    <w:rsid w:val="00E85AD4"/>
    <w:rsid w:val="00E85DA7"/>
    <w:rsid w:val="00E86052"/>
    <w:rsid w:val="00E86134"/>
    <w:rsid w:val="00E8614E"/>
    <w:rsid w:val="00E8645B"/>
    <w:rsid w:val="00E86EF0"/>
    <w:rsid w:val="00E8778D"/>
    <w:rsid w:val="00E87A35"/>
    <w:rsid w:val="00E87D16"/>
    <w:rsid w:val="00E90A06"/>
    <w:rsid w:val="00E90B13"/>
    <w:rsid w:val="00E914DE"/>
    <w:rsid w:val="00E9160B"/>
    <w:rsid w:val="00E91A9E"/>
    <w:rsid w:val="00E91C0C"/>
    <w:rsid w:val="00E9272D"/>
    <w:rsid w:val="00E934E5"/>
    <w:rsid w:val="00E938CE"/>
    <w:rsid w:val="00E93A75"/>
    <w:rsid w:val="00E940D7"/>
    <w:rsid w:val="00E94136"/>
    <w:rsid w:val="00E95BA3"/>
    <w:rsid w:val="00E96221"/>
    <w:rsid w:val="00E96342"/>
    <w:rsid w:val="00E96D2E"/>
    <w:rsid w:val="00E96D78"/>
    <w:rsid w:val="00E973A3"/>
    <w:rsid w:val="00E974D9"/>
    <w:rsid w:val="00E97947"/>
    <w:rsid w:val="00E97E79"/>
    <w:rsid w:val="00EA01BA"/>
    <w:rsid w:val="00EA025B"/>
    <w:rsid w:val="00EA047A"/>
    <w:rsid w:val="00EA054C"/>
    <w:rsid w:val="00EA0F79"/>
    <w:rsid w:val="00EA0FB4"/>
    <w:rsid w:val="00EA0FD2"/>
    <w:rsid w:val="00EA1384"/>
    <w:rsid w:val="00EA148F"/>
    <w:rsid w:val="00EA15A0"/>
    <w:rsid w:val="00EA1763"/>
    <w:rsid w:val="00EA1809"/>
    <w:rsid w:val="00EA18E9"/>
    <w:rsid w:val="00EA230D"/>
    <w:rsid w:val="00EA25DB"/>
    <w:rsid w:val="00EA2758"/>
    <w:rsid w:val="00EA2852"/>
    <w:rsid w:val="00EA2C05"/>
    <w:rsid w:val="00EA2C06"/>
    <w:rsid w:val="00EA2C47"/>
    <w:rsid w:val="00EA3131"/>
    <w:rsid w:val="00EA3371"/>
    <w:rsid w:val="00EA3E1B"/>
    <w:rsid w:val="00EA3EEC"/>
    <w:rsid w:val="00EA4066"/>
    <w:rsid w:val="00EA4098"/>
    <w:rsid w:val="00EA40F4"/>
    <w:rsid w:val="00EA420F"/>
    <w:rsid w:val="00EA4311"/>
    <w:rsid w:val="00EA45BE"/>
    <w:rsid w:val="00EA4B2B"/>
    <w:rsid w:val="00EA4BDF"/>
    <w:rsid w:val="00EA4E64"/>
    <w:rsid w:val="00EA4ECE"/>
    <w:rsid w:val="00EA56DC"/>
    <w:rsid w:val="00EA57B9"/>
    <w:rsid w:val="00EA5EAA"/>
    <w:rsid w:val="00EA600D"/>
    <w:rsid w:val="00EA650E"/>
    <w:rsid w:val="00EA6DD2"/>
    <w:rsid w:val="00EA7132"/>
    <w:rsid w:val="00EA73DA"/>
    <w:rsid w:val="00EA77BB"/>
    <w:rsid w:val="00EB01B8"/>
    <w:rsid w:val="00EB0A8D"/>
    <w:rsid w:val="00EB0DD3"/>
    <w:rsid w:val="00EB1379"/>
    <w:rsid w:val="00EB2659"/>
    <w:rsid w:val="00EB2D8B"/>
    <w:rsid w:val="00EB31F8"/>
    <w:rsid w:val="00EB3433"/>
    <w:rsid w:val="00EB3777"/>
    <w:rsid w:val="00EB3C8F"/>
    <w:rsid w:val="00EB3CD5"/>
    <w:rsid w:val="00EB40DA"/>
    <w:rsid w:val="00EB4278"/>
    <w:rsid w:val="00EB42E2"/>
    <w:rsid w:val="00EB436B"/>
    <w:rsid w:val="00EB4B08"/>
    <w:rsid w:val="00EB5211"/>
    <w:rsid w:val="00EB5237"/>
    <w:rsid w:val="00EB53FF"/>
    <w:rsid w:val="00EB55A4"/>
    <w:rsid w:val="00EB58FB"/>
    <w:rsid w:val="00EB5CAC"/>
    <w:rsid w:val="00EB6445"/>
    <w:rsid w:val="00EB6510"/>
    <w:rsid w:val="00EB670D"/>
    <w:rsid w:val="00EB6D51"/>
    <w:rsid w:val="00EB6ED5"/>
    <w:rsid w:val="00EB7409"/>
    <w:rsid w:val="00EB7461"/>
    <w:rsid w:val="00EB7B11"/>
    <w:rsid w:val="00EB7C13"/>
    <w:rsid w:val="00EB7E3E"/>
    <w:rsid w:val="00EB7FF2"/>
    <w:rsid w:val="00EC02A9"/>
    <w:rsid w:val="00EC0321"/>
    <w:rsid w:val="00EC033E"/>
    <w:rsid w:val="00EC08BA"/>
    <w:rsid w:val="00EC09FA"/>
    <w:rsid w:val="00EC1258"/>
    <w:rsid w:val="00EC125C"/>
    <w:rsid w:val="00EC14D7"/>
    <w:rsid w:val="00EC1624"/>
    <w:rsid w:val="00EC178A"/>
    <w:rsid w:val="00EC1893"/>
    <w:rsid w:val="00EC1DCF"/>
    <w:rsid w:val="00EC29D7"/>
    <w:rsid w:val="00EC2AA6"/>
    <w:rsid w:val="00EC3729"/>
    <w:rsid w:val="00EC3AF9"/>
    <w:rsid w:val="00EC3D95"/>
    <w:rsid w:val="00EC3E79"/>
    <w:rsid w:val="00EC44B5"/>
    <w:rsid w:val="00EC4569"/>
    <w:rsid w:val="00EC4641"/>
    <w:rsid w:val="00EC483E"/>
    <w:rsid w:val="00EC4E2F"/>
    <w:rsid w:val="00EC53D0"/>
    <w:rsid w:val="00EC556C"/>
    <w:rsid w:val="00EC5ADD"/>
    <w:rsid w:val="00EC626F"/>
    <w:rsid w:val="00EC6AD4"/>
    <w:rsid w:val="00EC6F2C"/>
    <w:rsid w:val="00EC71F3"/>
    <w:rsid w:val="00EC7395"/>
    <w:rsid w:val="00EC7B79"/>
    <w:rsid w:val="00ED041D"/>
    <w:rsid w:val="00ED0709"/>
    <w:rsid w:val="00ED0BAF"/>
    <w:rsid w:val="00ED1343"/>
    <w:rsid w:val="00ED14FF"/>
    <w:rsid w:val="00ED1D7F"/>
    <w:rsid w:val="00ED1E7D"/>
    <w:rsid w:val="00ED2376"/>
    <w:rsid w:val="00ED2748"/>
    <w:rsid w:val="00ED27A1"/>
    <w:rsid w:val="00ED2B4D"/>
    <w:rsid w:val="00ED3AFE"/>
    <w:rsid w:val="00ED3B5E"/>
    <w:rsid w:val="00ED414A"/>
    <w:rsid w:val="00ED426F"/>
    <w:rsid w:val="00ED4F63"/>
    <w:rsid w:val="00ED5547"/>
    <w:rsid w:val="00ED58E1"/>
    <w:rsid w:val="00ED5EEE"/>
    <w:rsid w:val="00ED6006"/>
    <w:rsid w:val="00ED6618"/>
    <w:rsid w:val="00ED6B0E"/>
    <w:rsid w:val="00ED6C57"/>
    <w:rsid w:val="00ED6D4F"/>
    <w:rsid w:val="00ED721E"/>
    <w:rsid w:val="00ED7520"/>
    <w:rsid w:val="00ED75AA"/>
    <w:rsid w:val="00EE0226"/>
    <w:rsid w:val="00EE0263"/>
    <w:rsid w:val="00EE0269"/>
    <w:rsid w:val="00EE05B1"/>
    <w:rsid w:val="00EE0B73"/>
    <w:rsid w:val="00EE0C8A"/>
    <w:rsid w:val="00EE12E4"/>
    <w:rsid w:val="00EE13BB"/>
    <w:rsid w:val="00EE1A9B"/>
    <w:rsid w:val="00EE1D05"/>
    <w:rsid w:val="00EE1F2D"/>
    <w:rsid w:val="00EE20D8"/>
    <w:rsid w:val="00EE2438"/>
    <w:rsid w:val="00EE26C2"/>
    <w:rsid w:val="00EE27BB"/>
    <w:rsid w:val="00EE3921"/>
    <w:rsid w:val="00EE3B62"/>
    <w:rsid w:val="00EE409C"/>
    <w:rsid w:val="00EE43FB"/>
    <w:rsid w:val="00EE48F4"/>
    <w:rsid w:val="00EE49A0"/>
    <w:rsid w:val="00EE4A90"/>
    <w:rsid w:val="00EE4AB5"/>
    <w:rsid w:val="00EE5455"/>
    <w:rsid w:val="00EE63E3"/>
    <w:rsid w:val="00EE6CDC"/>
    <w:rsid w:val="00EE7439"/>
    <w:rsid w:val="00EE7B8E"/>
    <w:rsid w:val="00EE7BBF"/>
    <w:rsid w:val="00EE7BFB"/>
    <w:rsid w:val="00EE7D75"/>
    <w:rsid w:val="00EF0189"/>
    <w:rsid w:val="00EF0AA8"/>
    <w:rsid w:val="00EF0DBC"/>
    <w:rsid w:val="00EF0DEC"/>
    <w:rsid w:val="00EF135D"/>
    <w:rsid w:val="00EF1B80"/>
    <w:rsid w:val="00EF1D54"/>
    <w:rsid w:val="00EF1E59"/>
    <w:rsid w:val="00EF227F"/>
    <w:rsid w:val="00EF267D"/>
    <w:rsid w:val="00EF2C51"/>
    <w:rsid w:val="00EF2C5C"/>
    <w:rsid w:val="00EF2CD3"/>
    <w:rsid w:val="00EF35A6"/>
    <w:rsid w:val="00EF391C"/>
    <w:rsid w:val="00EF39FB"/>
    <w:rsid w:val="00EF3BEF"/>
    <w:rsid w:val="00EF3CA9"/>
    <w:rsid w:val="00EF42F4"/>
    <w:rsid w:val="00EF48D2"/>
    <w:rsid w:val="00EF4A95"/>
    <w:rsid w:val="00EF4AE2"/>
    <w:rsid w:val="00EF4C0D"/>
    <w:rsid w:val="00EF4EB6"/>
    <w:rsid w:val="00EF557C"/>
    <w:rsid w:val="00EF55F7"/>
    <w:rsid w:val="00EF567D"/>
    <w:rsid w:val="00EF5765"/>
    <w:rsid w:val="00EF5C1B"/>
    <w:rsid w:val="00EF5C3B"/>
    <w:rsid w:val="00EF60A0"/>
    <w:rsid w:val="00EF67BE"/>
    <w:rsid w:val="00EF6C1F"/>
    <w:rsid w:val="00EF6C45"/>
    <w:rsid w:val="00EF6E16"/>
    <w:rsid w:val="00EF6EEB"/>
    <w:rsid w:val="00EF6F8F"/>
    <w:rsid w:val="00EF7124"/>
    <w:rsid w:val="00EF7498"/>
    <w:rsid w:val="00EF7741"/>
    <w:rsid w:val="00EF787C"/>
    <w:rsid w:val="00F00104"/>
    <w:rsid w:val="00F00896"/>
    <w:rsid w:val="00F013A7"/>
    <w:rsid w:val="00F013F1"/>
    <w:rsid w:val="00F01908"/>
    <w:rsid w:val="00F01C2B"/>
    <w:rsid w:val="00F01E1D"/>
    <w:rsid w:val="00F02188"/>
    <w:rsid w:val="00F021E3"/>
    <w:rsid w:val="00F02901"/>
    <w:rsid w:val="00F03311"/>
    <w:rsid w:val="00F033FF"/>
    <w:rsid w:val="00F034D0"/>
    <w:rsid w:val="00F035E3"/>
    <w:rsid w:val="00F037F2"/>
    <w:rsid w:val="00F03E36"/>
    <w:rsid w:val="00F04361"/>
    <w:rsid w:val="00F04401"/>
    <w:rsid w:val="00F055D2"/>
    <w:rsid w:val="00F05CFE"/>
    <w:rsid w:val="00F05FC0"/>
    <w:rsid w:val="00F06067"/>
    <w:rsid w:val="00F0629A"/>
    <w:rsid w:val="00F06652"/>
    <w:rsid w:val="00F0685D"/>
    <w:rsid w:val="00F069DC"/>
    <w:rsid w:val="00F069E8"/>
    <w:rsid w:val="00F06DB8"/>
    <w:rsid w:val="00F076E8"/>
    <w:rsid w:val="00F07859"/>
    <w:rsid w:val="00F102B1"/>
    <w:rsid w:val="00F10825"/>
    <w:rsid w:val="00F10CC7"/>
    <w:rsid w:val="00F11419"/>
    <w:rsid w:val="00F11513"/>
    <w:rsid w:val="00F115C8"/>
    <w:rsid w:val="00F11A9E"/>
    <w:rsid w:val="00F11C04"/>
    <w:rsid w:val="00F11CEC"/>
    <w:rsid w:val="00F12018"/>
    <w:rsid w:val="00F12335"/>
    <w:rsid w:val="00F12368"/>
    <w:rsid w:val="00F124A2"/>
    <w:rsid w:val="00F12660"/>
    <w:rsid w:val="00F126FB"/>
    <w:rsid w:val="00F13323"/>
    <w:rsid w:val="00F13329"/>
    <w:rsid w:val="00F13A1C"/>
    <w:rsid w:val="00F13B04"/>
    <w:rsid w:val="00F14292"/>
    <w:rsid w:val="00F143F9"/>
    <w:rsid w:val="00F14595"/>
    <w:rsid w:val="00F150C6"/>
    <w:rsid w:val="00F15170"/>
    <w:rsid w:val="00F15D16"/>
    <w:rsid w:val="00F15D3E"/>
    <w:rsid w:val="00F160B7"/>
    <w:rsid w:val="00F165D3"/>
    <w:rsid w:val="00F16BD1"/>
    <w:rsid w:val="00F1746C"/>
    <w:rsid w:val="00F174CA"/>
    <w:rsid w:val="00F17532"/>
    <w:rsid w:val="00F179D3"/>
    <w:rsid w:val="00F17E32"/>
    <w:rsid w:val="00F17F0C"/>
    <w:rsid w:val="00F20395"/>
    <w:rsid w:val="00F203C5"/>
    <w:rsid w:val="00F21319"/>
    <w:rsid w:val="00F21523"/>
    <w:rsid w:val="00F21FBA"/>
    <w:rsid w:val="00F2237D"/>
    <w:rsid w:val="00F229CE"/>
    <w:rsid w:val="00F22B98"/>
    <w:rsid w:val="00F22D47"/>
    <w:rsid w:val="00F2323E"/>
    <w:rsid w:val="00F2325A"/>
    <w:rsid w:val="00F238F1"/>
    <w:rsid w:val="00F23964"/>
    <w:rsid w:val="00F23AB7"/>
    <w:rsid w:val="00F23CEC"/>
    <w:rsid w:val="00F23F79"/>
    <w:rsid w:val="00F24204"/>
    <w:rsid w:val="00F24524"/>
    <w:rsid w:val="00F24960"/>
    <w:rsid w:val="00F249A5"/>
    <w:rsid w:val="00F24C49"/>
    <w:rsid w:val="00F24D6C"/>
    <w:rsid w:val="00F2540E"/>
    <w:rsid w:val="00F25458"/>
    <w:rsid w:val="00F25629"/>
    <w:rsid w:val="00F25DDE"/>
    <w:rsid w:val="00F26047"/>
    <w:rsid w:val="00F261C2"/>
    <w:rsid w:val="00F265D3"/>
    <w:rsid w:val="00F26C8E"/>
    <w:rsid w:val="00F279B5"/>
    <w:rsid w:val="00F30074"/>
    <w:rsid w:val="00F30781"/>
    <w:rsid w:val="00F30789"/>
    <w:rsid w:val="00F30E01"/>
    <w:rsid w:val="00F30F2A"/>
    <w:rsid w:val="00F31115"/>
    <w:rsid w:val="00F31276"/>
    <w:rsid w:val="00F3155D"/>
    <w:rsid w:val="00F31684"/>
    <w:rsid w:val="00F317EC"/>
    <w:rsid w:val="00F31DB0"/>
    <w:rsid w:val="00F31F97"/>
    <w:rsid w:val="00F323F0"/>
    <w:rsid w:val="00F323F7"/>
    <w:rsid w:val="00F32CE8"/>
    <w:rsid w:val="00F336F4"/>
    <w:rsid w:val="00F337A2"/>
    <w:rsid w:val="00F34FA9"/>
    <w:rsid w:val="00F3599E"/>
    <w:rsid w:val="00F359C0"/>
    <w:rsid w:val="00F35CD9"/>
    <w:rsid w:val="00F360B7"/>
    <w:rsid w:val="00F36129"/>
    <w:rsid w:val="00F36484"/>
    <w:rsid w:val="00F36593"/>
    <w:rsid w:val="00F36A95"/>
    <w:rsid w:val="00F373DC"/>
    <w:rsid w:val="00F3762B"/>
    <w:rsid w:val="00F37811"/>
    <w:rsid w:val="00F37AED"/>
    <w:rsid w:val="00F37F67"/>
    <w:rsid w:val="00F40579"/>
    <w:rsid w:val="00F406DA"/>
    <w:rsid w:val="00F41C33"/>
    <w:rsid w:val="00F42175"/>
    <w:rsid w:val="00F42553"/>
    <w:rsid w:val="00F4327A"/>
    <w:rsid w:val="00F4360E"/>
    <w:rsid w:val="00F43B96"/>
    <w:rsid w:val="00F43DE5"/>
    <w:rsid w:val="00F43E11"/>
    <w:rsid w:val="00F44131"/>
    <w:rsid w:val="00F4420D"/>
    <w:rsid w:val="00F443E4"/>
    <w:rsid w:val="00F44912"/>
    <w:rsid w:val="00F44998"/>
    <w:rsid w:val="00F44AA5"/>
    <w:rsid w:val="00F451DB"/>
    <w:rsid w:val="00F45559"/>
    <w:rsid w:val="00F459DC"/>
    <w:rsid w:val="00F45B6A"/>
    <w:rsid w:val="00F45BF9"/>
    <w:rsid w:val="00F4650F"/>
    <w:rsid w:val="00F466A8"/>
    <w:rsid w:val="00F466B2"/>
    <w:rsid w:val="00F466D3"/>
    <w:rsid w:val="00F46B5E"/>
    <w:rsid w:val="00F47558"/>
    <w:rsid w:val="00F47880"/>
    <w:rsid w:val="00F47F4B"/>
    <w:rsid w:val="00F50068"/>
    <w:rsid w:val="00F5023B"/>
    <w:rsid w:val="00F50A6C"/>
    <w:rsid w:val="00F50C98"/>
    <w:rsid w:val="00F51242"/>
    <w:rsid w:val="00F516B7"/>
    <w:rsid w:val="00F51706"/>
    <w:rsid w:val="00F51BD8"/>
    <w:rsid w:val="00F51E66"/>
    <w:rsid w:val="00F5290B"/>
    <w:rsid w:val="00F5319A"/>
    <w:rsid w:val="00F532F0"/>
    <w:rsid w:val="00F5391B"/>
    <w:rsid w:val="00F53B1D"/>
    <w:rsid w:val="00F54147"/>
    <w:rsid w:val="00F5432C"/>
    <w:rsid w:val="00F54A14"/>
    <w:rsid w:val="00F54CDA"/>
    <w:rsid w:val="00F55102"/>
    <w:rsid w:val="00F552D1"/>
    <w:rsid w:val="00F5559D"/>
    <w:rsid w:val="00F556CD"/>
    <w:rsid w:val="00F55840"/>
    <w:rsid w:val="00F558ED"/>
    <w:rsid w:val="00F55DEB"/>
    <w:rsid w:val="00F56040"/>
    <w:rsid w:val="00F563BD"/>
    <w:rsid w:val="00F56C98"/>
    <w:rsid w:val="00F5727C"/>
    <w:rsid w:val="00F576EA"/>
    <w:rsid w:val="00F60D9C"/>
    <w:rsid w:val="00F60E75"/>
    <w:rsid w:val="00F60EF3"/>
    <w:rsid w:val="00F61197"/>
    <w:rsid w:val="00F61275"/>
    <w:rsid w:val="00F612CA"/>
    <w:rsid w:val="00F6183A"/>
    <w:rsid w:val="00F61CCB"/>
    <w:rsid w:val="00F61E00"/>
    <w:rsid w:val="00F62191"/>
    <w:rsid w:val="00F6231B"/>
    <w:rsid w:val="00F62353"/>
    <w:rsid w:val="00F62414"/>
    <w:rsid w:val="00F626B2"/>
    <w:rsid w:val="00F62C7D"/>
    <w:rsid w:val="00F62F13"/>
    <w:rsid w:val="00F62FC1"/>
    <w:rsid w:val="00F6301E"/>
    <w:rsid w:val="00F63106"/>
    <w:rsid w:val="00F63A4C"/>
    <w:rsid w:val="00F63C1A"/>
    <w:rsid w:val="00F642B0"/>
    <w:rsid w:val="00F64942"/>
    <w:rsid w:val="00F64AFF"/>
    <w:rsid w:val="00F64C62"/>
    <w:rsid w:val="00F64E4C"/>
    <w:rsid w:val="00F64F2B"/>
    <w:rsid w:val="00F65098"/>
    <w:rsid w:val="00F65117"/>
    <w:rsid w:val="00F65192"/>
    <w:rsid w:val="00F662F0"/>
    <w:rsid w:val="00F667F5"/>
    <w:rsid w:val="00F66DE4"/>
    <w:rsid w:val="00F674EC"/>
    <w:rsid w:val="00F676F6"/>
    <w:rsid w:val="00F67A1C"/>
    <w:rsid w:val="00F67CD0"/>
    <w:rsid w:val="00F67DC9"/>
    <w:rsid w:val="00F67E4B"/>
    <w:rsid w:val="00F70DB1"/>
    <w:rsid w:val="00F70EA2"/>
    <w:rsid w:val="00F713EF"/>
    <w:rsid w:val="00F715A6"/>
    <w:rsid w:val="00F71A68"/>
    <w:rsid w:val="00F72171"/>
    <w:rsid w:val="00F722ED"/>
    <w:rsid w:val="00F72596"/>
    <w:rsid w:val="00F72625"/>
    <w:rsid w:val="00F72C74"/>
    <w:rsid w:val="00F73217"/>
    <w:rsid w:val="00F73450"/>
    <w:rsid w:val="00F73546"/>
    <w:rsid w:val="00F73806"/>
    <w:rsid w:val="00F7399B"/>
    <w:rsid w:val="00F7461C"/>
    <w:rsid w:val="00F74867"/>
    <w:rsid w:val="00F7554D"/>
    <w:rsid w:val="00F75CDE"/>
    <w:rsid w:val="00F75E0B"/>
    <w:rsid w:val="00F75E6E"/>
    <w:rsid w:val="00F760DA"/>
    <w:rsid w:val="00F7621E"/>
    <w:rsid w:val="00F762FE"/>
    <w:rsid w:val="00F7636E"/>
    <w:rsid w:val="00F76431"/>
    <w:rsid w:val="00F76B52"/>
    <w:rsid w:val="00F76C67"/>
    <w:rsid w:val="00F771C1"/>
    <w:rsid w:val="00F772FD"/>
    <w:rsid w:val="00F7792D"/>
    <w:rsid w:val="00F801F1"/>
    <w:rsid w:val="00F8022A"/>
    <w:rsid w:val="00F80588"/>
    <w:rsid w:val="00F8066C"/>
    <w:rsid w:val="00F80C1C"/>
    <w:rsid w:val="00F80CF8"/>
    <w:rsid w:val="00F80DC6"/>
    <w:rsid w:val="00F80F50"/>
    <w:rsid w:val="00F80FE6"/>
    <w:rsid w:val="00F810B2"/>
    <w:rsid w:val="00F81111"/>
    <w:rsid w:val="00F819CB"/>
    <w:rsid w:val="00F81AA4"/>
    <w:rsid w:val="00F81ED0"/>
    <w:rsid w:val="00F8240B"/>
    <w:rsid w:val="00F82444"/>
    <w:rsid w:val="00F82469"/>
    <w:rsid w:val="00F826B1"/>
    <w:rsid w:val="00F826E7"/>
    <w:rsid w:val="00F8289B"/>
    <w:rsid w:val="00F836D4"/>
    <w:rsid w:val="00F8380A"/>
    <w:rsid w:val="00F83CDD"/>
    <w:rsid w:val="00F842E4"/>
    <w:rsid w:val="00F8474E"/>
    <w:rsid w:val="00F851CF"/>
    <w:rsid w:val="00F85977"/>
    <w:rsid w:val="00F86127"/>
    <w:rsid w:val="00F86197"/>
    <w:rsid w:val="00F865ED"/>
    <w:rsid w:val="00F865FE"/>
    <w:rsid w:val="00F8669D"/>
    <w:rsid w:val="00F876A0"/>
    <w:rsid w:val="00F877B8"/>
    <w:rsid w:val="00F87A2C"/>
    <w:rsid w:val="00F904D8"/>
    <w:rsid w:val="00F90562"/>
    <w:rsid w:val="00F9068D"/>
    <w:rsid w:val="00F90717"/>
    <w:rsid w:val="00F90A66"/>
    <w:rsid w:val="00F90E05"/>
    <w:rsid w:val="00F9106F"/>
    <w:rsid w:val="00F91075"/>
    <w:rsid w:val="00F91590"/>
    <w:rsid w:val="00F917B3"/>
    <w:rsid w:val="00F91B1A"/>
    <w:rsid w:val="00F91CE0"/>
    <w:rsid w:val="00F91F23"/>
    <w:rsid w:val="00F91FE6"/>
    <w:rsid w:val="00F92571"/>
    <w:rsid w:val="00F93114"/>
    <w:rsid w:val="00F93115"/>
    <w:rsid w:val="00F931C3"/>
    <w:rsid w:val="00F93B32"/>
    <w:rsid w:val="00F94371"/>
    <w:rsid w:val="00F9480D"/>
    <w:rsid w:val="00F94C9C"/>
    <w:rsid w:val="00F9512C"/>
    <w:rsid w:val="00F9530F"/>
    <w:rsid w:val="00F9558D"/>
    <w:rsid w:val="00F9564B"/>
    <w:rsid w:val="00F9598A"/>
    <w:rsid w:val="00F962A0"/>
    <w:rsid w:val="00F9642A"/>
    <w:rsid w:val="00F965D9"/>
    <w:rsid w:val="00F96964"/>
    <w:rsid w:val="00F96B50"/>
    <w:rsid w:val="00F97191"/>
    <w:rsid w:val="00F97885"/>
    <w:rsid w:val="00F9792D"/>
    <w:rsid w:val="00F97D6F"/>
    <w:rsid w:val="00F97DF9"/>
    <w:rsid w:val="00F97E81"/>
    <w:rsid w:val="00FA05E0"/>
    <w:rsid w:val="00FA09BE"/>
    <w:rsid w:val="00FA14CA"/>
    <w:rsid w:val="00FA1583"/>
    <w:rsid w:val="00FA1DD1"/>
    <w:rsid w:val="00FA2119"/>
    <w:rsid w:val="00FA305C"/>
    <w:rsid w:val="00FA3079"/>
    <w:rsid w:val="00FA341E"/>
    <w:rsid w:val="00FA36B3"/>
    <w:rsid w:val="00FA3DC8"/>
    <w:rsid w:val="00FA4CEA"/>
    <w:rsid w:val="00FA522C"/>
    <w:rsid w:val="00FA5758"/>
    <w:rsid w:val="00FA6CA6"/>
    <w:rsid w:val="00FA6F09"/>
    <w:rsid w:val="00FA7332"/>
    <w:rsid w:val="00FA734E"/>
    <w:rsid w:val="00FA7414"/>
    <w:rsid w:val="00FA7602"/>
    <w:rsid w:val="00FB0384"/>
    <w:rsid w:val="00FB0601"/>
    <w:rsid w:val="00FB0D95"/>
    <w:rsid w:val="00FB100B"/>
    <w:rsid w:val="00FB16AA"/>
    <w:rsid w:val="00FB1A93"/>
    <w:rsid w:val="00FB1D27"/>
    <w:rsid w:val="00FB227B"/>
    <w:rsid w:val="00FB2B67"/>
    <w:rsid w:val="00FB2F2A"/>
    <w:rsid w:val="00FB2FAB"/>
    <w:rsid w:val="00FB3272"/>
    <w:rsid w:val="00FB44E2"/>
    <w:rsid w:val="00FB46F2"/>
    <w:rsid w:val="00FB4D15"/>
    <w:rsid w:val="00FB4DB3"/>
    <w:rsid w:val="00FB52F2"/>
    <w:rsid w:val="00FB55B6"/>
    <w:rsid w:val="00FB6355"/>
    <w:rsid w:val="00FB644C"/>
    <w:rsid w:val="00FB66AE"/>
    <w:rsid w:val="00FB69C8"/>
    <w:rsid w:val="00FB6BA8"/>
    <w:rsid w:val="00FB6C40"/>
    <w:rsid w:val="00FB6E4C"/>
    <w:rsid w:val="00FB728D"/>
    <w:rsid w:val="00FB72E2"/>
    <w:rsid w:val="00FB734F"/>
    <w:rsid w:val="00FC026A"/>
    <w:rsid w:val="00FC037F"/>
    <w:rsid w:val="00FC0A94"/>
    <w:rsid w:val="00FC0D90"/>
    <w:rsid w:val="00FC0DBC"/>
    <w:rsid w:val="00FC0F37"/>
    <w:rsid w:val="00FC1E0C"/>
    <w:rsid w:val="00FC2E6E"/>
    <w:rsid w:val="00FC300F"/>
    <w:rsid w:val="00FC31F7"/>
    <w:rsid w:val="00FC3CA2"/>
    <w:rsid w:val="00FC3E7B"/>
    <w:rsid w:val="00FC4193"/>
    <w:rsid w:val="00FC47B4"/>
    <w:rsid w:val="00FC483A"/>
    <w:rsid w:val="00FC4AC8"/>
    <w:rsid w:val="00FC5273"/>
    <w:rsid w:val="00FC6147"/>
    <w:rsid w:val="00FC6610"/>
    <w:rsid w:val="00FC6B11"/>
    <w:rsid w:val="00FC7BFB"/>
    <w:rsid w:val="00FC7ED6"/>
    <w:rsid w:val="00FC7EE5"/>
    <w:rsid w:val="00FD03C4"/>
    <w:rsid w:val="00FD0406"/>
    <w:rsid w:val="00FD0D6E"/>
    <w:rsid w:val="00FD1758"/>
    <w:rsid w:val="00FD1B0A"/>
    <w:rsid w:val="00FD1E03"/>
    <w:rsid w:val="00FD1E90"/>
    <w:rsid w:val="00FD1E9F"/>
    <w:rsid w:val="00FD2179"/>
    <w:rsid w:val="00FD2311"/>
    <w:rsid w:val="00FD2FF1"/>
    <w:rsid w:val="00FD3138"/>
    <w:rsid w:val="00FD3BE5"/>
    <w:rsid w:val="00FD3C22"/>
    <w:rsid w:val="00FD4014"/>
    <w:rsid w:val="00FD424A"/>
    <w:rsid w:val="00FD44A6"/>
    <w:rsid w:val="00FD4A08"/>
    <w:rsid w:val="00FD4B1A"/>
    <w:rsid w:val="00FD4C8A"/>
    <w:rsid w:val="00FD573A"/>
    <w:rsid w:val="00FD58A6"/>
    <w:rsid w:val="00FD5979"/>
    <w:rsid w:val="00FD5F9E"/>
    <w:rsid w:val="00FD66AF"/>
    <w:rsid w:val="00FD68C6"/>
    <w:rsid w:val="00FD6D33"/>
    <w:rsid w:val="00FD70F9"/>
    <w:rsid w:val="00FD7118"/>
    <w:rsid w:val="00FD74B8"/>
    <w:rsid w:val="00FD7F59"/>
    <w:rsid w:val="00FE054B"/>
    <w:rsid w:val="00FE0788"/>
    <w:rsid w:val="00FE0812"/>
    <w:rsid w:val="00FE09EA"/>
    <w:rsid w:val="00FE0C7D"/>
    <w:rsid w:val="00FE0D93"/>
    <w:rsid w:val="00FE1039"/>
    <w:rsid w:val="00FE1226"/>
    <w:rsid w:val="00FE1ACC"/>
    <w:rsid w:val="00FE1AF7"/>
    <w:rsid w:val="00FE1B8B"/>
    <w:rsid w:val="00FE1E50"/>
    <w:rsid w:val="00FE2682"/>
    <w:rsid w:val="00FE276F"/>
    <w:rsid w:val="00FE27D1"/>
    <w:rsid w:val="00FE27F7"/>
    <w:rsid w:val="00FE2845"/>
    <w:rsid w:val="00FE2FA0"/>
    <w:rsid w:val="00FE398C"/>
    <w:rsid w:val="00FE3B3C"/>
    <w:rsid w:val="00FE3CF3"/>
    <w:rsid w:val="00FE424D"/>
    <w:rsid w:val="00FE4299"/>
    <w:rsid w:val="00FE43EF"/>
    <w:rsid w:val="00FE471C"/>
    <w:rsid w:val="00FE4920"/>
    <w:rsid w:val="00FE4E51"/>
    <w:rsid w:val="00FE4EE0"/>
    <w:rsid w:val="00FE5560"/>
    <w:rsid w:val="00FE5F9A"/>
    <w:rsid w:val="00FE681D"/>
    <w:rsid w:val="00FE6B74"/>
    <w:rsid w:val="00FE7427"/>
    <w:rsid w:val="00FE7724"/>
    <w:rsid w:val="00FE77F8"/>
    <w:rsid w:val="00FE7AF9"/>
    <w:rsid w:val="00FE7FE2"/>
    <w:rsid w:val="00FF064A"/>
    <w:rsid w:val="00FF0858"/>
    <w:rsid w:val="00FF0A54"/>
    <w:rsid w:val="00FF0BE4"/>
    <w:rsid w:val="00FF0ED7"/>
    <w:rsid w:val="00FF0F5B"/>
    <w:rsid w:val="00FF109E"/>
    <w:rsid w:val="00FF138F"/>
    <w:rsid w:val="00FF1B5D"/>
    <w:rsid w:val="00FF2314"/>
    <w:rsid w:val="00FF23E9"/>
    <w:rsid w:val="00FF27BF"/>
    <w:rsid w:val="00FF2937"/>
    <w:rsid w:val="00FF2B74"/>
    <w:rsid w:val="00FF2BE8"/>
    <w:rsid w:val="00FF3267"/>
    <w:rsid w:val="00FF3DB1"/>
    <w:rsid w:val="00FF44D5"/>
    <w:rsid w:val="00FF481C"/>
    <w:rsid w:val="00FF4F13"/>
    <w:rsid w:val="00FF5120"/>
    <w:rsid w:val="00FF6042"/>
    <w:rsid w:val="00FF67BB"/>
    <w:rsid w:val="00FF6D34"/>
    <w:rsid w:val="00FF6EB5"/>
    <w:rsid w:val="00FF6F2C"/>
    <w:rsid w:val="00FF715A"/>
    <w:rsid w:val="00FF7219"/>
    <w:rsid w:val="00FF7907"/>
    <w:rsid w:val="0171EBED"/>
    <w:rsid w:val="0173CD77"/>
    <w:rsid w:val="04E279A2"/>
    <w:rsid w:val="05C4BD7E"/>
    <w:rsid w:val="05D4FE4A"/>
    <w:rsid w:val="06A5B108"/>
    <w:rsid w:val="07228C53"/>
    <w:rsid w:val="079BA85C"/>
    <w:rsid w:val="0853F6C3"/>
    <w:rsid w:val="08ED4E78"/>
    <w:rsid w:val="09119526"/>
    <w:rsid w:val="0974DE76"/>
    <w:rsid w:val="0AC30114"/>
    <w:rsid w:val="0ACC4F60"/>
    <w:rsid w:val="0AD9CB91"/>
    <w:rsid w:val="0B5C3C23"/>
    <w:rsid w:val="0BB16B2E"/>
    <w:rsid w:val="0C2457C2"/>
    <w:rsid w:val="0E02FE9B"/>
    <w:rsid w:val="0FF1D20A"/>
    <w:rsid w:val="121D1BE6"/>
    <w:rsid w:val="124C15AF"/>
    <w:rsid w:val="13BB1756"/>
    <w:rsid w:val="140E0B29"/>
    <w:rsid w:val="1537FDDE"/>
    <w:rsid w:val="155E3DC5"/>
    <w:rsid w:val="165A51EA"/>
    <w:rsid w:val="1700CBC1"/>
    <w:rsid w:val="176B384E"/>
    <w:rsid w:val="17D8FEDA"/>
    <w:rsid w:val="17FD82F1"/>
    <w:rsid w:val="1927B8F0"/>
    <w:rsid w:val="19C70744"/>
    <w:rsid w:val="19D6787D"/>
    <w:rsid w:val="19E0FE88"/>
    <w:rsid w:val="1A2A8BAB"/>
    <w:rsid w:val="1AFE9A7C"/>
    <w:rsid w:val="1B06B9D8"/>
    <w:rsid w:val="1B7B0DCB"/>
    <w:rsid w:val="1BFCF5CD"/>
    <w:rsid w:val="1C0ABB83"/>
    <w:rsid w:val="1C6BE3B8"/>
    <w:rsid w:val="1D2E5843"/>
    <w:rsid w:val="1DC3AF55"/>
    <w:rsid w:val="1E6A292C"/>
    <w:rsid w:val="1F0B78FF"/>
    <w:rsid w:val="1F3B6BD9"/>
    <w:rsid w:val="1F68368A"/>
    <w:rsid w:val="1F8F7C7B"/>
    <w:rsid w:val="1F974867"/>
    <w:rsid w:val="1FD9CA50"/>
    <w:rsid w:val="2044FC2F"/>
    <w:rsid w:val="20AE741E"/>
    <w:rsid w:val="20B097AC"/>
    <w:rsid w:val="21B36A67"/>
    <w:rsid w:val="21C86E7C"/>
    <w:rsid w:val="21CA34E4"/>
    <w:rsid w:val="228BEB73"/>
    <w:rsid w:val="23018D05"/>
    <w:rsid w:val="2355FD5A"/>
    <w:rsid w:val="248039F5"/>
    <w:rsid w:val="2508F8E3"/>
    <w:rsid w:val="2551E769"/>
    <w:rsid w:val="2561A82A"/>
    <w:rsid w:val="2569FDCF"/>
    <w:rsid w:val="259FCE88"/>
    <w:rsid w:val="25EB1E6B"/>
    <w:rsid w:val="25EC177C"/>
    <w:rsid w:val="2622F781"/>
    <w:rsid w:val="26FD39BF"/>
    <w:rsid w:val="271EDD11"/>
    <w:rsid w:val="278F15B2"/>
    <w:rsid w:val="27EE2685"/>
    <w:rsid w:val="282991F6"/>
    <w:rsid w:val="28FE7571"/>
    <w:rsid w:val="290436ED"/>
    <w:rsid w:val="295230FD"/>
    <w:rsid w:val="29C43DC8"/>
    <w:rsid w:val="2A3E8466"/>
    <w:rsid w:val="2AEAA699"/>
    <w:rsid w:val="2AFEBE12"/>
    <w:rsid w:val="2B3C91C4"/>
    <w:rsid w:val="2B578A26"/>
    <w:rsid w:val="2B756468"/>
    <w:rsid w:val="2C015DFC"/>
    <w:rsid w:val="2CC03140"/>
    <w:rsid w:val="2E4D2951"/>
    <w:rsid w:val="2F9E7BA2"/>
    <w:rsid w:val="2FA402C3"/>
    <w:rsid w:val="30865B1C"/>
    <w:rsid w:val="313E3F8D"/>
    <w:rsid w:val="314FE402"/>
    <w:rsid w:val="31FC0BD8"/>
    <w:rsid w:val="320407E4"/>
    <w:rsid w:val="3219E0DA"/>
    <w:rsid w:val="321B0532"/>
    <w:rsid w:val="32803DFA"/>
    <w:rsid w:val="32D02DB7"/>
    <w:rsid w:val="32F9913F"/>
    <w:rsid w:val="3361301B"/>
    <w:rsid w:val="3387DED8"/>
    <w:rsid w:val="347385F1"/>
    <w:rsid w:val="3543635B"/>
    <w:rsid w:val="3594D1B6"/>
    <w:rsid w:val="35AE6760"/>
    <w:rsid w:val="35E5FD40"/>
    <w:rsid w:val="38015900"/>
    <w:rsid w:val="3817CC78"/>
    <w:rsid w:val="382E3EF5"/>
    <w:rsid w:val="38464BE6"/>
    <w:rsid w:val="385A53DC"/>
    <w:rsid w:val="3A000A01"/>
    <w:rsid w:val="3A3EC31E"/>
    <w:rsid w:val="3C2401D8"/>
    <w:rsid w:val="3C595C1F"/>
    <w:rsid w:val="3C8584C0"/>
    <w:rsid w:val="3CBD364B"/>
    <w:rsid w:val="3CC6268C"/>
    <w:rsid w:val="3CEB5EC1"/>
    <w:rsid w:val="3D094B80"/>
    <w:rsid w:val="3D73EADE"/>
    <w:rsid w:val="3E4F37BE"/>
    <w:rsid w:val="3E9D98F4"/>
    <w:rsid w:val="3F1F9550"/>
    <w:rsid w:val="3FCF2AA2"/>
    <w:rsid w:val="403C4302"/>
    <w:rsid w:val="40E83062"/>
    <w:rsid w:val="4115C55C"/>
    <w:rsid w:val="412CC2AA"/>
    <w:rsid w:val="41713523"/>
    <w:rsid w:val="418FC92C"/>
    <w:rsid w:val="4190A76E"/>
    <w:rsid w:val="42971371"/>
    <w:rsid w:val="42A794EC"/>
    <w:rsid w:val="42F8EA8C"/>
    <w:rsid w:val="43A58D52"/>
    <w:rsid w:val="43BEF8E1"/>
    <w:rsid w:val="44174D21"/>
    <w:rsid w:val="443DBEDE"/>
    <w:rsid w:val="447CA79E"/>
    <w:rsid w:val="44F6D54D"/>
    <w:rsid w:val="4574BEDE"/>
    <w:rsid w:val="45F98733"/>
    <w:rsid w:val="475F9142"/>
    <w:rsid w:val="47D8DBC1"/>
    <w:rsid w:val="49CEAA34"/>
    <w:rsid w:val="4A31BDA5"/>
    <w:rsid w:val="4B12101A"/>
    <w:rsid w:val="4CF1A87A"/>
    <w:rsid w:val="4CFEC400"/>
    <w:rsid w:val="4D4BA37E"/>
    <w:rsid w:val="4DB8D292"/>
    <w:rsid w:val="4DCDD6A7"/>
    <w:rsid w:val="4E8D1434"/>
    <w:rsid w:val="4EEE971C"/>
    <w:rsid w:val="4EF5E9F4"/>
    <w:rsid w:val="50DE3B63"/>
    <w:rsid w:val="50F07354"/>
    <w:rsid w:val="51EA2A94"/>
    <w:rsid w:val="52C9BF56"/>
    <w:rsid w:val="541D362F"/>
    <w:rsid w:val="549E366C"/>
    <w:rsid w:val="5500E844"/>
    <w:rsid w:val="56448409"/>
    <w:rsid w:val="56FB5A07"/>
    <w:rsid w:val="57DAE0E1"/>
    <w:rsid w:val="5804BDB0"/>
    <w:rsid w:val="58D685A3"/>
    <w:rsid w:val="5972A3AE"/>
    <w:rsid w:val="59BFECCA"/>
    <w:rsid w:val="5A132E2F"/>
    <w:rsid w:val="5AA9358F"/>
    <w:rsid w:val="5ABCCB38"/>
    <w:rsid w:val="5CA128F5"/>
    <w:rsid w:val="5CDE5427"/>
    <w:rsid w:val="5D323D1E"/>
    <w:rsid w:val="5DE36702"/>
    <w:rsid w:val="5E2EE5AD"/>
    <w:rsid w:val="5F0CA8B1"/>
    <w:rsid w:val="5F2AC7FC"/>
    <w:rsid w:val="5F4882E5"/>
    <w:rsid w:val="5F6A1891"/>
    <w:rsid w:val="60FC4CB3"/>
    <w:rsid w:val="6102E310"/>
    <w:rsid w:val="616068AF"/>
    <w:rsid w:val="6214882A"/>
    <w:rsid w:val="6221DBA1"/>
    <w:rsid w:val="623189AC"/>
    <w:rsid w:val="6234097B"/>
    <w:rsid w:val="62698BFB"/>
    <w:rsid w:val="627CD6A6"/>
    <w:rsid w:val="6439EC5A"/>
    <w:rsid w:val="6448B313"/>
    <w:rsid w:val="64757241"/>
    <w:rsid w:val="64DB963C"/>
    <w:rsid w:val="65A91948"/>
    <w:rsid w:val="67BC3918"/>
    <w:rsid w:val="67E40E6D"/>
    <w:rsid w:val="6854A11D"/>
    <w:rsid w:val="6865AA1E"/>
    <w:rsid w:val="691B33BD"/>
    <w:rsid w:val="69A45091"/>
    <w:rsid w:val="6B2E4427"/>
    <w:rsid w:val="6B3E73CB"/>
    <w:rsid w:val="6B582120"/>
    <w:rsid w:val="6B85B61A"/>
    <w:rsid w:val="6C098F79"/>
    <w:rsid w:val="6C465964"/>
    <w:rsid w:val="6CEA4B0A"/>
    <w:rsid w:val="6CF2F562"/>
    <w:rsid w:val="6D0BB918"/>
    <w:rsid w:val="6D199D81"/>
    <w:rsid w:val="6D20C03B"/>
    <w:rsid w:val="6D2E806B"/>
    <w:rsid w:val="6D8C3071"/>
    <w:rsid w:val="6DD1EA1F"/>
    <w:rsid w:val="6E684921"/>
    <w:rsid w:val="6E8FC1E2"/>
    <w:rsid w:val="6EE84B21"/>
    <w:rsid w:val="70956758"/>
    <w:rsid w:val="70B54E4B"/>
    <w:rsid w:val="70EC9638"/>
    <w:rsid w:val="724B97E2"/>
    <w:rsid w:val="72C1FE9A"/>
    <w:rsid w:val="72CB3279"/>
    <w:rsid w:val="72E50D70"/>
    <w:rsid w:val="7371797F"/>
    <w:rsid w:val="73E1AE75"/>
    <w:rsid w:val="73F460E6"/>
    <w:rsid w:val="74314E84"/>
    <w:rsid w:val="754C2544"/>
    <w:rsid w:val="759903D6"/>
    <w:rsid w:val="75C4A559"/>
    <w:rsid w:val="75E02C91"/>
    <w:rsid w:val="7683554B"/>
    <w:rsid w:val="778E3213"/>
    <w:rsid w:val="77B2A160"/>
    <w:rsid w:val="780A0C48"/>
    <w:rsid w:val="7845821A"/>
    <w:rsid w:val="7A1835C1"/>
    <w:rsid w:val="7AEC4492"/>
    <w:rsid w:val="7B3FB3D1"/>
    <w:rsid w:val="7BA45EE2"/>
    <w:rsid w:val="7BC13728"/>
    <w:rsid w:val="7C2BBC0F"/>
    <w:rsid w:val="7C8F4FAB"/>
    <w:rsid w:val="7D468837"/>
    <w:rsid w:val="7DA18363"/>
    <w:rsid w:val="7DB8BA11"/>
    <w:rsid w:val="7DFB15B7"/>
    <w:rsid w:val="7DFB4B96"/>
    <w:rsid w:val="7F1F0163"/>
    <w:rsid w:val="7F79610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4E63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5C69C9"/>
    <w:pPr>
      <w:keepNext/>
      <w:keepLines/>
      <w:spacing w:before="240" w:after="240"/>
      <w:outlineLvl w:val="0"/>
    </w:pPr>
    <w:rPr>
      <w:rFonts w:eastAsiaTheme="majorEastAsia" w:cstheme="majorBidi"/>
      <w:color w:val="004270"/>
      <w:sz w:val="36"/>
      <w:szCs w:val="36"/>
    </w:rPr>
  </w:style>
  <w:style w:type="paragraph" w:styleId="Heading2">
    <w:name w:val="heading 2"/>
    <w:basedOn w:val="Normal"/>
    <w:next w:val="Normal"/>
    <w:link w:val="Heading2Char"/>
    <w:uiPriority w:val="9"/>
    <w:unhideWhenUsed/>
    <w:qFormat/>
    <w:rsid w:val="005C69C9"/>
    <w:pPr>
      <w:keepNext/>
      <w:keepLines/>
      <w:spacing w:before="240"/>
      <w:outlineLvl w:val="1"/>
    </w:pPr>
    <w:rPr>
      <w:rFonts w:eastAsiaTheme="majorEastAsia" w:cstheme="majorBidi"/>
      <w:color w:val="004270"/>
      <w:sz w:val="28"/>
      <w:szCs w:val="28"/>
    </w:rPr>
  </w:style>
  <w:style w:type="paragraph" w:styleId="Heading3">
    <w:name w:val="heading 3"/>
    <w:basedOn w:val="Normal"/>
    <w:next w:val="Normal"/>
    <w:link w:val="Heading3Char"/>
    <w:uiPriority w:val="9"/>
    <w:unhideWhenUsed/>
    <w:qFormat/>
    <w:rsid w:val="00820F6C"/>
    <w:pPr>
      <w:keepNext/>
      <w:outlineLvl w:val="2"/>
    </w:pPr>
    <w:rPr>
      <w:b/>
      <w:bCs/>
      <w:color w:val="004270"/>
    </w:rPr>
  </w:style>
  <w:style w:type="paragraph" w:styleId="Heading4">
    <w:name w:val="heading 4"/>
    <w:basedOn w:val="Normal"/>
    <w:next w:val="Normal"/>
    <w:link w:val="Heading4Char"/>
    <w:uiPriority w:val="9"/>
    <w:unhideWhenUsed/>
    <w:qFormat/>
    <w:rsid w:val="007228D4"/>
    <w:pPr>
      <w:keepNext/>
      <w:keepLines/>
      <w:spacing w:before="40" w:after="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7228D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Footnote text,5_G,Footnote Text Char Char Char Char Char Char,Footnote Text Char Char Char Char Char Char Char Char Char Char Char Char Char Char Char Char Char,C"/>
    <w:basedOn w:val="Normal"/>
    <w:link w:val="FootnoteTextChar"/>
    <w:uiPriority w:val="99"/>
    <w:unhideWhenUsed/>
    <w:qFormat/>
    <w:rsid w:val="00C33416"/>
    <w:rPr>
      <w:sz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tinking Styles"/>
    <w:basedOn w:val="DefaultParagraphFont"/>
    <w:uiPriority w:val="99"/>
    <w:unhideWhenUsed/>
    <w:qFormat/>
    <w:rsid w:val="0034134D"/>
    <w:rPr>
      <w:vertAlign w:val="superscript"/>
    </w:rPr>
  </w:style>
  <w:style w:type="character" w:customStyle="1" w:styleId="Heading1Char">
    <w:name w:val="Heading 1 Char"/>
    <w:basedOn w:val="DefaultParagraphFont"/>
    <w:link w:val="Heading1"/>
    <w:uiPriority w:val="9"/>
    <w:rsid w:val="005C69C9"/>
    <w:rPr>
      <w:rFonts w:ascii="Arial" w:eastAsiaTheme="majorEastAsia" w:hAnsi="Arial" w:cstheme="majorBidi"/>
      <w:color w:val="004270"/>
      <w:sz w:val="36"/>
      <w:szCs w:val="36"/>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B36D11"/>
    <w:pPr>
      <w:tabs>
        <w:tab w:val="right" w:leader="dot" w:pos="8296"/>
      </w:tabs>
      <w:spacing w:after="100"/>
    </w:pPr>
    <w:rPr>
      <w:noProof/>
    </w:r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5C69C9"/>
    <w:rPr>
      <w:rFonts w:ascii="Arial" w:eastAsiaTheme="majorEastAsia" w:hAnsi="Arial" w:cstheme="majorBidi"/>
      <w:color w:val="004270"/>
      <w:sz w:val="28"/>
      <w:szCs w:val="28"/>
      <w:lang w:val="en-AU"/>
    </w:rPr>
  </w:style>
  <w:style w:type="paragraph" w:styleId="TOC2">
    <w:name w:val="toc 2"/>
    <w:basedOn w:val="Normal"/>
    <w:next w:val="Normal"/>
    <w:autoRedefine/>
    <w:uiPriority w:val="39"/>
    <w:unhideWhenUsed/>
    <w:rsid w:val="00CC781B"/>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C69C9"/>
    <w:rPr>
      <w:rFonts w:ascii="Arial" w:hAnsi="Arial"/>
      <w:b/>
      <w:bCs/>
      <w:color w:val="004270"/>
      <w:sz w:val="22"/>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numPr>
        <w:numId w:val="1"/>
      </w:numPr>
      <w:spacing w:before="120" w:after="240" w:line="276" w:lineRule="auto"/>
      <w:contextualSpacing w:val="0"/>
    </w:pPr>
    <w:rPr>
      <w:rFonts w:cs="Arial"/>
    </w:rPr>
  </w:style>
  <w:style w:type="paragraph" w:styleId="Quote">
    <w:name w:val="Quote"/>
    <w:basedOn w:val="Normal"/>
    <w:next w:val="Normal"/>
    <w:link w:val="QuoteChar"/>
    <w:uiPriority w:val="29"/>
    <w:qFormat/>
    <w:rsid w:val="00BF11C5"/>
    <w:pPr>
      <w:spacing w:line="276" w:lineRule="auto"/>
      <w:ind w:left="851" w:right="567"/>
    </w:pPr>
    <w:rPr>
      <w:rFonts w:cs="Arial"/>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color w:val="000000" w:themeColor="text1"/>
      <w:sz w:val="22"/>
      <w:szCs w:val="20"/>
      <w:lang w:val="en-AU"/>
    </w:rPr>
  </w:style>
  <w:style w:type="paragraph" w:customStyle="1" w:styleId="Bulletedlist">
    <w:name w:val="Bulleted list"/>
    <w:basedOn w:val="ListParagraph"/>
    <w:qFormat/>
    <w:rsid w:val="00370EC3"/>
    <w:pPr>
      <w:numPr>
        <w:numId w:val="2"/>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character" w:customStyle="1" w:styleId="UnresolvedMention1">
    <w:name w:val="Unresolved Mention1"/>
    <w:basedOn w:val="DefaultParagraphFont"/>
    <w:uiPriority w:val="99"/>
    <w:semiHidden/>
    <w:unhideWhenUsed/>
    <w:rsid w:val="00F60E75"/>
    <w:rPr>
      <w:color w:val="605E5C"/>
      <w:shd w:val="clear" w:color="auto" w:fill="E1DFDD"/>
    </w:rPr>
  </w:style>
  <w:style w:type="paragraph" w:styleId="Revision">
    <w:name w:val="Revision"/>
    <w:hidden/>
    <w:uiPriority w:val="99"/>
    <w:semiHidden/>
    <w:rsid w:val="00B720D2"/>
    <w:rPr>
      <w:rFonts w:ascii="Arial" w:hAnsi="Arial"/>
      <w:color w:val="000000" w:themeColor="text1"/>
      <w:sz w:val="22"/>
      <w:lang w:val="en-AU"/>
    </w:rPr>
  </w:style>
  <w:style w:type="character" w:styleId="FollowedHyperlink">
    <w:name w:val="FollowedHyperlink"/>
    <w:basedOn w:val="DefaultParagraphFont"/>
    <w:uiPriority w:val="99"/>
    <w:semiHidden/>
    <w:unhideWhenUsed/>
    <w:rsid w:val="00450612"/>
    <w:rPr>
      <w:color w:val="800080" w:themeColor="followedHyperlink"/>
      <w:u w:val="single"/>
    </w:rPr>
  </w:style>
  <w:style w:type="character" w:styleId="Emphasis">
    <w:name w:val="Emphasis"/>
    <w:basedOn w:val="DefaultParagraphFont"/>
    <w:uiPriority w:val="20"/>
    <w:qFormat/>
    <w:rsid w:val="00733617"/>
    <w:rPr>
      <w:i/>
      <w:iCs/>
    </w:rPr>
  </w:style>
  <w:style w:type="paragraph" w:customStyle="1" w:styleId="Default">
    <w:name w:val="Default"/>
    <w:rsid w:val="00EE1A9B"/>
    <w:pPr>
      <w:autoSpaceDE w:val="0"/>
      <w:autoSpaceDN w:val="0"/>
      <w:adjustRightInd w:val="0"/>
    </w:pPr>
    <w:rPr>
      <w:rFonts w:ascii="Trade Gothic Next Rounded" w:eastAsiaTheme="minorHAnsi" w:hAnsi="Trade Gothic Next Rounded" w:cs="Trade Gothic Next Rounded"/>
      <w:color w:val="000000"/>
      <w:lang w:val="en-AU"/>
      <w14:ligatures w14:val="standardContextual"/>
    </w:rPr>
  </w:style>
  <w:style w:type="character" w:customStyle="1" w:styleId="SingleTxtGChar">
    <w:name w:val="_ Single Txt_G Char"/>
    <w:basedOn w:val="DefaultParagraphFont"/>
    <w:link w:val="SingleTxtG"/>
    <w:locked/>
    <w:rsid w:val="00EE1A9B"/>
    <w:rPr>
      <w:lang w:val="en-GB"/>
    </w:rPr>
  </w:style>
  <w:style w:type="paragraph" w:customStyle="1" w:styleId="SingleTxtG">
    <w:name w:val="_ Single Txt_G"/>
    <w:basedOn w:val="Normal"/>
    <w:link w:val="SingleTxtGChar"/>
    <w:qFormat/>
    <w:rsid w:val="00EE1A9B"/>
    <w:pPr>
      <w:suppressAutoHyphens/>
      <w:spacing w:line="240" w:lineRule="atLeast"/>
      <w:ind w:left="1134" w:right="1134"/>
      <w:jc w:val="both"/>
    </w:pPr>
    <w:rPr>
      <w:rFonts w:asciiTheme="minorHAnsi" w:hAnsiTheme="minorHAnsi"/>
      <w:color w:val="auto"/>
      <w:sz w:val="24"/>
      <w:lang w:val="en-GB"/>
    </w:rPr>
  </w:style>
  <w:style w:type="character" w:styleId="UnresolvedMention">
    <w:name w:val="Unresolved Mention"/>
    <w:basedOn w:val="DefaultParagraphFont"/>
    <w:uiPriority w:val="99"/>
    <w:unhideWhenUsed/>
    <w:rsid w:val="00EF35A6"/>
    <w:rPr>
      <w:color w:val="605E5C"/>
      <w:shd w:val="clear" w:color="auto" w:fill="E1DFDD"/>
    </w:rPr>
  </w:style>
  <w:style w:type="character" w:customStyle="1" w:styleId="Heading4Char">
    <w:name w:val="Heading 4 Char"/>
    <w:basedOn w:val="DefaultParagraphFont"/>
    <w:link w:val="Heading4"/>
    <w:uiPriority w:val="9"/>
    <w:rsid w:val="007228D4"/>
    <w:rPr>
      <w:rFonts w:ascii="Arial" w:eastAsiaTheme="majorEastAsia" w:hAnsi="Arial" w:cstheme="majorBidi"/>
      <w:i/>
      <w:iCs/>
      <w:color w:val="365F91" w:themeColor="accent1" w:themeShade="BF"/>
      <w:sz w:val="22"/>
      <w:lang w:val="en-AU"/>
    </w:rPr>
  </w:style>
  <w:style w:type="character" w:customStyle="1" w:styleId="Heading5Char">
    <w:name w:val="Heading 5 Char"/>
    <w:basedOn w:val="DefaultParagraphFont"/>
    <w:link w:val="Heading5"/>
    <w:uiPriority w:val="9"/>
    <w:rsid w:val="007228D4"/>
    <w:rPr>
      <w:rFonts w:asciiTheme="majorHAnsi" w:eastAsiaTheme="majorEastAsia" w:hAnsiTheme="majorHAnsi" w:cstheme="majorBidi"/>
      <w:color w:val="365F91" w:themeColor="accent1" w:themeShade="BF"/>
      <w:sz w:val="22"/>
      <w:lang w:val="en-AU"/>
    </w:rPr>
  </w:style>
  <w:style w:type="paragraph" w:styleId="NormalWeb">
    <w:name w:val="Normal (Web)"/>
    <w:basedOn w:val="Normal"/>
    <w:uiPriority w:val="99"/>
    <w:semiHidden/>
    <w:unhideWhenUsed/>
    <w:rsid w:val="007228D4"/>
    <w:pPr>
      <w:spacing w:before="100" w:beforeAutospacing="1" w:after="100" w:afterAutospacing="1"/>
    </w:pPr>
    <w:rPr>
      <w:rFonts w:ascii="Times New Roman" w:eastAsia="Times New Roman" w:hAnsi="Times New Roman" w:cs="Times New Roman"/>
      <w:color w:val="auto"/>
      <w:sz w:val="24"/>
      <w:lang w:eastAsia="en-GB"/>
    </w:rPr>
  </w:style>
  <w:style w:type="character" w:customStyle="1" w:styleId="ui-provider">
    <w:name w:val="ui-provider"/>
    <w:basedOn w:val="DefaultParagraphFont"/>
    <w:rsid w:val="007228D4"/>
  </w:style>
  <w:style w:type="character" w:styleId="Mention">
    <w:name w:val="Mention"/>
    <w:basedOn w:val="DefaultParagraphFont"/>
    <w:uiPriority w:val="99"/>
    <w:unhideWhenUsed/>
    <w:rsid w:val="007228D4"/>
    <w:rPr>
      <w:color w:val="2B579A"/>
      <w:shd w:val="clear" w:color="auto" w:fill="E1DFDD"/>
    </w:rPr>
  </w:style>
  <w:style w:type="paragraph" w:customStyle="1" w:styleId="paragraph">
    <w:name w:val="paragraph"/>
    <w:basedOn w:val="Normal"/>
    <w:rsid w:val="007228D4"/>
    <w:pPr>
      <w:spacing w:before="100" w:beforeAutospacing="1" w:after="100" w:afterAutospacing="1"/>
    </w:pPr>
    <w:rPr>
      <w:rFonts w:ascii="Times New Roman" w:eastAsia="Times New Roman" w:hAnsi="Times New Roman" w:cs="Times New Roman"/>
      <w:color w:val="auto"/>
      <w:sz w:val="24"/>
      <w:lang w:eastAsia="zh-CN" w:bidi="th-TH"/>
    </w:rPr>
  </w:style>
  <w:style w:type="character" w:customStyle="1" w:styleId="normaltextrun">
    <w:name w:val="normaltextrun"/>
    <w:basedOn w:val="DefaultParagraphFont"/>
    <w:rsid w:val="007228D4"/>
  </w:style>
  <w:style w:type="character" w:customStyle="1" w:styleId="eop">
    <w:name w:val="eop"/>
    <w:basedOn w:val="DefaultParagraphFont"/>
    <w:rsid w:val="007228D4"/>
  </w:style>
  <w:style w:type="character" w:customStyle="1" w:styleId="superscript">
    <w:name w:val="superscript"/>
    <w:basedOn w:val="DefaultParagraphFont"/>
    <w:rsid w:val="00722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6068">
      <w:bodyDiv w:val="1"/>
      <w:marLeft w:val="0"/>
      <w:marRight w:val="0"/>
      <w:marTop w:val="0"/>
      <w:marBottom w:val="0"/>
      <w:divBdr>
        <w:top w:val="none" w:sz="0" w:space="0" w:color="auto"/>
        <w:left w:val="none" w:sz="0" w:space="0" w:color="auto"/>
        <w:bottom w:val="none" w:sz="0" w:space="0" w:color="auto"/>
        <w:right w:val="none" w:sz="0" w:space="0" w:color="auto"/>
      </w:divBdr>
    </w:div>
    <w:div w:id="229197341">
      <w:bodyDiv w:val="1"/>
      <w:marLeft w:val="0"/>
      <w:marRight w:val="0"/>
      <w:marTop w:val="0"/>
      <w:marBottom w:val="0"/>
      <w:divBdr>
        <w:top w:val="none" w:sz="0" w:space="0" w:color="auto"/>
        <w:left w:val="none" w:sz="0" w:space="0" w:color="auto"/>
        <w:bottom w:val="none" w:sz="0" w:space="0" w:color="auto"/>
        <w:right w:val="none" w:sz="0" w:space="0" w:color="auto"/>
      </w:divBdr>
    </w:div>
    <w:div w:id="300114629">
      <w:bodyDiv w:val="1"/>
      <w:marLeft w:val="0"/>
      <w:marRight w:val="0"/>
      <w:marTop w:val="0"/>
      <w:marBottom w:val="0"/>
      <w:divBdr>
        <w:top w:val="none" w:sz="0" w:space="0" w:color="auto"/>
        <w:left w:val="none" w:sz="0" w:space="0" w:color="auto"/>
        <w:bottom w:val="none" w:sz="0" w:space="0" w:color="auto"/>
        <w:right w:val="none" w:sz="0" w:space="0" w:color="auto"/>
      </w:divBdr>
      <w:divsChild>
        <w:div w:id="454445185">
          <w:marLeft w:val="0"/>
          <w:marRight w:val="0"/>
          <w:marTop w:val="0"/>
          <w:marBottom w:val="0"/>
          <w:divBdr>
            <w:top w:val="none" w:sz="0" w:space="0" w:color="auto"/>
            <w:left w:val="none" w:sz="0" w:space="0" w:color="auto"/>
            <w:bottom w:val="none" w:sz="0" w:space="0" w:color="auto"/>
            <w:right w:val="none" w:sz="0" w:space="0" w:color="auto"/>
          </w:divBdr>
        </w:div>
        <w:div w:id="897129251">
          <w:marLeft w:val="0"/>
          <w:marRight w:val="0"/>
          <w:marTop w:val="0"/>
          <w:marBottom w:val="0"/>
          <w:divBdr>
            <w:top w:val="none" w:sz="0" w:space="0" w:color="auto"/>
            <w:left w:val="none" w:sz="0" w:space="0" w:color="auto"/>
            <w:bottom w:val="none" w:sz="0" w:space="0" w:color="auto"/>
            <w:right w:val="none" w:sz="0" w:space="0" w:color="auto"/>
          </w:divBdr>
        </w:div>
        <w:div w:id="1073117377">
          <w:marLeft w:val="0"/>
          <w:marRight w:val="0"/>
          <w:marTop w:val="0"/>
          <w:marBottom w:val="0"/>
          <w:divBdr>
            <w:top w:val="none" w:sz="0" w:space="0" w:color="auto"/>
            <w:left w:val="none" w:sz="0" w:space="0" w:color="auto"/>
            <w:bottom w:val="none" w:sz="0" w:space="0" w:color="auto"/>
            <w:right w:val="none" w:sz="0" w:space="0" w:color="auto"/>
          </w:divBdr>
        </w:div>
      </w:divsChild>
    </w:div>
    <w:div w:id="357126420">
      <w:bodyDiv w:val="1"/>
      <w:marLeft w:val="0"/>
      <w:marRight w:val="0"/>
      <w:marTop w:val="0"/>
      <w:marBottom w:val="0"/>
      <w:divBdr>
        <w:top w:val="none" w:sz="0" w:space="0" w:color="auto"/>
        <w:left w:val="none" w:sz="0" w:space="0" w:color="auto"/>
        <w:bottom w:val="none" w:sz="0" w:space="0" w:color="auto"/>
        <w:right w:val="none" w:sz="0" w:space="0" w:color="auto"/>
      </w:divBdr>
    </w:div>
    <w:div w:id="554777016">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760179444">
      <w:bodyDiv w:val="1"/>
      <w:marLeft w:val="0"/>
      <w:marRight w:val="0"/>
      <w:marTop w:val="0"/>
      <w:marBottom w:val="0"/>
      <w:divBdr>
        <w:top w:val="none" w:sz="0" w:space="0" w:color="auto"/>
        <w:left w:val="none" w:sz="0" w:space="0" w:color="auto"/>
        <w:bottom w:val="none" w:sz="0" w:space="0" w:color="auto"/>
        <w:right w:val="none" w:sz="0" w:space="0" w:color="auto"/>
      </w:divBdr>
    </w:div>
    <w:div w:id="841890269">
      <w:bodyDiv w:val="1"/>
      <w:marLeft w:val="0"/>
      <w:marRight w:val="0"/>
      <w:marTop w:val="0"/>
      <w:marBottom w:val="0"/>
      <w:divBdr>
        <w:top w:val="none" w:sz="0" w:space="0" w:color="auto"/>
        <w:left w:val="none" w:sz="0" w:space="0" w:color="auto"/>
        <w:bottom w:val="none" w:sz="0" w:space="0" w:color="auto"/>
        <w:right w:val="none" w:sz="0" w:space="0" w:color="auto"/>
      </w:divBdr>
    </w:div>
    <w:div w:id="923414219">
      <w:bodyDiv w:val="1"/>
      <w:marLeft w:val="0"/>
      <w:marRight w:val="0"/>
      <w:marTop w:val="0"/>
      <w:marBottom w:val="0"/>
      <w:divBdr>
        <w:top w:val="none" w:sz="0" w:space="0" w:color="auto"/>
        <w:left w:val="none" w:sz="0" w:space="0" w:color="auto"/>
        <w:bottom w:val="none" w:sz="0" w:space="0" w:color="auto"/>
        <w:right w:val="none" w:sz="0" w:space="0" w:color="auto"/>
      </w:divBdr>
    </w:div>
    <w:div w:id="928082313">
      <w:bodyDiv w:val="1"/>
      <w:marLeft w:val="0"/>
      <w:marRight w:val="0"/>
      <w:marTop w:val="0"/>
      <w:marBottom w:val="0"/>
      <w:divBdr>
        <w:top w:val="none" w:sz="0" w:space="0" w:color="auto"/>
        <w:left w:val="none" w:sz="0" w:space="0" w:color="auto"/>
        <w:bottom w:val="none" w:sz="0" w:space="0" w:color="auto"/>
        <w:right w:val="none" w:sz="0" w:space="0" w:color="auto"/>
      </w:divBdr>
    </w:div>
    <w:div w:id="972055703">
      <w:bodyDiv w:val="1"/>
      <w:marLeft w:val="0"/>
      <w:marRight w:val="0"/>
      <w:marTop w:val="0"/>
      <w:marBottom w:val="0"/>
      <w:divBdr>
        <w:top w:val="none" w:sz="0" w:space="0" w:color="auto"/>
        <w:left w:val="none" w:sz="0" w:space="0" w:color="auto"/>
        <w:bottom w:val="none" w:sz="0" w:space="0" w:color="auto"/>
        <w:right w:val="none" w:sz="0" w:space="0" w:color="auto"/>
      </w:divBdr>
    </w:div>
    <w:div w:id="1050567534">
      <w:bodyDiv w:val="1"/>
      <w:marLeft w:val="0"/>
      <w:marRight w:val="0"/>
      <w:marTop w:val="0"/>
      <w:marBottom w:val="0"/>
      <w:divBdr>
        <w:top w:val="none" w:sz="0" w:space="0" w:color="auto"/>
        <w:left w:val="none" w:sz="0" w:space="0" w:color="auto"/>
        <w:bottom w:val="none" w:sz="0" w:space="0" w:color="auto"/>
        <w:right w:val="none" w:sz="0" w:space="0" w:color="auto"/>
      </w:divBdr>
      <w:divsChild>
        <w:div w:id="1730573949">
          <w:marLeft w:val="0"/>
          <w:marRight w:val="0"/>
          <w:marTop w:val="0"/>
          <w:marBottom w:val="495"/>
          <w:divBdr>
            <w:top w:val="none" w:sz="0" w:space="0" w:color="auto"/>
            <w:left w:val="none" w:sz="0" w:space="0" w:color="auto"/>
            <w:bottom w:val="none" w:sz="0" w:space="0" w:color="auto"/>
            <w:right w:val="none" w:sz="0" w:space="0" w:color="auto"/>
          </w:divBdr>
          <w:divsChild>
            <w:div w:id="454717330">
              <w:marLeft w:val="-255"/>
              <w:marRight w:val="-255"/>
              <w:marTop w:val="0"/>
              <w:marBottom w:val="0"/>
              <w:divBdr>
                <w:top w:val="none" w:sz="0" w:space="0" w:color="auto"/>
                <w:left w:val="none" w:sz="0" w:space="0" w:color="auto"/>
                <w:bottom w:val="none" w:sz="0" w:space="0" w:color="auto"/>
                <w:right w:val="none" w:sz="0" w:space="0" w:color="auto"/>
              </w:divBdr>
              <w:divsChild>
                <w:div w:id="970598553">
                  <w:marLeft w:val="0"/>
                  <w:marRight w:val="0"/>
                  <w:marTop w:val="0"/>
                  <w:marBottom w:val="0"/>
                  <w:divBdr>
                    <w:top w:val="none" w:sz="0" w:space="0" w:color="auto"/>
                    <w:left w:val="none" w:sz="0" w:space="0" w:color="auto"/>
                    <w:bottom w:val="none" w:sz="0" w:space="0" w:color="auto"/>
                    <w:right w:val="none" w:sz="0" w:space="0" w:color="auto"/>
                  </w:divBdr>
                  <w:divsChild>
                    <w:div w:id="17659820">
                      <w:marLeft w:val="0"/>
                      <w:marRight w:val="0"/>
                      <w:marTop w:val="0"/>
                      <w:marBottom w:val="0"/>
                      <w:divBdr>
                        <w:top w:val="none" w:sz="0" w:space="0" w:color="auto"/>
                        <w:left w:val="none" w:sz="0" w:space="0" w:color="auto"/>
                        <w:bottom w:val="none" w:sz="0" w:space="0" w:color="auto"/>
                        <w:right w:val="none" w:sz="0" w:space="0" w:color="auto"/>
                      </w:divBdr>
                      <w:divsChild>
                        <w:div w:id="1316376958">
                          <w:marLeft w:val="0"/>
                          <w:marRight w:val="0"/>
                          <w:marTop w:val="0"/>
                          <w:marBottom w:val="0"/>
                          <w:divBdr>
                            <w:top w:val="none" w:sz="0" w:space="0" w:color="auto"/>
                            <w:left w:val="none" w:sz="0" w:space="0" w:color="auto"/>
                            <w:bottom w:val="none" w:sz="0" w:space="0" w:color="auto"/>
                            <w:right w:val="none" w:sz="0" w:space="0" w:color="auto"/>
                          </w:divBdr>
                          <w:divsChild>
                            <w:div w:id="11425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671975">
      <w:bodyDiv w:val="1"/>
      <w:marLeft w:val="0"/>
      <w:marRight w:val="0"/>
      <w:marTop w:val="0"/>
      <w:marBottom w:val="0"/>
      <w:divBdr>
        <w:top w:val="none" w:sz="0" w:space="0" w:color="auto"/>
        <w:left w:val="none" w:sz="0" w:space="0" w:color="auto"/>
        <w:bottom w:val="none" w:sz="0" w:space="0" w:color="auto"/>
        <w:right w:val="none" w:sz="0" w:space="0" w:color="auto"/>
      </w:divBdr>
      <w:divsChild>
        <w:div w:id="1029648836">
          <w:marLeft w:val="0"/>
          <w:marRight w:val="0"/>
          <w:marTop w:val="0"/>
          <w:marBottom w:val="0"/>
          <w:divBdr>
            <w:top w:val="none" w:sz="0" w:space="0" w:color="auto"/>
            <w:left w:val="none" w:sz="0" w:space="0" w:color="auto"/>
            <w:bottom w:val="none" w:sz="0" w:space="0" w:color="auto"/>
            <w:right w:val="none" w:sz="0" w:space="0" w:color="auto"/>
          </w:divBdr>
          <w:divsChild>
            <w:div w:id="772481185">
              <w:marLeft w:val="0"/>
              <w:marRight w:val="0"/>
              <w:marTop w:val="0"/>
              <w:marBottom w:val="0"/>
              <w:divBdr>
                <w:top w:val="none" w:sz="0" w:space="0" w:color="auto"/>
                <w:left w:val="none" w:sz="0" w:space="0" w:color="auto"/>
                <w:bottom w:val="none" w:sz="0" w:space="0" w:color="auto"/>
                <w:right w:val="none" w:sz="0" w:space="0" w:color="auto"/>
              </w:divBdr>
            </w:div>
            <w:div w:id="1067148143">
              <w:marLeft w:val="0"/>
              <w:marRight w:val="0"/>
              <w:marTop w:val="0"/>
              <w:marBottom w:val="0"/>
              <w:divBdr>
                <w:top w:val="none" w:sz="0" w:space="0" w:color="auto"/>
                <w:left w:val="none" w:sz="0" w:space="0" w:color="auto"/>
                <w:bottom w:val="none" w:sz="0" w:space="0" w:color="auto"/>
                <w:right w:val="none" w:sz="0" w:space="0" w:color="auto"/>
              </w:divBdr>
            </w:div>
            <w:div w:id="1376154606">
              <w:marLeft w:val="0"/>
              <w:marRight w:val="0"/>
              <w:marTop w:val="0"/>
              <w:marBottom w:val="0"/>
              <w:divBdr>
                <w:top w:val="none" w:sz="0" w:space="0" w:color="auto"/>
                <w:left w:val="none" w:sz="0" w:space="0" w:color="auto"/>
                <w:bottom w:val="none" w:sz="0" w:space="0" w:color="auto"/>
                <w:right w:val="none" w:sz="0" w:space="0" w:color="auto"/>
              </w:divBdr>
            </w:div>
            <w:div w:id="1566987706">
              <w:marLeft w:val="0"/>
              <w:marRight w:val="0"/>
              <w:marTop w:val="0"/>
              <w:marBottom w:val="0"/>
              <w:divBdr>
                <w:top w:val="none" w:sz="0" w:space="0" w:color="auto"/>
                <w:left w:val="none" w:sz="0" w:space="0" w:color="auto"/>
                <w:bottom w:val="none" w:sz="0" w:space="0" w:color="auto"/>
                <w:right w:val="none" w:sz="0" w:space="0" w:color="auto"/>
              </w:divBdr>
            </w:div>
            <w:div w:id="1622303439">
              <w:marLeft w:val="0"/>
              <w:marRight w:val="0"/>
              <w:marTop w:val="0"/>
              <w:marBottom w:val="0"/>
              <w:divBdr>
                <w:top w:val="none" w:sz="0" w:space="0" w:color="auto"/>
                <w:left w:val="none" w:sz="0" w:space="0" w:color="auto"/>
                <w:bottom w:val="none" w:sz="0" w:space="0" w:color="auto"/>
                <w:right w:val="none" w:sz="0" w:space="0" w:color="auto"/>
              </w:divBdr>
            </w:div>
            <w:div w:id="1914508848">
              <w:marLeft w:val="0"/>
              <w:marRight w:val="0"/>
              <w:marTop w:val="0"/>
              <w:marBottom w:val="0"/>
              <w:divBdr>
                <w:top w:val="none" w:sz="0" w:space="0" w:color="auto"/>
                <w:left w:val="none" w:sz="0" w:space="0" w:color="auto"/>
                <w:bottom w:val="none" w:sz="0" w:space="0" w:color="auto"/>
                <w:right w:val="none" w:sz="0" w:space="0" w:color="auto"/>
              </w:divBdr>
            </w:div>
          </w:divsChild>
        </w:div>
        <w:div w:id="1312518210">
          <w:marLeft w:val="0"/>
          <w:marRight w:val="0"/>
          <w:marTop w:val="0"/>
          <w:marBottom w:val="0"/>
          <w:divBdr>
            <w:top w:val="none" w:sz="0" w:space="0" w:color="auto"/>
            <w:left w:val="none" w:sz="0" w:space="0" w:color="auto"/>
            <w:bottom w:val="none" w:sz="0" w:space="0" w:color="auto"/>
            <w:right w:val="none" w:sz="0" w:space="0" w:color="auto"/>
          </w:divBdr>
        </w:div>
      </w:divsChild>
    </w:div>
    <w:div w:id="1416318172">
      <w:bodyDiv w:val="1"/>
      <w:marLeft w:val="0"/>
      <w:marRight w:val="0"/>
      <w:marTop w:val="0"/>
      <w:marBottom w:val="0"/>
      <w:divBdr>
        <w:top w:val="none" w:sz="0" w:space="0" w:color="auto"/>
        <w:left w:val="none" w:sz="0" w:space="0" w:color="auto"/>
        <w:bottom w:val="none" w:sz="0" w:space="0" w:color="auto"/>
        <w:right w:val="none" w:sz="0" w:space="0" w:color="auto"/>
      </w:divBdr>
      <w:divsChild>
        <w:div w:id="258412746">
          <w:marLeft w:val="0"/>
          <w:marRight w:val="0"/>
          <w:marTop w:val="0"/>
          <w:marBottom w:val="0"/>
          <w:divBdr>
            <w:top w:val="none" w:sz="0" w:space="0" w:color="auto"/>
            <w:left w:val="none" w:sz="0" w:space="0" w:color="auto"/>
            <w:bottom w:val="none" w:sz="0" w:space="0" w:color="auto"/>
            <w:right w:val="none" w:sz="0" w:space="0" w:color="auto"/>
          </w:divBdr>
          <w:divsChild>
            <w:div w:id="276109535">
              <w:marLeft w:val="0"/>
              <w:marRight w:val="0"/>
              <w:marTop w:val="0"/>
              <w:marBottom w:val="0"/>
              <w:divBdr>
                <w:top w:val="none" w:sz="0" w:space="0" w:color="auto"/>
                <w:left w:val="none" w:sz="0" w:space="0" w:color="auto"/>
                <w:bottom w:val="none" w:sz="0" w:space="0" w:color="auto"/>
                <w:right w:val="none" w:sz="0" w:space="0" w:color="auto"/>
              </w:divBdr>
            </w:div>
            <w:div w:id="319844616">
              <w:marLeft w:val="0"/>
              <w:marRight w:val="0"/>
              <w:marTop w:val="0"/>
              <w:marBottom w:val="0"/>
              <w:divBdr>
                <w:top w:val="none" w:sz="0" w:space="0" w:color="auto"/>
                <w:left w:val="none" w:sz="0" w:space="0" w:color="auto"/>
                <w:bottom w:val="none" w:sz="0" w:space="0" w:color="auto"/>
                <w:right w:val="none" w:sz="0" w:space="0" w:color="auto"/>
              </w:divBdr>
            </w:div>
            <w:div w:id="359089414">
              <w:marLeft w:val="0"/>
              <w:marRight w:val="0"/>
              <w:marTop w:val="0"/>
              <w:marBottom w:val="0"/>
              <w:divBdr>
                <w:top w:val="none" w:sz="0" w:space="0" w:color="auto"/>
                <w:left w:val="none" w:sz="0" w:space="0" w:color="auto"/>
                <w:bottom w:val="none" w:sz="0" w:space="0" w:color="auto"/>
                <w:right w:val="none" w:sz="0" w:space="0" w:color="auto"/>
              </w:divBdr>
            </w:div>
            <w:div w:id="772626735">
              <w:marLeft w:val="0"/>
              <w:marRight w:val="0"/>
              <w:marTop w:val="0"/>
              <w:marBottom w:val="0"/>
              <w:divBdr>
                <w:top w:val="none" w:sz="0" w:space="0" w:color="auto"/>
                <w:left w:val="none" w:sz="0" w:space="0" w:color="auto"/>
                <w:bottom w:val="none" w:sz="0" w:space="0" w:color="auto"/>
                <w:right w:val="none" w:sz="0" w:space="0" w:color="auto"/>
              </w:divBdr>
            </w:div>
            <w:div w:id="1039865504">
              <w:marLeft w:val="0"/>
              <w:marRight w:val="0"/>
              <w:marTop w:val="0"/>
              <w:marBottom w:val="0"/>
              <w:divBdr>
                <w:top w:val="none" w:sz="0" w:space="0" w:color="auto"/>
                <w:left w:val="none" w:sz="0" w:space="0" w:color="auto"/>
                <w:bottom w:val="none" w:sz="0" w:space="0" w:color="auto"/>
                <w:right w:val="none" w:sz="0" w:space="0" w:color="auto"/>
              </w:divBdr>
            </w:div>
            <w:div w:id="2049405497">
              <w:marLeft w:val="0"/>
              <w:marRight w:val="0"/>
              <w:marTop w:val="0"/>
              <w:marBottom w:val="0"/>
              <w:divBdr>
                <w:top w:val="none" w:sz="0" w:space="0" w:color="auto"/>
                <w:left w:val="none" w:sz="0" w:space="0" w:color="auto"/>
                <w:bottom w:val="none" w:sz="0" w:space="0" w:color="auto"/>
                <w:right w:val="none" w:sz="0" w:space="0" w:color="auto"/>
              </w:divBdr>
            </w:div>
          </w:divsChild>
        </w:div>
        <w:div w:id="687173428">
          <w:marLeft w:val="0"/>
          <w:marRight w:val="0"/>
          <w:marTop w:val="0"/>
          <w:marBottom w:val="0"/>
          <w:divBdr>
            <w:top w:val="none" w:sz="0" w:space="0" w:color="auto"/>
            <w:left w:val="none" w:sz="0" w:space="0" w:color="auto"/>
            <w:bottom w:val="none" w:sz="0" w:space="0" w:color="auto"/>
            <w:right w:val="none" w:sz="0" w:space="0" w:color="auto"/>
          </w:divBdr>
        </w:div>
      </w:divsChild>
    </w:div>
    <w:div w:id="1588688929">
      <w:bodyDiv w:val="1"/>
      <w:marLeft w:val="0"/>
      <w:marRight w:val="0"/>
      <w:marTop w:val="0"/>
      <w:marBottom w:val="0"/>
      <w:divBdr>
        <w:top w:val="none" w:sz="0" w:space="0" w:color="auto"/>
        <w:left w:val="none" w:sz="0" w:space="0" w:color="auto"/>
        <w:bottom w:val="none" w:sz="0" w:space="0" w:color="auto"/>
        <w:right w:val="none" w:sz="0" w:space="0" w:color="auto"/>
      </w:divBdr>
    </w:div>
    <w:div w:id="1621645957">
      <w:bodyDiv w:val="1"/>
      <w:marLeft w:val="0"/>
      <w:marRight w:val="0"/>
      <w:marTop w:val="0"/>
      <w:marBottom w:val="0"/>
      <w:divBdr>
        <w:top w:val="none" w:sz="0" w:space="0" w:color="auto"/>
        <w:left w:val="none" w:sz="0" w:space="0" w:color="auto"/>
        <w:bottom w:val="none" w:sz="0" w:space="0" w:color="auto"/>
        <w:right w:val="none" w:sz="0" w:space="0" w:color="auto"/>
      </w:divBdr>
    </w:div>
    <w:div w:id="1662729340">
      <w:bodyDiv w:val="1"/>
      <w:marLeft w:val="0"/>
      <w:marRight w:val="0"/>
      <w:marTop w:val="0"/>
      <w:marBottom w:val="0"/>
      <w:divBdr>
        <w:top w:val="none" w:sz="0" w:space="0" w:color="auto"/>
        <w:left w:val="none" w:sz="0" w:space="0" w:color="auto"/>
        <w:bottom w:val="none" w:sz="0" w:space="0" w:color="auto"/>
        <w:right w:val="none" w:sz="0" w:space="0" w:color="auto"/>
      </w:divBdr>
      <w:divsChild>
        <w:div w:id="578250682">
          <w:marLeft w:val="0"/>
          <w:marRight w:val="0"/>
          <w:marTop w:val="0"/>
          <w:marBottom w:val="0"/>
          <w:divBdr>
            <w:top w:val="none" w:sz="0" w:space="0" w:color="auto"/>
            <w:left w:val="none" w:sz="0" w:space="0" w:color="auto"/>
            <w:bottom w:val="none" w:sz="0" w:space="0" w:color="auto"/>
            <w:right w:val="none" w:sz="0" w:space="0" w:color="auto"/>
          </w:divBdr>
        </w:div>
        <w:div w:id="1925845174">
          <w:marLeft w:val="0"/>
          <w:marRight w:val="0"/>
          <w:marTop w:val="0"/>
          <w:marBottom w:val="0"/>
          <w:divBdr>
            <w:top w:val="none" w:sz="0" w:space="0" w:color="auto"/>
            <w:left w:val="none" w:sz="0" w:space="0" w:color="auto"/>
            <w:bottom w:val="none" w:sz="0" w:space="0" w:color="auto"/>
            <w:right w:val="none" w:sz="0" w:space="0" w:color="auto"/>
          </w:divBdr>
        </w:div>
        <w:div w:id="1956667291">
          <w:marLeft w:val="0"/>
          <w:marRight w:val="0"/>
          <w:marTop w:val="0"/>
          <w:marBottom w:val="0"/>
          <w:divBdr>
            <w:top w:val="none" w:sz="0" w:space="0" w:color="auto"/>
            <w:left w:val="none" w:sz="0" w:space="0" w:color="auto"/>
            <w:bottom w:val="none" w:sz="0" w:space="0" w:color="auto"/>
            <w:right w:val="none" w:sz="0" w:space="0" w:color="auto"/>
          </w:divBdr>
        </w:div>
      </w:divsChild>
    </w:div>
    <w:div w:id="1813331511">
      <w:bodyDiv w:val="1"/>
      <w:marLeft w:val="0"/>
      <w:marRight w:val="0"/>
      <w:marTop w:val="0"/>
      <w:marBottom w:val="0"/>
      <w:divBdr>
        <w:top w:val="none" w:sz="0" w:space="0" w:color="auto"/>
        <w:left w:val="none" w:sz="0" w:space="0" w:color="auto"/>
        <w:bottom w:val="none" w:sz="0" w:space="0" w:color="auto"/>
        <w:right w:val="none" w:sz="0" w:space="0" w:color="auto"/>
      </w:divBdr>
      <w:divsChild>
        <w:div w:id="118187144">
          <w:marLeft w:val="0"/>
          <w:marRight w:val="0"/>
          <w:marTop w:val="0"/>
          <w:marBottom w:val="0"/>
          <w:divBdr>
            <w:top w:val="none" w:sz="0" w:space="0" w:color="auto"/>
            <w:left w:val="none" w:sz="0" w:space="0" w:color="auto"/>
            <w:bottom w:val="none" w:sz="0" w:space="0" w:color="auto"/>
            <w:right w:val="none" w:sz="0" w:space="0" w:color="auto"/>
          </w:divBdr>
        </w:div>
        <w:div w:id="425004583">
          <w:marLeft w:val="0"/>
          <w:marRight w:val="0"/>
          <w:marTop w:val="0"/>
          <w:marBottom w:val="0"/>
          <w:divBdr>
            <w:top w:val="none" w:sz="0" w:space="0" w:color="auto"/>
            <w:left w:val="none" w:sz="0" w:space="0" w:color="auto"/>
            <w:bottom w:val="none" w:sz="0" w:space="0" w:color="auto"/>
            <w:right w:val="none" w:sz="0" w:space="0" w:color="auto"/>
          </w:divBdr>
        </w:div>
        <w:div w:id="873732038">
          <w:marLeft w:val="0"/>
          <w:marRight w:val="0"/>
          <w:marTop w:val="0"/>
          <w:marBottom w:val="0"/>
          <w:divBdr>
            <w:top w:val="none" w:sz="0" w:space="0" w:color="auto"/>
            <w:left w:val="none" w:sz="0" w:space="0" w:color="auto"/>
            <w:bottom w:val="none" w:sz="0" w:space="0" w:color="auto"/>
            <w:right w:val="none" w:sz="0" w:space="0" w:color="auto"/>
          </w:divBdr>
        </w:div>
        <w:div w:id="1494569360">
          <w:marLeft w:val="0"/>
          <w:marRight w:val="0"/>
          <w:marTop w:val="0"/>
          <w:marBottom w:val="0"/>
          <w:divBdr>
            <w:top w:val="none" w:sz="0" w:space="0" w:color="auto"/>
            <w:left w:val="none" w:sz="0" w:space="0" w:color="auto"/>
            <w:bottom w:val="none" w:sz="0" w:space="0" w:color="auto"/>
            <w:right w:val="none" w:sz="0" w:space="0" w:color="auto"/>
          </w:divBdr>
        </w:div>
        <w:div w:id="1736508149">
          <w:marLeft w:val="0"/>
          <w:marRight w:val="0"/>
          <w:marTop w:val="0"/>
          <w:marBottom w:val="0"/>
          <w:divBdr>
            <w:top w:val="none" w:sz="0" w:space="0" w:color="auto"/>
            <w:left w:val="none" w:sz="0" w:space="0" w:color="auto"/>
            <w:bottom w:val="none" w:sz="0" w:space="0" w:color="auto"/>
            <w:right w:val="none" w:sz="0" w:space="0" w:color="auto"/>
          </w:divBdr>
        </w:div>
        <w:div w:id="1832061781">
          <w:marLeft w:val="0"/>
          <w:marRight w:val="0"/>
          <w:marTop w:val="0"/>
          <w:marBottom w:val="0"/>
          <w:divBdr>
            <w:top w:val="none" w:sz="0" w:space="0" w:color="auto"/>
            <w:left w:val="none" w:sz="0" w:space="0" w:color="auto"/>
            <w:bottom w:val="none" w:sz="0" w:space="0" w:color="auto"/>
            <w:right w:val="none" w:sz="0" w:space="0" w:color="auto"/>
          </w:divBdr>
        </w:div>
      </w:divsChild>
    </w:div>
    <w:div w:id="1836267063">
      <w:bodyDiv w:val="1"/>
      <w:marLeft w:val="0"/>
      <w:marRight w:val="0"/>
      <w:marTop w:val="0"/>
      <w:marBottom w:val="0"/>
      <w:divBdr>
        <w:top w:val="none" w:sz="0" w:space="0" w:color="auto"/>
        <w:left w:val="none" w:sz="0" w:space="0" w:color="auto"/>
        <w:bottom w:val="none" w:sz="0" w:space="0" w:color="auto"/>
        <w:right w:val="none" w:sz="0" w:space="0" w:color="auto"/>
      </w:divBdr>
    </w:div>
    <w:div w:id="1880436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ADCC8DB7DD6A34FA19A78F305829D99" ma:contentTypeVersion="6" ma:contentTypeDescription="Create a new document." ma:contentTypeScope="" ma:versionID="e43a76b8188e151d68dbe9461f0884ee">
  <xsd:schema xmlns:xsd="http://www.w3.org/2001/XMLSchema" xmlns:xs="http://www.w3.org/2001/XMLSchema" xmlns:p="http://schemas.microsoft.com/office/2006/metadata/properties" xmlns:ns2="e36519f3-4f2b-4e8b-8702-35122b379ea4" xmlns:ns3="4b19347a-9491-4220-8a59-46d160890b73" targetNamespace="http://schemas.microsoft.com/office/2006/metadata/properties" ma:root="true" ma:fieldsID="a8aa20ddc63a7a9278b1c01ee76e45c9" ns2:_="" ns3:_="">
    <xsd:import namespace="e36519f3-4f2b-4e8b-8702-35122b379ea4"/>
    <xsd:import namespace="4b19347a-9491-4220-8a59-46d160890b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519f3-4f2b-4e8b-8702-35122b379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9347a-9491-4220-8a59-46d160890b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8442B-ABDD-427C-8F1F-BB92A731D5F9}">
  <ds:schemaRefs>
    <ds:schemaRef ds:uri="http://schemas.openxmlformats.org/officeDocument/2006/bibliography"/>
  </ds:schemaRefs>
</ds:datastoreItem>
</file>

<file path=customXml/itemProps3.xml><?xml version="1.0" encoding="utf-8"?>
<ds:datastoreItem xmlns:ds="http://schemas.openxmlformats.org/officeDocument/2006/customXml" ds:itemID="{9C42F683-81EC-448A-8812-D34289D8BF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A5629D-73BE-4C21-B3D7-C6A8C2B8D770}">
  <ds:schemaRefs>
    <ds:schemaRef ds:uri="http://schemas.microsoft.com/sharepoint/v3/contenttype/forms"/>
  </ds:schemaRefs>
</ds:datastoreItem>
</file>

<file path=customXml/itemProps5.xml><?xml version="1.0" encoding="utf-8"?>
<ds:datastoreItem xmlns:ds="http://schemas.openxmlformats.org/officeDocument/2006/customXml" ds:itemID="{1658ADE8-6CDA-4849-8B5A-FAE401022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519f3-4f2b-4e8b-8702-35122b379ea4"/>
    <ds:schemaRef ds:uri="4b19347a-9491-4220-8a59-46d160890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8156</Words>
  <Characters>46494</Characters>
  <Application>Microsoft Office Word</Application>
  <DocSecurity>0</DocSecurity>
  <Lines>387</Lines>
  <Paragraphs>109</Paragraphs>
  <ScaleCrop>false</ScaleCrop>
  <LinksUpToDate>false</LinksUpToDate>
  <CharactersWithSpaces>54541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2024-03-25T03:44:00Z</dcterms:created>
  <dcterms:modified xsi:type="dcterms:W3CDTF">2024-03-25T04:30:00Z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0x0101002ADCC8DB7DD6A34FA19A78F305829D99</vt:lpwstr>
  </property>
</Properties>
</file>