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color w:val="000000" w:themeColor="text1"/>
          <w:sz w:val="28"/>
          <w:szCs w:val="28"/>
          <w:lang w:val="en-AU"/>
        </w:rPr>
        <w:id w:val="2067608509"/>
        <w:docPartObj>
          <w:docPartGallery w:val="Cover Pages"/>
          <w:docPartUnique/>
        </w:docPartObj>
      </w:sdtPr>
      <w:sdtEndPr>
        <w:rPr>
          <w:rFonts w:cstheme="minorBidi"/>
          <w:sz w:val="16"/>
          <w:szCs w:val="16"/>
        </w:rPr>
      </w:sdtEndPr>
      <w:sdtContent>
        <w:p w14:paraId="046BE9DB" w14:textId="77777777" w:rsidR="0035517B" w:rsidRDefault="0035517B" w:rsidP="00260847">
          <w:pPr>
            <w:pStyle w:val="NoSpacing"/>
            <w:spacing w:before="120" w:after="120"/>
            <w:rPr>
              <w:rFonts w:ascii="Arial" w:hAnsi="Arial" w:cs="Arial"/>
              <w:bCs/>
              <w:sz w:val="28"/>
            </w:rPr>
          </w:pPr>
        </w:p>
        <w:p w14:paraId="3AF72577" w14:textId="77777777" w:rsidR="0035517B" w:rsidRDefault="0035517B" w:rsidP="00260847">
          <w:pPr>
            <w:pStyle w:val="NoSpacing"/>
            <w:spacing w:before="120" w:after="120"/>
            <w:rPr>
              <w:rFonts w:ascii="Arial" w:hAnsi="Arial" w:cs="Arial"/>
              <w:bCs/>
              <w:sz w:val="28"/>
            </w:rPr>
          </w:pPr>
        </w:p>
        <w:p w14:paraId="366514D5"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196CEDE7" wp14:editId="02EF6800">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EDCF79C" w14:textId="77777777" w:rsidR="0035517B" w:rsidRDefault="0035517B" w:rsidP="00260847">
          <w:pPr>
            <w:pStyle w:val="NoSpacing"/>
            <w:spacing w:before="120" w:after="120"/>
            <w:rPr>
              <w:rFonts w:ascii="Arial" w:hAnsi="Arial" w:cs="Arial"/>
              <w:bCs/>
              <w:sz w:val="28"/>
            </w:rPr>
          </w:pPr>
        </w:p>
        <w:p w14:paraId="5E13F968" w14:textId="77777777" w:rsidR="0035517B" w:rsidRDefault="0035517B" w:rsidP="00260847">
          <w:pPr>
            <w:pStyle w:val="NoSpacing"/>
            <w:spacing w:before="120" w:after="120"/>
            <w:rPr>
              <w:rFonts w:ascii="Arial" w:hAnsi="Arial" w:cs="Arial"/>
              <w:bCs/>
              <w:sz w:val="28"/>
            </w:rPr>
          </w:pPr>
        </w:p>
        <w:p w14:paraId="3F53ED89" w14:textId="77777777" w:rsidR="0035517B" w:rsidRDefault="0035517B" w:rsidP="00260847">
          <w:pPr>
            <w:pStyle w:val="NoSpacing"/>
            <w:spacing w:before="120" w:after="120"/>
            <w:rPr>
              <w:rFonts w:ascii="Arial" w:hAnsi="Arial" w:cs="Arial"/>
              <w:bCs/>
              <w:sz w:val="28"/>
            </w:rPr>
          </w:pPr>
        </w:p>
        <w:p w14:paraId="11CC8A0C" w14:textId="77777777" w:rsidR="0035517B" w:rsidRDefault="0035517B" w:rsidP="00260847">
          <w:pPr>
            <w:pStyle w:val="NoSpacing"/>
            <w:spacing w:before="120" w:after="120"/>
            <w:rPr>
              <w:rFonts w:ascii="Arial" w:hAnsi="Arial" w:cs="Arial"/>
              <w:bCs/>
              <w:sz w:val="28"/>
            </w:rPr>
          </w:pPr>
        </w:p>
        <w:p w14:paraId="6ED8A9B3" w14:textId="77777777" w:rsidR="0035517B" w:rsidRDefault="0035517B" w:rsidP="00260847">
          <w:pPr>
            <w:pStyle w:val="NoSpacing"/>
            <w:spacing w:before="120" w:after="120"/>
            <w:rPr>
              <w:rFonts w:ascii="Arial" w:hAnsi="Arial" w:cs="Arial"/>
              <w:bCs/>
              <w:sz w:val="28"/>
            </w:rPr>
          </w:pPr>
        </w:p>
        <w:p w14:paraId="08F332D7" w14:textId="77777777" w:rsidR="0035517B" w:rsidRDefault="0035517B" w:rsidP="00260847">
          <w:pPr>
            <w:pStyle w:val="NoSpacing"/>
            <w:spacing w:before="120" w:after="120"/>
            <w:rPr>
              <w:rFonts w:ascii="Arial" w:hAnsi="Arial" w:cs="Arial"/>
              <w:bCs/>
              <w:sz w:val="28"/>
            </w:rPr>
          </w:pPr>
        </w:p>
        <w:p w14:paraId="74F20A7D" w14:textId="632D88C8" w:rsidR="0035517B" w:rsidRPr="0035517B" w:rsidRDefault="00376964" w:rsidP="0035517B">
          <w:pPr>
            <w:pStyle w:val="Title"/>
          </w:pPr>
          <w:r>
            <w:t xml:space="preserve">Education (General Provisions) </w:t>
          </w:r>
          <w:r w:rsidR="008D24F3">
            <w:t xml:space="preserve">and Other Legislation Amendment </w:t>
          </w:r>
          <w:r>
            <w:t>Bill</w:t>
          </w:r>
          <w:r w:rsidR="00442C5D">
            <w:t xml:space="preserve"> 2024</w:t>
          </w:r>
          <w:r w:rsidR="00EE1A9B">
            <w:t xml:space="preserve"> </w:t>
          </w:r>
        </w:p>
        <w:p w14:paraId="048959F2" w14:textId="64E555C4" w:rsidR="00260847" w:rsidRPr="00B35855" w:rsidRDefault="00260847" w:rsidP="00B35855">
          <w:pPr>
            <w:rPr>
              <w:color w:val="002060"/>
              <w:sz w:val="36"/>
              <w:szCs w:val="36"/>
            </w:rPr>
          </w:pPr>
          <w:r w:rsidRPr="00B35855">
            <w:rPr>
              <w:color w:val="002060"/>
              <w:sz w:val="36"/>
              <w:szCs w:val="36"/>
            </w:rPr>
            <w:t xml:space="preserve">Submission to </w:t>
          </w:r>
          <w:r w:rsidR="008D24F3">
            <w:rPr>
              <w:color w:val="002060"/>
              <w:sz w:val="36"/>
              <w:szCs w:val="36"/>
            </w:rPr>
            <w:t>the Education, Employment, Training and Skills Committee</w:t>
          </w:r>
        </w:p>
        <w:p w14:paraId="244C4832" w14:textId="7303DDC0" w:rsidR="00260847" w:rsidRPr="00B35855" w:rsidRDefault="001C72DB" w:rsidP="00B35855">
          <w:pPr>
            <w:rPr>
              <w:color w:val="002060"/>
              <w:sz w:val="36"/>
              <w:szCs w:val="36"/>
            </w:rPr>
          </w:pPr>
          <w:r>
            <w:rPr>
              <w:color w:val="002060"/>
              <w:sz w:val="36"/>
              <w:szCs w:val="36"/>
            </w:rPr>
            <w:t>2</w:t>
          </w:r>
          <w:r w:rsidR="0050440C">
            <w:rPr>
              <w:color w:val="002060"/>
              <w:sz w:val="36"/>
              <w:szCs w:val="36"/>
            </w:rPr>
            <w:t>7</w:t>
          </w:r>
          <w:r>
            <w:rPr>
              <w:color w:val="002060"/>
              <w:sz w:val="36"/>
              <w:szCs w:val="36"/>
            </w:rPr>
            <w:t xml:space="preserve"> </w:t>
          </w:r>
          <w:r w:rsidR="00376964">
            <w:rPr>
              <w:color w:val="002060"/>
              <w:sz w:val="36"/>
              <w:szCs w:val="36"/>
            </w:rPr>
            <w:t xml:space="preserve">March </w:t>
          </w:r>
          <w:r w:rsidR="00F5290B" w:rsidRPr="00B35855">
            <w:rPr>
              <w:color w:val="002060"/>
              <w:sz w:val="36"/>
              <w:szCs w:val="36"/>
            </w:rPr>
            <w:t>2024</w:t>
          </w:r>
        </w:p>
        <w:p w14:paraId="1D7A713F" w14:textId="77777777" w:rsidR="00260847" w:rsidRDefault="00260847">
          <w:pPr>
            <w:rPr>
              <w:rFonts w:cs="Arial"/>
              <w:bCs/>
              <w:sz w:val="28"/>
              <w:szCs w:val="22"/>
              <w:lang w:val="en-US"/>
            </w:rPr>
          </w:pPr>
          <w:r>
            <w:rPr>
              <w:rFonts w:cs="Arial"/>
              <w:bCs/>
              <w:sz w:val="28"/>
            </w:rPr>
            <w:br w:type="page"/>
          </w:r>
        </w:p>
        <w:p w14:paraId="7D573182" w14:textId="77777777" w:rsidR="004A2375" w:rsidRDefault="004A2375" w:rsidP="00260847">
          <w:pPr>
            <w:pStyle w:val="NoSpacing"/>
            <w:spacing w:before="120" w:after="120"/>
          </w:pPr>
        </w:p>
        <w:p w14:paraId="15134E34" w14:textId="77777777" w:rsidR="00A16356" w:rsidRPr="004A2375" w:rsidRDefault="00BF7215">
          <w:pPr>
            <w:rPr>
              <w:rFonts w:eastAsiaTheme="majorEastAsia" w:cstheme="majorBidi"/>
              <w:b/>
              <w:color w:val="365F91" w:themeColor="accent1" w:themeShade="BF"/>
              <w:sz w:val="16"/>
              <w:szCs w:val="16"/>
            </w:rPr>
          </w:pPr>
        </w:p>
      </w:sdtContent>
    </w:sdt>
    <w:p w14:paraId="20ABCBAD" w14:textId="6BB32B66" w:rsidR="00A16356" w:rsidRPr="00A16356" w:rsidRDefault="00260847" w:rsidP="005C69C9">
      <w:pPr>
        <w:pStyle w:val="Heading1"/>
      </w:pPr>
      <w:bookmarkStart w:id="0" w:name="_Toc162451253"/>
      <w:r>
        <w:t>Table of c</w:t>
      </w:r>
      <w:r w:rsidR="00A16356" w:rsidRPr="00A16356">
        <w:t>ontents</w:t>
      </w:r>
      <w:bookmarkEnd w:id="0"/>
    </w:p>
    <w:p w14:paraId="1FA4E98A" w14:textId="52E6F1FA" w:rsidR="004922AD" w:rsidRDefault="04E279A2">
      <w:pPr>
        <w:pStyle w:val="TOC1"/>
        <w:rPr>
          <w:rFonts w:asciiTheme="minorHAnsi" w:hAnsiTheme="minorHAnsi"/>
          <w:noProof/>
          <w:color w:val="auto"/>
          <w:kern w:val="2"/>
          <w:sz w:val="24"/>
          <w:lang w:eastAsia="en-AU"/>
          <w14:ligatures w14:val="standardContextual"/>
        </w:rPr>
      </w:pPr>
      <w:r>
        <w:fldChar w:fldCharType="begin"/>
      </w:r>
      <w:r>
        <w:instrText>TOC \o "1-3" \h \z \u</w:instrText>
      </w:r>
      <w:r>
        <w:fldChar w:fldCharType="separate"/>
      </w:r>
      <w:hyperlink w:anchor="_Toc162451253" w:history="1">
        <w:r w:rsidR="004922AD" w:rsidRPr="00A51C4D">
          <w:rPr>
            <w:rStyle w:val="Hyperlink"/>
            <w:noProof/>
          </w:rPr>
          <w:t>Table of contents</w:t>
        </w:r>
        <w:r w:rsidR="004922AD">
          <w:rPr>
            <w:noProof/>
            <w:webHidden/>
          </w:rPr>
          <w:tab/>
        </w:r>
        <w:r w:rsidR="004922AD">
          <w:rPr>
            <w:noProof/>
            <w:webHidden/>
          </w:rPr>
          <w:fldChar w:fldCharType="begin"/>
        </w:r>
        <w:r w:rsidR="004922AD">
          <w:rPr>
            <w:noProof/>
            <w:webHidden/>
          </w:rPr>
          <w:instrText xml:space="preserve"> PAGEREF _Toc162451253 \h </w:instrText>
        </w:r>
        <w:r w:rsidR="004922AD">
          <w:rPr>
            <w:noProof/>
            <w:webHidden/>
          </w:rPr>
        </w:r>
        <w:r w:rsidR="004922AD">
          <w:rPr>
            <w:noProof/>
            <w:webHidden/>
          </w:rPr>
          <w:fldChar w:fldCharType="separate"/>
        </w:r>
        <w:r w:rsidR="00BF7215">
          <w:rPr>
            <w:noProof/>
            <w:webHidden/>
          </w:rPr>
          <w:t>1</w:t>
        </w:r>
        <w:r w:rsidR="004922AD">
          <w:rPr>
            <w:noProof/>
            <w:webHidden/>
          </w:rPr>
          <w:fldChar w:fldCharType="end"/>
        </w:r>
      </w:hyperlink>
    </w:p>
    <w:p w14:paraId="14A022B6" w14:textId="643CE103" w:rsidR="004922AD" w:rsidRDefault="00BF7215">
      <w:pPr>
        <w:pStyle w:val="TOC1"/>
        <w:rPr>
          <w:rFonts w:asciiTheme="minorHAnsi" w:hAnsiTheme="minorHAnsi"/>
          <w:noProof/>
          <w:color w:val="auto"/>
          <w:kern w:val="2"/>
          <w:sz w:val="24"/>
          <w:lang w:eastAsia="en-AU"/>
          <w14:ligatures w14:val="standardContextual"/>
        </w:rPr>
      </w:pPr>
      <w:hyperlink w:anchor="_Toc162451254" w:history="1">
        <w:r w:rsidR="004922AD" w:rsidRPr="00A51C4D">
          <w:rPr>
            <w:rStyle w:val="Hyperlink"/>
            <w:noProof/>
            <w:lang w:val="en-US"/>
          </w:rPr>
          <w:t>Introduction</w:t>
        </w:r>
        <w:r w:rsidR="004922AD">
          <w:rPr>
            <w:noProof/>
            <w:webHidden/>
          </w:rPr>
          <w:tab/>
        </w:r>
        <w:r w:rsidR="004922AD">
          <w:rPr>
            <w:noProof/>
            <w:webHidden/>
          </w:rPr>
          <w:fldChar w:fldCharType="begin"/>
        </w:r>
        <w:r w:rsidR="004922AD">
          <w:rPr>
            <w:noProof/>
            <w:webHidden/>
          </w:rPr>
          <w:instrText xml:space="preserve"> PAGEREF _Toc162451254 \h </w:instrText>
        </w:r>
        <w:r w:rsidR="004922AD">
          <w:rPr>
            <w:noProof/>
            <w:webHidden/>
          </w:rPr>
        </w:r>
        <w:r w:rsidR="004922AD">
          <w:rPr>
            <w:noProof/>
            <w:webHidden/>
          </w:rPr>
          <w:fldChar w:fldCharType="separate"/>
        </w:r>
        <w:r>
          <w:rPr>
            <w:noProof/>
            <w:webHidden/>
          </w:rPr>
          <w:t>2</w:t>
        </w:r>
        <w:r w:rsidR="004922AD">
          <w:rPr>
            <w:noProof/>
            <w:webHidden/>
          </w:rPr>
          <w:fldChar w:fldCharType="end"/>
        </w:r>
      </w:hyperlink>
    </w:p>
    <w:p w14:paraId="5E604FD8" w14:textId="717B0FFC" w:rsidR="004922AD" w:rsidRDefault="00BF7215">
      <w:pPr>
        <w:pStyle w:val="TOC1"/>
        <w:rPr>
          <w:rFonts w:asciiTheme="minorHAnsi" w:hAnsiTheme="minorHAnsi"/>
          <w:noProof/>
          <w:color w:val="auto"/>
          <w:kern w:val="2"/>
          <w:sz w:val="24"/>
          <w:lang w:eastAsia="en-AU"/>
          <w14:ligatures w14:val="standardContextual"/>
        </w:rPr>
      </w:pPr>
      <w:hyperlink w:anchor="_Toc162451255" w:history="1">
        <w:r w:rsidR="004922AD" w:rsidRPr="00A51C4D">
          <w:rPr>
            <w:rStyle w:val="Hyperlink"/>
            <w:noProof/>
          </w:rPr>
          <w:t>Summary of submission</w:t>
        </w:r>
        <w:r w:rsidR="004922AD">
          <w:rPr>
            <w:noProof/>
            <w:webHidden/>
          </w:rPr>
          <w:tab/>
        </w:r>
        <w:r w:rsidR="004922AD">
          <w:rPr>
            <w:noProof/>
            <w:webHidden/>
          </w:rPr>
          <w:fldChar w:fldCharType="begin"/>
        </w:r>
        <w:r w:rsidR="004922AD">
          <w:rPr>
            <w:noProof/>
            <w:webHidden/>
          </w:rPr>
          <w:instrText xml:space="preserve"> PAGEREF _Toc162451255 \h </w:instrText>
        </w:r>
        <w:r w:rsidR="004922AD">
          <w:rPr>
            <w:noProof/>
            <w:webHidden/>
          </w:rPr>
        </w:r>
        <w:r w:rsidR="004922AD">
          <w:rPr>
            <w:noProof/>
            <w:webHidden/>
          </w:rPr>
          <w:fldChar w:fldCharType="separate"/>
        </w:r>
        <w:r>
          <w:rPr>
            <w:noProof/>
            <w:webHidden/>
          </w:rPr>
          <w:t>2</w:t>
        </w:r>
        <w:r w:rsidR="004922AD">
          <w:rPr>
            <w:noProof/>
            <w:webHidden/>
          </w:rPr>
          <w:fldChar w:fldCharType="end"/>
        </w:r>
      </w:hyperlink>
    </w:p>
    <w:p w14:paraId="2FE4065C" w14:textId="2B356A60" w:rsidR="004922AD" w:rsidRDefault="00BF7215">
      <w:pPr>
        <w:pStyle w:val="TOC1"/>
        <w:rPr>
          <w:rFonts w:asciiTheme="minorHAnsi" w:hAnsiTheme="minorHAnsi"/>
          <w:noProof/>
          <w:color w:val="auto"/>
          <w:kern w:val="2"/>
          <w:sz w:val="24"/>
          <w:lang w:eastAsia="en-AU"/>
          <w14:ligatures w14:val="standardContextual"/>
        </w:rPr>
      </w:pPr>
      <w:hyperlink w:anchor="_Toc162451256" w:history="1">
        <w:r w:rsidR="004922AD" w:rsidRPr="00A51C4D">
          <w:rPr>
            <w:rStyle w:val="Hyperlink"/>
            <w:noProof/>
            <w:lang w:val="en-US"/>
          </w:rPr>
          <w:t>About the Commission</w:t>
        </w:r>
        <w:r w:rsidR="004922AD">
          <w:rPr>
            <w:noProof/>
            <w:webHidden/>
          </w:rPr>
          <w:tab/>
        </w:r>
        <w:r w:rsidR="004922AD">
          <w:rPr>
            <w:noProof/>
            <w:webHidden/>
          </w:rPr>
          <w:fldChar w:fldCharType="begin"/>
        </w:r>
        <w:r w:rsidR="004922AD">
          <w:rPr>
            <w:noProof/>
            <w:webHidden/>
          </w:rPr>
          <w:instrText xml:space="preserve"> PAGEREF _Toc162451256 \h </w:instrText>
        </w:r>
        <w:r w:rsidR="004922AD">
          <w:rPr>
            <w:noProof/>
            <w:webHidden/>
          </w:rPr>
        </w:r>
        <w:r w:rsidR="004922AD">
          <w:rPr>
            <w:noProof/>
            <w:webHidden/>
          </w:rPr>
          <w:fldChar w:fldCharType="separate"/>
        </w:r>
        <w:r>
          <w:rPr>
            <w:noProof/>
            <w:webHidden/>
          </w:rPr>
          <w:t>2</w:t>
        </w:r>
        <w:r w:rsidR="004922AD">
          <w:rPr>
            <w:noProof/>
            <w:webHidden/>
          </w:rPr>
          <w:fldChar w:fldCharType="end"/>
        </w:r>
      </w:hyperlink>
    </w:p>
    <w:p w14:paraId="59D4B8AF" w14:textId="70C2A8AD" w:rsidR="004922AD" w:rsidRDefault="00BF7215">
      <w:pPr>
        <w:pStyle w:val="TOC1"/>
        <w:rPr>
          <w:rFonts w:asciiTheme="minorHAnsi" w:hAnsiTheme="minorHAnsi"/>
          <w:noProof/>
          <w:color w:val="auto"/>
          <w:kern w:val="2"/>
          <w:sz w:val="24"/>
          <w:lang w:eastAsia="en-AU"/>
          <w14:ligatures w14:val="standardContextual"/>
        </w:rPr>
      </w:pPr>
      <w:hyperlink w:anchor="_Toc162451257" w:history="1">
        <w:r w:rsidR="004922AD" w:rsidRPr="00A51C4D">
          <w:rPr>
            <w:rStyle w:val="Hyperlink"/>
            <w:noProof/>
            <w:lang w:val="en-US"/>
          </w:rPr>
          <w:t>Relevant human rights considerations</w:t>
        </w:r>
        <w:r w:rsidR="004922AD">
          <w:rPr>
            <w:noProof/>
            <w:webHidden/>
          </w:rPr>
          <w:tab/>
        </w:r>
        <w:r w:rsidR="004922AD">
          <w:rPr>
            <w:noProof/>
            <w:webHidden/>
          </w:rPr>
          <w:fldChar w:fldCharType="begin"/>
        </w:r>
        <w:r w:rsidR="004922AD">
          <w:rPr>
            <w:noProof/>
            <w:webHidden/>
          </w:rPr>
          <w:instrText xml:space="preserve"> PAGEREF _Toc162451257 \h </w:instrText>
        </w:r>
        <w:r w:rsidR="004922AD">
          <w:rPr>
            <w:noProof/>
            <w:webHidden/>
          </w:rPr>
        </w:r>
        <w:r w:rsidR="004922AD">
          <w:rPr>
            <w:noProof/>
            <w:webHidden/>
          </w:rPr>
          <w:fldChar w:fldCharType="separate"/>
        </w:r>
        <w:r>
          <w:rPr>
            <w:noProof/>
            <w:webHidden/>
          </w:rPr>
          <w:t>3</w:t>
        </w:r>
        <w:r w:rsidR="004922AD">
          <w:rPr>
            <w:noProof/>
            <w:webHidden/>
          </w:rPr>
          <w:fldChar w:fldCharType="end"/>
        </w:r>
      </w:hyperlink>
    </w:p>
    <w:p w14:paraId="50BDF36E" w14:textId="54CBF63A" w:rsidR="004922AD" w:rsidRDefault="00BF7215">
      <w:pPr>
        <w:pStyle w:val="TOC2"/>
        <w:rPr>
          <w:rFonts w:asciiTheme="minorHAnsi" w:hAnsiTheme="minorHAnsi"/>
          <w:noProof/>
          <w:color w:val="auto"/>
          <w:kern w:val="2"/>
          <w:sz w:val="24"/>
          <w:lang w:eastAsia="en-AU"/>
          <w14:ligatures w14:val="standardContextual"/>
        </w:rPr>
      </w:pPr>
      <w:hyperlink w:anchor="_Toc162451258" w:history="1">
        <w:r w:rsidR="004922AD" w:rsidRPr="00A51C4D">
          <w:rPr>
            <w:rStyle w:val="Hyperlink"/>
            <w:noProof/>
            <w:lang w:val="en-US"/>
          </w:rPr>
          <w:t>Rates of SDAs</w:t>
        </w:r>
        <w:r w:rsidR="004922AD">
          <w:rPr>
            <w:noProof/>
            <w:webHidden/>
          </w:rPr>
          <w:tab/>
        </w:r>
        <w:r w:rsidR="004922AD">
          <w:rPr>
            <w:noProof/>
            <w:webHidden/>
          </w:rPr>
          <w:fldChar w:fldCharType="begin"/>
        </w:r>
        <w:r w:rsidR="004922AD">
          <w:rPr>
            <w:noProof/>
            <w:webHidden/>
          </w:rPr>
          <w:instrText xml:space="preserve"> PAGEREF _Toc162451258 \h </w:instrText>
        </w:r>
        <w:r w:rsidR="004922AD">
          <w:rPr>
            <w:noProof/>
            <w:webHidden/>
          </w:rPr>
        </w:r>
        <w:r w:rsidR="004922AD">
          <w:rPr>
            <w:noProof/>
            <w:webHidden/>
          </w:rPr>
          <w:fldChar w:fldCharType="separate"/>
        </w:r>
        <w:r>
          <w:rPr>
            <w:noProof/>
            <w:webHidden/>
          </w:rPr>
          <w:t>3</w:t>
        </w:r>
        <w:r w:rsidR="004922AD">
          <w:rPr>
            <w:noProof/>
            <w:webHidden/>
          </w:rPr>
          <w:fldChar w:fldCharType="end"/>
        </w:r>
      </w:hyperlink>
    </w:p>
    <w:p w14:paraId="2230A558" w14:textId="58777659" w:rsidR="004922AD" w:rsidRDefault="00BF7215">
      <w:pPr>
        <w:pStyle w:val="TOC2"/>
        <w:rPr>
          <w:rFonts w:asciiTheme="minorHAnsi" w:hAnsiTheme="minorHAnsi"/>
          <w:noProof/>
          <w:color w:val="auto"/>
          <w:kern w:val="2"/>
          <w:sz w:val="24"/>
          <w:lang w:eastAsia="en-AU"/>
          <w14:ligatures w14:val="standardContextual"/>
        </w:rPr>
      </w:pPr>
      <w:hyperlink w:anchor="_Toc162451259" w:history="1">
        <w:r w:rsidR="004922AD" w:rsidRPr="00A51C4D">
          <w:rPr>
            <w:rStyle w:val="Hyperlink"/>
            <w:noProof/>
            <w:lang w:val="en-US"/>
          </w:rPr>
          <w:t>Principles derived from human rights</w:t>
        </w:r>
        <w:r w:rsidR="004922AD">
          <w:rPr>
            <w:noProof/>
            <w:webHidden/>
          </w:rPr>
          <w:tab/>
        </w:r>
        <w:r w:rsidR="004922AD">
          <w:rPr>
            <w:noProof/>
            <w:webHidden/>
          </w:rPr>
          <w:fldChar w:fldCharType="begin"/>
        </w:r>
        <w:r w:rsidR="004922AD">
          <w:rPr>
            <w:noProof/>
            <w:webHidden/>
          </w:rPr>
          <w:instrText xml:space="preserve"> PAGEREF _Toc162451259 \h </w:instrText>
        </w:r>
        <w:r w:rsidR="004922AD">
          <w:rPr>
            <w:noProof/>
            <w:webHidden/>
          </w:rPr>
        </w:r>
        <w:r w:rsidR="004922AD">
          <w:rPr>
            <w:noProof/>
            <w:webHidden/>
          </w:rPr>
          <w:fldChar w:fldCharType="separate"/>
        </w:r>
        <w:r>
          <w:rPr>
            <w:noProof/>
            <w:webHidden/>
          </w:rPr>
          <w:t>4</w:t>
        </w:r>
        <w:r w:rsidR="004922AD">
          <w:rPr>
            <w:noProof/>
            <w:webHidden/>
          </w:rPr>
          <w:fldChar w:fldCharType="end"/>
        </w:r>
      </w:hyperlink>
    </w:p>
    <w:p w14:paraId="3F43E767" w14:textId="0AD9A60E" w:rsidR="004922AD" w:rsidRDefault="00BF7215">
      <w:pPr>
        <w:pStyle w:val="TOC3"/>
        <w:tabs>
          <w:tab w:val="right" w:leader="dot" w:pos="8296"/>
        </w:tabs>
        <w:rPr>
          <w:rFonts w:asciiTheme="minorHAnsi" w:hAnsiTheme="minorHAnsi"/>
          <w:noProof/>
          <w:color w:val="auto"/>
          <w:kern w:val="2"/>
          <w:sz w:val="24"/>
          <w:lang w:eastAsia="en-AU"/>
          <w14:ligatures w14:val="standardContextual"/>
        </w:rPr>
      </w:pPr>
      <w:hyperlink w:anchor="_Toc162451260" w:history="1">
        <w:r w:rsidR="004922AD" w:rsidRPr="00A51C4D">
          <w:rPr>
            <w:rStyle w:val="Hyperlink"/>
            <w:noProof/>
            <w:lang w:val="en-US"/>
          </w:rPr>
          <w:t>Limiting access to education can have significant and long-term negative consequences on individual students and the community</w:t>
        </w:r>
        <w:r w:rsidR="004922AD">
          <w:rPr>
            <w:noProof/>
            <w:webHidden/>
          </w:rPr>
          <w:tab/>
        </w:r>
        <w:r w:rsidR="004922AD">
          <w:rPr>
            <w:noProof/>
            <w:webHidden/>
          </w:rPr>
          <w:fldChar w:fldCharType="begin"/>
        </w:r>
        <w:r w:rsidR="004922AD">
          <w:rPr>
            <w:noProof/>
            <w:webHidden/>
          </w:rPr>
          <w:instrText xml:space="preserve"> PAGEREF _Toc162451260 \h </w:instrText>
        </w:r>
        <w:r w:rsidR="004922AD">
          <w:rPr>
            <w:noProof/>
            <w:webHidden/>
          </w:rPr>
        </w:r>
        <w:r w:rsidR="004922AD">
          <w:rPr>
            <w:noProof/>
            <w:webHidden/>
          </w:rPr>
          <w:fldChar w:fldCharType="separate"/>
        </w:r>
        <w:r>
          <w:rPr>
            <w:noProof/>
            <w:webHidden/>
          </w:rPr>
          <w:t>4</w:t>
        </w:r>
        <w:r w:rsidR="004922AD">
          <w:rPr>
            <w:noProof/>
            <w:webHidden/>
          </w:rPr>
          <w:fldChar w:fldCharType="end"/>
        </w:r>
      </w:hyperlink>
    </w:p>
    <w:p w14:paraId="2B112A5E" w14:textId="2E9DEA9C" w:rsidR="004922AD" w:rsidRDefault="00BF7215">
      <w:pPr>
        <w:pStyle w:val="TOC3"/>
        <w:tabs>
          <w:tab w:val="right" w:leader="dot" w:pos="8296"/>
        </w:tabs>
        <w:rPr>
          <w:rFonts w:asciiTheme="minorHAnsi" w:hAnsiTheme="minorHAnsi"/>
          <w:noProof/>
          <w:color w:val="auto"/>
          <w:kern w:val="2"/>
          <w:sz w:val="24"/>
          <w:lang w:eastAsia="en-AU"/>
          <w14:ligatures w14:val="standardContextual"/>
        </w:rPr>
      </w:pPr>
      <w:hyperlink w:anchor="_Toc162451261" w:history="1">
        <w:r w:rsidR="004922AD" w:rsidRPr="00A51C4D">
          <w:rPr>
            <w:rStyle w:val="Hyperlink"/>
            <w:noProof/>
          </w:rPr>
          <w:t>Priority should be given to intervening early</w:t>
        </w:r>
        <w:r w:rsidR="004922AD">
          <w:rPr>
            <w:noProof/>
            <w:webHidden/>
          </w:rPr>
          <w:tab/>
        </w:r>
        <w:r w:rsidR="004922AD">
          <w:rPr>
            <w:noProof/>
            <w:webHidden/>
          </w:rPr>
          <w:fldChar w:fldCharType="begin"/>
        </w:r>
        <w:r w:rsidR="004922AD">
          <w:rPr>
            <w:noProof/>
            <w:webHidden/>
          </w:rPr>
          <w:instrText xml:space="preserve"> PAGEREF _Toc162451261 \h </w:instrText>
        </w:r>
        <w:r w:rsidR="004922AD">
          <w:rPr>
            <w:noProof/>
            <w:webHidden/>
          </w:rPr>
        </w:r>
        <w:r w:rsidR="004922AD">
          <w:rPr>
            <w:noProof/>
            <w:webHidden/>
          </w:rPr>
          <w:fldChar w:fldCharType="separate"/>
        </w:r>
        <w:r>
          <w:rPr>
            <w:noProof/>
            <w:webHidden/>
          </w:rPr>
          <w:t>6</w:t>
        </w:r>
        <w:r w:rsidR="004922AD">
          <w:rPr>
            <w:noProof/>
            <w:webHidden/>
          </w:rPr>
          <w:fldChar w:fldCharType="end"/>
        </w:r>
      </w:hyperlink>
    </w:p>
    <w:p w14:paraId="4C932AB8" w14:textId="1A852338" w:rsidR="004922AD" w:rsidRDefault="00BF7215">
      <w:pPr>
        <w:pStyle w:val="TOC3"/>
        <w:tabs>
          <w:tab w:val="right" w:leader="dot" w:pos="8296"/>
        </w:tabs>
        <w:rPr>
          <w:rFonts w:asciiTheme="minorHAnsi" w:hAnsiTheme="minorHAnsi"/>
          <w:noProof/>
          <w:color w:val="auto"/>
          <w:kern w:val="2"/>
          <w:sz w:val="24"/>
          <w:lang w:eastAsia="en-AU"/>
          <w14:ligatures w14:val="standardContextual"/>
        </w:rPr>
      </w:pPr>
      <w:hyperlink w:anchor="_Toc162451262" w:history="1">
        <w:r w:rsidR="004922AD" w:rsidRPr="00A51C4D">
          <w:rPr>
            <w:rStyle w:val="Hyperlink"/>
            <w:noProof/>
            <w:lang w:val="en-US"/>
          </w:rPr>
          <w:t>Families hold primary responsibility for children’s health, wellbeing and development, and should be active participants in decision making</w:t>
        </w:r>
        <w:r w:rsidR="004922AD">
          <w:rPr>
            <w:noProof/>
            <w:webHidden/>
          </w:rPr>
          <w:tab/>
        </w:r>
        <w:r w:rsidR="004922AD">
          <w:rPr>
            <w:noProof/>
            <w:webHidden/>
          </w:rPr>
          <w:fldChar w:fldCharType="begin"/>
        </w:r>
        <w:r w:rsidR="004922AD">
          <w:rPr>
            <w:noProof/>
            <w:webHidden/>
          </w:rPr>
          <w:instrText xml:space="preserve"> PAGEREF _Toc162451262 \h </w:instrText>
        </w:r>
        <w:r w:rsidR="004922AD">
          <w:rPr>
            <w:noProof/>
            <w:webHidden/>
          </w:rPr>
        </w:r>
        <w:r w:rsidR="004922AD">
          <w:rPr>
            <w:noProof/>
            <w:webHidden/>
          </w:rPr>
          <w:fldChar w:fldCharType="separate"/>
        </w:r>
        <w:r>
          <w:rPr>
            <w:noProof/>
            <w:webHidden/>
          </w:rPr>
          <w:t>6</w:t>
        </w:r>
        <w:r w:rsidR="004922AD">
          <w:rPr>
            <w:noProof/>
            <w:webHidden/>
          </w:rPr>
          <w:fldChar w:fldCharType="end"/>
        </w:r>
      </w:hyperlink>
    </w:p>
    <w:p w14:paraId="44DAB520" w14:textId="4CC4A9CA" w:rsidR="004922AD" w:rsidRDefault="00BF7215">
      <w:pPr>
        <w:pStyle w:val="TOC3"/>
        <w:tabs>
          <w:tab w:val="right" w:leader="dot" w:pos="8296"/>
        </w:tabs>
        <w:rPr>
          <w:rFonts w:asciiTheme="minorHAnsi" w:hAnsiTheme="minorHAnsi"/>
          <w:noProof/>
          <w:color w:val="auto"/>
          <w:kern w:val="2"/>
          <w:sz w:val="24"/>
          <w:lang w:eastAsia="en-AU"/>
          <w14:ligatures w14:val="standardContextual"/>
        </w:rPr>
      </w:pPr>
      <w:hyperlink w:anchor="_Toc162451263" w:history="1">
        <w:r w:rsidR="004922AD" w:rsidRPr="00A51C4D">
          <w:rPr>
            <w:rStyle w:val="Hyperlink"/>
            <w:noProof/>
          </w:rPr>
          <w:t>Children and young people have inherent dignity, and require special protection</w:t>
        </w:r>
        <w:r w:rsidR="004922AD">
          <w:rPr>
            <w:noProof/>
            <w:webHidden/>
          </w:rPr>
          <w:tab/>
        </w:r>
        <w:r w:rsidR="004922AD">
          <w:rPr>
            <w:noProof/>
            <w:webHidden/>
          </w:rPr>
          <w:fldChar w:fldCharType="begin"/>
        </w:r>
        <w:r w:rsidR="004922AD">
          <w:rPr>
            <w:noProof/>
            <w:webHidden/>
          </w:rPr>
          <w:instrText xml:space="preserve"> PAGEREF _Toc162451263 \h </w:instrText>
        </w:r>
        <w:r w:rsidR="004922AD">
          <w:rPr>
            <w:noProof/>
            <w:webHidden/>
          </w:rPr>
        </w:r>
        <w:r w:rsidR="004922AD">
          <w:rPr>
            <w:noProof/>
            <w:webHidden/>
          </w:rPr>
          <w:fldChar w:fldCharType="separate"/>
        </w:r>
        <w:r>
          <w:rPr>
            <w:noProof/>
            <w:webHidden/>
          </w:rPr>
          <w:t>7</w:t>
        </w:r>
        <w:r w:rsidR="004922AD">
          <w:rPr>
            <w:noProof/>
            <w:webHidden/>
          </w:rPr>
          <w:fldChar w:fldCharType="end"/>
        </w:r>
      </w:hyperlink>
    </w:p>
    <w:p w14:paraId="15637621" w14:textId="6F6791C1" w:rsidR="004922AD" w:rsidRDefault="00BF7215">
      <w:pPr>
        <w:pStyle w:val="TOC3"/>
        <w:tabs>
          <w:tab w:val="right" w:leader="dot" w:pos="8296"/>
        </w:tabs>
        <w:rPr>
          <w:rFonts w:asciiTheme="minorHAnsi" w:hAnsiTheme="minorHAnsi"/>
          <w:noProof/>
          <w:color w:val="auto"/>
          <w:kern w:val="2"/>
          <w:sz w:val="24"/>
          <w:lang w:eastAsia="en-AU"/>
          <w14:ligatures w14:val="standardContextual"/>
        </w:rPr>
      </w:pPr>
      <w:hyperlink w:anchor="_Toc162451264" w:history="1">
        <w:r w:rsidR="004922AD" w:rsidRPr="00A51C4D">
          <w:rPr>
            <w:rStyle w:val="Hyperlink"/>
            <w:noProof/>
            <w:lang w:val="en-US"/>
          </w:rPr>
          <w:t>Eliminating discrimination and promoting inclusion</w:t>
        </w:r>
        <w:r w:rsidR="004922AD">
          <w:rPr>
            <w:noProof/>
            <w:webHidden/>
          </w:rPr>
          <w:tab/>
        </w:r>
        <w:r w:rsidR="004922AD">
          <w:rPr>
            <w:noProof/>
            <w:webHidden/>
          </w:rPr>
          <w:fldChar w:fldCharType="begin"/>
        </w:r>
        <w:r w:rsidR="004922AD">
          <w:rPr>
            <w:noProof/>
            <w:webHidden/>
          </w:rPr>
          <w:instrText xml:space="preserve"> PAGEREF _Toc162451264 \h </w:instrText>
        </w:r>
        <w:r w:rsidR="004922AD">
          <w:rPr>
            <w:noProof/>
            <w:webHidden/>
          </w:rPr>
        </w:r>
        <w:r w:rsidR="004922AD">
          <w:rPr>
            <w:noProof/>
            <w:webHidden/>
          </w:rPr>
          <w:fldChar w:fldCharType="separate"/>
        </w:r>
        <w:r>
          <w:rPr>
            <w:noProof/>
            <w:webHidden/>
          </w:rPr>
          <w:t>7</w:t>
        </w:r>
        <w:r w:rsidR="004922AD">
          <w:rPr>
            <w:noProof/>
            <w:webHidden/>
          </w:rPr>
          <w:fldChar w:fldCharType="end"/>
        </w:r>
      </w:hyperlink>
    </w:p>
    <w:p w14:paraId="23B779E0" w14:textId="4C4711CD" w:rsidR="004922AD" w:rsidRDefault="00BF7215">
      <w:pPr>
        <w:pStyle w:val="TOC2"/>
        <w:rPr>
          <w:rFonts w:asciiTheme="minorHAnsi" w:hAnsiTheme="minorHAnsi"/>
          <w:noProof/>
          <w:color w:val="auto"/>
          <w:kern w:val="2"/>
          <w:sz w:val="24"/>
          <w:lang w:eastAsia="en-AU"/>
          <w14:ligatures w14:val="standardContextual"/>
        </w:rPr>
      </w:pPr>
      <w:hyperlink w:anchor="_Toc162451265" w:history="1">
        <w:r w:rsidR="004922AD" w:rsidRPr="00A51C4D">
          <w:rPr>
            <w:rStyle w:val="Hyperlink"/>
            <w:noProof/>
            <w:lang w:val="en-US"/>
          </w:rPr>
          <w:t>Other considerations</w:t>
        </w:r>
        <w:r w:rsidR="004922AD">
          <w:rPr>
            <w:noProof/>
            <w:webHidden/>
          </w:rPr>
          <w:tab/>
        </w:r>
        <w:r w:rsidR="004922AD">
          <w:rPr>
            <w:noProof/>
            <w:webHidden/>
          </w:rPr>
          <w:fldChar w:fldCharType="begin"/>
        </w:r>
        <w:r w:rsidR="004922AD">
          <w:rPr>
            <w:noProof/>
            <w:webHidden/>
          </w:rPr>
          <w:instrText xml:space="preserve"> PAGEREF _Toc162451265 \h </w:instrText>
        </w:r>
        <w:r w:rsidR="004922AD">
          <w:rPr>
            <w:noProof/>
            <w:webHidden/>
          </w:rPr>
        </w:r>
        <w:r w:rsidR="004922AD">
          <w:rPr>
            <w:noProof/>
            <w:webHidden/>
          </w:rPr>
          <w:fldChar w:fldCharType="separate"/>
        </w:r>
        <w:r>
          <w:rPr>
            <w:noProof/>
            <w:webHidden/>
          </w:rPr>
          <w:t>8</w:t>
        </w:r>
        <w:r w:rsidR="004922AD">
          <w:rPr>
            <w:noProof/>
            <w:webHidden/>
          </w:rPr>
          <w:fldChar w:fldCharType="end"/>
        </w:r>
      </w:hyperlink>
    </w:p>
    <w:p w14:paraId="50CB4E75" w14:textId="7BC433CD" w:rsidR="004922AD" w:rsidRDefault="00BF7215">
      <w:pPr>
        <w:pStyle w:val="TOC3"/>
        <w:tabs>
          <w:tab w:val="right" w:leader="dot" w:pos="8296"/>
        </w:tabs>
        <w:rPr>
          <w:rFonts w:asciiTheme="minorHAnsi" w:hAnsiTheme="minorHAnsi"/>
          <w:noProof/>
          <w:color w:val="auto"/>
          <w:kern w:val="2"/>
          <w:sz w:val="24"/>
          <w:lang w:eastAsia="en-AU"/>
          <w14:ligatures w14:val="standardContextual"/>
        </w:rPr>
      </w:pPr>
      <w:hyperlink w:anchor="_Toc162451266" w:history="1">
        <w:r w:rsidR="004922AD" w:rsidRPr="00A51C4D">
          <w:rPr>
            <w:rStyle w:val="Hyperlink"/>
            <w:noProof/>
            <w:lang w:val="en-US"/>
          </w:rPr>
          <w:t>Putting Queensland Kids First</w:t>
        </w:r>
        <w:r w:rsidR="004922AD">
          <w:rPr>
            <w:noProof/>
            <w:webHidden/>
          </w:rPr>
          <w:tab/>
        </w:r>
        <w:r w:rsidR="004922AD">
          <w:rPr>
            <w:noProof/>
            <w:webHidden/>
          </w:rPr>
          <w:fldChar w:fldCharType="begin"/>
        </w:r>
        <w:r w:rsidR="004922AD">
          <w:rPr>
            <w:noProof/>
            <w:webHidden/>
          </w:rPr>
          <w:instrText xml:space="preserve"> PAGEREF _Toc162451266 \h </w:instrText>
        </w:r>
        <w:r w:rsidR="004922AD">
          <w:rPr>
            <w:noProof/>
            <w:webHidden/>
          </w:rPr>
        </w:r>
        <w:r w:rsidR="004922AD">
          <w:rPr>
            <w:noProof/>
            <w:webHidden/>
          </w:rPr>
          <w:fldChar w:fldCharType="separate"/>
        </w:r>
        <w:r>
          <w:rPr>
            <w:noProof/>
            <w:webHidden/>
          </w:rPr>
          <w:t>8</w:t>
        </w:r>
        <w:r w:rsidR="004922AD">
          <w:rPr>
            <w:noProof/>
            <w:webHidden/>
          </w:rPr>
          <w:fldChar w:fldCharType="end"/>
        </w:r>
      </w:hyperlink>
    </w:p>
    <w:p w14:paraId="228DAE4E" w14:textId="095C74FF" w:rsidR="004922AD" w:rsidRDefault="00BF7215">
      <w:pPr>
        <w:pStyle w:val="TOC3"/>
        <w:tabs>
          <w:tab w:val="right" w:leader="dot" w:pos="8296"/>
        </w:tabs>
        <w:rPr>
          <w:rFonts w:asciiTheme="minorHAnsi" w:hAnsiTheme="minorHAnsi"/>
          <w:noProof/>
          <w:color w:val="auto"/>
          <w:kern w:val="2"/>
          <w:sz w:val="24"/>
          <w:lang w:eastAsia="en-AU"/>
          <w14:ligatures w14:val="standardContextual"/>
        </w:rPr>
      </w:pPr>
      <w:hyperlink w:anchor="_Toc162451267" w:history="1">
        <w:r w:rsidR="004922AD" w:rsidRPr="00A51C4D">
          <w:rPr>
            <w:rStyle w:val="Hyperlink"/>
            <w:noProof/>
            <w:lang w:val="en-US"/>
          </w:rPr>
          <w:t>Anti-Discrimination Bill 2024</w:t>
        </w:r>
        <w:r w:rsidR="004922AD">
          <w:rPr>
            <w:noProof/>
            <w:webHidden/>
          </w:rPr>
          <w:tab/>
        </w:r>
        <w:r w:rsidR="004922AD">
          <w:rPr>
            <w:noProof/>
            <w:webHidden/>
          </w:rPr>
          <w:fldChar w:fldCharType="begin"/>
        </w:r>
        <w:r w:rsidR="004922AD">
          <w:rPr>
            <w:noProof/>
            <w:webHidden/>
          </w:rPr>
          <w:instrText xml:space="preserve"> PAGEREF _Toc162451267 \h </w:instrText>
        </w:r>
        <w:r w:rsidR="004922AD">
          <w:rPr>
            <w:noProof/>
            <w:webHidden/>
          </w:rPr>
        </w:r>
        <w:r w:rsidR="004922AD">
          <w:rPr>
            <w:noProof/>
            <w:webHidden/>
          </w:rPr>
          <w:fldChar w:fldCharType="separate"/>
        </w:r>
        <w:r>
          <w:rPr>
            <w:noProof/>
            <w:webHidden/>
          </w:rPr>
          <w:t>9</w:t>
        </w:r>
        <w:r w:rsidR="004922AD">
          <w:rPr>
            <w:noProof/>
            <w:webHidden/>
          </w:rPr>
          <w:fldChar w:fldCharType="end"/>
        </w:r>
      </w:hyperlink>
    </w:p>
    <w:p w14:paraId="3064AAF9" w14:textId="34280D75" w:rsidR="004922AD" w:rsidRDefault="00BF7215">
      <w:pPr>
        <w:pStyle w:val="TOC3"/>
        <w:tabs>
          <w:tab w:val="right" w:leader="dot" w:pos="8296"/>
        </w:tabs>
        <w:rPr>
          <w:rFonts w:asciiTheme="minorHAnsi" w:hAnsiTheme="minorHAnsi"/>
          <w:noProof/>
          <w:color w:val="auto"/>
          <w:kern w:val="2"/>
          <w:sz w:val="24"/>
          <w:lang w:eastAsia="en-AU"/>
          <w14:ligatures w14:val="standardContextual"/>
        </w:rPr>
      </w:pPr>
      <w:hyperlink w:anchor="_Toc162451268" w:history="1">
        <w:r w:rsidR="004922AD" w:rsidRPr="00A51C4D">
          <w:rPr>
            <w:rStyle w:val="Hyperlink"/>
            <w:noProof/>
            <w:lang w:val="en-US"/>
          </w:rPr>
          <w:t>Royal Commission into Violence, Abuse, Neglect and Exploitation of People with Disability</w:t>
        </w:r>
        <w:r w:rsidR="004922AD">
          <w:rPr>
            <w:noProof/>
            <w:webHidden/>
          </w:rPr>
          <w:tab/>
        </w:r>
        <w:r w:rsidR="004922AD">
          <w:rPr>
            <w:noProof/>
            <w:webHidden/>
          </w:rPr>
          <w:fldChar w:fldCharType="begin"/>
        </w:r>
        <w:r w:rsidR="004922AD">
          <w:rPr>
            <w:noProof/>
            <w:webHidden/>
          </w:rPr>
          <w:instrText xml:space="preserve"> PAGEREF _Toc162451268 \h </w:instrText>
        </w:r>
        <w:r w:rsidR="004922AD">
          <w:rPr>
            <w:noProof/>
            <w:webHidden/>
          </w:rPr>
        </w:r>
        <w:r w:rsidR="004922AD">
          <w:rPr>
            <w:noProof/>
            <w:webHidden/>
          </w:rPr>
          <w:fldChar w:fldCharType="separate"/>
        </w:r>
        <w:r>
          <w:rPr>
            <w:noProof/>
            <w:webHidden/>
          </w:rPr>
          <w:t>9</w:t>
        </w:r>
        <w:r w:rsidR="004922AD">
          <w:rPr>
            <w:noProof/>
            <w:webHidden/>
          </w:rPr>
          <w:fldChar w:fldCharType="end"/>
        </w:r>
      </w:hyperlink>
    </w:p>
    <w:p w14:paraId="20FFD49F" w14:textId="2C599792" w:rsidR="004922AD" w:rsidRDefault="00BF7215">
      <w:pPr>
        <w:pStyle w:val="TOC1"/>
        <w:rPr>
          <w:rFonts w:asciiTheme="minorHAnsi" w:hAnsiTheme="minorHAnsi"/>
          <w:noProof/>
          <w:color w:val="auto"/>
          <w:kern w:val="2"/>
          <w:sz w:val="24"/>
          <w:lang w:eastAsia="en-AU"/>
          <w14:ligatures w14:val="standardContextual"/>
        </w:rPr>
      </w:pPr>
      <w:hyperlink w:anchor="_Toc162451269" w:history="1">
        <w:r w:rsidR="004922AD" w:rsidRPr="00A51C4D">
          <w:rPr>
            <w:rStyle w:val="Hyperlink"/>
            <w:noProof/>
            <w:lang w:val="en-US"/>
          </w:rPr>
          <w:t>Submissions</w:t>
        </w:r>
        <w:r w:rsidR="004922AD">
          <w:rPr>
            <w:noProof/>
            <w:webHidden/>
          </w:rPr>
          <w:tab/>
        </w:r>
        <w:r w:rsidR="004922AD">
          <w:rPr>
            <w:noProof/>
            <w:webHidden/>
          </w:rPr>
          <w:fldChar w:fldCharType="begin"/>
        </w:r>
        <w:r w:rsidR="004922AD">
          <w:rPr>
            <w:noProof/>
            <w:webHidden/>
          </w:rPr>
          <w:instrText xml:space="preserve"> PAGEREF _Toc162451269 \h </w:instrText>
        </w:r>
        <w:r w:rsidR="004922AD">
          <w:rPr>
            <w:noProof/>
            <w:webHidden/>
          </w:rPr>
        </w:r>
        <w:r w:rsidR="004922AD">
          <w:rPr>
            <w:noProof/>
            <w:webHidden/>
          </w:rPr>
          <w:fldChar w:fldCharType="separate"/>
        </w:r>
        <w:r>
          <w:rPr>
            <w:noProof/>
            <w:webHidden/>
          </w:rPr>
          <w:t>10</w:t>
        </w:r>
        <w:r w:rsidR="004922AD">
          <w:rPr>
            <w:noProof/>
            <w:webHidden/>
          </w:rPr>
          <w:fldChar w:fldCharType="end"/>
        </w:r>
      </w:hyperlink>
    </w:p>
    <w:p w14:paraId="118C9A27" w14:textId="3A581728" w:rsidR="004922AD" w:rsidRDefault="00BF7215">
      <w:pPr>
        <w:pStyle w:val="TOC2"/>
        <w:rPr>
          <w:rFonts w:asciiTheme="minorHAnsi" w:hAnsiTheme="minorHAnsi"/>
          <w:noProof/>
          <w:color w:val="auto"/>
          <w:kern w:val="2"/>
          <w:sz w:val="24"/>
          <w:lang w:eastAsia="en-AU"/>
          <w14:ligatures w14:val="standardContextual"/>
        </w:rPr>
      </w:pPr>
      <w:hyperlink w:anchor="_Toc162451270" w:history="1">
        <w:r w:rsidR="004922AD" w:rsidRPr="00A51C4D">
          <w:rPr>
            <w:rStyle w:val="Hyperlink"/>
            <w:noProof/>
            <w:lang w:val="en-US"/>
          </w:rPr>
          <w:t>Education continues while excluded or refused enrolment – clause 54</w:t>
        </w:r>
        <w:r w:rsidR="004922AD">
          <w:rPr>
            <w:noProof/>
            <w:webHidden/>
          </w:rPr>
          <w:tab/>
        </w:r>
        <w:r w:rsidR="004922AD">
          <w:rPr>
            <w:noProof/>
            <w:webHidden/>
          </w:rPr>
          <w:fldChar w:fldCharType="begin"/>
        </w:r>
        <w:r w:rsidR="004922AD">
          <w:rPr>
            <w:noProof/>
            <w:webHidden/>
          </w:rPr>
          <w:instrText xml:space="preserve"> PAGEREF _Toc162451270 \h </w:instrText>
        </w:r>
        <w:r w:rsidR="004922AD">
          <w:rPr>
            <w:noProof/>
            <w:webHidden/>
          </w:rPr>
        </w:r>
        <w:r w:rsidR="004922AD">
          <w:rPr>
            <w:noProof/>
            <w:webHidden/>
          </w:rPr>
          <w:fldChar w:fldCharType="separate"/>
        </w:r>
        <w:r>
          <w:rPr>
            <w:noProof/>
            <w:webHidden/>
          </w:rPr>
          <w:t>10</w:t>
        </w:r>
        <w:r w:rsidR="004922AD">
          <w:rPr>
            <w:noProof/>
            <w:webHidden/>
          </w:rPr>
          <w:fldChar w:fldCharType="end"/>
        </w:r>
      </w:hyperlink>
    </w:p>
    <w:p w14:paraId="5A027B18" w14:textId="3F0E8AD6" w:rsidR="004922AD" w:rsidRDefault="00BF7215">
      <w:pPr>
        <w:pStyle w:val="TOC2"/>
        <w:rPr>
          <w:rFonts w:asciiTheme="minorHAnsi" w:hAnsiTheme="minorHAnsi"/>
          <w:noProof/>
          <w:color w:val="auto"/>
          <w:kern w:val="2"/>
          <w:sz w:val="24"/>
          <w:lang w:eastAsia="en-AU"/>
          <w14:ligatures w14:val="standardContextual"/>
        </w:rPr>
      </w:pPr>
      <w:hyperlink w:anchor="_Toc162451271" w:history="1">
        <w:r w:rsidR="004922AD" w:rsidRPr="00A51C4D">
          <w:rPr>
            <w:rStyle w:val="Hyperlink"/>
            <w:noProof/>
            <w:lang w:val="en-US"/>
          </w:rPr>
          <w:t>Preparatory students excepted from suspension and exclusion decisions – clause 75</w:t>
        </w:r>
        <w:r w:rsidR="004922AD">
          <w:rPr>
            <w:noProof/>
            <w:webHidden/>
          </w:rPr>
          <w:tab/>
        </w:r>
        <w:r w:rsidR="004922AD">
          <w:rPr>
            <w:noProof/>
            <w:webHidden/>
          </w:rPr>
          <w:fldChar w:fldCharType="begin"/>
        </w:r>
        <w:r w:rsidR="004922AD">
          <w:rPr>
            <w:noProof/>
            <w:webHidden/>
          </w:rPr>
          <w:instrText xml:space="preserve"> PAGEREF _Toc162451271 \h </w:instrText>
        </w:r>
        <w:r w:rsidR="004922AD">
          <w:rPr>
            <w:noProof/>
            <w:webHidden/>
          </w:rPr>
        </w:r>
        <w:r w:rsidR="004922AD">
          <w:rPr>
            <w:noProof/>
            <w:webHidden/>
          </w:rPr>
          <w:fldChar w:fldCharType="separate"/>
        </w:r>
        <w:r>
          <w:rPr>
            <w:noProof/>
            <w:webHidden/>
          </w:rPr>
          <w:t>11</w:t>
        </w:r>
        <w:r w:rsidR="004922AD">
          <w:rPr>
            <w:noProof/>
            <w:webHidden/>
          </w:rPr>
          <w:fldChar w:fldCharType="end"/>
        </w:r>
      </w:hyperlink>
    </w:p>
    <w:p w14:paraId="2C393903" w14:textId="5BE784AD" w:rsidR="004922AD" w:rsidRDefault="00BF7215">
      <w:pPr>
        <w:pStyle w:val="TOC2"/>
        <w:rPr>
          <w:rFonts w:asciiTheme="minorHAnsi" w:hAnsiTheme="minorHAnsi"/>
          <w:noProof/>
          <w:color w:val="auto"/>
          <w:kern w:val="2"/>
          <w:sz w:val="24"/>
          <w:lang w:eastAsia="en-AU"/>
          <w14:ligatures w14:val="standardContextual"/>
        </w:rPr>
      </w:pPr>
      <w:hyperlink w:anchor="_Toc162451272" w:history="1">
        <w:r w:rsidR="004922AD" w:rsidRPr="00A51C4D">
          <w:rPr>
            <w:rStyle w:val="Hyperlink"/>
            <w:noProof/>
            <w:lang w:val="en-US"/>
          </w:rPr>
          <w:t>Expressly acknowledge that suspensions and exclusions are an option of last resort</w:t>
        </w:r>
        <w:r w:rsidR="004922AD">
          <w:rPr>
            <w:noProof/>
            <w:webHidden/>
          </w:rPr>
          <w:tab/>
        </w:r>
        <w:r w:rsidR="004922AD">
          <w:rPr>
            <w:noProof/>
            <w:webHidden/>
          </w:rPr>
          <w:fldChar w:fldCharType="begin"/>
        </w:r>
        <w:r w:rsidR="004922AD">
          <w:rPr>
            <w:noProof/>
            <w:webHidden/>
          </w:rPr>
          <w:instrText xml:space="preserve"> PAGEREF _Toc162451272 \h </w:instrText>
        </w:r>
        <w:r w:rsidR="004922AD">
          <w:rPr>
            <w:noProof/>
            <w:webHidden/>
          </w:rPr>
        </w:r>
        <w:r w:rsidR="004922AD">
          <w:rPr>
            <w:noProof/>
            <w:webHidden/>
          </w:rPr>
          <w:fldChar w:fldCharType="separate"/>
        </w:r>
        <w:r>
          <w:rPr>
            <w:noProof/>
            <w:webHidden/>
          </w:rPr>
          <w:t>12</w:t>
        </w:r>
        <w:r w:rsidR="004922AD">
          <w:rPr>
            <w:noProof/>
            <w:webHidden/>
          </w:rPr>
          <w:fldChar w:fldCharType="end"/>
        </w:r>
      </w:hyperlink>
    </w:p>
    <w:p w14:paraId="2A4CF425" w14:textId="4C853078" w:rsidR="004922AD" w:rsidRDefault="00BF7215">
      <w:pPr>
        <w:pStyle w:val="TOC2"/>
        <w:rPr>
          <w:rFonts w:asciiTheme="minorHAnsi" w:hAnsiTheme="minorHAnsi"/>
          <w:noProof/>
          <w:color w:val="auto"/>
          <w:kern w:val="2"/>
          <w:sz w:val="24"/>
          <w:lang w:eastAsia="en-AU"/>
          <w14:ligatures w14:val="standardContextual"/>
        </w:rPr>
      </w:pPr>
      <w:hyperlink w:anchor="_Toc162451273" w:history="1">
        <w:r w:rsidR="004922AD" w:rsidRPr="00A51C4D">
          <w:rPr>
            <w:rStyle w:val="Hyperlink"/>
            <w:noProof/>
            <w:lang w:val="en-US"/>
          </w:rPr>
          <w:t xml:space="preserve">Grounds and matters to be considered when making suspension and exclusion decisions support a decision that is compatible </w:t>
        </w:r>
        <w:r w:rsidR="004922AD" w:rsidRPr="00A51C4D">
          <w:rPr>
            <w:rStyle w:val="Hyperlink"/>
            <w:noProof/>
          </w:rPr>
          <w:t>with</w:t>
        </w:r>
        <w:r w:rsidR="004922AD" w:rsidRPr="00A51C4D">
          <w:rPr>
            <w:rStyle w:val="Hyperlink"/>
            <w:noProof/>
            <w:lang w:val="en-US"/>
          </w:rPr>
          <w:t xml:space="preserve"> human rights – clauses 76, 77, 84, 87 and 120.</w:t>
        </w:r>
        <w:r w:rsidR="004922AD">
          <w:rPr>
            <w:noProof/>
            <w:webHidden/>
          </w:rPr>
          <w:tab/>
        </w:r>
        <w:r w:rsidR="004922AD">
          <w:rPr>
            <w:noProof/>
            <w:webHidden/>
          </w:rPr>
          <w:fldChar w:fldCharType="begin"/>
        </w:r>
        <w:r w:rsidR="004922AD">
          <w:rPr>
            <w:noProof/>
            <w:webHidden/>
          </w:rPr>
          <w:instrText xml:space="preserve"> PAGEREF _Toc162451273 \h </w:instrText>
        </w:r>
        <w:r w:rsidR="004922AD">
          <w:rPr>
            <w:noProof/>
            <w:webHidden/>
          </w:rPr>
        </w:r>
        <w:r w:rsidR="004922AD">
          <w:rPr>
            <w:noProof/>
            <w:webHidden/>
          </w:rPr>
          <w:fldChar w:fldCharType="separate"/>
        </w:r>
        <w:r>
          <w:rPr>
            <w:noProof/>
            <w:webHidden/>
          </w:rPr>
          <w:t>13</w:t>
        </w:r>
        <w:r w:rsidR="004922AD">
          <w:rPr>
            <w:noProof/>
            <w:webHidden/>
          </w:rPr>
          <w:fldChar w:fldCharType="end"/>
        </w:r>
      </w:hyperlink>
    </w:p>
    <w:p w14:paraId="653EF0ED" w14:textId="4275BF0C" w:rsidR="004922AD" w:rsidRDefault="00BF7215">
      <w:pPr>
        <w:pStyle w:val="TOC2"/>
        <w:rPr>
          <w:rFonts w:asciiTheme="minorHAnsi" w:hAnsiTheme="minorHAnsi"/>
          <w:noProof/>
          <w:color w:val="auto"/>
          <w:kern w:val="2"/>
          <w:sz w:val="24"/>
          <w:lang w:eastAsia="en-AU"/>
          <w14:ligatures w14:val="standardContextual"/>
        </w:rPr>
      </w:pPr>
      <w:hyperlink w:anchor="_Toc162451274" w:history="1">
        <w:r w:rsidR="004922AD" w:rsidRPr="00A51C4D">
          <w:rPr>
            <w:rStyle w:val="Hyperlink"/>
            <w:noProof/>
            <w:lang w:val="en-US"/>
          </w:rPr>
          <w:t>Content of Department’s policy for SDAs – clause 96</w:t>
        </w:r>
        <w:r w:rsidR="004922AD">
          <w:rPr>
            <w:noProof/>
            <w:webHidden/>
          </w:rPr>
          <w:tab/>
        </w:r>
        <w:r w:rsidR="004922AD">
          <w:rPr>
            <w:noProof/>
            <w:webHidden/>
          </w:rPr>
          <w:fldChar w:fldCharType="begin"/>
        </w:r>
        <w:r w:rsidR="004922AD">
          <w:rPr>
            <w:noProof/>
            <w:webHidden/>
          </w:rPr>
          <w:instrText xml:space="preserve"> PAGEREF _Toc162451274 \h </w:instrText>
        </w:r>
        <w:r w:rsidR="004922AD">
          <w:rPr>
            <w:noProof/>
            <w:webHidden/>
          </w:rPr>
        </w:r>
        <w:r w:rsidR="004922AD">
          <w:rPr>
            <w:noProof/>
            <w:webHidden/>
          </w:rPr>
          <w:fldChar w:fldCharType="separate"/>
        </w:r>
        <w:r>
          <w:rPr>
            <w:noProof/>
            <w:webHidden/>
          </w:rPr>
          <w:t>18</w:t>
        </w:r>
        <w:r w:rsidR="004922AD">
          <w:rPr>
            <w:noProof/>
            <w:webHidden/>
          </w:rPr>
          <w:fldChar w:fldCharType="end"/>
        </w:r>
      </w:hyperlink>
    </w:p>
    <w:p w14:paraId="3AADAADC" w14:textId="39C5B819" w:rsidR="004922AD" w:rsidRDefault="00BF7215">
      <w:pPr>
        <w:pStyle w:val="TOC2"/>
        <w:rPr>
          <w:rFonts w:asciiTheme="minorHAnsi" w:hAnsiTheme="minorHAnsi"/>
          <w:noProof/>
          <w:color w:val="auto"/>
          <w:kern w:val="2"/>
          <w:sz w:val="24"/>
          <w:lang w:eastAsia="en-AU"/>
          <w14:ligatures w14:val="standardContextual"/>
        </w:rPr>
      </w:pPr>
      <w:hyperlink w:anchor="_Toc162451275" w:history="1">
        <w:r w:rsidR="004922AD" w:rsidRPr="00A51C4D">
          <w:rPr>
            <w:rStyle w:val="Hyperlink"/>
            <w:noProof/>
            <w:lang w:val="en-US"/>
          </w:rPr>
          <w:t>Student support plans and education support plans – clauses 94 and 120</w:t>
        </w:r>
        <w:r w:rsidR="004922AD">
          <w:rPr>
            <w:noProof/>
            <w:webHidden/>
          </w:rPr>
          <w:tab/>
        </w:r>
        <w:r w:rsidR="004922AD">
          <w:rPr>
            <w:noProof/>
            <w:webHidden/>
          </w:rPr>
          <w:fldChar w:fldCharType="begin"/>
        </w:r>
        <w:r w:rsidR="004922AD">
          <w:rPr>
            <w:noProof/>
            <w:webHidden/>
          </w:rPr>
          <w:instrText xml:space="preserve"> PAGEREF _Toc162451275 \h </w:instrText>
        </w:r>
        <w:r w:rsidR="004922AD">
          <w:rPr>
            <w:noProof/>
            <w:webHidden/>
          </w:rPr>
        </w:r>
        <w:r w:rsidR="004922AD">
          <w:rPr>
            <w:noProof/>
            <w:webHidden/>
          </w:rPr>
          <w:fldChar w:fldCharType="separate"/>
        </w:r>
        <w:r>
          <w:rPr>
            <w:noProof/>
            <w:webHidden/>
          </w:rPr>
          <w:t>19</w:t>
        </w:r>
        <w:r w:rsidR="004922AD">
          <w:rPr>
            <w:noProof/>
            <w:webHidden/>
          </w:rPr>
          <w:fldChar w:fldCharType="end"/>
        </w:r>
      </w:hyperlink>
    </w:p>
    <w:p w14:paraId="33808FF1" w14:textId="0078C678" w:rsidR="004922AD" w:rsidRDefault="00BF7215">
      <w:pPr>
        <w:pStyle w:val="TOC2"/>
        <w:rPr>
          <w:rFonts w:asciiTheme="minorHAnsi" w:hAnsiTheme="minorHAnsi"/>
          <w:noProof/>
          <w:color w:val="auto"/>
          <w:kern w:val="2"/>
          <w:sz w:val="24"/>
          <w:lang w:eastAsia="en-AU"/>
          <w14:ligatures w14:val="standardContextual"/>
        </w:rPr>
      </w:pPr>
      <w:hyperlink w:anchor="_Toc162451276" w:history="1">
        <w:r w:rsidR="004922AD" w:rsidRPr="00A51C4D">
          <w:rPr>
            <w:rStyle w:val="Hyperlink"/>
            <w:noProof/>
          </w:rPr>
          <w:t>Review rights – clauses 78, 79, 86, 89, 90, 106, 107</w:t>
        </w:r>
        <w:r w:rsidR="004922AD">
          <w:rPr>
            <w:noProof/>
            <w:webHidden/>
          </w:rPr>
          <w:tab/>
        </w:r>
        <w:r w:rsidR="004922AD">
          <w:rPr>
            <w:noProof/>
            <w:webHidden/>
          </w:rPr>
          <w:fldChar w:fldCharType="begin"/>
        </w:r>
        <w:r w:rsidR="004922AD">
          <w:rPr>
            <w:noProof/>
            <w:webHidden/>
          </w:rPr>
          <w:instrText xml:space="preserve"> PAGEREF _Toc162451276 \h </w:instrText>
        </w:r>
        <w:r w:rsidR="004922AD">
          <w:rPr>
            <w:noProof/>
            <w:webHidden/>
          </w:rPr>
        </w:r>
        <w:r w:rsidR="004922AD">
          <w:rPr>
            <w:noProof/>
            <w:webHidden/>
          </w:rPr>
          <w:fldChar w:fldCharType="separate"/>
        </w:r>
        <w:r>
          <w:rPr>
            <w:noProof/>
            <w:webHidden/>
          </w:rPr>
          <w:t>20</w:t>
        </w:r>
        <w:r w:rsidR="004922AD">
          <w:rPr>
            <w:noProof/>
            <w:webHidden/>
          </w:rPr>
          <w:fldChar w:fldCharType="end"/>
        </w:r>
      </w:hyperlink>
    </w:p>
    <w:p w14:paraId="661ED81B" w14:textId="42E932FA" w:rsidR="004922AD" w:rsidRDefault="00BF7215">
      <w:pPr>
        <w:pStyle w:val="TOC2"/>
        <w:rPr>
          <w:rFonts w:asciiTheme="minorHAnsi" w:hAnsiTheme="minorHAnsi"/>
          <w:noProof/>
          <w:color w:val="auto"/>
          <w:kern w:val="2"/>
          <w:sz w:val="24"/>
          <w:lang w:eastAsia="en-AU"/>
          <w14:ligatures w14:val="standardContextual"/>
        </w:rPr>
      </w:pPr>
      <w:hyperlink w:anchor="_Toc162451277" w:history="1">
        <w:r w:rsidR="004922AD" w:rsidRPr="00A51C4D">
          <w:rPr>
            <w:rStyle w:val="Hyperlink"/>
            <w:noProof/>
          </w:rPr>
          <w:t>Monitoring and auditing by the Department</w:t>
        </w:r>
        <w:r w:rsidR="004922AD">
          <w:rPr>
            <w:noProof/>
            <w:webHidden/>
          </w:rPr>
          <w:tab/>
        </w:r>
        <w:r w:rsidR="004922AD">
          <w:rPr>
            <w:noProof/>
            <w:webHidden/>
          </w:rPr>
          <w:fldChar w:fldCharType="begin"/>
        </w:r>
        <w:r w:rsidR="004922AD">
          <w:rPr>
            <w:noProof/>
            <w:webHidden/>
          </w:rPr>
          <w:instrText xml:space="preserve"> PAGEREF _Toc162451277 \h </w:instrText>
        </w:r>
        <w:r w:rsidR="004922AD">
          <w:rPr>
            <w:noProof/>
            <w:webHidden/>
          </w:rPr>
        </w:r>
        <w:r w:rsidR="004922AD">
          <w:rPr>
            <w:noProof/>
            <w:webHidden/>
          </w:rPr>
          <w:fldChar w:fldCharType="separate"/>
        </w:r>
        <w:r>
          <w:rPr>
            <w:noProof/>
            <w:webHidden/>
          </w:rPr>
          <w:t>22</w:t>
        </w:r>
        <w:r w:rsidR="004922AD">
          <w:rPr>
            <w:noProof/>
            <w:webHidden/>
          </w:rPr>
          <w:fldChar w:fldCharType="end"/>
        </w:r>
      </w:hyperlink>
    </w:p>
    <w:p w14:paraId="48556F8E" w14:textId="73541DED" w:rsidR="004922AD" w:rsidRDefault="00BF7215">
      <w:pPr>
        <w:pStyle w:val="TOC2"/>
        <w:rPr>
          <w:rFonts w:asciiTheme="minorHAnsi" w:hAnsiTheme="minorHAnsi"/>
          <w:noProof/>
          <w:color w:val="auto"/>
          <w:kern w:val="2"/>
          <w:sz w:val="24"/>
          <w:lang w:eastAsia="en-AU"/>
          <w14:ligatures w14:val="standardContextual"/>
        </w:rPr>
      </w:pPr>
      <w:hyperlink w:anchor="_Toc162451278" w:history="1">
        <w:r w:rsidR="004922AD" w:rsidRPr="00A51C4D">
          <w:rPr>
            <w:rStyle w:val="Hyperlink"/>
            <w:noProof/>
            <w:lang w:val="en-US"/>
          </w:rPr>
          <w:t>Review of amendments – clause 114</w:t>
        </w:r>
        <w:r w:rsidR="004922AD">
          <w:rPr>
            <w:noProof/>
            <w:webHidden/>
          </w:rPr>
          <w:tab/>
        </w:r>
        <w:r w:rsidR="004922AD">
          <w:rPr>
            <w:noProof/>
            <w:webHidden/>
          </w:rPr>
          <w:fldChar w:fldCharType="begin"/>
        </w:r>
        <w:r w:rsidR="004922AD">
          <w:rPr>
            <w:noProof/>
            <w:webHidden/>
          </w:rPr>
          <w:instrText xml:space="preserve"> PAGEREF _Toc162451278 \h </w:instrText>
        </w:r>
        <w:r w:rsidR="004922AD">
          <w:rPr>
            <w:noProof/>
            <w:webHidden/>
          </w:rPr>
        </w:r>
        <w:r w:rsidR="004922AD">
          <w:rPr>
            <w:noProof/>
            <w:webHidden/>
          </w:rPr>
          <w:fldChar w:fldCharType="separate"/>
        </w:r>
        <w:r>
          <w:rPr>
            <w:noProof/>
            <w:webHidden/>
          </w:rPr>
          <w:t>22</w:t>
        </w:r>
        <w:r w:rsidR="004922AD">
          <w:rPr>
            <w:noProof/>
            <w:webHidden/>
          </w:rPr>
          <w:fldChar w:fldCharType="end"/>
        </w:r>
      </w:hyperlink>
    </w:p>
    <w:p w14:paraId="7961E943" w14:textId="10A57C12" w:rsidR="04E279A2" w:rsidRDefault="04E279A2" w:rsidP="04E279A2">
      <w:pPr>
        <w:pStyle w:val="TOC3"/>
        <w:tabs>
          <w:tab w:val="right" w:leader="dot" w:pos="8295"/>
        </w:tabs>
        <w:rPr>
          <w:rStyle w:val="Hyperlink"/>
        </w:rPr>
      </w:pPr>
      <w:r>
        <w:fldChar w:fldCharType="end"/>
      </w:r>
    </w:p>
    <w:p w14:paraId="73E263C8" w14:textId="482F4D53" w:rsidR="00A16356" w:rsidRPr="00041E58" w:rsidRDefault="00A16356" w:rsidP="00466216">
      <w:pPr>
        <w:spacing w:before="120"/>
        <w:rPr>
          <w:rFonts w:cs="Arial"/>
        </w:rPr>
      </w:pPr>
    </w:p>
    <w:p w14:paraId="4F1AF747" w14:textId="77777777" w:rsidR="004A2375" w:rsidRDefault="004A2375">
      <w:pPr>
        <w:rPr>
          <w:rFonts w:eastAsiaTheme="majorEastAsia" w:cstheme="majorBidi"/>
          <w:b/>
          <w:color w:val="365F91" w:themeColor="accent1" w:themeShade="BF"/>
          <w:sz w:val="28"/>
          <w:szCs w:val="32"/>
        </w:rPr>
        <w:sectPr w:rsidR="004A2375" w:rsidSect="007A286E">
          <w:footerReference w:type="default" r:id="rId13"/>
          <w:headerReference w:type="first" r:id="rId14"/>
          <w:pgSz w:w="11900" w:h="16840" w:code="9"/>
          <w:pgMar w:top="1440" w:right="1797" w:bottom="1440" w:left="1797" w:header="709" w:footer="709" w:gutter="0"/>
          <w:pgNumType w:start="0"/>
          <w:cols w:space="708"/>
          <w:titlePg/>
          <w:docGrid w:linePitch="360"/>
        </w:sectPr>
      </w:pPr>
    </w:p>
    <w:p w14:paraId="3971D576" w14:textId="56EE5ACE" w:rsidR="001C72DB" w:rsidRDefault="001C72DB" w:rsidP="00EE1A9B">
      <w:pPr>
        <w:pStyle w:val="Heading1"/>
        <w:rPr>
          <w:lang w:val="en-US"/>
        </w:rPr>
      </w:pPr>
      <w:bookmarkStart w:id="1" w:name="_Toc162451254"/>
      <w:r>
        <w:rPr>
          <w:lang w:val="en-US"/>
        </w:rPr>
        <w:lastRenderedPageBreak/>
        <w:t>Introduction</w:t>
      </w:r>
      <w:bookmarkEnd w:id="1"/>
    </w:p>
    <w:p w14:paraId="0229DB34" w14:textId="03C2FF20" w:rsidR="001C72DB" w:rsidRDefault="008D24F3" w:rsidP="001C72DB">
      <w:pPr>
        <w:pStyle w:val="Numberedparagraph"/>
        <w:rPr>
          <w:lang w:val="en-US"/>
        </w:rPr>
      </w:pPr>
      <w:r>
        <w:rPr>
          <w:lang w:val="en-US"/>
        </w:rPr>
        <w:t xml:space="preserve">This is a submission to the </w:t>
      </w:r>
      <w:r w:rsidRPr="008D24F3">
        <w:rPr>
          <w:lang w:val="en-US"/>
        </w:rPr>
        <w:t>Education, Employment, Training and Skills Committee</w:t>
      </w:r>
      <w:r>
        <w:rPr>
          <w:lang w:val="en-US"/>
        </w:rPr>
        <w:t xml:space="preserve"> in their consideration of the Education (General Provisions) and Other Legislation Amendment Bill 2024 (</w:t>
      </w:r>
      <w:r w:rsidRPr="008D24F3">
        <w:rPr>
          <w:b/>
          <w:bCs/>
          <w:lang w:val="en-US"/>
        </w:rPr>
        <w:t>the Bill</w:t>
      </w:r>
      <w:r>
        <w:rPr>
          <w:lang w:val="en-US"/>
        </w:rPr>
        <w:t>).</w:t>
      </w:r>
    </w:p>
    <w:p w14:paraId="0FB20E40" w14:textId="2F7EF968" w:rsidR="008D24F3" w:rsidRDefault="008D24F3" w:rsidP="001C72DB">
      <w:pPr>
        <w:pStyle w:val="Numberedparagraph"/>
        <w:rPr>
          <w:lang w:val="en-US"/>
        </w:rPr>
      </w:pPr>
      <w:r>
        <w:rPr>
          <w:lang w:val="en-US"/>
        </w:rPr>
        <w:t xml:space="preserve">The Bill proposes a variety of amendments, including to the framework set out in the </w:t>
      </w:r>
      <w:r w:rsidRPr="008D24F3">
        <w:rPr>
          <w:i/>
          <w:iCs/>
          <w:lang w:val="en-US"/>
        </w:rPr>
        <w:t>Education (General Provisions) Act 200</w:t>
      </w:r>
      <w:r>
        <w:rPr>
          <w:i/>
          <w:iCs/>
          <w:lang w:val="en-US"/>
        </w:rPr>
        <w:t>6</w:t>
      </w:r>
      <w:r>
        <w:rPr>
          <w:lang w:val="en-US"/>
        </w:rPr>
        <w:t xml:space="preserve"> (</w:t>
      </w:r>
      <w:r w:rsidRPr="008D24F3">
        <w:rPr>
          <w:b/>
          <w:bCs/>
          <w:lang w:val="en-US"/>
        </w:rPr>
        <w:t>EGP Act</w:t>
      </w:r>
      <w:r>
        <w:rPr>
          <w:lang w:val="en-US"/>
        </w:rPr>
        <w:t>) regarding the good order and management of schools and school disciplinary absences</w:t>
      </w:r>
      <w:r w:rsidR="006B2762">
        <w:rPr>
          <w:lang w:val="en-US"/>
        </w:rPr>
        <w:t xml:space="preserve"> (</w:t>
      </w:r>
      <w:r w:rsidR="006B2762" w:rsidRPr="006B2762">
        <w:rPr>
          <w:b/>
          <w:bCs/>
          <w:lang w:val="en-US"/>
        </w:rPr>
        <w:t>SDA</w:t>
      </w:r>
      <w:r w:rsidR="006B2762">
        <w:rPr>
          <w:lang w:val="en-US"/>
        </w:rPr>
        <w:t>)</w:t>
      </w:r>
      <w:r>
        <w:rPr>
          <w:lang w:val="en-US"/>
        </w:rPr>
        <w:t>.</w:t>
      </w:r>
    </w:p>
    <w:p w14:paraId="3A83842C" w14:textId="6785B1B6" w:rsidR="008D24F3" w:rsidRPr="001C72DB" w:rsidRDefault="006B2762" w:rsidP="001C72DB">
      <w:pPr>
        <w:pStyle w:val="Numberedparagraph"/>
        <w:rPr>
          <w:lang w:val="en-US"/>
        </w:rPr>
      </w:pPr>
      <w:r>
        <w:rPr>
          <w:lang w:val="en-US"/>
        </w:rPr>
        <w:t>The focus of this submission are amendments relating to SDAs.</w:t>
      </w:r>
    </w:p>
    <w:p w14:paraId="62E4AE0F" w14:textId="77777777" w:rsidR="001C72DB" w:rsidRDefault="001C72DB" w:rsidP="001C72DB">
      <w:pPr>
        <w:pStyle w:val="Heading1"/>
      </w:pPr>
      <w:bookmarkStart w:id="2" w:name="_Toc162451255"/>
      <w:r>
        <w:t>Summary of submission</w:t>
      </w:r>
      <w:bookmarkEnd w:id="2"/>
    </w:p>
    <w:p w14:paraId="7C0E5F08" w14:textId="48E727EA" w:rsidR="00FF270E" w:rsidRDefault="00FF270E" w:rsidP="00C44098">
      <w:pPr>
        <w:pStyle w:val="Numberedparagraph"/>
        <w:rPr>
          <w:lang w:val="en-US"/>
        </w:rPr>
      </w:pPr>
      <w:r>
        <w:rPr>
          <w:lang w:val="en-US"/>
        </w:rPr>
        <w:t xml:space="preserve">This submission makes recommendations both in relation to the amendment of the Bill </w:t>
      </w:r>
      <w:r w:rsidR="002034F2">
        <w:rPr>
          <w:lang w:val="en-US"/>
        </w:rPr>
        <w:t xml:space="preserve">and </w:t>
      </w:r>
      <w:r w:rsidR="0033695B">
        <w:rPr>
          <w:lang w:val="en-US"/>
        </w:rPr>
        <w:t>its</w:t>
      </w:r>
      <w:r>
        <w:rPr>
          <w:lang w:val="en-US"/>
        </w:rPr>
        <w:t xml:space="preserve"> </w:t>
      </w:r>
      <w:r w:rsidR="006E4F67">
        <w:rPr>
          <w:lang w:val="en-US"/>
        </w:rPr>
        <w:t>implementation</w:t>
      </w:r>
      <w:r w:rsidR="00D76CBD">
        <w:rPr>
          <w:lang w:val="en-US"/>
        </w:rPr>
        <w:t xml:space="preserve"> by the Department</w:t>
      </w:r>
      <w:r w:rsidR="005F4992">
        <w:rPr>
          <w:lang w:val="en-US"/>
        </w:rPr>
        <w:t>.</w:t>
      </w:r>
    </w:p>
    <w:p w14:paraId="6D0344DF" w14:textId="38DCD01B" w:rsidR="00747342" w:rsidRDefault="0033695B" w:rsidP="00C44098">
      <w:pPr>
        <w:pStyle w:val="Numberedparagraph"/>
        <w:rPr>
          <w:lang w:val="en-US"/>
        </w:rPr>
      </w:pPr>
      <w:r>
        <w:rPr>
          <w:lang w:val="en-US"/>
        </w:rPr>
        <w:t>In relation to Bill amendments, the Commission</w:t>
      </w:r>
      <w:r w:rsidR="00117439">
        <w:rPr>
          <w:lang w:val="en-US"/>
        </w:rPr>
        <w:t>’s</w:t>
      </w:r>
      <w:r w:rsidR="00250E99">
        <w:rPr>
          <w:lang w:val="en-US"/>
        </w:rPr>
        <w:t xml:space="preserve"> </w:t>
      </w:r>
      <w:r w:rsidR="00315503">
        <w:rPr>
          <w:lang w:val="en-US"/>
        </w:rPr>
        <w:t>primary submissions are</w:t>
      </w:r>
      <w:r>
        <w:rPr>
          <w:lang w:val="en-US"/>
        </w:rPr>
        <w:t>:</w:t>
      </w:r>
    </w:p>
    <w:p w14:paraId="73319FDA" w14:textId="2824684B" w:rsidR="00E13AFA" w:rsidRPr="00FF3C2C" w:rsidRDefault="00C44098" w:rsidP="0033695B">
      <w:pPr>
        <w:pStyle w:val="Numberedparagraph"/>
        <w:numPr>
          <w:ilvl w:val="1"/>
          <w:numId w:val="1"/>
        </w:numPr>
        <w:rPr>
          <w:lang w:val="en-US"/>
        </w:rPr>
      </w:pPr>
      <w:r w:rsidRPr="3ACE0C9B">
        <w:rPr>
          <w:lang w:val="en-US"/>
        </w:rPr>
        <w:t xml:space="preserve">As a priority, </w:t>
      </w:r>
      <w:r w:rsidR="00A05CB4">
        <w:rPr>
          <w:lang w:val="en-US"/>
        </w:rPr>
        <w:t xml:space="preserve">clauses which prescribe </w:t>
      </w:r>
      <w:r w:rsidR="00723C5B">
        <w:rPr>
          <w:lang w:val="en-US"/>
        </w:rPr>
        <w:t xml:space="preserve">matters for consideration when making an SDA decision </w:t>
      </w:r>
      <w:r w:rsidR="008B6827" w:rsidRPr="00A148AC">
        <w:rPr>
          <w:lang w:val="en-US"/>
        </w:rPr>
        <w:t>must be inclusive and not exhaustive</w:t>
      </w:r>
      <w:r w:rsidR="00A148AC" w:rsidRPr="00A148AC">
        <w:rPr>
          <w:lang w:val="en-US"/>
        </w:rPr>
        <w:t>, or</w:t>
      </w:r>
      <w:r w:rsidR="0007091E">
        <w:rPr>
          <w:lang w:val="en-US"/>
        </w:rPr>
        <w:t xml:space="preserve"> alternatively</w:t>
      </w:r>
      <w:r w:rsidR="00A148AC" w:rsidRPr="00A148AC">
        <w:rPr>
          <w:lang w:val="en-US"/>
        </w:rPr>
        <w:t xml:space="preserve"> allow for the decision-maker to</w:t>
      </w:r>
      <w:r w:rsidR="00A148AC">
        <w:rPr>
          <w:b/>
          <w:bCs/>
          <w:lang w:val="en-US"/>
        </w:rPr>
        <w:t xml:space="preserve"> </w:t>
      </w:r>
      <w:r w:rsidR="00A148AC" w:rsidRPr="00A148AC">
        <w:rPr>
          <w:lang w:val="en-US"/>
        </w:rPr>
        <w:t>consider any other relevant matter</w:t>
      </w:r>
      <w:r w:rsidR="008B6827" w:rsidRPr="00527B0F">
        <w:rPr>
          <w:b/>
          <w:bCs/>
          <w:lang w:val="en-US"/>
        </w:rPr>
        <w:t>.</w:t>
      </w:r>
      <w:r w:rsidR="008B6827">
        <w:rPr>
          <w:b/>
          <w:bCs/>
          <w:lang w:val="en-US"/>
        </w:rPr>
        <w:t xml:space="preserve"> </w:t>
      </w:r>
      <w:r w:rsidR="008B6827">
        <w:rPr>
          <w:lang w:val="en-US"/>
        </w:rPr>
        <w:t xml:space="preserve">At present, </w:t>
      </w:r>
      <w:r w:rsidR="00DB5E26">
        <w:rPr>
          <w:lang w:val="en-US"/>
        </w:rPr>
        <w:t xml:space="preserve">the provisions could be interpreted as only allowing the consideration of prescribed </w:t>
      </w:r>
      <w:proofErr w:type="gramStart"/>
      <w:r w:rsidR="00DB5E26">
        <w:rPr>
          <w:lang w:val="en-US"/>
        </w:rPr>
        <w:t>matters, and</w:t>
      </w:r>
      <w:proofErr w:type="gramEnd"/>
      <w:r w:rsidR="00DB5E26">
        <w:rPr>
          <w:lang w:val="en-US"/>
        </w:rPr>
        <w:t xml:space="preserve"> excludes consideration of other factors that may be relevant to human rights compatibility. </w:t>
      </w:r>
      <w:r w:rsidR="000928F5">
        <w:rPr>
          <w:lang w:val="en-US"/>
        </w:rPr>
        <w:t>(</w:t>
      </w:r>
      <w:r w:rsidR="000928F5" w:rsidRPr="3ACE0C9B">
        <w:rPr>
          <w:lang w:val="en-US"/>
        </w:rPr>
        <w:t>clauses 77</w:t>
      </w:r>
      <w:r w:rsidR="009C289F">
        <w:rPr>
          <w:lang w:val="en-US"/>
        </w:rPr>
        <w:t xml:space="preserve"> (s 282)</w:t>
      </w:r>
      <w:r w:rsidR="000928F5" w:rsidRPr="3ACE0C9B">
        <w:rPr>
          <w:lang w:val="en-US"/>
        </w:rPr>
        <w:t>, 84</w:t>
      </w:r>
      <w:r w:rsidR="00BD13EF">
        <w:rPr>
          <w:lang w:val="en-US"/>
        </w:rPr>
        <w:t xml:space="preserve"> (s 292)</w:t>
      </w:r>
      <w:r w:rsidR="000928F5" w:rsidRPr="3ACE0C9B">
        <w:rPr>
          <w:lang w:val="en-US"/>
        </w:rPr>
        <w:t xml:space="preserve">, </w:t>
      </w:r>
      <w:proofErr w:type="gramStart"/>
      <w:r w:rsidR="000928F5" w:rsidRPr="3ACE0C9B">
        <w:rPr>
          <w:lang w:val="en-US"/>
        </w:rPr>
        <w:t xml:space="preserve">87 </w:t>
      </w:r>
      <w:r w:rsidR="00494525">
        <w:rPr>
          <w:lang w:val="en-US"/>
        </w:rPr>
        <w:t xml:space="preserve"> (</w:t>
      </w:r>
      <w:proofErr w:type="gramEnd"/>
      <w:r w:rsidR="00494525">
        <w:rPr>
          <w:lang w:val="en-US"/>
        </w:rPr>
        <w:t xml:space="preserve">s 299) </w:t>
      </w:r>
      <w:r w:rsidR="000928F5" w:rsidRPr="3ACE0C9B">
        <w:rPr>
          <w:lang w:val="en-US"/>
        </w:rPr>
        <w:t>and 120</w:t>
      </w:r>
      <w:r w:rsidR="00494525">
        <w:rPr>
          <w:lang w:val="en-US"/>
        </w:rPr>
        <w:t xml:space="preserve"> (regulations 60D, 60J and 60M) </w:t>
      </w:r>
      <w:r w:rsidR="000928F5">
        <w:rPr>
          <w:lang w:val="en-US"/>
        </w:rPr>
        <w:t xml:space="preserve"> – see paragraph [</w:t>
      </w:r>
      <w:r w:rsidR="0039343E">
        <w:rPr>
          <w:lang w:val="en-US"/>
        </w:rPr>
        <w:t>58</w:t>
      </w:r>
      <w:r w:rsidR="000928F5">
        <w:rPr>
          <w:lang w:val="en-US"/>
        </w:rPr>
        <w:t>] of this submission</w:t>
      </w:r>
      <w:r w:rsidR="000928F5" w:rsidRPr="00FF3C2C">
        <w:rPr>
          <w:lang w:val="en-US"/>
        </w:rPr>
        <w:t xml:space="preserve">). </w:t>
      </w:r>
    </w:p>
    <w:p w14:paraId="55FB1068" w14:textId="12D582CE" w:rsidR="000928F5" w:rsidRDefault="00DA1F6F" w:rsidP="0033695B">
      <w:pPr>
        <w:pStyle w:val="Numberedparagraph"/>
        <w:numPr>
          <w:ilvl w:val="1"/>
          <w:numId w:val="1"/>
        </w:numPr>
        <w:rPr>
          <w:lang w:val="en-US"/>
        </w:rPr>
      </w:pPr>
      <w:r>
        <w:rPr>
          <w:lang w:val="en-US"/>
        </w:rPr>
        <w:t xml:space="preserve">The Bill </w:t>
      </w:r>
      <w:r w:rsidR="00D54EB8">
        <w:rPr>
          <w:lang w:val="en-US"/>
        </w:rPr>
        <w:t>should exclude preparatory students from suspension or exclusion decisions (clause 75</w:t>
      </w:r>
      <w:r w:rsidR="00527B0F">
        <w:rPr>
          <w:lang w:val="en-US"/>
        </w:rPr>
        <w:t xml:space="preserve"> </w:t>
      </w:r>
      <w:r w:rsidR="00F62339">
        <w:rPr>
          <w:lang w:val="en-US"/>
        </w:rPr>
        <w:t xml:space="preserve">(s 279) </w:t>
      </w:r>
      <w:r w:rsidR="00527B0F">
        <w:rPr>
          <w:lang w:val="en-US"/>
        </w:rPr>
        <w:t xml:space="preserve">– see </w:t>
      </w:r>
      <w:r w:rsidR="00A8487B">
        <w:rPr>
          <w:lang w:val="en-US"/>
        </w:rPr>
        <w:t xml:space="preserve">paragraphs </w:t>
      </w:r>
      <w:r w:rsidR="00527B0F">
        <w:rPr>
          <w:lang w:val="en-US"/>
        </w:rPr>
        <w:t>[</w:t>
      </w:r>
      <w:r w:rsidR="00A8567B">
        <w:rPr>
          <w:lang w:val="en-US"/>
        </w:rPr>
        <w:t>48</w:t>
      </w:r>
      <w:r w:rsidR="00527B0F">
        <w:rPr>
          <w:lang w:val="en-US"/>
        </w:rPr>
        <w:t>]</w:t>
      </w:r>
      <w:r w:rsidR="00A8567B">
        <w:rPr>
          <w:lang w:val="en-US"/>
        </w:rPr>
        <w:t>-[51]</w:t>
      </w:r>
      <w:r w:rsidR="00527B0F">
        <w:rPr>
          <w:lang w:val="en-US"/>
        </w:rPr>
        <w:t xml:space="preserve"> of this submission</w:t>
      </w:r>
      <w:r w:rsidR="00D54EB8">
        <w:rPr>
          <w:lang w:val="en-US"/>
        </w:rPr>
        <w:t>)</w:t>
      </w:r>
      <w:r w:rsidR="00792E8E">
        <w:rPr>
          <w:lang w:val="en-US"/>
        </w:rPr>
        <w:t>.</w:t>
      </w:r>
    </w:p>
    <w:p w14:paraId="1C3D958A" w14:textId="3DB97E04" w:rsidR="00792E8E" w:rsidRDefault="00792E8E" w:rsidP="00792E8E">
      <w:pPr>
        <w:pStyle w:val="Numberedparagraph"/>
        <w:numPr>
          <w:ilvl w:val="1"/>
          <w:numId w:val="1"/>
        </w:numPr>
        <w:rPr>
          <w:lang w:val="en-US"/>
        </w:rPr>
      </w:pPr>
      <w:r>
        <w:rPr>
          <w:lang w:val="en-US"/>
        </w:rPr>
        <w:t xml:space="preserve">References </w:t>
      </w:r>
      <w:r w:rsidR="003D430E">
        <w:rPr>
          <w:lang w:val="en-US"/>
        </w:rPr>
        <w:t xml:space="preserve">to the </w:t>
      </w:r>
      <w:r w:rsidR="00C76902" w:rsidRPr="00527B0F">
        <w:rPr>
          <w:i/>
          <w:iCs/>
          <w:lang w:val="en-US"/>
        </w:rPr>
        <w:t>Disability Discrimination Act 1992</w:t>
      </w:r>
      <w:r w:rsidR="00C76902">
        <w:rPr>
          <w:lang w:val="en-US"/>
        </w:rPr>
        <w:t xml:space="preserve"> </w:t>
      </w:r>
      <w:r w:rsidR="00527B0F">
        <w:rPr>
          <w:lang w:val="en-US"/>
        </w:rPr>
        <w:t xml:space="preserve">(Cth) should be </w:t>
      </w:r>
      <w:proofErr w:type="gramStart"/>
      <w:r w:rsidR="00527B0F">
        <w:rPr>
          <w:lang w:val="en-US"/>
        </w:rPr>
        <w:t>deleted, or</w:t>
      </w:r>
      <w:proofErr w:type="gramEnd"/>
      <w:r w:rsidR="00527B0F">
        <w:rPr>
          <w:lang w:val="en-US"/>
        </w:rPr>
        <w:t xml:space="preserve"> refer to Queensland’s </w:t>
      </w:r>
      <w:r w:rsidR="00527B0F" w:rsidRPr="00527B0F">
        <w:rPr>
          <w:i/>
          <w:iCs/>
          <w:lang w:val="en-US"/>
        </w:rPr>
        <w:t xml:space="preserve">Anti-Discrimination Act 1991 </w:t>
      </w:r>
      <w:r w:rsidR="00527B0F">
        <w:rPr>
          <w:lang w:val="en-US"/>
        </w:rPr>
        <w:t>(Qld) where appropriate.</w:t>
      </w:r>
      <w:r w:rsidR="00A8487B">
        <w:rPr>
          <w:lang w:val="en-US"/>
        </w:rPr>
        <w:t xml:space="preserve"> (</w:t>
      </w:r>
      <w:r w:rsidR="00A44501">
        <w:rPr>
          <w:lang w:val="en-US"/>
        </w:rPr>
        <w:t xml:space="preserve">for </w:t>
      </w:r>
      <w:proofErr w:type="gramStart"/>
      <w:r w:rsidR="00A44501">
        <w:rPr>
          <w:lang w:val="en-US"/>
        </w:rPr>
        <w:t>example</w:t>
      </w:r>
      <w:proofErr w:type="gramEnd"/>
      <w:r w:rsidR="00A44501">
        <w:rPr>
          <w:lang w:val="en-US"/>
        </w:rPr>
        <w:t xml:space="preserve"> </w:t>
      </w:r>
      <w:r w:rsidR="00A8487B">
        <w:rPr>
          <w:lang w:val="en-US"/>
        </w:rPr>
        <w:t>clause</w:t>
      </w:r>
      <w:r w:rsidR="00494525">
        <w:rPr>
          <w:lang w:val="en-US"/>
        </w:rPr>
        <w:t>s</w:t>
      </w:r>
      <w:r w:rsidR="00E75BF4">
        <w:rPr>
          <w:lang w:val="en-US"/>
        </w:rPr>
        <w:t xml:space="preserve"> 76</w:t>
      </w:r>
      <w:r w:rsidR="00932D81">
        <w:rPr>
          <w:lang w:val="en-US"/>
        </w:rPr>
        <w:t xml:space="preserve"> (s 280)</w:t>
      </w:r>
      <w:r w:rsidR="00E75BF4">
        <w:rPr>
          <w:lang w:val="en-US"/>
        </w:rPr>
        <w:t xml:space="preserve">, </w:t>
      </w:r>
      <w:r w:rsidR="00983F86">
        <w:rPr>
          <w:lang w:val="en-US"/>
        </w:rPr>
        <w:t>94</w:t>
      </w:r>
      <w:r w:rsidR="00547F50">
        <w:rPr>
          <w:lang w:val="en-US"/>
        </w:rPr>
        <w:t xml:space="preserve"> (</w:t>
      </w:r>
      <w:r w:rsidR="005B34BD">
        <w:rPr>
          <w:lang w:val="en-US"/>
        </w:rPr>
        <w:t>s 322((1)(d))</w:t>
      </w:r>
      <w:r w:rsidR="00983F86">
        <w:rPr>
          <w:lang w:val="en-US"/>
        </w:rPr>
        <w:t xml:space="preserve">, </w:t>
      </w:r>
      <w:r w:rsidR="006B10C5">
        <w:rPr>
          <w:lang w:val="en-US"/>
        </w:rPr>
        <w:t xml:space="preserve">and </w:t>
      </w:r>
      <w:r w:rsidR="00AA75E8">
        <w:rPr>
          <w:lang w:val="en-US"/>
        </w:rPr>
        <w:t xml:space="preserve">120 </w:t>
      </w:r>
      <w:r w:rsidR="006B10C5">
        <w:rPr>
          <w:lang w:val="en-US"/>
        </w:rPr>
        <w:t>(</w:t>
      </w:r>
      <w:r w:rsidR="00AA75E8">
        <w:rPr>
          <w:lang w:val="en-US"/>
        </w:rPr>
        <w:t xml:space="preserve">regulations 60D, </w:t>
      </w:r>
      <w:r w:rsidR="00CE4214">
        <w:rPr>
          <w:lang w:val="en-US"/>
        </w:rPr>
        <w:t>60J and 60M</w:t>
      </w:r>
      <w:r w:rsidR="006B10C5">
        <w:rPr>
          <w:lang w:val="en-US"/>
        </w:rPr>
        <w:t>)</w:t>
      </w:r>
      <w:r w:rsidR="00CE4214">
        <w:rPr>
          <w:lang w:val="en-US"/>
        </w:rPr>
        <w:t xml:space="preserve"> </w:t>
      </w:r>
      <w:r w:rsidR="00A8487B">
        <w:rPr>
          <w:lang w:val="en-US"/>
        </w:rPr>
        <w:t>- see paragraph</w:t>
      </w:r>
      <w:r w:rsidR="0050440C">
        <w:rPr>
          <w:lang w:val="en-US"/>
        </w:rPr>
        <w:t>s</w:t>
      </w:r>
      <w:r w:rsidR="003756F7">
        <w:rPr>
          <w:lang w:val="en-US"/>
        </w:rPr>
        <w:t xml:space="preserve"> [59(d)]</w:t>
      </w:r>
      <w:r w:rsidR="0050440C">
        <w:rPr>
          <w:lang w:val="en-US"/>
        </w:rPr>
        <w:t xml:space="preserve"> and</w:t>
      </w:r>
      <w:r w:rsidR="0035230D">
        <w:rPr>
          <w:lang w:val="en-US"/>
        </w:rPr>
        <w:t xml:space="preserve"> [68(c)]</w:t>
      </w:r>
      <w:r w:rsidR="003756F7">
        <w:rPr>
          <w:lang w:val="en-US"/>
        </w:rPr>
        <w:t xml:space="preserve"> </w:t>
      </w:r>
      <w:r w:rsidR="00A8487B">
        <w:rPr>
          <w:lang w:val="en-US"/>
        </w:rPr>
        <w:t>of this submission).</w:t>
      </w:r>
    </w:p>
    <w:p w14:paraId="482A8C99" w14:textId="568F7064" w:rsidR="009267F6" w:rsidRPr="000B1AC5" w:rsidRDefault="009267F6" w:rsidP="009267F6">
      <w:pPr>
        <w:pStyle w:val="Numberedparagraph"/>
        <w:numPr>
          <w:ilvl w:val="1"/>
          <w:numId w:val="1"/>
        </w:numPr>
        <w:rPr>
          <w:lang w:val="en-US"/>
        </w:rPr>
      </w:pPr>
      <w:r>
        <w:rPr>
          <w:lang w:val="en-US"/>
        </w:rPr>
        <w:t xml:space="preserve">Recommends that the </w:t>
      </w:r>
      <w:proofErr w:type="gramStart"/>
      <w:r>
        <w:rPr>
          <w:lang w:val="en-US"/>
        </w:rPr>
        <w:t>18 month</w:t>
      </w:r>
      <w:proofErr w:type="gramEnd"/>
      <w:r>
        <w:rPr>
          <w:lang w:val="en-US"/>
        </w:rPr>
        <w:t xml:space="preserve"> statutory review of the amendments</w:t>
      </w:r>
      <w:r w:rsidR="00C17DC7">
        <w:rPr>
          <w:lang w:val="en-US"/>
        </w:rPr>
        <w:t xml:space="preserve"> </w:t>
      </w:r>
      <w:r w:rsidR="00164838">
        <w:rPr>
          <w:lang w:val="en-US"/>
        </w:rPr>
        <w:t xml:space="preserve">amend </w:t>
      </w:r>
      <w:r w:rsidR="009D4B94">
        <w:rPr>
          <w:lang w:val="en-US"/>
        </w:rPr>
        <w:t xml:space="preserve">its objects </w:t>
      </w:r>
      <w:r w:rsidR="00C43475">
        <w:rPr>
          <w:lang w:val="en-US"/>
        </w:rPr>
        <w:t xml:space="preserve">under proposed section 427A(2)(a) </w:t>
      </w:r>
      <w:r w:rsidR="003B62E9">
        <w:rPr>
          <w:lang w:val="en-US"/>
        </w:rPr>
        <w:t xml:space="preserve">of the EGP Act </w:t>
      </w:r>
      <w:r w:rsidR="00164838">
        <w:rPr>
          <w:lang w:val="en-US"/>
        </w:rPr>
        <w:t xml:space="preserve">to </w:t>
      </w:r>
      <w:r w:rsidR="00090CEA">
        <w:rPr>
          <w:lang w:val="en-US"/>
        </w:rPr>
        <w:t xml:space="preserve">whether </w:t>
      </w:r>
      <w:r w:rsidR="00164838">
        <w:rPr>
          <w:lang w:val="en-US"/>
        </w:rPr>
        <w:t>‘</w:t>
      </w:r>
      <w:r w:rsidR="002C1652">
        <w:rPr>
          <w:lang w:val="en-US"/>
        </w:rPr>
        <w:t xml:space="preserve">processes and decisions under the amended </w:t>
      </w:r>
      <w:r w:rsidR="00164838">
        <w:rPr>
          <w:lang w:val="en-US"/>
        </w:rPr>
        <w:t xml:space="preserve">provisions </w:t>
      </w:r>
      <w:r w:rsidR="002C1652">
        <w:rPr>
          <w:lang w:val="en-US"/>
        </w:rPr>
        <w:t xml:space="preserve">are </w:t>
      </w:r>
      <w:r>
        <w:rPr>
          <w:lang w:val="en-US"/>
        </w:rPr>
        <w:t xml:space="preserve">fair, transparent, </w:t>
      </w:r>
      <w:r w:rsidR="00090CEA">
        <w:rPr>
          <w:lang w:val="en-US"/>
        </w:rPr>
        <w:t xml:space="preserve">… </w:t>
      </w:r>
      <w:r>
        <w:rPr>
          <w:lang w:val="en-US"/>
        </w:rPr>
        <w:t xml:space="preserve">consistent </w:t>
      </w:r>
      <w:r w:rsidRPr="00913971">
        <w:rPr>
          <w:u w:val="single"/>
          <w:lang w:val="en-US"/>
        </w:rPr>
        <w:t>and compatible with human rights.</w:t>
      </w:r>
      <w:r w:rsidR="00913971">
        <w:rPr>
          <w:lang w:val="en-US"/>
        </w:rPr>
        <w:t>’</w:t>
      </w:r>
      <w:r>
        <w:rPr>
          <w:lang w:val="en-US"/>
        </w:rPr>
        <w:t xml:space="preserve"> (clause 114</w:t>
      </w:r>
      <w:r w:rsidR="00EF6745">
        <w:rPr>
          <w:lang w:val="en-US"/>
        </w:rPr>
        <w:t xml:space="preserve"> (s 427A)</w:t>
      </w:r>
      <w:r w:rsidR="00527B0F">
        <w:rPr>
          <w:lang w:val="en-US"/>
        </w:rPr>
        <w:t xml:space="preserve"> – see paragraphs [</w:t>
      </w:r>
      <w:r w:rsidR="004349B6">
        <w:rPr>
          <w:lang w:val="en-US"/>
        </w:rPr>
        <w:t>79</w:t>
      </w:r>
      <w:r w:rsidR="00527B0F">
        <w:rPr>
          <w:lang w:val="en-US"/>
        </w:rPr>
        <w:t>]</w:t>
      </w:r>
      <w:r w:rsidR="004349B6">
        <w:rPr>
          <w:lang w:val="en-US"/>
        </w:rPr>
        <w:t>-[80]</w:t>
      </w:r>
      <w:r w:rsidR="00527B0F">
        <w:rPr>
          <w:lang w:val="en-US"/>
        </w:rPr>
        <w:t xml:space="preserve"> of this submission</w:t>
      </w:r>
      <w:r>
        <w:rPr>
          <w:lang w:val="en-US"/>
        </w:rPr>
        <w:t>)</w:t>
      </w:r>
    </w:p>
    <w:p w14:paraId="4014F0A1" w14:textId="32D1E603" w:rsidR="00EE1A9B" w:rsidRDefault="00EE1A9B" w:rsidP="00EE1A9B">
      <w:pPr>
        <w:pStyle w:val="Heading1"/>
        <w:rPr>
          <w:lang w:val="en-US"/>
        </w:rPr>
      </w:pPr>
      <w:bookmarkStart w:id="3" w:name="_Toc162451256"/>
      <w:r>
        <w:rPr>
          <w:lang w:val="en-US"/>
        </w:rPr>
        <w:t>About the Commission</w:t>
      </w:r>
      <w:bookmarkEnd w:id="3"/>
    </w:p>
    <w:p w14:paraId="61E63882" w14:textId="040692B0" w:rsidR="00EE1A9B" w:rsidRPr="00881C23" w:rsidRDefault="00EE1A9B" w:rsidP="00EE1A9B">
      <w:pPr>
        <w:pStyle w:val="Numberedparagraph"/>
        <w:rPr>
          <w:lang w:val="en-US"/>
        </w:rPr>
      </w:pPr>
      <w:r w:rsidRPr="00881C23">
        <w:rPr>
          <w:lang w:val="en-US"/>
        </w:rPr>
        <w:t>The Queensland Human Rights Commission (</w:t>
      </w:r>
      <w:r w:rsidR="00173648">
        <w:rPr>
          <w:b/>
          <w:bCs/>
          <w:lang w:val="en-US"/>
        </w:rPr>
        <w:t>the Commission</w:t>
      </w:r>
      <w:r w:rsidRPr="00881C23">
        <w:rPr>
          <w:lang w:val="en-US"/>
        </w:rPr>
        <w:t xml:space="preserve">) is an independent statutory authority with functions under the </w:t>
      </w:r>
      <w:r w:rsidRPr="00881C23">
        <w:rPr>
          <w:i/>
          <w:iCs/>
          <w:lang w:val="en-US"/>
        </w:rPr>
        <w:t>Anti-Discrimination Act 1991</w:t>
      </w:r>
      <w:r w:rsidRPr="00881C23">
        <w:rPr>
          <w:lang w:val="en-US"/>
        </w:rPr>
        <w:t xml:space="preserve"> </w:t>
      </w:r>
      <w:r w:rsidR="004B1418">
        <w:rPr>
          <w:lang w:val="en-US"/>
        </w:rPr>
        <w:t>(</w:t>
      </w:r>
      <w:r w:rsidR="004B1418" w:rsidRPr="004B1418">
        <w:rPr>
          <w:b/>
          <w:bCs/>
          <w:lang w:val="en-US"/>
        </w:rPr>
        <w:t>Anti-Discrimination Act</w:t>
      </w:r>
      <w:r w:rsidR="004B1418">
        <w:rPr>
          <w:lang w:val="en-US"/>
        </w:rPr>
        <w:t xml:space="preserve">) </w:t>
      </w:r>
      <w:r w:rsidRPr="00881C23">
        <w:rPr>
          <w:lang w:val="en-US"/>
        </w:rPr>
        <w:t xml:space="preserve">and </w:t>
      </w:r>
      <w:r w:rsidR="00A9697F">
        <w:rPr>
          <w:lang w:val="en-US"/>
        </w:rPr>
        <w:t xml:space="preserve">the </w:t>
      </w:r>
      <w:r w:rsidRPr="00881C23">
        <w:rPr>
          <w:i/>
          <w:iCs/>
          <w:lang w:val="en-US"/>
        </w:rPr>
        <w:t xml:space="preserve">Human Rights Act 2019 </w:t>
      </w:r>
      <w:r w:rsidRPr="00881C23">
        <w:rPr>
          <w:lang w:val="en-US"/>
        </w:rPr>
        <w:t>(</w:t>
      </w:r>
      <w:r w:rsidRPr="00F30F2A">
        <w:rPr>
          <w:b/>
          <w:bCs/>
          <w:lang w:val="en-US"/>
        </w:rPr>
        <w:t xml:space="preserve">Human </w:t>
      </w:r>
      <w:r w:rsidRPr="00F30F2A">
        <w:rPr>
          <w:b/>
          <w:bCs/>
          <w:lang w:val="en-US"/>
        </w:rPr>
        <w:lastRenderedPageBreak/>
        <w:t>Rights Act</w:t>
      </w:r>
      <w:r w:rsidRPr="00881C23">
        <w:rPr>
          <w:lang w:val="en-US"/>
        </w:rPr>
        <w:t xml:space="preserve">), </w:t>
      </w:r>
      <w:r w:rsidR="00173648">
        <w:rPr>
          <w:lang w:val="en-US"/>
        </w:rPr>
        <w:t xml:space="preserve">including dealing with complaints of discrimination and contraventions of the Human Rights Act, and promoting an understanding, </w:t>
      </w:r>
      <w:proofErr w:type="gramStart"/>
      <w:r w:rsidR="00173648">
        <w:rPr>
          <w:lang w:val="en-US"/>
        </w:rPr>
        <w:t>acceptance</w:t>
      </w:r>
      <w:proofErr w:type="gramEnd"/>
      <w:r w:rsidR="00173648">
        <w:rPr>
          <w:lang w:val="en-US"/>
        </w:rPr>
        <w:t xml:space="preserve"> and public discussion of human rights in Queensland. </w:t>
      </w:r>
    </w:p>
    <w:p w14:paraId="54015ADF" w14:textId="73EB64B2" w:rsidR="00173648" w:rsidRPr="00881C23" w:rsidRDefault="006B2762" w:rsidP="00173648">
      <w:pPr>
        <w:pStyle w:val="Numberedparagraph"/>
        <w:rPr>
          <w:lang w:val="en-US"/>
        </w:rPr>
      </w:pPr>
      <w:r>
        <w:rPr>
          <w:lang w:val="en-US"/>
        </w:rPr>
        <w:t>The Commission has contributed to various reviews relating to school education, promoting education as an important protective factor for child wellbeing and reducing involvement in the youth justice system, and supporting measures that would reduce the use of SDAs.</w:t>
      </w:r>
      <w:r>
        <w:rPr>
          <w:rStyle w:val="FootnoteReference"/>
          <w:lang w:val="en-US"/>
        </w:rPr>
        <w:footnoteReference w:id="2"/>
      </w:r>
      <w:r>
        <w:rPr>
          <w:lang w:val="en-US"/>
        </w:rPr>
        <w:t xml:space="preserve"> </w:t>
      </w:r>
    </w:p>
    <w:p w14:paraId="41C2BC99" w14:textId="4282771C" w:rsidR="00D3526A" w:rsidRDefault="00100A72" w:rsidP="00D3526A">
      <w:pPr>
        <w:pStyle w:val="Heading1"/>
        <w:rPr>
          <w:lang w:val="en-US"/>
        </w:rPr>
      </w:pPr>
      <w:bookmarkStart w:id="4" w:name="_Toc162451257"/>
      <w:r>
        <w:rPr>
          <w:lang w:val="en-US"/>
        </w:rPr>
        <w:t>Relevant human rights considerations</w:t>
      </w:r>
      <w:bookmarkEnd w:id="4"/>
    </w:p>
    <w:p w14:paraId="673DDEE1" w14:textId="5D6D669C" w:rsidR="00573FBB" w:rsidRDefault="004B44C4" w:rsidP="00573FBB">
      <w:pPr>
        <w:pStyle w:val="Heading2"/>
        <w:rPr>
          <w:lang w:val="en-US"/>
        </w:rPr>
      </w:pPr>
      <w:bookmarkStart w:id="5" w:name="_Toc162451258"/>
      <w:r>
        <w:rPr>
          <w:lang w:val="en-US"/>
        </w:rPr>
        <w:t>Rates of SDAs</w:t>
      </w:r>
      <w:bookmarkEnd w:id="5"/>
    </w:p>
    <w:p w14:paraId="23239299" w14:textId="566DEFD6" w:rsidR="00254348" w:rsidRDefault="004B44C4" w:rsidP="004B44C4">
      <w:pPr>
        <w:pStyle w:val="Numberedparagraph"/>
      </w:pPr>
      <w:r>
        <w:t xml:space="preserve">Queensland state schools’ use of suspensions and exclusions </w:t>
      </w:r>
      <w:r w:rsidR="00BD1FA3">
        <w:t xml:space="preserve">from 2018 to 2022 is set out </w:t>
      </w:r>
      <w:r w:rsidR="0050440C">
        <w:t>in Table 1</w:t>
      </w:r>
      <w:r>
        <w:t xml:space="preserve">. In 2022, there </w:t>
      </w:r>
      <w:r w:rsidR="00DA7DA1">
        <w:t xml:space="preserve">was </w:t>
      </w:r>
      <w:r>
        <w:t>78,026 school disciplinary absences, a decrease of around 5,000 on the previous year</w:t>
      </w:r>
      <w:r w:rsidR="00DA7DA1">
        <w:t xml:space="preserve"> made up mostly of </w:t>
      </w:r>
      <w:r w:rsidR="00F45F17">
        <w:t>short-term</w:t>
      </w:r>
      <w:r w:rsidR="00DA7DA1">
        <w:t xml:space="preserve"> suspensions</w:t>
      </w:r>
      <w:r w:rsidR="004D4BAE">
        <w:t xml:space="preserve">. There was a </w:t>
      </w:r>
      <w:r>
        <w:t xml:space="preserve">36% decrease in the use of short-term suspensions for prep students. </w:t>
      </w:r>
    </w:p>
    <w:p w14:paraId="2AAD0F2C" w14:textId="77777777" w:rsidR="0050440C" w:rsidRPr="00AF10B3" w:rsidRDefault="0050440C" w:rsidP="0050440C">
      <w:pPr>
        <w:pStyle w:val="Numberedparagraph"/>
        <w:rPr>
          <w:lang w:val="en-US"/>
        </w:rPr>
      </w:pPr>
      <w:r>
        <w:t xml:space="preserve">In late </w:t>
      </w:r>
      <w:r>
        <w:rPr>
          <w:lang w:val="en-US"/>
        </w:rPr>
        <w:t>2022</w:t>
      </w:r>
      <w:r w:rsidRPr="00EE30CC">
        <w:rPr>
          <w:lang w:val="en-US"/>
        </w:rPr>
        <w:t xml:space="preserve">, the Queensland Government announced </w:t>
      </w:r>
      <w:r>
        <w:rPr>
          <w:lang w:val="en-US"/>
        </w:rPr>
        <w:t xml:space="preserve">the </w:t>
      </w:r>
      <w:r w:rsidRPr="00EE30CC">
        <w:rPr>
          <w:lang w:val="en-US"/>
        </w:rPr>
        <w:t xml:space="preserve">implementation of their </w:t>
      </w:r>
      <w:r w:rsidRPr="002C4C64">
        <w:rPr>
          <w:i/>
          <w:iCs/>
          <w:lang w:val="en-US"/>
        </w:rPr>
        <w:t>Equity and Excellence Education Strategy</w:t>
      </w:r>
      <w:r>
        <w:rPr>
          <w:i/>
          <w:iCs/>
          <w:lang w:val="en-US"/>
        </w:rPr>
        <w:t xml:space="preserve"> </w:t>
      </w:r>
      <w:r>
        <w:rPr>
          <w:lang w:val="en-US"/>
        </w:rPr>
        <w:t>for realising the potential of every student, which prioritises maximising learning days and identifies SDAs as a measure of success. SDA data for 2023 is not yet available.</w:t>
      </w:r>
    </w:p>
    <w:p w14:paraId="4C2BD29E" w14:textId="77777777" w:rsidR="0050440C" w:rsidRDefault="0050440C" w:rsidP="0050440C">
      <w:pPr>
        <w:pStyle w:val="Numberedparagraph"/>
      </w:pPr>
      <w:r>
        <w:t>Research indicates children most at risk of school disciplinary absences are children with disability, Aboriginal and/or Torres Strait Islander children, and children in out of home care, or a combination of these attributes.</w:t>
      </w:r>
      <w:r>
        <w:rPr>
          <w:rStyle w:val="FootnoteReference"/>
        </w:rPr>
        <w:footnoteReference w:id="3"/>
      </w:r>
      <w:r>
        <w:t xml:space="preserve"> This mirrors the cohort of children disproportionately represented in the youth justice system.</w:t>
      </w:r>
    </w:p>
    <w:p w14:paraId="338EE946" w14:textId="77777777" w:rsidR="0050440C" w:rsidRDefault="0050440C">
      <w:pPr>
        <w:spacing w:after="0"/>
        <w:rPr>
          <w:rFonts w:cs="Arial"/>
          <w:b/>
          <w:bCs/>
        </w:rPr>
      </w:pPr>
      <w:r>
        <w:rPr>
          <w:b/>
          <w:bCs/>
        </w:rPr>
        <w:br w:type="page"/>
      </w:r>
    </w:p>
    <w:p w14:paraId="516BF4BA" w14:textId="765EF2A0" w:rsidR="00254348" w:rsidRPr="00254348" w:rsidRDefault="00254348" w:rsidP="00254348">
      <w:pPr>
        <w:pStyle w:val="Numberedparagraph"/>
        <w:numPr>
          <w:ilvl w:val="0"/>
          <w:numId w:val="0"/>
        </w:numPr>
        <w:rPr>
          <w:b/>
          <w:bCs/>
        </w:rPr>
      </w:pPr>
      <w:r w:rsidRPr="00254348">
        <w:rPr>
          <w:b/>
          <w:bCs/>
        </w:rPr>
        <w:lastRenderedPageBreak/>
        <w:t>Table</w:t>
      </w:r>
      <w:r w:rsidR="00F62311">
        <w:rPr>
          <w:b/>
          <w:bCs/>
        </w:rPr>
        <w:t xml:space="preserve"> 1</w:t>
      </w:r>
      <w:r w:rsidRPr="00254348">
        <w:rPr>
          <w:b/>
          <w:bCs/>
        </w:rPr>
        <w:t>: School disciplinary absences by student demographics</w:t>
      </w:r>
      <w:r w:rsidRPr="00254348">
        <w:rPr>
          <w:rStyle w:val="FootnoteReference"/>
          <w:b/>
          <w:bCs/>
        </w:rPr>
        <w:footnoteReference w:id="4"/>
      </w:r>
    </w:p>
    <w:tbl>
      <w:tblPr>
        <w:tblW w:w="8790" w:type="dxa"/>
        <w:tblLayout w:type="fixed"/>
        <w:tblLook w:val="04A0" w:firstRow="1" w:lastRow="0" w:firstColumn="1" w:lastColumn="0" w:noHBand="0" w:noVBand="1"/>
      </w:tblPr>
      <w:tblGrid>
        <w:gridCol w:w="851"/>
        <w:gridCol w:w="992"/>
        <w:gridCol w:w="992"/>
        <w:gridCol w:w="993"/>
        <w:gridCol w:w="992"/>
        <w:gridCol w:w="992"/>
        <w:gridCol w:w="993"/>
        <w:gridCol w:w="992"/>
        <w:gridCol w:w="993"/>
      </w:tblGrid>
      <w:tr w:rsidR="00AF10B3" w:rsidRPr="004D4BAE" w14:paraId="768496AA" w14:textId="77777777" w:rsidTr="00883B33">
        <w:trPr>
          <w:trHeight w:val="300"/>
        </w:trPr>
        <w:tc>
          <w:tcPr>
            <w:tcW w:w="851" w:type="dxa"/>
            <w:tcBorders>
              <w:top w:val="single" w:sz="4" w:space="0" w:color="000000"/>
              <w:left w:val="nil"/>
              <w:bottom w:val="single" w:sz="4" w:space="0" w:color="000000"/>
              <w:right w:val="nil"/>
            </w:tcBorders>
            <w:shd w:val="clear" w:color="auto" w:fill="auto"/>
            <w:hideMark/>
          </w:tcPr>
          <w:p w14:paraId="1129A20A" w14:textId="77777777" w:rsidR="00AF10B3" w:rsidRPr="004D4BAE" w:rsidRDefault="00AF10B3" w:rsidP="004D4BAE">
            <w:pPr>
              <w:spacing w:after="0"/>
              <w:rPr>
                <w:rFonts w:eastAsia="Times New Roman" w:cs="Arial"/>
                <w:b/>
                <w:bCs/>
                <w:color w:val="000000"/>
                <w:sz w:val="20"/>
                <w:szCs w:val="20"/>
                <w:lang w:eastAsia="en-AU"/>
              </w:rPr>
            </w:pPr>
            <w:r w:rsidRPr="004D4BAE">
              <w:rPr>
                <w:rFonts w:eastAsia="Times New Roman" w:cs="Arial"/>
                <w:b/>
                <w:bCs/>
                <w:color w:val="000000"/>
                <w:sz w:val="20"/>
                <w:szCs w:val="20"/>
                <w:lang w:eastAsia="en-AU"/>
              </w:rPr>
              <w:t>Year</w:t>
            </w:r>
          </w:p>
        </w:tc>
        <w:tc>
          <w:tcPr>
            <w:tcW w:w="1984" w:type="dxa"/>
            <w:gridSpan w:val="2"/>
            <w:tcBorders>
              <w:top w:val="single" w:sz="4" w:space="0" w:color="000000"/>
              <w:left w:val="nil"/>
              <w:bottom w:val="single" w:sz="4" w:space="0" w:color="000000"/>
              <w:right w:val="nil"/>
            </w:tcBorders>
            <w:shd w:val="clear" w:color="auto" w:fill="auto"/>
            <w:hideMark/>
          </w:tcPr>
          <w:p w14:paraId="1DE22AAF" w14:textId="46F2D753" w:rsidR="00AF10B3" w:rsidRPr="004D4BAE" w:rsidRDefault="00AF10B3" w:rsidP="004D4BAE">
            <w:pPr>
              <w:spacing w:after="0"/>
              <w:rPr>
                <w:rFonts w:eastAsia="Times New Roman" w:cs="Arial"/>
                <w:b/>
                <w:bCs/>
                <w:color w:val="000000"/>
                <w:sz w:val="20"/>
                <w:szCs w:val="20"/>
                <w:lang w:eastAsia="en-AU"/>
              </w:rPr>
            </w:pPr>
            <w:r w:rsidRPr="004D4BAE">
              <w:rPr>
                <w:rFonts w:eastAsia="Times New Roman" w:cs="Arial"/>
                <w:b/>
                <w:bCs/>
                <w:color w:val="000000"/>
                <w:sz w:val="20"/>
                <w:szCs w:val="20"/>
                <w:lang w:eastAsia="en-AU"/>
              </w:rPr>
              <w:t>Prep only</w:t>
            </w:r>
          </w:p>
        </w:tc>
        <w:tc>
          <w:tcPr>
            <w:tcW w:w="993" w:type="dxa"/>
            <w:tcBorders>
              <w:top w:val="single" w:sz="4" w:space="0" w:color="000000"/>
              <w:left w:val="nil"/>
              <w:bottom w:val="single" w:sz="4" w:space="0" w:color="000000"/>
              <w:right w:val="nil"/>
            </w:tcBorders>
            <w:shd w:val="clear" w:color="auto" w:fill="auto"/>
          </w:tcPr>
          <w:p w14:paraId="088C4190" w14:textId="7E0DF542" w:rsidR="00AF10B3" w:rsidRPr="004D4BAE" w:rsidRDefault="00AF10B3" w:rsidP="004D4BAE">
            <w:pPr>
              <w:spacing w:after="0"/>
              <w:rPr>
                <w:rFonts w:eastAsia="Times New Roman" w:cs="Arial"/>
                <w:b/>
                <w:bCs/>
                <w:color w:val="000000"/>
                <w:sz w:val="20"/>
                <w:szCs w:val="20"/>
                <w:lang w:eastAsia="en-AU"/>
              </w:rPr>
            </w:pPr>
          </w:p>
        </w:tc>
        <w:tc>
          <w:tcPr>
            <w:tcW w:w="1984" w:type="dxa"/>
            <w:gridSpan w:val="2"/>
            <w:tcBorders>
              <w:top w:val="single" w:sz="4" w:space="0" w:color="000000"/>
              <w:left w:val="nil"/>
              <w:bottom w:val="single" w:sz="4" w:space="0" w:color="000000"/>
              <w:right w:val="nil"/>
            </w:tcBorders>
            <w:shd w:val="clear" w:color="auto" w:fill="auto"/>
            <w:hideMark/>
          </w:tcPr>
          <w:p w14:paraId="4C454213" w14:textId="52B3F26E" w:rsidR="00AF10B3" w:rsidRPr="004D4BAE" w:rsidRDefault="00AF10B3" w:rsidP="004D4BAE">
            <w:pPr>
              <w:spacing w:after="0"/>
              <w:rPr>
                <w:rFonts w:eastAsia="Times New Roman" w:cs="Arial"/>
                <w:b/>
                <w:bCs/>
                <w:color w:val="000000"/>
                <w:sz w:val="20"/>
                <w:szCs w:val="20"/>
                <w:lang w:eastAsia="en-AU"/>
              </w:rPr>
            </w:pPr>
            <w:r w:rsidRPr="004D4BAE">
              <w:rPr>
                <w:rFonts w:eastAsia="Times New Roman" w:cs="Arial"/>
                <w:b/>
                <w:bCs/>
                <w:color w:val="000000"/>
                <w:sz w:val="20"/>
                <w:szCs w:val="20"/>
                <w:lang w:eastAsia="en-AU"/>
              </w:rPr>
              <w:t>All years</w:t>
            </w:r>
          </w:p>
        </w:tc>
        <w:tc>
          <w:tcPr>
            <w:tcW w:w="993" w:type="dxa"/>
            <w:tcBorders>
              <w:top w:val="single" w:sz="4" w:space="0" w:color="000000"/>
              <w:left w:val="nil"/>
              <w:bottom w:val="single" w:sz="4" w:space="0" w:color="000000"/>
              <w:right w:val="nil"/>
            </w:tcBorders>
            <w:shd w:val="clear" w:color="auto" w:fill="auto"/>
          </w:tcPr>
          <w:p w14:paraId="1804B0F1" w14:textId="1432D349" w:rsidR="00AF10B3" w:rsidRPr="004D4BAE" w:rsidRDefault="00AF10B3" w:rsidP="004D4BAE">
            <w:pPr>
              <w:spacing w:after="0"/>
              <w:rPr>
                <w:rFonts w:eastAsia="Times New Roman" w:cs="Arial"/>
                <w:b/>
                <w:bCs/>
                <w:color w:val="000000"/>
                <w:sz w:val="20"/>
                <w:szCs w:val="20"/>
                <w:lang w:eastAsia="en-AU"/>
              </w:rPr>
            </w:pPr>
          </w:p>
        </w:tc>
        <w:tc>
          <w:tcPr>
            <w:tcW w:w="992" w:type="dxa"/>
            <w:tcBorders>
              <w:top w:val="single" w:sz="4" w:space="0" w:color="000000"/>
              <w:left w:val="nil"/>
              <w:bottom w:val="single" w:sz="4" w:space="0" w:color="000000"/>
              <w:right w:val="nil"/>
            </w:tcBorders>
            <w:shd w:val="clear" w:color="auto" w:fill="auto"/>
          </w:tcPr>
          <w:p w14:paraId="0704BF75" w14:textId="677525AA" w:rsidR="00AF10B3" w:rsidRPr="004D4BAE" w:rsidRDefault="00AF10B3" w:rsidP="004D4BAE">
            <w:pPr>
              <w:spacing w:after="0"/>
              <w:rPr>
                <w:rFonts w:eastAsia="Times New Roman" w:cs="Arial"/>
                <w:b/>
                <w:bCs/>
                <w:color w:val="000000"/>
                <w:sz w:val="20"/>
                <w:szCs w:val="20"/>
                <w:lang w:eastAsia="en-AU"/>
              </w:rPr>
            </w:pPr>
          </w:p>
        </w:tc>
        <w:tc>
          <w:tcPr>
            <w:tcW w:w="993" w:type="dxa"/>
            <w:tcBorders>
              <w:top w:val="single" w:sz="4" w:space="0" w:color="000000"/>
              <w:left w:val="nil"/>
              <w:bottom w:val="single" w:sz="4" w:space="0" w:color="000000"/>
              <w:right w:val="nil"/>
            </w:tcBorders>
            <w:shd w:val="clear" w:color="auto" w:fill="auto"/>
            <w:hideMark/>
          </w:tcPr>
          <w:p w14:paraId="5C319DEE" w14:textId="77777777" w:rsidR="00AF10B3" w:rsidRPr="004D4BAE" w:rsidRDefault="00AF10B3" w:rsidP="004D4BAE">
            <w:pPr>
              <w:spacing w:after="0"/>
              <w:rPr>
                <w:rFonts w:eastAsia="Times New Roman" w:cs="Arial"/>
                <w:b/>
                <w:bCs/>
                <w:color w:val="000000"/>
                <w:sz w:val="20"/>
                <w:szCs w:val="20"/>
                <w:lang w:eastAsia="en-AU"/>
              </w:rPr>
            </w:pPr>
            <w:r w:rsidRPr="004D4BAE">
              <w:rPr>
                <w:rFonts w:eastAsia="Times New Roman" w:cs="Arial"/>
                <w:b/>
                <w:bCs/>
                <w:color w:val="000000"/>
                <w:sz w:val="20"/>
                <w:szCs w:val="20"/>
                <w:lang w:eastAsia="en-AU"/>
              </w:rPr>
              <w:t>TOTAL</w:t>
            </w:r>
          </w:p>
        </w:tc>
      </w:tr>
      <w:tr w:rsidR="004D4BAE" w:rsidRPr="004D4BAE" w14:paraId="7848B1FB" w14:textId="77777777" w:rsidTr="00883B33">
        <w:trPr>
          <w:trHeight w:val="600"/>
        </w:trPr>
        <w:tc>
          <w:tcPr>
            <w:tcW w:w="851" w:type="dxa"/>
            <w:tcBorders>
              <w:top w:val="nil"/>
              <w:left w:val="nil"/>
              <w:bottom w:val="nil"/>
              <w:right w:val="nil"/>
            </w:tcBorders>
            <w:shd w:val="clear" w:color="D9D9D9" w:fill="D9D9D9"/>
            <w:hideMark/>
          </w:tcPr>
          <w:p w14:paraId="5794E47A" w14:textId="77777777" w:rsidR="004D4BAE" w:rsidRPr="004D4BAE" w:rsidRDefault="004D4BAE" w:rsidP="004D4BAE">
            <w:pPr>
              <w:spacing w:after="0"/>
              <w:rPr>
                <w:rFonts w:eastAsia="Times New Roman" w:cs="Arial"/>
                <w:b/>
                <w:bCs/>
                <w:color w:val="000000"/>
                <w:sz w:val="20"/>
                <w:szCs w:val="20"/>
                <w:lang w:eastAsia="en-AU"/>
              </w:rPr>
            </w:pPr>
          </w:p>
        </w:tc>
        <w:tc>
          <w:tcPr>
            <w:tcW w:w="992" w:type="dxa"/>
            <w:tcBorders>
              <w:top w:val="nil"/>
              <w:left w:val="nil"/>
              <w:bottom w:val="nil"/>
              <w:right w:val="nil"/>
            </w:tcBorders>
            <w:shd w:val="clear" w:color="D9D9D9" w:fill="D9D9D9"/>
            <w:hideMark/>
          </w:tcPr>
          <w:p w14:paraId="060E0BBE" w14:textId="7F1D32C4"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Short suspension</w:t>
            </w:r>
            <w:r w:rsidR="00883B33">
              <w:rPr>
                <w:rFonts w:eastAsia="Times New Roman" w:cs="Arial"/>
                <w:color w:val="000000"/>
                <w:sz w:val="20"/>
                <w:szCs w:val="20"/>
                <w:lang w:eastAsia="en-AU"/>
              </w:rPr>
              <w:t>*</w:t>
            </w:r>
          </w:p>
        </w:tc>
        <w:tc>
          <w:tcPr>
            <w:tcW w:w="992" w:type="dxa"/>
            <w:tcBorders>
              <w:top w:val="nil"/>
              <w:left w:val="nil"/>
              <w:bottom w:val="nil"/>
              <w:right w:val="nil"/>
            </w:tcBorders>
            <w:shd w:val="clear" w:color="D9D9D9" w:fill="D9D9D9"/>
            <w:hideMark/>
          </w:tcPr>
          <w:p w14:paraId="63E52F52" w14:textId="6EA1DED1"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Long suspension</w:t>
            </w:r>
            <w:r w:rsidR="00883B33">
              <w:rPr>
                <w:rFonts w:eastAsia="Times New Roman" w:cs="Arial"/>
                <w:color w:val="000000"/>
                <w:sz w:val="20"/>
                <w:szCs w:val="20"/>
                <w:lang w:eastAsia="en-AU"/>
              </w:rPr>
              <w:t>**</w:t>
            </w:r>
          </w:p>
        </w:tc>
        <w:tc>
          <w:tcPr>
            <w:tcW w:w="993" w:type="dxa"/>
            <w:tcBorders>
              <w:top w:val="nil"/>
              <w:left w:val="nil"/>
              <w:bottom w:val="nil"/>
              <w:right w:val="nil"/>
            </w:tcBorders>
            <w:shd w:val="clear" w:color="D9D9D9" w:fill="D9D9D9"/>
            <w:hideMark/>
          </w:tcPr>
          <w:p w14:paraId="6A553893"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Exclusion</w:t>
            </w:r>
          </w:p>
        </w:tc>
        <w:tc>
          <w:tcPr>
            <w:tcW w:w="992" w:type="dxa"/>
            <w:tcBorders>
              <w:top w:val="nil"/>
              <w:left w:val="nil"/>
              <w:bottom w:val="nil"/>
              <w:right w:val="nil"/>
            </w:tcBorders>
            <w:shd w:val="clear" w:color="D9D9D9" w:fill="D9D9D9"/>
            <w:hideMark/>
          </w:tcPr>
          <w:p w14:paraId="62684CCC" w14:textId="52EDEFCF"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Short suspension</w:t>
            </w:r>
            <w:r w:rsidR="00883B33">
              <w:rPr>
                <w:rFonts w:eastAsia="Times New Roman" w:cs="Arial"/>
                <w:color w:val="000000"/>
                <w:sz w:val="20"/>
                <w:szCs w:val="20"/>
                <w:lang w:eastAsia="en-AU"/>
              </w:rPr>
              <w:t>*</w:t>
            </w:r>
          </w:p>
        </w:tc>
        <w:tc>
          <w:tcPr>
            <w:tcW w:w="992" w:type="dxa"/>
            <w:tcBorders>
              <w:top w:val="nil"/>
              <w:left w:val="nil"/>
              <w:bottom w:val="nil"/>
              <w:right w:val="nil"/>
            </w:tcBorders>
            <w:shd w:val="clear" w:color="D9D9D9" w:fill="D9D9D9"/>
            <w:hideMark/>
          </w:tcPr>
          <w:p w14:paraId="56570F71" w14:textId="17F3D1EC"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Long suspension</w:t>
            </w:r>
            <w:r w:rsidR="00883B33">
              <w:rPr>
                <w:rFonts w:eastAsia="Times New Roman" w:cs="Arial"/>
                <w:color w:val="000000"/>
                <w:sz w:val="20"/>
                <w:szCs w:val="20"/>
                <w:lang w:eastAsia="en-AU"/>
              </w:rPr>
              <w:t>**</w:t>
            </w:r>
          </w:p>
        </w:tc>
        <w:tc>
          <w:tcPr>
            <w:tcW w:w="993" w:type="dxa"/>
            <w:tcBorders>
              <w:top w:val="nil"/>
              <w:left w:val="nil"/>
              <w:bottom w:val="nil"/>
              <w:right w:val="nil"/>
            </w:tcBorders>
            <w:shd w:val="clear" w:color="D9D9D9" w:fill="D9D9D9"/>
            <w:hideMark/>
          </w:tcPr>
          <w:p w14:paraId="64F83A04"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Exclusion</w:t>
            </w:r>
          </w:p>
        </w:tc>
        <w:tc>
          <w:tcPr>
            <w:tcW w:w="992" w:type="dxa"/>
            <w:tcBorders>
              <w:top w:val="nil"/>
              <w:left w:val="nil"/>
              <w:bottom w:val="nil"/>
              <w:right w:val="nil"/>
            </w:tcBorders>
            <w:shd w:val="clear" w:color="D9D9D9" w:fill="D9D9D9"/>
            <w:hideMark/>
          </w:tcPr>
          <w:p w14:paraId="21D68EBC"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Cancellation</w:t>
            </w:r>
          </w:p>
        </w:tc>
        <w:tc>
          <w:tcPr>
            <w:tcW w:w="993" w:type="dxa"/>
            <w:tcBorders>
              <w:top w:val="nil"/>
              <w:left w:val="nil"/>
              <w:bottom w:val="nil"/>
              <w:right w:val="nil"/>
            </w:tcBorders>
            <w:shd w:val="clear" w:color="D9D9D9" w:fill="D9D9D9"/>
            <w:hideMark/>
          </w:tcPr>
          <w:p w14:paraId="3F2E8FA0" w14:textId="77777777" w:rsidR="004D4BAE" w:rsidRPr="004D4BAE" w:rsidRDefault="004D4BAE" w:rsidP="004D4BAE">
            <w:pPr>
              <w:spacing w:after="0"/>
              <w:rPr>
                <w:rFonts w:eastAsia="Times New Roman" w:cs="Arial"/>
                <w:color w:val="000000"/>
                <w:sz w:val="20"/>
                <w:szCs w:val="20"/>
                <w:lang w:eastAsia="en-AU"/>
              </w:rPr>
            </w:pPr>
          </w:p>
        </w:tc>
      </w:tr>
      <w:tr w:rsidR="004D4BAE" w:rsidRPr="004D4BAE" w14:paraId="41B2847A" w14:textId="77777777" w:rsidTr="00883B33">
        <w:trPr>
          <w:trHeight w:val="300"/>
        </w:trPr>
        <w:tc>
          <w:tcPr>
            <w:tcW w:w="851" w:type="dxa"/>
            <w:tcBorders>
              <w:top w:val="nil"/>
              <w:left w:val="nil"/>
              <w:bottom w:val="nil"/>
              <w:right w:val="nil"/>
            </w:tcBorders>
            <w:shd w:val="clear" w:color="auto" w:fill="auto"/>
            <w:vAlign w:val="bottom"/>
            <w:hideMark/>
          </w:tcPr>
          <w:p w14:paraId="17E0E79E" w14:textId="77777777" w:rsidR="004D4BAE" w:rsidRPr="004D4BAE" w:rsidRDefault="004D4BAE" w:rsidP="004D4BAE">
            <w:pPr>
              <w:spacing w:after="0"/>
              <w:rPr>
                <w:rFonts w:eastAsia="Times New Roman" w:cs="Arial"/>
                <w:b/>
                <w:bCs/>
                <w:color w:val="000000"/>
                <w:sz w:val="20"/>
                <w:szCs w:val="20"/>
                <w:lang w:eastAsia="en-AU"/>
              </w:rPr>
            </w:pPr>
            <w:r w:rsidRPr="004D4BAE">
              <w:rPr>
                <w:rFonts w:eastAsia="Times New Roman" w:cs="Arial"/>
                <w:b/>
                <w:bCs/>
                <w:color w:val="000000"/>
                <w:sz w:val="20"/>
                <w:szCs w:val="20"/>
                <w:lang w:eastAsia="en-AU"/>
              </w:rPr>
              <w:t>2018</w:t>
            </w:r>
          </w:p>
        </w:tc>
        <w:tc>
          <w:tcPr>
            <w:tcW w:w="992" w:type="dxa"/>
            <w:tcBorders>
              <w:top w:val="nil"/>
              <w:left w:val="nil"/>
              <w:bottom w:val="nil"/>
              <w:right w:val="nil"/>
            </w:tcBorders>
            <w:shd w:val="clear" w:color="auto" w:fill="auto"/>
            <w:hideMark/>
          </w:tcPr>
          <w:p w14:paraId="2A224E93"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1,188 </w:t>
            </w:r>
          </w:p>
        </w:tc>
        <w:tc>
          <w:tcPr>
            <w:tcW w:w="992" w:type="dxa"/>
            <w:tcBorders>
              <w:top w:val="nil"/>
              <w:left w:val="nil"/>
              <w:bottom w:val="nil"/>
              <w:right w:val="nil"/>
            </w:tcBorders>
            <w:shd w:val="clear" w:color="auto" w:fill="auto"/>
            <w:hideMark/>
          </w:tcPr>
          <w:p w14:paraId="012D1D65"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9 </w:t>
            </w:r>
          </w:p>
        </w:tc>
        <w:tc>
          <w:tcPr>
            <w:tcW w:w="993" w:type="dxa"/>
            <w:tcBorders>
              <w:top w:val="nil"/>
              <w:left w:val="nil"/>
              <w:bottom w:val="nil"/>
              <w:right w:val="nil"/>
            </w:tcBorders>
            <w:shd w:val="clear" w:color="auto" w:fill="auto"/>
            <w:hideMark/>
          </w:tcPr>
          <w:p w14:paraId="3ACD63D0"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1 </w:t>
            </w:r>
          </w:p>
        </w:tc>
        <w:tc>
          <w:tcPr>
            <w:tcW w:w="992" w:type="dxa"/>
            <w:tcBorders>
              <w:top w:val="nil"/>
              <w:left w:val="nil"/>
              <w:bottom w:val="nil"/>
              <w:right w:val="nil"/>
            </w:tcBorders>
            <w:shd w:val="clear" w:color="auto" w:fill="auto"/>
            <w:hideMark/>
          </w:tcPr>
          <w:p w14:paraId="747AFE46"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79,627 </w:t>
            </w:r>
          </w:p>
        </w:tc>
        <w:tc>
          <w:tcPr>
            <w:tcW w:w="992" w:type="dxa"/>
            <w:tcBorders>
              <w:top w:val="nil"/>
              <w:left w:val="nil"/>
              <w:bottom w:val="nil"/>
              <w:right w:val="nil"/>
            </w:tcBorders>
            <w:shd w:val="clear" w:color="auto" w:fill="auto"/>
            <w:hideMark/>
          </w:tcPr>
          <w:p w14:paraId="2D79B552"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3,186 </w:t>
            </w:r>
          </w:p>
        </w:tc>
        <w:tc>
          <w:tcPr>
            <w:tcW w:w="993" w:type="dxa"/>
            <w:tcBorders>
              <w:top w:val="nil"/>
              <w:left w:val="nil"/>
              <w:bottom w:val="nil"/>
              <w:right w:val="nil"/>
            </w:tcBorders>
            <w:shd w:val="clear" w:color="auto" w:fill="auto"/>
            <w:hideMark/>
          </w:tcPr>
          <w:p w14:paraId="312DE83A"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1,771 </w:t>
            </w:r>
          </w:p>
        </w:tc>
        <w:tc>
          <w:tcPr>
            <w:tcW w:w="992" w:type="dxa"/>
            <w:tcBorders>
              <w:top w:val="nil"/>
              <w:left w:val="nil"/>
              <w:bottom w:val="nil"/>
              <w:right w:val="nil"/>
            </w:tcBorders>
            <w:shd w:val="clear" w:color="auto" w:fill="auto"/>
            <w:hideMark/>
          </w:tcPr>
          <w:p w14:paraId="4932BFF4"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1,078 </w:t>
            </w:r>
          </w:p>
        </w:tc>
        <w:tc>
          <w:tcPr>
            <w:tcW w:w="993" w:type="dxa"/>
            <w:tcBorders>
              <w:top w:val="nil"/>
              <w:left w:val="nil"/>
              <w:bottom w:val="nil"/>
              <w:right w:val="nil"/>
            </w:tcBorders>
            <w:shd w:val="clear" w:color="auto" w:fill="auto"/>
            <w:hideMark/>
          </w:tcPr>
          <w:p w14:paraId="3AFAC709"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85,662 </w:t>
            </w:r>
          </w:p>
        </w:tc>
      </w:tr>
      <w:tr w:rsidR="004D4BAE" w:rsidRPr="004D4BAE" w14:paraId="39BA900C" w14:textId="77777777" w:rsidTr="00883B33">
        <w:trPr>
          <w:trHeight w:val="300"/>
        </w:trPr>
        <w:tc>
          <w:tcPr>
            <w:tcW w:w="851" w:type="dxa"/>
            <w:tcBorders>
              <w:top w:val="nil"/>
              <w:left w:val="nil"/>
              <w:bottom w:val="nil"/>
              <w:right w:val="nil"/>
            </w:tcBorders>
            <w:shd w:val="clear" w:color="D9D9D9" w:fill="D9D9D9"/>
            <w:vAlign w:val="bottom"/>
            <w:hideMark/>
          </w:tcPr>
          <w:p w14:paraId="78911ED9" w14:textId="77777777" w:rsidR="004D4BAE" w:rsidRPr="004D4BAE" w:rsidRDefault="004D4BAE" w:rsidP="004D4BAE">
            <w:pPr>
              <w:spacing w:after="0"/>
              <w:rPr>
                <w:rFonts w:eastAsia="Times New Roman" w:cs="Arial"/>
                <w:b/>
                <w:bCs/>
                <w:color w:val="000000"/>
                <w:sz w:val="20"/>
                <w:szCs w:val="20"/>
                <w:lang w:eastAsia="en-AU"/>
              </w:rPr>
            </w:pPr>
            <w:r w:rsidRPr="004D4BAE">
              <w:rPr>
                <w:rFonts w:eastAsia="Times New Roman" w:cs="Arial"/>
                <w:b/>
                <w:bCs/>
                <w:color w:val="000000"/>
                <w:sz w:val="20"/>
                <w:szCs w:val="20"/>
                <w:lang w:eastAsia="en-AU"/>
              </w:rPr>
              <w:t>2019</w:t>
            </w:r>
          </w:p>
        </w:tc>
        <w:tc>
          <w:tcPr>
            <w:tcW w:w="992" w:type="dxa"/>
            <w:tcBorders>
              <w:top w:val="nil"/>
              <w:left w:val="nil"/>
              <w:bottom w:val="nil"/>
              <w:right w:val="nil"/>
            </w:tcBorders>
            <w:shd w:val="clear" w:color="D9D9D9" w:fill="D9D9D9"/>
            <w:hideMark/>
          </w:tcPr>
          <w:p w14:paraId="72596590"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1,522 </w:t>
            </w:r>
          </w:p>
        </w:tc>
        <w:tc>
          <w:tcPr>
            <w:tcW w:w="992" w:type="dxa"/>
            <w:tcBorders>
              <w:top w:val="nil"/>
              <w:left w:val="nil"/>
              <w:bottom w:val="nil"/>
              <w:right w:val="nil"/>
            </w:tcBorders>
            <w:shd w:val="clear" w:color="D9D9D9" w:fill="D9D9D9"/>
            <w:hideMark/>
          </w:tcPr>
          <w:p w14:paraId="6A9A3388"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9 </w:t>
            </w:r>
          </w:p>
        </w:tc>
        <w:tc>
          <w:tcPr>
            <w:tcW w:w="993" w:type="dxa"/>
            <w:tcBorders>
              <w:top w:val="nil"/>
              <w:left w:val="nil"/>
              <w:bottom w:val="nil"/>
              <w:right w:val="nil"/>
            </w:tcBorders>
            <w:shd w:val="clear" w:color="D9D9D9" w:fill="D9D9D9"/>
            <w:hideMark/>
          </w:tcPr>
          <w:p w14:paraId="38B7C9BD"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1 </w:t>
            </w:r>
          </w:p>
        </w:tc>
        <w:tc>
          <w:tcPr>
            <w:tcW w:w="992" w:type="dxa"/>
            <w:tcBorders>
              <w:top w:val="nil"/>
              <w:left w:val="nil"/>
              <w:bottom w:val="nil"/>
              <w:right w:val="nil"/>
            </w:tcBorders>
            <w:shd w:val="clear" w:color="D9D9D9" w:fill="D9D9D9"/>
            <w:hideMark/>
          </w:tcPr>
          <w:p w14:paraId="7DC32F9F"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77,167 </w:t>
            </w:r>
          </w:p>
        </w:tc>
        <w:tc>
          <w:tcPr>
            <w:tcW w:w="992" w:type="dxa"/>
            <w:tcBorders>
              <w:top w:val="nil"/>
              <w:left w:val="nil"/>
              <w:bottom w:val="nil"/>
              <w:right w:val="nil"/>
            </w:tcBorders>
            <w:shd w:val="clear" w:color="D9D9D9" w:fill="D9D9D9"/>
            <w:hideMark/>
          </w:tcPr>
          <w:p w14:paraId="4406F068"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3,132 </w:t>
            </w:r>
          </w:p>
        </w:tc>
        <w:tc>
          <w:tcPr>
            <w:tcW w:w="993" w:type="dxa"/>
            <w:tcBorders>
              <w:top w:val="nil"/>
              <w:left w:val="nil"/>
              <w:bottom w:val="nil"/>
              <w:right w:val="nil"/>
            </w:tcBorders>
            <w:shd w:val="clear" w:color="D9D9D9" w:fill="D9D9D9"/>
            <w:hideMark/>
          </w:tcPr>
          <w:p w14:paraId="5941932E"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1,674 </w:t>
            </w:r>
          </w:p>
        </w:tc>
        <w:tc>
          <w:tcPr>
            <w:tcW w:w="992" w:type="dxa"/>
            <w:tcBorders>
              <w:top w:val="nil"/>
              <w:left w:val="nil"/>
              <w:bottom w:val="nil"/>
              <w:right w:val="nil"/>
            </w:tcBorders>
            <w:shd w:val="clear" w:color="D9D9D9" w:fill="D9D9D9"/>
            <w:hideMark/>
          </w:tcPr>
          <w:p w14:paraId="43B83DE7"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971 </w:t>
            </w:r>
          </w:p>
        </w:tc>
        <w:tc>
          <w:tcPr>
            <w:tcW w:w="993" w:type="dxa"/>
            <w:tcBorders>
              <w:top w:val="nil"/>
              <w:left w:val="nil"/>
              <w:bottom w:val="nil"/>
              <w:right w:val="nil"/>
            </w:tcBorders>
            <w:shd w:val="clear" w:color="D9D9D9" w:fill="D9D9D9"/>
            <w:hideMark/>
          </w:tcPr>
          <w:p w14:paraId="0E2B99DE"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82,944 </w:t>
            </w:r>
          </w:p>
        </w:tc>
      </w:tr>
      <w:tr w:rsidR="004D4BAE" w:rsidRPr="004D4BAE" w14:paraId="30358618" w14:textId="77777777" w:rsidTr="00883B33">
        <w:trPr>
          <w:trHeight w:val="300"/>
        </w:trPr>
        <w:tc>
          <w:tcPr>
            <w:tcW w:w="851" w:type="dxa"/>
            <w:tcBorders>
              <w:top w:val="nil"/>
              <w:left w:val="nil"/>
              <w:bottom w:val="nil"/>
              <w:right w:val="nil"/>
            </w:tcBorders>
            <w:shd w:val="clear" w:color="auto" w:fill="auto"/>
            <w:vAlign w:val="bottom"/>
            <w:hideMark/>
          </w:tcPr>
          <w:p w14:paraId="4534F141" w14:textId="59CC9E1A" w:rsidR="004D4BAE" w:rsidRPr="004D4BAE" w:rsidRDefault="004D4BAE" w:rsidP="004D4BAE">
            <w:pPr>
              <w:spacing w:after="0"/>
              <w:rPr>
                <w:rFonts w:ascii="Symbol" w:eastAsia="Times New Roman" w:hAnsi="Symbol" w:cs="Arial"/>
                <w:b/>
                <w:bCs/>
                <w:color w:val="000000"/>
                <w:sz w:val="20"/>
                <w:szCs w:val="20"/>
                <w:lang w:eastAsia="en-AU"/>
              </w:rPr>
            </w:pPr>
            <w:r w:rsidRPr="004D4BAE">
              <w:rPr>
                <w:rFonts w:eastAsia="Times New Roman" w:cs="Arial"/>
                <w:b/>
                <w:bCs/>
                <w:color w:val="000000"/>
                <w:sz w:val="20"/>
                <w:szCs w:val="20"/>
                <w:lang w:eastAsia="en-AU"/>
              </w:rPr>
              <w:t>2020</w:t>
            </w:r>
            <w:r w:rsidR="00883B33" w:rsidRPr="00883B33">
              <w:rPr>
                <w:rFonts w:eastAsia="Times New Roman" w:cs="Arial"/>
                <w:color w:val="000000"/>
                <w:sz w:val="20"/>
                <w:szCs w:val="20"/>
                <w:vertAlign w:val="superscript"/>
                <w:lang w:eastAsia="en-AU"/>
              </w:rPr>
              <w:t>a</w:t>
            </w:r>
          </w:p>
        </w:tc>
        <w:tc>
          <w:tcPr>
            <w:tcW w:w="992" w:type="dxa"/>
            <w:tcBorders>
              <w:top w:val="nil"/>
              <w:left w:val="nil"/>
              <w:bottom w:val="nil"/>
              <w:right w:val="nil"/>
            </w:tcBorders>
            <w:shd w:val="clear" w:color="auto" w:fill="auto"/>
            <w:hideMark/>
          </w:tcPr>
          <w:p w14:paraId="1B181CBD"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1,081 </w:t>
            </w:r>
          </w:p>
        </w:tc>
        <w:tc>
          <w:tcPr>
            <w:tcW w:w="992" w:type="dxa"/>
            <w:tcBorders>
              <w:top w:val="nil"/>
              <w:left w:val="nil"/>
              <w:bottom w:val="nil"/>
              <w:right w:val="nil"/>
            </w:tcBorders>
            <w:shd w:val="clear" w:color="auto" w:fill="auto"/>
            <w:hideMark/>
          </w:tcPr>
          <w:p w14:paraId="07133523"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4 </w:t>
            </w:r>
          </w:p>
        </w:tc>
        <w:tc>
          <w:tcPr>
            <w:tcW w:w="993" w:type="dxa"/>
            <w:tcBorders>
              <w:top w:val="nil"/>
              <w:left w:val="nil"/>
              <w:bottom w:val="nil"/>
              <w:right w:val="nil"/>
            </w:tcBorders>
            <w:shd w:val="clear" w:color="auto" w:fill="auto"/>
            <w:hideMark/>
          </w:tcPr>
          <w:p w14:paraId="06EA3538" w14:textId="77777777" w:rsidR="004D4BAE" w:rsidRPr="004D4BAE" w:rsidRDefault="004D4BAE" w:rsidP="004D4BAE">
            <w:pPr>
              <w:spacing w:after="0"/>
              <w:rPr>
                <w:rFonts w:eastAsia="Times New Roman" w:cs="Arial"/>
                <w:color w:val="000000"/>
                <w:sz w:val="20"/>
                <w:szCs w:val="20"/>
                <w:lang w:eastAsia="en-AU"/>
              </w:rPr>
            </w:pPr>
          </w:p>
        </w:tc>
        <w:tc>
          <w:tcPr>
            <w:tcW w:w="992" w:type="dxa"/>
            <w:tcBorders>
              <w:top w:val="nil"/>
              <w:left w:val="nil"/>
              <w:bottom w:val="nil"/>
              <w:right w:val="nil"/>
            </w:tcBorders>
            <w:shd w:val="clear" w:color="auto" w:fill="auto"/>
            <w:hideMark/>
          </w:tcPr>
          <w:p w14:paraId="62084CFB"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63,984 </w:t>
            </w:r>
          </w:p>
        </w:tc>
        <w:tc>
          <w:tcPr>
            <w:tcW w:w="992" w:type="dxa"/>
            <w:tcBorders>
              <w:top w:val="nil"/>
              <w:left w:val="nil"/>
              <w:bottom w:val="nil"/>
              <w:right w:val="nil"/>
            </w:tcBorders>
            <w:shd w:val="clear" w:color="auto" w:fill="auto"/>
            <w:hideMark/>
          </w:tcPr>
          <w:p w14:paraId="737E1664"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2,461 </w:t>
            </w:r>
          </w:p>
        </w:tc>
        <w:tc>
          <w:tcPr>
            <w:tcW w:w="993" w:type="dxa"/>
            <w:tcBorders>
              <w:top w:val="nil"/>
              <w:left w:val="nil"/>
              <w:bottom w:val="nil"/>
              <w:right w:val="nil"/>
            </w:tcBorders>
            <w:shd w:val="clear" w:color="auto" w:fill="auto"/>
            <w:hideMark/>
          </w:tcPr>
          <w:p w14:paraId="472DF908"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1,249 </w:t>
            </w:r>
          </w:p>
        </w:tc>
        <w:tc>
          <w:tcPr>
            <w:tcW w:w="992" w:type="dxa"/>
            <w:tcBorders>
              <w:top w:val="nil"/>
              <w:left w:val="nil"/>
              <w:bottom w:val="nil"/>
              <w:right w:val="nil"/>
            </w:tcBorders>
            <w:shd w:val="clear" w:color="auto" w:fill="auto"/>
            <w:hideMark/>
          </w:tcPr>
          <w:p w14:paraId="49B787BD"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780 </w:t>
            </w:r>
          </w:p>
        </w:tc>
        <w:tc>
          <w:tcPr>
            <w:tcW w:w="993" w:type="dxa"/>
            <w:tcBorders>
              <w:top w:val="nil"/>
              <w:left w:val="nil"/>
              <w:bottom w:val="nil"/>
              <w:right w:val="nil"/>
            </w:tcBorders>
            <w:shd w:val="clear" w:color="auto" w:fill="auto"/>
            <w:hideMark/>
          </w:tcPr>
          <w:p w14:paraId="20DF43B7"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68,474 </w:t>
            </w:r>
          </w:p>
        </w:tc>
      </w:tr>
      <w:tr w:rsidR="004D4BAE" w:rsidRPr="004D4BAE" w14:paraId="070A99AA" w14:textId="77777777" w:rsidTr="00883B33">
        <w:trPr>
          <w:trHeight w:val="300"/>
        </w:trPr>
        <w:tc>
          <w:tcPr>
            <w:tcW w:w="851" w:type="dxa"/>
            <w:tcBorders>
              <w:top w:val="nil"/>
              <w:left w:val="nil"/>
              <w:bottom w:val="nil"/>
              <w:right w:val="nil"/>
            </w:tcBorders>
            <w:shd w:val="clear" w:color="D9D9D9" w:fill="D9D9D9"/>
            <w:vAlign w:val="bottom"/>
            <w:hideMark/>
          </w:tcPr>
          <w:p w14:paraId="10660C8E" w14:textId="77777777" w:rsidR="004D4BAE" w:rsidRPr="004D4BAE" w:rsidRDefault="004D4BAE" w:rsidP="004D4BAE">
            <w:pPr>
              <w:spacing w:after="0"/>
              <w:rPr>
                <w:rFonts w:eastAsia="Times New Roman" w:cs="Arial"/>
                <w:b/>
                <w:bCs/>
                <w:color w:val="000000"/>
                <w:sz w:val="20"/>
                <w:szCs w:val="20"/>
                <w:lang w:eastAsia="en-AU"/>
              </w:rPr>
            </w:pPr>
            <w:r w:rsidRPr="004D4BAE">
              <w:rPr>
                <w:rFonts w:eastAsia="Times New Roman" w:cs="Arial"/>
                <w:b/>
                <w:bCs/>
                <w:color w:val="000000"/>
                <w:sz w:val="20"/>
                <w:szCs w:val="20"/>
                <w:lang w:eastAsia="en-AU"/>
              </w:rPr>
              <w:t>2021</w:t>
            </w:r>
          </w:p>
        </w:tc>
        <w:tc>
          <w:tcPr>
            <w:tcW w:w="992" w:type="dxa"/>
            <w:tcBorders>
              <w:top w:val="nil"/>
              <w:left w:val="nil"/>
              <w:bottom w:val="nil"/>
              <w:right w:val="nil"/>
            </w:tcBorders>
            <w:shd w:val="clear" w:color="D9D9D9" w:fill="D9D9D9"/>
            <w:hideMark/>
          </w:tcPr>
          <w:p w14:paraId="35FC6227"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1,074 </w:t>
            </w:r>
          </w:p>
        </w:tc>
        <w:tc>
          <w:tcPr>
            <w:tcW w:w="992" w:type="dxa"/>
            <w:tcBorders>
              <w:top w:val="nil"/>
              <w:left w:val="nil"/>
              <w:bottom w:val="nil"/>
              <w:right w:val="nil"/>
            </w:tcBorders>
            <w:shd w:val="clear" w:color="D9D9D9" w:fill="D9D9D9"/>
            <w:hideMark/>
          </w:tcPr>
          <w:p w14:paraId="2E4E3F58"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3 </w:t>
            </w:r>
          </w:p>
        </w:tc>
        <w:tc>
          <w:tcPr>
            <w:tcW w:w="993" w:type="dxa"/>
            <w:tcBorders>
              <w:top w:val="nil"/>
              <w:left w:val="nil"/>
              <w:bottom w:val="nil"/>
              <w:right w:val="nil"/>
            </w:tcBorders>
            <w:shd w:val="clear" w:color="D9D9D9" w:fill="D9D9D9"/>
            <w:hideMark/>
          </w:tcPr>
          <w:p w14:paraId="0AE0F042" w14:textId="77777777" w:rsidR="004D4BAE" w:rsidRPr="004D4BAE" w:rsidRDefault="004D4BAE" w:rsidP="004D4BAE">
            <w:pPr>
              <w:spacing w:after="0"/>
              <w:rPr>
                <w:rFonts w:eastAsia="Times New Roman" w:cs="Arial"/>
                <w:color w:val="000000"/>
                <w:sz w:val="20"/>
                <w:szCs w:val="20"/>
                <w:lang w:eastAsia="en-AU"/>
              </w:rPr>
            </w:pPr>
          </w:p>
        </w:tc>
        <w:tc>
          <w:tcPr>
            <w:tcW w:w="992" w:type="dxa"/>
            <w:tcBorders>
              <w:top w:val="nil"/>
              <w:left w:val="nil"/>
              <w:bottom w:val="nil"/>
              <w:right w:val="nil"/>
            </w:tcBorders>
            <w:shd w:val="clear" w:color="D9D9D9" w:fill="D9D9D9"/>
            <w:hideMark/>
          </w:tcPr>
          <w:p w14:paraId="726DCCEB"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77,600 </w:t>
            </w:r>
          </w:p>
        </w:tc>
        <w:tc>
          <w:tcPr>
            <w:tcW w:w="992" w:type="dxa"/>
            <w:tcBorders>
              <w:top w:val="nil"/>
              <w:left w:val="nil"/>
              <w:bottom w:val="nil"/>
              <w:right w:val="nil"/>
            </w:tcBorders>
            <w:shd w:val="clear" w:color="D9D9D9" w:fill="D9D9D9"/>
            <w:hideMark/>
          </w:tcPr>
          <w:p w14:paraId="795B555E"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3,092 </w:t>
            </w:r>
          </w:p>
        </w:tc>
        <w:tc>
          <w:tcPr>
            <w:tcW w:w="993" w:type="dxa"/>
            <w:tcBorders>
              <w:top w:val="nil"/>
              <w:left w:val="nil"/>
              <w:bottom w:val="nil"/>
              <w:right w:val="nil"/>
            </w:tcBorders>
            <w:shd w:val="clear" w:color="D9D9D9" w:fill="D9D9D9"/>
            <w:hideMark/>
          </w:tcPr>
          <w:p w14:paraId="3FE6FD0C"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1,516 </w:t>
            </w:r>
          </w:p>
        </w:tc>
        <w:tc>
          <w:tcPr>
            <w:tcW w:w="992" w:type="dxa"/>
            <w:tcBorders>
              <w:top w:val="nil"/>
              <w:left w:val="nil"/>
              <w:bottom w:val="nil"/>
              <w:right w:val="nil"/>
            </w:tcBorders>
            <w:shd w:val="clear" w:color="D9D9D9" w:fill="D9D9D9"/>
            <w:hideMark/>
          </w:tcPr>
          <w:p w14:paraId="1B867F9E"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887 </w:t>
            </w:r>
          </w:p>
        </w:tc>
        <w:tc>
          <w:tcPr>
            <w:tcW w:w="993" w:type="dxa"/>
            <w:tcBorders>
              <w:top w:val="nil"/>
              <w:left w:val="nil"/>
              <w:bottom w:val="nil"/>
              <w:right w:val="nil"/>
            </w:tcBorders>
            <w:shd w:val="clear" w:color="D9D9D9" w:fill="D9D9D9"/>
            <w:hideMark/>
          </w:tcPr>
          <w:p w14:paraId="11DA841A"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83,095 </w:t>
            </w:r>
          </w:p>
        </w:tc>
      </w:tr>
      <w:tr w:rsidR="004D4BAE" w:rsidRPr="004D4BAE" w14:paraId="08810A77" w14:textId="77777777" w:rsidTr="00883B33">
        <w:trPr>
          <w:trHeight w:val="300"/>
        </w:trPr>
        <w:tc>
          <w:tcPr>
            <w:tcW w:w="851" w:type="dxa"/>
            <w:tcBorders>
              <w:top w:val="nil"/>
              <w:left w:val="nil"/>
              <w:bottom w:val="single" w:sz="4" w:space="0" w:color="000000"/>
              <w:right w:val="nil"/>
            </w:tcBorders>
            <w:shd w:val="clear" w:color="auto" w:fill="auto"/>
            <w:vAlign w:val="bottom"/>
            <w:hideMark/>
          </w:tcPr>
          <w:p w14:paraId="3CB5B56C" w14:textId="42AB6595" w:rsidR="004D4BAE" w:rsidRPr="004D4BAE" w:rsidRDefault="004D4BAE" w:rsidP="004D4BAE">
            <w:pPr>
              <w:spacing w:after="0"/>
              <w:rPr>
                <w:rFonts w:eastAsia="Times New Roman" w:cs="Arial"/>
                <w:b/>
                <w:bCs/>
                <w:color w:val="000000"/>
                <w:sz w:val="20"/>
                <w:szCs w:val="20"/>
                <w:lang w:eastAsia="en-AU"/>
              </w:rPr>
            </w:pPr>
            <w:r w:rsidRPr="004D4BAE">
              <w:rPr>
                <w:rFonts w:eastAsia="Times New Roman" w:cs="Arial"/>
                <w:b/>
                <w:bCs/>
                <w:color w:val="000000"/>
                <w:sz w:val="20"/>
                <w:szCs w:val="20"/>
                <w:lang w:eastAsia="en-AU"/>
              </w:rPr>
              <w:t>2022</w:t>
            </w:r>
            <w:r w:rsidR="00883B33" w:rsidRPr="00883B33">
              <w:rPr>
                <w:rFonts w:eastAsia="Times New Roman" w:cs="Arial"/>
                <w:b/>
                <w:bCs/>
                <w:color w:val="000000"/>
                <w:sz w:val="20"/>
                <w:szCs w:val="20"/>
                <w:vertAlign w:val="superscript"/>
                <w:lang w:eastAsia="en-AU"/>
              </w:rPr>
              <w:t>b</w:t>
            </w:r>
          </w:p>
        </w:tc>
        <w:tc>
          <w:tcPr>
            <w:tcW w:w="992" w:type="dxa"/>
            <w:tcBorders>
              <w:top w:val="nil"/>
              <w:left w:val="nil"/>
              <w:bottom w:val="single" w:sz="4" w:space="0" w:color="000000"/>
              <w:right w:val="nil"/>
            </w:tcBorders>
            <w:shd w:val="clear" w:color="auto" w:fill="auto"/>
            <w:hideMark/>
          </w:tcPr>
          <w:p w14:paraId="21FDBF96"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684 </w:t>
            </w:r>
          </w:p>
        </w:tc>
        <w:tc>
          <w:tcPr>
            <w:tcW w:w="992" w:type="dxa"/>
            <w:tcBorders>
              <w:top w:val="nil"/>
              <w:left w:val="nil"/>
              <w:bottom w:val="single" w:sz="4" w:space="0" w:color="000000"/>
              <w:right w:val="nil"/>
            </w:tcBorders>
            <w:shd w:val="clear" w:color="auto" w:fill="auto"/>
            <w:hideMark/>
          </w:tcPr>
          <w:p w14:paraId="1EAB9EAF"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1 </w:t>
            </w:r>
          </w:p>
        </w:tc>
        <w:tc>
          <w:tcPr>
            <w:tcW w:w="993" w:type="dxa"/>
            <w:tcBorders>
              <w:top w:val="nil"/>
              <w:left w:val="nil"/>
              <w:bottom w:val="single" w:sz="4" w:space="0" w:color="000000"/>
              <w:right w:val="nil"/>
            </w:tcBorders>
            <w:shd w:val="clear" w:color="auto" w:fill="auto"/>
            <w:hideMark/>
          </w:tcPr>
          <w:p w14:paraId="38F3541A" w14:textId="77777777" w:rsidR="004D4BAE" w:rsidRPr="004D4BAE" w:rsidRDefault="004D4BAE" w:rsidP="004D4BAE">
            <w:pPr>
              <w:spacing w:after="0"/>
              <w:rPr>
                <w:rFonts w:eastAsia="Times New Roman" w:cs="Arial"/>
                <w:color w:val="000000"/>
                <w:sz w:val="20"/>
                <w:szCs w:val="20"/>
                <w:lang w:eastAsia="en-AU"/>
              </w:rPr>
            </w:pPr>
          </w:p>
        </w:tc>
        <w:tc>
          <w:tcPr>
            <w:tcW w:w="992" w:type="dxa"/>
            <w:tcBorders>
              <w:top w:val="nil"/>
              <w:left w:val="nil"/>
              <w:bottom w:val="single" w:sz="4" w:space="0" w:color="000000"/>
              <w:right w:val="nil"/>
            </w:tcBorders>
            <w:shd w:val="clear" w:color="auto" w:fill="auto"/>
            <w:hideMark/>
          </w:tcPr>
          <w:p w14:paraId="69EE2995"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72,452 </w:t>
            </w:r>
          </w:p>
        </w:tc>
        <w:tc>
          <w:tcPr>
            <w:tcW w:w="992" w:type="dxa"/>
            <w:tcBorders>
              <w:top w:val="nil"/>
              <w:left w:val="nil"/>
              <w:bottom w:val="single" w:sz="4" w:space="0" w:color="000000"/>
              <w:right w:val="nil"/>
            </w:tcBorders>
            <w:shd w:val="clear" w:color="auto" w:fill="auto"/>
            <w:hideMark/>
          </w:tcPr>
          <w:p w14:paraId="70BE258C"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3,123 </w:t>
            </w:r>
          </w:p>
        </w:tc>
        <w:tc>
          <w:tcPr>
            <w:tcW w:w="993" w:type="dxa"/>
            <w:tcBorders>
              <w:top w:val="nil"/>
              <w:left w:val="nil"/>
              <w:bottom w:val="single" w:sz="4" w:space="0" w:color="000000"/>
              <w:right w:val="nil"/>
            </w:tcBorders>
            <w:shd w:val="clear" w:color="auto" w:fill="auto"/>
            <w:hideMark/>
          </w:tcPr>
          <w:p w14:paraId="49B365B1"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1,595 </w:t>
            </w:r>
          </w:p>
        </w:tc>
        <w:tc>
          <w:tcPr>
            <w:tcW w:w="992" w:type="dxa"/>
            <w:tcBorders>
              <w:top w:val="nil"/>
              <w:left w:val="nil"/>
              <w:bottom w:val="single" w:sz="4" w:space="0" w:color="000000"/>
              <w:right w:val="nil"/>
            </w:tcBorders>
            <w:shd w:val="clear" w:color="auto" w:fill="auto"/>
            <w:hideMark/>
          </w:tcPr>
          <w:p w14:paraId="02511EA2"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856 </w:t>
            </w:r>
          </w:p>
        </w:tc>
        <w:tc>
          <w:tcPr>
            <w:tcW w:w="993" w:type="dxa"/>
            <w:tcBorders>
              <w:top w:val="nil"/>
              <w:left w:val="nil"/>
              <w:bottom w:val="single" w:sz="4" w:space="0" w:color="000000"/>
              <w:right w:val="nil"/>
            </w:tcBorders>
            <w:shd w:val="clear" w:color="auto" w:fill="auto"/>
            <w:hideMark/>
          </w:tcPr>
          <w:p w14:paraId="7D10CC78" w14:textId="77777777" w:rsidR="004D4BAE" w:rsidRPr="004D4BAE" w:rsidRDefault="004D4BAE" w:rsidP="004D4BAE">
            <w:pPr>
              <w:spacing w:after="0"/>
              <w:rPr>
                <w:rFonts w:eastAsia="Times New Roman" w:cs="Arial"/>
                <w:color w:val="000000"/>
                <w:sz w:val="20"/>
                <w:szCs w:val="20"/>
                <w:lang w:eastAsia="en-AU"/>
              </w:rPr>
            </w:pPr>
            <w:r w:rsidRPr="004D4BAE">
              <w:rPr>
                <w:rFonts w:eastAsia="Times New Roman" w:cs="Arial"/>
                <w:color w:val="000000"/>
                <w:sz w:val="20"/>
                <w:szCs w:val="20"/>
                <w:lang w:eastAsia="en-AU"/>
              </w:rPr>
              <w:t xml:space="preserve">              78,026 </w:t>
            </w:r>
          </w:p>
        </w:tc>
      </w:tr>
    </w:tbl>
    <w:p w14:paraId="0DD6D3FD" w14:textId="162674A3" w:rsidR="00254348" w:rsidRPr="00883B33" w:rsidRDefault="00883B33" w:rsidP="00883B33">
      <w:pPr>
        <w:pStyle w:val="Numberedparagraph"/>
        <w:numPr>
          <w:ilvl w:val="0"/>
          <w:numId w:val="0"/>
        </w:numPr>
        <w:spacing w:before="0" w:after="0"/>
        <w:ind w:left="284" w:hanging="284"/>
        <w:rPr>
          <w:sz w:val="20"/>
          <w:szCs w:val="20"/>
        </w:rPr>
      </w:pPr>
      <w:r w:rsidRPr="00883B33">
        <w:rPr>
          <w:sz w:val="20"/>
          <w:szCs w:val="20"/>
        </w:rPr>
        <w:t xml:space="preserve">* </w:t>
      </w:r>
      <w:r>
        <w:rPr>
          <w:sz w:val="20"/>
          <w:szCs w:val="20"/>
        </w:rPr>
        <w:tab/>
      </w:r>
      <w:r w:rsidRPr="00883B33">
        <w:rPr>
          <w:sz w:val="20"/>
          <w:szCs w:val="20"/>
        </w:rPr>
        <w:t>1- 10 days</w:t>
      </w:r>
    </w:p>
    <w:p w14:paraId="56913422" w14:textId="5F3BD9FC" w:rsidR="00883B33" w:rsidRDefault="00883B33" w:rsidP="00883B33">
      <w:pPr>
        <w:pStyle w:val="Numberedparagraph"/>
        <w:numPr>
          <w:ilvl w:val="0"/>
          <w:numId w:val="0"/>
        </w:numPr>
        <w:spacing w:before="0" w:after="0"/>
        <w:ind w:left="284" w:hanging="284"/>
        <w:rPr>
          <w:sz w:val="20"/>
          <w:szCs w:val="20"/>
        </w:rPr>
      </w:pPr>
      <w:r w:rsidRPr="00883B33">
        <w:rPr>
          <w:sz w:val="20"/>
          <w:szCs w:val="20"/>
        </w:rPr>
        <w:t xml:space="preserve">** </w:t>
      </w:r>
      <w:r>
        <w:rPr>
          <w:sz w:val="20"/>
          <w:szCs w:val="20"/>
        </w:rPr>
        <w:tab/>
      </w:r>
      <w:r w:rsidRPr="00883B33">
        <w:rPr>
          <w:sz w:val="20"/>
          <w:szCs w:val="20"/>
        </w:rPr>
        <w:t>11 – 20 days</w:t>
      </w:r>
    </w:p>
    <w:p w14:paraId="6D93D8B6" w14:textId="47F9E9B3" w:rsidR="00883B33" w:rsidRDefault="00883B33" w:rsidP="00883B33">
      <w:pPr>
        <w:pStyle w:val="Numberedparagraph"/>
        <w:numPr>
          <w:ilvl w:val="0"/>
          <w:numId w:val="0"/>
        </w:numPr>
        <w:spacing w:before="0" w:after="0"/>
        <w:ind w:left="284" w:hanging="284"/>
        <w:rPr>
          <w:sz w:val="20"/>
          <w:szCs w:val="20"/>
        </w:rPr>
      </w:pPr>
      <w:r>
        <w:rPr>
          <w:sz w:val="20"/>
          <w:szCs w:val="20"/>
        </w:rPr>
        <w:t xml:space="preserve">a. </w:t>
      </w:r>
      <w:r>
        <w:rPr>
          <w:sz w:val="20"/>
          <w:szCs w:val="20"/>
        </w:rPr>
        <w:tab/>
        <w:t>2020 data was impacted by the COVID-19 health emergency and increased home-based learning period in Term 2.</w:t>
      </w:r>
    </w:p>
    <w:p w14:paraId="71006457" w14:textId="59875131" w:rsidR="00883B33" w:rsidRDefault="00883B33" w:rsidP="00883B33">
      <w:pPr>
        <w:pStyle w:val="Numberedparagraph"/>
        <w:numPr>
          <w:ilvl w:val="0"/>
          <w:numId w:val="0"/>
        </w:numPr>
        <w:spacing w:before="0" w:after="0"/>
        <w:ind w:left="284" w:hanging="284"/>
        <w:rPr>
          <w:sz w:val="20"/>
          <w:szCs w:val="20"/>
        </w:rPr>
      </w:pPr>
      <w:r>
        <w:rPr>
          <w:sz w:val="20"/>
          <w:szCs w:val="20"/>
        </w:rPr>
        <w:t xml:space="preserve">b. </w:t>
      </w:r>
      <w:r>
        <w:rPr>
          <w:sz w:val="20"/>
          <w:szCs w:val="20"/>
        </w:rPr>
        <w:tab/>
        <w:t>reduced counts in 2022 is partially due to reduced number of school days in Term 1 due to COVID-19 and extreme weather events.</w:t>
      </w:r>
      <w:r>
        <w:rPr>
          <w:sz w:val="20"/>
          <w:szCs w:val="20"/>
        </w:rPr>
        <w:tab/>
      </w:r>
    </w:p>
    <w:p w14:paraId="03987D59" w14:textId="77777777" w:rsidR="00883B33" w:rsidRPr="00883B33" w:rsidRDefault="00883B33" w:rsidP="00883B33">
      <w:pPr>
        <w:pStyle w:val="Numberedparagraph"/>
        <w:numPr>
          <w:ilvl w:val="0"/>
          <w:numId w:val="0"/>
        </w:numPr>
        <w:spacing w:before="0" w:after="0"/>
        <w:ind w:left="567" w:hanging="567"/>
        <w:rPr>
          <w:sz w:val="20"/>
          <w:szCs w:val="20"/>
        </w:rPr>
      </w:pPr>
    </w:p>
    <w:p w14:paraId="120C48C2" w14:textId="3C9DDB3B" w:rsidR="00573FBB" w:rsidRDefault="00573FBB" w:rsidP="00573FBB">
      <w:pPr>
        <w:pStyle w:val="Heading2"/>
        <w:rPr>
          <w:lang w:val="en-US"/>
        </w:rPr>
      </w:pPr>
      <w:bookmarkStart w:id="6" w:name="_Toc162451259"/>
      <w:r>
        <w:rPr>
          <w:lang w:val="en-US"/>
        </w:rPr>
        <w:t>Principles</w:t>
      </w:r>
      <w:r w:rsidR="00100A72">
        <w:rPr>
          <w:lang w:val="en-US"/>
        </w:rPr>
        <w:t xml:space="preserve"> derived from human </w:t>
      </w:r>
      <w:proofErr w:type="gramStart"/>
      <w:r w:rsidR="00100A72">
        <w:rPr>
          <w:lang w:val="en-US"/>
        </w:rPr>
        <w:t>rights</w:t>
      </w:r>
      <w:bookmarkEnd w:id="6"/>
      <w:proofErr w:type="gramEnd"/>
    </w:p>
    <w:p w14:paraId="7598761F" w14:textId="655596D1" w:rsidR="00DA7DA1" w:rsidRDefault="00DA7DA1" w:rsidP="00573FBB">
      <w:pPr>
        <w:pStyle w:val="Numberedparagraph"/>
        <w:rPr>
          <w:lang w:val="en-US"/>
        </w:rPr>
      </w:pPr>
      <w:r>
        <w:rPr>
          <w:lang w:val="en-US"/>
        </w:rPr>
        <w:t xml:space="preserve">Underpinning this submission are the following principles drawn from human rights. </w:t>
      </w:r>
    </w:p>
    <w:p w14:paraId="19DA210E" w14:textId="1A012796" w:rsidR="00573FBB" w:rsidRDefault="00FF4ADB" w:rsidP="00573FBB">
      <w:pPr>
        <w:pStyle w:val="Heading3"/>
        <w:rPr>
          <w:lang w:val="en-US"/>
        </w:rPr>
      </w:pPr>
      <w:bookmarkStart w:id="7" w:name="_Toc162451260"/>
      <w:r w:rsidRPr="4E12C6BF">
        <w:rPr>
          <w:lang w:val="en-US"/>
        </w:rPr>
        <w:t xml:space="preserve">Limiting </w:t>
      </w:r>
      <w:r w:rsidR="00657274" w:rsidRPr="4E12C6BF">
        <w:rPr>
          <w:lang w:val="en-US"/>
        </w:rPr>
        <w:t xml:space="preserve">access </w:t>
      </w:r>
      <w:r w:rsidRPr="4E12C6BF">
        <w:rPr>
          <w:lang w:val="en-US"/>
        </w:rPr>
        <w:t xml:space="preserve">to education can have significant and </w:t>
      </w:r>
      <w:r w:rsidR="63F93A1A" w:rsidRPr="4E12C6BF">
        <w:rPr>
          <w:lang w:val="en-US"/>
        </w:rPr>
        <w:t>long</w:t>
      </w:r>
      <w:r w:rsidR="007E2117" w:rsidRPr="4E12C6BF">
        <w:rPr>
          <w:lang w:val="en-US"/>
        </w:rPr>
        <w:t>-term</w:t>
      </w:r>
      <w:r w:rsidRPr="4E12C6BF">
        <w:rPr>
          <w:lang w:val="en-US"/>
        </w:rPr>
        <w:t xml:space="preserve"> negative consequences on </w:t>
      </w:r>
      <w:r w:rsidR="00DA7DA1" w:rsidRPr="4E12C6BF">
        <w:rPr>
          <w:lang w:val="en-US"/>
        </w:rPr>
        <w:t xml:space="preserve">individual students </w:t>
      </w:r>
      <w:r w:rsidRPr="4E12C6BF">
        <w:rPr>
          <w:lang w:val="en-US"/>
        </w:rPr>
        <w:t xml:space="preserve">and the </w:t>
      </w:r>
      <w:proofErr w:type="gramStart"/>
      <w:r w:rsidRPr="4E12C6BF">
        <w:rPr>
          <w:lang w:val="en-US"/>
        </w:rPr>
        <w:t>community</w:t>
      </w:r>
      <w:bookmarkEnd w:id="7"/>
      <w:proofErr w:type="gramEnd"/>
    </w:p>
    <w:p w14:paraId="6E1468A6" w14:textId="10BE8539" w:rsidR="00B1154B" w:rsidRDefault="00B1154B" w:rsidP="00B1154B">
      <w:pPr>
        <w:pStyle w:val="Numberedparagraph"/>
      </w:pPr>
      <w:r>
        <w:t>The Human Rights Act protects the right of every child to have access to primary and secondary education appropriate to the child’s needs.</w:t>
      </w:r>
      <w:r>
        <w:rPr>
          <w:rStyle w:val="FootnoteReference"/>
        </w:rPr>
        <w:footnoteReference w:id="5"/>
      </w:r>
      <w:r>
        <w:t xml:space="preserve"> Education is </w:t>
      </w:r>
      <w:r w:rsidRPr="0035505E">
        <w:t>an indispensable means of realising other human rights</w:t>
      </w:r>
      <w:r w:rsidRPr="0035505E">
        <w:rPr>
          <w:rStyle w:val="FootnoteReference"/>
        </w:rPr>
        <w:footnoteReference w:id="6"/>
      </w:r>
      <w:r w:rsidR="00F609A1">
        <w:t xml:space="preserve"> and is a significant protective factor against poor life outcomes.</w:t>
      </w:r>
      <w:r w:rsidR="00F609A1">
        <w:rPr>
          <w:rStyle w:val="FootnoteReference"/>
        </w:rPr>
        <w:footnoteReference w:id="7"/>
      </w:r>
    </w:p>
    <w:p w14:paraId="5AD8EA88" w14:textId="2CA9D645" w:rsidR="00B1154B" w:rsidRDefault="00B1154B" w:rsidP="00B1154B">
      <w:pPr>
        <w:pStyle w:val="Numberedparagraph"/>
      </w:pPr>
      <w:r>
        <w:t xml:space="preserve">In its small sample review of 30 child deaths in Queensland, the Queensland Family and Child Commission found </w:t>
      </w:r>
      <w:proofErr w:type="gramStart"/>
      <w:r>
        <w:t>that</w:t>
      </w:r>
      <w:proofErr w:type="gramEnd"/>
    </w:p>
    <w:p w14:paraId="4EAA52D3" w14:textId="77777777" w:rsidR="00B1154B" w:rsidRDefault="00B1154B" w:rsidP="00B1154B">
      <w:pPr>
        <w:pStyle w:val="Quote"/>
      </w:pPr>
      <w:r>
        <w:lastRenderedPageBreak/>
        <w:t>for school aged children, failing to re-engage children in education exposes them to prolonged and increased risk. Put more simply –– absence from schooling is a clear identifier that there are risks in a child’s life.</w:t>
      </w:r>
      <w:r>
        <w:rPr>
          <w:rStyle w:val="FootnoteReference"/>
        </w:rPr>
        <w:footnoteReference w:id="8"/>
      </w:r>
      <w:r>
        <w:t xml:space="preserve">  </w:t>
      </w:r>
    </w:p>
    <w:p w14:paraId="7738464F" w14:textId="77777777" w:rsidR="00B1154B" w:rsidRDefault="00B1154B" w:rsidP="00B1154B">
      <w:pPr>
        <w:pStyle w:val="Numberedparagraph"/>
      </w:pPr>
      <w:r>
        <w:t>As the report explains:</w:t>
      </w:r>
    </w:p>
    <w:p w14:paraId="44EE46DA" w14:textId="77777777" w:rsidR="00B1154B" w:rsidRDefault="00B1154B" w:rsidP="00B1154B">
      <w:pPr>
        <w:pStyle w:val="Quote"/>
      </w:pPr>
      <w:r>
        <w:t>School presents more than just an education opportunity but also a place where children may access specialised services to support their wellbeing, find structure and stability and engage with age-appropriate peers to maintain social capital and feel connected to their community. There remains a need for shared responsibility and coordination between agencies that respond to children disengaging from education including Education, Child Safety, Youth Justice, and Police. Keeping children engaged in school provides a down-stream approach and can prevent escalation to tertiary services and increasing human and financial costs.</w:t>
      </w:r>
      <w:r>
        <w:rPr>
          <w:rStyle w:val="FootnoteReference"/>
        </w:rPr>
        <w:footnoteReference w:id="9"/>
      </w:r>
    </w:p>
    <w:p w14:paraId="0420E04E" w14:textId="7CAA60BC" w:rsidR="00B1154B" w:rsidRDefault="00B1154B" w:rsidP="00B1154B">
      <w:pPr>
        <w:pStyle w:val="Numberedparagraph"/>
      </w:pPr>
      <w:r>
        <w:t xml:space="preserve">In his report into Youth Justice responses, Bob Atkinson noted </w:t>
      </w:r>
      <w:proofErr w:type="gramStart"/>
      <w:r>
        <w:t>that</w:t>
      </w:r>
      <w:proofErr w:type="gramEnd"/>
    </w:p>
    <w:p w14:paraId="7C49D245" w14:textId="77777777" w:rsidR="00B1154B" w:rsidRDefault="00B1154B" w:rsidP="00B1154B">
      <w:pPr>
        <w:pStyle w:val="Quote"/>
      </w:pPr>
      <w:r>
        <w:t>the Pathways to Prevention project, operating over 10 years from 2002 to 2011 in a disadvantaged area of Queensland [identified] an absence of a positive attachment to school at age seven as the greatest predictor of later offending….</w:t>
      </w:r>
    </w:p>
    <w:p w14:paraId="37149B46" w14:textId="77777777" w:rsidR="00B1154B" w:rsidRDefault="00B1154B" w:rsidP="00B1154B">
      <w:pPr>
        <w:pStyle w:val="Quote"/>
      </w:pPr>
      <w:r>
        <w:t>As well as education being key to the positive development of children, school provides an ideal environment to identify those who are at risk of antisocial or offending behaviour. As early as age five, children manifest behavioural signs indicative of a need for targeted support….</w:t>
      </w:r>
      <w:r>
        <w:rPr>
          <w:rStyle w:val="FootnoteReference"/>
        </w:rPr>
        <w:footnoteReference w:id="10"/>
      </w:r>
    </w:p>
    <w:p w14:paraId="11D6D2F1" w14:textId="752B69A8" w:rsidR="00657274" w:rsidRDefault="00657274" w:rsidP="00F609A1">
      <w:pPr>
        <w:pStyle w:val="Numberedparagraph"/>
      </w:pPr>
      <w:r>
        <w:t xml:space="preserve">Access to quality education is also </w:t>
      </w:r>
      <w:r w:rsidR="328C1D9C">
        <w:t xml:space="preserve">part </w:t>
      </w:r>
      <w:r w:rsidR="539B1244">
        <w:t>of the right</w:t>
      </w:r>
      <w:r w:rsidR="5F15A6B8">
        <w:t>s</w:t>
      </w:r>
      <w:r w:rsidR="539B1244">
        <w:t xml:space="preserve"> of </w:t>
      </w:r>
      <w:r w:rsidR="30AF9CE1">
        <w:t xml:space="preserve">the </w:t>
      </w:r>
      <w:r w:rsidR="539B1244">
        <w:t>child</w:t>
      </w:r>
      <w:r w:rsidR="13B5759A">
        <w:t xml:space="preserve"> protected by section 26(2) of the Human Rights Act</w:t>
      </w:r>
      <w:r>
        <w:t>.</w:t>
      </w:r>
      <w:r>
        <w:rPr>
          <w:rStyle w:val="FootnoteReference"/>
        </w:rPr>
        <w:footnoteReference w:id="11"/>
      </w:r>
      <w:r>
        <w:t xml:space="preserve"> As demonstrated above, a failure to provide education can </w:t>
      </w:r>
      <w:r w:rsidR="00942E8D">
        <w:t xml:space="preserve">result in the </w:t>
      </w:r>
      <w:r>
        <w:t>limitation of other rights of the child</w:t>
      </w:r>
      <w:r w:rsidR="00942E8D">
        <w:t xml:space="preserve"> or young person</w:t>
      </w:r>
      <w:r>
        <w:t>.</w:t>
      </w:r>
    </w:p>
    <w:p w14:paraId="0FAD551C" w14:textId="6EE1DA83" w:rsidR="00F609A1" w:rsidRDefault="00F609A1" w:rsidP="00F609A1">
      <w:pPr>
        <w:pStyle w:val="Numberedparagraph"/>
      </w:pPr>
      <w:proofErr w:type="gramStart"/>
      <w:r>
        <w:t>In order to</w:t>
      </w:r>
      <w:proofErr w:type="gramEnd"/>
      <w:r>
        <w:t xml:space="preserve"> assess compatibility of an action or decision with human rights, consideration must be given to the importance of preserving the human right.</w:t>
      </w:r>
      <w:r>
        <w:rPr>
          <w:rStyle w:val="FootnoteReference"/>
        </w:rPr>
        <w:footnoteReference w:id="12"/>
      </w:r>
      <w:r>
        <w:t xml:space="preserve"> </w:t>
      </w:r>
      <w:r w:rsidR="00FF4ADB">
        <w:t>In the context of SDAs, t</w:t>
      </w:r>
      <w:r>
        <w:t xml:space="preserve">he potentially significant and </w:t>
      </w:r>
      <w:r w:rsidR="0516B08E" w:rsidDel="00537DFC">
        <w:t>long</w:t>
      </w:r>
      <w:r w:rsidR="00537DFC">
        <w:t>-term</w:t>
      </w:r>
      <w:r>
        <w:t xml:space="preserve"> ramifications of limiting the right to education</w:t>
      </w:r>
      <w:r w:rsidR="00FF4ADB">
        <w:t xml:space="preserve">, both on the </w:t>
      </w:r>
      <w:r>
        <w:t xml:space="preserve">individual </w:t>
      </w:r>
      <w:r w:rsidR="00FF4ADB">
        <w:t xml:space="preserve">and the community, must be </w:t>
      </w:r>
      <w:r w:rsidR="00942E8D">
        <w:t>acknowledged and given sufficient weight</w:t>
      </w:r>
      <w:r w:rsidR="00FF4ADB">
        <w:t xml:space="preserve">. </w:t>
      </w:r>
    </w:p>
    <w:p w14:paraId="6867B2A5" w14:textId="66AD9A93" w:rsidR="00FF4ADB" w:rsidRDefault="00FF4ADB" w:rsidP="00FF4ADB">
      <w:pPr>
        <w:pStyle w:val="Heading3"/>
      </w:pPr>
      <w:bookmarkStart w:id="8" w:name="_Toc162451261"/>
      <w:r>
        <w:lastRenderedPageBreak/>
        <w:t xml:space="preserve">Priority should be given to intervening </w:t>
      </w:r>
      <w:proofErr w:type="gramStart"/>
      <w:r>
        <w:t>early</w:t>
      </w:r>
      <w:bookmarkEnd w:id="8"/>
      <w:proofErr w:type="gramEnd"/>
    </w:p>
    <w:p w14:paraId="1D1DF661" w14:textId="65811504" w:rsidR="00FF4ADB" w:rsidRDefault="00942E8D" w:rsidP="00F609A1">
      <w:pPr>
        <w:pStyle w:val="Numberedparagraph"/>
      </w:pPr>
      <w:r>
        <w:t>T</w:t>
      </w:r>
      <w:r w:rsidR="00FF4ADB">
        <w:t>he best outcomes that are least restrictive of human rights will be achieved by intervening before behaviours require the use of SDAs.</w:t>
      </w:r>
    </w:p>
    <w:p w14:paraId="7F1AD292" w14:textId="0D33249C" w:rsidR="009374DA" w:rsidRDefault="009374DA" w:rsidP="00F609A1">
      <w:pPr>
        <w:pStyle w:val="Numberedparagraph"/>
      </w:pPr>
      <w:r>
        <w:t>Intervening early includes treating health and mental health concerns,</w:t>
      </w:r>
      <w:r w:rsidR="004B44C4">
        <w:t xml:space="preserve"> working with and supporting families,</w:t>
      </w:r>
      <w:r>
        <w:t xml:space="preserve"> making reasonable accommodations for a child’s disability, addressing racism in schools, and supporting connection to culture and community, particularly for First Nations children. </w:t>
      </w:r>
    </w:p>
    <w:p w14:paraId="158C4022" w14:textId="7E102645" w:rsidR="00E7475F" w:rsidRDefault="00E7475F" w:rsidP="00E7475F">
      <w:pPr>
        <w:pStyle w:val="Numberedparagraph"/>
      </w:pPr>
      <w:r>
        <w:t>The Government has recently begun implementation of a Youth Engagement Education Reform package which includes the establishment of an intensive education case management service, recruitment of additional Court Liaison Officers and Youth Transition Officers, First Nations engagement programs and additional funding for Queensland Pathways State Colleges, FlexiSpaces in high needs schools, and alternative learning programs.</w:t>
      </w:r>
      <w:r>
        <w:rPr>
          <w:rStyle w:val="FootnoteReference"/>
        </w:rPr>
        <w:footnoteReference w:id="13"/>
      </w:r>
      <w:r>
        <w:t xml:space="preserve"> </w:t>
      </w:r>
    </w:p>
    <w:p w14:paraId="2961BEFB" w14:textId="0CA72A59" w:rsidR="00FF1D34" w:rsidRDefault="00FF4ADB" w:rsidP="00F609A1">
      <w:pPr>
        <w:pStyle w:val="Numberedparagraph"/>
      </w:pPr>
      <w:r>
        <w:t xml:space="preserve">The EGP Act should support </w:t>
      </w:r>
      <w:r w:rsidR="004B44C4">
        <w:t>these initiatives</w:t>
      </w:r>
      <w:r>
        <w:t xml:space="preserve"> </w:t>
      </w:r>
      <w:r w:rsidR="00FF1D34">
        <w:t>by</w:t>
      </w:r>
      <w:r w:rsidR="009374DA">
        <w:t xml:space="preserve"> ensuring</w:t>
      </w:r>
      <w:r w:rsidR="00FF1D34">
        <w:t>:</w:t>
      </w:r>
    </w:p>
    <w:p w14:paraId="7A2A3613" w14:textId="5AB019B7" w:rsidR="006B7AA6" w:rsidRDefault="006B7AA6" w:rsidP="00FF1D34">
      <w:pPr>
        <w:pStyle w:val="Numberedparagraph"/>
        <w:numPr>
          <w:ilvl w:val="1"/>
          <w:numId w:val="1"/>
        </w:numPr>
      </w:pPr>
      <w:r>
        <w:t xml:space="preserve">SDAs are an option of last resort to respond to </w:t>
      </w:r>
      <w:proofErr w:type="gramStart"/>
      <w:r>
        <w:t>behaviour;</w:t>
      </w:r>
      <w:proofErr w:type="gramEnd"/>
    </w:p>
    <w:p w14:paraId="11C9E5CD" w14:textId="5462F5FB" w:rsidR="00FF1D34" w:rsidRDefault="00FF1D34" w:rsidP="00FF1D34">
      <w:pPr>
        <w:pStyle w:val="Numberedparagraph"/>
        <w:numPr>
          <w:ilvl w:val="1"/>
          <w:numId w:val="1"/>
        </w:numPr>
      </w:pPr>
      <w:r>
        <w:t xml:space="preserve">consideration of </w:t>
      </w:r>
      <w:r w:rsidR="006B7AA6">
        <w:t xml:space="preserve">early intervention </w:t>
      </w:r>
      <w:r>
        <w:t xml:space="preserve">strategies before using SDA, and </w:t>
      </w:r>
    </w:p>
    <w:p w14:paraId="51A693D6" w14:textId="2AFA4255" w:rsidR="00FF4ADB" w:rsidRDefault="00FF1D34" w:rsidP="00FF1D34">
      <w:pPr>
        <w:pStyle w:val="Numberedparagraph"/>
        <w:numPr>
          <w:ilvl w:val="1"/>
          <w:numId w:val="1"/>
        </w:numPr>
      </w:pPr>
      <w:r>
        <w:t>legislated measures such as student support plans</w:t>
      </w:r>
      <w:r>
        <w:rPr>
          <w:rStyle w:val="FootnoteReference"/>
        </w:rPr>
        <w:footnoteReference w:id="14"/>
      </w:r>
      <w:r>
        <w:t xml:space="preserve">, which are only written for children who have been suspended or are at risk of exclusion, are not prioritised at the expense of early intervention </w:t>
      </w:r>
      <w:r w:rsidR="009374DA">
        <w:t>strategies</w:t>
      </w:r>
      <w:r>
        <w:t>.</w:t>
      </w:r>
    </w:p>
    <w:p w14:paraId="07425EBE" w14:textId="66B6906B" w:rsidR="00942E8D" w:rsidRDefault="008F0DD0" w:rsidP="008F0DD0">
      <w:pPr>
        <w:pStyle w:val="Numberedparagraph"/>
      </w:pPr>
      <w:r>
        <w:t xml:space="preserve">The Commission strongly supports the </w:t>
      </w:r>
      <w:r w:rsidR="00942E8D">
        <w:t xml:space="preserve">Bill’s inclusion of the </w:t>
      </w:r>
      <w:r>
        <w:t xml:space="preserve">guiding principle </w:t>
      </w:r>
      <w:proofErr w:type="gramStart"/>
      <w:r>
        <w:t>that</w:t>
      </w:r>
      <w:proofErr w:type="gramEnd"/>
      <w:r>
        <w:t xml:space="preserve"> </w:t>
      </w:r>
    </w:p>
    <w:p w14:paraId="5A5A2868" w14:textId="6B04BFD3" w:rsidR="008F0DD0" w:rsidRDefault="008F0DD0" w:rsidP="00D17E6F">
      <w:pPr>
        <w:pStyle w:val="Numberedparagraph"/>
        <w:numPr>
          <w:ilvl w:val="0"/>
          <w:numId w:val="0"/>
        </w:numPr>
        <w:ind w:left="720" w:right="843"/>
      </w:pPr>
      <w:r w:rsidRPr="00942E8D">
        <w:rPr>
          <w:sz w:val="20"/>
          <w:szCs w:val="20"/>
        </w:rPr>
        <w:t>education should be provided in a way that … recognises wellbeing as a foundation of education engagement and outcomes for children and young people.</w:t>
      </w:r>
      <w:r>
        <w:rPr>
          <w:rStyle w:val="FootnoteReference"/>
        </w:rPr>
        <w:footnoteReference w:id="15"/>
      </w:r>
      <w:r>
        <w:t xml:space="preserve"> </w:t>
      </w:r>
    </w:p>
    <w:p w14:paraId="35B9216D" w14:textId="28A0307D" w:rsidR="005E6D8C" w:rsidRDefault="005E6D8C" w:rsidP="006B7AA6">
      <w:pPr>
        <w:pStyle w:val="Heading3"/>
        <w:rPr>
          <w:lang w:val="en-US"/>
        </w:rPr>
      </w:pPr>
      <w:bookmarkStart w:id="9" w:name="_Toc162451262"/>
      <w:r>
        <w:rPr>
          <w:lang w:val="en-US"/>
        </w:rPr>
        <w:t xml:space="preserve">Families hold primary responsibility for children’s health, wellbeing and development, and should be active participants in decision </w:t>
      </w:r>
      <w:proofErr w:type="gramStart"/>
      <w:r>
        <w:rPr>
          <w:lang w:val="en-US"/>
        </w:rPr>
        <w:t>making</w:t>
      </w:r>
      <w:bookmarkEnd w:id="9"/>
      <w:proofErr w:type="gramEnd"/>
    </w:p>
    <w:p w14:paraId="2A47C24D" w14:textId="19985697" w:rsidR="005E6D8C" w:rsidRDefault="005E6D8C" w:rsidP="005E6D8C">
      <w:pPr>
        <w:pStyle w:val="Numberedparagraph"/>
      </w:pPr>
      <w:r>
        <w:t>The Human Rights Act acknowledges that families are a fundamental group unit of society entitled to protection by society and the State, and protects the right of every child to the protection that is needed by the child, and is in the child’s best interests, because of being a child.</w:t>
      </w:r>
      <w:r>
        <w:rPr>
          <w:rStyle w:val="FootnoteReference"/>
        </w:rPr>
        <w:footnoteReference w:id="16"/>
      </w:r>
      <w:r w:rsidR="008F0DD0">
        <w:t xml:space="preserve"> That families hold primary responsibility for </w:t>
      </w:r>
      <w:r w:rsidR="008F0DD0">
        <w:lastRenderedPageBreak/>
        <w:t>the upbringing and development of the child is recognised under international law</w:t>
      </w:r>
      <w:r w:rsidR="008F0DD0">
        <w:rPr>
          <w:rStyle w:val="FootnoteReference"/>
        </w:rPr>
        <w:footnoteReference w:id="17"/>
      </w:r>
      <w:r w:rsidR="008F0DD0">
        <w:t xml:space="preserve"> and </w:t>
      </w:r>
      <w:r w:rsidR="00942E8D">
        <w:t xml:space="preserve">in </w:t>
      </w:r>
      <w:r w:rsidR="008F0DD0">
        <w:t>how the objects of the EGP Act are to be achieved.</w:t>
      </w:r>
      <w:r w:rsidR="008F0DD0">
        <w:rPr>
          <w:rStyle w:val="FootnoteReference"/>
        </w:rPr>
        <w:footnoteReference w:id="18"/>
      </w:r>
      <w:r w:rsidR="008F0DD0">
        <w:t xml:space="preserve"> </w:t>
      </w:r>
    </w:p>
    <w:p w14:paraId="44089969" w14:textId="08ACE6C8" w:rsidR="008F0DD0" w:rsidRDefault="008C55F1" w:rsidP="005E6D8C">
      <w:pPr>
        <w:pStyle w:val="Numberedparagraph"/>
      </w:pPr>
      <w:r>
        <w:t>Families must have a role in measures concerning their child’s behaviour at school and they should be supported to do so.</w:t>
      </w:r>
    </w:p>
    <w:p w14:paraId="5F0D977F" w14:textId="767EC9F0" w:rsidR="008C55F1" w:rsidRPr="008C55F1" w:rsidRDefault="008C55F1" w:rsidP="006B7AA6">
      <w:pPr>
        <w:pStyle w:val="Heading3"/>
      </w:pPr>
      <w:bookmarkStart w:id="10" w:name="_Toc162451263"/>
      <w:r w:rsidRPr="008C55F1">
        <w:t xml:space="preserve">Children </w:t>
      </w:r>
      <w:r>
        <w:t>and young people have inherent dignity,</w:t>
      </w:r>
      <w:r w:rsidR="00100A72">
        <w:t xml:space="preserve"> and require special </w:t>
      </w:r>
      <w:proofErr w:type="gramStart"/>
      <w:r w:rsidR="00100A72">
        <w:t>protection</w:t>
      </w:r>
      <w:bookmarkEnd w:id="10"/>
      <w:proofErr w:type="gramEnd"/>
    </w:p>
    <w:p w14:paraId="3A5AEAD3" w14:textId="043EA7EA" w:rsidR="00100A72" w:rsidRDefault="00100A72" w:rsidP="008C55F1">
      <w:pPr>
        <w:pStyle w:val="Numberedparagraph"/>
        <w:rPr>
          <w:lang w:val="en-US"/>
        </w:rPr>
      </w:pPr>
      <w:r>
        <w:rPr>
          <w:lang w:val="en-US"/>
        </w:rPr>
        <w:t>Children and young people have the same inherent dignity and worth as all humans. They are also entitled to special safeguards and care, because of their ‘</w:t>
      </w:r>
      <w:r w:rsidR="003D5FC1">
        <w:rPr>
          <w:lang w:val="en-US"/>
        </w:rPr>
        <w:t xml:space="preserve">particular vulnerability’ by virtue of their physical and </w:t>
      </w:r>
      <w:r>
        <w:rPr>
          <w:lang w:val="en-US"/>
        </w:rPr>
        <w:t>mental immaturity.</w:t>
      </w:r>
      <w:r w:rsidR="003D5FC1">
        <w:rPr>
          <w:rStyle w:val="FootnoteReference"/>
          <w:lang w:val="en-US"/>
        </w:rPr>
        <w:footnoteReference w:id="19"/>
      </w:r>
      <w:r w:rsidR="006B7AA6">
        <w:rPr>
          <w:lang w:val="en-US"/>
        </w:rPr>
        <w:t xml:space="preserve"> Their needs and abilities will differ depending on their age and </w:t>
      </w:r>
      <w:proofErr w:type="gramStart"/>
      <w:r w:rsidR="006B7AA6">
        <w:rPr>
          <w:lang w:val="en-US"/>
        </w:rPr>
        <w:t>maturity, and</w:t>
      </w:r>
      <w:proofErr w:type="gramEnd"/>
      <w:r w:rsidR="006B7AA6">
        <w:rPr>
          <w:lang w:val="en-US"/>
        </w:rPr>
        <w:t xml:space="preserve"> are vastly different to that of an adult.</w:t>
      </w:r>
    </w:p>
    <w:p w14:paraId="218ECB10" w14:textId="0D28E066" w:rsidR="004B44C4" w:rsidRPr="00942E8D" w:rsidRDefault="00942E8D" w:rsidP="00942E8D">
      <w:pPr>
        <w:pStyle w:val="Numberedparagraph"/>
        <w:rPr>
          <w:lang w:val="en-US"/>
        </w:rPr>
      </w:pPr>
      <w:r>
        <w:rPr>
          <w:lang w:val="en-US"/>
        </w:rPr>
        <w:t xml:space="preserve">These characteristics of children and young people must be </w:t>
      </w:r>
      <w:proofErr w:type="gramStart"/>
      <w:r>
        <w:rPr>
          <w:lang w:val="en-US"/>
        </w:rPr>
        <w:t>taken into account</w:t>
      </w:r>
      <w:proofErr w:type="gramEnd"/>
      <w:r>
        <w:rPr>
          <w:lang w:val="en-US"/>
        </w:rPr>
        <w:t xml:space="preserve"> in any justification, and process, for SDAs. </w:t>
      </w:r>
    </w:p>
    <w:p w14:paraId="4A6D7662" w14:textId="7048D2D2" w:rsidR="004B44C4" w:rsidRDefault="004B44C4" w:rsidP="004B44C4">
      <w:pPr>
        <w:pStyle w:val="Heading3"/>
        <w:rPr>
          <w:lang w:val="en-US"/>
        </w:rPr>
      </w:pPr>
      <w:bookmarkStart w:id="13" w:name="_Toc162451264"/>
      <w:r w:rsidRPr="005B1552">
        <w:rPr>
          <w:lang w:val="en-US"/>
        </w:rPr>
        <w:t>Eliminating discrimination and promoting inclusion</w:t>
      </w:r>
      <w:bookmarkEnd w:id="13"/>
    </w:p>
    <w:p w14:paraId="584D92E9" w14:textId="7B5EF8AF" w:rsidR="003E3319" w:rsidRDefault="003E3319" w:rsidP="003E3319">
      <w:pPr>
        <w:pStyle w:val="Numberedparagraph"/>
      </w:pPr>
      <w:r>
        <w:t xml:space="preserve">Given the overrepresentation of children with disability and First Nations children subject </w:t>
      </w:r>
      <w:r w:rsidR="00836E40">
        <w:t xml:space="preserve">to </w:t>
      </w:r>
      <w:r>
        <w:t>SDAs, consideration must be given to specific measures to address these cohorts and the role of discrimination.</w:t>
      </w:r>
    </w:p>
    <w:p w14:paraId="1B5DCCBD" w14:textId="355846FF" w:rsidR="00782187" w:rsidRDefault="00782187" w:rsidP="00782187">
      <w:pPr>
        <w:pStyle w:val="Numberedparagraph"/>
      </w:pPr>
      <w:r>
        <w:t xml:space="preserve">Discrimination occurs when a person is treated less favourably because of an attribute that is protected, such as </w:t>
      </w:r>
      <w:r w:rsidR="002222A6">
        <w:t xml:space="preserve">age, </w:t>
      </w:r>
      <w:proofErr w:type="gramStart"/>
      <w:r>
        <w:t>disability</w:t>
      </w:r>
      <w:proofErr w:type="gramEnd"/>
      <w:r>
        <w:t xml:space="preserve"> or race. However, discrimination can also occur where a person is disadvantaged because of their </w:t>
      </w:r>
      <w:proofErr w:type="gramStart"/>
      <w:r>
        <w:t xml:space="preserve">attribute, </w:t>
      </w:r>
      <w:r w:rsidRPr="00782187">
        <w:t>and</w:t>
      </w:r>
      <w:proofErr w:type="gramEnd"/>
      <w:r w:rsidRPr="00782187">
        <w:t xml:space="preserve"> may </w:t>
      </w:r>
      <w:r>
        <w:t xml:space="preserve">require </w:t>
      </w:r>
      <w:r w:rsidRPr="00782187">
        <w:t>differential treatment</w:t>
      </w:r>
      <w:r>
        <w:t xml:space="preserve"> to achieve substantive equality. </w:t>
      </w:r>
      <w:r>
        <w:rPr>
          <w:i/>
          <w:iCs/>
        </w:rPr>
        <w:t xml:space="preserve"> </w:t>
      </w:r>
      <w:r>
        <w:t xml:space="preserve"> </w:t>
      </w:r>
    </w:p>
    <w:p w14:paraId="636D58E4" w14:textId="05556631" w:rsidR="003E3319" w:rsidRDefault="00782187" w:rsidP="003E3319">
      <w:pPr>
        <w:pStyle w:val="Numberedparagraph"/>
      </w:pPr>
      <w:r>
        <w:t xml:space="preserve">Protection from discrimination is a </w:t>
      </w:r>
      <w:r w:rsidR="003E3319">
        <w:t xml:space="preserve">right under section 15 of the </w:t>
      </w:r>
      <w:r w:rsidR="003E3319" w:rsidRPr="4FD2C683">
        <w:t>Human Rights Act</w:t>
      </w:r>
      <w:r w:rsidRPr="4FD2C683">
        <w:t>,</w:t>
      </w:r>
      <w:r w:rsidR="003E3319">
        <w:t xml:space="preserve"> and unlawful discrimination is prohibited in the education area under the Anti-Discrimination Act. Discrimination is also unlawful under the </w:t>
      </w:r>
      <w:r w:rsidR="003E3319" w:rsidRPr="003E3319">
        <w:rPr>
          <w:i/>
          <w:iCs/>
        </w:rPr>
        <w:t>Disability Discrimination Act 1992</w:t>
      </w:r>
      <w:r w:rsidR="003E3319">
        <w:t xml:space="preserve"> (Cth) and the </w:t>
      </w:r>
      <w:r w:rsidR="003E3319" w:rsidRPr="003E3319">
        <w:rPr>
          <w:i/>
          <w:iCs/>
        </w:rPr>
        <w:t>Racial Discrimination Act 1975</w:t>
      </w:r>
      <w:r w:rsidR="003E3319">
        <w:t xml:space="preserve"> (Cth).</w:t>
      </w:r>
      <w:r w:rsidR="005B1552">
        <w:t xml:space="preserve"> Additionally, section 28 of the Human Rights Act (cultural rights - Aboriginal peoples and Torres Strait Islander peoples) </w:t>
      </w:r>
      <w:r w:rsidR="005B1552" w:rsidRPr="005B1552">
        <w:t>requires schools to act consistently with Aboriginal peoples’ and Torres Strait Islander peoples’ right to protect and develop identity and cultural heritage, to use language, to maintain kinship ties, to maintain and strengthen their relationship with the land, and to conserve and protect the environment.</w:t>
      </w:r>
    </w:p>
    <w:p w14:paraId="58582D85" w14:textId="03DA9827" w:rsidR="005B1552" w:rsidRPr="005B1552" w:rsidRDefault="005B1552" w:rsidP="005B1552">
      <w:pPr>
        <w:pStyle w:val="Numberedparagraph"/>
      </w:pPr>
      <w:r>
        <w:t xml:space="preserve">Early intervention strategies such as </w:t>
      </w:r>
      <w:r w:rsidR="002222A6" w:rsidRPr="005B1552">
        <w:rPr>
          <w:lang w:val="en-US"/>
        </w:rPr>
        <w:t>reasonable accommodations for a child’s disability, addressing racism in schools, and supporting First Nation students’ connection to culture and community</w:t>
      </w:r>
      <w:r>
        <w:rPr>
          <w:lang w:val="en-US"/>
        </w:rPr>
        <w:t xml:space="preserve"> may be required to comply with these </w:t>
      </w:r>
      <w:r>
        <w:rPr>
          <w:lang w:val="en-US"/>
        </w:rPr>
        <w:lastRenderedPageBreak/>
        <w:t xml:space="preserve">obligations. </w:t>
      </w:r>
      <w:r w:rsidRPr="005B1552">
        <w:rPr>
          <w:lang w:val="en-US"/>
        </w:rPr>
        <w:t xml:space="preserve"> </w:t>
      </w:r>
      <w:r w:rsidR="00961A8F">
        <w:rPr>
          <w:lang w:val="en-US"/>
        </w:rPr>
        <w:t>These obligations will be strengthened if the Anti-Discrimination Bill 2024</w:t>
      </w:r>
      <w:r w:rsidR="00D17E6F">
        <w:rPr>
          <w:lang w:val="en-US"/>
        </w:rPr>
        <w:t>,</w:t>
      </w:r>
      <w:r w:rsidR="00961A8F">
        <w:rPr>
          <w:lang w:val="en-US"/>
        </w:rPr>
        <w:t xml:space="preserve"> currently under consideration</w:t>
      </w:r>
      <w:r w:rsidR="00D17E6F">
        <w:rPr>
          <w:lang w:val="en-US"/>
        </w:rPr>
        <w:t>,</w:t>
      </w:r>
      <w:r w:rsidR="00961A8F">
        <w:rPr>
          <w:lang w:val="en-US"/>
        </w:rPr>
        <w:t xml:space="preserve"> is passed (discussed further below).</w:t>
      </w:r>
    </w:p>
    <w:p w14:paraId="73777A02" w14:textId="6EDF6302" w:rsidR="004B44C4" w:rsidRPr="002A7F2D" w:rsidRDefault="002222A6" w:rsidP="004B44C4">
      <w:pPr>
        <w:pStyle w:val="Numberedparagraph"/>
        <w:rPr>
          <w:lang w:val="en-US"/>
        </w:rPr>
      </w:pPr>
      <w:r>
        <w:t xml:space="preserve">The </w:t>
      </w:r>
      <w:r w:rsidR="003C3676">
        <w:t xml:space="preserve">Commission strongly supports amendments made by clause 18 of the Bill </w:t>
      </w:r>
      <w:r w:rsidR="002A7F2D">
        <w:t xml:space="preserve">to the guiding principles of the Act that education be provided in a way that – </w:t>
      </w:r>
    </w:p>
    <w:p w14:paraId="39F9C0C6" w14:textId="6EC85669" w:rsidR="002A7F2D" w:rsidRPr="002A7F2D" w:rsidRDefault="002A7F2D" w:rsidP="00D17E6F">
      <w:pPr>
        <w:pStyle w:val="Numberedparagraph"/>
        <w:numPr>
          <w:ilvl w:val="0"/>
          <w:numId w:val="0"/>
        </w:numPr>
        <w:ind w:left="720" w:right="843"/>
        <w:rPr>
          <w:sz w:val="20"/>
          <w:szCs w:val="20"/>
          <w:lang w:val="en-US"/>
        </w:rPr>
      </w:pPr>
      <w:r w:rsidRPr="002A7F2D">
        <w:rPr>
          <w:sz w:val="20"/>
          <w:szCs w:val="20"/>
          <w:lang w:val="en-US"/>
        </w:rPr>
        <w:t xml:space="preserve">(ii) promotes an </w:t>
      </w:r>
      <w:r w:rsidRPr="002A7F2D">
        <w:rPr>
          <w:i/>
          <w:iCs/>
          <w:sz w:val="20"/>
          <w:szCs w:val="20"/>
          <w:lang w:val="en-US"/>
        </w:rPr>
        <w:t>inclusive</w:t>
      </w:r>
      <w:r w:rsidRPr="002A7F2D">
        <w:rPr>
          <w:sz w:val="20"/>
          <w:szCs w:val="20"/>
          <w:lang w:val="en-US"/>
        </w:rPr>
        <w:t xml:space="preserve">, safe and supportive learning environment for children and young </w:t>
      </w:r>
      <w:proofErr w:type="gramStart"/>
      <w:r w:rsidRPr="002A7F2D">
        <w:rPr>
          <w:sz w:val="20"/>
          <w:szCs w:val="20"/>
          <w:lang w:val="en-US"/>
        </w:rPr>
        <w:t>people;</w:t>
      </w:r>
      <w:proofErr w:type="gramEnd"/>
    </w:p>
    <w:p w14:paraId="44D19EF0" w14:textId="1EB93613" w:rsidR="002A7F2D" w:rsidRPr="002A7F2D" w:rsidRDefault="002A7F2D" w:rsidP="00D17E6F">
      <w:pPr>
        <w:pStyle w:val="Numberedparagraph"/>
        <w:numPr>
          <w:ilvl w:val="0"/>
          <w:numId w:val="0"/>
        </w:numPr>
        <w:ind w:left="720" w:right="843"/>
        <w:rPr>
          <w:sz w:val="20"/>
          <w:szCs w:val="20"/>
          <w:lang w:val="en-US"/>
        </w:rPr>
      </w:pPr>
      <w:r w:rsidRPr="002A7F2D">
        <w:rPr>
          <w:sz w:val="20"/>
          <w:szCs w:val="20"/>
          <w:lang w:val="en-US"/>
        </w:rPr>
        <w:t>(iii) recogni</w:t>
      </w:r>
      <w:r>
        <w:rPr>
          <w:sz w:val="20"/>
          <w:szCs w:val="20"/>
          <w:lang w:val="en-US"/>
        </w:rPr>
        <w:t>s</w:t>
      </w:r>
      <w:r w:rsidRPr="002A7F2D">
        <w:rPr>
          <w:sz w:val="20"/>
          <w:szCs w:val="20"/>
          <w:lang w:val="en-US"/>
        </w:rPr>
        <w:t xml:space="preserve">es the educational needs of children and young people </w:t>
      </w:r>
      <w:r w:rsidRPr="002A7F2D">
        <w:rPr>
          <w:i/>
          <w:iCs/>
          <w:sz w:val="20"/>
          <w:szCs w:val="20"/>
          <w:lang w:val="en-US"/>
        </w:rPr>
        <w:t>of all abilities and from all backgrounds</w:t>
      </w:r>
      <w:r w:rsidRPr="002A7F2D">
        <w:rPr>
          <w:sz w:val="20"/>
          <w:szCs w:val="20"/>
          <w:lang w:val="en-US"/>
        </w:rPr>
        <w:t>.</w:t>
      </w:r>
      <w:r w:rsidR="00D17E6F">
        <w:rPr>
          <w:rStyle w:val="FootnoteReference"/>
          <w:sz w:val="20"/>
          <w:szCs w:val="20"/>
          <w:lang w:val="en-US"/>
        </w:rPr>
        <w:footnoteReference w:id="20"/>
      </w:r>
    </w:p>
    <w:p w14:paraId="1CE65F3F" w14:textId="77777777" w:rsidR="00911ACB" w:rsidRDefault="00911ACB" w:rsidP="00911ACB">
      <w:pPr>
        <w:pStyle w:val="Heading2"/>
        <w:rPr>
          <w:lang w:val="en-US"/>
        </w:rPr>
      </w:pPr>
      <w:bookmarkStart w:id="14" w:name="_Toc162451265"/>
      <w:r>
        <w:rPr>
          <w:lang w:val="en-US"/>
        </w:rPr>
        <w:t>Other considerations</w:t>
      </w:r>
      <w:bookmarkEnd w:id="14"/>
    </w:p>
    <w:p w14:paraId="133A5178" w14:textId="30BCBFDA" w:rsidR="00EE42E0" w:rsidRDefault="00EE42E0" w:rsidP="00EE42E0">
      <w:pPr>
        <w:pStyle w:val="Numberedparagraph"/>
        <w:rPr>
          <w:lang w:val="en-US"/>
        </w:rPr>
      </w:pPr>
      <w:r>
        <w:rPr>
          <w:lang w:val="en-US"/>
        </w:rPr>
        <w:t xml:space="preserve">The </w:t>
      </w:r>
      <w:r w:rsidR="00911ACB">
        <w:rPr>
          <w:lang w:val="en-US"/>
        </w:rPr>
        <w:t>C</w:t>
      </w:r>
      <w:r>
        <w:rPr>
          <w:lang w:val="en-US"/>
        </w:rPr>
        <w:t xml:space="preserve">ommission notes </w:t>
      </w:r>
      <w:r w:rsidR="00230D8C">
        <w:rPr>
          <w:lang w:val="en-US"/>
        </w:rPr>
        <w:t xml:space="preserve">the following concurrent work </w:t>
      </w:r>
      <w:r w:rsidR="004436B0">
        <w:rPr>
          <w:lang w:val="en-US"/>
        </w:rPr>
        <w:t xml:space="preserve">that </w:t>
      </w:r>
      <w:r w:rsidR="00230D8C">
        <w:rPr>
          <w:lang w:val="en-US"/>
        </w:rPr>
        <w:t xml:space="preserve">has </w:t>
      </w:r>
      <w:r w:rsidR="004436B0">
        <w:rPr>
          <w:lang w:val="en-US"/>
        </w:rPr>
        <w:t>informed this submission.</w:t>
      </w:r>
    </w:p>
    <w:p w14:paraId="52FF96ED" w14:textId="13861E3C" w:rsidR="006B7AA6" w:rsidRPr="006B7AA6" w:rsidRDefault="006B7AA6" w:rsidP="006B7AA6">
      <w:pPr>
        <w:pStyle w:val="Heading3"/>
        <w:rPr>
          <w:lang w:val="en-US"/>
        </w:rPr>
      </w:pPr>
      <w:bookmarkStart w:id="15" w:name="_Toc162451266"/>
      <w:r w:rsidRPr="006B7AA6">
        <w:rPr>
          <w:lang w:val="en-US"/>
        </w:rPr>
        <w:t>Putting Queensland Kids First</w:t>
      </w:r>
      <w:bookmarkEnd w:id="15"/>
    </w:p>
    <w:p w14:paraId="28865970" w14:textId="77777777" w:rsidR="00DA4E4A" w:rsidRDefault="00DA4E4A" w:rsidP="00DA4E4A">
      <w:pPr>
        <w:pStyle w:val="Numberedparagraph"/>
      </w:pPr>
      <w:r>
        <w:t xml:space="preserve">In January 2024 the Queensland Government published </w:t>
      </w:r>
      <w:r>
        <w:rPr>
          <w:i/>
          <w:iCs/>
        </w:rPr>
        <w:t>Putting Queensland Kids First Consultation Draft</w:t>
      </w:r>
      <w:r>
        <w:t xml:space="preserve"> (</w:t>
      </w:r>
      <w:r>
        <w:rPr>
          <w:b/>
          <w:bCs/>
        </w:rPr>
        <w:t>the Plan</w:t>
      </w:r>
      <w:r>
        <w:t xml:space="preserve">), which </w:t>
      </w:r>
      <w:proofErr w:type="gramStart"/>
      <w:r>
        <w:t>outlines</w:t>
      </w:r>
      <w:proofErr w:type="gramEnd"/>
    </w:p>
    <w:p w14:paraId="4521E9F7" w14:textId="77777777" w:rsidR="00DA4E4A" w:rsidRDefault="00DA4E4A" w:rsidP="00DA4E4A">
      <w:pPr>
        <w:pStyle w:val="Quote"/>
      </w:pPr>
      <w:r>
        <w:t xml:space="preserve">a vision that focuses on strengthening protective factors around children, young </w:t>
      </w:r>
      <w:proofErr w:type="gramStart"/>
      <w:r>
        <w:t>people</w:t>
      </w:r>
      <w:proofErr w:type="gramEnd"/>
      <w:r>
        <w:t xml:space="preserve"> and families to prevent adverse experiences through early interventions and prevention — starting early in life and targeting key transition points.</w:t>
      </w:r>
    </w:p>
    <w:p w14:paraId="1E11904F" w14:textId="0D446E3A" w:rsidR="00DA4E4A" w:rsidRPr="00F62311" w:rsidRDefault="00911ACB" w:rsidP="00911ACB">
      <w:pPr>
        <w:pStyle w:val="Numberedparagraph"/>
        <w:rPr>
          <w:szCs w:val="22"/>
          <w:lang w:val="en-US"/>
        </w:rPr>
      </w:pPr>
      <w:r w:rsidRPr="00F62311">
        <w:rPr>
          <w:szCs w:val="22"/>
          <w:lang w:val="en-US"/>
        </w:rPr>
        <w:t>Education was identified as one of these protective factors, to ensure children and young people have</w:t>
      </w:r>
      <w:r w:rsidR="00DA4E4A" w:rsidRPr="00F62311">
        <w:rPr>
          <w:szCs w:val="22"/>
          <w:lang w:val="en-US"/>
        </w:rPr>
        <w:t xml:space="preserve"> ‘</w:t>
      </w:r>
      <w:r w:rsidR="00DA4E4A" w:rsidRPr="00F62311">
        <w:rPr>
          <w:szCs w:val="22"/>
        </w:rPr>
        <w:t>the best possible start in life, remain connected to education and achieve healthy outcomes with a focus on those at risk of entering the youth justice system’.</w:t>
      </w:r>
      <w:r w:rsidR="00DA4E4A" w:rsidRPr="00F62311">
        <w:rPr>
          <w:rStyle w:val="FootnoteReference"/>
          <w:szCs w:val="22"/>
        </w:rPr>
        <w:footnoteReference w:id="21"/>
      </w:r>
      <w:r w:rsidR="00DA4E4A" w:rsidRPr="00F62311">
        <w:rPr>
          <w:color w:val="auto"/>
          <w:szCs w:val="22"/>
          <w:lang w:eastAsia="en-AU"/>
        </w:rPr>
        <w:t xml:space="preserve"> </w:t>
      </w:r>
    </w:p>
    <w:p w14:paraId="38397F5A" w14:textId="5FB11E71" w:rsidR="00911ACB" w:rsidRPr="00F62311" w:rsidRDefault="00911ACB" w:rsidP="00911ACB">
      <w:pPr>
        <w:pStyle w:val="Numberedparagraph"/>
        <w:rPr>
          <w:szCs w:val="22"/>
          <w:lang w:val="en-US"/>
        </w:rPr>
      </w:pPr>
      <w:r w:rsidRPr="00F62311">
        <w:rPr>
          <w:color w:val="auto"/>
          <w:szCs w:val="22"/>
          <w:lang w:eastAsia="en-AU"/>
        </w:rPr>
        <w:t xml:space="preserve">The Commission strongly supports the development of a whole of government strategy and recommended the Plan develop a clear vision co-designed with children, young </w:t>
      </w:r>
      <w:proofErr w:type="gramStart"/>
      <w:r w:rsidRPr="00F62311">
        <w:rPr>
          <w:color w:val="auto"/>
          <w:szCs w:val="22"/>
          <w:lang w:eastAsia="en-AU"/>
        </w:rPr>
        <w:t>people</w:t>
      </w:r>
      <w:proofErr w:type="gramEnd"/>
      <w:r w:rsidRPr="00F62311">
        <w:rPr>
          <w:color w:val="auto"/>
          <w:szCs w:val="22"/>
          <w:lang w:eastAsia="en-AU"/>
        </w:rPr>
        <w:t xml:space="preserve"> and their families. Critically, legislation, policy and practice by Government agencies should be consistent with the Plan, and not work against the Plan’s objectives by increasing risks and harms to children and young people. </w:t>
      </w:r>
      <w:r w:rsidR="00E2761F" w:rsidRPr="00F62311">
        <w:rPr>
          <w:color w:val="auto"/>
          <w:szCs w:val="22"/>
          <w:lang w:eastAsia="en-AU"/>
        </w:rPr>
        <w:t xml:space="preserve">Many of principles outlined above are drawn from the Commission’s submission on the core principles that should </w:t>
      </w:r>
      <w:r w:rsidR="00961A8F">
        <w:rPr>
          <w:color w:val="auto"/>
          <w:szCs w:val="22"/>
          <w:lang w:eastAsia="en-AU"/>
        </w:rPr>
        <w:t>guide the Plan’s approach</w:t>
      </w:r>
      <w:r w:rsidR="00E2761F" w:rsidRPr="00F62311">
        <w:rPr>
          <w:color w:val="auto"/>
          <w:szCs w:val="22"/>
          <w:lang w:eastAsia="en-AU"/>
        </w:rPr>
        <w:t>.</w:t>
      </w:r>
      <w:r w:rsidR="00E2761F" w:rsidRPr="00F62311">
        <w:rPr>
          <w:rStyle w:val="FootnoteReference"/>
          <w:color w:val="auto"/>
          <w:szCs w:val="22"/>
          <w:lang w:eastAsia="en-AU"/>
        </w:rPr>
        <w:footnoteReference w:id="22"/>
      </w:r>
    </w:p>
    <w:p w14:paraId="7DBD9AC4" w14:textId="7EA9E76D" w:rsidR="002A7F2D" w:rsidRPr="00F62311" w:rsidRDefault="00911ACB" w:rsidP="00E7475F">
      <w:pPr>
        <w:pStyle w:val="Numberedparagraph"/>
        <w:rPr>
          <w:szCs w:val="22"/>
          <w:lang w:val="en-US"/>
        </w:rPr>
      </w:pPr>
      <w:r w:rsidRPr="00F62311">
        <w:rPr>
          <w:color w:val="auto"/>
          <w:szCs w:val="22"/>
          <w:lang w:eastAsia="en-AU"/>
        </w:rPr>
        <w:lastRenderedPageBreak/>
        <w:t>While a final Plan has not been released</w:t>
      </w:r>
      <w:r w:rsidR="00E2761F" w:rsidRPr="00F62311">
        <w:rPr>
          <w:color w:val="auto"/>
          <w:szCs w:val="22"/>
          <w:lang w:eastAsia="en-AU"/>
        </w:rPr>
        <w:t xml:space="preserve">, </w:t>
      </w:r>
      <w:r w:rsidR="002A7F2D" w:rsidRPr="00F62311">
        <w:rPr>
          <w:color w:val="auto"/>
          <w:szCs w:val="22"/>
          <w:lang w:eastAsia="en-AU"/>
        </w:rPr>
        <w:t xml:space="preserve">consideration should be given to how this Bill </w:t>
      </w:r>
      <w:r w:rsidR="00E73873" w:rsidRPr="00F62311">
        <w:rPr>
          <w:color w:val="auto"/>
          <w:szCs w:val="22"/>
          <w:lang w:eastAsia="en-AU"/>
        </w:rPr>
        <w:t xml:space="preserve">may contribute to or frustrate the overarching goal of this plan to improve life outcomes for children and young people. </w:t>
      </w:r>
      <w:r w:rsidR="002A7F2D" w:rsidRPr="00F62311">
        <w:rPr>
          <w:color w:val="auto"/>
          <w:szCs w:val="22"/>
          <w:lang w:eastAsia="en-AU"/>
        </w:rPr>
        <w:t xml:space="preserve"> </w:t>
      </w:r>
    </w:p>
    <w:p w14:paraId="6731E11C" w14:textId="0BCFFDC1" w:rsidR="00EE42E0" w:rsidRDefault="00EE42E0" w:rsidP="00E7475F">
      <w:pPr>
        <w:pStyle w:val="Heading3"/>
        <w:rPr>
          <w:lang w:val="en-US"/>
        </w:rPr>
      </w:pPr>
      <w:bookmarkStart w:id="16" w:name="_Toc162451267"/>
      <w:r>
        <w:rPr>
          <w:lang w:val="en-US"/>
        </w:rPr>
        <w:t xml:space="preserve">Anti-Discrimination Bill </w:t>
      </w:r>
      <w:r w:rsidR="00E7475F">
        <w:rPr>
          <w:lang w:val="en-US"/>
        </w:rPr>
        <w:t>2024</w:t>
      </w:r>
      <w:bookmarkEnd w:id="16"/>
    </w:p>
    <w:p w14:paraId="089D30D5" w14:textId="24933C0A" w:rsidR="00EE42E0" w:rsidRDefault="00632DA0" w:rsidP="00EE42E0">
      <w:pPr>
        <w:pStyle w:val="Numberedparagraph"/>
        <w:rPr>
          <w:lang w:val="en-US"/>
        </w:rPr>
      </w:pPr>
      <w:r>
        <w:rPr>
          <w:lang w:val="en-US"/>
        </w:rPr>
        <w:t xml:space="preserve">A draft Anti-Discrimination Bill 2024 has been published for consultation. The Bill is the implementation of the </w:t>
      </w:r>
      <w:proofErr w:type="gramStart"/>
      <w:r>
        <w:rPr>
          <w:lang w:val="en-US"/>
        </w:rPr>
        <w:t>government’s</w:t>
      </w:r>
      <w:proofErr w:type="gramEnd"/>
      <w:r>
        <w:rPr>
          <w:lang w:val="en-US"/>
        </w:rPr>
        <w:t xml:space="preserve"> in principle sup</w:t>
      </w:r>
      <w:r w:rsidR="007950FC">
        <w:rPr>
          <w:lang w:val="en-US"/>
        </w:rPr>
        <w:t>p</w:t>
      </w:r>
      <w:r>
        <w:rPr>
          <w:lang w:val="en-US"/>
        </w:rPr>
        <w:t>ort</w:t>
      </w:r>
      <w:r w:rsidR="007950FC">
        <w:rPr>
          <w:lang w:val="en-US"/>
        </w:rPr>
        <w:t xml:space="preserve"> for the Commission’s review of the Anti-Discrimination Act in 2022.</w:t>
      </w:r>
      <w:r w:rsidR="007950FC">
        <w:rPr>
          <w:rStyle w:val="FootnoteReference"/>
          <w:lang w:val="en-US"/>
        </w:rPr>
        <w:footnoteReference w:id="23"/>
      </w:r>
      <w:r w:rsidR="007950FC">
        <w:rPr>
          <w:lang w:val="en-US"/>
        </w:rPr>
        <w:t xml:space="preserve"> </w:t>
      </w:r>
    </w:p>
    <w:p w14:paraId="07F8F18A" w14:textId="13AE8485" w:rsidR="00E73873" w:rsidRDefault="00F62311" w:rsidP="00EE42E0">
      <w:pPr>
        <w:pStyle w:val="Numberedparagraph"/>
        <w:rPr>
          <w:lang w:val="en-US"/>
        </w:rPr>
      </w:pPr>
      <w:r>
        <w:rPr>
          <w:lang w:val="en-US"/>
        </w:rPr>
        <w:t>The proposed amendments to Queensland’s anti-discrimination laws will have implications for schools and hopefully support intervention before an SDA is required. The draft Bill:</w:t>
      </w:r>
    </w:p>
    <w:p w14:paraId="2AE3D01A" w14:textId="5EA63C73" w:rsidR="00961A8F" w:rsidRDefault="00961A8F" w:rsidP="00E73873">
      <w:pPr>
        <w:pStyle w:val="Numberedparagraph"/>
        <w:numPr>
          <w:ilvl w:val="1"/>
          <w:numId w:val="1"/>
        </w:numPr>
        <w:rPr>
          <w:lang w:val="en-US"/>
        </w:rPr>
      </w:pPr>
      <w:r>
        <w:rPr>
          <w:lang w:val="en-US"/>
        </w:rPr>
        <w:t>Replaces the protected attribute</w:t>
      </w:r>
      <w:r w:rsidR="001431FD">
        <w:rPr>
          <w:lang w:val="en-US"/>
        </w:rPr>
        <w:t xml:space="preserve"> </w:t>
      </w:r>
      <w:r>
        <w:rPr>
          <w:lang w:val="en-US"/>
        </w:rPr>
        <w:t xml:space="preserve">‘impairment’ with ‘disability’ and updates the definition of disability to align with the definition in the </w:t>
      </w:r>
      <w:r w:rsidRPr="001431FD">
        <w:rPr>
          <w:i/>
          <w:iCs/>
          <w:lang w:val="en-US"/>
        </w:rPr>
        <w:t xml:space="preserve">Disability Discrimination Act </w:t>
      </w:r>
      <w:r w:rsidR="001431FD" w:rsidRPr="001431FD">
        <w:rPr>
          <w:i/>
          <w:iCs/>
          <w:lang w:val="en-US"/>
        </w:rPr>
        <w:t>1992</w:t>
      </w:r>
      <w:r w:rsidR="001431FD">
        <w:rPr>
          <w:lang w:val="en-US"/>
        </w:rPr>
        <w:t xml:space="preserve"> (Cth) with some language updates. (</w:t>
      </w:r>
      <w:r w:rsidR="009B45AB">
        <w:rPr>
          <w:lang w:val="en-US"/>
        </w:rPr>
        <w:t>s</w:t>
      </w:r>
      <w:r w:rsidR="001431FD">
        <w:rPr>
          <w:lang w:val="en-US"/>
        </w:rPr>
        <w:t>chedule 1)</w:t>
      </w:r>
    </w:p>
    <w:p w14:paraId="71FD0543" w14:textId="3C20AF23" w:rsidR="002D4585" w:rsidRDefault="002D4585" w:rsidP="00E73873">
      <w:pPr>
        <w:pStyle w:val="Numberedparagraph"/>
        <w:numPr>
          <w:ilvl w:val="1"/>
          <w:numId w:val="1"/>
        </w:numPr>
        <w:rPr>
          <w:lang w:val="en-US"/>
        </w:rPr>
      </w:pPr>
      <w:r>
        <w:rPr>
          <w:lang w:val="en-US"/>
        </w:rPr>
        <w:t xml:space="preserve">Introduces </w:t>
      </w:r>
      <w:r w:rsidR="00E73873">
        <w:rPr>
          <w:lang w:val="en-US"/>
        </w:rPr>
        <w:t>a</w:t>
      </w:r>
      <w:r>
        <w:rPr>
          <w:lang w:val="en-US"/>
        </w:rPr>
        <w:t xml:space="preserve"> general duty on duty holders to take reasonable and proportionate measures to eliminate discrimination as far as possible. The Commission must issue guidelines about how persons may comply with the general duty and may review compliance with the general duty</w:t>
      </w:r>
      <w:r w:rsidR="001431FD">
        <w:rPr>
          <w:lang w:val="en-US"/>
        </w:rPr>
        <w:t>.</w:t>
      </w:r>
      <w:r>
        <w:rPr>
          <w:lang w:val="en-US"/>
        </w:rPr>
        <w:t xml:space="preserve"> (</w:t>
      </w:r>
      <w:r w:rsidR="009B45AB">
        <w:rPr>
          <w:lang w:val="en-US"/>
        </w:rPr>
        <w:t>c</w:t>
      </w:r>
      <w:r>
        <w:rPr>
          <w:lang w:val="en-US"/>
        </w:rPr>
        <w:t>lauses 19, 146 and 149)</w:t>
      </w:r>
    </w:p>
    <w:p w14:paraId="0EEBE005" w14:textId="098B67F7" w:rsidR="002D4585" w:rsidRDefault="002D4585" w:rsidP="00E73873">
      <w:pPr>
        <w:pStyle w:val="Numberedparagraph"/>
        <w:numPr>
          <w:ilvl w:val="1"/>
          <w:numId w:val="1"/>
        </w:numPr>
        <w:rPr>
          <w:lang w:val="en-US"/>
        </w:rPr>
      </w:pPr>
      <w:r>
        <w:rPr>
          <w:lang w:val="en-US"/>
        </w:rPr>
        <w:t xml:space="preserve">Makes explicit an enforceable obligation to make reasonable accommodations for people with </w:t>
      </w:r>
      <w:proofErr w:type="gramStart"/>
      <w:r>
        <w:rPr>
          <w:lang w:val="en-US"/>
        </w:rPr>
        <w:t>disability, unless</w:t>
      </w:r>
      <w:proofErr w:type="gramEnd"/>
      <w:r>
        <w:rPr>
          <w:lang w:val="en-US"/>
        </w:rPr>
        <w:t xml:space="preserve"> the accommodation would impose unjustifiable hardship. (</w:t>
      </w:r>
      <w:r w:rsidR="009B45AB">
        <w:rPr>
          <w:lang w:val="en-US"/>
        </w:rPr>
        <w:t>c</w:t>
      </w:r>
      <w:r>
        <w:rPr>
          <w:lang w:val="en-US"/>
        </w:rPr>
        <w:t>lauses 12, 14 and 15)</w:t>
      </w:r>
    </w:p>
    <w:p w14:paraId="190C70F5" w14:textId="360E92DC" w:rsidR="002D4585" w:rsidRDefault="00F62311" w:rsidP="00E73873">
      <w:pPr>
        <w:pStyle w:val="Numberedparagraph"/>
        <w:numPr>
          <w:ilvl w:val="1"/>
          <w:numId w:val="1"/>
        </w:numPr>
        <w:rPr>
          <w:lang w:val="en-US"/>
        </w:rPr>
      </w:pPr>
      <w:r>
        <w:rPr>
          <w:lang w:val="en-US"/>
        </w:rPr>
        <w:t xml:space="preserve">Expands the list of protected attributes to </w:t>
      </w:r>
      <w:proofErr w:type="gramStart"/>
      <w:r>
        <w:rPr>
          <w:lang w:val="en-US"/>
        </w:rPr>
        <w:t>include:</w:t>
      </w:r>
      <w:proofErr w:type="gramEnd"/>
      <w:r>
        <w:rPr>
          <w:lang w:val="en-US"/>
        </w:rPr>
        <w:t xml:space="preserve"> homelessness, irrelevant criminal record, subjection to domestic or family violence. (clause 10) This may have relevance to children in out of home care. </w:t>
      </w:r>
    </w:p>
    <w:p w14:paraId="396C7CDA" w14:textId="02E107C9" w:rsidR="00797AC2" w:rsidRPr="00797AC2" w:rsidRDefault="00797AC2" w:rsidP="00797AC2">
      <w:pPr>
        <w:pStyle w:val="Heading3"/>
        <w:rPr>
          <w:lang w:val="en-US"/>
        </w:rPr>
      </w:pPr>
      <w:bookmarkStart w:id="17" w:name="_Toc162451268"/>
      <w:r w:rsidRPr="00797AC2">
        <w:rPr>
          <w:lang w:val="en-US"/>
        </w:rPr>
        <w:t>Royal Commission into Violence, Abuse, Neglect and Exploitation of People with Disability</w:t>
      </w:r>
      <w:bookmarkEnd w:id="17"/>
    </w:p>
    <w:p w14:paraId="55DEA5F2" w14:textId="6824E4AD" w:rsidR="00797AC2" w:rsidRPr="00797AC2" w:rsidRDefault="00797AC2" w:rsidP="00797AC2">
      <w:pPr>
        <w:pStyle w:val="Numberedparagraph"/>
        <w:rPr>
          <w:lang w:val="en-US"/>
        </w:rPr>
      </w:pPr>
      <w:r w:rsidRPr="00797AC2">
        <w:rPr>
          <w:lang w:val="en-US"/>
        </w:rPr>
        <w:t>The final report form the Disability Royal Commission made 222 recommendations on how to ensure a more inclusive and just society for people with disability.</w:t>
      </w:r>
      <w:r w:rsidR="001431FD">
        <w:rPr>
          <w:rStyle w:val="FootnoteReference"/>
          <w:lang w:val="en-US"/>
        </w:rPr>
        <w:footnoteReference w:id="24"/>
      </w:r>
    </w:p>
    <w:p w14:paraId="61BFB2E8" w14:textId="26234209" w:rsidR="00797AC2" w:rsidRDefault="00797AC2" w:rsidP="00797AC2">
      <w:pPr>
        <w:pStyle w:val="Numberedparagraph"/>
        <w:rPr>
          <w:lang w:val="en-US"/>
        </w:rPr>
      </w:pPr>
      <w:r>
        <w:rPr>
          <w:lang w:val="en-US"/>
        </w:rPr>
        <w:t>Recommendations for states and territories relating to education are contained in Volume 7 and</w:t>
      </w:r>
      <w:r w:rsidR="0040422C">
        <w:rPr>
          <w:lang w:val="en-US"/>
        </w:rPr>
        <w:t xml:space="preserve"> </w:t>
      </w:r>
      <w:r>
        <w:rPr>
          <w:lang w:val="en-US"/>
        </w:rPr>
        <w:t>include:</w:t>
      </w:r>
    </w:p>
    <w:p w14:paraId="35BDD482" w14:textId="3708F8C2" w:rsidR="0040422C" w:rsidRDefault="0040422C" w:rsidP="00797AC2">
      <w:pPr>
        <w:pStyle w:val="Numberedparagraph"/>
        <w:numPr>
          <w:ilvl w:val="1"/>
          <w:numId w:val="1"/>
        </w:numPr>
        <w:rPr>
          <w:lang w:val="en-US"/>
        </w:rPr>
      </w:pPr>
      <w:r>
        <w:rPr>
          <w:lang w:val="en-US"/>
        </w:rPr>
        <w:lastRenderedPageBreak/>
        <w:t xml:space="preserve">Recommendation 7.2 Prevent the inappropriate use of exclusionary discipline against students with </w:t>
      </w:r>
      <w:r w:rsidR="00CF1B17">
        <w:rPr>
          <w:lang w:val="en-US"/>
        </w:rPr>
        <w:t>disability, including</w:t>
      </w:r>
      <w:r w:rsidR="006736B3">
        <w:rPr>
          <w:lang w:val="en-US"/>
        </w:rPr>
        <w:t xml:space="preserve"> by:</w:t>
      </w:r>
    </w:p>
    <w:p w14:paraId="44C27389" w14:textId="4A490C95" w:rsidR="0040422C" w:rsidRDefault="001431FD" w:rsidP="0040422C">
      <w:pPr>
        <w:pStyle w:val="Numberedparagraph"/>
        <w:numPr>
          <w:ilvl w:val="2"/>
          <w:numId w:val="1"/>
        </w:numPr>
        <w:rPr>
          <w:lang w:val="en-US"/>
        </w:rPr>
      </w:pPr>
      <w:r w:rsidRPr="4E12C6BF">
        <w:rPr>
          <w:lang w:val="en-US"/>
        </w:rPr>
        <w:t>a</w:t>
      </w:r>
      <w:r w:rsidR="0040422C" w:rsidRPr="4E12C6BF">
        <w:rPr>
          <w:lang w:val="en-US"/>
        </w:rPr>
        <w:t>void</w:t>
      </w:r>
      <w:r w:rsidR="00CF1B17" w:rsidRPr="4E12C6BF">
        <w:rPr>
          <w:lang w:val="en-US"/>
        </w:rPr>
        <w:t>ing</w:t>
      </w:r>
      <w:r w:rsidR="0040422C" w:rsidRPr="4E12C6BF">
        <w:rPr>
          <w:lang w:val="en-US"/>
        </w:rPr>
        <w:t xml:space="preserve"> exclusionary discipline o</w:t>
      </w:r>
      <w:r w:rsidR="00E9297C" w:rsidRPr="4E12C6BF">
        <w:rPr>
          <w:lang w:val="en-US"/>
        </w:rPr>
        <w:t>f</w:t>
      </w:r>
      <w:r w:rsidR="0040422C" w:rsidRPr="4E12C6BF">
        <w:rPr>
          <w:lang w:val="en-US"/>
        </w:rPr>
        <w:t xml:space="preserve"> students with disability except as a last resort to avert the risk of serious harm to the student, other students or </w:t>
      </w:r>
      <w:proofErr w:type="gramStart"/>
      <w:r w:rsidR="0040422C" w:rsidRPr="4E12C6BF">
        <w:rPr>
          <w:lang w:val="en-US"/>
        </w:rPr>
        <w:t>staff;</w:t>
      </w:r>
      <w:proofErr w:type="gramEnd"/>
    </w:p>
    <w:p w14:paraId="3B8B04B1" w14:textId="221D9709" w:rsidR="0040422C" w:rsidRDefault="001431FD" w:rsidP="0040422C">
      <w:pPr>
        <w:pStyle w:val="Numberedparagraph"/>
        <w:numPr>
          <w:ilvl w:val="2"/>
          <w:numId w:val="1"/>
        </w:numPr>
        <w:rPr>
          <w:lang w:val="en-US"/>
        </w:rPr>
      </w:pPr>
      <w:r>
        <w:rPr>
          <w:lang w:val="en-US"/>
        </w:rPr>
        <w:t>c</w:t>
      </w:r>
      <w:r w:rsidR="0040422C">
        <w:rPr>
          <w:lang w:val="en-US"/>
        </w:rPr>
        <w:t>onsider</w:t>
      </w:r>
      <w:r w:rsidR="00CF1B17">
        <w:rPr>
          <w:lang w:val="en-US"/>
        </w:rPr>
        <w:t>ing</w:t>
      </w:r>
      <w:r w:rsidR="0040422C">
        <w:rPr>
          <w:lang w:val="en-US"/>
        </w:rPr>
        <w:t xml:space="preserve"> the particular effects of exclusionary discipline for young </w:t>
      </w:r>
      <w:proofErr w:type="gramStart"/>
      <w:r w:rsidR="0040422C">
        <w:rPr>
          <w:lang w:val="en-US"/>
        </w:rPr>
        <w:t>children;</w:t>
      </w:r>
      <w:proofErr w:type="gramEnd"/>
    </w:p>
    <w:p w14:paraId="6884FF7A" w14:textId="51A82634" w:rsidR="0040422C" w:rsidRDefault="001431FD" w:rsidP="0040422C">
      <w:pPr>
        <w:pStyle w:val="Numberedparagraph"/>
        <w:numPr>
          <w:ilvl w:val="2"/>
          <w:numId w:val="1"/>
        </w:numPr>
        <w:rPr>
          <w:lang w:val="en-US"/>
        </w:rPr>
      </w:pPr>
      <w:r>
        <w:rPr>
          <w:lang w:val="en-US"/>
        </w:rPr>
        <w:t>i</w:t>
      </w:r>
      <w:r w:rsidR="0040422C">
        <w:rPr>
          <w:lang w:val="en-US"/>
        </w:rPr>
        <w:t>nclud</w:t>
      </w:r>
      <w:r w:rsidR="00CF1B17">
        <w:rPr>
          <w:lang w:val="en-US"/>
        </w:rPr>
        <w:t>ing</w:t>
      </w:r>
      <w:r w:rsidR="0040422C">
        <w:rPr>
          <w:lang w:val="en-US"/>
        </w:rPr>
        <w:t xml:space="preserve"> a duty for principles to report repeated use of exclusionary discipline involving a student with disability to an escalation point for independent case </w:t>
      </w:r>
      <w:proofErr w:type="gramStart"/>
      <w:r w:rsidR="0040422C">
        <w:rPr>
          <w:lang w:val="en-US"/>
        </w:rPr>
        <w:t>management;</w:t>
      </w:r>
      <w:proofErr w:type="gramEnd"/>
      <w:r w:rsidR="0040422C">
        <w:rPr>
          <w:lang w:val="en-US"/>
        </w:rPr>
        <w:t xml:space="preserve"> </w:t>
      </w:r>
    </w:p>
    <w:p w14:paraId="60ADABE4" w14:textId="1C1FEC9A" w:rsidR="0040422C" w:rsidRDefault="001431FD" w:rsidP="0040422C">
      <w:pPr>
        <w:pStyle w:val="Numberedparagraph"/>
        <w:numPr>
          <w:ilvl w:val="2"/>
          <w:numId w:val="1"/>
        </w:numPr>
        <w:rPr>
          <w:lang w:val="en-US"/>
        </w:rPr>
      </w:pPr>
      <w:r>
        <w:rPr>
          <w:lang w:val="en-US"/>
        </w:rPr>
        <w:t>i</w:t>
      </w:r>
      <w:r w:rsidR="0040422C">
        <w:rPr>
          <w:lang w:val="en-US"/>
        </w:rPr>
        <w:t>nclud</w:t>
      </w:r>
      <w:r w:rsidR="00CF1B17">
        <w:rPr>
          <w:lang w:val="en-US"/>
        </w:rPr>
        <w:t>ing</w:t>
      </w:r>
      <w:r w:rsidR="0040422C">
        <w:rPr>
          <w:lang w:val="en-US"/>
        </w:rPr>
        <w:t xml:space="preserve"> a robust review or appeals </w:t>
      </w:r>
      <w:proofErr w:type="gramStart"/>
      <w:r w:rsidR="0040422C">
        <w:rPr>
          <w:lang w:val="en-US"/>
        </w:rPr>
        <w:t>process;</w:t>
      </w:r>
      <w:proofErr w:type="gramEnd"/>
    </w:p>
    <w:p w14:paraId="4B79EE41" w14:textId="01A1F005" w:rsidR="0040422C" w:rsidRDefault="001431FD" w:rsidP="0040422C">
      <w:pPr>
        <w:pStyle w:val="Numberedparagraph"/>
        <w:numPr>
          <w:ilvl w:val="2"/>
          <w:numId w:val="1"/>
        </w:numPr>
        <w:rPr>
          <w:lang w:val="en-US"/>
        </w:rPr>
      </w:pPr>
      <w:r>
        <w:rPr>
          <w:lang w:val="en-US"/>
        </w:rPr>
        <w:t>s</w:t>
      </w:r>
      <w:r w:rsidR="0040422C">
        <w:rPr>
          <w:lang w:val="en-US"/>
        </w:rPr>
        <w:t>upport</w:t>
      </w:r>
      <w:r w:rsidR="00CF1B17">
        <w:rPr>
          <w:lang w:val="en-US"/>
        </w:rPr>
        <w:t>ing</w:t>
      </w:r>
      <w:r w:rsidR="0040422C">
        <w:rPr>
          <w:lang w:val="en-US"/>
        </w:rPr>
        <w:t xml:space="preserve"> students to re-engage with education post exclusion.</w:t>
      </w:r>
    </w:p>
    <w:p w14:paraId="5694A61A" w14:textId="58E1FADE" w:rsidR="0040422C" w:rsidRDefault="0040422C">
      <w:pPr>
        <w:pStyle w:val="Numberedparagraph"/>
        <w:numPr>
          <w:ilvl w:val="1"/>
          <w:numId w:val="1"/>
        </w:numPr>
        <w:rPr>
          <w:lang w:val="en-US"/>
        </w:rPr>
      </w:pPr>
      <w:r w:rsidRPr="0040422C">
        <w:rPr>
          <w:lang w:val="en-US"/>
        </w:rPr>
        <w:t>Recommendation 7.3 Improve policies and procedures on the provision of reasonable adjustments to students with disability</w:t>
      </w:r>
      <w:r w:rsidR="00CF1B17">
        <w:rPr>
          <w:lang w:val="en-US"/>
        </w:rPr>
        <w:t>.</w:t>
      </w:r>
    </w:p>
    <w:p w14:paraId="11071CA1" w14:textId="56E34914" w:rsidR="00CF1B17" w:rsidRDefault="00CF1B17">
      <w:pPr>
        <w:pStyle w:val="Numberedparagraph"/>
        <w:numPr>
          <w:ilvl w:val="1"/>
          <w:numId w:val="1"/>
        </w:numPr>
        <w:rPr>
          <w:lang w:val="en-US"/>
        </w:rPr>
      </w:pPr>
      <w:r>
        <w:rPr>
          <w:lang w:val="en-US"/>
        </w:rPr>
        <w:t xml:space="preserve">Recommendation 7.6: Improve communication and relationships between schools, </w:t>
      </w:r>
      <w:proofErr w:type="gramStart"/>
      <w:r>
        <w:rPr>
          <w:lang w:val="en-US"/>
        </w:rPr>
        <w:t>students</w:t>
      </w:r>
      <w:proofErr w:type="gramEnd"/>
      <w:r>
        <w:rPr>
          <w:lang w:val="en-US"/>
        </w:rPr>
        <w:t xml:space="preserve"> and their families</w:t>
      </w:r>
      <w:r w:rsidR="001431FD">
        <w:rPr>
          <w:lang w:val="en-US"/>
        </w:rPr>
        <w:t>.</w:t>
      </w:r>
    </w:p>
    <w:p w14:paraId="2F69FC60" w14:textId="484AAD7F" w:rsidR="00CF1B17" w:rsidRDefault="00CF1B17">
      <w:pPr>
        <w:pStyle w:val="Numberedparagraph"/>
        <w:numPr>
          <w:ilvl w:val="1"/>
          <w:numId w:val="1"/>
        </w:numPr>
        <w:rPr>
          <w:lang w:val="en-US"/>
        </w:rPr>
      </w:pPr>
      <w:r>
        <w:rPr>
          <w:lang w:val="en-US"/>
        </w:rPr>
        <w:t xml:space="preserve">Recommendation 7.8: Improve workforce capabilities, </w:t>
      </w:r>
      <w:proofErr w:type="gramStart"/>
      <w:r>
        <w:rPr>
          <w:lang w:val="en-US"/>
        </w:rPr>
        <w:t>expertise</w:t>
      </w:r>
      <w:proofErr w:type="gramEnd"/>
      <w:r>
        <w:rPr>
          <w:lang w:val="en-US"/>
        </w:rPr>
        <w:t xml:space="preserve"> and development in relation to inclusive education</w:t>
      </w:r>
      <w:r w:rsidR="001431FD">
        <w:rPr>
          <w:lang w:val="en-US"/>
        </w:rPr>
        <w:t>.</w:t>
      </w:r>
    </w:p>
    <w:p w14:paraId="7BBE926D" w14:textId="26F56C9A" w:rsidR="00CF1B17" w:rsidRDefault="00CF1B17">
      <w:pPr>
        <w:pStyle w:val="Numberedparagraph"/>
        <w:numPr>
          <w:ilvl w:val="1"/>
          <w:numId w:val="1"/>
        </w:numPr>
        <w:rPr>
          <w:lang w:val="en-US"/>
        </w:rPr>
      </w:pPr>
      <w:r>
        <w:rPr>
          <w:lang w:val="en-US"/>
        </w:rPr>
        <w:t xml:space="preserve">Recommendation 7.9: Improve data collection, monitoring and reporting </w:t>
      </w:r>
      <w:r w:rsidR="006736B3">
        <w:rPr>
          <w:lang w:val="en-US"/>
        </w:rPr>
        <w:t xml:space="preserve">on the experience, </w:t>
      </w:r>
      <w:proofErr w:type="gramStart"/>
      <w:r w:rsidR="006736B3">
        <w:rPr>
          <w:lang w:val="en-US"/>
        </w:rPr>
        <w:t>outcomes</w:t>
      </w:r>
      <w:proofErr w:type="gramEnd"/>
      <w:r w:rsidR="006736B3">
        <w:rPr>
          <w:lang w:val="en-US"/>
        </w:rPr>
        <w:t xml:space="preserve"> and progress in addressing barriers for students with disability</w:t>
      </w:r>
      <w:r w:rsidR="001431FD">
        <w:rPr>
          <w:lang w:val="en-US"/>
        </w:rPr>
        <w:t>.</w:t>
      </w:r>
    </w:p>
    <w:p w14:paraId="0E348A73" w14:textId="6179B79F" w:rsidR="006736B3" w:rsidRPr="0040422C" w:rsidRDefault="006736B3">
      <w:pPr>
        <w:pStyle w:val="Numberedparagraph"/>
        <w:numPr>
          <w:ilvl w:val="1"/>
          <w:numId w:val="1"/>
        </w:numPr>
        <w:rPr>
          <w:lang w:val="en-US"/>
        </w:rPr>
      </w:pPr>
      <w:r>
        <w:rPr>
          <w:lang w:val="en-US"/>
        </w:rPr>
        <w:t xml:space="preserve">Recommendation 7.10: Expand existing complaint management offices that operate within educational authorities at arm’s length from schools to help resolve complaints about schools, specifically complaints concerning the treatment of students with disability. </w:t>
      </w:r>
    </w:p>
    <w:p w14:paraId="56465246" w14:textId="518DF35C" w:rsidR="00E7475F" w:rsidRDefault="00E7475F" w:rsidP="00E7475F">
      <w:pPr>
        <w:pStyle w:val="Heading1"/>
        <w:rPr>
          <w:lang w:val="en-US"/>
        </w:rPr>
      </w:pPr>
      <w:bookmarkStart w:id="18" w:name="_Toc162451269"/>
      <w:r>
        <w:rPr>
          <w:lang w:val="en-US"/>
        </w:rPr>
        <w:t>Submissions</w:t>
      </w:r>
      <w:bookmarkEnd w:id="18"/>
    </w:p>
    <w:p w14:paraId="52931657" w14:textId="6FF7CAB0" w:rsidR="00F62311" w:rsidRPr="00F62311" w:rsidRDefault="00F62311" w:rsidP="00F62311">
      <w:pPr>
        <w:pStyle w:val="Numberedparagraph"/>
        <w:rPr>
          <w:lang w:val="en-US"/>
        </w:rPr>
      </w:pPr>
      <w:r>
        <w:rPr>
          <w:lang w:val="en-US"/>
        </w:rPr>
        <w:t>Having regard to the above principles and other considerations, the Commission makes the following submissions on the Bill</w:t>
      </w:r>
      <w:r w:rsidR="00D75D3E">
        <w:rPr>
          <w:lang w:val="en-US"/>
        </w:rPr>
        <w:t xml:space="preserve"> (in the order they appear in the Bill)</w:t>
      </w:r>
      <w:r>
        <w:rPr>
          <w:lang w:val="en-US"/>
        </w:rPr>
        <w:t>.</w:t>
      </w:r>
    </w:p>
    <w:p w14:paraId="4DBA2CB7" w14:textId="117FCAFD" w:rsidR="004F1B21" w:rsidRDefault="004F1B21" w:rsidP="00C44098">
      <w:pPr>
        <w:pStyle w:val="Heading2"/>
        <w:rPr>
          <w:lang w:val="en-US"/>
        </w:rPr>
      </w:pPr>
      <w:bookmarkStart w:id="19" w:name="_Toc162451270"/>
      <w:r>
        <w:rPr>
          <w:lang w:val="en-US"/>
        </w:rPr>
        <w:t xml:space="preserve">Education continues while excluded or </w:t>
      </w:r>
      <w:r w:rsidR="00A857B1">
        <w:rPr>
          <w:lang w:val="en-US"/>
        </w:rPr>
        <w:t xml:space="preserve">refused enrolment </w:t>
      </w:r>
      <w:r>
        <w:rPr>
          <w:lang w:val="en-US"/>
        </w:rPr>
        <w:t xml:space="preserve">– clause </w:t>
      </w:r>
      <w:proofErr w:type="gramStart"/>
      <w:r>
        <w:rPr>
          <w:lang w:val="en-US"/>
        </w:rPr>
        <w:t>54</w:t>
      </w:r>
      <w:bookmarkEnd w:id="19"/>
      <w:proofErr w:type="gramEnd"/>
    </w:p>
    <w:p w14:paraId="7A52544D" w14:textId="55118BF9" w:rsidR="004F1B21" w:rsidRDefault="004F1B21" w:rsidP="004F1B21">
      <w:pPr>
        <w:pStyle w:val="Numberedparagraph"/>
        <w:rPr>
          <w:lang w:val="en-US"/>
        </w:rPr>
      </w:pPr>
      <w:r>
        <w:rPr>
          <w:lang w:val="en-US"/>
        </w:rPr>
        <w:t xml:space="preserve">Under clause 54, the </w:t>
      </w:r>
      <w:r w:rsidR="001431FD">
        <w:rPr>
          <w:lang w:val="en-US"/>
        </w:rPr>
        <w:t xml:space="preserve">Chief Executive of the </w:t>
      </w:r>
      <w:r>
        <w:rPr>
          <w:lang w:val="en-US"/>
        </w:rPr>
        <w:t>Department</w:t>
      </w:r>
      <w:r w:rsidR="001431FD">
        <w:rPr>
          <w:lang w:val="en-US"/>
        </w:rPr>
        <w:t xml:space="preserve"> of Education</w:t>
      </w:r>
      <w:r>
        <w:rPr>
          <w:lang w:val="en-US"/>
        </w:rPr>
        <w:t xml:space="preserve"> </w:t>
      </w:r>
      <w:r w:rsidR="001431FD">
        <w:rPr>
          <w:lang w:val="en-US"/>
        </w:rPr>
        <w:t>(</w:t>
      </w:r>
      <w:r w:rsidR="001431FD" w:rsidRPr="001431FD">
        <w:rPr>
          <w:b/>
          <w:bCs/>
          <w:lang w:val="en-US"/>
        </w:rPr>
        <w:t>the Department</w:t>
      </w:r>
      <w:r w:rsidR="001431FD">
        <w:rPr>
          <w:lang w:val="en-US"/>
        </w:rPr>
        <w:t xml:space="preserve">) </w:t>
      </w:r>
      <w:r>
        <w:rPr>
          <w:lang w:val="en-US"/>
        </w:rPr>
        <w:t>is under an obligation to take reasonable steps to arrange for a prospective students access to an education program while pending a decision on enrolment. This obligation ends when a decision is made on the enrolment decision, including if enrolment is refused.</w:t>
      </w:r>
    </w:p>
    <w:p w14:paraId="4378F66C" w14:textId="52408CB3" w:rsidR="004F1B21" w:rsidRDefault="004F1B21" w:rsidP="004F1B21">
      <w:pPr>
        <w:pStyle w:val="Numberedparagraph"/>
        <w:rPr>
          <w:lang w:val="en-US"/>
        </w:rPr>
      </w:pPr>
      <w:r>
        <w:rPr>
          <w:lang w:val="en-US"/>
        </w:rPr>
        <w:lastRenderedPageBreak/>
        <w:t>Under the existing provisions of the EGP Act, a principal (or the Department) who suspends a student must similarly take reasonable steps to allow the student to continue the student’s education during suspension.</w:t>
      </w:r>
      <w:r>
        <w:rPr>
          <w:rStyle w:val="FootnoteReference"/>
          <w:lang w:val="en-US"/>
        </w:rPr>
        <w:footnoteReference w:id="25"/>
      </w:r>
      <w:r>
        <w:rPr>
          <w:lang w:val="en-US"/>
        </w:rPr>
        <w:t xml:space="preserve"> Th</w:t>
      </w:r>
      <w:r w:rsidR="001431FD">
        <w:rPr>
          <w:lang w:val="en-US"/>
        </w:rPr>
        <w:t>e</w:t>
      </w:r>
      <w:r>
        <w:rPr>
          <w:lang w:val="en-US"/>
        </w:rPr>
        <w:t xml:space="preserve"> obligation only extends to exclusion if the student is excluded from all schools by the Department.</w:t>
      </w:r>
      <w:r>
        <w:rPr>
          <w:rStyle w:val="FootnoteReference"/>
          <w:lang w:val="en-US"/>
        </w:rPr>
        <w:footnoteReference w:id="26"/>
      </w:r>
    </w:p>
    <w:p w14:paraId="12926F2B" w14:textId="1A0B37CD" w:rsidR="004F1B21" w:rsidRDefault="00D17E6F" w:rsidP="004F1B21">
      <w:pPr>
        <w:pStyle w:val="Numberedparagraph"/>
        <w:rPr>
          <w:lang w:val="en-US"/>
        </w:rPr>
      </w:pPr>
      <w:r>
        <w:rPr>
          <w:lang w:val="en-US"/>
        </w:rPr>
        <w:t xml:space="preserve">There is potentially </w:t>
      </w:r>
      <w:r w:rsidR="004F1B21" w:rsidRPr="4E12C6BF">
        <w:rPr>
          <w:lang w:val="en-US"/>
        </w:rPr>
        <w:t>still a gap in the provision of education for students who have been refused enrolment and</w:t>
      </w:r>
      <w:r w:rsidR="001431FD" w:rsidRPr="4E12C6BF">
        <w:rPr>
          <w:lang w:val="en-US"/>
        </w:rPr>
        <w:t>/or</w:t>
      </w:r>
      <w:r w:rsidR="004F1B21" w:rsidRPr="4E12C6BF">
        <w:rPr>
          <w:lang w:val="en-US"/>
        </w:rPr>
        <w:t xml:space="preserve"> excluded from </w:t>
      </w:r>
      <w:proofErr w:type="gramStart"/>
      <w:r w:rsidR="004F1B21" w:rsidRPr="4E12C6BF">
        <w:rPr>
          <w:lang w:val="en-US"/>
        </w:rPr>
        <w:t>school, but</w:t>
      </w:r>
      <w:proofErr w:type="gramEnd"/>
      <w:r w:rsidR="004F1B21" w:rsidRPr="4E12C6BF">
        <w:rPr>
          <w:lang w:val="en-US"/>
        </w:rPr>
        <w:t xml:space="preserve"> are yet to secure alternative enrolment</w:t>
      </w:r>
      <w:r w:rsidR="001431FD" w:rsidRPr="4E12C6BF">
        <w:rPr>
          <w:lang w:val="en-US"/>
        </w:rPr>
        <w:t xml:space="preserve"> or schooling</w:t>
      </w:r>
      <w:r w:rsidR="004F1B21" w:rsidRPr="4E12C6BF">
        <w:rPr>
          <w:lang w:val="en-US"/>
        </w:rPr>
        <w:t xml:space="preserve">. The Commission submits the </w:t>
      </w:r>
      <w:r>
        <w:rPr>
          <w:lang w:val="en-US"/>
        </w:rPr>
        <w:t xml:space="preserve">EGP </w:t>
      </w:r>
      <w:r w:rsidR="004F1B21" w:rsidRPr="4E12C6BF">
        <w:rPr>
          <w:lang w:val="en-US"/>
        </w:rPr>
        <w:t>Act ensure that student</w:t>
      </w:r>
      <w:r w:rsidR="00706217" w:rsidRPr="4E12C6BF">
        <w:rPr>
          <w:lang w:val="en-US"/>
        </w:rPr>
        <w:t>s</w:t>
      </w:r>
      <w:r w:rsidR="004F1B21" w:rsidRPr="4E12C6BF">
        <w:rPr>
          <w:lang w:val="en-US"/>
        </w:rPr>
        <w:t xml:space="preserve"> </w:t>
      </w:r>
      <w:proofErr w:type="gramStart"/>
      <w:r w:rsidR="004F1B21" w:rsidRPr="4E12C6BF">
        <w:rPr>
          <w:lang w:val="en-US"/>
        </w:rPr>
        <w:t>of</w:t>
      </w:r>
      <w:proofErr w:type="gramEnd"/>
      <w:r w:rsidR="004F1B21" w:rsidRPr="4E12C6BF">
        <w:rPr>
          <w:lang w:val="en-US"/>
        </w:rPr>
        <w:t xml:space="preserve"> compulsory school age have access to an educational program at all times.</w:t>
      </w:r>
    </w:p>
    <w:p w14:paraId="346A2F02" w14:textId="60C514D1" w:rsidR="00E7475F" w:rsidRDefault="00A857B1" w:rsidP="00A857B1">
      <w:pPr>
        <w:pStyle w:val="Heading2"/>
        <w:rPr>
          <w:lang w:val="en-US"/>
        </w:rPr>
      </w:pPr>
      <w:bookmarkStart w:id="20" w:name="_Toc162451271"/>
      <w:r>
        <w:rPr>
          <w:lang w:val="en-US"/>
        </w:rPr>
        <w:t>P</w:t>
      </w:r>
      <w:r w:rsidR="00E7475F">
        <w:rPr>
          <w:lang w:val="en-US"/>
        </w:rPr>
        <w:t xml:space="preserve">reparatory students </w:t>
      </w:r>
      <w:r>
        <w:rPr>
          <w:lang w:val="en-US"/>
        </w:rPr>
        <w:t xml:space="preserve">excepted </w:t>
      </w:r>
      <w:r w:rsidR="00E7475F">
        <w:rPr>
          <w:lang w:val="en-US"/>
        </w:rPr>
        <w:t xml:space="preserve">from suspension and exclusion </w:t>
      </w:r>
      <w:r w:rsidR="00DD6390">
        <w:rPr>
          <w:lang w:val="en-US"/>
        </w:rPr>
        <w:t>decisions</w:t>
      </w:r>
      <w:r w:rsidR="004F1B21">
        <w:rPr>
          <w:lang w:val="en-US"/>
        </w:rPr>
        <w:t xml:space="preserve"> – clause </w:t>
      </w:r>
      <w:proofErr w:type="gramStart"/>
      <w:r w:rsidR="004F1B21">
        <w:rPr>
          <w:lang w:val="en-US"/>
        </w:rPr>
        <w:t>75</w:t>
      </w:r>
      <w:bookmarkEnd w:id="20"/>
      <w:proofErr w:type="gramEnd"/>
    </w:p>
    <w:p w14:paraId="352ED9EF" w14:textId="1499A257" w:rsidR="00F62311" w:rsidRDefault="00F62311" w:rsidP="00632DA0">
      <w:pPr>
        <w:pStyle w:val="Numberedparagraph"/>
        <w:rPr>
          <w:lang w:val="en-US"/>
        </w:rPr>
      </w:pPr>
      <w:r>
        <w:rPr>
          <w:lang w:val="en-US"/>
        </w:rPr>
        <w:t>Given the significant detrimental impacts suspension and exclusion from school can have on long term life outcomes, the Commission recommends that preparatory students be excluded from the SDA regime.</w:t>
      </w:r>
    </w:p>
    <w:p w14:paraId="465C8F45" w14:textId="4BE5E711" w:rsidR="003E572A" w:rsidRDefault="00F62311" w:rsidP="00632DA0">
      <w:pPr>
        <w:pStyle w:val="Numberedparagraph"/>
        <w:rPr>
          <w:lang w:val="en-US"/>
        </w:rPr>
      </w:pPr>
      <w:r w:rsidRPr="4E12C6BF">
        <w:rPr>
          <w:lang w:val="en-US"/>
        </w:rPr>
        <w:t xml:space="preserve">The statistics </w:t>
      </w:r>
      <w:r w:rsidR="00883B33" w:rsidRPr="4E12C6BF">
        <w:rPr>
          <w:lang w:val="en-US"/>
        </w:rPr>
        <w:t xml:space="preserve">for 2021 to 2022 </w:t>
      </w:r>
      <w:r w:rsidRPr="4E12C6BF">
        <w:rPr>
          <w:lang w:val="en-US"/>
        </w:rPr>
        <w:t>outlined in Table 1</w:t>
      </w:r>
      <w:r w:rsidR="00D17E6F">
        <w:rPr>
          <w:lang w:val="en-US"/>
        </w:rPr>
        <w:t xml:space="preserve"> above</w:t>
      </w:r>
      <w:r w:rsidRPr="4E12C6BF">
        <w:rPr>
          <w:lang w:val="en-US"/>
        </w:rPr>
        <w:t xml:space="preserve"> demonstrate that the number of suspensions </w:t>
      </w:r>
      <w:r w:rsidR="00883B33" w:rsidRPr="4E12C6BF">
        <w:rPr>
          <w:lang w:val="en-US"/>
        </w:rPr>
        <w:t>can be reduced dramatically for prep</w:t>
      </w:r>
      <w:r w:rsidR="002F473A" w:rsidRPr="4E12C6BF">
        <w:rPr>
          <w:lang w:val="en-US"/>
        </w:rPr>
        <w:t>aratory students</w:t>
      </w:r>
      <w:r w:rsidR="00883B33" w:rsidRPr="4E12C6BF">
        <w:rPr>
          <w:lang w:val="en-US"/>
        </w:rPr>
        <w:t xml:space="preserve">, and exclusion can be eliminated </w:t>
      </w:r>
      <w:r w:rsidR="00410114" w:rsidRPr="4E12C6BF">
        <w:rPr>
          <w:lang w:val="en-US"/>
        </w:rPr>
        <w:t>altogether</w:t>
      </w:r>
      <w:r w:rsidR="00883B33" w:rsidRPr="4E12C6BF">
        <w:rPr>
          <w:lang w:val="en-US"/>
        </w:rPr>
        <w:t>.</w:t>
      </w:r>
      <w:r w:rsidR="004C22EF" w:rsidRPr="4E12C6BF">
        <w:rPr>
          <w:lang w:val="en-US"/>
        </w:rPr>
        <w:t xml:space="preserve"> </w:t>
      </w:r>
      <w:r w:rsidR="00D17E6F">
        <w:rPr>
          <w:lang w:val="en-US"/>
        </w:rPr>
        <w:t xml:space="preserve">Table 2 sets out the </w:t>
      </w:r>
      <w:r w:rsidR="003E572A" w:rsidRPr="4E12C6BF">
        <w:rPr>
          <w:lang w:val="en-US"/>
        </w:rPr>
        <w:t>grounds for short</w:t>
      </w:r>
      <w:r w:rsidR="00D17E6F">
        <w:rPr>
          <w:lang w:val="en-US"/>
        </w:rPr>
        <w:t>-</w:t>
      </w:r>
      <w:r w:rsidR="003E572A" w:rsidRPr="4E12C6BF">
        <w:rPr>
          <w:lang w:val="en-US"/>
        </w:rPr>
        <w:t>term suspension of prep</w:t>
      </w:r>
      <w:r w:rsidR="002F473A" w:rsidRPr="4E12C6BF">
        <w:rPr>
          <w:lang w:val="en-US"/>
        </w:rPr>
        <w:t>aratory</w:t>
      </w:r>
      <w:r w:rsidR="003E572A" w:rsidRPr="4E12C6BF">
        <w:rPr>
          <w:lang w:val="en-US"/>
        </w:rPr>
        <w:t xml:space="preserve"> student</w:t>
      </w:r>
      <w:r w:rsidR="00D17E6F">
        <w:rPr>
          <w:lang w:val="en-US"/>
        </w:rPr>
        <w:t>s for 2022</w:t>
      </w:r>
      <w:r w:rsidR="003E572A" w:rsidRPr="4E12C6BF">
        <w:rPr>
          <w:lang w:val="en-US"/>
        </w:rPr>
        <w:t>, in decreasing order of magnitude</w:t>
      </w:r>
      <w:r w:rsidR="00D17E6F">
        <w:rPr>
          <w:lang w:val="en-US"/>
        </w:rPr>
        <w:t>.</w:t>
      </w:r>
    </w:p>
    <w:p w14:paraId="6ADBCF82" w14:textId="48302348" w:rsidR="003E572A" w:rsidRPr="003E572A" w:rsidRDefault="003E572A" w:rsidP="005F588D">
      <w:pPr>
        <w:pStyle w:val="Numberedparagraph"/>
        <w:numPr>
          <w:ilvl w:val="0"/>
          <w:numId w:val="0"/>
        </w:numPr>
        <w:rPr>
          <w:b/>
          <w:bCs/>
        </w:rPr>
      </w:pPr>
      <w:r w:rsidRPr="003E572A">
        <w:rPr>
          <w:b/>
          <w:bCs/>
        </w:rPr>
        <w:t xml:space="preserve">Table </w:t>
      </w:r>
      <w:r>
        <w:rPr>
          <w:b/>
          <w:bCs/>
        </w:rPr>
        <w:t>2</w:t>
      </w:r>
      <w:r w:rsidRPr="003E572A">
        <w:rPr>
          <w:b/>
          <w:bCs/>
        </w:rPr>
        <w:t xml:space="preserve">: </w:t>
      </w:r>
      <w:r>
        <w:rPr>
          <w:b/>
          <w:bCs/>
        </w:rPr>
        <w:t>Short term suspensions of prep</w:t>
      </w:r>
      <w:r w:rsidR="002F473A">
        <w:rPr>
          <w:b/>
          <w:bCs/>
        </w:rPr>
        <w:t>aratory</w:t>
      </w:r>
      <w:r>
        <w:rPr>
          <w:b/>
          <w:bCs/>
        </w:rPr>
        <w:t xml:space="preserve"> students in 2022 by reason for suspension</w:t>
      </w:r>
      <w:r w:rsidRPr="003E572A">
        <w:rPr>
          <w:rStyle w:val="FootnoteReference"/>
          <w:b/>
          <w:bCs/>
        </w:rPr>
        <w:footnoteReference w:id="27"/>
      </w:r>
    </w:p>
    <w:tbl>
      <w:tblPr>
        <w:tblW w:w="8481" w:type="dxa"/>
        <w:tblLook w:val="04A0" w:firstRow="1" w:lastRow="0" w:firstColumn="1" w:lastColumn="0" w:noHBand="0" w:noVBand="1"/>
      </w:tblPr>
      <w:tblGrid>
        <w:gridCol w:w="6521"/>
        <w:gridCol w:w="1960"/>
      </w:tblGrid>
      <w:tr w:rsidR="003E572A" w:rsidRPr="003E572A" w14:paraId="493E57EE" w14:textId="77777777" w:rsidTr="003E572A">
        <w:trPr>
          <w:trHeight w:val="300"/>
        </w:trPr>
        <w:tc>
          <w:tcPr>
            <w:tcW w:w="6521" w:type="dxa"/>
            <w:tcBorders>
              <w:top w:val="single" w:sz="4" w:space="0" w:color="000000"/>
              <w:left w:val="nil"/>
              <w:bottom w:val="single" w:sz="4" w:space="0" w:color="000000"/>
              <w:right w:val="nil"/>
            </w:tcBorders>
            <w:shd w:val="clear" w:color="auto" w:fill="auto"/>
            <w:noWrap/>
            <w:vAlign w:val="bottom"/>
            <w:hideMark/>
          </w:tcPr>
          <w:p w14:paraId="28F2D295" w14:textId="77777777" w:rsidR="003E572A" w:rsidRPr="003E572A" w:rsidRDefault="003E572A" w:rsidP="003E572A">
            <w:pPr>
              <w:spacing w:after="0"/>
              <w:rPr>
                <w:rFonts w:ascii="Calibri" w:eastAsia="Times New Roman" w:hAnsi="Calibri" w:cs="Calibri"/>
                <w:b/>
                <w:bCs/>
                <w:color w:val="000000"/>
                <w:szCs w:val="22"/>
                <w:lang w:eastAsia="en-AU"/>
              </w:rPr>
            </w:pPr>
            <w:r w:rsidRPr="003E572A">
              <w:rPr>
                <w:rFonts w:ascii="Calibri" w:eastAsia="Times New Roman" w:hAnsi="Calibri" w:cs="Calibri"/>
                <w:b/>
                <w:bCs/>
                <w:color w:val="000000"/>
                <w:szCs w:val="22"/>
                <w:lang w:eastAsia="en-AU"/>
              </w:rPr>
              <w:t>Grounds for short term suspension</w:t>
            </w:r>
          </w:p>
        </w:tc>
        <w:tc>
          <w:tcPr>
            <w:tcW w:w="1960" w:type="dxa"/>
            <w:tcBorders>
              <w:top w:val="single" w:sz="4" w:space="0" w:color="000000"/>
              <w:left w:val="nil"/>
              <w:bottom w:val="single" w:sz="4" w:space="0" w:color="000000"/>
              <w:right w:val="nil"/>
            </w:tcBorders>
            <w:shd w:val="clear" w:color="auto" w:fill="auto"/>
            <w:noWrap/>
            <w:vAlign w:val="bottom"/>
            <w:hideMark/>
          </w:tcPr>
          <w:p w14:paraId="0685774C" w14:textId="77777777" w:rsidR="003E572A" w:rsidRPr="003E572A" w:rsidRDefault="003E572A" w:rsidP="003E572A">
            <w:pPr>
              <w:spacing w:after="0"/>
              <w:rPr>
                <w:rFonts w:ascii="Calibri" w:eastAsia="Times New Roman" w:hAnsi="Calibri" w:cs="Calibri"/>
                <w:b/>
                <w:bCs/>
                <w:color w:val="000000"/>
                <w:szCs w:val="22"/>
                <w:lang w:eastAsia="en-AU"/>
              </w:rPr>
            </w:pPr>
            <w:r w:rsidRPr="003E572A">
              <w:rPr>
                <w:rFonts w:ascii="Calibri" w:eastAsia="Times New Roman" w:hAnsi="Calibri" w:cs="Calibri"/>
                <w:b/>
                <w:bCs/>
                <w:color w:val="000000"/>
                <w:szCs w:val="22"/>
                <w:lang w:eastAsia="en-AU"/>
              </w:rPr>
              <w:t xml:space="preserve">Total </w:t>
            </w:r>
          </w:p>
        </w:tc>
      </w:tr>
      <w:tr w:rsidR="003E572A" w:rsidRPr="003E572A" w14:paraId="25E875EC" w14:textId="77777777" w:rsidTr="003E572A">
        <w:trPr>
          <w:trHeight w:val="300"/>
        </w:trPr>
        <w:tc>
          <w:tcPr>
            <w:tcW w:w="6521" w:type="dxa"/>
            <w:tcBorders>
              <w:top w:val="nil"/>
              <w:left w:val="nil"/>
              <w:bottom w:val="nil"/>
              <w:right w:val="nil"/>
            </w:tcBorders>
            <w:shd w:val="clear" w:color="D9D9D9" w:fill="D9D9D9"/>
            <w:noWrap/>
            <w:vAlign w:val="bottom"/>
            <w:hideMark/>
          </w:tcPr>
          <w:p w14:paraId="77C01D93" w14:textId="77777777" w:rsidR="003E572A" w:rsidRPr="003E572A" w:rsidRDefault="003E572A" w:rsidP="003E572A">
            <w:pPr>
              <w:spacing w:after="0"/>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Physical Misconduct involving Adults not involving an object</w:t>
            </w:r>
          </w:p>
        </w:tc>
        <w:tc>
          <w:tcPr>
            <w:tcW w:w="1960" w:type="dxa"/>
            <w:tcBorders>
              <w:top w:val="nil"/>
              <w:left w:val="nil"/>
              <w:bottom w:val="nil"/>
              <w:right w:val="nil"/>
            </w:tcBorders>
            <w:shd w:val="clear" w:color="D9D9D9" w:fill="D9D9D9"/>
            <w:noWrap/>
            <w:vAlign w:val="bottom"/>
            <w:hideMark/>
          </w:tcPr>
          <w:p w14:paraId="203B819F" w14:textId="77777777" w:rsidR="003E572A" w:rsidRPr="003E572A" w:rsidRDefault="003E572A" w:rsidP="003E572A">
            <w:pPr>
              <w:spacing w:after="0"/>
              <w:jc w:val="right"/>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200</w:t>
            </w:r>
          </w:p>
        </w:tc>
      </w:tr>
      <w:tr w:rsidR="003E572A" w:rsidRPr="003E572A" w14:paraId="26A7C8A5" w14:textId="77777777" w:rsidTr="003E572A">
        <w:trPr>
          <w:trHeight w:val="300"/>
        </w:trPr>
        <w:tc>
          <w:tcPr>
            <w:tcW w:w="6521" w:type="dxa"/>
            <w:tcBorders>
              <w:top w:val="nil"/>
              <w:left w:val="nil"/>
              <w:bottom w:val="nil"/>
              <w:right w:val="nil"/>
            </w:tcBorders>
            <w:shd w:val="clear" w:color="auto" w:fill="auto"/>
            <w:noWrap/>
            <w:vAlign w:val="bottom"/>
            <w:hideMark/>
          </w:tcPr>
          <w:p w14:paraId="6200AB4F" w14:textId="77777777" w:rsidR="003E572A" w:rsidRPr="003E572A" w:rsidRDefault="003E572A" w:rsidP="003E572A">
            <w:pPr>
              <w:spacing w:after="0"/>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Physical Misconduct involving Students not involving an object</w:t>
            </w:r>
          </w:p>
        </w:tc>
        <w:tc>
          <w:tcPr>
            <w:tcW w:w="1960" w:type="dxa"/>
            <w:tcBorders>
              <w:top w:val="nil"/>
              <w:left w:val="nil"/>
              <w:bottom w:val="nil"/>
              <w:right w:val="nil"/>
            </w:tcBorders>
            <w:shd w:val="clear" w:color="auto" w:fill="auto"/>
            <w:noWrap/>
            <w:vAlign w:val="bottom"/>
            <w:hideMark/>
          </w:tcPr>
          <w:p w14:paraId="4EB8E7F7" w14:textId="77777777" w:rsidR="003E572A" w:rsidRPr="003E572A" w:rsidRDefault="003E572A" w:rsidP="003E572A">
            <w:pPr>
              <w:spacing w:after="0"/>
              <w:jc w:val="right"/>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182</w:t>
            </w:r>
          </w:p>
        </w:tc>
      </w:tr>
      <w:tr w:rsidR="003E572A" w:rsidRPr="003E572A" w14:paraId="57C886A7" w14:textId="77777777" w:rsidTr="003E572A">
        <w:trPr>
          <w:trHeight w:val="300"/>
        </w:trPr>
        <w:tc>
          <w:tcPr>
            <w:tcW w:w="6521" w:type="dxa"/>
            <w:tcBorders>
              <w:top w:val="nil"/>
              <w:left w:val="nil"/>
              <w:bottom w:val="nil"/>
              <w:right w:val="nil"/>
            </w:tcBorders>
            <w:shd w:val="clear" w:color="D9D9D9" w:fill="D9D9D9"/>
            <w:noWrap/>
            <w:vAlign w:val="bottom"/>
            <w:hideMark/>
          </w:tcPr>
          <w:p w14:paraId="0DC93A96" w14:textId="77777777" w:rsidR="003E572A" w:rsidRPr="003E572A" w:rsidRDefault="003E572A" w:rsidP="003E572A">
            <w:pPr>
              <w:spacing w:after="0"/>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Physical Misconduct involving Adults involving an object</w:t>
            </w:r>
          </w:p>
        </w:tc>
        <w:tc>
          <w:tcPr>
            <w:tcW w:w="1960" w:type="dxa"/>
            <w:tcBorders>
              <w:top w:val="nil"/>
              <w:left w:val="nil"/>
              <w:bottom w:val="nil"/>
              <w:right w:val="nil"/>
            </w:tcBorders>
            <w:shd w:val="clear" w:color="D9D9D9" w:fill="D9D9D9"/>
            <w:noWrap/>
            <w:vAlign w:val="bottom"/>
            <w:hideMark/>
          </w:tcPr>
          <w:p w14:paraId="7BD93B65" w14:textId="77777777" w:rsidR="003E572A" w:rsidRPr="003E572A" w:rsidRDefault="003E572A" w:rsidP="003E572A">
            <w:pPr>
              <w:spacing w:after="0"/>
              <w:jc w:val="right"/>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86</w:t>
            </w:r>
          </w:p>
        </w:tc>
      </w:tr>
      <w:tr w:rsidR="003E572A" w:rsidRPr="003E572A" w14:paraId="3A61688D" w14:textId="77777777" w:rsidTr="003E572A">
        <w:trPr>
          <w:trHeight w:val="300"/>
        </w:trPr>
        <w:tc>
          <w:tcPr>
            <w:tcW w:w="6521" w:type="dxa"/>
            <w:tcBorders>
              <w:top w:val="nil"/>
              <w:left w:val="nil"/>
              <w:bottom w:val="nil"/>
              <w:right w:val="nil"/>
            </w:tcBorders>
            <w:shd w:val="clear" w:color="auto" w:fill="auto"/>
            <w:noWrap/>
            <w:vAlign w:val="bottom"/>
            <w:hideMark/>
          </w:tcPr>
          <w:p w14:paraId="42E2A356" w14:textId="77777777" w:rsidR="003E572A" w:rsidRPr="003E572A" w:rsidRDefault="003E572A" w:rsidP="003E572A">
            <w:pPr>
              <w:spacing w:after="0"/>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Physical Misconduct involving Students involving an object</w:t>
            </w:r>
          </w:p>
        </w:tc>
        <w:tc>
          <w:tcPr>
            <w:tcW w:w="1960" w:type="dxa"/>
            <w:tcBorders>
              <w:top w:val="nil"/>
              <w:left w:val="nil"/>
              <w:bottom w:val="nil"/>
              <w:right w:val="nil"/>
            </w:tcBorders>
            <w:shd w:val="clear" w:color="auto" w:fill="auto"/>
            <w:noWrap/>
            <w:vAlign w:val="bottom"/>
            <w:hideMark/>
          </w:tcPr>
          <w:p w14:paraId="0BA0FEF3" w14:textId="77777777" w:rsidR="003E572A" w:rsidRPr="003E572A" w:rsidRDefault="003E572A" w:rsidP="003E572A">
            <w:pPr>
              <w:spacing w:after="0"/>
              <w:jc w:val="right"/>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54</w:t>
            </w:r>
          </w:p>
        </w:tc>
      </w:tr>
      <w:tr w:rsidR="003E572A" w:rsidRPr="003E572A" w14:paraId="272A0359" w14:textId="77777777" w:rsidTr="003E572A">
        <w:trPr>
          <w:trHeight w:val="300"/>
        </w:trPr>
        <w:tc>
          <w:tcPr>
            <w:tcW w:w="6521" w:type="dxa"/>
            <w:tcBorders>
              <w:top w:val="nil"/>
              <w:left w:val="nil"/>
              <w:bottom w:val="nil"/>
              <w:right w:val="nil"/>
            </w:tcBorders>
            <w:shd w:val="clear" w:color="D9D9D9" w:fill="D9D9D9"/>
            <w:noWrap/>
            <w:vAlign w:val="bottom"/>
            <w:hideMark/>
          </w:tcPr>
          <w:p w14:paraId="45F4AC82" w14:textId="77777777" w:rsidR="003E572A" w:rsidRPr="003E572A" w:rsidRDefault="003E572A" w:rsidP="003E572A">
            <w:pPr>
              <w:spacing w:after="0"/>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Persistently disruptive behaviour adversely affecting others</w:t>
            </w:r>
          </w:p>
        </w:tc>
        <w:tc>
          <w:tcPr>
            <w:tcW w:w="1960" w:type="dxa"/>
            <w:tcBorders>
              <w:top w:val="nil"/>
              <w:left w:val="nil"/>
              <w:bottom w:val="nil"/>
              <w:right w:val="nil"/>
            </w:tcBorders>
            <w:shd w:val="clear" w:color="D9D9D9" w:fill="D9D9D9"/>
            <w:noWrap/>
            <w:vAlign w:val="bottom"/>
            <w:hideMark/>
          </w:tcPr>
          <w:p w14:paraId="568AD569" w14:textId="77777777" w:rsidR="003E572A" w:rsidRPr="003E572A" w:rsidRDefault="003E572A" w:rsidP="003E572A">
            <w:pPr>
              <w:spacing w:after="0"/>
              <w:jc w:val="right"/>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52</w:t>
            </w:r>
          </w:p>
        </w:tc>
      </w:tr>
      <w:tr w:rsidR="003E572A" w:rsidRPr="003E572A" w14:paraId="64D79FFA" w14:textId="77777777" w:rsidTr="003E572A">
        <w:trPr>
          <w:trHeight w:val="300"/>
        </w:trPr>
        <w:tc>
          <w:tcPr>
            <w:tcW w:w="6521" w:type="dxa"/>
            <w:tcBorders>
              <w:top w:val="nil"/>
              <w:left w:val="nil"/>
              <w:bottom w:val="nil"/>
              <w:right w:val="nil"/>
            </w:tcBorders>
            <w:shd w:val="clear" w:color="auto" w:fill="auto"/>
            <w:noWrap/>
            <w:vAlign w:val="bottom"/>
            <w:hideMark/>
          </w:tcPr>
          <w:p w14:paraId="11CF3DE2" w14:textId="77777777" w:rsidR="003E572A" w:rsidRPr="003E572A" w:rsidRDefault="003E572A" w:rsidP="003E572A">
            <w:pPr>
              <w:spacing w:after="0"/>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Other conduct prejudicial to the good order and management of the school</w:t>
            </w:r>
          </w:p>
        </w:tc>
        <w:tc>
          <w:tcPr>
            <w:tcW w:w="1960" w:type="dxa"/>
            <w:tcBorders>
              <w:top w:val="nil"/>
              <w:left w:val="nil"/>
              <w:bottom w:val="nil"/>
              <w:right w:val="nil"/>
            </w:tcBorders>
            <w:shd w:val="clear" w:color="auto" w:fill="auto"/>
            <w:noWrap/>
            <w:vAlign w:val="bottom"/>
            <w:hideMark/>
          </w:tcPr>
          <w:p w14:paraId="5685C4B1" w14:textId="77777777" w:rsidR="003E572A" w:rsidRPr="003E572A" w:rsidRDefault="003E572A" w:rsidP="003E572A">
            <w:pPr>
              <w:spacing w:after="0"/>
              <w:jc w:val="right"/>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33</w:t>
            </w:r>
          </w:p>
        </w:tc>
      </w:tr>
      <w:tr w:rsidR="003E572A" w:rsidRPr="003E572A" w14:paraId="0CE4C058" w14:textId="77777777" w:rsidTr="003E572A">
        <w:trPr>
          <w:trHeight w:val="300"/>
        </w:trPr>
        <w:tc>
          <w:tcPr>
            <w:tcW w:w="6521" w:type="dxa"/>
            <w:tcBorders>
              <w:top w:val="nil"/>
              <w:left w:val="nil"/>
              <w:bottom w:val="nil"/>
              <w:right w:val="nil"/>
            </w:tcBorders>
            <w:shd w:val="clear" w:color="D9D9D9" w:fill="D9D9D9"/>
            <w:noWrap/>
            <w:vAlign w:val="bottom"/>
            <w:hideMark/>
          </w:tcPr>
          <w:p w14:paraId="3F212651" w14:textId="77777777" w:rsidR="003E572A" w:rsidRPr="003E572A" w:rsidRDefault="003E572A" w:rsidP="003E572A">
            <w:pPr>
              <w:spacing w:after="0"/>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Property Misconduct involving other's property</w:t>
            </w:r>
          </w:p>
        </w:tc>
        <w:tc>
          <w:tcPr>
            <w:tcW w:w="1960" w:type="dxa"/>
            <w:tcBorders>
              <w:top w:val="nil"/>
              <w:left w:val="nil"/>
              <w:bottom w:val="nil"/>
              <w:right w:val="nil"/>
            </w:tcBorders>
            <w:shd w:val="clear" w:color="D9D9D9" w:fill="D9D9D9"/>
            <w:noWrap/>
            <w:vAlign w:val="bottom"/>
            <w:hideMark/>
          </w:tcPr>
          <w:p w14:paraId="75C7CBDC" w14:textId="77777777" w:rsidR="003E572A" w:rsidRPr="003E572A" w:rsidRDefault="003E572A" w:rsidP="003E572A">
            <w:pPr>
              <w:spacing w:after="0"/>
              <w:jc w:val="right"/>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33</w:t>
            </w:r>
          </w:p>
        </w:tc>
      </w:tr>
      <w:tr w:rsidR="003E572A" w:rsidRPr="003E572A" w14:paraId="274D2BF3" w14:textId="77777777" w:rsidTr="003E572A">
        <w:trPr>
          <w:trHeight w:val="300"/>
        </w:trPr>
        <w:tc>
          <w:tcPr>
            <w:tcW w:w="6521" w:type="dxa"/>
            <w:tcBorders>
              <w:top w:val="nil"/>
              <w:left w:val="nil"/>
              <w:bottom w:val="nil"/>
              <w:right w:val="nil"/>
            </w:tcBorders>
            <w:shd w:val="clear" w:color="auto" w:fill="auto"/>
            <w:noWrap/>
            <w:vAlign w:val="bottom"/>
            <w:hideMark/>
          </w:tcPr>
          <w:p w14:paraId="3EB3A88A" w14:textId="77777777" w:rsidR="003E572A" w:rsidRPr="003E572A" w:rsidRDefault="003E572A" w:rsidP="003E572A">
            <w:pPr>
              <w:spacing w:after="0"/>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Other Serious conduct prejudicial to the good order and management of the school</w:t>
            </w:r>
          </w:p>
        </w:tc>
        <w:tc>
          <w:tcPr>
            <w:tcW w:w="1960" w:type="dxa"/>
            <w:tcBorders>
              <w:top w:val="nil"/>
              <w:left w:val="nil"/>
              <w:bottom w:val="nil"/>
              <w:right w:val="nil"/>
            </w:tcBorders>
            <w:shd w:val="clear" w:color="auto" w:fill="auto"/>
            <w:noWrap/>
            <w:vAlign w:val="bottom"/>
            <w:hideMark/>
          </w:tcPr>
          <w:p w14:paraId="0D55954C" w14:textId="77777777" w:rsidR="003E572A" w:rsidRPr="003E572A" w:rsidRDefault="003E572A" w:rsidP="003E572A">
            <w:pPr>
              <w:spacing w:after="0"/>
              <w:jc w:val="right"/>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14</w:t>
            </w:r>
          </w:p>
        </w:tc>
      </w:tr>
      <w:tr w:rsidR="003E572A" w:rsidRPr="003E572A" w14:paraId="1A57C32F" w14:textId="77777777" w:rsidTr="003E572A">
        <w:trPr>
          <w:trHeight w:val="300"/>
        </w:trPr>
        <w:tc>
          <w:tcPr>
            <w:tcW w:w="6521" w:type="dxa"/>
            <w:tcBorders>
              <w:top w:val="nil"/>
              <w:left w:val="nil"/>
              <w:bottom w:val="nil"/>
              <w:right w:val="nil"/>
            </w:tcBorders>
            <w:shd w:val="clear" w:color="D9D9D9" w:fill="D9D9D9"/>
            <w:noWrap/>
            <w:vAlign w:val="bottom"/>
            <w:hideMark/>
          </w:tcPr>
          <w:p w14:paraId="569BCA9D" w14:textId="77777777" w:rsidR="003E572A" w:rsidRPr="003E572A" w:rsidRDefault="003E572A" w:rsidP="003E572A">
            <w:pPr>
              <w:spacing w:after="0"/>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Refusal to participate in the program of instruction</w:t>
            </w:r>
          </w:p>
        </w:tc>
        <w:tc>
          <w:tcPr>
            <w:tcW w:w="1960" w:type="dxa"/>
            <w:tcBorders>
              <w:top w:val="nil"/>
              <w:left w:val="nil"/>
              <w:bottom w:val="nil"/>
              <w:right w:val="nil"/>
            </w:tcBorders>
            <w:shd w:val="clear" w:color="D9D9D9" w:fill="D9D9D9"/>
            <w:noWrap/>
            <w:vAlign w:val="bottom"/>
            <w:hideMark/>
          </w:tcPr>
          <w:p w14:paraId="31B8D1DC" w14:textId="77777777" w:rsidR="003E572A" w:rsidRPr="003E572A" w:rsidRDefault="003E572A" w:rsidP="003E572A">
            <w:pPr>
              <w:spacing w:after="0"/>
              <w:jc w:val="right"/>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13</w:t>
            </w:r>
          </w:p>
        </w:tc>
      </w:tr>
      <w:tr w:rsidR="003E572A" w:rsidRPr="003E572A" w14:paraId="083BC960" w14:textId="77777777" w:rsidTr="003E572A">
        <w:trPr>
          <w:trHeight w:val="300"/>
        </w:trPr>
        <w:tc>
          <w:tcPr>
            <w:tcW w:w="6521" w:type="dxa"/>
            <w:tcBorders>
              <w:top w:val="nil"/>
              <w:left w:val="nil"/>
              <w:bottom w:val="nil"/>
              <w:right w:val="nil"/>
            </w:tcBorders>
            <w:shd w:val="clear" w:color="auto" w:fill="auto"/>
            <w:noWrap/>
            <w:vAlign w:val="bottom"/>
            <w:hideMark/>
          </w:tcPr>
          <w:p w14:paraId="33E7A8E2" w14:textId="77777777" w:rsidR="003E572A" w:rsidRPr="003E572A" w:rsidRDefault="003E572A" w:rsidP="003E572A">
            <w:pPr>
              <w:spacing w:after="0"/>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 xml:space="preserve">Verbal or </w:t>
            </w:r>
            <w:proofErr w:type="gramStart"/>
            <w:r w:rsidRPr="003E572A">
              <w:rPr>
                <w:rFonts w:ascii="Calibri" w:eastAsia="Times New Roman" w:hAnsi="Calibri" w:cs="Calibri"/>
                <w:color w:val="000000"/>
                <w:szCs w:val="22"/>
                <w:lang w:eastAsia="en-AU"/>
              </w:rPr>
              <w:t>Non Verbal</w:t>
            </w:r>
            <w:proofErr w:type="gramEnd"/>
            <w:r w:rsidRPr="003E572A">
              <w:rPr>
                <w:rFonts w:ascii="Calibri" w:eastAsia="Times New Roman" w:hAnsi="Calibri" w:cs="Calibri"/>
                <w:color w:val="000000"/>
                <w:szCs w:val="22"/>
                <w:lang w:eastAsia="en-AU"/>
              </w:rPr>
              <w:t xml:space="preserve"> Misconduct involving Adults</w:t>
            </w:r>
          </w:p>
        </w:tc>
        <w:tc>
          <w:tcPr>
            <w:tcW w:w="1960" w:type="dxa"/>
            <w:tcBorders>
              <w:top w:val="nil"/>
              <w:left w:val="nil"/>
              <w:bottom w:val="nil"/>
              <w:right w:val="nil"/>
            </w:tcBorders>
            <w:shd w:val="clear" w:color="auto" w:fill="auto"/>
            <w:noWrap/>
            <w:vAlign w:val="bottom"/>
            <w:hideMark/>
          </w:tcPr>
          <w:p w14:paraId="5946B287" w14:textId="77777777" w:rsidR="003E572A" w:rsidRPr="003E572A" w:rsidRDefault="003E572A" w:rsidP="003E572A">
            <w:pPr>
              <w:spacing w:after="0"/>
              <w:jc w:val="right"/>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13</w:t>
            </w:r>
          </w:p>
        </w:tc>
      </w:tr>
      <w:tr w:rsidR="003E572A" w:rsidRPr="003E572A" w14:paraId="667A6279" w14:textId="77777777" w:rsidTr="003E572A">
        <w:trPr>
          <w:trHeight w:val="300"/>
        </w:trPr>
        <w:tc>
          <w:tcPr>
            <w:tcW w:w="6521" w:type="dxa"/>
            <w:tcBorders>
              <w:top w:val="nil"/>
              <w:left w:val="nil"/>
              <w:bottom w:val="nil"/>
              <w:right w:val="nil"/>
            </w:tcBorders>
            <w:shd w:val="clear" w:color="D9D9D9" w:fill="D9D9D9"/>
            <w:noWrap/>
            <w:vAlign w:val="bottom"/>
            <w:hideMark/>
          </w:tcPr>
          <w:p w14:paraId="78A923AA" w14:textId="77777777" w:rsidR="003E572A" w:rsidRPr="003E572A" w:rsidRDefault="003E572A" w:rsidP="003E572A">
            <w:pPr>
              <w:spacing w:after="0"/>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lastRenderedPageBreak/>
              <w:t xml:space="preserve">Verbal or </w:t>
            </w:r>
            <w:proofErr w:type="gramStart"/>
            <w:r w:rsidRPr="003E572A">
              <w:rPr>
                <w:rFonts w:ascii="Calibri" w:eastAsia="Times New Roman" w:hAnsi="Calibri" w:cs="Calibri"/>
                <w:color w:val="000000"/>
                <w:szCs w:val="22"/>
                <w:lang w:eastAsia="en-AU"/>
              </w:rPr>
              <w:t>Non Verbal</w:t>
            </w:r>
            <w:proofErr w:type="gramEnd"/>
            <w:r w:rsidRPr="003E572A">
              <w:rPr>
                <w:rFonts w:ascii="Calibri" w:eastAsia="Times New Roman" w:hAnsi="Calibri" w:cs="Calibri"/>
                <w:color w:val="000000"/>
                <w:szCs w:val="22"/>
                <w:lang w:eastAsia="en-AU"/>
              </w:rPr>
              <w:t xml:space="preserve"> Misconduct involving Students</w:t>
            </w:r>
          </w:p>
        </w:tc>
        <w:tc>
          <w:tcPr>
            <w:tcW w:w="1960" w:type="dxa"/>
            <w:tcBorders>
              <w:top w:val="nil"/>
              <w:left w:val="nil"/>
              <w:bottom w:val="nil"/>
              <w:right w:val="nil"/>
            </w:tcBorders>
            <w:shd w:val="clear" w:color="D9D9D9" w:fill="D9D9D9"/>
            <w:noWrap/>
            <w:vAlign w:val="bottom"/>
            <w:hideMark/>
          </w:tcPr>
          <w:p w14:paraId="0BCA2F04" w14:textId="77777777" w:rsidR="003E572A" w:rsidRPr="003E572A" w:rsidRDefault="003E572A" w:rsidP="003E572A">
            <w:pPr>
              <w:spacing w:after="0"/>
              <w:jc w:val="right"/>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3</w:t>
            </w:r>
          </w:p>
        </w:tc>
      </w:tr>
      <w:tr w:rsidR="003E572A" w:rsidRPr="003E572A" w14:paraId="1ACFB226" w14:textId="77777777" w:rsidTr="003E572A">
        <w:trPr>
          <w:trHeight w:val="300"/>
        </w:trPr>
        <w:tc>
          <w:tcPr>
            <w:tcW w:w="6521" w:type="dxa"/>
            <w:tcBorders>
              <w:top w:val="nil"/>
              <w:left w:val="nil"/>
              <w:bottom w:val="nil"/>
              <w:right w:val="nil"/>
            </w:tcBorders>
            <w:shd w:val="clear" w:color="auto" w:fill="auto"/>
            <w:noWrap/>
            <w:vAlign w:val="bottom"/>
            <w:hideMark/>
          </w:tcPr>
          <w:p w14:paraId="0020BABD" w14:textId="77777777" w:rsidR="003E572A" w:rsidRPr="003E572A" w:rsidRDefault="003E572A" w:rsidP="003E572A">
            <w:pPr>
              <w:spacing w:after="0"/>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Property Misconduct involving own property</w:t>
            </w:r>
          </w:p>
        </w:tc>
        <w:tc>
          <w:tcPr>
            <w:tcW w:w="1960" w:type="dxa"/>
            <w:tcBorders>
              <w:top w:val="nil"/>
              <w:left w:val="nil"/>
              <w:bottom w:val="nil"/>
              <w:right w:val="nil"/>
            </w:tcBorders>
            <w:shd w:val="clear" w:color="auto" w:fill="auto"/>
            <w:noWrap/>
            <w:vAlign w:val="bottom"/>
            <w:hideMark/>
          </w:tcPr>
          <w:p w14:paraId="02A8A507" w14:textId="77777777" w:rsidR="003E572A" w:rsidRPr="003E572A" w:rsidRDefault="003E572A" w:rsidP="003E572A">
            <w:pPr>
              <w:spacing w:after="0"/>
              <w:jc w:val="right"/>
              <w:rPr>
                <w:rFonts w:ascii="Calibri" w:eastAsia="Times New Roman" w:hAnsi="Calibri" w:cs="Calibri"/>
                <w:color w:val="000000"/>
                <w:szCs w:val="22"/>
                <w:lang w:eastAsia="en-AU"/>
              </w:rPr>
            </w:pPr>
            <w:r w:rsidRPr="003E572A">
              <w:rPr>
                <w:rFonts w:ascii="Calibri" w:eastAsia="Times New Roman" w:hAnsi="Calibri" w:cs="Calibri"/>
                <w:color w:val="000000"/>
                <w:szCs w:val="22"/>
                <w:lang w:eastAsia="en-AU"/>
              </w:rPr>
              <w:t>1</w:t>
            </w:r>
          </w:p>
        </w:tc>
      </w:tr>
      <w:tr w:rsidR="003E572A" w:rsidRPr="003E572A" w14:paraId="16B3CD33" w14:textId="77777777" w:rsidTr="003E572A">
        <w:trPr>
          <w:trHeight w:val="300"/>
        </w:trPr>
        <w:tc>
          <w:tcPr>
            <w:tcW w:w="6521" w:type="dxa"/>
            <w:tcBorders>
              <w:top w:val="nil"/>
              <w:left w:val="nil"/>
              <w:bottom w:val="single" w:sz="4" w:space="0" w:color="000000"/>
              <w:right w:val="nil"/>
            </w:tcBorders>
            <w:shd w:val="clear" w:color="D9D9D9" w:fill="D9D9D9"/>
            <w:noWrap/>
            <w:vAlign w:val="bottom"/>
            <w:hideMark/>
          </w:tcPr>
          <w:p w14:paraId="2CF20AED" w14:textId="77777777" w:rsidR="003E572A" w:rsidRPr="00D17E6F" w:rsidRDefault="003E572A" w:rsidP="003E572A">
            <w:pPr>
              <w:spacing w:after="0"/>
              <w:rPr>
                <w:rFonts w:ascii="Calibri" w:eastAsia="Times New Roman" w:hAnsi="Calibri" w:cs="Calibri"/>
                <w:b/>
                <w:bCs/>
                <w:color w:val="000000"/>
                <w:szCs w:val="22"/>
                <w:lang w:eastAsia="en-AU"/>
              </w:rPr>
            </w:pPr>
            <w:r w:rsidRPr="00D17E6F">
              <w:rPr>
                <w:rFonts w:ascii="Calibri" w:eastAsia="Times New Roman" w:hAnsi="Calibri" w:cs="Calibri"/>
                <w:b/>
                <w:bCs/>
                <w:color w:val="000000"/>
                <w:szCs w:val="22"/>
                <w:lang w:eastAsia="en-AU"/>
              </w:rPr>
              <w:t>Total</w:t>
            </w:r>
          </w:p>
        </w:tc>
        <w:tc>
          <w:tcPr>
            <w:tcW w:w="1960" w:type="dxa"/>
            <w:tcBorders>
              <w:top w:val="nil"/>
              <w:left w:val="nil"/>
              <w:bottom w:val="single" w:sz="4" w:space="0" w:color="000000"/>
              <w:right w:val="nil"/>
            </w:tcBorders>
            <w:shd w:val="clear" w:color="D9D9D9" w:fill="D9D9D9"/>
            <w:noWrap/>
            <w:vAlign w:val="bottom"/>
            <w:hideMark/>
          </w:tcPr>
          <w:p w14:paraId="5C99E35A" w14:textId="77777777" w:rsidR="003E572A" w:rsidRPr="00D17E6F" w:rsidRDefault="003E572A" w:rsidP="003E572A">
            <w:pPr>
              <w:spacing w:after="0"/>
              <w:jc w:val="right"/>
              <w:rPr>
                <w:rFonts w:ascii="Calibri" w:eastAsia="Times New Roman" w:hAnsi="Calibri" w:cs="Calibri"/>
                <w:b/>
                <w:bCs/>
                <w:color w:val="000000"/>
                <w:szCs w:val="22"/>
                <w:lang w:eastAsia="en-AU"/>
              </w:rPr>
            </w:pPr>
            <w:r w:rsidRPr="00D17E6F">
              <w:rPr>
                <w:rFonts w:ascii="Calibri" w:eastAsia="Times New Roman" w:hAnsi="Calibri" w:cs="Calibri"/>
                <w:b/>
                <w:bCs/>
                <w:color w:val="000000"/>
                <w:szCs w:val="22"/>
                <w:lang w:eastAsia="en-AU"/>
              </w:rPr>
              <w:t>684</w:t>
            </w:r>
          </w:p>
        </w:tc>
      </w:tr>
    </w:tbl>
    <w:p w14:paraId="7CBC9C24" w14:textId="77777777" w:rsidR="00883B33" w:rsidRDefault="00883B33" w:rsidP="003E572A">
      <w:pPr>
        <w:pStyle w:val="Numberedparagraph"/>
        <w:numPr>
          <w:ilvl w:val="0"/>
          <w:numId w:val="0"/>
        </w:numPr>
        <w:ind w:left="567" w:hanging="567"/>
        <w:rPr>
          <w:lang w:val="en-US"/>
        </w:rPr>
      </w:pPr>
    </w:p>
    <w:p w14:paraId="2561A8AC" w14:textId="7C5AA66D" w:rsidR="003E572A" w:rsidRDefault="003E572A" w:rsidP="003E572A">
      <w:pPr>
        <w:pStyle w:val="Numberedparagraph"/>
        <w:rPr>
          <w:lang w:val="en-US"/>
        </w:rPr>
      </w:pPr>
      <w:r w:rsidRPr="4E12C6BF">
        <w:rPr>
          <w:lang w:val="en-US"/>
        </w:rPr>
        <w:t xml:space="preserve">It is not known how many children were affected by the </w:t>
      </w:r>
      <w:r w:rsidR="004C1C15" w:rsidRPr="4E12C6BF">
        <w:rPr>
          <w:lang w:val="en-US"/>
        </w:rPr>
        <w:t>short-term</w:t>
      </w:r>
      <w:r w:rsidRPr="4E12C6BF">
        <w:rPr>
          <w:lang w:val="en-US"/>
        </w:rPr>
        <w:t xml:space="preserve"> suspensions</w:t>
      </w:r>
      <w:r w:rsidR="00F74315" w:rsidRPr="4E12C6BF">
        <w:rPr>
          <w:lang w:val="en-US"/>
        </w:rPr>
        <w:t xml:space="preserve"> (a child can be subject of multiple suspensions)</w:t>
      </w:r>
      <w:r w:rsidRPr="4E12C6BF">
        <w:rPr>
          <w:lang w:val="en-US"/>
        </w:rPr>
        <w:t>.</w:t>
      </w:r>
    </w:p>
    <w:p w14:paraId="02E52794" w14:textId="7950A3F7" w:rsidR="003E572A" w:rsidRDefault="003E572A" w:rsidP="003E572A">
      <w:pPr>
        <w:pStyle w:val="Numberedparagraph"/>
        <w:rPr>
          <w:lang w:val="en-US"/>
        </w:rPr>
      </w:pPr>
      <w:r>
        <w:rPr>
          <w:lang w:val="en-US"/>
        </w:rPr>
        <w:t xml:space="preserve">The Commission notes that the Bill, </w:t>
      </w:r>
      <w:r w:rsidR="000C444F">
        <w:rPr>
          <w:lang w:val="en-US"/>
        </w:rPr>
        <w:t xml:space="preserve">in </w:t>
      </w:r>
      <w:r w:rsidR="00246971">
        <w:rPr>
          <w:lang w:val="en-US"/>
        </w:rPr>
        <w:t xml:space="preserve">providing for </w:t>
      </w:r>
      <w:r w:rsidR="000C444F">
        <w:rPr>
          <w:lang w:val="en-US"/>
        </w:rPr>
        <w:t xml:space="preserve">state school kindergarten programs, excludes </w:t>
      </w:r>
      <w:r w:rsidR="00246971">
        <w:rPr>
          <w:lang w:val="en-US"/>
        </w:rPr>
        <w:t xml:space="preserve">kindergarten students from the operation of student discipline provisions (clause 74) and </w:t>
      </w:r>
      <w:r w:rsidR="00614B27">
        <w:rPr>
          <w:lang w:val="en-US"/>
        </w:rPr>
        <w:t xml:space="preserve">SDA </w:t>
      </w:r>
      <w:r w:rsidR="00246971">
        <w:rPr>
          <w:lang w:val="en-US"/>
        </w:rPr>
        <w:t>provisions (clause 75). An enrolment application for a kindergarten student is also unable to be refused because of a reasonable belief that the child poses an unacceptable risk to the safety or wellbeing of members of the school community (clause 51).</w:t>
      </w:r>
    </w:p>
    <w:p w14:paraId="673AF5A2" w14:textId="77777777" w:rsidR="00F74315" w:rsidRDefault="002F473A" w:rsidP="00614B27">
      <w:pPr>
        <w:pStyle w:val="Numberedparagraph"/>
        <w:rPr>
          <w:lang w:val="en-US"/>
        </w:rPr>
      </w:pPr>
      <w:r w:rsidRPr="002F473A">
        <w:rPr>
          <w:lang w:val="en-US"/>
        </w:rPr>
        <w:t xml:space="preserve">The Commission submits that these exclusions </w:t>
      </w:r>
      <w:r w:rsidRPr="00526C93">
        <w:t>extend</w:t>
      </w:r>
      <w:r w:rsidRPr="002F473A">
        <w:rPr>
          <w:lang w:val="en-US"/>
        </w:rPr>
        <w:t xml:space="preserve"> to preparatory students, at least in relation to </w:t>
      </w:r>
      <w:r w:rsidR="00614B27">
        <w:rPr>
          <w:lang w:val="en-US"/>
        </w:rPr>
        <w:t>SDA provisions</w:t>
      </w:r>
      <w:r w:rsidRPr="002F473A">
        <w:rPr>
          <w:lang w:val="en-US"/>
        </w:rPr>
        <w:t xml:space="preserve">. This will </w:t>
      </w:r>
      <w:r>
        <w:rPr>
          <w:lang w:val="en-US"/>
        </w:rPr>
        <w:t xml:space="preserve">prioritise early interventions over </w:t>
      </w:r>
      <w:proofErr w:type="gramStart"/>
      <w:r w:rsidR="00B2616C">
        <w:rPr>
          <w:lang w:val="en-US"/>
        </w:rPr>
        <w:t>SDAs</w:t>
      </w:r>
      <w:r>
        <w:rPr>
          <w:lang w:val="en-US"/>
        </w:rPr>
        <w:t>, and</w:t>
      </w:r>
      <w:proofErr w:type="gramEnd"/>
      <w:r>
        <w:rPr>
          <w:lang w:val="en-US"/>
        </w:rPr>
        <w:t xml:space="preserve"> ensure compatibility with </w:t>
      </w:r>
      <w:r w:rsidR="00B2616C">
        <w:rPr>
          <w:lang w:val="en-US"/>
        </w:rPr>
        <w:t xml:space="preserve">the </w:t>
      </w:r>
      <w:r>
        <w:rPr>
          <w:lang w:val="en-US"/>
        </w:rPr>
        <w:t>human rights</w:t>
      </w:r>
      <w:r w:rsidR="00B2616C">
        <w:rPr>
          <w:lang w:val="en-US"/>
        </w:rPr>
        <w:t xml:space="preserve"> of preparatory students who, because of their age and stage of development,</w:t>
      </w:r>
      <w:r>
        <w:rPr>
          <w:lang w:val="en-US"/>
        </w:rPr>
        <w:t xml:space="preserve"> have limited capacity to understand and manage their behaviour, </w:t>
      </w:r>
      <w:r w:rsidR="00526C93">
        <w:rPr>
          <w:lang w:val="en-US"/>
        </w:rPr>
        <w:t xml:space="preserve">and are </w:t>
      </w:r>
      <w:r w:rsidR="00B2616C">
        <w:rPr>
          <w:lang w:val="en-US"/>
        </w:rPr>
        <w:t>likely un</w:t>
      </w:r>
      <w:r w:rsidR="00526C93">
        <w:rPr>
          <w:lang w:val="en-US"/>
        </w:rPr>
        <w:t>able to</w:t>
      </w:r>
      <w:r>
        <w:rPr>
          <w:lang w:val="en-US"/>
        </w:rPr>
        <w:t xml:space="preserve"> comprehend the purpose</w:t>
      </w:r>
      <w:r w:rsidR="00526C93">
        <w:rPr>
          <w:lang w:val="en-US"/>
        </w:rPr>
        <w:t xml:space="preserve"> or consequences</w:t>
      </w:r>
      <w:r>
        <w:rPr>
          <w:lang w:val="en-US"/>
        </w:rPr>
        <w:t xml:space="preserve"> o</w:t>
      </w:r>
      <w:r w:rsidR="00526C93">
        <w:rPr>
          <w:lang w:val="en-US"/>
        </w:rPr>
        <w:t>f being suspended or excluded</w:t>
      </w:r>
      <w:r>
        <w:rPr>
          <w:lang w:val="en-US"/>
        </w:rPr>
        <w:t xml:space="preserve">. </w:t>
      </w:r>
    </w:p>
    <w:p w14:paraId="3E9DC9AC" w14:textId="66442630" w:rsidR="002F473A" w:rsidRDefault="00F74315" w:rsidP="00614B27">
      <w:pPr>
        <w:pStyle w:val="Numberedparagraph"/>
        <w:rPr>
          <w:lang w:val="en-US"/>
        </w:rPr>
      </w:pPr>
      <w:r>
        <w:rPr>
          <w:lang w:val="en-US"/>
        </w:rPr>
        <w:t>The Statement of Compatibility notes the difficulties for schools to understand all aspects of a preparatory student’s needs, and to distinguish between behaviour that can/should be managed without issuing a suspension, when they are just getting to know the student and their families. This is given as the reason for having Student Support Plans for preparatory students.</w:t>
      </w:r>
      <w:r>
        <w:rPr>
          <w:rStyle w:val="FootnoteReference"/>
          <w:lang w:val="en-US"/>
        </w:rPr>
        <w:footnoteReference w:id="28"/>
      </w:r>
      <w:r>
        <w:rPr>
          <w:lang w:val="en-US"/>
        </w:rPr>
        <w:t xml:space="preserve"> Preparatory students can be as young as four and half years old. The Commission supports the preparation and implementation of plans </w:t>
      </w:r>
      <w:r w:rsidR="00514B5B">
        <w:rPr>
          <w:lang w:val="en-US"/>
        </w:rPr>
        <w:t xml:space="preserve">to provide </w:t>
      </w:r>
      <w:r>
        <w:rPr>
          <w:lang w:val="en-US"/>
        </w:rPr>
        <w:t xml:space="preserve">additional support to preparatory students and their families who need </w:t>
      </w:r>
      <w:proofErr w:type="gramStart"/>
      <w:r>
        <w:rPr>
          <w:lang w:val="en-US"/>
        </w:rPr>
        <w:t>it, but</w:t>
      </w:r>
      <w:proofErr w:type="gramEnd"/>
      <w:r>
        <w:rPr>
          <w:lang w:val="en-US"/>
        </w:rPr>
        <w:t xml:space="preserve"> maintains that preparatory students should be excepted from suspension and exclusion regimes. </w:t>
      </w:r>
    </w:p>
    <w:p w14:paraId="70AC9E9C" w14:textId="0D45F70E" w:rsidR="002F473A" w:rsidRDefault="002F473A" w:rsidP="002F473A">
      <w:pPr>
        <w:pStyle w:val="Numberedparagraph"/>
        <w:rPr>
          <w:lang w:val="en-US"/>
        </w:rPr>
      </w:pPr>
      <w:r>
        <w:rPr>
          <w:lang w:val="en-US"/>
        </w:rPr>
        <w:t xml:space="preserve">Removal of the option of </w:t>
      </w:r>
      <w:r w:rsidR="00F74315">
        <w:rPr>
          <w:lang w:val="en-US"/>
        </w:rPr>
        <w:t xml:space="preserve">SDAs for preparatory students </w:t>
      </w:r>
      <w:r>
        <w:rPr>
          <w:lang w:val="en-US"/>
        </w:rPr>
        <w:t>will need to be accompanied by sufficient resourcing of alternative measures to support positive behaviour, so that the school community is not exposed to unacceptable risk</w:t>
      </w:r>
      <w:r w:rsidR="000C7990">
        <w:rPr>
          <w:lang w:val="en-US"/>
        </w:rPr>
        <w:t xml:space="preserve"> </w:t>
      </w:r>
      <w:r w:rsidR="007619DD">
        <w:rPr>
          <w:lang w:val="en-US"/>
        </w:rPr>
        <w:t>or unacceptable interference with the education of other students.</w:t>
      </w:r>
    </w:p>
    <w:p w14:paraId="325622E8" w14:textId="2CAA0125" w:rsidR="00E7475F" w:rsidRDefault="00A00EE3" w:rsidP="00A857B1">
      <w:pPr>
        <w:pStyle w:val="Heading2"/>
        <w:rPr>
          <w:lang w:val="en-US"/>
        </w:rPr>
      </w:pPr>
      <w:bookmarkStart w:id="21" w:name="_Toc162451272"/>
      <w:r>
        <w:rPr>
          <w:lang w:val="en-US"/>
        </w:rPr>
        <w:t>Expressly acknowledge that s</w:t>
      </w:r>
      <w:r w:rsidR="00E7475F">
        <w:rPr>
          <w:lang w:val="en-US"/>
        </w:rPr>
        <w:t xml:space="preserve">uspensions and exclusions are an option of last </w:t>
      </w:r>
      <w:proofErr w:type="gramStart"/>
      <w:r w:rsidR="00E7475F">
        <w:rPr>
          <w:lang w:val="en-US"/>
        </w:rPr>
        <w:t>resort</w:t>
      </w:r>
      <w:bookmarkEnd w:id="21"/>
      <w:proofErr w:type="gramEnd"/>
    </w:p>
    <w:p w14:paraId="08138B02" w14:textId="1CF2116A" w:rsidR="000C7990" w:rsidRPr="0035505E" w:rsidRDefault="000C7990" w:rsidP="000C7990">
      <w:pPr>
        <w:pStyle w:val="Numberedparagraph"/>
      </w:pPr>
      <w:r>
        <w:t xml:space="preserve">The Department’s current Student discipline procedure provides that school disciplinary absences, such as suspension or exclusion, should be applied ‘as a </w:t>
      </w:r>
      <w:r>
        <w:lastRenderedPageBreak/>
        <w:t>strategy of last resort’.</w:t>
      </w:r>
      <w:r>
        <w:rPr>
          <w:rStyle w:val="FootnoteReference"/>
        </w:rPr>
        <w:footnoteReference w:id="29"/>
      </w:r>
      <w:r>
        <w:t xml:space="preserve"> The Commission recommends that this be an </w:t>
      </w:r>
      <w:r w:rsidRPr="0035505E">
        <w:t>express guiding principle to SDA decision making under the EGP Act.</w:t>
      </w:r>
    </w:p>
    <w:p w14:paraId="6C0F2615" w14:textId="2B2AAEF8" w:rsidR="00632DA0" w:rsidRDefault="007160D5" w:rsidP="00632DA0">
      <w:pPr>
        <w:pStyle w:val="Numberedparagraph"/>
        <w:rPr>
          <w:lang w:val="en-US"/>
        </w:rPr>
      </w:pPr>
      <w:r>
        <w:rPr>
          <w:lang w:val="en-US"/>
        </w:rPr>
        <w:t xml:space="preserve">Whether </w:t>
      </w:r>
      <w:r w:rsidR="000C7990">
        <w:rPr>
          <w:lang w:val="en-US"/>
        </w:rPr>
        <w:t>an SDA decision is compatible with human rights</w:t>
      </w:r>
      <w:r>
        <w:rPr>
          <w:lang w:val="en-US"/>
        </w:rPr>
        <w:t xml:space="preserve"> includes consideration of whether there are any less restrictive and reasonably available ways to achieve the purpose.</w:t>
      </w:r>
      <w:r>
        <w:rPr>
          <w:rStyle w:val="FootnoteReference"/>
          <w:lang w:val="en-US"/>
        </w:rPr>
        <w:footnoteReference w:id="30"/>
      </w:r>
      <w:r w:rsidR="000C7990">
        <w:rPr>
          <w:lang w:val="en-US"/>
        </w:rPr>
        <w:t xml:space="preserve"> </w:t>
      </w:r>
      <w:r>
        <w:rPr>
          <w:lang w:val="en-US"/>
        </w:rPr>
        <w:t>Arguably, if there is a less restrictive and reasonabl</w:t>
      </w:r>
      <w:r w:rsidR="004868DA">
        <w:rPr>
          <w:lang w:val="en-US"/>
        </w:rPr>
        <w:t>y</w:t>
      </w:r>
      <w:r>
        <w:rPr>
          <w:lang w:val="en-US"/>
        </w:rPr>
        <w:t xml:space="preserve"> available way to achieve the purpose of the school disciplinary absence, then a decision to suspend or exclude the child is incompatible with human rights, which is unlawful under the Human Rights Act.</w:t>
      </w:r>
      <w:r>
        <w:rPr>
          <w:rStyle w:val="FootnoteReference"/>
          <w:lang w:val="en-US"/>
        </w:rPr>
        <w:footnoteReference w:id="31"/>
      </w:r>
    </w:p>
    <w:p w14:paraId="0FF6FC0F" w14:textId="2AE011B8" w:rsidR="007160D5" w:rsidRDefault="007160D5" w:rsidP="00632DA0">
      <w:pPr>
        <w:pStyle w:val="Numberedparagraph"/>
        <w:rPr>
          <w:lang w:val="en-US"/>
        </w:rPr>
      </w:pPr>
      <w:r w:rsidRPr="4E12C6BF">
        <w:rPr>
          <w:lang w:val="en-US"/>
        </w:rPr>
        <w:t>The proposed matters a principal</w:t>
      </w:r>
      <w:r w:rsidR="004868DA" w:rsidRPr="4E12C6BF">
        <w:rPr>
          <w:lang w:val="en-US"/>
        </w:rPr>
        <w:t xml:space="preserve"> or Department</w:t>
      </w:r>
      <w:r w:rsidRPr="4E12C6BF">
        <w:rPr>
          <w:lang w:val="en-US"/>
        </w:rPr>
        <w:t xml:space="preserve"> must consider before deciding to impose </w:t>
      </w:r>
      <w:proofErr w:type="gramStart"/>
      <w:r w:rsidR="66698692" w:rsidRPr="4E12C6BF">
        <w:rPr>
          <w:lang w:val="en-US"/>
        </w:rPr>
        <w:t>a</w:t>
      </w:r>
      <w:proofErr w:type="gramEnd"/>
      <w:r w:rsidRPr="4E12C6BF">
        <w:rPr>
          <w:lang w:val="en-US"/>
        </w:rPr>
        <w:t xml:space="preserve"> </w:t>
      </w:r>
      <w:r w:rsidR="005A0E1A" w:rsidRPr="4E12C6BF">
        <w:rPr>
          <w:lang w:val="en-US"/>
        </w:rPr>
        <w:t xml:space="preserve">SDA </w:t>
      </w:r>
      <w:r w:rsidRPr="4E12C6BF">
        <w:rPr>
          <w:lang w:val="en-US"/>
        </w:rPr>
        <w:t>reinforce the notion that they are strategies of last resort. These include:</w:t>
      </w:r>
    </w:p>
    <w:p w14:paraId="1C1180AC" w14:textId="4C9FDE15" w:rsidR="007160D5" w:rsidRDefault="007160D5" w:rsidP="007160D5">
      <w:pPr>
        <w:pStyle w:val="Numberedparagraph"/>
        <w:numPr>
          <w:ilvl w:val="1"/>
          <w:numId w:val="1"/>
        </w:numPr>
        <w:rPr>
          <w:lang w:val="en-US"/>
        </w:rPr>
      </w:pPr>
      <w:r w:rsidRPr="4E12C6BF">
        <w:rPr>
          <w:lang w:val="en-US"/>
        </w:rPr>
        <w:t xml:space="preserve">Other action the principal could take to adequately deal with the </w:t>
      </w:r>
      <w:proofErr w:type="gramStart"/>
      <w:r w:rsidRPr="4E12C6BF">
        <w:rPr>
          <w:lang w:val="en-US"/>
        </w:rPr>
        <w:t>student’s  behaviour</w:t>
      </w:r>
      <w:proofErr w:type="gramEnd"/>
      <w:r w:rsidRPr="4E12C6BF">
        <w:rPr>
          <w:lang w:val="en-US"/>
        </w:rPr>
        <w:t xml:space="preserve"> but still allow the student to attend the school; and</w:t>
      </w:r>
    </w:p>
    <w:p w14:paraId="45442FE5" w14:textId="5AD14B94" w:rsidR="007160D5" w:rsidRDefault="007160D5" w:rsidP="007160D5">
      <w:pPr>
        <w:pStyle w:val="Numberedparagraph"/>
        <w:numPr>
          <w:ilvl w:val="1"/>
          <w:numId w:val="1"/>
        </w:numPr>
        <w:rPr>
          <w:lang w:val="en-US"/>
        </w:rPr>
      </w:pPr>
      <w:r>
        <w:rPr>
          <w:lang w:val="en-US"/>
        </w:rPr>
        <w:t xml:space="preserve">Any previous action taken by the principal or other staff of the school to deal with disobedience, misbehaviour or other negative behaviour of the </w:t>
      </w:r>
      <w:proofErr w:type="gramStart"/>
      <w:r>
        <w:rPr>
          <w:lang w:val="en-US"/>
        </w:rPr>
        <w:t>student;</w:t>
      </w:r>
      <w:proofErr w:type="gramEnd"/>
    </w:p>
    <w:p w14:paraId="53FFEB3B" w14:textId="66438D76" w:rsidR="007160D5" w:rsidRDefault="007160D5" w:rsidP="007160D5">
      <w:pPr>
        <w:pStyle w:val="Numberedparagraph"/>
        <w:numPr>
          <w:ilvl w:val="1"/>
          <w:numId w:val="1"/>
        </w:numPr>
        <w:rPr>
          <w:lang w:val="en-US"/>
        </w:rPr>
      </w:pPr>
      <w:r>
        <w:rPr>
          <w:lang w:val="en-US"/>
        </w:rPr>
        <w:t xml:space="preserve">For a student with disability adjustments made or other action taken to support the student and whether further adjustments or action could be </w:t>
      </w:r>
      <w:proofErr w:type="gramStart"/>
      <w:r>
        <w:rPr>
          <w:lang w:val="en-US"/>
        </w:rPr>
        <w:t>considered;</w:t>
      </w:r>
      <w:proofErr w:type="gramEnd"/>
    </w:p>
    <w:p w14:paraId="75325098" w14:textId="56B43A35" w:rsidR="007160D5" w:rsidRDefault="007160D5" w:rsidP="007160D5">
      <w:pPr>
        <w:pStyle w:val="Numberedparagraph"/>
        <w:numPr>
          <w:ilvl w:val="1"/>
          <w:numId w:val="1"/>
        </w:numPr>
        <w:rPr>
          <w:lang w:val="en-US"/>
        </w:rPr>
      </w:pPr>
      <w:r>
        <w:rPr>
          <w:lang w:val="en-US"/>
        </w:rPr>
        <w:t>For an Aboriginal student or a Torres Strait Islander student, whether the cultural background of the student has been sufficiently recognized and supported in the school environment and whether further steps could be taken to better recognise and support the student’s cultural background.</w:t>
      </w:r>
      <w:r>
        <w:rPr>
          <w:rStyle w:val="FootnoteReference"/>
          <w:lang w:val="en-US"/>
        </w:rPr>
        <w:footnoteReference w:id="32"/>
      </w:r>
    </w:p>
    <w:p w14:paraId="7307A566" w14:textId="5926E26F" w:rsidR="005A0E1A" w:rsidRDefault="005A0E1A" w:rsidP="005A0E1A">
      <w:pPr>
        <w:pStyle w:val="Numberedparagraph"/>
        <w:rPr>
          <w:lang w:val="en-US"/>
        </w:rPr>
      </w:pPr>
      <w:r>
        <w:rPr>
          <w:lang w:val="en-US"/>
        </w:rPr>
        <w:t>The EGP Act should expressly reflect the generally accepted position that SDAs are a matter of last resort. This will facilitate compliance with the Human Rights Act and place priority on early intervention.</w:t>
      </w:r>
    </w:p>
    <w:p w14:paraId="72D3FB4C" w14:textId="6BA4B9E3" w:rsidR="00E7475F" w:rsidRDefault="00E7475F" w:rsidP="00A857B1">
      <w:pPr>
        <w:pStyle w:val="Heading2"/>
        <w:rPr>
          <w:lang w:val="en-US"/>
        </w:rPr>
      </w:pPr>
      <w:bookmarkStart w:id="22" w:name="_Toc162451273"/>
      <w:r>
        <w:rPr>
          <w:lang w:val="en-US"/>
        </w:rPr>
        <w:t xml:space="preserve">Grounds and </w:t>
      </w:r>
      <w:r w:rsidR="00A857B1">
        <w:rPr>
          <w:lang w:val="en-US"/>
        </w:rPr>
        <w:t xml:space="preserve">matters </w:t>
      </w:r>
      <w:r>
        <w:rPr>
          <w:lang w:val="en-US"/>
        </w:rPr>
        <w:t>to be c</w:t>
      </w:r>
      <w:r w:rsidRPr="00DD6390">
        <w:rPr>
          <w:lang w:val="en-US"/>
        </w:rPr>
        <w:t>onsidered when making suspension and exclusion decisions support a decision</w:t>
      </w:r>
      <w:r>
        <w:rPr>
          <w:lang w:val="en-US"/>
        </w:rPr>
        <w:t xml:space="preserve"> that is compatible </w:t>
      </w:r>
      <w:r w:rsidRPr="00DD6390">
        <w:t>with</w:t>
      </w:r>
      <w:r>
        <w:rPr>
          <w:lang w:val="en-US"/>
        </w:rPr>
        <w:t xml:space="preserve"> human rights</w:t>
      </w:r>
      <w:r w:rsidR="004F1B21">
        <w:rPr>
          <w:lang w:val="en-US"/>
        </w:rPr>
        <w:t xml:space="preserve"> – clauses </w:t>
      </w:r>
      <w:r w:rsidR="0099293C">
        <w:rPr>
          <w:lang w:val="en-US"/>
        </w:rPr>
        <w:t xml:space="preserve">76, </w:t>
      </w:r>
      <w:r w:rsidR="004F1B21">
        <w:rPr>
          <w:lang w:val="en-US"/>
        </w:rPr>
        <w:t>77, 84, 87 and 120.</w:t>
      </w:r>
      <w:bookmarkEnd w:id="22"/>
    </w:p>
    <w:p w14:paraId="3572FA78" w14:textId="7BE38895" w:rsidR="00FB3876" w:rsidRDefault="00FB3876" w:rsidP="00E7475F">
      <w:pPr>
        <w:pStyle w:val="Numberedparagraph"/>
        <w:rPr>
          <w:lang w:val="en-US"/>
        </w:rPr>
      </w:pPr>
      <w:r>
        <w:rPr>
          <w:lang w:val="en-US"/>
        </w:rPr>
        <w:t>The EGP Act sets out the grounds upon which a student may be suspended or excluded</w:t>
      </w:r>
      <w:r>
        <w:rPr>
          <w:rStyle w:val="FootnoteReference"/>
          <w:lang w:val="en-US"/>
        </w:rPr>
        <w:footnoteReference w:id="33"/>
      </w:r>
      <w:r>
        <w:rPr>
          <w:lang w:val="en-US"/>
        </w:rPr>
        <w:t xml:space="preserve"> (</w:t>
      </w:r>
      <w:r w:rsidRPr="00FB3876">
        <w:rPr>
          <w:b/>
          <w:bCs/>
          <w:lang w:val="en-US"/>
        </w:rPr>
        <w:t xml:space="preserve">the </w:t>
      </w:r>
      <w:r>
        <w:rPr>
          <w:b/>
          <w:bCs/>
          <w:lang w:val="en-US"/>
        </w:rPr>
        <w:t>g</w:t>
      </w:r>
      <w:r w:rsidRPr="00FB3876">
        <w:rPr>
          <w:b/>
          <w:bCs/>
          <w:lang w:val="en-US"/>
        </w:rPr>
        <w:t>rounds</w:t>
      </w:r>
      <w:r>
        <w:rPr>
          <w:lang w:val="en-US"/>
        </w:rPr>
        <w:t xml:space="preserve">). These </w:t>
      </w:r>
      <w:r w:rsidR="004868DA">
        <w:rPr>
          <w:lang w:val="en-US"/>
        </w:rPr>
        <w:t>grounds</w:t>
      </w:r>
      <w:r>
        <w:rPr>
          <w:lang w:val="en-US"/>
        </w:rPr>
        <w:t xml:space="preserve"> are not amended by the Bill. The Bill </w:t>
      </w:r>
      <w:r w:rsidR="007619DD">
        <w:rPr>
          <w:lang w:val="en-US"/>
        </w:rPr>
        <w:t xml:space="preserve">additionally prescribes </w:t>
      </w:r>
      <w:r>
        <w:rPr>
          <w:lang w:val="en-US"/>
        </w:rPr>
        <w:t xml:space="preserve">matters </w:t>
      </w:r>
      <w:proofErr w:type="gramStart"/>
      <w:r w:rsidR="00D75D3E">
        <w:rPr>
          <w:lang w:val="en-US"/>
        </w:rPr>
        <w:t>p</w:t>
      </w:r>
      <w:r>
        <w:rPr>
          <w:lang w:val="en-US"/>
        </w:rPr>
        <w:t>rincipals</w:t>
      </w:r>
      <w:proofErr w:type="gramEnd"/>
      <w:r>
        <w:rPr>
          <w:lang w:val="en-US"/>
        </w:rPr>
        <w:t xml:space="preserve"> </w:t>
      </w:r>
      <w:r w:rsidR="00D75D3E">
        <w:rPr>
          <w:lang w:val="en-US"/>
        </w:rPr>
        <w:t xml:space="preserve">or the Department </w:t>
      </w:r>
      <w:r>
        <w:rPr>
          <w:lang w:val="en-US"/>
        </w:rPr>
        <w:t xml:space="preserve">must take into </w:t>
      </w:r>
      <w:r>
        <w:rPr>
          <w:lang w:val="en-US"/>
        </w:rPr>
        <w:lastRenderedPageBreak/>
        <w:t>account before suspending or excluding a student</w:t>
      </w:r>
      <w:r>
        <w:rPr>
          <w:rStyle w:val="FootnoteReference"/>
          <w:lang w:val="en-US"/>
        </w:rPr>
        <w:footnoteReference w:id="34"/>
      </w:r>
      <w:r>
        <w:rPr>
          <w:lang w:val="en-US"/>
        </w:rPr>
        <w:t xml:space="preserve"> (</w:t>
      </w:r>
      <w:r w:rsidR="001B2CA2">
        <w:rPr>
          <w:b/>
          <w:bCs/>
          <w:lang w:val="en-US"/>
        </w:rPr>
        <w:t xml:space="preserve">prescribed </w:t>
      </w:r>
      <w:r w:rsidRPr="00FB3876">
        <w:rPr>
          <w:b/>
          <w:bCs/>
          <w:lang w:val="en-US"/>
        </w:rPr>
        <w:t>matters</w:t>
      </w:r>
      <w:r>
        <w:rPr>
          <w:lang w:val="en-US"/>
        </w:rPr>
        <w:t>).</w:t>
      </w:r>
      <w:r w:rsidR="00547AA3">
        <w:rPr>
          <w:lang w:val="en-US"/>
        </w:rPr>
        <w:t xml:space="preserve"> The grounds and </w:t>
      </w:r>
      <w:r w:rsidR="001B2CA2">
        <w:rPr>
          <w:lang w:val="en-US"/>
        </w:rPr>
        <w:t xml:space="preserve">prescribed </w:t>
      </w:r>
      <w:r w:rsidR="00547AA3">
        <w:rPr>
          <w:lang w:val="en-US"/>
        </w:rPr>
        <w:t xml:space="preserve">matters for suspensions and exclusions are substantially similar. </w:t>
      </w:r>
    </w:p>
    <w:p w14:paraId="18EC5DC3" w14:textId="1BA767D1" w:rsidR="005A0E1A" w:rsidRDefault="00614B27" w:rsidP="00614B27">
      <w:pPr>
        <w:pStyle w:val="Numberedparagraph"/>
        <w:rPr>
          <w:lang w:val="en-US"/>
        </w:rPr>
      </w:pPr>
      <w:r>
        <w:rPr>
          <w:lang w:val="en-US"/>
        </w:rPr>
        <w:t xml:space="preserve">SDAs interfere with </w:t>
      </w:r>
      <w:r w:rsidR="00B2616C">
        <w:rPr>
          <w:lang w:val="en-US"/>
        </w:rPr>
        <w:t xml:space="preserve">a students’ right to education and the rights of the child. Depending on the circumstances, </w:t>
      </w:r>
      <w:r w:rsidR="007619DD">
        <w:rPr>
          <w:lang w:val="en-US"/>
        </w:rPr>
        <w:t xml:space="preserve">an SDA could also interfere </w:t>
      </w:r>
      <w:r w:rsidR="00B2616C">
        <w:rPr>
          <w:lang w:val="en-US"/>
        </w:rPr>
        <w:t>wit</w:t>
      </w:r>
      <w:r w:rsidR="00A00EE3">
        <w:rPr>
          <w:lang w:val="en-US"/>
        </w:rPr>
        <w:t>h</w:t>
      </w:r>
      <w:r w:rsidR="00B2616C">
        <w:rPr>
          <w:lang w:val="en-US"/>
        </w:rPr>
        <w:t xml:space="preserve"> the student’s right to recognition and equality before the law, and the cultural rights of Aboriginal peoples and Torres Strait Islander peoples</w:t>
      </w:r>
      <w:r w:rsidR="00A00EE3">
        <w:rPr>
          <w:lang w:val="en-US"/>
        </w:rPr>
        <w:t>. SDAs therefore limit human rights</w:t>
      </w:r>
      <w:r w:rsidR="00D75D3E">
        <w:rPr>
          <w:lang w:val="en-US"/>
        </w:rPr>
        <w:t xml:space="preserve"> and must be justified if they are to be compatible with human rights</w:t>
      </w:r>
      <w:r w:rsidR="00A00EE3">
        <w:rPr>
          <w:lang w:val="en-US"/>
        </w:rPr>
        <w:t>.</w:t>
      </w:r>
      <w:r w:rsidR="00A00EE3">
        <w:rPr>
          <w:rStyle w:val="FootnoteReference"/>
          <w:lang w:val="en-US"/>
        </w:rPr>
        <w:footnoteReference w:id="35"/>
      </w:r>
      <w:r w:rsidR="00266FB1">
        <w:rPr>
          <w:lang w:val="en-US"/>
        </w:rPr>
        <w:t xml:space="preserve"> ‘The burden on the public entity to justify limitations is high, requiring a degree of probability commensurate with the occasion, and must be strictly imposed in circumstances where the individual concerned is particularly vulnerable.’</w:t>
      </w:r>
      <w:r w:rsidR="00266FB1">
        <w:rPr>
          <w:rStyle w:val="FootnoteReference"/>
          <w:lang w:val="en-US"/>
        </w:rPr>
        <w:footnoteReference w:id="36"/>
      </w:r>
    </w:p>
    <w:p w14:paraId="1359FAA8" w14:textId="7B6953D7" w:rsidR="007619DD" w:rsidRPr="007619DD" w:rsidRDefault="00D75D3E" w:rsidP="007619DD">
      <w:pPr>
        <w:pStyle w:val="Numberedparagraph"/>
        <w:rPr>
          <w:lang w:val="en-US"/>
        </w:rPr>
      </w:pPr>
      <w:r>
        <w:rPr>
          <w:lang w:val="en-US"/>
        </w:rPr>
        <w:t xml:space="preserve">The Commission’s primary concern is that under the Bill, before making an SDA decision, the decision-maker ‘must’ consider the </w:t>
      </w:r>
      <w:r w:rsidR="00992923">
        <w:rPr>
          <w:lang w:val="en-US"/>
        </w:rPr>
        <w:t>prescribed matters</w:t>
      </w:r>
      <w:r>
        <w:rPr>
          <w:lang w:val="en-US"/>
        </w:rPr>
        <w:t xml:space="preserve">. Those matters are defined by regulation exhaustively, without any general discretion to consider further matters. This may prevent a decision-maker from considering matters relevant to assessing compatibility with human rights, leading to a conclusion that is not compatible with human rights. </w:t>
      </w:r>
      <w:r w:rsidR="004868DA">
        <w:rPr>
          <w:lang w:val="en-US"/>
        </w:rPr>
        <w:t>Potentially, t</w:t>
      </w:r>
      <w:r>
        <w:rPr>
          <w:lang w:val="en-US"/>
        </w:rPr>
        <w:t xml:space="preserve">he </w:t>
      </w:r>
      <w:r w:rsidR="004868DA">
        <w:rPr>
          <w:lang w:val="en-US"/>
        </w:rPr>
        <w:t xml:space="preserve">current drafting may oust the </w:t>
      </w:r>
      <w:r>
        <w:rPr>
          <w:lang w:val="en-US"/>
        </w:rPr>
        <w:t xml:space="preserve">operation of the Human Rights Act </w:t>
      </w:r>
      <w:r w:rsidR="004868DA">
        <w:rPr>
          <w:lang w:val="en-US"/>
        </w:rPr>
        <w:t xml:space="preserve">altogether in relation to </w:t>
      </w:r>
      <w:r>
        <w:rPr>
          <w:lang w:val="en-US"/>
        </w:rPr>
        <w:t>SDA decisions by virtue of section 58(2) of the Human Rights Act.</w:t>
      </w:r>
      <w:r>
        <w:rPr>
          <w:rStyle w:val="FootnoteReference"/>
          <w:lang w:val="en-US"/>
        </w:rPr>
        <w:footnoteReference w:id="37"/>
      </w:r>
      <w:r>
        <w:rPr>
          <w:lang w:val="en-US"/>
        </w:rPr>
        <w:t xml:space="preserve"> </w:t>
      </w:r>
      <w:r w:rsidR="007619DD" w:rsidRPr="007619DD">
        <w:rPr>
          <w:b/>
          <w:bCs/>
          <w:lang w:val="en-US"/>
        </w:rPr>
        <w:t>The Bill must be amended so that decision-makers making SDA decisions can consider relevant matters that are not specifically prescribed, including matters relevant to human rights.</w:t>
      </w:r>
    </w:p>
    <w:p w14:paraId="3711A047" w14:textId="69DFA9F7" w:rsidR="00614B27" w:rsidRPr="00682A2F" w:rsidRDefault="00682A2F" w:rsidP="00682A2F">
      <w:pPr>
        <w:pStyle w:val="Numberedparagraph"/>
        <w:rPr>
          <w:lang w:val="en-US"/>
        </w:rPr>
      </w:pPr>
      <w:r>
        <w:rPr>
          <w:lang w:val="en-US"/>
        </w:rPr>
        <w:t>Turning to the</w:t>
      </w:r>
      <w:r w:rsidR="00A06A63">
        <w:rPr>
          <w:lang w:val="en-US"/>
        </w:rPr>
        <w:t xml:space="preserve"> </w:t>
      </w:r>
      <w:r w:rsidR="007619DD">
        <w:rPr>
          <w:lang w:val="en-US"/>
        </w:rPr>
        <w:t>substance of the grounds and prescribed matters for SDAs</w:t>
      </w:r>
      <w:r>
        <w:rPr>
          <w:lang w:val="en-US"/>
        </w:rPr>
        <w:t xml:space="preserve">, the Commission is of the view that these should, as far as possible, facilitate a decision that is compatible with human rights. </w:t>
      </w:r>
      <w:r w:rsidR="007619DD">
        <w:rPr>
          <w:lang w:val="en-US"/>
        </w:rPr>
        <w:t xml:space="preserve">Using </w:t>
      </w:r>
      <w:r>
        <w:rPr>
          <w:lang w:val="en-US"/>
        </w:rPr>
        <w:t xml:space="preserve">the factors set out in </w:t>
      </w:r>
      <w:r w:rsidR="009F7923" w:rsidRPr="00682A2F">
        <w:rPr>
          <w:lang w:val="en-US"/>
        </w:rPr>
        <w:t>section 13(2) of the Human Rights Act</w:t>
      </w:r>
      <w:r>
        <w:rPr>
          <w:lang w:val="en-US"/>
        </w:rPr>
        <w:t xml:space="preserve"> to assess proportionality</w:t>
      </w:r>
      <w:r w:rsidR="007619DD">
        <w:rPr>
          <w:lang w:val="en-US"/>
        </w:rPr>
        <w:t>, the Commission makes the following observations of the grounds and prescribed matters</w:t>
      </w:r>
      <w:r w:rsidR="00AE2BE5" w:rsidRPr="00682A2F">
        <w:rPr>
          <w:lang w:val="en-US"/>
        </w:rPr>
        <w:t>:</w:t>
      </w:r>
    </w:p>
    <w:p w14:paraId="7AE5B1C9" w14:textId="77777777" w:rsidR="00E7475F" w:rsidRDefault="00A00EE3" w:rsidP="00614B27">
      <w:pPr>
        <w:pStyle w:val="Numberedparagraph"/>
        <w:numPr>
          <w:ilvl w:val="1"/>
          <w:numId w:val="1"/>
        </w:numPr>
        <w:rPr>
          <w:lang w:val="en-US"/>
        </w:rPr>
      </w:pPr>
      <w:r>
        <w:rPr>
          <w:lang w:val="en-US"/>
        </w:rPr>
        <w:t xml:space="preserve">The nature of the human right – The significance of the right to education and the </w:t>
      </w:r>
      <w:r w:rsidR="00657274">
        <w:rPr>
          <w:lang w:val="en-US"/>
        </w:rPr>
        <w:t>rights of the child have been identified above.</w:t>
      </w:r>
    </w:p>
    <w:p w14:paraId="3341191E" w14:textId="58A3E295" w:rsidR="00AE2BE5" w:rsidRDefault="00657274" w:rsidP="00054D42">
      <w:pPr>
        <w:pStyle w:val="Numberedparagraph"/>
        <w:numPr>
          <w:ilvl w:val="1"/>
          <w:numId w:val="1"/>
        </w:numPr>
        <w:rPr>
          <w:lang w:val="en-US"/>
        </w:rPr>
      </w:pPr>
      <w:r w:rsidRPr="00054D42">
        <w:rPr>
          <w:lang w:val="en-US"/>
        </w:rPr>
        <w:lastRenderedPageBreak/>
        <w:t>The</w:t>
      </w:r>
      <w:r>
        <w:rPr>
          <w:lang w:val="en-US"/>
        </w:rPr>
        <w:t xml:space="preserve"> purpose of the limitation </w:t>
      </w:r>
      <w:r w:rsidR="00266FB1">
        <w:rPr>
          <w:lang w:val="en-US"/>
        </w:rPr>
        <w:t>–</w:t>
      </w:r>
      <w:r w:rsidR="00AC6B0C">
        <w:rPr>
          <w:lang w:val="en-US"/>
        </w:rPr>
        <w:t xml:space="preserve"> T</w:t>
      </w:r>
      <w:r w:rsidR="00266FB1">
        <w:rPr>
          <w:lang w:val="en-US"/>
        </w:rPr>
        <w:t xml:space="preserve">he purpose of the SDA </w:t>
      </w:r>
      <w:r w:rsidR="00621FCD">
        <w:rPr>
          <w:lang w:val="en-US"/>
        </w:rPr>
        <w:t xml:space="preserve">needs to be sufficient to outweigh the </w:t>
      </w:r>
      <w:r w:rsidR="00AC6B0C">
        <w:rPr>
          <w:lang w:val="en-US"/>
        </w:rPr>
        <w:t xml:space="preserve">significant, and potentially catastrophic, outcomes for a child the subject of an SDA. Such purposes </w:t>
      </w:r>
      <w:r w:rsidR="007619DD">
        <w:rPr>
          <w:lang w:val="en-US"/>
        </w:rPr>
        <w:t>might</w:t>
      </w:r>
      <w:r w:rsidR="00AC6B0C">
        <w:rPr>
          <w:lang w:val="en-US"/>
        </w:rPr>
        <w:t xml:space="preserve"> include unacceptable risks to safety and wellbeing of the </w:t>
      </w:r>
      <w:r w:rsidR="7689439D">
        <w:rPr>
          <w:lang w:val="en-US"/>
        </w:rPr>
        <w:t xml:space="preserve">student or </w:t>
      </w:r>
      <w:r w:rsidR="00AC6B0C">
        <w:rPr>
          <w:lang w:val="en-US"/>
        </w:rPr>
        <w:t>school community, unacceptable interference with other students</w:t>
      </w:r>
      <w:r w:rsidR="005F588D">
        <w:rPr>
          <w:lang w:val="en-US"/>
        </w:rPr>
        <w:t>’</w:t>
      </w:r>
      <w:r w:rsidR="00AC6B0C">
        <w:rPr>
          <w:lang w:val="en-US"/>
        </w:rPr>
        <w:t xml:space="preserve"> education, </w:t>
      </w:r>
      <w:r w:rsidR="00832A5A">
        <w:rPr>
          <w:lang w:val="en-US"/>
        </w:rPr>
        <w:t>serious property damage</w:t>
      </w:r>
      <w:r w:rsidR="53895890">
        <w:rPr>
          <w:lang w:val="en-US"/>
        </w:rPr>
        <w:t>,</w:t>
      </w:r>
      <w:r w:rsidR="00832A5A">
        <w:rPr>
          <w:lang w:val="en-US"/>
        </w:rPr>
        <w:t xml:space="preserve"> </w:t>
      </w:r>
      <w:r w:rsidR="00AC6B0C">
        <w:rPr>
          <w:lang w:val="en-US"/>
        </w:rPr>
        <w:t xml:space="preserve">or </w:t>
      </w:r>
      <w:r w:rsidR="00832A5A">
        <w:rPr>
          <w:lang w:val="en-US"/>
        </w:rPr>
        <w:t xml:space="preserve">illegal activity </w:t>
      </w:r>
      <w:r w:rsidR="00AC6B0C">
        <w:rPr>
          <w:lang w:val="en-US"/>
        </w:rPr>
        <w:t xml:space="preserve">creating risk for the school community. </w:t>
      </w:r>
      <w:r w:rsidR="1EF32A3F" w:rsidRPr="00054D42">
        <w:rPr>
          <w:lang w:val="en-US"/>
        </w:rPr>
        <w:t>T</w:t>
      </w:r>
      <w:r w:rsidR="00AC6B0C" w:rsidRPr="00054D42">
        <w:rPr>
          <w:lang w:val="en-US"/>
        </w:rPr>
        <w:t>he</w:t>
      </w:r>
      <w:r w:rsidR="00AC6B0C">
        <w:rPr>
          <w:lang w:val="en-US"/>
        </w:rPr>
        <w:t xml:space="preserve"> EGP Act</w:t>
      </w:r>
      <w:r w:rsidR="098E7385">
        <w:rPr>
          <w:lang w:val="en-US"/>
        </w:rPr>
        <w:t>, however,</w:t>
      </w:r>
      <w:r w:rsidRPr="3ACE0C9B" w:rsidDel="00AC6B0C">
        <w:rPr>
          <w:lang w:val="en-US"/>
        </w:rPr>
        <w:t xml:space="preserve"> </w:t>
      </w:r>
      <w:r w:rsidR="00AC6B0C">
        <w:rPr>
          <w:lang w:val="en-US"/>
        </w:rPr>
        <w:t xml:space="preserve">allows for SDAs </w:t>
      </w:r>
      <w:r w:rsidR="00DC3F37">
        <w:rPr>
          <w:lang w:val="en-US"/>
        </w:rPr>
        <w:t xml:space="preserve">on the grounds of </w:t>
      </w:r>
      <w:r w:rsidR="00AC6B0C">
        <w:rPr>
          <w:lang w:val="en-US"/>
        </w:rPr>
        <w:t>disobedience</w:t>
      </w:r>
      <w:r w:rsidR="00DC3F37">
        <w:rPr>
          <w:lang w:val="en-US"/>
        </w:rPr>
        <w:t>,</w:t>
      </w:r>
      <w:r w:rsidR="00AC6B0C">
        <w:rPr>
          <w:lang w:val="en-US"/>
        </w:rPr>
        <w:t xml:space="preserve"> misbehaviour</w:t>
      </w:r>
      <w:r w:rsidR="00DC3F37">
        <w:rPr>
          <w:lang w:val="en-US"/>
        </w:rPr>
        <w:t>, ‘conduct that adversely affects…other students’ and ‘conduct that adversely affects…the good order and management of the school’</w:t>
      </w:r>
      <w:r w:rsidR="00AC6B0C">
        <w:rPr>
          <w:lang w:val="en-US"/>
        </w:rPr>
        <w:t>.</w:t>
      </w:r>
      <w:r w:rsidR="00A06A63">
        <w:rPr>
          <w:rStyle w:val="FootnoteReference"/>
          <w:lang w:val="en-US"/>
        </w:rPr>
        <w:footnoteReference w:id="38"/>
      </w:r>
      <w:r w:rsidR="00DC3F37">
        <w:rPr>
          <w:lang w:val="en-US"/>
        </w:rPr>
        <w:t xml:space="preserve"> </w:t>
      </w:r>
      <w:r w:rsidR="073639FF">
        <w:rPr>
          <w:lang w:val="en-US"/>
        </w:rPr>
        <w:t xml:space="preserve">These grounds could </w:t>
      </w:r>
      <w:r w:rsidR="71B5D27A">
        <w:rPr>
          <w:lang w:val="en-US"/>
        </w:rPr>
        <w:t xml:space="preserve">easily </w:t>
      </w:r>
      <w:r w:rsidR="073639FF">
        <w:rPr>
          <w:lang w:val="en-US"/>
        </w:rPr>
        <w:t xml:space="preserve">lead to SDA decisions that cannot be justified by </w:t>
      </w:r>
      <w:r w:rsidR="359200C6" w:rsidRPr="3ACE0C9B">
        <w:rPr>
          <w:lang w:val="en-US"/>
        </w:rPr>
        <w:t>their purported purpose</w:t>
      </w:r>
      <w:r w:rsidR="073639FF">
        <w:rPr>
          <w:lang w:val="en-US"/>
        </w:rPr>
        <w:t xml:space="preserve">, </w:t>
      </w:r>
      <w:r w:rsidR="00832A5A" w:rsidRPr="3ACE0C9B">
        <w:rPr>
          <w:lang w:val="en-US"/>
        </w:rPr>
        <w:t>especially</w:t>
      </w:r>
      <w:r w:rsidR="001B2CA2" w:rsidRPr="3ACE0C9B">
        <w:rPr>
          <w:lang w:val="en-US"/>
        </w:rPr>
        <w:t xml:space="preserve"> in relation to </w:t>
      </w:r>
      <w:r w:rsidR="007619DD">
        <w:rPr>
          <w:lang w:val="en-US"/>
        </w:rPr>
        <w:t xml:space="preserve">young students, </w:t>
      </w:r>
      <w:r w:rsidR="00A06A63" w:rsidRPr="3ACE0C9B">
        <w:rPr>
          <w:lang w:val="en-US"/>
        </w:rPr>
        <w:t>exclusion</w:t>
      </w:r>
      <w:r w:rsidR="007619DD">
        <w:rPr>
          <w:lang w:val="en-US"/>
        </w:rPr>
        <w:t xml:space="preserve"> decisions</w:t>
      </w:r>
      <w:r w:rsidR="00A06A63" w:rsidRPr="3ACE0C9B">
        <w:rPr>
          <w:lang w:val="en-US"/>
        </w:rPr>
        <w:t xml:space="preserve">, </w:t>
      </w:r>
      <w:r w:rsidR="00DC3F37" w:rsidRPr="3ACE0C9B">
        <w:rPr>
          <w:lang w:val="en-US"/>
        </w:rPr>
        <w:t>and students for whom a SDA would have a serious detrimental impact</w:t>
      </w:r>
      <w:r w:rsidR="005F588D" w:rsidRPr="3ACE0C9B">
        <w:rPr>
          <w:lang w:val="en-US"/>
        </w:rPr>
        <w:t xml:space="preserve"> – for example, where there is a lack of family support</w:t>
      </w:r>
      <w:r w:rsidR="00A06A63" w:rsidRPr="3ACE0C9B">
        <w:rPr>
          <w:lang w:val="en-US"/>
        </w:rPr>
        <w:t xml:space="preserve"> for the student</w:t>
      </w:r>
      <w:r w:rsidR="00DC3F37" w:rsidRPr="3ACE0C9B">
        <w:rPr>
          <w:lang w:val="en-US"/>
        </w:rPr>
        <w:t>.</w:t>
      </w:r>
      <w:r w:rsidR="00FB3876" w:rsidRPr="3ACE0C9B">
        <w:rPr>
          <w:lang w:val="en-US"/>
        </w:rPr>
        <w:t xml:space="preserve"> </w:t>
      </w:r>
      <w:r w:rsidR="00832A5A" w:rsidRPr="005C6CF0">
        <w:rPr>
          <w:b/>
          <w:lang w:val="en-US"/>
        </w:rPr>
        <w:t>T</w:t>
      </w:r>
      <w:r w:rsidR="00832A5A" w:rsidRPr="00054D42">
        <w:rPr>
          <w:b/>
          <w:lang w:val="en-US"/>
        </w:rPr>
        <w:t xml:space="preserve">he Commission submits that the grounds should be reviewed </w:t>
      </w:r>
      <w:r w:rsidR="6B90FAC9" w:rsidRPr="00054D42">
        <w:rPr>
          <w:b/>
          <w:lang w:val="en-US"/>
        </w:rPr>
        <w:t xml:space="preserve">and refined to </w:t>
      </w:r>
      <w:r w:rsidR="000606FF">
        <w:rPr>
          <w:b/>
          <w:lang w:val="en-US"/>
        </w:rPr>
        <w:t xml:space="preserve">support </w:t>
      </w:r>
      <w:r w:rsidR="6B90FAC9" w:rsidRPr="00054D42">
        <w:rPr>
          <w:b/>
          <w:lang w:val="en-US"/>
        </w:rPr>
        <w:t>the making of SDAs only for purpose</w:t>
      </w:r>
      <w:r w:rsidR="0C3E8831" w:rsidRPr="00054D42">
        <w:rPr>
          <w:b/>
          <w:lang w:val="en-US"/>
        </w:rPr>
        <w:t>s</w:t>
      </w:r>
      <w:r w:rsidR="6B90FAC9" w:rsidRPr="00054D42">
        <w:rPr>
          <w:b/>
          <w:lang w:val="en-US"/>
        </w:rPr>
        <w:t xml:space="preserve"> capable of </w:t>
      </w:r>
      <w:r w:rsidR="64877598" w:rsidRPr="00054D42">
        <w:rPr>
          <w:b/>
          <w:lang w:val="en-US"/>
        </w:rPr>
        <w:t xml:space="preserve">justifying the </w:t>
      </w:r>
      <w:r w:rsidR="6B90FAC9" w:rsidRPr="00054D42">
        <w:rPr>
          <w:b/>
          <w:lang w:val="en-US"/>
        </w:rPr>
        <w:t xml:space="preserve">restrictions to the student’s </w:t>
      </w:r>
      <w:r w:rsidR="5504E500" w:rsidRPr="00054D42">
        <w:rPr>
          <w:b/>
          <w:lang w:val="en-US"/>
        </w:rPr>
        <w:t xml:space="preserve">human </w:t>
      </w:r>
      <w:r w:rsidR="6B90FAC9" w:rsidRPr="00054D42">
        <w:rPr>
          <w:b/>
          <w:lang w:val="en-US"/>
        </w:rPr>
        <w:t xml:space="preserve">rights. </w:t>
      </w:r>
      <w:r w:rsidR="00832A5A" w:rsidRPr="3ACE0C9B" w:rsidDel="00832A5A">
        <w:rPr>
          <w:lang w:val="en-US"/>
        </w:rPr>
        <w:t xml:space="preserve"> </w:t>
      </w:r>
    </w:p>
    <w:p w14:paraId="7EEF8418" w14:textId="61C8AEDD" w:rsidR="00832A5A" w:rsidRDefault="00832A5A" w:rsidP="00832A5A">
      <w:pPr>
        <w:pStyle w:val="Numberedparagraph"/>
        <w:numPr>
          <w:ilvl w:val="0"/>
          <w:numId w:val="0"/>
        </w:numPr>
        <w:ind w:left="907"/>
        <w:rPr>
          <w:lang w:val="en-US"/>
        </w:rPr>
      </w:pPr>
      <w:r>
        <w:rPr>
          <w:lang w:val="en-US"/>
        </w:rPr>
        <w:t>As an example, in Victoria, a principal may suspend a student if the student:</w:t>
      </w:r>
    </w:p>
    <w:p w14:paraId="2CE6A00A" w14:textId="77777777" w:rsidR="00832A5A" w:rsidRPr="00832A5A" w:rsidRDefault="00832A5A" w:rsidP="000606FF">
      <w:pPr>
        <w:pStyle w:val="Numberedparagraph"/>
        <w:numPr>
          <w:ilvl w:val="0"/>
          <w:numId w:val="0"/>
        </w:numPr>
        <w:spacing w:before="0" w:after="0"/>
        <w:ind w:left="1440" w:right="843"/>
        <w:rPr>
          <w:sz w:val="20"/>
          <w:szCs w:val="20"/>
          <w:lang w:val="en-US"/>
        </w:rPr>
      </w:pPr>
      <w:r w:rsidRPr="00832A5A">
        <w:rPr>
          <w:sz w:val="20"/>
          <w:szCs w:val="20"/>
          <w:lang w:val="en-US"/>
        </w:rPr>
        <w:t xml:space="preserve">(a) behaves in such a way as to pose a danger, whether actual, perceived or threatened, to the health, safety or wellbeing of any </w:t>
      </w:r>
      <w:proofErr w:type="gramStart"/>
      <w:r w:rsidRPr="00832A5A">
        <w:rPr>
          <w:sz w:val="20"/>
          <w:szCs w:val="20"/>
          <w:lang w:val="en-US"/>
        </w:rPr>
        <w:t>person;</w:t>
      </w:r>
      <w:proofErr w:type="gramEnd"/>
      <w:r w:rsidRPr="00832A5A">
        <w:rPr>
          <w:sz w:val="20"/>
          <w:szCs w:val="20"/>
          <w:lang w:val="en-US"/>
        </w:rPr>
        <w:t xml:space="preserve"> </w:t>
      </w:r>
    </w:p>
    <w:p w14:paraId="2696677E" w14:textId="77777777" w:rsidR="00832A5A" w:rsidRPr="00832A5A" w:rsidRDefault="00832A5A" w:rsidP="000606FF">
      <w:pPr>
        <w:pStyle w:val="Numberedparagraph"/>
        <w:numPr>
          <w:ilvl w:val="0"/>
          <w:numId w:val="0"/>
        </w:numPr>
        <w:spacing w:before="0" w:after="0"/>
        <w:ind w:left="1440" w:right="843"/>
        <w:rPr>
          <w:sz w:val="20"/>
          <w:szCs w:val="20"/>
          <w:lang w:val="en-US"/>
        </w:rPr>
      </w:pPr>
      <w:r w:rsidRPr="00832A5A">
        <w:rPr>
          <w:sz w:val="20"/>
          <w:szCs w:val="20"/>
          <w:lang w:val="en-US"/>
        </w:rPr>
        <w:t xml:space="preserve">(b) causes significant damage to or destruction of </w:t>
      </w:r>
      <w:proofErr w:type="gramStart"/>
      <w:r w:rsidRPr="00832A5A">
        <w:rPr>
          <w:sz w:val="20"/>
          <w:szCs w:val="20"/>
          <w:lang w:val="en-US"/>
        </w:rPr>
        <w:t>property;</w:t>
      </w:r>
      <w:proofErr w:type="gramEnd"/>
      <w:r w:rsidRPr="00832A5A">
        <w:rPr>
          <w:sz w:val="20"/>
          <w:szCs w:val="20"/>
          <w:lang w:val="en-US"/>
        </w:rPr>
        <w:t xml:space="preserve"> </w:t>
      </w:r>
    </w:p>
    <w:p w14:paraId="730D07AA" w14:textId="77777777" w:rsidR="00832A5A" w:rsidRPr="00832A5A" w:rsidRDefault="00832A5A" w:rsidP="000606FF">
      <w:pPr>
        <w:pStyle w:val="Numberedparagraph"/>
        <w:numPr>
          <w:ilvl w:val="0"/>
          <w:numId w:val="0"/>
        </w:numPr>
        <w:spacing w:before="0" w:after="0"/>
        <w:ind w:left="1440" w:right="843"/>
        <w:rPr>
          <w:sz w:val="20"/>
          <w:szCs w:val="20"/>
          <w:lang w:val="en-US"/>
        </w:rPr>
      </w:pPr>
      <w:r w:rsidRPr="00832A5A">
        <w:rPr>
          <w:sz w:val="20"/>
          <w:szCs w:val="20"/>
          <w:lang w:val="en-US"/>
        </w:rPr>
        <w:t xml:space="preserve">(c) commits or attempts to commit or is knowingly involved in the theft of </w:t>
      </w:r>
      <w:proofErr w:type="gramStart"/>
      <w:r w:rsidRPr="00832A5A">
        <w:rPr>
          <w:sz w:val="20"/>
          <w:szCs w:val="20"/>
          <w:lang w:val="en-US"/>
        </w:rPr>
        <w:t>property;</w:t>
      </w:r>
      <w:proofErr w:type="gramEnd"/>
      <w:r w:rsidRPr="00832A5A">
        <w:rPr>
          <w:sz w:val="20"/>
          <w:szCs w:val="20"/>
          <w:lang w:val="en-US"/>
        </w:rPr>
        <w:t xml:space="preserve"> </w:t>
      </w:r>
    </w:p>
    <w:p w14:paraId="55EBFC1E" w14:textId="77777777" w:rsidR="00832A5A" w:rsidRPr="00832A5A" w:rsidRDefault="00832A5A" w:rsidP="000606FF">
      <w:pPr>
        <w:pStyle w:val="Numberedparagraph"/>
        <w:numPr>
          <w:ilvl w:val="0"/>
          <w:numId w:val="0"/>
        </w:numPr>
        <w:spacing w:before="0" w:after="0"/>
        <w:ind w:left="1440" w:right="843"/>
        <w:rPr>
          <w:sz w:val="20"/>
          <w:szCs w:val="20"/>
          <w:lang w:val="en-US"/>
        </w:rPr>
      </w:pPr>
      <w:r w:rsidRPr="00832A5A">
        <w:rPr>
          <w:sz w:val="20"/>
          <w:szCs w:val="20"/>
          <w:lang w:val="en-US"/>
        </w:rPr>
        <w:t xml:space="preserve">(d) possesses, uses or sells or deliberately assists another person to possess, use or sell illicit substances or </w:t>
      </w:r>
      <w:proofErr w:type="gramStart"/>
      <w:r w:rsidRPr="00832A5A">
        <w:rPr>
          <w:sz w:val="20"/>
          <w:szCs w:val="20"/>
          <w:lang w:val="en-US"/>
        </w:rPr>
        <w:t>weapons;</w:t>
      </w:r>
      <w:proofErr w:type="gramEnd"/>
      <w:r w:rsidRPr="00832A5A">
        <w:rPr>
          <w:sz w:val="20"/>
          <w:szCs w:val="20"/>
          <w:lang w:val="en-US"/>
        </w:rPr>
        <w:t xml:space="preserve"> </w:t>
      </w:r>
    </w:p>
    <w:p w14:paraId="5933F260" w14:textId="77777777" w:rsidR="00832A5A" w:rsidRPr="00832A5A" w:rsidRDefault="00832A5A" w:rsidP="000606FF">
      <w:pPr>
        <w:pStyle w:val="Numberedparagraph"/>
        <w:numPr>
          <w:ilvl w:val="0"/>
          <w:numId w:val="0"/>
        </w:numPr>
        <w:spacing w:before="0" w:after="0"/>
        <w:ind w:left="1440" w:right="843"/>
        <w:rPr>
          <w:sz w:val="20"/>
          <w:szCs w:val="20"/>
          <w:lang w:val="en-US"/>
        </w:rPr>
      </w:pPr>
      <w:r w:rsidRPr="00832A5A">
        <w:rPr>
          <w:sz w:val="20"/>
          <w:szCs w:val="20"/>
          <w:lang w:val="en-US"/>
        </w:rPr>
        <w:t xml:space="preserve">(e) fails to comply with any clear and reasonable instruction of a staff member so as to pose a danger, whether actual, perceived or threatened, to the health, safety or wellbeing of any </w:t>
      </w:r>
      <w:proofErr w:type="gramStart"/>
      <w:r w:rsidRPr="00832A5A">
        <w:rPr>
          <w:sz w:val="20"/>
          <w:szCs w:val="20"/>
          <w:lang w:val="en-US"/>
        </w:rPr>
        <w:t>person;</w:t>
      </w:r>
      <w:proofErr w:type="gramEnd"/>
      <w:r w:rsidRPr="00832A5A">
        <w:rPr>
          <w:sz w:val="20"/>
          <w:szCs w:val="20"/>
          <w:lang w:val="en-US"/>
        </w:rPr>
        <w:t xml:space="preserve"> </w:t>
      </w:r>
    </w:p>
    <w:p w14:paraId="38E620CC" w14:textId="77777777" w:rsidR="00832A5A" w:rsidRPr="00832A5A" w:rsidRDefault="00832A5A" w:rsidP="000606FF">
      <w:pPr>
        <w:pStyle w:val="Numberedparagraph"/>
        <w:numPr>
          <w:ilvl w:val="0"/>
          <w:numId w:val="0"/>
        </w:numPr>
        <w:spacing w:before="0" w:after="0"/>
        <w:ind w:left="1440" w:right="843"/>
        <w:rPr>
          <w:sz w:val="20"/>
          <w:szCs w:val="20"/>
          <w:lang w:val="en-US"/>
        </w:rPr>
      </w:pPr>
      <w:r w:rsidRPr="00832A5A">
        <w:rPr>
          <w:sz w:val="20"/>
          <w:szCs w:val="20"/>
          <w:lang w:val="en-US"/>
        </w:rPr>
        <w:t xml:space="preserve">(f) consistently engages in behaviour that vilifies, defames, degrades or humiliates another person based on age; breastfeeding; gender identity; disability; impairment; industrial activity; lawful sexual activity; marital status; parental status or status as a carer; physical features; political belief or activity; pregnancy; race; religious belief or activity; sex; sexual orientation; personal association (whether as a relative or otherwise) with a person who is identified by reference to any of the above attributes; or </w:t>
      </w:r>
    </w:p>
    <w:p w14:paraId="11AEEFDD" w14:textId="08C0212C" w:rsidR="00832A5A" w:rsidRDefault="00832A5A" w:rsidP="000606FF">
      <w:pPr>
        <w:pStyle w:val="Numberedparagraph"/>
        <w:numPr>
          <w:ilvl w:val="0"/>
          <w:numId w:val="0"/>
        </w:numPr>
        <w:spacing w:before="0" w:after="0"/>
        <w:ind w:left="1440" w:right="843"/>
        <w:rPr>
          <w:sz w:val="20"/>
          <w:szCs w:val="20"/>
          <w:lang w:val="en-US"/>
        </w:rPr>
      </w:pPr>
      <w:r w:rsidRPr="00832A5A">
        <w:rPr>
          <w:sz w:val="20"/>
          <w:szCs w:val="20"/>
          <w:lang w:val="en-US"/>
        </w:rPr>
        <w:t xml:space="preserve">(g) consistently behaves in an unproductive manner that interferes with the wellbeing, </w:t>
      </w:r>
      <w:proofErr w:type="gramStart"/>
      <w:r w:rsidRPr="00832A5A">
        <w:rPr>
          <w:sz w:val="20"/>
          <w:szCs w:val="20"/>
          <w:lang w:val="en-US"/>
        </w:rPr>
        <w:t>safety</w:t>
      </w:r>
      <w:proofErr w:type="gramEnd"/>
      <w:r w:rsidRPr="00832A5A">
        <w:rPr>
          <w:sz w:val="20"/>
          <w:szCs w:val="20"/>
          <w:lang w:val="en-US"/>
        </w:rPr>
        <w:t xml:space="preserve"> or educational opportunities of any other student.</w:t>
      </w:r>
      <w:r>
        <w:rPr>
          <w:rStyle w:val="FootnoteReference"/>
          <w:sz w:val="20"/>
          <w:szCs w:val="20"/>
          <w:lang w:val="en-US"/>
        </w:rPr>
        <w:footnoteReference w:id="39"/>
      </w:r>
    </w:p>
    <w:p w14:paraId="5B3C5E98" w14:textId="77777777" w:rsidR="00832A5A" w:rsidRPr="00832A5A" w:rsidRDefault="00832A5A" w:rsidP="00832A5A">
      <w:pPr>
        <w:pStyle w:val="Numberedparagraph"/>
        <w:numPr>
          <w:ilvl w:val="0"/>
          <w:numId w:val="0"/>
        </w:numPr>
        <w:spacing w:before="0" w:after="0"/>
        <w:ind w:left="907"/>
        <w:rPr>
          <w:sz w:val="20"/>
          <w:szCs w:val="20"/>
          <w:lang w:val="en-US"/>
        </w:rPr>
      </w:pPr>
    </w:p>
    <w:p w14:paraId="1DDA83F9" w14:textId="1F97C40F" w:rsidR="00DC3F37" w:rsidRDefault="00861EF6" w:rsidP="00AE2BE5">
      <w:pPr>
        <w:pStyle w:val="Numberedparagraph"/>
        <w:numPr>
          <w:ilvl w:val="0"/>
          <w:numId w:val="0"/>
        </w:numPr>
        <w:ind w:left="907"/>
        <w:rPr>
          <w:lang w:val="en-US"/>
        </w:rPr>
      </w:pPr>
      <w:r>
        <w:rPr>
          <w:lang w:val="en-US"/>
        </w:rPr>
        <w:lastRenderedPageBreak/>
        <w:t xml:space="preserve">The Commission acknowledges that some of the </w:t>
      </w:r>
      <w:r w:rsidR="00992923">
        <w:rPr>
          <w:lang w:val="en-US"/>
        </w:rPr>
        <w:t>prescribed matters</w:t>
      </w:r>
      <w:r w:rsidR="00AE2BE5">
        <w:rPr>
          <w:lang w:val="en-US"/>
        </w:rPr>
        <w:t xml:space="preserve"> </w:t>
      </w:r>
      <w:r w:rsidR="000606FF">
        <w:rPr>
          <w:lang w:val="en-US"/>
        </w:rPr>
        <w:t xml:space="preserve">will help to ensure that </w:t>
      </w:r>
      <w:r w:rsidR="00AE2BE5">
        <w:rPr>
          <w:lang w:val="en-US"/>
        </w:rPr>
        <w:t>the purpose of the SDA will have sufficient gravity</w:t>
      </w:r>
      <w:r w:rsidR="00A06A63">
        <w:rPr>
          <w:lang w:val="en-US"/>
        </w:rPr>
        <w:t>, for example,</w:t>
      </w:r>
      <w:r w:rsidR="00AE2BE5">
        <w:rPr>
          <w:lang w:val="en-US"/>
        </w:rPr>
        <w:t xml:space="preserve"> the </w:t>
      </w:r>
      <w:r w:rsidR="00617B35">
        <w:rPr>
          <w:lang w:val="en-US"/>
        </w:rPr>
        <w:t>seriousness</w:t>
      </w:r>
      <w:r w:rsidR="00AE2BE5">
        <w:rPr>
          <w:lang w:val="en-US"/>
        </w:rPr>
        <w:t xml:space="preserve"> and frequency of the behaviour in question, the safety and wellbeing of the </w:t>
      </w:r>
      <w:r>
        <w:rPr>
          <w:lang w:val="en-US"/>
        </w:rPr>
        <w:t xml:space="preserve">school </w:t>
      </w:r>
      <w:r w:rsidR="00AE2BE5">
        <w:rPr>
          <w:lang w:val="en-US"/>
        </w:rPr>
        <w:t>communit</w:t>
      </w:r>
      <w:r>
        <w:rPr>
          <w:lang w:val="en-US"/>
        </w:rPr>
        <w:t xml:space="preserve">y, and the student’s previous behaviour. </w:t>
      </w:r>
    </w:p>
    <w:p w14:paraId="5D2A5E77" w14:textId="32B32663" w:rsidR="00F25269" w:rsidRPr="000606FF" w:rsidRDefault="005F588D" w:rsidP="000606FF">
      <w:pPr>
        <w:pStyle w:val="Numberedparagraph"/>
        <w:numPr>
          <w:ilvl w:val="1"/>
          <w:numId w:val="1"/>
        </w:numPr>
        <w:rPr>
          <w:b/>
          <w:bCs/>
          <w:lang w:val="en-US"/>
        </w:rPr>
      </w:pPr>
      <w:r w:rsidRPr="3ACE0C9B">
        <w:rPr>
          <w:lang w:val="en-US"/>
        </w:rPr>
        <w:t xml:space="preserve">The relationship between the limitation and its purpose – </w:t>
      </w:r>
      <w:r w:rsidR="00547AA3" w:rsidRPr="000606FF">
        <w:rPr>
          <w:lang w:val="en-US"/>
        </w:rPr>
        <w:t xml:space="preserve">Some </w:t>
      </w:r>
      <w:r w:rsidR="00992923" w:rsidRPr="000606FF">
        <w:rPr>
          <w:lang w:val="en-US"/>
        </w:rPr>
        <w:t>prescribed matters</w:t>
      </w:r>
      <w:r w:rsidR="00547AA3" w:rsidRPr="000606FF">
        <w:rPr>
          <w:lang w:val="en-US"/>
        </w:rPr>
        <w:t xml:space="preserve"> implicit</w:t>
      </w:r>
      <w:r w:rsidR="00E83B09" w:rsidRPr="000606FF">
        <w:rPr>
          <w:lang w:val="en-US"/>
        </w:rPr>
        <w:t>ly</w:t>
      </w:r>
      <w:r w:rsidR="00547AA3" w:rsidRPr="000606FF">
        <w:rPr>
          <w:lang w:val="en-US"/>
        </w:rPr>
        <w:t xml:space="preserve"> consider the relationship between the SDA and its purpose</w:t>
      </w:r>
      <w:r w:rsidR="00E83B09" w:rsidRPr="000606FF">
        <w:rPr>
          <w:lang w:val="en-US"/>
        </w:rPr>
        <w:t xml:space="preserve">, for example, </w:t>
      </w:r>
      <w:r w:rsidR="00861EF6" w:rsidRPr="000606FF">
        <w:rPr>
          <w:lang w:val="en-US"/>
        </w:rPr>
        <w:t>any previous action taken by the principal to deal with behaviour, previous suspensions and exclusions, and the student’s response to any of these actions</w:t>
      </w:r>
      <w:r w:rsidR="00E83B09" w:rsidRPr="000606FF">
        <w:rPr>
          <w:lang w:val="en-US"/>
        </w:rPr>
        <w:t xml:space="preserve">. </w:t>
      </w:r>
      <w:r w:rsidR="00547AA3" w:rsidRPr="000606FF">
        <w:rPr>
          <w:lang w:val="en-US"/>
        </w:rPr>
        <w:t xml:space="preserve"> </w:t>
      </w:r>
      <w:r w:rsidR="00E83B09" w:rsidRPr="000606FF">
        <w:rPr>
          <w:b/>
          <w:bCs/>
          <w:lang w:val="en-US"/>
        </w:rPr>
        <w:t>T</w:t>
      </w:r>
      <w:r w:rsidR="00C26C25" w:rsidRPr="000606FF">
        <w:rPr>
          <w:b/>
          <w:bCs/>
          <w:lang w:val="en-US"/>
        </w:rPr>
        <w:t xml:space="preserve">he Commission submits that </w:t>
      </w:r>
      <w:r w:rsidR="00992923" w:rsidRPr="000606FF">
        <w:rPr>
          <w:b/>
          <w:bCs/>
          <w:lang w:val="en-US"/>
        </w:rPr>
        <w:t>prescribed matters</w:t>
      </w:r>
      <w:r w:rsidR="00C26C25" w:rsidRPr="000606FF">
        <w:rPr>
          <w:b/>
          <w:bCs/>
          <w:lang w:val="en-US"/>
        </w:rPr>
        <w:t xml:space="preserve"> should expressly require consideration </w:t>
      </w:r>
      <w:r w:rsidR="00EE40CC" w:rsidRPr="000606FF">
        <w:rPr>
          <w:b/>
          <w:bCs/>
          <w:lang w:val="en-US"/>
        </w:rPr>
        <w:t>of whether the SDA is likely to achieve its stated purpose.</w:t>
      </w:r>
      <w:r w:rsidR="00F25269" w:rsidRPr="000606FF">
        <w:rPr>
          <w:b/>
          <w:bCs/>
          <w:lang w:val="en-US"/>
        </w:rPr>
        <w:t xml:space="preserve"> </w:t>
      </w:r>
      <w:r w:rsidR="7F715B68" w:rsidRPr="000606FF">
        <w:rPr>
          <w:lang w:val="en-US"/>
        </w:rPr>
        <w:t xml:space="preserve">In </w:t>
      </w:r>
      <w:r w:rsidR="6655952D" w:rsidRPr="000606FF">
        <w:rPr>
          <w:lang w:val="en-US"/>
        </w:rPr>
        <w:t>the case of suspension</w:t>
      </w:r>
      <w:r w:rsidR="7F715B68" w:rsidRPr="000606FF">
        <w:rPr>
          <w:lang w:val="en-US"/>
        </w:rPr>
        <w:t>, this would require consideration of the student</w:t>
      </w:r>
      <w:r w:rsidR="000606FF">
        <w:rPr>
          <w:lang w:val="en-US"/>
        </w:rPr>
        <w:t>’s</w:t>
      </w:r>
      <w:r w:rsidR="7F715B68" w:rsidRPr="000606FF">
        <w:rPr>
          <w:lang w:val="en-US"/>
        </w:rPr>
        <w:t xml:space="preserve"> and family’s </w:t>
      </w:r>
      <w:r w:rsidR="75A538A9" w:rsidRPr="000606FF">
        <w:rPr>
          <w:lang w:val="en-US"/>
        </w:rPr>
        <w:t>attitude towards</w:t>
      </w:r>
      <w:r w:rsidR="510FB4C5" w:rsidRPr="000606FF">
        <w:rPr>
          <w:lang w:val="en-US"/>
        </w:rPr>
        <w:t xml:space="preserve"> </w:t>
      </w:r>
      <w:r w:rsidR="7F715B68" w:rsidRPr="000606FF">
        <w:rPr>
          <w:lang w:val="en-US"/>
        </w:rPr>
        <w:t xml:space="preserve">the suspension. </w:t>
      </w:r>
    </w:p>
    <w:p w14:paraId="30B0414D" w14:textId="0D00314D" w:rsidR="005F588D" w:rsidRPr="001B2CA2" w:rsidRDefault="000606FF" w:rsidP="00547AA3">
      <w:pPr>
        <w:pStyle w:val="Numberedparagraph"/>
        <w:numPr>
          <w:ilvl w:val="0"/>
          <w:numId w:val="0"/>
        </w:numPr>
        <w:ind w:left="907"/>
        <w:rPr>
          <w:b/>
          <w:bCs/>
          <w:lang w:val="en-US"/>
        </w:rPr>
      </w:pPr>
      <w:r w:rsidRPr="000606FF">
        <w:rPr>
          <w:lang w:val="en-US"/>
        </w:rPr>
        <w:t xml:space="preserve">The Commission also queries what the </w:t>
      </w:r>
      <w:r w:rsidR="00547AA3" w:rsidRPr="000606FF">
        <w:rPr>
          <w:lang w:val="en-US"/>
        </w:rPr>
        <w:t>‘</w:t>
      </w:r>
      <w:r w:rsidR="00F25269" w:rsidRPr="000606FF">
        <w:rPr>
          <w:lang w:val="en-US"/>
        </w:rPr>
        <w:t xml:space="preserve">student’s response’ </w:t>
      </w:r>
      <w:r w:rsidR="00547AA3" w:rsidRPr="000606FF">
        <w:rPr>
          <w:lang w:val="en-US"/>
        </w:rPr>
        <w:t xml:space="preserve">to previous action </w:t>
      </w:r>
      <w:r>
        <w:rPr>
          <w:lang w:val="en-US"/>
        </w:rPr>
        <w:t xml:space="preserve">in the prescribed matters </w:t>
      </w:r>
      <w:r w:rsidRPr="000606FF">
        <w:rPr>
          <w:lang w:val="en-US"/>
        </w:rPr>
        <w:t>means</w:t>
      </w:r>
      <w:r>
        <w:rPr>
          <w:rStyle w:val="FootnoteReference"/>
          <w:lang w:val="en-US"/>
        </w:rPr>
        <w:footnoteReference w:id="40"/>
      </w:r>
      <w:r w:rsidRPr="000606FF">
        <w:rPr>
          <w:lang w:val="en-US"/>
        </w:rPr>
        <w:t xml:space="preserve"> </w:t>
      </w:r>
      <w:r>
        <w:rPr>
          <w:lang w:val="en-US"/>
        </w:rPr>
        <w:t>–</w:t>
      </w:r>
      <w:r w:rsidRPr="000606FF">
        <w:rPr>
          <w:lang w:val="en-US"/>
        </w:rPr>
        <w:t xml:space="preserve"> whether this means the </w:t>
      </w:r>
      <w:r w:rsidR="00547AA3" w:rsidRPr="000606FF">
        <w:rPr>
          <w:lang w:val="en-US"/>
        </w:rPr>
        <w:t xml:space="preserve">student’s </w:t>
      </w:r>
      <w:r w:rsidR="00F25269" w:rsidRPr="000606FF">
        <w:rPr>
          <w:lang w:val="en-US"/>
        </w:rPr>
        <w:t xml:space="preserve">views of previous action taken, or </w:t>
      </w:r>
      <w:r w:rsidR="00547AA3" w:rsidRPr="000606FF">
        <w:rPr>
          <w:lang w:val="en-US"/>
        </w:rPr>
        <w:t>the efficacy of those actions in changing the student’s behaviour.</w:t>
      </w:r>
      <w:r w:rsidRPr="000606FF">
        <w:rPr>
          <w:lang w:val="en-US"/>
        </w:rPr>
        <w:t xml:space="preserve"> This should be clarified</w:t>
      </w:r>
      <w:r>
        <w:rPr>
          <w:lang w:val="en-US"/>
        </w:rPr>
        <w:t xml:space="preserve">. </w:t>
      </w:r>
    </w:p>
    <w:p w14:paraId="67E31FB9" w14:textId="5E29281F" w:rsidR="00E83B09" w:rsidRDefault="00FB3876" w:rsidP="00614B27">
      <w:pPr>
        <w:pStyle w:val="Numberedparagraph"/>
        <w:numPr>
          <w:ilvl w:val="1"/>
          <w:numId w:val="1"/>
        </w:numPr>
        <w:rPr>
          <w:lang w:val="en-US"/>
        </w:rPr>
      </w:pPr>
      <w:r w:rsidRPr="3ACE0C9B">
        <w:rPr>
          <w:lang w:val="en-US"/>
        </w:rPr>
        <w:t xml:space="preserve">Whether there are any less restrictive and reasonably available ways to achieve the purpose </w:t>
      </w:r>
      <w:r w:rsidR="00EE40CC" w:rsidRPr="3ACE0C9B">
        <w:rPr>
          <w:lang w:val="en-US"/>
        </w:rPr>
        <w:t>–</w:t>
      </w:r>
      <w:r w:rsidRPr="3ACE0C9B">
        <w:rPr>
          <w:lang w:val="en-US"/>
        </w:rPr>
        <w:t xml:space="preserve"> </w:t>
      </w:r>
      <w:r w:rsidR="00EE40CC" w:rsidRPr="3ACE0C9B">
        <w:rPr>
          <w:lang w:val="en-US"/>
        </w:rPr>
        <w:t xml:space="preserve">The </w:t>
      </w:r>
      <w:r w:rsidR="00992923" w:rsidRPr="3ACE0C9B">
        <w:rPr>
          <w:lang w:val="en-US"/>
        </w:rPr>
        <w:t>prescribed matters</w:t>
      </w:r>
      <w:r w:rsidR="00EE40CC" w:rsidRPr="3ACE0C9B">
        <w:rPr>
          <w:lang w:val="en-US"/>
        </w:rPr>
        <w:t xml:space="preserve"> </w:t>
      </w:r>
      <w:r w:rsidR="000606FF">
        <w:rPr>
          <w:lang w:val="en-US"/>
        </w:rPr>
        <w:t xml:space="preserve">expressly require </w:t>
      </w:r>
      <w:r w:rsidR="00EE40CC" w:rsidRPr="3ACE0C9B">
        <w:rPr>
          <w:lang w:val="en-US"/>
        </w:rPr>
        <w:t>consideration of other action</w:t>
      </w:r>
      <w:r w:rsidR="00CB7E8D">
        <w:rPr>
          <w:lang w:val="en-US"/>
        </w:rPr>
        <w:t>s</w:t>
      </w:r>
      <w:r w:rsidR="00EE40CC" w:rsidRPr="3ACE0C9B">
        <w:rPr>
          <w:lang w:val="en-US"/>
        </w:rPr>
        <w:t xml:space="preserve"> the principal could take to deal with the student’s suspension behaviour. The </w:t>
      </w:r>
      <w:r w:rsidR="00992923" w:rsidRPr="3ACE0C9B">
        <w:rPr>
          <w:lang w:val="en-US"/>
        </w:rPr>
        <w:t>prescribed matters</w:t>
      </w:r>
      <w:r w:rsidR="00EE40CC" w:rsidRPr="3ACE0C9B">
        <w:rPr>
          <w:lang w:val="en-US"/>
        </w:rPr>
        <w:t xml:space="preserve"> also require </w:t>
      </w:r>
      <w:r w:rsidR="000606FF">
        <w:rPr>
          <w:lang w:val="en-US"/>
        </w:rPr>
        <w:t xml:space="preserve">decision-makers to consider </w:t>
      </w:r>
      <w:r w:rsidR="00EE40CC" w:rsidRPr="3ACE0C9B">
        <w:rPr>
          <w:lang w:val="en-US"/>
        </w:rPr>
        <w:t xml:space="preserve">sufficiency of current supports, adjustments for a child with disability, and cultural supports for Aboriginal students and Torres Strait Islander students. The Commission strongly supports </w:t>
      </w:r>
      <w:r w:rsidR="000606FF">
        <w:rPr>
          <w:lang w:val="en-US"/>
        </w:rPr>
        <w:t>these prescribed matters.</w:t>
      </w:r>
    </w:p>
    <w:p w14:paraId="43DF621E" w14:textId="533E764C" w:rsidR="00AC6B0C" w:rsidRDefault="00F0033C" w:rsidP="00E83B09">
      <w:pPr>
        <w:pStyle w:val="Numberedparagraph"/>
        <w:numPr>
          <w:ilvl w:val="0"/>
          <w:numId w:val="0"/>
        </w:numPr>
        <w:ind w:left="907"/>
        <w:rPr>
          <w:lang w:val="en-US"/>
        </w:rPr>
      </w:pPr>
      <w:r>
        <w:rPr>
          <w:b/>
          <w:bCs/>
          <w:lang w:val="en-US"/>
        </w:rPr>
        <w:t xml:space="preserve">For suspensions, decision-makers </w:t>
      </w:r>
      <w:r w:rsidR="00812690" w:rsidRPr="00812690">
        <w:rPr>
          <w:b/>
          <w:bCs/>
          <w:lang w:val="en-US"/>
        </w:rPr>
        <w:t xml:space="preserve">should </w:t>
      </w:r>
      <w:r w:rsidR="00812690">
        <w:rPr>
          <w:b/>
          <w:bCs/>
          <w:lang w:val="en-US"/>
        </w:rPr>
        <w:t xml:space="preserve">further consider </w:t>
      </w:r>
      <w:r w:rsidR="00812690" w:rsidRPr="00812690">
        <w:rPr>
          <w:b/>
          <w:bCs/>
          <w:lang w:val="en-US"/>
        </w:rPr>
        <w:t xml:space="preserve">the length of the proposed suspension, </w:t>
      </w:r>
      <w:r w:rsidR="00812690">
        <w:rPr>
          <w:b/>
          <w:bCs/>
          <w:lang w:val="en-US"/>
        </w:rPr>
        <w:t>to ensure it is for the shortest possible period</w:t>
      </w:r>
      <w:r w:rsidR="00812690">
        <w:rPr>
          <w:lang w:val="en-US"/>
        </w:rPr>
        <w:t>.</w:t>
      </w:r>
      <w:r w:rsidR="00EE40CC">
        <w:rPr>
          <w:lang w:val="en-US"/>
        </w:rPr>
        <w:t xml:space="preserve"> </w:t>
      </w:r>
    </w:p>
    <w:p w14:paraId="61EDB856" w14:textId="315753F8" w:rsidR="00E83B09" w:rsidRPr="00E83B09" w:rsidRDefault="00E83B09" w:rsidP="00E83B09">
      <w:pPr>
        <w:pStyle w:val="Numberedparagraph"/>
        <w:numPr>
          <w:ilvl w:val="0"/>
          <w:numId w:val="0"/>
        </w:numPr>
        <w:ind w:left="907"/>
        <w:rPr>
          <w:b/>
          <w:bCs/>
          <w:lang w:val="en-US"/>
        </w:rPr>
      </w:pPr>
      <w:r w:rsidRPr="4E12C6BF">
        <w:rPr>
          <w:lang w:val="en-US"/>
        </w:rPr>
        <w:t xml:space="preserve">In relation to adjustments for students with disability, the Bill specifically references the </w:t>
      </w:r>
      <w:r w:rsidRPr="4E12C6BF">
        <w:rPr>
          <w:i/>
          <w:iCs/>
          <w:lang w:val="en-US"/>
        </w:rPr>
        <w:t>Disability Discrimination Act 1992</w:t>
      </w:r>
      <w:r w:rsidRPr="4E12C6BF">
        <w:rPr>
          <w:lang w:val="en-US"/>
        </w:rPr>
        <w:t xml:space="preserve"> (Cth) and the </w:t>
      </w:r>
      <w:r w:rsidRPr="4E12C6BF">
        <w:rPr>
          <w:i/>
          <w:iCs/>
          <w:lang w:val="en-US"/>
        </w:rPr>
        <w:t>Disability Standards for Education 2005</w:t>
      </w:r>
      <w:r w:rsidRPr="4E12C6BF">
        <w:rPr>
          <w:lang w:val="en-US"/>
        </w:rPr>
        <w:t xml:space="preserve"> (Cth). </w:t>
      </w:r>
      <w:r w:rsidRPr="4E12C6BF">
        <w:rPr>
          <w:b/>
          <w:bCs/>
          <w:lang w:val="en-US"/>
        </w:rPr>
        <w:t>The Commission submits that this is unnecessarily limiting and</w:t>
      </w:r>
      <w:r w:rsidR="5BEACF79" w:rsidRPr="4E12C6BF">
        <w:rPr>
          <w:b/>
          <w:bCs/>
          <w:lang w:val="en-US"/>
        </w:rPr>
        <w:t xml:space="preserve"> could</w:t>
      </w:r>
      <w:r w:rsidRPr="4E12C6BF">
        <w:rPr>
          <w:b/>
          <w:bCs/>
          <w:lang w:val="en-US"/>
        </w:rPr>
        <w:t xml:space="preserve"> lead to schools overlooking additional obligations under Queensland laws such as the Anti-Discrimination Act and the Human Rights Act.</w:t>
      </w:r>
    </w:p>
    <w:p w14:paraId="7FA154AF" w14:textId="3C4DF74B" w:rsidR="00B26557" w:rsidRPr="00646CB0" w:rsidRDefault="00646CB0" w:rsidP="00B22F6D">
      <w:pPr>
        <w:pStyle w:val="Numberedparagraph"/>
        <w:numPr>
          <w:ilvl w:val="0"/>
          <w:numId w:val="0"/>
        </w:numPr>
        <w:ind w:left="907"/>
        <w:rPr>
          <w:lang w:val="en-US"/>
        </w:rPr>
      </w:pPr>
      <w:r w:rsidRPr="00646CB0">
        <w:rPr>
          <w:lang w:val="en-US"/>
        </w:rPr>
        <w:t>Additionally</w:t>
      </w:r>
      <w:r>
        <w:rPr>
          <w:lang w:val="en-US"/>
        </w:rPr>
        <w:t xml:space="preserve">, clause </w:t>
      </w:r>
      <w:r w:rsidR="005460D4">
        <w:rPr>
          <w:lang w:val="en-US"/>
        </w:rPr>
        <w:t>76</w:t>
      </w:r>
      <w:r w:rsidR="00155B71">
        <w:rPr>
          <w:lang w:val="en-US"/>
        </w:rPr>
        <w:t xml:space="preserve"> </w:t>
      </w:r>
      <w:r w:rsidR="0099293C">
        <w:rPr>
          <w:lang w:val="en-US"/>
        </w:rPr>
        <w:t xml:space="preserve">inserts into section 280 of the EGP Act a definition </w:t>
      </w:r>
      <w:r w:rsidR="000606FF">
        <w:rPr>
          <w:lang w:val="en-US"/>
        </w:rPr>
        <w:t xml:space="preserve">for </w:t>
      </w:r>
      <w:r w:rsidR="009141A9">
        <w:rPr>
          <w:lang w:val="en-US"/>
        </w:rPr>
        <w:t>‘</w:t>
      </w:r>
      <w:r w:rsidR="0099293C">
        <w:rPr>
          <w:lang w:val="en-US"/>
        </w:rPr>
        <w:t>disability</w:t>
      </w:r>
      <w:r w:rsidR="009141A9">
        <w:rPr>
          <w:lang w:val="en-US"/>
        </w:rPr>
        <w:t xml:space="preserve">’ by reference to the </w:t>
      </w:r>
      <w:r w:rsidR="009141A9" w:rsidRPr="009141A9">
        <w:rPr>
          <w:i/>
          <w:iCs/>
          <w:lang w:val="en-US"/>
        </w:rPr>
        <w:t>Disability Discrimination Act 1992</w:t>
      </w:r>
      <w:r w:rsidR="009141A9">
        <w:rPr>
          <w:lang w:val="en-US"/>
        </w:rPr>
        <w:t xml:space="preserve"> (Cth).</w:t>
      </w:r>
      <w:r w:rsidR="0099293C">
        <w:rPr>
          <w:lang w:val="en-US"/>
        </w:rPr>
        <w:t xml:space="preserve"> </w:t>
      </w:r>
      <w:r w:rsidR="009141A9">
        <w:rPr>
          <w:lang w:val="en-US"/>
        </w:rPr>
        <w:t xml:space="preserve">The Commission acknowledges that </w:t>
      </w:r>
      <w:r w:rsidR="0040140E">
        <w:rPr>
          <w:lang w:val="en-US"/>
        </w:rPr>
        <w:t xml:space="preserve">the definition of ‘impairment’ under the Anti-Discrimination Act is currently under review, </w:t>
      </w:r>
      <w:r w:rsidR="00B22F6D">
        <w:rPr>
          <w:lang w:val="en-US"/>
        </w:rPr>
        <w:t xml:space="preserve">but section 280 should be </w:t>
      </w:r>
      <w:r w:rsidR="00B22F6D">
        <w:rPr>
          <w:lang w:val="en-US"/>
        </w:rPr>
        <w:lastRenderedPageBreak/>
        <w:t xml:space="preserve">updated </w:t>
      </w:r>
      <w:proofErr w:type="gramStart"/>
      <w:r w:rsidR="00B22F6D">
        <w:rPr>
          <w:lang w:val="en-US"/>
        </w:rPr>
        <w:t>if and when</w:t>
      </w:r>
      <w:proofErr w:type="gramEnd"/>
      <w:r w:rsidR="00B22F6D">
        <w:rPr>
          <w:lang w:val="en-US"/>
        </w:rPr>
        <w:t xml:space="preserve"> new Queensland </w:t>
      </w:r>
      <w:r w:rsidR="000606FF">
        <w:rPr>
          <w:lang w:val="en-US"/>
        </w:rPr>
        <w:t>anti-</w:t>
      </w:r>
      <w:r w:rsidR="00B22F6D">
        <w:rPr>
          <w:lang w:val="en-US"/>
        </w:rPr>
        <w:t>discrimination laws are passed</w:t>
      </w:r>
      <w:r w:rsidR="0040140E">
        <w:rPr>
          <w:lang w:val="en-US"/>
        </w:rPr>
        <w:t xml:space="preserve"> </w:t>
      </w:r>
      <w:r w:rsidR="00F9702A">
        <w:rPr>
          <w:lang w:val="en-US"/>
        </w:rPr>
        <w:t xml:space="preserve">that </w:t>
      </w:r>
      <w:r w:rsidR="00DC3055">
        <w:rPr>
          <w:lang w:val="en-US"/>
        </w:rPr>
        <w:t xml:space="preserve">define </w:t>
      </w:r>
      <w:r w:rsidR="002B4A62">
        <w:rPr>
          <w:lang w:val="en-US"/>
        </w:rPr>
        <w:t>‘</w:t>
      </w:r>
      <w:r w:rsidR="00DC3055">
        <w:rPr>
          <w:lang w:val="en-US"/>
        </w:rPr>
        <w:t>disability’</w:t>
      </w:r>
      <w:r w:rsidR="002B4A62">
        <w:rPr>
          <w:lang w:val="en-US"/>
        </w:rPr>
        <w:t>.</w:t>
      </w:r>
    </w:p>
    <w:p w14:paraId="7CC9E87E" w14:textId="6180C437" w:rsidR="00EE40CC" w:rsidRDefault="00D75EAC" w:rsidP="00614B27">
      <w:pPr>
        <w:pStyle w:val="Numberedparagraph"/>
        <w:numPr>
          <w:ilvl w:val="1"/>
          <w:numId w:val="1"/>
        </w:numPr>
        <w:rPr>
          <w:lang w:val="en-US"/>
        </w:rPr>
      </w:pPr>
      <w:r w:rsidRPr="3ACE0C9B">
        <w:rPr>
          <w:lang w:val="en-US"/>
        </w:rPr>
        <w:t>The importance of the purpose of the limitation – The purpose of SDAs can be extremely important, such as welfare, health and safety, and the right to education of other students.</w:t>
      </w:r>
    </w:p>
    <w:p w14:paraId="4DD02602" w14:textId="21769975" w:rsidR="00D75EAC" w:rsidRDefault="00D75EAC" w:rsidP="00614B27">
      <w:pPr>
        <w:pStyle w:val="Numberedparagraph"/>
        <w:numPr>
          <w:ilvl w:val="1"/>
          <w:numId w:val="1"/>
        </w:numPr>
        <w:rPr>
          <w:lang w:val="en-US"/>
        </w:rPr>
      </w:pPr>
      <w:r w:rsidRPr="3ACE0C9B">
        <w:rPr>
          <w:lang w:val="en-US"/>
        </w:rPr>
        <w:t xml:space="preserve">The importance of preserving the human right, </w:t>
      </w:r>
      <w:proofErr w:type="gramStart"/>
      <w:r w:rsidRPr="3ACE0C9B">
        <w:rPr>
          <w:lang w:val="en-US"/>
        </w:rPr>
        <w:t>taking into account</w:t>
      </w:r>
      <w:proofErr w:type="gramEnd"/>
      <w:r w:rsidRPr="3ACE0C9B">
        <w:rPr>
          <w:lang w:val="en-US"/>
        </w:rPr>
        <w:t xml:space="preserve"> the nature and extent of the limitation on the human right – The proposed </w:t>
      </w:r>
      <w:r w:rsidR="00992923" w:rsidRPr="3ACE0C9B">
        <w:rPr>
          <w:lang w:val="en-US"/>
        </w:rPr>
        <w:t>prescribed matters</w:t>
      </w:r>
      <w:r w:rsidRPr="3ACE0C9B">
        <w:rPr>
          <w:lang w:val="en-US"/>
        </w:rPr>
        <w:t xml:space="preserve"> do not sufficiently take into account the nature and extent of the limitation of the human right</w:t>
      </w:r>
      <w:r w:rsidRPr="3ACE0C9B">
        <w:rPr>
          <w:b/>
          <w:bCs/>
          <w:lang w:val="en-US"/>
        </w:rPr>
        <w:t xml:space="preserve">. That is, the </w:t>
      </w:r>
      <w:r w:rsidR="00992923" w:rsidRPr="3ACE0C9B">
        <w:rPr>
          <w:b/>
          <w:bCs/>
          <w:lang w:val="en-US"/>
        </w:rPr>
        <w:t>prescribed matters</w:t>
      </w:r>
      <w:r w:rsidRPr="3ACE0C9B">
        <w:rPr>
          <w:b/>
          <w:bCs/>
          <w:lang w:val="en-US"/>
        </w:rPr>
        <w:t xml:space="preserve"> should consider the impact of the proposed SDA on the child, having regard to the child’s age, family supports and environment, </w:t>
      </w:r>
      <w:r w:rsidR="000A40AA" w:rsidRPr="3ACE0C9B">
        <w:rPr>
          <w:b/>
          <w:bCs/>
          <w:lang w:val="en-US"/>
        </w:rPr>
        <w:t>the</w:t>
      </w:r>
      <w:r w:rsidRPr="3ACE0C9B">
        <w:rPr>
          <w:b/>
          <w:bCs/>
          <w:lang w:val="en-US"/>
        </w:rPr>
        <w:t xml:space="preserve"> length of SDA</w:t>
      </w:r>
      <w:r w:rsidR="000A40AA" w:rsidRPr="3ACE0C9B">
        <w:rPr>
          <w:b/>
          <w:bCs/>
          <w:lang w:val="en-US"/>
        </w:rPr>
        <w:t xml:space="preserve">, and educational </w:t>
      </w:r>
      <w:r w:rsidR="004A04A6" w:rsidRPr="3ACE0C9B">
        <w:rPr>
          <w:b/>
          <w:bCs/>
          <w:lang w:val="en-US"/>
        </w:rPr>
        <w:t xml:space="preserve">programs </w:t>
      </w:r>
      <w:r w:rsidR="000A40AA" w:rsidRPr="3ACE0C9B">
        <w:rPr>
          <w:b/>
          <w:bCs/>
          <w:lang w:val="en-US"/>
        </w:rPr>
        <w:t xml:space="preserve">and other interventions </w:t>
      </w:r>
      <w:r w:rsidR="004A04A6" w:rsidRPr="3ACE0C9B">
        <w:rPr>
          <w:b/>
          <w:bCs/>
          <w:lang w:val="en-US"/>
        </w:rPr>
        <w:t xml:space="preserve">that will be implemented while </w:t>
      </w:r>
      <w:r w:rsidR="000A40AA" w:rsidRPr="3ACE0C9B">
        <w:rPr>
          <w:b/>
          <w:bCs/>
          <w:lang w:val="en-US"/>
        </w:rPr>
        <w:t>the child is subject to an SDA</w:t>
      </w:r>
      <w:r w:rsidRPr="3ACE0C9B">
        <w:rPr>
          <w:b/>
          <w:bCs/>
          <w:lang w:val="en-US"/>
        </w:rPr>
        <w:t>.</w:t>
      </w:r>
      <w:r w:rsidRPr="3ACE0C9B">
        <w:rPr>
          <w:lang w:val="en-US"/>
        </w:rPr>
        <w:t xml:space="preserve"> </w:t>
      </w:r>
    </w:p>
    <w:p w14:paraId="2FEA3B17" w14:textId="36C70BFE" w:rsidR="00D75EAC" w:rsidRDefault="00D75EAC" w:rsidP="00614B27">
      <w:pPr>
        <w:pStyle w:val="Numberedparagraph"/>
        <w:numPr>
          <w:ilvl w:val="1"/>
          <w:numId w:val="1"/>
        </w:numPr>
        <w:rPr>
          <w:lang w:val="en-US"/>
        </w:rPr>
      </w:pPr>
      <w:r w:rsidRPr="3ACE0C9B">
        <w:rPr>
          <w:lang w:val="en-US"/>
        </w:rPr>
        <w:t xml:space="preserve">The balance between purpose of the limitation and preserving the human right – This balance is part of the </w:t>
      </w:r>
      <w:r w:rsidR="00F0033C">
        <w:rPr>
          <w:lang w:val="en-US"/>
        </w:rPr>
        <w:t>decision-maker’s</w:t>
      </w:r>
      <w:r w:rsidRPr="3ACE0C9B">
        <w:rPr>
          <w:lang w:val="en-US"/>
        </w:rPr>
        <w:t xml:space="preserve"> assessment in having regard to all the </w:t>
      </w:r>
      <w:r w:rsidR="00992923" w:rsidRPr="3ACE0C9B">
        <w:rPr>
          <w:lang w:val="en-US"/>
        </w:rPr>
        <w:t>prescribed matters</w:t>
      </w:r>
      <w:r w:rsidRPr="3ACE0C9B">
        <w:rPr>
          <w:lang w:val="en-US"/>
        </w:rPr>
        <w:t>.</w:t>
      </w:r>
    </w:p>
    <w:p w14:paraId="37E940F7" w14:textId="0D0BD7F8" w:rsidR="00DD6390" w:rsidRDefault="00D75EAC" w:rsidP="00E7475F">
      <w:pPr>
        <w:pStyle w:val="Numberedparagraph"/>
        <w:rPr>
          <w:lang w:val="en-US"/>
        </w:rPr>
      </w:pPr>
      <w:r>
        <w:rPr>
          <w:lang w:val="en-US"/>
        </w:rPr>
        <w:t>In summary, the Commission submits that</w:t>
      </w:r>
      <w:r w:rsidR="000A59B2">
        <w:rPr>
          <w:lang w:val="en-US"/>
        </w:rPr>
        <w:t xml:space="preserve"> the grounds and </w:t>
      </w:r>
      <w:r w:rsidR="00992923">
        <w:rPr>
          <w:lang w:val="en-US"/>
        </w:rPr>
        <w:t>prescribed matters</w:t>
      </w:r>
      <w:r w:rsidR="000A59B2">
        <w:rPr>
          <w:lang w:val="en-US"/>
        </w:rPr>
        <w:t xml:space="preserve"> underpinning SDA decision making </w:t>
      </w:r>
      <w:r w:rsidR="00D75D3E">
        <w:rPr>
          <w:lang w:val="en-US"/>
        </w:rPr>
        <w:t xml:space="preserve">should assist decision-makers to comply with their obligations under the Human Rights Act to act compatibly with human rights and to </w:t>
      </w:r>
      <w:proofErr w:type="gramStart"/>
      <w:r w:rsidR="00D75D3E">
        <w:rPr>
          <w:lang w:val="en-US"/>
        </w:rPr>
        <w:t>give proper consideration to</w:t>
      </w:r>
      <w:proofErr w:type="gramEnd"/>
      <w:r w:rsidR="00D75D3E">
        <w:rPr>
          <w:lang w:val="en-US"/>
        </w:rPr>
        <w:t xml:space="preserve"> human rights</w:t>
      </w:r>
      <w:r w:rsidR="000A59B2">
        <w:rPr>
          <w:lang w:val="en-US"/>
        </w:rPr>
        <w:t xml:space="preserve">. </w:t>
      </w:r>
      <w:r w:rsidR="00F0033C">
        <w:rPr>
          <w:lang w:val="en-US"/>
        </w:rPr>
        <w:t>To this end, t</w:t>
      </w:r>
      <w:r w:rsidR="000A59B2">
        <w:rPr>
          <w:lang w:val="en-US"/>
        </w:rPr>
        <w:t>he Commission recommends</w:t>
      </w:r>
      <w:r>
        <w:rPr>
          <w:lang w:val="en-US"/>
        </w:rPr>
        <w:t>:</w:t>
      </w:r>
    </w:p>
    <w:p w14:paraId="272002F4" w14:textId="3420AE49" w:rsidR="00E02A62" w:rsidRDefault="00E02A62" w:rsidP="00D75EAC">
      <w:pPr>
        <w:pStyle w:val="Numberedparagraph"/>
        <w:numPr>
          <w:ilvl w:val="1"/>
          <w:numId w:val="1"/>
        </w:numPr>
        <w:rPr>
          <w:lang w:val="en-US"/>
        </w:rPr>
      </w:pPr>
      <w:r>
        <w:rPr>
          <w:lang w:val="en-US"/>
        </w:rPr>
        <w:t xml:space="preserve">The </w:t>
      </w:r>
      <w:r w:rsidR="00992923">
        <w:rPr>
          <w:lang w:val="en-US"/>
        </w:rPr>
        <w:t>prescribed matters</w:t>
      </w:r>
      <w:r w:rsidR="00E83B09">
        <w:rPr>
          <w:lang w:val="en-US"/>
        </w:rPr>
        <w:t xml:space="preserve"> </w:t>
      </w:r>
      <w:r w:rsidR="0050440C">
        <w:rPr>
          <w:lang w:val="en-US"/>
        </w:rPr>
        <w:t xml:space="preserve">allow </w:t>
      </w:r>
      <w:r>
        <w:rPr>
          <w:lang w:val="en-US"/>
        </w:rPr>
        <w:t xml:space="preserve">decision-makers </w:t>
      </w:r>
      <w:r w:rsidR="0050440C">
        <w:rPr>
          <w:lang w:val="en-US"/>
        </w:rPr>
        <w:t xml:space="preserve">to </w:t>
      </w:r>
      <w:r>
        <w:rPr>
          <w:lang w:val="en-US"/>
        </w:rPr>
        <w:t xml:space="preserve">consider </w:t>
      </w:r>
      <w:r w:rsidR="00E83B09">
        <w:rPr>
          <w:lang w:val="en-US"/>
        </w:rPr>
        <w:t xml:space="preserve">other </w:t>
      </w:r>
      <w:r w:rsidR="0050440C">
        <w:rPr>
          <w:lang w:val="en-US"/>
        </w:rPr>
        <w:t xml:space="preserve">relevant </w:t>
      </w:r>
      <w:r w:rsidR="00E83B09">
        <w:rPr>
          <w:lang w:val="en-US"/>
        </w:rPr>
        <w:t xml:space="preserve">matters </w:t>
      </w:r>
      <w:r w:rsidR="00D32374">
        <w:rPr>
          <w:lang w:val="en-US"/>
        </w:rPr>
        <w:t xml:space="preserve">(including matters </w:t>
      </w:r>
      <w:r>
        <w:rPr>
          <w:lang w:val="en-US"/>
        </w:rPr>
        <w:t>relevant to human rights</w:t>
      </w:r>
      <w:r w:rsidR="00D32374">
        <w:rPr>
          <w:lang w:val="en-US"/>
        </w:rPr>
        <w:t>)</w:t>
      </w:r>
      <w:r>
        <w:rPr>
          <w:lang w:val="en-US"/>
        </w:rPr>
        <w:t xml:space="preserve"> that are not specifically prescribed</w:t>
      </w:r>
      <w:r w:rsidR="007E348D">
        <w:rPr>
          <w:lang w:val="en-US"/>
        </w:rPr>
        <w:t>.</w:t>
      </w:r>
    </w:p>
    <w:p w14:paraId="21472542" w14:textId="11A10EEA" w:rsidR="00B02636" w:rsidRDefault="00B02636" w:rsidP="00D75EAC">
      <w:pPr>
        <w:pStyle w:val="Numberedparagraph"/>
        <w:numPr>
          <w:ilvl w:val="1"/>
          <w:numId w:val="1"/>
        </w:numPr>
        <w:rPr>
          <w:lang w:val="en-US"/>
        </w:rPr>
      </w:pPr>
      <w:r>
        <w:rPr>
          <w:lang w:val="en-US"/>
        </w:rPr>
        <w:t xml:space="preserve">The grounds for SDAs are reviewed and </w:t>
      </w:r>
      <w:r w:rsidR="59FB6EC3" w:rsidRPr="4AD9689D">
        <w:rPr>
          <w:lang w:val="en-US"/>
        </w:rPr>
        <w:t xml:space="preserve">refined </w:t>
      </w:r>
      <w:r w:rsidR="59FB6EC3" w:rsidRPr="39E6E3D5">
        <w:rPr>
          <w:lang w:val="en-US"/>
        </w:rPr>
        <w:t>t</w:t>
      </w:r>
      <w:r w:rsidR="59FB6EC3" w:rsidRPr="0050440C">
        <w:rPr>
          <w:lang w:val="en-US"/>
        </w:rPr>
        <w:t>o better support the making of SDAs only for purposes capable of justifying the restrictions to the student’s human rights</w:t>
      </w:r>
      <w:r w:rsidR="00F0033C">
        <w:rPr>
          <w:lang w:val="en-US"/>
        </w:rPr>
        <w:t>.</w:t>
      </w:r>
    </w:p>
    <w:p w14:paraId="4B2A8064" w14:textId="716C137F" w:rsidR="00F25269" w:rsidRDefault="00992923" w:rsidP="00D75EAC">
      <w:pPr>
        <w:pStyle w:val="Numberedparagraph"/>
        <w:numPr>
          <w:ilvl w:val="1"/>
          <w:numId w:val="1"/>
        </w:numPr>
        <w:rPr>
          <w:lang w:val="en-US"/>
        </w:rPr>
      </w:pPr>
      <w:r>
        <w:rPr>
          <w:lang w:val="en-US"/>
        </w:rPr>
        <w:t>Prescribed matters</w:t>
      </w:r>
      <w:r w:rsidR="00F25269" w:rsidRPr="00F25269">
        <w:rPr>
          <w:lang w:val="en-US"/>
        </w:rPr>
        <w:t xml:space="preserve"> should expressly require consideration of whether the SDA is likely to achieve its stated purpose</w:t>
      </w:r>
      <w:r w:rsidR="2F1BC307" w:rsidRPr="644EB537">
        <w:rPr>
          <w:lang w:val="en-US"/>
        </w:rPr>
        <w:t>. For suspensions</w:t>
      </w:r>
      <w:r w:rsidR="00F25269">
        <w:rPr>
          <w:lang w:val="en-US"/>
        </w:rPr>
        <w:t>,</w:t>
      </w:r>
      <w:r w:rsidR="2F1BC307" w:rsidRPr="36A8EA1F">
        <w:rPr>
          <w:lang w:val="en-US"/>
        </w:rPr>
        <w:t xml:space="preserve"> this includes considering the </w:t>
      </w:r>
      <w:r w:rsidR="2F1BC307" w:rsidRPr="377C2EA7">
        <w:rPr>
          <w:lang w:val="en-US"/>
        </w:rPr>
        <w:t xml:space="preserve">attitudes </w:t>
      </w:r>
      <w:r w:rsidR="2F1BC307" w:rsidRPr="6DC83554">
        <w:rPr>
          <w:lang w:val="en-US"/>
        </w:rPr>
        <w:t xml:space="preserve">of the student and </w:t>
      </w:r>
      <w:r w:rsidR="2F1BC307" w:rsidRPr="543B86C5">
        <w:rPr>
          <w:lang w:val="en-US"/>
        </w:rPr>
        <w:t xml:space="preserve">their family towards the </w:t>
      </w:r>
      <w:r w:rsidR="2F1BC307" w:rsidRPr="028FEB11">
        <w:rPr>
          <w:lang w:val="en-US"/>
        </w:rPr>
        <w:t>suspension.</w:t>
      </w:r>
    </w:p>
    <w:p w14:paraId="35406419" w14:textId="21A5E3FD" w:rsidR="000A40AA" w:rsidRPr="00F25269" w:rsidRDefault="00F0033C" w:rsidP="00D75EAC">
      <w:pPr>
        <w:pStyle w:val="Numberedparagraph"/>
        <w:numPr>
          <w:ilvl w:val="1"/>
          <w:numId w:val="1"/>
        </w:numPr>
        <w:rPr>
          <w:lang w:val="en-US"/>
        </w:rPr>
      </w:pPr>
      <w:r>
        <w:rPr>
          <w:lang w:val="en-US"/>
        </w:rPr>
        <w:t>C</w:t>
      </w:r>
      <w:r w:rsidR="001B2CA2">
        <w:rPr>
          <w:lang w:val="en-US"/>
        </w:rPr>
        <w:t>larifying the</w:t>
      </w:r>
      <w:r w:rsidR="000A40AA">
        <w:rPr>
          <w:lang w:val="en-US"/>
        </w:rPr>
        <w:t xml:space="preserve"> meaning of</w:t>
      </w:r>
      <w:r>
        <w:rPr>
          <w:lang w:val="en-US"/>
        </w:rPr>
        <w:t xml:space="preserve"> </w:t>
      </w:r>
      <w:r w:rsidR="000A40AA">
        <w:rPr>
          <w:lang w:val="en-US"/>
        </w:rPr>
        <w:t xml:space="preserve">‘the student’s response’ to previous suspensions, </w:t>
      </w:r>
      <w:proofErr w:type="gramStart"/>
      <w:r w:rsidR="000A40AA">
        <w:rPr>
          <w:lang w:val="en-US"/>
        </w:rPr>
        <w:t>exclusions</w:t>
      </w:r>
      <w:proofErr w:type="gramEnd"/>
      <w:r w:rsidR="000A40AA">
        <w:rPr>
          <w:lang w:val="en-US"/>
        </w:rPr>
        <w:t xml:space="preserve"> or other action</w:t>
      </w:r>
      <w:r>
        <w:rPr>
          <w:lang w:val="en-US"/>
        </w:rPr>
        <w:t>, as referred to in the prescribed matters</w:t>
      </w:r>
      <w:r w:rsidR="007E348D">
        <w:rPr>
          <w:lang w:val="en-US"/>
        </w:rPr>
        <w:t xml:space="preserve">. </w:t>
      </w:r>
    </w:p>
    <w:p w14:paraId="388C5891" w14:textId="768F2FF5" w:rsidR="00F25269" w:rsidRDefault="00F0033C" w:rsidP="00F25269">
      <w:pPr>
        <w:pStyle w:val="Numberedparagraph"/>
        <w:numPr>
          <w:ilvl w:val="1"/>
          <w:numId w:val="1"/>
        </w:numPr>
        <w:rPr>
          <w:lang w:val="en-US"/>
        </w:rPr>
      </w:pPr>
      <w:r>
        <w:rPr>
          <w:lang w:val="en-US"/>
        </w:rPr>
        <w:t xml:space="preserve">For suspensions, decision-makers should </w:t>
      </w:r>
      <w:r w:rsidR="00F25269" w:rsidRPr="00F25269">
        <w:rPr>
          <w:lang w:val="en-US"/>
        </w:rPr>
        <w:t xml:space="preserve">consider the length of the proposed suspension, to ensure it is for the shortest possible period.  </w:t>
      </w:r>
    </w:p>
    <w:p w14:paraId="062E5B34" w14:textId="426A6428" w:rsidR="007E348D" w:rsidRPr="007E348D" w:rsidRDefault="007E348D" w:rsidP="007E348D">
      <w:pPr>
        <w:pStyle w:val="Numberedparagraph"/>
        <w:numPr>
          <w:ilvl w:val="1"/>
          <w:numId w:val="1"/>
        </w:numPr>
        <w:rPr>
          <w:lang w:val="en-US"/>
        </w:rPr>
      </w:pPr>
      <w:r>
        <w:rPr>
          <w:lang w:val="en-US"/>
        </w:rPr>
        <w:t>Notes</w:t>
      </w:r>
      <w:r w:rsidR="00F0033C">
        <w:rPr>
          <w:lang w:val="en-US"/>
        </w:rPr>
        <w:t xml:space="preserve"> </w:t>
      </w:r>
      <w:r>
        <w:rPr>
          <w:lang w:val="en-US"/>
        </w:rPr>
        <w:t xml:space="preserve">which refer to </w:t>
      </w:r>
      <w:r w:rsidRPr="007E348D">
        <w:rPr>
          <w:lang w:val="en-US"/>
        </w:rPr>
        <w:t xml:space="preserve">the </w:t>
      </w:r>
      <w:r w:rsidRPr="007E348D">
        <w:rPr>
          <w:i/>
          <w:iCs/>
          <w:lang w:val="en-US"/>
        </w:rPr>
        <w:t>Disability Discrimination Act 1992</w:t>
      </w:r>
      <w:r w:rsidRPr="007E348D">
        <w:rPr>
          <w:lang w:val="en-US"/>
        </w:rPr>
        <w:t xml:space="preserve"> (Cth) and the </w:t>
      </w:r>
      <w:r w:rsidRPr="007E348D">
        <w:rPr>
          <w:i/>
          <w:iCs/>
          <w:lang w:val="en-US"/>
        </w:rPr>
        <w:t>Disability Standards for Education 2005</w:t>
      </w:r>
      <w:r w:rsidRPr="007E348D">
        <w:rPr>
          <w:lang w:val="en-US"/>
        </w:rPr>
        <w:t xml:space="preserve"> (Cth)</w:t>
      </w:r>
      <w:r>
        <w:rPr>
          <w:lang w:val="en-US"/>
        </w:rPr>
        <w:t xml:space="preserve"> are unnecessarily limiting and should be deleted. </w:t>
      </w:r>
      <w:r w:rsidR="0035230D">
        <w:rPr>
          <w:lang w:val="en-US"/>
        </w:rPr>
        <w:t>Additionally, definitions of ‘disability’ should, in due course, refer to Queensland anti-discrimination legislation.</w:t>
      </w:r>
    </w:p>
    <w:p w14:paraId="223708D9" w14:textId="77777777" w:rsidR="00596794" w:rsidRDefault="00992923" w:rsidP="004A04A6">
      <w:pPr>
        <w:pStyle w:val="Numberedparagraph"/>
        <w:numPr>
          <w:ilvl w:val="1"/>
          <w:numId w:val="1"/>
        </w:numPr>
        <w:rPr>
          <w:lang w:val="en-US"/>
        </w:rPr>
      </w:pPr>
      <w:r>
        <w:rPr>
          <w:lang w:val="en-US"/>
        </w:rPr>
        <w:lastRenderedPageBreak/>
        <w:t>Prescribed matters</w:t>
      </w:r>
      <w:r w:rsidR="00F25269" w:rsidRPr="00F25269">
        <w:rPr>
          <w:lang w:val="en-US"/>
        </w:rPr>
        <w:t xml:space="preserve"> should consider the impact of the proposed SDA on the child, having regard to the child’s age, family supports and environment, the length of SDA</w:t>
      </w:r>
      <w:r w:rsidR="004A04A6">
        <w:rPr>
          <w:lang w:val="en-US"/>
        </w:rPr>
        <w:t>,</w:t>
      </w:r>
      <w:r w:rsidR="004A04A6">
        <w:rPr>
          <w:b/>
          <w:bCs/>
          <w:lang w:val="en-US"/>
        </w:rPr>
        <w:t xml:space="preserve"> </w:t>
      </w:r>
      <w:r w:rsidR="004A04A6" w:rsidRPr="004A04A6">
        <w:rPr>
          <w:lang w:val="en-US"/>
        </w:rPr>
        <w:t>and educational programs and other interventions that will be implemented while the child is subject to an SDA</w:t>
      </w:r>
      <w:r w:rsidR="00596794">
        <w:rPr>
          <w:lang w:val="en-US"/>
        </w:rPr>
        <w:t>.</w:t>
      </w:r>
    </w:p>
    <w:p w14:paraId="1A8BEBC8" w14:textId="004738F2" w:rsidR="000A59B2" w:rsidRDefault="00AC6308" w:rsidP="00596794">
      <w:pPr>
        <w:pStyle w:val="Numberedparagraph"/>
        <w:rPr>
          <w:lang w:val="en-US"/>
        </w:rPr>
      </w:pPr>
      <w:r>
        <w:rPr>
          <w:lang w:val="en-US"/>
        </w:rPr>
        <w:t>If not by amendment to the legislation and regulation, these observations should be incorporated into Department’s policy for SDAs.</w:t>
      </w:r>
    </w:p>
    <w:p w14:paraId="5187894E" w14:textId="170716A8" w:rsidR="00EE40CC" w:rsidRPr="00EE40CC" w:rsidRDefault="00EE40CC" w:rsidP="00A857B1">
      <w:pPr>
        <w:pStyle w:val="Heading2"/>
        <w:rPr>
          <w:lang w:val="en-US"/>
        </w:rPr>
      </w:pPr>
      <w:bookmarkStart w:id="23" w:name="_Toc162451274"/>
      <w:r>
        <w:rPr>
          <w:lang w:val="en-US"/>
        </w:rPr>
        <w:t xml:space="preserve">Content of </w:t>
      </w:r>
      <w:r w:rsidR="00E43A0C">
        <w:rPr>
          <w:lang w:val="en-US"/>
        </w:rPr>
        <w:t>Department’s</w:t>
      </w:r>
      <w:r w:rsidRPr="00EE40CC">
        <w:rPr>
          <w:lang w:val="en-US"/>
        </w:rPr>
        <w:t xml:space="preserve"> policy for </w:t>
      </w:r>
      <w:r w:rsidR="00A857B1">
        <w:rPr>
          <w:lang w:val="en-US"/>
        </w:rPr>
        <w:t>SDAs</w:t>
      </w:r>
      <w:r w:rsidR="004F1B21">
        <w:rPr>
          <w:lang w:val="en-US"/>
        </w:rPr>
        <w:t xml:space="preserve"> – clause 96</w:t>
      </w:r>
      <w:bookmarkEnd w:id="23"/>
    </w:p>
    <w:p w14:paraId="452A89A7" w14:textId="3F2955C4" w:rsidR="00EE40CC" w:rsidRDefault="001B2CA2" w:rsidP="000A40AA">
      <w:pPr>
        <w:pStyle w:val="Numberedparagraph"/>
      </w:pPr>
      <w:r>
        <w:t>C</w:t>
      </w:r>
      <w:r w:rsidR="000A40AA">
        <w:t xml:space="preserve">lause 96 of </w:t>
      </w:r>
      <w:r w:rsidR="00EE40CC" w:rsidRPr="00EE40CC">
        <w:t xml:space="preserve">the Bill </w:t>
      </w:r>
      <w:r w:rsidR="000A40AA">
        <w:t>inserts new section 332A</w:t>
      </w:r>
      <w:r w:rsidR="00F0033C">
        <w:t xml:space="preserve"> into the EGP Act</w:t>
      </w:r>
      <w:r w:rsidR="000A40AA">
        <w:t xml:space="preserve"> requiring </w:t>
      </w:r>
      <w:r w:rsidR="00EE40CC" w:rsidRPr="00EE40CC">
        <w:t xml:space="preserve">the </w:t>
      </w:r>
      <w:r w:rsidR="00E43A0C">
        <w:t xml:space="preserve">Department to </w:t>
      </w:r>
      <w:r w:rsidR="00EE40CC" w:rsidRPr="00EE40CC">
        <w:t>make a policy and procedure about SDAs and cancellations which must be publicly available. Th</w:t>
      </w:r>
      <w:r w:rsidR="00F0033C">
        <w:t>is</w:t>
      </w:r>
      <w:r w:rsidR="00EE40CC" w:rsidRPr="00EE40CC">
        <w:t xml:space="preserve"> will be a vital tool to ensuring consistent, transparent, accountable, and human rights compatible decision making for SDA decisions and cancellations.</w:t>
      </w:r>
    </w:p>
    <w:p w14:paraId="46DFB98C" w14:textId="4FCB60F9" w:rsidR="000A40AA" w:rsidRDefault="000A40AA" w:rsidP="000A40AA">
      <w:pPr>
        <w:pStyle w:val="Numberedparagraph"/>
      </w:pPr>
      <w:r>
        <w:t xml:space="preserve">Many of the </w:t>
      </w:r>
      <w:r w:rsidR="001B2CA2">
        <w:t xml:space="preserve">issues </w:t>
      </w:r>
      <w:r>
        <w:t>raised in this submission shoul</w:t>
      </w:r>
      <w:r w:rsidR="004A04A6">
        <w:t>d</w:t>
      </w:r>
      <w:r>
        <w:t xml:space="preserve"> be </w:t>
      </w:r>
      <w:r w:rsidR="004A04A6">
        <w:t xml:space="preserve">embedded </w:t>
      </w:r>
      <w:r>
        <w:t>in the policy</w:t>
      </w:r>
      <w:r w:rsidR="001B2CA2">
        <w:t>, in particular</w:t>
      </w:r>
      <w:r w:rsidR="004F080F">
        <w:t>,</w:t>
      </w:r>
      <w:r w:rsidR="001B2CA2">
        <w:t xml:space="preserve"> considerations relevant to making an SDA decision</w:t>
      </w:r>
      <w:r>
        <w:t xml:space="preserve">. </w:t>
      </w:r>
      <w:r w:rsidR="004A04A6">
        <w:t>In addition, t</w:t>
      </w:r>
      <w:r>
        <w:t>he policy should:</w:t>
      </w:r>
    </w:p>
    <w:p w14:paraId="68C988DD" w14:textId="3F8B6E7F" w:rsidR="0040422C" w:rsidRDefault="0040422C" w:rsidP="000A40AA">
      <w:pPr>
        <w:pStyle w:val="Numberedparagraph"/>
        <w:numPr>
          <w:ilvl w:val="1"/>
          <w:numId w:val="1"/>
        </w:numPr>
      </w:pPr>
      <w:r>
        <w:t xml:space="preserve">Provide guidance on how to identify children at risk and when to </w:t>
      </w:r>
      <w:proofErr w:type="gramStart"/>
      <w:r>
        <w:t>intervene;</w:t>
      </w:r>
      <w:proofErr w:type="gramEnd"/>
    </w:p>
    <w:p w14:paraId="077D3537" w14:textId="7108B358" w:rsidR="000A40AA" w:rsidRDefault="006B2D8C" w:rsidP="000A40AA">
      <w:pPr>
        <w:pStyle w:val="Numberedparagraph"/>
        <w:numPr>
          <w:ilvl w:val="1"/>
          <w:numId w:val="1"/>
        </w:numPr>
      </w:pPr>
      <w:r>
        <w:t xml:space="preserve">Set out innovative </w:t>
      </w:r>
      <w:r w:rsidR="000A40AA">
        <w:t>alternatives to SDAs</w:t>
      </w:r>
      <w:r w:rsidR="00F0033C">
        <w:t xml:space="preserve"> and resources available to </w:t>
      </w:r>
      <w:proofErr w:type="gramStart"/>
      <w:r w:rsidR="00F0033C">
        <w:t>schools</w:t>
      </w:r>
      <w:r w:rsidR="000A40AA">
        <w:t>;</w:t>
      </w:r>
      <w:proofErr w:type="gramEnd"/>
    </w:p>
    <w:p w14:paraId="064EE7F7" w14:textId="6C271854" w:rsidR="006B2D8C" w:rsidRDefault="006B2D8C" w:rsidP="000A40AA">
      <w:pPr>
        <w:pStyle w:val="Numberedparagraph"/>
        <w:numPr>
          <w:ilvl w:val="1"/>
          <w:numId w:val="1"/>
        </w:numPr>
      </w:pPr>
      <w:r>
        <w:t xml:space="preserve">Provide practical examples that assists principals to make a </w:t>
      </w:r>
      <w:proofErr w:type="gramStart"/>
      <w:r>
        <w:t>human rights compatible decisions</w:t>
      </w:r>
      <w:proofErr w:type="gramEnd"/>
      <w:r>
        <w:t xml:space="preserve">, which include not only whether an SDA should be made, but the terms of the SDA, such as length </w:t>
      </w:r>
      <w:r w:rsidR="0060026D">
        <w:t xml:space="preserve">of time </w:t>
      </w:r>
      <w:r>
        <w:t>and other supports or strategies that should be put in place</w:t>
      </w:r>
      <w:r w:rsidR="0060026D">
        <w:t xml:space="preserve"> to address the behaviour in question and support the child’s reintegration into school</w:t>
      </w:r>
      <w:r>
        <w:t>;</w:t>
      </w:r>
    </w:p>
    <w:p w14:paraId="4F9ABC19" w14:textId="6C93BE2D" w:rsidR="006B2D8C" w:rsidRDefault="006B2D8C" w:rsidP="000A40AA">
      <w:pPr>
        <w:pStyle w:val="Numberedparagraph"/>
        <w:numPr>
          <w:ilvl w:val="1"/>
          <w:numId w:val="1"/>
        </w:numPr>
      </w:pPr>
      <w:r>
        <w:t xml:space="preserve">Support principals and schools to meaningfully engage with the student and their families at an early stage before an SDA is </w:t>
      </w:r>
      <w:proofErr w:type="gramStart"/>
      <w:r>
        <w:t>required;</w:t>
      </w:r>
      <w:proofErr w:type="gramEnd"/>
    </w:p>
    <w:p w14:paraId="1033570D" w14:textId="206EAE16" w:rsidR="006B2D8C" w:rsidRDefault="000A40AA" w:rsidP="004A04A6">
      <w:pPr>
        <w:pStyle w:val="Numberedparagraph"/>
        <w:numPr>
          <w:ilvl w:val="1"/>
          <w:numId w:val="1"/>
        </w:numPr>
      </w:pPr>
      <w:r>
        <w:t>Highlight the legislative obligation to continue a student’s access to educational programs while subject to an SDA</w:t>
      </w:r>
      <w:r>
        <w:rPr>
          <w:rStyle w:val="FootnoteReference"/>
        </w:rPr>
        <w:footnoteReference w:id="41"/>
      </w:r>
      <w:r w:rsidR="0060026D">
        <w:t xml:space="preserve"> and what </w:t>
      </w:r>
      <w:r w:rsidR="001B2CA2">
        <w:t xml:space="preserve">resources are </w:t>
      </w:r>
      <w:r w:rsidR="0060026D">
        <w:t xml:space="preserve">available for the school to do </w:t>
      </w:r>
      <w:proofErr w:type="gramStart"/>
      <w:r w:rsidR="0060026D">
        <w:t>this;</w:t>
      </w:r>
      <w:proofErr w:type="gramEnd"/>
    </w:p>
    <w:p w14:paraId="4C50D5CF" w14:textId="1EE6105B" w:rsidR="0040422C" w:rsidRDefault="0040422C" w:rsidP="004A04A6">
      <w:pPr>
        <w:pStyle w:val="Numberedparagraph"/>
        <w:numPr>
          <w:ilvl w:val="1"/>
          <w:numId w:val="1"/>
        </w:numPr>
      </w:pPr>
      <w:r>
        <w:t>Provide guidelines to support compliance with Queensland anti-discrimination law, including how to provide reasonable adjustments for students with disability, and how to provide cultural support for Aboriginal students and Torres Strait Islander students.</w:t>
      </w:r>
    </w:p>
    <w:p w14:paraId="2F944135" w14:textId="1C7B2521" w:rsidR="00EA0FD1" w:rsidRDefault="00F0033C" w:rsidP="004A04A6">
      <w:pPr>
        <w:pStyle w:val="Numberedparagraph"/>
        <w:numPr>
          <w:ilvl w:val="1"/>
          <w:numId w:val="1"/>
        </w:numPr>
      </w:pPr>
      <w:r>
        <w:t>Set out the</w:t>
      </w:r>
      <w:r w:rsidR="00EA0FD1">
        <w:t xml:space="preserve"> content and function of education support plans for children in out of home care (see below).</w:t>
      </w:r>
    </w:p>
    <w:p w14:paraId="191CE61A" w14:textId="164B2313" w:rsidR="00E7475F" w:rsidRDefault="00E7475F" w:rsidP="00A857B1">
      <w:pPr>
        <w:pStyle w:val="Heading2"/>
        <w:rPr>
          <w:lang w:val="en-US"/>
        </w:rPr>
      </w:pPr>
      <w:bookmarkStart w:id="24" w:name="_Toc162451275"/>
      <w:r>
        <w:rPr>
          <w:lang w:val="en-US"/>
        </w:rPr>
        <w:lastRenderedPageBreak/>
        <w:t>Student support plans and education support plans</w:t>
      </w:r>
      <w:r w:rsidR="00E432DF">
        <w:rPr>
          <w:lang w:val="en-US"/>
        </w:rPr>
        <w:t xml:space="preserve"> – clause</w:t>
      </w:r>
      <w:r w:rsidR="00EA0FD1">
        <w:rPr>
          <w:lang w:val="en-US"/>
        </w:rPr>
        <w:t xml:space="preserve">s </w:t>
      </w:r>
      <w:r w:rsidR="00E432DF">
        <w:rPr>
          <w:lang w:val="en-US"/>
        </w:rPr>
        <w:t>94</w:t>
      </w:r>
      <w:r w:rsidR="00EA0FD1">
        <w:rPr>
          <w:lang w:val="en-US"/>
        </w:rPr>
        <w:t xml:space="preserve"> and </w:t>
      </w:r>
      <w:r w:rsidR="00E43A0C">
        <w:rPr>
          <w:lang w:val="en-US"/>
        </w:rPr>
        <w:t>120</w:t>
      </w:r>
      <w:bookmarkEnd w:id="24"/>
    </w:p>
    <w:p w14:paraId="7668A23F" w14:textId="19577A82" w:rsidR="004F1B21" w:rsidRDefault="004F1B21" w:rsidP="00E7475F">
      <w:pPr>
        <w:pStyle w:val="Numberedparagraph"/>
        <w:rPr>
          <w:lang w:val="en-US"/>
        </w:rPr>
      </w:pPr>
      <w:r>
        <w:rPr>
          <w:lang w:val="en-US"/>
        </w:rPr>
        <w:t>S</w:t>
      </w:r>
      <w:r w:rsidR="004436B0">
        <w:rPr>
          <w:lang w:val="en-US"/>
        </w:rPr>
        <w:t>tudent support plans (</w:t>
      </w:r>
      <w:r w:rsidR="004436B0" w:rsidRPr="004F1B21">
        <w:rPr>
          <w:b/>
          <w:bCs/>
          <w:lang w:val="en-US"/>
        </w:rPr>
        <w:t>SSPs</w:t>
      </w:r>
      <w:r w:rsidR="004436B0">
        <w:rPr>
          <w:lang w:val="en-US"/>
        </w:rPr>
        <w:t xml:space="preserve">) envisaged by clause </w:t>
      </w:r>
      <w:r>
        <w:rPr>
          <w:lang w:val="en-US"/>
        </w:rPr>
        <w:t xml:space="preserve">94 of the Bill are plans </w:t>
      </w:r>
      <w:r w:rsidR="00F47C06">
        <w:rPr>
          <w:lang w:val="en-US"/>
        </w:rPr>
        <w:t xml:space="preserve">written by the principal </w:t>
      </w:r>
      <w:r>
        <w:rPr>
          <w:lang w:val="en-US"/>
        </w:rPr>
        <w:t>for a student designed to reduce the likelihood of further suspension or exclusion of the student. The</w:t>
      </w:r>
      <w:r w:rsidR="00E43A0C">
        <w:rPr>
          <w:lang w:val="en-US"/>
        </w:rPr>
        <w:t>y</w:t>
      </w:r>
      <w:r>
        <w:rPr>
          <w:lang w:val="en-US"/>
        </w:rPr>
        <w:t xml:space="preserve"> are for students who</w:t>
      </w:r>
      <w:r w:rsidR="00E43A0C">
        <w:rPr>
          <w:lang w:val="en-US"/>
        </w:rPr>
        <w:t>:</w:t>
      </w:r>
      <w:r>
        <w:rPr>
          <w:lang w:val="en-US"/>
        </w:rPr>
        <w:t xml:space="preserve"> </w:t>
      </w:r>
    </w:p>
    <w:p w14:paraId="5DD8366D" w14:textId="77777777" w:rsidR="004F1B21" w:rsidRDefault="004F1B21" w:rsidP="004F1B21">
      <w:pPr>
        <w:pStyle w:val="Numberedparagraph"/>
        <w:numPr>
          <w:ilvl w:val="1"/>
          <w:numId w:val="1"/>
        </w:numPr>
        <w:rPr>
          <w:lang w:val="en-US"/>
        </w:rPr>
      </w:pPr>
      <w:r>
        <w:rPr>
          <w:lang w:val="en-US"/>
        </w:rPr>
        <w:t xml:space="preserve">have been suspended or at risk of exclusion, and </w:t>
      </w:r>
    </w:p>
    <w:p w14:paraId="6D36FB09" w14:textId="3CC69290" w:rsidR="004F1B21" w:rsidRDefault="004F1B21" w:rsidP="004F1B21">
      <w:pPr>
        <w:pStyle w:val="Numberedparagraph"/>
        <w:numPr>
          <w:ilvl w:val="1"/>
          <w:numId w:val="1"/>
        </w:numPr>
        <w:rPr>
          <w:lang w:val="en-US"/>
        </w:rPr>
      </w:pPr>
      <w:r>
        <w:rPr>
          <w:lang w:val="en-US"/>
        </w:rPr>
        <w:t>who are either an Aboriginal student or Torres Strait Islander student, a preparatory student, or a student with disability</w:t>
      </w:r>
      <w:r w:rsidR="00E43A0C">
        <w:rPr>
          <w:lang w:val="en-US"/>
        </w:rPr>
        <w:t>.</w:t>
      </w:r>
      <w:r>
        <w:rPr>
          <w:lang w:val="en-US"/>
        </w:rPr>
        <w:t xml:space="preserve">  </w:t>
      </w:r>
    </w:p>
    <w:p w14:paraId="451DA3F6" w14:textId="19B14770" w:rsidR="00F47C06" w:rsidRDefault="00F47C06" w:rsidP="004F1B21">
      <w:pPr>
        <w:pStyle w:val="Numberedparagraph"/>
        <w:rPr>
          <w:lang w:val="en-US"/>
        </w:rPr>
      </w:pPr>
      <w:r>
        <w:rPr>
          <w:lang w:val="en-US"/>
        </w:rPr>
        <w:t xml:space="preserve">The clause does not implement the plans, but </w:t>
      </w:r>
      <w:r w:rsidR="00F0033C">
        <w:rPr>
          <w:lang w:val="en-US"/>
        </w:rPr>
        <w:t>require</w:t>
      </w:r>
      <w:r>
        <w:rPr>
          <w:lang w:val="en-US"/>
        </w:rPr>
        <w:t xml:space="preserve">s the </w:t>
      </w:r>
      <w:r w:rsidR="00E43A0C">
        <w:rPr>
          <w:lang w:val="en-US"/>
        </w:rPr>
        <w:t xml:space="preserve">Department </w:t>
      </w:r>
      <w:r>
        <w:rPr>
          <w:lang w:val="en-US"/>
        </w:rPr>
        <w:t xml:space="preserve">make a policy setting out when an SSP must be made, what it must contain and how it is to be developed. </w:t>
      </w:r>
    </w:p>
    <w:p w14:paraId="6692EB00" w14:textId="2850F6ED" w:rsidR="004F1B21" w:rsidRPr="00F47C06" w:rsidRDefault="004F1B21" w:rsidP="004F1B21">
      <w:pPr>
        <w:pStyle w:val="Numberedparagraph"/>
        <w:rPr>
          <w:lang w:val="en-US"/>
        </w:rPr>
      </w:pPr>
      <w:r w:rsidRPr="004F1B21">
        <w:rPr>
          <w:lang w:val="en-US"/>
        </w:rPr>
        <w:t>SSPs will ‘</w:t>
      </w:r>
      <w:r w:rsidRPr="004F1B21">
        <w:t>allow focused strategies and support for these students and involve parents / guardians to help identify any needs or complexities contributing to the behaviour that may not otherwise be known by the school or appropriately supported</w:t>
      </w:r>
      <w:r w:rsidR="00E432DF">
        <w:t>’.</w:t>
      </w:r>
      <w:r w:rsidR="00E432DF">
        <w:rPr>
          <w:rStyle w:val="FootnoteReference"/>
        </w:rPr>
        <w:footnoteReference w:id="42"/>
      </w:r>
      <w:r w:rsidRPr="004F1B21">
        <w:t xml:space="preserve"> </w:t>
      </w:r>
    </w:p>
    <w:p w14:paraId="163B3936" w14:textId="38822338" w:rsidR="00F47C06" w:rsidRPr="00F47C06" w:rsidRDefault="00F47C06" w:rsidP="004F1B21">
      <w:pPr>
        <w:pStyle w:val="Numberedparagraph"/>
        <w:rPr>
          <w:lang w:val="en-US"/>
        </w:rPr>
      </w:pPr>
      <w:r w:rsidRPr="00F47C06">
        <w:rPr>
          <w:lang w:val="en-US"/>
        </w:rPr>
        <w:t xml:space="preserve">It is imperative that SSPs complement, and </w:t>
      </w:r>
      <w:r w:rsidR="000956E7">
        <w:rPr>
          <w:lang w:val="en-US"/>
        </w:rPr>
        <w:t xml:space="preserve">are not at the expense of, </w:t>
      </w:r>
      <w:r w:rsidRPr="00F47C06">
        <w:rPr>
          <w:lang w:val="en-US"/>
        </w:rPr>
        <w:t>early intervention strategies.</w:t>
      </w:r>
    </w:p>
    <w:p w14:paraId="78124F6E" w14:textId="5BAAF3AD" w:rsidR="00F47C06" w:rsidRPr="00F47C06" w:rsidRDefault="00F47C06" w:rsidP="004F1B21">
      <w:pPr>
        <w:pStyle w:val="Numberedparagraph"/>
        <w:rPr>
          <w:lang w:val="en-US"/>
        </w:rPr>
      </w:pPr>
      <w:r>
        <w:t xml:space="preserve">The Commission also submits that the </w:t>
      </w:r>
      <w:r w:rsidR="00E43A0C">
        <w:t>Department</w:t>
      </w:r>
      <w:r>
        <w:t>’s policy regarding SSPs consider inclusion of the following matters:</w:t>
      </w:r>
    </w:p>
    <w:p w14:paraId="3873C0FD" w14:textId="7250A4D2" w:rsidR="00F47C06" w:rsidRPr="00F47C06" w:rsidRDefault="00F47C06" w:rsidP="00F47C06">
      <w:pPr>
        <w:pStyle w:val="Numberedparagraph"/>
        <w:numPr>
          <w:ilvl w:val="1"/>
          <w:numId w:val="1"/>
        </w:numPr>
        <w:rPr>
          <w:lang w:val="en-US"/>
        </w:rPr>
      </w:pPr>
      <w:r>
        <w:rPr>
          <w:lang w:val="en-US"/>
        </w:rPr>
        <w:t xml:space="preserve">Proposed section 322 requires that the policy provide for the involvement of the student and parent in making the SSP. </w:t>
      </w:r>
      <w:r w:rsidRPr="0035505E">
        <w:t xml:space="preserve">In many cases, an effective SSP may </w:t>
      </w:r>
      <w:r w:rsidR="000956E7">
        <w:t xml:space="preserve">also </w:t>
      </w:r>
      <w:r w:rsidRPr="0035505E">
        <w:t xml:space="preserve">require input from teaching staff, </w:t>
      </w:r>
      <w:proofErr w:type="gramStart"/>
      <w:r w:rsidRPr="0035505E">
        <w:t>health</w:t>
      </w:r>
      <w:proofErr w:type="gramEnd"/>
      <w:r w:rsidRPr="0035505E">
        <w:t xml:space="preserve"> and allied health experts, and other supports the student receives outside of school.</w:t>
      </w:r>
    </w:p>
    <w:p w14:paraId="38E1BE95" w14:textId="1ACFF6EA" w:rsidR="00F47C06" w:rsidRPr="00F47C06" w:rsidRDefault="00F47C06" w:rsidP="00F47C06">
      <w:pPr>
        <w:pStyle w:val="Numberedparagraph"/>
        <w:numPr>
          <w:ilvl w:val="1"/>
          <w:numId w:val="1"/>
        </w:numPr>
        <w:rPr>
          <w:lang w:val="en-US"/>
        </w:rPr>
      </w:pPr>
      <w:r>
        <w:t>Who the SSP should be given</w:t>
      </w:r>
      <w:r w:rsidR="00CE642B">
        <w:t xml:space="preserve"> and explained</w:t>
      </w:r>
      <w:r>
        <w:t xml:space="preserve"> to, including the student, the family, and any other relevant person</w:t>
      </w:r>
      <w:r w:rsidR="000956E7">
        <w:t>,</w:t>
      </w:r>
      <w:r w:rsidRPr="0035505E">
        <w:t xml:space="preserve"> with the goal of having a coordinated and consistent approach to supporting the student</w:t>
      </w:r>
      <w:r>
        <w:t>, subject to privacy considerations of the student and family.</w:t>
      </w:r>
    </w:p>
    <w:p w14:paraId="65A21020" w14:textId="254BD773" w:rsidR="00F47C06" w:rsidRPr="000956E7" w:rsidRDefault="009B22D0" w:rsidP="000956E7">
      <w:pPr>
        <w:pStyle w:val="Numberedparagraph"/>
        <w:numPr>
          <w:ilvl w:val="1"/>
          <w:numId w:val="1"/>
        </w:numPr>
        <w:rPr>
          <w:lang w:val="en-US"/>
        </w:rPr>
      </w:pPr>
      <w:r>
        <w:t>A</w:t>
      </w:r>
      <w:r w:rsidR="00CE642B">
        <w:t>ctions and time frames</w:t>
      </w:r>
      <w:r w:rsidR="000956E7">
        <w:t xml:space="preserve"> </w:t>
      </w:r>
      <w:r w:rsidR="00CE642B">
        <w:t>which then form the basis for the principal’s and/or the Department’s review of the SSP and evaluation of its efficacy.</w:t>
      </w:r>
      <w:r w:rsidR="00D21D8B">
        <w:t xml:space="preserve"> </w:t>
      </w:r>
      <w:r w:rsidR="000956E7">
        <w:t xml:space="preserve">Currently, proposed section 322(1)(d) only requires the policy provide for action that must be taken to ensure compliance with the </w:t>
      </w:r>
      <w:r w:rsidR="000956E7" w:rsidRPr="00CE642B">
        <w:rPr>
          <w:i/>
          <w:iCs/>
        </w:rPr>
        <w:t>Disability Standards for Education 2005</w:t>
      </w:r>
      <w:r w:rsidR="000956E7">
        <w:t xml:space="preserve"> (Cth). Reference to the standards should be deleted </w:t>
      </w:r>
      <w:r w:rsidR="00D21D8B">
        <w:t xml:space="preserve">as it </w:t>
      </w:r>
      <w:r w:rsidR="000956E7">
        <w:t xml:space="preserve">is unnecessarily limiting and </w:t>
      </w:r>
      <w:r w:rsidR="00D21D8B">
        <w:t>risks overlooking other legislative obligations, including Queensland’s Anti-Discrimination Act.</w:t>
      </w:r>
    </w:p>
    <w:p w14:paraId="5073C2C7" w14:textId="1B7A96F1" w:rsidR="00D21D8B" w:rsidRDefault="00D21D8B" w:rsidP="00D21D8B">
      <w:pPr>
        <w:pStyle w:val="Numberedparagraph"/>
        <w:numPr>
          <w:ilvl w:val="1"/>
          <w:numId w:val="1"/>
        </w:numPr>
        <w:rPr>
          <w:lang w:val="en-US"/>
        </w:rPr>
      </w:pPr>
      <w:r>
        <w:rPr>
          <w:lang w:val="en-US"/>
        </w:rPr>
        <w:lastRenderedPageBreak/>
        <w:t>A prescribed matter for an SDA decision is whether an SSP sufficiently supports the student or could be changed to better support the student</w:t>
      </w:r>
      <w:r w:rsidR="00CE642B" w:rsidRPr="00D21D8B">
        <w:rPr>
          <w:lang w:val="en-US"/>
        </w:rPr>
        <w:t>.</w:t>
      </w:r>
      <w:r w:rsidR="00CE642B">
        <w:rPr>
          <w:rStyle w:val="FootnoteReference"/>
          <w:lang w:val="en-US"/>
        </w:rPr>
        <w:footnoteReference w:id="43"/>
      </w:r>
      <w:r w:rsidR="00CE642B" w:rsidRPr="00D21D8B">
        <w:rPr>
          <w:lang w:val="en-US"/>
        </w:rPr>
        <w:t xml:space="preserve"> The </w:t>
      </w:r>
      <w:r>
        <w:rPr>
          <w:lang w:val="en-US"/>
        </w:rPr>
        <w:t xml:space="preserve">SSP </w:t>
      </w:r>
      <w:r w:rsidR="00CE642B" w:rsidRPr="00D21D8B">
        <w:rPr>
          <w:lang w:val="en-US"/>
        </w:rPr>
        <w:t xml:space="preserve">policy </w:t>
      </w:r>
      <w:r>
        <w:rPr>
          <w:lang w:val="en-US"/>
        </w:rPr>
        <w:t xml:space="preserve">will need to provide </w:t>
      </w:r>
      <w:r w:rsidR="00CE642B" w:rsidRPr="00D21D8B">
        <w:rPr>
          <w:lang w:val="en-US"/>
        </w:rPr>
        <w:t xml:space="preserve">guidance on this process, as well as </w:t>
      </w:r>
      <w:r>
        <w:rPr>
          <w:lang w:val="en-US"/>
        </w:rPr>
        <w:t xml:space="preserve">set out expectations arising from </w:t>
      </w:r>
      <w:r w:rsidR="00CE642B" w:rsidRPr="00D21D8B">
        <w:rPr>
          <w:lang w:val="en-US"/>
        </w:rPr>
        <w:t>SSP</w:t>
      </w:r>
      <w:r>
        <w:rPr>
          <w:lang w:val="en-US"/>
        </w:rPr>
        <w:t>s</w:t>
      </w:r>
      <w:r w:rsidR="00CE642B" w:rsidRPr="00D21D8B">
        <w:rPr>
          <w:lang w:val="en-US"/>
        </w:rPr>
        <w:t xml:space="preserve"> and </w:t>
      </w:r>
      <w:r>
        <w:rPr>
          <w:lang w:val="en-US"/>
        </w:rPr>
        <w:t xml:space="preserve">what </w:t>
      </w:r>
      <w:r w:rsidR="00CE642B" w:rsidRPr="00D21D8B">
        <w:rPr>
          <w:lang w:val="en-US"/>
        </w:rPr>
        <w:t xml:space="preserve">options </w:t>
      </w:r>
      <w:r>
        <w:rPr>
          <w:lang w:val="en-US"/>
        </w:rPr>
        <w:t>are available to the student where an SSP is not followed or requires amendment.</w:t>
      </w:r>
    </w:p>
    <w:p w14:paraId="38ED374F" w14:textId="02CD2137" w:rsidR="005E676F" w:rsidRPr="005E676F" w:rsidRDefault="00C51747" w:rsidP="005E676F">
      <w:pPr>
        <w:pStyle w:val="Numberedparagraph"/>
        <w:numPr>
          <w:ilvl w:val="1"/>
          <w:numId w:val="1"/>
        </w:numPr>
        <w:rPr>
          <w:lang w:val="en-US"/>
        </w:rPr>
      </w:pPr>
      <w:r>
        <w:t>Thresholds</w:t>
      </w:r>
      <w:r w:rsidR="005E676F">
        <w:t xml:space="preserve"> at which point a student and SSP </w:t>
      </w:r>
      <w:r w:rsidR="000956E7">
        <w:t xml:space="preserve">are </w:t>
      </w:r>
      <w:r w:rsidR="005E676F">
        <w:t xml:space="preserve">referred to the Department for review and, if necessary, case management. (See discussion on review rights below). </w:t>
      </w:r>
    </w:p>
    <w:p w14:paraId="53D6A8E2" w14:textId="0B33D969" w:rsidR="00DD6390" w:rsidRDefault="00EA0FD1" w:rsidP="00E7475F">
      <w:pPr>
        <w:pStyle w:val="Numberedparagraph"/>
        <w:rPr>
          <w:lang w:val="en-US"/>
        </w:rPr>
      </w:pPr>
      <w:r>
        <w:rPr>
          <w:lang w:val="en-US"/>
        </w:rPr>
        <w:t>The Bill also introduces the idea of ‘education support plans’, which must also be considered when making an SDA. An education support plan is a plan written by the principal or their delegate designed for children in out of home care that addresses the child’s education needs and goals.</w:t>
      </w:r>
      <w:r>
        <w:rPr>
          <w:rStyle w:val="FootnoteReference"/>
          <w:lang w:val="en-US"/>
        </w:rPr>
        <w:footnoteReference w:id="44"/>
      </w:r>
      <w:r>
        <w:rPr>
          <w:lang w:val="en-US"/>
        </w:rPr>
        <w:t xml:space="preserve"> The Commission is generally supportive of an initiative to target the challenges faced by children in out of home care, who are overrepresented in SDAs</w:t>
      </w:r>
      <w:r w:rsidRPr="0035505E">
        <w:rPr>
          <w:rStyle w:val="FootnoteReference"/>
        </w:rPr>
        <w:footnoteReference w:id="45"/>
      </w:r>
      <w:r>
        <w:rPr>
          <w:lang w:val="en-US"/>
        </w:rPr>
        <w:t>. However, apart from the definition</w:t>
      </w:r>
      <w:r w:rsidR="000956E7">
        <w:rPr>
          <w:lang w:val="en-US"/>
        </w:rPr>
        <w:t xml:space="preserve"> of education support plans</w:t>
      </w:r>
      <w:r>
        <w:rPr>
          <w:lang w:val="en-US"/>
        </w:rPr>
        <w:t xml:space="preserve">, there are no further details provided about </w:t>
      </w:r>
      <w:r w:rsidR="000956E7">
        <w:rPr>
          <w:lang w:val="en-US"/>
        </w:rPr>
        <w:t xml:space="preserve">their </w:t>
      </w:r>
      <w:r>
        <w:rPr>
          <w:lang w:val="en-US"/>
        </w:rPr>
        <w:t>content or function.</w:t>
      </w:r>
      <w:r w:rsidR="006470DA">
        <w:rPr>
          <w:lang w:val="en-US"/>
        </w:rPr>
        <w:t xml:space="preserve"> </w:t>
      </w:r>
      <w:r w:rsidR="00053DF8">
        <w:rPr>
          <w:lang w:val="en-US"/>
        </w:rPr>
        <w:t>P</w:t>
      </w:r>
      <w:r w:rsidR="006470DA">
        <w:rPr>
          <w:lang w:val="en-US"/>
        </w:rPr>
        <w:t xml:space="preserve">ublished guidance </w:t>
      </w:r>
      <w:r w:rsidR="00053DF8">
        <w:rPr>
          <w:lang w:val="en-US"/>
        </w:rPr>
        <w:t>is necessary to ensure education support plans fulfil their purpose and are used by schools</w:t>
      </w:r>
      <w:r w:rsidR="006470DA">
        <w:rPr>
          <w:lang w:val="en-US"/>
        </w:rPr>
        <w:t>.</w:t>
      </w:r>
    </w:p>
    <w:p w14:paraId="4FF1180B" w14:textId="61B7E48D" w:rsidR="2546CC26" w:rsidRDefault="2546CC26" w:rsidP="5C77D68F">
      <w:pPr>
        <w:pStyle w:val="Numberedparagraph"/>
        <w:rPr>
          <w:lang w:val="en-US"/>
        </w:rPr>
      </w:pPr>
      <w:r w:rsidRPr="4E12C6BF">
        <w:rPr>
          <w:lang w:val="en-US"/>
        </w:rPr>
        <w:t xml:space="preserve">Both initiatives require adequate resourcing if they are to achieve their purpose of improving supports </w:t>
      </w:r>
      <w:r w:rsidR="5FC73DED" w:rsidRPr="4E12C6BF">
        <w:rPr>
          <w:lang w:val="en-US"/>
        </w:rPr>
        <w:t>and reducing SDAs</w:t>
      </w:r>
      <w:r w:rsidRPr="4E12C6BF">
        <w:rPr>
          <w:lang w:val="en-US"/>
        </w:rPr>
        <w:t xml:space="preserve"> for </w:t>
      </w:r>
      <w:r w:rsidR="2FC72F30" w:rsidRPr="4E12C6BF">
        <w:rPr>
          <w:lang w:val="en-US"/>
        </w:rPr>
        <w:t>students with disability, preparatory students, Aboriginal students, Torres Strait Islander students, and students in out of home care.</w:t>
      </w:r>
    </w:p>
    <w:p w14:paraId="1CF0451A" w14:textId="7E3831DE" w:rsidR="00486FB6" w:rsidRPr="00486FB6" w:rsidRDefault="00486FB6" w:rsidP="00A857B1">
      <w:pPr>
        <w:pStyle w:val="Heading2"/>
      </w:pPr>
      <w:bookmarkStart w:id="25" w:name="_Toc162451276"/>
      <w:r w:rsidRPr="00486FB6">
        <w:t xml:space="preserve">Review rights – </w:t>
      </w:r>
      <w:bookmarkStart w:id="26" w:name="_Hlk162357675"/>
      <w:r w:rsidRPr="00486FB6">
        <w:t>cl</w:t>
      </w:r>
      <w:r>
        <w:t>auses</w:t>
      </w:r>
      <w:r w:rsidRPr="00486FB6">
        <w:t xml:space="preserve"> 78, 79, 86, 89, 90, 106, </w:t>
      </w:r>
      <w:proofErr w:type="gramStart"/>
      <w:r w:rsidRPr="00486FB6">
        <w:t>107</w:t>
      </w:r>
      <w:bookmarkEnd w:id="26"/>
      <w:bookmarkEnd w:id="25"/>
      <w:proofErr w:type="gramEnd"/>
    </w:p>
    <w:p w14:paraId="738C4C4D" w14:textId="4F9B5D6E" w:rsidR="00486FB6" w:rsidRDefault="00486FB6" w:rsidP="00486FB6">
      <w:pPr>
        <w:pStyle w:val="Numberedparagraph"/>
      </w:pPr>
      <w:r>
        <w:t>The Commission’s understanding of decision making and review processes in relation to SDAs</w:t>
      </w:r>
      <w:r w:rsidR="00053DF8">
        <w:t xml:space="preserve"> under the EGP Act, as amended by the Bill,</w:t>
      </w:r>
      <w:r>
        <w:t xml:space="preserve"> is set out in Table 3.</w:t>
      </w:r>
    </w:p>
    <w:p w14:paraId="5A6FA6CD" w14:textId="77777777" w:rsidR="00053DF8" w:rsidRDefault="00053DF8">
      <w:pPr>
        <w:spacing w:after="0"/>
        <w:rPr>
          <w:rFonts w:cs="Arial"/>
          <w:b/>
          <w:bCs/>
        </w:rPr>
      </w:pPr>
      <w:r>
        <w:rPr>
          <w:b/>
          <w:bCs/>
        </w:rPr>
        <w:br w:type="page"/>
      </w:r>
    </w:p>
    <w:p w14:paraId="62C6994B" w14:textId="58FC199E" w:rsidR="00486FB6" w:rsidRPr="00486FB6" w:rsidRDefault="00486FB6" w:rsidP="00053DF8">
      <w:pPr>
        <w:pStyle w:val="Numberedparagraph"/>
        <w:numPr>
          <w:ilvl w:val="0"/>
          <w:numId w:val="0"/>
        </w:numPr>
        <w:ind w:left="-567"/>
        <w:rPr>
          <w:b/>
          <w:bCs/>
        </w:rPr>
      </w:pPr>
      <w:r w:rsidRPr="00486FB6">
        <w:rPr>
          <w:b/>
          <w:bCs/>
        </w:rPr>
        <w:lastRenderedPageBreak/>
        <w:t xml:space="preserve">Table 3 – Timeframes (and notice of decision requirements) for decision making and review in relation to SDAs under the EGP Act as amended by the </w:t>
      </w:r>
      <w:proofErr w:type="gramStart"/>
      <w:r w:rsidRPr="00486FB6">
        <w:rPr>
          <w:b/>
          <w:bCs/>
        </w:rPr>
        <w:t>Bill</w:t>
      </w:r>
      <w:proofErr w:type="gramEnd"/>
    </w:p>
    <w:tbl>
      <w:tblPr>
        <w:tblStyle w:val="ListTable2"/>
        <w:tblW w:w="9781" w:type="dxa"/>
        <w:tblInd w:w="-567" w:type="dxa"/>
        <w:tblLayout w:type="fixed"/>
        <w:tblLook w:val="04A0" w:firstRow="1" w:lastRow="0" w:firstColumn="1" w:lastColumn="0" w:noHBand="0" w:noVBand="1"/>
      </w:tblPr>
      <w:tblGrid>
        <w:gridCol w:w="1439"/>
        <w:gridCol w:w="1668"/>
        <w:gridCol w:w="1668"/>
        <w:gridCol w:w="1669"/>
        <w:gridCol w:w="1668"/>
        <w:gridCol w:w="1669"/>
      </w:tblGrid>
      <w:tr w:rsidR="00486FB6" w:rsidRPr="00053DF8" w14:paraId="25199401" w14:textId="77777777" w:rsidTr="00053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0021B499" w14:textId="77777777" w:rsidR="00486FB6" w:rsidRPr="00053DF8" w:rsidRDefault="00486FB6" w:rsidP="00486FB6">
            <w:pPr>
              <w:spacing w:after="0"/>
              <w:rPr>
                <w:rFonts w:eastAsia="Times New Roman" w:cs="Arial"/>
                <w:color w:val="auto"/>
                <w:sz w:val="20"/>
                <w:szCs w:val="20"/>
              </w:rPr>
            </w:pPr>
          </w:p>
        </w:tc>
        <w:tc>
          <w:tcPr>
            <w:tcW w:w="1668" w:type="dxa"/>
          </w:tcPr>
          <w:p w14:paraId="2819F447" w14:textId="2D74DCFD" w:rsidR="00486FB6" w:rsidRPr="00053DF8" w:rsidRDefault="00486FB6" w:rsidP="00486FB6">
            <w:pPr>
              <w:spacing w:after="0"/>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Short term suspension (</w:t>
            </w:r>
            <w:r w:rsidR="00053DF8">
              <w:rPr>
                <w:rFonts w:eastAsia="Times New Roman" w:cs="Arial"/>
                <w:color w:val="auto"/>
                <w:sz w:val="20"/>
                <w:szCs w:val="20"/>
              </w:rPr>
              <w:t>=&lt;</w:t>
            </w:r>
            <w:r w:rsidRPr="00053DF8">
              <w:rPr>
                <w:rFonts w:eastAsia="Times New Roman" w:cs="Arial"/>
                <w:color w:val="auto"/>
                <w:sz w:val="20"/>
                <w:szCs w:val="20"/>
              </w:rPr>
              <w:t>10 days)</w:t>
            </w:r>
          </w:p>
          <w:p w14:paraId="1B92FF88" w14:textId="57DB87AE" w:rsidR="00486FB6" w:rsidRPr="00053DF8" w:rsidRDefault="00486FB6" w:rsidP="00486FB6">
            <w:pPr>
              <w:spacing w:after="0"/>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auto"/>
                <w:sz w:val="20"/>
                <w:szCs w:val="20"/>
              </w:rPr>
            </w:pPr>
          </w:p>
        </w:tc>
        <w:tc>
          <w:tcPr>
            <w:tcW w:w="1668" w:type="dxa"/>
          </w:tcPr>
          <w:p w14:paraId="7161C6A4" w14:textId="67DC4A6A" w:rsidR="00486FB6" w:rsidRPr="00053DF8" w:rsidRDefault="00486FB6" w:rsidP="00486FB6">
            <w:pPr>
              <w:spacing w:after="0"/>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Long term suspension (</w:t>
            </w:r>
            <w:r w:rsidR="00053DF8">
              <w:rPr>
                <w:rFonts w:eastAsia="Times New Roman" w:cs="Arial"/>
                <w:color w:val="auto"/>
                <w:sz w:val="20"/>
                <w:szCs w:val="20"/>
              </w:rPr>
              <w:t>&gt;</w:t>
            </w:r>
            <w:r w:rsidRPr="00053DF8">
              <w:rPr>
                <w:rFonts w:eastAsia="Times New Roman" w:cs="Arial"/>
                <w:color w:val="auto"/>
                <w:sz w:val="20"/>
                <w:szCs w:val="20"/>
              </w:rPr>
              <w:t>10 days</w:t>
            </w:r>
            <w:r w:rsidR="00053DF8">
              <w:rPr>
                <w:rFonts w:eastAsia="Times New Roman" w:cs="Arial"/>
                <w:color w:val="auto"/>
                <w:sz w:val="20"/>
                <w:szCs w:val="20"/>
              </w:rPr>
              <w:t xml:space="preserve"> including cumulative </w:t>
            </w:r>
            <w:proofErr w:type="gramStart"/>
            <w:r w:rsidR="00053DF8">
              <w:rPr>
                <w:rFonts w:eastAsia="Times New Roman" w:cs="Arial"/>
                <w:color w:val="auto"/>
                <w:sz w:val="20"/>
                <w:szCs w:val="20"/>
              </w:rPr>
              <w:t>short term</w:t>
            </w:r>
            <w:proofErr w:type="gramEnd"/>
            <w:r w:rsidR="00053DF8">
              <w:rPr>
                <w:rFonts w:eastAsia="Times New Roman" w:cs="Arial"/>
                <w:color w:val="auto"/>
                <w:sz w:val="20"/>
                <w:szCs w:val="20"/>
              </w:rPr>
              <w:t xml:space="preserve"> suspensions</w:t>
            </w:r>
            <w:r w:rsidRPr="00053DF8">
              <w:rPr>
                <w:rFonts w:eastAsia="Times New Roman" w:cs="Arial"/>
                <w:color w:val="auto"/>
                <w:sz w:val="20"/>
                <w:szCs w:val="20"/>
              </w:rPr>
              <w:t>)</w:t>
            </w:r>
          </w:p>
          <w:p w14:paraId="4F0E714C" w14:textId="690FBC68" w:rsidR="00486FB6" w:rsidRPr="00053DF8" w:rsidRDefault="00486FB6" w:rsidP="00486FB6">
            <w:pPr>
              <w:spacing w:after="0"/>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auto"/>
                <w:sz w:val="20"/>
                <w:szCs w:val="20"/>
              </w:rPr>
            </w:pPr>
          </w:p>
        </w:tc>
        <w:tc>
          <w:tcPr>
            <w:tcW w:w="1669" w:type="dxa"/>
          </w:tcPr>
          <w:p w14:paraId="781D43DA" w14:textId="77777777" w:rsidR="00486FB6" w:rsidRDefault="00486FB6" w:rsidP="00486FB6">
            <w:pPr>
              <w:spacing w:after="0"/>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auto"/>
                <w:sz w:val="20"/>
                <w:szCs w:val="20"/>
              </w:rPr>
            </w:pPr>
            <w:r w:rsidRPr="00053DF8">
              <w:rPr>
                <w:rFonts w:eastAsia="Times New Roman" w:cs="Arial"/>
                <w:color w:val="auto"/>
                <w:sz w:val="20"/>
                <w:szCs w:val="20"/>
              </w:rPr>
              <w:t>Exclusion</w:t>
            </w:r>
          </w:p>
          <w:p w14:paraId="2F7CB5BF" w14:textId="0DDE89BC" w:rsidR="00486FB6" w:rsidRPr="00053DF8" w:rsidRDefault="00486FB6" w:rsidP="0043379C">
            <w:pPr>
              <w:spacing w:after="0"/>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p>
        </w:tc>
        <w:tc>
          <w:tcPr>
            <w:tcW w:w="1668" w:type="dxa"/>
          </w:tcPr>
          <w:p w14:paraId="5E5526E5" w14:textId="77777777" w:rsidR="00486FB6" w:rsidRPr="00053DF8" w:rsidRDefault="00486FB6" w:rsidP="00486FB6">
            <w:pPr>
              <w:spacing w:after="0"/>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Refuse enrolment of prospective student</w:t>
            </w:r>
          </w:p>
          <w:p w14:paraId="430B5E9F" w14:textId="77777777" w:rsidR="00486FB6" w:rsidRPr="00053DF8" w:rsidRDefault="00486FB6" w:rsidP="00486FB6">
            <w:pPr>
              <w:spacing w:after="0"/>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p>
          <w:p w14:paraId="2639DA6C" w14:textId="77777777" w:rsidR="00486FB6" w:rsidRPr="00053DF8" w:rsidRDefault="00486FB6" w:rsidP="00486FB6">
            <w:pPr>
              <w:spacing w:after="0"/>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 xml:space="preserve"> </w:t>
            </w:r>
          </w:p>
        </w:tc>
        <w:tc>
          <w:tcPr>
            <w:tcW w:w="1669" w:type="dxa"/>
          </w:tcPr>
          <w:p w14:paraId="147D20DA" w14:textId="77777777" w:rsidR="00486FB6" w:rsidRPr="00053DF8" w:rsidRDefault="00486FB6" w:rsidP="00F64503">
            <w:pPr>
              <w:spacing w:after="0"/>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 xml:space="preserve">Exclude prospective </w:t>
            </w:r>
            <w:proofErr w:type="gramStart"/>
            <w:r w:rsidRPr="00053DF8">
              <w:rPr>
                <w:rFonts w:eastAsia="Times New Roman" w:cs="Arial"/>
                <w:color w:val="auto"/>
                <w:sz w:val="20"/>
                <w:szCs w:val="20"/>
              </w:rPr>
              <w:t>student</w:t>
            </w:r>
            <w:proofErr w:type="gramEnd"/>
          </w:p>
          <w:p w14:paraId="1F6206D7" w14:textId="1DC8CC68" w:rsidR="00486FB6" w:rsidRPr="00053DF8" w:rsidRDefault="00486FB6" w:rsidP="00F64503">
            <w:pPr>
              <w:spacing w:after="0"/>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auto"/>
                <w:sz w:val="20"/>
                <w:szCs w:val="20"/>
              </w:rPr>
            </w:pPr>
          </w:p>
          <w:p w14:paraId="0EAD3010" w14:textId="77777777" w:rsidR="00486FB6" w:rsidRPr="00053DF8" w:rsidRDefault="00486FB6" w:rsidP="00F64503">
            <w:pPr>
              <w:spacing w:after="0"/>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p>
        </w:tc>
      </w:tr>
      <w:tr w:rsidR="00486FB6" w:rsidRPr="00053DF8" w14:paraId="5C059A28" w14:textId="77777777" w:rsidTr="00053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614FBB0F" w14:textId="77777777" w:rsidR="00486FB6" w:rsidRPr="00053DF8" w:rsidRDefault="00486FB6" w:rsidP="00486FB6">
            <w:pPr>
              <w:spacing w:after="0"/>
              <w:rPr>
                <w:rFonts w:eastAsia="Times New Roman" w:cs="Arial"/>
                <w:color w:val="auto"/>
                <w:sz w:val="20"/>
                <w:szCs w:val="20"/>
              </w:rPr>
            </w:pPr>
            <w:r w:rsidRPr="00053DF8">
              <w:rPr>
                <w:rFonts w:eastAsia="Times New Roman" w:cs="Arial"/>
                <w:color w:val="auto"/>
                <w:sz w:val="20"/>
                <w:szCs w:val="20"/>
              </w:rPr>
              <w:t>Due date for decision</w:t>
            </w:r>
          </w:p>
        </w:tc>
        <w:tc>
          <w:tcPr>
            <w:tcW w:w="1668" w:type="dxa"/>
          </w:tcPr>
          <w:p w14:paraId="4AC82057" w14:textId="77777777" w:rsidR="00486FB6" w:rsidRPr="00053DF8"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NA</w:t>
            </w:r>
          </w:p>
          <w:p w14:paraId="0601610E" w14:textId="77777777" w:rsidR="00486FB6"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(approved form)</w:t>
            </w:r>
          </w:p>
          <w:p w14:paraId="7A8D870A" w14:textId="7DF50403" w:rsidR="0043379C" w:rsidRPr="0043379C" w:rsidRDefault="0043379C"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43379C">
              <w:rPr>
                <w:rFonts w:eastAsia="Times New Roman" w:cs="Arial"/>
                <w:color w:val="auto"/>
                <w:sz w:val="20"/>
                <w:szCs w:val="20"/>
              </w:rPr>
              <w:t>s 283 amd by cl 78</w:t>
            </w:r>
          </w:p>
        </w:tc>
        <w:tc>
          <w:tcPr>
            <w:tcW w:w="1668" w:type="dxa"/>
          </w:tcPr>
          <w:p w14:paraId="228277E1" w14:textId="77777777" w:rsidR="00486FB6" w:rsidRPr="00053DF8"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NA</w:t>
            </w:r>
          </w:p>
          <w:p w14:paraId="0E8C383E" w14:textId="77777777" w:rsidR="00486FB6"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(approved form, right to make subs)</w:t>
            </w:r>
          </w:p>
          <w:p w14:paraId="023DC64A" w14:textId="34566BE1" w:rsidR="0043379C" w:rsidRPr="0043379C" w:rsidRDefault="0043379C"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43379C">
              <w:rPr>
                <w:rFonts w:eastAsia="Times New Roman" w:cs="Arial"/>
                <w:color w:val="auto"/>
                <w:sz w:val="20"/>
                <w:szCs w:val="20"/>
              </w:rPr>
              <w:t>s 283 amd by cl 78</w:t>
            </w:r>
          </w:p>
        </w:tc>
        <w:tc>
          <w:tcPr>
            <w:tcW w:w="1669" w:type="dxa"/>
          </w:tcPr>
          <w:p w14:paraId="2F5C4D94" w14:textId="7AEA6C82" w:rsidR="0043379C"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 xml:space="preserve">Within 20 school days of notice of proposed exclusion </w:t>
            </w:r>
          </w:p>
          <w:p w14:paraId="5DF47714" w14:textId="3A40AAAA" w:rsidR="0043379C" w:rsidRDefault="0043379C"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43379C">
              <w:rPr>
                <w:rFonts w:eastAsia="Times New Roman" w:cs="Arial"/>
                <w:color w:val="auto"/>
                <w:sz w:val="20"/>
                <w:szCs w:val="20"/>
              </w:rPr>
              <w:t xml:space="preserve">s 295 amended by cl 86 </w:t>
            </w:r>
            <w:r>
              <w:rPr>
                <w:rFonts w:eastAsia="Times New Roman" w:cs="Arial"/>
                <w:color w:val="auto"/>
                <w:sz w:val="20"/>
                <w:szCs w:val="20"/>
              </w:rPr>
              <w:t xml:space="preserve">(principal’s decision) </w:t>
            </w:r>
          </w:p>
          <w:p w14:paraId="58500DE1" w14:textId="77777777" w:rsidR="0043379C" w:rsidRDefault="0043379C"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
          <w:p w14:paraId="73C00AE4" w14:textId="77777777" w:rsidR="0043379C" w:rsidRDefault="0043379C"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Pr>
                <w:rFonts w:eastAsia="Times New Roman" w:cs="Arial"/>
                <w:color w:val="auto"/>
                <w:sz w:val="20"/>
                <w:szCs w:val="20"/>
              </w:rPr>
              <w:t xml:space="preserve">(30 school days if Department’s decision, </w:t>
            </w:r>
            <w:r w:rsidRPr="0043379C">
              <w:rPr>
                <w:rFonts w:eastAsia="Times New Roman" w:cs="Arial"/>
                <w:color w:val="auto"/>
                <w:sz w:val="20"/>
                <w:szCs w:val="20"/>
              </w:rPr>
              <w:t>s 302 amd by cl 89</w:t>
            </w:r>
            <w:r>
              <w:rPr>
                <w:rFonts w:eastAsia="Times New Roman" w:cs="Arial"/>
                <w:color w:val="auto"/>
                <w:sz w:val="20"/>
                <w:szCs w:val="20"/>
              </w:rPr>
              <w:t>)</w:t>
            </w:r>
          </w:p>
          <w:p w14:paraId="6E115052" w14:textId="4064BD54" w:rsidR="0043379C" w:rsidRPr="0043379C" w:rsidRDefault="0043379C"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Pr>
                <w:rFonts w:eastAsia="Times New Roman" w:cs="Arial"/>
                <w:color w:val="auto"/>
                <w:sz w:val="20"/>
                <w:szCs w:val="20"/>
              </w:rPr>
              <w:t xml:space="preserve"> </w:t>
            </w:r>
          </w:p>
          <w:p w14:paraId="704A124F" w14:textId="77777777" w:rsidR="00486FB6" w:rsidRPr="00053DF8"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(approved form, right to make subs)</w:t>
            </w:r>
          </w:p>
        </w:tc>
        <w:tc>
          <w:tcPr>
            <w:tcW w:w="1668" w:type="dxa"/>
          </w:tcPr>
          <w:p w14:paraId="64AD63F9" w14:textId="77777777" w:rsidR="00486FB6" w:rsidRPr="00053DF8"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 xml:space="preserve">No due date following show cause process.  </w:t>
            </w:r>
          </w:p>
          <w:p w14:paraId="462E2354" w14:textId="77777777" w:rsidR="00486FB6"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(information notice with reasons)</w:t>
            </w:r>
          </w:p>
          <w:p w14:paraId="730E1B10" w14:textId="77777777" w:rsidR="0043379C" w:rsidRPr="0043379C" w:rsidRDefault="0043379C" w:rsidP="0043379C">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43379C">
              <w:rPr>
                <w:rFonts w:eastAsia="Times New Roman" w:cs="Arial"/>
                <w:color w:val="auto"/>
                <w:sz w:val="20"/>
                <w:szCs w:val="20"/>
              </w:rPr>
              <w:t xml:space="preserve">s 162 </w:t>
            </w:r>
          </w:p>
          <w:p w14:paraId="6AE12A49" w14:textId="77777777" w:rsidR="0043379C" w:rsidRPr="00053DF8" w:rsidRDefault="0043379C"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p>
        </w:tc>
        <w:tc>
          <w:tcPr>
            <w:tcW w:w="1669" w:type="dxa"/>
          </w:tcPr>
          <w:p w14:paraId="5B2022C3" w14:textId="77777777" w:rsidR="00486FB6" w:rsidRPr="00053DF8" w:rsidRDefault="00486FB6" w:rsidP="00F64503">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 xml:space="preserve">No due date following show cause process.  </w:t>
            </w:r>
          </w:p>
          <w:p w14:paraId="7F1DC820" w14:textId="77777777" w:rsidR="00486FB6" w:rsidRDefault="00486FB6" w:rsidP="00F64503">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(notice with reasons, right to make subs)</w:t>
            </w:r>
          </w:p>
          <w:p w14:paraId="7AE27092" w14:textId="349365E4" w:rsidR="0043379C" w:rsidRPr="0043379C" w:rsidRDefault="0043379C" w:rsidP="00F64503">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43379C">
              <w:rPr>
                <w:rFonts w:eastAsia="Times New Roman" w:cs="Arial"/>
                <w:color w:val="auto"/>
                <w:sz w:val="20"/>
                <w:szCs w:val="20"/>
              </w:rPr>
              <w:t>s 309 amd by cl 90</w:t>
            </w:r>
          </w:p>
        </w:tc>
      </w:tr>
      <w:tr w:rsidR="00486FB6" w:rsidRPr="00053DF8" w14:paraId="077DCA15" w14:textId="77777777" w:rsidTr="00053DF8">
        <w:tc>
          <w:tcPr>
            <w:cnfStyle w:val="001000000000" w:firstRow="0" w:lastRow="0" w:firstColumn="1" w:lastColumn="0" w:oddVBand="0" w:evenVBand="0" w:oddHBand="0" w:evenHBand="0" w:firstRowFirstColumn="0" w:firstRowLastColumn="0" w:lastRowFirstColumn="0" w:lastRowLastColumn="0"/>
            <w:tcW w:w="1439" w:type="dxa"/>
          </w:tcPr>
          <w:p w14:paraId="5DF7D9F4" w14:textId="77777777" w:rsidR="00486FB6" w:rsidRPr="00053DF8" w:rsidRDefault="00486FB6" w:rsidP="00486FB6">
            <w:pPr>
              <w:spacing w:after="0"/>
              <w:rPr>
                <w:rFonts w:eastAsia="Times New Roman" w:cs="Arial"/>
                <w:color w:val="auto"/>
                <w:sz w:val="20"/>
                <w:szCs w:val="20"/>
              </w:rPr>
            </w:pPr>
            <w:r w:rsidRPr="00053DF8">
              <w:rPr>
                <w:rFonts w:eastAsia="Times New Roman" w:cs="Arial"/>
                <w:color w:val="auto"/>
                <w:sz w:val="20"/>
                <w:szCs w:val="20"/>
              </w:rPr>
              <w:t>Internal review submissions</w:t>
            </w:r>
          </w:p>
        </w:tc>
        <w:tc>
          <w:tcPr>
            <w:tcW w:w="1668" w:type="dxa"/>
          </w:tcPr>
          <w:p w14:paraId="0871554A" w14:textId="77777777" w:rsidR="00486FB6" w:rsidRPr="00053DF8" w:rsidRDefault="00486FB6" w:rsidP="00486FB6">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No review rights</w:t>
            </w:r>
          </w:p>
        </w:tc>
        <w:tc>
          <w:tcPr>
            <w:tcW w:w="1668" w:type="dxa"/>
          </w:tcPr>
          <w:p w14:paraId="7EE19DB8" w14:textId="77777777" w:rsidR="00486FB6" w:rsidRPr="00053DF8" w:rsidRDefault="00486FB6" w:rsidP="00486FB6">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Within 20 school days</w:t>
            </w:r>
          </w:p>
          <w:p w14:paraId="306C91A2" w14:textId="0C125A31" w:rsidR="00486FB6" w:rsidRPr="00053DF8" w:rsidRDefault="0043379C" w:rsidP="00486FB6">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Pr>
                <w:rFonts w:eastAsia="Times New Roman" w:cs="Arial"/>
                <w:color w:val="auto"/>
                <w:sz w:val="20"/>
                <w:szCs w:val="20"/>
              </w:rPr>
              <w:t>s</w:t>
            </w:r>
            <w:r w:rsidR="00486FB6" w:rsidRPr="00053DF8">
              <w:rPr>
                <w:rFonts w:eastAsia="Times New Roman" w:cs="Arial"/>
                <w:color w:val="auto"/>
                <w:sz w:val="20"/>
                <w:szCs w:val="20"/>
              </w:rPr>
              <w:t xml:space="preserve"> 285 amd by cl 79</w:t>
            </w:r>
          </w:p>
        </w:tc>
        <w:tc>
          <w:tcPr>
            <w:tcW w:w="1669" w:type="dxa"/>
          </w:tcPr>
          <w:p w14:paraId="501BBC02" w14:textId="77777777" w:rsidR="00486FB6" w:rsidRPr="00053DF8" w:rsidRDefault="00486FB6" w:rsidP="00486FB6">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Within 30 school days</w:t>
            </w:r>
          </w:p>
          <w:p w14:paraId="53086F7E" w14:textId="647EFF4F" w:rsidR="00486FB6" w:rsidRPr="00053DF8" w:rsidRDefault="0043379C" w:rsidP="00486FB6">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Pr>
                <w:rFonts w:eastAsia="Times New Roman" w:cs="Arial"/>
                <w:color w:val="auto"/>
                <w:sz w:val="20"/>
                <w:szCs w:val="20"/>
              </w:rPr>
              <w:t>s</w:t>
            </w:r>
            <w:r w:rsidR="00486FB6" w:rsidRPr="00053DF8">
              <w:rPr>
                <w:rFonts w:eastAsia="Times New Roman" w:cs="Arial"/>
                <w:color w:val="auto"/>
                <w:sz w:val="20"/>
                <w:szCs w:val="20"/>
              </w:rPr>
              <w:t xml:space="preserve"> 312</w:t>
            </w:r>
          </w:p>
        </w:tc>
        <w:tc>
          <w:tcPr>
            <w:tcW w:w="1668" w:type="dxa"/>
          </w:tcPr>
          <w:p w14:paraId="05AA1BA7" w14:textId="77777777" w:rsidR="00486FB6" w:rsidRPr="00053DF8" w:rsidRDefault="00486FB6" w:rsidP="00486FB6">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Within 30 school days</w:t>
            </w:r>
          </w:p>
          <w:p w14:paraId="69F39834" w14:textId="77777777" w:rsidR="00486FB6" w:rsidRPr="00053DF8" w:rsidRDefault="00486FB6" w:rsidP="00486FB6">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S 391 amd by cl 106</w:t>
            </w:r>
          </w:p>
        </w:tc>
        <w:tc>
          <w:tcPr>
            <w:tcW w:w="1669" w:type="dxa"/>
          </w:tcPr>
          <w:p w14:paraId="4122E81E" w14:textId="77777777" w:rsidR="00486FB6" w:rsidRPr="00053DF8" w:rsidRDefault="00486FB6" w:rsidP="00F64503">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 xml:space="preserve">Within 30 school days </w:t>
            </w:r>
          </w:p>
          <w:p w14:paraId="732FAFF2" w14:textId="1149C271" w:rsidR="00486FB6" w:rsidRPr="00053DF8" w:rsidRDefault="0043379C" w:rsidP="00F64503">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Pr>
                <w:rFonts w:eastAsia="Times New Roman" w:cs="Arial"/>
                <w:color w:val="auto"/>
                <w:sz w:val="20"/>
                <w:szCs w:val="20"/>
              </w:rPr>
              <w:t>s</w:t>
            </w:r>
            <w:r w:rsidR="00486FB6" w:rsidRPr="00053DF8">
              <w:rPr>
                <w:rFonts w:eastAsia="Times New Roman" w:cs="Arial"/>
                <w:color w:val="auto"/>
                <w:sz w:val="20"/>
                <w:szCs w:val="20"/>
              </w:rPr>
              <w:t xml:space="preserve"> 312</w:t>
            </w:r>
          </w:p>
        </w:tc>
      </w:tr>
      <w:tr w:rsidR="00486FB6" w:rsidRPr="00053DF8" w14:paraId="67133B1C" w14:textId="77777777" w:rsidTr="00053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7FBE4225" w14:textId="77777777" w:rsidR="00486FB6" w:rsidRPr="00053DF8" w:rsidRDefault="00486FB6" w:rsidP="00486FB6">
            <w:pPr>
              <w:spacing w:after="0"/>
              <w:rPr>
                <w:rFonts w:eastAsia="Times New Roman" w:cs="Arial"/>
                <w:color w:val="auto"/>
                <w:sz w:val="20"/>
                <w:szCs w:val="20"/>
              </w:rPr>
            </w:pPr>
            <w:r w:rsidRPr="00053DF8">
              <w:rPr>
                <w:rFonts w:eastAsia="Times New Roman" w:cs="Arial"/>
                <w:color w:val="auto"/>
                <w:sz w:val="20"/>
                <w:szCs w:val="20"/>
              </w:rPr>
              <w:t>Decision on internal review by Department</w:t>
            </w:r>
          </w:p>
        </w:tc>
        <w:tc>
          <w:tcPr>
            <w:tcW w:w="1668" w:type="dxa"/>
          </w:tcPr>
          <w:p w14:paraId="40FC8053" w14:textId="77777777" w:rsidR="00486FB6" w:rsidRPr="00053DF8"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No review rights</w:t>
            </w:r>
          </w:p>
        </w:tc>
        <w:tc>
          <w:tcPr>
            <w:tcW w:w="1668" w:type="dxa"/>
          </w:tcPr>
          <w:p w14:paraId="31D3C5CC" w14:textId="77777777" w:rsidR="00486FB6" w:rsidRPr="00053DF8"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Within 40 school days</w:t>
            </w:r>
          </w:p>
          <w:p w14:paraId="2457EE31" w14:textId="1774A320" w:rsidR="00486FB6" w:rsidRPr="00053DF8" w:rsidRDefault="0043379C"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Pr>
                <w:rFonts w:eastAsia="Times New Roman" w:cs="Arial"/>
                <w:color w:val="auto"/>
                <w:sz w:val="20"/>
                <w:szCs w:val="20"/>
              </w:rPr>
              <w:t>s</w:t>
            </w:r>
            <w:r w:rsidR="00486FB6" w:rsidRPr="00053DF8">
              <w:rPr>
                <w:rFonts w:eastAsia="Times New Roman" w:cs="Arial"/>
                <w:color w:val="auto"/>
                <w:sz w:val="20"/>
                <w:szCs w:val="20"/>
              </w:rPr>
              <w:t xml:space="preserve"> 286 amd by cl 79</w:t>
            </w:r>
          </w:p>
          <w:p w14:paraId="5C59816D" w14:textId="77777777" w:rsidR="00486FB6" w:rsidRPr="00053DF8"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(approved form)</w:t>
            </w:r>
          </w:p>
        </w:tc>
        <w:tc>
          <w:tcPr>
            <w:tcW w:w="1669" w:type="dxa"/>
          </w:tcPr>
          <w:p w14:paraId="70C71234" w14:textId="77777777" w:rsidR="00486FB6" w:rsidRPr="00053DF8"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Within 40 school days</w:t>
            </w:r>
          </w:p>
          <w:p w14:paraId="20124C67" w14:textId="77777777" w:rsidR="00486FB6" w:rsidRPr="00053DF8"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(notice with reasons)</w:t>
            </w:r>
          </w:p>
          <w:p w14:paraId="7909DA77" w14:textId="2C5C1EB0" w:rsidR="00486FB6" w:rsidRPr="00053DF8" w:rsidRDefault="0043379C"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Pr>
                <w:rFonts w:eastAsia="Times New Roman" w:cs="Arial"/>
                <w:color w:val="auto"/>
                <w:sz w:val="20"/>
                <w:szCs w:val="20"/>
              </w:rPr>
              <w:t>s</w:t>
            </w:r>
            <w:r w:rsidR="00486FB6" w:rsidRPr="00053DF8">
              <w:rPr>
                <w:rFonts w:eastAsia="Times New Roman" w:cs="Arial"/>
                <w:color w:val="auto"/>
                <w:sz w:val="20"/>
                <w:szCs w:val="20"/>
              </w:rPr>
              <w:t xml:space="preserve"> 313</w:t>
            </w:r>
          </w:p>
        </w:tc>
        <w:tc>
          <w:tcPr>
            <w:tcW w:w="1668" w:type="dxa"/>
          </w:tcPr>
          <w:p w14:paraId="0A0EF946" w14:textId="77777777" w:rsidR="00486FB6" w:rsidRPr="00053DF8"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 xml:space="preserve">Within 40 school days </w:t>
            </w:r>
          </w:p>
          <w:p w14:paraId="7B7DB796" w14:textId="02FDEB1B" w:rsidR="00486FB6" w:rsidRPr="00053DF8" w:rsidRDefault="0043379C"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Pr>
                <w:rFonts w:eastAsia="Times New Roman" w:cs="Arial"/>
                <w:color w:val="auto"/>
                <w:sz w:val="20"/>
                <w:szCs w:val="20"/>
              </w:rPr>
              <w:t>s</w:t>
            </w:r>
            <w:r w:rsidR="00486FB6" w:rsidRPr="00053DF8">
              <w:rPr>
                <w:rFonts w:eastAsia="Times New Roman" w:cs="Arial"/>
                <w:color w:val="auto"/>
                <w:sz w:val="20"/>
                <w:szCs w:val="20"/>
              </w:rPr>
              <w:t xml:space="preserve"> 392 amd by cl 107</w:t>
            </w:r>
          </w:p>
          <w:p w14:paraId="20F8E86F" w14:textId="779AC475" w:rsidR="00486FB6" w:rsidRPr="00053DF8" w:rsidRDefault="00486FB6" w:rsidP="00486FB6">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(notice with reasons)</w:t>
            </w:r>
          </w:p>
        </w:tc>
        <w:tc>
          <w:tcPr>
            <w:tcW w:w="1669" w:type="dxa"/>
          </w:tcPr>
          <w:p w14:paraId="07F9B661" w14:textId="77777777" w:rsidR="00486FB6" w:rsidRPr="00053DF8" w:rsidRDefault="00486FB6" w:rsidP="00F64503">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Within 40 school days</w:t>
            </w:r>
          </w:p>
          <w:p w14:paraId="11D668BB" w14:textId="77777777" w:rsidR="00486FB6" w:rsidRPr="00053DF8" w:rsidRDefault="00486FB6" w:rsidP="00F64503">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(notice with reasons)</w:t>
            </w:r>
          </w:p>
          <w:p w14:paraId="697C77F7" w14:textId="55659F86" w:rsidR="00486FB6" w:rsidRPr="00053DF8" w:rsidRDefault="0043379C" w:rsidP="00F64503">
            <w:pPr>
              <w:spacing w:after="0"/>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rPr>
            </w:pPr>
            <w:r>
              <w:rPr>
                <w:rFonts w:eastAsia="Times New Roman" w:cs="Arial"/>
                <w:color w:val="auto"/>
                <w:sz w:val="20"/>
                <w:szCs w:val="20"/>
              </w:rPr>
              <w:t>s</w:t>
            </w:r>
            <w:r w:rsidR="00486FB6" w:rsidRPr="00053DF8">
              <w:rPr>
                <w:rFonts w:eastAsia="Times New Roman" w:cs="Arial"/>
                <w:color w:val="auto"/>
                <w:sz w:val="20"/>
                <w:szCs w:val="20"/>
              </w:rPr>
              <w:t xml:space="preserve"> 313</w:t>
            </w:r>
          </w:p>
        </w:tc>
      </w:tr>
      <w:tr w:rsidR="00486FB6" w:rsidRPr="00053DF8" w14:paraId="641D82CE" w14:textId="77777777" w:rsidTr="00053DF8">
        <w:tc>
          <w:tcPr>
            <w:cnfStyle w:val="001000000000" w:firstRow="0" w:lastRow="0" w:firstColumn="1" w:lastColumn="0" w:oddVBand="0" w:evenVBand="0" w:oddHBand="0" w:evenHBand="0" w:firstRowFirstColumn="0" w:firstRowLastColumn="0" w:lastRowFirstColumn="0" w:lastRowLastColumn="0"/>
            <w:tcW w:w="1439" w:type="dxa"/>
          </w:tcPr>
          <w:p w14:paraId="67CF8F17" w14:textId="77777777" w:rsidR="00486FB6" w:rsidRPr="00053DF8" w:rsidRDefault="00486FB6" w:rsidP="00486FB6">
            <w:pPr>
              <w:spacing w:after="0"/>
              <w:rPr>
                <w:rFonts w:eastAsia="Times New Roman" w:cs="Arial"/>
                <w:color w:val="auto"/>
                <w:sz w:val="20"/>
                <w:szCs w:val="20"/>
              </w:rPr>
            </w:pPr>
            <w:r w:rsidRPr="00053DF8">
              <w:rPr>
                <w:rFonts w:eastAsia="Times New Roman" w:cs="Arial"/>
                <w:color w:val="auto"/>
                <w:sz w:val="20"/>
                <w:szCs w:val="20"/>
              </w:rPr>
              <w:t>QCAT review available</w:t>
            </w:r>
          </w:p>
        </w:tc>
        <w:tc>
          <w:tcPr>
            <w:tcW w:w="1668" w:type="dxa"/>
          </w:tcPr>
          <w:p w14:paraId="20B1511B" w14:textId="77777777" w:rsidR="00486FB6" w:rsidRPr="00053DF8" w:rsidRDefault="00486FB6" w:rsidP="00486FB6">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No</w:t>
            </w:r>
          </w:p>
        </w:tc>
        <w:tc>
          <w:tcPr>
            <w:tcW w:w="1668" w:type="dxa"/>
          </w:tcPr>
          <w:p w14:paraId="4D8133ED" w14:textId="77777777" w:rsidR="00486FB6" w:rsidRPr="00053DF8" w:rsidRDefault="00486FB6" w:rsidP="00486FB6">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No</w:t>
            </w:r>
          </w:p>
        </w:tc>
        <w:tc>
          <w:tcPr>
            <w:tcW w:w="1669" w:type="dxa"/>
          </w:tcPr>
          <w:p w14:paraId="70B1F0FF" w14:textId="77777777" w:rsidR="00486FB6" w:rsidRPr="00053DF8" w:rsidRDefault="00486FB6" w:rsidP="00486FB6">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 xml:space="preserve">Only decisions to exclude from all state schools </w:t>
            </w:r>
            <w:r w:rsidRPr="00053DF8">
              <w:rPr>
                <w:rFonts w:eastAsia="Times New Roman" w:cs="Arial"/>
                <w:color w:val="auto"/>
                <w:sz w:val="20"/>
                <w:szCs w:val="20"/>
              </w:rPr>
              <w:br/>
              <w:t>s 401</w:t>
            </w:r>
          </w:p>
        </w:tc>
        <w:tc>
          <w:tcPr>
            <w:tcW w:w="1668" w:type="dxa"/>
          </w:tcPr>
          <w:p w14:paraId="75776809" w14:textId="77777777" w:rsidR="00486FB6" w:rsidRPr="00053DF8" w:rsidRDefault="00486FB6" w:rsidP="00486FB6">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Yes</w:t>
            </w:r>
          </w:p>
          <w:p w14:paraId="00DF15CA" w14:textId="13D64C01" w:rsidR="00486FB6" w:rsidRPr="00053DF8" w:rsidRDefault="0043379C" w:rsidP="00486FB6">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Pr>
                <w:rFonts w:eastAsia="Times New Roman" w:cs="Arial"/>
                <w:color w:val="auto"/>
                <w:sz w:val="20"/>
                <w:szCs w:val="20"/>
              </w:rPr>
              <w:t>s</w:t>
            </w:r>
            <w:r w:rsidR="00486FB6" w:rsidRPr="00053DF8">
              <w:rPr>
                <w:rFonts w:eastAsia="Times New Roman" w:cs="Arial"/>
                <w:color w:val="auto"/>
                <w:sz w:val="20"/>
                <w:szCs w:val="20"/>
              </w:rPr>
              <w:t xml:space="preserve"> 393</w:t>
            </w:r>
          </w:p>
        </w:tc>
        <w:tc>
          <w:tcPr>
            <w:tcW w:w="1669" w:type="dxa"/>
          </w:tcPr>
          <w:p w14:paraId="095384E2" w14:textId="77777777" w:rsidR="00486FB6" w:rsidRPr="00053DF8" w:rsidRDefault="00486FB6" w:rsidP="00F64503">
            <w:pPr>
              <w:spacing w:after="0"/>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rPr>
            </w:pPr>
            <w:r w:rsidRPr="00053DF8">
              <w:rPr>
                <w:rFonts w:eastAsia="Times New Roman" w:cs="Arial"/>
                <w:color w:val="auto"/>
                <w:sz w:val="20"/>
                <w:szCs w:val="20"/>
              </w:rPr>
              <w:t xml:space="preserve">Only decisions to exclude from all state schools </w:t>
            </w:r>
            <w:r w:rsidRPr="00053DF8">
              <w:rPr>
                <w:rFonts w:eastAsia="Times New Roman" w:cs="Arial"/>
                <w:color w:val="auto"/>
                <w:sz w:val="20"/>
                <w:szCs w:val="20"/>
              </w:rPr>
              <w:br/>
              <w:t>s 401</w:t>
            </w:r>
          </w:p>
        </w:tc>
      </w:tr>
    </w:tbl>
    <w:p w14:paraId="5B3000B9" w14:textId="77777777" w:rsidR="00486FB6" w:rsidRPr="00486FB6" w:rsidRDefault="00486FB6" w:rsidP="00486FB6">
      <w:pPr>
        <w:spacing w:after="160" w:line="259" w:lineRule="auto"/>
        <w:rPr>
          <w:rFonts w:asciiTheme="minorHAnsi" w:eastAsia="Times New Roman" w:hAnsiTheme="minorHAnsi" w:cs="Cordia New"/>
          <w:color w:val="auto"/>
          <w:szCs w:val="22"/>
        </w:rPr>
      </w:pPr>
    </w:p>
    <w:p w14:paraId="5B98A04F" w14:textId="389D48DF" w:rsidR="00486FB6" w:rsidRPr="00486FB6" w:rsidRDefault="00486FB6" w:rsidP="00486FB6">
      <w:pPr>
        <w:pStyle w:val="Numberedparagraph"/>
      </w:pPr>
      <w:r>
        <w:t xml:space="preserve">The Commission notes the following gaps </w:t>
      </w:r>
      <w:r w:rsidR="0043379C">
        <w:t>in review rights</w:t>
      </w:r>
      <w:r>
        <w:t>:</w:t>
      </w:r>
    </w:p>
    <w:p w14:paraId="094ACE25" w14:textId="77777777" w:rsidR="00486FB6" w:rsidRPr="00486FB6" w:rsidRDefault="00486FB6" w:rsidP="00486FB6">
      <w:pPr>
        <w:pStyle w:val="Numberedparagraph"/>
        <w:numPr>
          <w:ilvl w:val="1"/>
          <w:numId w:val="1"/>
        </w:numPr>
      </w:pPr>
      <w:r w:rsidRPr="00486FB6">
        <w:t>A student who receives a notice of proposed exclusion does not have access to a legislated show cause process. In contrast, a prospective student facing refusal of enrolment or exclusion is entitled to show cause before a final decision is made.</w:t>
      </w:r>
    </w:p>
    <w:p w14:paraId="15D313F2" w14:textId="42D7E78E" w:rsidR="00486FB6" w:rsidRPr="00486FB6" w:rsidRDefault="00486FB6" w:rsidP="00486FB6">
      <w:pPr>
        <w:pStyle w:val="Numberedparagraph"/>
        <w:numPr>
          <w:ilvl w:val="1"/>
          <w:numId w:val="1"/>
        </w:numPr>
      </w:pPr>
      <w:r w:rsidRPr="00486FB6">
        <w:t xml:space="preserve">A student who receives a notice of proposed exclusion is suspended until a decision is made within 20 school days (or 30 school days if made by the Department). There </w:t>
      </w:r>
      <w:r w:rsidR="0016613D">
        <w:t>are</w:t>
      </w:r>
      <w:r w:rsidRPr="00486FB6">
        <w:t xml:space="preserve"> no review rights for this suspension, even if the student is ultimately not excluded.</w:t>
      </w:r>
    </w:p>
    <w:p w14:paraId="5DB0EEB9" w14:textId="77777777" w:rsidR="00486FB6" w:rsidRPr="00486FB6" w:rsidRDefault="00486FB6" w:rsidP="00486FB6">
      <w:pPr>
        <w:pStyle w:val="Numberedparagraph"/>
        <w:numPr>
          <w:ilvl w:val="1"/>
          <w:numId w:val="1"/>
        </w:numPr>
      </w:pPr>
      <w:r w:rsidRPr="00486FB6">
        <w:lastRenderedPageBreak/>
        <w:t>There are no timeframes for the Department to make an enrolment decision following the show cause process.</w:t>
      </w:r>
    </w:p>
    <w:p w14:paraId="7B408DE4" w14:textId="1BAA6451" w:rsidR="00486FB6" w:rsidRDefault="00486FB6" w:rsidP="00486FB6">
      <w:pPr>
        <w:pStyle w:val="Numberedparagraph"/>
      </w:pPr>
      <w:r>
        <w:t>If not through legislative amendment, these issues should be addressed in the Department’s policy on SDAs.</w:t>
      </w:r>
    </w:p>
    <w:p w14:paraId="67C317CE" w14:textId="6642E391" w:rsidR="00486FB6" w:rsidRPr="00486FB6" w:rsidRDefault="00486FB6" w:rsidP="00486FB6">
      <w:pPr>
        <w:pStyle w:val="Numberedparagraph"/>
      </w:pPr>
      <w:r>
        <w:t xml:space="preserve">Students are notified of suspension and exclusion decisions using an ‘approved form’. For procedural fairness, the approved form must set out the reasons for the suspension or exclusion, including the grounds and the </w:t>
      </w:r>
      <w:r w:rsidR="0016613D">
        <w:t>prescribed</w:t>
      </w:r>
      <w:r>
        <w:t xml:space="preserve"> matters considered to make the decision, upon which submissions for internal review can be made.</w:t>
      </w:r>
    </w:p>
    <w:p w14:paraId="295B11BF" w14:textId="11DCD6C6" w:rsidR="0016613D" w:rsidRDefault="00486FB6" w:rsidP="00486FB6">
      <w:pPr>
        <w:pStyle w:val="Numberedparagraph"/>
      </w:pPr>
      <w:r>
        <w:t xml:space="preserve">The Commission notes the lengthy time frames for review processes. The </w:t>
      </w:r>
      <w:r w:rsidR="0016613D">
        <w:t xml:space="preserve">Commission recommends reviewing </w:t>
      </w:r>
      <w:r>
        <w:t xml:space="preserve">these timeframes at the statutory review of the amendments in 18 </w:t>
      </w:r>
      <w:proofErr w:type="spellStart"/>
      <w:r>
        <w:t>months time</w:t>
      </w:r>
      <w:proofErr w:type="spellEnd"/>
      <w:r w:rsidR="0016613D">
        <w:t xml:space="preserve">, having regard to collected and published data about the </w:t>
      </w:r>
      <w:r w:rsidR="005134B6">
        <w:t>utilisation</w:t>
      </w:r>
      <w:r w:rsidR="0016613D">
        <w:t xml:space="preserve"> and </w:t>
      </w:r>
      <w:r w:rsidR="005134B6">
        <w:t xml:space="preserve">outcomes </w:t>
      </w:r>
      <w:r w:rsidR="0016613D">
        <w:t xml:space="preserve">of review processes, and student and school experiences. </w:t>
      </w:r>
    </w:p>
    <w:p w14:paraId="35EFEC58" w14:textId="54C6A1A3" w:rsidR="00BE78D5" w:rsidRDefault="00BE78D5" w:rsidP="00BE78D5">
      <w:pPr>
        <w:pStyle w:val="Heading2"/>
      </w:pPr>
      <w:bookmarkStart w:id="27" w:name="_Toc162451277"/>
      <w:r>
        <w:t>Monitoring and auditing by the Department</w:t>
      </w:r>
      <w:bookmarkEnd w:id="27"/>
    </w:p>
    <w:p w14:paraId="18C03DCA" w14:textId="68FEC7D3" w:rsidR="00DD6390" w:rsidRDefault="00486FB6" w:rsidP="00F8044E">
      <w:pPr>
        <w:pStyle w:val="Numberedparagraph"/>
      </w:pPr>
      <w:r>
        <w:t>Apart from relying on students and their families to elevate their concerns regarding SDAs, there should be mechanisms that elevate appropriate cases automatically for review, and if necessary, case management. This could be tied in with policy regarding SSPs, requiring principals to refer students and their SSPs to the Department for review once certain thresh</w:t>
      </w:r>
      <w:r w:rsidR="00F8044E">
        <w:t xml:space="preserve"> </w:t>
      </w:r>
      <w:r>
        <w:t xml:space="preserve">holds have been met. </w:t>
      </w:r>
    </w:p>
    <w:p w14:paraId="0618E919" w14:textId="786DB4B0" w:rsidR="00BE78D5" w:rsidRDefault="00BE78D5" w:rsidP="00F8044E">
      <w:pPr>
        <w:pStyle w:val="Numberedparagraph"/>
      </w:pPr>
      <w:r>
        <w:t xml:space="preserve">The Commission commends the publicly available data on Queensland SDAs, broken down by SDA type, year level, semester, region, region, reason, and First Nations status. </w:t>
      </w:r>
    </w:p>
    <w:p w14:paraId="24E935F8" w14:textId="1B31B4E5" w:rsidR="00BE78D5" w:rsidRDefault="00BE78D5" w:rsidP="00F8044E">
      <w:pPr>
        <w:pStyle w:val="Numberedparagraph"/>
      </w:pPr>
      <w:r>
        <w:t>To assist with transparency and accountability of SDA decisions, and system improvements, the Commission further recommends publication of data that shows:</w:t>
      </w:r>
    </w:p>
    <w:p w14:paraId="51944D90" w14:textId="5FEB0555" w:rsidR="00BE78D5" w:rsidRDefault="00BE78D5" w:rsidP="00BE78D5">
      <w:pPr>
        <w:pStyle w:val="Numberedparagraph"/>
        <w:numPr>
          <w:ilvl w:val="1"/>
          <w:numId w:val="1"/>
        </w:numPr>
      </w:pPr>
      <w:r>
        <w:t xml:space="preserve">Disability status, and if possible, type of </w:t>
      </w:r>
      <w:proofErr w:type="gramStart"/>
      <w:r>
        <w:t>disability;</w:t>
      </w:r>
      <w:proofErr w:type="gramEnd"/>
    </w:p>
    <w:p w14:paraId="4DF8439E" w14:textId="4493209E" w:rsidR="00BE78D5" w:rsidRDefault="00BE78D5" w:rsidP="00BE78D5">
      <w:pPr>
        <w:pStyle w:val="Numberedparagraph"/>
        <w:numPr>
          <w:ilvl w:val="1"/>
          <w:numId w:val="1"/>
        </w:numPr>
      </w:pPr>
      <w:r>
        <w:t xml:space="preserve">Students in out of home </w:t>
      </w:r>
      <w:proofErr w:type="gramStart"/>
      <w:r>
        <w:t>care;</w:t>
      </w:r>
      <w:proofErr w:type="gramEnd"/>
    </w:p>
    <w:p w14:paraId="6E90244B" w14:textId="77777777" w:rsidR="00BE78D5" w:rsidRDefault="00BE78D5" w:rsidP="00BE78D5">
      <w:pPr>
        <w:pStyle w:val="Numberedparagraph"/>
        <w:numPr>
          <w:ilvl w:val="1"/>
          <w:numId w:val="1"/>
        </w:numPr>
      </w:pPr>
      <w:r>
        <w:t xml:space="preserve">Students subject to multiple </w:t>
      </w:r>
      <w:proofErr w:type="gramStart"/>
      <w:r>
        <w:t>SDAs;</w:t>
      </w:r>
      <w:proofErr w:type="gramEnd"/>
    </w:p>
    <w:p w14:paraId="1E36C315" w14:textId="06E92CA0" w:rsidR="00BE78D5" w:rsidRDefault="00BE78D5" w:rsidP="00BE78D5">
      <w:pPr>
        <w:pStyle w:val="Numberedparagraph"/>
        <w:numPr>
          <w:ilvl w:val="1"/>
          <w:numId w:val="1"/>
        </w:numPr>
      </w:pPr>
      <w:r>
        <w:t xml:space="preserve">Students who have SSPs or Education Support </w:t>
      </w:r>
      <w:proofErr w:type="gramStart"/>
      <w:r>
        <w:t>Plans;</w:t>
      </w:r>
      <w:proofErr w:type="gramEnd"/>
    </w:p>
    <w:p w14:paraId="4E91F7AE" w14:textId="386B16A6" w:rsidR="00BE78D5" w:rsidRDefault="00BE78D5" w:rsidP="00BE78D5">
      <w:pPr>
        <w:pStyle w:val="Numberedparagraph"/>
        <w:numPr>
          <w:ilvl w:val="1"/>
          <w:numId w:val="1"/>
        </w:numPr>
      </w:pPr>
      <w:r>
        <w:t xml:space="preserve">Reviews </w:t>
      </w:r>
      <w:r w:rsidR="00832A5A">
        <w:t xml:space="preserve">of SDA decisions </w:t>
      </w:r>
      <w:proofErr w:type="gramStart"/>
      <w:r w:rsidR="00832A5A">
        <w:t>requested,</w:t>
      </w:r>
      <w:proofErr w:type="gramEnd"/>
      <w:r w:rsidR="00832A5A">
        <w:t xml:space="preserve"> timeframes for response and outcomes. </w:t>
      </w:r>
    </w:p>
    <w:p w14:paraId="0F31F61E" w14:textId="682BCB60" w:rsidR="00E7475F" w:rsidRDefault="009F3C4F" w:rsidP="00A857B1">
      <w:pPr>
        <w:pStyle w:val="Heading2"/>
        <w:rPr>
          <w:lang w:val="en-US"/>
        </w:rPr>
      </w:pPr>
      <w:bookmarkStart w:id="28" w:name="_Toc162451278"/>
      <w:r>
        <w:rPr>
          <w:lang w:val="en-US"/>
        </w:rPr>
        <w:t>Review of amendments</w:t>
      </w:r>
      <w:r w:rsidR="006470DA">
        <w:rPr>
          <w:lang w:val="en-US"/>
        </w:rPr>
        <w:t xml:space="preserve"> – clause 114</w:t>
      </w:r>
      <w:bookmarkEnd w:id="28"/>
    </w:p>
    <w:p w14:paraId="0F9747B2" w14:textId="7DE0DC06" w:rsidR="00632DA0" w:rsidRDefault="006470DA" w:rsidP="006470DA">
      <w:pPr>
        <w:pStyle w:val="Numberedparagraph"/>
        <w:rPr>
          <w:lang w:val="en-US"/>
        </w:rPr>
      </w:pPr>
      <w:r w:rsidRPr="4E12C6BF">
        <w:rPr>
          <w:lang w:val="en-US"/>
        </w:rPr>
        <w:t>Clause 114 of the Bill inserts new section 427A to require statutory review of the amendments made in relation to cancellation of enrolment, exclusion, refusal to enroll and suspension, to start within 18 months after commencement of the provisions.</w:t>
      </w:r>
    </w:p>
    <w:p w14:paraId="530436DD" w14:textId="6536826B" w:rsidR="006470DA" w:rsidRDefault="006470DA" w:rsidP="006470DA">
      <w:pPr>
        <w:pStyle w:val="Numberedparagraph"/>
        <w:rPr>
          <w:lang w:val="en-US"/>
        </w:rPr>
      </w:pPr>
      <w:r w:rsidRPr="4E12C6BF">
        <w:rPr>
          <w:lang w:val="en-US"/>
        </w:rPr>
        <w:lastRenderedPageBreak/>
        <w:t xml:space="preserve">The stated object of the review is to determine whether the amendments have been effective in ensuring ‘processes and decisions under the amended provisions are fair, transparent and consistent’. The Commission submits this should also include reference to whether the processes and decisions are compatible with human rights and </w:t>
      </w:r>
      <w:proofErr w:type="gramStart"/>
      <w:r w:rsidRPr="4E12C6BF">
        <w:rPr>
          <w:lang w:val="en-US"/>
        </w:rPr>
        <w:t>give proper consideration to</w:t>
      </w:r>
      <w:proofErr w:type="gramEnd"/>
      <w:r w:rsidRPr="4E12C6BF">
        <w:rPr>
          <w:lang w:val="en-US"/>
        </w:rPr>
        <w:t xml:space="preserve"> human rights, in accordance with public entity obligations under section 58(1) of the Human Rights Act.</w:t>
      </w:r>
    </w:p>
    <w:p w14:paraId="25718E35" w14:textId="77777777" w:rsidR="00682A2F" w:rsidRPr="005E676F" w:rsidRDefault="00682A2F" w:rsidP="005E676F">
      <w:pPr>
        <w:pStyle w:val="Numberedparagraph"/>
        <w:numPr>
          <w:ilvl w:val="0"/>
          <w:numId w:val="0"/>
        </w:numPr>
        <w:ind w:left="567"/>
        <w:rPr>
          <w:lang w:val="en-US"/>
        </w:rPr>
      </w:pPr>
    </w:p>
    <w:sectPr w:rsidR="00682A2F" w:rsidRPr="005E676F" w:rsidSect="007A286E">
      <w:headerReference w:type="default" r:id="rId15"/>
      <w:headerReference w:type="first" r:id="rId16"/>
      <w:footerReference w:type="first" r:id="rId17"/>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7550" w14:textId="77777777" w:rsidR="007A286E" w:rsidRDefault="007A286E" w:rsidP="0034134D">
      <w:r>
        <w:separator/>
      </w:r>
    </w:p>
    <w:p w14:paraId="220154E8" w14:textId="77777777" w:rsidR="007A286E" w:rsidRDefault="007A286E"/>
  </w:endnote>
  <w:endnote w:type="continuationSeparator" w:id="0">
    <w:p w14:paraId="6420909E" w14:textId="77777777" w:rsidR="007A286E" w:rsidRDefault="007A286E" w:rsidP="0034134D">
      <w:r>
        <w:continuationSeparator/>
      </w:r>
    </w:p>
    <w:p w14:paraId="5058E300" w14:textId="77777777" w:rsidR="007A286E" w:rsidRDefault="007A286E"/>
  </w:endnote>
  <w:endnote w:type="continuationNotice" w:id="1">
    <w:p w14:paraId="6B2F859A" w14:textId="77777777" w:rsidR="007A286E" w:rsidRDefault="007A286E">
      <w:pPr>
        <w:spacing w:after="0"/>
      </w:pPr>
    </w:p>
    <w:p w14:paraId="192547C7" w14:textId="77777777" w:rsidR="007A286E" w:rsidRDefault="007A2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Next Rounded">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8E00" w14:textId="03F3C31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7A0E26C2" wp14:editId="0BF1D0F3">
          <wp:extent cx="5463606" cy="48027"/>
          <wp:effectExtent l="0" t="0" r="0" b="9525"/>
          <wp:docPr id="1274139022" name="Picture 127413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C35B4">
      <w:rPr>
        <w:rFonts w:cs="Arial"/>
        <w:noProof/>
        <w:color w:val="404040" w:themeColor="text1" w:themeTint="BF"/>
        <w:sz w:val="16"/>
        <w:szCs w:val="20"/>
      </w:rPr>
      <w:t>12</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3422" w14:textId="77777777" w:rsidR="007C510E" w:rsidRDefault="007C510E" w:rsidP="000731D3">
    <w:pPr>
      <w:pStyle w:val="Footer"/>
      <w:pBdr>
        <w:top w:val="single" w:sz="4" w:space="1" w:color="auto"/>
      </w:pBdr>
      <w:jc w:val="right"/>
      <w:rPr>
        <w:rFonts w:cs="Arial"/>
        <w:sz w:val="20"/>
        <w:szCs w:val="20"/>
      </w:rPr>
    </w:pPr>
  </w:p>
  <w:p w14:paraId="6AEFEF70"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50E6E" w14:textId="77777777" w:rsidR="007A286E" w:rsidRDefault="007A286E" w:rsidP="0034134D">
      <w:r>
        <w:separator/>
      </w:r>
    </w:p>
    <w:p w14:paraId="07575181" w14:textId="77777777" w:rsidR="007A286E" w:rsidRDefault="007A286E"/>
  </w:footnote>
  <w:footnote w:type="continuationSeparator" w:id="0">
    <w:p w14:paraId="60765A35" w14:textId="77777777" w:rsidR="007A286E" w:rsidRDefault="007A286E" w:rsidP="0034134D">
      <w:r>
        <w:continuationSeparator/>
      </w:r>
    </w:p>
    <w:p w14:paraId="376F876F" w14:textId="77777777" w:rsidR="007A286E" w:rsidRDefault="007A286E"/>
  </w:footnote>
  <w:footnote w:type="continuationNotice" w:id="1">
    <w:p w14:paraId="6A9591A0" w14:textId="77777777" w:rsidR="007A286E" w:rsidRDefault="007A286E">
      <w:pPr>
        <w:spacing w:after="0"/>
      </w:pPr>
    </w:p>
    <w:p w14:paraId="0700A90E" w14:textId="77777777" w:rsidR="007A286E" w:rsidRDefault="007A286E"/>
  </w:footnote>
  <w:footnote w:id="2">
    <w:p w14:paraId="7E8A6D82" w14:textId="4D4ADA7A" w:rsidR="006B2762" w:rsidRPr="006B2762" w:rsidRDefault="006B2762">
      <w:pPr>
        <w:pStyle w:val="FootnoteText"/>
        <w:rPr>
          <w:lang w:val="en-US"/>
        </w:rPr>
      </w:pPr>
      <w:r>
        <w:rPr>
          <w:rStyle w:val="FootnoteReference"/>
        </w:rPr>
        <w:footnoteRef/>
      </w:r>
      <w:r>
        <w:t xml:space="preserve"> </w:t>
      </w:r>
      <w:r>
        <w:rPr>
          <w:lang w:val="en-US"/>
        </w:rPr>
        <w:t xml:space="preserve">Eg, submission to the Department of Education’s focused review of the </w:t>
      </w:r>
      <w:r w:rsidRPr="006B2762">
        <w:rPr>
          <w:i/>
          <w:iCs/>
          <w:lang w:val="en-US"/>
        </w:rPr>
        <w:t>Education (General Provisions) Act 2006</w:t>
      </w:r>
      <w:r>
        <w:rPr>
          <w:lang w:val="en-US"/>
        </w:rPr>
        <w:t xml:space="preserve"> (April 2022), submission to the Queensland Parliament Economics and Governance Committee on the Strengthening Community Safety Bill 2023 (February 2022); Submission to the Independent Reviewer on the </w:t>
      </w:r>
      <w:r w:rsidRPr="006B2762">
        <w:rPr>
          <w:i/>
          <w:iCs/>
          <w:lang w:val="en-US"/>
        </w:rPr>
        <w:t>Queensland Non-State Schools Accreditation Framework review</w:t>
      </w:r>
      <w:r>
        <w:rPr>
          <w:lang w:val="en-US"/>
        </w:rPr>
        <w:t xml:space="preserve"> (May 2023); submission to the Australian Human Rights Commission on their </w:t>
      </w:r>
      <w:r w:rsidRPr="006B2762">
        <w:rPr>
          <w:i/>
          <w:iCs/>
          <w:lang w:val="en-US"/>
        </w:rPr>
        <w:t>Investigation into Youth Justice and Child Wellbeing Reform across Australia</w:t>
      </w:r>
      <w:r>
        <w:rPr>
          <w:lang w:val="en-US"/>
        </w:rPr>
        <w:t xml:space="preserve"> (June 2023); submission to the Queensland Parliament Youth Justice Reform Select Committee on the </w:t>
      </w:r>
      <w:r w:rsidRPr="006B2762">
        <w:rPr>
          <w:i/>
          <w:iCs/>
          <w:lang w:val="en-US"/>
        </w:rPr>
        <w:t>Inquiry into Youth Justice Reform</w:t>
      </w:r>
      <w:r>
        <w:rPr>
          <w:lang w:val="en-US"/>
        </w:rPr>
        <w:t xml:space="preserve"> (November 2023); and submission to the Queensland Department of Premier and Cabinet on the </w:t>
      </w:r>
      <w:r w:rsidRPr="006B2762">
        <w:rPr>
          <w:i/>
          <w:iCs/>
          <w:lang w:val="en-US"/>
        </w:rPr>
        <w:t>Putting Queensland Kids First: Consultation Draft</w:t>
      </w:r>
      <w:r>
        <w:rPr>
          <w:lang w:val="en-US"/>
        </w:rPr>
        <w:t xml:space="preserve"> (February 2024).</w:t>
      </w:r>
    </w:p>
  </w:footnote>
  <w:footnote w:id="3">
    <w:p w14:paraId="483BC3C0" w14:textId="77777777" w:rsidR="0050440C" w:rsidRDefault="0050440C" w:rsidP="0050440C">
      <w:pPr>
        <w:pStyle w:val="FootnoteText"/>
        <w:rPr>
          <w:rFonts w:cs="Arial"/>
          <w:lang w:val="en-US"/>
        </w:rPr>
      </w:pPr>
      <w:r>
        <w:rPr>
          <w:rStyle w:val="FootnoteReference"/>
          <w:rFonts w:cs="Arial"/>
        </w:rPr>
        <w:footnoteRef/>
      </w:r>
      <w:r>
        <w:rPr>
          <w:rFonts w:cs="Arial"/>
        </w:rPr>
        <w:t xml:space="preserve"> Linda Graham, Callula Killingly, Matilda Alexander and Sophie Wiggans, ‘Suspensions in QLD state schools, 2016–2020: overrepresentation, intersectionality and disproportionate risk’, </w:t>
      </w:r>
      <w:r>
        <w:rPr>
          <w:rFonts w:cs="Arial"/>
          <w:i/>
          <w:iCs/>
        </w:rPr>
        <w:t xml:space="preserve">The Australian Educational Researcher </w:t>
      </w:r>
      <w:r>
        <w:rPr>
          <w:rFonts w:cs="Arial"/>
        </w:rPr>
        <w:t xml:space="preserve">(available online, 24 August 2023) &lt;https://link.springer.com/article/10.1007/s13384-023-00652-6 /&gt;. </w:t>
      </w:r>
    </w:p>
  </w:footnote>
  <w:footnote w:id="4">
    <w:p w14:paraId="0A34E25B" w14:textId="3667DDAB" w:rsidR="00254348" w:rsidRPr="00254348" w:rsidRDefault="00254348">
      <w:pPr>
        <w:pStyle w:val="FootnoteText"/>
        <w:rPr>
          <w:lang w:val="en-US"/>
        </w:rPr>
      </w:pPr>
      <w:r>
        <w:rPr>
          <w:rStyle w:val="FootnoteReference"/>
        </w:rPr>
        <w:footnoteRef/>
      </w:r>
      <w:r w:rsidR="004D4BAE">
        <w:t xml:space="preserve"> Drawn from the</w:t>
      </w:r>
      <w:r>
        <w:t xml:space="preserve"> </w:t>
      </w:r>
      <w:r>
        <w:rPr>
          <w:rFonts w:cs="Arial"/>
        </w:rPr>
        <w:t>Department of Education</w:t>
      </w:r>
      <w:r w:rsidR="008E098E">
        <w:rPr>
          <w:rFonts w:cs="Arial"/>
        </w:rPr>
        <w:t>,</w:t>
      </w:r>
      <w:r>
        <w:rPr>
          <w:rFonts w:cs="Arial"/>
        </w:rPr>
        <w:t xml:space="preserve"> ‘School Disciplinary Absences by student demographics’, </w:t>
      </w:r>
      <w:r>
        <w:rPr>
          <w:rFonts w:cs="Arial"/>
          <w:i/>
          <w:iCs/>
        </w:rPr>
        <w:t>Students</w:t>
      </w:r>
      <w:r>
        <w:rPr>
          <w:rFonts w:cs="Arial"/>
        </w:rPr>
        <w:t xml:space="preserve"> (Web Page, May 2023) &lt;</w:t>
      </w:r>
      <w:hyperlink r:id="rId1" w:history="1">
        <w:r>
          <w:rPr>
            <w:rStyle w:val="Hyperlink"/>
            <w:rFonts w:cs="Arial"/>
          </w:rPr>
          <w:t>https://qed.qld.gov.au/publications/reports/statistics/schooling/students</w:t>
        </w:r>
      </w:hyperlink>
      <w:r>
        <w:rPr>
          <w:rFonts w:cs="Arial"/>
        </w:rPr>
        <w:t>&gt;.</w:t>
      </w:r>
    </w:p>
  </w:footnote>
  <w:footnote w:id="5">
    <w:p w14:paraId="6468D2D6" w14:textId="262F565F" w:rsidR="00B1154B" w:rsidRPr="00B1154B" w:rsidRDefault="00B1154B">
      <w:pPr>
        <w:pStyle w:val="FootnoteText"/>
        <w:rPr>
          <w:lang w:val="en-US"/>
        </w:rPr>
      </w:pPr>
      <w:r>
        <w:rPr>
          <w:rStyle w:val="FootnoteReference"/>
        </w:rPr>
        <w:footnoteRef/>
      </w:r>
      <w:r>
        <w:t xml:space="preserve"> </w:t>
      </w:r>
      <w:r w:rsidRPr="008E098E">
        <w:rPr>
          <w:i/>
          <w:iCs/>
          <w:lang w:val="en-US"/>
        </w:rPr>
        <w:t>Human Rights Act 2019</w:t>
      </w:r>
      <w:r w:rsidR="008E098E">
        <w:rPr>
          <w:lang w:val="en-US"/>
        </w:rPr>
        <w:t xml:space="preserve"> (Qld)</w:t>
      </w:r>
      <w:r>
        <w:rPr>
          <w:lang w:val="en-US"/>
        </w:rPr>
        <w:t xml:space="preserve"> s 36.</w:t>
      </w:r>
    </w:p>
  </w:footnote>
  <w:footnote w:id="6">
    <w:p w14:paraId="53ADA9D2" w14:textId="77777777" w:rsidR="00B1154B" w:rsidRPr="002E18D7" w:rsidRDefault="00B1154B" w:rsidP="00B1154B">
      <w:pPr>
        <w:pStyle w:val="FootnoteText"/>
        <w:rPr>
          <w:lang w:val="en-US"/>
        </w:rPr>
      </w:pPr>
      <w:r>
        <w:rPr>
          <w:rStyle w:val="FootnoteReference"/>
        </w:rPr>
        <w:footnoteRef/>
      </w:r>
      <w:r>
        <w:t xml:space="preserve"> </w:t>
      </w:r>
      <w:r w:rsidRPr="00745FB3">
        <w:rPr>
          <w:rFonts w:cs="Arial"/>
        </w:rPr>
        <w:t xml:space="preserve">United Nations Office of the High Commissioner for Human Rights, </w:t>
      </w:r>
      <w:r w:rsidRPr="00745FB3">
        <w:rPr>
          <w:rFonts w:cs="Arial"/>
          <w:i/>
          <w:iCs/>
        </w:rPr>
        <w:t>CESCR</w:t>
      </w:r>
      <w:r w:rsidRPr="00745FB3">
        <w:rPr>
          <w:rFonts w:cs="Arial"/>
        </w:rPr>
        <w:t xml:space="preserve"> </w:t>
      </w:r>
      <w:r w:rsidRPr="00745FB3">
        <w:rPr>
          <w:rFonts w:cs="Arial"/>
          <w:i/>
          <w:iCs/>
        </w:rPr>
        <w:t>General Comment No. 13: The Right to Education (Art. 13)</w:t>
      </w:r>
      <w:r w:rsidRPr="00745FB3">
        <w:rPr>
          <w:rFonts w:cs="Arial"/>
        </w:rPr>
        <w:t>, </w:t>
      </w:r>
      <w:r>
        <w:rPr>
          <w:rFonts w:cs="Arial"/>
        </w:rPr>
        <w:t xml:space="preserve">UN Doc </w:t>
      </w:r>
      <w:r w:rsidRPr="00745FB3">
        <w:rPr>
          <w:rFonts w:cs="Arial"/>
        </w:rPr>
        <w:t>E/C.12/1999/10 (8 December 1999) [1]</w:t>
      </w:r>
      <w:r>
        <w:rPr>
          <w:rFonts w:cs="Arial"/>
        </w:rPr>
        <w:t>.</w:t>
      </w:r>
    </w:p>
  </w:footnote>
  <w:footnote w:id="7">
    <w:p w14:paraId="3E407E9A" w14:textId="53EFCB30" w:rsidR="00F609A1" w:rsidRDefault="00F609A1" w:rsidP="00F609A1">
      <w:pPr>
        <w:rPr>
          <w:rFonts w:cs="Arial"/>
          <w:sz w:val="20"/>
          <w:szCs w:val="20"/>
        </w:rPr>
      </w:pPr>
      <w:r>
        <w:rPr>
          <w:rStyle w:val="FootnoteReference"/>
          <w:rFonts w:cs="Arial"/>
          <w:sz w:val="20"/>
          <w:szCs w:val="20"/>
        </w:rPr>
        <w:footnoteRef/>
      </w:r>
      <w:r>
        <w:rPr>
          <w:rFonts w:cs="Arial"/>
          <w:sz w:val="20"/>
          <w:szCs w:val="20"/>
        </w:rPr>
        <w:t xml:space="preserve"> See, eg, Megan O’Connell et al, </w:t>
      </w:r>
      <w:r>
        <w:rPr>
          <w:rFonts w:cs="Arial"/>
          <w:i/>
          <w:iCs/>
          <w:sz w:val="20"/>
          <w:szCs w:val="20"/>
        </w:rPr>
        <w:t>Quality Early Education for All</w:t>
      </w:r>
      <w:r>
        <w:rPr>
          <w:rFonts w:cs="Arial"/>
          <w:sz w:val="20"/>
          <w:szCs w:val="20"/>
        </w:rPr>
        <w:t xml:space="preserve"> (Mitchell Report No 01/2016, April 2016) 6-7; Royal Australasian College of Physicians, </w:t>
      </w:r>
      <w:r>
        <w:rPr>
          <w:rFonts w:cs="Arial"/>
          <w:i/>
          <w:iCs/>
          <w:sz w:val="20"/>
          <w:szCs w:val="20"/>
        </w:rPr>
        <w:t xml:space="preserve">Early Childhood: The Importance of the Early Years </w:t>
      </w:r>
      <w:r>
        <w:rPr>
          <w:rFonts w:cs="Arial"/>
          <w:sz w:val="20"/>
          <w:szCs w:val="20"/>
        </w:rPr>
        <w:t xml:space="preserve">(Position Statement, May 2019) 37; Bob Atkinson, </w:t>
      </w:r>
      <w:r>
        <w:rPr>
          <w:rFonts w:cs="Arial"/>
          <w:i/>
          <w:sz w:val="20"/>
          <w:szCs w:val="20"/>
        </w:rPr>
        <w:t xml:space="preserve">Report on Youth Justice </w:t>
      </w:r>
      <w:r>
        <w:rPr>
          <w:rFonts w:cs="Arial"/>
          <w:sz w:val="20"/>
          <w:szCs w:val="20"/>
        </w:rPr>
        <w:t>(Version 2, 8 June 2018) 33-34.</w:t>
      </w:r>
    </w:p>
  </w:footnote>
  <w:footnote w:id="8">
    <w:p w14:paraId="2C95B029" w14:textId="2C9980CC" w:rsidR="00B1154B" w:rsidRDefault="00B1154B" w:rsidP="00B1154B">
      <w:pPr>
        <w:pStyle w:val="FootnoteText"/>
      </w:pPr>
      <w:r>
        <w:rPr>
          <w:rStyle w:val="FootnoteReference"/>
        </w:rPr>
        <w:footnoteRef/>
      </w:r>
      <w:r>
        <w:t xml:space="preserve"> </w:t>
      </w:r>
      <w:r w:rsidR="00765E27">
        <w:rPr>
          <w:rFonts w:cs="Arial"/>
          <w:szCs w:val="20"/>
        </w:rPr>
        <w:t xml:space="preserve">Queensland Family and Child Commission (‘QFCC’), </w:t>
      </w:r>
      <w:r w:rsidR="00765E27">
        <w:rPr>
          <w:rFonts w:cs="Arial"/>
          <w:i/>
          <w:iCs/>
          <w:szCs w:val="20"/>
        </w:rPr>
        <w:t>Lessons from the life-story timelines of 30 Queensland children who have died: A small sample review of commonalities in child and family trajectories considered at the Child Death Review Board</w:t>
      </w:r>
      <w:r w:rsidR="00765E27">
        <w:rPr>
          <w:rFonts w:cs="Arial"/>
          <w:szCs w:val="20"/>
        </w:rPr>
        <w:t xml:space="preserve"> (Report, June 2023)</w:t>
      </w:r>
      <w:r>
        <w:rPr>
          <w:i/>
          <w:iCs/>
        </w:rPr>
        <w:t xml:space="preserve"> </w:t>
      </w:r>
      <w:r>
        <w:t>3.</w:t>
      </w:r>
    </w:p>
  </w:footnote>
  <w:footnote w:id="9">
    <w:p w14:paraId="0593E5AC" w14:textId="77777777" w:rsidR="00B1154B" w:rsidRDefault="00B1154B" w:rsidP="00B1154B">
      <w:pPr>
        <w:pStyle w:val="FootnoteText"/>
      </w:pPr>
      <w:r>
        <w:rPr>
          <w:rStyle w:val="FootnoteReference"/>
        </w:rPr>
        <w:footnoteRef/>
      </w:r>
      <w:r>
        <w:t xml:space="preserve"> Ibid 14. See also </w:t>
      </w:r>
      <w:r>
        <w:rPr>
          <w:rFonts w:cs="Arial"/>
        </w:rPr>
        <w:t xml:space="preserve">Bob Atkinson, </w:t>
      </w:r>
      <w:r>
        <w:rPr>
          <w:rFonts w:cs="Arial"/>
          <w:i/>
        </w:rPr>
        <w:t xml:space="preserve">Report on Youth Justice </w:t>
      </w:r>
      <w:r>
        <w:rPr>
          <w:rFonts w:cs="Arial"/>
        </w:rPr>
        <w:t xml:space="preserve">(Version 2, 8 June 2018), </w:t>
      </w:r>
      <w:r>
        <w:t>34.</w:t>
      </w:r>
    </w:p>
  </w:footnote>
  <w:footnote w:id="10">
    <w:p w14:paraId="15DEA39F" w14:textId="77777777" w:rsidR="00B1154B" w:rsidRDefault="00B1154B" w:rsidP="00B1154B">
      <w:pPr>
        <w:pStyle w:val="FootnoteText"/>
      </w:pPr>
      <w:r>
        <w:rPr>
          <w:rStyle w:val="FootnoteReference"/>
        </w:rPr>
        <w:footnoteRef/>
      </w:r>
      <w:r>
        <w:t xml:space="preserve"> </w:t>
      </w:r>
      <w:r>
        <w:rPr>
          <w:rFonts w:cs="Arial"/>
        </w:rPr>
        <w:t xml:space="preserve">Bob Atkinson, </w:t>
      </w:r>
      <w:r>
        <w:rPr>
          <w:rFonts w:cs="Arial"/>
          <w:i/>
        </w:rPr>
        <w:t xml:space="preserve">Report on Youth Justice </w:t>
      </w:r>
      <w:r>
        <w:rPr>
          <w:rFonts w:cs="Arial"/>
        </w:rPr>
        <w:t xml:space="preserve">(Version 2, 8 June 2018), </w:t>
      </w:r>
      <w:r>
        <w:t>22, 34.</w:t>
      </w:r>
    </w:p>
  </w:footnote>
  <w:footnote w:id="11">
    <w:p w14:paraId="2F4493D1" w14:textId="64879126" w:rsidR="00657274" w:rsidRPr="00657274" w:rsidRDefault="00657274">
      <w:pPr>
        <w:pStyle w:val="FootnoteText"/>
        <w:rPr>
          <w:lang w:val="en-US"/>
        </w:rPr>
      </w:pPr>
      <w:r>
        <w:rPr>
          <w:rStyle w:val="FootnoteReference"/>
        </w:rPr>
        <w:footnoteRef/>
      </w:r>
      <w:r w:rsidR="7987A894">
        <w:t xml:space="preserve"> That is,</w:t>
      </w:r>
      <w:r>
        <w:t xml:space="preserve"> </w:t>
      </w:r>
      <w:r w:rsidR="07BDCF58">
        <w:t>’Every child has the right, without discrimination, to the</w:t>
      </w:r>
      <w:r w:rsidR="7632E461">
        <w:t xml:space="preserve"> protection that is needed by the child, and is in the child’s best interests, because of being a </w:t>
      </w:r>
      <w:proofErr w:type="gramStart"/>
      <w:r w:rsidR="7632E461">
        <w:t>child</w:t>
      </w:r>
      <w:r w:rsidR="07BDCF58">
        <w:t>‘</w:t>
      </w:r>
      <w:proofErr w:type="gramEnd"/>
      <w:r w:rsidR="07BDCF58">
        <w:t>. See also</w:t>
      </w:r>
      <w:r w:rsidR="7632E461">
        <w:t xml:space="preserve"> </w:t>
      </w:r>
      <w:r w:rsidR="00366FF2">
        <w:rPr>
          <w:i/>
          <w:iCs/>
        </w:rPr>
        <w:t>United Nations</w:t>
      </w:r>
      <w:r w:rsidR="00366FF2">
        <w:t xml:space="preserve"> </w:t>
      </w:r>
      <w:r w:rsidR="00366FF2">
        <w:rPr>
          <w:i/>
          <w:iCs/>
        </w:rPr>
        <w:t>Convention on the Rights of the Child</w:t>
      </w:r>
      <w:r>
        <w:rPr>
          <w:lang w:val="en-US"/>
        </w:rPr>
        <w:t xml:space="preserve"> </w:t>
      </w:r>
      <w:r w:rsidR="00366FF2">
        <w:rPr>
          <w:lang w:val="en-US"/>
        </w:rPr>
        <w:t xml:space="preserve">Art </w:t>
      </w:r>
      <w:r>
        <w:rPr>
          <w:lang w:val="en-US"/>
        </w:rPr>
        <w:t>28 and 29.</w:t>
      </w:r>
    </w:p>
  </w:footnote>
  <w:footnote w:id="12">
    <w:p w14:paraId="34411049" w14:textId="142611F9" w:rsidR="00F609A1" w:rsidRPr="00F609A1" w:rsidRDefault="00F609A1">
      <w:pPr>
        <w:pStyle w:val="FootnoteText"/>
        <w:rPr>
          <w:lang w:val="en-US"/>
        </w:rPr>
      </w:pPr>
      <w:r>
        <w:rPr>
          <w:rStyle w:val="FootnoteReference"/>
        </w:rPr>
        <w:footnoteRef/>
      </w:r>
      <w:r>
        <w:t xml:space="preserve"> </w:t>
      </w:r>
      <w:r w:rsidRPr="00657274">
        <w:rPr>
          <w:i/>
          <w:iCs/>
          <w:lang w:val="en-US"/>
        </w:rPr>
        <w:t>Human Rights Act 2019</w:t>
      </w:r>
      <w:r>
        <w:rPr>
          <w:lang w:val="en-US"/>
        </w:rPr>
        <w:t xml:space="preserve"> (Qld) 13(2)(f).</w:t>
      </w:r>
    </w:p>
  </w:footnote>
  <w:footnote w:id="13">
    <w:p w14:paraId="408521B5" w14:textId="77777777" w:rsidR="00E7475F" w:rsidRDefault="00E7475F" w:rsidP="00E7475F">
      <w:pPr>
        <w:pStyle w:val="FootnoteText"/>
      </w:pPr>
      <w:r>
        <w:rPr>
          <w:rStyle w:val="FootnoteReference"/>
        </w:rPr>
        <w:footnoteRef/>
      </w:r>
      <w:r>
        <w:t xml:space="preserve"> Premier and Minister for the Olympic and Paralympic Games, Minister for Education, Minister for Industrial Relations and Minister for Racing, and Minister for Employment and Small Business, Minister for Training and Skills Development and Minister for Youth Justice, ‘$288 million package to keep students engaged in education’ (Joint Statement, 4 December 2023).</w:t>
      </w:r>
    </w:p>
  </w:footnote>
  <w:footnote w:id="14">
    <w:p w14:paraId="2308590D" w14:textId="4622F849" w:rsidR="00FF1D34" w:rsidRPr="00FF1D34" w:rsidRDefault="00FF1D34">
      <w:pPr>
        <w:pStyle w:val="FootnoteText"/>
        <w:rPr>
          <w:lang w:val="en-US"/>
        </w:rPr>
      </w:pPr>
      <w:r>
        <w:rPr>
          <w:rStyle w:val="FootnoteReference"/>
        </w:rPr>
        <w:footnoteRef/>
      </w:r>
      <w:r>
        <w:t xml:space="preserve"> </w:t>
      </w:r>
      <w:r w:rsidR="00AF422F">
        <w:t xml:space="preserve">Education (General Provisions) And Other Legislation Amendment Bill 2024 cl </w:t>
      </w:r>
      <w:r w:rsidR="005E6D8C">
        <w:t>94 (</w:t>
      </w:r>
      <w:r w:rsidR="00AF422F">
        <w:t xml:space="preserve">inserts </w:t>
      </w:r>
      <w:r w:rsidR="005E6D8C">
        <w:t xml:space="preserve">new </w:t>
      </w:r>
      <w:r w:rsidR="00AF422F">
        <w:t xml:space="preserve">Ch </w:t>
      </w:r>
      <w:r w:rsidR="005E6D8C">
        <w:t>12, pt 3, div 8A)</w:t>
      </w:r>
      <w:r w:rsidR="00AF422F">
        <w:t>.</w:t>
      </w:r>
    </w:p>
  </w:footnote>
  <w:footnote w:id="15">
    <w:p w14:paraId="2B818798" w14:textId="19C260C1" w:rsidR="008F0DD0" w:rsidRPr="00624EB3" w:rsidRDefault="008F0DD0">
      <w:pPr>
        <w:pStyle w:val="FootnoteText"/>
        <w:rPr>
          <w:szCs w:val="20"/>
          <w:lang w:val="en-US"/>
        </w:rPr>
      </w:pPr>
      <w:r w:rsidRPr="00624EB3">
        <w:rPr>
          <w:rStyle w:val="FootnoteReference"/>
          <w:szCs w:val="20"/>
        </w:rPr>
        <w:footnoteRef/>
      </w:r>
      <w:r w:rsidRPr="00624EB3">
        <w:rPr>
          <w:szCs w:val="20"/>
        </w:rPr>
        <w:t xml:space="preserve"> </w:t>
      </w:r>
      <w:r w:rsidR="00AF422F" w:rsidRPr="00624EB3">
        <w:rPr>
          <w:szCs w:val="20"/>
        </w:rPr>
        <w:t>Education (General Provisions) And Other Legislation Amendment Bill 2024</w:t>
      </w:r>
      <w:r w:rsidRPr="00624EB3">
        <w:rPr>
          <w:szCs w:val="20"/>
          <w:lang w:val="en-US"/>
        </w:rPr>
        <w:t xml:space="preserve"> cl 18 (amend</w:t>
      </w:r>
      <w:r w:rsidR="00AF422F" w:rsidRPr="00624EB3">
        <w:rPr>
          <w:szCs w:val="20"/>
          <w:lang w:val="en-US"/>
        </w:rPr>
        <w:t>s</w:t>
      </w:r>
      <w:r w:rsidRPr="00624EB3">
        <w:rPr>
          <w:szCs w:val="20"/>
          <w:lang w:val="en-US"/>
        </w:rPr>
        <w:t xml:space="preserve"> </w:t>
      </w:r>
      <w:r w:rsidR="00AF422F" w:rsidRPr="00624EB3">
        <w:rPr>
          <w:szCs w:val="20"/>
          <w:lang w:val="en-US"/>
        </w:rPr>
        <w:br/>
      </w:r>
      <w:r w:rsidRPr="00624EB3">
        <w:rPr>
          <w:szCs w:val="20"/>
          <w:lang w:val="en-US"/>
        </w:rPr>
        <w:t>s 7 (Guiding principles))</w:t>
      </w:r>
      <w:r w:rsidR="00D17E6F">
        <w:rPr>
          <w:szCs w:val="20"/>
          <w:lang w:val="en-US"/>
        </w:rPr>
        <w:t>.</w:t>
      </w:r>
    </w:p>
  </w:footnote>
  <w:footnote w:id="16">
    <w:p w14:paraId="7A484828" w14:textId="4FA1F3B2" w:rsidR="005E6D8C" w:rsidRPr="00624EB3" w:rsidRDefault="005E6D8C">
      <w:pPr>
        <w:pStyle w:val="FootnoteText"/>
        <w:rPr>
          <w:szCs w:val="20"/>
          <w:lang w:val="en-US"/>
        </w:rPr>
      </w:pPr>
      <w:r w:rsidRPr="00624EB3">
        <w:rPr>
          <w:rStyle w:val="FootnoteReference"/>
          <w:szCs w:val="20"/>
        </w:rPr>
        <w:footnoteRef/>
      </w:r>
      <w:r w:rsidRPr="00624EB3">
        <w:rPr>
          <w:szCs w:val="20"/>
        </w:rPr>
        <w:t xml:space="preserve"> </w:t>
      </w:r>
      <w:r w:rsidRPr="00624EB3">
        <w:rPr>
          <w:i/>
          <w:iCs/>
          <w:szCs w:val="20"/>
          <w:lang w:val="en-US"/>
        </w:rPr>
        <w:t>Human Rights Act 2019</w:t>
      </w:r>
      <w:r w:rsidRPr="00624EB3">
        <w:rPr>
          <w:szCs w:val="20"/>
          <w:lang w:val="en-US"/>
        </w:rPr>
        <w:t xml:space="preserve"> (Qld) s 26. </w:t>
      </w:r>
    </w:p>
  </w:footnote>
  <w:footnote w:id="17">
    <w:p w14:paraId="5806D634" w14:textId="64893458" w:rsidR="008F0DD0" w:rsidRPr="00624EB3" w:rsidRDefault="008F0DD0">
      <w:pPr>
        <w:pStyle w:val="FootnoteText"/>
        <w:rPr>
          <w:szCs w:val="20"/>
          <w:lang w:val="en-US"/>
        </w:rPr>
      </w:pPr>
      <w:r w:rsidRPr="00624EB3">
        <w:rPr>
          <w:rStyle w:val="FootnoteReference"/>
          <w:szCs w:val="20"/>
        </w:rPr>
        <w:footnoteRef/>
      </w:r>
      <w:r w:rsidRPr="00624EB3">
        <w:rPr>
          <w:szCs w:val="20"/>
        </w:rPr>
        <w:t xml:space="preserve"> </w:t>
      </w:r>
      <w:r w:rsidR="00AF422F" w:rsidRPr="00624EB3">
        <w:rPr>
          <w:i/>
          <w:iCs/>
          <w:szCs w:val="20"/>
        </w:rPr>
        <w:t xml:space="preserve">United Nations </w:t>
      </w:r>
      <w:r w:rsidRPr="00624EB3">
        <w:rPr>
          <w:i/>
          <w:iCs/>
          <w:szCs w:val="20"/>
        </w:rPr>
        <w:t>Convention on the Rights of the Child</w:t>
      </w:r>
      <w:r w:rsidRPr="00624EB3">
        <w:rPr>
          <w:szCs w:val="20"/>
        </w:rPr>
        <w:t xml:space="preserve"> </w:t>
      </w:r>
      <w:r w:rsidR="00AF422F" w:rsidRPr="00624EB3">
        <w:rPr>
          <w:szCs w:val="20"/>
        </w:rPr>
        <w:t xml:space="preserve">Art </w:t>
      </w:r>
      <w:r w:rsidRPr="00624EB3">
        <w:rPr>
          <w:szCs w:val="20"/>
        </w:rPr>
        <w:t>18.</w:t>
      </w:r>
    </w:p>
  </w:footnote>
  <w:footnote w:id="18">
    <w:p w14:paraId="57A490A0" w14:textId="3B0DADE6" w:rsidR="008F0DD0" w:rsidRPr="00624EB3" w:rsidRDefault="008F0DD0">
      <w:pPr>
        <w:pStyle w:val="FootnoteText"/>
        <w:rPr>
          <w:szCs w:val="20"/>
          <w:lang w:val="en-US"/>
        </w:rPr>
      </w:pPr>
      <w:r w:rsidRPr="00624EB3">
        <w:rPr>
          <w:rStyle w:val="FootnoteReference"/>
          <w:szCs w:val="20"/>
        </w:rPr>
        <w:footnoteRef/>
      </w:r>
      <w:r w:rsidRPr="00624EB3">
        <w:rPr>
          <w:szCs w:val="20"/>
        </w:rPr>
        <w:t xml:space="preserve"> </w:t>
      </w:r>
      <w:r w:rsidR="00A12188" w:rsidRPr="00624EB3">
        <w:rPr>
          <w:i/>
          <w:iCs/>
          <w:szCs w:val="20"/>
        </w:rPr>
        <w:t xml:space="preserve">Education (General Provisions) Act </w:t>
      </w:r>
      <w:r w:rsidR="00C33309" w:rsidRPr="00624EB3">
        <w:rPr>
          <w:i/>
          <w:iCs/>
          <w:szCs w:val="20"/>
        </w:rPr>
        <w:t>2006</w:t>
      </w:r>
      <w:r w:rsidR="00C33309" w:rsidRPr="00624EB3">
        <w:rPr>
          <w:szCs w:val="20"/>
        </w:rPr>
        <w:t xml:space="preserve"> (Qld) </w:t>
      </w:r>
      <w:r w:rsidRPr="00624EB3">
        <w:rPr>
          <w:szCs w:val="20"/>
        </w:rPr>
        <w:t xml:space="preserve">s 5(2)(a) provides: ‘The objects [of the Act] are to be achieved mainly by - … placing responsibilities on parents and the State in relation to the education of children and young people.’ </w:t>
      </w:r>
    </w:p>
  </w:footnote>
  <w:footnote w:id="19">
    <w:p w14:paraId="1C0A941A" w14:textId="56947AC0" w:rsidR="003D5FC1" w:rsidRPr="003D5FC1" w:rsidRDefault="003D5FC1">
      <w:pPr>
        <w:pStyle w:val="FootnoteText"/>
        <w:rPr>
          <w:lang w:val="en-US"/>
        </w:rPr>
      </w:pPr>
      <w:r w:rsidRPr="00624EB3">
        <w:rPr>
          <w:rStyle w:val="FootnoteReference"/>
          <w:szCs w:val="20"/>
        </w:rPr>
        <w:footnoteRef/>
      </w:r>
      <w:r w:rsidRPr="00624EB3">
        <w:rPr>
          <w:szCs w:val="20"/>
        </w:rPr>
        <w:t xml:space="preserve"> </w:t>
      </w:r>
      <w:r w:rsidR="00A61816" w:rsidRPr="00624EB3">
        <w:rPr>
          <w:i/>
          <w:iCs/>
          <w:szCs w:val="20"/>
          <w:lang w:val="en-US"/>
        </w:rPr>
        <w:t>Human Rights Act 2019</w:t>
      </w:r>
      <w:r w:rsidR="00A61816" w:rsidRPr="00624EB3">
        <w:rPr>
          <w:szCs w:val="20"/>
          <w:lang w:val="en-US"/>
        </w:rPr>
        <w:t xml:space="preserve"> (Qld) </w:t>
      </w:r>
      <w:r w:rsidRPr="00624EB3">
        <w:rPr>
          <w:szCs w:val="20"/>
        </w:rPr>
        <w:t>s 26 (2)</w:t>
      </w:r>
      <w:r w:rsidR="00624EB3" w:rsidRPr="00624EB3">
        <w:rPr>
          <w:szCs w:val="20"/>
        </w:rPr>
        <w:t>;</w:t>
      </w:r>
      <w:r w:rsidRPr="00624EB3">
        <w:rPr>
          <w:szCs w:val="20"/>
        </w:rPr>
        <w:t xml:space="preserve"> </w:t>
      </w:r>
      <w:bookmarkStart w:id="11" w:name="_Hlk126594159"/>
      <w:r w:rsidR="00646747" w:rsidRPr="00624EB3">
        <w:rPr>
          <w:rFonts w:cs="Arial"/>
          <w:szCs w:val="20"/>
          <w:lang w:val="en-US"/>
        </w:rPr>
        <w:t xml:space="preserve">Explanatory Notes, </w:t>
      </w:r>
      <w:bookmarkStart w:id="12" w:name="_Hlk104909819"/>
      <w:r w:rsidR="00646747" w:rsidRPr="00624EB3">
        <w:rPr>
          <w:rFonts w:cs="Arial"/>
          <w:szCs w:val="20"/>
          <w:lang w:val="en-US"/>
        </w:rPr>
        <w:t>Human Rights Bill 2018</w:t>
      </w:r>
      <w:bookmarkEnd w:id="11"/>
      <w:bookmarkEnd w:id="12"/>
      <w:r w:rsidR="009E0D3F" w:rsidRPr="00624EB3">
        <w:rPr>
          <w:rFonts w:cs="Arial"/>
          <w:szCs w:val="20"/>
          <w:lang w:val="en-US"/>
        </w:rPr>
        <w:t xml:space="preserve"> </w:t>
      </w:r>
      <w:r w:rsidRPr="00624EB3">
        <w:rPr>
          <w:szCs w:val="20"/>
          <w:lang w:val="en-US"/>
        </w:rPr>
        <w:t>22</w:t>
      </w:r>
      <w:r w:rsidR="00624EB3" w:rsidRPr="00624EB3">
        <w:rPr>
          <w:szCs w:val="20"/>
          <w:lang w:val="en-US"/>
        </w:rPr>
        <w:t>;</w:t>
      </w:r>
      <w:r w:rsidRPr="00624EB3">
        <w:rPr>
          <w:szCs w:val="20"/>
          <w:lang w:val="en-US"/>
        </w:rPr>
        <w:t xml:space="preserve"> </w:t>
      </w:r>
      <w:r w:rsidR="00624EB3" w:rsidRPr="00624EB3">
        <w:rPr>
          <w:i/>
          <w:iCs/>
          <w:szCs w:val="20"/>
        </w:rPr>
        <w:t>United Nations Convention on the Rights of the Child</w:t>
      </w:r>
      <w:r w:rsidR="00624EB3" w:rsidRPr="00624EB3">
        <w:rPr>
          <w:szCs w:val="20"/>
        </w:rPr>
        <w:t xml:space="preserve"> </w:t>
      </w:r>
      <w:r w:rsidRPr="00624EB3">
        <w:rPr>
          <w:szCs w:val="20"/>
          <w:lang w:val="en-US"/>
        </w:rPr>
        <w:t>preamble</w:t>
      </w:r>
      <w:r w:rsidR="00624EB3" w:rsidRPr="00624EB3">
        <w:rPr>
          <w:szCs w:val="20"/>
          <w:lang w:val="en-US"/>
        </w:rPr>
        <w:t>.</w:t>
      </w:r>
    </w:p>
  </w:footnote>
  <w:footnote w:id="20">
    <w:p w14:paraId="425C4534" w14:textId="3C2D1CFD" w:rsidR="00D17E6F" w:rsidRPr="00D17E6F" w:rsidRDefault="00D17E6F">
      <w:pPr>
        <w:pStyle w:val="FootnoteText"/>
        <w:rPr>
          <w:lang w:val="en-US"/>
        </w:rPr>
      </w:pPr>
      <w:r>
        <w:rPr>
          <w:rStyle w:val="FootnoteReference"/>
        </w:rPr>
        <w:footnoteRef/>
      </w:r>
      <w:r>
        <w:t xml:space="preserve"> </w:t>
      </w:r>
      <w:r w:rsidRPr="00624EB3">
        <w:rPr>
          <w:szCs w:val="20"/>
        </w:rPr>
        <w:t>Education (General Provisions) And Other Legislation Amendment Bill 2024</w:t>
      </w:r>
      <w:r w:rsidRPr="00624EB3">
        <w:rPr>
          <w:szCs w:val="20"/>
          <w:lang w:val="en-US"/>
        </w:rPr>
        <w:t xml:space="preserve"> cl 18 (amends </w:t>
      </w:r>
      <w:r w:rsidRPr="00624EB3">
        <w:rPr>
          <w:szCs w:val="20"/>
          <w:lang w:val="en-US"/>
        </w:rPr>
        <w:br/>
        <w:t>s 7 (Guiding principles))</w:t>
      </w:r>
      <w:r>
        <w:rPr>
          <w:szCs w:val="20"/>
          <w:lang w:val="en-US"/>
        </w:rPr>
        <w:t>.</w:t>
      </w:r>
    </w:p>
  </w:footnote>
  <w:footnote w:id="21">
    <w:p w14:paraId="1A8E0248" w14:textId="0049C387" w:rsidR="00DA4E4A" w:rsidRDefault="00DA4E4A" w:rsidP="00DA4E4A">
      <w:pPr>
        <w:pStyle w:val="FootnoteText"/>
        <w:rPr>
          <w:lang w:val="en-US"/>
        </w:rPr>
      </w:pPr>
      <w:r>
        <w:rPr>
          <w:rStyle w:val="FootnoteReference"/>
        </w:rPr>
        <w:footnoteRef/>
      </w:r>
      <w:r>
        <w:t xml:space="preserve"> </w:t>
      </w:r>
      <w:r w:rsidR="00961A8F">
        <w:rPr>
          <w:lang w:val="en-US"/>
        </w:rPr>
        <w:t xml:space="preserve">Queensland Government, </w:t>
      </w:r>
      <w:r w:rsidR="00961A8F">
        <w:rPr>
          <w:i/>
          <w:lang w:val="en-US"/>
        </w:rPr>
        <w:t>Putting Queensland Kids First</w:t>
      </w:r>
      <w:r w:rsidR="00961A8F">
        <w:rPr>
          <w:i/>
          <w:iCs/>
          <w:lang w:val="en-US"/>
        </w:rPr>
        <w:t xml:space="preserve">: Giving our kids the opportunity of a lifetime </w:t>
      </w:r>
      <w:r w:rsidR="00961A8F">
        <w:rPr>
          <w:lang w:val="en-US"/>
        </w:rPr>
        <w:t>(Consultation draft, 2024) 10.</w:t>
      </w:r>
    </w:p>
  </w:footnote>
  <w:footnote w:id="22">
    <w:p w14:paraId="2E632FD0" w14:textId="5859B0E6" w:rsidR="00E2761F" w:rsidRPr="00E2761F" w:rsidRDefault="00E2761F">
      <w:pPr>
        <w:pStyle w:val="FootnoteText"/>
        <w:rPr>
          <w:lang w:val="en-US"/>
        </w:rPr>
      </w:pPr>
      <w:r>
        <w:rPr>
          <w:rStyle w:val="FootnoteReference"/>
        </w:rPr>
        <w:footnoteRef/>
      </w:r>
      <w:r>
        <w:t xml:space="preserve"> Queensland Human Rights Commission, Putting Queensland Kids First: Consultation Draft, Submission </w:t>
      </w:r>
      <w:r w:rsidR="00C63514">
        <w:t xml:space="preserve">to the </w:t>
      </w:r>
      <w:r>
        <w:t>Department of Premier and Cabinet (</w:t>
      </w:r>
      <w:r>
        <w:rPr>
          <w:lang w:val="en-US"/>
        </w:rPr>
        <w:t>Submission</w:t>
      </w:r>
      <w:r>
        <w:t xml:space="preserve">, 21 February 2024) &lt; </w:t>
      </w:r>
      <w:r w:rsidRPr="00E2761F">
        <w:t>https://www.qhrc.qld.gov.au/resources/submissions</w:t>
      </w:r>
      <w:r>
        <w:t>&gt;</w:t>
      </w:r>
      <w:r w:rsidR="00C63514">
        <w:t>.</w:t>
      </w:r>
    </w:p>
  </w:footnote>
  <w:footnote w:id="23">
    <w:p w14:paraId="3F730A59" w14:textId="3230E348" w:rsidR="007950FC" w:rsidRPr="007950FC" w:rsidRDefault="007950FC">
      <w:pPr>
        <w:pStyle w:val="FootnoteText"/>
        <w:rPr>
          <w:lang w:val="en-US"/>
        </w:rPr>
      </w:pPr>
      <w:r>
        <w:rPr>
          <w:rStyle w:val="FootnoteReference"/>
        </w:rPr>
        <w:footnoteRef/>
      </w:r>
      <w:r>
        <w:t xml:space="preserve"> Queensland Human Rights Commission, </w:t>
      </w:r>
      <w:r w:rsidRPr="007950FC">
        <w:rPr>
          <w:i/>
          <w:iCs/>
          <w:lang w:val="en-US"/>
        </w:rPr>
        <w:t>Building Belonging: Review of Queensland’s Anti-Discrimination Act 1991</w:t>
      </w:r>
      <w:r>
        <w:rPr>
          <w:lang w:val="en-US"/>
        </w:rPr>
        <w:t xml:space="preserve"> (</w:t>
      </w:r>
      <w:r w:rsidR="00C63514">
        <w:rPr>
          <w:lang w:val="en-US"/>
        </w:rPr>
        <w:t xml:space="preserve">Report, </w:t>
      </w:r>
      <w:r>
        <w:rPr>
          <w:lang w:val="en-US"/>
        </w:rPr>
        <w:t>July 2022).</w:t>
      </w:r>
    </w:p>
  </w:footnote>
  <w:footnote w:id="24">
    <w:p w14:paraId="6A65AA1F" w14:textId="4DAAC773" w:rsidR="001431FD" w:rsidRPr="001431FD" w:rsidRDefault="001431FD">
      <w:pPr>
        <w:pStyle w:val="FootnoteText"/>
        <w:rPr>
          <w:lang w:val="en-US"/>
        </w:rPr>
      </w:pPr>
      <w:r>
        <w:rPr>
          <w:rStyle w:val="FootnoteReference"/>
        </w:rPr>
        <w:footnoteRef/>
      </w:r>
      <w:r>
        <w:t xml:space="preserve"> </w:t>
      </w:r>
      <w:r w:rsidR="00914CDB">
        <w:t xml:space="preserve">Royal Commission into Violence, Abuse, Neglect and Exploitation of People with Disability </w:t>
      </w:r>
      <w:r w:rsidR="001933B7" w:rsidRPr="001933B7">
        <w:rPr>
          <w:i/>
          <w:iCs/>
        </w:rPr>
        <w:t>Final report</w:t>
      </w:r>
      <w:r w:rsidR="001933B7">
        <w:rPr>
          <w:i/>
          <w:iCs/>
        </w:rPr>
        <w:t xml:space="preserve"> </w:t>
      </w:r>
      <w:r w:rsidR="001933B7" w:rsidRPr="001933B7">
        <w:t>(</w:t>
      </w:r>
      <w:r w:rsidR="005F253B">
        <w:t>29 September 2023).</w:t>
      </w:r>
      <w:r w:rsidR="00914CDB">
        <w:t xml:space="preserve"> </w:t>
      </w:r>
    </w:p>
  </w:footnote>
  <w:footnote w:id="25">
    <w:p w14:paraId="16BF879C" w14:textId="3E7F0E0D" w:rsidR="004F1B21" w:rsidRPr="0038139E" w:rsidRDefault="004F1B21" w:rsidP="004F1B21">
      <w:pPr>
        <w:pStyle w:val="FootnoteText"/>
        <w:rPr>
          <w:lang w:val="en-US"/>
        </w:rPr>
      </w:pPr>
      <w:r>
        <w:rPr>
          <w:rStyle w:val="FootnoteReference"/>
        </w:rPr>
        <w:footnoteRef/>
      </w:r>
      <w:r>
        <w:t xml:space="preserve"> </w:t>
      </w:r>
      <w:r w:rsidR="00862538" w:rsidRPr="00624EB3">
        <w:rPr>
          <w:i/>
          <w:iCs/>
          <w:szCs w:val="20"/>
        </w:rPr>
        <w:t>Education (General Provisions) Act 2006</w:t>
      </w:r>
      <w:r w:rsidR="00862538" w:rsidRPr="00624EB3">
        <w:rPr>
          <w:szCs w:val="20"/>
        </w:rPr>
        <w:t xml:space="preserve"> (Qld) </w:t>
      </w:r>
      <w:r w:rsidR="00862538">
        <w:rPr>
          <w:lang w:val="en-US"/>
        </w:rPr>
        <w:t>ss</w:t>
      </w:r>
      <w:r>
        <w:rPr>
          <w:lang w:val="en-US"/>
        </w:rPr>
        <w:t xml:space="preserve"> 284, 294, 301</w:t>
      </w:r>
      <w:r w:rsidR="00862538">
        <w:rPr>
          <w:lang w:val="en-US"/>
        </w:rPr>
        <w:t>.</w:t>
      </w:r>
    </w:p>
  </w:footnote>
  <w:footnote w:id="26">
    <w:p w14:paraId="4CC22DFC" w14:textId="03705331" w:rsidR="004F1B21" w:rsidRPr="0038139E" w:rsidRDefault="004F1B21" w:rsidP="004F1B21">
      <w:pPr>
        <w:pStyle w:val="FootnoteText"/>
        <w:rPr>
          <w:lang w:val="en-US"/>
        </w:rPr>
      </w:pPr>
      <w:r>
        <w:rPr>
          <w:rStyle w:val="FootnoteReference"/>
        </w:rPr>
        <w:footnoteRef/>
      </w:r>
      <w:r>
        <w:t xml:space="preserve"> </w:t>
      </w:r>
      <w:r w:rsidR="00862538" w:rsidRPr="00624EB3">
        <w:rPr>
          <w:i/>
          <w:iCs/>
          <w:szCs w:val="20"/>
        </w:rPr>
        <w:t>Education (General Provisions) Act 2006</w:t>
      </w:r>
      <w:r w:rsidR="00862538" w:rsidRPr="00624EB3">
        <w:rPr>
          <w:szCs w:val="20"/>
        </w:rPr>
        <w:t xml:space="preserve"> (Qld) </w:t>
      </w:r>
      <w:r w:rsidR="00862538">
        <w:rPr>
          <w:szCs w:val="20"/>
        </w:rPr>
        <w:t>ss</w:t>
      </w:r>
      <w:r>
        <w:rPr>
          <w:lang w:val="en-US"/>
        </w:rPr>
        <w:t xml:space="preserve"> 304, 310</w:t>
      </w:r>
      <w:r w:rsidR="00862538">
        <w:rPr>
          <w:lang w:val="en-US"/>
        </w:rPr>
        <w:t>.</w:t>
      </w:r>
      <w:r w:rsidR="00616AD6">
        <w:rPr>
          <w:lang w:val="en-US"/>
        </w:rPr>
        <w:t xml:space="preserve"> </w:t>
      </w:r>
    </w:p>
  </w:footnote>
  <w:footnote w:id="27">
    <w:p w14:paraId="0DB48D9D" w14:textId="77777777" w:rsidR="003E572A" w:rsidRPr="00254348" w:rsidRDefault="003E572A" w:rsidP="003E572A">
      <w:pPr>
        <w:pStyle w:val="FootnoteText"/>
        <w:rPr>
          <w:lang w:val="en-US"/>
        </w:rPr>
      </w:pPr>
      <w:r>
        <w:rPr>
          <w:rStyle w:val="FootnoteReference"/>
        </w:rPr>
        <w:footnoteRef/>
      </w:r>
      <w:r>
        <w:t xml:space="preserve"> Drawn from the </w:t>
      </w:r>
      <w:r>
        <w:rPr>
          <w:rFonts w:cs="Arial"/>
        </w:rPr>
        <w:t xml:space="preserve">Department of Education ‘School Disciplinary Absences by student demographics’, </w:t>
      </w:r>
      <w:r>
        <w:rPr>
          <w:rFonts w:cs="Arial"/>
          <w:i/>
          <w:iCs/>
        </w:rPr>
        <w:t>Students</w:t>
      </w:r>
      <w:r>
        <w:rPr>
          <w:rFonts w:cs="Arial"/>
        </w:rPr>
        <w:t xml:space="preserve"> (Web Page, May 2023) &lt;</w:t>
      </w:r>
      <w:hyperlink r:id="rId2" w:history="1">
        <w:r>
          <w:rPr>
            <w:rStyle w:val="Hyperlink"/>
            <w:rFonts w:cs="Arial"/>
          </w:rPr>
          <w:t>https://qed.qld.gov.au/publications/reports/statistics/schooling/students</w:t>
        </w:r>
      </w:hyperlink>
      <w:r>
        <w:rPr>
          <w:rFonts w:cs="Arial"/>
        </w:rPr>
        <w:t>&gt;.</w:t>
      </w:r>
    </w:p>
  </w:footnote>
  <w:footnote w:id="28">
    <w:p w14:paraId="02F188B0" w14:textId="179319FD" w:rsidR="00F74315" w:rsidRPr="00F74315" w:rsidRDefault="00F74315">
      <w:pPr>
        <w:pStyle w:val="FootnoteText"/>
        <w:rPr>
          <w:lang w:val="en-US"/>
        </w:rPr>
      </w:pPr>
      <w:r>
        <w:rPr>
          <w:rStyle w:val="FootnoteReference"/>
        </w:rPr>
        <w:footnoteRef/>
      </w:r>
      <w:r>
        <w:t xml:space="preserve"> </w:t>
      </w:r>
      <w:r>
        <w:rPr>
          <w:lang w:val="en-US"/>
        </w:rPr>
        <w:t>Statement of Compatibility</w:t>
      </w:r>
      <w:r w:rsidR="00120AB1">
        <w:rPr>
          <w:lang w:val="en-US"/>
        </w:rPr>
        <w:t xml:space="preserve">, </w:t>
      </w:r>
      <w:r w:rsidR="00120AB1" w:rsidRPr="00624EB3">
        <w:rPr>
          <w:szCs w:val="20"/>
        </w:rPr>
        <w:t>Education (General Provisions) And Other Legislation Amendment Bill 2024</w:t>
      </w:r>
      <w:r w:rsidR="00120AB1" w:rsidRPr="00624EB3">
        <w:rPr>
          <w:szCs w:val="20"/>
          <w:lang w:val="en-US"/>
        </w:rPr>
        <w:t xml:space="preserve"> </w:t>
      </w:r>
      <w:r>
        <w:rPr>
          <w:lang w:val="en-US"/>
        </w:rPr>
        <w:t>6-7.</w:t>
      </w:r>
    </w:p>
  </w:footnote>
  <w:footnote w:id="29">
    <w:p w14:paraId="0819AE4F" w14:textId="4EE5FCE2" w:rsidR="000C7990" w:rsidRPr="000C7990" w:rsidRDefault="000C7990">
      <w:pPr>
        <w:pStyle w:val="FootnoteText"/>
        <w:rPr>
          <w:lang w:val="en-US"/>
        </w:rPr>
      </w:pPr>
      <w:r>
        <w:rPr>
          <w:rStyle w:val="FootnoteReference"/>
        </w:rPr>
        <w:footnoteRef/>
      </w:r>
      <w:r>
        <w:t xml:space="preserve"> Department of Education </w:t>
      </w:r>
      <w:r w:rsidRPr="004073A4">
        <w:rPr>
          <w:i/>
          <w:iCs/>
        </w:rPr>
        <w:t>Student Discipline procedure</w:t>
      </w:r>
      <w:r>
        <w:t xml:space="preserve"> (</w:t>
      </w:r>
      <w:r w:rsidR="00942E4A">
        <w:t xml:space="preserve">Web Page, </w:t>
      </w:r>
      <w:r>
        <w:t>Version 1.10, 28 February 2024</w:t>
      </w:r>
      <w:proofErr w:type="gramStart"/>
      <w:r>
        <w:t xml:space="preserve">)  </w:t>
      </w:r>
      <w:r w:rsidR="007619DD">
        <w:t>&lt;</w:t>
      </w:r>
      <w:proofErr w:type="gramEnd"/>
      <w:r w:rsidR="00BF7215">
        <w:fldChar w:fldCharType="begin"/>
      </w:r>
      <w:r w:rsidR="00BF7215">
        <w:instrText>HYPERLINK "https://ppr.qed.qld.gov.au/pp/student-discipline-procedure"</w:instrText>
      </w:r>
      <w:r w:rsidR="00BF7215">
        <w:fldChar w:fldCharType="separate"/>
      </w:r>
      <w:r w:rsidR="007619DD" w:rsidRPr="00015A14">
        <w:rPr>
          <w:rStyle w:val="Hyperlink"/>
        </w:rPr>
        <w:t>https://ppr.qed.qld.gov.au/pp/student-discipline-procedure</w:t>
      </w:r>
      <w:r w:rsidR="00BF7215">
        <w:rPr>
          <w:rStyle w:val="Hyperlink"/>
        </w:rPr>
        <w:fldChar w:fldCharType="end"/>
      </w:r>
      <w:r w:rsidR="007619DD">
        <w:t>&gt;</w:t>
      </w:r>
      <w:r w:rsidR="0082251E">
        <w:t>.</w:t>
      </w:r>
    </w:p>
  </w:footnote>
  <w:footnote w:id="30">
    <w:p w14:paraId="71A468C6" w14:textId="31A53685" w:rsidR="007160D5" w:rsidRPr="007160D5" w:rsidRDefault="007160D5">
      <w:pPr>
        <w:pStyle w:val="FootnoteText"/>
        <w:rPr>
          <w:lang w:val="en-US"/>
        </w:rPr>
      </w:pPr>
      <w:r>
        <w:rPr>
          <w:rStyle w:val="FootnoteReference"/>
        </w:rPr>
        <w:footnoteRef/>
      </w:r>
      <w:r>
        <w:t xml:space="preserve"> </w:t>
      </w:r>
      <w:r w:rsidRPr="007160D5">
        <w:rPr>
          <w:i/>
          <w:iCs/>
        </w:rPr>
        <w:t>Human Rights Act 2019</w:t>
      </w:r>
      <w:r>
        <w:t xml:space="preserve"> (Qld) </w:t>
      </w:r>
      <w:r>
        <w:rPr>
          <w:lang w:val="en-US"/>
        </w:rPr>
        <w:t>s 13(2)(d).</w:t>
      </w:r>
    </w:p>
  </w:footnote>
  <w:footnote w:id="31">
    <w:p w14:paraId="48F417AB" w14:textId="1EE9813F" w:rsidR="007160D5" w:rsidRPr="007160D5" w:rsidRDefault="007160D5">
      <w:pPr>
        <w:pStyle w:val="FootnoteText"/>
        <w:rPr>
          <w:lang w:val="en-US"/>
        </w:rPr>
      </w:pPr>
      <w:r>
        <w:rPr>
          <w:rStyle w:val="FootnoteReference"/>
        </w:rPr>
        <w:footnoteRef/>
      </w:r>
      <w:r>
        <w:t xml:space="preserve"> </w:t>
      </w:r>
      <w:r w:rsidRPr="007160D5">
        <w:rPr>
          <w:i/>
          <w:iCs/>
        </w:rPr>
        <w:t>Human Rights Act 2019</w:t>
      </w:r>
      <w:r>
        <w:t xml:space="preserve"> (Qld) </w:t>
      </w:r>
      <w:r>
        <w:rPr>
          <w:lang w:val="en-US"/>
        </w:rPr>
        <w:t>s 58(1)(a).</w:t>
      </w:r>
    </w:p>
  </w:footnote>
  <w:footnote w:id="32">
    <w:p w14:paraId="5B29DD3E" w14:textId="01F85FD0" w:rsidR="007160D5" w:rsidRPr="007160D5" w:rsidRDefault="007160D5">
      <w:pPr>
        <w:pStyle w:val="FootnoteText"/>
        <w:rPr>
          <w:lang w:val="en-US"/>
        </w:rPr>
      </w:pPr>
      <w:r>
        <w:rPr>
          <w:rStyle w:val="FootnoteReference"/>
        </w:rPr>
        <w:footnoteRef/>
      </w:r>
      <w:r>
        <w:t xml:space="preserve"> </w:t>
      </w:r>
      <w:r w:rsidR="00F25C15" w:rsidRPr="00624EB3">
        <w:rPr>
          <w:szCs w:val="20"/>
        </w:rPr>
        <w:t>Education (General Provisions) And Other Legislation Amendment Bill 2024</w:t>
      </w:r>
      <w:r w:rsidR="005A0E1A">
        <w:rPr>
          <w:lang w:val="en-US"/>
        </w:rPr>
        <w:t xml:space="preserve"> </w:t>
      </w:r>
      <w:r w:rsidR="00F25C15">
        <w:rPr>
          <w:lang w:val="en-US"/>
        </w:rPr>
        <w:t xml:space="preserve">cl </w:t>
      </w:r>
      <w:r w:rsidR="005A0E1A">
        <w:rPr>
          <w:lang w:val="en-US"/>
        </w:rPr>
        <w:t>120.</w:t>
      </w:r>
    </w:p>
  </w:footnote>
  <w:footnote w:id="33">
    <w:p w14:paraId="68D46C67" w14:textId="61A38663" w:rsidR="00FB3876" w:rsidRPr="00FB3876" w:rsidRDefault="00FB3876">
      <w:pPr>
        <w:pStyle w:val="FootnoteText"/>
        <w:rPr>
          <w:lang w:val="en-US"/>
        </w:rPr>
      </w:pPr>
      <w:r>
        <w:rPr>
          <w:rStyle w:val="FootnoteReference"/>
        </w:rPr>
        <w:footnoteRef/>
      </w:r>
      <w:r>
        <w:t xml:space="preserve"> </w:t>
      </w:r>
      <w:r w:rsidR="00F25C15" w:rsidRPr="00624EB3">
        <w:rPr>
          <w:i/>
          <w:iCs/>
          <w:szCs w:val="20"/>
        </w:rPr>
        <w:t>Education (General Provisions) Act 2006</w:t>
      </w:r>
      <w:r w:rsidR="00F25C15" w:rsidRPr="00624EB3">
        <w:rPr>
          <w:szCs w:val="20"/>
        </w:rPr>
        <w:t xml:space="preserve"> (Qld) </w:t>
      </w:r>
      <w:r w:rsidR="004868DA">
        <w:t>ss 282, 292, 299.</w:t>
      </w:r>
    </w:p>
  </w:footnote>
  <w:footnote w:id="34">
    <w:p w14:paraId="10EF3216" w14:textId="55D709D0" w:rsidR="00FB3876" w:rsidRPr="00FB3876" w:rsidRDefault="00FB3876">
      <w:pPr>
        <w:pStyle w:val="FootnoteText"/>
        <w:rPr>
          <w:lang w:val="en-US"/>
        </w:rPr>
      </w:pPr>
      <w:r>
        <w:rPr>
          <w:rStyle w:val="FootnoteReference"/>
        </w:rPr>
        <w:footnoteRef/>
      </w:r>
      <w:r>
        <w:t xml:space="preserve"> </w:t>
      </w:r>
      <w:r w:rsidR="002C724E" w:rsidRPr="00624EB3">
        <w:rPr>
          <w:szCs w:val="20"/>
        </w:rPr>
        <w:t>Education (General Provisions) And Other Legislation Amendment Bill 2024</w:t>
      </w:r>
      <w:r w:rsidR="002C724E">
        <w:rPr>
          <w:lang w:val="en-US"/>
        </w:rPr>
        <w:t xml:space="preserve"> cl </w:t>
      </w:r>
      <w:r>
        <w:rPr>
          <w:lang w:val="en-US"/>
        </w:rPr>
        <w:t>77, 84</w:t>
      </w:r>
      <w:r w:rsidR="002C724E">
        <w:rPr>
          <w:lang w:val="en-US"/>
        </w:rPr>
        <w:t>,</w:t>
      </w:r>
      <w:r>
        <w:rPr>
          <w:lang w:val="en-US"/>
        </w:rPr>
        <w:t xml:space="preserve"> 87 and </w:t>
      </w:r>
      <w:r w:rsidR="004868DA">
        <w:rPr>
          <w:lang w:val="en-US"/>
        </w:rPr>
        <w:t xml:space="preserve">120. Clause 120 </w:t>
      </w:r>
      <w:r>
        <w:rPr>
          <w:lang w:val="en-US"/>
        </w:rPr>
        <w:t>amend</w:t>
      </w:r>
      <w:r w:rsidR="004868DA">
        <w:rPr>
          <w:lang w:val="en-US"/>
        </w:rPr>
        <w:t>s</w:t>
      </w:r>
      <w:r>
        <w:rPr>
          <w:lang w:val="en-US"/>
        </w:rPr>
        <w:t xml:space="preserve"> the Education (General Provisions) Regulation 201</w:t>
      </w:r>
      <w:r w:rsidR="004868DA">
        <w:rPr>
          <w:lang w:val="en-US"/>
        </w:rPr>
        <w:t xml:space="preserve">7, </w:t>
      </w:r>
      <w:r w:rsidR="007619DD">
        <w:rPr>
          <w:lang w:val="en-US"/>
        </w:rPr>
        <w:t xml:space="preserve">and inserts </w:t>
      </w:r>
      <w:r w:rsidR="004868DA">
        <w:rPr>
          <w:lang w:val="en-US"/>
        </w:rPr>
        <w:t>regulations 60D, 60J and 60M</w:t>
      </w:r>
      <w:r>
        <w:rPr>
          <w:lang w:val="en-US"/>
        </w:rPr>
        <w:t>.</w:t>
      </w:r>
    </w:p>
  </w:footnote>
  <w:footnote w:id="35">
    <w:p w14:paraId="04CC7861" w14:textId="05850E45" w:rsidR="00A00EE3" w:rsidRPr="00A00EE3" w:rsidRDefault="00A00EE3">
      <w:pPr>
        <w:pStyle w:val="FootnoteText"/>
        <w:rPr>
          <w:lang w:val="en-US"/>
        </w:rPr>
      </w:pPr>
      <w:r>
        <w:rPr>
          <w:rStyle w:val="FootnoteReference"/>
        </w:rPr>
        <w:footnoteRef/>
      </w:r>
      <w:r>
        <w:t xml:space="preserve"> </w:t>
      </w:r>
      <w:r w:rsidRPr="00A00EE3">
        <w:rPr>
          <w:i/>
          <w:iCs/>
          <w:lang w:val="en-US"/>
        </w:rPr>
        <w:t>Johnston v Commissioner of Police</w:t>
      </w:r>
      <w:r>
        <w:rPr>
          <w:lang w:val="en-US"/>
        </w:rPr>
        <w:t xml:space="preserve"> [2024] QSC 2 [269]</w:t>
      </w:r>
      <w:r w:rsidR="00EB2FF2">
        <w:rPr>
          <w:lang w:val="en-US"/>
        </w:rPr>
        <w:t>.</w:t>
      </w:r>
    </w:p>
  </w:footnote>
  <w:footnote w:id="36">
    <w:p w14:paraId="67EFD17C" w14:textId="5C292C2A" w:rsidR="00266FB1" w:rsidRPr="00266FB1" w:rsidRDefault="00266FB1">
      <w:pPr>
        <w:pStyle w:val="FootnoteText"/>
        <w:rPr>
          <w:lang w:val="en-US"/>
        </w:rPr>
      </w:pPr>
      <w:r>
        <w:rPr>
          <w:rStyle w:val="FootnoteReference"/>
        </w:rPr>
        <w:footnoteRef/>
      </w:r>
      <w:r>
        <w:t xml:space="preserve"> </w:t>
      </w:r>
      <w:r w:rsidRPr="00A00EE3">
        <w:rPr>
          <w:i/>
          <w:iCs/>
          <w:lang w:val="en-US"/>
        </w:rPr>
        <w:t>Johnston v Commissioner of Police</w:t>
      </w:r>
      <w:r>
        <w:rPr>
          <w:lang w:val="en-US"/>
        </w:rPr>
        <w:t xml:space="preserve"> [2024] QSC 2 [73] citing </w:t>
      </w:r>
      <w:r w:rsidR="00CE4A04" w:rsidRPr="00CE4A04">
        <w:rPr>
          <w:i/>
          <w:iCs/>
          <w:lang w:val="en-US"/>
        </w:rPr>
        <w:t xml:space="preserve">Certain Children v Minister for Families and Children (No 2) </w:t>
      </w:r>
      <w:r w:rsidR="00CE4A04" w:rsidRPr="00CE4A04">
        <w:rPr>
          <w:lang w:val="en-US"/>
        </w:rPr>
        <w:t>[2017]</w:t>
      </w:r>
      <w:r w:rsidR="00CE4A04" w:rsidRPr="00CE4A04">
        <w:rPr>
          <w:i/>
          <w:iCs/>
          <w:lang w:val="en-US"/>
        </w:rPr>
        <w:t xml:space="preserve"> </w:t>
      </w:r>
      <w:r w:rsidR="00CE4A04" w:rsidRPr="00CE4A04">
        <w:rPr>
          <w:lang w:val="en-US"/>
        </w:rPr>
        <w:t>VSC 251; 52 VR 441</w:t>
      </w:r>
      <w:r w:rsidR="00CE4A04" w:rsidRPr="00CE4A04">
        <w:rPr>
          <w:i/>
          <w:iCs/>
          <w:lang w:val="en-US"/>
        </w:rPr>
        <w:t xml:space="preserve"> </w:t>
      </w:r>
      <w:r>
        <w:rPr>
          <w:lang w:val="en-US"/>
        </w:rPr>
        <w:t>[203].</w:t>
      </w:r>
    </w:p>
  </w:footnote>
  <w:footnote w:id="37">
    <w:p w14:paraId="743C7AF6" w14:textId="77777777" w:rsidR="00D75D3E" w:rsidRPr="000A59B2" w:rsidRDefault="00D75D3E" w:rsidP="00D75D3E">
      <w:pPr>
        <w:pStyle w:val="FootnoteText"/>
        <w:rPr>
          <w:lang w:val="en-US"/>
        </w:rPr>
      </w:pPr>
      <w:r>
        <w:rPr>
          <w:rStyle w:val="FootnoteReference"/>
        </w:rPr>
        <w:footnoteRef/>
      </w:r>
      <w:r>
        <w:t xml:space="preserve"> </w:t>
      </w:r>
      <w:r>
        <w:rPr>
          <w:lang w:val="en-US"/>
        </w:rPr>
        <w:t xml:space="preserve">Section 58(2) of the Human Rights Act provides that the obligations on public entities under section 58(1) do not apply if the entity could not reasonably have acted differently or made a different decision because of a statutory provision, a law of the Commonwealth or another State or otherwise under law. </w:t>
      </w:r>
    </w:p>
  </w:footnote>
  <w:footnote w:id="38">
    <w:p w14:paraId="3E5EE798" w14:textId="10FB0D82" w:rsidR="00A06A63" w:rsidRPr="00A06A63" w:rsidRDefault="00A06A63">
      <w:pPr>
        <w:pStyle w:val="FootnoteText"/>
        <w:rPr>
          <w:lang w:val="en-US"/>
        </w:rPr>
      </w:pPr>
      <w:r>
        <w:rPr>
          <w:rStyle w:val="FootnoteReference"/>
        </w:rPr>
        <w:footnoteRef/>
      </w:r>
      <w:r>
        <w:t xml:space="preserve"> Eg, </w:t>
      </w:r>
      <w:r w:rsidR="00B457D7" w:rsidRPr="00624EB3">
        <w:rPr>
          <w:i/>
          <w:iCs/>
          <w:szCs w:val="20"/>
        </w:rPr>
        <w:t>Education (General Provisions) Act 2006</w:t>
      </w:r>
      <w:r w:rsidR="00B457D7" w:rsidRPr="00624EB3">
        <w:rPr>
          <w:szCs w:val="20"/>
        </w:rPr>
        <w:t xml:space="preserve"> (Qld) </w:t>
      </w:r>
      <w:r>
        <w:t>ss 282(1)(a)-(d).</w:t>
      </w:r>
    </w:p>
  </w:footnote>
  <w:footnote w:id="39">
    <w:p w14:paraId="4DC54491" w14:textId="6C9EE124" w:rsidR="00832A5A" w:rsidRPr="00CC4FE6" w:rsidRDefault="00832A5A">
      <w:pPr>
        <w:pStyle w:val="FootnoteText"/>
        <w:rPr>
          <w:lang w:val="en-US"/>
        </w:rPr>
      </w:pPr>
      <w:r w:rsidRPr="0050440C">
        <w:rPr>
          <w:rStyle w:val="FootnoteReference"/>
        </w:rPr>
        <w:footnoteRef/>
      </w:r>
      <w:r w:rsidRPr="0050440C">
        <w:t xml:space="preserve"> </w:t>
      </w:r>
      <w:r w:rsidR="008117AE" w:rsidRPr="0050440C">
        <w:t>Minister for Education</w:t>
      </w:r>
      <w:r w:rsidR="0050440C">
        <w:t xml:space="preserve"> (Vic)</w:t>
      </w:r>
      <w:r w:rsidR="00052109" w:rsidRPr="0050440C">
        <w:t xml:space="preserve">, </w:t>
      </w:r>
      <w:r w:rsidR="00E9712C" w:rsidRPr="0050440C">
        <w:rPr>
          <w:i/>
          <w:iCs/>
        </w:rPr>
        <w:t xml:space="preserve">Ministerial Order No. 1125 – Procedures for Suspension and Expulsion of Students in Government Schools </w:t>
      </w:r>
      <w:r w:rsidR="00CC4FE6" w:rsidRPr="0050440C">
        <w:t>(</w:t>
      </w:r>
      <w:r w:rsidR="0050440C">
        <w:t xml:space="preserve">9 May 2018 incorporating amendments as </w:t>
      </w:r>
      <w:proofErr w:type="gramStart"/>
      <w:r w:rsidR="0050440C">
        <w:t>at</w:t>
      </w:r>
      <w:proofErr w:type="gramEnd"/>
      <w:r w:rsidR="0050440C">
        <w:t xml:space="preserve"> </w:t>
      </w:r>
      <w:r w:rsidR="0076428E" w:rsidRPr="0050440C">
        <w:t>3 February 2022</w:t>
      </w:r>
      <w:r w:rsidR="006171EA" w:rsidRPr="0050440C">
        <w:t>).</w:t>
      </w:r>
    </w:p>
  </w:footnote>
  <w:footnote w:id="40">
    <w:p w14:paraId="665E0CDF" w14:textId="2154A307" w:rsidR="000606FF" w:rsidRPr="000606FF" w:rsidRDefault="000606FF">
      <w:pPr>
        <w:pStyle w:val="FootnoteText"/>
        <w:rPr>
          <w:lang w:val="en-US"/>
        </w:rPr>
      </w:pPr>
      <w:r>
        <w:rPr>
          <w:rStyle w:val="FootnoteReference"/>
        </w:rPr>
        <w:footnoteRef/>
      </w:r>
      <w:r>
        <w:t xml:space="preserve"> </w:t>
      </w:r>
      <w:r>
        <w:rPr>
          <w:lang w:val="en-US"/>
        </w:rPr>
        <w:t xml:space="preserve">See </w:t>
      </w:r>
      <w:r w:rsidRPr="00624EB3">
        <w:rPr>
          <w:szCs w:val="20"/>
        </w:rPr>
        <w:t>Education (General Provisions) And Other Legislation Amendment Bill 2024</w:t>
      </w:r>
      <w:r>
        <w:rPr>
          <w:lang w:val="en-US"/>
        </w:rPr>
        <w:t xml:space="preserve"> cl 120 (inserted regulations 60D(2)(g), 60J(2)(g) and 60M(2)(g)).</w:t>
      </w:r>
    </w:p>
  </w:footnote>
  <w:footnote w:id="41">
    <w:p w14:paraId="60EC2EAB" w14:textId="18BA07D0" w:rsidR="000A40AA" w:rsidRPr="000A40AA" w:rsidRDefault="000A40AA">
      <w:pPr>
        <w:pStyle w:val="FootnoteText"/>
        <w:rPr>
          <w:lang w:val="en-US"/>
        </w:rPr>
      </w:pPr>
      <w:r>
        <w:rPr>
          <w:rStyle w:val="FootnoteReference"/>
        </w:rPr>
        <w:footnoteRef/>
      </w:r>
      <w:r>
        <w:t xml:space="preserve"> </w:t>
      </w:r>
      <w:r w:rsidR="004C12DD" w:rsidRPr="00624EB3">
        <w:rPr>
          <w:i/>
          <w:iCs/>
          <w:szCs w:val="20"/>
        </w:rPr>
        <w:t>Education (General Provisions) Act 2006</w:t>
      </w:r>
      <w:r w:rsidR="004C12DD" w:rsidRPr="00624EB3">
        <w:rPr>
          <w:szCs w:val="20"/>
        </w:rPr>
        <w:t xml:space="preserve"> (Qld) </w:t>
      </w:r>
      <w:r w:rsidR="004C12DD">
        <w:rPr>
          <w:szCs w:val="20"/>
        </w:rPr>
        <w:t xml:space="preserve">ss </w:t>
      </w:r>
      <w:r w:rsidR="00B74CC8">
        <w:rPr>
          <w:lang w:val="en-US"/>
        </w:rPr>
        <w:t>284, 294, 301, 304, 310</w:t>
      </w:r>
      <w:r w:rsidR="00351A73">
        <w:rPr>
          <w:lang w:val="en-US"/>
        </w:rPr>
        <w:t xml:space="preserve"> and </w:t>
      </w:r>
      <w:r w:rsidR="00351A73" w:rsidRPr="00624EB3">
        <w:rPr>
          <w:szCs w:val="20"/>
        </w:rPr>
        <w:t>Education (General Provisions) And Other Legislation Amendment Bill 2024</w:t>
      </w:r>
      <w:r w:rsidR="00351A73">
        <w:rPr>
          <w:szCs w:val="20"/>
        </w:rPr>
        <w:t xml:space="preserve"> cl 54 (</w:t>
      </w:r>
      <w:r w:rsidR="00006356">
        <w:rPr>
          <w:szCs w:val="20"/>
        </w:rPr>
        <w:t>inserts s 163A).</w:t>
      </w:r>
    </w:p>
  </w:footnote>
  <w:footnote w:id="42">
    <w:p w14:paraId="7CBDFB92" w14:textId="6FA267C6" w:rsidR="00E432DF" w:rsidRPr="00E432DF" w:rsidRDefault="00E432DF">
      <w:pPr>
        <w:pStyle w:val="FootnoteText"/>
        <w:rPr>
          <w:lang w:val="en-US"/>
        </w:rPr>
      </w:pPr>
      <w:r>
        <w:rPr>
          <w:rStyle w:val="FootnoteReference"/>
        </w:rPr>
        <w:footnoteRef/>
      </w:r>
      <w:r>
        <w:t xml:space="preserve"> </w:t>
      </w:r>
      <w:r>
        <w:rPr>
          <w:lang w:val="en-US"/>
        </w:rPr>
        <w:t>Explanatory note</w:t>
      </w:r>
      <w:r w:rsidR="00341424">
        <w:rPr>
          <w:lang w:val="en-US"/>
        </w:rPr>
        <w:t xml:space="preserve">, </w:t>
      </w:r>
      <w:r>
        <w:rPr>
          <w:lang w:val="en-US"/>
        </w:rPr>
        <w:t>Education (General Provisions) and Other Legislation Amendment Bill 2024 4.</w:t>
      </w:r>
    </w:p>
  </w:footnote>
  <w:footnote w:id="43">
    <w:p w14:paraId="5032F73D" w14:textId="5A1932A5" w:rsidR="00CE642B" w:rsidRPr="00CE642B" w:rsidRDefault="00CE642B">
      <w:pPr>
        <w:pStyle w:val="FootnoteText"/>
        <w:rPr>
          <w:lang w:val="en-US"/>
        </w:rPr>
      </w:pPr>
      <w:r>
        <w:rPr>
          <w:rStyle w:val="FootnoteReference"/>
        </w:rPr>
        <w:footnoteRef/>
      </w:r>
      <w:r>
        <w:t xml:space="preserve"> </w:t>
      </w:r>
      <w:r w:rsidR="003138B5" w:rsidRPr="00624EB3">
        <w:rPr>
          <w:szCs w:val="20"/>
        </w:rPr>
        <w:t>Education (General Provisions) And Other Legislation Amendment Bill 2024</w:t>
      </w:r>
      <w:r w:rsidR="003138B5">
        <w:rPr>
          <w:szCs w:val="20"/>
        </w:rPr>
        <w:t xml:space="preserve"> c</w:t>
      </w:r>
      <w:r w:rsidR="00B06E53">
        <w:rPr>
          <w:szCs w:val="20"/>
        </w:rPr>
        <w:t xml:space="preserve">l </w:t>
      </w:r>
      <w:r w:rsidR="00B657D3">
        <w:rPr>
          <w:szCs w:val="20"/>
        </w:rPr>
        <w:t xml:space="preserve">120 (proposed regs </w:t>
      </w:r>
      <w:r w:rsidR="00B657D3">
        <w:rPr>
          <w:lang w:val="en-US"/>
        </w:rPr>
        <w:t>60</w:t>
      </w:r>
      <w:proofErr w:type="gramStart"/>
      <w:r w:rsidR="00B657D3">
        <w:rPr>
          <w:lang w:val="en-US"/>
        </w:rPr>
        <w:t>D</w:t>
      </w:r>
      <w:r w:rsidR="00577174">
        <w:rPr>
          <w:lang w:val="en-US"/>
        </w:rPr>
        <w:t>(</w:t>
      </w:r>
      <w:proofErr w:type="gramEnd"/>
      <w:r w:rsidR="00577174">
        <w:rPr>
          <w:lang w:val="en-US"/>
        </w:rPr>
        <w:t>3)</w:t>
      </w:r>
      <w:r w:rsidR="00B657D3">
        <w:rPr>
          <w:lang w:val="en-US"/>
        </w:rPr>
        <w:t>, 60J</w:t>
      </w:r>
      <w:r w:rsidR="00755BD8">
        <w:rPr>
          <w:lang w:val="en-US"/>
        </w:rPr>
        <w:t>(3)</w:t>
      </w:r>
      <w:r w:rsidR="00B657D3">
        <w:rPr>
          <w:lang w:val="en-US"/>
        </w:rPr>
        <w:t xml:space="preserve"> and 60M</w:t>
      </w:r>
      <w:r w:rsidR="00755BD8">
        <w:rPr>
          <w:lang w:val="en-US"/>
        </w:rPr>
        <w:t>(3)</w:t>
      </w:r>
      <w:r w:rsidR="00B657D3">
        <w:rPr>
          <w:lang w:val="en-US"/>
        </w:rPr>
        <w:t>.</w:t>
      </w:r>
    </w:p>
  </w:footnote>
  <w:footnote w:id="44">
    <w:p w14:paraId="2F5B8B00" w14:textId="4C43FCEC" w:rsidR="00EA0FD1" w:rsidRPr="00EA0FD1" w:rsidRDefault="00EA0FD1">
      <w:pPr>
        <w:pStyle w:val="FootnoteText"/>
        <w:rPr>
          <w:lang w:val="en-US"/>
        </w:rPr>
      </w:pPr>
      <w:r>
        <w:rPr>
          <w:rStyle w:val="FootnoteReference"/>
        </w:rPr>
        <w:footnoteRef/>
      </w:r>
      <w:r>
        <w:t xml:space="preserve"> </w:t>
      </w:r>
      <w:r w:rsidR="00BD093A" w:rsidRPr="00624EB3">
        <w:rPr>
          <w:szCs w:val="20"/>
        </w:rPr>
        <w:t>Education (General Provisions) And Other Legislation Amendment Bill 2024</w:t>
      </w:r>
      <w:r w:rsidR="00BD093A">
        <w:rPr>
          <w:szCs w:val="20"/>
        </w:rPr>
        <w:t xml:space="preserve"> </w:t>
      </w:r>
      <w:r w:rsidR="00860FBA">
        <w:rPr>
          <w:lang w:val="en-US"/>
        </w:rPr>
        <w:t>cl</w:t>
      </w:r>
      <w:r>
        <w:rPr>
          <w:lang w:val="en-US"/>
        </w:rPr>
        <w:t xml:space="preserve"> </w:t>
      </w:r>
      <w:r w:rsidR="00E43A0C">
        <w:rPr>
          <w:lang w:val="en-US"/>
        </w:rPr>
        <w:t>120</w:t>
      </w:r>
      <w:r w:rsidR="00860FBA">
        <w:rPr>
          <w:lang w:val="en-US"/>
        </w:rPr>
        <w:t xml:space="preserve"> (proposed reg </w:t>
      </w:r>
      <w:r>
        <w:rPr>
          <w:lang w:val="en-US"/>
        </w:rPr>
        <w:t>60C</w:t>
      </w:r>
      <w:r w:rsidR="00860FBA">
        <w:rPr>
          <w:lang w:val="en-US"/>
        </w:rPr>
        <w:t>)</w:t>
      </w:r>
    </w:p>
  </w:footnote>
  <w:footnote w:id="45">
    <w:p w14:paraId="0D1C00E0" w14:textId="77777777" w:rsidR="00EA0FD1" w:rsidRPr="00E52215" w:rsidRDefault="00EA0FD1" w:rsidP="00EA0FD1">
      <w:pPr>
        <w:pStyle w:val="FootnoteText"/>
        <w:rPr>
          <w:lang w:val="en-US"/>
        </w:rPr>
      </w:pPr>
      <w:r>
        <w:rPr>
          <w:rStyle w:val="FootnoteReference"/>
        </w:rPr>
        <w:footnoteRef/>
      </w:r>
      <w:r>
        <w:t xml:space="preserve"> </w:t>
      </w:r>
      <w:r w:rsidRPr="0036036F">
        <w:t xml:space="preserve">Linda Graham, Callula Killingly and Sophie Wiggans, ‘Intersectionality and disproportionate risk’, </w:t>
      </w:r>
      <w:r w:rsidRPr="0036036F">
        <w:rPr>
          <w:i/>
          <w:iCs/>
        </w:rPr>
        <w:t xml:space="preserve">Use of Suspensions in QLD State Schools </w:t>
      </w:r>
      <w:r w:rsidRPr="0036036F">
        <w:t xml:space="preserve">(Web Page, 17 March </w:t>
      </w:r>
      <w:proofErr w:type="gramStart"/>
      <w:r w:rsidRPr="0036036F">
        <w:t>2023 )</w:t>
      </w:r>
      <w:proofErr w:type="gramEnd"/>
      <w:r w:rsidRPr="0036036F">
        <w:t xml:space="preserve"> &lt; https://research.qut.edu.au/c4ie/events/overuse-of-suspensions-in-qld-state-schools-a-long-way-from-equity-and-excellence/&gt;.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6D8A" w14:textId="77777777" w:rsidR="007C510E" w:rsidRDefault="007C510E" w:rsidP="00260847">
    <w:pPr>
      <w:pStyle w:val="Header"/>
      <w:tabs>
        <w:tab w:val="clear" w:pos="4513"/>
        <w:tab w:val="clear" w:pos="9026"/>
      </w:tabs>
      <w:spacing w:before="240"/>
    </w:pPr>
  </w:p>
  <w:p w14:paraId="06AE106B" w14:textId="77777777" w:rsidR="007C510E" w:rsidRDefault="007C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DB8A" w14:textId="77777777" w:rsidR="007C510E" w:rsidRPr="000731D3" w:rsidRDefault="007C510E" w:rsidP="000731D3">
    <w:pPr>
      <w:pStyle w:val="Header"/>
    </w:pPr>
  </w:p>
  <w:p w14:paraId="1EE07D7B" w14:textId="77777777" w:rsidR="00DA7A36" w:rsidRDefault="00DA7A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7C6F"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0EBD9535" w14:textId="77777777" w:rsidR="007C510E" w:rsidRPr="000731D3" w:rsidRDefault="007C510E" w:rsidP="000731D3">
    <w:pPr>
      <w:pStyle w:val="Header"/>
      <w:pBdr>
        <w:bottom w:val="single" w:sz="4" w:space="1" w:color="auto"/>
      </w:pBdr>
      <w:rPr>
        <w:rFonts w:cs="Arial"/>
        <w:sz w:val="20"/>
        <w:szCs w:val="20"/>
      </w:rPr>
    </w:pPr>
  </w:p>
  <w:p w14:paraId="1A11C56F" w14:textId="77777777" w:rsidR="007C510E" w:rsidRPr="000731D3" w:rsidRDefault="007C510E" w:rsidP="000731D3">
    <w:pPr>
      <w:pStyle w:val="Header"/>
      <w:rPr>
        <w:rFonts w:cs="Arial"/>
        <w:sz w:val="20"/>
        <w:szCs w:val="20"/>
      </w:rPr>
    </w:pPr>
  </w:p>
  <w:p w14:paraId="42860989" w14:textId="77777777" w:rsidR="00DA7A36" w:rsidRDefault="00DA7A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9E8"/>
    <w:multiLevelType w:val="multilevel"/>
    <w:tmpl w:val="A920DC56"/>
    <w:lvl w:ilvl="0">
      <w:start w:val="1"/>
      <w:numFmt w:val="decimal"/>
      <w:lvlText w:val="%1."/>
      <w:lvlJc w:val="left"/>
      <w:pPr>
        <w:ind w:left="567" w:hanging="567"/>
      </w:p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 w15:restartNumberingAfterBreak="0">
    <w:nsid w:val="0ACB369D"/>
    <w:multiLevelType w:val="hybridMultilevel"/>
    <w:tmpl w:val="B06E082E"/>
    <w:lvl w:ilvl="0" w:tplc="F9F602BE">
      <w:start w:val="1"/>
      <w:numFmt w:val="lowerRoman"/>
      <w:lvlText w:val="(%1)"/>
      <w:lvlJc w:val="left"/>
      <w:pPr>
        <w:ind w:left="720" w:hanging="72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321BFF"/>
    <w:multiLevelType w:val="hybridMultilevel"/>
    <w:tmpl w:val="2F66E5B2"/>
    <w:lvl w:ilvl="0" w:tplc="22C0618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CC2EF1"/>
    <w:multiLevelType w:val="hybridMultilevel"/>
    <w:tmpl w:val="B06E082E"/>
    <w:lvl w:ilvl="0" w:tplc="FFFFFFFF">
      <w:start w:val="1"/>
      <w:numFmt w:val="lowerRoman"/>
      <w:lvlText w:val="(%1)"/>
      <w:lvlJc w:val="left"/>
      <w:pPr>
        <w:ind w:left="720" w:hanging="72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170775"/>
    <w:multiLevelType w:val="hybridMultilevel"/>
    <w:tmpl w:val="925EA8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250E7E"/>
    <w:multiLevelType w:val="hybridMultilevel"/>
    <w:tmpl w:val="43EE7A84"/>
    <w:lvl w:ilvl="0" w:tplc="397220B4">
      <w:start w:val="1"/>
      <w:numFmt w:val="decimal"/>
      <w:pStyle w:val="Numberedparagraph"/>
      <w:lvlText w:val="%1."/>
      <w:lvlJc w:val="left"/>
      <w:pPr>
        <w:ind w:left="567" w:hanging="567"/>
      </w:pPr>
    </w:lvl>
    <w:lvl w:ilvl="1" w:tplc="DD36DFDC">
      <w:start w:val="1"/>
      <w:numFmt w:val="lowerLetter"/>
      <w:lvlText w:val="%2."/>
      <w:lvlJc w:val="left"/>
      <w:pPr>
        <w:ind w:left="907" w:hanging="283"/>
      </w:pPr>
      <w:rPr>
        <w:b w:val="0"/>
        <w:i w:val="0"/>
        <w:sz w:val="24"/>
      </w:rPr>
    </w:lvl>
    <w:lvl w:ilvl="2" w:tplc="A3B007C4">
      <w:start w:val="1"/>
      <w:numFmt w:val="lowerRoman"/>
      <w:lvlText w:val="%3."/>
      <w:lvlJc w:val="right"/>
      <w:pPr>
        <w:ind w:left="1247" w:hanging="113"/>
      </w:pPr>
    </w:lvl>
    <w:lvl w:ilvl="3" w:tplc="622E1A64">
      <w:start w:val="1"/>
      <w:numFmt w:val="decimal"/>
      <w:lvlText w:val="%4."/>
      <w:lvlJc w:val="left"/>
      <w:pPr>
        <w:ind w:left="1428" w:hanging="357"/>
      </w:pPr>
    </w:lvl>
    <w:lvl w:ilvl="4" w:tplc="E66C3F12">
      <w:start w:val="1"/>
      <w:numFmt w:val="lowerLetter"/>
      <w:lvlText w:val="%5."/>
      <w:lvlJc w:val="left"/>
      <w:pPr>
        <w:ind w:left="1785" w:hanging="357"/>
      </w:pPr>
    </w:lvl>
    <w:lvl w:ilvl="5" w:tplc="E2C8AC04">
      <w:start w:val="1"/>
      <w:numFmt w:val="lowerRoman"/>
      <w:lvlText w:val="%6."/>
      <w:lvlJc w:val="right"/>
      <w:pPr>
        <w:ind w:left="2142" w:hanging="357"/>
      </w:pPr>
    </w:lvl>
    <w:lvl w:ilvl="6" w:tplc="BD3AFC64">
      <w:start w:val="1"/>
      <w:numFmt w:val="decimal"/>
      <w:lvlText w:val="%7."/>
      <w:lvlJc w:val="left"/>
      <w:pPr>
        <w:ind w:left="2499" w:hanging="357"/>
      </w:pPr>
    </w:lvl>
    <w:lvl w:ilvl="7" w:tplc="53C28D9C">
      <w:start w:val="1"/>
      <w:numFmt w:val="lowerLetter"/>
      <w:lvlText w:val="%8."/>
      <w:lvlJc w:val="left"/>
      <w:pPr>
        <w:ind w:left="2856" w:hanging="357"/>
      </w:pPr>
    </w:lvl>
    <w:lvl w:ilvl="8" w:tplc="1D7EBEAC">
      <w:start w:val="1"/>
      <w:numFmt w:val="lowerRoman"/>
      <w:lvlText w:val="%9."/>
      <w:lvlJc w:val="right"/>
      <w:pPr>
        <w:ind w:left="3213" w:hanging="357"/>
      </w:pPr>
    </w:lvl>
  </w:abstractNum>
  <w:abstractNum w:abstractNumId="6" w15:restartNumberingAfterBreak="0">
    <w:nsid w:val="124753EF"/>
    <w:multiLevelType w:val="hybridMultilevel"/>
    <w:tmpl w:val="B628D5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DA1108"/>
    <w:multiLevelType w:val="multilevel"/>
    <w:tmpl w:val="41466C6E"/>
    <w:lvl w:ilvl="0">
      <w:start w:val="1"/>
      <w:numFmt w:val="bullet"/>
      <w:lvlText w:val=""/>
      <w:lvlJc w:val="left"/>
      <w:pPr>
        <w:ind w:left="1134" w:hanging="567"/>
      </w:pPr>
      <w:rPr>
        <w:rFonts w:ascii="Symbol" w:hAnsi="Symbol" w:hint="default"/>
      </w:rPr>
    </w:lvl>
    <w:lvl w:ilvl="1">
      <w:start w:val="1"/>
      <w:numFmt w:val="lowerLetter"/>
      <w:lvlText w:val="%2."/>
      <w:lvlJc w:val="left"/>
      <w:pPr>
        <w:ind w:left="1474" w:hanging="283"/>
      </w:pPr>
      <w:rPr>
        <w:rFonts w:hint="default"/>
        <w:b w:val="0"/>
        <w:i w:val="0"/>
        <w:sz w:val="24"/>
      </w:rPr>
    </w:lvl>
    <w:lvl w:ilvl="2">
      <w:start w:val="1"/>
      <w:numFmt w:val="lowerRoman"/>
      <w:lvlText w:val="%3."/>
      <w:lvlJc w:val="right"/>
      <w:pPr>
        <w:ind w:left="1814" w:hanging="113"/>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8" w15:restartNumberingAfterBreak="0">
    <w:nsid w:val="165A2450"/>
    <w:multiLevelType w:val="hybridMultilevel"/>
    <w:tmpl w:val="C554CB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9E5E8C"/>
    <w:multiLevelType w:val="multilevel"/>
    <w:tmpl w:val="C3CE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01E51"/>
    <w:multiLevelType w:val="hybridMultilevel"/>
    <w:tmpl w:val="762E6188"/>
    <w:lvl w:ilvl="0" w:tplc="4BA6A0E6">
      <w:start w:val="2"/>
      <w:numFmt w:val="decimal"/>
      <w:lvlText w:val="(%1)"/>
      <w:lvlJc w:val="left"/>
      <w:pPr>
        <w:ind w:left="126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753544"/>
    <w:multiLevelType w:val="hybridMultilevel"/>
    <w:tmpl w:val="7BF03878"/>
    <w:lvl w:ilvl="0" w:tplc="70E683A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5D350A7"/>
    <w:multiLevelType w:val="hybridMultilevel"/>
    <w:tmpl w:val="B42A6232"/>
    <w:lvl w:ilvl="0" w:tplc="FFFFFFFF">
      <w:start w:val="1"/>
      <w:numFmt w:val="bullet"/>
      <w:lvlText w:val=""/>
      <w:lvlJc w:val="left"/>
      <w:pPr>
        <w:ind w:left="720" w:hanging="360"/>
      </w:pPr>
      <w:rPr>
        <w:rFonts w:ascii="Symbol" w:eastAsiaTheme="minorHAnsi" w:hAnsi="Symbol" w:cstheme="minorBidi" w:hint="default"/>
      </w:rPr>
    </w:lvl>
    <w:lvl w:ilvl="1" w:tplc="FFFFFFFF">
      <w:start w:val="1"/>
      <w:numFmt w:val="bullet"/>
      <w:lvlText w:val=""/>
      <w:lvlJc w:val="left"/>
      <w:pPr>
        <w:ind w:left="1440" w:hanging="36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660E10"/>
    <w:multiLevelType w:val="hybridMultilevel"/>
    <w:tmpl w:val="D02835E6"/>
    <w:lvl w:ilvl="0" w:tplc="9A262B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DD2450"/>
    <w:multiLevelType w:val="hybridMultilevel"/>
    <w:tmpl w:val="702CC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4C27B7"/>
    <w:multiLevelType w:val="hybridMultilevel"/>
    <w:tmpl w:val="B9883F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3567D72"/>
    <w:multiLevelType w:val="hybridMultilevel"/>
    <w:tmpl w:val="4F306156"/>
    <w:lvl w:ilvl="0" w:tplc="AED847C2">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0B3FAC"/>
    <w:multiLevelType w:val="multilevel"/>
    <w:tmpl w:val="F202FC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C05931"/>
    <w:multiLevelType w:val="hybridMultilevel"/>
    <w:tmpl w:val="D060A5B0"/>
    <w:lvl w:ilvl="0" w:tplc="13A26B8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A6A78A6"/>
    <w:multiLevelType w:val="hybridMultilevel"/>
    <w:tmpl w:val="970C4332"/>
    <w:lvl w:ilvl="0" w:tplc="7E1EA18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058151E"/>
    <w:multiLevelType w:val="hybridMultilevel"/>
    <w:tmpl w:val="FFFFFFFF"/>
    <w:lvl w:ilvl="0" w:tplc="698803FA">
      <w:start w:val="10"/>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E90D29"/>
    <w:multiLevelType w:val="hybridMultilevel"/>
    <w:tmpl w:val="13ECBD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33BCA6"/>
    <w:multiLevelType w:val="hybridMultilevel"/>
    <w:tmpl w:val="6EF4F78A"/>
    <w:lvl w:ilvl="0" w:tplc="FC7A6486">
      <w:start w:val="1"/>
      <w:numFmt w:val="bullet"/>
      <w:lvlText w:val=""/>
      <w:lvlJc w:val="left"/>
      <w:pPr>
        <w:ind w:left="720" w:hanging="360"/>
      </w:pPr>
      <w:rPr>
        <w:rFonts w:ascii="Symbol" w:hAnsi="Symbol" w:hint="default"/>
      </w:rPr>
    </w:lvl>
    <w:lvl w:ilvl="1" w:tplc="E83A8040">
      <w:start w:val="1"/>
      <w:numFmt w:val="bullet"/>
      <w:lvlText w:val="o"/>
      <w:lvlJc w:val="left"/>
      <w:pPr>
        <w:ind w:left="1440" w:hanging="360"/>
      </w:pPr>
      <w:rPr>
        <w:rFonts w:ascii="Courier New" w:hAnsi="Courier New" w:hint="default"/>
      </w:rPr>
    </w:lvl>
    <w:lvl w:ilvl="2" w:tplc="A9F0F430">
      <w:start w:val="1"/>
      <w:numFmt w:val="bullet"/>
      <w:lvlText w:val=""/>
      <w:lvlJc w:val="left"/>
      <w:pPr>
        <w:ind w:left="2160" w:hanging="360"/>
      </w:pPr>
      <w:rPr>
        <w:rFonts w:ascii="Wingdings" w:hAnsi="Wingdings" w:hint="default"/>
      </w:rPr>
    </w:lvl>
    <w:lvl w:ilvl="3" w:tplc="895AC176">
      <w:start w:val="1"/>
      <w:numFmt w:val="bullet"/>
      <w:lvlText w:val=""/>
      <w:lvlJc w:val="left"/>
      <w:pPr>
        <w:ind w:left="2880" w:hanging="360"/>
      </w:pPr>
      <w:rPr>
        <w:rFonts w:ascii="Symbol" w:hAnsi="Symbol" w:hint="default"/>
      </w:rPr>
    </w:lvl>
    <w:lvl w:ilvl="4" w:tplc="63F66A40">
      <w:start w:val="1"/>
      <w:numFmt w:val="bullet"/>
      <w:lvlText w:val="o"/>
      <w:lvlJc w:val="left"/>
      <w:pPr>
        <w:ind w:left="3600" w:hanging="360"/>
      </w:pPr>
      <w:rPr>
        <w:rFonts w:ascii="Courier New" w:hAnsi="Courier New" w:hint="default"/>
      </w:rPr>
    </w:lvl>
    <w:lvl w:ilvl="5" w:tplc="A96874BA">
      <w:start w:val="1"/>
      <w:numFmt w:val="bullet"/>
      <w:lvlText w:val=""/>
      <w:lvlJc w:val="left"/>
      <w:pPr>
        <w:ind w:left="4320" w:hanging="360"/>
      </w:pPr>
      <w:rPr>
        <w:rFonts w:ascii="Wingdings" w:hAnsi="Wingdings" w:hint="default"/>
      </w:rPr>
    </w:lvl>
    <w:lvl w:ilvl="6" w:tplc="92F07588">
      <w:start w:val="1"/>
      <w:numFmt w:val="bullet"/>
      <w:lvlText w:val=""/>
      <w:lvlJc w:val="left"/>
      <w:pPr>
        <w:ind w:left="5040" w:hanging="360"/>
      </w:pPr>
      <w:rPr>
        <w:rFonts w:ascii="Symbol" w:hAnsi="Symbol" w:hint="default"/>
      </w:rPr>
    </w:lvl>
    <w:lvl w:ilvl="7" w:tplc="813C4A9C">
      <w:start w:val="1"/>
      <w:numFmt w:val="bullet"/>
      <w:lvlText w:val="o"/>
      <w:lvlJc w:val="left"/>
      <w:pPr>
        <w:ind w:left="5760" w:hanging="360"/>
      </w:pPr>
      <w:rPr>
        <w:rFonts w:ascii="Courier New" w:hAnsi="Courier New" w:hint="default"/>
      </w:rPr>
    </w:lvl>
    <w:lvl w:ilvl="8" w:tplc="9D02E1C4">
      <w:start w:val="1"/>
      <w:numFmt w:val="bullet"/>
      <w:lvlText w:val=""/>
      <w:lvlJc w:val="left"/>
      <w:pPr>
        <w:ind w:left="6480" w:hanging="360"/>
      </w:pPr>
      <w:rPr>
        <w:rFonts w:ascii="Wingdings" w:hAnsi="Wingdings" w:hint="default"/>
      </w:rPr>
    </w:lvl>
  </w:abstractNum>
  <w:abstractNum w:abstractNumId="23" w15:restartNumberingAfterBreak="0">
    <w:nsid w:val="54E21BB7"/>
    <w:multiLevelType w:val="hybridMultilevel"/>
    <w:tmpl w:val="34ACFCBA"/>
    <w:lvl w:ilvl="0" w:tplc="ADA4174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5E8709AA"/>
    <w:multiLevelType w:val="hybridMultilevel"/>
    <w:tmpl w:val="FFFFFFFF"/>
    <w:lvl w:ilvl="0" w:tplc="C51C5F98">
      <w:start w:val="1"/>
      <w:numFmt w:val="bullet"/>
      <w:lvlText w:val=""/>
      <w:lvlJc w:val="left"/>
      <w:pPr>
        <w:ind w:left="720" w:hanging="360"/>
      </w:pPr>
      <w:rPr>
        <w:rFonts w:ascii="Symbol" w:hAnsi="Symbol" w:hint="default"/>
      </w:rPr>
    </w:lvl>
    <w:lvl w:ilvl="1" w:tplc="A9E09B20">
      <w:start w:val="1"/>
      <w:numFmt w:val="bullet"/>
      <w:lvlText w:val="o"/>
      <w:lvlJc w:val="left"/>
      <w:pPr>
        <w:ind w:left="1440" w:hanging="360"/>
      </w:pPr>
      <w:rPr>
        <w:rFonts w:ascii="Courier New" w:hAnsi="Courier New" w:hint="default"/>
      </w:rPr>
    </w:lvl>
    <w:lvl w:ilvl="2" w:tplc="8E746DBA">
      <w:start w:val="1"/>
      <w:numFmt w:val="bullet"/>
      <w:lvlText w:val=""/>
      <w:lvlJc w:val="left"/>
      <w:pPr>
        <w:ind w:left="2160" w:hanging="360"/>
      </w:pPr>
      <w:rPr>
        <w:rFonts w:ascii="Wingdings" w:hAnsi="Wingdings" w:hint="default"/>
      </w:rPr>
    </w:lvl>
    <w:lvl w:ilvl="3" w:tplc="02BA1568">
      <w:start w:val="1"/>
      <w:numFmt w:val="bullet"/>
      <w:lvlText w:val=""/>
      <w:lvlJc w:val="left"/>
      <w:pPr>
        <w:ind w:left="2880" w:hanging="360"/>
      </w:pPr>
      <w:rPr>
        <w:rFonts w:ascii="Symbol" w:hAnsi="Symbol" w:hint="default"/>
      </w:rPr>
    </w:lvl>
    <w:lvl w:ilvl="4" w:tplc="AB0ED622">
      <w:start w:val="1"/>
      <w:numFmt w:val="bullet"/>
      <w:lvlText w:val="o"/>
      <w:lvlJc w:val="left"/>
      <w:pPr>
        <w:ind w:left="3600" w:hanging="360"/>
      </w:pPr>
      <w:rPr>
        <w:rFonts w:ascii="Courier New" w:hAnsi="Courier New" w:hint="default"/>
      </w:rPr>
    </w:lvl>
    <w:lvl w:ilvl="5" w:tplc="73EA7610">
      <w:start w:val="1"/>
      <w:numFmt w:val="bullet"/>
      <w:lvlText w:val=""/>
      <w:lvlJc w:val="left"/>
      <w:pPr>
        <w:ind w:left="4320" w:hanging="360"/>
      </w:pPr>
      <w:rPr>
        <w:rFonts w:ascii="Wingdings" w:hAnsi="Wingdings" w:hint="default"/>
      </w:rPr>
    </w:lvl>
    <w:lvl w:ilvl="6" w:tplc="B6C65842">
      <w:start w:val="1"/>
      <w:numFmt w:val="bullet"/>
      <w:lvlText w:val=""/>
      <w:lvlJc w:val="left"/>
      <w:pPr>
        <w:ind w:left="5040" w:hanging="360"/>
      </w:pPr>
      <w:rPr>
        <w:rFonts w:ascii="Symbol" w:hAnsi="Symbol" w:hint="default"/>
      </w:rPr>
    </w:lvl>
    <w:lvl w:ilvl="7" w:tplc="4B960E98">
      <w:start w:val="1"/>
      <w:numFmt w:val="bullet"/>
      <w:lvlText w:val="o"/>
      <w:lvlJc w:val="left"/>
      <w:pPr>
        <w:ind w:left="5760" w:hanging="360"/>
      </w:pPr>
      <w:rPr>
        <w:rFonts w:ascii="Courier New" w:hAnsi="Courier New" w:hint="default"/>
      </w:rPr>
    </w:lvl>
    <w:lvl w:ilvl="8" w:tplc="25A6D05E">
      <w:start w:val="1"/>
      <w:numFmt w:val="bullet"/>
      <w:lvlText w:val=""/>
      <w:lvlJc w:val="left"/>
      <w:pPr>
        <w:ind w:left="6480" w:hanging="360"/>
      </w:pPr>
      <w:rPr>
        <w:rFonts w:ascii="Wingdings" w:hAnsi="Wingdings" w:hint="default"/>
      </w:rPr>
    </w:lvl>
  </w:abstractNum>
  <w:abstractNum w:abstractNumId="25" w15:restartNumberingAfterBreak="0">
    <w:nsid w:val="60671898"/>
    <w:multiLevelType w:val="hybridMultilevel"/>
    <w:tmpl w:val="258AA53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7B0C01"/>
    <w:multiLevelType w:val="hybridMultilevel"/>
    <w:tmpl w:val="59F8EAF6"/>
    <w:lvl w:ilvl="0" w:tplc="105C1228">
      <w:start w:val="1"/>
      <w:numFmt w:val="lowerRoman"/>
      <w:lvlText w:val="(%1)"/>
      <w:lvlJc w:val="left"/>
      <w:pPr>
        <w:ind w:left="72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0E217B"/>
    <w:multiLevelType w:val="multilevel"/>
    <w:tmpl w:val="97A06F3E"/>
    <w:lvl w:ilvl="0">
      <w:start w:val="1"/>
      <w:numFmt w:val="bullet"/>
      <w:pStyle w:val="Bulletedlist"/>
      <w:lvlText w:val=""/>
      <w:lvlJc w:val="left"/>
      <w:pPr>
        <w:ind w:left="1985"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8" w15:restartNumberingAfterBreak="0">
    <w:nsid w:val="6AB57244"/>
    <w:multiLevelType w:val="hybridMultilevel"/>
    <w:tmpl w:val="C554CBBC"/>
    <w:lvl w:ilvl="0" w:tplc="A5ECC4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3078C5"/>
    <w:multiLevelType w:val="hybridMultilevel"/>
    <w:tmpl w:val="B06E082E"/>
    <w:lvl w:ilvl="0" w:tplc="FFFFFFFF">
      <w:start w:val="1"/>
      <w:numFmt w:val="lowerRoman"/>
      <w:lvlText w:val="(%1)"/>
      <w:lvlJc w:val="left"/>
      <w:pPr>
        <w:ind w:left="720" w:hanging="72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A055E28"/>
    <w:multiLevelType w:val="hybridMultilevel"/>
    <w:tmpl w:val="422A960C"/>
    <w:lvl w:ilvl="0" w:tplc="21A048D4">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A8B6D27"/>
    <w:multiLevelType w:val="hybridMultilevel"/>
    <w:tmpl w:val="F1CA6FC4"/>
    <w:lvl w:ilvl="0" w:tplc="CB2AA590">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DCF3A8D"/>
    <w:multiLevelType w:val="hybridMultilevel"/>
    <w:tmpl w:val="12A8246E"/>
    <w:lvl w:ilvl="0" w:tplc="898C2CC6">
      <w:start w:val="1"/>
      <w:numFmt w:val="decimal"/>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33" w15:restartNumberingAfterBreak="0">
    <w:nsid w:val="7EE54FF7"/>
    <w:multiLevelType w:val="hybridMultilevel"/>
    <w:tmpl w:val="B872A198"/>
    <w:lvl w:ilvl="0" w:tplc="BD061840">
      <w:start w:val="1"/>
      <w:numFmt w:val="bullet"/>
      <w:lvlText w:val=""/>
      <w:lvlJc w:val="left"/>
      <w:pPr>
        <w:ind w:left="720" w:hanging="360"/>
      </w:pPr>
      <w:rPr>
        <w:rFonts w:ascii="Symbol" w:hAnsi="Symbol" w:hint="default"/>
      </w:rPr>
    </w:lvl>
    <w:lvl w:ilvl="1" w:tplc="9E128A92">
      <w:start w:val="1"/>
      <w:numFmt w:val="bullet"/>
      <w:lvlText w:val="o"/>
      <w:lvlJc w:val="left"/>
      <w:pPr>
        <w:ind w:left="1440" w:hanging="360"/>
      </w:pPr>
      <w:rPr>
        <w:rFonts w:ascii="Courier New" w:hAnsi="Courier New" w:hint="default"/>
      </w:rPr>
    </w:lvl>
    <w:lvl w:ilvl="2" w:tplc="A9907086">
      <w:start w:val="1"/>
      <w:numFmt w:val="bullet"/>
      <w:lvlText w:val=""/>
      <w:lvlJc w:val="left"/>
      <w:pPr>
        <w:ind w:left="2160" w:hanging="360"/>
      </w:pPr>
      <w:rPr>
        <w:rFonts w:ascii="Wingdings" w:hAnsi="Wingdings" w:hint="default"/>
      </w:rPr>
    </w:lvl>
    <w:lvl w:ilvl="3" w:tplc="4D4A8DD8">
      <w:start w:val="1"/>
      <w:numFmt w:val="bullet"/>
      <w:lvlText w:val=""/>
      <w:lvlJc w:val="left"/>
      <w:pPr>
        <w:ind w:left="2880" w:hanging="360"/>
      </w:pPr>
      <w:rPr>
        <w:rFonts w:ascii="Symbol" w:hAnsi="Symbol" w:hint="default"/>
      </w:rPr>
    </w:lvl>
    <w:lvl w:ilvl="4" w:tplc="41640368">
      <w:start w:val="1"/>
      <w:numFmt w:val="bullet"/>
      <w:lvlText w:val="o"/>
      <w:lvlJc w:val="left"/>
      <w:pPr>
        <w:ind w:left="3600" w:hanging="360"/>
      </w:pPr>
      <w:rPr>
        <w:rFonts w:ascii="Courier New" w:hAnsi="Courier New" w:hint="default"/>
      </w:rPr>
    </w:lvl>
    <w:lvl w:ilvl="5" w:tplc="E7B6E09A">
      <w:start w:val="1"/>
      <w:numFmt w:val="bullet"/>
      <w:lvlText w:val=""/>
      <w:lvlJc w:val="left"/>
      <w:pPr>
        <w:ind w:left="4320" w:hanging="360"/>
      </w:pPr>
      <w:rPr>
        <w:rFonts w:ascii="Wingdings" w:hAnsi="Wingdings" w:hint="default"/>
      </w:rPr>
    </w:lvl>
    <w:lvl w:ilvl="6" w:tplc="1A9ACFBE">
      <w:start w:val="1"/>
      <w:numFmt w:val="bullet"/>
      <w:lvlText w:val=""/>
      <w:lvlJc w:val="left"/>
      <w:pPr>
        <w:ind w:left="5040" w:hanging="360"/>
      </w:pPr>
      <w:rPr>
        <w:rFonts w:ascii="Symbol" w:hAnsi="Symbol" w:hint="default"/>
      </w:rPr>
    </w:lvl>
    <w:lvl w:ilvl="7" w:tplc="427055C4">
      <w:start w:val="1"/>
      <w:numFmt w:val="bullet"/>
      <w:lvlText w:val="o"/>
      <w:lvlJc w:val="left"/>
      <w:pPr>
        <w:ind w:left="5760" w:hanging="360"/>
      </w:pPr>
      <w:rPr>
        <w:rFonts w:ascii="Courier New" w:hAnsi="Courier New" w:hint="default"/>
      </w:rPr>
    </w:lvl>
    <w:lvl w:ilvl="8" w:tplc="C8D8AAB6">
      <w:start w:val="1"/>
      <w:numFmt w:val="bullet"/>
      <w:lvlText w:val=""/>
      <w:lvlJc w:val="left"/>
      <w:pPr>
        <w:ind w:left="6480" w:hanging="360"/>
      </w:pPr>
      <w:rPr>
        <w:rFonts w:ascii="Wingdings" w:hAnsi="Wingdings" w:hint="default"/>
      </w:rPr>
    </w:lvl>
  </w:abstractNum>
  <w:num w:numId="1" w16cid:durableId="6368945">
    <w:abstractNumId w:val="5"/>
  </w:num>
  <w:num w:numId="2" w16cid:durableId="1111629396">
    <w:abstractNumId w:val="27"/>
  </w:num>
  <w:num w:numId="3" w16cid:durableId="1856535460">
    <w:abstractNumId w:val="31"/>
  </w:num>
  <w:num w:numId="4" w16cid:durableId="1510293475">
    <w:abstractNumId w:val="11"/>
  </w:num>
  <w:num w:numId="5" w16cid:durableId="52894246">
    <w:abstractNumId w:val="30"/>
  </w:num>
  <w:num w:numId="6" w16cid:durableId="456490982">
    <w:abstractNumId w:val="7"/>
  </w:num>
  <w:num w:numId="7" w16cid:durableId="1210452654">
    <w:abstractNumId w:val="1"/>
  </w:num>
  <w:num w:numId="8" w16cid:durableId="1416899968">
    <w:abstractNumId w:val="26"/>
  </w:num>
  <w:num w:numId="9" w16cid:durableId="798570162">
    <w:abstractNumId w:val="29"/>
  </w:num>
  <w:num w:numId="10" w16cid:durableId="704210511">
    <w:abstractNumId w:val="3"/>
  </w:num>
  <w:num w:numId="11" w16cid:durableId="390858322">
    <w:abstractNumId w:val="18"/>
  </w:num>
  <w:num w:numId="12" w16cid:durableId="1985041091">
    <w:abstractNumId w:val="23"/>
  </w:num>
  <w:num w:numId="13" w16cid:durableId="1828857643">
    <w:abstractNumId w:val="13"/>
  </w:num>
  <w:num w:numId="14" w16cid:durableId="123353640">
    <w:abstractNumId w:val="32"/>
  </w:num>
  <w:num w:numId="15" w16cid:durableId="39715563">
    <w:abstractNumId w:val="17"/>
  </w:num>
  <w:num w:numId="16" w16cid:durableId="842621465">
    <w:abstractNumId w:val="33"/>
  </w:num>
  <w:num w:numId="17" w16cid:durableId="693000083">
    <w:abstractNumId w:val="24"/>
  </w:num>
  <w:num w:numId="18" w16cid:durableId="590159973">
    <w:abstractNumId w:val="22"/>
  </w:num>
  <w:num w:numId="19" w16cid:durableId="1655178585">
    <w:abstractNumId w:val="28"/>
  </w:num>
  <w:num w:numId="20" w16cid:durableId="1777476798">
    <w:abstractNumId w:val="19"/>
  </w:num>
  <w:num w:numId="21" w16cid:durableId="1077630908">
    <w:abstractNumId w:val="8"/>
  </w:num>
  <w:num w:numId="22" w16cid:durableId="367147628">
    <w:abstractNumId w:val="2"/>
  </w:num>
  <w:num w:numId="23" w16cid:durableId="596867442">
    <w:abstractNumId w:val="10"/>
  </w:num>
  <w:num w:numId="24" w16cid:durableId="575630579">
    <w:abstractNumId w:val="5"/>
  </w:num>
  <w:num w:numId="25" w16cid:durableId="39991189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6049924">
    <w:abstractNumId w:val="16"/>
  </w:num>
  <w:num w:numId="27" w16cid:durableId="22484925">
    <w:abstractNumId w:val="21"/>
  </w:num>
  <w:num w:numId="28" w16cid:durableId="781803724">
    <w:abstractNumId w:val="14"/>
  </w:num>
  <w:num w:numId="29" w16cid:durableId="553541628">
    <w:abstractNumId w:val="9"/>
  </w:num>
  <w:num w:numId="30" w16cid:durableId="1365181254">
    <w:abstractNumId w:val="4"/>
  </w:num>
  <w:num w:numId="31" w16cid:durableId="656541901">
    <w:abstractNumId w:val="0"/>
  </w:num>
  <w:num w:numId="32" w16cid:durableId="2137332972">
    <w:abstractNumId w:val="15"/>
  </w:num>
  <w:num w:numId="33" w16cid:durableId="890503789">
    <w:abstractNumId w:val="6"/>
  </w:num>
  <w:num w:numId="34" w16cid:durableId="527834356">
    <w:abstractNumId w:val="12"/>
  </w:num>
  <w:num w:numId="35" w16cid:durableId="2014065976">
    <w:abstractNumId w:val="20"/>
  </w:num>
  <w:num w:numId="36" w16cid:durableId="353269007">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4C"/>
    <w:rsid w:val="00000055"/>
    <w:rsid w:val="0000018A"/>
    <w:rsid w:val="000005FA"/>
    <w:rsid w:val="00000AE7"/>
    <w:rsid w:val="00000B9B"/>
    <w:rsid w:val="00000DAD"/>
    <w:rsid w:val="000021E6"/>
    <w:rsid w:val="00002CA2"/>
    <w:rsid w:val="00002F05"/>
    <w:rsid w:val="000030BA"/>
    <w:rsid w:val="000033D4"/>
    <w:rsid w:val="000037AA"/>
    <w:rsid w:val="00003C40"/>
    <w:rsid w:val="00003CD9"/>
    <w:rsid w:val="00005186"/>
    <w:rsid w:val="00005304"/>
    <w:rsid w:val="0000537C"/>
    <w:rsid w:val="000057C4"/>
    <w:rsid w:val="00005AAA"/>
    <w:rsid w:val="00005AD6"/>
    <w:rsid w:val="00005BE3"/>
    <w:rsid w:val="00006356"/>
    <w:rsid w:val="00006527"/>
    <w:rsid w:val="00006689"/>
    <w:rsid w:val="000066A6"/>
    <w:rsid w:val="0000735C"/>
    <w:rsid w:val="00007B12"/>
    <w:rsid w:val="00007E2F"/>
    <w:rsid w:val="00007F77"/>
    <w:rsid w:val="00010D45"/>
    <w:rsid w:val="00010F2F"/>
    <w:rsid w:val="00010F91"/>
    <w:rsid w:val="00011A22"/>
    <w:rsid w:val="00012435"/>
    <w:rsid w:val="00012B39"/>
    <w:rsid w:val="0001333C"/>
    <w:rsid w:val="000135C1"/>
    <w:rsid w:val="0001390F"/>
    <w:rsid w:val="000143C1"/>
    <w:rsid w:val="00014BE6"/>
    <w:rsid w:val="000153C5"/>
    <w:rsid w:val="00015508"/>
    <w:rsid w:val="00015A53"/>
    <w:rsid w:val="00015FE1"/>
    <w:rsid w:val="00016051"/>
    <w:rsid w:val="00016824"/>
    <w:rsid w:val="000178A6"/>
    <w:rsid w:val="00020069"/>
    <w:rsid w:val="000202D0"/>
    <w:rsid w:val="0002083A"/>
    <w:rsid w:val="00020D68"/>
    <w:rsid w:val="000217A0"/>
    <w:rsid w:val="0002192D"/>
    <w:rsid w:val="0002193F"/>
    <w:rsid w:val="00021D8C"/>
    <w:rsid w:val="000220BC"/>
    <w:rsid w:val="000228CD"/>
    <w:rsid w:val="0002351E"/>
    <w:rsid w:val="00023EC7"/>
    <w:rsid w:val="0002452F"/>
    <w:rsid w:val="00024623"/>
    <w:rsid w:val="00024CFB"/>
    <w:rsid w:val="00025089"/>
    <w:rsid w:val="00025C78"/>
    <w:rsid w:val="0002612D"/>
    <w:rsid w:val="0002647E"/>
    <w:rsid w:val="000264AB"/>
    <w:rsid w:val="00027091"/>
    <w:rsid w:val="000273B6"/>
    <w:rsid w:val="000277E7"/>
    <w:rsid w:val="0002781D"/>
    <w:rsid w:val="00027999"/>
    <w:rsid w:val="000279DE"/>
    <w:rsid w:val="00027B02"/>
    <w:rsid w:val="000301A7"/>
    <w:rsid w:val="000311CE"/>
    <w:rsid w:val="000318DE"/>
    <w:rsid w:val="00031A46"/>
    <w:rsid w:val="000321FD"/>
    <w:rsid w:val="00032A4D"/>
    <w:rsid w:val="0003318C"/>
    <w:rsid w:val="0003355E"/>
    <w:rsid w:val="00033DAE"/>
    <w:rsid w:val="000341DE"/>
    <w:rsid w:val="00035186"/>
    <w:rsid w:val="00035507"/>
    <w:rsid w:val="0003634E"/>
    <w:rsid w:val="000368D3"/>
    <w:rsid w:val="00037CCE"/>
    <w:rsid w:val="000401F1"/>
    <w:rsid w:val="000403C2"/>
    <w:rsid w:val="00040650"/>
    <w:rsid w:val="00040676"/>
    <w:rsid w:val="00040E05"/>
    <w:rsid w:val="00040F6A"/>
    <w:rsid w:val="00041121"/>
    <w:rsid w:val="0004148C"/>
    <w:rsid w:val="00041E58"/>
    <w:rsid w:val="00042493"/>
    <w:rsid w:val="00042A8E"/>
    <w:rsid w:val="00042CC9"/>
    <w:rsid w:val="00042E2B"/>
    <w:rsid w:val="00042FD5"/>
    <w:rsid w:val="00043D4D"/>
    <w:rsid w:val="00044355"/>
    <w:rsid w:val="000445B3"/>
    <w:rsid w:val="0004461F"/>
    <w:rsid w:val="00044A7F"/>
    <w:rsid w:val="00044E10"/>
    <w:rsid w:val="000451C7"/>
    <w:rsid w:val="0004560F"/>
    <w:rsid w:val="00045B3E"/>
    <w:rsid w:val="00045B46"/>
    <w:rsid w:val="00045D4B"/>
    <w:rsid w:val="00046489"/>
    <w:rsid w:val="00046F34"/>
    <w:rsid w:val="00047983"/>
    <w:rsid w:val="000501F3"/>
    <w:rsid w:val="0005063D"/>
    <w:rsid w:val="0005075F"/>
    <w:rsid w:val="00051F49"/>
    <w:rsid w:val="0005205E"/>
    <w:rsid w:val="00052109"/>
    <w:rsid w:val="000525AE"/>
    <w:rsid w:val="00052ABA"/>
    <w:rsid w:val="00052E26"/>
    <w:rsid w:val="000530AB"/>
    <w:rsid w:val="00053512"/>
    <w:rsid w:val="0005379A"/>
    <w:rsid w:val="00053AC4"/>
    <w:rsid w:val="00053C8F"/>
    <w:rsid w:val="00053DF8"/>
    <w:rsid w:val="00054120"/>
    <w:rsid w:val="00054D42"/>
    <w:rsid w:val="00054FD1"/>
    <w:rsid w:val="00055063"/>
    <w:rsid w:val="00055445"/>
    <w:rsid w:val="000558B9"/>
    <w:rsid w:val="0005693B"/>
    <w:rsid w:val="00056960"/>
    <w:rsid w:val="00056C42"/>
    <w:rsid w:val="00056EC6"/>
    <w:rsid w:val="00057023"/>
    <w:rsid w:val="000572BE"/>
    <w:rsid w:val="00057451"/>
    <w:rsid w:val="00057574"/>
    <w:rsid w:val="00057D21"/>
    <w:rsid w:val="00060336"/>
    <w:rsid w:val="0006054D"/>
    <w:rsid w:val="000606F0"/>
    <w:rsid w:val="000606FF"/>
    <w:rsid w:val="0006098C"/>
    <w:rsid w:val="00060F15"/>
    <w:rsid w:val="00061C30"/>
    <w:rsid w:val="00061E18"/>
    <w:rsid w:val="00062732"/>
    <w:rsid w:val="000627DB"/>
    <w:rsid w:val="00062EB4"/>
    <w:rsid w:val="000633FF"/>
    <w:rsid w:val="00063642"/>
    <w:rsid w:val="00063962"/>
    <w:rsid w:val="00063D29"/>
    <w:rsid w:val="00063EDF"/>
    <w:rsid w:val="000641D0"/>
    <w:rsid w:val="0006449D"/>
    <w:rsid w:val="00064570"/>
    <w:rsid w:val="00064EFE"/>
    <w:rsid w:val="00065009"/>
    <w:rsid w:val="0006589A"/>
    <w:rsid w:val="00066A80"/>
    <w:rsid w:val="00067104"/>
    <w:rsid w:val="00067192"/>
    <w:rsid w:val="00067219"/>
    <w:rsid w:val="000672A2"/>
    <w:rsid w:val="00067394"/>
    <w:rsid w:val="000674A0"/>
    <w:rsid w:val="0006774D"/>
    <w:rsid w:val="00067D6E"/>
    <w:rsid w:val="000702C0"/>
    <w:rsid w:val="000704C6"/>
    <w:rsid w:val="00070814"/>
    <w:rsid w:val="000708EC"/>
    <w:rsid w:val="0007091E"/>
    <w:rsid w:val="000713B8"/>
    <w:rsid w:val="00071CF0"/>
    <w:rsid w:val="00071CF4"/>
    <w:rsid w:val="0007242A"/>
    <w:rsid w:val="0007294C"/>
    <w:rsid w:val="00072BD3"/>
    <w:rsid w:val="00072C56"/>
    <w:rsid w:val="00072CE6"/>
    <w:rsid w:val="00072EC0"/>
    <w:rsid w:val="000731D3"/>
    <w:rsid w:val="0007378C"/>
    <w:rsid w:val="00073886"/>
    <w:rsid w:val="00073936"/>
    <w:rsid w:val="00073CF6"/>
    <w:rsid w:val="00073D46"/>
    <w:rsid w:val="0007456E"/>
    <w:rsid w:val="00074B9E"/>
    <w:rsid w:val="000756B5"/>
    <w:rsid w:val="00075AB0"/>
    <w:rsid w:val="0007630B"/>
    <w:rsid w:val="0007682B"/>
    <w:rsid w:val="00076C82"/>
    <w:rsid w:val="0007714C"/>
    <w:rsid w:val="00077877"/>
    <w:rsid w:val="000779C8"/>
    <w:rsid w:val="000808A5"/>
    <w:rsid w:val="00080B72"/>
    <w:rsid w:val="000810D1"/>
    <w:rsid w:val="00082075"/>
    <w:rsid w:val="0008324B"/>
    <w:rsid w:val="000836AB"/>
    <w:rsid w:val="00083CE0"/>
    <w:rsid w:val="00084022"/>
    <w:rsid w:val="00084169"/>
    <w:rsid w:val="000846A6"/>
    <w:rsid w:val="00085298"/>
    <w:rsid w:val="00085AF6"/>
    <w:rsid w:val="00085D79"/>
    <w:rsid w:val="000860E4"/>
    <w:rsid w:val="00087B0D"/>
    <w:rsid w:val="00087BF6"/>
    <w:rsid w:val="00087D65"/>
    <w:rsid w:val="00087FA6"/>
    <w:rsid w:val="0009033A"/>
    <w:rsid w:val="00090CEA"/>
    <w:rsid w:val="000913B9"/>
    <w:rsid w:val="00091A09"/>
    <w:rsid w:val="00091C27"/>
    <w:rsid w:val="0009206E"/>
    <w:rsid w:val="00092758"/>
    <w:rsid w:val="000928DD"/>
    <w:rsid w:val="000928F5"/>
    <w:rsid w:val="00092937"/>
    <w:rsid w:val="000932AF"/>
    <w:rsid w:val="000934BD"/>
    <w:rsid w:val="00093705"/>
    <w:rsid w:val="00093BEC"/>
    <w:rsid w:val="000940F1"/>
    <w:rsid w:val="00094A91"/>
    <w:rsid w:val="00094E0E"/>
    <w:rsid w:val="00094EA7"/>
    <w:rsid w:val="00094EE4"/>
    <w:rsid w:val="000956E7"/>
    <w:rsid w:val="00095D44"/>
    <w:rsid w:val="00095F74"/>
    <w:rsid w:val="00095FBB"/>
    <w:rsid w:val="00096517"/>
    <w:rsid w:val="00096594"/>
    <w:rsid w:val="00096B29"/>
    <w:rsid w:val="00096F5E"/>
    <w:rsid w:val="00097C24"/>
    <w:rsid w:val="00097C9E"/>
    <w:rsid w:val="000A044A"/>
    <w:rsid w:val="000A0712"/>
    <w:rsid w:val="000A11E9"/>
    <w:rsid w:val="000A12D1"/>
    <w:rsid w:val="000A132B"/>
    <w:rsid w:val="000A201B"/>
    <w:rsid w:val="000A22B8"/>
    <w:rsid w:val="000A2804"/>
    <w:rsid w:val="000A2894"/>
    <w:rsid w:val="000A2D4D"/>
    <w:rsid w:val="000A32B3"/>
    <w:rsid w:val="000A3AC4"/>
    <w:rsid w:val="000A40AA"/>
    <w:rsid w:val="000A42F1"/>
    <w:rsid w:val="000A47BB"/>
    <w:rsid w:val="000A492B"/>
    <w:rsid w:val="000A4CB2"/>
    <w:rsid w:val="000A4DB8"/>
    <w:rsid w:val="000A512E"/>
    <w:rsid w:val="000A55D6"/>
    <w:rsid w:val="000A574F"/>
    <w:rsid w:val="000A59B2"/>
    <w:rsid w:val="000A5B1C"/>
    <w:rsid w:val="000A7BB6"/>
    <w:rsid w:val="000A7BD9"/>
    <w:rsid w:val="000B0BBB"/>
    <w:rsid w:val="000B1117"/>
    <w:rsid w:val="000B154D"/>
    <w:rsid w:val="000B1718"/>
    <w:rsid w:val="000B270F"/>
    <w:rsid w:val="000B3F30"/>
    <w:rsid w:val="000B4928"/>
    <w:rsid w:val="000B4D80"/>
    <w:rsid w:val="000B50DB"/>
    <w:rsid w:val="000B5497"/>
    <w:rsid w:val="000B57AB"/>
    <w:rsid w:val="000B5B45"/>
    <w:rsid w:val="000B5D4B"/>
    <w:rsid w:val="000B5F04"/>
    <w:rsid w:val="000B602C"/>
    <w:rsid w:val="000B6770"/>
    <w:rsid w:val="000B680E"/>
    <w:rsid w:val="000B6884"/>
    <w:rsid w:val="000B6C72"/>
    <w:rsid w:val="000B707F"/>
    <w:rsid w:val="000B794F"/>
    <w:rsid w:val="000B7B2D"/>
    <w:rsid w:val="000B7CDC"/>
    <w:rsid w:val="000C017B"/>
    <w:rsid w:val="000C08A2"/>
    <w:rsid w:val="000C0EB7"/>
    <w:rsid w:val="000C12DC"/>
    <w:rsid w:val="000C1373"/>
    <w:rsid w:val="000C1ADE"/>
    <w:rsid w:val="000C24AD"/>
    <w:rsid w:val="000C3099"/>
    <w:rsid w:val="000C37D3"/>
    <w:rsid w:val="000C3916"/>
    <w:rsid w:val="000C39AF"/>
    <w:rsid w:val="000C3EA3"/>
    <w:rsid w:val="000C444F"/>
    <w:rsid w:val="000C48BB"/>
    <w:rsid w:val="000C4C3C"/>
    <w:rsid w:val="000C570C"/>
    <w:rsid w:val="000C5853"/>
    <w:rsid w:val="000C5B2A"/>
    <w:rsid w:val="000C6377"/>
    <w:rsid w:val="000C6396"/>
    <w:rsid w:val="000C68AA"/>
    <w:rsid w:val="000C731C"/>
    <w:rsid w:val="000C7990"/>
    <w:rsid w:val="000D0B5B"/>
    <w:rsid w:val="000D1011"/>
    <w:rsid w:val="000D2E32"/>
    <w:rsid w:val="000D3540"/>
    <w:rsid w:val="000D4971"/>
    <w:rsid w:val="000D49A5"/>
    <w:rsid w:val="000D4CDD"/>
    <w:rsid w:val="000D5E2B"/>
    <w:rsid w:val="000D611A"/>
    <w:rsid w:val="000D6D90"/>
    <w:rsid w:val="000D6F44"/>
    <w:rsid w:val="000D7450"/>
    <w:rsid w:val="000D7719"/>
    <w:rsid w:val="000D780A"/>
    <w:rsid w:val="000D7881"/>
    <w:rsid w:val="000D7AD2"/>
    <w:rsid w:val="000D7C5D"/>
    <w:rsid w:val="000E0FEF"/>
    <w:rsid w:val="000E0FFC"/>
    <w:rsid w:val="000E1039"/>
    <w:rsid w:val="000E1A2A"/>
    <w:rsid w:val="000E1B43"/>
    <w:rsid w:val="000E1FAD"/>
    <w:rsid w:val="000E22EA"/>
    <w:rsid w:val="000E24E2"/>
    <w:rsid w:val="000E270F"/>
    <w:rsid w:val="000E2BA0"/>
    <w:rsid w:val="000E3226"/>
    <w:rsid w:val="000E4215"/>
    <w:rsid w:val="000E42A9"/>
    <w:rsid w:val="000E4440"/>
    <w:rsid w:val="000E45D1"/>
    <w:rsid w:val="000E5660"/>
    <w:rsid w:val="000E57A9"/>
    <w:rsid w:val="000E59AB"/>
    <w:rsid w:val="000E5E5E"/>
    <w:rsid w:val="000E5FA2"/>
    <w:rsid w:val="000E6DA6"/>
    <w:rsid w:val="000E7037"/>
    <w:rsid w:val="000E7B93"/>
    <w:rsid w:val="000E7F86"/>
    <w:rsid w:val="000F0445"/>
    <w:rsid w:val="000F0BC1"/>
    <w:rsid w:val="000F120B"/>
    <w:rsid w:val="000F12BE"/>
    <w:rsid w:val="000F13EA"/>
    <w:rsid w:val="000F147C"/>
    <w:rsid w:val="000F17A6"/>
    <w:rsid w:val="000F2620"/>
    <w:rsid w:val="000F2825"/>
    <w:rsid w:val="000F338C"/>
    <w:rsid w:val="000F37A7"/>
    <w:rsid w:val="000F3B59"/>
    <w:rsid w:val="000F3FAE"/>
    <w:rsid w:val="000F4098"/>
    <w:rsid w:val="000F49FD"/>
    <w:rsid w:val="000F4F44"/>
    <w:rsid w:val="000F5253"/>
    <w:rsid w:val="000F5823"/>
    <w:rsid w:val="000F5B20"/>
    <w:rsid w:val="000F5B70"/>
    <w:rsid w:val="000F61B4"/>
    <w:rsid w:val="000F62AE"/>
    <w:rsid w:val="000F6A80"/>
    <w:rsid w:val="000F7009"/>
    <w:rsid w:val="000F717A"/>
    <w:rsid w:val="001004FA"/>
    <w:rsid w:val="00100711"/>
    <w:rsid w:val="00100A72"/>
    <w:rsid w:val="00100FBF"/>
    <w:rsid w:val="0010133C"/>
    <w:rsid w:val="001018E2"/>
    <w:rsid w:val="00101AF6"/>
    <w:rsid w:val="00101EB1"/>
    <w:rsid w:val="00101F65"/>
    <w:rsid w:val="0010232D"/>
    <w:rsid w:val="001035F1"/>
    <w:rsid w:val="00103985"/>
    <w:rsid w:val="0010421B"/>
    <w:rsid w:val="001049C0"/>
    <w:rsid w:val="00104D16"/>
    <w:rsid w:val="00105217"/>
    <w:rsid w:val="001066BD"/>
    <w:rsid w:val="001067CF"/>
    <w:rsid w:val="001100D6"/>
    <w:rsid w:val="0011058D"/>
    <w:rsid w:val="00110B05"/>
    <w:rsid w:val="00110C16"/>
    <w:rsid w:val="00110D68"/>
    <w:rsid w:val="00110E05"/>
    <w:rsid w:val="00110E4E"/>
    <w:rsid w:val="0011203C"/>
    <w:rsid w:val="0011243E"/>
    <w:rsid w:val="00112BE5"/>
    <w:rsid w:val="00112D38"/>
    <w:rsid w:val="00113BFA"/>
    <w:rsid w:val="00113DC1"/>
    <w:rsid w:val="00113F9A"/>
    <w:rsid w:val="001140C0"/>
    <w:rsid w:val="0011420E"/>
    <w:rsid w:val="001144F1"/>
    <w:rsid w:val="001146F5"/>
    <w:rsid w:val="00114E9B"/>
    <w:rsid w:val="001157E0"/>
    <w:rsid w:val="0011593E"/>
    <w:rsid w:val="0011672F"/>
    <w:rsid w:val="001167F7"/>
    <w:rsid w:val="00116A97"/>
    <w:rsid w:val="001170D6"/>
    <w:rsid w:val="00117439"/>
    <w:rsid w:val="00117748"/>
    <w:rsid w:val="001203CB"/>
    <w:rsid w:val="00120AB1"/>
    <w:rsid w:val="0012198B"/>
    <w:rsid w:val="00121E1C"/>
    <w:rsid w:val="00121E6F"/>
    <w:rsid w:val="00123E22"/>
    <w:rsid w:val="00123EC5"/>
    <w:rsid w:val="00123ECD"/>
    <w:rsid w:val="00124254"/>
    <w:rsid w:val="001248EA"/>
    <w:rsid w:val="00124A35"/>
    <w:rsid w:val="00125A1F"/>
    <w:rsid w:val="00126A81"/>
    <w:rsid w:val="00127119"/>
    <w:rsid w:val="00127478"/>
    <w:rsid w:val="00127DBC"/>
    <w:rsid w:val="0013014F"/>
    <w:rsid w:val="00130416"/>
    <w:rsid w:val="001304EE"/>
    <w:rsid w:val="00130B08"/>
    <w:rsid w:val="00130B53"/>
    <w:rsid w:val="0013109B"/>
    <w:rsid w:val="0013157E"/>
    <w:rsid w:val="00131C48"/>
    <w:rsid w:val="00131E91"/>
    <w:rsid w:val="00132B6B"/>
    <w:rsid w:val="00132DFE"/>
    <w:rsid w:val="00133482"/>
    <w:rsid w:val="0013389E"/>
    <w:rsid w:val="001339AF"/>
    <w:rsid w:val="00133A58"/>
    <w:rsid w:val="001343C0"/>
    <w:rsid w:val="001344EB"/>
    <w:rsid w:val="001347C4"/>
    <w:rsid w:val="0013481A"/>
    <w:rsid w:val="00134980"/>
    <w:rsid w:val="00134A8B"/>
    <w:rsid w:val="00134B53"/>
    <w:rsid w:val="00135398"/>
    <w:rsid w:val="001353AA"/>
    <w:rsid w:val="00135FF1"/>
    <w:rsid w:val="00136377"/>
    <w:rsid w:val="00136404"/>
    <w:rsid w:val="0013682B"/>
    <w:rsid w:val="00136D2F"/>
    <w:rsid w:val="00136DD7"/>
    <w:rsid w:val="00140104"/>
    <w:rsid w:val="00140E32"/>
    <w:rsid w:val="001416E2"/>
    <w:rsid w:val="001419B7"/>
    <w:rsid w:val="00141B7B"/>
    <w:rsid w:val="001420FD"/>
    <w:rsid w:val="001427A9"/>
    <w:rsid w:val="001429C8"/>
    <w:rsid w:val="00143072"/>
    <w:rsid w:val="001431FD"/>
    <w:rsid w:val="0014360D"/>
    <w:rsid w:val="001437E7"/>
    <w:rsid w:val="00143EBD"/>
    <w:rsid w:val="001442C8"/>
    <w:rsid w:val="00145654"/>
    <w:rsid w:val="001461B6"/>
    <w:rsid w:val="00146A1E"/>
    <w:rsid w:val="00146DC9"/>
    <w:rsid w:val="00146F44"/>
    <w:rsid w:val="001471A9"/>
    <w:rsid w:val="001471BA"/>
    <w:rsid w:val="001473DD"/>
    <w:rsid w:val="0014757D"/>
    <w:rsid w:val="0014799F"/>
    <w:rsid w:val="00150373"/>
    <w:rsid w:val="0015142A"/>
    <w:rsid w:val="00152898"/>
    <w:rsid w:val="0015296E"/>
    <w:rsid w:val="00153798"/>
    <w:rsid w:val="0015415F"/>
    <w:rsid w:val="00154A32"/>
    <w:rsid w:val="00155B71"/>
    <w:rsid w:val="00155DD0"/>
    <w:rsid w:val="001560E2"/>
    <w:rsid w:val="00156532"/>
    <w:rsid w:val="001565D6"/>
    <w:rsid w:val="00156833"/>
    <w:rsid w:val="00157053"/>
    <w:rsid w:val="00157359"/>
    <w:rsid w:val="001573ED"/>
    <w:rsid w:val="0015745D"/>
    <w:rsid w:val="00157482"/>
    <w:rsid w:val="00157537"/>
    <w:rsid w:val="00157711"/>
    <w:rsid w:val="001578A9"/>
    <w:rsid w:val="00157B79"/>
    <w:rsid w:val="00157CA2"/>
    <w:rsid w:val="00157CE9"/>
    <w:rsid w:val="00161EB3"/>
    <w:rsid w:val="0016215D"/>
    <w:rsid w:val="00162575"/>
    <w:rsid w:val="00162B79"/>
    <w:rsid w:val="00162CC2"/>
    <w:rsid w:val="00162D1B"/>
    <w:rsid w:val="00163B98"/>
    <w:rsid w:val="0016481C"/>
    <w:rsid w:val="00164838"/>
    <w:rsid w:val="00164B3A"/>
    <w:rsid w:val="00164F08"/>
    <w:rsid w:val="001656F6"/>
    <w:rsid w:val="00166006"/>
    <w:rsid w:val="0016613D"/>
    <w:rsid w:val="00166745"/>
    <w:rsid w:val="00166750"/>
    <w:rsid w:val="00167B7E"/>
    <w:rsid w:val="00170022"/>
    <w:rsid w:val="00170CBD"/>
    <w:rsid w:val="001718E5"/>
    <w:rsid w:val="00171B1A"/>
    <w:rsid w:val="00171DD3"/>
    <w:rsid w:val="00171E48"/>
    <w:rsid w:val="00171EBF"/>
    <w:rsid w:val="0017227A"/>
    <w:rsid w:val="00172599"/>
    <w:rsid w:val="00173648"/>
    <w:rsid w:val="0017374A"/>
    <w:rsid w:val="00173CD1"/>
    <w:rsid w:val="00173DB0"/>
    <w:rsid w:val="001741C1"/>
    <w:rsid w:val="00174565"/>
    <w:rsid w:val="001747C1"/>
    <w:rsid w:val="00174ED2"/>
    <w:rsid w:val="00175588"/>
    <w:rsid w:val="00175997"/>
    <w:rsid w:val="00175B18"/>
    <w:rsid w:val="00175B32"/>
    <w:rsid w:val="001761F2"/>
    <w:rsid w:val="0017625F"/>
    <w:rsid w:val="00177402"/>
    <w:rsid w:val="00177414"/>
    <w:rsid w:val="001777FD"/>
    <w:rsid w:val="00181575"/>
    <w:rsid w:val="001818B8"/>
    <w:rsid w:val="0018203A"/>
    <w:rsid w:val="001825CB"/>
    <w:rsid w:val="0018274A"/>
    <w:rsid w:val="00182865"/>
    <w:rsid w:val="00182E06"/>
    <w:rsid w:val="001832A2"/>
    <w:rsid w:val="00183A91"/>
    <w:rsid w:val="00183B2A"/>
    <w:rsid w:val="00183C12"/>
    <w:rsid w:val="00183E83"/>
    <w:rsid w:val="00184161"/>
    <w:rsid w:val="00184674"/>
    <w:rsid w:val="001846DD"/>
    <w:rsid w:val="001851A6"/>
    <w:rsid w:val="00185251"/>
    <w:rsid w:val="00185324"/>
    <w:rsid w:val="0018592F"/>
    <w:rsid w:val="00185EF6"/>
    <w:rsid w:val="00185F3E"/>
    <w:rsid w:val="0018628F"/>
    <w:rsid w:val="001864BB"/>
    <w:rsid w:val="00186D57"/>
    <w:rsid w:val="00187A74"/>
    <w:rsid w:val="00187B09"/>
    <w:rsid w:val="00187CE2"/>
    <w:rsid w:val="00187D9F"/>
    <w:rsid w:val="00187FF5"/>
    <w:rsid w:val="0019042F"/>
    <w:rsid w:val="00190E4D"/>
    <w:rsid w:val="0019118C"/>
    <w:rsid w:val="00191438"/>
    <w:rsid w:val="001914E9"/>
    <w:rsid w:val="001916E4"/>
    <w:rsid w:val="00191BF1"/>
    <w:rsid w:val="0019203A"/>
    <w:rsid w:val="0019215F"/>
    <w:rsid w:val="0019270F"/>
    <w:rsid w:val="00192CA4"/>
    <w:rsid w:val="00192D3D"/>
    <w:rsid w:val="00192F5C"/>
    <w:rsid w:val="001933B7"/>
    <w:rsid w:val="0019366F"/>
    <w:rsid w:val="00193ABE"/>
    <w:rsid w:val="00193E2E"/>
    <w:rsid w:val="00194945"/>
    <w:rsid w:val="0019560C"/>
    <w:rsid w:val="00195E52"/>
    <w:rsid w:val="00195E9F"/>
    <w:rsid w:val="00196387"/>
    <w:rsid w:val="0019657C"/>
    <w:rsid w:val="00196667"/>
    <w:rsid w:val="0019691A"/>
    <w:rsid w:val="00196DD9"/>
    <w:rsid w:val="00197ABE"/>
    <w:rsid w:val="001A01E9"/>
    <w:rsid w:val="001A02F0"/>
    <w:rsid w:val="001A0306"/>
    <w:rsid w:val="001A03B9"/>
    <w:rsid w:val="001A12BD"/>
    <w:rsid w:val="001A1509"/>
    <w:rsid w:val="001A1EA9"/>
    <w:rsid w:val="001A240F"/>
    <w:rsid w:val="001A26EF"/>
    <w:rsid w:val="001A2AB6"/>
    <w:rsid w:val="001A2D62"/>
    <w:rsid w:val="001A3120"/>
    <w:rsid w:val="001A3266"/>
    <w:rsid w:val="001A3573"/>
    <w:rsid w:val="001A38A1"/>
    <w:rsid w:val="001A3B7A"/>
    <w:rsid w:val="001A67A8"/>
    <w:rsid w:val="001A6C7E"/>
    <w:rsid w:val="001A7297"/>
    <w:rsid w:val="001A7D1A"/>
    <w:rsid w:val="001A7E28"/>
    <w:rsid w:val="001B01D6"/>
    <w:rsid w:val="001B035B"/>
    <w:rsid w:val="001B0503"/>
    <w:rsid w:val="001B0687"/>
    <w:rsid w:val="001B0785"/>
    <w:rsid w:val="001B0921"/>
    <w:rsid w:val="001B09D0"/>
    <w:rsid w:val="001B0A68"/>
    <w:rsid w:val="001B1A27"/>
    <w:rsid w:val="001B1B47"/>
    <w:rsid w:val="001B2097"/>
    <w:rsid w:val="001B2297"/>
    <w:rsid w:val="001B252F"/>
    <w:rsid w:val="001B2CA2"/>
    <w:rsid w:val="001B33ED"/>
    <w:rsid w:val="001B3431"/>
    <w:rsid w:val="001B3D88"/>
    <w:rsid w:val="001B3FCD"/>
    <w:rsid w:val="001B4D5F"/>
    <w:rsid w:val="001B5470"/>
    <w:rsid w:val="001B56D7"/>
    <w:rsid w:val="001B57C6"/>
    <w:rsid w:val="001B6903"/>
    <w:rsid w:val="001B6960"/>
    <w:rsid w:val="001B6E48"/>
    <w:rsid w:val="001B74BE"/>
    <w:rsid w:val="001B7970"/>
    <w:rsid w:val="001B7D00"/>
    <w:rsid w:val="001C0040"/>
    <w:rsid w:val="001C01FD"/>
    <w:rsid w:val="001C127F"/>
    <w:rsid w:val="001C1387"/>
    <w:rsid w:val="001C14AE"/>
    <w:rsid w:val="001C15CF"/>
    <w:rsid w:val="001C1C06"/>
    <w:rsid w:val="001C2B8D"/>
    <w:rsid w:val="001C2D65"/>
    <w:rsid w:val="001C2EB7"/>
    <w:rsid w:val="001C3388"/>
    <w:rsid w:val="001C3425"/>
    <w:rsid w:val="001C3C22"/>
    <w:rsid w:val="001C3E34"/>
    <w:rsid w:val="001C4C21"/>
    <w:rsid w:val="001C5127"/>
    <w:rsid w:val="001C548A"/>
    <w:rsid w:val="001C54A5"/>
    <w:rsid w:val="001C5EAB"/>
    <w:rsid w:val="001C6487"/>
    <w:rsid w:val="001C6992"/>
    <w:rsid w:val="001C7164"/>
    <w:rsid w:val="001C7296"/>
    <w:rsid w:val="001C72DB"/>
    <w:rsid w:val="001D088F"/>
    <w:rsid w:val="001D0D5D"/>
    <w:rsid w:val="001D1C2A"/>
    <w:rsid w:val="001D1F75"/>
    <w:rsid w:val="001D2D12"/>
    <w:rsid w:val="001D3CE7"/>
    <w:rsid w:val="001D407D"/>
    <w:rsid w:val="001D434F"/>
    <w:rsid w:val="001D444E"/>
    <w:rsid w:val="001D4BA3"/>
    <w:rsid w:val="001D4E5B"/>
    <w:rsid w:val="001D50C0"/>
    <w:rsid w:val="001D5347"/>
    <w:rsid w:val="001D5842"/>
    <w:rsid w:val="001D5AD5"/>
    <w:rsid w:val="001D6346"/>
    <w:rsid w:val="001D7206"/>
    <w:rsid w:val="001D7572"/>
    <w:rsid w:val="001D7758"/>
    <w:rsid w:val="001D7833"/>
    <w:rsid w:val="001D78F8"/>
    <w:rsid w:val="001D7999"/>
    <w:rsid w:val="001D7AD4"/>
    <w:rsid w:val="001D7DB0"/>
    <w:rsid w:val="001D7DEB"/>
    <w:rsid w:val="001E06CB"/>
    <w:rsid w:val="001E0B91"/>
    <w:rsid w:val="001E0D87"/>
    <w:rsid w:val="001E10AF"/>
    <w:rsid w:val="001E1459"/>
    <w:rsid w:val="001E179D"/>
    <w:rsid w:val="001E19A3"/>
    <w:rsid w:val="001E1A03"/>
    <w:rsid w:val="001E1AE7"/>
    <w:rsid w:val="001E2124"/>
    <w:rsid w:val="001E2149"/>
    <w:rsid w:val="001E2200"/>
    <w:rsid w:val="001E2320"/>
    <w:rsid w:val="001E25A0"/>
    <w:rsid w:val="001E2B61"/>
    <w:rsid w:val="001E3068"/>
    <w:rsid w:val="001E3647"/>
    <w:rsid w:val="001E3A26"/>
    <w:rsid w:val="001E3F14"/>
    <w:rsid w:val="001E4753"/>
    <w:rsid w:val="001E482E"/>
    <w:rsid w:val="001E483A"/>
    <w:rsid w:val="001E519C"/>
    <w:rsid w:val="001E5A52"/>
    <w:rsid w:val="001E5FF2"/>
    <w:rsid w:val="001E691D"/>
    <w:rsid w:val="001E78C0"/>
    <w:rsid w:val="001E7B66"/>
    <w:rsid w:val="001F019B"/>
    <w:rsid w:val="001F149B"/>
    <w:rsid w:val="001F15ED"/>
    <w:rsid w:val="001F1780"/>
    <w:rsid w:val="001F2358"/>
    <w:rsid w:val="001F2FAB"/>
    <w:rsid w:val="001F3261"/>
    <w:rsid w:val="001F33AC"/>
    <w:rsid w:val="001F33C3"/>
    <w:rsid w:val="001F3489"/>
    <w:rsid w:val="001F3646"/>
    <w:rsid w:val="001F3F19"/>
    <w:rsid w:val="001F489D"/>
    <w:rsid w:val="001F4B56"/>
    <w:rsid w:val="001F4CF2"/>
    <w:rsid w:val="001F4F1D"/>
    <w:rsid w:val="001F5689"/>
    <w:rsid w:val="001F57DE"/>
    <w:rsid w:val="001F5BA6"/>
    <w:rsid w:val="001F5E31"/>
    <w:rsid w:val="001F5F4B"/>
    <w:rsid w:val="001F6682"/>
    <w:rsid w:val="001F6B34"/>
    <w:rsid w:val="001F6E09"/>
    <w:rsid w:val="001F6EEA"/>
    <w:rsid w:val="001F7B9C"/>
    <w:rsid w:val="001F7D25"/>
    <w:rsid w:val="002017D0"/>
    <w:rsid w:val="00201EAC"/>
    <w:rsid w:val="00201FE4"/>
    <w:rsid w:val="00202336"/>
    <w:rsid w:val="00203488"/>
    <w:rsid w:val="002034C0"/>
    <w:rsid w:val="002034F2"/>
    <w:rsid w:val="00203687"/>
    <w:rsid w:val="00203692"/>
    <w:rsid w:val="0020397C"/>
    <w:rsid w:val="00204020"/>
    <w:rsid w:val="00204121"/>
    <w:rsid w:val="00204588"/>
    <w:rsid w:val="00204C2B"/>
    <w:rsid w:val="00204DF1"/>
    <w:rsid w:val="00204EF3"/>
    <w:rsid w:val="00205049"/>
    <w:rsid w:val="002052A5"/>
    <w:rsid w:val="00205480"/>
    <w:rsid w:val="0020771E"/>
    <w:rsid w:val="00207B68"/>
    <w:rsid w:val="0021085C"/>
    <w:rsid w:val="00211AC9"/>
    <w:rsid w:val="00212080"/>
    <w:rsid w:val="002120B3"/>
    <w:rsid w:val="002127C1"/>
    <w:rsid w:val="0021311C"/>
    <w:rsid w:val="00214297"/>
    <w:rsid w:val="002145E0"/>
    <w:rsid w:val="00214CB9"/>
    <w:rsid w:val="002164A8"/>
    <w:rsid w:val="00216AEB"/>
    <w:rsid w:val="00217416"/>
    <w:rsid w:val="00217D18"/>
    <w:rsid w:val="00217D3E"/>
    <w:rsid w:val="00217EC2"/>
    <w:rsid w:val="002205FA"/>
    <w:rsid w:val="00220942"/>
    <w:rsid w:val="00220B56"/>
    <w:rsid w:val="002214B7"/>
    <w:rsid w:val="002222A6"/>
    <w:rsid w:val="002223CC"/>
    <w:rsid w:val="002226D0"/>
    <w:rsid w:val="002227A4"/>
    <w:rsid w:val="00222C7A"/>
    <w:rsid w:val="002237B8"/>
    <w:rsid w:val="00223ACB"/>
    <w:rsid w:val="00224110"/>
    <w:rsid w:val="0022480E"/>
    <w:rsid w:val="00225642"/>
    <w:rsid w:val="002257D3"/>
    <w:rsid w:val="00227178"/>
    <w:rsid w:val="0023014E"/>
    <w:rsid w:val="0023071B"/>
    <w:rsid w:val="00230A5A"/>
    <w:rsid w:val="00230A76"/>
    <w:rsid w:val="00230D8C"/>
    <w:rsid w:val="00231535"/>
    <w:rsid w:val="00231A97"/>
    <w:rsid w:val="00231E88"/>
    <w:rsid w:val="002320E3"/>
    <w:rsid w:val="00232196"/>
    <w:rsid w:val="0023234B"/>
    <w:rsid w:val="0023268A"/>
    <w:rsid w:val="002332CB"/>
    <w:rsid w:val="00233402"/>
    <w:rsid w:val="00233684"/>
    <w:rsid w:val="00233868"/>
    <w:rsid w:val="00233F52"/>
    <w:rsid w:val="00234DC7"/>
    <w:rsid w:val="00235527"/>
    <w:rsid w:val="002365A2"/>
    <w:rsid w:val="002379A5"/>
    <w:rsid w:val="00237BEB"/>
    <w:rsid w:val="0024001D"/>
    <w:rsid w:val="0024051F"/>
    <w:rsid w:val="002406F8"/>
    <w:rsid w:val="00240A92"/>
    <w:rsid w:val="00240D97"/>
    <w:rsid w:val="00240EF9"/>
    <w:rsid w:val="0024194E"/>
    <w:rsid w:val="002419B7"/>
    <w:rsid w:val="00241B55"/>
    <w:rsid w:val="00241F93"/>
    <w:rsid w:val="00241FE7"/>
    <w:rsid w:val="00242560"/>
    <w:rsid w:val="00242964"/>
    <w:rsid w:val="00242AE8"/>
    <w:rsid w:val="00242CC4"/>
    <w:rsid w:val="002432F3"/>
    <w:rsid w:val="002434E3"/>
    <w:rsid w:val="00243E36"/>
    <w:rsid w:val="0024532E"/>
    <w:rsid w:val="0024535F"/>
    <w:rsid w:val="00245CB7"/>
    <w:rsid w:val="0024608E"/>
    <w:rsid w:val="00246878"/>
    <w:rsid w:val="00246971"/>
    <w:rsid w:val="00246F82"/>
    <w:rsid w:val="002502C9"/>
    <w:rsid w:val="002505BA"/>
    <w:rsid w:val="00250E99"/>
    <w:rsid w:val="002510F0"/>
    <w:rsid w:val="00251B1B"/>
    <w:rsid w:val="00251E9A"/>
    <w:rsid w:val="00252022"/>
    <w:rsid w:val="00252696"/>
    <w:rsid w:val="00252F04"/>
    <w:rsid w:val="0025382D"/>
    <w:rsid w:val="00253B42"/>
    <w:rsid w:val="00253C53"/>
    <w:rsid w:val="002540C1"/>
    <w:rsid w:val="00254348"/>
    <w:rsid w:val="0025439C"/>
    <w:rsid w:val="00254A16"/>
    <w:rsid w:val="00255656"/>
    <w:rsid w:val="002560FE"/>
    <w:rsid w:val="00257059"/>
    <w:rsid w:val="00260847"/>
    <w:rsid w:val="002620A3"/>
    <w:rsid w:val="00262371"/>
    <w:rsid w:val="00262B7F"/>
    <w:rsid w:val="00262C40"/>
    <w:rsid w:val="00263109"/>
    <w:rsid w:val="002636FC"/>
    <w:rsid w:val="00263AE4"/>
    <w:rsid w:val="00263CC8"/>
    <w:rsid w:val="002640A6"/>
    <w:rsid w:val="002642A1"/>
    <w:rsid w:val="00264ACD"/>
    <w:rsid w:val="00264F79"/>
    <w:rsid w:val="00265558"/>
    <w:rsid w:val="00265A65"/>
    <w:rsid w:val="00265C2E"/>
    <w:rsid w:val="0026605A"/>
    <w:rsid w:val="00266086"/>
    <w:rsid w:val="0026618C"/>
    <w:rsid w:val="00266FB1"/>
    <w:rsid w:val="00267CCC"/>
    <w:rsid w:val="0027007F"/>
    <w:rsid w:val="002700B6"/>
    <w:rsid w:val="00270A11"/>
    <w:rsid w:val="00270E80"/>
    <w:rsid w:val="0027176E"/>
    <w:rsid w:val="00271D0A"/>
    <w:rsid w:val="002721C3"/>
    <w:rsid w:val="00273149"/>
    <w:rsid w:val="002731CE"/>
    <w:rsid w:val="00273CA5"/>
    <w:rsid w:val="00274CBE"/>
    <w:rsid w:val="00275126"/>
    <w:rsid w:val="002752F8"/>
    <w:rsid w:val="002757F2"/>
    <w:rsid w:val="002761EB"/>
    <w:rsid w:val="00276620"/>
    <w:rsid w:val="00277A36"/>
    <w:rsid w:val="002804B3"/>
    <w:rsid w:val="00280C77"/>
    <w:rsid w:val="00280E80"/>
    <w:rsid w:val="00280F90"/>
    <w:rsid w:val="00281715"/>
    <w:rsid w:val="00281972"/>
    <w:rsid w:val="00281ACC"/>
    <w:rsid w:val="00281E23"/>
    <w:rsid w:val="00281E7B"/>
    <w:rsid w:val="00282569"/>
    <w:rsid w:val="00283006"/>
    <w:rsid w:val="00283582"/>
    <w:rsid w:val="00283D88"/>
    <w:rsid w:val="00283F68"/>
    <w:rsid w:val="00284738"/>
    <w:rsid w:val="002847DE"/>
    <w:rsid w:val="00284FF0"/>
    <w:rsid w:val="0028561D"/>
    <w:rsid w:val="002857A1"/>
    <w:rsid w:val="00285871"/>
    <w:rsid w:val="0028649E"/>
    <w:rsid w:val="00286953"/>
    <w:rsid w:val="00286A62"/>
    <w:rsid w:val="00286D73"/>
    <w:rsid w:val="00286FE4"/>
    <w:rsid w:val="00287A48"/>
    <w:rsid w:val="00287ADD"/>
    <w:rsid w:val="00287BC4"/>
    <w:rsid w:val="002900FD"/>
    <w:rsid w:val="00291568"/>
    <w:rsid w:val="00291BD0"/>
    <w:rsid w:val="00291D78"/>
    <w:rsid w:val="00291F11"/>
    <w:rsid w:val="002920F6"/>
    <w:rsid w:val="00292A08"/>
    <w:rsid w:val="00292C50"/>
    <w:rsid w:val="0029308E"/>
    <w:rsid w:val="00293B2D"/>
    <w:rsid w:val="00293D92"/>
    <w:rsid w:val="002948BC"/>
    <w:rsid w:val="00295B52"/>
    <w:rsid w:val="002962CF"/>
    <w:rsid w:val="0029630E"/>
    <w:rsid w:val="002968F9"/>
    <w:rsid w:val="00296B8B"/>
    <w:rsid w:val="00296F24"/>
    <w:rsid w:val="00297986"/>
    <w:rsid w:val="00297D72"/>
    <w:rsid w:val="002A03F1"/>
    <w:rsid w:val="002A20B1"/>
    <w:rsid w:val="002A2126"/>
    <w:rsid w:val="002A2712"/>
    <w:rsid w:val="002A288C"/>
    <w:rsid w:val="002A2A6A"/>
    <w:rsid w:val="002A39B1"/>
    <w:rsid w:val="002A3D32"/>
    <w:rsid w:val="002A4130"/>
    <w:rsid w:val="002A5473"/>
    <w:rsid w:val="002A5776"/>
    <w:rsid w:val="002A64F1"/>
    <w:rsid w:val="002A6811"/>
    <w:rsid w:val="002A7B96"/>
    <w:rsid w:val="002A7D59"/>
    <w:rsid w:val="002A7F2D"/>
    <w:rsid w:val="002B04E8"/>
    <w:rsid w:val="002B08D8"/>
    <w:rsid w:val="002B2603"/>
    <w:rsid w:val="002B26A5"/>
    <w:rsid w:val="002B29E7"/>
    <w:rsid w:val="002B309F"/>
    <w:rsid w:val="002B3167"/>
    <w:rsid w:val="002B368B"/>
    <w:rsid w:val="002B3B21"/>
    <w:rsid w:val="002B3E46"/>
    <w:rsid w:val="002B40F5"/>
    <w:rsid w:val="002B432D"/>
    <w:rsid w:val="002B4849"/>
    <w:rsid w:val="002B49CC"/>
    <w:rsid w:val="002B4A62"/>
    <w:rsid w:val="002B4AE5"/>
    <w:rsid w:val="002B4E8C"/>
    <w:rsid w:val="002B5CD9"/>
    <w:rsid w:val="002B61FB"/>
    <w:rsid w:val="002B6359"/>
    <w:rsid w:val="002B65D4"/>
    <w:rsid w:val="002B73E6"/>
    <w:rsid w:val="002B7583"/>
    <w:rsid w:val="002B76F7"/>
    <w:rsid w:val="002B7890"/>
    <w:rsid w:val="002B7D14"/>
    <w:rsid w:val="002C0719"/>
    <w:rsid w:val="002C0B15"/>
    <w:rsid w:val="002C141C"/>
    <w:rsid w:val="002C1652"/>
    <w:rsid w:val="002C1995"/>
    <w:rsid w:val="002C1D2E"/>
    <w:rsid w:val="002C2367"/>
    <w:rsid w:val="002C2C1B"/>
    <w:rsid w:val="002C3FA6"/>
    <w:rsid w:val="002C44BB"/>
    <w:rsid w:val="002C4B18"/>
    <w:rsid w:val="002C522D"/>
    <w:rsid w:val="002C598C"/>
    <w:rsid w:val="002C5D07"/>
    <w:rsid w:val="002C5D40"/>
    <w:rsid w:val="002C64BE"/>
    <w:rsid w:val="002C6693"/>
    <w:rsid w:val="002C724E"/>
    <w:rsid w:val="002C736F"/>
    <w:rsid w:val="002C7730"/>
    <w:rsid w:val="002D00D3"/>
    <w:rsid w:val="002D04AC"/>
    <w:rsid w:val="002D08D0"/>
    <w:rsid w:val="002D0B08"/>
    <w:rsid w:val="002D0BB3"/>
    <w:rsid w:val="002D0D7A"/>
    <w:rsid w:val="002D0E21"/>
    <w:rsid w:val="002D1336"/>
    <w:rsid w:val="002D15A6"/>
    <w:rsid w:val="002D1801"/>
    <w:rsid w:val="002D186D"/>
    <w:rsid w:val="002D19AA"/>
    <w:rsid w:val="002D1A6F"/>
    <w:rsid w:val="002D1F78"/>
    <w:rsid w:val="002D23C3"/>
    <w:rsid w:val="002D249D"/>
    <w:rsid w:val="002D32FF"/>
    <w:rsid w:val="002D3391"/>
    <w:rsid w:val="002D3655"/>
    <w:rsid w:val="002D3F2E"/>
    <w:rsid w:val="002D444D"/>
    <w:rsid w:val="002D4585"/>
    <w:rsid w:val="002D46A2"/>
    <w:rsid w:val="002D4A04"/>
    <w:rsid w:val="002D4D47"/>
    <w:rsid w:val="002D5077"/>
    <w:rsid w:val="002D51EF"/>
    <w:rsid w:val="002D52F1"/>
    <w:rsid w:val="002D5B03"/>
    <w:rsid w:val="002D64B5"/>
    <w:rsid w:val="002D674F"/>
    <w:rsid w:val="002D6B62"/>
    <w:rsid w:val="002D6CBF"/>
    <w:rsid w:val="002D6CE6"/>
    <w:rsid w:val="002D7083"/>
    <w:rsid w:val="002D70C4"/>
    <w:rsid w:val="002D761B"/>
    <w:rsid w:val="002D79D9"/>
    <w:rsid w:val="002D7BE1"/>
    <w:rsid w:val="002D7C74"/>
    <w:rsid w:val="002E01C9"/>
    <w:rsid w:val="002E0744"/>
    <w:rsid w:val="002E0E6C"/>
    <w:rsid w:val="002E0FE5"/>
    <w:rsid w:val="002E1B39"/>
    <w:rsid w:val="002E2587"/>
    <w:rsid w:val="002E25F3"/>
    <w:rsid w:val="002E34F6"/>
    <w:rsid w:val="002E36CB"/>
    <w:rsid w:val="002E3B01"/>
    <w:rsid w:val="002E433B"/>
    <w:rsid w:val="002E51E0"/>
    <w:rsid w:val="002E5332"/>
    <w:rsid w:val="002E5A1B"/>
    <w:rsid w:val="002E6501"/>
    <w:rsid w:val="002E658B"/>
    <w:rsid w:val="002E6748"/>
    <w:rsid w:val="002E6B79"/>
    <w:rsid w:val="002E6C1A"/>
    <w:rsid w:val="002E7DD1"/>
    <w:rsid w:val="002E7F1F"/>
    <w:rsid w:val="002E7FDA"/>
    <w:rsid w:val="002F015A"/>
    <w:rsid w:val="002F03C6"/>
    <w:rsid w:val="002F0EFF"/>
    <w:rsid w:val="002F1A4D"/>
    <w:rsid w:val="002F1FAE"/>
    <w:rsid w:val="002F2621"/>
    <w:rsid w:val="002F2B6F"/>
    <w:rsid w:val="002F2F12"/>
    <w:rsid w:val="002F31C6"/>
    <w:rsid w:val="002F3CA2"/>
    <w:rsid w:val="002F473A"/>
    <w:rsid w:val="002F48DE"/>
    <w:rsid w:val="002F4ADE"/>
    <w:rsid w:val="002F6C82"/>
    <w:rsid w:val="002F730E"/>
    <w:rsid w:val="002F7C4B"/>
    <w:rsid w:val="0030003D"/>
    <w:rsid w:val="003006A3"/>
    <w:rsid w:val="0030099B"/>
    <w:rsid w:val="00300BF2"/>
    <w:rsid w:val="003014B8"/>
    <w:rsid w:val="003017AF"/>
    <w:rsid w:val="003017D0"/>
    <w:rsid w:val="00303478"/>
    <w:rsid w:val="0030364D"/>
    <w:rsid w:val="003036DB"/>
    <w:rsid w:val="00303C1B"/>
    <w:rsid w:val="00303F48"/>
    <w:rsid w:val="003048A0"/>
    <w:rsid w:val="00304989"/>
    <w:rsid w:val="00304CD6"/>
    <w:rsid w:val="003055F6"/>
    <w:rsid w:val="003060AB"/>
    <w:rsid w:val="00306180"/>
    <w:rsid w:val="00306E3A"/>
    <w:rsid w:val="00306FB9"/>
    <w:rsid w:val="00307727"/>
    <w:rsid w:val="00307951"/>
    <w:rsid w:val="00310CB2"/>
    <w:rsid w:val="0031182C"/>
    <w:rsid w:val="0031247E"/>
    <w:rsid w:val="00312C2A"/>
    <w:rsid w:val="00312E91"/>
    <w:rsid w:val="003133AF"/>
    <w:rsid w:val="00313835"/>
    <w:rsid w:val="003138B5"/>
    <w:rsid w:val="00313ABE"/>
    <w:rsid w:val="003142D0"/>
    <w:rsid w:val="00314598"/>
    <w:rsid w:val="00314743"/>
    <w:rsid w:val="0031517A"/>
    <w:rsid w:val="0031519B"/>
    <w:rsid w:val="00315295"/>
    <w:rsid w:val="00315503"/>
    <w:rsid w:val="00315CD6"/>
    <w:rsid w:val="00315F09"/>
    <w:rsid w:val="003165C3"/>
    <w:rsid w:val="0031710D"/>
    <w:rsid w:val="003176A8"/>
    <w:rsid w:val="00317A0E"/>
    <w:rsid w:val="00317C3E"/>
    <w:rsid w:val="00317D3C"/>
    <w:rsid w:val="003204FA"/>
    <w:rsid w:val="00320C4C"/>
    <w:rsid w:val="00320C92"/>
    <w:rsid w:val="00321118"/>
    <w:rsid w:val="00321445"/>
    <w:rsid w:val="00321790"/>
    <w:rsid w:val="00321804"/>
    <w:rsid w:val="00321CD3"/>
    <w:rsid w:val="00321D94"/>
    <w:rsid w:val="003222B7"/>
    <w:rsid w:val="00322F7C"/>
    <w:rsid w:val="00322FDF"/>
    <w:rsid w:val="00323613"/>
    <w:rsid w:val="00323B56"/>
    <w:rsid w:val="00323BB0"/>
    <w:rsid w:val="00323DF5"/>
    <w:rsid w:val="0032424C"/>
    <w:rsid w:val="00324866"/>
    <w:rsid w:val="00324A0A"/>
    <w:rsid w:val="00324EEF"/>
    <w:rsid w:val="00324F89"/>
    <w:rsid w:val="0032516B"/>
    <w:rsid w:val="003258DF"/>
    <w:rsid w:val="00325F07"/>
    <w:rsid w:val="00326387"/>
    <w:rsid w:val="003264A7"/>
    <w:rsid w:val="003268D4"/>
    <w:rsid w:val="003268E8"/>
    <w:rsid w:val="00326ABD"/>
    <w:rsid w:val="00326D46"/>
    <w:rsid w:val="00326F04"/>
    <w:rsid w:val="00326F54"/>
    <w:rsid w:val="003279EE"/>
    <w:rsid w:val="0033001E"/>
    <w:rsid w:val="00330A68"/>
    <w:rsid w:val="00330E80"/>
    <w:rsid w:val="003319A7"/>
    <w:rsid w:val="00331E19"/>
    <w:rsid w:val="0033216F"/>
    <w:rsid w:val="003330DE"/>
    <w:rsid w:val="00333269"/>
    <w:rsid w:val="0033365B"/>
    <w:rsid w:val="00333B2A"/>
    <w:rsid w:val="00333BB5"/>
    <w:rsid w:val="00333DE7"/>
    <w:rsid w:val="00334288"/>
    <w:rsid w:val="00334A06"/>
    <w:rsid w:val="00335F60"/>
    <w:rsid w:val="00336285"/>
    <w:rsid w:val="0033695B"/>
    <w:rsid w:val="0033718B"/>
    <w:rsid w:val="00337580"/>
    <w:rsid w:val="00337860"/>
    <w:rsid w:val="003378D3"/>
    <w:rsid w:val="00340255"/>
    <w:rsid w:val="00340903"/>
    <w:rsid w:val="0034099A"/>
    <w:rsid w:val="00340D1E"/>
    <w:rsid w:val="00340DD5"/>
    <w:rsid w:val="0034134D"/>
    <w:rsid w:val="00341424"/>
    <w:rsid w:val="00341A32"/>
    <w:rsid w:val="00341DE3"/>
    <w:rsid w:val="00342267"/>
    <w:rsid w:val="00342457"/>
    <w:rsid w:val="00342481"/>
    <w:rsid w:val="00342B98"/>
    <w:rsid w:val="003434A3"/>
    <w:rsid w:val="00343714"/>
    <w:rsid w:val="00343A44"/>
    <w:rsid w:val="0034400A"/>
    <w:rsid w:val="003441F0"/>
    <w:rsid w:val="00344F59"/>
    <w:rsid w:val="00345ABF"/>
    <w:rsid w:val="00346619"/>
    <w:rsid w:val="00347459"/>
    <w:rsid w:val="00347CB1"/>
    <w:rsid w:val="0035041B"/>
    <w:rsid w:val="00350964"/>
    <w:rsid w:val="00350B58"/>
    <w:rsid w:val="00350D39"/>
    <w:rsid w:val="00351245"/>
    <w:rsid w:val="003512B3"/>
    <w:rsid w:val="00351A62"/>
    <w:rsid w:val="00351A73"/>
    <w:rsid w:val="00351C79"/>
    <w:rsid w:val="00352217"/>
    <w:rsid w:val="0035230D"/>
    <w:rsid w:val="00353AD3"/>
    <w:rsid w:val="00353EB9"/>
    <w:rsid w:val="0035459E"/>
    <w:rsid w:val="00354758"/>
    <w:rsid w:val="0035517B"/>
    <w:rsid w:val="003553EB"/>
    <w:rsid w:val="00355F36"/>
    <w:rsid w:val="00355FDE"/>
    <w:rsid w:val="0035654D"/>
    <w:rsid w:val="00356A5F"/>
    <w:rsid w:val="00357166"/>
    <w:rsid w:val="00357469"/>
    <w:rsid w:val="0036008B"/>
    <w:rsid w:val="00360368"/>
    <w:rsid w:val="00360E69"/>
    <w:rsid w:val="0036128B"/>
    <w:rsid w:val="00361332"/>
    <w:rsid w:val="003617B1"/>
    <w:rsid w:val="003624F1"/>
    <w:rsid w:val="00362837"/>
    <w:rsid w:val="003632A0"/>
    <w:rsid w:val="003632C3"/>
    <w:rsid w:val="0036377D"/>
    <w:rsid w:val="003646F3"/>
    <w:rsid w:val="003648D9"/>
    <w:rsid w:val="0036533B"/>
    <w:rsid w:val="0036533F"/>
    <w:rsid w:val="00365917"/>
    <w:rsid w:val="00365F03"/>
    <w:rsid w:val="0036635B"/>
    <w:rsid w:val="003664CF"/>
    <w:rsid w:val="003668D7"/>
    <w:rsid w:val="00366D73"/>
    <w:rsid w:val="00366FF2"/>
    <w:rsid w:val="00367105"/>
    <w:rsid w:val="003676D0"/>
    <w:rsid w:val="003679E5"/>
    <w:rsid w:val="00370336"/>
    <w:rsid w:val="00370EC3"/>
    <w:rsid w:val="003713A7"/>
    <w:rsid w:val="00372954"/>
    <w:rsid w:val="00372AE6"/>
    <w:rsid w:val="003737D6"/>
    <w:rsid w:val="00374150"/>
    <w:rsid w:val="0037484D"/>
    <w:rsid w:val="00374930"/>
    <w:rsid w:val="00374C83"/>
    <w:rsid w:val="0037529C"/>
    <w:rsid w:val="003753BD"/>
    <w:rsid w:val="003756F7"/>
    <w:rsid w:val="0037575D"/>
    <w:rsid w:val="003761DF"/>
    <w:rsid w:val="003768A6"/>
    <w:rsid w:val="00376964"/>
    <w:rsid w:val="00376AA5"/>
    <w:rsid w:val="00377118"/>
    <w:rsid w:val="003800B6"/>
    <w:rsid w:val="0038100C"/>
    <w:rsid w:val="0038139E"/>
    <w:rsid w:val="00381A5D"/>
    <w:rsid w:val="0038208F"/>
    <w:rsid w:val="00382103"/>
    <w:rsid w:val="0038216D"/>
    <w:rsid w:val="00383021"/>
    <w:rsid w:val="00383434"/>
    <w:rsid w:val="0038355F"/>
    <w:rsid w:val="003836C5"/>
    <w:rsid w:val="00383F41"/>
    <w:rsid w:val="003847F0"/>
    <w:rsid w:val="003848DD"/>
    <w:rsid w:val="00384936"/>
    <w:rsid w:val="00384B57"/>
    <w:rsid w:val="00385449"/>
    <w:rsid w:val="003863A5"/>
    <w:rsid w:val="0038647F"/>
    <w:rsid w:val="00387140"/>
    <w:rsid w:val="003876AC"/>
    <w:rsid w:val="003876C1"/>
    <w:rsid w:val="00387D8B"/>
    <w:rsid w:val="00387F97"/>
    <w:rsid w:val="0039028D"/>
    <w:rsid w:val="003902A5"/>
    <w:rsid w:val="00390568"/>
    <w:rsid w:val="00390D1E"/>
    <w:rsid w:val="00390E6B"/>
    <w:rsid w:val="003913AB"/>
    <w:rsid w:val="00391537"/>
    <w:rsid w:val="00391830"/>
    <w:rsid w:val="00391BFE"/>
    <w:rsid w:val="00392522"/>
    <w:rsid w:val="00392B95"/>
    <w:rsid w:val="00392F43"/>
    <w:rsid w:val="0039343E"/>
    <w:rsid w:val="00393723"/>
    <w:rsid w:val="00393875"/>
    <w:rsid w:val="00393941"/>
    <w:rsid w:val="00393CD3"/>
    <w:rsid w:val="003943C8"/>
    <w:rsid w:val="00394F63"/>
    <w:rsid w:val="00395332"/>
    <w:rsid w:val="00395AF2"/>
    <w:rsid w:val="00396929"/>
    <w:rsid w:val="00396A4F"/>
    <w:rsid w:val="00396B4B"/>
    <w:rsid w:val="00397D8B"/>
    <w:rsid w:val="00397F3D"/>
    <w:rsid w:val="00397F7C"/>
    <w:rsid w:val="003A0699"/>
    <w:rsid w:val="003A0F6F"/>
    <w:rsid w:val="003A116F"/>
    <w:rsid w:val="003A1CD3"/>
    <w:rsid w:val="003A1FEB"/>
    <w:rsid w:val="003A285E"/>
    <w:rsid w:val="003A3A7C"/>
    <w:rsid w:val="003A3FA4"/>
    <w:rsid w:val="003A47B8"/>
    <w:rsid w:val="003A47DC"/>
    <w:rsid w:val="003A4DD5"/>
    <w:rsid w:val="003A5099"/>
    <w:rsid w:val="003A578D"/>
    <w:rsid w:val="003A6097"/>
    <w:rsid w:val="003A6534"/>
    <w:rsid w:val="003A666E"/>
    <w:rsid w:val="003A672B"/>
    <w:rsid w:val="003A68DD"/>
    <w:rsid w:val="003A6FEB"/>
    <w:rsid w:val="003A7373"/>
    <w:rsid w:val="003A7887"/>
    <w:rsid w:val="003B01A3"/>
    <w:rsid w:val="003B0627"/>
    <w:rsid w:val="003B0C39"/>
    <w:rsid w:val="003B0CAB"/>
    <w:rsid w:val="003B14F9"/>
    <w:rsid w:val="003B18D5"/>
    <w:rsid w:val="003B197E"/>
    <w:rsid w:val="003B1F0D"/>
    <w:rsid w:val="003B2DCC"/>
    <w:rsid w:val="003B38CC"/>
    <w:rsid w:val="003B3CD2"/>
    <w:rsid w:val="003B3E31"/>
    <w:rsid w:val="003B4CEC"/>
    <w:rsid w:val="003B5078"/>
    <w:rsid w:val="003B5284"/>
    <w:rsid w:val="003B576E"/>
    <w:rsid w:val="003B579C"/>
    <w:rsid w:val="003B5CB2"/>
    <w:rsid w:val="003B5DE0"/>
    <w:rsid w:val="003B60EC"/>
    <w:rsid w:val="003B62E9"/>
    <w:rsid w:val="003B648C"/>
    <w:rsid w:val="003B649E"/>
    <w:rsid w:val="003B7419"/>
    <w:rsid w:val="003B7465"/>
    <w:rsid w:val="003B7AE6"/>
    <w:rsid w:val="003B7B48"/>
    <w:rsid w:val="003B7C93"/>
    <w:rsid w:val="003C07D0"/>
    <w:rsid w:val="003C0B0C"/>
    <w:rsid w:val="003C0DA6"/>
    <w:rsid w:val="003C0FFF"/>
    <w:rsid w:val="003C15C9"/>
    <w:rsid w:val="003C1C74"/>
    <w:rsid w:val="003C22F7"/>
    <w:rsid w:val="003C2709"/>
    <w:rsid w:val="003C288D"/>
    <w:rsid w:val="003C2D81"/>
    <w:rsid w:val="003C2DD4"/>
    <w:rsid w:val="003C2F67"/>
    <w:rsid w:val="003C35B4"/>
    <w:rsid w:val="003C3676"/>
    <w:rsid w:val="003C37D4"/>
    <w:rsid w:val="003C3B31"/>
    <w:rsid w:val="003C43CB"/>
    <w:rsid w:val="003C443B"/>
    <w:rsid w:val="003C464B"/>
    <w:rsid w:val="003C500F"/>
    <w:rsid w:val="003C5254"/>
    <w:rsid w:val="003C58D1"/>
    <w:rsid w:val="003C666D"/>
    <w:rsid w:val="003C695F"/>
    <w:rsid w:val="003C6A61"/>
    <w:rsid w:val="003C6C1B"/>
    <w:rsid w:val="003C7625"/>
    <w:rsid w:val="003D0059"/>
    <w:rsid w:val="003D0108"/>
    <w:rsid w:val="003D099C"/>
    <w:rsid w:val="003D0A38"/>
    <w:rsid w:val="003D0A7F"/>
    <w:rsid w:val="003D0DC2"/>
    <w:rsid w:val="003D1A87"/>
    <w:rsid w:val="003D2378"/>
    <w:rsid w:val="003D2996"/>
    <w:rsid w:val="003D2D68"/>
    <w:rsid w:val="003D3811"/>
    <w:rsid w:val="003D3AAC"/>
    <w:rsid w:val="003D3BCD"/>
    <w:rsid w:val="003D430E"/>
    <w:rsid w:val="003D4F74"/>
    <w:rsid w:val="003D5103"/>
    <w:rsid w:val="003D5B18"/>
    <w:rsid w:val="003D5CBF"/>
    <w:rsid w:val="003D5D20"/>
    <w:rsid w:val="003D5F35"/>
    <w:rsid w:val="003D5FC1"/>
    <w:rsid w:val="003D625C"/>
    <w:rsid w:val="003D6346"/>
    <w:rsid w:val="003D6572"/>
    <w:rsid w:val="003D67D9"/>
    <w:rsid w:val="003D6BBA"/>
    <w:rsid w:val="003D7619"/>
    <w:rsid w:val="003D7856"/>
    <w:rsid w:val="003D7DDB"/>
    <w:rsid w:val="003E0162"/>
    <w:rsid w:val="003E13A8"/>
    <w:rsid w:val="003E1468"/>
    <w:rsid w:val="003E1469"/>
    <w:rsid w:val="003E15D0"/>
    <w:rsid w:val="003E15F9"/>
    <w:rsid w:val="003E1624"/>
    <w:rsid w:val="003E1820"/>
    <w:rsid w:val="003E2A2C"/>
    <w:rsid w:val="003E3319"/>
    <w:rsid w:val="003E3546"/>
    <w:rsid w:val="003E3DAF"/>
    <w:rsid w:val="003E3FA6"/>
    <w:rsid w:val="003E49F1"/>
    <w:rsid w:val="003E4B6B"/>
    <w:rsid w:val="003E4F6E"/>
    <w:rsid w:val="003E4F7A"/>
    <w:rsid w:val="003E5072"/>
    <w:rsid w:val="003E5479"/>
    <w:rsid w:val="003E572A"/>
    <w:rsid w:val="003E5864"/>
    <w:rsid w:val="003E625F"/>
    <w:rsid w:val="003E6BB6"/>
    <w:rsid w:val="003E7236"/>
    <w:rsid w:val="003E7327"/>
    <w:rsid w:val="003E73D6"/>
    <w:rsid w:val="003F0760"/>
    <w:rsid w:val="003F1290"/>
    <w:rsid w:val="003F184D"/>
    <w:rsid w:val="003F1D63"/>
    <w:rsid w:val="003F2114"/>
    <w:rsid w:val="003F2847"/>
    <w:rsid w:val="003F3071"/>
    <w:rsid w:val="003F324C"/>
    <w:rsid w:val="003F3315"/>
    <w:rsid w:val="003F346A"/>
    <w:rsid w:val="003F3963"/>
    <w:rsid w:val="003F3E06"/>
    <w:rsid w:val="003F3F40"/>
    <w:rsid w:val="003F4516"/>
    <w:rsid w:val="003F49C7"/>
    <w:rsid w:val="003F50C8"/>
    <w:rsid w:val="003F50F8"/>
    <w:rsid w:val="003F55EE"/>
    <w:rsid w:val="003F5A98"/>
    <w:rsid w:val="003F5EE9"/>
    <w:rsid w:val="003F62A5"/>
    <w:rsid w:val="003F6A83"/>
    <w:rsid w:val="003F6F7E"/>
    <w:rsid w:val="003F757B"/>
    <w:rsid w:val="003F7633"/>
    <w:rsid w:val="003F792A"/>
    <w:rsid w:val="003F7ADF"/>
    <w:rsid w:val="004000D1"/>
    <w:rsid w:val="00400542"/>
    <w:rsid w:val="004008E2"/>
    <w:rsid w:val="00400A23"/>
    <w:rsid w:val="0040140E"/>
    <w:rsid w:val="00401A62"/>
    <w:rsid w:val="00401D44"/>
    <w:rsid w:val="00402155"/>
    <w:rsid w:val="00402748"/>
    <w:rsid w:val="00402814"/>
    <w:rsid w:val="0040304F"/>
    <w:rsid w:val="0040422C"/>
    <w:rsid w:val="004044E4"/>
    <w:rsid w:val="0040465C"/>
    <w:rsid w:val="00404A45"/>
    <w:rsid w:val="00404C85"/>
    <w:rsid w:val="004051DE"/>
    <w:rsid w:val="004057F5"/>
    <w:rsid w:val="00405DC1"/>
    <w:rsid w:val="004060FE"/>
    <w:rsid w:val="004061F1"/>
    <w:rsid w:val="0040636B"/>
    <w:rsid w:val="00406FB5"/>
    <w:rsid w:val="00407016"/>
    <w:rsid w:val="004073A4"/>
    <w:rsid w:val="00407B0A"/>
    <w:rsid w:val="00407BD2"/>
    <w:rsid w:val="00407D50"/>
    <w:rsid w:val="00407E7B"/>
    <w:rsid w:val="00410114"/>
    <w:rsid w:val="0041017D"/>
    <w:rsid w:val="004107F0"/>
    <w:rsid w:val="00410D98"/>
    <w:rsid w:val="00410FB5"/>
    <w:rsid w:val="00411E7D"/>
    <w:rsid w:val="00412671"/>
    <w:rsid w:val="004126DC"/>
    <w:rsid w:val="00412A94"/>
    <w:rsid w:val="00413230"/>
    <w:rsid w:val="004134D8"/>
    <w:rsid w:val="00413785"/>
    <w:rsid w:val="00413835"/>
    <w:rsid w:val="004138D7"/>
    <w:rsid w:val="00414253"/>
    <w:rsid w:val="0041483F"/>
    <w:rsid w:val="00414DD4"/>
    <w:rsid w:val="00415262"/>
    <w:rsid w:val="0041537E"/>
    <w:rsid w:val="004158C8"/>
    <w:rsid w:val="00415B58"/>
    <w:rsid w:val="00415ECB"/>
    <w:rsid w:val="00415F4F"/>
    <w:rsid w:val="00416018"/>
    <w:rsid w:val="00416121"/>
    <w:rsid w:val="004166A4"/>
    <w:rsid w:val="00416ED1"/>
    <w:rsid w:val="004171A5"/>
    <w:rsid w:val="00417909"/>
    <w:rsid w:val="00417911"/>
    <w:rsid w:val="004179F2"/>
    <w:rsid w:val="00417F3B"/>
    <w:rsid w:val="004208F8"/>
    <w:rsid w:val="004209B4"/>
    <w:rsid w:val="00420AF8"/>
    <w:rsid w:val="00421429"/>
    <w:rsid w:val="00421A34"/>
    <w:rsid w:val="00421B85"/>
    <w:rsid w:val="00422C39"/>
    <w:rsid w:val="00423BC6"/>
    <w:rsid w:val="00423E3E"/>
    <w:rsid w:val="004254CC"/>
    <w:rsid w:val="00425B91"/>
    <w:rsid w:val="004260C9"/>
    <w:rsid w:val="00426305"/>
    <w:rsid w:val="004268EC"/>
    <w:rsid w:val="00426950"/>
    <w:rsid w:val="00426F01"/>
    <w:rsid w:val="00426F89"/>
    <w:rsid w:val="00427223"/>
    <w:rsid w:val="00427A26"/>
    <w:rsid w:val="00430CCB"/>
    <w:rsid w:val="00430DD1"/>
    <w:rsid w:val="004313E3"/>
    <w:rsid w:val="0043170C"/>
    <w:rsid w:val="004318FE"/>
    <w:rsid w:val="00431960"/>
    <w:rsid w:val="00431A83"/>
    <w:rsid w:val="00431D51"/>
    <w:rsid w:val="004320FF"/>
    <w:rsid w:val="0043268D"/>
    <w:rsid w:val="00432AB5"/>
    <w:rsid w:val="004332E7"/>
    <w:rsid w:val="004333CE"/>
    <w:rsid w:val="0043379C"/>
    <w:rsid w:val="004339A7"/>
    <w:rsid w:val="00433A39"/>
    <w:rsid w:val="00433B0D"/>
    <w:rsid w:val="00433E1F"/>
    <w:rsid w:val="004340D2"/>
    <w:rsid w:val="004348D0"/>
    <w:rsid w:val="00434987"/>
    <w:rsid w:val="004349B6"/>
    <w:rsid w:val="004349C6"/>
    <w:rsid w:val="00434D50"/>
    <w:rsid w:val="00434D8F"/>
    <w:rsid w:val="00434EEF"/>
    <w:rsid w:val="00435757"/>
    <w:rsid w:val="0043577D"/>
    <w:rsid w:val="00435DF6"/>
    <w:rsid w:val="00435E33"/>
    <w:rsid w:val="00437634"/>
    <w:rsid w:val="004379F9"/>
    <w:rsid w:val="00437D99"/>
    <w:rsid w:val="00437EE8"/>
    <w:rsid w:val="00440009"/>
    <w:rsid w:val="00440507"/>
    <w:rsid w:val="00440E35"/>
    <w:rsid w:val="00441027"/>
    <w:rsid w:val="004418EC"/>
    <w:rsid w:val="00441E57"/>
    <w:rsid w:val="0044235E"/>
    <w:rsid w:val="004424F3"/>
    <w:rsid w:val="00442503"/>
    <w:rsid w:val="00442C5D"/>
    <w:rsid w:val="004430CF"/>
    <w:rsid w:val="004436B0"/>
    <w:rsid w:val="00443ABE"/>
    <w:rsid w:val="004441B0"/>
    <w:rsid w:val="00444767"/>
    <w:rsid w:val="00444AA9"/>
    <w:rsid w:val="004454F4"/>
    <w:rsid w:val="00445ACB"/>
    <w:rsid w:val="00445C35"/>
    <w:rsid w:val="0044658C"/>
    <w:rsid w:val="004465FA"/>
    <w:rsid w:val="0044708F"/>
    <w:rsid w:val="0044724B"/>
    <w:rsid w:val="0044734E"/>
    <w:rsid w:val="004474C1"/>
    <w:rsid w:val="00450271"/>
    <w:rsid w:val="004503BB"/>
    <w:rsid w:val="00450612"/>
    <w:rsid w:val="00450741"/>
    <w:rsid w:val="00451416"/>
    <w:rsid w:val="00451CB4"/>
    <w:rsid w:val="0045271E"/>
    <w:rsid w:val="00452807"/>
    <w:rsid w:val="0045292A"/>
    <w:rsid w:val="004538FC"/>
    <w:rsid w:val="00453D36"/>
    <w:rsid w:val="004544AA"/>
    <w:rsid w:val="00455347"/>
    <w:rsid w:val="004554C6"/>
    <w:rsid w:val="004556C0"/>
    <w:rsid w:val="004559A7"/>
    <w:rsid w:val="00455AD3"/>
    <w:rsid w:val="00455AEE"/>
    <w:rsid w:val="0045721F"/>
    <w:rsid w:val="00457405"/>
    <w:rsid w:val="004574A2"/>
    <w:rsid w:val="0045765D"/>
    <w:rsid w:val="00457FB3"/>
    <w:rsid w:val="0046210F"/>
    <w:rsid w:val="004621CC"/>
    <w:rsid w:val="00462AEC"/>
    <w:rsid w:val="00462F3D"/>
    <w:rsid w:val="0046353A"/>
    <w:rsid w:val="00463BC6"/>
    <w:rsid w:val="00463BED"/>
    <w:rsid w:val="00463BEF"/>
    <w:rsid w:val="00463CE1"/>
    <w:rsid w:val="004642E5"/>
    <w:rsid w:val="0046491A"/>
    <w:rsid w:val="00464DBE"/>
    <w:rsid w:val="00464E1C"/>
    <w:rsid w:val="004651BF"/>
    <w:rsid w:val="00465696"/>
    <w:rsid w:val="00465818"/>
    <w:rsid w:val="004660BC"/>
    <w:rsid w:val="00466216"/>
    <w:rsid w:val="004670CB"/>
    <w:rsid w:val="00470367"/>
    <w:rsid w:val="004706DE"/>
    <w:rsid w:val="00470753"/>
    <w:rsid w:val="00470900"/>
    <w:rsid w:val="00471178"/>
    <w:rsid w:val="00471478"/>
    <w:rsid w:val="00471B0D"/>
    <w:rsid w:val="0047209C"/>
    <w:rsid w:val="00473689"/>
    <w:rsid w:val="00473A3E"/>
    <w:rsid w:val="00473BD1"/>
    <w:rsid w:val="004741F4"/>
    <w:rsid w:val="00474514"/>
    <w:rsid w:val="00474AA4"/>
    <w:rsid w:val="00474B26"/>
    <w:rsid w:val="0047538C"/>
    <w:rsid w:val="004754D7"/>
    <w:rsid w:val="0047556E"/>
    <w:rsid w:val="00476963"/>
    <w:rsid w:val="00476B6F"/>
    <w:rsid w:val="00477B83"/>
    <w:rsid w:val="00477EEE"/>
    <w:rsid w:val="00480133"/>
    <w:rsid w:val="00480405"/>
    <w:rsid w:val="0048094F"/>
    <w:rsid w:val="00480DB2"/>
    <w:rsid w:val="0048134F"/>
    <w:rsid w:val="004815DA"/>
    <w:rsid w:val="004816D5"/>
    <w:rsid w:val="00481E81"/>
    <w:rsid w:val="00481FD2"/>
    <w:rsid w:val="004820BE"/>
    <w:rsid w:val="004824DB"/>
    <w:rsid w:val="004826FE"/>
    <w:rsid w:val="00482857"/>
    <w:rsid w:val="00482EB5"/>
    <w:rsid w:val="00483506"/>
    <w:rsid w:val="00484E65"/>
    <w:rsid w:val="00485022"/>
    <w:rsid w:val="004854F1"/>
    <w:rsid w:val="004855D9"/>
    <w:rsid w:val="004856E2"/>
    <w:rsid w:val="00485A4A"/>
    <w:rsid w:val="004868DA"/>
    <w:rsid w:val="00486FB6"/>
    <w:rsid w:val="00487559"/>
    <w:rsid w:val="004878E6"/>
    <w:rsid w:val="00487B62"/>
    <w:rsid w:val="00487D3E"/>
    <w:rsid w:val="0049016E"/>
    <w:rsid w:val="0049094C"/>
    <w:rsid w:val="00490F80"/>
    <w:rsid w:val="00491F2B"/>
    <w:rsid w:val="0049223A"/>
    <w:rsid w:val="004922AD"/>
    <w:rsid w:val="004923E5"/>
    <w:rsid w:val="004925F2"/>
    <w:rsid w:val="00492B03"/>
    <w:rsid w:val="00493A21"/>
    <w:rsid w:val="00493D49"/>
    <w:rsid w:val="0049431D"/>
    <w:rsid w:val="00494525"/>
    <w:rsid w:val="00494A03"/>
    <w:rsid w:val="00494EE7"/>
    <w:rsid w:val="004957B8"/>
    <w:rsid w:val="00495AF8"/>
    <w:rsid w:val="00495B9F"/>
    <w:rsid w:val="00495FB1"/>
    <w:rsid w:val="004965C9"/>
    <w:rsid w:val="0049683B"/>
    <w:rsid w:val="00497258"/>
    <w:rsid w:val="004973C5"/>
    <w:rsid w:val="004974FD"/>
    <w:rsid w:val="00497608"/>
    <w:rsid w:val="00497BE9"/>
    <w:rsid w:val="004A04A6"/>
    <w:rsid w:val="004A0B1C"/>
    <w:rsid w:val="004A12E8"/>
    <w:rsid w:val="004A15F1"/>
    <w:rsid w:val="004A175F"/>
    <w:rsid w:val="004A1F30"/>
    <w:rsid w:val="004A2375"/>
    <w:rsid w:val="004A25AC"/>
    <w:rsid w:val="004A25DB"/>
    <w:rsid w:val="004A2C65"/>
    <w:rsid w:val="004A32EB"/>
    <w:rsid w:val="004A3DFF"/>
    <w:rsid w:val="004A4066"/>
    <w:rsid w:val="004A42CD"/>
    <w:rsid w:val="004A48CE"/>
    <w:rsid w:val="004A50F2"/>
    <w:rsid w:val="004A5426"/>
    <w:rsid w:val="004A5739"/>
    <w:rsid w:val="004A5BC0"/>
    <w:rsid w:val="004A5CEB"/>
    <w:rsid w:val="004A5E2F"/>
    <w:rsid w:val="004A5F7C"/>
    <w:rsid w:val="004A6006"/>
    <w:rsid w:val="004A6F71"/>
    <w:rsid w:val="004A6FA9"/>
    <w:rsid w:val="004A7521"/>
    <w:rsid w:val="004B04BE"/>
    <w:rsid w:val="004B0599"/>
    <w:rsid w:val="004B0618"/>
    <w:rsid w:val="004B06F8"/>
    <w:rsid w:val="004B0A0F"/>
    <w:rsid w:val="004B0AC1"/>
    <w:rsid w:val="004B0EE8"/>
    <w:rsid w:val="004B1162"/>
    <w:rsid w:val="004B1186"/>
    <w:rsid w:val="004B1418"/>
    <w:rsid w:val="004B160F"/>
    <w:rsid w:val="004B17D5"/>
    <w:rsid w:val="004B2656"/>
    <w:rsid w:val="004B2D02"/>
    <w:rsid w:val="004B2FB8"/>
    <w:rsid w:val="004B371C"/>
    <w:rsid w:val="004B3DA4"/>
    <w:rsid w:val="004B4103"/>
    <w:rsid w:val="004B448C"/>
    <w:rsid w:val="004B44C4"/>
    <w:rsid w:val="004B48BF"/>
    <w:rsid w:val="004B4E03"/>
    <w:rsid w:val="004B4E42"/>
    <w:rsid w:val="004B52DA"/>
    <w:rsid w:val="004B550B"/>
    <w:rsid w:val="004B5784"/>
    <w:rsid w:val="004B5B1C"/>
    <w:rsid w:val="004B5E2B"/>
    <w:rsid w:val="004B62B2"/>
    <w:rsid w:val="004B6EB2"/>
    <w:rsid w:val="004B6F68"/>
    <w:rsid w:val="004B71ED"/>
    <w:rsid w:val="004B7D36"/>
    <w:rsid w:val="004C01A9"/>
    <w:rsid w:val="004C0217"/>
    <w:rsid w:val="004C0878"/>
    <w:rsid w:val="004C12DD"/>
    <w:rsid w:val="004C17FC"/>
    <w:rsid w:val="004C1C15"/>
    <w:rsid w:val="004C22EF"/>
    <w:rsid w:val="004C2886"/>
    <w:rsid w:val="004C30CE"/>
    <w:rsid w:val="004C3F10"/>
    <w:rsid w:val="004C40BF"/>
    <w:rsid w:val="004C4698"/>
    <w:rsid w:val="004C4B69"/>
    <w:rsid w:val="004C5D74"/>
    <w:rsid w:val="004C5E14"/>
    <w:rsid w:val="004C5E3F"/>
    <w:rsid w:val="004C60E2"/>
    <w:rsid w:val="004C6286"/>
    <w:rsid w:val="004C62E7"/>
    <w:rsid w:val="004C6656"/>
    <w:rsid w:val="004C73EE"/>
    <w:rsid w:val="004C76CC"/>
    <w:rsid w:val="004C7D27"/>
    <w:rsid w:val="004C7DD8"/>
    <w:rsid w:val="004D0845"/>
    <w:rsid w:val="004D11CA"/>
    <w:rsid w:val="004D1723"/>
    <w:rsid w:val="004D19DE"/>
    <w:rsid w:val="004D2350"/>
    <w:rsid w:val="004D3146"/>
    <w:rsid w:val="004D31A4"/>
    <w:rsid w:val="004D352E"/>
    <w:rsid w:val="004D39CE"/>
    <w:rsid w:val="004D3A12"/>
    <w:rsid w:val="004D3B84"/>
    <w:rsid w:val="004D3D35"/>
    <w:rsid w:val="004D4BAE"/>
    <w:rsid w:val="004D548A"/>
    <w:rsid w:val="004D6218"/>
    <w:rsid w:val="004D772A"/>
    <w:rsid w:val="004D7B8C"/>
    <w:rsid w:val="004E0268"/>
    <w:rsid w:val="004E0499"/>
    <w:rsid w:val="004E0F0D"/>
    <w:rsid w:val="004E1225"/>
    <w:rsid w:val="004E153D"/>
    <w:rsid w:val="004E1652"/>
    <w:rsid w:val="004E1A41"/>
    <w:rsid w:val="004E23D4"/>
    <w:rsid w:val="004E27A4"/>
    <w:rsid w:val="004E3CB0"/>
    <w:rsid w:val="004E3D6B"/>
    <w:rsid w:val="004E40A2"/>
    <w:rsid w:val="004E4343"/>
    <w:rsid w:val="004E4435"/>
    <w:rsid w:val="004E4BA2"/>
    <w:rsid w:val="004E5543"/>
    <w:rsid w:val="004E58C1"/>
    <w:rsid w:val="004E6B35"/>
    <w:rsid w:val="004E6C36"/>
    <w:rsid w:val="004E6E31"/>
    <w:rsid w:val="004E6F9D"/>
    <w:rsid w:val="004E7170"/>
    <w:rsid w:val="004E7748"/>
    <w:rsid w:val="004E795B"/>
    <w:rsid w:val="004E7C69"/>
    <w:rsid w:val="004F0406"/>
    <w:rsid w:val="004F080F"/>
    <w:rsid w:val="004F0AB1"/>
    <w:rsid w:val="004F0D07"/>
    <w:rsid w:val="004F1B21"/>
    <w:rsid w:val="004F1DDC"/>
    <w:rsid w:val="004F238A"/>
    <w:rsid w:val="004F2452"/>
    <w:rsid w:val="004F26F3"/>
    <w:rsid w:val="004F2879"/>
    <w:rsid w:val="004F2CB8"/>
    <w:rsid w:val="004F30FD"/>
    <w:rsid w:val="004F33D6"/>
    <w:rsid w:val="004F3592"/>
    <w:rsid w:val="004F37C8"/>
    <w:rsid w:val="004F3A86"/>
    <w:rsid w:val="004F3E05"/>
    <w:rsid w:val="004F4761"/>
    <w:rsid w:val="004F4CB1"/>
    <w:rsid w:val="004F4F9E"/>
    <w:rsid w:val="004F595A"/>
    <w:rsid w:val="004F6007"/>
    <w:rsid w:val="004F655B"/>
    <w:rsid w:val="004F6927"/>
    <w:rsid w:val="004F6C49"/>
    <w:rsid w:val="004F6FFE"/>
    <w:rsid w:val="004F7087"/>
    <w:rsid w:val="004F7970"/>
    <w:rsid w:val="005000D5"/>
    <w:rsid w:val="0050033E"/>
    <w:rsid w:val="005009D5"/>
    <w:rsid w:val="00500B72"/>
    <w:rsid w:val="00500D27"/>
    <w:rsid w:val="005011EF"/>
    <w:rsid w:val="00501490"/>
    <w:rsid w:val="0050153B"/>
    <w:rsid w:val="00501F67"/>
    <w:rsid w:val="00502924"/>
    <w:rsid w:val="005029D1"/>
    <w:rsid w:val="00502BB6"/>
    <w:rsid w:val="00503191"/>
    <w:rsid w:val="00503358"/>
    <w:rsid w:val="00503E08"/>
    <w:rsid w:val="0050440C"/>
    <w:rsid w:val="005044AC"/>
    <w:rsid w:val="00504E4A"/>
    <w:rsid w:val="005051DE"/>
    <w:rsid w:val="005052D0"/>
    <w:rsid w:val="005055D1"/>
    <w:rsid w:val="0050569F"/>
    <w:rsid w:val="005058F5"/>
    <w:rsid w:val="00505973"/>
    <w:rsid w:val="00505A67"/>
    <w:rsid w:val="00505E1D"/>
    <w:rsid w:val="0050601A"/>
    <w:rsid w:val="005063AC"/>
    <w:rsid w:val="00506C8B"/>
    <w:rsid w:val="00507541"/>
    <w:rsid w:val="0050775F"/>
    <w:rsid w:val="005078D2"/>
    <w:rsid w:val="00507D8E"/>
    <w:rsid w:val="0051000F"/>
    <w:rsid w:val="005101A3"/>
    <w:rsid w:val="00510B72"/>
    <w:rsid w:val="0051117C"/>
    <w:rsid w:val="005115B2"/>
    <w:rsid w:val="00511911"/>
    <w:rsid w:val="00511926"/>
    <w:rsid w:val="00511CAE"/>
    <w:rsid w:val="00512934"/>
    <w:rsid w:val="00512C78"/>
    <w:rsid w:val="00513155"/>
    <w:rsid w:val="00513287"/>
    <w:rsid w:val="005134B6"/>
    <w:rsid w:val="005136A1"/>
    <w:rsid w:val="005138BF"/>
    <w:rsid w:val="00513DA6"/>
    <w:rsid w:val="00513DF3"/>
    <w:rsid w:val="00514114"/>
    <w:rsid w:val="005148B8"/>
    <w:rsid w:val="005149A0"/>
    <w:rsid w:val="00514B5B"/>
    <w:rsid w:val="00514BF6"/>
    <w:rsid w:val="00514DC1"/>
    <w:rsid w:val="00515056"/>
    <w:rsid w:val="00515A12"/>
    <w:rsid w:val="00515F96"/>
    <w:rsid w:val="00516283"/>
    <w:rsid w:val="00516669"/>
    <w:rsid w:val="005169A0"/>
    <w:rsid w:val="00516A71"/>
    <w:rsid w:val="00516CA5"/>
    <w:rsid w:val="00517160"/>
    <w:rsid w:val="00517B90"/>
    <w:rsid w:val="00517D74"/>
    <w:rsid w:val="00520A26"/>
    <w:rsid w:val="00520C28"/>
    <w:rsid w:val="005218B5"/>
    <w:rsid w:val="00521AB2"/>
    <w:rsid w:val="00521D21"/>
    <w:rsid w:val="0052227D"/>
    <w:rsid w:val="0052236F"/>
    <w:rsid w:val="00523842"/>
    <w:rsid w:val="00523BB9"/>
    <w:rsid w:val="00523FAB"/>
    <w:rsid w:val="00525AEE"/>
    <w:rsid w:val="00526205"/>
    <w:rsid w:val="00526A32"/>
    <w:rsid w:val="00526AC8"/>
    <w:rsid w:val="00526C93"/>
    <w:rsid w:val="00526F12"/>
    <w:rsid w:val="005274D7"/>
    <w:rsid w:val="00527B0F"/>
    <w:rsid w:val="00527E44"/>
    <w:rsid w:val="00527E89"/>
    <w:rsid w:val="0053024B"/>
    <w:rsid w:val="00530F84"/>
    <w:rsid w:val="00531130"/>
    <w:rsid w:val="0053113B"/>
    <w:rsid w:val="00531340"/>
    <w:rsid w:val="005316B5"/>
    <w:rsid w:val="0053171A"/>
    <w:rsid w:val="00531959"/>
    <w:rsid w:val="005319DE"/>
    <w:rsid w:val="005320F0"/>
    <w:rsid w:val="00532479"/>
    <w:rsid w:val="00532B9F"/>
    <w:rsid w:val="00532E8B"/>
    <w:rsid w:val="00533168"/>
    <w:rsid w:val="005333FA"/>
    <w:rsid w:val="005337E8"/>
    <w:rsid w:val="005339D4"/>
    <w:rsid w:val="00533F17"/>
    <w:rsid w:val="0053453F"/>
    <w:rsid w:val="00534792"/>
    <w:rsid w:val="0053523B"/>
    <w:rsid w:val="0053568F"/>
    <w:rsid w:val="00536446"/>
    <w:rsid w:val="00536593"/>
    <w:rsid w:val="00537021"/>
    <w:rsid w:val="00537775"/>
    <w:rsid w:val="005377F0"/>
    <w:rsid w:val="00537DFC"/>
    <w:rsid w:val="0054162A"/>
    <w:rsid w:val="00542915"/>
    <w:rsid w:val="00542B5D"/>
    <w:rsid w:val="0054405F"/>
    <w:rsid w:val="0054417A"/>
    <w:rsid w:val="0054452C"/>
    <w:rsid w:val="005445AE"/>
    <w:rsid w:val="00545476"/>
    <w:rsid w:val="005455D8"/>
    <w:rsid w:val="00545866"/>
    <w:rsid w:val="005460D4"/>
    <w:rsid w:val="0054641A"/>
    <w:rsid w:val="005465F9"/>
    <w:rsid w:val="00546760"/>
    <w:rsid w:val="005472F1"/>
    <w:rsid w:val="0054752F"/>
    <w:rsid w:val="00547988"/>
    <w:rsid w:val="00547A49"/>
    <w:rsid w:val="00547AA3"/>
    <w:rsid w:val="00547F50"/>
    <w:rsid w:val="00550063"/>
    <w:rsid w:val="00550065"/>
    <w:rsid w:val="00550CB1"/>
    <w:rsid w:val="00551197"/>
    <w:rsid w:val="00551313"/>
    <w:rsid w:val="0055150A"/>
    <w:rsid w:val="00551AB6"/>
    <w:rsid w:val="005522C3"/>
    <w:rsid w:val="00552563"/>
    <w:rsid w:val="00552605"/>
    <w:rsid w:val="00553167"/>
    <w:rsid w:val="005533E0"/>
    <w:rsid w:val="00553FFB"/>
    <w:rsid w:val="00554256"/>
    <w:rsid w:val="005548E3"/>
    <w:rsid w:val="00555BF4"/>
    <w:rsid w:val="00556361"/>
    <w:rsid w:val="005569D9"/>
    <w:rsid w:val="00556AF5"/>
    <w:rsid w:val="00556C6A"/>
    <w:rsid w:val="00560439"/>
    <w:rsid w:val="0056099C"/>
    <w:rsid w:val="00560C2E"/>
    <w:rsid w:val="00561C07"/>
    <w:rsid w:val="005628B5"/>
    <w:rsid w:val="0056313E"/>
    <w:rsid w:val="005636F2"/>
    <w:rsid w:val="00564321"/>
    <w:rsid w:val="00564390"/>
    <w:rsid w:val="005643C7"/>
    <w:rsid w:val="005648C8"/>
    <w:rsid w:val="00565AF4"/>
    <w:rsid w:val="00565DED"/>
    <w:rsid w:val="00566DAC"/>
    <w:rsid w:val="00567083"/>
    <w:rsid w:val="005670D2"/>
    <w:rsid w:val="0056731B"/>
    <w:rsid w:val="005677EA"/>
    <w:rsid w:val="00567B17"/>
    <w:rsid w:val="00567EBE"/>
    <w:rsid w:val="00570905"/>
    <w:rsid w:val="005717B6"/>
    <w:rsid w:val="00571EAF"/>
    <w:rsid w:val="00571F5D"/>
    <w:rsid w:val="00572192"/>
    <w:rsid w:val="0057313F"/>
    <w:rsid w:val="00573229"/>
    <w:rsid w:val="00573B34"/>
    <w:rsid w:val="00573DCE"/>
    <w:rsid w:val="00573FBB"/>
    <w:rsid w:val="00574F29"/>
    <w:rsid w:val="00577174"/>
    <w:rsid w:val="005774F6"/>
    <w:rsid w:val="005776B5"/>
    <w:rsid w:val="005776BC"/>
    <w:rsid w:val="00577AA5"/>
    <w:rsid w:val="00577C23"/>
    <w:rsid w:val="00580083"/>
    <w:rsid w:val="00580229"/>
    <w:rsid w:val="0058022A"/>
    <w:rsid w:val="0058028C"/>
    <w:rsid w:val="005804E2"/>
    <w:rsid w:val="005806B3"/>
    <w:rsid w:val="00581591"/>
    <w:rsid w:val="005817F8"/>
    <w:rsid w:val="005819D5"/>
    <w:rsid w:val="00582125"/>
    <w:rsid w:val="005825CA"/>
    <w:rsid w:val="00582A6D"/>
    <w:rsid w:val="00582ACC"/>
    <w:rsid w:val="0058309D"/>
    <w:rsid w:val="005831D7"/>
    <w:rsid w:val="00583813"/>
    <w:rsid w:val="00583C33"/>
    <w:rsid w:val="00583DFC"/>
    <w:rsid w:val="00583FB2"/>
    <w:rsid w:val="0058487D"/>
    <w:rsid w:val="00584895"/>
    <w:rsid w:val="00584B78"/>
    <w:rsid w:val="00585504"/>
    <w:rsid w:val="005855FF"/>
    <w:rsid w:val="005862F8"/>
    <w:rsid w:val="00586A45"/>
    <w:rsid w:val="0058712F"/>
    <w:rsid w:val="00587FB8"/>
    <w:rsid w:val="005902B0"/>
    <w:rsid w:val="00590CEF"/>
    <w:rsid w:val="00590D05"/>
    <w:rsid w:val="00590F34"/>
    <w:rsid w:val="00591366"/>
    <w:rsid w:val="005916EB"/>
    <w:rsid w:val="00591A0D"/>
    <w:rsid w:val="00591D59"/>
    <w:rsid w:val="00592021"/>
    <w:rsid w:val="0059389E"/>
    <w:rsid w:val="00593DBA"/>
    <w:rsid w:val="00594884"/>
    <w:rsid w:val="00594DCA"/>
    <w:rsid w:val="00595A8E"/>
    <w:rsid w:val="00595C86"/>
    <w:rsid w:val="005960E9"/>
    <w:rsid w:val="005960EA"/>
    <w:rsid w:val="005961B6"/>
    <w:rsid w:val="0059672C"/>
    <w:rsid w:val="00596794"/>
    <w:rsid w:val="00596FBB"/>
    <w:rsid w:val="0059701D"/>
    <w:rsid w:val="005972E8"/>
    <w:rsid w:val="00597547"/>
    <w:rsid w:val="00597815"/>
    <w:rsid w:val="00597DD4"/>
    <w:rsid w:val="00597E88"/>
    <w:rsid w:val="005A04D9"/>
    <w:rsid w:val="005A0E1A"/>
    <w:rsid w:val="005A1092"/>
    <w:rsid w:val="005A181C"/>
    <w:rsid w:val="005A1B47"/>
    <w:rsid w:val="005A1EC8"/>
    <w:rsid w:val="005A1FBA"/>
    <w:rsid w:val="005A2180"/>
    <w:rsid w:val="005A264C"/>
    <w:rsid w:val="005A2873"/>
    <w:rsid w:val="005A2997"/>
    <w:rsid w:val="005A2AF7"/>
    <w:rsid w:val="005A2F59"/>
    <w:rsid w:val="005A4979"/>
    <w:rsid w:val="005A577E"/>
    <w:rsid w:val="005A641B"/>
    <w:rsid w:val="005A64BF"/>
    <w:rsid w:val="005A6FA9"/>
    <w:rsid w:val="005A71A5"/>
    <w:rsid w:val="005A763D"/>
    <w:rsid w:val="005A7968"/>
    <w:rsid w:val="005A7CC5"/>
    <w:rsid w:val="005B035D"/>
    <w:rsid w:val="005B0818"/>
    <w:rsid w:val="005B1049"/>
    <w:rsid w:val="005B1195"/>
    <w:rsid w:val="005B1552"/>
    <w:rsid w:val="005B200D"/>
    <w:rsid w:val="005B2693"/>
    <w:rsid w:val="005B28DF"/>
    <w:rsid w:val="005B2EF9"/>
    <w:rsid w:val="005B2F21"/>
    <w:rsid w:val="005B2F94"/>
    <w:rsid w:val="005B30F3"/>
    <w:rsid w:val="005B3467"/>
    <w:rsid w:val="005B34BD"/>
    <w:rsid w:val="005B404C"/>
    <w:rsid w:val="005B492A"/>
    <w:rsid w:val="005B4E8B"/>
    <w:rsid w:val="005B5812"/>
    <w:rsid w:val="005B614E"/>
    <w:rsid w:val="005B71A9"/>
    <w:rsid w:val="005B7E50"/>
    <w:rsid w:val="005C1461"/>
    <w:rsid w:val="005C1473"/>
    <w:rsid w:val="005C15E0"/>
    <w:rsid w:val="005C1705"/>
    <w:rsid w:val="005C1CF2"/>
    <w:rsid w:val="005C20B9"/>
    <w:rsid w:val="005C2411"/>
    <w:rsid w:val="005C2E1F"/>
    <w:rsid w:val="005C318D"/>
    <w:rsid w:val="005C32CF"/>
    <w:rsid w:val="005C3FB8"/>
    <w:rsid w:val="005C4318"/>
    <w:rsid w:val="005C48B3"/>
    <w:rsid w:val="005C5226"/>
    <w:rsid w:val="005C5885"/>
    <w:rsid w:val="005C5B6F"/>
    <w:rsid w:val="005C62EC"/>
    <w:rsid w:val="005C664B"/>
    <w:rsid w:val="005C6940"/>
    <w:rsid w:val="005C69C9"/>
    <w:rsid w:val="005C6B1F"/>
    <w:rsid w:val="005C6CF0"/>
    <w:rsid w:val="005C6DC1"/>
    <w:rsid w:val="005C715A"/>
    <w:rsid w:val="005C76DE"/>
    <w:rsid w:val="005C78C9"/>
    <w:rsid w:val="005C7F57"/>
    <w:rsid w:val="005D107D"/>
    <w:rsid w:val="005D1C0E"/>
    <w:rsid w:val="005D1FB8"/>
    <w:rsid w:val="005D22CD"/>
    <w:rsid w:val="005D276D"/>
    <w:rsid w:val="005D31BB"/>
    <w:rsid w:val="005D35A5"/>
    <w:rsid w:val="005D3B51"/>
    <w:rsid w:val="005D3D6B"/>
    <w:rsid w:val="005D4603"/>
    <w:rsid w:val="005D5767"/>
    <w:rsid w:val="005D5A16"/>
    <w:rsid w:val="005D6E5A"/>
    <w:rsid w:val="005D71F9"/>
    <w:rsid w:val="005E0CD9"/>
    <w:rsid w:val="005E1114"/>
    <w:rsid w:val="005E119E"/>
    <w:rsid w:val="005E1656"/>
    <w:rsid w:val="005E17CF"/>
    <w:rsid w:val="005E2AEF"/>
    <w:rsid w:val="005E338E"/>
    <w:rsid w:val="005E3524"/>
    <w:rsid w:val="005E3A33"/>
    <w:rsid w:val="005E3FBD"/>
    <w:rsid w:val="005E4388"/>
    <w:rsid w:val="005E4464"/>
    <w:rsid w:val="005E446A"/>
    <w:rsid w:val="005E452A"/>
    <w:rsid w:val="005E4B07"/>
    <w:rsid w:val="005E4BB7"/>
    <w:rsid w:val="005E5159"/>
    <w:rsid w:val="005E57F7"/>
    <w:rsid w:val="005E5831"/>
    <w:rsid w:val="005E59DC"/>
    <w:rsid w:val="005E5CD5"/>
    <w:rsid w:val="005E5DE9"/>
    <w:rsid w:val="005E605B"/>
    <w:rsid w:val="005E676F"/>
    <w:rsid w:val="005E6D8C"/>
    <w:rsid w:val="005E6F91"/>
    <w:rsid w:val="005E719B"/>
    <w:rsid w:val="005E7361"/>
    <w:rsid w:val="005E767E"/>
    <w:rsid w:val="005E7A4A"/>
    <w:rsid w:val="005E7AE6"/>
    <w:rsid w:val="005E7D24"/>
    <w:rsid w:val="005F058F"/>
    <w:rsid w:val="005F0F47"/>
    <w:rsid w:val="005F15C4"/>
    <w:rsid w:val="005F1806"/>
    <w:rsid w:val="005F1DE9"/>
    <w:rsid w:val="005F2470"/>
    <w:rsid w:val="005F253B"/>
    <w:rsid w:val="005F36D7"/>
    <w:rsid w:val="005F3B16"/>
    <w:rsid w:val="005F4228"/>
    <w:rsid w:val="005F4992"/>
    <w:rsid w:val="005F4C92"/>
    <w:rsid w:val="005F4E1D"/>
    <w:rsid w:val="005F5124"/>
    <w:rsid w:val="005F57EC"/>
    <w:rsid w:val="005F588D"/>
    <w:rsid w:val="005F5960"/>
    <w:rsid w:val="005F59BC"/>
    <w:rsid w:val="005F5AD2"/>
    <w:rsid w:val="005F5CF3"/>
    <w:rsid w:val="005F5EDE"/>
    <w:rsid w:val="005F5F76"/>
    <w:rsid w:val="005F5FFB"/>
    <w:rsid w:val="005F66D1"/>
    <w:rsid w:val="005F6CDD"/>
    <w:rsid w:val="005F70CF"/>
    <w:rsid w:val="005F7558"/>
    <w:rsid w:val="0060026D"/>
    <w:rsid w:val="0060070E"/>
    <w:rsid w:val="00601010"/>
    <w:rsid w:val="00601104"/>
    <w:rsid w:val="006017C6"/>
    <w:rsid w:val="006017E1"/>
    <w:rsid w:val="006021E3"/>
    <w:rsid w:val="006032AF"/>
    <w:rsid w:val="00603432"/>
    <w:rsid w:val="006037E4"/>
    <w:rsid w:val="006039B7"/>
    <w:rsid w:val="00603D8B"/>
    <w:rsid w:val="00603DA0"/>
    <w:rsid w:val="006041A8"/>
    <w:rsid w:val="00604387"/>
    <w:rsid w:val="0060460F"/>
    <w:rsid w:val="00604906"/>
    <w:rsid w:val="0060503C"/>
    <w:rsid w:val="0060570A"/>
    <w:rsid w:val="00605D66"/>
    <w:rsid w:val="00605E4C"/>
    <w:rsid w:val="006062DC"/>
    <w:rsid w:val="006063D5"/>
    <w:rsid w:val="00607427"/>
    <w:rsid w:val="00607D6F"/>
    <w:rsid w:val="00610B83"/>
    <w:rsid w:val="00610CDC"/>
    <w:rsid w:val="00610DFB"/>
    <w:rsid w:val="00610E96"/>
    <w:rsid w:val="0061164A"/>
    <w:rsid w:val="0061182E"/>
    <w:rsid w:val="00612772"/>
    <w:rsid w:val="0061280A"/>
    <w:rsid w:val="00613B81"/>
    <w:rsid w:val="00613C45"/>
    <w:rsid w:val="00614A4E"/>
    <w:rsid w:val="00614B27"/>
    <w:rsid w:val="0061592D"/>
    <w:rsid w:val="00615D48"/>
    <w:rsid w:val="00616AD6"/>
    <w:rsid w:val="00616F75"/>
    <w:rsid w:val="006171EA"/>
    <w:rsid w:val="00617AEE"/>
    <w:rsid w:val="00617B35"/>
    <w:rsid w:val="00617E4F"/>
    <w:rsid w:val="00620661"/>
    <w:rsid w:val="0062091C"/>
    <w:rsid w:val="00621239"/>
    <w:rsid w:val="006213B8"/>
    <w:rsid w:val="0062146F"/>
    <w:rsid w:val="00621C8D"/>
    <w:rsid w:val="00621EA1"/>
    <w:rsid w:val="00621FCD"/>
    <w:rsid w:val="0062321C"/>
    <w:rsid w:val="0062459C"/>
    <w:rsid w:val="00624C0D"/>
    <w:rsid w:val="00624EB3"/>
    <w:rsid w:val="0062522D"/>
    <w:rsid w:val="00625518"/>
    <w:rsid w:val="006264A2"/>
    <w:rsid w:val="00626D17"/>
    <w:rsid w:val="0062717E"/>
    <w:rsid w:val="00627334"/>
    <w:rsid w:val="00627AB1"/>
    <w:rsid w:val="00627CAE"/>
    <w:rsid w:val="006300B4"/>
    <w:rsid w:val="00630847"/>
    <w:rsid w:val="006308A4"/>
    <w:rsid w:val="00630E7B"/>
    <w:rsid w:val="00631206"/>
    <w:rsid w:val="00631472"/>
    <w:rsid w:val="0063190F"/>
    <w:rsid w:val="00631A08"/>
    <w:rsid w:val="00631C3F"/>
    <w:rsid w:val="00631D91"/>
    <w:rsid w:val="00632003"/>
    <w:rsid w:val="0063212A"/>
    <w:rsid w:val="006327B8"/>
    <w:rsid w:val="00632BA6"/>
    <w:rsid w:val="00632DA0"/>
    <w:rsid w:val="00633067"/>
    <w:rsid w:val="006335BE"/>
    <w:rsid w:val="00633696"/>
    <w:rsid w:val="0063374D"/>
    <w:rsid w:val="00633767"/>
    <w:rsid w:val="00633C97"/>
    <w:rsid w:val="00634A03"/>
    <w:rsid w:val="00634FA9"/>
    <w:rsid w:val="006358AC"/>
    <w:rsid w:val="00636F3A"/>
    <w:rsid w:val="006370D8"/>
    <w:rsid w:val="00637B43"/>
    <w:rsid w:val="00637EBD"/>
    <w:rsid w:val="00640548"/>
    <w:rsid w:val="0064077F"/>
    <w:rsid w:val="00640787"/>
    <w:rsid w:val="006410FC"/>
    <w:rsid w:val="00641178"/>
    <w:rsid w:val="00641600"/>
    <w:rsid w:val="00641658"/>
    <w:rsid w:val="00641AB1"/>
    <w:rsid w:val="00641C87"/>
    <w:rsid w:val="00641FD8"/>
    <w:rsid w:val="0064229E"/>
    <w:rsid w:val="006428BE"/>
    <w:rsid w:val="00642A9B"/>
    <w:rsid w:val="00642D34"/>
    <w:rsid w:val="00643042"/>
    <w:rsid w:val="0064317D"/>
    <w:rsid w:val="006433C0"/>
    <w:rsid w:val="006435ED"/>
    <w:rsid w:val="0064380C"/>
    <w:rsid w:val="00643D5A"/>
    <w:rsid w:val="00644764"/>
    <w:rsid w:val="006449AF"/>
    <w:rsid w:val="00644E93"/>
    <w:rsid w:val="0064508A"/>
    <w:rsid w:val="00645182"/>
    <w:rsid w:val="00645C2B"/>
    <w:rsid w:val="00645D5F"/>
    <w:rsid w:val="00645E2A"/>
    <w:rsid w:val="00646119"/>
    <w:rsid w:val="006461E5"/>
    <w:rsid w:val="006463CA"/>
    <w:rsid w:val="006466AD"/>
    <w:rsid w:val="00646747"/>
    <w:rsid w:val="00646CB0"/>
    <w:rsid w:val="00646CF8"/>
    <w:rsid w:val="00646F13"/>
    <w:rsid w:val="006470DA"/>
    <w:rsid w:val="00647BFF"/>
    <w:rsid w:val="006506EE"/>
    <w:rsid w:val="00650F18"/>
    <w:rsid w:val="00651A3C"/>
    <w:rsid w:val="006522B9"/>
    <w:rsid w:val="006524BE"/>
    <w:rsid w:val="00652767"/>
    <w:rsid w:val="00652BAB"/>
    <w:rsid w:val="00652E4C"/>
    <w:rsid w:val="00652EF5"/>
    <w:rsid w:val="006533B5"/>
    <w:rsid w:val="0065369D"/>
    <w:rsid w:val="006537B7"/>
    <w:rsid w:val="0065381A"/>
    <w:rsid w:val="006538C0"/>
    <w:rsid w:val="00654026"/>
    <w:rsid w:val="0065412B"/>
    <w:rsid w:val="006544E6"/>
    <w:rsid w:val="00654D81"/>
    <w:rsid w:val="0065595D"/>
    <w:rsid w:val="00655C54"/>
    <w:rsid w:val="00656294"/>
    <w:rsid w:val="00656384"/>
    <w:rsid w:val="00656413"/>
    <w:rsid w:val="0065655F"/>
    <w:rsid w:val="00656595"/>
    <w:rsid w:val="00656BAA"/>
    <w:rsid w:val="00657274"/>
    <w:rsid w:val="00657D9E"/>
    <w:rsid w:val="00657E53"/>
    <w:rsid w:val="00660490"/>
    <w:rsid w:val="006605FB"/>
    <w:rsid w:val="0066093E"/>
    <w:rsid w:val="00660BC2"/>
    <w:rsid w:val="00660BC7"/>
    <w:rsid w:val="00660C51"/>
    <w:rsid w:val="00661141"/>
    <w:rsid w:val="00661C6E"/>
    <w:rsid w:val="00662714"/>
    <w:rsid w:val="00662963"/>
    <w:rsid w:val="00662E0D"/>
    <w:rsid w:val="00662E1B"/>
    <w:rsid w:val="00662E71"/>
    <w:rsid w:val="00662F47"/>
    <w:rsid w:val="006631A2"/>
    <w:rsid w:val="00663337"/>
    <w:rsid w:val="0066334E"/>
    <w:rsid w:val="0066372C"/>
    <w:rsid w:val="00664BC0"/>
    <w:rsid w:val="0066593F"/>
    <w:rsid w:val="00666F16"/>
    <w:rsid w:val="006671B1"/>
    <w:rsid w:val="0066756D"/>
    <w:rsid w:val="00667EB5"/>
    <w:rsid w:val="006705B5"/>
    <w:rsid w:val="00670AD8"/>
    <w:rsid w:val="00670BC6"/>
    <w:rsid w:val="0067101B"/>
    <w:rsid w:val="00671429"/>
    <w:rsid w:val="00671876"/>
    <w:rsid w:val="00671EC2"/>
    <w:rsid w:val="0067217A"/>
    <w:rsid w:val="00672343"/>
    <w:rsid w:val="00673003"/>
    <w:rsid w:val="006733D8"/>
    <w:rsid w:val="00673571"/>
    <w:rsid w:val="006736B3"/>
    <w:rsid w:val="006741AD"/>
    <w:rsid w:val="00674644"/>
    <w:rsid w:val="006746BB"/>
    <w:rsid w:val="006746EE"/>
    <w:rsid w:val="006749C5"/>
    <w:rsid w:val="006759B6"/>
    <w:rsid w:val="00675C2D"/>
    <w:rsid w:val="00675CA7"/>
    <w:rsid w:val="006767B1"/>
    <w:rsid w:val="006769BF"/>
    <w:rsid w:val="00676A80"/>
    <w:rsid w:val="00676E5E"/>
    <w:rsid w:val="0067713D"/>
    <w:rsid w:val="00677BD6"/>
    <w:rsid w:val="0068027C"/>
    <w:rsid w:val="00680649"/>
    <w:rsid w:val="00680A9A"/>
    <w:rsid w:val="00680D1D"/>
    <w:rsid w:val="00680D50"/>
    <w:rsid w:val="00680D97"/>
    <w:rsid w:val="0068118E"/>
    <w:rsid w:val="00681344"/>
    <w:rsid w:val="0068172B"/>
    <w:rsid w:val="006817C7"/>
    <w:rsid w:val="00681E2E"/>
    <w:rsid w:val="00681F98"/>
    <w:rsid w:val="0068203A"/>
    <w:rsid w:val="00682652"/>
    <w:rsid w:val="00682753"/>
    <w:rsid w:val="006828BD"/>
    <w:rsid w:val="0068295F"/>
    <w:rsid w:val="00682A2F"/>
    <w:rsid w:val="006830C4"/>
    <w:rsid w:val="0068389D"/>
    <w:rsid w:val="006845E4"/>
    <w:rsid w:val="00684614"/>
    <w:rsid w:val="00684BB6"/>
    <w:rsid w:val="00684E1C"/>
    <w:rsid w:val="0068501D"/>
    <w:rsid w:val="006851B0"/>
    <w:rsid w:val="00685593"/>
    <w:rsid w:val="0068559F"/>
    <w:rsid w:val="00685864"/>
    <w:rsid w:val="00685DC3"/>
    <w:rsid w:val="00685F9D"/>
    <w:rsid w:val="006869A7"/>
    <w:rsid w:val="006869E2"/>
    <w:rsid w:val="006870AC"/>
    <w:rsid w:val="00690AA2"/>
    <w:rsid w:val="00691011"/>
    <w:rsid w:val="00691774"/>
    <w:rsid w:val="0069187D"/>
    <w:rsid w:val="00691D42"/>
    <w:rsid w:val="00691DD1"/>
    <w:rsid w:val="00691DEA"/>
    <w:rsid w:val="00692754"/>
    <w:rsid w:val="00692C53"/>
    <w:rsid w:val="0069317D"/>
    <w:rsid w:val="006932E5"/>
    <w:rsid w:val="00693425"/>
    <w:rsid w:val="0069355A"/>
    <w:rsid w:val="00694221"/>
    <w:rsid w:val="00694888"/>
    <w:rsid w:val="00694EC0"/>
    <w:rsid w:val="00695080"/>
    <w:rsid w:val="006959B1"/>
    <w:rsid w:val="00695BA9"/>
    <w:rsid w:val="00696140"/>
    <w:rsid w:val="006967C8"/>
    <w:rsid w:val="00696811"/>
    <w:rsid w:val="00696D44"/>
    <w:rsid w:val="006979E3"/>
    <w:rsid w:val="00697B7D"/>
    <w:rsid w:val="006A029E"/>
    <w:rsid w:val="006A0330"/>
    <w:rsid w:val="006A0FC3"/>
    <w:rsid w:val="006A0FDA"/>
    <w:rsid w:val="006A111B"/>
    <w:rsid w:val="006A1734"/>
    <w:rsid w:val="006A17B4"/>
    <w:rsid w:val="006A1A4F"/>
    <w:rsid w:val="006A1BDC"/>
    <w:rsid w:val="006A25B5"/>
    <w:rsid w:val="006A2C1B"/>
    <w:rsid w:val="006A3133"/>
    <w:rsid w:val="006A326A"/>
    <w:rsid w:val="006A361A"/>
    <w:rsid w:val="006A369E"/>
    <w:rsid w:val="006A39A0"/>
    <w:rsid w:val="006A3A3E"/>
    <w:rsid w:val="006A4A3C"/>
    <w:rsid w:val="006A4E3C"/>
    <w:rsid w:val="006A4F6F"/>
    <w:rsid w:val="006A667B"/>
    <w:rsid w:val="006A6E21"/>
    <w:rsid w:val="006A7B3A"/>
    <w:rsid w:val="006A7F82"/>
    <w:rsid w:val="006B02A7"/>
    <w:rsid w:val="006B0500"/>
    <w:rsid w:val="006B065F"/>
    <w:rsid w:val="006B10C5"/>
    <w:rsid w:val="006B117D"/>
    <w:rsid w:val="006B119F"/>
    <w:rsid w:val="006B167B"/>
    <w:rsid w:val="006B17DC"/>
    <w:rsid w:val="006B1BFD"/>
    <w:rsid w:val="006B22D7"/>
    <w:rsid w:val="006B2425"/>
    <w:rsid w:val="006B2762"/>
    <w:rsid w:val="006B2D8C"/>
    <w:rsid w:val="006B4A0F"/>
    <w:rsid w:val="006B500A"/>
    <w:rsid w:val="006B53C9"/>
    <w:rsid w:val="006B6277"/>
    <w:rsid w:val="006B6E06"/>
    <w:rsid w:val="006B6E63"/>
    <w:rsid w:val="006B74ED"/>
    <w:rsid w:val="006B75EF"/>
    <w:rsid w:val="006B7AA6"/>
    <w:rsid w:val="006C07AE"/>
    <w:rsid w:val="006C1CEC"/>
    <w:rsid w:val="006C23F5"/>
    <w:rsid w:val="006C245B"/>
    <w:rsid w:val="006C2A5E"/>
    <w:rsid w:val="006C35EA"/>
    <w:rsid w:val="006C391E"/>
    <w:rsid w:val="006C40CD"/>
    <w:rsid w:val="006C448D"/>
    <w:rsid w:val="006C464B"/>
    <w:rsid w:val="006C4F9C"/>
    <w:rsid w:val="006C578B"/>
    <w:rsid w:val="006C5F30"/>
    <w:rsid w:val="006C6574"/>
    <w:rsid w:val="006C6662"/>
    <w:rsid w:val="006C7048"/>
    <w:rsid w:val="006C738D"/>
    <w:rsid w:val="006C7599"/>
    <w:rsid w:val="006C75F0"/>
    <w:rsid w:val="006C7A77"/>
    <w:rsid w:val="006D0725"/>
    <w:rsid w:val="006D0CD6"/>
    <w:rsid w:val="006D1607"/>
    <w:rsid w:val="006D16B3"/>
    <w:rsid w:val="006D1886"/>
    <w:rsid w:val="006D25B2"/>
    <w:rsid w:val="006D2F52"/>
    <w:rsid w:val="006D345F"/>
    <w:rsid w:val="006D392D"/>
    <w:rsid w:val="006D3E97"/>
    <w:rsid w:val="006D44E9"/>
    <w:rsid w:val="006D464A"/>
    <w:rsid w:val="006D4A68"/>
    <w:rsid w:val="006D682F"/>
    <w:rsid w:val="006D72C7"/>
    <w:rsid w:val="006D79D8"/>
    <w:rsid w:val="006E0247"/>
    <w:rsid w:val="006E0447"/>
    <w:rsid w:val="006E0B8C"/>
    <w:rsid w:val="006E0E6D"/>
    <w:rsid w:val="006E15BC"/>
    <w:rsid w:val="006E1A4A"/>
    <w:rsid w:val="006E20F1"/>
    <w:rsid w:val="006E27E8"/>
    <w:rsid w:val="006E2BD6"/>
    <w:rsid w:val="006E2F94"/>
    <w:rsid w:val="006E3053"/>
    <w:rsid w:val="006E30D3"/>
    <w:rsid w:val="006E3CB0"/>
    <w:rsid w:val="006E4D3F"/>
    <w:rsid w:val="006E4F67"/>
    <w:rsid w:val="006E534C"/>
    <w:rsid w:val="006E57F3"/>
    <w:rsid w:val="006E6150"/>
    <w:rsid w:val="006E6571"/>
    <w:rsid w:val="006E67BC"/>
    <w:rsid w:val="006E742B"/>
    <w:rsid w:val="006E7446"/>
    <w:rsid w:val="006E7662"/>
    <w:rsid w:val="006E798A"/>
    <w:rsid w:val="006E7ACA"/>
    <w:rsid w:val="006E7D5A"/>
    <w:rsid w:val="006E7ED8"/>
    <w:rsid w:val="006F0979"/>
    <w:rsid w:val="006F099D"/>
    <w:rsid w:val="006F09D1"/>
    <w:rsid w:val="006F19B3"/>
    <w:rsid w:val="006F1EFD"/>
    <w:rsid w:val="006F1F8D"/>
    <w:rsid w:val="006F26B4"/>
    <w:rsid w:val="006F344F"/>
    <w:rsid w:val="006F3918"/>
    <w:rsid w:val="006F3DE8"/>
    <w:rsid w:val="006F4376"/>
    <w:rsid w:val="006F48F8"/>
    <w:rsid w:val="006F4A64"/>
    <w:rsid w:val="006F4DAA"/>
    <w:rsid w:val="006F515A"/>
    <w:rsid w:val="006F524F"/>
    <w:rsid w:val="006F577A"/>
    <w:rsid w:val="006F5C4A"/>
    <w:rsid w:val="006F5E6B"/>
    <w:rsid w:val="006F6F9F"/>
    <w:rsid w:val="006F754B"/>
    <w:rsid w:val="006F76B3"/>
    <w:rsid w:val="006F799F"/>
    <w:rsid w:val="006F7A27"/>
    <w:rsid w:val="006F7AF4"/>
    <w:rsid w:val="006F7C1C"/>
    <w:rsid w:val="00700EE4"/>
    <w:rsid w:val="0070163C"/>
    <w:rsid w:val="00701BE5"/>
    <w:rsid w:val="007021CE"/>
    <w:rsid w:val="00702F31"/>
    <w:rsid w:val="0070335A"/>
    <w:rsid w:val="00703B89"/>
    <w:rsid w:val="00705AEE"/>
    <w:rsid w:val="00705B79"/>
    <w:rsid w:val="00706217"/>
    <w:rsid w:val="007069A1"/>
    <w:rsid w:val="00706A05"/>
    <w:rsid w:val="00706A56"/>
    <w:rsid w:val="00706FF2"/>
    <w:rsid w:val="00707066"/>
    <w:rsid w:val="00707280"/>
    <w:rsid w:val="0070739E"/>
    <w:rsid w:val="0070754E"/>
    <w:rsid w:val="0070759E"/>
    <w:rsid w:val="007077D3"/>
    <w:rsid w:val="00710AC0"/>
    <w:rsid w:val="007111BA"/>
    <w:rsid w:val="007112E6"/>
    <w:rsid w:val="0071138C"/>
    <w:rsid w:val="007118F8"/>
    <w:rsid w:val="00711C5A"/>
    <w:rsid w:val="00711D02"/>
    <w:rsid w:val="00712157"/>
    <w:rsid w:val="007127C0"/>
    <w:rsid w:val="00712D2C"/>
    <w:rsid w:val="00713173"/>
    <w:rsid w:val="00713613"/>
    <w:rsid w:val="007137C0"/>
    <w:rsid w:val="0071418E"/>
    <w:rsid w:val="0071447F"/>
    <w:rsid w:val="00714567"/>
    <w:rsid w:val="007148A9"/>
    <w:rsid w:val="00714AFD"/>
    <w:rsid w:val="00714B36"/>
    <w:rsid w:val="00715257"/>
    <w:rsid w:val="0071548D"/>
    <w:rsid w:val="00715954"/>
    <w:rsid w:val="00715C4B"/>
    <w:rsid w:val="00715E8C"/>
    <w:rsid w:val="00715F2B"/>
    <w:rsid w:val="007160D5"/>
    <w:rsid w:val="0071668E"/>
    <w:rsid w:val="0071687B"/>
    <w:rsid w:val="00716B9F"/>
    <w:rsid w:val="00716D7C"/>
    <w:rsid w:val="007176AD"/>
    <w:rsid w:val="00717B6D"/>
    <w:rsid w:val="007215CF"/>
    <w:rsid w:val="0072163A"/>
    <w:rsid w:val="00721EC0"/>
    <w:rsid w:val="00722186"/>
    <w:rsid w:val="00722243"/>
    <w:rsid w:val="007222A2"/>
    <w:rsid w:val="007228D4"/>
    <w:rsid w:val="00722996"/>
    <w:rsid w:val="00722CE5"/>
    <w:rsid w:val="00723C5B"/>
    <w:rsid w:val="0072505E"/>
    <w:rsid w:val="00725A7A"/>
    <w:rsid w:val="007268C6"/>
    <w:rsid w:val="0072746C"/>
    <w:rsid w:val="00727AB7"/>
    <w:rsid w:val="00727B2F"/>
    <w:rsid w:val="00730224"/>
    <w:rsid w:val="00730CFB"/>
    <w:rsid w:val="007310C0"/>
    <w:rsid w:val="007314AA"/>
    <w:rsid w:val="007314B4"/>
    <w:rsid w:val="007322B8"/>
    <w:rsid w:val="00733132"/>
    <w:rsid w:val="00733617"/>
    <w:rsid w:val="0073390C"/>
    <w:rsid w:val="00733A07"/>
    <w:rsid w:val="0073435C"/>
    <w:rsid w:val="00734E7A"/>
    <w:rsid w:val="007351A9"/>
    <w:rsid w:val="00735450"/>
    <w:rsid w:val="00735BA1"/>
    <w:rsid w:val="007366BE"/>
    <w:rsid w:val="00736B2B"/>
    <w:rsid w:val="00740239"/>
    <w:rsid w:val="00740810"/>
    <w:rsid w:val="007420B9"/>
    <w:rsid w:val="0074249B"/>
    <w:rsid w:val="00742F5A"/>
    <w:rsid w:val="007431BA"/>
    <w:rsid w:val="00743609"/>
    <w:rsid w:val="007437D9"/>
    <w:rsid w:val="007437F9"/>
    <w:rsid w:val="00743A16"/>
    <w:rsid w:val="00743B1E"/>
    <w:rsid w:val="00743F8D"/>
    <w:rsid w:val="0074414B"/>
    <w:rsid w:val="00744BE6"/>
    <w:rsid w:val="00745346"/>
    <w:rsid w:val="00745D67"/>
    <w:rsid w:val="00746523"/>
    <w:rsid w:val="0074675C"/>
    <w:rsid w:val="00746ABE"/>
    <w:rsid w:val="00746CF2"/>
    <w:rsid w:val="00747342"/>
    <w:rsid w:val="00747665"/>
    <w:rsid w:val="00747828"/>
    <w:rsid w:val="00750241"/>
    <w:rsid w:val="00751AE0"/>
    <w:rsid w:val="00752033"/>
    <w:rsid w:val="00752D5D"/>
    <w:rsid w:val="00753038"/>
    <w:rsid w:val="007536A3"/>
    <w:rsid w:val="00753E17"/>
    <w:rsid w:val="0075409A"/>
    <w:rsid w:val="00754C41"/>
    <w:rsid w:val="0075511F"/>
    <w:rsid w:val="0075530B"/>
    <w:rsid w:val="00755572"/>
    <w:rsid w:val="007556D0"/>
    <w:rsid w:val="007556D4"/>
    <w:rsid w:val="00755BB7"/>
    <w:rsid w:val="00755BD8"/>
    <w:rsid w:val="00755FF5"/>
    <w:rsid w:val="007561B1"/>
    <w:rsid w:val="00756732"/>
    <w:rsid w:val="0075680E"/>
    <w:rsid w:val="0075680F"/>
    <w:rsid w:val="00756C24"/>
    <w:rsid w:val="00756D73"/>
    <w:rsid w:val="00757642"/>
    <w:rsid w:val="00757E07"/>
    <w:rsid w:val="007602CF"/>
    <w:rsid w:val="0076152B"/>
    <w:rsid w:val="007619DD"/>
    <w:rsid w:val="007619FB"/>
    <w:rsid w:val="00761A6F"/>
    <w:rsid w:val="00761F87"/>
    <w:rsid w:val="00762130"/>
    <w:rsid w:val="007623F9"/>
    <w:rsid w:val="007629E6"/>
    <w:rsid w:val="00763091"/>
    <w:rsid w:val="00763199"/>
    <w:rsid w:val="00763604"/>
    <w:rsid w:val="007639EC"/>
    <w:rsid w:val="0076428E"/>
    <w:rsid w:val="007646CC"/>
    <w:rsid w:val="00765243"/>
    <w:rsid w:val="00765E27"/>
    <w:rsid w:val="0076636D"/>
    <w:rsid w:val="007668DB"/>
    <w:rsid w:val="00766A39"/>
    <w:rsid w:val="0076792C"/>
    <w:rsid w:val="00767A26"/>
    <w:rsid w:val="00767BA4"/>
    <w:rsid w:val="00767BF7"/>
    <w:rsid w:val="00770D77"/>
    <w:rsid w:val="00771A03"/>
    <w:rsid w:val="00771C77"/>
    <w:rsid w:val="00771DAA"/>
    <w:rsid w:val="007722A0"/>
    <w:rsid w:val="0077239B"/>
    <w:rsid w:val="00772A6E"/>
    <w:rsid w:val="00773463"/>
    <w:rsid w:val="0077351F"/>
    <w:rsid w:val="007736C1"/>
    <w:rsid w:val="00773A44"/>
    <w:rsid w:val="00773C70"/>
    <w:rsid w:val="00774665"/>
    <w:rsid w:val="00774D42"/>
    <w:rsid w:val="00775FB5"/>
    <w:rsid w:val="007762D8"/>
    <w:rsid w:val="007769AE"/>
    <w:rsid w:val="00781072"/>
    <w:rsid w:val="007817A1"/>
    <w:rsid w:val="007819CB"/>
    <w:rsid w:val="007819E5"/>
    <w:rsid w:val="00781B89"/>
    <w:rsid w:val="00781C32"/>
    <w:rsid w:val="00782187"/>
    <w:rsid w:val="00782477"/>
    <w:rsid w:val="0078263D"/>
    <w:rsid w:val="00782907"/>
    <w:rsid w:val="00782982"/>
    <w:rsid w:val="00783017"/>
    <w:rsid w:val="0078328D"/>
    <w:rsid w:val="00783EFF"/>
    <w:rsid w:val="007841E8"/>
    <w:rsid w:val="007846A5"/>
    <w:rsid w:val="0078522E"/>
    <w:rsid w:val="007858F1"/>
    <w:rsid w:val="00785AD5"/>
    <w:rsid w:val="00785FC7"/>
    <w:rsid w:val="00786C2B"/>
    <w:rsid w:val="00787D51"/>
    <w:rsid w:val="0079029C"/>
    <w:rsid w:val="00790A25"/>
    <w:rsid w:val="007910C7"/>
    <w:rsid w:val="00792E8E"/>
    <w:rsid w:val="007933E4"/>
    <w:rsid w:val="00793495"/>
    <w:rsid w:val="00794A36"/>
    <w:rsid w:val="00794BBA"/>
    <w:rsid w:val="00794F63"/>
    <w:rsid w:val="007950FC"/>
    <w:rsid w:val="007956F9"/>
    <w:rsid w:val="00795AA4"/>
    <w:rsid w:val="00796236"/>
    <w:rsid w:val="00796266"/>
    <w:rsid w:val="007965D7"/>
    <w:rsid w:val="007978E6"/>
    <w:rsid w:val="007978E8"/>
    <w:rsid w:val="00797AC2"/>
    <w:rsid w:val="007A0607"/>
    <w:rsid w:val="007A0AE5"/>
    <w:rsid w:val="007A0F27"/>
    <w:rsid w:val="007A111A"/>
    <w:rsid w:val="007A2657"/>
    <w:rsid w:val="007A2723"/>
    <w:rsid w:val="007A286E"/>
    <w:rsid w:val="007A2BC7"/>
    <w:rsid w:val="007A2C9C"/>
    <w:rsid w:val="007A2ED8"/>
    <w:rsid w:val="007A42A8"/>
    <w:rsid w:val="007A45D7"/>
    <w:rsid w:val="007A46A1"/>
    <w:rsid w:val="007A4760"/>
    <w:rsid w:val="007A51C3"/>
    <w:rsid w:val="007A52AF"/>
    <w:rsid w:val="007A5657"/>
    <w:rsid w:val="007A5786"/>
    <w:rsid w:val="007A5B75"/>
    <w:rsid w:val="007A5D9E"/>
    <w:rsid w:val="007A5F2B"/>
    <w:rsid w:val="007A60FD"/>
    <w:rsid w:val="007A62E6"/>
    <w:rsid w:val="007A6C06"/>
    <w:rsid w:val="007A7852"/>
    <w:rsid w:val="007A7999"/>
    <w:rsid w:val="007A7C9D"/>
    <w:rsid w:val="007B03F3"/>
    <w:rsid w:val="007B05C8"/>
    <w:rsid w:val="007B0806"/>
    <w:rsid w:val="007B0A5F"/>
    <w:rsid w:val="007B1139"/>
    <w:rsid w:val="007B1C86"/>
    <w:rsid w:val="007B29E0"/>
    <w:rsid w:val="007B2C43"/>
    <w:rsid w:val="007B2EEF"/>
    <w:rsid w:val="007B312C"/>
    <w:rsid w:val="007B33EB"/>
    <w:rsid w:val="007B35B9"/>
    <w:rsid w:val="007B399D"/>
    <w:rsid w:val="007B4038"/>
    <w:rsid w:val="007B47ED"/>
    <w:rsid w:val="007B4F57"/>
    <w:rsid w:val="007B5369"/>
    <w:rsid w:val="007B538A"/>
    <w:rsid w:val="007B54F3"/>
    <w:rsid w:val="007B5FFE"/>
    <w:rsid w:val="007B65D9"/>
    <w:rsid w:val="007B6ECA"/>
    <w:rsid w:val="007B7565"/>
    <w:rsid w:val="007B7970"/>
    <w:rsid w:val="007B7ABC"/>
    <w:rsid w:val="007C01A5"/>
    <w:rsid w:val="007C11BD"/>
    <w:rsid w:val="007C122E"/>
    <w:rsid w:val="007C18C6"/>
    <w:rsid w:val="007C1D84"/>
    <w:rsid w:val="007C1F36"/>
    <w:rsid w:val="007C2254"/>
    <w:rsid w:val="007C2347"/>
    <w:rsid w:val="007C2DD6"/>
    <w:rsid w:val="007C3B1C"/>
    <w:rsid w:val="007C4392"/>
    <w:rsid w:val="007C46D6"/>
    <w:rsid w:val="007C47D8"/>
    <w:rsid w:val="007C50FD"/>
    <w:rsid w:val="007C510E"/>
    <w:rsid w:val="007C51AA"/>
    <w:rsid w:val="007C550C"/>
    <w:rsid w:val="007C557C"/>
    <w:rsid w:val="007C59DB"/>
    <w:rsid w:val="007C5E48"/>
    <w:rsid w:val="007C62E7"/>
    <w:rsid w:val="007C637D"/>
    <w:rsid w:val="007C63B5"/>
    <w:rsid w:val="007C7712"/>
    <w:rsid w:val="007C7B24"/>
    <w:rsid w:val="007C7EDE"/>
    <w:rsid w:val="007D0136"/>
    <w:rsid w:val="007D0694"/>
    <w:rsid w:val="007D0A7A"/>
    <w:rsid w:val="007D0AF8"/>
    <w:rsid w:val="007D1096"/>
    <w:rsid w:val="007D1280"/>
    <w:rsid w:val="007D1A4C"/>
    <w:rsid w:val="007D1E64"/>
    <w:rsid w:val="007D1E9F"/>
    <w:rsid w:val="007D1FB7"/>
    <w:rsid w:val="007D288A"/>
    <w:rsid w:val="007D3177"/>
    <w:rsid w:val="007D34ED"/>
    <w:rsid w:val="007D35B4"/>
    <w:rsid w:val="007D39F3"/>
    <w:rsid w:val="007D3C12"/>
    <w:rsid w:val="007D3E48"/>
    <w:rsid w:val="007D42DD"/>
    <w:rsid w:val="007D4FA0"/>
    <w:rsid w:val="007D59D0"/>
    <w:rsid w:val="007D625B"/>
    <w:rsid w:val="007D6C8E"/>
    <w:rsid w:val="007D7710"/>
    <w:rsid w:val="007E0102"/>
    <w:rsid w:val="007E01F3"/>
    <w:rsid w:val="007E0544"/>
    <w:rsid w:val="007E0A24"/>
    <w:rsid w:val="007E0AB8"/>
    <w:rsid w:val="007E0B83"/>
    <w:rsid w:val="007E0D7F"/>
    <w:rsid w:val="007E0F43"/>
    <w:rsid w:val="007E1344"/>
    <w:rsid w:val="007E137F"/>
    <w:rsid w:val="007E14BA"/>
    <w:rsid w:val="007E1CCE"/>
    <w:rsid w:val="007E1E6A"/>
    <w:rsid w:val="007E2117"/>
    <w:rsid w:val="007E2751"/>
    <w:rsid w:val="007E2E7A"/>
    <w:rsid w:val="007E319D"/>
    <w:rsid w:val="007E348D"/>
    <w:rsid w:val="007E4A1D"/>
    <w:rsid w:val="007E52D6"/>
    <w:rsid w:val="007E54E2"/>
    <w:rsid w:val="007E5BF9"/>
    <w:rsid w:val="007E5F1D"/>
    <w:rsid w:val="007E650F"/>
    <w:rsid w:val="007E6695"/>
    <w:rsid w:val="007E69AC"/>
    <w:rsid w:val="007E6B04"/>
    <w:rsid w:val="007E74F2"/>
    <w:rsid w:val="007E7733"/>
    <w:rsid w:val="007E7B3D"/>
    <w:rsid w:val="007F0345"/>
    <w:rsid w:val="007F0582"/>
    <w:rsid w:val="007F085B"/>
    <w:rsid w:val="007F0EE1"/>
    <w:rsid w:val="007F127B"/>
    <w:rsid w:val="007F1916"/>
    <w:rsid w:val="007F2132"/>
    <w:rsid w:val="007F2D6C"/>
    <w:rsid w:val="007F31AD"/>
    <w:rsid w:val="007F3EBE"/>
    <w:rsid w:val="007F412B"/>
    <w:rsid w:val="007F458A"/>
    <w:rsid w:val="007F495F"/>
    <w:rsid w:val="007F49F0"/>
    <w:rsid w:val="007F4A95"/>
    <w:rsid w:val="007F4CD9"/>
    <w:rsid w:val="007F4D65"/>
    <w:rsid w:val="007F4F44"/>
    <w:rsid w:val="007F53A9"/>
    <w:rsid w:val="007F6B4C"/>
    <w:rsid w:val="007F6CA3"/>
    <w:rsid w:val="007F72F5"/>
    <w:rsid w:val="007F738A"/>
    <w:rsid w:val="007F7441"/>
    <w:rsid w:val="007F7709"/>
    <w:rsid w:val="00800B6B"/>
    <w:rsid w:val="00800B9A"/>
    <w:rsid w:val="00800E70"/>
    <w:rsid w:val="0080110E"/>
    <w:rsid w:val="008016DE"/>
    <w:rsid w:val="0080171D"/>
    <w:rsid w:val="00801D6E"/>
    <w:rsid w:val="008024CC"/>
    <w:rsid w:val="0080290B"/>
    <w:rsid w:val="00802C3C"/>
    <w:rsid w:val="00802D1A"/>
    <w:rsid w:val="008036B0"/>
    <w:rsid w:val="008037F9"/>
    <w:rsid w:val="008038A3"/>
    <w:rsid w:val="00804408"/>
    <w:rsid w:val="00805768"/>
    <w:rsid w:val="008057E0"/>
    <w:rsid w:val="0080588A"/>
    <w:rsid w:val="00806384"/>
    <w:rsid w:val="00806E3C"/>
    <w:rsid w:val="00806EA1"/>
    <w:rsid w:val="00806F06"/>
    <w:rsid w:val="00806F25"/>
    <w:rsid w:val="00806FF7"/>
    <w:rsid w:val="008072A3"/>
    <w:rsid w:val="00807308"/>
    <w:rsid w:val="00807726"/>
    <w:rsid w:val="008100A4"/>
    <w:rsid w:val="008101EC"/>
    <w:rsid w:val="0081177B"/>
    <w:rsid w:val="008117AE"/>
    <w:rsid w:val="00812690"/>
    <w:rsid w:val="00812905"/>
    <w:rsid w:val="00812D82"/>
    <w:rsid w:val="00813214"/>
    <w:rsid w:val="008133B9"/>
    <w:rsid w:val="0081341B"/>
    <w:rsid w:val="0081392F"/>
    <w:rsid w:val="00814407"/>
    <w:rsid w:val="0081507F"/>
    <w:rsid w:val="00815B64"/>
    <w:rsid w:val="00815CF5"/>
    <w:rsid w:val="00815FFB"/>
    <w:rsid w:val="00816ADE"/>
    <w:rsid w:val="00817295"/>
    <w:rsid w:val="00817453"/>
    <w:rsid w:val="00817764"/>
    <w:rsid w:val="00817A49"/>
    <w:rsid w:val="00820238"/>
    <w:rsid w:val="00820B37"/>
    <w:rsid w:val="00820EB5"/>
    <w:rsid w:val="00821072"/>
    <w:rsid w:val="0082108E"/>
    <w:rsid w:val="0082145B"/>
    <w:rsid w:val="00821D9F"/>
    <w:rsid w:val="0082251E"/>
    <w:rsid w:val="00822638"/>
    <w:rsid w:val="008228D1"/>
    <w:rsid w:val="00822DD5"/>
    <w:rsid w:val="00822E23"/>
    <w:rsid w:val="008230C4"/>
    <w:rsid w:val="00823AF2"/>
    <w:rsid w:val="008258A4"/>
    <w:rsid w:val="00825A80"/>
    <w:rsid w:val="00825C02"/>
    <w:rsid w:val="008260A6"/>
    <w:rsid w:val="00826581"/>
    <w:rsid w:val="00826669"/>
    <w:rsid w:val="00827429"/>
    <w:rsid w:val="00827F92"/>
    <w:rsid w:val="00827FE2"/>
    <w:rsid w:val="008302C8"/>
    <w:rsid w:val="008302F4"/>
    <w:rsid w:val="00830816"/>
    <w:rsid w:val="00830B67"/>
    <w:rsid w:val="00830DB5"/>
    <w:rsid w:val="00831CAC"/>
    <w:rsid w:val="00831F54"/>
    <w:rsid w:val="0083224E"/>
    <w:rsid w:val="00832470"/>
    <w:rsid w:val="00832696"/>
    <w:rsid w:val="0083287A"/>
    <w:rsid w:val="00832A5A"/>
    <w:rsid w:val="008337DD"/>
    <w:rsid w:val="00833980"/>
    <w:rsid w:val="00833A9B"/>
    <w:rsid w:val="00833BE8"/>
    <w:rsid w:val="00833EB9"/>
    <w:rsid w:val="00834579"/>
    <w:rsid w:val="008352D5"/>
    <w:rsid w:val="00835888"/>
    <w:rsid w:val="00835D7E"/>
    <w:rsid w:val="00836618"/>
    <w:rsid w:val="0083681B"/>
    <w:rsid w:val="00836E40"/>
    <w:rsid w:val="008370EB"/>
    <w:rsid w:val="00837D56"/>
    <w:rsid w:val="00840F08"/>
    <w:rsid w:val="00841379"/>
    <w:rsid w:val="008414E3"/>
    <w:rsid w:val="0084200D"/>
    <w:rsid w:val="00842488"/>
    <w:rsid w:val="00842AFD"/>
    <w:rsid w:val="00842CC3"/>
    <w:rsid w:val="0084347A"/>
    <w:rsid w:val="00843519"/>
    <w:rsid w:val="00843B29"/>
    <w:rsid w:val="00843D0D"/>
    <w:rsid w:val="00844150"/>
    <w:rsid w:val="008442A6"/>
    <w:rsid w:val="0084445C"/>
    <w:rsid w:val="00844D82"/>
    <w:rsid w:val="00845099"/>
    <w:rsid w:val="008456EB"/>
    <w:rsid w:val="008459FE"/>
    <w:rsid w:val="00845A5B"/>
    <w:rsid w:val="00845AD0"/>
    <w:rsid w:val="00845C7E"/>
    <w:rsid w:val="00845D34"/>
    <w:rsid w:val="0084670A"/>
    <w:rsid w:val="00847026"/>
    <w:rsid w:val="008470F3"/>
    <w:rsid w:val="00850155"/>
    <w:rsid w:val="00850468"/>
    <w:rsid w:val="008507AA"/>
    <w:rsid w:val="00850982"/>
    <w:rsid w:val="00850E91"/>
    <w:rsid w:val="00851519"/>
    <w:rsid w:val="00851603"/>
    <w:rsid w:val="00851AD8"/>
    <w:rsid w:val="008525E8"/>
    <w:rsid w:val="00853226"/>
    <w:rsid w:val="0085338B"/>
    <w:rsid w:val="00853481"/>
    <w:rsid w:val="00853BCD"/>
    <w:rsid w:val="00853DDE"/>
    <w:rsid w:val="008544CD"/>
    <w:rsid w:val="0085513E"/>
    <w:rsid w:val="008551AA"/>
    <w:rsid w:val="0085577E"/>
    <w:rsid w:val="00855ACF"/>
    <w:rsid w:val="0085650D"/>
    <w:rsid w:val="00856812"/>
    <w:rsid w:val="00857198"/>
    <w:rsid w:val="00860CE3"/>
    <w:rsid w:val="00860FBA"/>
    <w:rsid w:val="008614DF"/>
    <w:rsid w:val="00861EF6"/>
    <w:rsid w:val="00862538"/>
    <w:rsid w:val="00862B19"/>
    <w:rsid w:val="00862F60"/>
    <w:rsid w:val="008636A6"/>
    <w:rsid w:val="00863B0D"/>
    <w:rsid w:val="00863B67"/>
    <w:rsid w:val="008642B7"/>
    <w:rsid w:val="0086439D"/>
    <w:rsid w:val="00864F47"/>
    <w:rsid w:val="00864F8D"/>
    <w:rsid w:val="0086567D"/>
    <w:rsid w:val="008658DB"/>
    <w:rsid w:val="008658F1"/>
    <w:rsid w:val="00865DD6"/>
    <w:rsid w:val="00867128"/>
    <w:rsid w:val="00867646"/>
    <w:rsid w:val="00867850"/>
    <w:rsid w:val="00867AC4"/>
    <w:rsid w:val="00867AFD"/>
    <w:rsid w:val="00870B0A"/>
    <w:rsid w:val="00870BB5"/>
    <w:rsid w:val="00870D04"/>
    <w:rsid w:val="00871324"/>
    <w:rsid w:val="00871412"/>
    <w:rsid w:val="00871C36"/>
    <w:rsid w:val="00871E07"/>
    <w:rsid w:val="00871FC4"/>
    <w:rsid w:val="00872B23"/>
    <w:rsid w:val="00872BA2"/>
    <w:rsid w:val="00872E3B"/>
    <w:rsid w:val="00873198"/>
    <w:rsid w:val="008733C0"/>
    <w:rsid w:val="00873487"/>
    <w:rsid w:val="00873704"/>
    <w:rsid w:val="00873E0C"/>
    <w:rsid w:val="00873EC3"/>
    <w:rsid w:val="00874403"/>
    <w:rsid w:val="0087453D"/>
    <w:rsid w:val="00874CF9"/>
    <w:rsid w:val="00874E3B"/>
    <w:rsid w:val="00874F54"/>
    <w:rsid w:val="00874F78"/>
    <w:rsid w:val="0087539E"/>
    <w:rsid w:val="00875899"/>
    <w:rsid w:val="00875D2F"/>
    <w:rsid w:val="00875FD2"/>
    <w:rsid w:val="00876024"/>
    <w:rsid w:val="00876685"/>
    <w:rsid w:val="00876AC0"/>
    <w:rsid w:val="00877028"/>
    <w:rsid w:val="0087795A"/>
    <w:rsid w:val="00877E3D"/>
    <w:rsid w:val="00877E5C"/>
    <w:rsid w:val="0088101D"/>
    <w:rsid w:val="008815A1"/>
    <w:rsid w:val="008816CE"/>
    <w:rsid w:val="0088171F"/>
    <w:rsid w:val="008821AB"/>
    <w:rsid w:val="00882825"/>
    <w:rsid w:val="008833B7"/>
    <w:rsid w:val="0088393B"/>
    <w:rsid w:val="00883B33"/>
    <w:rsid w:val="00883D46"/>
    <w:rsid w:val="00883E13"/>
    <w:rsid w:val="00884E03"/>
    <w:rsid w:val="00885009"/>
    <w:rsid w:val="0088526C"/>
    <w:rsid w:val="00885A1D"/>
    <w:rsid w:val="00885FA7"/>
    <w:rsid w:val="00886015"/>
    <w:rsid w:val="00886883"/>
    <w:rsid w:val="00887282"/>
    <w:rsid w:val="008875CD"/>
    <w:rsid w:val="00887BDB"/>
    <w:rsid w:val="00887C64"/>
    <w:rsid w:val="00887D26"/>
    <w:rsid w:val="008909F4"/>
    <w:rsid w:val="00890C0C"/>
    <w:rsid w:val="00891924"/>
    <w:rsid w:val="00891994"/>
    <w:rsid w:val="00891E00"/>
    <w:rsid w:val="0089208D"/>
    <w:rsid w:val="00892212"/>
    <w:rsid w:val="008924AF"/>
    <w:rsid w:val="00892928"/>
    <w:rsid w:val="008929C5"/>
    <w:rsid w:val="00892F90"/>
    <w:rsid w:val="008930A1"/>
    <w:rsid w:val="008930CA"/>
    <w:rsid w:val="00893786"/>
    <w:rsid w:val="00893F20"/>
    <w:rsid w:val="0089454F"/>
    <w:rsid w:val="00894FC6"/>
    <w:rsid w:val="00895771"/>
    <w:rsid w:val="00895B90"/>
    <w:rsid w:val="00895F1B"/>
    <w:rsid w:val="00896F1B"/>
    <w:rsid w:val="00896FCD"/>
    <w:rsid w:val="008970A8"/>
    <w:rsid w:val="008972C4"/>
    <w:rsid w:val="00897B5C"/>
    <w:rsid w:val="00897D19"/>
    <w:rsid w:val="00897DFF"/>
    <w:rsid w:val="00897F51"/>
    <w:rsid w:val="008A0071"/>
    <w:rsid w:val="008A03C5"/>
    <w:rsid w:val="008A0C68"/>
    <w:rsid w:val="008A1883"/>
    <w:rsid w:val="008A196D"/>
    <w:rsid w:val="008A23E5"/>
    <w:rsid w:val="008A2505"/>
    <w:rsid w:val="008A26E0"/>
    <w:rsid w:val="008A289A"/>
    <w:rsid w:val="008A2F62"/>
    <w:rsid w:val="008A3021"/>
    <w:rsid w:val="008A30DB"/>
    <w:rsid w:val="008A3C30"/>
    <w:rsid w:val="008A3CDA"/>
    <w:rsid w:val="008A40DF"/>
    <w:rsid w:val="008A4367"/>
    <w:rsid w:val="008A4539"/>
    <w:rsid w:val="008A4D83"/>
    <w:rsid w:val="008A4E8D"/>
    <w:rsid w:val="008A5387"/>
    <w:rsid w:val="008A565D"/>
    <w:rsid w:val="008A5CDD"/>
    <w:rsid w:val="008A5CF3"/>
    <w:rsid w:val="008A5ED7"/>
    <w:rsid w:val="008A6000"/>
    <w:rsid w:val="008A64A6"/>
    <w:rsid w:val="008A6DAA"/>
    <w:rsid w:val="008A71BF"/>
    <w:rsid w:val="008A723A"/>
    <w:rsid w:val="008A7953"/>
    <w:rsid w:val="008A795B"/>
    <w:rsid w:val="008A7B04"/>
    <w:rsid w:val="008B0352"/>
    <w:rsid w:val="008B03AF"/>
    <w:rsid w:val="008B0476"/>
    <w:rsid w:val="008B066E"/>
    <w:rsid w:val="008B0804"/>
    <w:rsid w:val="008B0B05"/>
    <w:rsid w:val="008B0B4C"/>
    <w:rsid w:val="008B0EBD"/>
    <w:rsid w:val="008B1369"/>
    <w:rsid w:val="008B1E06"/>
    <w:rsid w:val="008B3191"/>
    <w:rsid w:val="008B3E9C"/>
    <w:rsid w:val="008B443A"/>
    <w:rsid w:val="008B4592"/>
    <w:rsid w:val="008B5321"/>
    <w:rsid w:val="008B6421"/>
    <w:rsid w:val="008B6827"/>
    <w:rsid w:val="008B6EB9"/>
    <w:rsid w:val="008B74E5"/>
    <w:rsid w:val="008B76A5"/>
    <w:rsid w:val="008B7AEC"/>
    <w:rsid w:val="008C0F39"/>
    <w:rsid w:val="008C0F45"/>
    <w:rsid w:val="008C1E9D"/>
    <w:rsid w:val="008C217A"/>
    <w:rsid w:val="008C26F2"/>
    <w:rsid w:val="008C2A2C"/>
    <w:rsid w:val="008C2BD3"/>
    <w:rsid w:val="008C336D"/>
    <w:rsid w:val="008C3D59"/>
    <w:rsid w:val="008C4638"/>
    <w:rsid w:val="008C46D3"/>
    <w:rsid w:val="008C503F"/>
    <w:rsid w:val="008C51DD"/>
    <w:rsid w:val="008C5407"/>
    <w:rsid w:val="008C55F1"/>
    <w:rsid w:val="008C6189"/>
    <w:rsid w:val="008C61E4"/>
    <w:rsid w:val="008C694C"/>
    <w:rsid w:val="008C7168"/>
    <w:rsid w:val="008C7383"/>
    <w:rsid w:val="008C765D"/>
    <w:rsid w:val="008C7774"/>
    <w:rsid w:val="008C77D3"/>
    <w:rsid w:val="008C7D80"/>
    <w:rsid w:val="008C7F40"/>
    <w:rsid w:val="008C7FBF"/>
    <w:rsid w:val="008D23E4"/>
    <w:rsid w:val="008D24F3"/>
    <w:rsid w:val="008D2938"/>
    <w:rsid w:val="008D29B3"/>
    <w:rsid w:val="008D2A15"/>
    <w:rsid w:val="008D2DEB"/>
    <w:rsid w:val="008D3D06"/>
    <w:rsid w:val="008D3D8D"/>
    <w:rsid w:val="008D47A0"/>
    <w:rsid w:val="008D47CC"/>
    <w:rsid w:val="008D4CAD"/>
    <w:rsid w:val="008D4D8D"/>
    <w:rsid w:val="008D56BF"/>
    <w:rsid w:val="008D6573"/>
    <w:rsid w:val="008D66B0"/>
    <w:rsid w:val="008D6D09"/>
    <w:rsid w:val="008D717A"/>
    <w:rsid w:val="008D731D"/>
    <w:rsid w:val="008D7A3E"/>
    <w:rsid w:val="008D7FFD"/>
    <w:rsid w:val="008E0124"/>
    <w:rsid w:val="008E098E"/>
    <w:rsid w:val="008E1564"/>
    <w:rsid w:val="008E2119"/>
    <w:rsid w:val="008E2E52"/>
    <w:rsid w:val="008E2FB8"/>
    <w:rsid w:val="008E304C"/>
    <w:rsid w:val="008E3096"/>
    <w:rsid w:val="008E3467"/>
    <w:rsid w:val="008E4550"/>
    <w:rsid w:val="008E4BB9"/>
    <w:rsid w:val="008E4BEB"/>
    <w:rsid w:val="008E5CE3"/>
    <w:rsid w:val="008E5F60"/>
    <w:rsid w:val="008E6116"/>
    <w:rsid w:val="008E661F"/>
    <w:rsid w:val="008E6919"/>
    <w:rsid w:val="008E6AFB"/>
    <w:rsid w:val="008E7085"/>
    <w:rsid w:val="008E792D"/>
    <w:rsid w:val="008E797D"/>
    <w:rsid w:val="008F0338"/>
    <w:rsid w:val="008F0DD0"/>
    <w:rsid w:val="008F1015"/>
    <w:rsid w:val="008F15D7"/>
    <w:rsid w:val="008F1719"/>
    <w:rsid w:val="008F172B"/>
    <w:rsid w:val="008F1F34"/>
    <w:rsid w:val="008F204E"/>
    <w:rsid w:val="008F232F"/>
    <w:rsid w:val="008F2494"/>
    <w:rsid w:val="008F2F0F"/>
    <w:rsid w:val="008F3001"/>
    <w:rsid w:val="008F3354"/>
    <w:rsid w:val="008F44B1"/>
    <w:rsid w:val="008F4669"/>
    <w:rsid w:val="008F46D7"/>
    <w:rsid w:val="008F472E"/>
    <w:rsid w:val="008F49D2"/>
    <w:rsid w:val="008F5187"/>
    <w:rsid w:val="008F5B58"/>
    <w:rsid w:val="008F67E7"/>
    <w:rsid w:val="008F6AE0"/>
    <w:rsid w:val="009002C0"/>
    <w:rsid w:val="00900FC2"/>
    <w:rsid w:val="0090102E"/>
    <w:rsid w:val="00901B30"/>
    <w:rsid w:val="00902014"/>
    <w:rsid w:val="00902F1C"/>
    <w:rsid w:val="00903600"/>
    <w:rsid w:val="00903E6E"/>
    <w:rsid w:val="00903FBC"/>
    <w:rsid w:val="009040D6"/>
    <w:rsid w:val="00904D48"/>
    <w:rsid w:val="00904D75"/>
    <w:rsid w:val="009056F4"/>
    <w:rsid w:val="00905A21"/>
    <w:rsid w:val="00905B9D"/>
    <w:rsid w:val="0090695C"/>
    <w:rsid w:val="009070EC"/>
    <w:rsid w:val="00907412"/>
    <w:rsid w:val="0090745E"/>
    <w:rsid w:val="009078A8"/>
    <w:rsid w:val="00907971"/>
    <w:rsid w:val="00907BE9"/>
    <w:rsid w:val="00907DFB"/>
    <w:rsid w:val="00910270"/>
    <w:rsid w:val="009102C6"/>
    <w:rsid w:val="00910B41"/>
    <w:rsid w:val="00910B96"/>
    <w:rsid w:val="00910FAF"/>
    <w:rsid w:val="009116DC"/>
    <w:rsid w:val="00911ACB"/>
    <w:rsid w:val="00911B1E"/>
    <w:rsid w:val="00912E3F"/>
    <w:rsid w:val="00912E7D"/>
    <w:rsid w:val="00913971"/>
    <w:rsid w:val="00913EDF"/>
    <w:rsid w:val="009140DE"/>
    <w:rsid w:val="009141A9"/>
    <w:rsid w:val="009142E9"/>
    <w:rsid w:val="00914828"/>
    <w:rsid w:val="00914AD2"/>
    <w:rsid w:val="00914CDB"/>
    <w:rsid w:val="00915072"/>
    <w:rsid w:val="00915074"/>
    <w:rsid w:val="00915589"/>
    <w:rsid w:val="00915C03"/>
    <w:rsid w:val="00915CFF"/>
    <w:rsid w:val="0091667C"/>
    <w:rsid w:val="009169C2"/>
    <w:rsid w:val="00916D84"/>
    <w:rsid w:val="009173F7"/>
    <w:rsid w:val="00920F45"/>
    <w:rsid w:val="00920F88"/>
    <w:rsid w:val="009223DF"/>
    <w:rsid w:val="009224DC"/>
    <w:rsid w:val="009228E1"/>
    <w:rsid w:val="00922AAE"/>
    <w:rsid w:val="009238F5"/>
    <w:rsid w:val="009238FF"/>
    <w:rsid w:val="009241E1"/>
    <w:rsid w:val="009242D7"/>
    <w:rsid w:val="00924938"/>
    <w:rsid w:val="00924DCF"/>
    <w:rsid w:val="00925B7D"/>
    <w:rsid w:val="00925D05"/>
    <w:rsid w:val="009267F6"/>
    <w:rsid w:val="00926D33"/>
    <w:rsid w:val="00927422"/>
    <w:rsid w:val="00927713"/>
    <w:rsid w:val="00927EC8"/>
    <w:rsid w:val="0093007F"/>
    <w:rsid w:val="00930456"/>
    <w:rsid w:val="00930ACE"/>
    <w:rsid w:val="00932201"/>
    <w:rsid w:val="00932D81"/>
    <w:rsid w:val="009333AD"/>
    <w:rsid w:val="0093467B"/>
    <w:rsid w:val="00934FD6"/>
    <w:rsid w:val="00935181"/>
    <w:rsid w:val="0093525D"/>
    <w:rsid w:val="0093587D"/>
    <w:rsid w:val="00935CEF"/>
    <w:rsid w:val="00935ED9"/>
    <w:rsid w:val="009367AD"/>
    <w:rsid w:val="00936D13"/>
    <w:rsid w:val="009370D4"/>
    <w:rsid w:val="009374DA"/>
    <w:rsid w:val="00937594"/>
    <w:rsid w:val="0093760A"/>
    <w:rsid w:val="00937898"/>
    <w:rsid w:val="00937B67"/>
    <w:rsid w:val="00940485"/>
    <w:rsid w:val="0094296B"/>
    <w:rsid w:val="00942E4A"/>
    <w:rsid w:val="00942E8D"/>
    <w:rsid w:val="009432A8"/>
    <w:rsid w:val="0094337A"/>
    <w:rsid w:val="009435B0"/>
    <w:rsid w:val="00943A87"/>
    <w:rsid w:val="009446E2"/>
    <w:rsid w:val="009452E2"/>
    <w:rsid w:val="00945446"/>
    <w:rsid w:val="009455A6"/>
    <w:rsid w:val="00945C3F"/>
    <w:rsid w:val="00945DD4"/>
    <w:rsid w:val="009464BF"/>
    <w:rsid w:val="00946730"/>
    <w:rsid w:val="009468B3"/>
    <w:rsid w:val="00947054"/>
    <w:rsid w:val="0094708D"/>
    <w:rsid w:val="0094787B"/>
    <w:rsid w:val="00947C5C"/>
    <w:rsid w:val="00947EF4"/>
    <w:rsid w:val="009513CA"/>
    <w:rsid w:val="009514D2"/>
    <w:rsid w:val="00951F52"/>
    <w:rsid w:val="00952CC3"/>
    <w:rsid w:val="00952D0E"/>
    <w:rsid w:val="00952F1C"/>
    <w:rsid w:val="00953023"/>
    <w:rsid w:val="0095605B"/>
    <w:rsid w:val="0095652E"/>
    <w:rsid w:val="00956FC2"/>
    <w:rsid w:val="00957C3E"/>
    <w:rsid w:val="0096083C"/>
    <w:rsid w:val="00960C6C"/>
    <w:rsid w:val="00960CD5"/>
    <w:rsid w:val="00960D81"/>
    <w:rsid w:val="009617C7"/>
    <w:rsid w:val="00961A8F"/>
    <w:rsid w:val="00961AD0"/>
    <w:rsid w:val="00961DCE"/>
    <w:rsid w:val="009622F5"/>
    <w:rsid w:val="009633F9"/>
    <w:rsid w:val="00963FB7"/>
    <w:rsid w:val="00964799"/>
    <w:rsid w:val="00964938"/>
    <w:rsid w:val="00964C89"/>
    <w:rsid w:val="00965131"/>
    <w:rsid w:val="00965714"/>
    <w:rsid w:val="00965A1E"/>
    <w:rsid w:val="00965DBF"/>
    <w:rsid w:val="00965E9D"/>
    <w:rsid w:val="0096610F"/>
    <w:rsid w:val="009661C8"/>
    <w:rsid w:val="00966404"/>
    <w:rsid w:val="00966A92"/>
    <w:rsid w:val="009676C8"/>
    <w:rsid w:val="00970039"/>
    <w:rsid w:val="0097053B"/>
    <w:rsid w:val="00971458"/>
    <w:rsid w:val="009719E6"/>
    <w:rsid w:val="00971DAB"/>
    <w:rsid w:val="00971F38"/>
    <w:rsid w:val="00972576"/>
    <w:rsid w:val="00972920"/>
    <w:rsid w:val="00972B12"/>
    <w:rsid w:val="009730C1"/>
    <w:rsid w:val="00973593"/>
    <w:rsid w:val="00973B65"/>
    <w:rsid w:val="00974025"/>
    <w:rsid w:val="00974521"/>
    <w:rsid w:val="009746DD"/>
    <w:rsid w:val="00974D2A"/>
    <w:rsid w:val="00975CA7"/>
    <w:rsid w:val="00976775"/>
    <w:rsid w:val="009770D7"/>
    <w:rsid w:val="00977271"/>
    <w:rsid w:val="00977A30"/>
    <w:rsid w:val="00977B5C"/>
    <w:rsid w:val="00977E24"/>
    <w:rsid w:val="00980A97"/>
    <w:rsid w:val="00980CEE"/>
    <w:rsid w:val="00980EB6"/>
    <w:rsid w:val="00980FFA"/>
    <w:rsid w:val="009811B5"/>
    <w:rsid w:val="00981775"/>
    <w:rsid w:val="00981896"/>
    <w:rsid w:val="00981DD4"/>
    <w:rsid w:val="009823D4"/>
    <w:rsid w:val="00982732"/>
    <w:rsid w:val="00983BCC"/>
    <w:rsid w:val="00983F19"/>
    <w:rsid w:val="00983F86"/>
    <w:rsid w:val="009841B5"/>
    <w:rsid w:val="00984BE5"/>
    <w:rsid w:val="00984CE5"/>
    <w:rsid w:val="00984FF0"/>
    <w:rsid w:val="00985CEE"/>
    <w:rsid w:val="00987057"/>
    <w:rsid w:val="00987AC9"/>
    <w:rsid w:val="009905D2"/>
    <w:rsid w:val="00990BB3"/>
    <w:rsid w:val="00990E24"/>
    <w:rsid w:val="009915CC"/>
    <w:rsid w:val="0099273E"/>
    <w:rsid w:val="00992923"/>
    <w:rsid w:val="0099293C"/>
    <w:rsid w:val="00992C67"/>
    <w:rsid w:val="00992F19"/>
    <w:rsid w:val="0099325E"/>
    <w:rsid w:val="009936E4"/>
    <w:rsid w:val="0099390E"/>
    <w:rsid w:val="0099453C"/>
    <w:rsid w:val="00994EEA"/>
    <w:rsid w:val="00995692"/>
    <w:rsid w:val="00995820"/>
    <w:rsid w:val="00995A84"/>
    <w:rsid w:val="00996434"/>
    <w:rsid w:val="00996958"/>
    <w:rsid w:val="00996E02"/>
    <w:rsid w:val="009973FF"/>
    <w:rsid w:val="009A0EDC"/>
    <w:rsid w:val="009A1E3B"/>
    <w:rsid w:val="009A3D72"/>
    <w:rsid w:val="009A3E19"/>
    <w:rsid w:val="009A3F93"/>
    <w:rsid w:val="009A4941"/>
    <w:rsid w:val="009A4A67"/>
    <w:rsid w:val="009A556B"/>
    <w:rsid w:val="009A62EC"/>
    <w:rsid w:val="009A6968"/>
    <w:rsid w:val="009A711A"/>
    <w:rsid w:val="009B05A7"/>
    <w:rsid w:val="009B15B3"/>
    <w:rsid w:val="009B1A0B"/>
    <w:rsid w:val="009B1D9A"/>
    <w:rsid w:val="009B20A9"/>
    <w:rsid w:val="009B218D"/>
    <w:rsid w:val="009B22D0"/>
    <w:rsid w:val="009B22F1"/>
    <w:rsid w:val="009B2A74"/>
    <w:rsid w:val="009B3E0B"/>
    <w:rsid w:val="009B4155"/>
    <w:rsid w:val="009B45AB"/>
    <w:rsid w:val="009B4997"/>
    <w:rsid w:val="009B5812"/>
    <w:rsid w:val="009B5D70"/>
    <w:rsid w:val="009B5DC1"/>
    <w:rsid w:val="009B670A"/>
    <w:rsid w:val="009B6D67"/>
    <w:rsid w:val="009B7DE6"/>
    <w:rsid w:val="009C00C4"/>
    <w:rsid w:val="009C06EF"/>
    <w:rsid w:val="009C0F25"/>
    <w:rsid w:val="009C10CF"/>
    <w:rsid w:val="009C22E2"/>
    <w:rsid w:val="009C235D"/>
    <w:rsid w:val="009C289F"/>
    <w:rsid w:val="009C28B0"/>
    <w:rsid w:val="009C2DB3"/>
    <w:rsid w:val="009C2DB8"/>
    <w:rsid w:val="009C39DF"/>
    <w:rsid w:val="009C3ED0"/>
    <w:rsid w:val="009C4D0F"/>
    <w:rsid w:val="009C5508"/>
    <w:rsid w:val="009C5B00"/>
    <w:rsid w:val="009C609C"/>
    <w:rsid w:val="009C6AA2"/>
    <w:rsid w:val="009C728B"/>
    <w:rsid w:val="009C7413"/>
    <w:rsid w:val="009C7487"/>
    <w:rsid w:val="009D03FF"/>
    <w:rsid w:val="009D0430"/>
    <w:rsid w:val="009D04B2"/>
    <w:rsid w:val="009D06D1"/>
    <w:rsid w:val="009D07BA"/>
    <w:rsid w:val="009D0A3A"/>
    <w:rsid w:val="009D1B30"/>
    <w:rsid w:val="009D2303"/>
    <w:rsid w:val="009D278A"/>
    <w:rsid w:val="009D2D9C"/>
    <w:rsid w:val="009D2EFD"/>
    <w:rsid w:val="009D2FB0"/>
    <w:rsid w:val="009D2FD3"/>
    <w:rsid w:val="009D3049"/>
    <w:rsid w:val="009D3109"/>
    <w:rsid w:val="009D3B40"/>
    <w:rsid w:val="009D410D"/>
    <w:rsid w:val="009D475B"/>
    <w:rsid w:val="009D4B94"/>
    <w:rsid w:val="009D50CE"/>
    <w:rsid w:val="009D518D"/>
    <w:rsid w:val="009D569B"/>
    <w:rsid w:val="009D57C8"/>
    <w:rsid w:val="009D5861"/>
    <w:rsid w:val="009D5A22"/>
    <w:rsid w:val="009D6631"/>
    <w:rsid w:val="009D6B67"/>
    <w:rsid w:val="009D6CF4"/>
    <w:rsid w:val="009D712D"/>
    <w:rsid w:val="009D7712"/>
    <w:rsid w:val="009E0064"/>
    <w:rsid w:val="009E0D3F"/>
    <w:rsid w:val="009E1137"/>
    <w:rsid w:val="009E13F6"/>
    <w:rsid w:val="009E164A"/>
    <w:rsid w:val="009E18D3"/>
    <w:rsid w:val="009E1B64"/>
    <w:rsid w:val="009E237A"/>
    <w:rsid w:val="009E3C8F"/>
    <w:rsid w:val="009E404E"/>
    <w:rsid w:val="009E47A2"/>
    <w:rsid w:val="009E4930"/>
    <w:rsid w:val="009E4950"/>
    <w:rsid w:val="009E4A7B"/>
    <w:rsid w:val="009E4DAE"/>
    <w:rsid w:val="009E504A"/>
    <w:rsid w:val="009E5265"/>
    <w:rsid w:val="009E6121"/>
    <w:rsid w:val="009E700A"/>
    <w:rsid w:val="009E79C2"/>
    <w:rsid w:val="009F01B0"/>
    <w:rsid w:val="009F0257"/>
    <w:rsid w:val="009F0355"/>
    <w:rsid w:val="009F055E"/>
    <w:rsid w:val="009F0C84"/>
    <w:rsid w:val="009F0ECF"/>
    <w:rsid w:val="009F16D1"/>
    <w:rsid w:val="009F1AF4"/>
    <w:rsid w:val="009F1E37"/>
    <w:rsid w:val="009F1F61"/>
    <w:rsid w:val="009F239E"/>
    <w:rsid w:val="009F2563"/>
    <w:rsid w:val="009F2F75"/>
    <w:rsid w:val="009F30C0"/>
    <w:rsid w:val="009F39D9"/>
    <w:rsid w:val="009F3C4F"/>
    <w:rsid w:val="009F3E8A"/>
    <w:rsid w:val="009F4377"/>
    <w:rsid w:val="009F4DD8"/>
    <w:rsid w:val="009F51B3"/>
    <w:rsid w:val="009F5748"/>
    <w:rsid w:val="009F5B0A"/>
    <w:rsid w:val="009F5B71"/>
    <w:rsid w:val="009F60DC"/>
    <w:rsid w:val="009F60DF"/>
    <w:rsid w:val="009F67A8"/>
    <w:rsid w:val="009F714D"/>
    <w:rsid w:val="009F73AC"/>
    <w:rsid w:val="009F74FA"/>
    <w:rsid w:val="009F7866"/>
    <w:rsid w:val="009F7923"/>
    <w:rsid w:val="009F7E3E"/>
    <w:rsid w:val="00A0082F"/>
    <w:rsid w:val="00A00B69"/>
    <w:rsid w:val="00A00BCC"/>
    <w:rsid w:val="00A00EA8"/>
    <w:rsid w:val="00A00EE3"/>
    <w:rsid w:val="00A00F8B"/>
    <w:rsid w:val="00A01693"/>
    <w:rsid w:val="00A01CC8"/>
    <w:rsid w:val="00A01E42"/>
    <w:rsid w:val="00A023C1"/>
    <w:rsid w:val="00A031C4"/>
    <w:rsid w:val="00A03345"/>
    <w:rsid w:val="00A03B79"/>
    <w:rsid w:val="00A03EDF"/>
    <w:rsid w:val="00A03F31"/>
    <w:rsid w:val="00A0417F"/>
    <w:rsid w:val="00A04A2F"/>
    <w:rsid w:val="00A04D04"/>
    <w:rsid w:val="00A04E2E"/>
    <w:rsid w:val="00A0543F"/>
    <w:rsid w:val="00A05C28"/>
    <w:rsid w:val="00A05CB4"/>
    <w:rsid w:val="00A05D36"/>
    <w:rsid w:val="00A05DAF"/>
    <w:rsid w:val="00A05DD8"/>
    <w:rsid w:val="00A05FC5"/>
    <w:rsid w:val="00A064B3"/>
    <w:rsid w:val="00A06A63"/>
    <w:rsid w:val="00A101F9"/>
    <w:rsid w:val="00A102DA"/>
    <w:rsid w:val="00A10CFD"/>
    <w:rsid w:val="00A10F4C"/>
    <w:rsid w:val="00A10F80"/>
    <w:rsid w:val="00A10F97"/>
    <w:rsid w:val="00A110D1"/>
    <w:rsid w:val="00A111CA"/>
    <w:rsid w:val="00A11389"/>
    <w:rsid w:val="00A11668"/>
    <w:rsid w:val="00A11C4A"/>
    <w:rsid w:val="00A11FD4"/>
    <w:rsid w:val="00A120AC"/>
    <w:rsid w:val="00A12188"/>
    <w:rsid w:val="00A12B3C"/>
    <w:rsid w:val="00A13035"/>
    <w:rsid w:val="00A1339F"/>
    <w:rsid w:val="00A133E2"/>
    <w:rsid w:val="00A1345E"/>
    <w:rsid w:val="00A14341"/>
    <w:rsid w:val="00A148AC"/>
    <w:rsid w:val="00A1507F"/>
    <w:rsid w:val="00A15113"/>
    <w:rsid w:val="00A15C29"/>
    <w:rsid w:val="00A15E0B"/>
    <w:rsid w:val="00A15E62"/>
    <w:rsid w:val="00A15EB7"/>
    <w:rsid w:val="00A16356"/>
    <w:rsid w:val="00A164FA"/>
    <w:rsid w:val="00A169C8"/>
    <w:rsid w:val="00A1718B"/>
    <w:rsid w:val="00A1722E"/>
    <w:rsid w:val="00A17C26"/>
    <w:rsid w:val="00A202FD"/>
    <w:rsid w:val="00A20630"/>
    <w:rsid w:val="00A20BE4"/>
    <w:rsid w:val="00A20D2C"/>
    <w:rsid w:val="00A20F7A"/>
    <w:rsid w:val="00A213FA"/>
    <w:rsid w:val="00A218AD"/>
    <w:rsid w:val="00A21BCB"/>
    <w:rsid w:val="00A21D30"/>
    <w:rsid w:val="00A22891"/>
    <w:rsid w:val="00A23272"/>
    <w:rsid w:val="00A23584"/>
    <w:rsid w:val="00A2364B"/>
    <w:rsid w:val="00A2421F"/>
    <w:rsid w:val="00A2476E"/>
    <w:rsid w:val="00A2498A"/>
    <w:rsid w:val="00A252C6"/>
    <w:rsid w:val="00A25858"/>
    <w:rsid w:val="00A25C12"/>
    <w:rsid w:val="00A2640D"/>
    <w:rsid w:val="00A2709C"/>
    <w:rsid w:val="00A273A8"/>
    <w:rsid w:val="00A2759F"/>
    <w:rsid w:val="00A27A52"/>
    <w:rsid w:val="00A27E42"/>
    <w:rsid w:val="00A30198"/>
    <w:rsid w:val="00A3093A"/>
    <w:rsid w:val="00A30954"/>
    <w:rsid w:val="00A30C3E"/>
    <w:rsid w:val="00A31573"/>
    <w:rsid w:val="00A31685"/>
    <w:rsid w:val="00A31AC4"/>
    <w:rsid w:val="00A32440"/>
    <w:rsid w:val="00A328FB"/>
    <w:rsid w:val="00A32C29"/>
    <w:rsid w:val="00A33402"/>
    <w:rsid w:val="00A33D37"/>
    <w:rsid w:val="00A34677"/>
    <w:rsid w:val="00A34A69"/>
    <w:rsid w:val="00A35346"/>
    <w:rsid w:val="00A3572E"/>
    <w:rsid w:val="00A35BBA"/>
    <w:rsid w:val="00A36385"/>
    <w:rsid w:val="00A364BA"/>
    <w:rsid w:val="00A36A9A"/>
    <w:rsid w:val="00A37164"/>
    <w:rsid w:val="00A37539"/>
    <w:rsid w:val="00A3786C"/>
    <w:rsid w:val="00A37C73"/>
    <w:rsid w:val="00A37D58"/>
    <w:rsid w:val="00A4079A"/>
    <w:rsid w:val="00A40F3A"/>
    <w:rsid w:val="00A4135C"/>
    <w:rsid w:val="00A415D1"/>
    <w:rsid w:val="00A41B07"/>
    <w:rsid w:val="00A41BB0"/>
    <w:rsid w:val="00A41C8B"/>
    <w:rsid w:val="00A4294D"/>
    <w:rsid w:val="00A42D7B"/>
    <w:rsid w:val="00A42FD4"/>
    <w:rsid w:val="00A430C6"/>
    <w:rsid w:val="00A43148"/>
    <w:rsid w:val="00A43531"/>
    <w:rsid w:val="00A438DF"/>
    <w:rsid w:val="00A43D6B"/>
    <w:rsid w:val="00A44305"/>
    <w:rsid w:val="00A44501"/>
    <w:rsid w:val="00A4460B"/>
    <w:rsid w:val="00A4467E"/>
    <w:rsid w:val="00A44C7F"/>
    <w:rsid w:val="00A451DC"/>
    <w:rsid w:val="00A45369"/>
    <w:rsid w:val="00A45A50"/>
    <w:rsid w:val="00A45D06"/>
    <w:rsid w:val="00A45EEE"/>
    <w:rsid w:val="00A45F40"/>
    <w:rsid w:val="00A45F53"/>
    <w:rsid w:val="00A466E8"/>
    <w:rsid w:val="00A46AF2"/>
    <w:rsid w:val="00A46C4E"/>
    <w:rsid w:val="00A472DF"/>
    <w:rsid w:val="00A50412"/>
    <w:rsid w:val="00A508BF"/>
    <w:rsid w:val="00A50979"/>
    <w:rsid w:val="00A510AA"/>
    <w:rsid w:val="00A51369"/>
    <w:rsid w:val="00A5176D"/>
    <w:rsid w:val="00A51AC5"/>
    <w:rsid w:val="00A51D3A"/>
    <w:rsid w:val="00A5214C"/>
    <w:rsid w:val="00A52198"/>
    <w:rsid w:val="00A52A8B"/>
    <w:rsid w:val="00A52BFC"/>
    <w:rsid w:val="00A52DEF"/>
    <w:rsid w:val="00A5306C"/>
    <w:rsid w:val="00A5360C"/>
    <w:rsid w:val="00A53D1F"/>
    <w:rsid w:val="00A54151"/>
    <w:rsid w:val="00A542C0"/>
    <w:rsid w:val="00A550D7"/>
    <w:rsid w:val="00A55253"/>
    <w:rsid w:val="00A556D0"/>
    <w:rsid w:val="00A5638D"/>
    <w:rsid w:val="00A5693F"/>
    <w:rsid w:val="00A569E1"/>
    <w:rsid w:val="00A5749A"/>
    <w:rsid w:val="00A5750E"/>
    <w:rsid w:val="00A57B00"/>
    <w:rsid w:val="00A57D9E"/>
    <w:rsid w:val="00A57DF7"/>
    <w:rsid w:val="00A60E08"/>
    <w:rsid w:val="00A61353"/>
    <w:rsid w:val="00A61509"/>
    <w:rsid w:val="00A61816"/>
    <w:rsid w:val="00A61AAF"/>
    <w:rsid w:val="00A62398"/>
    <w:rsid w:val="00A6253D"/>
    <w:rsid w:val="00A62F11"/>
    <w:rsid w:val="00A639DF"/>
    <w:rsid w:val="00A63E3E"/>
    <w:rsid w:val="00A64112"/>
    <w:rsid w:val="00A64ACF"/>
    <w:rsid w:val="00A653FB"/>
    <w:rsid w:val="00A65A85"/>
    <w:rsid w:val="00A674AD"/>
    <w:rsid w:val="00A6763E"/>
    <w:rsid w:val="00A70106"/>
    <w:rsid w:val="00A7032B"/>
    <w:rsid w:val="00A70D05"/>
    <w:rsid w:val="00A70E36"/>
    <w:rsid w:val="00A71797"/>
    <w:rsid w:val="00A71A16"/>
    <w:rsid w:val="00A71FBA"/>
    <w:rsid w:val="00A722E8"/>
    <w:rsid w:val="00A72838"/>
    <w:rsid w:val="00A7283E"/>
    <w:rsid w:val="00A72F79"/>
    <w:rsid w:val="00A73042"/>
    <w:rsid w:val="00A731EE"/>
    <w:rsid w:val="00A733DF"/>
    <w:rsid w:val="00A73A22"/>
    <w:rsid w:val="00A73C1D"/>
    <w:rsid w:val="00A73E60"/>
    <w:rsid w:val="00A74253"/>
    <w:rsid w:val="00A74354"/>
    <w:rsid w:val="00A752D2"/>
    <w:rsid w:val="00A759E9"/>
    <w:rsid w:val="00A760A2"/>
    <w:rsid w:val="00A7613D"/>
    <w:rsid w:val="00A76278"/>
    <w:rsid w:val="00A763C9"/>
    <w:rsid w:val="00A7653D"/>
    <w:rsid w:val="00A7671F"/>
    <w:rsid w:val="00A77102"/>
    <w:rsid w:val="00A77295"/>
    <w:rsid w:val="00A77A1D"/>
    <w:rsid w:val="00A77B21"/>
    <w:rsid w:val="00A77B97"/>
    <w:rsid w:val="00A77BB8"/>
    <w:rsid w:val="00A77D96"/>
    <w:rsid w:val="00A77E59"/>
    <w:rsid w:val="00A77EDD"/>
    <w:rsid w:val="00A80E99"/>
    <w:rsid w:val="00A8121F"/>
    <w:rsid w:val="00A81725"/>
    <w:rsid w:val="00A81D52"/>
    <w:rsid w:val="00A823A3"/>
    <w:rsid w:val="00A8263A"/>
    <w:rsid w:val="00A82703"/>
    <w:rsid w:val="00A83077"/>
    <w:rsid w:val="00A8487B"/>
    <w:rsid w:val="00A84948"/>
    <w:rsid w:val="00A84C91"/>
    <w:rsid w:val="00A84D5E"/>
    <w:rsid w:val="00A85456"/>
    <w:rsid w:val="00A8567B"/>
    <w:rsid w:val="00A857B1"/>
    <w:rsid w:val="00A85C49"/>
    <w:rsid w:val="00A85E80"/>
    <w:rsid w:val="00A85E9E"/>
    <w:rsid w:val="00A8667F"/>
    <w:rsid w:val="00A86AEF"/>
    <w:rsid w:val="00A86F20"/>
    <w:rsid w:val="00A870F9"/>
    <w:rsid w:val="00A871C8"/>
    <w:rsid w:val="00A87703"/>
    <w:rsid w:val="00A87D42"/>
    <w:rsid w:val="00A87FD7"/>
    <w:rsid w:val="00A9032F"/>
    <w:rsid w:val="00A90373"/>
    <w:rsid w:val="00A9077A"/>
    <w:rsid w:val="00A90983"/>
    <w:rsid w:val="00A9141D"/>
    <w:rsid w:val="00A915FE"/>
    <w:rsid w:val="00A9240B"/>
    <w:rsid w:val="00A92E0A"/>
    <w:rsid w:val="00A93233"/>
    <w:rsid w:val="00A932D1"/>
    <w:rsid w:val="00A93A76"/>
    <w:rsid w:val="00A951D4"/>
    <w:rsid w:val="00A953CA"/>
    <w:rsid w:val="00A956E2"/>
    <w:rsid w:val="00A956E3"/>
    <w:rsid w:val="00A959D0"/>
    <w:rsid w:val="00A9656B"/>
    <w:rsid w:val="00A966A0"/>
    <w:rsid w:val="00A96928"/>
    <w:rsid w:val="00A9697F"/>
    <w:rsid w:val="00A96E06"/>
    <w:rsid w:val="00A96FF1"/>
    <w:rsid w:val="00A976CA"/>
    <w:rsid w:val="00A979DB"/>
    <w:rsid w:val="00A97EAE"/>
    <w:rsid w:val="00A97ECC"/>
    <w:rsid w:val="00AA0963"/>
    <w:rsid w:val="00AA0C41"/>
    <w:rsid w:val="00AA120C"/>
    <w:rsid w:val="00AA1B62"/>
    <w:rsid w:val="00AA2345"/>
    <w:rsid w:val="00AA2DB3"/>
    <w:rsid w:val="00AA3C38"/>
    <w:rsid w:val="00AA4044"/>
    <w:rsid w:val="00AA41EF"/>
    <w:rsid w:val="00AA423D"/>
    <w:rsid w:val="00AA476C"/>
    <w:rsid w:val="00AA477D"/>
    <w:rsid w:val="00AA5270"/>
    <w:rsid w:val="00AA5548"/>
    <w:rsid w:val="00AA5B09"/>
    <w:rsid w:val="00AA5FB8"/>
    <w:rsid w:val="00AA748C"/>
    <w:rsid w:val="00AA75E8"/>
    <w:rsid w:val="00AA7737"/>
    <w:rsid w:val="00AB0105"/>
    <w:rsid w:val="00AB0404"/>
    <w:rsid w:val="00AB04C4"/>
    <w:rsid w:val="00AB0503"/>
    <w:rsid w:val="00AB06AC"/>
    <w:rsid w:val="00AB0BE7"/>
    <w:rsid w:val="00AB0C10"/>
    <w:rsid w:val="00AB0E8C"/>
    <w:rsid w:val="00AB109C"/>
    <w:rsid w:val="00AB17BD"/>
    <w:rsid w:val="00AB20A7"/>
    <w:rsid w:val="00AB22DB"/>
    <w:rsid w:val="00AB24DA"/>
    <w:rsid w:val="00AB28A8"/>
    <w:rsid w:val="00AB2A78"/>
    <w:rsid w:val="00AB34DD"/>
    <w:rsid w:val="00AB3599"/>
    <w:rsid w:val="00AB379C"/>
    <w:rsid w:val="00AB37F0"/>
    <w:rsid w:val="00AB3C53"/>
    <w:rsid w:val="00AB3F38"/>
    <w:rsid w:val="00AB45F5"/>
    <w:rsid w:val="00AB48B7"/>
    <w:rsid w:val="00AB4ECC"/>
    <w:rsid w:val="00AB5416"/>
    <w:rsid w:val="00AB5421"/>
    <w:rsid w:val="00AB5A6A"/>
    <w:rsid w:val="00AB5D02"/>
    <w:rsid w:val="00AB5D52"/>
    <w:rsid w:val="00AB5D6A"/>
    <w:rsid w:val="00AB652C"/>
    <w:rsid w:val="00AB66D2"/>
    <w:rsid w:val="00AB6A5A"/>
    <w:rsid w:val="00AB6DEC"/>
    <w:rsid w:val="00AB6E04"/>
    <w:rsid w:val="00AC01F2"/>
    <w:rsid w:val="00AC0254"/>
    <w:rsid w:val="00AC06F2"/>
    <w:rsid w:val="00AC08F0"/>
    <w:rsid w:val="00AC1804"/>
    <w:rsid w:val="00AC1AED"/>
    <w:rsid w:val="00AC1BD6"/>
    <w:rsid w:val="00AC1C32"/>
    <w:rsid w:val="00AC1D59"/>
    <w:rsid w:val="00AC2525"/>
    <w:rsid w:val="00AC286B"/>
    <w:rsid w:val="00AC2944"/>
    <w:rsid w:val="00AC29A9"/>
    <w:rsid w:val="00AC2EF5"/>
    <w:rsid w:val="00AC3340"/>
    <w:rsid w:val="00AC3D19"/>
    <w:rsid w:val="00AC4735"/>
    <w:rsid w:val="00AC4744"/>
    <w:rsid w:val="00AC482D"/>
    <w:rsid w:val="00AC48B6"/>
    <w:rsid w:val="00AC55D6"/>
    <w:rsid w:val="00AC6308"/>
    <w:rsid w:val="00AC65C2"/>
    <w:rsid w:val="00AC692F"/>
    <w:rsid w:val="00AC6B0C"/>
    <w:rsid w:val="00AC732B"/>
    <w:rsid w:val="00AC7597"/>
    <w:rsid w:val="00AD0873"/>
    <w:rsid w:val="00AD151E"/>
    <w:rsid w:val="00AD15D0"/>
    <w:rsid w:val="00AD1D67"/>
    <w:rsid w:val="00AD1EB7"/>
    <w:rsid w:val="00AD2278"/>
    <w:rsid w:val="00AD2647"/>
    <w:rsid w:val="00AD277A"/>
    <w:rsid w:val="00AD3857"/>
    <w:rsid w:val="00AD39ED"/>
    <w:rsid w:val="00AD3A0D"/>
    <w:rsid w:val="00AD40C4"/>
    <w:rsid w:val="00AD4F4B"/>
    <w:rsid w:val="00AD5910"/>
    <w:rsid w:val="00AD60DC"/>
    <w:rsid w:val="00AD673C"/>
    <w:rsid w:val="00AD6D40"/>
    <w:rsid w:val="00AD703F"/>
    <w:rsid w:val="00AD7341"/>
    <w:rsid w:val="00AD7425"/>
    <w:rsid w:val="00AD792F"/>
    <w:rsid w:val="00AD7971"/>
    <w:rsid w:val="00AD7BAA"/>
    <w:rsid w:val="00AE02EE"/>
    <w:rsid w:val="00AE05ED"/>
    <w:rsid w:val="00AE0B00"/>
    <w:rsid w:val="00AE0BDF"/>
    <w:rsid w:val="00AE11D9"/>
    <w:rsid w:val="00AE1256"/>
    <w:rsid w:val="00AE176D"/>
    <w:rsid w:val="00AE1FAE"/>
    <w:rsid w:val="00AE2BE5"/>
    <w:rsid w:val="00AE3008"/>
    <w:rsid w:val="00AE3122"/>
    <w:rsid w:val="00AE337D"/>
    <w:rsid w:val="00AE34C1"/>
    <w:rsid w:val="00AE3A61"/>
    <w:rsid w:val="00AE40F0"/>
    <w:rsid w:val="00AE428E"/>
    <w:rsid w:val="00AE4646"/>
    <w:rsid w:val="00AE476A"/>
    <w:rsid w:val="00AE566A"/>
    <w:rsid w:val="00AE5B1B"/>
    <w:rsid w:val="00AE5E85"/>
    <w:rsid w:val="00AE5F34"/>
    <w:rsid w:val="00AE60F1"/>
    <w:rsid w:val="00AE63E5"/>
    <w:rsid w:val="00AE6705"/>
    <w:rsid w:val="00AE707B"/>
    <w:rsid w:val="00AE7371"/>
    <w:rsid w:val="00AE7A5C"/>
    <w:rsid w:val="00AE7B45"/>
    <w:rsid w:val="00AF0204"/>
    <w:rsid w:val="00AF0BDD"/>
    <w:rsid w:val="00AF0FD4"/>
    <w:rsid w:val="00AF10B3"/>
    <w:rsid w:val="00AF116E"/>
    <w:rsid w:val="00AF1515"/>
    <w:rsid w:val="00AF1B6D"/>
    <w:rsid w:val="00AF1E9E"/>
    <w:rsid w:val="00AF1EB0"/>
    <w:rsid w:val="00AF1FF7"/>
    <w:rsid w:val="00AF422F"/>
    <w:rsid w:val="00AF43A3"/>
    <w:rsid w:val="00AF576C"/>
    <w:rsid w:val="00AF59C2"/>
    <w:rsid w:val="00AF6A39"/>
    <w:rsid w:val="00AF6B1D"/>
    <w:rsid w:val="00AF7436"/>
    <w:rsid w:val="00B0008F"/>
    <w:rsid w:val="00B0055E"/>
    <w:rsid w:val="00B0089B"/>
    <w:rsid w:val="00B00C18"/>
    <w:rsid w:val="00B01285"/>
    <w:rsid w:val="00B012EE"/>
    <w:rsid w:val="00B023FD"/>
    <w:rsid w:val="00B02636"/>
    <w:rsid w:val="00B02893"/>
    <w:rsid w:val="00B02ABF"/>
    <w:rsid w:val="00B03079"/>
    <w:rsid w:val="00B04127"/>
    <w:rsid w:val="00B041A3"/>
    <w:rsid w:val="00B04314"/>
    <w:rsid w:val="00B04519"/>
    <w:rsid w:val="00B0457C"/>
    <w:rsid w:val="00B04D28"/>
    <w:rsid w:val="00B06953"/>
    <w:rsid w:val="00B06CB0"/>
    <w:rsid w:val="00B06DCC"/>
    <w:rsid w:val="00B06E53"/>
    <w:rsid w:val="00B07DB2"/>
    <w:rsid w:val="00B101EE"/>
    <w:rsid w:val="00B10825"/>
    <w:rsid w:val="00B10846"/>
    <w:rsid w:val="00B10B54"/>
    <w:rsid w:val="00B1154B"/>
    <w:rsid w:val="00B11661"/>
    <w:rsid w:val="00B118BE"/>
    <w:rsid w:val="00B11C6B"/>
    <w:rsid w:val="00B11F47"/>
    <w:rsid w:val="00B121C5"/>
    <w:rsid w:val="00B12BAB"/>
    <w:rsid w:val="00B13412"/>
    <w:rsid w:val="00B1394C"/>
    <w:rsid w:val="00B13FF6"/>
    <w:rsid w:val="00B1443B"/>
    <w:rsid w:val="00B14BF1"/>
    <w:rsid w:val="00B1506E"/>
    <w:rsid w:val="00B16BE6"/>
    <w:rsid w:val="00B17EA2"/>
    <w:rsid w:val="00B17F0D"/>
    <w:rsid w:val="00B20E21"/>
    <w:rsid w:val="00B20FE3"/>
    <w:rsid w:val="00B21237"/>
    <w:rsid w:val="00B21AD5"/>
    <w:rsid w:val="00B21D0E"/>
    <w:rsid w:val="00B21E36"/>
    <w:rsid w:val="00B21F4F"/>
    <w:rsid w:val="00B22053"/>
    <w:rsid w:val="00B22851"/>
    <w:rsid w:val="00B22F6D"/>
    <w:rsid w:val="00B23ABE"/>
    <w:rsid w:val="00B23BD1"/>
    <w:rsid w:val="00B251DA"/>
    <w:rsid w:val="00B25884"/>
    <w:rsid w:val="00B2588E"/>
    <w:rsid w:val="00B2616C"/>
    <w:rsid w:val="00B26557"/>
    <w:rsid w:val="00B26884"/>
    <w:rsid w:val="00B3001B"/>
    <w:rsid w:val="00B304F1"/>
    <w:rsid w:val="00B30552"/>
    <w:rsid w:val="00B31350"/>
    <w:rsid w:val="00B31D47"/>
    <w:rsid w:val="00B32035"/>
    <w:rsid w:val="00B32203"/>
    <w:rsid w:val="00B32495"/>
    <w:rsid w:val="00B32AF6"/>
    <w:rsid w:val="00B32D1E"/>
    <w:rsid w:val="00B32F49"/>
    <w:rsid w:val="00B33446"/>
    <w:rsid w:val="00B3361C"/>
    <w:rsid w:val="00B33791"/>
    <w:rsid w:val="00B33ADA"/>
    <w:rsid w:val="00B33E0A"/>
    <w:rsid w:val="00B34012"/>
    <w:rsid w:val="00B34617"/>
    <w:rsid w:val="00B34EB0"/>
    <w:rsid w:val="00B35795"/>
    <w:rsid w:val="00B35855"/>
    <w:rsid w:val="00B360EA"/>
    <w:rsid w:val="00B3647D"/>
    <w:rsid w:val="00B36731"/>
    <w:rsid w:val="00B36A85"/>
    <w:rsid w:val="00B36B05"/>
    <w:rsid w:val="00B36DDA"/>
    <w:rsid w:val="00B3740E"/>
    <w:rsid w:val="00B374FF"/>
    <w:rsid w:val="00B37A8A"/>
    <w:rsid w:val="00B403F8"/>
    <w:rsid w:val="00B406A8"/>
    <w:rsid w:val="00B4113C"/>
    <w:rsid w:val="00B41356"/>
    <w:rsid w:val="00B41769"/>
    <w:rsid w:val="00B417D2"/>
    <w:rsid w:val="00B420F6"/>
    <w:rsid w:val="00B42149"/>
    <w:rsid w:val="00B426EA"/>
    <w:rsid w:val="00B4270E"/>
    <w:rsid w:val="00B42731"/>
    <w:rsid w:val="00B42CEC"/>
    <w:rsid w:val="00B4388C"/>
    <w:rsid w:val="00B443C3"/>
    <w:rsid w:val="00B444B0"/>
    <w:rsid w:val="00B44AA6"/>
    <w:rsid w:val="00B44AC0"/>
    <w:rsid w:val="00B44D13"/>
    <w:rsid w:val="00B44DB0"/>
    <w:rsid w:val="00B44EE0"/>
    <w:rsid w:val="00B4532A"/>
    <w:rsid w:val="00B457D7"/>
    <w:rsid w:val="00B45DB4"/>
    <w:rsid w:val="00B46BAB"/>
    <w:rsid w:val="00B46CA5"/>
    <w:rsid w:val="00B473CF"/>
    <w:rsid w:val="00B47680"/>
    <w:rsid w:val="00B47772"/>
    <w:rsid w:val="00B47867"/>
    <w:rsid w:val="00B47EEA"/>
    <w:rsid w:val="00B47F67"/>
    <w:rsid w:val="00B5036E"/>
    <w:rsid w:val="00B50F67"/>
    <w:rsid w:val="00B51ECC"/>
    <w:rsid w:val="00B520F4"/>
    <w:rsid w:val="00B5228A"/>
    <w:rsid w:val="00B530B8"/>
    <w:rsid w:val="00B535B4"/>
    <w:rsid w:val="00B53E22"/>
    <w:rsid w:val="00B53ED3"/>
    <w:rsid w:val="00B5417A"/>
    <w:rsid w:val="00B54307"/>
    <w:rsid w:val="00B54902"/>
    <w:rsid w:val="00B54AB8"/>
    <w:rsid w:val="00B55A05"/>
    <w:rsid w:val="00B55E53"/>
    <w:rsid w:val="00B55E81"/>
    <w:rsid w:val="00B55F93"/>
    <w:rsid w:val="00B56021"/>
    <w:rsid w:val="00B56408"/>
    <w:rsid w:val="00B56A6E"/>
    <w:rsid w:val="00B56CB4"/>
    <w:rsid w:val="00B56F98"/>
    <w:rsid w:val="00B572EA"/>
    <w:rsid w:val="00B60072"/>
    <w:rsid w:val="00B605E7"/>
    <w:rsid w:val="00B6084E"/>
    <w:rsid w:val="00B60D17"/>
    <w:rsid w:val="00B618D5"/>
    <w:rsid w:val="00B6245D"/>
    <w:rsid w:val="00B625F6"/>
    <w:rsid w:val="00B627BC"/>
    <w:rsid w:val="00B62A09"/>
    <w:rsid w:val="00B62D3F"/>
    <w:rsid w:val="00B63189"/>
    <w:rsid w:val="00B635F2"/>
    <w:rsid w:val="00B63CD5"/>
    <w:rsid w:val="00B63F47"/>
    <w:rsid w:val="00B643BB"/>
    <w:rsid w:val="00B646BD"/>
    <w:rsid w:val="00B647B2"/>
    <w:rsid w:val="00B649E9"/>
    <w:rsid w:val="00B657D3"/>
    <w:rsid w:val="00B659B1"/>
    <w:rsid w:val="00B65EAA"/>
    <w:rsid w:val="00B664B6"/>
    <w:rsid w:val="00B6741F"/>
    <w:rsid w:val="00B67931"/>
    <w:rsid w:val="00B67B9D"/>
    <w:rsid w:val="00B67E6E"/>
    <w:rsid w:val="00B70102"/>
    <w:rsid w:val="00B70C98"/>
    <w:rsid w:val="00B7115D"/>
    <w:rsid w:val="00B7194A"/>
    <w:rsid w:val="00B71C4D"/>
    <w:rsid w:val="00B720C4"/>
    <w:rsid w:val="00B720D2"/>
    <w:rsid w:val="00B72198"/>
    <w:rsid w:val="00B72E39"/>
    <w:rsid w:val="00B73044"/>
    <w:rsid w:val="00B73B48"/>
    <w:rsid w:val="00B73E85"/>
    <w:rsid w:val="00B7487E"/>
    <w:rsid w:val="00B748A6"/>
    <w:rsid w:val="00B74CC8"/>
    <w:rsid w:val="00B74FF9"/>
    <w:rsid w:val="00B750D5"/>
    <w:rsid w:val="00B75469"/>
    <w:rsid w:val="00B755B4"/>
    <w:rsid w:val="00B7622B"/>
    <w:rsid w:val="00B763E4"/>
    <w:rsid w:val="00B7656F"/>
    <w:rsid w:val="00B76A09"/>
    <w:rsid w:val="00B76E3E"/>
    <w:rsid w:val="00B776E7"/>
    <w:rsid w:val="00B80367"/>
    <w:rsid w:val="00B81012"/>
    <w:rsid w:val="00B810C4"/>
    <w:rsid w:val="00B811FD"/>
    <w:rsid w:val="00B8193C"/>
    <w:rsid w:val="00B81B43"/>
    <w:rsid w:val="00B82543"/>
    <w:rsid w:val="00B82CE9"/>
    <w:rsid w:val="00B82E80"/>
    <w:rsid w:val="00B8319D"/>
    <w:rsid w:val="00B83218"/>
    <w:rsid w:val="00B834A0"/>
    <w:rsid w:val="00B83AE9"/>
    <w:rsid w:val="00B83B02"/>
    <w:rsid w:val="00B84344"/>
    <w:rsid w:val="00B84530"/>
    <w:rsid w:val="00B8472E"/>
    <w:rsid w:val="00B8495C"/>
    <w:rsid w:val="00B84969"/>
    <w:rsid w:val="00B84BB2"/>
    <w:rsid w:val="00B84DDA"/>
    <w:rsid w:val="00B85605"/>
    <w:rsid w:val="00B85E17"/>
    <w:rsid w:val="00B86C47"/>
    <w:rsid w:val="00B86EB6"/>
    <w:rsid w:val="00B87028"/>
    <w:rsid w:val="00B8743D"/>
    <w:rsid w:val="00B87FB4"/>
    <w:rsid w:val="00B90039"/>
    <w:rsid w:val="00B900CA"/>
    <w:rsid w:val="00B9059B"/>
    <w:rsid w:val="00B905F5"/>
    <w:rsid w:val="00B9089C"/>
    <w:rsid w:val="00B90958"/>
    <w:rsid w:val="00B914FA"/>
    <w:rsid w:val="00B91CA4"/>
    <w:rsid w:val="00B91D73"/>
    <w:rsid w:val="00B91E1C"/>
    <w:rsid w:val="00B91EA6"/>
    <w:rsid w:val="00B91F97"/>
    <w:rsid w:val="00B923CD"/>
    <w:rsid w:val="00B926CA"/>
    <w:rsid w:val="00B9296D"/>
    <w:rsid w:val="00B929B9"/>
    <w:rsid w:val="00B930BF"/>
    <w:rsid w:val="00B933A9"/>
    <w:rsid w:val="00B93CE2"/>
    <w:rsid w:val="00B93F15"/>
    <w:rsid w:val="00B9422B"/>
    <w:rsid w:val="00B94D1F"/>
    <w:rsid w:val="00B94D54"/>
    <w:rsid w:val="00B96117"/>
    <w:rsid w:val="00B96486"/>
    <w:rsid w:val="00B96A39"/>
    <w:rsid w:val="00B97586"/>
    <w:rsid w:val="00BA02E3"/>
    <w:rsid w:val="00BA062B"/>
    <w:rsid w:val="00BA103F"/>
    <w:rsid w:val="00BA13AD"/>
    <w:rsid w:val="00BA1638"/>
    <w:rsid w:val="00BA1B55"/>
    <w:rsid w:val="00BA1DD8"/>
    <w:rsid w:val="00BA2264"/>
    <w:rsid w:val="00BA280B"/>
    <w:rsid w:val="00BA2BAC"/>
    <w:rsid w:val="00BA2D60"/>
    <w:rsid w:val="00BA2F1C"/>
    <w:rsid w:val="00BA32AB"/>
    <w:rsid w:val="00BA365A"/>
    <w:rsid w:val="00BA41E0"/>
    <w:rsid w:val="00BA4539"/>
    <w:rsid w:val="00BA4766"/>
    <w:rsid w:val="00BA47F5"/>
    <w:rsid w:val="00BA4824"/>
    <w:rsid w:val="00BA4A29"/>
    <w:rsid w:val="00BA4D8B"/>
    <w:rsid w:val="00BA503A"/>
    <w:rsid w:val="00BA54DC"/>
    <w:rsid w:val="00BA554A"/>
    <w:rsid w:val="00BA5CDA"/>
    <w:rsid w:val="00BA5CF5"/>
    <w:rsid w:val="00BA5FE0"/>
    <w:rsid w:val="00BA61CA"/>
    <w:rsid w:val="00BA65A5"/>
    <w:rsid w:val="00BA680A"/>
    <w:rsid w:val="00BA6D00"/>
    <w:rsid w:val="00BA750E"/>
    <w:rsid w:val="00BA7B7D"/>
    <w:rsid w:val="00BA7BCE"/>
    <w:rsid w:val="00BB0518"/>
    <w:rsid w:val="00BB0678"/>
    <w:rsid w:val="00BB0B80"/>
    <w:rsid w:val="00BB0CD5"/>
    <w:rsid w:val="00BB0E5B"/>
    <w:rsid w:val="00BB1FB2"/>
    <w:rsid w:val="00BB273F"/>
    <w:rsid w:val="00BB2823"/>
    <w:rsid w:val="00BB2F50"/>
    <w:rsid w:val="00BB3382"/>
    <w:rsid w:val="00BB3474"/>
    <w:rsid w:val="00BB3757"/>
    <w:rsid w:val="00BB4244"/>
    <w:rsid w:val="00BB4527"/>
    <w:rsid w:val="00BB4F0A"/>
    <w:rsid w:val="00BB516B"/>
    <w:rsid w:val="00BB5FA1"/>
    <w:rsid w:val="00BB61A6"/>
    <w:rsid w:val="00BB6887"/>
    <w:rsid w:val="00BB68A8"/>
    <w:rsid w:val="00BB6D07"/>
    <w:rsid w:val="00BB6F32"/>
    <w:rsid w:val="00BB7153"/>
    <w:rsid w:val="00BB7A93"/>
    <w:rsid w:val="00BB7D62"/>
    <w:rsid w:val="00BC0FB8"/>
    <w:rsid w:val="00BC15C5"/>
    <w:rsid w:val="00BC1EA5"/>
    <w:rsid w:val="00BC1EE2"/>
    <w:rsid w:val="00BC1F7C"/>
    <w:rsid w:val="00BC2D79"/>
    <w:rsid w:val="00BC3619"/>
    <w:rsid w:val="00BC407A"/>
    <w:rsid w:val="00BC496B"/>
    <w:rsid w:val="00BC537B"/>
    <w:rsid w:val="00BC5DFF"/>
    <w:rsid w:val="00BC5E60"/>
    <w:rsid w:val="00BC631E"/>
    <w:rsid w:val="00BC649E"/>
    <w:rsid w:val="00BC65D4"/>
    <w:rsid w:val="00BC676C"/>
    <w:rsid w:val="00BC6CC9"/>
    <w:rsid w:val="00BC7412"/>
    <w:rsid w:val="00BC7483"/>
    <w:rsid w:val="00BC769D"/>
    <w:rsid w:val="00BC7F41"/>
    <w:rsid w:val="00BD0018"/>
    <w:rsid w:val="00BD03C5"/>
    <w:rsid w:val="00BD0766"/>
    <w:rsid w:val="00BD093A"/>
    <w:rsid w:val="00BD13EF"/>
    <w:rsid w:val="00BD1FA3"/>
    <w:rsid w:val="00BD2103"/>
    <w:rsid w:val="00BD2C98"/>
    <w:rsid w:val="00BD3308"/>
    <w:rsid w:val="00BD3892"/>
    <w:rsid w:val="00BD3A8D"/>
    <w:rsid w:val="00BD42FF"/>
    <w:rsid w:val="00BD4902"/>
    <w:rsid w:val="00BD4AF4"/>
    <w:rsid w:val="00BD5B5E"/>
    <w:rsid w:val="00BD618A"/>
    <w:rsid w:val="00BD6457"/>
    <w:rsid w:val="00BD674E"/>
    <w:rsid w:val="00BD678F"/>
    <w:rsid w:val="00BD6927"/>
    <w:rsid w:val="00BD6C5F"/>
    <w:rsid w:val="00BD6E81"/>
    <w:rsid w:val="00BD705D"/>
    <w:rsid w:val="00BD70C5"/>
    <w:rsid w:val="00BD73DE"/>
    <w:rsid w:val="00BD74AA"/>
    <w:rsid w:val="00BD7B58"/>
    <w:rsid w:val="00BD7BF2"/>
    <w:rsid w:val="00BD7E28"/>
    <w:rsid w:val="00BD7E6F"/>
    <w:rsid w:val="00BE04CB"/>
    <w:rsid w:val="00BE1DC6"/>
    <w:rsid w:val="00BE1E24"/>
    <w:rsid w:val="00BE2181"/>
    <w:rsid w:val="00BE22A8"/>
    <w:rsid w:val="00BE2C7A"/>
    <w:rsid w:val="00BE3574"/>
    <w:rsid w:val="00BE388E"/>
    <w:rsid w:val="00BE3CAB"/>
    <w:rsid w:val="00BE3D85"/>
    <w:rsid w:val="00BE4032"/>
    <w:rsid w:val="00BE4618"/>
    <w:rsid w:val="00BE4891"/>
    <w:rsid w:val="00BE5283"/>
    <w:rsid w:val="00BE5BCB"/>
    <w:rsid w:val="00BE602B"/>
    <w:rsid w:val="00BE67EE"/>
    <w:rsid w:val="00BE68A5"/>
    <w:rsid w:val="00BE6CB4"/>
    <w:rsid w:val="00BE6E0B"/>
    <w:rsid w:val="00BE73D1"/>
    <w:rsid w:val="00BE78BC"/>
    <w:rsid w:val="00BE78D5"/>
    <w:rsid w:val="00BF04AB"/>
    <w:rsid w:val="00BF0FEA"/>
    <w:rsid w:val="00BF1357"/>
    <w:rsid w:val="00BF164B"/>
    <w:rsid w:val="00BF1992"/>
    <w:rsid w:val="00BF2D0D"/>
    <w:rsid w:val="00BF3206"/>
    <w:rsid w:val="00BF3605"/>
    <w:rsid w:val="00BF47BA"/>
    <w:rsid w:val="00BF47CE"/>
    <w:rsid w:val="00BF4B2E"/>
    <w:rsid w:val="00BF55D6"/>
    <w:rsid w:val="00BF5676"/>
    <w:rsid w:val="00BF5DF3"/>
    <w:rsid w:val="00BF6328"/>
    <w:rsid w:val="00BF6451"/>
    <w:rsid w:val="00BF6E82"/>
    <w:rsid w:val="00BF6FC7"/>
    <w:rsid w:val="00BF70E6"/>
    <w:rsid w:val="00BF7215"/>
    <w:rsid w:val="00BF7A50"/>
    <w:rsid w:val="00C00306"/>
    <w:rsid w:val="00C00469"/>
    <w:rsid w:val="00C008F2"/>
    <w:rsid w:val="00C015CD"/>
    <w:rsid w:val="00C01AB3"/>
    <w:rsid w:val="00C01CBA"/>
    <w:rsid w:val="00C026C3"/>
    <w:rsid w:val="00C0314B"/>
    <w:rsid w:val="00C033AE"/>
    <w:rsid w:val="00C033F4"/>
    <w:rsid w:val="00C03D09"/>
    <w:rsid w:val="00C03EF2"/>
    <w:rsid w:val="00C04613"/>
    <w:rsid w:val="00C04FA3"/>
    <w:rsid w:val="00C05725"/>
    <w:rsid w:val="00C05EA1"/>
    <w:rsid w:val="00C063D6"/>
    <w:rsid w:val="00C06AF9"/>
    <w:rsid w:val="00C077D0"/>
    <w:rsid w:val="00C078E8"/>
    <w:rsid w:val="00C07923"/>
    <w:rsid w:val="00C07F48"/>
    <w:rsid w:val="00C100C3"/>
    <w:rsid w:val="00C106B8"/>
    <w:rsid w:val="00C106F2"/>
    <w:rsid w:val="00C11059"/>
    <w:rsid w:val="00C1111E"/>
    <w:rsid w:val="00C114D7"/>
    <w:rsid w:val="00C117A0"/>
    <w:rsid w:val="00C11DF8"/>
    <w:rsid w:val="00C11E20"/>
    <w:rsid w:val="00C121DD"/>
    <w:rsid w:val="00C12984"/>
    <w:rsid w:val="00C12F50"/>
    <w:rsid w:val="00C13F11"/>
    <w:rsid w:val="00C141C1"/>
    <w:rsid w:val="00C144F1"/>
    <w:rsid w:val="00C14C35"/>
    <w:rsid w:val="00C15B09"/>
    <w:rsid w:val="00C16C2C"/>
    <w:rsid w:val="00C17DC7"/>
    <w:rsid w:val="00C2037D"/>
    <w:rsid w:val="00C206C5"/>
    <w:rsid w:val="00C21507"/>
    <w:rsid w:val="00C215CC"/>
    <w:rsid w:val="00C22203"/>
    <w:rsid w:val="00C2226A"/>
    <w:rsid w:val="00C224B3"/>
    <w:rsid w:val="00C24A30"/>
    <w:rsid w:val="00C24A47"/>
    <w:rsid w:val="00C24BCF"/>
    <w:rsid w:val="00C2532B"/>
    <w:rsid w:val="00C253A8"/>
    <w:rsid w:val="00C255F9"/>
    <w:rsid w:val="00C258AB"/>
    <w:rsid w:val="00C2628A"/>
    <w:rsid w:val="00C264F9"/>
    <w:rsid w:val="00C268F9"/>
    <w:rsid w:val="00C26B11"/>
    <w:rsid w:val="00C26C25"/>
    <w:rsid w:val="00C26E99"/>
    <w:rsid w:val="00C26F3A"/>
    <w:rsid w:val="00C271C4"/>
    <w:rsid w:val="00C272DD"/>
    <w:rsid w:val="00C27C2F"/>
    <w:rsid w:val="00C27C81"/>
    <w:rsid w:val="00C27F61"/>
    <w:rsid w:val="00C307A6"/>
    <w:rsid w:val="00C30E02"/>
    <w:rsid w:val="00C3111B"/>
    <w:rsid w:val="00C314EF"/>
    <w:rsid w:val="00C3240B"/>
    <w:rsid w:val="00C325E4"/>
    <w:rsid w:val="00C33271"/>
    <w:rsid w:val="00C33309"/>
    <w:rsid w:val="00C33416"/>
    <w:rsid w:val="00C33899"/>
    <w:rsid w:val="00C339CA"/>
    <w:rsid w:val="00C33D69"/>
    <w:rsid w:val="00C343CC"/>
    <w:rsid w:val="00C3471D"/>
    <w:rsid w:val="00C349EE"/>
    <w:rsid w:val="00C34ACE"/>
    <w:rsid w:val="00C35743"/>
    <w:rsid w:val="00C3581C"/>
    <w:rsid w:val="00C35BE1"/>
    <w:rsid w:val="00C36EF6"/>
    <w:rsid w:val="00C36FB8"/>
    <w:rsid w:val="00C37048"/>
    <w:rsid w:val="00C37844"/>
    <w:rsid w:val="00C3789E"/>
    <w:rsid w:val="00C4071F"/>
    <w:rsid w:val="00C40789"/>
    <w:rsid w:val="00C4116E"/>
    <w:rsid w:val="00C412A9"/>
    <w:rsid w:val="00C423DF"/>
    <w:rsid w:val="00C4284D"/>
    <w:rsid w:val="00C42A16"/>
    <w:rsid w:val="00C42A92"/>
    <w:rsid w:val="00C42B46"/>
    <w:rsid w:val="00C43475"/>
    <w:rsid w:val="00C4384B"/>
    <w:rsid w:val="00C43D90"/>
    <w:rsid w:val="00C44098"/>
    <w:rsid w:val="00C444BC"/>
    <w:rsid w:val="00C44ABA"/>
    <w:rsid w:val="00C44DAC"/>
    <w:rsid w:val="00C4569E"/>
    <w:rsid w:val="00C459FE"/>
    <w:rsid w:val="00C45C01"/>
    <w:rsid w:val="00C45FE5"/>
    <w:rsid w:val="00C46265"/>
    <w:rsid w:val="00C467BE"/>
    <w:rsid w:val="00C46827"/>
    <w:rsid w:val="00C46918"/>
    <w:rsid w:val="00C4794C"/>
    <w:rsid w:val="00C500E8"/>
    <w:rsid w:val="00C5052C"/>
    <w:rsid w:val="00C51607"/>
    <w:rsid w:val="00C51747"/>
    <w:rsid w:val="00C519B4"/>
    <w:rsid w:val="00C526DC"/>
    <w:rsid w:val="00C5278B"/>
    <w:rsid w:val="00C52C4F"/>
    <w:rsid w:val="00C52D0B"/>
    <w:rsid w:val="00C5312F"/>
    <w:rsid w:val="00C53796"/>
    <w:rsid w:val="00C53DD8"/>
    <w:rsid w:val="00C555DD"/>
    <w:rsid w:val="00C55A23"/>
    <w:rsid w:val="00C55BC0"/>
    <w:rsid w:val="00C561B6"/>
    <w:rsid w:val="00C56E0B"/>
    <w:rsid w:val="00C5711D"/>
    <w:rsid w:val="00C572E8"/>
    <w:rsid w:val="00C5736C"/>
    <w:rsid w:val="00C57384"/>
    <w:rsid w:val="00C57ECF"/>
    <w:rsid w:val="00C60558"/>
    <w:rsid w:val="00C608D9"/>
    <w:rsid w:val="00C60ECB"/>
    <w:rsid w:val="00C612F7"/>
    <w:rsid w:val="00C61746"/>
    <w:rsid w:val="00C61BF4"/>
    <w:rsid w:val="00C61C17"/>
    <w:rsid w:val="00C61DD0"/>
    <w:rsid w:val="00C6201D"/>
    <w:rsid w:val="00C627FD"/>
    <w:rsid w:val="00C62859"/>
    <w:rsid w:val="00C628D1"/>
    <w:rsid w:val="00C62C71"/>
    <w:rsid w:val="00C63514"/>
    <w:rsid w:val="00C63ACE"/>
    <w:rsid w:val="00C641D7"/>
    <w:rsid w:val="00C64533"/>
    <w:rsid w:val="00C64A4B"/>
    <w:rsid w:val="00C64F92"/>
    <w:rsid w:val="00C6561A"/>
    <w:rsid w:val="00C657DE"/>
    <w:rsid w:val="00C65F00"/>
    <w:rsid w:val="00C66A10"/>
    <w:rsid w:val="00C66AF2"/>
    <w:rsid w:val="00C66E1D"/>
    <w:rsid w:val="00C67728"/>
    <w:rsid w:val="00C678BC"/>
    <w:rsid w:val="00C67A91"/>
    <w:rsid w:val="00C700AE"/>
    <w:rsid w:val="00C703F3"/>
    <w:rsid w:val="00C70E2C"/>
    <w:rsid w:val="00C710C8"/>
    <w:rsid w:val="00C71A57"/>
    <w:rsid w:val="00C71CAB"/>
    <w:rsid w:val="00C71DDE"/>
    <w:rsid w:val="00C72891"/>
    <w:rsid w:val="00C72A70"/>
    <w:rsid w:val="00C7340D"/>
    <w:rsid w:val="00C736F3"/>
    <w:rsid w:val="00C73E92"/>
    <w:rsid w:val="00C74623"/>
    <w:rsid w:val="00C74700"/>
    <w:rsid w:val="00C74E70"/>
    <w:rsid w:val="00C761CF"/>
    <w:rsid w:val="00C76902"/>
    <w:rsid w:val="00C76940"/>
    <w:rsid w:val="00C7745E"/>
    <w:rsid w:val="00C77BB7"/>
    <w:rsid w:val="00C77FF1"/>
    <w:rsid w:val="00C801BF"/>
    <w:rsid w:val="00C808C5"/>
    <w:rsid w:val="00C80AC8"/>
    <w:rsid w:val="00C80E5C"/>
    <w:rsid w:val="00C81229"/>
    <w:rsid w:val="00C82393"/>
    <w:rsid w:val="00C8292D"/>
    <w:rsid w:val="00C830BE"/>
    <w:rsid w:val="00C832D0"/>
    <w:rsid w:val="00C837FC"/>
    <w:rsid w:val="00C83FF7"/>
    <w:rsid w:val="00C85382"/>
    <w:rsid w:val="00C8546B"/>
    <w:rsid w:val="00C8564F"/>
    <w:rsid w:val="00C856B8"/>
    <w:rsid w:val="00C85700"/>
    <w:rsid w:val="00C859BC"/>
    <w:rsid w:val="00C903AC"/>
    <w:rsid w:val="00C90502"/>
    <w:rsid w:val="00C90906"/>
    <w:rsid w:val="00C90A7F"/>
    <w:rsid w:val="00C90F79"/>
    <w:rsid w:val="00C91EB4"/>
    <w:rsid w:val="00C92335"/>
    <w:rsid w:val="00C92738"/>
    <w:rsid w:val="00C92E0C"/>
    <w:rsid w:val="00C92F66"/>
    <w:rsid w:val="00C9339F"/>
    <w:rsid w:val="00C93423"/>
    <w:rsid w:val="00C93474"/>
    <w:rsid w:val="00C93828"/>
    <w:rsid w:val="00C93B19"/>
    <w:rsid w:val="00C944A5"/>
    <w:rsid w:val="00C9461F"/>
    <w:rsid w:val="00C94E5C"/>
    <w:rsid w:val="00C95C53"/>
    <w:rsid w:val="00C95FDC"/>
    <w:rsid w:val="00C96B8E"/>
    <w:rsid w:val="00C9705C"/>
    <w:rsid w:val="00C9716F"/>
    <w:rsid w:val="00C97324"/>
    <w:rsid w:val="00CA02DE"/>
    <w:rsid w:val="00CA05B1"/>
    <w:rsid w:val="00CA06D9"/>
    <w:rsid w:val="00CA0CCE"/>
    <w:rsid w:val="00CA0F2A"/>
    <w:rsid w:val="00CA0F6D"/>
    <w:rsid w:val="00CA1297"/>
    <w:rsid w:val="00CA14C6"/>
    <w:rsid w:val="00CA159F"/>
    <w:rsid w:val="00CA162B"/>
    <w:rsid w:val="00CA17F5"/>
    <w:rsid w:val="00CA1E22"/>
    <w:rsid w:val="00CA23CF"/>
    <w:rsid w:val="00CA2DFE"/>
    <w:rsid w:val="00CA2F07"/>
    <w:rsid w:val="00CA3605"/>
    <w:rsid w:val="00CA3A49"/>
    <w:rsid w:val="00CA3E50"/>
    <w:rsid w:val="00CA464E"/>
    <w:rsid w:val="00CA4879"/>
    <w:rsid w:val="00CA4A2F"/>
    <w:rsid w:val="00CA5650"/>
    <w:rsid w:val="00CA5EAA"/>
    <w:rsid w:val="00CA6442"/>
    <w:rsid w:val="00CA69FD"/>
    <w:rsid w:val="00CA6E1C"/>
    <w:rsid w:val="00CB0AB5"/>
    <w:rsid w:val="00CB0BBF"/>
    <w:rsid w:val="00CB0EB7"/>
    <w:rsid w:val="00CB1A61"/>
    <w:rsid w:val="00CB1CA0"/>
    <w:rsid w:val="00CB1D10"/>
    <w:rsid w:val="00CB2410"/>
    <w:rsid w:val="00CB29E1"/>
    <w:rsid w:val="00CB3663"/>
    <w:rsid w:val="00CB3F94"/>
    <w:rsid w:val="00CB4032"/>
    <w:rsid w:val="00CB4E92"/>
    <w:rsid w:val="00CB55D1"/>
    <w:rsid w:val="00CB5D3F"/>
    <w:rsid w:val="00CB6185"/>
    <w:rsid w:val="00CB66DE"/>
    <w:rsid w:val="00CB67DC"/>
    <w:rsid w:val="00CB75B2"/>
    <w:rsid w:val="00CB76FA"/>
    <w:rsid w:val="00CB79E3"/>
    <w:rsid w:val="00CB7E8D"/>
    <w:rsid w:val="00CB7F17"/>
    <w:rsid w:val="00CB7F8E"/>
    <w:rsid w:val="00CC0652"/>
    <w:rsid w:val="00CC108B"/>
    <w:rsid w:val="00CC11F9"/>
    <w:rsid w:val="00CC1319"/>
    <w:rsid w:val="00CC189B"/>
    <w:rsid w:val="00CC225D"/>
    <w:rsid w:val="00CC22AF"/>
    <w:rsid w:val="00CC2E5C"/>
    <w:rsid w:val="00CC2FAC"/>
    <w:rsid w:val="00CC334D"/>
    <w:rsid w:val="00CC3BCF"/>
    <w:rsid w:val="00CC3C5B"/>
    <w:rsid w:val="00CC3EEF"/>
    <w:rsid w:val="00CC411F"/>
    <w:rsid w:val="00CC450B"/>
    <w:rsid w:val="00CC466E"/>
    <w:rsid w:val="00CC4FE6"/>
    <w:rsid w:val="00CC5171"/>
    <w:rsid w:val="00CC6273"/>
    <w:rsid w:val="00CC6C41"/>
    <w:rsid w:val="00CC707B"/>
    <w:rsid w:val="00CC71A7"/>
    <w:rsid w:val="00CC7DFD"/>
    <w:rsid w:val="00CD0DB1"/>
    <w:rsid w:val="00CD0DD8"/>
    <w:rsid w:val="00CD0E39"/>
    <w:rsid w:val="00CD150E"/>
    <w:rsid w:val="00CD1D00"/>
    <w:rsid w:val="00CD2194"/>
    <w:rsid w:val="00CD23FD"/>
    <w:rsid w:val="00CD266B"/>
    <w:rsid w:val="00CD28BB"/>
    <w:rsid w:val="00CD2979"/>
    <w:rsid w:val="00CD2A2B"/>
    <w:rsid w:val="00CD2D0E"/>
    <w:rsid w:val="00CD3095"/>
    <w:rsid w:val="00CD31ED"/>
    <w:rsid w:val="00CD35EF"/>
    <w:rsid w:val="00CD36E1"/>
    <w:rsid w:val="00CD3891"/>
    <w:rsid w:val="00CD3C15"/>
    <w:rsid w:val="00CD478E"/>
    <w:rsid w:val="00CD5BB2"/>
    <w:rsid w:val="00CD6A30"/>
    <w:rsid w:val="00CD7472"/>
    <w:rsid w:val="00CD751B"/>
    <w:rsid w:val="00CD7704"/>
    <w:rsid w:val="00CE00E0"/>
    <w:rsid w:val="00CE0A5D"/>
    <w:rsid w:val="00CE14AA"/>
    <w:rsid w:val="00CE19B0"/>
    <w:rsid w:val="00CE1D30"/>
    <w:rsid w:val="00CE34FA"/>
    <w:rsid w:val="00CE3953"/>
    <w:rsid w:val="00CE4214"/>
    <w:rsid w:val="00CE4544"/>
    <w:rsid w:val="00CE48EA"/>
    <w:rsid w:val="00CE4A04"/>
    <w:rsid w:val="00CE4ADF"/>
    <w:rsid w:val="00CE4BB6"/>
    <w:rsid w:val="00CE4D87"/>
    <w:rsid w:val="00CE5075"/>
    <w:rsid w:val="00CE59DA"/>
    <w:rsid w:val="00CE642B"/>
    <w:rsid w:val="00CE649D"/>
    <w:rsid w:val="00CE694C"/>
    <w:rsid w:val="00CE6FA8"/>
    <w:rsid w:val="00CE74F9"/>
    <w:rsid w:val="00CE769E"/>
    <w:rsid w:val="00CF01C3"/>
    <w:rsid w:val="00CF0AF7"/>
    <w:rsid w:val="00CF0B3D"/>
    <w:rsid w:val="00CF0CA4"/>
    <w:rsid w:val="00CF0CD2"/>
    <w:rsid w:val="00CF0F0B"/>
    <w:rsid w:val="00CF1118"/>
    <w:rsid w:val="00CF1A6D"/>
    <w:rsid w:val="00CF1B17"/>
    <w:rsid w:val="00CF1CFE"/>
    <w:rsid w:val="00CF23E9"/>
    <w:rsid w:val="00CF2E16"/>
    <w:rsid w:val="00CF2ED2"/>
    <w:rsid w:val="00CF2FC4"/>
    <w:rsid w:val="00CF36E4"/>
    <w:rsid w:val="00CF3726"/>
    <w:rsid w:val="00CF3D50"/>
    <w:rsid w:val="00CF4165"/>
    <w:rsid w:val="00CF4949"/>
    <w:rsid w:val="00CF4AC6"/>
    <w:rsid w:val="00CF50D8"/>
    <w:rsid w:val="00CF55AC"/>
    <w:rsid w:val="00CF5CE2"/>
    <w:rsid w:val="00CF63E2"/>
    <w:rsid w:val="00CF67AB"/>
    <w:rsid w:val="00CF688E"/>
    <w:rsid w:val="00D009F8"/>
    <w:rsid w:val="00D01EB2"/>
    <w:rsid w:val="00D024CC"/>
    <w:rsid w:val="00D02818"/>
    <w:rsid w:val="00D03305"/>
    <w:rsid w:val="00D036F2"/>
    <w:rsid w:val="00D03C98"/>
    <w:rsid w:val="00D04306"/>
    <w:rsid w:val="00D043E4"/>
    <w:rsid w:val="00D04674"/>
    <w:rsid w:val="00D0496A"/>
    <w:rsid w:val="00D04BFB"/>
    <w:rsid w:val="00D04EFF"/>
    <w:rsid w:val="00D055D6"/>
    <w:rsid w:val="00D05953"/>
    <w:rsid w:val="00D0599B"/>
    <w:rsid w:val="00D05A77"/>
    <w:rsid w:val="00D05B31"/>
    <w:rsid w:val="00D05E5B"/>
    <w:rsid w:val="00D06069"/>
    <w:rsid w:val="00D069A8"/>
    <w:rsid w:val="00D06EC9"/>
    <w:rsid w:val="00D073F3"/>
    <w:rsid w:val="00D078C5"/>
    <w:rsid w:val="00D10268"/>
    <w:rsid w:val="00D102EC"/>
    <w:rsid w:val="00D107C5"/>
    <w:rsid w:val="00D114BD"/>
    <w:rsid w:val="00D115B4"/>
    <w:rsid w:val="00D11D5C"/>
    <w:rsid w:val="00D11EED"/>
    <w:rsid w:val="00D12353"/>
    <w:rsid w:val="00D125E1"/>
    <w:rsid w:val="00D12A33"/>
    <w:rsid w:val="00D134E9"/>
    <w:rsid w:val="00D13CA1"/>
    <w:rsid w:val="00D14547"/>
    <w:rsid w:val="00D149E8"/>
    <w:rsid w:val="00D15C1B"/>
    <w:rsid w:val="00D15C4E"/>
    <w:rsid w:val="00D15C6E"/>
    <w:rsid w:val="00D1615A"/>
    <w:rsid w:val="00D1707D"/>
    <w:rsid w:val="00D174E5"/>
    <w:rsid w:val="00D175A9"/>
    <w:rsid w:val="00D17911"/>
    <w:rsid w:val="00D17AF0"/>
    <w:rsid w:val="00D17E6F"/>
    <w:rsid w:val="00D17E95"/>
    <w:rsid w:val="00D17F8F"/>
    <w:rsid w:val="00D17FC7"/>
    <w:rsid w:val="00D2028F"/>
    <w:rsid w:val="00D2079E"/>
    <w:rsid w:val="00D21103"/>
    <w:rsid w:val="00D21C34"/>
    <w:rsid w:val="00D21D21"/>
    <w:rsid w:val="00D21D8B"/>
    <w:rsid w:val="00D221DF"/>
    <w:rsid w:val="00D22BAE"/>
    <w:rsid w:val="00D22E41"/>
    <w:rsid w:val="00D23FCB"/>
    <w:rsid w:val="00D24BE3"/>
    <w:rsid w:val="00D24D1F"/>
    <w:rsid w:val="00D24E40"/>
    <w:rsid w:val="00D250D0"/>
    <w:rsid w:val="00D25378"/>
    <w:rsid w:val="00D2569F"/>
    <w:rsid w:val="00D25AB5"/>
    <w:rsid w:val="00D262A3"/>
    <w:rsid w:val="00D26F5F"/>
    <w:rsid w:val="00D27359"/>
    <w:rsid w:val="00D27D0E"/>
    <w:rsid w:val="00D27ED7"/>
    <w:rsid w:val="00D27F87"/>
    <w:rsid w:val="00D30742"/>
    <w:rsid w:val="00D30A56"/>
    <w:rsid w:val="00D310E0"/>
    <w:rsid w:val="00D317B7"/>
    <w:rsid w:val="00D31AC5"/>
    <w:rsid w:val="00D31C0F"/>
    <w:rsid w:val="00D31DB9"/>
    <w:rsid w:val="00D32374"/>
    <w:rsid w:val="00D33110"/>
    <w:rsid w:val="00D3326E"/>
    <w:rsid w:val="00D339B4"/>
    <w:rsid w:val="00D33FEE"/>
    <w:rsid w:val="00D341BB"/>
    <w:rsid w:val="00D3441D"/>
    <w:rsid w:val="00D34CDF"/>
    <w:rsid w:val="00D35113"/>
    <w:rsid w:val="00D3512F"/>
    <w:rsid w:val="00D3526A"/>
    <w:rsid w:val="00D355F6"/>
    <w:rsid w:val="00D35B0E"/>
    <w:rsid w:val="00D35BF8"/>
    <w:rsid w:val="00D35C88"/>
    <w:rsid w:val="00D363AD"/>
    <w:rsid w:val="00D3649C"/>
    <w:rsid w:val="00D36C01"/>
    <w:rsid w:val="00D3743C"/>
    <w:rsid w:val="00D374CF"/>
    <w:rsid w:val="00D37B14"/>
    <w:rsid w:val="00D37CF3"/>
    <w:rsid w:val="00D4059F"/>
    <w:rsid w:val="00D409F6"/>
    <w:rsid w:val="00D41047"/>
    <w:rsid w:val="00D4116C"/>
    <w:rsid w:val="00D41E56"/>
    <w:rsid w:val="00D4253B"/>
    <w:rsid w:val="00D42DA3"/>
    <w:rsid w:val="00D431A2"/>
    <w:rsid w:val="00D4328D"/>
    <w:rsid w:val="00D43B6C"/>
    <w:rsid w:val="00D44545"/>
    <w:rsid w:val="00D4480D"/>
    <w:rsid w:val="00D448F1"/>
    <w:rsid w:val="00D450C3"/>
    <w:rsid w:val="00D45378"/>
    <w:rsid w:val="00D45A3E"/>
    <w:rsid w:val="00D45D14"/>
    <w:rsid w:val="00D45D91"/>
    <w:rsid w:val="00D460CC"/>
    <w:rsid w:val="00D46582"/>
    <w:rsid w:val="00D46F38"/>
    <w:rsid w:val="00D47253"/>
    <w:rsid w:val="00D4740B"/>
    <w:rsid w:val="00D4769D"/>
    <w:rsid w:val="00D50ABC"/>
    <w:rsid w:val="00D50AEA"/>
    <w:rsid w:val="00D524FE"/>
    <w:rsid w:val="00D52E8B"/>
    <w:rsid w:val="00D53121"/>
    <w:rsid w:val="00D533D4"/>
    <w:rsid w:val="00D5345C"/>
    <w:rsid w:val="00D535A6"/>
    <w:rsid w:val="00D539D3"/>
    <w:rsid w:val="00D543CB"/>
    <w:rsid w:val="00D54591"/>
    <w:rsid w:val="00D5474B"/>
    <w:rsid w:val="00D54EB8"/>
    <w:rsid w:val="00D54F97"/>
    <w:rsid w:val="00D55614"/>
    <w:rsid w:val="00D55847"/>
    <w:rsid w:val="00D56172"/>
    <w:rsid w:val="00D5631A"/>
    <w:rsid w:val="00D56A76"/>
    <w:rsid w:val="00D56DBC"/>
    <w:rsid w:val="00D5708D"/>
    <w:rsid w:val="00D57592"/>
    <w:rsid w:val="00D57772"/>
    <w:rsid w:val="00D57A2E"/>
    <w:rsid w:val="00D6007D"/>
    <w:rsid w:val="00D6054A"/>
    <w:rsid w:val="00D60936"/>
    <w:rsid w:val="00D6100F"/>
    <w:rsid w:val="00D61057"/>
    <w:rsid w:val="00D6188B"/>
    <w:rsid w:val="00D61922"/>
    <w:rsid w:val="00D61B81"/>
    <w:rsid w:val="00D61D27"/>
    <w:rsid w:val="00D61F3B"/>
    <w:rsid w:val="00D6241A"/>
    <w:rsid w:val="00D62756"/>
    <w:rsid w:val="00D62A6A"/>
    <w:rsid w:val="00D62CAE"/>
    <w:rsid w:val="00D62FDC"/>
    <w:rsid w:val="00D635CE"/>
    <w:rsid w:val="00D63B30"/>
    <w:rsid w:val="00D63DDD"/>
    <w:rsid w:val="00D6429D"/>
    <w:rsid w:val="00D6460C"/>
    <w:rsid w:val="00D64D5F"/>
    <w:rsid w:val="00D66139"/>
    <w:rsid w:val="00D66540"/>
    <w:rsid w:val="00D66DF1"/>
    <w:rsid w:val="00D67276"/>
    <w:rsid w:val="00D6797F"/>
    <w:rsid w:val="00D67CD3"/>
    <w:rsid w:val="00D67DAE"/>
    <w:rsid w:val="00D67E2D"/>
    <w:rsid w:val="00D704A3"/>
    <w:rsid w:val="00D70641"/>
    <w:rsid w:val="00D70BCC"/>
    <w:rsid w:val="00D710A3"/>
    <w:rsid w:val="00D714A1"/>
    <w:rsid w:val="00D717B9"/>
    <w:rsid w:val="00D7208A"/>
    <w:rsid w:val="00D72239"/>
    <w:rsid w:val="00D7278C"/>
    <w:rsid w:val="00D72DF1"/>
    <w:rsid w:val="00D73483"/>
    <w:rsid w:val="00D7368F"/>
    <w:rsid w:val="00D73746"/>
    <w:rsid w:val="00D73936"/>
    <w:rsid w:val="00D73B3C"/>
    <w:rsid w:val="00D74335"/>
    <w:rsid w:val="00D746CA"/>
    <w:rsid w:val="00D7488F"/>
    <w:rsid w:val="00D748AF"/>
    <w:rsid w:val="00D7566F"/>
    <w:rsid w:val="00D75731"/>
    <w:rsid w:val="00D7575F"/>
    <w:rsid w:val="00D75BBC"/>
    <w:rsid w:val="00D75D3E"/>
    <w:rsid w:val="00D75EAC"/>
    <w:rsid w:val="00D760D7"/>
    <w:rsid w:val="00D761B5"/>
    <w:rsid w:val="00D76AB6"/>
    <w:rsid w:val="00D76CBD"/>
    <w:rsid w:val="00D76E4B"/>
    <w:rsid w:val="00D76F2A"/>
    <w:rsid w:val="00D77D52"/>
    <w:rsid w:val="00D77F69"/>
    <w:rsid w:val="00D77FD3"/>
    <w:rsid w:val="00D801FD"/>
    <w:rsid w:val="00D80767"/>
    <w:rsid w:val="00D808C1"/>
    <w:rsid w:val="00D8111F"/>
    <w:rsid w:val="00D8284F"/>
    <w:rsid w:val="00D8288C"/>
    <w:rsid w:val="00D83DF9"/>
    <w:rsid w:val="00D84321"/>
    <w:rsid w:val="00D846E8"/>
    <w:rsid w:val="00D84C4F"/>
    <w:rsid w:val="00D85756"/>
    <w:rsid w:val="00D85757"/>
    <w:rsid w:val="00D85997"/>
    <w:rsid w:val="00D85C00"/>
    <w:rsid w:val="00D85D76"/>
    <w:rsid w:val="00D86027"/>
    <w:rsid w:val="00D86386"/>
    <w:rsid w:val="00D87756"/>
    <w:rsid w:val="00D877E8"/>
    <w:rsid w:val="00D878D0"/>
    <w:rsid w:val="00D87F75"/>
    <w:rsid w:val="00D900B2"/>
    <w:rsid w:val="00D90619"/>
    <w:rsid w:val="00D910AE"/>
    <w:rsid w:val="00D91175"/>
    <w:rsid w:val="00D91274"/>
    <w:rsid w:val="00D9127E"/>
    <w:rsid w:val="00D91DFB"/>
    <w:rsid w:val="00D92793"/>
    <w:rsid w:val="00D928EF"/>
    <w:rsid w:val="00D92C5E"/>
    <w:rsid w:val="00D937DD"/>
    <w:rsid w:val="00D9522F"/>
    <w:rsid w:val="00D953B1"/>
    <w:rsid w:val="00D96A49"/>
    <w:rsid w:val="00D97536"/>
    <w:rsid w:val="00D97BCD"/>
    <w:rsid w:val="00D97D32"/>
    <w:rsid w:val="00DA017E"/>
    <w:rsid w:val="00DA069D"/>
    <w:rsid w:val="00DA08FE"/>
    <w:rsid w:val="00DA0A89"/>
    <w:rsid w:val="00DA15B1"/>
    <w:rsid w:val="00DA1727"/>
    <w:rsid w:val="00DA1F6F"/>
    <w:rsid w:val="00DA21C6"/>
    <w:rsid w:val="00DA23E6"/>
    <w:rsid w:val="00DA2AA7"/>
    <w:rsid w:val="00DA3686"/>
    <w:rsid w:val="00DA3EDD"/>
    <w:rsid w:val="00DA3FBD"/>
    <w:rsid w:val="00DA4352"/>
    <w:rsid w:val="00DA442D"/>
    <w:rsid w:val="00DA447C"/>
    <w:rsid w:val="00DA4E4A"/>
    <w:rsid w:val="00DA5A47"/>
    <w:rsid w:val="00DA60BE"/>
    <w:rsid w:val="00DA64CF"/>
    <w:rsid w:val="00DA6B78"/>
    <w:rsid w:val="00DA7A36"/>
    <w:rsid w:val="00DA7A3F"/>
    <w:rsid w:val="00DA7DA1"/>
    <w:rsid w:val="00DA7EC6"/>
    <w:rsid w:val="00DB0BFB"/>
    <w:rsid w:val="00DB0C25"/>
    <w:rsid w:val="00DB114D"/>
    <w:rsid w:val="00DB1200"/>
    <w:rsid w:val="00DB1250"/>
    <w:rsid w:val="00DB12B5"/>
    <w:rsid w:val="00DB198C"/>
    <w:rsid w:val="00DB1B89"/>
    <w:rsid w:val="00DB2D06"/>
    <w:rsid w:val="00DB341F"/>
    <w:rsid w:val="00DB4193"/>
    <w:rsid w:val="00DB4C3F"/>
    <w:rsid w:val="00DB5C5E"/>
    <w:rsid w:val="00DB5E26"/>
    <w:rsid w:val="00DB6008"/>
    <w:rsid w:val="00DB62B3"/>
    <w:rsid w:val="00DB6D9A"/>
    <w:rsid w:val="00DB7C11"/>
    <w:rsid w:val="00DC0059"/>
    <w:rsid w:val="00DC02A9"/>
    <w:rsid w:val="00DC09A1"/>
    <w:rsid w:val="00DC0A10"/>
    <w:rsid w:val="00DC0D8D"/>
    <w:rsid w:val="00DC0EDF"/>
    <w:rsid w:val="00DC226F"/>
    <w:rsid w:val="00DC2638"/>
    <w:rsid w:val="00DC3055"/>
    <w:rsid w:val="00DC35D6"/>
    <w:rsid w:val="00DC397F"/>
    <w:rsid w:val="00DC3F37"/>
    <w:rsid w:val="00DC4103"/>
    <w:rsid w:val="00DC4A30"/>
    <w:rsid w:val="00DC4CE1"/>
    <w:rsid w:val="00DC553C"/>
    <w:rsid w:val="00DC55A1"/>
    <w:rsid w:val="00DC5806"/>
    <w:rsid w:val="00DC58E2"/>
    <w:rsid w:val="00DC59D1"/>
    <w:rsid w:val="00DC5A42"/>
    <w:rsid w:val="00DC5F8A"/>
    <w:rsid w:val="00DC60A6"/>
    <w:rsid w:val="00DC61BE"/>
    <w:rsid w:val="00DC61C0"/>
    <w:rsid w:val="00DC6A2E"/>
    <w:rsid w:val="00DC6FB7"/>
    <w:rsid w:val="00DC7280"/>
    <w:rsid w:val="00DC79F5"/>
    <w:rsid w:val="00DC7BCB"/>
    <w:rsid w:val="00DD0B53"/>
    <w:rsid w:val="00DD0C28"/>
    <w:rsid w:val="00DD12FA"/>
    <w:rsid w:val="00DD1905"/>
    <w:rsid w:val="00DD1CFD"/>
    <w:rsid w:val="00DD1D7C"/>
    <w:rsid w:val="00DD230A"/>
    <w:rsid w:val="00DD27CE"/>
    <w:rsid w:val="00DD2998"/>
    <w:rsid w:val="00DD3374"/>
    <w:rsid w:val="00DD3BB0"/>
    <w:rsid w:val="00DD3D65"/>
    <w:rsid w:val="00DD4139"/>
    <w:rsid w:val="00DD4168"/>
    <w:rsid w:val="00DD473F"/>
    <w:rsid w:val="00DD4D3D"/>
    <w:rsid w:val="00DD4EAB"/>
    <w:rsid w:val="00DD508D"/>
    <w:rsid w:val="00DD5211"/>
    <w:rsid w:val="00DD5393"/>
    <w:rsid w:val="00DD598B"/>
    <w:rsid w:val="00DD5A4E"/>
    <w:rsid w:val="00DD5B86"/>
    <w:rsid w:val="00DD6390"/>
    <w:rsid w:val="00DD735A"/>
    <w:rsid w:val="00DD74E3"/>
    <w:rsid w:val="00DD75B4"/>
    <w:rsid w:val="00DD7883"/>
    <w:rsid w:val="00DD7C80"/>
    <w:rsid w:val="00DD7F18"/>
    <w:rsid w:val="00DE040D"/>
    <w:rsid w:val="00DE0482"/>
    <w:rsid w:val="00DE06F4"/>
    <w:rsid w:val="00DE07CE"/>
    <w:rsid w:val="00DE0C4B"/>
    <w:rsid w:val="00DE1AD0"/>
    <w:rsid w:val="00DE207F"/>
    <w:rsid w:val="00DE22B2"/>
    <w:rsid w:val="00DE338E"/>
    <w:rsid w:val="00DE3DEF"/>
    <w:rsid w:val="00DE4389"/>
    <w:rsid w:val="00DE4667"/>
    <w:rsid w:val="00DE5645"/>
    <w:rsid w:val="00DE5858"/>
    <w:rsid w:val="00DE5C90"/>
    <w:rsid w:val="00DE62F6"/>
    <w:rsid w:val="00DE63CB"/>
    <w:rsid w:val="00DE63E2"/>
    <w:rsid w:val="00DE772E"/>
    <w:rsid w:val="00DE780F"/>
    <w:rsid w:val="00DE789D"/>
    <w:rsid w:val="00DE7A73"/>
    <w:rsid w:val="00DE7C91"/>
    <w:rsid w:val="00DE7CFF"/>
    <w:rsid w:val="00DE7E5C"/>
    <w:rsid w:val="00DF036E"/>
    <w:rsid w:val="00DF04A1"/>
    <w:rsid w:val="00DF0782"/>
    <w:rsid w:val="00DF1481"/>
    <w:rsid w:val="00DF1DDC"/>
    <w:rsid w:val="00DF1EF6"/>
    <w:rsid w:val="00DF21F1"/>
    <w:rsid w:val="00DF22A0"/>
    <w:rsid w:val="00DF2EA6"/>
    <w:rsid w:val="00DF352A"/>
    <w:rsid w:val="00DF3FF8"/>
    <w:rsid w:val="00DF44B9"/>
    <w:rsid w:val="00DF4866"/>
    <w:rsid w:val="00DF4A85"/>
    <w:rsid w:val="00DF4BAD"/>
    <w:rsid w:val="00DF5AE3"/>
    <w:rsid w:val="00DF5D1E"/>
    <w:rsid w:val="00DF5EC5"/>
    <w:rsid w:val="00DF6D5B"/>
    <w:rsid w:val="00DF6E68"/>
    <w:rsid w:val="00DF6F42"/>
    <w:rsid w:val="00DF7B2C"/>
    <w:rsid w:val="00E0029B"/>
    <w:rsid w:val="00E0043B"/>
    <w:rsid w:val="00E00C7B"/>
    <w:rsid w:val="00E00CA5"/>
    <w:rsid w:val="00E01748"/>
    <w:rsid w:val="00E01B17"/>
    <w:rsid w:val="00E01BA2"/>
    <w:rsid w:val="00E01D46"/>
    <w:rsid w:val="00E0202E"/>
    <w:rsid w:val="00E02219"/>
    <w:rsid w:val="00E0249A"/>
    <w:rsid w:val="00E02899"/>
    <w:rsid w:val="00E02955"/>
    <w:rsid w:val="00E02A62"/>
    <w:rsid w:val="00E02BF6"/>
    <w:rsid w:val="00E03F9C"/>
    <w:rsid w:val="00E05B83"/>
    <w:rsid w:val="00E064B4"/>
    <w:rsid w:val="00E065C3"/>
    <w:rsid w:val="00E0669C"/>
    <w:rsid w:val="00E06E3A"/>
    <w:rsid w:val="00E075A0"/>
    <w:rsid w:val="00E07DD9"/>
    <w:rsid w:val="00E07ECA"/>
    <w:rsid w:val="00E103FF"/>
    <w:rsid w:val="00E10AF7"/>
    <w:rsid w:val="00E1107C"/>
    <w:rsid w:val="00E11BE8"/>
    <w:rsid w:val="00E11CA0"/>
    <w:rsid w:val="00E12A80"/>
    <w:rsid w:val="00E12EF5"/>
    <w:rsid w:val="00E13558"/>
    <w:rsid w:val="00E13690"/>
    <w:rsid w:val="00E13710"/>
    <w:rsid w:val="00E13AFA"/>
    <w:rsid w:val="00E13C29"/>
    <w:rsid w:val="00E1401B"/>
    <w:rsid w:val="00E14BE1"/>
    <w:rsid w:val="00E15092"/>
    <w:rsid w:val="00E150AF"/>
    <w:rsid w:val="00E1513E"/>
    <w:rsid w:val="00E15624"/>
    <w:rsid w:val="00E1573D"/>
    <w:rsid w:val="00E15E88"/>
    <w:rsid w:val="00E1631A"/>
    <w:rsid w:val="00E17028"/>
    <w:rsid w:val="00E175F2"/>
    <w:rsid w:val="00E17660"/>
    <w:rsid w:val="00E178D4"/>
    <w:rsid w:val="00E17E1A"/>
    <w:rsid w:val="00E21119"/>
    <w:rsid w:val="00E21634"/>
    <w:rsid w:val="00E21B46"/>
    <w:rsid w:val="00E2224C"/>
    <w:rsid w:val="00E226C0"/>
    <w:rsid w:val="00E22BFA"/>
    <w:rsid w:val="00E22DD2"/>
    <w:rsid w:val="00E23F4E"/>
    <w:rsid w:val="00E24265"/>
    <w:rsid w:val="00E25FBF"/>
    <w:rsid w:val="00E26200"/>
    <w:rsid w:val="00E268D9"/>
    <w:rsid w:val="00E2696B"/>
    <w:rsid w:val="00E2759C"/>
    <w:rsid w:val="00E2761F"/>
    <w:rsid w:val="00E27F33"/>
    <w:rsid w:val="00E3083E"/>
    <w:rsid w:val="00E310BD"/>
    <w:rsid w:val="00E315EC"/>
    <w:rsid w:val="00E3225C"/>
    <w:rsid w:val="00E32D3A"/>
    <w:rsid w:val="00E32F52"/>
    <w:rsid w:val="00E33513"/>
    <w:rsid w:val="00E34317"/>
    <w:rsid w:val="00E344D8"/>
    <w:rsid w:val="00E349D0"/>
    <w:rsid w:val="00E34BDC"/>
    <w:rsid w:val="00E34D39"/>
    <w:rsid w:val="00E359C2"/>
    <w:rsid w:val="00E35BA3"/>
    <w:rsid w:val="00E35C59"/>
    <w:rsid w:val="00E35C92"/>
    <w:rsid w:val="00E362DE"/>
    <w:rsid w:val="00E3637A"/>
    <w:rsid w:val="00E366B0"/>
    <w:rsid w:val="00E36F33"/>
    <w:rsid w:val="00E37402"/>
    <w:rsid w:val="00E3775F"/>
    <w:rsid w:val="00E37EB7"/>
    <w:rsid w:val="00E37F1F"/>
    <w:rsid w:val="00E402F8"/>
    <w:rsid w:val="00E40AE5"/>
    <w:rsid w:val="00E40C7B"/>
    <w:rsid w:val="00E40D6B"/>
    <w:rsid w:val="00E414AE"/>
    <w:rsid w:val="00E41D98"/>
    <w:rsid w:val="00E428CB"/>
    <w:rsid w:val="00E432DF"/>
    <w:rsid w:val="00E4382C"/>
    <w:rsid w:val="00E43A0C"/>
    <w:rsid w:val="00E43A7B"/>
    <w:rsid w:val="00E44184"/>
    <w:rsid w:val="00E443BF"/>
    <w:rsid w:val="00E44559"/>
    <w:rsid w:val="00E4457F"/>
    <w:rsid w:val="00E44682"/>
    <w:rsid w:val="00E44B08"/>
    <w:rsid w:val="00E44EA6"/>
    <w:rsid w:val="00E44EAF"/>
    <w:rsid w:val="00E455A1"/>
    <w:rsid w:val="00E45E4C"/>
    <w:rsid w:val="00E45E7D"/>
    <w:rsid w:val="00E468B0"/>
    <w:rsid w:val="00E468B8"/>
    <w:rsid w:val="00E46BAC"/>
    <w:rsid w:val="00E46EDE"/>
    <w:rsid w:val="00E472DA"/>
    <w:rsid w:val="00E4761A"/>
    <w:rsid w:val="00E504A2"/>
    <w:rsid w:val="00E50C86"/>
    <w:rsid w:val="00E511B7"/>
    <w:rsid w:val="00E5133B"/>
    <w:rsid w:val="00E5155C"/>
    <w:rsid w:val="00E5196F"/>
    <w:rsid w:val="00E51B5F"/>
    <w:rsid w:val="00E526DF"/>
    <w:rsid w:val="00E52A93"/>
    <w:rsid w:val="00E53149"/>
    <w:rsid w:val="00E539E4"/>
    <w:rsid w:val="00E53AE4"/>
    <w:rsid w:val="00E5420A"/>
    <w:rsid w:val="00E5460E"/>
    <w:rsid w:val="00E5488F"/>
    <w:rsid w:val="00E54B68"/>
    <w:rsid w:val="00E55206"/>
    <w:rsid w:val="00E55264"/>
    <w:rsid w:val="00E55F97"/>
    <w:rsid w:val="00E5676C"/>
    <w:rsid w:val="00E56C01"/>
    <w:rsid w:val="00E56EEB"/>
    <w:rsid w:val="00E56F01"/>
    <w:rsid w:val="00E57B62"/>
    <w:rsid w:val="00E57CC2"/>
    <w:rsid w:val="00E60049"/>
    <w:rsid w:val="00E60782"/>
    <w:rsid w:val="00E60871"/>
    <w:rsid w:val="00E60B9D"/>
    <w:rsid w:val="00E6103A"/>
    <w:rsid w:val="00E614D1"/>
    <w:rsid w:val="00E61591"/>
    <w:rsid w:val="00E61BEB"/>
    <w:rsid w:val="00E623C1"/>
    <w:rsid w:val="00E62465"/>
    <w:rsid w:val="00E6292A"/>
    <w:rsid w:val="00E63308"/>
    <w:rsid w:val="00E63B55"/>
    <w:rsid w:val="00E64554"/>
    <w:rsid w:val="00E65067"/>
    <w:rsid w:val="00E65763"/>
    <w:rsid w:val="00E65AF9"/>
    <w:rsid w:val="00E65CB9"/>
    <w:rsid w:val="00E67668"/>
    <w:rsid w:val="00E6776E"/>
    <w:rsid w:val="00E67C36"/>
    <w:rsid w:val="00E67E0C"/>
    <w:rsid w:val="00E701E5"/>
    <w:rsid w:val="00E710D2"/>
    <w:rsid w:val="00E716D5"/>
    <w:rsid w:val="00E71759"/>
    <w:rsid w:val="00E717CE"/>
    <w:rsid w:val="00E717F9"/>
    <w:rsid w:val="00E71AE1"/>
    <w:rsid w:val="00E734E1"/>
    <w:rsid w:val="00E7371F"/>
    <w:rsid w:val="00E73787"/>
    <w:rsid w:val="00E73873"/>
    <w:rsid w:val="00E7475F"/>
    <w:rsid w:val="00E75589"/>
    <w:rsid w:val="00E755EC"/>
    <w:rsid w:val="00E756AC"/>
    <w:rsid w:val="00E758B5"/>
    <w:rsid w:val="00E75BF4"/>
    <w:rsid w:val="00E76714"/>
    <w:rsid w:val="00E7746A"/>
    <w:rsid w:val="00E77D57"/>
    <w:rsid w:val="00E80433"/>
    <w:rsid w:val="00E80C0E"/>
    <w:rsid w:val="00E80FCC"/>
    <w:rsid w:val="00E8172C"/>
    <w:rsid w:val="00E81A5C"/>
    <w:rsid w:val="00E81D03"/>
    <w:rsid w:val="00E81D33"/>
    <w:rsid w:val="00E81E52"/>
    <w:rsid w:val="00E82864"/>
    <w:rsid w:val="00E82BA4"/>
    <w:rsid w:val="00E82F69"/>
    <w:rsid w:val="00E835CC"/>
    <w:rsid w:val="00E836DF"/>
    <w:rsid w:val="00E83762"/>
    <w:rsid w:val="00E83A43"/>
    <w:rsid w:val="00E83B09"/>
    <w:rsid w:val="00E83B91"/>
    <w:rsid w:val="00E8486E"/>
    <w:rsid w:val="00E84B1B"/>
    <w:rsid w:val="00E84D38"/>
    <w:rsid w:val="00E85074"/>
    <w:rsid w:val="00E85530"/>
    <w:rsid w:val="00E85AD4"/>
    <w:rsid w:val="00E85B0F"/>
    <w:rsid w:val="00E86EF0"/>
    <w:rsid w:val="00E8778D"/>
    <w:rsid w:val="00E87D16"/>
    <w:rsid w:val="00E90A06"/>
    <w:rsid w:val="00E90B13"/>
    <w:rsid w:val="00E9198F"/>
    <w:rsid w:val="00E91A9E"/>
    <w:rsid w:val="00E91C0C"/>
    <w:rsid w:val="00E9272D"/>
    <w:rsid w:val="00E9297C"/>
    <w:rsid w:val="00E93013"/>
    <w:rsid w:val="00E934E5"/>
    <w:rsid w:val="00E93A75"/>
    <w:rsid w:val="00E940D7"/>
    <w:rsid w:val="00E96221"/>
    <w:rsid w:val="00E96342"/>
    <w:rsid w:val="00E96D2E"/>
    <w:rsid w:val="00E96D78"/>
    <w:rsid w:val="00E9712C"/>
    <w:rsid w:val="00E973A3"/>
    <w:rsid w:val="00E974D9"/>
    <w:rsid w:val="00E97947"/>
    <w:rsid w:val="00E97E79"/>
    <w:rsid w:val="00EA01BA"/>
    <w:rsid w:val="00EA025B"/>
    <w:rsid w:val="00EA047A"/>
    <w:rsid w:val="00EA054C"/>
    <w:rsid w:val="00EA0FB4"/>
    <w:rsid w:val="00EA0FD1"/>
    <w:rsid w:val="00EA0FD2"/>
    <w:rsid w:val="00EA1384"/>
    <w:rsid w:val="00EA148F"/>
    <w:rsid w:val="00EA1763"/>
    <w:rsid w:val="00EA1809"/>
    <w:rsid w:val="00EA18E9"/>
    <w:rsid w:val="00EA25DB"/>
    <w:rsid w:val="00EA2758"/>
    <w:rsid w:val="00EA2C05"/>
    <w:rsid w:val="00EA2C47"/>
    <w:rsid w:val="00EA3131"/>
    <w:rsid w:val="00EA3371"/>
    <w:rsid w:val="00EA3EEC"/>
    <w:rsid w:val="00EA4066"/>
    <w:rsid w:val="00EA4098"/>
    <w:rsid w:val="00EA40F4"/>
    <w:rsid w:val="00EA420F"/>
    <w:rsid w:val="00EA45BE"/>
    <w:rsid w:val="00EA4B2B"/>
    <w:rsid w:val="00EA4BDF"/>
    <w:rsid w:val="00EA4ECE"/>
    <w:rsid w:val="00EA5EAA"/>
    <w:rsid w:val="00EA600D"/>
    <w:rsid w:val="00EA6DD2"/>
    <w:rsid w:val="00EA7132"/>
    <w:rsid w:val="00EA73DA"/>
    <w:rsid w:val="00EB0A8D"/>
    <w:rsid w:val="00EB2659"/>
    <w:rsid w:val="00EB2D11"/>
    <w:rsid w:val="00EB2FF2"/>
    <w:rsid w:val="00EB31F8"/>
    <w:rsid w:val="00EB3433"/>
    <w:rsid w:val="00EB3C8F"/>
    <w:rsid w:val="00EB3CD5"/>
    <w:rsid w:val="00EB4278"/>
    <w:rsid w:val="00EB436B"/>
    <w:rsid w:val="00EB4B08"/>
    <w:rsid w:val="00EB5211"/>
    <w:rsid w:val="00EB5237"/>
    <w:rsid w:val="00EB53FF"/>
    <w:rsid w:val="00EB55A4"/>
    <w:rsid w:val="00EB5CAC"/>
    <w:rsid w:val="00EB6445"/>
    <w:rsid w:val="00EB6D51"/>
    <w:rsid w:val="00EB7B11"/>
    <w:rsid w:val="00EB7E3E"/>
    <w:rsid w:val="00EC033E"/>
    <w:rsid w:val="00EC08BA"/>
    <w:rsid w:val="00EC1258"/>
    <w:rsid w:val="00EC125C"/>
    <w:rsid w:val="00EC14D7"/>
    <w:rsid w:val="00EC1893"/>
    <w:rsid w:val="00EC1DCF"/>
    <w:rsid w:val="00EC2AA6"/>
    <w:rsid w:val="00EC3729"/>
    <w:rsid w:val="00EC44B5"/>
    <w:rsid w:val="00EC4569"/>
    <w:rsid w:val="00EC4641"/>
    <w:rsid w:val="00EC483E"/>
    <w:rsid w:val="00EC53D0"/>
    <w:rsid w:val="00EC5ADD"/>
    <w:rsid w:val="00EC626F"/>
    <w:rsid w:val="00EC6F2C"/>
    <w:rsid w:val="00EC71F3"/>
    <w:rsid w:val="00EC7395"/>
    <w:rsid w:val="00ED041D"/>
    <w:rsid w:val="00ED0709"/>
    <w:rsid w:val="00ED14FF"/>
    <w:rsid w:val="00ED1D7F"/>
    <w:rsid w:val="00ED1E7D"/>
    <w:rsid w:val="00ED2748"/>
    <w:rsid w:val="00ED303C"/>
    <w:rsid w:val="00ED3AFE"/>
    <w:rsid w:val="00ED414A"/>
    <w:rsid w:val="00ED426F"/>
    <w:rsid w:val="00ED4F63"/>
    <w:rsid w:val="00ED5547"/>
    <w:rsid w:val="00ED5EEE"/>
    <w:rsid w:val="00ED6006"/>
    <w:rsid w:val="00ED6618"/>
    <w:rsid w:val="00ED6B0E"/>
    <w:rsid w:val="00ED721E"/>
    <w:rsid w:val="00ED7520"/>
    <w:rsid w:val="00ED75AA"/>
    <w:rsid w:val="00EE00CC"/>
    <w:rsid w:val="00EE0263"/>
    <w:rsid w:val="00EE0C8A"/>
    <w:rsid w:val="00EE1A9B"/>
    <w:rsid w:val="00EE20D8"/>
    <w:rsid w:val="00EE2438"/>
    <w:rsid w:val="00EE26C2"/>
    <w:rsid w:val="00EE27BB"/>
    <w:rsid w:val="00EE3B62"/>
    <w:rsid w:val="00EE409C"/>
    <w:rsid w:val="00EE40CC"/>
    <w:rsid w:val="00EE42E0"/>
    <w:rsid w:val="00EE4A90"/>
    <w:rsid w:val="00EE4AB5"/>
    <w:rsid w:val="00EE4FDD"/>
    <w:rsid w:val="00EE6CDC"/>
    <w:rsid w:val="00EE729A"/>
    <w:rsid w:val="00EE7B8E"/>
    <w:rsid w:val="00EE7BBF"/>
    <w:rsid w:val="00EE7BFB"/>
    <w:rsid w:val="00EE7D75"/>
    <w:rsid w:val="00EF0AA8"/>
    <w:rsid w:val="00EF0DEC"/>
    <w:rsid w:val="00EF135D"/>
    <w:rsid w:val="00EF1B80"/>
    <w:rsid w:val="00EF1D54"/>
    <w:rsid w:val="00EF267D"/>
    <w:rsid w:val="00EF2C51"/>
    <w:rsid w:val="00EF2C5C"/>
    <w:rsid w:val="00EF2CD3"/>
    <w:rsid w:val="00EF35A6"/>
    <w:rsid w:val="00EF391C"/>
    <w:rsid w:val="00EF39FB"/>
    <w:rsid w:val="00EF3BEF"/>
    <w:rsid w:val="00EF3CA9"/>
    <w:rsid w:val="00EF42F4"/>
    <w:rsid w:val="00EF4AE2"/>
    <w:rsid w:val="00EF4C0D"/>
    <w:rsid w:val="00EF4EB6"/>
    <w:rsid w:val="00EF557C"/>
    <w:rsid w:val="00EF5765"/>
    <w:rsid w:val="00EF5C1B"/>
    <w:rsid w:val="00EF5C3B"/>
    <w:rsid w:val="00EF60A0"/>
    <w:rsid w:val="00EF6479"/>
    <w:rsid w:val="00EF6745"/>
    <w:rsid w:val="00EF67BE"/>
    <w:rsid w:val="00EF6EEB"/>
    <w:rsid w:val="00EF7124"/>
    <w:rsid w:val="00EF7498"/>
    <w:rsid w:val="00EF7741"/>
    <w:rsid w:val="00EF787C"/>
    <w:rsid w:val="00F0033C"/>
    <w:rsid w:val="00F00896"/>
    <w:rsid w:val="00F013A7"/>
    <w:rsid w:val="00F01908"/>
    <w:rsid w:val="00F01E1D"/>
    <w:rsid w:val="00F02188"/>
    <w:rsid w:val="00F021E3"/>
    <w:rsid w:val="00F02901"/>
    <w:rsid w:val="00F033FF"/>
    <w:rsid w:val="00F034D0"/>
    <w:rsid w:val="00F037F2"/>
    <w:rsid w:val="00F04361"/>
    <w:rsid w:val="00F04401"/>
    <w:rsid w:val="00F055D2"/>
    <w:rsid w:val="00F0629A"/>
    <w:rsid w:val="00F06652"/>
    <w:rsid w:val="00F0685D"/>
    <w:rsid w:val="00F069E8"/>
    <w:rsid w:val="00F06BBE"/>
    <w:rsid w:val="00F06DB8"/>
    <w:rsid w:val="00F06FC8"/>
    <w:rsid w:val="00F07626"/>
    <w:rsid w:val="00F10825"/>
    <w:rsid w:val="00F10CC7"/>
    <w:rsid w:val="00F11419"/>
    <w:rsid w:val="00F11513"/>
    <w:rsid w:val="00F115C8"/>
    <w:rsid w:val="00F12335"/>
    <w:rsid w:val="00F12368"/>
    <w:rsid w:val="00F124A2"/>
    <w:rsid w:val="00F12660"/>
    <w:rsid w:val="00F126FB"/>
    <w:rsid w:val="00F13A1C"/>
    <w:rsid w:val="00F13B04"/>
    <w:rsid w:val="00F14292"/>
    <w:rsid w:val="00F143F9"/>
    <w:rsid w:val="00F150C6"/>
    <w:rsid w:val="00F160B7"/>
    <w:rsid w:val="00F165D3"/>
    <w:rsid w:val="00F16BD1"/>
    <w:rsid w:val="00F174CA"/>
    <w:rsid w:val="00F17532"/>
    <w:rsid w:val="00F179D3"/>
    <w:rsid w:val="00F17F0C"/>
    <w:rsid w:val="00F20395"/>
    <w:rsid w:val="00F203C5"/>
    <w:rsid w:val="00F21319"/>
    <w:rsid w:val="00F22A7C"/>
    <w:rsid w:val="00F22D47"/>
    <w:rsid w:val="00F2323E"/>
    <w:rsid w:val="00F23964"/>
    <w:rsid w:val="00F24204"/>
    <w:rsid w:val="00F24524"/>
    <w:rsid w:val="00F24960"/>
    <w:rsid w:val="00F24C49"/>
    <w:rsid w:val="00F24D6C"/>
    <w:rsid w:val="00F25269"/>
    <w:rsid w:val="00F25C15"/>
    <w:rsid w:val="00F25DDE"/>
    <w:rsid w:val="00F26C8E"/>
    <w:rsid w:val="00F30074"/>
    <w:rsid w:val="00F30781"/>
    <w:rsid w:val="00F30E01"/>
    <w:rsid w:val="00F30F2A"/>
    <w:rsid w:val="00F31276"/>
    <w:rsid w:val="00F3155D"/>
    <w:rsid w:val="00F31DB0"/>
    <w:rsid w:val="00F31F97"/>
    <w:rsid w:val="00F323F0"/>
    <w:rsid w:val="00F323F7"/>
    <w:rsid w:val="00F333F9"/>
    <w:rsid w:val="00F336F4"/>
    <w:rsid w:val="00F34356"/>
    <w:rsid w:val="00F34FA9"/>
    <w:rsid w:val="00F359C0"/>
    <w:rsid w:val="00F35CD9"/>
    <w:rsid w:val="00F36129"/>
    <w:rsid w:val="00F373DC"/>
    <w:rsid w:val="00F37811"/>
    <w:rsid w:val="00F37AED"/>
    <w:rsid w:val="00F40579"/>
    <w:rsid w:val="00F406DA"/>
    <w:rsid w:val="00F41834"/>
    <w:rsid w:val="00F41C33"/>
    <w:rsid w:val="00F42175"/>
    <w:rsid w:val="00F4327A"/>
    <w:rsid w:val="00F4360E"/>
    <w:rsid w:val="00F43DE5"/>
    <w:rsid w:val="00F44131"/>
    <w:rsid w:val="00F4420D"/>
    <w:rsid w:val="00F443E4"/>
    <w:rsid w:val="00F44998"/>
    <w:rsid w:val="00F44AA5"/>
    <w:rsid w:val="00F451DB"/>
    <w:rsid w:val="00F45559"/>
    <w:rsid w:val="00F459DC"/>
    <w:rsid w:val="00F45B6A"/>
    <w:rsid w:val="00F45BF9"/>
    <w:rsid w:val="00F45F17"/>
    <w:rsid w:val="00F466B2"/>
    <w:rsid w:val="00F466D3"/>
    <w:rsid w:val="00F46B5E"/>
    <w:rsid w:val="00F47558"/>
    <w:rsid w:val="00F47880"/>
    <w:rsid w:val="00F47C06"/>
    <w:rsid w:val="00F47DD9"/>
    <w:rsid w:val="00F47F4B"/>
    <w:rsid w:val="00F50068"/>
    <w:rsid w:val="00F5023B"/>
    <w:rsid w:val="00F50A6C"/>
    <w:rsid w:val="00F50C98"/>
    <w:rsid w:val="00F51242"/>
    <w:rsid w:val="00F516B7"/>
    <w:rsid w:val="00F51706"/>
    <w:rsid w:val="00F51E66"/>
    <w:rsid w:val="00F5290B"/>
    <w:rsid w:val="00F53133"/>
    <w:rsid w:val="00F5319A"/>
    <w:rsid w:val="00F5391B"/>
    <w:rsid w:val="00F5432C"/>
    <w:rsid w:val="00F54A14"/>
    <w:rsid w:val="00F54CDA"/>
    <w:rsid w:val="00F552D1"/>
    <w:rsid w:val="00F556CD"/>
    <w:rsid w:val="00F558ED"/>
    <w:rsid w:val="00F55DEB"/>
    <w:rsid w:val="00F56040"/>
    <w:rsid w:val="00F563BD"/>
    <w:rsid w:val="00F57E52"/>
    <w:rsid w:val="00F609A1"/>
    <w:rsid w:val="00F60D9C"/>
    <w:rsid w:val="00F60E75"/>
    <w:rsid w:val="00F60EF3"/>
    <w:rsid w:val="00F61197"/>
    <w:rsid w:val="00F61275"/>
    <w:rsid w:val="00F6183A"/>
    <w:rsid w:val="00F61CCB"/>
    <w:rsid w:val="00F61E00"/>
    <w:rsid w:val="00F62191"/>
    <w:rsid w:val="00F62311"/>
    <w:rsid w:val="00F6231B"/>
    <w:rsid w:val="00F62339"/>
    <w:rsid w:val="00F62353"/>
    <w:rsid w:val="00F62414"/>
    <w:rsid w:val="00F626B2"/>
    <w:rsid w:val="00F62C7D"/>
    <w:rsid w:val="00F62F13"/>
    <w:rsid w:val="00F62FC1"/>
    <w:rsid w:val="00F6301E"/>
    <w:rsid w:val="00F63106"/>
    <w:rsid w:val="00F642B0"/>
    <w:rsid w:val="00F64503"/>
    <w:rsid w:val="00F64942"/>
    <w:rsid w:val="00F64AFF"/>
    <w:rsid w:val="00F64C62"/>
    <w:rsid w:val="00F64E4C"/>
    <w:rsid w:val="00F64F2B"/>
    <w:rsid w:val="00F65098"/>
    <w:rsid w:val="00F65117"/>
    <w:rsid w:val="00F662F0"/>
    <w:rsid w:val="00F667F5"/>
    <w:rsid w:val="00F6760D"/>
    <w:rsid w:val="00F676F6"/>
    <w:rsid w:val="00F67A1C"/>
    <w:rsid w:val="00F67C89"/>
    <w:rsid w:val="00F67CD0"/>
    <w:rsid w:val="00F67DC9"/>
    <w:rsid w:val="00F70DB1"/>
    <w:rsid w:val="00F70EA2"/>
    <w:rsid w:val="00F713EF"/>
    <w:rsid w:val="00F71A68"/>
    <w:rsid w:val="00F722ED"/>
    <w:rsid w:val="00F72C74"/>
    <w:rsid w:val="00F73450"/>
    <w:rsid w:val="00F73546"/>
    <w:rsid w:val="00F73806"/>
    <w:rsid w:val="00F74315"/>
    <w:rsid w:val="00F75CDE"/>
    <w:rsid w:val="00F75E6E"/>
    <w:rsid w:val="00F7636E"/>
    <w:rsid w:val="00F76431"/>
    <w:rsid w:val="00F76B52"/>
    <w:rsid w:val="00F76C67"/>
    <w:rsid w:val="00F772FD"/>
    <w:rsid w:val="00F801F1"/>
    <w:rsid w:val="00F8022A"/>
    <w:rsid w:val="00F8044E"/>
    <w:rsid w:val="00F8066C"/>
    <w:rsid w:val="00F80CF8"/>
    <w:rsid w:val="00F80F50"/>
    <w:rsid w:val="00F80FE6"/>
    <w:rsid w:val="00F81111"/>
    <w:rsid w:val="00F819CB"/>
    <w:rsid w:val="00F81ED0"/>
    <w:rsid w:val="00F8240B"/>
    <w:rsid w:val="00F82444"/>
    <w:rsid w:val="00F82469"/>
    <w:rsid w:val="00F826B1"/>
    <w:rsid w:val="00F826E7"/>
    <w:rsid w:val="00F8289B"/>
    <w:rsid w:val="00F836D4"/>
    <w:rsid w:val="00F8380A"/>
    <w:rsid w:val="00F83CDD"/>
    <w:rsid w:val="00F842E4"/>
    <w:rsid w:val="00F8474E"/>
    <w:rsid w:val="00F851CF"/>
    <w:rsid w:val="00F86197"/>
    <w:rsid w:val="00F865FE"/>
    <w:rsid w:val="00F86960"/>
    <w:rsid w:val="00F876A0"/>
    <w:rsid w:val="00F87A2C"/>
    <w:rsid w:val="00F90109"/>
    <w:rsid w:val="00F904D8"/>
    <w:rsid w:val="00F90562"/>
    <w:rsid w:val="00F9068D"/>
    <w:rsid w:val="00F90E05"/>
    <w:rsid w:val="00F9106F"/>
    <w:rsid w:val="00F91590"/>
    <w:rsid w:val="00F917B3"/>
    <w:rsid w:val="00F91B1A"/>
    <w:rsid w:val="00F91F23"/>
    <w:rsid w:val="00F91FE6"/>
    <w:rsid w:val="00F93114"/>
    <w:rsid w:val="00F94371"/>
    <w:rsid w:val="00F9480D"/>
    <w:rsid w:val="00F94C9C"/>
    <w:rsid w:val="00F9512C"/>
    <w:rsid w:val="00F9530F"/>
    <w:rsid w:val="00F9558D"/>
    <w:rsid w:val="00F9564B"/>
    <w:rsid w:val="00F9598A"/>
    <w:rsid w:val="00F9642A"/>
    <w:rsid w:val="00F96964"/>
    <w:rsid w:val="00F9702A"/>
    <w:rsid w:val="00F97885"/>
    <w:rsid w:val="00F9792D"/>
    <w:rsid w:val="00F97D6F"/>
    <w:rsid w:val="00F97E81"/>
    <w:rsid w:val="00FA05E0"/>
    <w:rsid w:val="00FA09BE"/>
    <w:rsid w:val="00FA1583"/>
    <w:rsid w:val="00FA1DD1"/>
    <w:rsid w:val="00FA305C"/>
    <w:rsid w:val="00FA3079"/>
    <w:rsid w:val="00FA341E"/>
    <w:rsid w:val="00FA36B3"/>
    <w:rsid w:val="00FA3DC8"/>
    <w:rsid w:val="00FA4CEA"/>
    <w:rsid w:val="00FA522C"/>
    <w:rsid w:val="00FA5758"/>
    <w:rsid w:val="00FA6CA6"/>
    <w:rsid w:val="00FA6F09"/>
    <w:rsid w:val="00FA7332"/>
    <w:rsid w:val="00FA734E"/>
    <w:rsid w:val="00FA7414"/>
    <w:rsid w:val="00FA7550"/>
    <w:rsid w:val="00FB0601"/>
    <w:rsid w:val="00FB0D95"/>
    <w:rsid w:val="00FB1D27"/>
    <w:rsid w:val="00FB227B"/>
    <w:rsid w:val="00FB2B67"/>
    <w:rsid w:val="00FB2F2A"/>
    <w:rsid w:val="00FB3272"/>
    <w:rsid w:val="00FB3876"/>
    <w:rsid w:val="00FB44E2"/>
    <w:rsid w:val="00FB4D15"/>
    <w:rsid w:val="00FB4DB3"/>
    <w:rsid w:val="00FB52F2"/>
    <w:rsid w:val="00FB66AE"/>
    <w:rsid w:val="00FB69C8"/>
    <w:rsid w:val="00FB6C40"/>
    <w:rsid w:val="00FB6E4C"/>
    <w:rsid w:val="00FB72E2"/>
    <w:rsid w:val="00FB734F"/>
    <w:rsid w:val="00FC037F"/>
    <w:rsid w:val="00FC0A94"/>
    <w:rsid w:val="00FC0DBC"/>
    <w:rsid w:val="00FC0F37"/>
    <w:rsid w:val="00FC1E0C"/>
    <w:rsid w:val="00FC2E6E"/>
    <w:rsid w:val="00FC2F2E"/>
    <w:rsid w:val="00FC3CA2"/>
    <w:rsid w:val="00FC3E7B"/>
    <w:rsid w:val="00FC4193"/>
    <w:rsid w:val="00FC47B4"/>
    <w:rsid w:val="00FC483A"/>
    <w:rsid w:val="00FC5273"/>
    <w:rsid w:val="00FC6147"/>
    <w:rsid w:val="00FC6B11"/>
    <w:rsid w:val="00FC70B1"/>
    <w:rsid w:val="00FC7BFB"/>
    <w:rsid w:val="00FC7ED6"/>
    <w:rsid w:val="00FD03C4"/>
    <w:rsid w:val="00FD1758"/>
    <w:rsid w:val="00FD1B0A"/>
    <w:rsid w:val="00FD1E03"/>
    <w:rsid w:val="00FD1E90"/>
    <w:rsid w:val="00FD1E9F"/>
    <w:rsid w:val="00FD2FF1"/>
    <w:rsid w:val="00FD4014"/>
    <w:rsid w:val="00FD424A"/>
    <w:rsid w:val="00FD4B1A"/>
    <w:rsid w:val="00FD58A6"/>
    <w:rsid w:val="00FD5979"/>
    <w:rsid w:val="00FD66AF"/>
    <w:rsid w:val="00FD6D33"/>
    <w:rsid w:val="00FD74B8"/>
    <w:rsid w:val="00FD7F59"/>
    <w:rsid w:val="00FE0788"/>
    <w:rsid w:val="00FE0812"/>
    <w:rsid w:val="00FE0C7D"/>
    <w:rsid w:val="00FE0D93"/>
    <w:rsid w:val="00FE1039"/>
    <w:rsid w:val="00FE1AF7"/>
    <w:rsid w:val="00FE1B8B"/>
    <w:rsid w:val="00FE1E50"/>
    <w:rsid w:val="00FE2682"/>
    <w:rsid w:val="00FE27F7"/>
    <w:rsid w:val="00FE2845"/>
    <w:rsid w:val="00FE398C"/>
    <w:rsid w:val="00FE3B3C"/>
    <w:rsid w:val="00FE3CF3"/>
    <w:rsid w:val="00FE424D"/>
    <w:rsid w:val="00FE4299"/>
    <w:rsid w:val="00FE471C"/>
    <w:rsid w:val="00FE4920"/>
    <w:rsid w:val="00FE4E51"/>
    <w:rsid w:val="00FE4EE0"/>
    <w:rsid w:val="00FE5560"/>
    <w:rsid w:val="00FE5F9A"/>
    <w:rsid w:val="00FE729E"/>
    <w:rsid w:val="00FE7427"/>
    <w:rsid w:val="00FE7724"/>
    <w:rsid w:val="00FE7FE2"/>
    <w:rsid w:val="00FF0A54"/>
    <w:rsid w:val="00FF0BE4"/>
    <w:rsid w:val="00FF0ED7"/>
    <w:rsid w:val="00FF0F5B"/>
    <w:rsid w:val="00FF138F"/>
    <w:rsid w:val="00FF1D34"/>
    <w:rsid w:val="00FF2314"/>
    <w:rsid w:val="00FF23E9"/>
    <w:rsid w:val="00FF270E"/>
    <w:rsid w:val="00FF27BF"/>
    <w:rsid w:val="00FF2937"/>
    <w:rsid w:val="00FF2B74"/>
    <w:rsid w:val="00FF2BE8"/>
    <w:rsid w:val="00FF3C2C"/>
    <w:rsid w:val="00FF3DB1"/>
    <w:rsid w:val="00FF481C"/>
    <w:rsid w:val="00FF4ADB"/>
    <w:rsid w:val="00FF6042"/>
    <w:rsid w:val="00FF67BB"/>
    <w:rsid w:val="00FF6D34"/>
    <w:rsid w:val="00FF6EB5"/>
    <w:rsid w:val="00FF715A"/>
    <w:rsid w:val="00FF7907"/>
    <w:rsid w:val="0171EBED"/>
    <w:rsid w:val="0173CD77"/>
    <w:rsid w:val="01CF2489"/>
    <w:rsid w:val="028FEB11"/>
    <w:rsid w:val="02E9FABA"/>
    <w:rsid w:val="04E279A2"/>
    <w:rsid w:val="0516B08E"/>
    <w:rsid w:val="05C4BD7E"/>
    <w:rsid w:val="05D4FE4A"/>
    <w:rsid w:val="06A5B108"/>
    <w:rsid w:val="07228C53"/>
    <w:rsid w:val="073639FF"/>
    <w:rsid w:val="079BA85C"/>
    <w:rsid w:val="07BDCF58"/>
    <w:rsid w:val="0853F6C3"/>
    <w:rsid w:val="08C075BD"/>
    <w:rsid w:val="08ED4E78"/>
    <w:rsid w:val="09119526"/>
    <w:rsid w:val="0915D25F"/>
    <w:rsid w:val="0974DE76"/>
    <w:rsid w:val="098E7385"/>
    <w:rsid w:val="0A1D28DD"/>
    <w:rsid w:val="0AC30114"/>
    <w:rsid w:val="0ACC4F60"/>
    <w:rsid w:val="0AD9CB91"/>
    <w:rsid w:val="0B264C95"/>
    <w:rsid w:val="0B5C3C23"/>
    <w:rsid w:val="0BB16B2E"/>
    <w:rsid w:val="0C2457C2"/>
    <w:rsid w:val="0C3E8831"/>
    <w:rsid w:val="0E02FE9B"/>
    <w:rsid w:val="10F44C64"/>
    <w:rsid w:val="121D1BE6"/>
    <w:rsid w:val="12EA42A1"/>
    <w:rsid w:val="13B5759A"/>
    <w:rsid w:val="13BB1756"/>
    <w:rsid w:val="13F4DB6F"/>
    <w:rsid w:val="140E0B29"/>
    <w:rsid w:val="1537FDDE"/>
    <w:rsid w:val="155E3DC5"/>
    <w:rsid w:val="165A51EA"/>
    <w:rsid w:val="1700CBC1"/>
    <w:rsid w:val="176B384E"/>
    <w:rsid w:val="17D8FEDA"/>
    <w:rsid w:val="17FD82F1"/>
    <w:rsid w:val="19242E51"/>
    <w:rsid w:val="1927B8F0"/>
    <w:rsid w:val="19C70744"/>
    <w:rsid w:val="19D6787D"/>
    <w:rsid w:val="19E0FE88"/>
    <w:rsid w:val="1A2A8BAB"/>
    <w:rsid w:val="1A82064D"/>
    <w:rsid w:val="1AFE9A7C"/>
    <w:rsid w:val="1B06B9D8"/>
    <w:rsid w:val="1B7B0DCB"/>
    <w:rsid w:val="1BFCF5CD"/>
    <w:rsid w:val="1C0ABB83"/>
    <w:rsid w:val="1C16D824"/>
    <w:rsid w:val="1C6BE3B8"/>
    <w:rsid w:val="1D2E5843"/>
    <w:rsid w:val="1DB9A70F"/>
    <w:rsid w:val="1DC3AF55"/>
    <w:rsid w:val="1E6A292C"/>
    <w:rsid w:val="1EF32A3F"/>
    <w:rsid w:val="1F0B78FF"/>
    <w:rsid w:val="1F3B6BD9"/>
    <w:rsid w:val="1F68368A"/>
    <w:rsid w:val="1F8F7C7B"/>
    <w:rsid w:val="1F974867"/>
    <w:rsid w:val="1FD9CA50"/>
    <w:rsid w:val="2044FC2F"/>
    <w:rsid w:val="20A31AF2"/>
    <w:rsid w:val="20AE741E"/>
    <w:rsid w:val="20B097AC"/>
    <w:rsid w:val="21B36A67"/>
    <w:rsid w:val="21C86E7C"/>
    <w:rsid w:val="21CA34E4"/>
    <w:rsid w:val="228BEB73"/>
    <w:rsid w:val="23018D05"/>
    <w:rsid w:val="2355FD5A"/>
    <w:rsid w:val="247E75BE"/>
    <w:rsid w:val="248039F5"/>
    <w:rsid w:val="2508F8E3"/>
    <w:rsid w:val="2546CC26"/>
    <w:rsid w:val="2551E769"/>
    <w:rsid w:val="2561A82A"/>
    <w:rsid w:val="2569FDCF"/>
    <w:rsid w:val="25CBCE13"/>
    <w:rsid w:val="25EC177C"/>
    <w:rsid w:val="2622F781"/>
    <w:rsid w:val="26FD39BF"/>
    <w:rsid w:val="271EDD11"/>
    <w:rsid w:val="278F15B2"/>
    <w:rsid w:val="27EE2685"/>
    <w:rsid w:val="282991F6"/>
    <w:rsid w:val="283D73AD"/>
    <w:rsid w:val="28FE7571"/>
    <w:rsid w:val="290436ED"/>
    <w:rsid w:val="295230FD"/>
    <w:rsid w:val="29C43DC8"/>
    <w:rsid w:val="2A3E8466"/>
    <w:rsid w:val="2AEAA699"/>
    <w:rsid w:val="2AFEBE12"/>
    <w:rsid w:val="2B3C91C4"/>
    <w:rsid w:val="2B578A26"/>
    <w:rsid w:val="2B756468"/>
    <w:rsid w:val="2C015DFC"/>
    <w:rsid w:val="2CC03140"/>
    <w:rsid w:val="2E4D2951"/>
    <w:rsid w:val="2F1BC307"/>
    <w:rsid w:val="2F9E7BA2"/>
    <w:rsid w:val="2FA402C3"/>
    <w:rsid w:val="2FC72F30"/>
    <w:rsid w:val="30AAE541"/>
    <w:rsid w:val="30AF9CE1"/>
    <w:rsid w:val="313E3F8D"/>
    <w:rsid w:val="314FE402"/>
    <w:rsid w:val="31FC0BD8"/>
    <w:rsid w:val="320407E4"/>
    <w:rsid w:val="3219E0DA"/>
    <w:rsid w:val="321B0532"/>
    <w:rsid w:val="32803DFA"/>
    <w:rsid w:val="328C1D9C"/>
    <w:rsid w:val="32D02DB7"/>
    <w:rsid w:val="32F9913F"/>
    <w:rsid w:val="3361301B"/>
    <w:rsid w:val="3387DED8"/>
    <w:rsid w:val="347385F1"/>
    <w:rsid w:val="3543635B"/>
    <w:rsid w:val="359200C6"/>
    <w:rsid w:val="3594D1B6"/>
    <w:rsid w:val="35AE6760"/>
    <w:rsid w:val="35E5FD40"/>
    <w:rsid w:val="36438EB9"/>
    <w:rsid w:val="36A0007A"/>
    <w:rsid w:val="36A8EA1F"/>
    <w:rsid w:val="377C2EA7"/>
    <w:rsid w:val="3817CC78"/>
    <w:rsid w:val="38464BE6"/>
    <w:rsid w:val="384F66C1"/>
    <w:rsid w:val="385147B5"/>
    <w:rsid w:val="385A53DC"/>
    <w:rsid w:val="38BECE4D"/>
    <w:rsid w:val="396884A8"/>
    <w:rsid w:val="39E6E3D5"/>
    <w:rsid w:val="39ED1816"/>
    <w:rsid w:val="3A000A01"/>
    <w:rsid w:val="3A3EC31E"/>
    <w:rsid w:val="3ACE0C9B"/>
    <w:rsid w:val="3C2401D8"/>
    <w:rsid w:val="3C595C1F"/>
    <w:rsid w:val="3C8584C0"/>
    <w:rsid w:val="3CBD364B"/>
    <w:rsid w:val="3CC6268C"/>
    <w:rsid w:val="3CEB5EC1"/>
    <w:rsid w:val="3D094B80"/>
    <w:rsid w:val="3D73EADE"/>
    <w:rsid w:val="3E4F37BE"/>
    <w:rsid w:val="3E9D98F4"/>
    <w:rsid w:val="3F1F9550"/>
    <w:rsid w:val="3FCF2AA2"/>
    <w:rsid w:val="403C4302"/>
    <w:rsid w:val="40AF4F18"/>
    <w:rsid w:val="40E83062"/>
    <w:rsid w:val="4115C55C"/>
    <w:rsid w:val="412CC2AA"/>
    <w:rsid w:val="41713523"/>
    <w:rsid w:val="418FC92C"/>
    <w:rsid w:val="4190A76E"/>
    <w:rsid w:val="4278D643"/>
    <w:rsid w:val="42971371"/>
    <w:rsid w:val="42A794EC"/>
    <w:rsid w:val="42F8EA8C"/>
    <w:rsid w:val="436063F2"/>
    <w:rsid w:val="43A58D52"/>
    <w:rsid w:val="43BEF8E1"/>
    <w:rsid w:val="44174D21"/>
    <w:rsid w:val="443DBEDE"/>
    <w:rsid w:val="44611E1C"/>
    <w:rsid w:val="447CA79E"/>
    <w:rsid w:val="44F6D54D"/>
    <w:rsid w:val="4574BEDE"/>
    <w:rsid w:val="45F98733"/>
    <w:rsid w:val="46D9D37A"/>
    <w:rsid w:val="4716D496"/>
    <w:rsid w:val="475F9142"/>
    <w:rsid w:val="47D8DBC1"/>
    <w:rsid w:val="491DE41A"/>
    <w:rsid w:val="4A31BDA5"/>
    <w:rsid w:val="4AD9689D"/>
    <w:rsid w:val="4B12101A"/>
    <w:rsid w:val="4BD480A3"/>
    <w:rsid w:val="4CF1A87A"/>
    <w:rsid w:val="4CFEC400"/>
    <w:rsid w:val="4D4BA37E"/>
    <w:rsid w:val="4DB8D292"/>
    <w:rsid w:val="4DCDD6A7"/>
    <w:rsid w:val="4E12C6BF"/>
    <w:rsid w:val="4E8D1434"/>
    <w:rsid w:val="4E8E6170"/>
    <w:rsid w:val="4EEE971C"/>
    <w:rsid w:val="4EF5E9F4"/>
    <w:rsid w:val="4FD2C683"/>
    <w:rsid w:val="50BD8D53"/>
    <w:rsid w:val="50DE3B63"/>
    <w:rsid w:val="50F07354"/>
    <w:rsid w:val="510FB4C5"/>
    <w:rsid w:val="51EA2A94"/>
    <w:rsid w:val="52C9BF56"/>
    <w:rsid w:val="53895890"/>
    <w:rsid w:val="539B1244"/>
    <w:rsid w:val="541D362F"/>
    <w:rsid w:val="54222B97"/>
    <w:rsid w:val="543B86C5"/>
    <w:rsid w:val="549E366C"/>
    <w:rsid w:val="5500E844"/>
    <w:rsid w:val="5504E500"/>
    <w:rsid w:val="56448409"/>
    <w:rsid w:val="57DAE0E1"/>
    <w:rsid w:val="58D685A3"/>
    <w:rsid w:val="5972A3AE"/>
    <w:rsid w:val="5995A4C0"/>
    <w:rsid w:val="59BFECCA"/>
    <w:rsid w:val="59FB6EC3"/>
    <w:rsid w:val="5A132E2F"/>
    <w:rsid w:val="5ABCCB38"/>
    <w:rsid w:val="5BEACF79"/>
    <w:rsid w:val="5C77D68F"/>
    <w:rsid w:val="5CA128F5"/>
    <w:rsid w:val="5CDE5427"/>
    <w:rsid w:val="5E1CAFED"/>
    <w:rsid w:val="5E2EE5AD"/>
    <w:rsid w:val="5F0CA8B1"/>
    <w:rsid w:val="5F15A6B8"/>
    <w:rsid w:val="5F2AC7FC"/>
    <w:rsid w:val="5F4882E5"/>
    <w:rsid w:val="5F6A1891"/>
    <w:rsid w:val="5FC73DED"/>
    <w:rsid w:val="60FC4CB3"/>
    <w:rsid w:val="6102E310"/>
    <w:rsid w:val="616068AF"/>
    <w:rsid w:val="6214882A"/>
    <w:rsid w:val="6221DBA1"/>
    <w:rsid w:val="623189AC"/>
    <w:rsid w:val="6234097B"/>
    <w:rsid w:val="62698BFB"/>
    <w:rsid w:val="627CD6A6"/>
    <w:rsid w:val="63458988"/>
    <w:rsid w:val="634B4B04"/>
    <w:rsid w:val="63F93A1A"/>
    <w:rsid w:val="6439EC5A"/>
    <w:rsid w:val="6448B313"/>
    <w:rsid w:val="644EB537"/>
    <w:rsid w:val="64757241"/>
    <w:rsid w:val="64877598"/>
    <w:rsid w:val="64DB963C"/>
    <w:rsid w:val="65A91948"/>
    <w:rsid w:val="6655952D"/>
    <w:rsid w:val="66698692"/>
    <w:rsid w:val="679EF95C"/>
    <w:rsid w:val="67BC3918"/>
    <w:rsid w:val="67E40E6D"/>
    <w:rsid w:val="6854A11D"/>
    <w:rsid w:val="6865AA1E"/>
    <w:rsid w:val="691B33BD"/>
    <w:rsid w:val="69A45091"/>
    <w:rsid w:val="6B2E4427"/>
    <w:rsid w:val="6B3E73CB"/>
    <w:rsid w:val="6B582120"/>
    <w:rsid w:val="6B85B61A"/>
    <w:rsid w:val="6B90FAC9"/>
    <w:rsid w:val="6C098F79"/>
    <w:rsid w:val="6C465964"/>
    <w:rsid w:val="6C5D0B60"/>
    <w:rsid w:val="6CEA4B0A"/>
    <w:rsid w:val="6CF2F562"/>
    <w:rsid w:val="6D0BB918"/>
    <w:rsid w:val="6D199D81"/>
    <w:rsid w:val="6D2E806B"/>
    <w:rsid w:val="6D8C3071"/>
    <w:rsid w:val="6DC83554"/>
    <w:rsid w:val="6E684921"/>
    <w:rsid w:val="6E8FC1E2"/>
    <w:rsid w:val="6EE84B21"/>
    <w:rsid w:val="6FA2DE4D"/>
    <w:rsid w:val="70956758"/>
    <w:rsid w:val="70B54E4B"/>
    <w:rsid w:val="70EC9638"/>
    <w:rsid w:val="71B5D27A"/>
    <w:rsid w:val="71E07777"/>
    <w:rsid w:val="724B97E2"/>
    <w:rsid w:val="72C1FE9A"/>
    <w:rsid w:val="72CB3279"/>
    <w:rsid w:val="72E50D70"/>
    <w:rsid w:val="7351A2DB"/>
    <w:rsid w:val="7371797F"/>
    <w:rsid w:val="73E1AE75"/>
    <w:rsid w:val="73F460E6"/>
    <w:rsid w:val="74314E84"/>
    <w:rsid w:val="754C2544"/>
    <w:rsid w:val="759903D6"/>
    <w:rsid w:val="75A538A9"/>
    <w:rsid w:val="75C4A559"/>
    <w:rsid w:val="75E02C91"/>
    <w:rsid w:val="7632E461"/>
    <w:rsid w:val="76369CBF"/>
    <w:rsid w:val="7683554B"/>
    <w:rsid w:val="7689439D"/>
    <w:rsid w:val="778E3213"/>
    <w:rsid w:val="77B2A160"/>
    <w:rsid w:val="780A0C48"/>
    <w:rsid w:val="7845821A"/>
    <w:rsid w:val="7881C466"/>
    <w:rsid w:val="7987A894"/>
    <w:rsid w:val="7A1835C1"/>
    <w:rsid w:val="7AEC4492"/>
    <w:rsid w:val="7B3FB3D1"/>
    <w:rsid w:val="7B601DB7"/>
    <w:rsid w:val="7BA45EE2"/>
    <w:rsid w:val="7BC13728"/>
    <w:rsid w:val="7C2BBC0F"/>
    <w:rsid w:val="7C8F4FAB"/>
    <w:rsid w:val="7D468837"/>
    <w:rsid w:val="7DB8BA11"/>
    <w:rsid w:val="7DE4E4E3"/>
    <w:rsid w:val="7DFB15B7"/>
    <w:rsid w:val="7F715B68"/>
    <w:rsid w:val="7F8E31A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4E6378"/>
  <w14:defaultImageDpi w14:val="330"/>
  <w15:docId w15:val="{A4D7E097-A9C0-47E1-928D-AE895053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5C69C9"/>
    <w:pPr>
      <w:keepNext/>
      <w:keepLines/>
      <w:spacing w:before="240" w:after="240"/>
      <w:outlineLvl w:val="0"/>
    </w:pPr>
    <w:rPr>
      <w:rFonts w:eastAsiaTheme="majorEastAsia" w:cstheme="majorBidi"/>
      <w:color w:val="004270"/>
      <w:sz w:val="36"/>
      <w:szCs w:val="36"/>
    </w:rPr>
  </w:style>
  <w:style w:type="paragraph" w:styleId="Heading2">
    <w:name w:val="heading 2"/>
    <w:basedOn w:val="Normal"/>
    <w:next w:val="Normal"/>
    <w:link w:val="Heading2Char"/>
    <w:uiPriority w:val="9"/>
    <w:unhideWhenUsed/>
    <w:qFormat/>
    <w:rsid w:val="005C69C9"/>
    <w:pPr>
      <w:keepNext/>
      <w:keepLines/>
      <w:spacing w:before="240"/>
      <w:outlineLvl w:val="1"/>
    </w:pPr>
    <w:rPr>
      <w:rFonts w:eastAsiaTheme="majorEastAsia" w:cstheme="majorBidi"/>
      <w:color w:val="004270"/>
      <w:sz w:val="28"/>
      <w:szCs w:val="28"/>
    </w:rPr>
  </w:style>
  <w:style w:type="paragraph" w:styleId="Heading3">
    <w:name w:val="heading 3"/>
    <w:basedOn w:val="Normal"/>
    <w:next w:val="Normal"/>
    <w:link w:val="Heading3Char"/>
    <w:uiPriority w:val="9"/>
    <w:unhideWhenUsed/>
    <w:qFormat/>
    <w:rsid w:val="009D1B30"/>
    <w:pPr>
      <w:keepNext/>
      <w:outlineLvl w:val="2"/>
    </w:pPr>
    <w:rPr>
      <w:b/>
      <w:bCs/>
    </w:rPr>
  </w:style>
  <w:style w:type="paragraph" w:styleId="Heading4">
    <w:name w:val="heading 4"/>
    <w:basedOn w:val="Normal"/>
    <w:next w:val="Normal"/>
    <w:link w:val="Heading4Char"/>
    <w:uiPriority w:val="9"/>
    <w:unhideWhenUsed/>
    <w:qFormat/>
    <w:rsid w:val="00821D9F"/>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F531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iPriority w:val="99"/>
    <w:unhideWhenUsed/>
    <w:qFormat/>
    <w:rsid w:val="00C33416"/>
    <w:rPr>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5C69C9"/>
    <w:rPr>
      <w:rFonts w:ascii="Arial" w:eastAsiaTheme="majorEastAsia" w:hAnsi="Arial" w:cstheme="majorBidi"/>
      <w:color w:val="004270"/>
      <w:sz w:val="36"/>
      <w:szCs w:val="36"/>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9056F4"/>
    <w:pPr>
      <w:tabs>
        <w:tab w:val="right" w:leader="dot" w:pos="8296"/>
      </w:tabs>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C69C9"/>
    <w:rPr>
      <w:rFonts w:ascii="Arial" w:eastAsiaTheme="majorEastAsia" w:hAnsi="Arial" w:cstheme="majorBidi"/>
      <w:color w:val="004270"/>
      <w:sz w:val="28"/>
      <w:szCs w:val="28"/>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uiPriority w:val="3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C69C9"/>
    <w:rPr>
      <w:rFonts w:ascii="Arial" w:hAnsi="Arial"/>
      <w:b/>
      <w:bCs/>
      <w:color w:val="000000" w:themeColor="text1"/>
      <w:sz w:val="22"/>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2"/>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character" w:customStyle="1" w:styleId="UnresolvedMention1">
    <w:name w:val="Unresolved Mention1"/>
    <w:basedOn w:val="DefaultParagraphFont"/>
    <w:uiPriority w:val="99"/>
    <w:semiHidden/>
    <w:unhideWhenUsed/>
    <w:rsid w:val="00F60E75"/>
    <w:rPr>
      <w:color w:val="605E5C"/>
      <w:shd w:val="clear" w:color="auto" w:fill="E1DFDD"/>
    </w:rPr>
  </w:style>
  <w:style w:type="paragraph" w:styleId="Revision">
    <w:name w:val="Revision"/>
    <w:hidden/>
    <w:uiPriority w:val="99"/>
    <w:semiHidden/>
    <w:rsid w:val="00B720D2"/>
    <w:rPr>
      <w:rFonts w:ascii="Arial" w:hAnsi="Arial"/>
      <w:color w:val="000000" w:themeColor="text1"/>
      <w:sz w:val="22"/>
      <w:lang w:val="en-AU"/>
    </w:rPr>
  </w:style>
  <w:style w:type="character" w:styleId="FollowedHyperlink">
    <w:name w:val="FollowedHyperlink"/>
    <w:basedOn w:val="DefaultParagraphFont"/>
    <w:uiPriority w:val="99"/>
    <w:semiHidden/>
    <w:unhideWhenUsed/>
    <w:rsid w:val="00450612"/>
    <w:rPr>
      <w:color w:val="800080" w:themeColor="followedHyperlink"/>
      <w:u w:val="single"/>
    </w:rPr>
  </w:style>
  <w:style w:type="character" w:styleId="Emphasis">
    <w:name w:val="Emphasis"/>
    <w:basedOn w:val="DefaultParagraphFont"/>
    <w:uiPriority w:val="20"/>
    <w:qFormat/>
    <w:rsid w:val="00733617"/>
    <w:rPr>
      <w:i/>
      <w:iCs/>
    </w:rPr>
  </w:style>
  <w:style w:type="paragraph" w:customStyle="1" w:styleId="Default">
    <w:name w:val="Default"/>
    <w:rsid w:val="00EE1A9B"/>
    <w:pPr>
      <w:autoSpaceDE w:val="0"/>
      <w:autoSpaceDN w:val="0"/>
      <w:adjustRightInd w:val="0"/>
    </w:pPr>
    <w:rPr>
      <w:rFonts w:ascii="Trade Gothic Next Rounded" w:eastAsiaTheme="minorHAnsi" w:hAnsi="Trade Gothic Next Rounded" w:cs="Trade Gothic Next Rounded"/>
      <w:color w:val="000000"/>
      <w:lang w:val="en-AU"/>
      <w14:ligatures w14:val="standardContextual"/>
    </w:rPr>
  </w:style>
  <w:style w:type="character" w:customStyle="1" w:styleId="SingleTxtGChar">
    <w:name w:val="_ Single Txt_G Char"/>
    <w:basedOn w:val="DefaultParagraphFont"/>
    <w:link w:val="SingleTxtG"/>
    <w:locked/>
    <w:rsid w:val="00EE1A9B"/>
    <w:rPr>
      <w:lang w:val="en-GB"/>
    </w:rPr>
  </w:style>
  <w:style w:type="paragraph" w:customStyle="1" w:styleId="SingleTxtG">
    <w:name w:val="_ Single Txt_G"/>
    <w:basedOn w:val="Normal"/>
    <w:link w:val="SingleTxtGChar"/>
    <w:qFormat/>
    <w:rsid w:val="00EE1A9B"/>
    <w:pPr>
      <w:suppressAutoHyphens/>
      <w:spacing w:line="240" w:lineRule="atLeast"/>
      <w:ind w:left="1134" w:right="1134"/>
      <w:jc w:val="both"/>
    </w:pPr>
    <w:rPr>
      <w:rFonts w:asciiTheme="minorHAnsi" w:hAnsiTheme="minorHAnsi"/>
      <w:color w:val="auto"/>
      <w:sz w:val="24"/>
      <w:lang w:val="en-GB"/>
    </w:rPr>
  </w:style>
  <w:style w:type="character" w:styleId="UnresolvedMention">
    <w:name w:val="Unresolved Mention"/>
    <w:basedOn w:val="DefaultParagraphFont"/>
    <w:uiPriority w:val="99"/>
    <w:semiHidden/>
    <w:unhideWhenUsed/>
    <w:rsid w:val="00EF35A6"/>
    <w:rPr>
      <w:color w:val="605E5C"/>
      <w:shd w:val="clear" w:color="auto" w:fill="E1DFDD"/>
    </w:rPr>
  </w:style>
  <w:style w:type="paragraph" w:styleId="NormalWeb">
    <w:name w:val="Normal (Web)"/>
    <w:basedOn w:val="Normal"/>
    <w:uiPriority w:val="99"/>
    <w:semiHidden/>
    <w:unhideWhenUsed/>
    <w:rsid w:val="00F115C8"/>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Heading4Char">
    <w:name w:val="Heading 4 Char"/>
    <w:basedOn w:val="DefaultParagraphFont"/>
    <w:link w:val="Heading4"/>
    <w:uiPriority w:val="9"/>
    <w:rsid w:val="00821D9F"/>
    <w:rPr>
      <w:rFonts w:ascii="Arial" w:eastAsiaTheme="majorEastAsia" w:hAnsi="Arial" w:cstheme="majorBidi"/>
      <w:i/>
      <w:iCs/>
      <w:color w:val="365F91" w:themeColor="accent1" w:themeShade="BF"/>
      <w:sz w:val="22"/>
      <w:lang w:val="en-AU"/>
    </w:rPr>
  </w:style>
  <w:style w:type="character" w:customStyle="1" w:styleId="Heading5Char">
    <w:name w:val="Heading 5 Char"/>
    <w:basedOn w:val="DefaultParagraphFont"/>
    <w:link w:val="Heading5"/>
    <w:uiPriority w:val="9"/>
    <w:rsid w:val="00F5319A"/>
    <w:rPr>
      <w:rFonts w:asciiTheme="majorHAnsi" w:eastAsiaTheme="majorEastAsia" w:hAnsiTheme="majorHAnsi" w:cstheme="majorBidi"/>
      <w:color w:val="365F91" w:themeColor="accent1" w:themeShade="BF"/>
      <w:sz w:val="22"/>
      <w:lang w:val="en-AU"/>
    </w:rPr>
  </w:style>
  <w:style w:type="character" w:customStyle="1" w:styleId="ui-provider">
    <w:name w:val="ui-provider"/>
    <w:basedOn w:val="DefaultParagraphFont"/>
    <w:rsid w:val="00DC79F5"/>
  </w:style>
  <w:style w:type="character" w:styleId="Mention">
    <w:name w:val="Mention"/>
    <w:basedOn w:val="DefaultParagraphFont"/>
    <w:uiPriority w:val="99"/>
    <w:unhideWhenUsed/>
    <w:rsid w:val="005A4979"/>
    <w:rPr>
      <w:color w:val="2B579A"/>
      <w:shd w:val="clear" w:color="auto" w:fill="E1DFDD"/>
    </w:rPr>
  </w:style>
  <w:style w:type="paragraph" w:customStyle="1" w:styleId="paragraph">
    <w:name w:val="paragraph"/>
    <w:basedOn w:val="Normal"/>
    <w:rsid w:val="007965D7"/>
    <w:pPr>
      <w:spacing w:before="100" w:beforeAutospacing="1" w:after="100" w:afterAutospacing="1"/>
    </w:pPr>
    <w:rPr>
      <w:rFonts w:ascii="Times New Roman" w:eastAsia="Times New Roman" w:hAnsi="Times New Roman" w:cs="Times New Roman"/>
      <w:color w:val="auto"/>
      <w:sz w:val="24"/>
      <w:lang w:eastAsia="zh-CN" w:bidi="th-TH"/>
    </w:rPr>
  </w:style>
  <w:style w:type="character" w:customStyle="1" w:styleId="normaltextrun">
    <w:name w:val="normaltextrun"/>
    <w:basedOn w:val="DefaultParagraphFont"/>
    <w:rsid w:val="007965D7"/>
  </w:style>
  <w:style w:type="character" w:customStyle="1" w:styleId="eop">
    <w:name w:val="eop"/>
    <w:basedOn w:val="DefaultParagraphFont"/>
    <w:rsid w:val="007965D7"/>
  </w:style>
  <w:style w:type="character" w:customStyle="1" w:styleId="superscript">
    <w:name w:val="superscript"/>
    <w:basedOn w:val="DefaultParagraphFont"/>
    <w:rsid w:val="001C1387"/>
  </w:style>
  <w:style w:type="table" w:styleId="ListTable2">
    <w:name w:val="List Table 2"/>
    <w:basedOn w:val="TableNormal"/>
    <w:uiPriority w:val="47"/>
    <w:rsid w:val="00486FB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5463">
      <w:bodyDiv w:val="1"/>
      <w:marLeft w:val="0"/>
      <w:marRight w:val="0"/>
      <w:marTop w:val="0"/>
      <w:marBottom w:val="0"/>
      <w:divBdr>
        <w:top w:val="none" w:sz="0" w:space="0" w:color="auto"/>
        <w:left w:val="none" w:sz="0" w:space="0" w:color="auto"/>
        <w:bottom w:val="none" w:sz="0" w:space="0" w:color="auto"/>
        <w:right w:val="none" w:sz="0" w:space="0" w:color="auto"/>
      </w:divBdr>
    </w:div>
    <w:div w:id="105780394">
      <w:bodyDiv w:val="1"/>
      <w:marLeft w:val="0"/>
      <w:marRight w:val="0"/>
      <w:marTop w:val="0"/>
      <w:marBottom w:val="0"/>
      <w:divBdr>
        <w:top w:val="none" w:sz="0" w:space="0" w:color="auto"/>
        <w:left w:val="none" w:sz="0" w:space="0" w:color="auto"/>
        <w:bottom w:val="none" w:sz="0" w:space="0" w:color="auto"/>
        <w:right w:val="none" w:sz="0" w:space="0" w:color="auto"/>
      </w:divBdr>
    </w:div>
    <w:div w:id="133108879">
      <w:bodyDiv w:val="1"/>
      <w:marLeft w:val="0"/>
      <w:marRight w:val="0"/>
      <w:marTop w:val="0"/>
      <w:marBottom w:val="0"/>
      <w:divBdr>
        <w:top w:val="none" w:sz="0" w:space="0" w:color="auto"/>
        <w:left w:val="none" w:sz="0" w:space="0" w:color="auto"/>
        <w:bottom w:val="none" w:sz="0" w:space="0" w:color="auto"/>
        <w:right w:val="none" w:sz="0" w:space="0" w:color="auto"/>
      </w:divBdr>
    </w:div>
    <w:div w:id="143546068">
      <w:bodyDiv w:val="1"/>
      <w:marLeft w:val="0"/>
      <w:marRight w:val="0"/>
      <w:marTop w:val="0"/>
      <w:marBottom w:val="0"/>
      <w:divBdr>
        <w:top w:val="none" w:sz="0" w:space="0" w:color="auto"/>
        <w:left w:val="none" w:sz="0" w:space="0" w:color="auto"/>
        <w:bottom w:val="none" w:sz="0" w:space="0" w:color="auto"/>
        <w:right w:val="none" w:sz="0" w:space="0" w:color="auto"/>
      </w:divBdr>
    </w:div>
    <w:div w:id="220215121">
      <w:bodyDiv w:val="1"/>
      <w:marLeft w:val="0"/>
      <w:marRight w:val="0"/>
      <w:marTop w:val="0"/>
      <w:marBottom w:val="0"/>
      <w:divBdr>
        <w:top w:val="none" w:sz="0" w:space="0" w:color="auto"/>
        <w:left w:val="none" w:sz="0" w:space="0" w:color="auto"/>
        <w:bottom w:val="none" w:sz="0" w:space="0" w:color="auto"/>
        <w:right w:val="none" w:sz="0" w:space="0" w:color="auto"/>
      </w:divBdr>
    </w:div>
    <w:div w:id="229197341">
      <w:bodyDiv w:val="1"/>
      <w:marLeft w:val="0"/>
      <w:marRight w:val="0"/>
      <w:marTop w:val="0"/>
      <w:marBottom w:val="0"/>
      <w:divBdr>
        <w:top w:val="none" w:sz="0" w:space="0" w:color="auto"/>
        <w:left w:val="none" w:sz="0" w:space="0" w:color="auto"/>
        <w:bottom w:val="none" w:sz="0" w:space="0" w:color="auto"/>
        <w:right w:val="none" w:sz="0" w:space="0" w:color="auto"/>
      </w:divBdr>
    </w:div>
    <w:div w:id="300114629">
      <w:bodyDiv w:val="1"/>
      <w:marLeft w:val="0"/>
      <w:marRight w:val="0"/>
      <w:marTop w:val="0"/>
      <w:marBottom w:val="0"/>
      <w:divBdr>
        <w:top w:val="none" w:sz="0" w:space="0" w:color="auto"/>
        <w:left w:val="none" w:sz="0" w:space="0" w:color="auto"/>
        <w:bottom w:val="none" w:sz="0" w:space="0" w:color="auto"/>
        <w:right w:val="none" w:sz="0" w:space="0" w:color="auto"/>
      </w:divBdr>
      <w:divsChild>
        <w:div w:id="454445185">
          <w:marLeft w:val="0"/>
          <w:marRight w:val="0"/>
          <w:marTop w:val="0"/>
          <w:marBottom w:val="0"/>
          <w:divBdr>
            <w:top w:val="none" w:sz="0" w:space="0" w:color="auto"/>
            <w:left w:val="none" w:sz="0" w:space="0" w:color="auto"/>
            <w:bottom w:val="none" w:sz="0" w:space="0" w:color="auto"/>
            <w:right w:val="none" w:sz="0" w:space="0" w:color="auto"/>
          </w:divBdr>
        </w:div>
        <w:div w:id="897129251">
          <w:marLeft w:val="0"/>
          <w:marRight w:val="0"/>
          <w:marTop w:val="0"/>
          <w:marBottom w:val="0"/>
          <w:divBdr>
            <w:top w:val="none" w:sz="0" w:space="0" w:color="auto"/>
            <w:left w:val="none" w:sz="0" w:space="0" w:color="auto"/>
            <w:bottom w:val="none" w:sz="0" w:space="0" w:color="auto"/>
            <w:right w:val="none" w:sz="0" w:space="0" w:color="auto"/>
          </w:divBdr>
        </w:div>
        <w:div w:id="1073117377">
          <w:marLeft w:val="0"/>
          <w:marRight w:val="0"/>
          <w:marTop w:val="0"/>
          <w:marBottom w:val="0"/>
          <w:divBdr>
            <w:top w:val="none" w:sz="0" w:space="0" w:color="auto"/>
            <w:left w:val="none" w:sz="0" w:space="0" w:color="auto"/>
            <w:bottom w:val="none" w:sz="0" w:space="0" w:color="auto"/>
            <w:right w:val="none" w:sz="0" w:space="0" w:color="auto"/>
          </w:divBdr>
        </w:div>
      </w:divsChild>
    </w:div>
    <w:div w:id="308246604">
      <w:bodyDiv w:val="1"/>
      <w:marLeft w:val="0"/>
      <w:marRight w:val="0"/>
      <w:marTop w:val="0"/>
      <w:marBottom w:val="0"/>
      <w:divBdr>
        <w:top w:val="none" w:sz="0" w:space="0" w:color="auto"/>
        <w:left w:val="none" w:sz="0" w:space="0" w:color="auto"/>
        <w:bottom w:val="none" w:sz="0" w:space="0" w:color="auto"/>
        <w:right w:val="none" w:sz="0" w:space="0" w:color="auto"/>
      </w:divBdr>
    </w:div>
    <w:div w:id="315844500">
      <w:bodyDiv w:val="1"/>
      <w:marLeft w:val="0"/>
      <w:marRight w:val="0"/>
      <w:marTop w:val="0"/>
      <w:marBottom w:val="0"/>
      <w:divBdr>
        <w:top w:val="none" w:sz="0" w:space="0" w:color="auto"/>
        <w:left w:val="none" w:sz="0" w:space="0" w:color="auto"/>
        <w:bottom w:val="none" w:sz="0" w:space="0" w:color="auto"/>
        <w:right w:val="none" w:sz="0" w:space="0" w:color="auto"/>
      </w:divBdr>
    </w:div>
    <w:div w:id="357126420">
      <w:bodyDiv w:val="1"/>
      <w:marLeft w:val="0"/>
      <w:marRight w:val="0"/>
      <w:marTop w:val="0"/>
      <w:marBottom w:val="0"/>
      <w:divBdr>
        <w:top w:val="none" w:sz="0" w:space="0" w:color="auto"/>
        <w:left w:val="none" w:sz="0" w:space="0" w:color="auto"/>
        <w:bottom w:val="none" w:sz="0" w:space="0" w:color="auto"/>
        <w:right w:val="none" w:sz="0" w:space="0" w:color="auto"/>
      </w:divBdr>
    </w:div>
    <w:div w:id="383217668">
      <w:bodyDiv w:val="1"/>
      <w:marLeft w:val="0"/>
      <w:marRight w:val="0"/>
      <w:marTop w:val="0"/>
      <w:marBottom w:val="0"/>
      <w:divBdr>
        <w:top w:val="none" w:sz="0" w:space="0" w:color="auto"/>
        <w:left w:val="none" w:sz="0" w:space="0" w:color="auto"/>
        <w:bottom w:val="none" w:sz="0" w:space="0" w:color="auto"/>
        <w:right w:val="none" w:sz="0" w:space="0" w:color="auto"/>
      </w:divBdr>
    </w:div>
    <w:div w:id="459611575">
      <w:bodyDiv w:val="1"/>
      <w:marLeft w:val="0"/>
      <w:marRight w:val="0"/>
      <w:marTop w:val="0"/>
      <w:marBottom w:val="0"/>
      <w:divBdr>
        <w:top w:val="none" w:sz="0" w:space="0" w:color="auto"/>
        <w:left w:val="none" w:sz="0" w:space="0" w:color="auto"/>
        <w:bottom w:val="none" w:sz="0" w:space="0" w:color="auto"/>
        <w:right w:val="none" w:sz="0" w:space="0" w:color="auto"/>
      </w:divBdr>
    </w:div>
    <w:div w:id="554777016">
      <w:bodyDiv w:val="1"/>
      <w:marLeft w:val="0"/>
      <w:marRight w:val="0"/>
      <w:marTop w:val="0"/>
      <w:marBottom w:val="0"/>
      <w:divBdr>
        <w:top w:val="none" w:sz="0" w:space="0" w:color="auto"/>
        <w:left w:val="none" w:sz="0" w:space="0" w:color="auto"/>
        <w:bottom w:val="none" w:sz="0" w:space="0" w:color="auto"/>
        <w:right w:val="none" w:sz="0" w:space="0" w:color="auto"/>
      </w:divBdr>
    </w:div>
    <w:div w:id="631636810">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760179444">
      <w:bodyDiv w:val="1"/>
      <w:marLeft w:val="0"/>
      <w:marRight w:val="0"/>
      <w:marTop w:val="0"/>
      <w:marBottom w:val="0"/>
      <w:divBdr>
        <w:top w:val="none" w:sz="0" w:space="0" w:color="auto"/>
        <w:left w:val="none" w:sz="0" w:space="0" w:color="auto"/>
        <w:bottom w:val="none" w:sz="0" w:space="0" w:color="auto"/>
        <w:right w:val="none" w:sz="0" w:space="0" w:color="auto"/>
      </w:divBdr>
    </w:div>
    <w:div w:id="841890269">
      <w:bodyDiv w:val="1"/>
      <w:marLeft w:val="0"/>
      <w:marRight w:val="0"/>
      <w:marTop w:val="0"/>
      <w:marBottom w:val="0"/>
      <w:divBdr>
        <w:top w:val="none" w:sz="0" w:space="0" w:color="auto"/>
        <w:left w:val="none" w:sz="0" w:space="0" w:color="auto"/>
        <w:bottom w:val="none" w:sz="0" w:space="0" w:color="auto"/>
        <w:right w:val="none" w:sz="0" w:space="0" w:color="auto"/>
      </w:divBdr>
    </w:div>
    <w:div w:id="923414219">
      <w:bodyDiv w:val="1"/>
      <w:marLeft w:val="0"/>
      <w:marRight w:val="0"/>
      <w:marTop w:val="0"/>
      <w:marBottom w:val="0"/>
      <w:divBdr>
        <w:top w:val="none" w:sz="0" w:space="0" w:color="auto"/>
        <w:left w:val="none" w:sz="0" w:space="0" w:color="auto"/>
        <w:bottom w:val="none" w:sz="0" w:space="0" w:color="auto"/>
        <w:right w:val="none" w:sz="0" w:space="0" w:color="auto"/>
      </w:divBdr>
    </w:div>
    <w:div w:id="928082313">
      <w:bodyDiv w:val="1"/>
      <w:marLeft w:val="0"/>
      <w:marRight w:val="0"/>
      <w:marTop w:val="0"/>
      <w:marBottom w:val="0"/>
      <w:divBdr>
        <w:top w:val="none" w:sz="0" w:space="0" w:color="auto"/>
        <w:left w:val="none" w:sz="0" w:space="0" w:color="auto"/>
        <w:bottom w:val="none" w:sz="0" w:space="0" w:color="auto"/>
        <w:right w:val="none" w:sz="0" w:space="0" w:color="auto"/>
      </w:divBdr>
    </w:div>
    <w:div w:id="972055703">
      <w:bodyDiv w:val="1"/>
      <w:marLeft w:val="0"/>
      <w:marRight w:val="0"/>
      <w:marTop w:val="0"/>
      <w:marBottom w:val="0"/>
      <w:divBdr>
        <w:top w:val="none" w:sz="0" w:space="0" w:color="auto"/>
        <w:left w:val="none" w:sz="0" w:space="0" w:color="auto"/>
        <w:bottom w:val="none" w:sz="0" w:space="0" w:color="auto"/>
        <w:right w:val="none" w:sz="0" w:space="0" w:color="auto"/>
      </w:divBdr>
    </w:div>
    <w:div w:id="1050567534">
      <w:bodyDiv w:val="1"/>
      <w:marLeft w:val="0"/>
      <w:marRight w:val="0"/>
      <w:marTop w:val="0"/>
      <w:marBottom w:val="0"/>
      <w:divBdr>
        <w:top w:val="none" w:sz="0" w:space="0" w:color="auto"/>
        <w:left w:val="none" w:sz="0" w:space="0" w:color="auto"/>
        <w:bottom w:val="none" w:sz="0" w:space="0" w:color="auto"/>
        <w:right w:val="none" w:sz="0" w:space="0" w:color="auto"/>
      </w:divBdr>
      <w:divsChild>
        <w:div w:id="1730573949">
          <w:marLeft w:val="0"/>
          <w:marRight w:val="0"/>
          <w:marTop w:val="0"/>
          <w:marBottom w:val="495"/>
          <w:divBdr>
            <w:top w:val="none" w:sz="0" w:space="0" w:color="auto"/>
            <w:left w:val="none" w:sz="0" w:space="0" w:color="auto"/>
            <w:bottom w:val="none" w:sz="0" w:space="0" w:color="auto"/>
            <w:right w:val="none" w:sz="0" w:space="0" w:color="auto"/>
          </w:divBdr>
          <w:divsChild>
            <w:div w:id="454717330">
              <w:marLeft w:val="-255"/>
              <w:marRight w:val="-255"/>
              <w:marTop w:val="0"/>
              <w:marBottom w:val="0"/>
              <w:divBdr>
                <w:top w:val="none" w:sz="0" w:space="0" w:color="auto"/>
                <w:left w:val="none" w:sz="0" w:space="0" w:color="auto"/>
                <w:bottom w:val="none" w:sz="0" w:space="0" w:color="auto"/>
                <w:right w:val="none" w:sz="0" w:space="0" w:color="auto"/>
              </w:divBdr>
              <w:divsChild>
                <w:div w:id="970598553">
                  <w:marLeft w:val="0"/>
                  <w:marRight w:val="0"/>
                  <w:marTop w:val="0"/>
                  <w:marBottom w:val="0"/>
                  <w:divBdr>
                    <w:top w:val="none" w:sz="0" w:space="0" w:color="auto"/>
                    <w:left w:val="none" w:sz="0" w:space="0" w:color="auto"/>
                    <w:bottom w:val="none" w:sz="0" w:space="0" w:color="auto"/>
                    <w:right w:val="none" w:sz="0" w:space="0" w:color="auto"/>
                  </w:divBdr>
                  <w:divsChild>
                    <w:div w:id="17659820">
                      <w:marLeft w:val="0"/>
                      <w:marRight w:val="0"/>
                      <w:marTop w:val="0"/>
                      <w:marBottom w:val="0"/>
                      <w:divBdr>
                        <w:top w:val="none" w:sz="0" w:space="0" w:color="auto"/>
                        <w:left w:val="none" w:sz="0" w:space="0" w:color="auto"/>
                        <w:bottom w:val="none" w:sz="0" w:space="0" w:color="auto"/>
                        <w:right w:val="none" w:sz="0" w:space="0" w:color="auto"/>
                      </w:divBdr>
                      <w:divsChild>
                        <w:div w:id="1316376958">
                          <w:marLeft w:val="0"/>
                          <w:marRight w:val="0"/>
                          <w:marTop w:val="0"/>
                          <w:marBottom w:val="0"/>
                          <w:divBdr>
                            <w:top w:val="none" w:sz="0" w:space="0" w:color="auto"/>
                            <w:left w:val="none" w:sz="0" w:space="0" w:color="auto"/>
                            <w:bottom w:val="none" w:sz="0" w:space="0" w:color="auto"/>
                            <w:right w:val="none" w:sz="0" w:space="0" w:color="auto"/>
                          </w:divBdr>
                          <w:divsChild>
                            <w:div w:id="1142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1465">
      <w:bodyDiv w:val="1"/>
      <w:marLeft w:val="0"/>
      <w:marRight w:val="0"/>
      <w:marTop w:val="0"/>
      <w:marBottom w:val="0"/>
      <w:divBdr>
        <w:top w:val="none" w:sz="0" w:space="0" w:color="auto"/>
        <w:left w:val="none" w:sz="0" w:space="0" w:color="auto"/>
        <w:bottom w:val="none" w:sz="0" w:space="0" w:color="auto"/>
        <w:right w:val="none" w:sz="0" w:space="0" w:color="auto"/>
      </w:divBdr>
    </w:div>
    <w:div w:id="1110663169">
      <w:bodyDiv w:val="1"/>
      <w:marLeft w:val="0"/>
      <w:marRight w:val="0"/>
      <w:marTop w:val="0"/>
      <w:marBottom w:val="0"/>
      <w:divBdr>
        <w:top w:val="none" w:sz="0" w:space="0" w:color="auto"/>
        <w:left w:val="none" w:sz="0" w:space="0" w:color="auto"/>
        <w:bottom w:val="none" w:sz="0" w:space="0" w:color="auto"/>
        <w:right w:val="none" w:sz="0" w:space="0" w:color="auto"/>
      </w:divBdr>
    </w:div>
    <w:div w:id="1236671975">
      <w:bodyDiv w:val="1"/>
      <w:marLeft w:val="0"/>
      <w:marRight w:val="0"/>
      <w:marTop w:val="0"/>
      <w:marBottom w:val="0"/>
      <w:divBdr>
        <w:top w:val="none" w:sz="0" w:space="0" w:color="auto"/>
        <w:left w:val="none" w:sz="0" w:space="0" w:color="auto"/>
        <w:bottom w:val="none" w:sz="0" w:space="0" w:color="auto"/>
        <w:right w:val="none" w:sz="0" w:space="0" w:color="auto"/>
      </w:divBdr>
      <w:divsChild>
        <w:div w:id="1029648836">
          <w:marLeft w:val="0"/>
          <w:marRight w:val="0"/>
          <w:marTop w:val="0"/>
          <w:marBottom w:val="0"/>
          <w:divBdr>
            <w:top w:val="none" w:sz="0" w:space="0" w:color="auto"/>
            <w:left w:val="none" w:sz="0" w:space="0" w:color="auto"/>
            <w:bottom w:val="none" w:sz="0" w:space="0" w:color="auto"/>
            <w:right w:val="none" w:sz="0" w:space="0" w:color="auto"/>
          </w:divBdr>
          <w:divsChild>
            <w:div w:id="772481185">
              <w:marLeft w:val="0"/>
              <w:marRight w:val="0"/>
              <w:marTop w:val="0"/>
              <w:marBottom w:val="0"/>
              <w:divBdr>
                <w:top w:val="none" w:sz="0" w:space="0" w:color="auto"/>
                <w:left w:val="none" w:sz="0" w:space="0" w:color="auto"/>
                <w:bottom w:val="none" w:sz="0" w:space="0" w:color="auto"/>
                <w:right w:val="none" w:sz="0" w:space="0" w:color="auto"/>
              </w:divBdr>
            </w:div>
            <w:div w:id="1067148143">
              <w:marLeft w:val="0"/>
              <w:marRight w:val="0"/>
              <w:marTop w:val="0"/>
              <w:marBottom w:val="0"/>
              <w:divBdr>
                <w:top w:val="none" w:sz="0" w:space="0" w:color="auto"/>
                <w:left w:val="none" w:sz="0" w:space="0" w:color="auto"/>
                <w:bottom w:val="none" w:sz="0" w:space="0" w:color="auto"/>
                <w:right w:val="none" w:sz="0" w:space="0" w:color="auto"/>
              </w:divBdr>
            </w:div>
            <w:div w:id="1376154606">
              <w:marLeft w:val="0"/>
              <w:marRight w:val="0"/>
              <w:marTop w:val="0"/>
              <w:marBottom w:val="0"/>
              <w:divBdr>
                <w:top w:val="none" w:sz="0" w:space="0" w:color="auto"/>
                <w:left w:val="none" w:sz="0" w:space="0" w:color="auto"/>
                <w:bottom w:val="none" w:sz="0" w:space="0" w:color="auto"/>
                <w:right w:val="none" w:sz="0" w:space="0" w:color="auto"/>
              </w:divBdr>
            </w:div>
            <w:div w:id="1566987706">
              <w:marLeft w:val="0"/>
              <w:marRight w:val="0"/>
              <w:marTop w:val="0"/>
              <w:marBottom w:val="0"/>
              <w:divBdr>
                <w:top w:val="none" w:sz="0" w:space="0" w:color="auto"/>
                <w:left w:val="none" w:sz="0" w:space="0" w:color="auto"/>
                <w:bottom w:val="none" w:sz="0" w:space="0" w:color="auto"/>
                <w:right w:val="none" w:sz="0" w:space="0" w:color="auto"/>
              </w:divBdr>
            </w:div>
            <w:div w:id="1622303439">
              <w:marLeft w:val="0"/>
              <w:marRight w:val="0"/>
              <w:marTop w:val="0"/>
              <w:marBottom w:val="0"/>
              <w:divBdr>
                <w:top w:val="none" w:sz="0" w:space="0" w:color="auto"/>
                <w:left w:val="none" w:sz="0" w:space="0" w:color="auto"/>
                <w:bottom w:val="none" w:sz="0" w:space="0" w:color="auto"/>
                <w:right w:val="none" w:sz="0" w:space="0" w:color="auto"/>
              </w:divBdr>
            </w:div>
            <w:div w:id="1914508848">
              <w:marLeft w:val="0"/>
              <w:marRight w:val="0"/>
              <w:marTop w:val="0"/>
              <w:marBottom w:val="0"/>
              <w:divBdr>
                <w:top w:val="none" w:sz="0" w:space="0" w:color="auto"/>
                <w:left w:val="none" w:sz="0" w:space="0" w:color="auto"/>
                <w:bottom w:val="none" w:sz="0" w:space="0" w:color="auto"/>
                <w:right w:val="none" w:sz="0" w:space="0" w:color="auto"/>
              </w:divBdr>
            </w:div>
          </w:divsChild>
        </w:div>
        <w:div w:id="1312518210">
          <w:marLeft w:val="0"/>
          <w:marRight w:val="0"/>
          <w:marTop w:val="0"/>
          <w:marBottom w:val="0"/>
          <w:divBdr>
            <w:top w:val="none" w:sz="0" w:space="0" w:color="auto"/>
            <w:left w:val="none" w:sz="0" w:space="0" w:color="auto"/>
            <w:bottom w:val="none" w:sz="0" w:space="0" w:color="auto"/>
            <w:right w:val="none" w:sz="0" w:space="0" w:color="auto"/>
          </w:divBdr>
        </w:div>
      </w:divsChild>
    </w:div>
    <w:div w:id="1267427796">
      <w:bodyDiv w:val="1"/>
      <w:marLeft w:val="0"/>
      <w:marRight w:val="0"/>
      <w:marTop w:val="0"/>
      <w:marBottom w:val="0"/>
      <w:divBdr>
        <w:top w:val="none" w:sz="0" w:space="0" w:color="auto"/>
        <w:left w:val="none" w:sz="0" w:space="0" w:color="auto"/>
        <w:bottom w:val="none" w:sz="0" w:space="0" w:color="auto"/>
        <w:right w:val="none" w:sz="0" w:space="0" w:color="auto"/>
      </w:divBdr>
    </w:div>
    <w:div w:id="1416318172">
      <w:bodyDiv w:val="1"/>
      <w:marLeft w:val="0"/>
      <w:marRight w:val="0"/>
      <w:marTop w:val="0"/>
      <w:marBottom w:val="0"/>
      <w:divBdr>
        <w:top w:val="none" w:sz="0" w:space="0" w:color="auto"/>
        <w:left w:val="none" w:sz="0" w:space="0" w:color="auto"/>
        <w:bottom w:val="none" w:sz="0" w:space="0" w:color="auto"/>
        <w:right w:val="none" w:sz="0" w:space="0" w:color="auto"/>
      </w:divBdr>
      <w:divsChild>
        <w:div w:id="258412746">
          <w:marLeft w:val="0"/>
          <w:marRight w:val="0"/>
          <w:marTop w:val="0"/>
          <w:marBottom w:val="0"/>
          <w:divBdr>
            <w:top w:val="none" w:sz="0" w:space="0" w:color="auto"/>
            <w:left w:val="none" w:sz="0" w:space="0" w:color="auto"/>
            <w:bottom w:val="none" w:sz="0" w:space="0" w:color="auto"/>
            <w:right w:val="none" w:sz="0" w:space="0" w:color="auto"/>
          </w:divBdr>
          <w:divsChild>
            <w:div w:id="276109535">
              <w:marLeft w:val="0"/>
              <w:marRight w:val="0"/>
              <w:marTop w:val="0"/>
              <w:marBottom w:val="0"/>
              <w:divBdr>
                <w:top w:val="none" w:sz="0" w:space="0" w:color="auto"/>
                <w:left w:val="none" w:sz="0" w:space="0" w:color="auto"/>
                <w:bottom w:val="none" w:sz="0" w:space="0" w:color="auto"/>
                <w:right w:val="none" w:sz="0" w:space="0" w:color="auto"/>
              </w:divBdr>
            </w:div>
            <w:div w:id="319844616">
              <w:marLeft w:val="0"/>
              <w:marRight w:val="0"/>
              <w:marTop w:val="0"/>
              <w:marBottom w:val="0"/>
              <w:divBdr>
                <w:top w:val="none" w:sz="0" w:space="0" w:color="auto"/>
                <w:left w:val="none" w:sz="0" w:space="0" w:color="auto"/>
                <w:bottom w:val="none" w:sz="0" w:space="0" w:color="auto"/>
                <w:right w:val="none" w:sz="0" w:space="0" w:color="auto"/>
              </w:divBdr>
            </w:div>
            <w:div w:id="359089414">
              <w:marLeft w:val="0"/>
              <w:marRight w:val="0"/>
              <w:marTop w:val="0"/>
              <w:marBottom w:val="0"/>
              <w:divBdr>
                <w:top w:val="none" w:sz="0" w:space="0" w:color="auto"/>
                <w:left w:val="none" w:sz="0" w:space="0" w:color="auto"/>
                <w:bottom w:val="none" w:sz="0" w:space="0" w:color="auto"/>
                <w:right w:val="none" w:sz="0" w:space="0" w:color="auto"/>
              </w:divBdr>
            </w:div>
            <w:div w:id="772626735">
              <w:marLeft w:val="0"/>
              <w:marRight w:val="0"/>
              <w:marTop w:val="0"/>
              <w:marBottom w:val="0"/>
              <w:divBdr>
                <w:top w:val="none" w:sz="0" w:space="0" w:color="auto"/>
                <w:left w:val="none" w:sz="0" w:space="0" w:color="auto"/>
                <w:bottom w:val="none" w:sz="0" w:space="0" w:color="auto"/>
                <w:right w:val="none" w:sz="0" w:space="0" w:color="auto"/>
              </w:divBdr>
            </w:div>
            <w:div w:id="1039865504">
              <w:marLeft w:val="0"/>
              <w:marRight w:val="0"/>
              <w:marTop w:val="0"/>
              <w:marBottom w:val="0"/>
              <w:divBdr>
                <w:top w:val="none" w:sz="0" w:space="0" w:color="auto"/>
                <w:left w:val="none" w:sz="0" w:space="0" w:color="auto"/>
                <w:bottom w:val="none" w:sz="0" w:space="0" w:color="auto"/>
                <w:right w:val="none" w:sz="0" w:space="0" w:color="auto"/>
              </w:divBdr>
            </w:div>
            <w:div w:id="2049405497">
              <w:marLeft w:val="0"/>
              <w:marRight w:val="0"/>
              <w:marTop w:val="0"/>
              <w:marBottom w:val="0"/>
              <w:divBdr>
                <w:top w:val="none" w:sz="0" w:space="0" w:color="auto"/>
                <w:left w:val="none" w:sz="0" w:space="0" w:color="auto"/>
                <w:bottom w:val="none" w:sz="0" w:space="0" w:color="auto"/>
                <w:right w:val="none" w:sz="0" w:space="0" w:color="auto"/>
              </w:divBdr>
            </w:div>
          </w:divsChild>
        </w:div>
        <w:div w:id="687173428">
          <w:marLeft w:val="0"/>
          <w:marRight w:val="0"/>
          <w:marTop w:val="0"/>
          <w:marBottom w:val="0"/>
          <w:divBdr>
            <w:top w:val="none" w:sz="0" w:space="0" w:color="auto"/>
            <w:left w:val="none" w:sz="0" w:space="0" w:color="auto"/>
            <w:bottom w:val="none" w:sz="0" w:space="0" w:color="auto"/>
            <w:right w:val="none" w:sz="0" w:space="0" w:color="auto"/>
          </w:divBdr>
        </w:div>
      </w:divsChild>
    </w:div>
    <w:div w:id="1465998119">
      <w:bodyDiv w:val="1"/>
      <w:marLeft w:val="0"/>
      <w:marRight w:val="0"/>
      <w:marTop w:val="0"/>
      <w:marBottom w:val="0"/>
      <w:divBdr>
        <w:top w:val="none" w:sz="0" w:space="0" w:color="auto"/>
        <w:left w:val="none" w:sz="0" w:space="0" w:color="auto"/>
        <w:bottom w:val="none" w:sz="0" w:space="0" w:color="auto"/>
        <w:right w:val="none" w:sz="0" w:space="0" w:color="auto"/>
      </w:divBdr>
    </w:div>
    <w:div w:id="1524902520">
      <w:bodyDiv w:val="1"/>
      <w:marLeft w:val="0"/>
      <w:marRight w:val="0"/>
      <w:marTop w:val="0"/>
      <w:marBottom w:val="0"/>
      <w:divBdr>
        <w:top w:val="none" w:sz="0" w:space="0" w:color="auto"/>
        <w:left w:val="none" w:sz="0" w:space="0" w:color="auto"/>
        <w:bottom w:val="none" w:sz="0" w:space="0" w:color="auto"/>
        <w:right w:val="none" w:sz="0" w:space="0" w:color="auto"/>
      </w:divBdr>
    </w:div>
    <w:div w:id="1565869800">
      <w:bodyDiv w:val="1"/>
      <w:marLeft w:val="0"/>
      <w:marRight w:val="0"/>
      <w:marTop w:val="0"/>
      <w:marBottom w:val="0"/>
      <w:divBdr>
        <w:top w:val="none" w:sz="0" w:space="0" w:color="auto"/>
        <w:left w:val="none" w:sz="0" w:space="0" w:color="auto"/>
        <w:bottom w:val="none" w:sz="0" w:space="0" w:color="auto"/>
        <w:right w:val="none" w:sz="0" w:space="0" w:color="auto"/>
      </w:divBdr>
    </w:div>
    <w:div w:id="1588688929">
      <w:bodyDiv w:val="1"/>
      <w:marLeft w:val="0"/>
      <w:marRight w:val="0"/>
      <w:marTop w:val="0"/>
      <w:marBottom w:val="0"/>
      <w:divBdr>
        <w:top w:val="none" w:sz="0" w:space="0" w:color="auto"/>
        <w:left w:val="none" w:sz="0" w:space="0" w:color="auto"/>
        <w:bottom w:val="none" w:sz="0" w:space="0" w:color="auto"/>
        <w:right w:val="none" w:sz="0" w:space="0" w:color="auto"/>
      </w:divBdr>
    </w:div>
    <w:div w:id="1621645957">
      <w:bodyDiv w:val="1"/>
      <w:marLeft w:val="0"/>
      <w:marRight w:val="0"/>
      <w:marTop w:val="0"/>
      <w:marBottom w:val="0"/>
      <w:divBdr>
        <w:top w:val="none" w:sz="0" w:space="0" w:color="auto"/>
        <w:left w:val="none" w:sz="0" w:space="0" w:color="auto"/>
        <w:bottom w:val="none" w:sz="0" w:space="0" w:color="auto"/>
        <w:right w:val="none" w:sz="0" w:space="0" w:color="auto"/>
      </w:divBdr>
    </w:div>
    <w:div w:id="1636836383">
      <w:bodyDiv w:val="1"/>
      <w:marLeft w:val="0"/>
      <w:marRight w:val="0"/>
      <w:marTop w:val="0"/>
      <w:marBottom w:val="0"/>
      <w:divBdr>
        <w:top w:val="none" w:sz="0" w:space="0" w:color="auto"/>
        <w:left w:val="none" w:sz="0" w:space="0" w:color="auto"/>
        <w:bottom w:val="none" w:sz="0" w:space="0" w:color="auto"/>
        <w:right w:val="none" w:sz="0" w:space="0" w:color="auto"/>
      </w:divBdr>
    </w:div>
    <w:div w:id="1662729340">
      <w:bodyDiv w:val="1"/>
      <w:marLeft w:val="0"/>
      <w:marRight w:val="0"/>
      <w:marTop w:val="0"/>
      <w:marBottom w:val="0"/>
      <w:divBdr>
        <w:top w:val="none" w:sz="0" w:space="0" w:color="auto"/>
        <w:left w:val="none" w:sz="0" w:space="0" w:color="auto"/>
        <w:bottom w:val="none" w:sz="0" w:space="0" w:color="auto"/>
        <w:right w:val="none" w:sz="0" w:space="0" w:color="auto"/>
      </w:divBdr>
      <w:divsChild>
        <w:div w:id="578250682">
          <w:marLeft w:val="0"/>
          <w:marRight w:val="0"/>
          <w:marTop w:val="0"/>
          <w:marBottom w:val="0"/>
          <w:divBdr>
            <w:top w:val="none" w:sz="0" w:space="0" w:color="auto"/>
            <w:left w:val="none" w:sz="0" w:space="0" w:color="auto"/>
            <w:bottom w:val="none" w:sz="0" w:space="0" w:color="auto"/>
            <w:right w:val="none" w:sz="0" w:space="0" w:color="auto"/>
          </w:divBdr>
        </w:div>
        <w:div w:id="1925845174">
          <w:marLeft w:val="0"/>
          <w:marRight w:val="0"/>
          <w:marTop w:val="0"/>
          <w:marBottom w:val="0"/>
          <w:divBdr>
            <w:top w:val="none" w:sz="0" w:space="0" w:color="auto"/>
            <w:left w:val="none" w:sz="0" w:space="0" w:color="auto"/>
            <w:bottom w:val="none" w:sz="0" w:space="0" w:color="auto"/>
            <w:right w:val="none" w:sz="0" w:space="0" w:color="auto"/>
          </w:divBdr>
        </w:div>
        <w:div w:id="1956667291">
          <w:marLeft w:val="0"/>
          <w:marRight w:val="0"/>
          <w:marTop w:val="0"/>
          <w:marBottom w:val="0"/>
          <w:divBdr>
            <w:top w:val="none" w:sz="0" w:space="0" w:color="auto"/>
            <w:left w:val="none" w:sz="0" w:space="0" w:color="auto"/>
            <w:bottom w:val="none" w:sz="0" w:space="0" w:color="auto"/>
            <w:right w:val="none" w:sz="0" w:space="0" w:color="auto"/>
          </w:divBdr>
        </w:div>
      </w:divsChild>
    </w:div>
    <w:div w:id="1717854776">
      <w:bodyDiv w:val="1"/>
      <w:marLeft w:val="0"/>
      <w:marRight w:val="0"/>
      <w:marTop w:val="0"/>
      <w:marBottom w:val="0"/>
      <w:divBdr>
        <w:top w:val="none" w:sz="0" w:space="0" w:color="auto"/>
        <w:left w:val="none" w:sz="0" w:space="0" w:color="auto"/>
        <w:bottom w:val="none" w:sz="0" w:space="0" w:color="auto"/>
        <w:right w:val="none" w:sz="0" w:space="0" w:color="auto"/>
      </w:divBdr>
    </w:div>
    <w:div w:id="1742367198">
      <w:bodyDiv w:val="1"/>
      <w:marLeft w:val="0"/>
      <w:marRight w:val="0"/>
      <w:marTop w:val="0"/>
      <w:marBottom w:val="0"/>
      <w:divBdr>
        <w:top w:val="none" w:sz="0" w:space="0" w:color="auto"/>
        <w:left w:val="none" w:sz="0" w:space="0" w:color="auto"/>
        <w:bottom w:val="none" w:sz="0" w:space="0" w:color="auto"/>
        <w:right w:val="none" w:sz="0" w:space="0" w:color="auto"/>
      </w:divBdr>
    </w:div>
    <w:div w:id="1824160126">
      <w:bodyDiv w:val="1"/>
      <w:marLeft w:val="0"/>
      <w:marRight w:val="0"/>
      <w:marTop w:val="0"/>
      <w:marBottom w:val="0"/>
      <w:divBdr>
        <w:top w:val="none" w:sz="0" w:space="0" w:color="auto"/>
        <w:left w:val="none" w:sz="0" w:space="0" w:color="auto"/>
        <w:bottom w:val="none" w:sz="0" w:space="0" w:color="auto"/>
        <w:right w:val="none" w:sz="0" w:space="0" w:color="auto"/>
      </w:divBdr>
    </w:div>
    <w:div w:id="1836267063">
      <w:bodyDiv w:val="1"/>
      <w:marLeft w:val="0"/>
      <w:marRight w:val="0"/>
      <w:marTop w:val="0"/>
      <w:marBottom w:val="0"/>
      <w:divBdr>
        <w:top w:val="none" w:sz="0" w:space="0" w:color="auto"/>
        <w:left w:val="none" w:sz="0" w:space="0" w:color="auto"/>
        <w:bottom w:val="none" w:sz="0" w:space="0" w:color="auto"/>
        <w:right w:val="none" w:sz="0" w:space="0" w:color="auto"/>
      </w:divBdr>
    </w:div>
    <w:div w:id="1880436937">
      <w:bodyDiv w:val="1"/>
      <w:marLeft w:val="0"/>
      <w:marRight w:val="0"/>
      <w:marTop w:val="0"/>
      <w:marBottom w:val="0"/>
      <w:divBdr>
        <w:top w:val="none" w:sz="0" w:space="0" w:color="auto"/>
        <w:left w:val="none" w:sz="0" w:space="0" w:color="auto"/>
        <w:bottom w:val="none" w:sz="0" w:space="0" w:color="auto"/>
        <w:right w:val="none" w:sz="0" w:space="0" w:color="auto"/>
      </w:divBdr>
    </w:div>
    <w:div w:id="1896239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qed.qld.gov.au/publications/reports/statistics/schooling/students" TargetMode="External"/><Relationship Id="rId1" Type="http://schemas.openxmlformats.org/officeDocument/2006/relationships/hyperlink" Target="https://qed.qld.gov.au/publications/reports/statistics/schooling/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E670C0B708384A9FE68EDDD2FCA27F" ma:contentTypeVersion="12" ma:contentTypeDescription="Create a new document." ma:contentTypeScope="" ma:versionID="998be1c4ef808ae7026bc96a7c1e58ba">
  <xsd:schema xmlns:xsd="http://www.w3.org/2001/XMLSchema" xmlns:xs="http://www.w3.org/2001/XMLSchema" xmlns:p="http://schemas.microsoft.com/office/2006/metadata/properties" xmlns:ns2="4895baa6-ac4c-4d1e-b231-8483c88111dc" xmlns:ns3="a9ec758c-7b29-4bbd-836f-c599af6fef2b" targetNamespace="http://schemas.microsoft.com/office/2006/metadata/properties" ma:root="true" ma:fieldsID="f22c57e2c1fdd30d711f1c28021d55d2" ns2:_="" ns3:_="">
    <xsd:import namespace="4895baa6-ac4c-4d1e-b231-8483c88111dc"/>
    <xsd:import namespace="a9ec758c-7b29-4bbd-836f-c599af6f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baa6-ac4c-4d1e-b231-8483c8811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a9ec758c-7b29-4bbd-836f-c599af6fef2b">
      <UserInfo>
        <DisplayName>Rebekah Leong</DisplayName>
        <AccountId>14</AccountId>
        <AccountType/>
      </UserInfo>
      <UserInfo>
        <DisplayName>Ben Valle</DisplayName>
        <AccountId>74</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8442B-ABDD-427C-8F1F-BB92A731D5F9}">
  <ds:schemaRefs>
    <ds:schemaRef ds:uri="http://schemas.openxmlformats.org/officeDocument/2006/bibliography"/>
  </ds:schemaRefs>
</ds:datastoreItem>
</file>

<file path=customXml/itemProps3.xml><?xml version="1.0" encoding="utf-8"?>
<ds:datastoreItem xmlns:ds="http://schemas.openxmlformats.org/officeDocument/2006/customXml" ds:itemID="{54945DE4-A6B2-4AAE-BAE9-5D812B2BB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baa6-ac4c-4d1e-b231-8483c88111dc"/>
    <ds:schemaRef ds:uri="a9ec758c-7b29-4bbd-836f-c599af6f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5629D-73BE-4C21-B3D7-C6A8C2B8D770}">
  <ds:schemaRefs>
    <ds:schemaRef ds:uri="http://schemas.microsoft.com/sharepoint/v3/contenttype/forms"/>
  </ds:schemaRefs>
</ds:datastoreItem>
</file>

<file path=customXml/itemProps5.xml><?xml version="1.0" encoding="utf-8"?>
<ds:datastoreItem xmlns:ds="http://schemas.openxmlformats.org/officeDocument/2006/customXml" ds:itemID="{9C42F683-81EC-448A-8812-D34289D8BF84}">
  <ds:schemaRefs>
    <ds:schemaRef ds:uri="http://www.w3.org/XML/1998/namespace"/>
    <ds:schemaRef ds:uri="4895baa6-ac4c-4d1e-b231-8483c88111dc"/>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a9ec758c-7b29-4bbd-836f-c599af6fef2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24</Pages>
  <Words>7181</Words>
  <Characters>40935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48020</CharactersWithSpaces>
  <SharedDoc>false</SharedDoc>
  <HLinks>
    <vt:vector size="168" baseType="variant">
      <vt:variant>
        <vt:i4>1376310</vt:i4>
      </vt:variant>
      <vt:variant>
        <vt:i4>146</vt:i4>
      </vt:variant>
      <vt:variant>
        <vt:i4>0</vt:i4>
      </vt:variant>
      <vt:variant>
        <vt:i4>5</vt:i4>
      </vt:variant>
      <vt:variant>
        <vt:lpwstr/>
      </vt:variant>
      <vt:variant>
        <vt:lpwstr>_Toc162360378</vt:lpwstr>
      </vt:variant>
      <vt:variant>
        <vt:i4>1376310</vt:i4>
      </vt:variant>
      <vt:variant>
        <vt:i4>140</vt:i4>
      </vt:variant>
      <vt:variant>
        <vt:i4>0</vt:i4>
      </vt:variant>
      <vt:variant>
        <vt:i4>5</vt:i4>
      </vt:variant>
      <vt:variant>
        <vt:lpwstr/>
      </vt:variant>
      <vt:variant>
        <vt:lpwstr>_Toc162360377</vt:lpwstr>
      </vt:variant>
      <vt:variant>
        <vt:i4>1376310</vt:i4>
      </vt:variant>
      <vt:variant>
        <vt:i4>134</vt:i4>
      </vt:variant>
      <vt:variant>
        <vt:i4>0</vt:i4>
      </vt:variant>
      <vt:variant>
        <vt:i4>5</vt:i4>
      </vt:variant>
      <vt:variant>
        <vt:lpwstr/>
      </vt:variant>
      <vt:variant>
        <vt:lpwstr>_Toc162360376</vt:lpwstr>
      </vt:variant>
      <vt:variant>
        <vt:i4>1376310</vt:i4>
      </vt:variant>
      <vt:variant>
        <vt:i4>128</vt:i4>
      </vt:variant>
      <vt:variant>
        <vt:i4>0</vt:i4>
      </vt:variant>
      <vt:variant>
        <vt:i4>5</vt:i4>
      </vt:variant>
      <vt:variant>
        <vt:lpwstr/>
      </vt:variant>
      <vt:variant>
        <vt:lpwstr>_Toc162360375</vt:lpwstr>
      </vt:variant>
      <vt:variant>
        <vt:i4>1376310</vt:i4>
      </vt:variant>
      <vt:variant>
        <vt:i4>122</vt:i4>
      </vt:variant>
      <vt:variant>
        <vt:i4>0</vt:i4>
      </vt:variant>
      <vt:variant>
        <vt:i4>5</vt:i4>
      </vt:variant>
      <vt:variant>
        <vt:lpwstr/>
      </vt:variant>
      <vt:variant>
        <vt:lpwstr>_Toc162360374</vt:lpwstr>
      </vt:variant>
      <vt:variant>
        <vt:i4>1376310</vt:i4>
      </vt:variant>
      <vt:variant>
        <vt:i4>116</vt:i4>
      </vt:variant>
      <vt:variant>
        <vt:i4>0</vt:i4>
      </vt:variant>
      <vt:variant>
        <vt:i4>5</vt:i4>
      </vt:variant>
      <vt:variant>
        <vt:lpwstr/>
      </vt:variant>
      <vt:variant>
        <vt:lpwstr>_Toc162360373</vt:lpwstr>
      </vt:variant>
      <vt:variant>
        <vt:i4>1376310</vt:i4>
      </vt:variant>
      <vt:variant>
        <vt:i4>110</vt:i4>
      </vt:variant>
      <vt:variant>
        <vt:i4>0</vt:i4>
      </vt:variant>
      <vt:variant>
        <vt:i4>5</vt:i4>
      </vt:variant>
      <vt:variant>
        <vt:lpwstr/>
      </vt:variant>
      <vt:variant>
        <vt:lpwstr>_Toc162360372</vt:lpwstr>
      </vt:variant>
      <vt:variant>
        <vt:i4>1376310</vt:i4>
      </vt:variant>
      <vt:variant>
        <vt:i4>104</vt:i4>
      </vt:variant>
      <vt:variant>
        <vt:i4>0</vt:i4>
      </vt:variant>
      <vt:variant>
        <vt:i4>5</vt:i4>
      </vt:variant>
      <vt:variant>
        <vt:lpwstr/>
      </vt:variant>
      <vt:variant>
        <vt:lpwstr>_Toc162360371</vt:lpwstr>
      </vt:variant>
      <vt:variant>
        <vt:i4>1376310</vt:i4>
      </vt:variant>
      <vt:variant>
        <vt:i4>98</vt:i4>
      </vt:variant>
      <vt:variant>
        <vt:i4>0</vt:i4>
      </vt:variant>
      <vt:variant>
        <vt:i4>5</vt:i4>
      </vt:variant>
      <vt:variant>
        <vt:lpwstr/>
      </vt:variant>
      <vt:variant>
        <vt:lpwstr>_Toc162360370</vt:lpwstr>
      </vt:variant>
      <vt:variant>
        <vt:i4>1310774</vt:i4>
      </vt:variant>
      <vt:variant>
        <vt:i4>92</vt:i4>
      </vt:variant>
      <vt:variant>
        <vt:i4>0</vt:i4>
      </vt:variant>
      <vt:variant>
        <vt:i4>5</vt:i4>
      </vt:variant>
      <vt:variant>
        <vt:lpwstr/>
      </vt:variant>
      <vt:variant>
        <vt:lpwstr>_Toc162360369</vt:lpwstr>
      </vt:variant>
      <vt:variant>
        <vt:i4>1310774</vt:i4>
      </vt:variant>
      <vt:variant>
        <vt:i4>86</vt:i4>
      </vt:variant>
      <vt:variant>
        <vt:i4>0</vt:i4>
      </vt:variant>
      <vt:variant>
        <vt:i4>5</vt:i4>
      </vt:variant>
      <vt:variant>
        <vt:lpwstr/>
      </vt:variant>
      <vt:variant>
        <vt:lpwstr>_Toc162360368</vt:lpwstr>
      </vt:variant>
      <vt:variant>
        <vt:i4>1310774</vt:i4>
      </vt:variant>
      <vt:variant>
        <vt:i4>80</vt:i4>
      </vt:variant>
      <vt:variant>
        <vt:i4>0</vt:i4>
      </vt:variant>
      <vt:variant>
        <vt:i4>5</vt:i4>
      </vt:variant>
      <vt:variant>
        <vt:lpwstr/>
      </vt:variant>
      <vt:variant>
        <vt:lpwstr>_Toc162360367</vt:lpwstr>
      </vt:variant>
      <vt:variant>
        <vt:i4>1310774</vt:i4>
      </vt:variant>
      <vt:variant>
        <vt:i4>74</vt:i4>
      </vt:variant>
      <vt:variant>
        <vt:i4>0</vt:i4>
      </vt:variant>
      <vt:variant>
        <vt:i4>5</vt:i4>
      </vt:variant>
      <vt:variant>
        <vt:lpwstr/>
      </vt:variant>
      <vt:variant>
        <vt:lpwstr>_Toc162360366</vt:lpwstr>
      </vt:variant>
      <vt:variant>
        <vt:i4>1310774</vt:i4>
      </vt:variant>
      <vt:variant>
        <vt:i4>68</vt:i4>
      </vt:variant>
      <vt:variant>
        <vt:i4>0</vt:i4>
      </vt:variant>
      <vt:variant>
        <vt:i4>5</vt:i4>
      </vt:variant>
      <vt:variant>
        <vt:lpwstr/>
      </vt:variant>
      <vt:variant>
        <vt:lpwstr>_Toc162360365</vt:lpwstr>
      </vt:variant>
      <vt:variant>
        <vt:i4>1310774</vt:i4>
      </vt:variant>
      <vt:variant>
        <vt:i4>62</vt:i4>
      </vt:variant>
      <vt:variant>
        <vt:i4>0</vt:i4>
      </vt:variant>
      <vt:variant>
        <vt:i4>5</vt:i4>
      </vt:variant>
      <vt:variant>
        <vt:lpwstr/>
      </vt:variant>
      <vt:variant>
        <vt:lpwstr>_Toc162360364</vt:lpwstr>
      </vt:variant>
      <vt:variant>
        <vt:i4>1310774</vt:i4>
      </vt:variant>
      <vt:variant>
        <vt:i4>56</vt:i4>
      </vt:variant>
      <vt:variant>
        <vt:i4>0</vt:i4>
      </vt:variant>
      <vt:variant>
        <vt:i4>5</vt:i4>
      </vt:variant>
      <vt:variant>
        <vt:lpwstr/>
      </vt:variant>
      <vt:variant>
        <vt:lpwstr>_Toc162360363</vt:lpwstr>
      </vt:variant>
      <vt:variant>
        <vt:i4>1310774</vt:i4>
      </vt:variant>
      <vt:variant>
        <vt:i4>50</vt:i4>
      </vt:variant>
      <vt:variant>
        <vt:i4>0</vt:i4>
      </vt:variant>
      <vt:variant>
        <vt:i4>5</vt:i4>
      </vt:variant>
      <vt:variant>
        <vt:lpwstr/>
      </vt:variant>
      <vt:variant>
        <vt:lpwstr>_Toc162360362</vt:lpwstr>
      </vt:variant>
      <vt:variant>
        <vt:i4>1310774</vt:i4>
      </vt:variant>
      <vt:variant>
        <vt:i4>44</vt:i4>
      </vt:variant>
      <vt:variant>
        <vt:i4>0</vt:i4>
      </vt:variant>
      <vt:variant>
        <vt:i4>5</vt:i4>
      </vt:variant>
      <vt:variant>
        <vt:lpwstr/>
      </vt:variant>
      <vt:variant>
        <vt:lpwstr>_Toc162360361</vt:lpwstr>
      </vt:variant>
      <vt:variant>
        <vt:i4>1310774</vt:i4>
      </vt:variant>
      <vt:variant>
        <vt:i4>38</vt:i4>
      </vt:variant>
      <vt:variant>
        <vt:i4>0</vt:i4>
      </vt:variant>
      <vt:variant>
        <vt:i4>5</vt:i4>
      </vt:variant>
      <vt:variant>
        <vt:lpwstr/>
      </vt:variant>
      <vt:variant>
        <vt:lpwstr>_Toc162360360</vt:lpwstr>
      </vt:variant>
      <vt:variant>
        <vt:i4>1507382</vt:i4>
      </vt:variant>
      <vt:variant>
        <vt:i4>32</vt:i4>
      </vt:variant>
      <vt:variant>
        <vt:i4>0</vt:i4>
      </vt:variant>
      <vt:variant>
        <vt:i4>5</vt:i4>
      </vt:variant>
      <vt:variant>
        <vt:lpwstr/>
      </vt:variant>
      <vt:variant>
        <vt:lpwstr>_Toc162360359</vt:lpwstr>
      </vt:variant>
      <vt:variant>
        <vt:i4>1507382</vt:i4>
      </vt:variant>
      <vt:variant>
        <vt:i4>26</vt:i4>
      </vt:variant>
      <vt:variant>
        <vt:i4>0</vt:i4>
      </vt:variant>
      <vt:variant>
        <vt:i4>5</vt:i4>
      </vt:variant>
      <vt:variant>
        <vt:lpwstr/>
      </vt:variant>
      <vt:variant>
        <vt:lpwstr>_Toc162360358</vt:lpwstr>
      </vt:variant>
      <vt:variant>
        <vt:i4>1507382</vt:i4>
      </vt:variant>
      <vt:variant>
        <vt:i4>20</vt:i4>
      </vt:variant>
      <vt:variant>
        <vt:i4>0</vt:i4>
      </vt:variant>
      <vt:variant>
        <vt:i4>5</vt:i4>
      </vt:variant>
      <vt:variant>
        <vt:lpwstr/>
      </vt:variant>
      <vt:variant>
        <vt:lpwstr>_Toc162360357</vt:lpwstr>
      </vt:variant>
      <vt:variant>
        <vt:i4>1507382</vt:i4>
      </vt:variant>
      <vt:variant>
        <vt:i4>14</vt:i4>
      </vt:variant>
      <vt:variant>
        <vt:i4>0</vt:i4>
      </vt:variant>
      <vt:variant>
        <vt:i4>5</vt:i4>
      </vt:variant>
      <vt:variant>
        <vt:lpwstr/>
      </vt:variant>
      <vt:variant>
        <vt:lpwstr>_Toc162360356</vt:lpwstr>
      </vt:variant>
      <vt:variant>
        <vt:i4>1507382</vt:i4>
      </vt:variant>
      <vt:variant>
        <vt:i4>8</vt:i4>
      </vt:variant>
      <vt:variant>
        <vt:i4>0</vt:i4>
      </vt:variant>
      <vt:variant>
        <vt:i4>5</vt:i4>
      </vt:variant>
      <vt:variant>
        <vt:lpwstr/>
      </vt:variant>
      <vt:variant>
        <vt:lpwstr>_Toc162360355</vt:lpwstr>
      </vt:variant>
      <vt:variant>
        <vt:i4>1507382</vt:i4>
      </vt:variant>
      <vt:variant>
        <vt:i4>2</vt:i4>
      </vt:variant>
      <vt:variant>
        <vt:i4>0</vt:i4>
      </vt:variant>
      <vt:variant>
        <vt:i4>5</vt:i4>
      </vt:variant>
      <vt:variant>
        <vt:lpwstr/>
      </vt:variant>
      <vt:variant>
        <vt:lpwstr>_Toc162360354</vt:lpwstr>
      </vt:variant>
      <vt:variant>
        <vt:i4>6422572</vt:i4>
      </vt:variant>
      <vt:variant>
        <vt:i4>6</vt:i4>
      </vt:variant>
      <vt:variant>
        <vt:i4>0</vt:i4>
      </vt:variant>
      <vt:variant>
        <vt:i4>5</vt:i4>
      </vt:variant>
      <vt:variant>
        <vt:lpwstr>https://ppr.qed.qld.gov.au/pp/student-discipline-procedure</vt:lpwstr>
      </vt:variant>
      <vt:variant>
        <vt:lpwstr/>
      </vt:variant>
      <vt:variant>
        <vt:i4>4915218</vt:i4>
      </vt:variant>
      <vt:variant>
        <vt:i4>3</vt:i4>
      </vt:variant>
      <vt:variant>
        <vt:i4>0</vt:i4>
      </vt:variant>
      <vt:variant>
        <vt:i4>5</vt:i4>
      </vt:variant>
      <vt:variant>
        <vt:lpwstr>https://qed.qld.gov.au/publications/reports/statistics/schooling/students</vt:lpwstr>
      </vt:variant>
      <vt:variant>
        <vt:lpwstr/>
      </vt:variant>
      <vt:variant>
        <vt:i4>4915218</vt:i4>
      </vt:variant>
      <vt:variant>
        <vt:i4>0</vt:i4>
      </vt:variant>
      <vt:variant>
        <vt:i4>0</vt:i4>
      </vt:variant>
      <vt:variant>
        <vt:i4>5</vt:i4>
      </vt:variant>
      <vt:variant>
        <vt:lpwstr>https://qed.qld.gov.au/publications/reports/statistics/schooling/students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Rebekah Leong</cp:lastModifiedBy>
  <cp:revision>155</cp:revision>
  <cp:lastPrinted>2024-03-27T07:36:00Z</cp:lastPrinted>
  <dcterms:created xsi:type="dcterms:W3CDTF">2024-03-21T10:01:00Z</dcterms:created>
  <dcterms:modified xsi:type="dcterms:W3CDTF">2024-03-27T07:37:00Z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0x01010050E670C0B708384A9FE68EDDD2FCA27F</vt:lpwstr>
  </property>
</Properties>
</file>