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9F8FB" w14:textId="0FEE1673" w:rsidR="00077D98" w:rsidRPr="0051199E" w:rsidRDefault="00077D98" w:rsidP="004F510B">
      <w:pPr>
        <w:pStyle w:val="ListParagraph"/>
        <w:spacing w:before="240" w:line="257" w:lineRule="auto"/>
        <w:ind w:left="0"/>
        <w:rPr>
          <w:rFonts w:ascii="Arial" w:hAnsi="Arial" w:cs="Arial"/>
          <w:lang w:val="en-US"/>
        </w:rPr>
      </w:pPr>
      <w:r w:rsidRPr="0051199E">
        <w:rPr>
          <w:rFonts w:ascii="Arial" w:hAnsi="Arial" w:cs="Arial"/>
          <w:lang w:val="en-US"/>
        </w:rPr>
        <w:t xml:space="preserve">Our ref: </w:t>
      </w:r>
      <w:r w:rsidR="0051199E">
        <w:rPr>
          <w:rFonts w:ascii="Arial" w:hAnsi="Arial" w:cs="Arial"/>
          <w:lang w:val="en-US"/>
        </w:rPr>
        <w:t>BNE5411119</w:t>
      </w:r>
    </w:p>
    <w:p w14:paraId="10A1B145" w14:textId="77777777" w:rsidR="00077D98" w:rsidRPr="0051199E" w:rsidRDefault="00077D98" w:rsidP="004F510B">
      <w:pPr>
        <w:pStyle w:val="ListParagraph"/>
        <w:ind w:left="0"/>
        <w:rPr>
          <w:rFonts w:ascii="Arial" w:hAnsi="Arial" w:cs="Arial"/>
          <w:lang w:val="en-US"/>
        </w:rPr>
      </w:pPr>
    </w:p>
    <w:p w14:paraId="261A4FC0" w14:textId="2358B380" w:rsidR="00077D98" w:rsidRPr="0051199E" w:rsidRDefault="00416285" w:rsidP="004F510B">
      <w:pPr>
        <w:pStyle w:val="ListParagraph"/>
        <w:ind w:left="0"/>
        <w:rPr>
          <w:rFonts w:ascii="Arial" w:hAnsi="Arial" w:cs="Arial"/>
          <w:lang w:val="en-US"/>
        </w:rPr>
      </w:pPr>
      <w:r>
        <w:rPr>
          <w:rFonts w:ascii="Arial" w:hAnsi="Arial" w:cs="Arial"/>
          <w:lang w:val="en-US"/>
        </w:rPr>
        <w:t>4 April</w:t>
      </w:r>
      <w:r w:rsidR="0051199E">
        <w:rPr>
          <w:rFonts w:ascii="Arial" w:hAnsi="Arial" w:cs="Arial"/>
          <w:lang w:val="en-US"/>
        </w:rPr>
        <w:t xml:space="preserve"> 2024</w:t>
      </w:r>
    </w:p>
    <w:p w14:paraId="5A724E9E" w14:textId="77777777" w:rsidR="00077D98" w:rsidRPr="0051199E" w:rsidRDefault="00077D98" w:rsidP="004F510B">
      <w:pPr>
        <w:pStyle w:val="ListParagraph"/>
        <w:ind w:left="0"/>
        <w:rPr>
          <w:rFonts w:ascii="Arial" w:hAnsi="Arial" w:cs="Arial"/>
          <w:lang w:val="en-US"/>
        </w:rPr>
      </w:pPr>
    </w:p>
    <w:p w14:paraId="6E3EE361" w14:textId="77777777" w:rsidR="00077D98" w:rsidRPr="0051199E" w:rsidRDefault="00077D98" w:rsidP="004F510B">
      <w:pPr>
        <w:pStyle w:val="ListParagraph"/>
        <w:ind w:left="0"/>
        <w:rPr>
          <w:rFonts w:ascii="Arial" w:hAnsi="Arial" w:cs="Arial"/>
          <w:lang w:val="en-US"/>
        </w:rPr>
      </w:pPr>
    </w:p>
    <w:p w14:paraId="3499896C" w14:textId="77777777" w:rsidR="0051199E" w:rsidRPr="0051199E" w:rsidRDefault="0051199E" w:rsidP="004F510B">
      <w:pPr>
        <w:spacing w:after="0" w:line="240" w:lineRule="auto"/>
        <w:rPr>
          <w:rFonts w:ascii="Arial" w:hAnsi="Arial" w:cs="Arial"/>
          <w:color w:val="000000" w:themeColor="text1"/>
        </w:rPr>
      </w:pPr>
      <w:r w:rsidRPr="0051199E">
        <w:rPr>
          <w:rFonts w:ascii="Arial" w:hAnsi="Arial" w:cs="Arial"/>
          <w:color w:val="000000" w:themeColor="text1"/>
        </w:rPr>
        <w:t xml:space="preserve">The Hon. Catherine Holmes AC SC </w:t>
      </w:r>
    </w:p>
    <w:p w14:paraId="0139D6B2" w14:textId="1C420C87" w:rsidR="0051199E" w:rsidRPr="0051199E" w:rsidRDefault="0051199E" w:rsidP="004F510B">
      <w:pPr>
        <w:spacing w:after="0" w:line="240" w:lineRule="auto"/>
        <w:rPr>
          <w:rFonts w:ascii="Arial" w:hAnsi="Arial" w:cs="Arial"/>
          <w:color w:val="000000" w:themeColor="text1"/>
        </w:rPr>
      </w:pPr>
      <w:r w:rsidRPr="0051199E">
        <w:rPr>
          <w:rFonts w:ascii="Arial" w:hAnsi="Arial" w:cs="Arial"/>
          <w:color w:val="000000" w:themeColor="text1"/>
        </w:rPr>
        <w:t>Reviewer</w:t>
      </w:r>
    </w:p>
    <w:p w14:paraId="22EE11B4" w14:textId="77777777" w:rsidR="0051199E" w:rsidRPr="0051199E" w:rsidRDefault="0051199E" w:rsidP="004F510B">
      <w:pPr>
        <w:spacing w:after="360" w:line="240" w:lineRule="auto"/>
        <w:rPr>
          <w:rFonts w:ascii="Arial" w:hAnsi="Arial" w:cs="Arial"/>
          <w:color w:val="000000" w:themeColor="text1"/>
        </w:rPr>
      </w:pPr>
      <w:r w:rsidRPr="0051199E">
        <w:rPr>
          <w:rFonts w:ascii="Arial" w:hAnsi="Arial" w:cs="Arial"/>
          <w:color w:val="000000" w:themeColor="text1"/>
        </w:rPr>
        <w:t>Independent CCC Publication Review</w:t>
      </w:r>
    </w:p>
    <w:p w14:paraId="7C483D03" w14:textId="7E7CACB7" w:rsidR="0051199E" w:rsidRPr="0051199E" w:rsidRDefault="0051199E" w:rsidP="004F510B">
      <w:pPr>
        <w:rPr>
          <w:rFonts w:ascii="Arial" w:hAnsi="Arial" w:cs="Arial"/>
          <w:color w:val="000000" w:themeColor="text1"/>
        </w:rPr>
      </w:pPr>
      <w:r w:rsidRPr="0051199E">
        <w:rPr>
          <w:rFonts w:ascii="Arial" w:hAnsi="Arial" w:cs="Arial"/>
          <w:color w:val="000000" w:themeColor="text1"/>
        </w:rPr>
        <w:t>Dear Ms Holmes,</w:t>
      </w:r>
    </w:p>
    <w:p w14:paraId="59244E22" w14:textId="35064A8B" w:rsidR="0051199E" w:rsidRPr="0051199E" w:rsidRDefault="0051199E" w:rsidP="004F510B">
      <w:pPr>
        <w:ind w:left="720" w:hanging="720"/>
        <w:rPr>
          <w:rFonts w:ascii="Arial" w:hAnsi="Arial" w:cs="Arial"/>
          <w:b/>
          <w:bCs/>
          <w:color w:val="000000" w:themeColor="text1"/>
        </w:rPr>
      </w:pPr>
      <w:r w:rsidRPr="0051199E">
        <w:rPr>
          <w:rFonts w:ascii="Arial" w:hAnsi="Arial" w:cs="Arial"/>
          <w:b/>
          <w:bCs/>
          <w:color w:val="000000" w:themeColor="text1"/>
        </w:rPr>
        <w:t>Consultation on human rights aspects of the CCC reporting powers review</w:t>
      </w:r>
    </w:p>
    <w:p w14:paraId="1803CCD2" w14:textId="2FC4491B"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Thank you for your letter of 27 February 2024, </w:t>
      </w:r>
      <w:r w:rsidR="00047327">
        <w:rPr>
          <w:rFonts w:ascii="Arial" w:hAnsi="Arial" w:cs="Arial"/>
          <w:color w:val="000000" w:themeColor="text1"/>
        </w:rPr>
        <w:t>inviting views</w:t>
      </w:r>
      <w:r w:rsidRPr="0051199E">
        <w:rPr>
          <w:rFonts w:ascii="Arial" w:hAnsi="Arial" w:cs="Arial"/>
          <w:color w:val="000000" w:themeColor="text1"/>
        </w:rPr>
        <w:t xml:space="preserve"> on the human rights aspects of the Terms of Reference (</w:t>
      </w:r>
      <w:r w:rsidRPr="0051199E">
        <w:rPr>
          <w:rFonts w:ascii="Arial" w:hAnsi="Arial" w:cs="Arial"/>
          <w:b/>
          <w:bCs/>
          <w:color w:val="000000" w:themeColor="text1"/>
        </w:rPr>
        <w:t>TOR</w:t>
      </w:r>
      <w:r w:rsidRPr="0051199E">
        <w:rPr>
          <w:rFonts w:ascii="Arial" w:hAnsi="Arial" w:cs="Arial"/>
          <w:color w:val="000000" w:themeColor="text1"/>
        </w:rPr>
        <w:t>) for your review into the powers of the Crime and Corruption Commission (</w:t>
      </w:r>
      <w:r w:rsidRPr="0051199E">
        <w:rPr>
          <w:rFonts w:ascii="Arial" w:hAnsi="Arial" w:cs="Arial"/>
          <w:b/>
          <w:bCs/>
          <w:color w:val="000000" w:themeColor="text1"/>
        </w:rPr>
        <w:t>CCC</w:t>
      </w:r>
      <w:r w:rsidRPr="0051199E">
        <w:rPr>
          <w:rFonts w:ascii="Arial" w:hAnsi="Arial" w:cs="Arial"/>
          <w:color w:val="000000" w:themeColor="text1"/>
        </w:rPr>
        <w:t>) to make public statements and reports as part of its corruption functions (</w:t>
      </w:r>
      <w:r w:rsidRPr="0051199E">
        <w:rPr>
          <w:rFonts w:ascii="Arial" w:hAnsi="Arial" w:cs="Arial"/>
          <w:b/>
          <w:bCs/>
          <w:color w:val="000000" w:themeColor="text1"/>
        </w:rPr>
        <w:t xml:space="preserve">the </w:t>
      </w:r>
      <w:r w:rsidR="00261E73">
        <w:rPr>
          <w:rFonts w:ascii="Arial" w:hAnsi="Arial" w:cs="Arial"/>
          <w:b/>
          <w:bCs/>
          <w:color w:val="000000" w:themeColor="text1"/>
        </w:rPr>
        <w:t>R</w:t>
      </w:r>
      <w:r w:rsidRPr="0051199E">
        <w:rPr>
          <w:rFonts w:ascii="Arial" w:hAnsi="Arial" w:cs="Arial"/>
          <w:b/>
          <w:bCs/>
          <w:color w:val="000000" w:themeColor="text1"/>
        </w:rPr>
        <w:t>eview</w:t>
      </w:r>
      <w:r w:rsidRPr="0051199E">
        <w:rPr>
          <w:rFonts w:ascii="Arial" w:hAnsi="Arial" w:cs="Arial"/>
          <w:color w:val="000000" w:themeColor="text1"/>
        </w:rPr>
        <w:t xml:space="preserve">). </w:t>
      </w:r>
    </w:p>
    <w:p w14:paraId="33C9D1F8" w14:textId="52CA6802" w:rsidR="00547509" w:rsidRDefault="0051199E" w:rsidP="004F510B">
      <w:pPr>
        <w:rPr>
          <w:rFonts w:ascii="Arial" w:hAnsi="Arial" w:cs="Arial"/>
          <w:color w:val="000000" w:themeColor="text1"/>
        </w:rPr>
      </w:pPr>
      <w:r w:rsidRPr="0051199E">
        <w:rPr>
          <w:rFonts w:ascii="Arial" w:hAnsi="Arial" w:cs="Arial"/>
          <w:color w:val="000000" w:themeColor="text1"/>
        </w:rPr>
        <w:t xml:space="preserve">This is an initial response to the TOR and is intended to assist by identifying and explaining relevant human rights principles. </w:t>
      </w:r>
      <w:r w:rsidR="00547509">
        <w:rPr>
          <w:rFonts w:ascii="Arial" w:hAnsi="Arial" w:cs="Arial"/>
          <w:color w:val="000000" w:themeColor="text1"/>
        </w:rPr>
        <w:t>It covers the following:</w:t>
      </w:r>
    </w:p>
    <w:p w14:paraId="6C7FE87B" w14:textId="28E62011" w:rsidR="00547509" w:rsidRDefault="00261E73" w:rsidP="004F510B">
      <w:pPr>
        <w:pStyle w:val="ListParagraph"/>
        <w:numPr>
          <w:ilvl w:val="0"/>
          <w:numId w:val="10"/>
        </w:numPr>
        <w:spacing w:line="257" w:lineRule="auto"/>
        <w:ind w:left="357" w:hanging="357"/>
        <w:contextualSpacing w:val="0"/>
        <w:rPr>
          <w:rFonts w:ascii="Arial" w:hAnsi="Arial" w:cs="Arial"/>
          <w:color w:val="000000" w:themeColor="text1"/>
        </w:rPr>
      </w:pPr>
      <w:r>
        <w:rPr>
          <w:rFonts w:ascii="Arial" w:hAnsi="Arial" w:cs="Arial"/>
          <w:color w:val="000000" w:themeColor="text1"/>
        </w:rPr>
        <w:t>t</w:t>
      </w:r>
      <w:r w:rsidR="00547509">
        <w:rPr>
          <w:rFonts w:ascii="Arial" w:hAnsi="Arial" w:cs="Arial"/>
          <w:color w:val="000000" w:themeColor="text1"/>
        </w:rPr>
        <w:t>he different ways in which human rights are engaged when considering public reporting on corruption;</w:t>
      </w:r>
    </w:p>
    <w:p w14:paraId="179FF6CE" w14:textId="00F0A437" w:rsidR="00547509" w:rsidRDefault="00261E73" w:rsidP="004F510B">
      <w:pPr>
        <w:pStyle w:val="ListParagraph"/>
        <w:numPr>
          <w:ilvl w:val="0"/>
          <w:numId w:val="10"/>
        </w:numPr>
        <w:spacing w:line="257" w:lineRule="auto"/>
        <w:ind w:left="357" w:hanging="357"/>
        <w:contextualSpacing w:val="0"/>
        <w:rPr>
          <w:rFonts w:ascii="Arial" w:hAnsi="Arial" w:cs="Arial"/>
          <w:color w:val="000000" w:themeColor="text1"/>
        </w:rPr>
      </w:pPr>
      <w:r>
        <w:rPr>
          <w:rFonts w:ascii="Arial" w:hAnsi="Arial" w:cs="Arial"/>
          <w:color w:val="000000" w:themeColor="text1"/>
        </w:rPr>
        <w:t>recent views of</w:t>
      </w:r>
      <w:r w:rsidR="00547509">
        <w:rPr>
          <w:rFonts w:ascii="Arial" w:hAnsi="Arial" w:cs="Arial"/>
          <w:color w:val="000000" w:themeColor="text1"/>
        </w:rPr>
        <w:t xml:space="preserve"> the United Nations</w:t>
      </w:r>
      <w:r>
        <w:rPr>
          <w:rFonts w:ascii="Arial" w:hAnsi="Arial" w:cs="Arial"/>
          <w:color w:val="000000" w:themeColor="text1"/>
        </w:rPr>
        <w:t xml:space="preserve"> (</w:t>
      </w:r>
      <w:r>
        <w:rPr>
          <w:rFonts w:ascii="Arial" w:hAnsi="Arial" w:cs="Arial"/>
          <w:b/>
          <w:bCs/>
          <w:color w:val="000000" w:themeColor="text1"/>
        </w:rPr>
        <w:t>UN</w:t>
      </w:r>
      <w:r>
        <w:rPr>
          <w:rFonts w:ascii="Arial" w:hAnsi="Arial" w:cs="Arial"/>
          <w:color w:val="000000" w:themeColor="text1"/>
        </w:rPr>
        <w:t>)</w:t>
      </w:r>
      <w:r w:rsidR="00547509">
        <w:rPr>
          <w:rFonts w:ascii="Arial" w:hAnsi="Arial" w:cs="Arial"/>
          <w:color w:val="000000" w:themeColor="text1"/>
        </w:rPr>
        <w:t xml:space="preserve"> Human Rights </w:t>
      </w:r>
      <w:r w:rsidR="005221EA">
        <w:rPr>
          <w:rFonts w:ascii="Arial" w:hAnsi="Arial" w:cs="Arial"/>
          <w:color w:val="000000" w:themeColor="text1"/>
        </w:rPr>
        <w:t xml:space="preserve">Committee </w:t>
      </w:r>
      <w:r>
        <w:rPr>
          <w:rFonts w:ascii="Arial" w:hAnsi="Arial" w:cs="Arial"/>
          <w:color w:val="000000" w:themeColor="text1"/>
        </w:rPr>
        <w:t>on the issue of public reporting and the right to privacy;</w:t>
      </w:r>
    </w:p>
    <w:p w14:paraId="350631C1" w14:textId="738C7D1F" w:rsidR="00547509" w:rsidRDefault="00261E73" w:rsidP="004F510B">
      <w:pPr>
        <w:pStyle w:val="ListParagraph"/>
        <w:numPr>
          <w:ilvl w:val="0"/>
          <w:numId w:val="10"/>
        </w:numPr>
        <w:spacing w:line="257" w:lineRule="auto"/>
        <w:ind w:left="357" w:hanging="357"/>
        <w:contextualSpacing w:val="0"/>
        <w:rPr>
          <w:rFonts w:ascii="Arial" w:hAnsi="Arial" w:cs="Arial"/>
          <w:color w:val="000000" w:themeColor="text1"/>
        </w:rPr>
      </w:pPr>
      <w:r>
        <w:rPr>
          <w:rFonts w:ascii="Arial" w:hAnsi="Arial" w:cs="Arial"/>
          <w:color w:val="000000" w:themeColor="text1"/>
        </w:rPr>
        <w:t>the operation of the</w:t>
      </w:r>
      <w:r w:rsidR="00547509">
        <w:rPr>
          <w:rFonts w:ascii="Arial" w:hAnsi="Arial" w:cs="Arial"/>
          <w:color w:val="000000" w:themeColor="text1"/>
        </w:rPr>
        <w:t xml:space="preserve"> </w:t>
      </w:r>
      <w:r w:rsidR="00547509" w:rsidRPr="00261E73">
        <w:rPr>
          <w:rFonts w:ascii="Arial" w:hAnsi="Arial" w:cs="Arial"/>
          <w:i/>
          <w:iCs/>
          <w:color w:val="000000" w:themeColor="text1"/>
        </w:rPr>
        <w:t xml:space="preserve">Human Rights Act </w:t>
      </w:r>
      <w:r w:rsidRPr="00261E73">
        <w:rPr>
          <w:rFonts w:ascii="Arial" w:hAnsi="Arial" w:cs="Arial"/>
          <w:i/>
          <w:iCs/>
          <w:color w:val="000000" w:themeColor="text1"/>
        </w:rPr>
        <w:t>2019</w:t>
      </w:r>
      <w:r>
        <w:rPr>
          <w:rFonts w:ascii="Arial" w:hAnsi="Arial" w:cs="Arial"/>
          <w:color w:val="000000" w:themeColor="text1"/>
        </w:rPr>
        <w:t xml:space="preserve"> (Qld) (</w:t>
      </w:r>
      <w:r>
        <w:rPr>
          <w:rFonts w:ascii="Arial" w:hAnsi="Arial" w:cs="Arial"/>
          <w:b/>
          <w:bCs/>
          <w:color w:val="000000" w:themeColor="text1"/>
        </w:rPr>
        <w:t xml:space="preserve">HR </w:t>
      </w:r>
      <w:r w:rsidRPr="00261E73">
        <w:rPr>
          <w:rFonts w:ascii="Arial" w:hAnsi="Arial" w:cs="Arial"/>
          <w:b/>
          <w:bCs/>
          <w:color w:val="000000" w:themeColor="text1"/>
        </w:rPr>
        <w:t>Act</w:t>
      </w:r>
      <w:r>
        <w:rPr>
          <w:rFonts w:ascii="Arial" w:hAnsi="Arial" w:cs="Arial"/>
          <w:color w:val="000000" w:themeColor="text1"/>
        </w:rPr>
        <w:t xml:space="preserve">) </w:t>
      </w:r>
      <w:r w:rsidRPr="00261E73">
        <w:rPr>
          <w:rFonts w:ascii="Arial" w:hAnsi="Arial" w:cs="Arial"/>
          <w:color w:val="000000" w:themeColor="text1"/>
        </w:rPr>
        <w:t>in</w:t>
      </w:r>
      <w:r>
        <w:rPr>
          <w:rFonts w:ascii="Arial" w:hAnsi="Arial" w:cs="Arial"/>
          <w:color w:val="000000" w:themeColor="text1"/>
        </w:rPr>
        <w:t xml:space="preserve"> relation to decisions to publicly report on corruption investigations; </w:t>
      </w:r>
    </w:p>
    <w:p w14:paraId="2A089167" w14:textId="59EA9936" w:rsidR="00261E73" w:rsidRDefault="00261E73" w:rsidP="004F510B">
      <w:pPr>
        <w:pStyle w:val="ListParagraph"/>
        <w:numPr>
          <w:ilvl w:val="0"/>
          <w:numId w:val="10"/>
        </w:numPr>
        <w:spacing w:line="257" w:lineRule="auto"/>
        <w:ind w:left="357" w:hanging="357"/>
        <w:contextualSpacing w:val="0"/>
        <w:rPr>
          <w:rFonts w:ascii="Arial" w:hAnsi="Arial" w:cs="Arial"/>
          <w:color w:val="000000" w:themeColor="text1"/>
        </w:rPr>
      </w:pPr>
      <w:r>
        <w:rPr>
          <w:rFonts w:ascii="Arial" w:hAnsi="Arial" w:cs="Arial"/>
          <w:color w:val="000000" w:themeColor="text1"/>
        </w:rPr>
        <w:t xml:space="preserve">interpretation of relevant rights under the </w:t>
      </w:r>
      <w:r w:rsidR="005221EA">
        <w:rPr>
          <w:rFonts w:ascii="Arial" w:hAnsi="Arial" w:cs="Arial"/>
          <w:color w:val="000000" w:themeColor="text1"/>
        </w:rPr>
        <w:t>HR Act</w:t>
      </w:r>
      <w:r>
        <w:rPr>
          <w:rFonts w:ascii="Arial" w:hAnsi="Arial" w:cs="Arial"/>
          <w:color w:val="000000" w:themeColor="text1"/>
        </w:rPr>
        <w:t xml:space="preserve">; and </w:t>
      </w:r>
    </w:p>
    <w:p w14:paraId="55D9442D" w14:textId="2AF9B4D6" w:rsidR="00261E73" w:rsidRPr="00547509" w:rsidRDefault="00261E73" w:rsidP="004F510B">
      <w:pPr>
        <w:pStyle w:val="ListParagraph"/>
        <w:numPr>
          <w:ilvl w:val="0"/>
          <w:numId w:val="10"/>
        </w:numPr>
        <w:spacing w:line="257" w:lineRule="auto"/>
        <w:ind w:left="357" w:hanging="357"/>
        <w:contextualSpacing w:val="0"/>
        <w:rPr>
          <w:rFonts w:ascii="Arial" w:hAnsi="Arial" w:cs="Arial"/>
          <w:color w:val="000000" w:themeColor="text1"/>
        </w:rPr>
      </w:pPr>
      <w:r>
        <w:rPr>
          <w:rFonts w:ascii="Arial" w:hAnsi="Arial" w:cs="Arial"/>
          <w:color w:val="000000" w:themeColor="text1"/>
        </w:rPr>
        <w:t xml:space="preserve">key human rights considerations for recommendations. </w:t>
      </w:r>
    </w:p>
    <w:p w14:paraId="65E133DB" w14:textId="23B6B851"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Please let me know if further discussions or submissions would assist in the future. </w:t>
      </w:r>
    </w:p>
    <w:p w14:paraId="0B8F3EFD" w14:textId="1A07D7FE" w:rsidR="0051199E" w:rsidRPr="0051199E" w:rsidRDefault="0051199E" w:rsidP="004F510B">
      <w:pPr>
        <w:pStyle w:val="Heading1"/>
        <w:spacing w:before="0" w:after="160"/>
        <w:rPr>
          <w:rFonts w:ascii="Arial" w:hAnsi="Arial" w:cs="Arial"/>
          <w:b/>
          <w:bCs/>
          <w:color w:val="000000" w:themeColor="text1"/>
          <w:sz w:val="22"/>
          <w:szCs w:val="22"/>
        </w:rPr>
      </w:pPr>
      <w:r w:rsidRPr="0051199E">
        <w:rPr>
          <w:rFonts w:ascii="Arial" w:hAnsi="Arial" w:cs="Arial"/>
          <w:b/>
          <w:bCs/>
          <w:color w:val="000000" w:themeColor="text1"/>
          <w:sz w:val="22"/>
          <w:szCs w:val="22"/>
        </w:rPr>
        <w:t>Engagement with human rights</w:t>
      </w:r>
    </w:p>
    <w:p w14:paraId="17C7EA98" w14:textId="019E456E" w:rsidR="0051199E" w:rsidRPr="0051199E" w:rsidRDefault="0051199E" w:rsidP="004F510B">
      <w:pPr>
        <w:rPr>
          <w:rFonts w:ascii="Arial" w:hAnsi="Arial" w:cs="Arial"/>
          <w:color w:val="000000" w:themeColor="text1"/>
        </w:rPr>
      </w:pPr>
      <w:r w:rsidRPr="0051199E">
        <w:rPr>
          <w:rFonts w:ascii="Arial" w:hAnsi="Arial" w:cs="Arial"/>
          <w:color w:val="000000" w:themeColor="text1"/>
        </w:rPr>
        <w:t>Human rights are directly engaged in several ways</w:t>
      </w:r>
      <w:r w:rsidR="00261E73">
        <w:rPr>
          <w:rFonts w:ascii="Arial" w:hAnsi="Arial" w:cs="Arial"/>
          <w:color w:val="000000" w:themeColor="text1"/>
        </w:rPr>
        <w:t xml:space="preserve"> by the core issues for the Review</w:t>
      </w:r>
      <w:r w:rsidRPr="0051199E">
        <w:rPr>
          <w:rFonts w:ascii="Arial" w:hAnsi="Arial" w:cs="Arial"/>
          <w:color w:val="000000" w:themeColor="text1"/>
        </w:rPr>
        <w:t>.</w:t>
      </w:r>
    </w:p>
    <w:p w14:paraId="0E1DF096" w14:textId="623B1E98" w:rsidR="0051199E" w:rsidRDefault="0051199E" w:rsidP="004F510B">
      <w:pPr>
        <w:spacing w:line="257" w:lineRule="auto"/>
        <w:rPr>
          <w:rFonts w:ascii="Arial" w:hAnsi="Arial" w:cs="Arial"/>
          <w:i/>
          <w:iCs/>
          <w:color w:val="000000" w:themeColor="text1"/>
        </w:rPr>
      </w:pPr>
      <w:r>
        <w:rPr>
          <w:rFonts w:ascii="Arial" w:hAnsi="Arial" w:cs="Arial"/>
          <w:i/>
          <w:iCs/>
          <w:color w:val="000000" w:themeColor="text1"/>
        </w:rPr>
        <w:t>Prevention of corruption as a State obligation and legitimate aim</w:t>
      </w:r>
    </w:p>
    <w:p w14:paraId="16D0D3F7" w14:textId="11119A05" w:rsidR="0051199E" w:rsidRPr="0051199E" w:rsidRDefault="0051199E" w:rsidP="004F510B">
      <w:pPr>
        <w:rPr>
          <w:rFonts w:ascii="Arial" w:hAnsi="Arial" w:cs="Arial"/>
          <w:color w:val="000000" w:themeColor="text1"/>
        </w:rPr>
      </w:pPr>
      <w:r>
        <w:rPr>
          <w:rFonts w:ascii="Arial" w:hAnsi="Arial" w:cs="Arial"/>
          <w:color w:val="000000" w:themeColor="text1"/>
        </w:rPr>
        <w:t>P</w:t>
      </w:r>
      <w:r w:rsidRPr="0051199E">
        <w:rPr>
          <w:rFonts w:ascii="Arial" w:hAnsi="Arial" w:cs="Arial"/>
          <w:color w:val="000000" w:themeColor="text1"/>
        </w:rPr>
        <w:t>revention of corruption is a State obligation under international law.</w:t>
      </w:r>
      <w:r w:rsidRPr="0051199E">
        <w:rPr>
          <w:rStyle w:val="FootnoteReference"/>
          <w:rFonts w:ascii="Arial" w:hAnsi="Arial" w:cs="Arial"/>
          <w:color w:val="000000" w:themeColor="text1"/>
        </w:rPr>
        <w:footnoteReference w:id="2"/>
      </w:r>
      <w:r w:rsidRPr="0051199E">
        <w:rPr>
          <w:rFonts w:ascii="Arial" w:hAnsi="Arial" w:cs="Arial"/>
          <w:color w:val="000000" w:themeColor="text1"/>
        </w:rPr>
        <w:t xml:space="preserve"> Corruption is a primary source, directly, of harm to multiple human rights, particularly those of more vulnerable citizens.</w:t>
      </w:r>
      <w:r>
        <w:rPr>
          <w:rStyle w:val="FootnoteReference"/>
          <w:rFonts w:ascii="Arial" w:hAnsi="Arial" w:cs="Arial"/>
          <w:color w:val="000000" w:themeColor="text1"/>
        </w:rPr>
        <w:footnoteReference w:id="3"/>
      </w:r>
      <w:r w:rsidRPr="0051199E">
        <w:rPr>
          <w:rFonts w:ascii="Arial" w:hAnsi="Arial" w:cs="Arial"/>
          <w:color w:val="000000" w:themeColor="text1"/>
        </w:rPr>
        <w:t xml:space="preserve"> </w:t>
      </w:r>
      <w:r>
        <w:rPr>
          <w:rFonts w:ascii="Arial" w:hAnsi="Arial" w:cs="Arial"/>
          <w:color w:val="000000" w:themeColor="text1"/>
        </w:rPr>
        <w:t xml:space="preserve">Preventing corruption </w:t>
      </w:r>
      <w:r w:rsidRPr="0051199E">
        <w:rPr>
          <w:rFonts w:ascii="Arial" w:hAnsi="Arial" w:cs="Arial"/>
          <w:color w:val="000000" w:themeColor="text1"/>
        </w:rPr>
        <w:t xml:space="preserve">is a legitimate aim in itself. </w:t>
      </w:r>
    </w:p>
    <w:p w14:paraId="080D314B" w14:textId="77777777" w:rsidR="0051199E" w:rsidRDefault="0051199E" w:rsidP="004F510B">
      <w:pPr>
        <w:rPr>
          <w:rFonts w:ascii="Arial" w:hAnsi="Arial" w:cs="Arial"/>
          <w:color w:val="000000" w:themeColor="text1"/>
        </w:rPr>
      </w:pPr>
      <w:r w:rsidRPr="0051199E">
        <w:rPr>
          <w:rFonts w:ascii="Arial" w:hAnsi="Arial" w:cs="Arial"/>
          <w:color w:val="000000" w:themeColor="text1"/>
        </w:rPr>
        <w:lastRenderedPageBreak/>
        <w:t xml:space="preserve">Powers granted to anti-corruption agencies, including the power to issue reports as part of their corruption functions, should be compatible with the body’s institutional setting and overall purpose. </w:t>
      </w:r>
      <w:r>
        <w:rPr>
          <w:rFonts w:ascii="Arial" w:hAnsi="Arial" w:cs="Arial"/>
          <w:color w:val="000000" w:themeColor="text1"/>
        </w:rPr>
        <w:t>This leads to questions such as:</w:t>
      </w:r>
    </w:p>
    <w:p w14:paraId="365FF530" w14:textId="348B260A" w:rsidR="0051199E" w:rsidRDefault="0051199E" w:rsidP="004F510B">
      <w:pPr>
        <w:pStyle w:val="ListParagraph"/>
        <w:numPr>
          <w:ilvl w:val="0"/>
          <w:numId w:val="9"/>
        </w:numPr>
        <w:spacing w:line="257" w:lineRule="auto"/>
        <w:ind w:left="357" w:hanging="357"/>
        <w:contextualSpacing w:val="0"/>
        <w:rPr>
          <w:rFonts w:ascii="Arial" w:hAnsi="Arial" w:cs="Arial"/>
          <w:color w:val="000000" w:themeColor="text1"/>
        </w:rPr>
      </w:pPr>
      <w:r>
        <w:rPr>
          <w:rFonts w:ascii="Arial" w:hAnsi="Arial" w:cs="Arial"/>
          <w:color w:val="000000" w:themeColor="text1"/>
        </w:rPr>
        <w:t>Is</w:t>
      </w:r>
      <w:r w:rsidRPr="0051199E">
        <w:rPr>
          <w:rFonts w:ascii="Arial" w:hAnsi="Arial" w:cs="Arial"/>
          <w:color w:val="000000" w:themeColor="text1"/>
        </w:rPr>
        <w:t xml:space="preserve"> the power to issue public reports </w:t>
      </w:r>
      <w:r>
        <w:rPr>
          <w:rFonts w:ascii="Arial" w:hAnsi="Arial" w:cs="Arial"/>
          <w:color w:val="000000" w:themeColor="text1"/>
        </w:rPr>
        <w:t>appropriate to</w:t>
      </w:r>
      <w:r w:rsidRPr="0051199E">
        <w:rPr>
          <w:rFonts w:ascii="Arial" w:hAnsi="Arial" w:cs="Arial"/>
          <w:color w:val="000000" w:themeColor="text1"/>
        </w:rPr>
        <w:t xml:space="preserve"> the CCC’s institutional role, powers and functions</w:t>
      </w:r>
      <w:r>
        <w:rPr>
          <w:rFonts w:ascii="Arial" w:hAnsi="Arial" w:cs="Arial"/>
          <w:color w:val="000000" w:themeColor="text1"/>
        </w:rPr>
        <w:t>?</w:t>
      </w:r>
    </w:p>
    <w:p w14:paraId="3F127EF6" w14:textId="77777777" w:rsidR="0051199E" w:rsidRDefault="0051199E" w:rsidP="004F510B">
      <w:pPr>
        <w:pStyle w:val="ListParagraph"/>
        <w:numPr>
          <w:ilvl w:val="0"/>
          <w:numId w:val="9"/>
        </w:numPr>
        <w:spacing w:line="257" w:lineRule="auto"/>
        <w:ind w:left="357" w:hanging="357"/>
        <w:contextualSpacing w:val="0"/>
        <w:rPr>
          <w:rFonts w:ascii="Arial" w:hAnsi="Arial" w:cs="Arial"/>
          <w:color w:val="000000" w:themeColor="text1"/>
        </w:rPr>
      </w:pPr>
      <w:r w:rsidRPr="0051199E">
        <w:rPr>
          <w:rFonts w:ascii="Arial" w:hAnsi="Arial" w:cs="Arial"/>
          <w:color w:val="000000" w:themeColor="text1"/>
        </w:rPr>
        <w:t>Does the particular report contemplated advance the prevention of corruption</w:t>
      </w:r>
      <w:r>
        <w:rPr>
          <w:rFonts w:ascii="Arial" w:hAnsi="Arial" w:cs="Arial"/>
          <w:color w:val="000000" w:themeColor="text1"/>
        </w:rPr>
        <w:t>, and if so, in what way?</w:t>
      </w:r>
    </w:p>
    <w:p w14:paraId="17AC7980" w14:textId="77777777" w:rsidR="0051199E" w:rsidRDefault="0051199E" w:rsidP="004F510B">
      <w:pPr>
        <w:pStyle w:val="ListParagraph"/>
        <w:numPr>
          <w:ilvl w:val="0"/>
          <w:numId w:val="9"/>
        </w:numPr>
        <w:spacing w:line="257" w:lineRule="auto"/>
        <w:ind w:left="357" w:hanging="357"/>
        <w:contextualSpacing w:val="0"/>
        <w:rPr>
          <w:rFonts w:ascii="Arial" w:hAnsi="Arial" w:cs="Arial"/>
          <w:color w:val="000000" w:themeColor="text1"/>
        </w:rPr>
      </w:pPr>
      <w:r w:rsidRPr="0051199E">
        <w:rPr>
          <w:rFonts w:ascii="Arial" w:hAnsi="Arial" w:cs="Arial"/>
          <w:color w:val="000000" w:themeColor="text1"/>
        </w:rPr>
        <w:t>Is identification of individuals necessary in the particular report</w:t>
      </w:r>
      <w:r>
        <w:rPr>
          <w:rFonts w:ascii="Arial" w:hAnsi="Arial" w:cs="Arial"/>
          <w:color w:val="000000" w:themeColor="text1"/>
        </w:rPr>
        <w:t>?</w:t>
      </w:r>
    </w:p>
    <w:p w14:paraId="248E42B8" w14:textId="77777777" w:rsidR="0051199E" w:rsidRDefault="0051199E" w:rsidP="004F510B">
      <w:pPr>
        <w:pStyle w:val="ListParagraph"/>
        <w:numPr>
          <w:ilvl w:val="0"/>
          <w:numId w:val="9"/>
        </w:numPr>
        <w:spacing w:line="257" w:lineRule="auto"/>
        <w:ind w:left="357" w:hanging="357"/>
        <w:contextualSpacing w:val="0"/>
        <w:rPr>
          <w:rFonts w:ascii="Arial" w:hAnsi="Arial" w:cs="Arial"/>
          <w:color w:val="000000" w:themeColor="text1"/>
        </w:rPr>
      </w:pPr>
      <w:r w:rsidRPr="0051199E">
        <w:rPr>
          <w:rFonts w:ascii="Arial" w:hAnsi="Arial" w:cs="Arial"/>
          <w:color w:val="000000" w:themeColor="text1"/>
        </w:rPr>
        <w:t xml:space="preserve">What is the intended audience? </w:t>
      </w:r>
    </w:p>
    <w:p w14:paraId="6260CE06" w14:textId="66068E4E" w:rsidR="0051199E" w:rsidRPr="0051199E" w:rsidRDefault="0051199E" w:rsidP="004F510B">
      <w:pPr>
        <w:pStyle w:val="ListParagraph"/>
        <w:numPr>
          <w:ilvl w:val="0"/>
          <w:numId w:val="9"/>
        </w:numPr>
        <w:spacing w:line="257" w:lineRule="auto"/>
        <w:ind w:left="357" w:hanging="357"/>
        <w:contextualSpacing w:val="0"/>
        <w:rPr>
          <w:rFonts w:ascii="Arial" w:hAnsi="Arial" w:cs="Arial"/>
          <w:color w:val="000000" w:themeColor="text1"/>
        </w:rPr>
      </w:pPr>
      <w:r w:rsidRPr="0051199E">
        <w:rPr>
          <w:rFonts w:ascii="Arial" w:hAnsi="Arial" w:cs="Arial"/>
          <w:color w:val="000000" w:themeColor="text1"/>
        </w:rPr>
        <w:t xml:space="preserve">Is the relevant interest to be met in reporting an urgent one or one that could await the outcome of other legal processes? </w:t>
      </w:r>
    </w:p>
    <w:p w14:paraId="6558A4CF" w14:textId="65110DCD" w:rsidR="0051199E" w:rsidRPr="0051199E" w:rsidRDefault="0051199E" w:rsidP="004F510B">
      <w:pPr>
        <w:rPr>
          <w:rFonts w:ascii="Arial" w:hAnsi="Arial" w:cs="Arial"/>
          <w:color w:val="000000" w:themeColor="text1"/>
        </w:rPr>
      </w:pPr>
      <w:r>
        <w:rPr>
          <w:rFonts w:ascii="Arial" w:hAnsi="Arial" w:cs="Arial"/>
          <w:color w:val="000000" w:themeColor="text1"/>
        </w:rPr>
        <w:t>O</w:t>
      </w:r>
      <w:r w:rsidRPr="0051199E">
        <w:rPr>
          <w:rFonts w:ascii="Arial" w:hAnsi="Arial" w:cs="Arial"/>
          <w:color w:val="000000" w:themeColor="text1"/>
        </w:rPr>
        <w:t>ther</w:t>
      </w:r>
      <w:r w:rsidR="00B63727">
        <w:rPr>
          <w:rFonts w:ascii="Arial" w:hAnsi="Arial" w:cs="Arial"/>
          <w:color w:val="000000" w:themeColor="text1"/>
        </w:rPr>
        <w:t xml:space="preserve"> related</w:t>
      </w:r>
      <w:r w:rsidRPr="0051199E">
        <w:rPr>
          <w:rFonts w:ascii="Arial" w:hAnsi="Arial" w:cs="Arial"/>
          <w:color w:val="000000" w:themeColor="text1"/>
        </w:rPr>
        <w:t xml:space="preserve"> legitimate aims</w:t>
      </w:r>
      <w:r>
        <w:rPr>
          <w:rFonts w:ascii="Arial" w:hAnsi="Arial" w:cs="Arial"/>
          <w:color w:val="000000" w:themeColor="text1"/>
        </w:rPr>
        <w:t xml:space="preserve"> may also underpin </w:t>
      </w:r>
      <w:r w:rsidRPr="0051199E">
        <w:rPr>
          <w:rFonts w:ascii="Arial" w:hAnsi="Arial" w:cs="Arial"/>
          <w:color w:val="000000" w:themeColor="text1"/>
        </w:rPr>
        <w:t>powers to report, given the CCC’s institutional setting</w:t>
      </w:r>
      <w:r>
        <w:rPr>
          <w:rFonts w:ascii="Arial" w:hAnsi="Arial" w:cs="Arial"/>
          <w:color w:val="000000" w:themeColor="text1"/>
        </w:rPr>
        <w:t>. These legitimate aims include</w:t>
      </w:r>
      <w:r w:rsidRPr="0051199E">
        <w:rPr>
          <w:rFonts w:ascii="Arial" w:hAnsi="Arial" w:cs="Arial"/>
          <w:color w:val="000000" w:themeColor="text1"/>
        </w:rPr>
        <w:t xml:space="preserve"> those already provided for under the </w:t>
      </w:r>
      <w:r w:rsidRPr="0051199E">
        <w:rPr>
          <w:rFonts w:ascii="Arial" w:hAnsi="Arial" w:cs="Arial"/>
          <w:i/>
          <w:iCs/>
          <w:color w:val="000000" w:themeColor="text1"/>
        </w:rPr>
        <w:t xml:space="preserve">Crime and Corruption Act 2001 </w:t>
      </w:r>
      <w:r w:rsidRPr="0051199E">
        <w:rPr>
          <w:rFonts w:ascii="Arial" w:hAnsi="Arial" w:cs="Arial"/>
          <w:color w:val="000000" w:themeColor="text1"/>
        </w:rPr>
        <w:t>(Qld) (</w:t>
      </w:r>
      <w:r w:rsidRPr="0051199E">
        <w:rPr>
          <w:rFonts w:ascii="Arial" w:hAnsi="Arial" w:cs="Arial"/>
          <w:b/>
          <w:bCs/>
          <w:color w:val="000000" w:themeColor="text1"/>
        </w:rPr>
        <w:t>CC Act</w:t>
      </w:r>
      <w:r w:rsidRPr="0051199E">
        <w:rPr>
          <w:rFonts w:ascii="Arial" w:hAnsi="Arial" w:cs="Arial"/>
          <w:color w:val="000000" w:themeColor="text1"/>
        </w:rPr>
        <w:t>)</w:t>
      </w:r>
      <w:r>
        <w:rPr>
          <w:rFonts w:ascii="Arial" w:hAnsi="Arial" w:cs="Arial"/>
          <w:color w:val="000000" w:themeColor="text1"/>
        </w:rPr>
        <w:t xml:space="preserve">, such as </w:t>
      </w:r>
      <w:r w:rsidRPr="0051199E">
        <w:rPr>
          <w:rFonts w:ascii="Arial" w:hAnsi="Arial" w:cs="Arial"/>
          <w:color w:val="000000" w:themeColor="text1"/>
        </w:rPr>
        <w:t>reporting as required to:</w:t>
      </w:r>
    </w:p>
    <w:p w14:paraId="14B787B9" w14:textId="77777777" w:rsidR="0051199E" w:rsidRPr="0051199E" w:rsidRDefault="0051199E" w:rsidP="004F510B">
      <w:pPr>
        <w:pStyle w:val="ListParagraph"/>
        <w:numPr>
          <w:ilvl w:val="0"/>
          <w:numId w:val="7"/>
        </w:numPr>
        <w:spacing w:line="240" w:lineRule="auto"/>
        <w:contextualSpacing w:val="0"/>
        <w:rPr>
          <w:rFonts w:ascii="Arial" w:hAnsi="Arial" w:cs="Arial"/>
          <w:color w:val="000000" w:themeColor="text1"/>
        </w:rPr>
      </w:pPr>
      <w:r w:rsidRPr="0051199E">
        <w:rPr>
          <w:rFonts w:ascii="Arial" w:hAnsi="Arial" w:cs="Arial"/>
          <w:color w:val="000000" w:themeColor="text1"/>
        </w:rPr>
        <w:t>facilitate referrals to other government departments or agencies to take steps in response to investigated corruption;</w:t>
      </w:r>
    </w:p>
    <w:p w14:paraId="5FDE749C" w14:textId="77777777" w:rsidR="0051199E" w:rsidRPr="0051199E" w:rsidRDefault="0051199E" w:rsidP="004F510B">
      <w:pPr>
        <w:pStyle w:val="ListParagraph"/>
        <w:numPr>
          <w:ilvl w:val="0"/>
          <w:numId w:val="7"/>
        </w:numPr>
        <w:spacing w:line="240" w:lineRule="auto"/>
        <w:contextualSpacing w:val="0"/>
        <w:rPr>
          <w:rFonts w:ascii="Arial" w:hAnsi="Arial" w:cs="Arial"/>
          <w:color w:val="000000" w:themeColor="text1"/>
        </w:rPr>
      </w:pPr>
      <w:r w:rsidRPr="0051199E">
        <w:rPr>
          <w:rFonts w:ascii="Arial" w:hAnsi="Arial" w:cs="Arial"/>
          <w:color w:val="000000" w:themeColor="text1"/>
        </w:rPr>
        <w:t>educate public servants;</w:t>
      </w:r>
    </w:p>
    <w:p w14:paraId="742C6B8C" w14:textId="77777777" w:rsidR="0051199E" w:rsidRPr="0051199E" w:rsidRDefault="0051199E" w:rsidP="004F510B">
      <w:pPr>
        <w:pStyle w:val="ListParagraph"/>
        <w:numPr>
          <w:ilvl w:val="0"/>
          <w:numId w:val="7"/>
        </w:numPr>
        <w:spacing w:line="240" w:lineRule="auto"/>
        <w:contextualSpacing w:val="0"/>
        <w:rPr>
          <w:rFonts w:ascii="Arial" w:hAnsi="Arial" w:cs="Arial"/>
          <w:color w:val="000000" w:themeColor="text1"/>
        </w:rPr>
      </w:pPr>
      <w:r w:rsidRPr="0051199E">
        <w:rPr>
          <w:rFonts w:ascii="Arial" w:hAnsi="Arial" w:cs="Arial"/>
          <w:color w:val="000000" w:themeColor="text1"/>
        </w:rPr>
        <w:t>maintain transparency and accountability to Parliament; and</w:t>
      </w:r>
    </w:p>
    <w:p w14:paraId="6726C2C2" w14:textId="36109C3D" w:rsidR="0051199E" w:rsidRPr="0051199E" w:rsidRDefault="0051199E" w:rsidP="004F510B">
      <w:pPr>
        <w:pStyle w:val="ListParagraph"/>
        <w:numPr>
          <w:ilvl w:val="0"/>
          <w:numId w:val="7"/>
        </w:numPr>
        <w:spacing w:line="240" w:lineRule="auto"/>
        <w:ind w:left="357" w:hanging="357"/>
        <w:contextualSpacing w:val="0"/>
        <w:rPr>
          <w:rFonts w:ascii="Arial" w:hAnsi="Arial" w:cs="Arial"/>
          <w:color w:val="000000" w:themeColor="text1"/>
        </w:rPr>
      </w:pPr>
      <w:r w:rsidRPr="0051199E">
        <w:rPr>
          <w:rFonts w:ascii="Arial" w:hAnsi="Arial" w:cs="Arial"/>
          <w:color w:val="000000" w:themeColor="text1"/>
        </w:rPr>
        <w:t xml:space="preserve">facilitate supervision by the Parliamentary Crime </w:t>
      </w:r>
      <w:r w:rsidR="005221EA">
        <w:rPr>
          <w:rFonts w:ascii="Arial" w:hAnsi="Arial" w:cs="Arial"/>
          <w:color w:val="000000" w:themeColor="text1"/>
        </w:rPr>
        <w:t xml:space="preserve">and </w:t>
      </w:r>
      <w:r w:rsidRPr="0051199E">
        <w:rPr>
          <w:rFonts w:ascii="Arial" w:hAnsi="Arial" w:cs="Arial"/>
          <w:color w:val="000000" w:themeColor="text1"/>
        </w:rPr>
        <w:t>Corruption Committee (</w:t>
      </w:r>
      <w:r w:rsidRPr="0051199E">
        <w:rPr>
          <w:rFonts w:ascii="Arial" w:hAnsi="Arial" w:cs="Arial"/>
          <w:b/>
          <w:bCs/>
          <w:color w:val="000000" w:themeColor="text1"/>
        </w:rPr>
        <w:t>PCCC</w:t>
      </w:r>
      <w:r w:rsidRPr="0051199E">
        <w:rPr>
          <w:rFonts w:ascii="Arial" w:hAnsi="Arial" w:cs="Arial"/>
          <w:color w:val="000000" w:themeColor="text1"/>
        </w:rPr>
        <w:t>) of CCC activities.</w:t>
      </w:r>
    </w:p>
    <w:p w14:paraId="38B64AC4" w14:textId="20404FF2" w:rsidR="0051199E" w:rsidRPr="0051199E" w:rsidRDefault="0051199E" w:rsidP="004F510B">
      <w:pPr>
        <w:rPr>
          <w:rFonts w:ascii="Arial" w:hAnsi="Arial" w:cs="Arial"/>
          <w:i/>
          <w:iCs/>
          <w:color w:val="000000" w:themeColor="text1"/>
        </w:rPr>
      </w:pPr>
      <w:r w:rsidRPr="0051199E">
        <w:rPr>
          <w:rFonts w:ascii="Arial" w:hAnsi="Arial" w:cs="Arial"/>
          <w:i/>
          <w:iCs/>
          <w:color w:val="000000" w:themeColor="text1"/>
        </w:rPr>
        <w:t xml:space="preserve">Transparency and </w:t>
      </w:r>
      <w:r>
        <w:rPr>
          <w:rFonts w:ascii="Arial" w:hAnsi="Arial" w:cs="Arial"/>
          <w:i/>
          <w:iCs/>
          <w:color w:val="000000" w:themeColor="text1"/>
        </w:rPr>
        <w:t>human rights</w:t>
      </w:r>
      <w:r w:rsidR="00B63727">
        <w:rPr>
          <w:rFonts w:ascii="Arial" w:hAnsi="Arial" w:cs="Arial"/>
          <w:i/>
          <w:iCs/>
          <w:color w:val="000000" w:themeColor="text1"/>
        </w:rPr>
        <w:t xml:space="preserve"> related to government</w:t>
      </w:r>
    </w:p>
    <w:p w14:paraId="0CB8EF72" w14:textId="18D81FBA" w:rsidR="0051199E" w:rsidRPr="0051199E" w:rsidRDefault="00B63727" w:rsidP="004F510B">
      <w:pPr>
        <w:rPr>
          <w:rFonts w:ascii="Arial" w:hAnsi="Arial" w:cs="Arial"/>
          <w:i/>
          <w:iCs/>
          <w:color w:val="000000" w:themeColor="text1"/>
        </w:rPr>
      </w:pPr>
      <w:r w:rsidRPr="00B63727">
        <w:rPr>
          <w:rFonts w:ascii="Arial" w:hAnsi="Arial" w:cs="Arial"/>
          <w:color w:val="000000" w:themeColor="text1"/>
        </w:rPr>
        <w:t>There</w:t>
      </w:r>
      <w:r w:rsidR="0051199E" w:rsidRPr="0051199E">
        <w:rPr>
          <w:rFonts w:ascii="Arial" w:hAnsi="Arial" w:cs="Arial"/>
          <w:color w:val="000000" w:themeColor="text1"/>
        </w:rPr>
        <w:t xml:space="preserve"> is </w:t>
      </w:r>
      <w:r>
        <w:rPr>
          <w:rFonts w:ascii="Arial" w:hAnsi="Arial" w:cs="Arial"/>
          <w:color w:val="000000" w:themeColor="text1"/>
        </w:rPr>
        <w:t xml:space="preserve">a more general </w:t>
      </w:r>
      <w:r w:rsidR="0051199E" w:rsidRPr="0051199E">
        <w:rPr>
          <w:rFonts w:ascii="Arial" w:hAnsi="Arial" w:cs="Arial"/>
          <w:color w:val="000000" w:themeColor="text1"/>
        </w:rPr>
        <w:t xml:space="preserve">public interest in a being informed of corrupt conduct in the public sector. This may be for broader anti-corruption purposes, educational purposes, deterrence, or to enable the participation of the public in public life in s 23 of the </w:t>
      </w:r>
      <w:r w:rsidR="005221EA">
        <w:rPr>
          <w:rFonts w:ascii="Arial" w:hAnsi="Arial" w:cs="Arial"/>
          <w:color w:val="000000" w:themeColor="text1"/>
        </w:rPr>
        <w:t>HR Act</w:t>
      </w:r>
      <w:r w:rsidR="0051199E" w:rsidRPr="0051199E">
        <w:rPr>
          <w:rFonts w:ascii="Arial" w:hAnsi="Arial" w:cs="Arial"/>
          <w:color w:val="000000" w:themeColor="text1"/>
        </w:rPr>
        <w:t xml:space="preserve"> (</w:t>
      </w:r>
      <w:proofErr w:type="spellStart"/>
      <w:r>
        <w:rPr>
          <w:rFonts w:ascii="Arial" w:hAnsi="Arial" w:cs="Arial"/>
          <w:color w:val="000000" w:themeColor="text1"/>
        </w:rPr>
        <w:t>ie</w:t>
      </w:r>
      <w:proofErr w:type="spellEnd"/>
      <w:r>
        <w:rPr>
          <w:rFonts w:ascii="Arial" w:hAnsi="Arial" w:cs="Arial"/>
          <w:color w:val="000000" w:themeColor="text1"/>
        </w:rPr>
        <w:t>.</w:t>
      </w:r>
      <w:r w:rsidR="0051199E" w:rsidRPr="0051199E">
        <w:rPr>
          <w:rFonts w:ascii="Arial" w:hAnsi="Arial" w:cs="Arial"/>
          <w:color w:val="000000" w:themeColor="text1"/>
        </w:rPr>
        <w:t xml:space="preserve"> to inform voting). The right to access information held by government is not </w:t>
      </w:r>
      <w:r>
        <w:rPr>
          <w:rFonts w:ascii="Arial" w:hAnsi="Arial" w:cs="Arial"/>
          <w:color w:val="000000" w:themeColor="text1"/>
        </w:rPr>
        <w:t xml:space="preserve">directly referred to </w:t>
      </w:r>
      <w:r w:rsidR="0051199E" w:rsidRPr="0051199E">
        <w:rPr>
          <w:rFonts w:ascii="Arial" w:hAnsi="Arial" w:cs="Arial"/>
          <w:color w:val="000000" w:themeColor="text1"/>
        </w:rPr>
        <w:t xml:space="preserve">in the HR Act but is contained in the </w:t>
      </w:r>
      <w:r w:rsidR="0051199E" w:rsidRPr="0051199E">
        <w:rPr>
          <w:rFonts w:ascii="Arial" w:hAnsi="Arial" w:cs="Arial"/>
          <w:i/>
          <w:iCs/>
          <w:color w:val="000000" w:themeColor="text1"/>
        </w:rPr>
        <w:t xml:space="preserve">Right to Information Act 2009 </w:t>
      </w:r>
      <w:r w:rsidR="0051199E" w:rsidRPr="0051199E">
        <w:rPr>
          <w:rFonts w:ascii="Arial" w:hAnsi="Arial" w:cs="Arial"/>
          <w:color w:val="000000" w:themeColor="text1"/>
        </w:rPr>
        <w:t>(Qld)</w:t>
      </w:r>
      <w:r>
        <w:rPr>
          <w:rFonts w:ascii="Arial" w:hAnsi="Arial" w:cs="Arial"/>
          <w:color w:val="000000" w:themeColor="text1"/>
        </w:rPr>
        <w:t>,</w:t>
      </w:r>
      <w:r w:rsidR="0051199E" w:rsidRPr="0051199E">
        <w:rPr>
          <w:rFonts w:ascii="Arial" w:hAnsi="Arial" w:cs="Arial"/>
          <w:color w:val="000000" w:themeColor="text1"/>
        </w:rPr>
        <w:t xml:space="preserve"> and freedom of expression in s 21 </w:t>
      </w:r>
      <w:r w:rsidR="00361B9B">
        <w:rPr>
          <w:rFonts w:ascii="Arial" w:hAnsi="Arial" w:cs="Arial"/>
          <w:color w:val="000000" w:themeColor="text1"/>
        </w:rPr>
        <w:t xml:space="preserve">of the </w:t>
      </w:r>
      <w:r w:rsidR="0051199E" w:rsidRPr="0051199E">
        <w:rPr>
          <w:rFonts w:ascii="Arial" w:hAnsi="Arial" w:cs="Arial"/>
          <w:color w:val="000000" w:themeColor="text1"/>
        </w:rPr>
        <w:t xml:space="preserve">HR Act includes the freedom to seek and receive any kinds of information. In light of </w:t>
      </w:r>
      <w:r>
        <w:rPr>
          <w:rFonts w:ascii="Arial" w:hAnsi="Arial" w:cs="Arial"/>
          <w:color w:val="000000" w:themeColor="text1"/>
        </w:rPr>
        <w:t>Constitutional rights implied from representative and responsible government</w:t>
      </w:r>
      <w:r w:rsidR="0051199E" w:rsidRPr="0051199E">
        <w:rPr>
          <w:rFonts w:ascii="Arial" w:hAnsi="Arial" w:cs="Arial"/>
          <w:color w:val="000000" w:themeColor="text1"/>
        </w:rPr>
        <w:t>, there is a generally accepted public interest in being informed about serious and systemic matters of public service corruption; although the public interest in knowing might reduce for less serious or less prevalent conduct. Further, the nature and extent of information that is necessary to report in the public domain, and the timing of it, will vary. In particular, the question of whether or not that information must identify individuals would be informed by the impact such disclosures might have on their human rights, as discussed next.</w:t>
      </w:r>
    </w:p>
    <w:p w14:paraId="2B9B064F" w14:textId="6FF49A38" w:rsidR="00B63727" w:rsidRPr="00B63727" w:rsidRDefault="00B63727" w:rsidP="004F510B">
      <w:pPr>
        <w:rPr>
          <w:rFonts w:ascii="Arial" w:hAnsi="Arial" w:cs="Arial"/>
          <w:i/>
          <w:iCs/>
          <w:color w:val="000000" w:themeColor="text1"/>
        </w:rPr>
      </w:pPr>
      <w:r w:rsidRPr="00B63727">
        <w:rPr>
          <w:rFonts w:ascii="Arial" w:hAnsi="Arial" w:cs="Arial"/>
          <w:i/>
          <w:iCs/>
          <w:color w:val="000000" w:themeColor="text1"/>
        </w:rPr>
        <w:t>Potential impact of</w:t>
      </w:r>
      <w:r>
        <w:rPr>
          <w:rFonts w:ascii="Arial" w:hAnsi="Arial" w:cs="Arial"/>
          <w:i/>
          <w:iCs/>
          <w:color w:val="000000" w:themeColor="text1"/>
        </w:rPr>
        <w:t xml:space="preserve"> public</w:t>
      </w:r>
      <w:r w:rsidRPr="00B63727">
        <w:rPr>
          <w:rFonts w:ascii="Arial" w:hAnsi="Arial" w:cs="Arial"/>
          <w:i/>
          <w:iCs/>
          <w:color w:val="000000" w:themeColor="text1"/>
        </w:rPr>
        <w:t xml:space="preserve"> reporting on the</w:t>
      </w:r>
      <w:r>
        <w:rPr>
          <w:rFonts w:ascii="Arial" w:hAnsi="Arial" w:cs="Arial"/>
          <w:i/>
          <w:iCs/>
          <w:color w:val="000000" w:themeColor="text1"/>
        </w:rPr>
        <w:t xml:space="preserve"> privacy and reputation of individuals</w:t>
      </w:r>
    </w:p>
    <w:p w14:paraId="35632201" w14:textId="72821719" w:rsidR="0051199E" w:rsidRPr="0051199E" w:rsidRDefault="00B63727" w:rsidP="004F510B">
      <w:pPr>
        <w:rPr>
          <w:rFonts w:ascii="Arial" w:hAnsi="Arial" w:cs="Arial"/>
          <w:color w:val="000000" w:themeColor="text1"/>
        </w:rPr>
      </w:pPr>
      <w:r>
        <w:rPr>
          <w:rFonts w:ascii="Arial" w:hAnsi="Arial" w:cs="Arial"/>
          <w:color w:val="000000" w:themeColor="text1"/>
        </w:rPr>
        <w:t>P</w:t>
      </w:r>
      <w:r w:rsidR="0051199E" w:rsidRPr="0051199E">
        <w:rPr>
          <w:rFonts w:ascii="Arial" w:hAnsi="Arial" w:cs="Arial"/>
          <w:color w:val="000000" w:themeColor="text1"/>
        </w:rPr>
        <w:t xml:space="preserve">ublic reports and statements by the CCC about its corruption investigations have the potential to make public otherwise private and confidential information in breach of individuals’ rights to privacy. These involve the use of powers of compulsion for a broad remit to investigate ‘corrupt conduct’. Whilst there is </w:t>
      </w:r>
      <w:r>
        <w:rPr>
          <w:rFonts w:ascii="Arial" w:hAnsi="Arial" w:cs="Arial"/>
          <w:color w:val="000000" w:themeColor="text1"/>
        </w:rPr>
        <w:t>p</w:t>
      </w:r>
      <w:r w:rsidR="0051199E" w:rsidRPr="0051199E">
        <w:rPr>
          <w:rFonts w:ascii="Arial" w:hAnsi="Arial" w:cs="Arial"/>
          <w:color w:val="000000" w:themeColor="text1"/>
        </w:rPr>
        <w:t xml:space="preserve">arliamentary encouragement towards more serious and systemic cases of corruption, that does not </w:t>
      </w:r>
      <w:r>
        <w:rPr>
          <w:rFonts w:ascii="Arial" w:hAnsi="Arial" w:cs="Arial"/>
          <w:color w:val="000000" w:themeColor="text1"/>
        </w:rPr>
        <w:t>limit</w:t>
      </w:r>
      <w:r w:rsidR="0051199E" w:rsidRPr="0051199E">
        <w:rPr>
          <w:rFonts w:ascii="Arial" w:hAnsi="Arial" w:cs="Arial"/>
          <w:color w:val="000000" w:themeColor="text1"/>
        </w:rPr>
        <w:t xml:space="preserve"> the jurisdiction.</w:t>
      </w:r>
    </w:p>
    <w:p w14:paraId="53E5E3C5" w14:textId="77777777" w:rsidR="0051199E" w:rsidRPr="0051199E" w:rsidRDefault="0051199E" w:rsidP="004F510B">
      <w:pPr>
        <w:rPr>
          <w:rFonts w:ascii="Arial" w:hAnsi="Arial" w:cs="Arial"/>
          <w:color w:val="000000" w:themeColor="text1"/>
        </w:rPr>
      </w:pPr>
      <w:r w:rsidRPr="0051199E">
        <w:rPr>
          <w:rFonts w:ascii="Arial" w:hAnsi="Arial" w:cs="Arial"/>
          <w:color w:val="000000" w:themeColor="text1"/>
        </w:rPr>
        <w:lastRenderedPageBreak/>
        <w:t xml:space="preserve">In some circumstances, such statements may severely damage the reputations and livelihoods not only of investigation targets or suspects, but also of other witnesses. Many of these individuals will not be charged with any offence or be the subject of any disciplinary action. However, if named or otherwise identified as being believed by the CCC to have engaged in corrupt conduct, they may not only lose their jobs, but will have their reputations severely impacted. </w:t>
      </w:r>
    </w:p>
    <w:p w14:paraId="3C2C3D5D" w14:textId="70C26BB2" w:rsidR="0051199E" w:rsidRPr="0051199E" w:rsidRDefault="0051199E" w:rsidP="004F510B">
      <w:pPr>
        <w:rPr>
          <w:rFonts w:ascii="Arial" w:hAnsi="Arial" w:cs="Arial"/>
          <w:color w:val="000000" w:themeColor="text1"/>
        </w:rPr>
      </w:pPr>
      <w:r w:rsidRPr="0051199E">
        <w:rPr>
          <w:rFonts w:ascii="Arial" w:hAnsi="Arial" w:cs="Arial"/>
          <w:color w:val="000000" w:themeColor="text1"/>
        </w:rPr>
        <w:t>Accordingly, as you note in your letter, individual rights to privacy and to reputation, protected under s 25 HR Act</w:t>
      </w:r>
      <w:r w:rsidR="00C6532F">
        <w:rPr>
          <w:rFonts w:ascii="Arial" w:hAnsi="Arial" w:cs="Arial"/>
          <w:color w:val="000000" w:themeColor="text1"/>
        </w:rPr>
        <w:t>,</w:t>
      </w:r>
      <w:r w:rsidRPr="0051199E">
        <w:rPr>
          <w:rFonts w:ascii="Arial" w:hAnsi="Arial" w:cs="Arial"/>
          <w:color w:val="000000" w:themeColor="text1"/>
        </w:rPr>
        <w:t xml:space="preserve"> are engaged by the proposed power. As discussed further below, these rights are of particularly broad scope. Together with the right to take part in public life under s 23 HR Act and the right to property in s 24 HR Act, they arguably operate to additionally recognise and protect work rights. </w:t>
      </w:r>
    </w:p>
    <w:p w14:paraId="56AECA7D" w14:textId="3749A876" w:rsidR="0051199E" w:rsidRPr="0051199E" w:rsidRDefault="0051199E" w:rsidP="004F510B">
      <w:pPr>
        <w:rPr>
          <w:rFonts w:ascii="Arial" w:hAnsi="Arial" w:cs="Arial"/>
          <w:color w:val="000000" w:themeColor="text1"/>
        </w:rPr>
      </w:pPr>
      <w:r w:rsidRPr="0051199E">
        <w:rPr>
          <w:rFonts w:ascii="Arial" w:hAnsi="Arial" w:cs="Arial"/>
          <w:color w:val="000000" w:themeColor="text1"/>
        </w:rPr>
        <w:t>Australia also has international obligations to respect people’s privacy and reputation by enacting sufficient protections.</w:t>
      </w:r>
      <w:r w:rsidRPr="0051199E">
        <w:rPr>
          <w:rStyle w:val="FootnoteReference"/>
          <w:rFonts w:ascii="Arial" w:hAnsi="Arial" w:cs="Arial"/>
          <w:color w:val="000000" w:themeColor="text1"/>
        </w:rPr>
        <w:footnoteReference w:id="4"/>
      </w:r>
      <w:r w:rsidRPr="0051199E">
        <w:rPr>
          <w:rFonts w:ascii="Arial" w:hAnsi="Arial" w:cs="Arial"/>
          <w:color w:val="000000" w:themeColor="text1"/>
        </w:rPr>
        <w:t xml:space="preserve"> Defamation laws exist domestically to fulfil this obligation. However, </w:t>
      </w:r>
      <w:r w:rsidR="00B63727">
        <w:rPr>
          <w:rFonts w:ascii="Arial" w:hAnsi="Arial" w:cs="Arial"/>
          <w:color w:val="000000" w:themeColor="text1"/>
        </w:rPr>
        <w:t>any potential expansion of</w:t>
      </w:r>
      <w:r w:rsidRPr="0051199E">
        <w:rPr>
          <w:rFonts w:ascii="Arial" w:hAnsi="Arial" w:cs="Arial"/>
          <w:color w:val="000000" w:themeColor="text1"/>
        </w:rPr>
        <w:t xml:space="preserve"> documents that can be tabled under s 69 of the CC Act </w:t>
      </w:r>
      <w:r w:rsidR="00B63727">
        <w:rPr>
          <w:rFonts w:ascii="Arial" w:hAnsi="Arial" w:cs="Arial"/>
          <w:color w:val="000000" w:themeColor="text1"/>
        </w:rPr>
        <w:t>would expand the</w:t>
      </w:r>
      <w:r w:rsidRPr="0051199E">
        <w:rPr>
          <w:rFonts w:ascii="Arial" w:hAnsi="Arial" w:cs="Arial"/>
          <w:color w:val="000000" w:themeColor="text1"/>
        </w:rPr>
        <w:t xml:space="preserve"> protections of Parliamentary privilege </w:t>
      </w:r>
      <w:r w:rsidR="00C6532F">
        <w:rPr>
          <w:rFonts w:ascii="Arial" w:hAnsi="Arial" w:cs="Arial"/>
          <w:color w:val="000000" w:themeColor="text1"/>
        </w:rPr>
        <w:t>—</w:t>
      </w:r>
      <w:r w:rsidRPr="0051199E">
        <w:rPr>
          <w:rFonts w:ascii="Arial" w:hAnsi="Arial" w:cs="Arial"/>
          <w:color w:val="000000" w:themeColor="text1"/>
        </w:rPr>
        <w:t xml:space="preserve"> an absolute privilege under domestic defamation law</w:t>
      </w:r>
      <w:r w:rsidR="00B63727">
        <w:rPr>
          <w:rFonts w:ascii="Arial" w:hAnsi="Arial" w:cs="Arial"/>
          <w:color w:val="000000" w:themeColor="text1"/>
        </w:rPr>
        <w:t xml:space="preserve">. This can lead to significant </w:t>
      </w:r>
      <w:r w:rsidR="00C6532F">
        <w:rPr>
          <w:rFonts w:ascii="Arial" w:hAnsi="Arial" w:cs="Arial"/>
          <w:color w:val="000000" w:themeColor="text1"/>
        </w:rPr>
        <w:t>harm to</w:t>
      </w:r>
      <w:r w:rsidR="00B63727">
        <w:rPr>
          <w:rFonts w:ascii="Arial" w:hAnsi="Arial" w:cs="Arial"/>
          <w:color w:val="000000" w:themeColor="text1"/>
        </w:rPr>
        <w:t xml:space="preserve"> reputation,</w:t>
      </w:r>
      <w:r w:rsidRPr="0051199E">
        <w:rPr>
          <w:rFonts w:ascii="Arial" w:hAnsi="Arial" w:cs="Arial"/>
          <w:color w:val="000000" w:themeColor="text1"/>
        </w:rPr>
        <w:t xml:space="preserve"> but without defamation law protections, and with no mechanism to test the allegations and obtain exoneration. </w:t>
      </w:r>
    </w:p>
    <w:p w14:paraId="63DD758D" w14:textId="06724D7E" w:rsidR="00982B30" w:rsidRPr="00982B30" w:rsidRDefault="006500FB" w:rsidP="004F510B">
      <w:pPr>
        <w:rPr>
          <w:rFonts w:ascii="Arial" w:hAnsi="Arial" w:cs="Arial"/>
          <w:i/>
          <w:iCs/>
          <w:color w:val="000000" w:themeColor="text1"/>
        </w:rPr>
      </w:pPr>
      <w:r>
        <w:rPr>
          <w:rFonts w:ascii="Arial" w:hAnsi="Arial" w:cs="Arial"/>
          <w:i/>
          <w:iCs/>
          <w:color w:val="000000" w:themeColor="text1"/>
        </w:rPr>
        <w:t>Interaction between</w:t>
      </w:r>
      <w:r w:rsidR="00982B30">
        <w:rPr>
          <w:rFonts w:ascii="Arial" w:hAnsi="Arial" w:cs="Arial"/>
          <w:i/>
          <w:iCs/>
          <w:color w:val="000000" w:themeColor="text1"/>
        </w:rPr>
        <w:t xml:space="preserve"> public reporting</w:t>
      </w:r>
      <w:r>
        <w:rPr>
          <w:rFonts w:ascii="Arial" w:hAnsi="Arial" w:cs="Arial"/>
          <w:i/>
          <w:iCs/>
          <w:color w:val="000000" w:themeColor="text1"/>
        </w:rPr>
        <w:t>,</w:t>
      </w:r>
      <w:r w:rsidR="00982B30">
        <w:rPr>
          <w:rFonts w:ascii="Arial" w:hAnsi="Arial" w:cs="Arial"/>
          <w:i/>
          <w:iCs/>
          <w:color w:val="000000" w:themeColor="text1"/>
        </w:rPr>
        <w:t xml:space="preserve"> fair trial rights</w:t>
      </w:r>
      <w:r>
        <w:rPr>
          <w:rFonts w:ascii="Arial" w:hAnsi="Arial" w:cs="Arial"/>
          <w:i/>
          <w:iCs/>
          <w:color w:val="000000" w:themeColor="text1"/>
        </w:rPr>
        <w:t>, and procedural fairness</w:t>
      </w:r>
    </w:p>
    <w:p w14:paraId="770ED848" w14:textId="0A87DDB5" w:rsidR="0051199E" w:rsidRPr="0051199E" w:rsidRDefault="00982B30" w:rsidP="004F510B">
      <w:pPr>
        <w:rPr>
          <w:rFonts w:ascii="Arial" w:hAnsi="Arial" w:cs="Arial"/>
          <w:color w:val="000000" w:themeColor="text1"/>
        </w:rPr>
      </w:pPr>
      <w:r w:rsidRPr="00982B30">
        <w:rPr>
          <w:rFonts w:ascii="Arial" w:hAnsi="Arial" w:cs="Arial"/>
          <w:color w:val="000000" w:themeColor="text1"/>
        </w:rPr>
        <w:t>P</w:t>
      </w:r>
      <w:r w:rsidR="0051199E" w:rsidRPr="0051199E">
        <w:rPr>
          <w:rFonts w:ascii="Arial" w:hAnsi="Arial" w:cs="Arial"/>
          <w:color w:val="000000" w:themeColor="text1"/>
        </w:rPr>
        <w:t xml:space="preserve">ublication of statements of belief by the CCC about criminal or other misconduct even where proceedings have been instituted as a result of </w:t>
      </w:r>
      <w:r w:rsidR="006500FB">
        <w:rPr>
          <w:rFonts w:ascii="Arial" w:hAnsi="Arial" w:cs="Arial"/>
          <w:color w:val="000000" w:themeColor="text1"/>
        </w:rPr>
        <w:t>an</w:t>
      </w:r>
      <w:r w:rsidR="0051199E" w:rsidRPr="0051199E">
        <w:rPr>
          <w:rFonts w:ascii="Arial" w:hAnsi="Arial" w:cs="Arial"/>
          <w:color w:val="000000" w:themeColor="text1"/>
        </w:rPr>
        <w:t xml:space="preserve"> investigation, and before they are completed, has the potential to compromise fair trial rights. In the HR Act, those rights are set out in ss 31 (Fair hearing) and 32 (Rights in criminal proceedings). </w:t>
      </w:r>
    </w:p>
    <w:p w14:paraId="0EF2422D" w14:textId="489643D4" w:rsidR="0051199E" w:rsidRPr="0051199E" w:rsidRDefault="006500FB" w:rsidP="004F510B">
      <w:pPr>
        <w:rPr>
          <w:rFonts w:ascii="Arial" w:hAnsi="Arial" w:cs="Arial"/>
          <w:color w:val="000000" w:themeColor="text1"/>
        </w:rPr>
      </w:pPr>
      <w:r w:rsidRPr="006500FB">
        <w:rPr>
          <w:rFonts w:ascii="Arial" w:hAnsi="Arial" w:cs="Arial"/>
          <w:color w:val="000000" w:themeColor="text1"/>
        </w:rPr>
        <w:t>At</w:t>
      </w:r>
      <w:r w:rsidR="0051199E" w:rsidRPr="006500FB">
        <w:rPr>
          <w:rFonts w:ascii="Arial" w:hAnsi="Arial" w:cs="Arial"/>
          <w:color w:val="000000" w:themeColor="text1"/>
        </w:rPr>
        <w:t xml:space="preserve"> </w:t>
      </w:r>
      <w:r w:rsidR="0051199E" w:rsidRPr="0051199E">
        <w:rPr>
          <w:rFonts w:ascii="Arial" w:hAnsi="Arial" w:cs="Arial"/>
          <w:color w:val="000000" w:themeColor="text1"/>
        </w:rPr>
        <w:t>common law, if the power to report is authorised by statute, capacity for harm to reputation is recognised by the need to afford procedural fairness prior to publishing. Section 31</w:t>
      </w:r>
      <w:r w:rsidR="00C6532F">
        <w:rPr>
          <w:rFonts w:ascii="Arial" w:hAnsi="Arial" w:cs="Arial"/>
          <w:color w:val="000000" w:themeColor="text1"/>
        </w:rPr>
        <w:t xml:space="preserve"> of the</w:t>
      </w:r>
      <w:r w:rsidR="0051199E" w:rsidRPr="0051199E">
        <w:rPr>
          <w:rFonts w:ascii="Arial" w:hAnsi="Arial" w:cs="Arial"/>
          <w:color w:val="000000" w:themeColor="text1"/>
        </w:rPr>
        <w:t xml:space="preserve"> HR Act (Fair Hearing) supports and strengthens those requirements. I</w:t>
      </w:r>
      <w:r w:rsidR="00C6532F">
        <w:rPr>
          <w:rFonts w:ascii="Arial" w:hAnsi="Arial" w:cs="Arial"/>
          <w:color w:val="000000" w:themeColor="text1"/>
        </w:rPr>
        <w:t>t</w:t>
      </w:r>
      <w:r w:rsidR="0051199E" w:rsidRPr="0051199E">
        <w:rPr>
          <w:rFonts w:ascii="Arial" w:hAnsi="Arial" w:cs="Arial"/>
          <w:color w:val="000000" w:themeColor="text1"/>
        </w:rPr>
        <w:t xml:space="preserve"> may also require an effective right of review or other exoneration process.</w:t>
      </w:r>
    </w:p>
    <w:p w14:paraId="7F6D49E3" w14:textId="297E17ED" w:rsidR="00547509" w:rsidRPr="00547509" w:rsidRDefault="00547509" w:rsidP="004F510B">
      <w:pPr>
        <w:keepNext/>
        <w:spacing w:line="257" w:lineRule="auto"/>
        <w:rPr>
          <w:rFonts w:ascii="Arial" w:hAnsi="Arial" w:cs="Arial"/>
          <w:b/>
          <w:bCs/>
          <w:color w:val="000000" w:themeColor="text1"/>
        </w:rPr>
      </w:pPr>
      <w:r>
        <w:rPr>
          <w:rFonts w:ascii="Arial" w:hAnsi="Arial" w:cs="Arial"/>
          <w:b/>
          <w:bCs/>
          <w:color w:val="000000" w:themeColor="text1"/>
        </w:rPr>
        <w:t>Recent c</w:t>
      </w:r>
      <w:r w:rsidRPr="00547509">
        <w:rPr>
          <w:rFonts w:ascii="Arial" w:hAnsi="Arial" w:cs="Arial"/>
          <w:b/>
          <w:bCs/>
          <w:color w:val="000000" w:themeColor="text1"/>
        </w:rPr>
        <w:t xml:space="preserve">onsideration by the </w:t>
      </w:r>
      <w:r w:rsidR="00FC655A">
        <w:rPr>
          <w:rFonts w:ascii="Arial" w:hAnsi="Arial" w:cs="Arial"/>
          <w:b/>
          <w:bCs/>
          <w:color w:val="000000" w:themeColor="text1"/>
        </w:rPr>
        <w:t>UN</w:t>
      </w:r>
      <w:r w:rsidRPr="00547509">
        <w:rPr>
          <w:rFonts w:ascii="Arial" w:hAnsi="Arial" w:cs="Arial"/>
          <w:b/>
          <w:bCs/>
          <w:color w:val="000000" w:themeColor="text1"/>
        </w:rPr>
        <w:t xml:space="preserve"> Human Rights Committee</w:t>
      </w:r>
    </w:p>
    <w:p w14:paraId="2C1FCABA" w14:textId="18261FE0" w:rsidR="0051199E" w:rsidRPr="0051199E" w:rsidRDefault="00547509" w:rsidP="004F510B">
      <w:pPr>
        <w:rPr>
          <w:rFonts w:ascii="Arial" w:hAnsi="Arial" w:cs="Arial"/>
          <w:i/>
          <w:iCs/>
          <w:color w:val="000000" w:themeColor="text1"/>
        </w:rPr>
      </w:pPr>
      <w:r>
        <w:rPr>
          <w:rFonts w:ascii="Arial" w:hAnsi="Arial" w:cs="Arial"/>
          <w:color w:val="000000" w:themeColor="text1"/>
        </w:rPr>
        <w:t xml:space="preserve">The </w:t>
      </w:r>
      <w:r w:rsidR="00FC655A">
        <w:rPr>
          <w:rFonts w:ascii="Arial" w:hAnsi="Arial" w:cs="Arial"/>
          <w:color w:val="000000" w:themeColor="text1"/>
        </w:rPr>
        <w:t>UN</w:t>
      </w:r>
      <w:r>
        <w:rPr>
          <w:rFonts w:ascii="Arial" w:hAnsi="Arial" w:cs="Arial"/>
          <w:color w:val="000000" w:themeColor="text1"/>
        </w:rPr>
        <w:t xml:space="preserve"> Human Rights Committee, which monitors state parties’ compliance with the International Covenant on Civil and Political Rights, has recently considered </w:t>
      </w:r>
      <w:r w:rsidR="00047327">
        <w:rPr>
          <w:rFonts w:ascii="Arial" w:hAnsi="Arial" w:cs="Arial"/>
          <w:color w:val="000000" w:themeColor="text1"/>
        </w:rPr>
        <w:t xml:space="preserve">some of </w:t>
      </w:r>
      <w:r>
        <w:rPr>
          <w:rFonts w:ascii="Arial" w:hAnsi="Arial" w:cs="Arial"/>
          <w:color w:val="000000" w:themeColor="text1"/>
        </w:rPr>
        <w:t xml:space="preserve">these issues in </w:t>
      </w:r>
      <w:r>
        <w:rPr>
          <w:rFonts w:ascii="Arial" w:hAnsi="Arial" w:cs="Arial"/>
          <w:i/>
          <w:iCs/>
          <w:color w:val="000000" w:themeColor="text1"/>
        </w:rPr>
        <w:t>Charif Kazal v Australia</w:t>
      </w:r>
      <w:r>
        <w:rPr>
          <w:rFonts w:ascii="Arial" w:hAnsi="Arial" w:cs="Arial"/>
          <w:color w:val="000000" w:themeColor="text1"/>
        </w:rPr>
        <w:t>.</w:t>
      </w:r>
      <w:r w:rsidRPr="0051199E">
        <w:rPr>
          <w:rStyle w:val="FootnoteReference"/>
          <w:rFonts w:ascii="Arial" w:hAnsi="Arial" w:cs="Arial"/>
          <w:color w:val="000000" w:themeColor="text1"/>
        </w:rPr>
        <w:footnoteReference w:id="5"/>
      </w:r>
      <w:r w:rsidRPr="0051199E">
        <w:rPr>
          <w:rFonts w:ascii="Arial" w:hAnsi="Arial" w:cs="Arial"/>
          <w:i/>
          <w:iCs/>
          <w:color w:val="000000" w:themeColor="text1"/>
        </w:rPr>
        <w:t xml:space="preserve"> </w:t>
      </w:r>
      <w:r w:rsidR="0051199E" w:rsidRPr="0051199E">
        <w:rPr>
          <w:rFonts w:ascii="Arial" w:hAnsi="Arial" w:cs="Arial"/>
          <w:color w:val="000000" w:themeColor="text1"/>
        </w:rPr>
        <w:t xml:space="preserve"> </w:t>
      </w:r>
    </w:p>
    <w:p w14:paraId="5519B7F9" w14:textId="41AB9CC0"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Mr Kazal brought a human rights complaint against Australia, having exhausted his domestic legal options, for the publication of his name in a report issued publicly by </w:t>
      </w:r>
      <w:r w:rsidR="00756426">
        <w:rPr>
          <w:rFonts w:ascii="Arial" w:hAnsi="Arial" w:cs="Arial"/>
          <w:color w:val="000000" w:themeColor="text1"/>
        </w:rPr>
        <w:t xml:space="preserve">the </w:t>
      </w:r>
      <w:r w:rsidRPr="0051199E">
        <w:rPr>
          <w:rFonts w:ascii="Arial" w:hAnsi="Arial" w:cs="Arial"/>
          <w:color w:val="000000" w:themeColor="text1"/>
        </w:rPr>
        <w:t>NSW Independent Commission Against Corruption (</w:t>
      </w:r>
      <w:r w:rsidRPr="0051199E">
        <w:rPr>
          <w:rFonts w:ascii="Arial" w:hAnsi="Arial" w:cs="Arial"/>
          <w:b/>
          <w:bCs/>
          <w:color w:val="000000" w:themeColor="text1"/>
        </w:rPr>
        <w:t>ICAC</w:t>
      </w:r>
      <w:r w:rsidRPr="0051199E">
        <w:rPr>
          <w:rFonts w:ascii="Arial" w:hAnsi="Arial" w:cs="Arial"/>
          <w:color w:val="000000" w:themeColor="text1"/>
        </w:rPr>
        <w:t xml:space="preserve">). In that report, the ICAC found that Mr Kazal had sought to influence official functions of a public officer. </w:t>
      </w:r>
      <w:r w:rsidR="00047327">
        <w:rPr>
          <w:rFonts w:ascii="Arial" w:hAnsi="Arial" w:cs="Arial"/>
          <w:color w:val="000000" w:themeColor="text1"/>
        </w:rPr>
        <w:t xml:space="preserve">It </w:t>
      </w:r>
      <w:r w:rsidR="001A1273">
        <w:rPr>
          <w:rFonts w:ascii="Arial" w:hAnsi="Arial" w:cs="Arial"/>
          <w:color w:val="000000" w:themeColor="text1"/>
        </w:rPr>
        <w:t>concluded</w:t>
      </w:r>
      <w:r w:rsidR="00047327">
        <w:rPr>
          <w:rFonts w:ascii="Arial" w:hAnsi="Arial" w:cs="Arial"/>
          <w:color w:val="000000" w:themeColor="text1"/>
        </w:rPr>
        <w:t xml:space="preserve"> that </w:t>
      </w:r>
      <w:r w:rsidR="001A1273">
        <w:rPr>
          <w:rFonts w:ascii="Arial" w:hAnsi="Arial" w:cs="Arial"/>
          <w:color w:val="000000" w:themeColor="text1"/>
        </w:rPr>
        <w:t xml:space="preserve">Mr Kazal’s conduct was corrupt, and could involve two criminal offences. However, there was insufficient evidence to charge Mr Kazal and </w:t>
      </w:r>
      <w:r w:rsidRPr="0051199E">
        <w:rPr>
          <w:rFonts w:ascii="Arial" w:hAnsi="Arial" w:cs="Arial"/>
          <w:color w:val="000000" w:themeColor="text1"/>
        </w:rPr>
        <w:t xml:space="preserve">no charges were laid. Because Mr Kazal had not been charged with any criminal offence, his criminal law rights were not engaged. However, the Committee considered </w:t>
      </w:r>
      <w:r w:rsidR="00047327">
        <w:rPr>
          <w:rFonts w:ascii="Arial" w:hAnsi="Arial" w:cs="Arial"/>
          <w:color w:val="000000" w:themeColor="text1"/>
        </w:rPr>
        <w:t>whether his</w:t>
      </w:r>
      <w:r w:rsidRPr="0051199E">
        <w:rPr>
          <w:rFonts w:ascii="Arial" w:hAnsi="Arial" w:cs="Arial"/>
          <w:color w:val="000000" w:themeColor="text1"/>
        </w:rPr>
        <w:t xml:space="preserve"> rights to privacy and reputation</w:t>
      </w:r>
      <w:r w:rsidR="00047327">
        <w:rPr>
          <w:rFonts w:ascii="Arial" w:hAnsi="Arial" w:cs="Arial"/>
          <w:color w:val="000000" w:themeColor="text1"/>
        </w:rPr>
        <w:t xml:space="preserve"> had been breached</w:t>
      </w:r>
      <w:r w:rsidRPr="0051199E">
        <w:rPr>
          <w:rFonts w:ascii="Arial" w:hAnsi="Arial" w:cs="Arial"/>
          <w:color w:val="000000" w:themeColor="text1"/>
        </w:rPr>
        <w:t xml:space="preserve"> by his being named in the ICAC report.</w:t>
      </w:r>
    </w:p>
    <w:p w14:paraId="47FE0212" w14:textId="77777777" w:rsidR="0051199E" w:rsidRDefault="0051199E" w:rsidP="004F510B">
      <w:pPr>
        <w:rPr>
          <w:rFonts w:ascii="Arial" w:hAnsi="Arial" w:cs="Arial"/>
          <w:color w:val="000000" w:themeColor="text1"/>
        </w:rPr>
      </w:pPr>
      <w:r w:rsidRPr="0051199E">
        <w:rPr>
          <w:rFonts w:ascii="Arial" w:hAnsi="Arial" w:cs="Arial"/>
          <w:color w:val="000000" w:themeColor="text1"/>
        </w:rPr>
        <w:lastRenderedPageBreak/>
        <w:t>In doing so</w:t>
      </w:r>
      <w:r w:rsidRPr="0051199E">
        <w:rPr>
          <w:rFonts w:ascii="Arial" w:hAnsi="Arial" w:cs="Arial"/>
          <w:i/>
          <w:iCs/>
          <w:color w:val="000000" w:themeColor="text1"/>
        </w:rPr>
        <w:t xml:space="preserve">, </w:t>
      </w:r>
      <w:r w:rsidRPr="0051199E">
        <w:rPr>
          <w:rFonts w:ascii="Arial" w:hAnsi="Arial" w:cs="Arial"/>
          <w:color w:val="000000" w:themeColor="text1"/>
        </w:rPr>
        <w:t>consistent with how the right has been interpreted in Australia, discussed below, the Committee applied the principle that even in pursuit of the legitimate aim of investigating alleged corruption in the public sector, any interference with the privacy of individuals by State action must be proportionate to a legitimate end sought, and necessary in the circumstances of any given case.</w:t>
      </w:r>
      <w:r w:rsidRPr="0051199E">
        <w:rPr>
          <w:rStyle w:val="FootnoteReference"/>
          <w:rFonts w:ascii="Arial" w:hAnsi="Arial" w:cs="Arial"/>
          <w:color w:val="000000" w:themeColor="text1"/>
        </w:rPr>
        <w:footnoteReference w:id="6"/>
      </w:r>
      <w:r w:rsidRPr="0051199E">
        <w:rPr>
          <w:rFonts w:ascii="Arial" w:hAnsi="Arial" w:cs="Arial"/>
          <w:color w:val="000000" w:themeColor="text1"/>
        </w:rPr>
        <w:t xml:space="preserve"> </w:t>
      </w:r>
    </w:p>
    <w:p w14:paraId="6107F3C9" w14:textId="7DE486E0" w:rsidR="001A1273" w:rsidRDefault="001A1273" w:rsidP="004F510B">
      <w:pPr>
        <w:rPr>
          <w:rFonts w:ascii="Arial" w:hAnsi="Arial" w:cs="Arial"/>
          <w:color w:val="000000" w:themeColor="text1"/>
        </w:rPr>
      </w:pPr>
      <w:r>
        <w:rPr>
          <w:rFonts w:ascii="Arial" w:hAnsi="Arial" w:cs="Arial"/>
          <w:color w:val="000000" w:themeColor="text1"/>
        </w:rPr>
        <w:t>Australia argued that the interference in Mr Kazal’s right to privacy was not arbitrary, but was aimed at the legitimate purpose of investigating corruption in the public sector and subject to a range of proportionate procedural safeguards and restrictions.</w:t>
      </w:r>
      <w:r>
        <w:rPr>
          <w:rStyle w:val="FootnoteReference"/>
          <w:rFonts w:ascii="Arial" w:hAnsi="Arial" w:cs="Arial"/>
          <w:color w:val="000000" w:themeColor="text1"/>
        </w:rPr>
        <w:footnoteReference w:id="7"/>
      </w:r>
    </w:p>
    <w:p w14:paraId="202E216C" w14:textId="0780F68B" w:rsidR="00E95233" w:rsidRPr="0051199E" w:rsidRDefault="00E95233" w:rsidP="004F510B">
      <w:pPr>
        <w:rPr>
          <w:rFonts w:ascii="Arial" w:hAnsi="Arial" w:cs="Arial"/>
          <w:color w:val="000000" w:themeColor="text1"/>
        </w:rPr>
      </w:pPr>
      <w:r>
        <w:rPr>
          <w:rFonts w:ascii="Arial" w:hAnsi="Arial" w:cs="Arial"/>
          <w:color w:val="000000" w:themeColor="text1"/>
        </w:rPr>
        <w:t>The Committee noted concerns that had been raised with the inquiry involving the author, including that:</w:t>
      </w:r>
    </w:p>
    <w:p w14:paraId="66C74C90" w14:textId="6FA9413F" w:rsidR="00E95233" w:rsidRDefault="00E95233" w:rsidP="004F510B">
      <w:pPr>
        <w:ind w:left="720"/>
        <w:rPr>
          <w:rFonts w:ascii="Arial" w:hAnsi="Arial" w:cs="Arial"/>
          <w:bCs/>
        </w:rPr>
      </w:pPr>
      <w:r w:rsidRPr="00E95233">
        <w:rPr>
          <w:rFonts w:ascii="Arial" w:hAnsi="Arial" w:cs="Arial"/>
          <w:bCs/>
        </w:rPr>
        <w:t xml:space="preserve">the Office of the Inspector published a report in 2017 which was critical of the inquiry conducted by the ICAC and which concluded that the ICAC’s findings were “weak and flawed”, while also being critical of the public nature of the proceeding, noting that the ICAC had not provided written reasoning as to its decision to make the proceedings public, and also criticizing the lack of an exoneration protocol available to the author. The Committee further notes statements made by the Attorney-General as referred to by the author, in which the Attorney-General stated that the author and his co-accused had been </w:t>
      </w:r>
      <w:r>
        <w:rPr>
          <w:rFonts w:ascii="Arial" w:hAnsi="Arial" w:cs="Arial"/>
          <w:bCs/>
        </w:rPr>
        <w:t>‘</w:t>
      </w:r>
      <w:r w:rsidRPr="00E95233">
        <w:rPr>
          <w:rFonts w:ascii="Arial" w:hAnsi="Arial" w:cs="Arial"/>
          <w:bCs/>
        </w:rPr>
        <w:t xml:space="preserve">unable to test the corrupt finding made against [them] in a court of law. </w:t>
      </w:r>
      <w:r w:rsidR="0051199E" w:rsidRPr="0051199E">
        <w:rPr>
          <w:rFonts w:ascii="Arial" w:hAnsi="Arial" w:cs="Arial"/>
          <w:bCs/>
        </w:rPr>
        <w:t xml:space="preserve">The consequence is that each has been stigmatised and ashamed by a finding that has not been made, and cannot be tested in an environment that has rules of evidence and procedures established over centuries to ensure a fair and impartial hearing to them and to their opponents’. </w:t>
      </w:r>
    </w:p>
    <w:p w14:paraId="7D7E3DEF" w14:textId="4533C268" w:rsidR="00E95233" w:rsidRPr="0051199E" w:rsidRDefault="00E95233" w:rsidP="004F510B">
      <w:pPr>
        <w:rPr>
          <w:rFonts w:ascii="Arial" w:hAnsi="Arial" w:cs="Arial"/>
          <w:color w:val="000000" w:themeColor="text1"/>
        </w:rPr>
      </w:pPr>
      <w:r w:rsidRPr="0051199E">
        <w:rPr>
          <w:rFonts w:ascii="Arial" w:hAnsi="Arial" w:cs="Arial"/>
          <w:color w:val="000000" w:themeColor="text1"/>
        </w:rPr>
        <w:t>The Committee found the public hearing and reporting by ICAC to be in violation of Mr Kazal’s right to privacy under Article 17</w:t>
      </w:r>
      <w:r w:rsidR="00756426">
        <w:rPr>
          <w:rFonts w:ascii="Arial" w:hAnsi="Arial" w:cs="Arial"/>
          <w:color w:val="000000" w:themeColor="text1"/>
        </w:rPr>
        <w:t xml:space="preserve"> of the</w:t>
      </w:r>
      <w:r w:rsidRPr="0051199E">
        <w:rPr>
          <w:rFonts w:ascii="Arial" w:hAnsi="Arial" w:cs="Arial"/>
          <w:color w:val="000000" w:themeColor="text1"/>
        </w:rPr>
        <w:t xml:space="preserve"> </w:t>
      </w:r>
      <w:r w:rsidRPr="0051199E">
        <w:rPr>
          <w:rFonts w:ascii="Arial" w:hAnsi="Arial" w:cs="Arial"/>
          <w:i/>
          <w:iCs/>
          <w:color w:val="000000" w:themeColor="text1"/>
        </w:rPr>
        <w:t>ICCPR</w:t>
      </w:r>
      <w:r w:rsidRPr="0051199E">
        <w:rPr>
          <w:rFonts w:ascii="Arial" w:hAnsi="Arial" w:cs="Arial"/>
          <w:color w:val="000000" w:themeColor="text1"/>
        </w:rPr>
        <w:t>:</w:t>
      </w:r>
    </w:p>
    <w:p w14:paraId="6490FA2A" w14:textId="69F2C06F" w:rsidR="0051199E" w:rsidRDefault="0051199E" w:rsidP="004F510B">
      <w:pPr>
        <w:ind w:left="720"/>
        <w:rPr>
          <w:rFonts w:ascii="Arial" w:hAnsi="Arial" w:cs="Arial"/>
          <w:bCs/>
        </w:rPr>
      </w:pPr>
      <w:r w:rsidRPr="0051199E">
        <w:rPr>
          <w:rFonts w:ascii="Arial" w:hAnsi="Arial" w:cs="Arial"/>
          <w:bCs/>
        </w:rPr>
        <w:t>In the present case the Committee finds that the decision by the ICAC to hold a public hearing and make public findings in which the ICAC concluded that the author had sought to improperly influence the impartial exercise of the official functions of a public officer, but where said findings could not be challenged by the author before any domestic authority and for which the ICAC provided no reasoning as to its decision to make the proceedings and findings public, amounted to an arbitrary interference in the author’s right to privacy. The Committee finds that the decision to make the proceedings public, without</w:t>
      </w:r>
      <w:r w:rsidRPr="0051199E">
        <w:rPr>
          <w:rFonts w:ascii="Arial" w:hAnsi="Arial" w:cs="Arial"/>
          <w:color w:val="000000" w:themeColor="text1"/>
        </w:rPr>
        <w:t xml:space="preserve"> </w:t>
      </w:r>
      <w:r w:rsidRPr="0051199E">
        <w:rPr>
          <w:rFonts w:ascii="Arial" w:hAnsi="Arial" w:cs="Arial"/>
          <w:bCs/>
        </w:rPr>
        <w:t>providing the author with adequate procedural safeguards, cannot be found to be proportionate and necessary to the objective pursued in the particular circumstances of the case, especially taking into account the author’s claim that the publication of the findings damaged his reputation and his ability to conduct his family business.</w:t>
      </w:r>
      <w:r w:rsidRPr="0051199E">
        <w:rPr>
          <w:rStyle w:val="FootnoteReference"/>
          <w:rFonts w:ascii="Arial" w:hAnsi="Arial" w:cs="Arial"/>
          <w:bCs/>
        </w:rPr>
        <w:footnoteReference w:id="8"/>
      </w:r>
    </w:p>
    <w:p w14:paraId="540CB206" w14:textId="3718A94C" w:rsidR="002C6A7F" w:rsidRPr="0051199E" w:rsidRDefault="002C6A7F" w:rsidP="004F510B">
      <w:pPr>
        <w:rPr>
          <w:rFonts w:ascii="Arial" w:hAnsi="Arial" w:cs="Arial"/>
          <w:color w:val="000000" w:themeColor="text1"/>
        </w:rPr>
      </w:pPr>
      <w:r>
        <w:rPr>
          <w:rFonts w:ascii="Arial" w:hAnsi="Arial" w:cs="Arial"/>
          <w:color w:val="000000" w:themeColor="text1"/>
        </w:rPr>
        <w:t>The Committee found that Mr Kazal should be compensated for the violation and Australia should take all steps necessary to prevent similar violations from occurring in the future.</w:t>
      </w:r>
    </w:p>
    <w:p w14:paraId="25414E78" w14:textId="77933FF9" w:rsidR="0051199E" w:rsidRPr="002C6A7F" w:rsidRDefault="0051199E" w:rsidP="00361B9B">
      <w:pPr>
        <w:pStyle w:val="Heading1"/>
        <w:spacing w:before="0" w:after="160"/>
        <w:rPr>
          <w:rFonts w:ascii="Arial" w:hAnsi="Arial" w:cs="Arial"/>
          <w:b/>
          <w:bCs/>
          <w:color w:val="000000" w:themeColor="text1"/>
          <w:sz w:val="22"/>
          <w:szCs w:val="22"/>
        </w:rPr>
      </w:pPr>
      <w:r w:rsidRPr="0051199E">
        <w:rPr>
          <w:rFonts w:ascii="Arial" w:hAnsi="Arial" w:cs="Arial"/>
          <w:b/>
          <w:bCs/>
          <w:color w:val="000000" w:themeColor="text1"/>
          <w:sz w:val="22"/>
          <w:szCs w:val="22"/>
        </w:rPr>
        <w:lastRenderedPageBreak/>
        <w:t xml:space="preserve">Operation of the </w:t>
      </w:r>
      <w:r w:rsidRPr="0051199E">
        <w:rPr>
          <w:rFonts w:ascii="Arial" w:hAnsi="Arial" w:cs="Arial"/>
          <w:b/>
          <w:bCs/>
          <w:i/>
          <w:iCs/>
          <w:color w:val="000000" w:themeColor="text1"/>
          <w:sz w:val="22"/>
          <w:szCs w:val="22"/>
        </w:rPr>
        <w:t xml:space="preserve">Human Rights Act 2019 </w:t>
      </w:r>
      <w:r w:rsidRPr="0051199E">
        <w:rPr>
          <w:rFonts w:ascii="Arial" w:hAnsi="Arial" w:cs="Arial"/>
          <w:b/>
          <w:bCs/>
          <w:color w:val="000000" w:themeColor="text1"/>
          <w:sz w:val="22"/>
          <w:szCs w:val="22"/>
        </w:rPr>
        <w:t>(Qld)</w:t>
      </w:r>
    </w:p>
    <w:p w14:paraId="6D1A14AB" w14:textId="187805B4" w:rsidR="00FC655A" w:rsidRDefault="00FC655A" w:rsidP="00134CC7">
      <w:pPr>
        <w:keepNext/>
        <w:rPr>
          <w:rFonts w:ascii="Arial" w:hAnsi="Arial" w:cs="Arial"/>
          <w:color w:val="000000" w:themeColor="text1"/>
        </w:rPr>
      </w:pPr>
      <w:r>
        <w:rPr>
          <w:rFonts w:ascii="Arial" w:hAnsi="Arial" w:cs="Arial"/>
          <w:color w:val="000000" w:themeColor="text1"/>
        </w:rPr>
        <w:t>The HR Act applies to courts and tribunals, Parliament, and public entities.</w:t>
      </w:r>
      <w:r>
        <w:rPr>
          <w:rStyle w:val="FootnoteReference"/>
          <w:rFonts w:ascii="Arial" w:hAnsi="Arial" w:cs="Arial"/>
          <w:color w:val="000000" w:themeColor="text1"/>
        </w:rPr>
        <w:footnoteReference w:id="9"/>
      </w:r>
    </w:p>
    <w:p w14:paraId="4C9BD8F4" w14:textId="7815F8C4" w:rsidR="00FC655A" w:rsidRDefault="00FC655A" w:rsidP="00134CC7">
      <w:pPr>
        <w:keepNext/>
        <w:rPr>
          <w:rFonts w:ascii="Arial" w:hAnsi="Arial" w:cs="Arial"/>
          <w:color w:val="000000" w:themeColor="text1"/>
        </w:rPr>
      </w:pPr>
      <w:r>
        <w:rPr>
          <w:rFonts w:ascii="Arial" w:hAnsi="Arial" w:cs="Arial"/>
          <w:i/>
          <w:iCs/>
          <w:color w:val="000000" w:themeColor="text1"/>
        </w:rPr>
        <w:t>Application to Parliament</w:t>
      </w:r>
    </w:p>
    <w:p w14:paraId="550ADC4E" w14:textId="5F1C56DB" w:rsidR="008910FA" w:rsidRDefault="008910FA" w:rsidP="004F510B">
      <w:pPr>
        <w:rPr>
          <w:rFonts w:ascii="Arial" w:hAnsi="Arial" w:cs="Arial"/>
          <w:color w:val="000000" w:themeColor="text1"/>
        </w:rPr>
      </w:pPr>
      <w:r w:rsidRPr="008910FA">
        <w:rPr>
          <w:rFonts w:ascii="Arial" w:hAnsi="Arial" w:cs="Arial"/>
          <w:color w:val="000000" w:themeColor="text1"/>
        </w:rPr>
        <w:t>Parliament is responsible for making and passing laws and</w:t>
      </w:r>
      <w:r>
        <w:rPr>
          <w:rFonts w:ascii="Arial" w:hAnsi="Arial" w:cs="Arial"/>
          <w:color w:val="000000" w:themeColor="text1"/>
        </w:rPr>
        <w:t>, under the HR Act,</w:t>
      </w:r>
      <w:r w:rsidRPr="008910FA">
        <w:rPr>
          <w:rFonts w:ascii="Arial" w:hAnsi="Arial" w:cs="Arial"/>
          <w:color w:val="000000" w:themeColor="text1"/>
        </w:rPr>
        <w:t xml:space="preserve"> must consider whether any limitations on human rights in legislation are justified. This occurs through the tabling of statements of compatibility with Bills and human rights certificates for subordinate legislation, scrutiny through the committee process,</w:t>
      </w:r>
      <w:r w:rsidR="00171AA5">
        <w:rPr>
          <w:rStyle w:val="FootnoteReference"/>
          <w:rFonts w:ascii="Arial" w:hAnsi="Arial" w:cs="Arial"/>
          <w:color w:val="000000" w:themeColor="text1"/>
        </w:rPr>
        <w:footnoteReference w:id="10"/>
      </w:r>
      <w:r w:rsidR="00171AA5">
        <w:rPr>
          <w:rFonts w:ascii="Arial" w:hAnsi="Arial" w:cs="Arial"/>
          <w:color w:val="000000" w:themeColor="text1"/>
        </w:rPr>
        <w:t xml:space="preserve"> </w:t>
      </w:r>
      <w:r w:rsidRPr="008910FA">
        <w:rPr>
          <w:rFonts w:ascii="Arial" w:hAnsi="Arial" w:cs="Arial"/>
          <w:color w:val="000000" w:themeColor="text1"/>
        </w:rPr>
        <w:t xml:space="preserve"> and parliamentary debate.</w:t>
      </w:r>
      <w:r>
        <w:rPr>
          <w:rFonts w:ascii="Arial" w:hAnsi="Arial" w:cs="Arial"/>
          <w:color w:val="000000" w:themeColor="text1"/>
        </w:rPr>
        <w:t xml:space="preserve"> </w:t>
      </w:r>
    </w:p>
    <w:p w14:paraId="128AA19D" w14:textId="36F1356F" w:rsidR="00171AA5" w:rsidRDefault="00171AA5" w:rsidP="004F510B">
      <w:pPr>
        <w:rPr>
          <w:rFonts w:ascii="Arial" w:hAnsi="Arial" w:cs="Arial"/>
          <w:color w:val="000000" w:themeColor="text1"/>
        </w:rPr>
      </w:pPr>
      <w:r w:rsidRPr="008910FA">
        <w:rPr>
          <w:rFonts w:ascii="Arial" w:hAnsi="Arial" w:cs="Arial"/>
          <w:color w:val="000000" w:themeColor="text1"/>
        </w:rPr>
        <w:t xml:space="preserve">Parliament may override the </w:t>
      </w:r>
      <w:r>
        <w:rPr>
          <w:rFonts w:ascii="Arial" w:hAnsi="Arial" w:cs="Arial"/>
          <w:color w:val="000000" w:themeColor="text1"/>
        </w:rPr>
        <w:t>HR Act</w:t>
      </w:r>
      <w:r w:rsidRPr="008910FA">
        <w:rPr>
          <w:rFonts w:ascii="Arial" w:hAnsi="Arial" w:cs="Arial"/>
          <w:color w:val="000000" w:themeColor="text1"/>
        </w:rPr>
        <w:t xml:space="preserve"> by including an override declaration with a Bill expressly declaring that the Act, or a provision of the Act, has effect despite being incompatible with one or more human rights. This power is intended to be used only in exceptional circumstances and the </w:t>
      </w:r>
      <w:r>
        <w:rPr>
          <w:rFonts w:ascii="Arial" w:hAnsi="Arial" w:cs="Arial"/>
          <w:color w:val="000000" w:themeColor="text1"/>
        </w:rPr>
        <w:t>HR Act</w:t>
      </w:r>
      <w:r w:rsidRPr="008910FA">
        <w:rPr>
          <w:rFonts w:ascii="Arial" w:hAnsi="Arial" w:cs="Arial"/>
          <w:color w:val="000000" w:themeColor="text1"/>
        </w:rPr>
        <w:t xml:space="preserve"> gives the examples of ‘war, a state of emergency, an exceptional crisis situation constituting a threat to public safety, health or order’. A provision of an Act containing an override declaration expires 5 years after the provision commences.</w:t>
      </w:r>
      <w:r>
        <w:rPr>
          <w:rStyle w:val="FootnoteReference"/>
          <w:rFonts w:ascii="Arial" w:hAnsi="Arial" w:cs="Arial"/>
          <w:color w:val="000000" w:themeColor="text1"/>
        </w:rPr>
        <w:footnoteReference w:id="11"/>
      </w:r>
    </w:p>
    <w:p w14:paraId="076DA1BA" w14:textId="23867353" w:rsidR="00171AA5" w:rsidRDefault="00171AA5" w:rsidP="004F510B">
      <w:pPr>
        <w:rPr>
          <w:rFonts w:ascii="Arial" w:hAnsi="Arial" w:cs="Arial"/>
          <w:color w:val="000000" w:themeColor="text1"/>
        </w:rPr>
      </w:pPr>
      <w:r w:rsidRPr="00171AA5">
        <w:rPr>
          <w:rFonts w:ascii="Arial" w:hAnsi="Arial" w:cs="Arial"/>
          <w:color w:val="000000" w:themeColor="text1"/>
        </w:rPr>
        <w:t>Once a law is passed, any future human rights compatibility assessment will generally only arise if raised in litigation.</w:t>
      </w:r>
      <w:r>
        <w:rPr>
          <w:rFonts w:ascii="Arial" w:hAnsi="Arial" w:cs="Arial"/>
          <w:color w:val="000000" w:themeColor="text1"/>
        </w:rPr>
        <w:t xml:space="preserve"> </w:t>
      </w:r>
      <w:r w:rsidRPr="00171AA5">
        <w:rPr>
          <w:rFonts w:ascii="Arial" w:hAnsi="Arial" w:cs="Arial"/>
          <w:color w:val="000000" w:themeColor="text1"/>
        </w:rPr>
        <w:t xml:space="preserve">The Supreme Court or Court of Appeal cannot invalidate legislation under the </w:t>
      </w:r>
      <w:r>
        <w:rPr>
          <w:rFonts w:ascii="Arial" w:hAnsi="Arial" w:cs="Arial"/>
          <w:color w:val="000000" w:themeColor="text1"/>
        </w:rPr>
        <w:t>HR Act</w:t>
      </w:r>
      <w:r w:rsidRPr="00171AA5">
        <w:rPr>
          <w:rFonts w:ascii="Arial" w:hAnsi="Arial" w:cs="Arial"/>
          <w:color w:val="000000" w:themeColor="text1"/>
        </w:rPr>
        <w:t>. Instead</w:t>
      </w:r>
      <w:r>
        <w:rPr>
          <w:rFonts w:ascii="Arial" w:hAnsi="Arial" w:cs="Arial"/>
          <w:color w:val="000000" w:themeColor="text1"/>
        </w:rPr>
        <w:t xml:space="preserve"> (as long as no override declaration is in place)</w:t>
      </w:r>
      <w:r w:rsidRPr="00171AA5">
        <w:rPr>
          <w:rFonts w:ascii="Arial" w:hAnsi="Arial" w:cs="Arial"/>
          <w:color w:val="000000" w:themeColor="text1"/>
        </w:rPr>
        <w:t xml:space="preserve"> it may make a declaration of incompatibility where the court is of the opinion that a statutory provision cannot be interpreted in a way compatible with human rights. The court must then give notice to the Attorney-General and the Commission of the incompatibility, but this does not affect the validity of the law.</w:t>
      </w:r>
      <w:r>
        <w:rPr>
          <w:rStyle w:val="FootnoteReference"/>
          <w:rFonts w:ascii="Arial" w:hAnsi="Arial" w:cs="Arial"/>
          <w:color w:val="000000" w:themeColor="text1"/>
        </w:rPr>
        <w:footnoteReference w:id="12"/>
      </w:r>
    </w:p>
    <w:p w14:paraId="45088735" w14:textId="65A3B95C" w:rsidR="00FC655A" w:rsidRPr="00FC655A" w:rsidRDefault="00FC655A" w:rsidP="004F510B">
      <w:pPr>
        <w:keepNext/>
        <w:spacing w:line="257" w:lineRule="auto"/>
        <w:rPr>
          <w:rFonts w:ascii="Arial" w:hAnsi="Arial" w:cs="Arial"/>
          <w:i/>
          <w:iCs/>
          <w:color w:val="000000" w:themeColor="text1"/>
        </w:rPr>
      </w:pPr>
      <w:r>
        <w:rPr>
          <w:rFonts w:ascii="Arial" w:hAnsi="Arial" w:cs="Arial"/>
          <w:i/>
          <w:iCs/>
          <w:color w:val="000000" w:themeColor="text1"/>
        </w:rPr>
        <w:t>Application to the CCC</w:t>
      </w:r>
    </w:p>
    <w:p w14:paraId="556C1627" w14:textId="264520D0"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The CCC and its employees are each ‘public entities’ under the </w:t>
      </w:r>
      <w:r w:rsidR="00FC655A" w:rsidRPr="00FC655A">
        <w:rPr>
          <w:rFonts w:ascii="Arial" w:hAnsi="Arial" w:cs="Arial"/>
          <w:color w:val="000000" w:themeColor="text1"/>
        </w:rPr>
        <w:t>HR Act</w:t>
      </w:r>
      <w:r w:rsidRPr="0051199E">
        <w:rPr>
          <w:rFonts w:ascii="Arial" w:hAnsi="Arial" w:cs="Arial"/>
          <w:color w:val="000000" w:themeColor="text1"/>
        </w:rPr>
        <w:t>, to which the obligations of s 58 of the HR Act apply.</w:t>
      </w:r>
      <w:r w:rsidRPr="0051199E">
        <w:rPr>
          <w:rStyle w:val="FootnoteReference"/>
          <w:rFonts w:ascii="Arial" w:hAnsi="Arial" w:cs="Arial"/>
          <w:color w:val="000000" w:themeColor="text1"/>
        </w:rPr>
        <w:footnoteReference w:id="13"/>
      </w:r>
      <w:r w:rsidRPr="0051199E">
        <w:rPr>
          <w:rFonts w:ascii="Arial" w:hAnsi="Arial" w:cs="Arial"/>
          <w:color w:val="000000" w:themeColor="text1"/>
        </w:rPr>
        <w:t xml:space="preserve"> </w:t>
      </w:r>
    </w:p>
    <w:p w14:paraId="00872115" w14:textId="3A4FC7AE"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The proper application of s 58 </w:t>
      </w:r>
      <w:r w:rsidR="003767D0">
        <w:rPr>
          <w:rFonts w:ascii="Arial" w:hAnsi="Arial" w:cs="Arial"/>
          <w:color w:val="000000" w:themeColor="text1"/>
        </w:rPr>
        <w:t xml:space="preserve">of the </w:t>
      </w:r>
      <w:r w:rsidRPr="0051199E">
        <w:rPr>
          <w:rFonts w:ascii="Arial" w:hAnsi="Arial" w:cs="Arial"/>
          <w:color w:val="000000" w:themeColor="text1"/>
        </w:rPr>
        <w:t>HR Act, which has been accepted by the CCC and otherwise held to apply to its decisions,</w:t>
      </w:r>
      <w:r w:rsidRPr="0051199E">
        <w:rPr>
          <w:rStyle w:val="FootnoteReference"/>
          <w:rFonts w:ascii="Arial" w:hAnsi="Arial" w:cs="Arial"/>
          <w:color w:val="000000" w:themeColor="text1"/>
        </w:rPr>
        <w:footnoteReference w:id="14"/>
      </w:r>
      <w:r w:rsidRPr="0051199E">
        <w:rPr>
          <w:rFonts w:ascii="Arial" w:hAnsi="Arial" w:cs="Arial"/>
          <w:color w:val="000000" w:themeColor="text1"/>
        </w:rPr>
        <w:t xml:space="preserve"> provides structure to decision-making affecting individual human rights, requiring the decision-maker to identify, understand and weigh human rights as against other identified important public interests.</w:t>
      </w:r>
      <w:r w:rsidRPr="0051199E">
        <w:rPr>
          <w:rStyle w:val="FootnoteReference"/>
          <w:rFonts w:ascii="Arial" w:hAnsi="Arial" w:cs="Arial"/>
          <w:color w:val="000000" w:themeColor="text1"/>
        </w:rPr>
        <w:footnoteReference w:id="15"/>
      </w:r>
      <w:r w:rsidRPr="0051199E">
        <w:rPr>
          <w:rFonts w:ascii="Arial" w:hAnsi="Arial" w:cs="Arial"/>
          <w:color w:val="000000" w:themeColor="text1"/>
        </w:rPr>
        <w:t xml:space="preserve"> </w:t>
      </w:r>
    </w:p>
    <w:p w14:paraId="160E8087" w14:textId="44B7A701" w:rsidR="0051199E" w:rsidRPr="0051199E" w:rsidRDefault="0051199E" w:rsidP="004F510B">
      <w:pPr>
        <w:rPr>
          <w:rFonts w:ascii="Arial" w:hAnsi="Arial" w:cs="Arial"/>
          <w:color w:val="000000" w:themeColor="text1"/>
        </w:rPr>
      </w:pPr>
      <w:r w:rsidRPr="0051199E">
        <w:rPr>
          <w:rFonts w:ascii="Arial" w:hAnsi="Arial" w:cs="Arial"/>
          <w:color w:val="000000" w:themeColor="text1"/>
        </w:rPr>
        <w:t>Accordingly, decision-making under the CC Act must, by application of s 58</w:t>
      </w:r>
      <w:r w:rsidR="003767D0">
        <w:rPr>
          <w:rFonts w:ascii="Arial" w:hAnsi="Arial" w:cs="Arial"/>
          <w:color w:val="000000" w:themeColor="text1"/>
        </w:rPr>
        <w:t xml:space="preserve"> of the</w:t>
      </w:r>
      <w:r w:rsidRPr="0051199E">
        <w:rPr>
          <w:rFonts w:ascii="Arial" w:hAnsi="Arial" w:cs="Arial"/>
          <w:color w:val="000000" w:themeColor="text1"/>
        </w:rPr>
        <w:t xml:space="preserve"> HR Act, involve the proper consideration of all relevant human rights, and, subject to the statute directing a particular incompatible result,</w:t>
      </w:r>
      <w:r w:rsidRPr="0051199E">
        <w:rPr>
          <w:rStyle w:val="FootnoteReference"/>
          <w:rFonts w:ascii="Arial" w:hAnsi="Arial" w:cs="Arial"/>
          <w:color w:val="000000" w:themeColor="text1"/>
        </w:rPr>
        <w:footnoteReference w:id="16"/>
      </w:r>
      <w:r w:rsidRPr="0051199E">
        <w:rPr>
          <w:rFonts w:ascii="Arial" w:hAnsi="Arial" w:cs="Arial"/>
          <w:color w:val="000000" w:themeColor="text1"/>
        </w:rPr>
        <w:t xml:space="preserve"> the exercise of discretion must be compatible with human rights. Furthermore, s 48 of the HR Act operates to ensure that all statutory provisions be interpreted, to the extent possible</w:t>
      </w:r>
      <w:r w:rsidR="003767D0">
        <w:rPr>
          <w:rFonts w:ascii="Arial" w:hAnsi="Arial" w:cs="Arial"/>
          <w:color w:val="000000" w:themeColor="text1"/>
        </w:rPr>
        <w:t>,</w:t>
      </w:r>
      <w:r w:rsidRPr="0051199E">
        <w:rPr>
          <w:rFonts w:ascii="Arial" w:hAnsi="Arial" w:cs="Arial"/>
          <w:color w:val="000000" w:themeColor="text1"/>
        </w:rPr>
        <w:t xml:space="preserve"> consistent with their purpose, compatibly with human rights. </w:t>
      </w:r>
    </w:p>
    <w:p w14:paraId="2EF9967A" w14:textId="0BD61BCD" w:rsidR="00FC655A" w:rsidRPr="00FC655A" w:rsidRDefault="00FC655A" w:rsidP="00134CC7">
      <w:pPr>
        <w:keepNext/>
        <w:spacing w:line="257" w:lineRule="auto"/>
        <w:rPr>
          <w:rFonts w:ascii="Arial" w:hAnsi="Arial" w:cs="Arial"/>
          <w:i/>
          <w:iCs/>
          <w:color w:val="000000" w:themeColor="text1"/>
        </w:rPr>
      </w:pPr>
      <w:r>
        <w:rPr>
          <w:rFonts w:ascii="Arial" w:hAnsi="Arial" w:cs="Arial"/>
          <w:i/>
          <w:iCs/>
          <w:color w:val="000000" w:themeColor="text1"/>
        </w:rPr>
        <w:lastRenderedPageBreak/>
        <w:t>Assessing compatibility with human rights</w:t>
      </w:r>
    </w:p>
    <w:p w14:paraId="620B166E" w14:textId="47B0442B"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Compatibility with human rights is a defined term: see s 8 </w:t>
      </w:r>
      <w:r w:rsidR="003767D0">
        <w:rPr>
          <w:rFonts w:ascii="Arial" w:hAnsi="Arial" w:cs="Arial"/>
          <w:color w:val="000000" w:themeColor="text1"/>
        </w:rPr>
        <w:t xml:space="preserve">of the </w:t>
      </w:r>
      <w:r w:rsidRPr="0051199E">
        <w:rPr>
          <w:rFonts w:ascii="Arial" w:hAnsi="Arial" w:cs="Arial"/>
          <w:color w:val="000000" w:themeColor="text1"/>
        </w:rPr>
        <w:t>HR Act. It will be satisfied if human rights are not limited, or, if limited, the limit is only to the extent that is reasonable and demonstrably justifiable under s 13. Section 13 embodies a proportionality test,</w:t>
      </w:r>
      <w:r w:rsidRPr="0051199E">
        <w:rPr>
          <w:rStyle w:val="FootnoteReference"/>
          <w:rFonts w:ascii="Arial" w:hAnsi="Arial" w:cs="Arial"/>
          <w:color w:val="000000" w:themeColor="text1"/>
        </w:rPr>
        <w:footnoteReference w:id="17"/>
      </w:r>
      <w:r w:rsidRPr="0051199E">
        <w:rPr>
          <w:rFonts w:ascii="Arial" w:hAnsi="Arial" w:cs="Arial"/>
          <w:color w:val="000000" w:themeColor="text1"/>
        </w:rPr>
        <w:t xml:space="preserve"> setting out relevant considerations to determine if limits are reasonable and justifiable, in a free and democratic society based on human dignity, equality and freedom. </w:t>
      </w:r>
    </w:p>
    <w:p w14:paraId="67DBBDAC" w14:textId="77777777"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The Victorian approach recently adopted by Martin J in </w:t>
      </w:r>
      <w:r w:rsidRPr="0051199E">
        <w:rPr>
          <w:rFonts w:ascii="Arial" w:hAnsi="Arial" w:cs="Arial"/>
          <w:i/>
          <w:iCs/>
          <w:color w:val="000000" w:themeColor="text1"/>
        </w:rPr>
        <w:t>Johnston v Carroll</w:t>
      </w:r>
      <w:r w:rsidRPr="0051199E">
        <w:rPr>
          <w:rStyle w:val="FootnoteReference"/>
          <w:rFonts w:ascii="Arial" w:hAnsi="Arial" w:cs="Arial"/>
          <w:i/>
          <w:iCs/>
          <w:color w:val="000000" w:themeColor="text1"/>
        </w:rPr>
        <w:footnoteReference w:id="18"/>
      </w:r>
      <w:r w:rsidRPr="0051199E">
        <w:rPr>
          <w:rFonts w:ascii="Arial" w:hAnsi="Arial" w:cs="Arial"/>
          <w:i/>
          <w:iCs/>
          <w:color w:val="000000" w:themeColor="text1"/>
        </w:rPr>
        <w:t xml:space="preserve"> </w:t>
      </w:r>
      <w:r w:rsidRPr="0051199E">
        <w:rPr>
          <w:rFonts w:ascii="Arial" w:hAnsi="Arial" w:cs="Arial"/>
          <w:color w:val="000000" w:themeColor="text1"/>
        </w:rPr>
        <w:t>to ascertaining compatibility with human rights was:</w:t>
      </w:r>
    </w:p>
    <w:p w14:paraId="74085250" w14:textId="77777777" w:rsidR="0051199E" w:rsidRPr="0051199E" w:rsidRDefault="0051199E" w:rsidP="004F510B">
      <w:pPr>
        <w:pStyle w:val="ListParagraph"/>
        <w:numPr>
          <w:ilvl w:val="0"/>
          <w:numId w:val="8"/>
        </w:numPr>
        <w:spacing w:line="240" w:lineRule="auto"/>
        <w:contextualSpacing w:val="0"/>
        <w:rPr>
          <w:rFonts w:ascii="Arial" w:hAnsi="Arial" w:cs="Arial"/>
          <w:color w:val="000000" w:themeColor="text1"/>
        </w:rPr>
      </w:pPr>
      <w:r w:rsidRPr="0051199E">
        <w:rPr>
          <w:rFonts w:ascii="Arial" w:hAnsi="Arial" w:cs="Arial"/>
          <w:color w:val="000000" w:themeColor="text1"/>
        </w:rPr>
        <w:t>identifying the human rights that are relevant to, engaged by or apparently limited by, the decision;</w:t>
      </w:r>
    </w:p>
    <w:p w14:paraId="7E4AB74D" w14:textId="77777777" w:rsidR="0051199E" w:rsidRPr="0051199E" w:rsidRDefault="0051199E" w:rsidP="004F510B">
      <w:pPr>
        <w:pStyle w:val="ListParagraph"/>
        <w:numPr>
          <w:ilvl w:val="0"/>
          <w:numId w:val="8"/>
        </w:numPr>
        <w:spacing w:line="240" w:lineRule="auto"/>
        <w:contextualSpacing w:val="0"/>
        <w:rPr>
          <w:rFonts w:ascii="Arial" w:hAnsi="Arial" w:cs="Arial"/>
          <w:color w:val="000000" w:themeColor="text1"/>
        </w:rPr>
      </w:pPr>
      <w:r w:rsidRPr="0051199E">
        <w:rPr>
          <w:rFonts w:ascii="Arial" w:hAnsi="Arial" w:cs="Arial"/>
          <w:color w:val="000000" w:themeColor="text1"/>
        </w:rPr>
        <w:t>determining whether the right has been limited (restricted or interfered with) – this requires considering the scope of the right; and</w:t>
      </w:r>
    </w:p>
    <w:p w14:paraId="13670913" w14:textId="77777777" w:rsidR="0051199E" w:rsidRPr="0051199E" w:rsidRDefault="0051199E" w:rsidP="004F510B">
      <w:pPr>
        <w:pStyle w:val="ListParagraph"/>
        <w:numPr>
          <w:ilvl w:val="0"/>
          <w:numId w:val="8"/>
        </w:numPr>
        <w:spacing w:line="240" w:lineRule="auto"/>
        <w:ind w:left="357" w:hanging="357"/>
        <w:contextualSpacing w:val="0"/>
        <w:rPr>
          <w:rFonts w:ascii="Arial" w:hAnsi="Arial" w:cs="Arial"/>
          <w:color w:val="000000" w:themeColor="text1"/>
        </w:rPr>
      </w:pPr>
      <w:r w:rsidRPr="0051199E">
        <w:rPr>
          <w:rFonts w:ascii="Arial" w:hAnsi="Arial" w:cs="Arial"/>
          <w:color w:val="000000" w:themeColor="text1"/>
        </w:rPr>
        <w:t xml:space="preserve">determining whether the limit is justified under s 13. </w:t>
      </w:r>
    </w:p>
    <w:p w14:paraId="446D3864" w14:textId="4AD54973" w:rsidR="0051199E" w:rsidRPr="0051199E" w:rsidRDefault="0051199E" w:rsidP="004F510B">
      <w:pPr>
        <w:rPr>
          <w:rFonts w:ascii="Arial" w:hAnsi="Arial" w:cs="Arial"/>
          <w:color w:val="000000" w:themeColor="text1"/>
        </w:rPr>
      </w:pPr>
      <w:r w:rsidRPr="0051199E">
        <w:rPr>
          <w:rFonts w:ascii="Arial" w:hAnsi="Arial" w:cs="Arial"/>
          <w:color w:val="000000" w:themeColor="text1"/>
        </w:rPr>
        <w:t>A number of human rights are engaged by the question of publication of such reports and statements by the CCC</w:t>
      </w:r>
      <w:r w:rsidR="00FC655A">
        <w:rPr>
          <w:rFonts w:ascii="Arial" w:hAnsi="Arial" w:cs="Arial"/>
          <w:color w:val="000000" w:themeColor="text1"/>
        </w:rPr>
        <w:t xml:space="preserve"> (each discussed in more detail below)</w:t>
      </w:r>
      <w:r w:rsidRPr="0051199E">
        <w:rPr>
          <w:rFonts w:ascii="Arial" w:hAnsi="Arial" w:cs="Arial"/>
          <w:color w:val="000000" w:themeColor="text1"/>
        </w:rPr>
        <w:t xml:space="preserve">. These include: </w:t>
      </w:r>
    </w:p>
    <w:p w14:paraId="2D193211" w14:textId="77777777" w:rsidR="0051199E" w:rsidRPr="0051199E" w:rsidRDefault="0051199E" w:rsidP="004F510B">
      <w:pPr>
        <w:pStyle w:val="ListParagraph"/>
        <w:numPr>
          <w:ilvl w:val="0"/>
          <w:numId w:val="6"/>
        </w:numPr>
        <w:spacing w:line="240" w:lineRule="auto"/>
        <w:contextualSpacing w:val="0"/>
        <w:rPr>
          <w:rFonts w:ascii="Arial" w:hAnsi="Arial" w:cs="Arial"/>
          <w:color w:val="000000" w:themeColor="text1"/>
        </w:rPr>
      </w:pPr>
      <w:r w:rsidRPr="0051199E">
        <w:rPr>
          <w:rFonts w:ascii="Arial" w:hAnsi="Arial" w:cs="Arial"/>
          <w:color w:val="000000" w:themeColor="text1"/>
        </w:rPr>
        <w:t>Common law rights to procedural fairness, also recognised in the right to a fair hearing (s 31 HR Act)</w:t>
      </w:r>
    </w:p>
    <w:p w14:paraId="3AA27292" w14:textId="77777777" w:rsidR="0051199E" w:rsidRPr="0051199E" w:rsidRDefault="0051199E" w:rsidP="004F510B">
      <w:pPr>
        <w:pStyle w:val="ListParagraph"/>
        <w:numPr>
          <w:ilvl w:val="0"/>
          <w:numId w:val="6"/>
        </w:numPr>
        <w:spacing w:line="240" w:lineRule="auto"/>
        <w:contextualSpacing w:val="0"/>
        <w:rPr>
          <w:rFonts w:ascii="Arial" w:hAnsi="Arial" w:cs="Arial"/>
          <w:color w:val="000000" w:themeColor="text1"/>
        </w:rPr>
      </w:pPr>
      <w:r w:rsidRPr="0051199E">
        <w:rPr>
          <w:rFonts w:ascii="Arial" w:hAnsi="Arial" w:cs="Arial"/>
          <w:color w:val="000000" w:themeColor="text1"/>
        </w:rPr>
        <w:t xml:space="preserve">Rights to privacy and reputation (s 25 HR Act) </w:t>
      </w:r>
    </w:p>
    <w:p w14:paraId="05120DF4" w14:textId="77777777" w:rsidR="0051199E" w:rsidRPr="0051199E" w:rsidRDefault="0051199E" w:rsidP="004F510B">
      <w:pPr>
        <w:pStyle w:val="ListParagraph"/>
        <w:numPr>
          <w:ilvl w:val="0"/>
          <w:numId w:val="6"/>
        </w:numPr>
        <w:spacing w:line="240" w:lineRule="auto"/>
        <w:contextualSpacing w:val="0"/>
        <w:rPr>
          <w:rFonts w:ascii="Arial" w:hAnsi="Arial" w:cs="Arial"/>
          <w:color w:val="000000" w:themeColor="text1"/>
        </w:rPr>
      </w:pPr>
      <w:r w:rsidRPr="0051199E">
        <w:rPr>
          <w:rFonts w:ascii="Arial" w:hAnsi="Arial" w:cs="Arial"/>
          <w:color w:val="000000" w:themeColor="text1"/>
        </w:rPr>
        <w:t xml:space="preserve">The right to property (s 24 HR Act) </w:t>
      </w:r>
    </w:p>
    <w:p w14:paraId="20AE04FC" w14:textId="77777777" w:rsidR="0051199E" w:rsidRPr="0051199E" w:rsidRDefault="0051199E" w:rsidP="004F510B">
      <w:pPr>
        <w:pStyle w:val="ListParagraph"/>
        <w:numPr>
          <w:ilvl w:val="0"/>
          <w:numId w:val="6"/>
        </w:numPr>
        <w:spacing w:line="240" w:lineRule="auto"/>
        <w:contextualSpacing w:val="0"/>
        <w:rPr>
          <w:rFonts w:ascii="Arial" w:hAnsi="Arial" w:cs="Arial"/>
          <w:color w:val="000000" w:themeColor="text1"/>
        </w:rPr>
      </w:pPr>
      <w:r w:rsidRPr="0051199E">
        <w:rPr>
          <w:rFonts w:ascii="Arial" w:hAnsi="Arial" w:cs="Arial"/>
          <w:color w:val="000000" w:themeColor="text1"/>
        </w:rPr>
        <w:t xml:space="preserve">The right to take part in public life (s 34 HR Act) </w:t>
      </w:r>
    </w:p>
    <w:p w14:paraId="1C92DDF3" w14:textId="4491C4B5" w:rsidR="0051199E" w:rsidRPr="00547509" w:rsidRDefault="0051199E" w:rsidP="004F510B">
      <w:pPr>
        <w:pStyle w:val="ListParagraph"/>
        <w:numPr>
          <w:ilvl w:val="0"/>
          <w:numId w:val="6"/>
        </w:numPr>
        <w:spacing w:line="240" w:lineRule="auto"/>
        <w:ind w:left="714" w:hanging="357"/>
        <w:contextualSpacing w:val="0"/>
        <w:rPr>
          <w:rFonts w:ascii="Arial" w:hAnsi="Arial" w:cs="Arial"/>
          <w:color w:val="000000" w:themeColor="text1"/>
        </w:rPr>
      </w:pPr>
      <w:r w:rsidRPr="0051199E">
        <w:rPr>
          <w:rFonts w:ascii="Arial" w:hAnsi="Arial" w:cs="Arial"/>
          <w:color w:val="000000" w:themeColor="text1"/>
        </w:rPr>
        <w:t xml:space="preserve">The rights of people charged with criminal offences or subject to disciplinary processes, to a fair trial (s 31), and to other criminal law rights (s 32 HR Act). </w:t>
      </w:r>
    </w:p>
    <w:p w14:paraId="401C5D40" w14:textId="77777777" w:rsidR="00AB04A1" w:rsidRDefault="00AB04A1" w:rsidP="004F510B">
      <w:pPr>
        <w:rPr>
          <w:rFonts w:ascii="Arial" w:hAnsi="Arial" w:cs="Arial"/>
          <w:color w:val="000000" w:themeColor="text1"/>
        </w:rPr>
      </w:pPr>
      <w:r>
        <w:rPr>
          <w:rFonts w:ascii="Arial" w:hAnsi="Arial" w:cs="Arial"/>
          <w:color w:val="000000" w:themeColor="text1"/>
        </w:rPr>
        <w:t>Some or all of these rights may be limited by public reporting of corruption investigations. Under s 13 of the HRA, c</w:t>
      </w:r>
      <w:r w:rsidR="0051199E" w:rsidRPr="0051199E">
        <w:rPr>
          <w:rFonts w:ascii="Arial" w:hAnsi="Arial" w:cs="Arial"/>
          <w:color w:val="000000" w:themeColor="text1"/>
        </w:rPr>
        <w:t>onsideration of compatibility with human rights</w:t>
      </w:r>
      <w:r>
        <w:rPr>
          <w:rFonts w:ascii="Arial" w:hAnsi="Arial" w:cs="Arial"/>
          <w:color w:val="000000" w:themeColor="text1"/>
        </w:rPr>
        <w:t>,</w:t>
      </w:r>
      <w:r w:rsidR="0051199E" w:rsidRPr="0051199E">
        <w:rPr>
          <w:rFonts w:ascii="Arial" w:hAnsi="Arial" w:cs="Arial"/>
          <w:color w:val="000000" w:themeColor="text1"/>
        </w:rPr>
        <w:t xml:space="preserve"> despite limits being placed upon </w:t>
      </w:r>
      <w:r>
        <w:rPr>
          <w:rFonts w:ascii="Arial" w:hAnsi="Arial" w:cs="Arial"/>
          <w:color w:val="000000" w:themeColor="text1"/>
        </w:rPr>
        <w:t>those rights,</w:t>
      </w:r>
      <w:r w:rsidR="0051199E" w:rsidRPr="0051199E">
        <w:rPr>
          <w:rFonts w:ascii="Arial" w:hAnsi="Arial" w:cs="Arial"/>
          <w:color w:val="000000" w:themeColor="text1"/>
        </w:rPr>
        <w:t xml:space="preserve"> </w:t>
      </w:r>
      <w:r>
        <w:rPr>
          <w:rFonts w:ascii="Arial" w:hAnsi="Arial" w:cs="Arial"/>
          <w:color w:val="000000" w:themeColor="text1"/>
        </w:rPr>
        <w:t>requires:</w:t>
      </w:r>
    </w:p>
    <w:p w14:paraId="7EFC0CCC" w14:textId="77777777" w:rsidR="00AB04A1" w:rsidRDefault="00AB04A1" w:rsidP="004F510B">
      <w:pPr>
        <w:pStyle w:val="ListParagraph"/>
        <w:numPr>
          <w:ilvl w:val="0"/>
          <w:numId w:val="11"/>
        </w:numPr>
        <w:spacing w:line="257" w:lineRule="auto"/>
        <w:ind w:left="714" w:hanging="357"/>
        <w:contextualSpacing w:val="0"/>
        <w:rPr>
          <w:rFonts w:ascii="Arial" w:hAnsi="Arial" w:cs="Arial"/>
          <w:color w:val="000000" w:themeColor="text1"/>
        </w:rPr>
      </w:pPr>
      <w:r w:rsidRPr="00AB04A1">
        <w:rPr>
          <w:rFonts w:ascii="Arial" w:hAnsi="Arial" w:cs="Arial"/>
          <w:color w:val="000000" w:themeColor="text1"/>
        </w:rPr>
        <w:t>attention to</w:t>
      </w:r>
      <w:r w:rsidR="0051199E" w:rsidRPr="00AB04A1">
        <w:rPr>
          <w:rFonts w:ascii="Arial" w:hAnsi="Arial" w:cs="Arial"/>
          <w:color w:val="000000" w:themeColor="text1"/>
        </w:rPr>
        <w:t xml:space="preserve"> the purpose for the power that authorises the limit, </w:t>
      </w:r>
      <w:r w:rsidRPr="00AB04A1">
        <w:rPr>
          <w:rFonts w:ascii="Arial" w:hAnsi="Arial" w:cs="Arial"/>
          <w:color w:val="000000" w:themeColor="text1"/>
        </w:rPr>
        <w:t xml:space="preserve">and </w:t>
      </w:r>
      <w:r w:rsidR="0051199E" w:rsidRPr="00AB04A1">
        <w:rPr>
          <w:rFonts w:ascii="Arial" w:hAnsi="Arial" w:cs="Arial"/>
          <w:color w:val="000000" w:themeColor="text1"/>
        </w:rPr>
        <w:t>whether it reflects a sufficiently important public interest, consistent with the repository’s institutional role and function, to outweigh individuals’ protected human rights</w:t>
      </w:r>
      <w:r>
        <w:rPr>
          <w:rFonts w:ascii="Arial" w:hAnsi="Arial" w:cs="Arial"/>
          <w:color w:val="000000" w:themeColor="text1"/>
        </w:rPr>
        <w:t xml:space="preserve">; and </w:t>
      </w:r>
      <w:r w:rsidR="0051199E" w:rsidRPr="00AB04A1">
        <w:rPr>
          <w:rFonts w:ascii="Arial" w:hAnsi="Arial" w:cs="Arial"/>
          <w:color w:val="000000" w:themeColor="text1"/>
        </w:rPr>
        <w:t xml:space="preserve"> </w:t>
      </w:r>
    </w:p>
    <w:p w14:paraId="5FC01FCA" w14:textId="6D5207A4" w:rsidR="0051199E" w:rsidRPr="00AB04A1" w:rsidRDefault="00AB04A1" w:rsidP="004F510B">
      <w:pPr>
        <w:pStyle w:val="ListParagraph"/>
        <w:numPr>
          <w:ilvl w:val="0"/>
          <w:numId w:val="11"/>
        </w:numPr>
        <w:spacing w:line="257" w:lineRule="auto"/>
        <w:ind w:left="714" w:hanging="357"/>
        <w:contextualSpacing w:val="0"/>
        <w:rPr>
          <w:rFonts w:ascii="Arial" w:hAnsi="Arial" w:cs="Arial"/>
          <w:color w:val="000000" w:themeColor="text1"/>
        </w:rPr>
      </w:pPr>
      <w:r w:rsidRPr="00AB04A1">
        <w:rPr>
          <w:rFonts w:ascii="Arial" w:hAnsi="Arial" w:cs="Arial"/>
          <w:color w:val="000000" w:themeColor="text1"/>
        </w:rPr>
        <w:t>consideration of whether</w:t>
      </w:r>
      <w:r w:rsidR="0051199E" w:rsidRPr="00AB04A1">
        <w:rPr>
          <w:rFonts w:ascii="Arial" w:hAnsi="Arial" w:cs="Arial"/>
          <w:color w:val="000000" w:themeColor="text1"/>
        </w:rPr>
        <w:t xml:space="preserve"> the limit to those human rights is narrowly tailored to purpose; being the least infringing upon human rights alternative reasonably available to meet the stated aim.</w:t>
      </w:r>
    </w:p>
    <w:p w14:paraId="0B4D9A3F" w14:textId="65B67076" w:rsidR="0051199E" w:rsidRPr="0051199E" w:rsidRDefault="0051199E" w:rsidP="004F510B">
      <w:pPr>
        <w:pStyle w:val="Heading1"/>
        <w:spacing w:before="0" w:after="160"/>
        <w:rPr>
          <w:rFonts w:ascii="Arial" w:hAnsi="Arial" w:cs="Arial"/>
          <w:b/>
          <w:bCs/>
          <w:color w:val="000000" w:themeColor="text1"/>
          <w:sz w:val="22"/>
          <w:szCs w:val="22"/>
        </w:rPr>
      </w:pPr>
      <w:r w:rsidRPr="0051199E">
        <w:rPr>
          <w:rFonts w:ascii="Arial" w:hAnsi="Arial" w:cs="Arial"/>
          <w:b/>
          <w:bCs/>
          <w:color w:val="000000" w:themeColor="text1"/>
          <w:sz w:val="22"/>
          <w:szCs w:val="22"/>
        </w:rPr>
        <w:t xml:space="preserve">Relevant human rights </w:t>
      </w:r>
    </w:p>
    <w:p w14:paraId="3B2317C9" w14:textId="77777777" w:rsidR="0051199E" w:rsidRPr="0051199E" w:rsidRDefault="0051199E" w:rsidP="004F510B">
      <w:pPr>
        <w:rPr>
          <w:rFonts w:ascii="Arial" w:hAnsi="Arial" w:cs="Arial"/>
          <w:color w:val="000000" w:themeColor="text1"/>
        </w:rPr>
      </w:pPr>
      <w:r w:rsidRPr="0051199E">
        <w:rPr>
          <w:rFonts w:ascii="Arial" w:hAnsi="Arial" w:cs="Arial"/>
          <w:color w:val="000000" w:themeColor="text1"/>
        </w:rPr>
        <w:t>The scope of any right should be construed in the broadest possible way by reference to the right’s purpose and underlying values.</w:t>
      </w:r>
      <w:r w:rsidRPr="0051199E">
        <w:rPr>
          <w:rStyle w:val="FootnoteReference"/>
          <w:rFonts w:ascii="Arial" w:hAnsi="Arial" w:cs="Arial"/>
          <w:color w:val="000000" w:themeColor="text1"/>
        </w:rPr>
        <w:footnoteReference w:id="19"/>
      </w:r>
    </w:p>
    <w:p w14:paraId="5B80A0D1" w14:textId="1CEAEA54" w:rsidR="0051199E" w:rsidRPr="0051199E" w:rsidRDefault="00D2223B" w:rsidP="004F510B">
      <w:pPr>
        <w:pStyle w:val="Heading2"/>
        <w:spacing w:before="0" w:after="160"/>
        <w:rPr>
          <w:rFonts w:ascii="Arial" w:hAnsi="Arial" w:cs="Arial"/>
          <w:i/>
          <w:iCs/>
          <w:color w:val="000000" w:themeColor="text1"/>
          <w:sz w:val="22"/>
          <w:szCs w:val="22"/>
        </w:rPr>
      </w:pPr>
      <w:r>
        <w:rPr>
          <w:rFonts w:ascii="Arial" w:hAnsi="Arial" w:cs="Arial"/>
          <w:i/>
          <w:iCs/>
          <w:color w:val="000000" w:themeColor="text1"/>
          <w:sz w:val="22"/>
          <w:szCs w:val="22"/>
        </w:rPr>
        <w:t>Common law procedural fairness and ri</w:t>
      </w:r>
      <w:r w:rsidR="0051199E" w:rsidRPr="0051199E">
        <w:rPr>
          <w:rFonts w:ascii="Arial" w:hAnsi="Arial" w:cs="Arial"/>
          <w:i/>
          <w:iCs/>
          <w:color w:val="000000" w:themeColor="text1"/>
          <w:sz w:val="22"/>
          <w:szCs w:val="22"/>
        </w:rPr>
        <w:t xml:space="preserve">ght to a fair hearing – s 31 HRA </w:t>
      </w:r>
    </w:p>
    <w:p w14:paraId="3608F7A3" w14:textId="0623D8E8"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The common law right to procedural fairness </w:t>
      </w:r>
      <w:r w:rsidR="00BE52D3">
        <w:rPr>
          <w:rFonts w:ascii="Arial" w:hAnsi="Arial" w:cs="Arial"/>
          <w:color w:val="000000" w:themeColor="text1"/>
        </w:rPr>
        <w:t>sits alongside</w:t>
      </w:r>
      <w:r w:rsidRPr="0051199E">
        <w:rPr>
          <w:rFonts w:ascii="Arial" w:hAnsi="Arial" w:cs="Arial"/>
          <w:color w:val="000000" w:themeColor="text1"/>
        </w:rPr>
        <w:t xml:space="preserve"> the right to a fair hearing, under s 31 </w:t>
      </w:r>
      <w:r w:rsidR="00650771">
        <w:rPr>
          <w:rFonts w:ascii="Arial" w:hAnsi="Arial" w:cs="Arial"/>
          <w:color w:val="000000" w:themeColor="text1"/>
        </w:rPr>
        <w:t xml:space="preserve">of the </w:t>
      </w:r>
      <w:r w:rsidRPr="0051199E">
        <w:rPr>
          <w:rFonts w:ascii="Arial" w:hAnsi="Arial" w:cs="Arial"/>
          <w:color w:val="000000" w:themeColor="text1"/>
        </w:rPr>
        <w:t>HR Act. Th</w:t>
      </w:r>
      <w:r w:rsidR="007E1586">
        <w:rPr>
          <w:rFonts w:ascii="Arial" w:hAnsi="Arial" w:cs="Arial"/>
          <w:color w:val="000000" w:themeColor="text1"/>
        </w:rPr>
        <w:t>e</w:t>
      </w:r>
      <w:r w:rsidRPr="0051199E">
        <w:rPr>
          <w:rFonts w:ascii="Arial" w:hAnsi="Arial" w:cs="Arial"/>
          <w:color w:val="000000" w:themeColor="text1"/>
        </w:rPr>
        <w:t xml:space="preserve"> right</w:t>
      </w:r>
      <w:r w:rsidR="007E1586">
        <w:rPr>
          <w:rFonts w:ascii="Arial" w:hAnsi="Arial" w:cs="Arial"/>
          <w:color w:val="000000" w:themeColor="text1"/>
        </w:rPr>
        <w:t xml:space="preserve"> to a fair hearing</w:t>
      </w:r>
      <w:r w:rsidR="00893D55">
        <w:rPr>
          <w:rFonts w:ascii="Arial" w:hAnsi="Arial" w:cs="Arial"/>
          <w:color w:val="000000" w:themeColor="text1"/>
        </w:rPr>
        <w:t xml:space="preserve"> is not confined to judicial proceedings, but</w:t>
      </w:r>
      <w:r w:rsidRPr="0051199E">
        <w:rPr>
          <w:rFonts w:ascii="Arial" w:hAnsi="Arial" w:cs="Arial"/>
          <w:color w:val="000000" w:themeColor="text1"/>
        </w:rPr>
        <w:t xml:space="preserve"> </w:t>
      </w:r>
      <w:r w:rsidR="007E1586">
        <w:rPr>
          <w:rFonts w:ascii="Arial" w:hAnsi="Arial" w:cs="Arial"/>
          <w:color w:val="000000" w:themeColor="text1"/>
        </w:rPr>
        <w:lastRenderedPageBreak/>
        <w:t xml:space="preserve">also </w:t>
      </w:r>
      <w:r w:rsidR="00893D55">
        <w:rPr>
          <w:rFonts w:ascii="Arial" w:hAnsi="Arial" w:cs="Arial"/>
          <w:color w:val="000000" w:themeColor="text1"/>
        </w:rPr>
        <w:t>appl</w:t>
      </w:r>
      <w:r w:rsidR="007E1586">
        <w:rPr>
          <w:rFonts w:ascii="Arial" w:hAnsi="Arial" w:cs="Arial"/>
          <w:color w:val="000000" w:themeColor="text1"/>
        </w:rPr>
        <w:t>ies</w:t>
      </w:r>
      <w:r w:rsidR="00893D55">
        <w:rPr>
          <w:rFonts w:ascii="Arial" w:hAnsi="Arial" w:cs="Arial"/>
          <w:color w:val="000000" w:themeColor="text1"/>
        </w:rPr>
        <w:t xml:space="preserve"> to certain </w:t>
      </w:r>
      <w:r w:rsidR="00D2223B">
        <w:rPr>
          <w:rFonts w:ascii="Arial" w:hAnsi="Arial" w:cs="Arial"/>
          <w:color w:val="000000" w:themeColor="text1"/>
        </w:rPr>
        <w:t>proc</w:t>
      </w:r>
      <w:r w:rsidR="0022383C">
        <w:rPr>
          <w:rFonts w:ascii="Arial" w:hAnsi="Arial" w:cs="Arial"/>
          <w:color w:val="000000" w:themeColor="text1"/>
        </w:rPr>
        <w:t>eedings</w:t>
      </w:r>
      <w:r w:rsidR="00893D55">
        <w:rPr>
          <w:rFonts w:ascii="Arial" w:hAnsi="Arial" w:cs="Arial"/>
          <w:color w:val="000000" w:themeColor="text1"/>
        </w:rPr>
        <w:t xml:space="preserve"> of</w:t>
      </w:r>
      <w:r w:rsidR="0022383C">
        <w:rPr>
          <w:rFonts w:ascii="Arial" w:hAnsi="Arial" w:cs="Arial"/>
          <w:color w:val="000000" w:themeColor="text1"/>
        </w:rPr>
        <w:t xml:space="preserve"> an</w:t>
      </w:r>
      <w:r w:rsidR="00893D55">
        <w:rPr>
          <w:rFonts w:ascii="Arial" w:hAnsi="Arial" w:cs="Arial"/>
          <w:color w:val="000000" w:themeColor="text1"/>
        </w:rPr>
        <w:t xml:space="preserve"> </w:t>
      </w:r>
      <w:r w:rsidRPr="0051199E">
        <w:rPr>
          <w:rFonts w:ascii="Arial" w:hAnsi="Arial" w:cs="Arial"/>
          <w:color w:val="000000" w:themeColor="text1"/>
        </w:rPr>
        <w:t>administrative</w:t>
      </w:r>
      <w:r w:rsidR="0022383C">
        <w:rPr>
          <w:rFonts w:ascii="Arial" w:hAnsi="Arial" w:cs="Arial"/>
          <w:color w:val="000000" w:themeColor="text1"/>
        </w:rPr>
        <w:t xml:space="preserve"> character</w:t>
      </w:r>
      <w:r w:rsidRPr="0051199E">
        <w:rPr>
          <w:rFonts w:ascii="Arial" w:hAnsi="Arial" w:cs="Arial"/>
          <w:color w:val="000000" w:themeColor="text1"/>
        </w:rPr>
        <w:t>.</w:t>
      </w:r>
      <w:r w:rsidRPr="0051199E">
        <w:rPr>
          <w:rStyle w:val="FootnoteReference"/>
          <w:rFonts w:ascii="Arial" w:hAnsi="Arial" w:cs="Arial"/>
          <w:color w:val="000000" w:themeColor="text1"/>
        </w:rPr>
        <w:footnoteReference w:id="20"/>
      </w:r>
      <w:r w:rsidRPr="0051199E">
        <w:rPr>
          <w:rFonts w:ascii="Arial" w:hAnsi="Arial" w:cs="Arial"/>
          <w:color w:val="000000" w:themeColor="text1"/>
        </w:rPr>
        <w:t xml:space="preserve"> Its content dovetails with the requirements of natural justice under common law – the two sources of rights are ‘mutually reinforcing’.</w:t>
      </w:r>
      <w:r w:rsidRPr="0051199E">
        <w:rPr>
          <w:rStyle w:val="FootnoteReference"/>
          <w:rFonts w:ascii="Arial" w:hAnsi="Arial" w:cs="Arial"/>
          <w:color w:val="000000" w:themeColor="text1"/>
        </w:rPr>
        <w:footnoteReference w:id="21"/>
      </w:r>
      <w:r w:rsidRPr="0051199E">
        <w:rPr>
          <w:rFonts w:ascii="Arial" w:hAnsi="Arial" w:cs="Arial"/>
          <w:color w:val="000000" w:themeColor="text1"/>
        </w:rPr>
        <w:t xml:space="preserve"> Consistently with the rules of procedural fairness, the requirements of a fair hearing are flexible, depending upon the features of the case.</w:t>
      </w:r>
      <w:r w:rsidRPr="0051199E">
        <w:rPr>
          <w:rStyle w:val="FootnoteReference"/>
          <w:rFonts w:ascii="Arial" w:hAnsi="Arial" w:cs="Arial"/>
          <w:color w:val="000000" w:themeColor="text1"/>
        </w:rPr>
        <w:footnoteReference w:id="22"/>
      </w:r>
    </w:p>
    <w:p w14:paraId="514CCA01" w14:textId="33F986AF" w:rsidR="0051199E" w:rsidRPr="0051199E" w:rsidRDefault="0051199E" w:rsidP="004F510B">
      <w:pPr>
        <w:rPr>
          <w:rFonts w:ascii="Arial" w:hAnsi="Arial" w:cs="Arial"/>
          <w:color w:val="000000" w:themeColor="text1"/>
        </w:rPr>
      </w:pPr>
      <w:r w:rsidRPr="0051199E">
        <w:rPr>
          <w:rFonts w:ascii="Arial" w:hAnsi="Arial" w:cs="Arial"/>
          <w:color w:val="000000" w:themeColor="text1"/>
        </w:rPr>
        <w:t>As already noted, the rights of a witness or suspect under investigation by the CCC to procedural fairness do not extend to interrogating evidence that might exist against them through cross-examination or otherwise. There is no judicial process undertaken by the CCC before findings are made, and no external merits review mechanisms for the decision to publish a report or with respect to its contents including adverse findings.</w:t>
      </w:r>
    </w:p>
    <w:p w14:paraId="18CCFB7B" w14:textId="3547B2C7" w:rsidR="0051199E" w:rsidRDefault="0051199E" w:rsidP="004F510B">
      <w:pPr>
        <w:rPr>
          <w:rFonts w:ascii="Arial" w:hAnsi="Arial" w:cs="Arial"/>
          <w:color w:val="000000" w:themeColor="text1"/>
        </w:rPr>
      </w:pPr>
      <w:r w:rsidRPr="0051199E">
        <w:rPr>
          <w:rFonts w:ascii="Arial" w:hAnsi="Arial" w:cs="Arial"/>
          <w:color w:val="000000" w:themeColor="text1"/>
        </w:rPr>
        <w:t>It is uncontroversial that procedural fairness conditions the publication of adverse findings in any public report. Section 71A</w:t>
      </w:r>
      <w:r w:rsidR="005E7997">
        <w:rPr>
          <w:rFonts w:ascii="Arial" w:hAnsi="Arial" w:cs="Arial"/>
          <w:color w:val="000000" w:themeColor="text1"/>
        </w:rPr>
        <w:t xml:space="preserve"> of the CC Act (and amendments to it such as those proposed in the Private Members’ Bill introduced in relation to the Act in 2023</w:t>
      </w:r>
      <w:r w:rsidR="005E7997">
        <w:rPr>
          <w:rStyle w:val="FootnoteReference"/>
          <w:rFonts w:ascii="Arial" w:hAnsi="Arial" w:cs="Arial"/>
          <w:color w:val="000000" w:themeColor="text1"/>
        </w:rPr>
        <w:footnoteReference w:id="23"/>
      </w:r>
      <w:r w:rsidR="005E7997">
        <w:rPr>
          <w:rFonts w:ascii="Arial" w:hAnsi="Arial" w:cs="Arial"/>
          <w:color w:val="000000" w:themeColor="text1"/>
        </w:rPr>
        <w:t>)</w:t>
      </w:r>
      <w:r w:rsidRPr="0051199E">
        <w:rPr>
          <w:rFonts w:ascii="Arial" w:hAnsi="Arial" w:cs="Arial"/>
          <w:i/>
          <w:iCs/>
          <w:color w:val="000000" w:themeColor="text1"/>
        </w:rPr>
        <w:t xml:space="preserve"> </w:t>
      </w:r>
      <w:r w:rsidRPr="0051199E">
        <w:rPr>
          <w:rFonts w:ascii="Arial" w:hAnsi="Arial" w:cs="Arial"/>
          <w:color w:val="000000" w:themeColor="text1"/>
        </w:rPr>
        <w:t>are designed to provide procedural fairness to those who are named in CCC reports and statements</w:t>
      </w:r>
      <w:r w:rsidR="005E7997">
        <w:rPr>
          <w:rFonts w:ascii="Arial" w:hAnsi="Arial" w:cs="Arial"/>
          <w:color w:val="000000" w:themeColor="text1"/>
        </w:rPr>
        <w:t xml:space="preserve"> by notifying those individuals that the CCC intends to make an adverse comment, giving them the opportunity to made submissions in relation to the adverse comment, and ensuring that those submissions are reflected in any report making such adverse comment</w:t>
      </w:r>
      <w:r w:rsidRPr="0051199E">
        <w:rPr>
          <w:rFonts w:ascii="Arial" w:hAnsi="Arial" w:cs="Arial"/>
          <w:color w:val="000000" w:themeColor="text1"/>
        </w:rPr>
        <w:t>. The</w:t>
      </w:r>
      <w:r w:rsidR="005E7997">
        <w:rPr>
          <w:rFonts w:ascii="Arial" w:hAnsi="Arial" w:cs="Arial"/>
          <w:color w:val="000000" w:themeColor="text1"/>
        </w:rPr>
        <w:t xml:space="preserve"> breadth of proposed amendments in the Private Members’ Bill </w:t>
      </w:r>
      <w:r w:rsidRPr="0051199E">
        <w:rPr>
          <w:rFonts w:ascii="Arial" w:hAnsi="Arial" w:cs="Arial"/>
          <w:color w:val="000000" w:themeColor="text1"/>
        </w:rPr>
        <w:t>would permit their content to be flexible according to the circumstances of the case. However, disclosure does not extend past a requirement to disclose the substance, in summary, of the adverse material, and not to disclose the evidence itself.</w:t>
      </w:r>
      <w:r w:rsidRPr="0051199E">
        <w:rPr>
          <w:rStyle w:val="FootnoteReference"/>
          <w:rFonts w:ascii="Arial" w:hAnsi="Arial" w:cs="Arial"/>
          <w:color w:val="000000" w:themeColor="text1"/>
        </w:rPr>
        <w:t xml:space="preserve"> </w:t>
      </w:r>
      <w:r w:rsidRPr="0051199E">
        <w:rPr>
          <w:rStyle w:val="FootnoteReference"/>
          <w:rFonts w:ascii="Arial" w:hAnsi="Arial" w:cs="Arial"/>
          <w:color w:val="000000" w:themeColor="text1"/>
        </w:rPr>
        <w:footnoteReference w:id="24"/>
      </w:r>
    </w:p>
    <w:p w14:paraId="42D1DB89" w14:textId="30DA6A89"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Construing </w:t>
      </w:r>
      <w:r w:rsidR="0022383C">
        <w:rPr>
          <w:rFonts w:ascii="Arial" w:hAnsi="Arial" w:cs="Arial"/>
          <w:color w:val="000000" w:themeColor="text1"/>
        </w:rPr>
        <w:t xml:space="preserve">procedural fairness broadly, it may be appropriate </w:t>
      </w:r>
      <w:r w:rsidR="00534470">
        <w:rPr>
          <w:rFonts w:ascii="Arial" w:hAnsi="Arial" w:cs="Arial"/>
          <w:color w:val="000000" w:themeColor="text1"/>
        </w:rPr>
        <w:t xml:space="preserve">for legislation </w:t>
      </w:r>
      <w:r w:rsidR="0022383C">
        <w:rPr>
          <w:rFonts w:ascii="Arial" w:hAnsi="Arial" w:cs="Arial"/>
          <w:color w:val="000000" w:themeColor="text1"/>
        </w:rPr>
        <w:t>to allow</w:t>
      </w:r>
      <w:r w:rsidRPr="0051199E">
        <w:rPr>
          <w:rFonts w:ascii="Arial" w:hAnsi="Arial" w:cs="Arial"/>
          <w:color w:val="000000" w:themeColor="text1"/>
        </w:rPr>
        <w:t xml:space="preserve"> a person potentially affected by a report proposed to be published to make submissions regarding anonymisation and the decision to report the matter publicly in addition to any response that is to be made as to its proposed content. </w:t>
      </w:r>
    </w:p>
    <w:p w14:paraId="535520B3" w14:textId="77777777" w:rsidR="0051199E" w:rsidRPr="0051199E" w:rsidRDefault="0051199E" w:rsidP="004F510B">
      <w:pPr>
        <w:pStyle w:val="Heading2"/>
        <w:spacing w:before="0" w:after="160"/>
        <w:rPr>
          <w:rFonts w:ascii="Arial" w:hAnsi="Arial" w:cs="Arial"/>
          <w:i/>
          <w:iCs/>
          <w:color w:val="000000" w:themeColor="text1"/>
          <w:sz w:val="22"/>
          <w:szCs w:val="22"/>
        </w:rPr>
      </w:pPr>
      <w:r w:rsidRPr="0051199E">
        <w:rPr>
          <w:rFonts w:ascii="Arial" w:hAnsi="Arial" w:cs="Arial"/>
          <w:i/>
          <w:iCs/>
          <w:color w:val="000000" w:themeColor="text1"/>
          <w:sz w:val="22"/>
          <w:szCs w:val="22"/>
        </w:rPr>
        <w:t>Right to privacy – s 25(a)</w:t>
      </w:r>
    </w:p>
    <w:p w14:paraId="04789C99" w14:textId="17B6FBED" w:rsidR="0051199E" w:rsidRPr="0051199E" w:rsidRDefault="0051199E" w:rsidP="004F510B">
      <w:pPr>
        <w:rPr>
          <w:rFonts w:ascii="Arial" w:hAnsi="Arial" w:cs="Arial"/>
          <w:i/>
          <w:iCs/>
          <w:color w:val="000000" w:themeColor="text1"/>
        </w:rPr>
      </w:pPr>
      <w:r w:rsidRPr="0051199E">
        <w:rPr>
          <w:rFonts w:ascii="Arial" w:hAnsi="Arial" w:cs="Arial"/>
          <w:color w:val="000000" w:themeColor="text1"/>
        </w:rPr>
        <w:t xml:space="preserve">The rights to privacy and reputation in s 25 </w:t>
      </w:r>
      <w:r w:rsidR="00650771">
        <w:rPr>
          <w:rFonts w:ascii="Arial" w:hAnsi="Arial" w:cs="Arial"/>
          <w:color w:val="000000" w:themeColor="text1"/>
        </w:rPr>
        <w:t xml:space="preserve">of the HRA </w:t>
      </w:r>
      <w:r w:rsidRPr="0051199E">
        <w:rPr>
          <w:rFonts w:ascii="Arial" w:hAnsi="Arial" w:cs="Arial"/>
          <w:color w:val="000000" w:themeColor="text1"/>
        </w:rPr>
        <w:t>are modelled on Art 17(1) of the ICCPR.</w:t>
      </w:r>
      <w:r w:rsidRPr="0051199E">
        <w:rPr>
          <w:rStyle w:val="FootnoteReference"/>
          <w:rFonts w:ascii="Arial" w:hAnsi="Arial" w:cs="Arial"/>
          <w:color w:val="000000" w:themeColor="text1"/>
        </w:rPr>
        <w:footnoteReference w:id="25"/>
      </w:r>
      <w:r w:rsidRPr="0051199E">
        <w:rPr>
          <w:rFonts w:ascii="Arial" w:hAnsi="Arial" w:cs="Arial"/>
          <w:color w:val="000000" w:themeColor="text1"/>
        </w:rPr>
        <w:t xml:space="preserve"> The concept of privacy extends from the traditional aspects of a person’s private life (family, home, belongings, correspondence) to include physical and mental integrity, legal personality, individual identity and choice with respect to release of information.</w:t>
      </w:r>
      <w:r w:rsidRPr="0051199E">
        <w:rPr>
          <w:rStyle w:val="FootnoteReference"/>
          <w:rFonts w:ascii="Arial" w:hAnsi="Arial" w:cs="Arial"/>
          <w:color w:val="000000" w:themeColor="text1"/>
        </w:rPr>
        <w:footnoteReference w:id="26"/>
      </w:r>
      <w:r w:rsidRPr="0051199E">
        <w:rPr>
          <w:rFonts w:ascii="Arial" w:hAnsi="Arial" w:cs="Arial"/>
          <w:color w:val="000000" w:themeColor="text1"/>
        </w:rPr>
        <w:t xml:space="preserve"> Bell J in </w:t>
      </w:r>
      <w:r w:rsidRPr="0051199E">
        <w:rPr>
          <w:rFonts w:ascii="Arial" w:hAnsi="Arial" w:cs="Arial"/>
          <w:i/>
          <w:iCs/>
          <w:color w:val="000000" w:themeColor="text1"/>
        </w:rPr>
        <w:t xml:space="preserve">Director of Housing v Sudi </w:t>
      </w:r>
      <w:r w:rsidRPr="0051199E">
        <w:rPr>
          <w:rFonts w:ascii="Arial" w:hAnsi="Arial" w:cs="Arial"/>
          <w:color w:val="000000" w:themeColor="text1"/>
        </w:rPr>
        <w:t xml:space="preserve">described the right as protecting </w:t>
      </w:r>
      <w:r w:rsidR="005E7997" w:rsidRPr="005E7997">
        <w:rPr>
          <w:rFonts w:ascii="Arial" w:hAnsi="Arial" w:cs="Arial"/>
          <w:color w:val="000000" w:themeColor="text1"/>
        </w:rPr>
        <w:t>‘</w:t>
      </w:r>
      <w:r w:rsidRPr="005E7997">
        <w:rPr>
          <w:rFonts w:ascii="Arial" w:hAnsi="Arial" w:cs="Arial"/>
          <w:color w:val="000000" w:themeColor="text1"/>
        </w:rPr>
        <w:t>the existence, autonomy, security and wellbeing of every individual in their own private sphere</w:t>
      </w:r>
      <w:r w:rsidR="005E7997" w:rsidRPr="005E7997">
        <w:rPr>
          <w:rFonts w:ascii="Arial" w:hAnsi="Arial" w:cs="Arial"/>
          <w:color w:val="000000" w:themeColor="text1"/>
        </w:rPr>
        <w:t>’</w:t>
      </w:r>
      <w:r w:rsidRPr="005E7997">
        <w:rPr>
          <w:rFonts w:ascii="Arial" w:hAnsi="Arial" w:cs="Arial"/>
          <w:color w:val="000000" w:themeColor="text1"/>
        </w:rPr>
        <w:t>.</w:t>
      </w:r>
      <w:r w:rsidRPr="005E7997">
        <w:rPr>
          <w:rStyle w:val="FootnoteReference"/>
          <w:rFonts w:ascii="Arial" w:hAnsi="Arial" w:cs="Arial"/>
          <w:color w:val="000000" w:themeColor="text1"/>
        </w:rPr>
        <w:footnoteReference w:id="27"/>
      </w:r>
      <w:r w:rsidRPr="0051199E">
        <w:rPr>
          <w:rFonts w:ascii="Arial" w:hAnsi="Arial" w:cs="Arial"/>
          <w:i/>
          <w:iCs/>
          <w:color w:val="000000" w:themeColor="text1"/>
        </w:rPr>
        <w:t xml:space="preserve"> </w:t>
      </w:r>
    </w:p>
    <w:p w14:paraId="326ECE01" w14:textId="0F559493" w:rsidR="0051199E" w:rsidRPr="0051199E" w:rsidRDefault="0051199E" w:rsidP="004F510B">
      <w:pPr>
        <w:rPr>
          <w:rFonts w:ascii="Arial" w:hAnsi="Arial" w:cs="Arial"/>
          <w:color w:val="000000" w:themeColor="text1"/>
        </w:rPr>
      </w:pPr>
      <w:r w:rsidRPr="0051199E">
        <w:rPr>
          <w:rFonts w:ascii="Arial" w:hAnsi="Arial" w:cs="Arial"/>
          <w:color w:val="000000" w:themeColor="text1"/>
        </w:rPr>
        <w:t>The right to privacy has been interpreted under the European Convention, but not yet by the UN Human Rights Committee</w:t>
      </w:r>
      <w:r w:rsidR="000A3B7B">
        <w:rPr>
          <w:rFonts w:ascii="Arial" w:hAnsi="Arial" w:cs="Arial"/>
          <w:color w:val="000000" w:themeColor="text1"/>
        </w:rPr>
        <w:t>,</w:t>
      </w:r>
      <w:r w:rsidRPr="0051199E">
        <w:rPr>
          <w:rFonts w:ascii="Arial" w:hAnsi="Arial" w:cs="Arial"/>
          <w:color w:val="000000" w:themeColor="text1"/>
        </w:rPr>
        <w:t xml:space="preserve"> to include the way one interacts with the world, by forming </w:t>
      </w:r>
      <w:r w:rsidRPr="0051199E">
        <w:rPr>
          <w:rFonts w:ascii="Arial" w:hAnsi="Arial" w:cs="Arial"/>
          <w:color w:val="000000" w:themeColor="text1"/>
        </w:rPr>
        <w:lastRenderedPageBreak/>
        <w:t>relationships and expressing oneself personally or in business.</w:t>
      </w:r>
      <w:r w:rsidRPr="0051199E">
        <w:rPr>
          <w:rStyle w:val="FootnoteReference"/>
          <w:rFonts w:ascii="Arial" w:hAnsi="Arial" w:cs="Arial"/>
          <w:color w:val="000000" w:themeColor="text1"/>
        </w:rPr>
        <w:footnoteReference w:id="28"/>
      </w:r>
      <w:r w:rsidRPr="0051199E">
        <w:rPr>
          <w:rFonts w:ascii="Arial" w:hAnsi="Arial" w:cs="Arial"/>
          <w:color w:val="000000" w:themeColor="text1"/>
        </w:rPr>
        <w:t xml:space="preserve"> It is arguable that the right to privacy in s 25(a) therefore also protects some aspects of the right to work.</w:t>
      </w:r>
      <w:r w:rsidRPr="0051199E">
        <w:rPr>
          <w:rStyle w:val="FootnoteReference"/>
          <w:rFonts w:ascii="Arial" w:hAnsi="Arial" w:cs="Arial"/>
          <w:color w:val="000000" w:themeColor="text1"/>
        </w:rPr>
        <w:footnoteReference w:id="29"/>
      </w:r>
    </w:p>
    <w:p w14:paraId="715A0ECF" w14:textId="77777777" w:rsidR="0051199E" w:rsidRPr="0051199E" w:rsidRDefault="0051199E" w:rsidP="004F510B">
      <w:pPr>
        <w:rPr>
          <w:rFonts w:ascii="Arial" w:hAnsi="Arial" w:cs="Arial"/>
          <w:color w:val="000000" w:themeColor="text1"/>
        </w:rPr>
      </w:pPr>
      <w:r w:rsidRPr="0051199E">
        <w:rPr>
          <w:rFonts w:ascii="Arial" w:eastAsiaTheme="majorEastAsia" w:hAnsi="Arial" w:cs="Arial"/>
          <w:color w:val="000000" w:themeColor="text1"/>
        </w:rPr>
        <w:t>It should also be noted, however, that the European Court of Human Rights has recently indicated that some persons, by virtue of their position in public office, can be taken to have consented to interference with some aspects of his or her business life, particularly where the intrusion relates to an area that the public may validly be interested in.</w:t>
      </w:r>
      <w:r w:rsidRPr="0051199E">
        <w:rPr>
          <w:rStyle w:val="FootnoteReference"/>
          <w:rFonts w:ascii="Arial" w:eastAsiaTheme="majorEastAsia" w:hAnsi="Arial" w:cs="Arial"/>
          <w:color w:val="000000" w:themeColor="text1"/>
        </w:rPr>
        <w:footnoteReference w:id="30"/>
      </w:r>
      <w:r w:rsidRPr="0051199E">
        <w:rPr>
          <w:rFonts w:ascii="Arial" w:eastAsiaTheme="majorEastAsia" w:hAnsi="Arial" w:cs="Arial"/>
          <w:color w:val="000000" w:themeColor="text1"/>
        </w:rPr>
        <w:t xml:space="preserve"> </w:t>
      </w:r>
    </w:p>
    <w:p w14:paraId="6D5C78C5" w14:textId="2B02EE50"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The protection for privacy is against </w:t>
      </w:r>
      <w:r w:rsidR="005E7997">
        <w:rPr>
          <w:rFonts w:ascii="Arial" w:hAnsi="Arial" w:cs="Arial"/>
          <w:color w:val="000000" w:themeColor="text1"/>
        </w:rPr>
        <w:t>‘</w:t>
      </w:r>
      <w:r w:rsidRPr="0051199E">
        <w:rPr>
          <w:rFonts w:ascii="Arial" w:hAnsi="Arial" w:cs="Arial"/>
          <w:color w:val="000000" w:themeColor="text1"/>
        </w:rPr>
        <w:t>unlawful or arbitrary</w:t>
      </w:r>
      <w:r w:rsidR="005E7997">
        <w:rPr>
          <w:rFonts w:ascii="Arial" w:hAnsi="Arial" w:cs="Arial"/>
          <w:color w:val="000000" w:themeColor="text1"/>
        </w:rPr>
        <w:t>’</w:t>
      </w:r>
      <w:r w:rsidRPr="0051199E">
        <w:rPr>
          <w:rFonts w:ascii="Arial" w:hAnsi="Arial" w:cs="Arial"/>
          <w:color w:val="000000" w:themeColor="text1"/>
        </w:rPr>
        <w:t xml:space="preserve"> interference. In a decision that has been adopted in Queensland,</w:t>
      </w:r>
      <w:r w:rsidRPr="0051199E">
        <w:rPr>
          <w:rStyle w:val="FootnoteReference"/>
          <w:rFonts w:ascii="Arial" w:hAnsi="Arial" w:cs="Arial"/>
          <w:color w:val="000000" w:themeColor="text1"/>
        </w:rPr>
        <w:footnoteReference w:id="31"/>
      </w:r>
      <w:r w:rsidRPr="0051199E">
        <w:rPr>
          <w:rFonts w:ascii="Arial" w:hAnsi="Arial" w:cs="Arial"/>
          <w:color w:val="000000" w:themeColor="text1"/>
        </w:rPr>
        <w:t xml:space="preserve"> in </w:t>
      </w:r>
      <w:r w:rsidRPr="0051199E">
        <w:rPr>
          <w:rFonts w:ascii="Arial" w:hAnsi="Arial" w:cs="Arial"/>
          <w:i/>
          <w:iCs/>
          <w:color w:val="000000" w:themeColor="text1"/>
        </w:rPr>
        <w:t xml:space="preserve">Thompson v Minogue, </w:t>
      </w:r>
      <w:r w:rsidRPr="0051199E">
        <w:rPr>
          <w:rFonts w:ascii="Arial" w:hAnsi="Arial" w:cs="Arial"/>
          <w:color w:val="000000" w:themeColor="text1"/>
        </w:rPr>
        <w:t xml:space="preserve">the Victorian Court of Appeal considered that </w:t>
      </w:r>
      <w:r w:rsidR="005E7997">
        <w:rPr>
          <w:rFonts w:ascii="Arial" w:hAnsi="Arial" w:cs="Arial"/>
          <w:color w:val="000000" w:themeColor="text1"/>
        </w:rPr>
        <w:t>‘</w:t>
      </w:r>
      <w:r w:rsidRPr="0051199E">
        <w:rPr>
          <w:rFonts w:ascii="Arial" w:hAnsi="Arial" w:cs="Arial"/>
          <w:color w:val="000000" w:themeColor="text1"/>
        </w:rPr>
        <w:t>lawful</w:t>
      </w:r>
      <w:r w:rsidR="005E7997">
        <w:rPr>
          <w:rFonts w:ascii="Arial" w:hAnsi="Arial" w:cs="Arial"/>
          <w:color w:val="000000" w:themeColor="text1"/>
        </w:rPr>
        <w:t>’</w:t>
      </w:r>
      <w:r w:rsidRPr="0051199E">
        <w:rPr>
          <w:rFonts w:ascii="Arial" w:hAnsi="Arial" w:cs="Arial"/>
          <w:color w:val="000000" w:themeColor="text1"/>
        </w:rPr>
        <w:t xml:space="preserve"> directs attention to compliance with the non-human rights law, and </w:t>
      </w:r>
      <w:r w:rsidR="005E7997">
        <w:rPr>
          <w:rFonts w:ascii="Arial" w:hAnsi="Arial" w:cs="Arial"/>
          <w:color w:val="000000" w:themeColor="text1"/>
        </w:rPr>
        <w:t>‘</w:t>
      </w:r>
      <w:r w:rsidRPr="0051199E">
        <w:rPr>
          <w:rFonts w:ascii="Arial" w:hAnsi="Arial" w:cs="Arial"/>
          <w:color w:val="000000" w:themeColor="text1"/>
        </w:rPr>
        <w:t>arbitrary</w:t>
      </w:r>
      <w:r w:rsidR="005E7997">
        <w:rPr>
          <w:rFonts w:ascii="Arial" w:hAnsi="Arial" w:cs="Arial"/>
          <w:color w:val="000000" w:themeColor="text1"/>
        </w:rPr>
        <w:t>’</w:t>
      </w:r>
      <w:r w:rsidRPr="0051199E">
        <w:rPr>
          <w:rFonts w:ascii="Arial" w:hAnsi="Arial" w:cs="Arial"/>
          <w:color w:val="000000" w:themeColor="text1"/>
        </w:rPr>
        <w:t xml:space="preserve"> involves </w:t>
      </w:r>
      <w:r w:rsidR="005E7997" w:rsidRPr="005E7997">
        <w:rPr>
          <w:rFonts w:ascii="Arial" w:hAnsi="Arial" w:cs="Arial"/>
          <w:color w:val="000000" w:themeColor="text1"/>
        </w:rPr>
        <w:t>‘</w:t>
      </w:r>
      <w:r w:rsidRPr="005E7997">
        <w:rPr>
          <w:rFonts w:ascii="Arial" w:hAnsi="Arial" w:cs="Arial"/>
          <w:color w:val="000000" w:themeColor="text1"/>
        </w:rPr>
        <w:t xml:space="preserve">an interference which is capricious, or has resulted from </w:t>
      </w:r>
      <w:r w:rsidR="000E10C4" w:rsidRPr="005E7997">
        <w:rPr>
          <w:rFonts w:ascii="Arial" w:hAnsi="Arial" w:cs="Arial"/>
          <w:color w:val="000000" w:themeColor="text1"/>
        </w:rPr>
        <w:t>conduct,</w:t>
      </w:r>
      <w:r w:rsidRPr="005E7997">
        <w:rPr>
          <w:rFonts w:ascii="Arial" w:hAnsi="Arial" w:cs="Arial"/>
          <w:color w:val="000000" w:themeColor="text1"/>
        </w:rPr>
        <w:t xml:space="preserve"> which is unpredictable, unjust or unreasonable in the sense of not being proportionate to the legitimate aim sought</w:t>
      </w:r>
      <w:r w:rsidR="005E7997" w:rsidRPr="005E7997">
        <w:rPr>
          <w:rFonts w:ascii="Arial" w:hAnsi="Arial" w:cs="Arial"/>
          <w:color w:val="000000" w:themeColor="text1"/>
        </w:rPr>
        <w:t>’</w:t>
      </w:r>
      <w:r w:rsidRPr="0051199E">
        <w:rPr>
          <w:rFonts w:ascii="Arial" w:hAnsi="Arial" w:cs="Arial"/>
          <w:i/>
          <w:iCs/>
          <w:color w:val="000000" w:themeColor="text1"/>
        </w:rPr>
        <w:t>.</w:t>
      </w:r>
      <w:r w:rsidRPr="0051199E">
        <w:rPr>
          <w:rFonts w:ascii="Arial" w:hAnsi="Arial" w:cs="Arial"/>
          <w:color w:val="000000" w:themeColor="text1"/>
        </w:rPr>
        <w:t xml:space="preserve"> It entails a broad assessment of whether the interference extends beyond what is reasonably necessary to achieve the purpose being pursued.</w:t>
      </w:r>
      <w:r w:rsidRPr="0051199E">
        <w:rPr>
          <w:rStyle w:val="FootnoteReference"/>
          <w:rFonts w:ascii="Arial" w:hAnsi="Arial" w:cs="Arial"/>
          <w:color w:val="000000" w:themeColor="text1"/>
        </w:rPr>
        <w:footnoteReference w:id="32"/>
      </w:r>
      <w:r w:rsidRPr="0051199E">
        <w:rPr>
          <w:rFonts w:ascii="Arial" w:hAnsi="Arial" w:cs="Arial"/>
          <w:color w:val="000000" w:themeColor="text1"/>
        </w:rPr>
        <w:t xml:space="preserve"> </w:t>
      </w:r>
    </w:p>
    <w:p w14:paraId="72FA46D5" w14:textId="77777777" w:rsidR="0051199E" w:rsidRPr="0051199E" w:rsidRDefault="0051199E" w:rsidP="004F510B">
      <w:pPr>
        <w:pStyle w:val="Heading2"/>
        <w:spacing w:before="0" w:after="160"/>
        <w:rPr>
          <w:rFonts w:ascii="Arial" w:hAnsi="Arial" w:cs="Arial"/>
          <w:i/>
          <w:iCs/>
          <w:color w:val="000000" w:themeColor="text1"/>
          <w:sz w:val="22"/>
          <w:szCs w:val="22"/>
        </w:rPr>
      </w:pPr>
      <w:r w:rsidRPr="0051199E">
        <w:rPr>
          <w:rFonts w:ascii="Arial" w:hAnsi="Arial" w:cs="Arial"/>
          <w:i/>
          <w:iCs/>
          <w:color w:val="000000" w:themeColor="text1"/>
          <w:sz w:val="22"/>
          <w:szCs w:val="22"/>
        </w:rPr>
        <w:t>Right to reputation – s 25(b)</w:t>
      </w:r>
    </w:p>
    <w:p w14:paraId="6874BE41" w14:textId="20ACFAFE"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A person’s reputation is protected under the HR Act from </w:t>
      </w:r>
      <w:r w:rsidR="005E7997">
        <w:rPr>
          <w:rFonts w:ascii="Arial" w:hAnsi="Arial" w:cs="Arial"/>
          <w:color w:val="000000" w:themeColor="text1"/>
        </w:rPr>
        <w:t>‘</w:t>
      </w:r>
      <w:r w:rsidRPr="0051199E">
        <w:rPr>
          <w:rFonts w:ascii="Arial" w:hAnsi="Arial" w:cs="Arial"/>
          <w:color w:val="000000" w:themeColor="text1"/>
        </w:rPr>
        <w:t>unlawful attacks</w:t>
      </w:r>
      <w:r w:rsidR="005E7997">
        <w:rPr>
          <w:rFonts w:ascii="Arial" w:hAnsi="Arial" w:cs="Arial"/>
          <w:color w:val="000000" w:themeColor="text1"/>
        </w:rPr>
        <w:t>’</w:t>
      </w:r>
      <w:r w:rsidRPr="0051199E">
        <w:rPr>
          <w:rFonts w:ascii="Arial" w:hAnsi="Arial" w:cs="Arial"/>
          <w:color w:val="000000" w:themeColor="text1"/>
        </w:rPr>
        <w:t xml:space="preserve">. Personal reputation is also protected under the common law and the </w:t>
      </w:r>
      <w:r w:rsidRPr="0051199E">
        <w:rPr>
          <w:rFonts w:ascii="Arial" w:hAnsi="Arial" w:cs="Arial"/>
          <w:i/>
          <w:iCs/>
          <w:color w:val="000000" w:themeColor="text1"/>
        </w:rPr>
        <w:t xml:space="preserve">Defamation Act 2005 </w:t>
      </w:r>
      <w:r w:rsidRPr="0051199E">
        <w:rPr>
          <w:rFonts w:ascii="Arial" w:hAnsi="Arial" w:cs="Arial"/>
          <w:color w:val="000000" w:themeColor="text1"/>
        </w:rPr>
        <w:t>(Qld). However, the tabling of reports under s 69 in the Legislative Assembly oust</w:t>
      </w:r>
      <w:r w:rsidR="000A3B7B">
        <w:rPr>
          <w:rFonts w:ascii="Arial" w:hAnsi="Arial" w:cs="Arial"/>
          <w:color w:val="000000" w:themeColor="text1"/>
        </w:rPr>
        <w:t>s</w:t>
      </w:r>
      <w:r w:rsidRPr="0051199E">
        <w:rPr>
          <w:rFonts w:ascii="Arial" w:hAnsi="Arial" w:cs="Arial"/>
          <w:color w:val="000000" w:themeColor="text1"/>
        </w:rPr>
        <w:t xml:space="preserve"> this protection.</w:t>
      </w:r>
      <w:r w:rsidRPr="0051199E">
        <w:rPr>
          <w:rStyle w:val="FootnoteReference"/>
          <w:rFonts w:ascii="Arial" w:hAnsi="Arial" w:cs="Arial"/>
          <w:color w:val="000000" w:themeColor="text1"/>
        </w:rPr>
        <w:footnoteReference w:id="33"/>
      </w:r>
    </w:p>
    <w:p w14:paraId="4691AFF0" w14:textId="77777777" w:rsidR="0051199E" w:rsidRPr="0051199E" w:rsidRDefault="0051199E" w:rsidP="004F510B">
      <w:pPr>
        <w:rPr>
          <w:rFonts w:ascii="Arial" w:hAnsi="Arial" w:cs="Arial"/>
          <w:color w:val="000000" w:themeColor="text1"/>
        </w:rPr>
      </w:pPr>
      <w:r w:rsidRPr="0051199E">
        <w:rPr>
          <w:rFonts w:ascii="Arial" w:hAnsi="Arial" w:cs="Arial"/>
          <w:color w:val="000000" w:themeColor="text1"/>
        </w:rPr>
        <w:t>The impact of a breach of the person’s right to reputation is significant; it can impact a person’s livelihood, social standing, and mental health/personal integrity. Publication of reports under the cloak of Parliamentary privilege leaves no recourse to vindicate it.</w:t>
      </w:r>
    </w:p>
    <w:p w14:paraId="40BEA53A" w14:textId="7CB6C594" w:rsidR="0051199E" w:rsidRPr="0051199E" w:rsidRDefault="0051199E" w:rsidP="004F510B">
      <w:pPr>
        <w:pStyle w:val="Heading2"/>
        <w:spacing w:before="0" w:after="160"/>
        <w:rPr>
          <w:rFonts w:ascii="Arial" w:hAnsi="Arial" w:cs="Arial"/>
          <w:color w:val="000000" w:themeColor="text1"/>
          <w:sz w:val="22"/>
          <w:szCs w:val="22"/>
        </w:rPr>
      </w:pPr>
      <w:r w:rsidRPr="0051199E">
        <w:rPr>
          <w:rFonts w:ascii="Arial" w:hAnsi="Arial" w:cs="Arial"/>
          <w:i/>
          <w:iCs/>
          <w:color w:val="000000" w:themeColor="text1"/>
          <w:sz w:val="22"/>
          <w:szCs w:val="22"/>
        </w:rPr>
        <w:t xml:space="preserve">Right not to be arbitrarily deprived </w:t>
      </w:r>
      <w:r w:rsidR="00344F15">
        <w:rPr>
          <w:rFonts w:ascii="Arial" w:hAnsi="Arial" w:cs="Arial"/>
          <w:i/>
          <w:iCs/>
          <w:color w:val="000000" w:themeColor="text1"/>
          <w:sz w:val="22"/>
          <w:szCs w:val="22"/>
        </w:rPr>
        <w:t>of</w:t>
      </w:r>
      <w:r w:rsidRPr="0051199E">
        <w:rPr>
          <w:rFonts w:ascii="Arial" w:hAnsi="Arial" w:cs="Arial"/>
          <w:i/>
          <w:iCs/>
          <w:color w:val="000000" w:themeColor="text1"/>
          <w:sz w:val="22"/>
          <w:szCs w:val="22"/>
        </w:rPr>
        <w:t xml:space="preserve"> property – </w:t>
      </w:r>
      <w:r w:rsidRPr="0051199E">
        <w:rPr>
          <w:rFonts w:ascii="Arial" w:hAnsi="Arial" w:cs="Arial"/>
          <w:color w:val="000000" w:themeColor="text1"/>
          <w:sz w:val="22"/>
          <w:szCs w:val="22"/>
        </w:rPr>
        <w:t>s 24(2)</w:t>
      </w:r>
    </w:p>
    <w:p w14:paraId="53BA99EE" w14:textId="77777777"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‘Property’ is not defined, and consistent with the approach to be taken to rights contained in the HR Act, it should be beneficially construed to encompass real and personal property, economic or other interests and legitimate expectations. </w:t>
      </w:r>
    </w:p>
    <w:p w14:paraId="38B01E3F" w14:textId="77777777"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Caselaw on the right to ‘peaceful enjoyment’ of ‘possessions’ under the First Protocol to the European Convention has limited the right to </w:t>
      </w:r>
      <w:r w:rsidRPr="0051199E">
        <w:rPr>
          <w:rFonts w:ascii="Arial" w:hAnsi="Arial" w:cs="Arial"/>
          <w:i/>
          <w:color w:val="000000" w:themeColor="text1"/>
        </w:rPr>
        <w:t xml:space="preserve">existing </w:t>
      </w:r>
      <w:r w:rsidRPr="0051199E">
        <w:rPr>
          <w:rFonts w:ascii="Arial" w:hAnsi="Arial" w:cs="Arial"/>
          <w:color w:val="000000" w:themeColor="text1"/>
        </w:rPr>
        <w:t>possessions and not future acquisitions or income.</w:t>
      </w:r>
      <w:r w:rsidRPr="0051199E">
        <w:rPr>
          <w:rStyle w:val="FootnoteReference"/>
          <w:rFonts w:ascii="Arial" w:hAnsi="Arial" w:cs="Arial"/>
          <w:color w:val="000000" w:themeColor="text1"/>
        </w:rPr>
        <w:footnoteReference w:id="34"/>
      </w:r>
      <w:r w:rsidRPr="0051199E">
        <w:rPr>
          <w:rFonts w:ascii="Arial" w:hAnsi="Arial" w:cs="Arial"/>
          <w:color w:val="000000" w:themeColor="text1"/>
        </w:rPr>
        <w:t xml:space="preserve"> However, the goodwill associated with a right to practice one’s profession is capable of protection</w:t>
      </w:r>
      <w:r w:rsidRPr="0051199E">
        <w:rPr>
          <w:rStyle w:val="FootnoteReference"/>
          <w:rFonts w:ascii="Arial" w:hAnsi="Arial" w:cs="Arial"/>
          <w:color w:val="000000" w:themeColor="text1"/>
        </w:rPr>
        <w:footnoteReference w:id="35"/>
      </w:r>
      <w:r w:rsidRPr="0051199E">
        <w:rPr>
          <w:rFonts w:ascii="Arial" w:hAnsi="Arial" w:cs="Arial"/>
          <w:color w:val="000000" w:themeColor="text1"/>
        </w:rPr>
        <w:t xml:space="preserve"> so too a licence to trade.</w:t>
      </w:r>
      <w:r w:rsidRPr="0051199E">
        <w:rPr>
          <w:rStyle w:val="FootnoteReference"/>
          <w:rFonts w:ascii="Arial" w:hAnsi="Arial" w:cs="Arial"/>
          <w:color w:val="000000" w:themeColor="text1"/>
        </w:rPr>
        <w:footnoteReference w:id="36"/>
      </w:r>
      <w:r w:rsidRPr="0051199E">
        <w:rPr>
          <w:rFonts w:ascii="Arial" w:hAnsi="Arial" w:cs="Arial"/>
          <w:color w:val="000000" w:themeColor="text1"/>
        </w:rPr>
        <w:t xml:space="preserve"> </w:t>
      </w:r>
    </w:p>
    <w:p w14:paraId="5785281C" w14:textId="77777777" w:rsidR="0051199E" w:rsidRPr="0051199E" w:rsidRDefault="0051199E" w:rsidP="004F510B">
      <w:pPr>
        <w:rPr>
          <w:rFonts w:ascii="Arial" w:hAnsi="Arial" w:cs="Arial"/>
          <w:color w:val="000000" w:themeColor="text1"/>
        </w:rPr>
      </w:pPr>
      <w:r w:rsidRPr="0051199E">
        <w:rPr>
          <w:rFonts w:ascii="Arial" w:hAnsi="Arial" w:cs="Arial"/>
          <w:color w:val="000000" w:themeColor="text1"/>
        </w:rPr>
        <w:t>Together with s 25(a), s 24(2) arguably assists to protect against arbitrary deprivation of the right to work, at least as to work which is already contracted for and legitimately expected to continue, subject to fitness or eligibility requirements.</w:t>
      </w:r>
    </w:p>
    <w:p w14:paraId="2A60901E" w14:textId="77777777" w:rsidR="0051199E" w:rsidRPr="0051199E" w:rsidRDefault="0051199E" w:rsidP="004F510B">
      <w:pPr>
        <w:pStyle w:val="Heading2"/>
        <w:spacing w:before="0" w:after="160"/>
        <w:rPr>
          <w:rFonts w:ascii="Arial" w:hAnsi="Arial" w:cs="Arial"/>
          <w:i/>
          <w:iCs/>
          <w:color w:val="000000" w:themeColor="text1"/>
          <w:sz w:val="22"/>
          <w:szCs w:val="22"/>
        </w:rPr>
      </w:pPr>
      <w:r w:rsidRPr="0051199E">
        <w:rPr>
          <w:rFonts w:ascii="Arial" w:hAnsi="Arial" w:cs="Arial"/>
          <w:i/>
          <w:iCs/>
          <w:color w:val="000000" w:themeColor="text1"/>
          <w:sz w:val="22"/>
          <w:szCs w:val="22"/>
        </w:rPr>
        <w:lastRenderedPageBreak/>
        <w:t xml:space="preserve">Taking part in public life – s 23 </w:t>
      </w:r>
    </w:p>
    <w:p w14:paraId="7FDE77E9" w14:textId="48016BA2" w:rsidR="0051199E" w:rsidRPr="0051199E" w:rsidRDefault="0051199E" w:rsidP="004F510B">
      <w:pPr>
        <w:rPr>
          <w:rFonts w:ascii="Arial" w:hAnsi="Arial" w:cs="Arial"/>
          <w:color w:val="000000" w:themeColor="text1"/>
        </w:rPr>
      </w:pPr>
      <w:r w:rsidRPr="0051199E">
        <w:rPr>
          <w:rFonts w:ascii="Arial" w:hAnsi="Arial" w:cs="Arial"/>
          <w:color w:val="000000" w:themeColor="text1"/>
        </w:rPr>
        <w:t>Section 23 is modelled on Article 25</w:t>
      </w:r>
      <w:r w:rsidR="006825B7">
        <w:rPr>
          <w:rFonts w:ascii="Arial" w:hAnsi="Arial" w:cs="Arial"/>
          <w:color w:val="000000" w:themeColor="text1"/>
        </w:rPr>
        <w:t xml:space="preserve"> of the</w:t>
      </w:r>
      <w:r w:rsidRPr="006825B7">
        <w:rPr>
          <w:rFonts w:ascii="Arial" w:hAnsi="Arial" w:cs="Arial"/>
          <w:color w:val="000000" w:themeColor="text1"/>
        </w:rPr>
        <w:t xml:space="preserve"> ICCPR, and is </w:t>
      </w:r>
      <w:r w:rsidRPr="0051199E">
        <w:rPr>
          <w:rFonts w:ascii="Arial" w:hAnsi="Arial" w:cs="Arial"/>
          <w:color w:val="000000" w:themeColor="text1"/>
        </w:rPr>
        <w:t>described as conferring ‘a right to a democratic system’.</w:t>
      </w:r>
      <w:r w:rsidRPr="0051199E">
        <w:rPr>
          <w:rStyle w:val="FootnoteReference"/>
          <w:rFonts w:ascii="Arial" w:hAnsi="Arial" w:cs="Arial"/>
          <w:color w:val="000000" w:themeColor="text1"/>
        </w:rPr>
        <w:footnoteReference w:id="37"/>
      </w:r>
      <w:r w:rsidRPr="0051199E">
        <w:rPr>
          <w:rFonts w:ascii="Arial" w:hAnsi="Arial" w:cs="Arial"/>
          <w:color w:val="000000" w:themeColor="text1"/>
        </w:rPr>
        <w:t xml:space="preserve"> Section 23(1) contains the rights of everyone to the opportunity, without discrimination</w:t>
      </w:r>
      <w:r w:rsidR="006825B7">
        <w:rPr>
          <w:rFonts w:ascii="Arial" w:hAnsi="Arial" w:cs="Arial"/>
          <w:color w:val="000000" w:themeColor="text1"/>
        </w:rPr>
        <w:t>,</w:t>
      </w:r>
      <w:r w:rsidRPr="0051199E">
        <w:rPr>
          <w:rFonts w:ascii="Arial" w:hAnsi="Arial" w:cs="Arial"/>
          <w:color w:val="000000" w:themeColor="text1"/>
        </w:rPr>
        <w:t xml:space="preserve"> to participate in the conduct of public affairs, directly or through chose representatives. Section 23(2)(a) protects the right to vote and be elected and sub-(b) provides for the right and opportunity, without discrimination, to have access on general terms of equality, to the public service and to public office. </w:t>
      </w:r>
    </w:p>
    <w:p w14:paraId="14AB2D1E" w14:textId="77777777" w:rsidR="0051199E" w:rsidRPr="0051199E" w:rsidRDefault="0051199E" w:rsidP="004F510B">
      <w:pPr>
        <w:pStyle w:val="Heading2"/>
        <w:spacing w:before="0" w:after="160"/>
        <w:rPr>
          <w:rFonts w:ascii="Arial" w:hAnsi="Arial" w:cs="Arial"/>
          <w:i/>
          <w:iCs/>
          <w:color w:val="000000" w:themeColor="text1"/>
          <w:sz w:val="22"/>
          <w:szCs w:val="22"/>
        </w:rPr>
      </w:pPr>
      <w:r w:rsidRPr="0051199E">
        <w:rPr>
          <w:rFonts w:ascii="Arial" w:hAnsi="Arial" w:cs="Arial"/>
          <w:i/>
          <w:iCs/>
          <w:color w:val="000000" w:themeColor="text1"/>
          <w:sz w:val="22"/>
          <w:szCs w:val="22"/>
        </w:rPr>
        <w:t>Criminal law rights – s 32</w:t>
      </w:r>
    </w:p>
    <w:p w14:paraId="2DBB98A6" w14:textId="7BBC2D37" w:rsidR="0051199E" w:rsidRPr="0051199E" w:rsidRDefault="0051199E" w:rsidP="004F510B">
      <w:pPr>
        <w:rPr>
          <w:rFonts w:ascii="Arial" w:hAnsi="Arial" w:cs="Arial"/>
          <w:color w:val="000000" w:themeColor="text1"/>
        </w:rPr>
      </w:pPr>
      <w:r w:rsidRPr="0051199E">
        <w:rPr>
          <w:rFonts w:ascii="Arial" w:hAnsi="Arial" w:cs="Arial"/>
          <w:color w:val="000000" w:themeColor="text1"/>
        </w:rPr>
        <w:t>Those who are charged with criminal offences also have a right to a fair trial – s 31. In contrast to the common law protections, the HR Act recognises a positive right to a fair trial, rather than a negative right not to be tried unfairly.</w:t>
      </w:r>
      <w:r w:rsidRPr="0051199E">
        <w:rPr>
          <w:rStyle w:val="FootnoteReference"/>
          <w:rFonts w:ascii="Arial" w:hAnsi="Arial" w:cs="Arial"/>
          <w:color w:val="000000" w:themeColor="text1"/>
        </w:rPr>
        <w:footnoteReference w:id="38"/>
      </w:r>
      <w:r w:rsidRPr="0051199E">
        <w:rPr>
          <w:rFonts w:ascii="Arial" w:hAnsi="Arial" w:cs="Arial"/>
          <w:color w:val="000000" w:themeColor="text1"/>
        </w:rPr>
        <w:t xml:space="preserve"> Evidently, pre-trial publicity can lead to an unfairness at</w:t>
      </w:r>
      <w:r w:rsidR="009108E2">
        <w:rPr>
          <w:rFonts w:ascii="Arial" w:hAnsi="Arial" w:cs="Arial"/>
          <w:color w:val="000000" w:themeColor="text1"/>
        </w:rPr>
        <w:t xml:space="preserve"> </w:t>
      </w:r>
      <w:r w:rsidRPr="0051199E">
        <w:rPr>
          <w:rFonts w:ascii="Arial" w:hAnsi="Arial" w:cs="Arial"/>
          <w:color w:val="000000" w:themeColor="text1"/>
        </w:rPr>
        <w:t>trial.</w:t>
      </w:r>
    </w:p>
    <w:p w14:paraId="5EDA1EA6" w14:textId="77777777"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In addition to the fair hearing right s 32 lists a number of minimum standards pertaining to criminal proceedings, including and adding to those discussed in </w:t>
      </w:r>
      <w:r w:rsidRPr="0051199E">
        <w:rPr>
          <w:rFonts w:ascii="Arial" w:hAnsi="Arial" w:cs="Arial"/>
          <w:i/>
          <w:iCs/>
          <w:color w:val="000000" w:themeColor="text1"/>
        </w:rPr>
        <w:t>X7</w:t>
      </w:r>
      <w:r w:rsidRPr="0051199E">
        <w:rPr>
          <w:rFonts w:ascii="Arial" w:hAnsi="Arial" w:cs="Arial"/>
          <w:color w:val="000000" w:themeColor="text1"/>
        </w:rPr>
        <w:t>.</w:t>
      </w:r>
      <w:r w:rsidRPr="0051199E">
        <w:rPr>
          <w:rStyle w:val="FootnoteReference"/>
          <w:rFonts w:ascii="Arial" w:hAnsi="Arial" w:cs="Arial"/>
          <w:color w:val="000000" w:themeColor="text1"/>
        </w:rPr>
        <w:footnoteReference w:id="39"/>
      </w:r>
      <w:r w:rsidRPr="0051199E">
        <w:rPr>
          <w:rFonts w:ascii="Arial" w:hAnsi="Arial" w:cs="Arial"/>
          <w:color w:val="000000" w:themeColor="text1"/>
        </w:rPr>
        <w:t xml:space="preserve"> </w:t>
      </w:r>
    </w:p>
    <w:p w14:paraId="70D6B4D2" w14:textId="305151AF" w:rsidR="0051199E" w:rsidRPr="0051199E" w:rsidRDefault="006825B7" w:rsidP="004F510B">
      <w:pPr>
        <w:pStyle w:val="Heading1"/>
        <w:spacing w:before="0" w:after="160"/>
        <w:rPr>
          <w:rFonts w:ascii="Arial" w:hAnsi="Arial" w:cs="Arial"/>
          <w:b/>
          <w:bCs/>
          <w:color w:val="000000" w:themeColor="text1"/>
          <w:sz w:val="22"/>
          <w:szCs w:val="22"/>
        </w:rPr>
      </w:pPr>
      <w:r>
        <w:rPr>
          <w:rFonts w:ascii="Arial" w:hAnsi="Arial" w:cs="Arial"/>
          <w:b/>
          <w:bCs/>
          <w:color w:val="000000" w:themeColor="text1"/>
          <w:sz w:val="22"/>
          <w:szCs w:val="22"/>
        </w:rPr>
        <w:t>Key human rights considerations for recommendations</w:t>
      </w:r>
      <w:r w:rsidR="00236715">
        <w:rPr>
          <w:rFonts w:ascii="Arial" w:hAnsi="Arial" w:cs="Arial"/>
          <w:b/>
          <w:bCs/>
          <w:color w:val="000000" w:themeColor="text1"/>
          <w:sz w:val="22"/>
          <w:szCs w:val="22"/>
        </w:rPr>
        <w:t xml:space="preserve"> in the Review </w:t>
      </w:r>
    </w:p>
    <w:p w14:paraId="015B4E30" w14:textId="0AB2DEF9" w:rsidR="002C6A7F" w:rsidRDefault="002C6A7F" w:rsidP="004F510B">
      <w:pPr>
        <w:rPr>
          <w:rFonts w:ascii="Arial" w:hAnsi="Arial" w:cs="Arial"/>
          <w:color w:val="000000" w:themeColor="text1"/>
        </w:rPr>
      </w:pPr>
      <w:r w:rsidRPr="0051199E">
        <w:rPr>
          <w:rFonts w:ascii="Arial" w:hAnsi="Arial" w:cs="Arial"/>
          <w:color w:val="000000" w:themeColor="text1"/>
        </w:rPr>
        <w:t>The requirements of the HR Act, at their core, oblige decision-makers to consider human rights, and either not limit them or otherwise justify any limits placed upon them by the decision to what is reasonably necessary to meet one or more sufficiently important competing public interests.</w:t>
      </w:r>
      <w:r w:rsidRPr="0051199E">
        <w:rPr>
          <w:rStyle w:val="FootnoteReference"/>
          <w:rFonts w:ascii="Arial" w:hAnsi="Arial" w:cs="Arial"/>
          <w:color w:val="000000" w:themeColor="text1"/>
        </w:rPr>
        <w:footnoteReference w:id="40"/>
      </w:r>
      <w:r w:rsidRPr="0051199E">
        <w:rPr>
          <w:rFonts w:ascii="Arial" w:hAnsi="Arial" w:cs="Arial"/>
          <w:color w:val="000000" w:themeColor="text1"/>
        </w:rPr>
        <w:t xml:space="preserve"> Limits to human rights are to be narrowly tailored to what is necessary to further a more important public interest. </w:t>
      </w:r>
    </w:p>
    <w:p w14:paraId="1775628F" w14:textId="00FEBE00" w:rsidR="00FC2914" w:rsidRPr="0051199E" w:rsidRDefault="00FC2914" w:rsidP="004F510B">
      <w:pPr>
        <w:rPr>
          <w:rFonts w:ascii="Arial" w:hAnsi="Arial" w:cs="Arial"/>
          <w:color w:val="000000" w:themeColor="text1"/>
        </w:rPr>
      </w:pPr>
      <w:r w:rsidRPr="0051199E">
        <w:rPr>
          <w:rFonts w:ascii="Arial" w:hAnsi="Arial" w:cs="Arial"/>
          <w:color w:val="000000" w:themeColor="text1"/>
        </w:rPr>
        <w:t>Whilst the HR Act, i</w:t>
      </w:r>
      <w:r w:rsidR="00B24166">
        <w:rPr>
          <w:rFonts w:ascii="Arial" w:hAnsi="Arial" w:cs="Arial"/>
          <w:color w:val="000000" w:themeColor="text1"/>
        </w:rPr>
        <w:t xml:space="preserve">n </w:t>
      </w:r>
      <w:r w:rsidRPr="0051199E">
        <w:rPr>
          <w:rFonts w:ascii="Arial" w:hAnsi="Arial" w:cs="Arial"/>
          <w:color w:val="000000" w:themeColor="text1"/>
        </w:rPr>
        <w:t xml:space="preserve">particular s 58, operates to condition decisions made under the CC Act, </w:t>
      </w:r>
      <w:proofErr w:type="spellStart"/>
      <w:r w:rsidRPr="0051199E">
        <w:rPr>
          <w:rFonts w:ascii="Arial" w:hAnsi="Arial" w:cs="Arial"/>
          <w:color w:val="000000" w:themeColor="text1"/>
        </w:rPr>
        <w:t>past</w:t>
      </w:r>
      <w:proofErr w:type="spellEnd"/>
      <w:r w:rsidRPr="0051199E">
        <w:rPr>
          <w:rFonts w:ascii="Arial" w:hAnsi="Arial" w:cs="Arial"/>
          <w:color w:val="000000" w:themeColor="text1"/>
        </w:rPr>
        <w:t xml:space="preserve"> reports that have been issued by the CCC since the HR Act was passed</w:t>
      </w:r>
      <w:r w:rsidRPr="0051199E">
        <w:rPr>
          <w:rStyle w:val="FootnoteReference"/>
          <w:rFonts w:ascii="Arial" w:hAnsi="Arial" w:cs="Arial"/>
          <w:color w:val="000000" w:themeColor="text1"/>
        </w:rPr>
        <w:footnoteReference w:id="41"/>
      </w:r>
      <w:r w:rsidRPr="0051199E">
        <w:rPr>
          <w:rFonts w:ascii="Arial" w:hAnsi="Arial" w:cs="Arial"/>
          <w:color w:val="000000" w:themeColor="text1"/>
        </w:rPr>
        <w:t xml:space="preserve"> suggest that stronger protections are required within the structure of </w:t>
      </w:r>
      <w:r w:rsidR="00D37A63">
        <w:rPr>
          <w:rFonts w:ascii="Arial" w:hAnsi="Arial" w:cs="Arial"/>
          <w:color w:val="000000" w:themeColor="text1"/>
        </w:rPr>
        <w:t>any</w:t>
      </w:r>
      <w:r w:rsidRPr="0051199E">
        <w:rPr>
          <w:rFonts w:ascii="Arial" w:hAnsi="Arial" w:cs="Arial"/>
          <w:color w:val="000000" w:themeColor="text1"/>
        </w:rPr>
        <w:t xml:space="preserve"> new </w:t>
      </w:r>
      <w:r w:rsidR="00D37A63">
        <w:rPr>
          <w:rFonts w:ascii="Arial" w:hAnsi="Arial" w:cs="Arial"/>
          <w:color w:val="000000" w:themeColor="text1"/>
        </w:rPr>
        <w:t xml:space="preserve">reporting </w:t>
      </w:r>
      <w:r w:rsidRPr="0051199E">
        <w:rPr>
          <w:rFonts w:ascii="Arial" w:hAnsi="Arial" w:cs="Arial"/>
          <w:color w:val="000000" w:themeColor="text1"/>
        </w:rPr>
        <w:t xml:space="preserve">provisions. </w:t>
      </w:r>
      <w:r>
        <w:rPr>
          <w:rFonts w:ascii="Arial" w:hAnsi="Arial" w:cs="Arial"/>
          <w:color w:val="000000" w:themeColor="text1"/>
        </w:rPr>
        <w:t>Amendments</w:t>
      </w:r>
      <w:r w:rsidRPr="0051199E">
        <w:rPr>
          <w:rFonts w:ascii="Arial" w:hAnsi="Arial" w:cs="Arial"/>
          <w:color w:val="000000" w:themeColor="text1"/>
        </w:rPr>
        <w:t xml:space="preserve"> such as those in the Private Member’s Bill introduced into Parliament in October 2023</w:t>
      </w:r>
      <w:r w:rsidRPr="0051199E">
        <w:rPr>
          <w:rStyle w:val="FootnoteReference"/>
          <w:rFonts w:ascii="Arial" w:hAnsi="Arial" w:cs="Arial"/>
          <w:color w:val="000000" w:themeColor="text1"/>
        </w:rPr>
        <w:footnoteReference w:id="42"/>
      </w:r>
      <w:r w:rsidRPr="0051199E">
        <w:rPr>
          <w:rFonts w:ascii="Arial" w:hAnsi="Arial" w:cs="Arial"/>
          <w:color w:val="000000" w:themeColor="text1"/>
        </w:rPr>
        <w:t xml:space="preserve"> </w:t>
      </w:r>
      <w:r w:rsidR="00D37A63">
        <w:rPr>
          <w:rFonts w:ascii="Arial" w:hAnsi="Arial" w:cs="Arial"/>
          <w:color w:val="000000" w:themeColor="text1"/>
        </w:rPr>
        <w:t>do not</w:t>
      </w:r>
      <w:r w:rsidRPr="0051199E">
        <w:rPr>
          <w:rFonts w:ascii="Arial" w:hAnsi="Arial" w:cs="Arial"/>
          <w:color w:val="000000" w:themeColor="text1"/>
        </w:rPr>
        <w:t xml:space="preserve"> go far enough to sufficiently condition the proposed broadened powers under ss 64 and 69 CC Act.</w:t>
      </w:r>
    </w:p>
    <w:p w14:paraId="10E10C8B" w14:textId="67AD097B" w:rsidR="002733EE" w:rsidRDefault="002C6A7F" w:rsidP="004F510B">
      <w:pPr>
        <w:rPr>
          <w:rFonts w:ascii="Arial" w:hAnsi="Arial" w:cs="Arial"/>
          <w:color w:val="000000" w:themeColor="text1"/>
        </w:rPr>
      </w:pPr>
      <w:r w:rsidRPr="0051199E">
        <w:rPr>
          <w:rFonts w:ascii="Arial" w:hAnsi="Arial" w:cs="Arial"/>
          <w:color w:val="000000" w:themeColor="text1"/>
        </w:rPr>
        <w:t xml:space="preserve">In this light, </w:t>
      </w:r>
      <w:r w:rsidR="00BA3991">
        <w:rPr>
          <w:rFonts w:ascii="Arial" w:hAnsi="Arial" w:cs="Arial"/>
          <w:color w:val="000000" w:themeColor="text1"/>
        </w:rPr>
        <w:t xml:space="preserve">the following </w:t>
      </w:r>
      <w:r w:rsidR="001F2D3F">
        <w:rPr>
          <w:rFonts w:ascii="Arial" w:hAnsi="Arial" w:cs="Arial"/>
          <w:color w:val="000000" w:themeColor="text1"/>
        </w:rPr>
        <w:t>issues</w:t>
      </w:r>
      <w:r w:rsidR="002733EE">
        <w:rPr>
          <w:rFonts w:ascii="Arial" w:hAnsi="Arial" w:cs="Arial"/>
          <w:color w:val="000000" w:themeColor="text1"/>
        </w:rPr>
        <w:t xml:space="preserve"> are important to consider as ways in which the power to make public reports and statements might be conditioned</w:t>
      </w:r>
      <w:r w:rsidR="00FC2914">
        <w:rPr>
          <w:rFonts w:ascii="Arial" w:hAnsi="Arial" w:cs="Arial"/>
          <w:color w:val="000000" w:themeColor="text1"/>
        </w:rPr>
        <w:t xml:space="preserve"> within the legislation providing the power,</w:t>
      </w:r>
      <w:r w:rsidR="002733EE">
        <w:rPr>
          <w:rFonts w:ascii="Arial" w:hAnsi="Arial" w:cs="Arial"/>
          <w:color w:val="000000" w:themeColor="text1"/>
        </w:rPr>
        <w:t xml:space="preserve"> to lessen the limits to individual human rights that are occasioned by its exercise:</w:t>
      </w:r>
    </w:p>
    <w:p w14:paraId="68006428" w14:textId="37E78370" w:rsidR="00FC2914" w:rsidRPr="00FE6236" w:rsidRDefault="00FC2914" w:rsidP="004F510B">
      <w:pPr>
        <w:pStyle w:val="ListParagraph"/>
        <w:numPr>
          <w:ilvl w:val="0"/>
          <w:numId w:val="12"/>
        </w:numPr>
        <w:spacing w:line="257" w:lineRule="auto"/>
        <w:ind w:left="357" w:hanging="357"/>
        <w:contextualSpacing w:val="0"/>
        <w:rPr>
          <w:rFonts w:ascii="Arial" w:hAnsi="Arial" w:cs="Arial"/>
          <w:color w:val="000000" w:themeColor="text1"/>
        </w:rPr>
      </w:pPr>
      <w:r w:rsidRPr="00FE6236">
        <w:rPr>
          <w:rFonts w:ascii="Arial" w:hAnsi="Arial" w:cs="Arial"/>
          <w:color w:val="000000" w:themeColor="text1"/>
        </w:rPr>
        <w:t>the need to identify the sufficiently important public purpose behind each kind of reporting power;</w:t>
      </w:r>
      <w:r>
        <w:rPr>
          <w:rStyle w:val="FootnoteReference"/>
          <w:rFonts w:ascii="Arial" w:hAnsi="Arial" w:cs="Arial"/>
          <w:color w:val="000000" w:themeColor="text1"/>
        </w:rPr>
        <w:footnoteReference w:id="43"/>
      </w:r>
    </w:p>
    <w:p w14:paraId="6FA82334" w14:textId="25D0D561" w:rsidR="00FC2914" w:rsidRDefault="00BA3991" w:rsidP="004F510B">
      <w:pPr>
        <w:pStyle w:val="ListParagraph"/>
        <w:numPr>
          <w:ilvl w:val="0"/>
          <w:numId w:val="12"/>
        </w:numPr>
        <w:spacing w:line="257" w:lineRule="auto"/>
        <w:ind w:left="357" w:hanging="357"/>
        <w:contextualSpacing w:val="0"/>
        <w:rPr>
          <w:rFonts w:ascii="Arial" w:hAnsi="Arial" w:cs="Arial"/>
          <w:color w:val="000000" w:themeColor="text1"/>
        </w:rPr>
      </w:pPr>
      <w:r w:rsidRPr="0051199E">
        <w:rPr>
          <w:rFonts w:ascii="Arial" w:hAnsi="Arial" w:cs="Arial"/>
          <w:color w:val="000000" w:themeColor="text1"/>
        </w:rPr>
        <w:lastRenderedPageBreak/>
        <w:t>the requirement to consider limiting the extent of publication (or audience) as needed to meet the relevant purpose</w:t>
      </w:r>
      <w:r w:rsidR="00D37A63">
        <w:rPr>
          <w:rFonts w:ascii="Arial" w:hAnsi="Arial" w:cs="Arial"/>
          <w:color w:val="000000" w:themeColor="text1"/>
        </w:rPr>
        <w:t xml:space="preserve"> (including in relation to the timing or content of such reports</w:t>
      </w:r>
      <w:r w:rsidR="00D37A63">
        <w:rPr>
          <w:rStyle w:val="FootnoteReference"/>
          <w:rFonts w:ascii="Arial" w:hAnsi="Arial" w:cs="Arial"/>
          <w:color w:val="000000" w:themeColor="text1"/>
        </w:rPr>
        <w:footnoteReference w:id="44"/>
      </w:r>
      <w:r w:rsidR="00D37A63">
        <w:rPr>
          <w:rFonts w:ascii="Arial" w:hAnsi="Arial" w:cs="Arial"/>
          <w:color w:val="000000" w:themeColor="text1"/>
        </w:rPr>
        <w:t>)</w:t>
      </w:r>
      <w:r w:rsidR="00FC2914">
        <w:rPr>
          <w:rFonts w:ascii="Arial" w:hAnsi="Arial" w:cs="Arial"/>
          <w:color w:val="000000" w:themeColor="text1"/>
        </w:rPr>
        <w:t>;</w:t>
      </w:r>
    </w:p>
    <w:p w14:paraId="35345868" w14:textId="2725B1ED" w:rsidR="00627FD9" w:rsidRDefault="00627FD9" w:rsidP="004F510B">
      <w:pPr>
        <w:pStyle w:val="ListParagraph"/>
        <w:numPr>
          <w:ilvl w:val="0"/>
          <w:numId w:val="12"/>
        </w:numPr>
        <w:spacing w:line="257" w:lineRule="auto"/>
        <w:ind w:left="357" w:hanging="357"/>
        <w:contextualSpacing w:val="0"/>
        <w:rPr>
          <w:rFonts w:ascii="Arial" w:hAnsi="Arial" w:cs="Arial"/>
          <w:color w:val="000000" w:themeColor="text1"/>
        </w:rPr>
      </w:pPr>
      <w:r>
        <w:rPr>
          <w:rFonts w:ascii="Arial" w:hAnsi="Arial" w:cs="Arial"/>
          <w:color w:val="000000" w:themeColor="text1"/>
        </w:rPr>
        <w:t xml:space="preserve">where public reporting may result, </w:t>
      </w:r>
      <w:r w:rsidR="00D37A63">
        <w:rPr>
          <w:rFonts w:ascii="Arial" w:hAnsi="Arial" w:cs="Arial"/>
          <w:color w:val="000000" w:themeColor="text1"/>
        </w:rPr>
        <w:t xml:space="preserve">adjusting </w:t>
      </w:r>
      <w:r w:rsidRPr="00FE6236">
        <w:rPr>
          <w:rFonts w:ascii="Arial" w:hAnsi="Arial" w:cs="Arial"/>
          <w:color w:val="000000" w:themeColor="text1"/>
        </w:rPr>
        <w:t xml:space="preserve">the way in which investigations are conducted, </w:t>
      </w:r>
      <w:r w:rsidR="00D37A63">
        <w:rPr>
          <w:rFonts w:ascii="Arial" w:hAnsi="Arial" w:cs="Arial"/>
          <w:color w:val="000000" w:themeColor="text1"/>
        </w:rPr>
        <w:t>such as by</w:t>
      </w:r>
      <w:r w:rsidRPr="00FE6236">
        <w:rPr>
          <w:rFonts w:ascii="Arial" w:hAnsi="Arial" w:cs="Arial"/>
          <w:color w:val="000000" w:themeColor="text1"/>
        </w:rPr>
        <w:t xml:space="preserve"> </w:t>
      </w:r>
      <w:r>
        <w:rPr>
          <w:rFonts w:ascii="Arial" w:hAnsi="Arial" w:cs="Arial"/>
          <w:color w:val="000000" w:themeColor="text1"/>
        </w:rPr>
        <w:t>more fulsome disclosure of evidence and powers of cross-examination to interested parties</w:t>
      </w:r>
      <w:r w:rsidRPr="00FE6236">
        <w:rPr>
          <w:rFonts w:ascii="Arial" w:hAnsi="Arial" w:cs="Arial"/>
          <w:color w:val="000000" w:themeColor="text1"/>
        </w:rPr>
        <w:t xml:space="preserve">, </w:t>
      </w:r>
      <w:r w:rsidR="00D37A63">
        <w:rPr>
          <w:rFonts w:ascii="Arial" w:hAnsi="Arial" w:cs="Arial"/>
          <w:color w:val="000000" w:themeColor="text1"/>
        </w:rPr>
        <w:t xml:space="preserve">and guidelines to ensure that </w:t>
      </w:r>
      <w:r w:rsidRPr="0051199E">
        <w:rPr>
          <w:rFonts w:ascii="Arial" w:hAnsi="Arial" w:cs="Arial"/>
          <w:color w:val="000000" w:themeColor="text1"/>
        </w:rPr>
        <w:t>not only inculpatory, but also exculpatory</w:t>
      </w:r>
      <w:r w:rsidR="000A3B7B">
        <w:rPr>
          <w:rFonts w:ascii="Arial" w:hAnsi="Arial" w:cs="Arial"/>
          <w:color w:val="000000" w:themeColor="text1"/>
        </w:rPr>
        <w:t>,</w:t>
      </w:r>
      <w:r w:rsidRPr="0051199E">
        <w:rPr>
          <w:rFonts w:ascii="Arial" w:hAnsi="Arial" w:cs="Arial"/>
          <w:color w:val="000000" w:themeColor="text1"/>
        </w:rPr>
        <w:t xml:space="preserve"> evidence is investigated</w:t>
      </w:r>
      <w:r>
        <w:rPr>
          <w:rFonts w:ascii="Arial" w:hAnsi="Arial" w:cs="Arial"/>
          <w:color w:val="000000" w:themeColor="text1"/>
        </w:rPr>
        <w:t>;</w:t>
      </w:r>
      <w:r>
        <w:rPr>
          <w:rStyle w:val="FootnoteReference"/>
          <w:rFonts w:ascii="Arial" w:hAnsi="Arial" w:cs="Arial"/>
          <w:color w:val="000000" w:themeColor="text1"/>
        </w:rPr>
        <w:footnoteReference w:id="45"/>
      </w:r>
      <w:r w:rsidRPr="00FE6236">
        <w:rPr>
          <w:rFonts w:ascii="Arial" w:hAnsi="Arial" w:cs="Arial"/>
          <w:color w:val="000000" w:themeColor="text1"/>
        </w:rPr>
        <w:t xml:space="preserve"> </w:t>
      </w:r>
    </w:p>
    <w:p w14:paraId="6D4AD620" w14:textId="10828B7E" w:rsidR="00FC2914" w:rsidRDefault="00D37A63" w:rsidP="004F510B">
      <w:pPr>
        <w:pStyle w:val="ListParagraph"/>
        <w:numPr>
          <w:ilvl w:val="0"/>
          <w:numId w:val="12"/>
        </w:numPr>
        <w:spacing w:line="257" w:lineRule="auto"/>
        <w:ind w:left="357" w:hanging="357"/>
        <w:contextualSpacing w:val="0"/>
        <w:rPr>
          <w:rFonts w:ascii="Arial" w:hAnsi="Arial" w:cs="Arial"/>
          <w:color w:val="000000" w:themeColor="text1"/>
        </w:rPr>
      </w:pPr>
      <w:r>
        <w:rPr>
          <w:rFonts w:ascii="Arial" w:hAnsi="Arial" w:cs="Arial"/>
          <w:color w:val="000000" w:themeColor="text1"/>
        </w:rPr>
        <w:t xml:space="preserve">requiring </w:t>
      </w:r>
      <w:r w:rsidR="002C6A7F" w:rsidRPr="00FC2914">
        <w:rPr>
          <w:rFonts w:ascii="Arial" w:hAnsi="Arial" w:cs="Arial"/>
          <w:color w:val="000000" w:themeColor="text1"/>
        </w:rPr>
        <w:t xml:space="preserve">transparency around decisions to make investigations or their results public, including the provision of reasons for </w:t>
      </w:r>
      <w:r w:rsidR="00FC2914" w:rsidRPr="00FC2914">
        <w:rPr>
          <w:rFonts w:ascii="Arial" w:hAnsi="Arial" w:cs="Arial"/>
          <w:color w:val="000000" w:themeColor="text1"/>
        </w:rPr>
        <w:t>those decisions</w:t>
      </w:r>
      <w:r w:rsidR="00FC2914">
        <w:rPr>
          <w:rFonts w:ascii="Arial" w:hAnsi="Arial" w:cs="Arial"/>
          <w:color w:val="000000" w:themeColor="text1"/>
        </w:rPr>
        <w:t>;</w:t>
      </w:r>
      <w:r w:rsidR="002C6A7F" w:rsidRPr="00FC2914">
        <w:rPr>
          <w:rFonts w:ascii="Arial" w:hAnsi="Arial" w:cs="Arial"/>
          <w:color w:val="000000" w:themeColor="text1"/>
        </w:rPr>
        <w:t xml:space="preserve"> and </w:t>
      </w:r>
    </w:p>
    <w:p w14:paraId="0DA535EC" w14:textId="2D8E14FC" w:rsidR="002C6A7F" w:rsidRPr="00FC2914" w:rsidRDefault="00D37A63" w:rsidP="004F510B">
      <w:pPr>
        <w:pStyle w:val="ListParagraph"/>
        <w:numPr>
          <w:ilvl w:val="0"/>
          <w:numId w:val="12"/>
        </w:numPr>
        <w:spacing w:line="257" w:lineRule="auto"/>
        <w:ind w:left="357" w:hanging="357"/>
        <w:contextualSpacing w:val="0"/>
        <w:rPr>
          <w:rFonts w:ascii="Arial" w:hAnsi="Arial" w:cs="Arial"/>
          <w:color w:val="000000" w:themeColor="text1"/>
        </w:rPr>
      </w:pPr>
      <w:r>
        <w:rPr>
          <w:rFonts w:ascii="Arial" w:hAnsi="Arial" w:cs="Arial"/>
          <w:color w:val="000000" w:themeColor="text1"/>
        </w:rPr>
        <w:t xml:space="preserve">including </w:t>
      </w:r>
      <w:r w:rsidR="002C6A7F" w:rsidRPr="00FC2914">
        <w:rPr>
          <w:rFonts w:ascii="Arial" w:hAnsi="Arial" w:cs="Arial"/>
          <w:color w:val="000000" w:themeColor="text1"/>
        </w:rPr>
        <w:t xml:space="preserve">mechanisms to challenge that decision and/or the adverse findings in public reports. </w:t>
      </w:r>
    </w:p>
    <w:p w14:paraId="23B908EC" w14:textId="4039DF64" w:rsidR="00FE6236" w:rsidRDefault="00FC2914" w:rsidP="004F510B">
      <w:pPr>
        <w:rPr>
          <w:rFonts w:ascii="Arial" w:hAnsi="Arial" w:cs="Arial"/>
          <w:color w:val="000000" w:themeColor="text1"/>
        </w:rPr>
      </w:pPr>
      <w:r w:rsidRPr="00FC2914">
        <w:rPr>
          <w:rFonts w:ascii="Arial" w:hAnsi="Arial" w:cs="Arial"/>
          <w:color w:val="000000" w:themeColor="text1"/>
        </w:rPr>
        <w:t>The CCC has stated that the capacity to report on corruption matters is ‘vital’</w:t>
      </w:r>
      <w:r w:rsidRPr="00FC2914">
        <w:rPr>
          <w:rFonts w:ascii="Arial" w:hAnsi="Arial" w:cs="Arial"/>
          <w:i/>
          <w:iCs/>
          <w:color w:val="000000" w:themeColor="text1"/>
        </w:rPr>
        <w:t xml:space="preserve"> </w:t>
      </w:r>
      <w:r w:rsidRPr="00FC2914">
        <w:rPr>
          <w:rFonts w:ascii="Arial" w:hAnsi="Arial" w:cs="Arial"/>
          <w:color w:val="000000" w:themeColor="text1"/>
        </w:rPr>
        <w:t xml:space="preserve">so that the public, the public </w:t>
      </w:r>
      <w:r w:rsidR="000E10C4" w:rsidRPr="00FC2914">
        <w:rPr>
          <w:rFonts w:ascii="Arial" w:hAnsi="Arial" w:cs="Arial"/>
          <w:color w:val="000000" w:themeColor="text1"/>
        </w:rPr>
        <w:t>sector,</w:t>
      </w:r>
      <w:r w:rsidRPr="00FC2914">
        <w:rPr>
          <w:rFonts w:ascii="Arial" w:hAnsi="Arial" w:cs="Arial"/>
          <w:color w:val="000000" w:themeColor="text1"/>
        </w:rPr>
        <w:t xml:space="preserve"> and elected officials can understand the reasons for and outcomes of the CCC’s activities.</w:t>
      </w:r>
      <w:r w:rsidRPr="0051199E">
        <w:rPr>
          <w:rStyle w:val="FootnoteReference"/>
          <w:rFonts w:ascii="Arial" w:hAnsi="Arial" w:cs="Arial"/>
          <w:color w:val="000000" w:themeColor="text1"/>
        </w:rPr>
        <w:footnoteReference w:id="46"/>
      </w:r>
      <w:r w:rsidRPr="00FC2914">
        <w:rPr>
          <w:rFonts w:ascii="Arial" w:hAnsi="Arial" w:cs="Arial"/>
          <w:color w:val="000000" w:themeColor="text1"/>
        </w:rPr>
        <w:t xml:space="preserve"> </w:t>
      </w:r>
      <w:r>
        <w:rPr>
          <w:rFonts w:ascii="Arial" w:hAnsi="Arial" w:cs="Arial"/>
          <w:color w:val="000000" w:themeColor="text1"/>
        </w:rPr>
        <w:t>However, e</w:t>
      </w:r>
      <w:r w:rsidRPr="00AB04A1">
        <w:rPr>
          <w:rFonts w:ascii="Arial" w:hAnsi="Arial" w:cs="Arial"/>
          <w:color w:val="000000" w:themeColor="text1"/>
        </w:rPr>
        <w:t>ach of the audiences to which the CCC wishes to publish reports might be reached for different purposes and in different ways</w:t>
      </w:r>
      <w:r>
        <w:rPr>
          <w:rFonts w:ascii="Arial" w:hAnsi="Arial" w:cs="Arial"/>
          <w:color w:val="000000" w:themeColor="text1"/>
        </w:rPr>
        <w:t xml:space="preserve">. </w:t>
      </w:r>
      <w:r w:rsidRPr="0051199E">
        <w:rPr>
          <w:rFonts w:ascii="Arial" w:hAnsi="Arial" w:cs="Arial"/>
          <w:color w:val="000000" w:themeColor="text1"/>
        </w:rPr>
        <w:t>Different human rights calibrations will attend, depending upon the purpose and extent of publication proposed, as well as its timing and contents.</w:t>
      </w:r>
      <w:r w:rsidR="00FE6236">
        <w:rPr>
          <w:rFonts w:ascii="Arial" w:hAnsi="Arial" w:cs="Arial"/>
          <w:color w:val="000000" w:themeColor="text1"/>
        </w:rPr>
        <w:t xml:space="preserve"> </w:t>
      </w:r>
    </w:p>
    <w:p w14:paraId="00D16D0D" w14:textId="15AA5532" w:rsidR="0051199E" w:rsidRDefault="00D37A63" w:rsidP="004F510B">
      <w:pPr>
        <w:rPr>
          <w:rFonts w:ascii="Arial" w:hAnsi="Arial" w:cs="Arial"/>
          <w:color w:val="000000" w:themeColor="text1"/>
        </w:rPr>
      </w:pPr>
      <w:r>
        <w:rPr>
          <w:rFonts w:ascii="Arial" w:hAnsi="Arial" w:cs="Arial"/>
          <w:color w:val="000000" w:themeColor="text1"/>
        </w:rPr>
        <w:t>Yours sincerely</w:t>
      </w:r>
    </w:p>
    <w:p w14:paraId="1F3C0F62" w14:textId="0ED2157E" w:rsidR="00D37A63" w:rsidRDefault="00D37A63" w:rsidP="004F510B">
      <w:pPr>
        <w:rPr>
          <w:rFonts w:ascii="Arial" w:hAnsi="Arial" w:cs="Arial"/>
          <w:noProof/>
          <w:color w:val="000000" w:themeColor="text1"/>
        </w:rPr>
      </w:pPr>
    </w:p>
    <w:p w14:paraId="0B9178E7" w14:textId="41D69085" w:rsidR="00F0303B" w:rsidRDefault="00F0303B" w:rsidP="004F510B">
      <w:pPr>
        <w:rPr>
          <w:rFonts w:ascii="Arial" w:hAnsi="Arial" w:cs="Arial"/>
          <w:color w:val="000000" w:themeColor="text1"/>
        </w:rPr>
      </w:pPr>
      <w:r>
        <w:rPr>
          <w:rFonts w:ascii="Arial" w:hAnsi="Arial" w:cs="Arial"/>
          <w:color w:val="000000" w:themeColor="text1"/>
        </w:rPr>
        <w:t>[Signature redacted</w:t>
      </w:r>
      <w:r w:rsidR="005848B0">
        <w:rPr>
          <w:rFonts w:ascii="Arial" w:hAnsi="Arial" w:cs="Arial"/>
          <w:color w:val="000000" w:themeColor="text1"/>
        </w:rPr>
        <w:t>]</w:t>
      </w:r>
    </w:p>
    <w:p w14:paraId="084663EE" w14:textId="0AFACE7F" w:rsidR="00D37A63" w:rsidRPr="000E10C4" w:rsidRDefault="00D37A63" w:rsidP="004F510B">
      <w:pPr>
        <w:spacing w:after="0" w:line="257" w:lineRule="auto"/>
        <w:rPr>
          <w:rFonts w:ascii="Arial" w:hAnsi="Arial" w:cs="Arial"/>
          <w:b/>
          <w:bCs/>
          <w:color w:val="000000" w:themeColor="text1"/>
        </w:rPr>
      </w:pPr>
      <w:r w:rsidRPr="000E10C4">
        <w:rPr>
          <w:rFonts w:ascii="Arial" w:hAnsi="Arial" w:cs="Arial"/>
          <w:b/>
          <w:bCs/>
          <w:color w:val="000000" w:themeColor="text1"/>
        </w:rPr>
        <w:t>Scott McDougall</w:t>
      </w:r>
    </w:p>
    <w:p w14:paraId="1B7581E4" w14:textId="489CC6E7" w:rsidR="0002098D" w:rsidRPr="000E10C4" w:rsidRDefault="00D37A63" w:rsidP="004F510B">
      <w:pPr>
        <w:spacing w:after="0" w:line="257" w:lineRule="auto"/>
        <w:rPr>
          <w:rFonts w:ascii="Arial" w:hAnsi="Arial" w:cs="Arial"/>
          <w:b/>
          <w:bCs/>
        </w:rPr>
      </w:pPr>
      <w:r w:rsidRPr="000E10C4">
        <w:rPr>
          <w:rFonts w:ascii="Arial" w:hAnsi="Arial" w:cs="Arial"/>
          <w:b/>
          <w:bCs/>
          <w:color w:val="000000" w:themeColor="text1"/>
        </w:rPr>
        <w:t>Commissioner</w:t>
      </w:r>
    </w:p>
    <w:sectPr w:rsidR="0002098D" w:rsidRPr="000E10C4" w:rsidSect="0006550B">
      <w:headerReference w:type="even" r:id="rId11"/>
      <w:headerReference w:type="default" r:id="rId12"/>
      <w:footerReference w:type="even" r:id="rId13"/>
      <w:footerReference w:type="default" r:id="rId14"/>
      <w:headerReference w:type="first" r:id="rId15"/>
      <w:footerReference w:type="first" r:id="rId16"/>
      <w:pgSz w:w="11906" w:h="16838" w:code="9"/>
      <w:pgMar w:top="1559" w:right="1474" w:bottom="1440" w:left="1474" w:header="709" w:footer="1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AA087" w14:textId="77777777" w:rsidR="0006550B" w:rsidRDefault="0006550B" w:rsidP="00304408">
      <w:pPr>
        <w:spacing w:after="0" w:line="240" w:lineRule="auto"/>
      </w:pPr>
      <w:r>
        <w:separator/>
      </w:r>
    </w:p>
  </w:endnote>
  <w:endnote w:type="continuationSeparator" w:id="0">
    <w:p w14:paraId="720AF938" w14:textId="77777777" w:rsidR="0006550B" w:rsidRDefault="0006550B" w:rsidP="00304408">
      <w:pPr>
        <w:spacing w:after="0" w:line="240" w:lineRule="auto"/>
      </w:pPr>
      <w:r>
        <w:continuationSeparator/>
      </w:r>
    </w:p>
  </w:endnote>
  <w:endnote w:type="continuationNotice" w:id="1">
    <w:p w14:paraId="08519722" w14:textId="77777777" w:rsidR="0006550B" w:rsidRDefault="00065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2F6B8" w14:textId="77777777" w:rsidR="00386481" w:rsidRDefault="00386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73DC9" w14:textId="77777777" w:rsidR="007E1FFA" w:rsidRDefault="007E1FFA" w:rsidP="00911F7B">
    <w:pPr>
      <w:pStyle w:val="Footer"/>
      <w:tabs>
        <w:tab w:val="clear" w:pos="4513"/>
        <w:tab w:val="clear" w:pos="902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5C9BA" w14:textId="260D8636" w:rsidR="007E1FFA" w:rsidRPr="00013878" w:rsidRDefault="00386481" w:rsidP="00894840">
    <w:pPr>
      <w:pStyle w:val="Footer"/>
      <w:ind w:left="-142"/>
    </w:pPr>
    <w:r>
      <w:rPr>
        <w:noProof/>
      </w:rPr>
      <w:drawing>
        <wp:inline distT="0" distB="0" distL="0" distR="0" wp14:anchorId="6FE294BD" wp14:editId="14562BF5">
          <wp:extent cx="5688330" cy="904240"/>
          <wp:effectExtent l="0" t="0" r="7620" b="0"/>
          <wp:docPr id="2961841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84109" name="Picture 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88330" cy="904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C3FF6" w14:textId="77777777" w:rsidR="0006550B" w:rsidRDefault="0006550B" w:rsidP="00304408">
      <w:pPr>
        <w:spacing w:after="0" w:line="240" w:lineRule="auto"/>
      </w:pPr>
      <w:r>
        <w:separator/>
      </w:r>
    </w:p>
  </w:footnote>
  <w:footnote w:type="continuationSeparator" w:id="0">
    <w:p w14:paraId="048375C3" w14:textId="77777777" w:rsidR="0006550B" w:rsidRDefault="0006550B" w:rsidP="00304408">
      <w:pPr>
        <w:spacing w:after="0" w:line="240" w:lineRule="auto"/>
      </w:pPr>
      <w:r>
        <w:continuationSeparator/>
      </w:r>
    </w:p>
  </w:footnote>
  <w:footnote w:type="continuationNotice" w:id="1">
    <w:p w14:paraId="16862781" w14:textId="77777777" w:rsidR="0006550B" w:rsidRDefault="0006550B">
      <w:pPr>
        <w:spacing w:after="0" w:line="240" w:lineRule="auto"/>
      </w:pPr>
    </w:p>
  </w:footnote>
  <w:footnote w:id="2">
    <w:p w14:paraId="322BAB1B"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For example, under the United Nations </w:t>
      </w:r>
      <w:r w:rsidRPr="00171AA5">
        <w:rPr>
          <w:rFonts w:cs="Arial"/>
          <w:i/>
          <w:iCs/>
          <w:sz w:val="18"/>
          <w:szCs w:val="18"/>
        </w:rPr>
        <w:t>Convention against Corruption</w:t>
      </w:r>
      <w:r w:rsidRPr="00171AA5">
        <w:rPr>
          <w:rFonts w:cs="Arial"/>
          <w:sz w:val="18"/>
          <w:szCs w:val="18"/>
        </w:rPr>
        <w:t xml:space="preserve"> signed in 2003 and ratified by Australia in 2005. </w:t>
      </w:r>
    </w:p>
  </w:footnote>
  <w:footnote w:id="3">
    <w:p w14:paraId="6B4E5B66" w14:textId="1BDD0026" w:rsidR="0051199E" w:rsidRPr="00171AA5" w:rsidRDefault="0051199E" w:rsidP="00FC655A">
      <w:pPr>
        <w:pStyle w:val="FootnoteText"/>
        <w:rPr>
          <w:sz w:val="18"/>
          <w:szCs w:val="18"/>
        </w:rPr>
      </w:pPr>
      <w:r w:rsidRPr="00171AA5">
        <w:rPr>
          <w:rStyle w:val="FootnoteReference"/>
          <w:sz w:val="18"/>
          <w:szCs w:val="18"/>
        </w:rPr>
        <w:footnoteRef/>
      </w:r>
      <w:r w:rsidRPr="00171AA5">
        <w:rPr>
          <w:sz w:val="18"/>
          <w:szCs w:val="18"/>
        </w:rPr>
        <w:t xml:space="preserve"> </w:t>
      </w:r>
      <w:r w:rsidR="002C6A7F" w:rsidRPr="00171AA5">
        <w:rPr>
          <w:sz w:val="18"/>
          <w:szCs w:val="18"/>
        </w:rPr>
        <w:t>Committee on the Elimination of Discrimination against Women, Committee on Enforced Disappearances, Committee on Migrant Workers, Committee on the Rights of the Child, Subcommittee on Prevention of Torture and other Cruel, Inhuman or Degrading Treatment or Punishment, Committee on the Rights of Persons with Disabilities, ‘Joint Statement on ‘Corruption and Human Rights’ (31 May 2021).</w:t>
      </w:r>
      <w:r w:rsidR="00486DC1" w:rsidRPr="00171AA5">
        <w:rPr>
          <w:sz w:val="18"/>
          <w:szCs w:val="18"/>
        </w:rPr>
        <w:t xml:space="preserve"> </w:t>
      </w:r>
    </w:p>
  </w:footnote>
  <w:footnote w:id="4">
    <w:p w14:paraId="504FF49D"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UN Human Rights Committee CCPR General comment No. 16 re Article 17 (right to privacy) of the </w:t>
      </w:r>
      <w:r w:rsidRPr="00171AA5">
        <w:rPr>
          <w:rFonts w:cs="Arial"/>
          <w:i/>
          <w:iCs/>
          <w:sz w:val="18"/>
          <w:szCs w:val="18"/>
        </w:rPr>
        <w:t xml:space="preserve">International Convention on Civil and Political Rights </w:t>
      </w:r>
      <w:r w:rsidRPr="00171AA5">
        <w:rPr>
          <w:rFonts w:cs="Arial"/>
          <w:sz w:val="18"/>
          <w:szCs w:val="18"/>
        </w:rPr>
        <w:t>(</w:t>
      </w:r>
      <w:r w:rsidRPr="00171AA5">
        <w:rPr>
          <w:rFonts w:cs="Arial"/>
          <w:b/>
          <w:bCs/>
          <w:sz w:val="18"/>
          <w:szCs w:val="18"/>
        </w:rPr>
        <w:t>ICCPR</w:t>
      </w:r>
      <w:r w:rsidRPr="00171AA5">
        <w:rPr>
          <w:rFonts w:cs="Arial"/>
          <w:sz w:val="18"/>
          <w:szCs w:val="18"/>
        </w:rPr>
        <w:t xml:space="preserve">), </w:t>
      </w:r>
      <w:r w:rsidRPr="00171AA5">
        <w:rPr>
          <w:rFonts w:cs="Arial"/>
          <w:color w:val="000000"/>
          <w:sz w:val="18"/>
          <w:szCs w:val="18"/>
          <w:shd w:val="clear" w:color="auto" w:fill="FFFFFF"/>
        </w:rPr>
        <w:t xml:space="preserve">8 April 1988, HRI/GEN/1/Rev.9 (Vol. I) </w:t>
      </w:r>
      <w:r w:rsidRPr="00171AA5">
        <w:rPr>
          <w:rFonts w:cs="Arial"/>
          <w:sz w:val="18"/>
          <w:szCs w:val="18"/>
        </w:rPr>
        <w:t>par 11.</w:t>
      </w:r>
    </w:p>
  </w:footnote>
  <w:footnote w:id="5">
    <w:p w14:paraId="673E1834" w14:textId="77777777" w:rsidR="00547509" w:rsidRPr="00171AA5" w:rsidRDefault="00547509"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Views adopted by the Committee under art 5(4) of the Optional Protocol concerning Communication No. 3088/2017, </w:t>
      </w:r>
      <w:r w:rsidRPr="00171AA5">
        <w:rPr>
          <w:rFonts w:cs="Arial"/>
          <w:sz w:val="18"/>
          <w:szCs w:val="18"/>
        </w:rPr>
        <w:t>CCPR/C/138/D/3088/2017, Human Rights Committee of the United Nations, adopted 7 July 2023 (</w:t>
      </w:r>
      <w:r w:rsidRPr="00171AA5">
        <w:rPr>
          <w:rFonts w:cs="Arial"/>
          <w:b/>
          <w:bCs/>
          <w:i/>
          <w:iCs/>
          <w:sz w:val="18"/>
          <w:szCs w:val="18"/>
        </w:rPr>
        <w:t>Kazal v Australia</w:t>
      </w:r>
      <w:r w:rsidRPr="00171AA5">
        <w:rPr>
          <w:rFonts w:cs="Arial"/>
          <w:sz w:val="18"/>
          <w:szCs w:val="18"/>
        </w:rPr>
        <w:t>).</w:t>
      </w:r>
    </w:p>
  </w:footnote>
  <w:footnote w:id="6">
    <w:p w14:paraId="7F143C9B"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Kazal v Australia </w:t>
      </w:r>
      <w:r w:rsidRPr="00171AA5">
        <w:rPr>
          <w:rFonts w:cs="Arial"/>
          <w:sz w:val="18"/>
          <w:szCs w:val="18"/>
        </w:rPr>
        <w:t>at [8.3], [8.5].</w:t>
      </w:r>
    </w:p>
  </w:footnote>
  <w:footnote w:id="7">
    <w:p w14:paraId="43173EFA" w14:textId="11DCEBFD" w:rsidR="001A1273" w:rsidRPr="00171AA5" w:rsidRDefault="001A1273" w:rsidP="00FC655A">
      <w:pPr>
        <w:pStyle w:val="FootnoteText"/>
        <w:rPr>
          <w:sz w:val="18"/>
          <w:szCs w:val="18"/>
        </w:rPr>
      </w:pPr>
      <w:r w:rsidRPr="00171AA5">
        <w:rPr>
          <w:rStyle w:val="FootnoteReference"/>
          <w:sz w:val="18"/>
          <w:szCs w:val="18"/>
        </w:rPr>
        <w:footnoteRef/>
      </w:r>
      <w:r w:rsidRPr="00171AA5">
        <w:rPr>
          <w:sz w:val="18"/>
          <w:szCs w:val="18"/>
        </w:rPr>
        <w:t xml:space="preserve"> </w:t>
      </w:r>
      <w:r w:rsidRPr="00171AA5">
        <w:rPr>
          <w:rFonts w:cs="Arial"/>
          <w:i/>
          <w:iCs/>
          <w:sz w:val="18"/>
          <w:szCs w:val="18"/>
        </w:rPr>
        <w:t xml:space="preserve">Kazal v Australia </w:t>
      </w:r>
      <w:r w:rsidRPr="00171AA5">
        <w:rPr>
          <w:rFonts w:cs="Arial"/>
          <w:sz w:val="18"/>
          <w:szCs w:val="18"/>
        </w:rPr>
        <w:t>at [8.4].</w:t>
      </w:r>
    </w:p>
  </w:footnote>
  <w:footnote w:id="8">
    <w:p w14:paraId="4665F773"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Kazal v Australia </w:t>
      </w:r>
      <w:r w:rsidRPr="00171AA5">
        <w:rPr>
          <w:rFonts w:cs="Arial"/>
          <w:sz w:val="18"/>
          <w:szCs w:val="18"/>
        </w:rPr>
        <w:t>at [8.5].</w:t>
      </w:r>
    </w:p>
  </w:footnote>
  <w:footnote w:id="9">
    <w:p w14:paraId="4F7F8B21" w14:textId="4A46E757" w:rsidR="00FC655A" w:rsidRPr="00171AA5" w:rsidRDefault="00FC655A" w:rsidP="00FC655A">
      <w:pPr>
        <w:pStyle w:val="FootnoteText"/>
        <w:rPr>
          <w:sz w:val="18"/>
          <w:szCs w:val="18"/>
        </w:rPr>
      </w:pPr>
      <w:r w:rsidRPr="00171AA5">
        <w:rPr>
          <w:rStyle w:val="FootnoteReference"/>
          <w:sz w:val="18"/>
          <w:szCs w:val="18"/>
        </w:rPr>
        <w:footnoteRef/>
      </w:r>
      <w:r w:rsidRPr="00171AA5">
        <w:rPr>
          <w:sz w:val="18"/>
          <w:szCs w:val="18"/>
        </w:rPr>
        <w:t xml:space="preserve"> </w:t>
      </w:r>
      <w:r w:rsidRPr="00171AA5">
        <w:rPr>
          <w:rFonts w:cs="Arial"/>
          <w:i/>
          <w:iCs/>
          <w:sz w:val="18"/>
          <w:szCs w:val="18"/>
        </w:rPr>
        <w:t xml:space="preserve">Human Rights Act 2019 </w:t>
      </w:r>
      <w:r w:rsidRPr="00171AA5">
        <w:rPr>
          <w:rFonts w:cs="Arial"/>
          <w:sz w:val="18"/>
          <w:szCs w:val="18"/>
        </w:rPr>
        <w:t>(Qld) (</w:t>
      </w:r>
      <w:r w:rsidRPr="00171AA5">
        <w:rPr>
          <w:rFonts w:cs="Arial"/>
          <w:b/>
          <w:bCs/>
          <w:sz w:val="18"/>
          <w:szCs w:val="18"/>
        </w:rPr>
        <w:t>HR Act</w:t>
      </w:r>
      <w:r w:rsidRPr="00171AA5">
        <w:rPr>
          <w:rFonts w:cs="Arial"/>
          <w:sz w:val="18"/>
          <w:szCs w:val="18"/>
        </w:rPr>
        <w:t>), s 5.</w:t>
      </w:r>
    </w:p>
  </w:footnote>
  <w:footnote w:id="10">
    <w:p w14:paraId="101EB561" w14:textId="5033DCF3" w:rsidR="00171AA5" w:rsidRPr="00171AA5" w:rsidRDefault="00171AA5" w:rsidP="00171AA5">
      <w:pPr>
        <w:pStyle w:val="FootnoteText"/>
        <w:rPr>
          <w:sz w:val="18"/>
          <w:szCs w:val="18"/>
        </w:rPr>
      </w:pPr>
      <w:r w:rsidRPr="00171AA5">
        <w:rPr>
          <w:rStyle w:val="FootnoteReference"/>
          <w:sz w:val="18"/>
          <w:szCs w:val="18"/>
        </w:rPr>
        <w:footnoteRef/>
      </w:r>
      <w:r w:rsidRPr="00171AA5">
        <w:rPr>
          <w:sz w:val="18"/>
          <w:szCs w:val="18"/>
        </w:rPr>
        <w:t xml:space="preserve"> HR Act ss 38–41.</w:t>
      </w:r>
    </w:p>
  </w:footnote>
  <w:footnote w:id="11">
    <w:p w14:paraId="5E9BC5C7" w14:textId="6613BEF7" w:rsidR="00171AA5" w:rsidRPr="00171AA5" w:rsidRDefault="00171AA5">
      <w:pPr>
        <w:pStyle w:val="FootnoteText"/>
        <w:rPr>
          <w:sz w:val="18"/>
          <w:szCs w:val="18"/>
        </w:rPr>
      </w:pPr>
      <w:r w:rsidRPr="00171AA5">
        <w:rPr>
          <w:rStyle w:val="FootnoteReference"/>
          <w:sz w:val="18"/>
          <w:szCs w:val="18"/>
        </w:rPr>
        <w:footnoteRef/>
      </w:r>
      <w:r w:rsidRPr="00171AA5">
        <w:rPr>
          <w:sz w:val="18"/>
          <w:szCs w:val="18"/>
        </w:rPr>
        <w:t xml:space="preserve"> HR Act ss 43–47.</w:t>
      </w:r>
    </w:p>
  </w:footnote>
  <w:footnote w:id="12">
    <w:p w14:paraId="10240F89" w14:textId="01C2A6D2" w:rsidR="00171AA5" w:rsidRPr="00171AA5" w:rsidRDefault="00171AA5">
      <w:pPr>
        <w:pStyle w:val="FootnoteText"/>
        <w:rPr>
          <w:sz w:val="18"/>
          <w:szCs w:val="18"/>
        </w:rPr>
      </w:pPr>
      <w:r w:rsidRPr="00171AA5">
        <w:rPr>
          <w:rStyle w:val="FootnoteReference"/>
          <w:sz w:val="18"/>
          <w:szCs w:val="18"/>
        </w:rPr>
        <w:footnoteRef/>
      </w:r>
      <w:r w:rsidRPr="00171AA5">
        <w:rPr>
          <w:sz w:val="18"/>
          <w:szCs w:val="18"/>
        </w:rPr>
        <w:t xml:space="preserve"> HR Act s 53.</w:t>
      </w:r>
    </w:p>
  </w:footnote>
  <w:footnote w:id="13">
    <w:p w14:paraId="5B9956D3" w14:textId="6C5C3525"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00FC655A" w:rsidRPr="00171AA5">
        <w:rPr>
          <w:rFonts w:cs="Arial"/>
          <w:sz w:val="18"/>
          <w:szCs w:val="18"/>
        </w:rPr>
        <w:t>HR Act</w:t>
      </w:r>
      <w:r w:rsidRPr="00171AA5">
        <w:rPr>
          <w:rFonts w:cs="Arial"/>
          <w:b/>
          <w:bCs/>
          <w:sz w:val="18"/>
          <w:szCs w:val="18"/>
        </w:rPr>
        <w:t xml:space="preserve"> </w:t>
      </w:r>
      <w:r w:rsidRPr="00171AA5">
        <w:rPr>
          <w:rFonts w:cs="Arial"/>
          <w:sz w:val="18"/>
          <w:szCs w:val="18"/>
        </w:rPr>
        <w:t>s 9(1)(a), (b)</w:t>
      </w:r>
      <w:r w:rsidR="00E3227E">
        <w:rPr>
          <w:rFonts w:cs="Arial"/>
          <w:sz w:val="18"/>
          <w:szCs w:val="18"/>
        </w:rPr>
        <w:t xml:space="preserve"> </w:t>
      </w:r>
      <w:r w:rsidRPr="00171AA5">
        <w:rPr>
          <w:rFonts w:cs="Arial"/>
          <w:sz w:val="18"/>
          <w:szCs w:val="18"/>
        </w:rPr>
        <w:t>and (</w:t>
      </w:r>
      <w:proofErr w:type="spellStart"/>
      <w:r w:rsidRPr="00171AA5">
        <w:rPr>
          <w:rFonts w:cs="Arial"/>
          <w:sz w:val="18"/>
          <w:szCs w:val="18"/>
        </w:rPr>
        <w:t>i</w:t>
      </w:r>
      <w:proofErr w:type="spellEnd"/>
      <w:r w:rsidRPr="00171AA5">
        <w:rPr>
          <w:rFonts w:cs="Arial"/>
          <w:sz w:val="18"/>
          <w:szCs w:val="18"/>
        </w:rPr>
        <w:t xml:space="preserve">). </w:t>
      </w:r>
      <w:r w:rsidRPr="00171AA5">
        <w:rPr>
          <w:rFonts w:cs="Arial"/>
          <w:i/>
          <w:iCs/>
          <w:sz w:val="18"/>
          <w:szCs w:val="18"/>
        </w:rPr>
        <w:t xml:space="preserve">SQH v Scott </w:t>
      </w:r>
      <w:r w:rsidRPr="00171AA5">
        <w:rPr>
          <w:rFonts w:cs="Arial"/>
          <w:sz w:val="18"/>
          <w:szCs w:val="18"/>
        </w:rPr>
        <w:t>(2022) 10 QR 215 at [124].</w:t>
      </w:r>
    </w:p>
  </w:footnote>
  <w:footnote w:id="14">
    <w:p w14:paraId="24A4C1CF"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SQH v Scott </w:t>
      </w:r>
      <w:r w:rsidRPr="00171AA5">
        <w:rPr>
          <w:rFonts w:cs="Arial"/>
          <w:sz w:val="18"/>
          <w:szCs w:val="18"/>
        </w:rPr>
        <w:t>(ibid) at [124].</w:t>
      </w:r>
    </w:p>
  </w:footnote>
  <w:footnote w:id="15">
    <w:p w14:paraId="5FABDDEA"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SQH v Scott</w:t>
      </w:r>
      <w:r w:rsidRPr="00171AA5">
        <w:rPr>
          <w:rFonts w:cs="Arial"/>
          <w:sz w:val="18"/>
          <w:szCs w:val="18"/>
        </w:rPr>
        <w:t xml:space="preserve"> at [120]-[121].</w:t>
      </w:r>
    </w:p>
  </w:footnote>
  <w:footnote w:id="16">
    <w:p w14:paraId="5F6D514B" w14:textId="77777777" w:rsidR="0051199E" w:rsidRPr="00171AA5" w:rsidRDefault="0051199E" w:rsidP="00FC655A">
      <w:pPr>
        <w:spacing w:after="0" w:line="257" w:lineRule="auto"/>
        <w:rPr>
          <w:rFonts w:ascii="Arial" w:hAnsi="Arial" w:cs="Arial"/>
          <w:sz w:val="18"/>
          <w:szCs w:val="18"/>
        </w:rPr>
      </w:pPr>
      <w:r w:rsidRPr="00171AA5">
        <w:rPr>
          <w:rStyle w:val="FootnoteReference"/>
          <w:rFonts w:ascii="Arial" w:hAnsi="Arial" w:cs="Arial"/>
          <w:sz w:val="18"/>
          <w:szCs w:val="18"/>
        </w:rPr>
        <w:footnoteRef/>
      </w:r>
      <w:r w:rsidRPr="00171AA5">
        <w:rPr>
          <w:rFonts w:ascii="Arial" w:hAnsi="Arial" w:cs="Arial"/>
          <w:sz w:val="18"/>
          <w:szCs w:val="18"/>
        </w:rPr>
        <w:t xml:space="preserve"> HR Act,</w:t>
      </w:r>
      <w:r w:rsidRPr="00171AA5">
        <w:rPr>
          <w:rFonts w:ascii="Arial" w:hAnsi="Arial" w:cs="Arial"/>
          <w:i/>
          <w:iCs/>
          <w:sz w:val="18"/>
          <w:szCs w:val="18"/>
        </w:rPr>
        <w:t xml:space="preserve"> </w:t>
      </w:r>
      <w:r w:rsidRPr="00171AA5">
        <w:rPr>
          <w:rFonts w:ascii="Arial" w:hAnsi="Arial" w:cs="Arial"/>
          <w:sz w:val="18"/>
          <w:szCs w:val="18"/>
        </w:rPr>
        <w:t xml:space="preserve">s 58(2); see </w:t>
      </w:r>
      <w:r w:rsidRPr="00171AA5">
        <w:rPr>
          <w:rFonts w:ascii="Arial" w:hAnsi="Arial" w:cs="Arial"/>
          <w:i/>
          <w:iCs/>
          <w:sz w:val="18"/>
          <w:szCs w:val="18"/>
        </w:rPr>
        <w:t>SQH v Scott</w:t>
      </w:r>
      <w:r w:rsidRPr="00171AA5">
        <w:rPr>
          <w:rFonts w:ascii="Arial" w:hAnsi="Arial" w:cs="Arial"/>
          <w:sz w:val="18"/>
          <w:szCs w:val="18"/>
        </w:rPr>
        <w:t xml:space="preserve"> at [123]-[129], [143]-[144].</w:t>
      </w:r>
    </w:p>
  </w:footnote>
  <w:footnote w:id="17">
    <w:p w14:paraId="7FD48AAD"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Owen-D’Arcy v Chief Executive, Queensland Corrective Services </w:t>
      </w:r>
      <w:r w:rsidRPr="00171AA5">
        <w:rPr>
          <w:rFonts w:cs="Arial"/>
          <w:sz w:val="18"/>
          <w:szCs w:val="18"/>
        </w:rPr>
        <w:t xml:space="preserve">(2021) 9 QR 250, 291 [104]; </w:t>
      </w:r>
      <w:r w:rsidRPr="00171AA5">
        <w:rPr>
          <w:rFonts w:cs="Arial"/>
          <w:i/>
          <w:iCs/>
          <w:sz w:val="18"/>
          <w:szCs w:val="18"/>
        </w:rPr>
        <w:t xml:space="preserve">Momcilovic v The Queen </w:t>
      </w:r>
      <w:r w:rsidRPr="00171AA5">
        <w:rPr>
          <w:rFonts w:cs="Arial"/>
          <w:sz w:val="18"/>
          <w:szCs w:val="18"/>
        </w:rPr>
        <w:t>(2011) 245 CLR 1, 39-40 [22], 43-44 [34]; 172 [432], 213-214 [555]-[557].</w:t>
      </w:r>
    </w:p>
  </w:footnote>
  <w:footnote w:id="18">
    <w:p w14:paraId="17D90649"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Johnston v Carroll </w:t>
      </w:r>
      <w:r w:rsidRPr="00171AA5">
        <w:rPr>
          <w:rFonts w:cs="Arial"/>
          <w:sz w:val="18"/>
          <w:szCs w:val="18"/>
        </w:rPr>
        <w:t>[2024] QSC 2 at [74].</w:t>
      </w:r>
    </w:p>
  </w:footnote>
  <w:footnote w:id="19">
    <w:p w14:paraId="64E8519D"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Owen-D’Arcy v Chief Executive, Queensland Corrective Services </w:t>
      </w:r>
      <w:r w:rsidRPr="00171AA5">
        <w:rPr>
          <w:rFonts w:cs="Arial"/>
          <w:sz w:val="18"/>
          <w:szCs w:val="18"/>
        </w:rPr>
        <w:t>at [130].</w:t>
      </w:r>
    </w:p>
  </w:footnote>
  <w:footnote w:id="20">
    <w:p w14:paraId="3F8FDB10" w14:textId="7EC9EB66"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Re Kracke and the Mental Health Review Board </w:t>
      </w:r>
      <w:r w:rsidRPr="00171AA5">
        <w:rPr>
          <w:rFonts w:cs="Arial"/>
          <w:sz w:val="18"/>
          <w:szCs w:val="18"/>
        </w:rPr>
        <w:t xml:space="preserve">(2009) 29 VAR 1, </w:t>
      </w:r>
      <w:r w:rsidR="0022383C">
        <w:rPr>
          <w:rFonts w:cs="Arial"/>
          <w:sz w:val="18"/>
          <w:szCs w:val="18"/>
        </w:rPr>
        <w:t>[370]-[419]</w:t>
      </w:r>
      <w:r w:rsidRPr="00171AA5">
        <w:rPr>
          <w:rFonts w:cs="Arial"/>
          <w:sz w:val="18"/>
          <w:szCs w:val="18"/>
        </w:rPr>
        <w:t>.</w:t>
      </w:r>
      <w:r w:rsidR="00893D55">
        <w:rPr>
          <w:rFonts w:cs="Arial"/>
          <w:sz w:val="18"/>
          <w:szCs w:val="18"/>
        </w:rPr>
        <w:t xml:space="preserve"> See further </w:t>
      </w:r>
      <w:r w:rsidR="00893D55" w:rsidRPr="00171AA5">
        <w:rPr>
          <w:rFonts w:cs="Arial"/>
          <w:sz w:val="18"/>
          <w:szCs w:val="18"/>
        </w:rPr>
        <w:t>UN Human Rights Committee</w:t>
      </w:r>
      <w:r w:rsidR="0022383C">
        <w:rPr>
          <w:rFonts w:cs="Arial"/>
          <w:sz w:val="18"/>
          <w:szCs w:val="18"/>
        </w:rPr>
        <w:t>,</w:t>
      </w:r>
      <w:r w:rsidR="00893D55" w:rsidRPr="00171AA5">
        <w:rPr>
          <w:rFonts w:cs="Arial"/>
          <w:sz w:val="18"/>
          <w:szCs w:val="18"/>
        </w:rPr>
        <w:t xml:space="preserve"> CCPR General comment No. </w:t>
      </w:r>
      <w:r w:rsidR="00893D55">
        <w:rPr>
          <w:rFonts w:cs="Arial"/>
          <w:sz w:val="18"/>
          <w:szCs w:val="18"/>
        </w:rPr>
        <w:t>32</w:t>
      </w:r>
      <w:r w:rsidR="00893D55" w:rsidRPr="00171AA5">
        <w:rPr>
          <w:rFonts w:cs="Arial"/>
          <w:sz w:val="18"/>
          <w:szCs w:val="18"/>
        </w:rPr>
        <w:t xml:space="preserve"> re Article 1</w:t>
      </w:r>
      <w:r w:rsidR="00893D55">
        <w:rPr>
          <w:rFonts w:cs="Arial"/>
          <w:sz w:val="18"/>
          <w:szCs w:val="18"/>
        </w:rPr>
        <w:t>4</w:t>
      </w:r>
      <w:r w:rsidR="00893D55" w:rsidRPr="00171AA5">
        <w:rPr>
          <w:rFonts w:cs="Arial"/>
          <w:sz w:val="18"/>
          <w:szCs w:val="18"/>
        </w:rPr>
        <w:t xml:space="preserve"> (right to </w:t>
      </w:r>
      <w:r w:rsidR="00893D55">
        <w:rPr>
          <w:rFonts w:cs="Arial"/>
          <w:sz w:val="18"/>
          <w:szCs w:val="18"/>
        </w:rPr>
        <w:t>equality before the courts and right to a fair trial</w:t>
      </w:r>
      <w:r w:rsidR="00893D55" w:rsidRPr="00171AA5">
        <w:rPr>
          <w:rFonts w:cs="Arial"/>
          <w:sz w:val="18"/>
          <w:szCs w:val="18"/>
        </w:rPr>
        <w:t>)</w:t>
      </w:r>
      <w:r w:rsidR="00BE52D3">
        <w:rPr>
          <w:rFonts w:cs="Arial"/>
          <w:sz w:val="18"/>
          <w:szCs w:val="18"/>
        </w:rPr>
        <w:t xml:space="preserve">, </w:t>
      </w:r>
      <w:r w:rsidR="00893D55">
        <w:rPr>
          <w:rFonts w:cs="Arial"/>
          <w:color w:val="000000"/>
          <w:sz w:val="18"/>
          <w:szCs w:val="18"/>
          <w:shd w:val="clear" w:color="auto" w:fill="FFFFFF"/>
        </w:rPr>
        <w:t xml:space="preserve">UN Doc CCPR/C/GC/32, </w:t>
      </w:r>
      <w:r w:rsidR="00F64D24">
        <w:rPr>
          <w:rFonts w:cs="Arial"/>
          <w:color w:val="000000"/>
          <w:sz w:val="18"/>
          <w:szCs w:val="18"/>
          <w:shd w:val="clear" w:color="auto" w:fill="FFFFFF"/>
        </w:rPr>
        <w:t>[16]</w:t>
      </w:r>
      <w:r w:rsidR="00893D55" w:rsidRPr="00171AA5">
        <w:rPr>
          <w:rFonts w:cs="Arial"/>
          <w:sz w:val="18"/>
          <w:szCs w:val="18"/>
        </w:rPr>
        <w:t>.</w:t>
      </w:r>
      <w:r w:rsidR="00D2223B">
        <w:rPr>
          <w:rFonts w:cs="Arial"/>
          <w:sz w:val="18"/>
          <w:szCs w:val="18"/>
        </w:rPr>
        <w:t xml:space="preserve"> Construing the right broadly, it may apply to proceedings before an anti-corruption commission: </w:t>
      </w:r>
      <w:r w:rsidR="0022383C">
        <w:rPr>
          <w:rFonts w:cs="Arial"/>
          <w:sz w:val="18"/>
          <w:szCs w:val="18"/>
        </w:rPr>
        <w:t>s</w:t>
      </w:r>
      <w:r w:rsidR="00D2223B" w:rsidRPr="00D2223B">
        <w:rPr>
          <w:rFonts w:cs="Arial"/>
          <w:sz w:val="18"/>
          <w:szCs w:val="18"/>
        </w:rPr>
        <w:t xml:space="preserve">ee, </w:t>
      </w:r>
      <w:proofErr w:type="spellStart"/>
      <w:r w:rsidR="00D2223B" w:rsidRPr="00D2223B">
        <w:rPr>
          <w:rFonts w:cs="Arial"/>
          <w:sz w:val="18"/>
          <w:szCs w:val="18"/>
        </w:rPr>
        <w:t>eg</w:t>
      </w:r>
      <w:proofErr w:type="spellEnd"/>
      <w:r w:rsidR="00D2223B" w:rsidRPr="00D2223B">
        <w:rPr>
          <w:rFonts w:cs="Arial"/>
          <w:sz w:val="18"/>
          <w:szCs w:val="18"/>
        </w:rPr>
        <w:t xml:space="preserve">, Joint opinion by Committee members Laurence R. Helfer and </w:t>
      </w:r>
      <w:proofErr w:type="spellStart"/>
      <w:r w:rsidR="00D2223B" w:rsidRPr="00D2223B">
        <w:rPr>
          <w:rFonts w:cs="Arial"/>
          <w:sz w:val="18"/>
          <w:szCs w:val="18"/>
        </w:rPr>
        <w:t>Bacre</w:t>
      </w:r>
      <w:proofErr w:type="spellEnd"/>
      <w:r w:rsidR="00D2223B" w:rsidRPr="00D2223B">
        <w:rPr>
          <w:rFonts w:cs="Arial"/>
          <w:sz w:val="18"/>
          <w:szCs w:val="18"/>
        </w:rPr>
        <w:t xml:space="preserve"> W. Ndiaye (partially dissenting) in </w:t>
      </w:r>
      <w:r w:rsidR="00D2223B" w:rsidRPr="00D2223B">
        <w:rPr>
          <w:rFonts w:cs="Arial"/>
          <w:i/>
          <w:iCs/>
          <w:sz w:val="18"/>
          <w:szCs w:val="18"/>
        </w:rPr>
        <w:t>Kazal v Australia</w:t>
      </w:r>
      <w:r w:rsidR="00D2223B">
        <w:rPr>
          <w:rFonts w:cs="Arial"/>
          <w:sz w:val="18"/>
          <w:szCs w:val="18"/>
        </w:rPr>
        <w:t>. Note</w:t>
      </w:r>
      <w:r w:rsidR="00BE52D3">
        <w:rPr>
          <w:rFonts w:cs="Arial"/>
          <w:sz w:val="18"/>
          <w:szCs w:val="18"/>
        </w:rPr>
        <w:t>, however,</w:t>
      </w:r>
      <w:r w:rsidR="00D2223B">
        <w:rPr>
          <w:rFonts w:cs="Arial"/>
          <w:sz w:val="18"/>
          <w:szCs w:val="18"/>
        </w:rPr>
        <w:t xml:space="preserve"> that the majority</w:t>
      </w:r>
      <w:r w:rsidR="00BE52D3">
        <w:rPr>
          <w:rFonts w:cs="Arial"/>
          <w:sz w:val="18"/>
          <w:szCs w:val="18"/>
        </w:rPr>
        <w:t xml:space="preserve"> of Committee members</w:t>
      </w:r>
      <w:r w:rsidR="00D2223B">
        <w:rPr>
          <w:rFonts w:cs="Arial"/>
          <w:sz w:val="18"/>
          <w:szCs w:val="18"/>
        </w:rPr>
        <w:t xml:space="preserve"> found that Article 14(1)</w:t>
      </w:r>
      <w:r w:rsidR="0022383C">
        <w:rPr>
          <w:rFonts w:cs="Arial"/>
          <w:sz w:val="18"/>
          <w:szCs w:val="18"/>
        </w:rPr>
        <w:t xml:space="preserve"> of the ICCPR</w:t>
      </w:r>
      <w:r w:rsidR="00D2223B">
        <w:rPr>
          <w:rFonts w:cs="Arial"/>
          <w:sz w:val="18"/>
          <w:szCs w:val="18"/>
        </w:rPr>
        <w:t xml:space="preserve"> did not apply to proceedings of the NSW ICAC in that case.</w:t>
      </w:r>
    </w:p>
  </w:footnote>
  <w:footnote w:id="21">
    <w:p w14:paraId="0CD3C54A"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proofErr w:type="spellStart"/>
      <w:r w:rsidRPr="00171AA5">
        <w:rPr>
          <w:rFonts w:cs="Arial"/>
          <w:i/>
          <w:iCs/>
          <w:sz w:val="18"/>
          <w:szCs w:val="18"/>
        </w:rPr>
        <w:t>Matsoukatidou</w:t>
      </w:r>
      <w:proofErr w:type="spellEnd"/>
      <w:r w:rsidRPr="00171AA5">
        <w:rPr>
          <w:rFonts w:cs="Arial"/>
          <w:i/>
          <w:iCs/>
          <w:sz w:val="18"/>
          <w:szCs w:val="18"/>
        </w:rPr>
        <w:t xml:space="preserve"> v Yarra Ranges Council </w:t>
      </w:r>
      <w:r w:rsidRPr="00171AA5">
        <w:rPr>
          <w:rFonts w:cs="Arial"/>
          <w:sz w:val="18"/>
          <w:szCs w:val="18"/>
        </w:rPr>
        <w:t>(2017) 51 VR 624 at [178].</w:t>
      </w:r>
    </w:p>
  </w:footnote>
  <w:footnote w:id="22">
    <w:p w14:paraId="33445E82"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lang w:val="en-US"/>
        </w:rPr>
        <w:t>Victoria Police Toll Enforcement v Taha</w:t>
      </w:r>
      <w:r w:rsidRPr="00171AA5">
        <w:rPr>
          <w:rFonts w:cs="Arial"/>
          <w:sz w:val="18"/>
          <w:szCs w:val="18"/>
          <w:lang w:val="en-US"/>
        </w:rPr>
        <w:t xml:space="preserve"> (2013) 49 VR 1 at [205].</w:t>
      </w:r>
    </w:p>
  </w:footnote>
  <w:footnote w:id="23">
    <w:p w14:paraId="4B191317" w14:textId="71CCEAA4" w:rsidR="005E7997" w:rsidRPr="005E7997" w:rsidRDefault="005E7997">
      <w:pPr>
        <w:pStyle w:val="FootnoteText"/>
        <w:rPr>
          <w:iCs/>
        </w:rPr>
      </w:pPr>
      <w:r>
        <w:rPr>
          <w:rStyle w:val="FootnoteReference"/>
        </w:rPr>
        <w:footnoteRef/>
      </w:r>
      <w:r>
        <w:t xml:space="preserve"> </w:t>
      </w:r>
      <w:r>
        <w:rPr>
          <w:i/>
          <w:iCs/>
        </w:rPr>
        <w:t>Crime and Corruption Bill 2023</w:t>
      </w:r>
      <w:r>
        <w:rPr>
          <w:iCs/>
        </w:rPr>
        <w:t>, cl 7. The Bill was introduced by shadow Attorney-General Mr T Nicholls MP on 11 October 2023.</w:t>
      </w:r>
    </w:p>
  </w:footnote>
  <w:footnote w:id="24">
    <w:p w14:paraId="60EA64A9"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See the recent discussion of the right in the context of public reports, in </w:t>
      </w:r>
      <w:r w:rsidRPr="00171AA5">
        <w:rPr>
          <w:rFonts w:cs="Arial"/>
          <w:i/>
          <w:iCs/>
          <w:sz w:val="18"/>
          <w:szCs w:val="18"/>
        </w:rPr>
        <w:t xml:space="preserve">AB (a pseudonym) v IBAC </w:t>
      </w:r>
      <w:r w:rsidRPr="00171AA5">
        <w:rPr>
          <w:rFonts w:cs="Arial"/>
          <w:sz w:val="18"/>
          <w:szCs w:val="18"/>
        </w:rPr>
        <w:t>[2024] HCA 10.</w:t>
      </w:r>
    </w:p>
  </w:footnote>
  <w:footnote w:id="25">
    <w:p w14:paraId="1B249385"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Explanatory Notes, </w:t>
      </w:r>
      <w:r w:rsidRPr="00171AA5">
        <w:rPr>
          <w:rFonts w:cs="Arial"/>
          <w:i/>
          <w:iCs/>
          <w:sz w:val="18"/>
          <w:szCs w:val="18"/>
        </w:rPr>
        <w:t xml:space="preserve">Human Rights Bill 2018 </w:t>
      </w:r>
      <w:r w:rsidRPr="00171AA5">
        <w:rPr>
          <w:rFonts w:cs="Arial"/>
          <w:sz w:val="18"/>
          <w:szCs w:val="18"/>
        </w:rPr>
        <w:t>(Qld) (</w:t>
      </w:r>
      <w:r w:rsidRPr="00171AA5">
        <w:rPr>
          <w:rFonts w:cs="Arial"/>
          <w:b/>
          <w:bCs/>
          <w:sz w:val="18"/>
          <w:szCs w:val="18"/>
        </w:rPr>
        <w:t>EN</w:t>
      </w:r>
      <w:r w:rsidRPr="00171AA5">
        <w:rPr>
          <w:rFonts w:cs="Arial"/>
          <w:sz w:val="18"/>
          <w:szCs w:val="18"/>
        </w:rPr>
        <w:t>), p22.</w:t>
      </w:r>
    </w:p>
  </w:footnote>
  <w:footnote w:id="26">
    <w:p w14:paraId="653C0CE9"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EN, p22. </w:t>
      </w:r>
      <w:r w:rsidRPr="00171AA5">
        <w:rPr>
          <w:rFonts w:cs="Arial"/>
          <w:i/>
          <w:iCs/>
          <w:sz w:val="18"/>
          <w:szCs w:val="18"/>
        </w:rPr>
        <w:t xml:space="preserve">DPP v Kaba </w:t>
      </w:r>
      <w:r w:rsidRPr="00171AA5">
        <w:rPr>
          <w:rFonts w:cs="Arial"/>
          <w:sz w:val="18"/>
          <w:szCs w:val="18"/>
          <w:lang w:val="en-US"/>
        </w:rPr>
        <w:t>(2014) 44 VR 526.</w:t>
      </w:r>
    </w:p>
  </w:footnote>
  <w:footnote w:id="27">
    <w:p w14:paraId="4BC83E4E"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Director of Housing v Sudi </w:t>
      </w:r>
      <w:r w:rsidRPr="00171AA5">
        <w:rPr>
          <w:rFonts w:cs="Arial"/>
          <w:sz w:val="18"/>
          <w:szCs w:val="18"/>
        </w:rPr>
        <w:t>[2010] VCAT 328 at [29].</w:t>
      </w:r>
    </w:p>
  </w:footnote>
  <w:footnote w:id="28">
    <w:p w14:paraId="5C0B133F"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C v Belgium </w:t>
      </w:r>
      <w:r w:rsidRPr="00171AA5">
        <w:rPr>
          <w:rFonts w:cs="Arial"/>
          <w:sz w:val="18"/>
          <w:szCs w:val="18"/>
        </w:rPr>
        <w:t xml:space="preserve">(2001) 32 EHRR 2, 33-34 [25]; </w:t>
      </w:r>
      <w:r w:rsidRPr="00171AA5">
        <w:rPr>
          <w:rFonts w:cs="Arial"/>
          <w:i/>
          <w:iCs/>
          <w:sz w:val="18"/>
          <w:szCs w:val="18"/>
        </w:rPr>
        <w:t xml:space="preserve">Bagirov v Azerbaijan </w:t>
      </w:r>
      <w:r w:rsidRPr="00171AA5">
        <w:rPr>
          <w:rFonts w:cs="Arial"/>
          <w:sz w:val="18"/>
          <w:szCs w:val="18"/>
        </w:rPr>
        <w:t xml:space="preserve">(2020) 71 EHRR 30, 1014-16 [91]-[104]; </w:t>
      </w:r>
      <w:r w:rsidRPr="00171AA5">
        <w:rPr>
          <w:rFonts w:cs="Arial"/>
          <w:i/>
          <w:iCs/>
          <w:sz w:val="18"/>
          <w:szCs w:val="18"/>
        </w:rPr>
        <w:t xml:space="preserve">Pretty v UK </w:t>
      </w:r>
      <w:r w:rsidRPr="00171AA5">
        <w:rPr>
          <w:rFonts w:cs="Arial"/>
          <w:sz w:val="18"/>
          <w:szCs w:val="18"/>
        </w:rPr>
        <w:t xml:space="preserve">(2002) 35 EHRR 1, 36 [61]; </w:t>
      </w:r>
      <w:r w:rsidRPr="00171AA5">
        <w:rPr>
          <w:rFonts w:cs="Arial"/>
          <w:i/>
          <w:iCs/>
          <w:sz w:val="18"/>
          <w:szCs w:val="18"/>
        </w:rPr>
        <w:t xml:space="preserve">Volkov v Ukraine </w:t>
      </w:r>
      <w:r w:rsidRPr="00171AA5">
        <w:rPr>
          <w:rFonts w:cs="Arial"/>
          <w:sz w:val="18"/>
          <w:szCs w:val="18"/>
        </w:rPr>
        <w:t xml:space="preserve">[2014] ECHR 32 at [154] citing </w:t>
      </w:r>
      <w:proofErr w:type="spellStart"/>
      <w:r w:rsidRPr="00171AA5">
        <w:rPr>
          <w:rFonts w:cs="Arial"/>
          <w:i/>
          <w:iCs/>
          <w:sz w:val="18"/>
          <w:szCs w:val="18"/>
        </w:rPr>
        <w:t>Neimietz</w:t>
      </w:r>
      <w:proofErr w:type="spellEnd"/>
      <w:r w:rsidRPr="00171AA5">
        <w:rPr>
          <w:rFonts w:cs="Arial"/>
          <w:i/>
          <w:iCs/>
          <w:sz w:val="18"/>
          <w:szCs w:val="18"/>
        </w:rPr>
        <w:t xml:space="preserve"> v Germany </w:t>
      </w:r>
      <w:r w:rsidRPr="00171AA5">
        <w:rPr>
          <w:rFonts w:cs="Arial"/>
          <w:sz w:val="18"/>
          <w:szCs w:val="18"/>
        </w:rPr>
        <w:t>(1993) 16 EHRR 97, 11 [29]</w:t>
      </w:r>
    </w:p>
  </w:footnote>
  <w:footnote w:id="29">
    <w:p w14:paraId="2FEE3AB8" w14:textId="77777777" w:rsidR="0051199E" w:rsidRPr="00171AA5" w:rsidRDefault="0051199E" w:rsidP="00FC655A">
      <w:pPr>
        <w:autoSpaceDE w:val="0"/>
        <w:autoSpaceDN w:val="0"/>
        <w:adjustRightInd w:val="0"/>
        <w:spacing w:after="0"/>
        <w:rPr>
          <w:rFonts w:ascii="Arial" w:hAnsi="Arial" w:cs="Arial"/>
          <w:sz w:val="18"/>
          <w:szCs w:val="18"/>
        </w:rPr>
      </w:pPr>
      <w:r w:rsidRPr="00171AA5">
        <w:rPr>
          <w:rStyle w:val="FootnoteReference"/>
          <w:rFonts w:ascii="Arial" w:hAnsi="Arial" w:cs="Arial"/>
          <w:sz w:val="18"/>
          <w:szCs w:val="18"/>
        </w:rPr>
        <w:footnoteRef/>
      </w:r>
      <w:r w:rsidRPr="00171AA5">
        <w:rPr>
          <w:rFonts w:ascii="Arial" w:hAnsi="Arial" w:cs="Arial"/>
          <w:sz w:val="18"/>
          <w:szCs w:val="18"/>
        </w:rPr>
        <w:t xml:space="preserve"> </w:t>
      </w:r>
      <w:r w:rsidRPr="00171AA5">
        <w:rPr>
          <w:rFonts w:ascii="Arial" w:hAnsi="Arial" w:cs="Arial"/>
          <w:i/>
          <w:iCs/>
          <w:sz w:val="18"/>
          <w:szCs w:val="18"/>
          <w:lang w:val="en-GB"/>
        </w:rPr>
        <w:t>ZZ v Secretary, Department of Justice</w:t>
      </w:r>
      <w:r w:rsidRPr="00171AA5">
        <w:rPr>
          <w:rFonts w:ascii="Arial" w:hAnsi="Arial" w:cs="Arial"/>
          <w:sz w:val="18"/>
          <w:szCs w:val="18"/>
          <w:lang w:val="en-GB"/>
        </w:rPr>
        <w:t xml:space="preserve"> [2013] VSC 267, [86]-[95].</w:t>
      </w:r>
    </w:p>
  </w:footnote>
  <w:footnote w:id="30">
    <w:p w14:paraId="614F6EB9" w14:textId="77777777" w:rsidR="0051199E" w:rsidRPr="00171AA5" w:rsidRDefault="0051199E" w:rsidP="00FC655A">
      <w:pPr>
        <w:spacing w:after="0"/>
        <w:rPr>
          <w:rStyle w:val="FootnoteReference"/>
          <w:rFonts w:ascii="Arial" w:hAnsi="Arial" w:cs="Arial"/>
          <w:sz w:val="18"/>
          <w:szCs w:val="18"/>
        </w:rPr>
      </w:pPr>
      <w:r w:rsidRPr="00171AA5">
        <w:rPr>
          <w:rStyle w:val="FootnoteReference"/>
          <w:rFonts w:ascii="Arial" w:hAnsi="Arial" w:cs="Arial"/>
          <w:sz w:val="18"/>
          <w:szCs w:val="18"/>
        </w:rPr>
        <w:footnoteRef/>
      </w:r>
      <w:r w:rsidRPr="00171AA5">
        <w:rPr>
          <w:rStyle w:val="FootnoteReference"/>
          <w:rFonts w:ascii="Arial" w:hAnsi="Arial" w:cs="Arial"/>
          <w:sz w:val="18"/>
          <w:szCs w:val="18"/>
        </w:rPr>
        <w:t xml:space="preserve"> </w:t>
      </w:r>
      <w:proofErr w:type="spellStart"/>
      <w:r w:rsidRPr="00171AA5">
        <w:rPr>
          <w:rFonts w:ascii="Arial" w:hAnsi="Arial" w:cs="Arial"/>
          <w:i/>
          <w:iCs/>
          <w:sz w:val="18"/>
          <w:szCs w:val="18"/>
        </w:rPr>
        <w:t>Butkevicius</w:t>
      </w:r>
      <w:proofErr w:type="spellEnd"/>
      <w:r w:rsidRPr="00171AA5">
        <w:rPr>
          <w:rFonts w:ascii="Arial" w:hAnsi="Arial" w:cs="Arial"/>
          <w:i/>
          <w:iCs/>
          <w:sz w:val="18"/>
          <w:szCs w:val="18"/>
        </w:rPr>
        <w:t xml:space="preserve"> v Lithuania (Application 70489/17) </w:t>
      </w:r>
      <w:r w:rsidRPr="00171AA5">
        <w:rPr>
          <w:rFonts w:ascii="Arial" w:hAnsi="Arial" w:cs="Arial"/>
          <w:sz w:val="18"/>
          <w:szCs w:val="18"/>
        </w:rPr>
        <w:t xml:space="preserve">European Court of Human Rights, 2022. </w:t>
      </w:r>
    </w:p>
  </w:footnote>
  <w:footnote w:id="31">
    <w:p w14:paraId="3F578CCB"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Johnston v Carroll </w:t>
      </w:r>
      <w:r w:rsidRPr="00171AA5">
        <w:rPr>
          <w:rFonts w:cs="Arial"/>
          <w:sz w:val="18"/>
          <w:szCs w:val="18"/>
        </w:rPr>
        <w:t xml:space="preserve">(supra) at [362]-[363], [367]. </w:t>
      </w:r>
    </w:p>
  </w:footnote>
  <w:footnote w:id="32">
    <w:p w14:paraId="1CC11C91"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Thompson v Minogue </w:t>
      </w:r>
      <w:r w:rsidRPr="00171AA5">
        <w:rPr>
          <w:rFonts w:cs="Arial"/>
          <w:sz w:val="18"/>
          <w:szCs w:val="18"/>
        </w:rPr>
        <w:t>(2021) 67 VR 301 at [49], [55]-[56].</w:t>
      </w:r>
    </w:p>
  </w:footnote>
  <w:footnote w:id="33">
    <w:p w14:paraId="3771B1D4" w14:textId="6F21ABD4" w:rsidR="0051199E" w:rsidRPr="0073184E"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Absolute privilege applies: s 27 Defamation Act.</w:t>
      </w:r>
      <w:r w:rsidR="007E1586">
        <w:rPr>
          <w:rFonts w:cs="Arial"/>
          <w:sz w:val="18"/>
          <w:szCs w:val="18"/>
        </w:rPr>
        <w:t xml:space="preserve"> Note also the </w:t>
      </w:r>
      <w:r w:rsidR="0073184E">
        <w:rPr>
          <w:rFonts w:cs="Arial"/>
          <w:sz w:val="18"/>
          <w:szCs w:val="18"/>
        </w:rPr>
        <w:t>defence of absolute privilege to any defamation proceedings</w:t>
      </w:r>
      <w:r w:rsidR="007E1586">
        <w:rPr>
          <w:rFonts w:cs="Arial"/>
          <w:sz w:val="18"/>
          <w:szCs w:val="18"/>
        </w:rPr>
        <w:t xml:space="preserve"> </w:t>
      </w:r>
      <w:r w:rsidR="0073184E">
        <w:rPr>
          <w:rFonts w:cs="Arial"/>
          <w:sz w:val="18"/>
          <w:szCs w:val="18"/>
        </w:rPr>
        <w:t xml:space="preserve">provided to the Commission in respect of publications made for the purpose of performing the Commission’s functions: </w:t>
      </w:r>
      <w:r w:rsidR="0073184E">
        <w:rPr>
          <w:rFonts w:cs="Arial"/>
          <w:i/>
          <w:iCs/>
          <w:sz w:val="18"/>
          <w:szCs w:val="18"/>
        </w:rPr>
        <w:t xml:space="preserve">Crime and Corruption Act 2001 </w:t>
      </w:r>
      <w:r w:rsidR="0073184E">
        <w:rPr>
          <w:rFonts w:cs="Arial"/>
          <w:sz w:val="18"/>
          <w:szCs w:val="18"/>
        </w:rPr>
        <w:t>(Qld), s 335(6).</w:t>
      </w:r>
    </w:p>
  </w:footnote>
  <w:footnote w:id="34">
    <w:p w14:paraId="1FBFF2FA"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Malik v the United Kingdom </w:t>
      </w:r>
      <w:r w:rsidRPr="00171AA5">
        <w:rPr>
          <w:rFonts w:cs="Arial"/>
          <w:sz w:val="18"/>
          <w:szCs w:val="18"/>
        </w:rPr>
        <w:t>(2012) ECtHR, Application no. 23780/08 at [81], [88], [93].</w:t>
      </w:r>
    </w:p>
  </w:footnote>
  <w:footnote w:id="35">
    <w:p w14:paraId="21D915F2"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Malik </w:t>
      </w:r>
      <w:r w:rsidRPr="00171AA5">
        <w:rPr>
          <w:rFonts w:cs="Arial"/>
          <w:sz w:val="18"/>
          <w:szCs w:val="18"/>
        </w:rPr>
        <w:t xml:space="preserve">(ibid), [81], [89]-[93]; </w:t>
      </w:r>
      <w:r w:rsidRPr="00171AA5">
        <w:rPr>
          <w:rFonts w:cs="Arial"/>
          <w:i/>
          <w:iCs/>
          <w:sz w:val="18"/>
          <w:szCs w:val="18"/>
        </w:rPr>
        <w:t xml:space="preserve">Holder v Law Society </w:t>
      </w:r>
      <w:r w:rsidRPr="00171AA5">
        <w:rPr>
          <w:rFonts w:cs="Arial"/>
          <w:sz w:val="18"/>
          <w:szCs w:val="18"/>
        </w:rPr>
        <w:t>[2003] 1 WLR 1059.</w:t>
      </w:r>
    </w:p>
  </w:footnote>
  <w:footnote w:id="36">
    <w:p w14:paraId="202BB670"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Malik </w:t>
      </w:r>
      <w:r w:rsidRPr="00171AA5">
        <w:rPr>
          <w:rFonts w:cs="Arial"/>
          <w:sz w:val="18"/>
          <w:szCs w:val="18"/>
        </w:rPr>
        <w:t>at [91], and the authorities cited there.</w:t>
      </w:r>
    </w:p>
  </w:footnote>
  <w:footnote w:id="37">
    <w:p w14:paraId="4802B224" w14:textId="77777777" w:rsidR="0051199E" w:rsidRPr="00171AA5" w:rsidRDefault="0051199E" w:rsidP="00FC655A">
      <w:pPr>
        <w:pStyle w:val="FootnoteText"/>
        <w:rPr>
          <w:rFonts w:cs="Arial"/>
          <w:color w:val="000000" w:themeColor="text1"/>
          <w:sz w:val="18"/>
          <w:szCs w:val="18"/>
        </w:rPr>
      </w:pPr>
      <w:r w:rsidRPr="00171AA5">
        <w:rPr>
          <w:rStyle w:val="FootnoteReference"/>
          <w:rFonts w:cs="Arial"/>
          <w:color w:val="000000" w:themeColor="text1"/>
          <w:sz w:val="18"/>
          <w:szCs w:val="18"/>
        </w:rPr>
        <w:footnoteRef/>
      </w:r>
      <w:r w:rsidRPr="00171AA5">
        <w:rPr>
          <w:rFonts w:cs="Arial"/>
          <w:color w:val="000000" w:themeColor="text1"/>
          <w:sz w:val="18"/>
          <w:szCs w:val="18"/>
        </w:rPr>
        <w:t xml:space="preserve"> EN, p21. </w:t>
      </w:r>
    </w:p>
  </w:footnote>
  <w:footnote w:id="38">
    <w:p w14:paraId="2A78E58C"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DPP v Mokbel (Orbital &amp; Quills Ruling No 1) </w:t>
      </w:r>
      <w:r w:rsidRPr="00171AA5">
        <w:rPr>
          <w:rFonts w:cs="Arial"/>
          <w:sz w:val="18"/>
          <w:szCs w:val="18"/>
        </w:rPr>
        <w:t xml:space="preserve">[2010] VSC 331 at [152]; </w:t>
      </w:r>
      <w:r w:rsidRPr="00171AA5">
        <w:rPr>
          <w:rFonts w:cs="Arial"/>
          <w:i/>
          <w:iCs/>
          <w:sz w:val="18"/>
          <w:szCs w:val="18"/>
        </w:rPr>
        <w:t xml:space="preserve">Re Application under Major Crimes (Investigative Powers) Act 2004 </w:t>
      </w:r>
      <w:r w:rsidRPr="00171AA5">
        <w:rPr>
          <w:rFonts w:cs="Arial"/>
          <w:sz w:val="18"/>
          <w:szCs w:val="18"/>
        </w:rPr>
        <w:t>(2009) 24 VR 415 at [76].</w:t>
      </w:r>
    </w:p>
  </w:footnote>
  <w:footnote w:id="39">
    <w:p w14:paraId="7B0AF6DC" w14:textId="77777777" w:rsidR="0051199E" w:rsidRPr="00171AA5" w:rsidRDefault="0051199E"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X7 </w:t>
      </w:r>
      <w:r w:rsidRPr="00171AA5">
        <w:rPr>
          <w:rFonts w:cs="Arial"/>
          <w:sz w:val="18"/>
          <w:szCs w:val="18"/>
        </w:rPr>
        <w:t>(2013) 248 CLR 92, 142 [124].</w:t>
      </w:r>
    </w:p>
  </w:footnote>
  <w:footnote w:id="40">
    <w:p w14:paraId="574EEA35" w14:textId="77777777" w:rsidR="002C6A7F" w:rsidRPr="00171AA5" w:rsidRDefault="002C6A7F" w:rsidP="00FC655A">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Human Rights Act 2019</w:t>
      </w:r>
      <w:r w:rsidRPr="00171AA5">
        <w:rPr>
          <w:rFonts w:cs="Arial"/>
          <w:sz w:val="18"/>
          <w:szCs w:val="18"/>
        </w:rPr>
        <w:t xml:space="preserve"> (Qld), ss 8, 13, 58.</w:t>
      </w:r>
    </w:p>
  </w:footnote>
  <w:footnote w:id="41">
    <w:p w14:paraId="0D52D50E" w14:textId="77777777" w:rsidR="00FC2914" w:rsidRPr="00171AA5" w:rsidRDefault="00FC2914" w:rsidP="00FC2914">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E.g. “Operation Yabber: An investigation into allegations relating to the Gold Coast City Council”, CCC 2020, pp10-11.</w:t>
      </w:r>
    </w:p>
  </w:footnote>
  <w:footnote w:id="42">
    <w:p w14:paraId="3DC42A0A" w14:textId="77777777" w:rsidR="00FC2914" w:rsidRPr="00171AA5" w:rsidRDefault="00FC2914" w:rsidP="00FC2914">
      <w:pPr>
        <w:pStyle w:val="FootnoteText"/>
        <w:rPr>
          <w:rFonts w:cs="Arial"/>
          <w:i/>
          <w:iCs/>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Crime and Corruption Amendment Bill 2023. </w:t>
      </w:r>
    </w:p>
  </w:footnote>
  <w:footnote w:id="43">
    <w:p w14:paraId="28D3CEE3" w14:textId="353BE7DE" w:rsidR="00FC2914" w:rsidRDefault="00FC2914">
      <w:pPr>
        <w:pStyle w:val="FootnoteText"/>
      </w:pPr>
      <w:r>
        <w:rPr>
          <w:rStyle w:val="FootnoteReference"/>
        </w:rPr>
        <w:footnoteRef/>
      </w:r>
      <w:r>
        <w:t xml:space="preserve"> </w:t>
      </w:r>
      <w:r w:rsidRPr="00FC2914">
        <w:t xml:space="preserve">Institutional and human rights arguments regarding the holding of public hearings by anti-corruption agencies </w:t>
      </w:r>
      <w:r>
        <w:t xml:space="preserve">are discussed in detail in </w:t>
      </w:r>
      <w:r w:rsidRPr="00171AA5">
        <w:rPr>
          <w:rFonts w:cs="Arial"/>
          <w:sz w:val="18"/>
          <w:szCs w:val="18"/>
        </w:rPr>
        <w:t xml:space="preserve">G Appleby and G Hoole, </w:t>
      </w:r>
      <w:r w:rsidRPr="00FC2914">
        <w:rPr>
          <w:rFonts w:cs="Arial"/>
          <w:sz w:val="18"/>
          <w:szCs w:val="18"/>
        </w:rPr>
        <w:t>‘Integrity of Purpose: A legal Process Approach to designing a federal Anti-Corruption Commission’ (2017) 38</w:t>
      </w:r>
      <w:r w:rsidRPr="00171AA5">
        <w:rPr>
          <w:rFonts w:cs="Arial"/>
          <w:sz w:val="18"/>
          <w:szCs w:val="18"/>
        </w:rPr>
        <w:t xml:space="preserve"> Ad LR 397</w:t>
      </w:r>
      <w:r>
        <w:t xml:space="preserve">. See in particular </w:t>
      </w:r>
      <w:r w:rsidRPr="00171AA5">
        <w:rPr>
          <w:rFonts w:cs="Arial"/>
          <w:sz w:val="18"/>
          <w:szCs w:val="18"/>
        </w:rPr>
        <w:t>the questions enumerated at pp 398-399, the concept of ‘Integrity of Purpose’ at pp 406-7, the tailoring of the level of incursion on traditional liberties in such circumstances at p</w:t>
      </w:r>
      <w:r w:rsidR="005C4466">
        <w:rPr>
          <w:rFonts w:cs="Arial"/>
          <w:sz w:val="18"/>
          <w:szCs w:val="18"/>
        </w:rPr>
        <w:t xml:space="preserve"> </w:t>
      </w:r>
      <w:r w:rsidRPr="00171AA5">
        <w:rPr>
          <w:rFonts w:cs="Arial"/>
          <w:sz w:val="18"/>
          <w:szCs w:val="18"/>
        </w:rPr>
        <w:t>427, and the discussion of Evidential hearings at pp 431-433.</w:t>
      </w:r>
    </w:p>
  </w:footnote>
  <w:footnote w:id="44">
    <w:p w14:paraId="5796BAEF" w14:textId="013DBC4D" w:rsidR="00D37A63" w:rsidRDefault="00D37A63">
      <w:pPr>
        <w:pStyle w:val="FootnoteText"/>
      </w:pPr>
      <w:r>
        <w:rPr>
          <w:rStyle w:val="FootnoteReference"/>
        </w:rPr>
        <w:footnoteRef/>
      </w:r>
      <w:r>
        <w:t xml:space="preserve"> TOR 4(a) and (b).</w:t>
      </w:r>
    </w:p>
  </w:footnote>
  <w:footnote w:id="45">
    <w:p w14:paraId="34305676" w14:textId="77777777" w:rsidR="00627FD9" w:rsidRDefault="00627FD9" w:rsidP="00627FD9">
      <w:pPr>
        <w:pStyle w:val="FootnoteText"/>
      </w:pPr>
      <w:r>
        <w:rPr>
          <w:rStyle w:val="FootnoteReference"/>
        </w:rPr>
        <w:footnoteRef/>
      </w:r>
      <w:r>
        <w:t xml:space="preserve"> See, </w:t>
      </w:r>
      <w:proofErr w:type="spellStart"/>
      <w:r>
        <w:t>eg</w:t>
      </w:r>
      <w:proofErr w:type="spellEnd"/>
      <w:r>
        <w:t>, Law Council of Australia, ‘</w:t>
      </w:r>
      <w:r w:rsidRPr="00171AA5">
        <w:rPr>
          <w:rFonts w:cs="Arial"/>
          <w:sz w:val="18"/>
          <w:szCs w:val="18"/>
        </w:rPr>
        <w:t xml:space="preserve">Submission </w:t>
      </w:r>
      <w:r>
        <w:rPr>
          <w:rFonts w:cs="Arial"/>
          <w:sz w:val="18"/>
          <w:szCs w:val="18"/>
        </w:rPr>
        <w:t>to</w:t>
      </w:r>
      <w:r w:rsidRPr="00171AA5">
        <w:rPr>
          <w:rFonts w:cs="Arial"/>
          <w:sz w:val="18"/>
          <w:szCs w:val="18"/>
        </w:rPr>
        <w:t xml:space="preserve"> </w:t>
      </w:r>
      <w:r w:rsidRPr="00171AA5">
        <w:rPr>
          <w:rFonts w:cs="Arial"/>
          <w:i/>
          <w:iCs/>
          <w:sz w:val="18"/>
          <w:szCs w:val="18"/>
        </w:rPr>
        <w:t xml:space="preserve">National Anti-Corruption Commission Bills 2022, </w:t>
      </w:r>
      <w:r w:rsidRPr="00171AA5">
        <w:rPr>
          <w:rFonts w:cs="Arial"/>
          <w:sz w:val="18"/>
          <w:szCs w:val="18"/>
        </w:rPr>
        <w:t>Joint Select Committee</w:t>
      </w:r>
      <w:r>
        <w:rPr>
          <w:rFonts w:cs="Arial"/>
          <w:sz w:val="18"/>
          <w:szCs w:val="18"/>
        </w:rPr>
        <w:t>’</w:t>
      </w:r>
      <w:r w:rsidRPr="00171AA5">
        <w:rPr>
          <w:rFonts w:cs="Arial"/>
          <w:sz w:val="18"/>
          <w:szCs w:val="18"/>
        </w:rPr>
        <w:t>, 14 October 2023 (Submission 49)</w:t>
      </w:r>
      <w:r>
        <w:rPr>
          <w:rFonts w:cs="Arial"/>
          <w:sz w:val="18"/>
          <w:szCs w:val="18"/>
        </w:rPr>
        <w:t>,</w:t>
      </w:r>
      <w:r w:rsidRPr="00171AA5">
        <w:rPr>
          <w:rFonts w:cs="Arial"/>
          <w:sz w:val="18"/>
          <w:szCs w:val="18"/>
        </w:rPr>
        <w:t xml:space="preserve"> [115]-[136].</w:t>
      </w:r>
    </w:p>
  </w:footnote>
  <w:footnote w:id="46">
    <w:p w14:paraId="52BB061F" w14:textId="77777777" w:rsidR="00FC2914" w:rsidRPr="00171AA5" w:rsidRDefault="00FC2914" w:rsidP="00FC2914">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Background to TOR, p1.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68B7F" w14:textId="77777777" w:rsidR="00386481" w:rsidRDefault="00386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B9E65" w14:textId="1158DA11" w:rsidR="007E1FFA" w:rsidRDefault="00077D98" w:rsidP="00163A3A">
    <w:pPr>
      <w:pStyle w:val="Header"/>
      <w:tabs>
        <w:tab w:val="clear" w:pos="4513"/>
        <w:tab w:val="clear" w:pos="9026"/>
        <w:tab w:val="right" w:pos="9332"/>
      </w:tabs>
      <w:rPr>
        <w:rFonts w:ascii="Arial" w:hAnsi="Arial" w:cs="Arial"/>
        <w:sz w:val="20"/>
        <w:lang w:val="en-US"/>
      </w:rPr>
    </w:pPr>
    <w:r>
      <w:rPr>
        <w:rFonts w:ascii="Arial" w:hAnsi="Arial" w:cs="Arial"/>
        <w:sz w:val="20"/>
        <w:lang w:val="en-US"/>
      </w:rPr>
      <w:t xml:space="preserve">CCC </w:t>
    </w:r>
    <w:r w:rsidR="00213C52">
      <w:rPr>
        <w:rFonts w:ascii="Arial" w:hAnsi="Arial" w:cs="Arial"/>
        <w:sz w:val="20"/>
        <w:lang w:val="en-US"/>
      </w:rPr>
      <w:t xml:space="preserve">Reporting </w:t>
    </w:r>
    <w:r>
      <w:rPr>
        <w:rFonts w:ascii="Arial" w:hAnsi="Arial" w:cs="Arial"/>
        <w:sz w:val="20"/>
        <w:lang w:val="en-US"/>
      </w:rPr>
      <w:t>Review</w:t>
    </w:r>
    <w:r w:rsidR="007E1FFA">
      <w:rPr>
        <w:rFonts w:ascii="Arial" w:hAnsi="Arial" w:cs="Arial"/>
        <w:sz w:val="20"/>
        <w:lang w:val="en-US"/>
      </w:rPr>
      <w:tab/>
    </w:r>
    <w:r w:rsidR="0002098D" w:rsidRPr="0002098D">
      <w:rPr>
        <w:rFonts w:ascii="Arial" w:hAnsi="Arial" w:cs="Arial"/>
        <w:sz w:val="20"/>
        <w:lang w:val="en-US"/>
      </w:rPr>
      <w:t xml:space="preserve">Page </w:t>
    </w:r>
    <w:r w:rsidR="0002098D" w:rsidRPr="0002098D">
      <w:rPr>
        <w:rFonts w:ascii="Arial" w:hAnsi="Arial" w:cs="Arial"/>
        <w:bCs/>
        <w:sz w:val="20"/>
        <w:lang w:val="en-US"/>
      </w:rPr>
      <w:fldChar w:fldCharType="begin"/>
    </w:r>
    <w:r w:rsidR="0002098D" w:rsidRPr="0002098D">
      <w:rPr>
        <w:rFonts w:ascii="Arial" w:hAnsi="Arial" w:cs="Arial"/>
        <w:bCs/>
        <w:sz w:val="20"/>
        <w:lang w:val="en-US"/>
      </w:rPr>
      <w:instrText xml:space="preserve"> PAGE  \* Arabic  \* MERGEFORMAT </w:instrText>
    </w:r>
    <w:r w:rsidR="0002098D" w:rsidRPr="0002098D">
      <w:rPr>
        <w:rFonts w:ascii="Arial" w:hAnsi="Arial" w:cs="Arial"/>
        <w:bCs/>
        <w:sz w:val="20"/>
        <w:lang w:val="en-US"/>
      </w:rPr>
      <w:fldChar w:fldCharType="separate"/>
    </w:r>
    <w:r w:rsidR="0002098D">
      <w:rPr>
        <w:rFonts w:ascii="Arial" w:hAnsi="Arial" w:cs="Arial"/>
        <w:bCs/>
        <w:noProof/>
        <w:sz w:val="20"/>
        <w:lang w:val="en-US"/>
      </w:rPr>
      <w:t>2</w:t>
    </w:r>
    <w:r w:rsidR="0002098D" w:rsidRPr="0002098D">
      <w:rPr>
        <w:rFonts w:ascii="Arial" w:hAnsi="Arial" w:cs="Arial"/>
        <w:bCs/>
        <w:sz w:val="20"/>
        <w:lang w:val="en-US"/>
      </w:rPr>
      <w:fldChar w:fldCharType="end"/>
    </w:r>
    <w:r w:rsidR="0002098D" w:rsidRPr="0002098D">
      <w:rPr>
        <w:rFonts w:ascii="Arial" w:hAnsi="Arial" w:cs="Arial"/>
        <w:sz w:val="20"/>
        <w:lang w:val="en-US"/>
      </w:rPr>
      <w:t xml:space="preserve"> of </w:t>
    </w:r>
    <w:r w:rsidR="0002098D" w:rsidRPr="0002098D">
      <w:rPr>
        <w:rFonts w:ascii="Arial" w:hAnsi="Arial" w:cs="Arial"/>
        <w:bCs/>
        <w:sz w:val="20"/>
        <w:lang w:val="en-US"/>
      </w:rPr>
      <w:fldChar w:fldCharType="begin"/>
    </w:r>
    <w:r w:rsidR="0002098D" w:rsidRPr="0002098D">
      <w:rPr>
        <w:rFonts w:ascii="Arial" w:hAnsi="Arial" w:cs="Arial"/>
        <w:bCs/>
        <w:sz w:val="20"/>
        <w:lang w:val="en-US"/>
      </w:rPr>
      <w:instrText xml:space="preserve"> NUMPAGES  \* Arabic  \* MERGEFORMAT </w:instrText>
    </w:r>
    <w:r w:rsidR="0002098D" w:rsidRPr="0002098D">
      <w:rPr>
        <w:rFonts w:ascii="Arial" w:hAnsi="Arial" w:cs="Arial"/>
        <w:bCs/>
        <w:sz w:val="20"/>
        <w:lang w:val="en-US"/>
      </w:rPr>
      <w:fldChar w:fldCharType="separate"/>
    </w:r>
    <w:r w:rsidR="0002098D">
      <w:rPr>
        <w:rFonts w:ascii="Arial" w:hAnsi="Arial" w:cs="Arial"/>
        <w:bCs/>
        <w:noProof/>
        <w:sz w:val="20"/>
        <w:lang w:val="en-US"/>
      </w:rPr>
      <w:t>2</w:t>
    </w:r>
    <w:r w:rsidR="0002098D" w:rsidRPr="0002098D">
      <w:rPr>
        <w:rFonts w:ascii="Arial" w:hAnsi="Arial" w:cs="Arial"/>
        <w:bCs/>
        <w:sz w:val="20"/>
        <w:lang w:val="en-US"/>
      </w:rPr>
      <w:fldChar w:fldCharType="end"/>
    </w:r>
  </w:p>
  <w:p w14:paraId="7FD84F92" w14:textId="77777777" w:rsidR="007E1FFA" w:rsidRDefault="007E1FFA" w:rsidP="00163A3A">
    <w:pPr>
      <w:pStyle w:val="Header"/>
      <w:pBdr>
        <w:bottom w:val="single" w:sz="6" w:space="1" w:color="auto"/>
      </w:pBdr>
      <w:tabs>
        <w:tab w:val="clear" w:pos="4513"/>
        <w:tab w:val="clear" w:pos="9026"/>
        <w:tab w:val="right" w:pos="9332"/>
      </w:tabs>
      <w:rPr>
        <w:rFonts w:ascii="Arial" w:hAnsi="Arial" w:cs="Arial"/>
        <w:sz w:val="20"/>
        <w:lang w:val="en-US"/>
      </w:rPr>
    </w:pPr>
  </w:p>
  <w:p w14:paraId="28718DCD" w14:textId="77777777" w:rsidR="007E1FFA" w:rsidRPr="00163A3A" w:rsidRDefault="007E1FFA" w:rsidP="00163A3A">
    <w:pPr>
      <w:pStyle w:val="Header"/>
      <w:tabs>
        <w:tab w:val="clear" w:pos="4513"/>
        <w:tab w:val="clear" w:pos="9026"/>
        <w:tab w:val="right" w:pos="9332"/>
      </w:tabs>
      <w:rPr>
        <w:rFonts w:ascii="Arial" w:hAnsi="Arial" w:cs="Arial"/>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097EC" w14:textId="77777777" w:rsidR="007E1FFA" w:rsidRDefault="007E1FFA" w:rsidP="000C13C7">
    <w:pPr>
      <w:pStyle w:val="Header"/>
      <w:tabs>
        <w:tab w:val="clear" w:pos="4513"/>
        <w:tab w:val="clear" w:pos="9026"/>
      </w:tabs>
    </w:pPr>
    <w:r>
      <w:rPr>
        <w:noProof/>
      </w:rPr>
      <w:drawing>
        <wp:inline distT="0" distB="0" distL="0" distR="0" wp14:anchorId="68828208" wp14:editId="71C354C1">
          <wp:extent cx="2147504" cy="895985"/>
          <wp:effectExtent l="0" t="0" r="5715" b="0"/>
          <wp:docPr id="1511552385" name="Picture 151155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6C5"/>
    <w:multiLevelType w:val="multilevel"/>
    <w:tmpl w:val="E4868138"/>
    <w:lvl w:ilvl="0">
      <w:start w:val="1"/>
      <w:numFmt w:val="decimal"/>
      <w:lvlText w:val="%1."/>
      <w:lvlJc w:val="left"/>
      <w:pPr>
        <w:ind w:left="360" w:hanging="360"/>
      </w:pPr>
      <w:rPr>
        <w:b/>
        <w:bCs/>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B27A83"/>
    <w:multiLevelType w:val="hybridMultilevel"/>
    <w:tmpl w:val="72FED3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3" w15:restartNumberingAfterBreak="0">
    <w:nsid w:val="3986798F"/>
    <w:multiLevelType w:val="hybridMultilevel"/>
    <w:tmpl w:val="4BAA1A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4D14367F"/>
    <w:multiLevelType w:val="hybridMultilevel"/>
    <w:tmpl w:val="CFD605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1D5116A"/>
    <w:multiLevelType w:val="hybridMultilevel"/>
    <w:tmpl w:val="667404D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7" w15:restartNumberingAfterBreak="0">
    <w:nsid w:val="6BF14EEE"/>
    <w:multiLevelType w:val="hybridMultilevel"/>
    <w:tmpl w:val="19F6758E"/>
    <w:lvl w:ilvl="0" w:tplc="9FF2A3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3E6492"/>
    <w:multiLevelType w:val="hybridMultilevel"/>
    <w:tmpl w:val="1B3C1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7423FA"/>
    <w:multiLevelType w:val="hybridMultilevel"/>
    <w:tmpl w:val="D3948D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CF34726"/>
    <w:multiLevelType w:val="hybridMultilevel"/>
    <w:tmpl w:val="7C707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F397294"/>
    <w:multiLevelType w:val="hybridMultilevel"/>
    <w:tmpl w:val="D60C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889809">
    <w:abstractNumId w:val="4"/>
  </w:num>
  <w:num w:numId="2" w16cid:durableId="364527653">
    <w:abstractNumId w:val="2"/>
  </w:num>
  <w:num w:numId="3" w16cid:durableId="107629647">
    <w:abstractNumId w:val="6"/>
  </w:num>
  <w:num w:numId="4" w16cid:durableId="1452633157">
    <w:abstractNumId w:val="0"/>
  </w:num>
  <w:num w:numId="5" w16cid:durableId="1951623345">
    <w:abstractNumId w:val="3"/>
  </w:num>
  <w:num w:numId="6" w16cid:durableId="168643340">
    <w:abstractNumId w:val="11"/>
  </w:num>
  <w:num w:numId="7" w16cid:durableId="1954553809">
    <w:abstractNumId w:val="8"/>
  </w:num>
  <w:num w:numId="8" w16cid:durableId="1503351466">
    <w:abstractNumId w:val="7"/>
  </w:num>
  <w:num w:numId="9" w16cid:durableId="1486433948">
    <w:abstractNumId w:val="5"/>
  </w:num>
  <w:num w:numId="10" w16cid:durableId="1878856167">
    <w:abstractNumId w:val="9"/>
  </w:num>
  <w:num w:numId="11" w16cid:durableId="1261907705">
    <w:abstractNumId w:val="1"/>
  </w:num>
  <w:num w:numId="12" w16cid:durableId="638608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08"/>
    <w:rsid w:val="00013878"/>
    <w:rsid w:val="0002098D"/>
    <w:rsid w:val="00047327"/>
    <w:rsid w:val="000510CC"/>
    <w:rsid w:val="0006550B"/>
    <w:rsid w:val="00077D98"/>
    <w:rsid w:val="000832AF"/>
    <w:rsid w:val="000A3B7B"/>
    <w:rsid w:val="000C13C7"/>
    <w:rsid w:val="000E10C4"/>
    <w:rsid w:val="0010455E"/>
    <w:rsid w:val="0011709F"/>
    <w:rsid w:val="00126764"/>
    <w:rsid w:val="00126EF8"/>
    <w:rsid w:val="00126FA4"/>
    <w:rsid w:val="00134CC7"/>
    <w:rsid w:val="00163A3A"/>
    <w:rsid w:val="00171AA5"/>
    <w:rsid w:val="001A1273"/>
    <w:rsid w:val="001F2D3F"/>
    <w:rsid w:val="00213C52"/>
    <w:rsid w:val="0022383C"/>
    <w:rsid w:val="00236715"/>
    <w:rsid w:val="00261E73"/>
    <w:rsid w:val="002733EE"/>
    <w:rsid w:val="002C6A7F"/>
    <w:rsid w:val="002D4979"/>
    <w:rsid w:val="002E1662"/>
    <w:rsid w:val="00300889"/>
    <w:rsid w:val="00304408"/>
    <w:rsid w:val="003301AA"/>
    <w:rsid w:val="00340A69"/>
    <w:rsid w:val="00344F15"/>
    <w:rsid w:val="00361B9B"/>
    <w:rsid w:val="003767D0"/>
    <w:rsid w:val="00386481"/>
    <w:rsid w:val="004150AF"/>
    <w:rsid w:val="00416285"/>
    <w:rsid w:val="00430F71"/>
    <w:rsid w:val="00473FC2"/>
    <w:rsid w:val="00475BCA"/>
    <w:rsid w:val="00486DC1"/>
    <w:rsid w:val="004A2B81"/>
    <w:rsid w:val="004F510B"/>
    <w:rsid w:val="0051199E"/>
    <w:rsid w:val="005221EA"/>
    <w:rsid w:val="00534470"/>
    <w:rsid w:val="00547509"/>
    <w:rsid w:val="005848B0"/>
    <w:rsid w:val="005C4466"/>
    <w:rsid w:val="005E7997"/>
    <w:rsid w:val="006129E9"/>
    <w:rsid w:val="00627FD9"/>
    <w:rsid w:val="00640A96"/>
    <w:rsid w:val="006500FB"/>
    <w:rsid w:val="00650771"/>
    <w:rsid w:val="006825B7"/>
    <w:rsid w:val="006A79C1"/>
    <w:rsid w:val="006C2608"/>
    <w:rsid w:val="0073184E"/>
    <w:rsid w:val="00756426"/>
    <w:rsid w:val="007E1586"/>
    <w:rsid w:val="007E1FFA"/>
    <w:rsid w:val="0087248A"/>
    <w:rsid w:val="008910FA"/>
    <w:rsid w:val="00893D55"/>
    <w:rsid w:val="00894840"/>
    <w:rsid w:val="00900164"/>
    <w:rsid w:val="009108E2"/>
    <w:rsid w:val="00911F7B"/>
    <w:rsid w:val="00916895"/>
    <w:rsid w:val="00982B30"/>
    <w:rsid w:val="009A0CB4"/>
    <w:rsid w:val="009A10CD"/>
    <w:rsid w:val="00A06EEA"/>
    <w:rsid w:val="00A97617"/>
    <w:rsid w:val="00AB04A1"/>
    <w:rsid w:val="00B2097C"/>
    <w:rsid w:val="00B24166"/>
    <w:rsid w:val="00B26FCA"/>
    <w:rsid w:val="00B417E4"/>
    <w:rsid w:val="00B63727"/>
    <w:rsid w:val="00B97493"/>
    <w:rsid w:val="00BA3991"/>
    <w:rsid w:val="00BC1D03"/>
    <w:rsid w:val="00BE52D3"/>
    <w:rsid w:val="00C44D07"/>
    <w:rsid w:val="00C6532F"/>
    <w:rsid w:val="00CD29D8"/>
    <w:rsid w:val="00D025F7"/>
    <w:rsid w:val="00D2223B"/>
    <w:rsid w:val="00D239E3"/>
    <w:rsid w:val="00D37A63"/>
    <w:rsid w:val="00DE0CB6"/>
    <w:rsid w:val="00DE53D1"/>
    <w:rsid w:val="00DF0829"/>
    <w:rsid w:val="00E3227E"/>
    <w:rsid w:val="00E95233"/>
    <w:rsid w:val="00E95861"/>
    <w:rsid w:val="00EB1B5B"/>
    <w:rsid w:val="00F0303B"/>
    <w:rsid w:val="00F64D24"/>
    <w:rsid w:val="00FC2914"/>
    <w:rsid w:val="00FC655A"/>
    <w:rsid w:val="00FE623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8564"/>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paragraph" w:styleId="Heading1">
    <w:name w:val="heading 1"/>
    <w:basedOn w:val="Normal"/>
    <w:next w:val="Normal"/>
    <w:link w:val="Heading1Char"/>
    <w:uiPriority w:val="9"/>
    <w:qFormat/>
    <w:rsid w:val="0051199E"/>
    <w:pPr>
      <w:keepNext/>
      <w:keepLines/>
      <w:spacing w:before="240" w:after="0" w:line="240" w:lineRule="auto"/>
      <w:outlineLvl w:val="0"/>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Heading2">
    <w:name w:val="heading 2"/>
    <w:basedOn w:val="Normal"/>
    <w:next w:val="Normal"/>
    <w:link w:val="Heading2Char"/>
    <w:uiPriority w:val="9"/>
    <w:unhideWhenUsed/>
    <w:qFormat/>
    <w:rsid w:val="0051199E"/>
    <w:pPr>
      <w:keepNext/>
      <w:keepLines/>
      <w:spacing w:before="40" w:after="0" w:line="240" w:lineRule="auto"/>
      <w:outlineLvl w:val="1"/>
    </w:pPr>
    <w:rPr>
      <w:rFonts w:asciiTheme="majorHAnsi" w:eastAsiaTheme="majorEastAsia" w:hAnsiTheme="majorHAnsi" w:cstheme="majorBidi"/>
      <w:color w:val="365F91" w:themeColor="accent1" w:themeShade="BF"/>
      <w:kern w:val="2"/>
      <w:sz w:val="26"/>
      <w:szCs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link w:val="ListParagraphChar"/>
    <w:uiPriority w:val="34"/>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paragraph" w:styleId="FootnoteText">
    <w:name w:val="footnote text"/>
    <w:aliases w:val="5_G, Char,Char,Footnote Text Char Char Char Char Char,Footnote Text Char Char Char Char,Footnote reference,FA Fu,Footnote Text Char Char Char,Footnote Reference1,ft,Style 27,Char Char Char Char Char,Style 11, Char Char Char,Char Char Char"/>
    <w:basedOn w:val="Normal"/>
    <w:link w:val="FootnoteTextChar"/>
    <w:unhideWhenUsed/>
    <w:qFormat/>
    <w:rsid w:val="00077D98"/>
    <w:pPr>
      <w:spacing w:after="0" w:line="240" w:lineRule="auto"/>
    </w:pPr>
    <w:rPr>
      <w:rFonts w:ascii="Arial" w:eastAsiaTheme="minorHAnsi" w:hAnsi="Arial" w:cstheme="minorBidi"/>
      <w:color w:val="auto"/>
      <w:sz w:val="20"/>
      <w:szCs w:val="20"/>
      <w:lang w:eastAsia="en-US"/>
    </w:rPr>
  </w:style>
  <w:style w:type="character" w:customStyle="1" w:styleId="FootnoteTextChar">
    <w:name w:val="Footnote Text Char"/>
    <w:aliases w:val="5_G Char, Char Char,Char Char,Footnote Text Char Char Char Char Char Char,Footnote Text Char Char Char Char Char1,Footnote reference Char,FA Fu Char,Footnote Text Char Char Char Char1,Footnote Reference1 Char,ft Char,Style 27 Char"/>
    <w:basedOn w:val="DefaultParagraphFont"/>
    <w:link w:val="FootnoteText"/>
    <w:rsid w:val="00077D98"/>
    <w:rPr>
      <w:rFonts w:ascii="Arial" w:hAnsi="Arial"/>
      <w:sz w:val="20"/>
      <w:szCs w:val="20"/>
    </w:rPr>
  </w:style>
  <w:style w:type="character" w:styleId="FootnoteReference">
    <w:name w:val="footnote reference"/>
    <w:aliases w:val="4_G,Footnote number,ftref,Footnotes refss,Style 10,Appel note de bas de p.,referencia nota al pie,BVI fnr,Footnote text,4_Footnote text,callout,Fago Fußnotenzeichen,16 Point,Superscript 6 Point,Footnote,Footnote symbol,f,Ref,SUPERS,4_"/>
    <w:basedOn w:val="DefaultParagraphFont"/>
    <w:link w:val="Appelnotedebasde"/>
    <w:unhideWhenUsed/>
    <w:qFormat/>
    <w:rsid w:val="00077D98"/>
    <w:rPr>
      <w:vertAlign w:val="superscript"/>
    </w:rPr>
  </w:style>
  <w:style w:type="character" w:customStyle="1" w:styleId="Heading1Char">
    <w:name w:val="Heading 1 Char"/>
    <w:basedOn w:val="DefaultParagraphFont"/>
    <w:link w:val="Heading1"/>
    <w:uiPriority w:val="9"/>
    <w:rsid w:val="0051199E"/>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51199E"/>
    <w:rPr>
      <w:rFonts w:asciiTheme="majorHAnsi" w:eastAsiaTheme="majorEastAsia" w:hAnsiTheme="majorHAnsi" w:cstheme="majorBidi"/>
      <w:color w:val="365F91" w:themeColor="accent1" w:themeShade="BF"/>
      <w:kern w:val="2"/>
      <w:sz w:val="26"/>
      <w:szCs w:val="26"/>
      <w14:ligatures w14:val="standardContextual"/>
    </w:rPr>
  </w:style>
  <w:style w:type="character" w:customStyle="1" w:styleId="ListParagraphChar">
    <w:name w:val="List Paragraph Char"/>
    <w:basedOn w:val="DefaultParagraphFont"/>
    <w:link w:val="ListParagraph"/>
    <w:uiPriority w:val="34"/>
    <w:rsid w:val="0051199E"/>
    <w:rPr>
      <w:rFonts w:ascii="Calibri" w:eastAsia="Calibri" w:hAnsi="Calibri" w:cs="Calibri"/>
      <w:color w:val="000000"/>
      <w:lang w:eastAsia="en-AU"/>
    </w:rPr>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FootnoteReference"/>
    <w:rsid w:val="0051199E"/>
    <w:pPr>
      <w:spacing w:before="120" w:after="120" w:line="240" w:lineRule="auto"/>
    </w:pPr>
    <w:rPr>
      <w:rFonts w:asciiTheme="minorHAnsi" w:eastAsiaTheme="minorHAnsi" w:hAnsiTheme="minorHAnsi" w:cstheme="minorBidi"/>
      <w:color w:val="auto"/>
      <w:vertAlign w:val="superscript"/>
      <w:lang w:eastAsia="en-US"/>
    </w:rPr>
  </w:style>
  <w:style w:type="paragraph" w:styleId="Revision">
    <w:name w:val="Revision"/>
    <w:hidden/>
    <w:uiPriority w:val="99"/>
    <w:semiHidden/>
    <w:rsid w:val="002E1662"/>
    <w:pPr>
      <w:spacing w:after="0" w:line="240" w:lineRule="auto"/>
    </w:pPr>
    <w:rPr>
      <w:rFonts w:ascii="Calibri" w:eastAsia="Calibri" w:hAnsi="Calibri" w:cs="Calibri"/>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794792">
      <w:bodyDiv w:val="1"/>
      <w:marLeft w:val="0"/>
      <w:marRight w:val="0"/>
      <w:marTop w:val="0"/>
      <w:marBottom w:val="0"/>
      <w:divBdr>
        <w:top w:val="none" w:sz="0" w:space="0" w:color="auto"/>
        <w:left w:val="none" w:sz="0" w:space="0" w:color="auto"/>
        <w:bottom w:val="none" w:sz="0" w:space="0" w:color="auto"/>
        <w:right w:val="none" w:sz="0" w:space="0" w:color="auto"/>
      </w:divBdr>
    </w:div>
    <w:div w:id="211124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C796A6632AD479B3289C4BB9BBE61" ma:contentTypeVersion="17" ma:contentTypeDescription="Create a new document." ma:contentTypeScope="" ma:versionID="2641a399dda2375ebfe6d3308a18b0f4">
  <xsd:schema xmlns:xsd="http://www.w3.org/2001/XMLSchema" xmlns:xs="http://www.w3.org/2001/XMLSchema" xmlns:p="http://schemas.microsoft.com/office/2006/metadata/properties" xmlns:ns3="b1f9c9e3-c2ed-4f37-aea3-abfb53257644" xmlns:ns4="0bc8a80e-5e25-478f-a9d4-7a8869997e06" targetNamespace="http://schemas.microsoft.com/office/2006/metadata/properties" ma:root="true" ma:fieldsID="c73be3db7d7fefdc106324e3112ca17b" ns3:_="" ns4:_="">
    <xsd:import namespace="b1f9c9e3-c2ed-4f37-aea3-abfb53257644"/>
    <xsd:import namespace="0bc8a80e-5e25-478f-a9d4-7a8869997e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9c9e3-c2ed-4f37-aea3-abfb53257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c8a80e-5e25-478f-a9d4-7a8869997e0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1f9c9e3-c2ed-4f37-aea3-abfb532576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90837-C875-4A80-86FA-CD435066B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9c9e3-c2ed-4f37-aea3-abfb53257644"/>
    <ds:schemaRef ds:uri="0bc8a80e-5e25-478f-a9d4-7a8869997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606FC-D462-4CB1-A61C-C50BD2707B98}">
  <ds:schemaRefs>
    <ds:schemaRef ds:uri="http://schemas.openxmlformats.org/officeDocument/2006/bibliography"/>
  </ds:schemaRefs>
</ds:datastoreItem>
</file>

<file path=customXml/itemProps3.xml><?xml version="1.0" encoding="utf-8"?>
<ds:datastoreItem xmlns:ds="http://schemas.openxmlformats.org/officeDocument/2006/customXml" ds:itemID="{F2A16D45-B4AE-46F3-804A-C1BF3DA9E330}">
  <ds:schemaRefs>
    <ds:schemaRef ds:uri="http://purl.org/dc/terms/"/>
    <ds:schemaRef ds:uri="b1f9c9e3-c2ed-4f37-aea3-abfb53257644"/>
    <ds:schemaRef ds:uri="http://purl.org/dc/dcmitype/"/>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0bc8a80e-5e25-478f-a9d4-7a8869997e06"/>
    <ds:schemaRef ds:uri="http://schemas.microsoft.com/office/2006/metadata/properties"/>
  </ds:schemaRefs>
</ds:datastoreItem>
</file>

<file path=customXml/itemProps4.xml><?xml version="1.0" encoding="utf-8"?>
<ds:datastoreItem xmlns:ds="http://schemas.openxmlformats.org/officeDocument/2006/customXml" ds:itemID="{F3C7685C-5468-4E4D-81B3-8C6D96F78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3738</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Helen Bannerman</cp:lastModifiedBy>
  <cp:revision>2</cp:revision>
  <cp:lastPrinted>2024-04-04T23:51:00Z</cp:lastPrinted>
  <dcterms:created xsi:type="dcterms:W3CDTF">2024-04-17T06:21:00Z</dcterms:created>
  <dcterms:modified xsi:type="dcterms:W3CDTF">2024-04-17T06:21:00Z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0x0101008BEC796A6632AD479B3289C4BB9BBE61</vt:lpwstr>
  </property>
</Properties>
</file>