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7AEA5DD4" w14:textId="77777777" w:rsidR="0035517B" w:rsidRDefault="0035517B" w:rsidP="00260847">
          <w:pPr>
            <w:pStyle w:val="NoSpacing"/>
            <w:spacing w:before="120" w:after="120"/>
            <w:rPr>
              <w:rFonts w:ascii="Arial" w:hAnsi="Arial" w:cs="Arial"/>
              <w:bCs/>
              <w:sz w:val="28"/>
            </w:rPr>
          </w:pPr>
        </w:p>
        <w:p w14:paraId="0C1E8B13" w14:textId="77777777" w:rsidR="0035517B" w:rsidRDefault="0035517B" w:rsidP="00260847">
          <w:pPr>
            <w:pStyle w:val="NoSpacing"/>
            <w:spacing w:before="120" w:after="120"/>
            <w:rPr>
              <w:rFonts w:ascii="Arial" w:hAnsi="Arial" w:cs="Arial"/>
              <w:bCs/>
              <w:sz w:val="28"/>
            </w:rPr>
          </w:pPr>
        </w:p>
        <w:p w14:paraId="0ACA1187"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491E1CCC" wp14:editId="23439F5E">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050F0F4F" w14:textId="77777777" w:rsidR="0035517B" w:rsidRDefault="0035517B" w:rsidP="00260847">
          <w:pPr>
            <w:pStyle w:val="NoSpacing"/>
            <w:spacing w:before="120" w:after="120"/>
            <w:rPr>
              <w:rFonts w:ascii="Arial" w:hAnsi="Arial" w:cs="Arial"/>
              <w:bCs/>
              <w:sz w:val="28"/>
            </w:rPr>
          </w:pPr>
        </w:p>
        <w:p w14:paraId="2DCB0412" w14:textId="77777777" w:rsidR="0035517B" w:rsidRDefault="0035517B" w:rsidP="00260847">
          <w:pPr>
            <w:pStyle w:val="NoSpacing"/>
            <w:spacing w:before="120" w:after="120"/>
            <w:rPr>
              <w:rFonts w:ascii="Arial" w:hAnsi="Arial" w:cs="Arial"/>
              <w:bCs/>
              <w:sz w:val="28"/>
            </w:rPr>
          </w:pPr>
        </w:p>
        <w:p w14:paraId="6067ED1F" w14:textId="77777777" w:rsidR="0035517B" w:rsidRDefault="0035517B" w:rsidP="00260847">
          <w:pPr>
            <w:pStyle w:val="NoSpacing"/>
            <w:spacing w:before="120" w:after="120"/>
            <w:rPr>
              <w:rFonts w:ascii="Arial" w:hAnsi="Arial" w:cs="Arial"/>
              <w:bCs/>
              <w:sz w:val="28"/>
            </w:rPr>
          </w:pPr>
        </w:p>
        <w:p w14:paraId="0E009C26" w14:textId="77777777" w:rsidR="0035517B" w:rsidRDefault="0035517B" w:rsidP="00260847">
          <w:pPr>
            <w:pStyle w:val="NoSpacing"/>
            <w:spacing w:before="120" w:after="120"/>
            <w:rPr>
              <w:rFonts w:ascii="Arial" w:hAnsi="Arial" w:cs="Arial"/>
              <w:bCs/>
              <w:sz w:val="28"/>
            </w:rPr>
          </w:pPr>
        </w:p>
        <w:p w14:paraId="48732822" w14:textId="77777777" w:rsidR="0035517B" w:rsidRDefault="0035517B" w:rsidP="00260847">
          <w:pPr>
            <w:pStyle w:val="NoSpacing"/>
            <w:spacing w:before="120" w:after="120"/>
            <w:rPr>
              <w:rFonts w:ascii="Arial" w:hAnsi="Arial" w:cs="Arial"/>
              <w:bCs/>
              <w:sz w:val="28"/>
            </w:rPr>
          </w:pPr>
        </w:p>
        <w:p w14:paraId="04D78163" w14:textId="77777777" w:rsidR="0035517B" w:rsidRDefault="0035517B" w:rsidP="00260847">
          <w:pPr>
            <w:pStyle w:val="NoSpacing"/>
            <w:spacing w:before="120" w:after="120"/>
            <w:rPr>
              <w:rFonts w:ascii="Arial" w:hAnsi="Arial" w:cs="Arial"/>
              <w:bCs/>
              <w:sz w:val="28"/>
            </w:rPr>
          </w:pPr>
        </w:p>
        <w:p w14:paraId="5A8B6F0E" w14:textId="500ED078" w:rsidR="0035517B" w:rsidRPr="0035517B" w:rsidRDefault="00F444B8" w:rsidP="0035517B">
          <w:pPr>
            <w:pStyle w:val="Title"/>
          </w:pPr>
          <w:r>
            <w:t xml:space="preserve">Respect at Work </w:t>
          </w:r>
          <w:r w:rsidR="00B95F04">
            <w:t xml:space="preserve">and </w:t>
          </w:r>
          <w:r w:rsidR="001D3FB0">
            <w:t>Other Matters Amendment Bill 2024</w:t>
          </w:r>
          <w:r>
            <w:t xml:space="preserve"> </w:t>
          </w:r>
        </w:p>
        <w:p w14:paraId="32305FDA" w14:textId="727B394A" w:rsidR="00260847" w:rsidRDefault="00260847" w:rsidP="0035517B">
          <w:pPr>
            <w:pStyle w:val="Heading2"/>
          </w:pPr>
          <w:bookmarkStart w:id="0" w:name="_Toc171324739"/>
          <w:bookmarkStart w:id="1" w:name="_Toc171341060"/>
          <w:r w:rsidRPr="00260847">
            <w:t>Submission</w:t>
          </w:r>
          <w:r>
            <w:t xml:space="preserve"> </w:t>
          </w:r>
          <w:r w:rsidRPr="00260847">
            <w:t>to</w:t>
          </w:r>
          <w:r>
            <w:t xml:space="preserve"> </w:t>
          </w:r>
          <w:r w:rsidR="00F444B8">
            <w:t xml:space="preserve">Community </w:t>
          </w:r>
          <w:r w:rsidR="00D3227E">
            <w:t>Safety</w:t>
          </w:r>
          <w:r w:rsidR="00F444B8">
            <w:t xml:space="preserve"> and Legal Affairs Committee</w:t>
          </w:r>
          <w:bookmarkEnd w:id="0"/>
          <w:bookmarkEnd w:id="1"/>
        </w:p>
        <w:p w14:paraId="04D9FA07" w14:textId="1B00339C" w:rsidR="00260847" w:rsidRDefault="00A93312" w:rsidP="0035517B">
          <w:pPr>
            <w:pStyle w:val="Heading2"/>
          </w:pPr>
          <w:bookmarkStart w:id="2" w:name="_Toc171324740"/>
          <w:bookmarkStart w:id="3" w:name="_Toc171341061"/>
          <w:r w:rsidRPr="00D11293">
            <w:t>8</w:t>
          </w:r>
          <w:r w:rsidR="00F444B8" w:rsidRPr="00D11293">
            <w:t xml:space="preserve"> July 2024</w:t>
          </w:r>
          <w:bookmarkEnd w:id="2"/>
          <w:bookmarkEnd w:id="3"/>
        </w:p>
        <w:p w14:paraId="39598B20" w14:textId="77777777" w:rsidR="00260847" w:rsidRDefault="00260847">
          <w:pPr>
            <w:rPr>
              <w:rFonts w:cs="Arial"/>
              <w:bCs/>
              <w:sz w:val="28"/>
              <w:szCs w:val="22"/>
              <w:lang w:val="en-US"/>
            </w:rPr>
          </w:pPr>
          <w:r>
            <w:rPr>
              <w:rFonts w:cs="Arial"/>
              <w:bCs/>
              <w:sz w:val="28"/>
            </w:rPr>
            <w:br w:type="page"/>
          </w:r>
        </w:p>
        <w:p w14:paraId="3B3B2763" w14:textId="77777777" w:rsidR="004A2375" w:rsidRDefault="004A2375" w:rsidP="00260847">
          <w:pPr>
            <w:pStyle w:val="NoSpacing"/>
            <w:spacing w:before="120" w:after="120"/>
          </w:pPr>
        </w:p>
        <w:p w14:paraId="6762D5DB" w14:textId="77777777" w:rsidR="00A16356" w:rsidRPr="004A2375" w:rsidRDefault="00CE6DE5">
          <w:pPr>
            <w:rPr>
              <w:rFonts w:eastAsiaTheme="majorEastAsia" w:cstheme="majorBidi"/>
              <w:b/>
              <w:color w:val="365F91" w:themeColor="accent1" w:themeShade="BF"/>
              <w:sz w:val="16"/>
              <w:szCs w:val="16"/>
            </w:rPr>
          </w:pPr>
        </w:p>
      </w:sdtContent>
    </w:sdt>
    <w:bookmarkStart w:id="4" w:name="_Toc171341062"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b/>
          <w:color w:val="000000" w:themeColor="text1"/>
          <w:sz w:val="22"/>
          <w:szCs w:val="22"/>
          <w:lang w:val="en-AU"/>
        </w:rPr>
      </w:sdtEndPr>
      <w:sdtContent>
        <w:p w14:paraId="55B32B0B" w14:textId="0C6F4E18" w:rsidR="00A16356" w:rsidRPr="00A16356" w:rsidRDefault="00110E4E" w:rsidP="00260847">
          <w:pPr>
            <w:pStyle w:val="Heading1"/>
          </w:pPr>
          <w:r>
            <w:t>C</w:t>
          </w:r>
          <w:r w:rsidR="00A16356" w:rsidRPr="00A16356">
            <w:t>ontents</w:t>
          </w:r>
          <w:bookmarkEnd w:id="4"/>
        </w:p>
        <w:p w14:paraId="37B8A202" w14:textId="7882F032" w:rsidR="00602152" w:rsidRDefault="00634E9E" w:rsidP="001F6C35">
          <w:pPr>
            <w:pStyle w:val="TOC2"/>
            <w:rPr>
              <w:rFonts w:asciiTheme="minorHAnsi" w:hAnsiTheme="minorHAnsi"/>
              <w:noProof/>
              <w:color w:val="auto"/>
              <w:kern w:val="2"/>
              <w:sz w:val="24"/>
              <w:lang w:eastAsia="en-AU"/>
              <w14:ligatures w14:val="standardContextual"/>
            </w:rPr>
          </w:pPr>
          <w:r>
            <w:rPr>
              <w:rFonts w:cs="Arial"/>
              <w:b/>
              <w:bCs/>
              <w:noProof/>
            </w:rPr>
            <w:fldChar w:fldCharType="begin"/>
          </w:r>
          <w:r>
            <w:rPr>
              <w:rFonts w:cs="Arial"/>
              <w:b/>
              <w:bCs/>
              <w:noProof/>
            </w:rPr>
            <w:instrText xml:space="preserve"> TOC \o "1-2" \h \z \u </w:instrText>
          </w:r>
          <w:r>
            <w:rPr>
              <w:rFonts w:cs="Arial"/>
              <w:b/>
              <w:bCs/>
              <w:noProof/>
            </w:rPr>
            <w:fldChar w:fldCharType="separate"/>
          </w:r>
        </w:p>
        <w:p w14:paraId="412BF387" w14:textId="31BD8EFF" w:rsidR="00602152" w:rsidRDefault="00602152">
          <w:pPr>
            <w:pStyle w:val="TOC1"/>
            <w:tabs>
              <w:tab w:val="right" w:leader="dot" w:pos="8296"/>
            </w:tabs>
            <w:rPr>
              <w:rFonts w:asciiTheme="minorHAnsi" w:hAnsiTheme="minorHAnsi"/>
              <w:noProof/>
              <w:color w:val="auto"/>
              <w:kern w:val="2"/>
              <w:sz w:val="24"/>
              <w:lang w:eastAsia="en-AU"/>
              <w14:ligatures w14:val="standardContextual"/>
            </w:rPr>
          </w:pPr>
          <w:hyperlink w:anchor="_Toc171341062" w:history="1">
            <w:r w:rsidRPr="003836B9">
              <w:rPr>
                <w:rStyle w:val="Hyperlink"/>
                <w:noProof/>
              </w:rPr>
              <w:t>Contents</w:t>
            </w:r>
            <w:r>
              <w:rPr>
                <w:noProof/>
                <w:webHidden/>
              </w:rPr>
              <w:tab/>
            </w:r>
            <w:r>
              <w:rPr>
                <w:noProof/>
                <w:webHidden/>
              </w:rPr>
              <w:fldChar w:fldCharType="begin"/>
            </w:r>
            <w:r>
              <w:rPr>
                <w:noProof/>
                <w:webHidden/>
              </w:rPr>
              <w:instrText xml:space="preserve"> PAGEREF _Toc171341062 \h </w:instrText>
            </w:r>
            <w:r>
              <w:rPr>
                <w:noProof/>
                <w:webHidden/>
              </w:rPr>
            </w:r>
            <w:r>
              <w:rPr>
                <w:noProof/>
                <w:webHidden/>
              </w:rPr>
              <w:fldChar w:fldCharType="separate"/>
            </w:r>
            <w:r w:rsidR="001F6C35">
              <w:rPr>
                <w:noProof/>
                <w:webHidden/>
              </w:rPr>
              <w:t>1</w:t>
            </w:r>
            <w:r>
              <w:rPr>
                <w:noProof/>
                <w:webHidden/>
              </w:rPr>
              <w:fldChar w:fldCharType="end"/>
            </w:r>
          </w:hyperlink>
        </w:p>
        <w:p w14:paraId="4E2A62DA" w14:textId="01CAB29A" w:rsidR="00602152" w:rsidRDefault="00602152">
          <w:pPr>
            <w:pStyle w:val="TOC1"/>
            <w:tabs>
              <w:tab w:val="right" w:leader="dot" w:pos="8296"/>
            </w:tabs>
            <w:rPr>
              <w:rFonts w:asciiTheme="minorHAnsi" w:hAnsiTheme="minorHAnsi"/>
              <w:noProof/>
              <w:color w:val="auto"/>
              <w:kern w:val="2"/>
              <w:sz w:val="24"/>
              <w:lang w:eastAsia="en-AU"/>
              <w14:ligatures w14:val="standardContextual"/>
            </w:rPr>
          </w:pPr>
          <w:hyperlink w:anchor="_Toc171341063" w:history="1">
            <w:r w:rsidRPr="003836B9">
              <w:rPr>
                <w:rStyle w:val="Hyperlink"/>
                <w:rFonts w:eastAsia="MS Gothic" w:cs="Angsana New"/>
                <w:noProof/>
              </w:rPr>
              <w:t>About the Commission</w:t>
            </w:r>
            <w:r>
              <w:rPr>
                <w:noProof/>
                <w:webHidden/>
              </w:rPr>
              <w:tab/>
            </w:r>
            <w:r>
              <w:rPr>
                <w:noProof/>
                <w:webHidden/>
              </w:rPr>
              <w:fldChar w:fldCharType="begin"/>
            </w:r>
            <w:r>
              <w:rPr>
                <w:noProof/>
                <w:webHidden/>
              </w:rPr>
              <w:instrText xml:space="preserve"> PAGEREF _Toc171341063 \h </w:instrText>
            </w:r>
            <w:r>
              <w:rPr>
                <w:noProof/>
                <w:webHidden/>
              </w:rPr>
            </w:r>
            <w:r>
              <w:rPr>
                <w:noProof/>
                <w:webHidden/>
              </w:rPr>
              <w:fldChar w:fldCharType="separate"/>
            </w:r>
            <w:r w:rsidR="001F6C35">
              <w:rPr>
                <w:noProof/>
                <w:webHidden/>
              </w:rPr>
              <w:t>2</w:t>
            </w:r>
            <w:r>
              <w:rPr>
                <w:noProof/>
                <w:webHidden/>
              </w:rPr>
              <w:fldChar w:fldCharType="end"/>
            </w:r>
          </w:hyperlink>
        </w:p>
        <w:p w14:paraId="4B1F12BF" w14:textId="210B1B5C" w:rsidR="00602152" w:rsidRDefault="00602152">
          <w:pPr>
            <w:pStyle w:val="TOC1"/>
            <w:tabs>
              <w:tab w:val="right" w:leader="dot" w:pos="8296"/>
            </w:tabs>
            <w:rPr>
              <w:rFonts w:asciiTheme="minorHAnsi" w:hAnsiTheme="minorHAnsi"/>
              <w:noProof/>
              <w:color w:val="auto"/>
              <w:kern w:val="2"/>
              <w:sz w:val="24"/>
              <w:lang w:eastAsia="en-AU"/>
              <w14:ligatures w14:val="standardContextual"/>
            </w:rPr>
          </w:pPr>
          <w:hyperlink w:anchor="_Toc171341064" w:history="1">
            <w:r w:rsidRPr="003836B9">
              <w:rPr>
                <w:rStyle w:val="Hyperlink"/>
                <w:rFonts w:eastAsia="MS Gothic" w:cs="Angsana New"/>
                <w:noProof/>
                <w:lang w:val="en-US"/>
              </w:rPr>
              <w:t>Introduction</w:t>
            </w:r>
            <w:r>
              <w:rPr>
                <w:noProof/>
                <w:webHidden/>
              </w:rPr>
              <w:tab/>
            </w:r>
            <w:r>
              <w:rPr>
                <w:noProof/>
                <w:webHidden/>
              </w:rPr>
              <w:fldChar w:fldCharType="begin"/>
            </w:r>
            <w:r>
              <w:rPr>
                <w:noProof/>
                <w:webHidden/>
              </w:rPr>
              <w:instrText xml:space="preserve"> PAGEREF _Toc171341064 \h </w:instrText>
            </w:r>
            <w:r>
              <w:rPr>
                <w:noProof/>
                <w:webHidden/>
              </w:rPr>
            </w:r>
            <w:r>
              <w:rPr>
                <w:noProof/>
                <w:webHidden/>
              </w:rPr>
              <w:fldChar w:fldCharType="separate"/>
            </w:r>
            <w:r w:rsidR="001F6C35">
              <w:rPr>
                <w:noProof/>
                <w:webHidden/>
              </w:rPr>
              <w:t>2</w:t>
            </w:r>
            <w:r>
              <w:rPr>
                <w:noProof/>
                <w:webHidden/>
              </w:rPr>
              <w:fldChar w:fldCharType="end"/>
            </w:r>
          </w:hyperlink>
        </w:p>
        <w:p w14:paraId="021F0328" w14:textId="303BB5EC" w:rsidR="00602152" w:rsidRDefault="00602152">
          <w:pPr>
            <w:pStyle w:val="TOC2"/>
            <w:rPr>
              <w:rFonts w:asciiTheme="minorHAnsi" w:hAnsiTheme="minorHAnsi"/>
              <w:noProof/>
              <w:color w:val="auto"/>
              <w:kern w:val="2"/>
              <w:sz w:val="24"/>
              <w:lang w:eastAsia="en-AU"/>
              <w14:ligatures w14:val="standardContextual"/>
            </w:rPr>
          </w:pPr>
          <w:hyperlink w:anchor="_Toc171341065" w:history="1">
            <w:r w:rsidRPr="003836B9">
              <w:rPr>
                <w:rStyle w:val="Hyperlink"/>
                <w:noProof/>
              </w:rPr>
              <w:t xml:space="preserve">Remaining </w:t>
            </w:r>
            <w:r w:rsidRPr="003836B9">
              <w:rPr>
                <w:rStyle w:val="Hyperlink"/>
                <w:i/>
                <w:noProof/>
              </w:rPr>
              <w:t>Building Belonging</w:t>
            </w:r>
            <w:r w:rsidRPr="003836B9">
              <w:rPr>
                <w:rStyle w:val="Hyperlink"/>
                <w:noProof/>
              </w:rPr>
              <w:t xml:space="preserve"> recommendations should be implemented without delay</w:t>
            </w:r>
            <w:r>
              <w:rPr>
                <w:noProof/>
                <w:webHidden/>
              </w:rPr>
              <w:tab/>
            </w:r>
            <w:r>
              <w:rPr>
                <w:noProof/>
                <w:webHidden/>
              </w:rPr>
              <w:fldChar w:fldCharType="begin"/>
            </w:r>
            <w:r>
              <w:rPr>
                <w:noProof/>
                <w:webHidden/>
              </w:rPr>
              <w:instrText xml:space="preserve"> PAGEREF _Toc171341065 \h </w:instrText>
            </w:r>
            <w:r>
              <w:rPr>
                <w:noProof/>
                <w:webHidden/>
              </w:rPr>
            </w:r>
            <w:r>
              <w:rPr>
                <w:noProof/>
                <w:webHidden/>
              </w:rPr>
              <w:fldChar w:fldCharType="separate"/>
            </w:r>
            <w:r w:rsidR="001F6C35">
              <w:rPr>
                <w:noProof/>
                <w:webHidden/>
              </w:rPr>
              <w:t>2</w:t>
            </w:r>
            <w:r>
              <w:rPr>
                <w:noProof/>
                <w:webHidden/>
              </w:rPr>
              <w:fldChar w:fldCharType="end"/>
            </w:r>
          </w:hyperlink>
        </w:p>
        <w:p w14:paraId="7AC8B9DE" w14:textId="1DBB45F9" w:rsidR="00602152" w:rsidRDefault="00602152">
          <w:pPr>
            <w:pStyle w:val="TOC1"/>
            <w:tabs>
              <w:tab w:val="right" w:leader="dot" w:pos="8296"/>
            </w:tabs>
            <w:rPr>
              <w:rFonts w:asciiTheme="minorHAnsi" w:hAnsiTheme="minorHAnsi"/>
              <w:noProof/>
              <w:color w:val="auto"/>
              <w:kern w:val="2"/>
              <w:sz w:val="24"/>
              <w:lang w:eastAsia="en-AU"/>
              <w14:ligatures w14:val="standardContextual"/>
            </w:rPr>
          </w:pPr>
          <w:hyperlink w:anchor="_Toc171341066" w:history="1">
            <w:r w:rsidRPr="003836B9">
              <w:rPr>
                <w:rStyle w:val="Hyperlink"/>
                <w:noProof/>
              </w:rPr>
              <w:t>Recommendations</w:t>
            </w:r>
            <w:r>
              <w:rPr>
                <w:noProof/>
                <w:webHidden/>
              </w:rPr>
              <w:tab/>
            </w:r>
            <w:r>
              <w:rPr>
                <w:noProof/>
                <w:webHidden/>
              </w:rPr>
              <w:fldChar w:fldCharType="begin"/>
            </w:r>
            <w:r>
              <w:rPr>
                <w:noProof/>
                <w:webHidden/>
              </w:rPr>
              <w:instrText xml:space="preserve"> PAGEREF _Toc171341066 \h </w:instrText>
            </w:r>
            <w:r>
              <w:rPr>
                <w:noProof/>
                <w:webHidden/>
              </w:rPr>
            </w:r>
            <w:r>
              <w:rPr>
                <w:noProof/>
                <w:webHidden/>
              </w:rPr>
              <w:fldChar w:fldCharType="separate"/>
            </w:r>
            <w:r w:rsidR="001F6C35">
              <w:rPr>
                <w:noProof/>
                <w:webHidden/>
              </w:rPr>
              <w:t>4</w:t>
            </w:r>
            <w:r>
              <w:rPr>
                <w:noProof/>
                <w:webHidden/>
              </w:rPr>
              <w:fldChar w:fldCharType="end"/>
            </w:r>
          </w:hyperlink>
        </w:p>
        <w:p w14:paraId="018F7D87" w14:textId="7D5AAB68" w:rsidR="00602152" w:rsidRDefault="00602152">
          <w:pPr>
            <w:pStyle w:val="TOC1"/>
            <w:tabs>
              <w:tab w:val="right" w:leader="dot" w:pos="8296"/>
            </w:tabs>
            <w:rPr>
              <w:rFonts w:asciiTheme="minorHAnsi" w:hAnsiTheme="minorHAnsi"/>
              <w:noProof/>
              <w:color w:val="auto"/>
              <w:kern w:val="2"/>
              <w:sz w:val="24"/>
              <w:lang w:eastAsia="en-AU"/>
              <w14:ligatures w14:val="standardContextual"/>
            </w:rPr>
          </w:pPr>
          <w:hyperlink w:anchor="_Toc171341067" w:history="1">
            <w:r w:rsidRPr="003836B9">
              <w:rPr>
                <w:rStyle w:val="Hyperlink"/>
                <w:noProof/>
              </w:rPr>
              <w:t>Five priority issues</w:t>
            </w:r>
            <w:r>
              <w:rPr>
                <w:noProof/>
                <w:webHidden/>
              </w:rPr>
              <w:tab/>
            </w:r>
            <w:r>
              <w:rPr>
                <w:noProof/>
                <w:webHidden/>
              </w:rPr>
              <w:fldChar w:fldCharType="begin"/>
            </w:r>
            <w:r>
              <w:rPr>
                <w:noProof/>
                <w:webHidden/>
              </w:rPr>
              <w:instrText xml:space="preserve"> PAGEREF _Toc171341067 \h </w:instrText>
            </w:r>
            <w:r>
              <w:rPr>
                <w:noProof/>
                <w:webHidden/>
              </w:rPr>
            </w:r>
            <w:r>
              <w:rPr>
                <w:noProof/>
                <w:webHidden/>
              </w:rPr>
              <w:fldChar w:fldCharType="separate"/>
            </w:r>
            <w:r w:rsidR="001F6C35">
              <w:rPr>
                <w:noProof/>
                <w:webHidden/>
              </w:rPr>
              <w:t>4</w:t>
            </w:r>
            <w:r>
              <w:rPr>
                <w:noProof/>
                <w:webHidden/>
              </w:rPr>
              <w:fldChar w:fldCharType="end"/>
            </w:r>
          </w:hyperlink>
        </w:p>
        <w:p w14:paraId="78CF629B" w14:textId="248974A4" w:rsidR="00602152" w:rsidRDefault="00602152">
          <w:pPr>
            <w:pStyle w:val="TOC2"/>
            <w:rPr>
              <w:rFonts w:asciiTheme="minorHAnsi" w:hAnsiTheme="minorHAnsi"/>
              <w:noProof/>
              <w:color w:val="auto"/>
              <w:kern w:val="2"/>
              <w:sz w:val="24"/>
              <w:lang w:eastAsia="en-AU"/>
              <w14:ligatures w14:val="standardContextual"/>
            </w:rPr>
          </w:pPr>
          <w:hyperlink w:anchor="_Toc171341068" w:history="1">
            <w:r w:rsidRPr="003836B9">
              <w:rPr>
                <w:rStyle w:val="Hyperlink"/>
                <w:noProof/>
              </w:rPr>
              <w:t>Ensure adequate tools to prevent all forms of discrimination</w:t>
            </w:r>
            <w:r>
              <w:rPr>
                <w:noProof/>
                <w:webHidden/>
              </w:rPr>
              <w:tab/>
            </w:r>
            <w:r>
              <w:rPr>
                <w:noProof/>
                <w:webHidden/>
              </w:rPr>
              <w:fldChar w:fldCharType="begin"/>
            </w:r>
            <w:r>
              <w:rPr>
                <w:noProof/>
                <w:webHidden/>
              </w:rPr>
              <w:instrText xml:space="preserve"> PAGEREF _Toc171341068 \h </w:instrText>
            </w:r>
            <w:r>
              <w:rPr>
                <w:noProof/>
                <w:webHidden/>
              </w:rPr>
            </w:r>
            <w:r>
              <w:rPr>
                <w:noProof/>
                <w:webHidden/>
              </w:rPr>
              <w:fldChar w:fldCharType="separate"/>
            </w:r>
            <w:r w:rsidR="001F6C35">
              <w:rPr>
                <w:noProof/>
                <w:webHidden/>
              </w:rPr>
              <w:t>5</w:t>
            </w:r>
            <w:r>
              <w:rPr>
                <w:noProof/>
                <w:webHidden/>
              </w:rPr>
              <w:fldChar w:fldCharType="end"/>
            </w:r>
          </w:hyperlink>
        </w:p>
        <w:p w14:paraId="4706C7D9" w14:textId="387155B7" w:rsidR="00602152" w:rsidRDefault="00602152">
          <w:pPr>
            <w:pStyle w:val="TOC2"/>
            <w:rPr>
              <w:rFonts w:asciiTheme="minorHAnsi" w:hAnsiTheme="minorHAnsi"/>
              <w:noProof/>
              <w:color w:val="auto"/>
              <w:kern w:val="2"/>
              <w:sz w:val="24"/>
              <w:lang w:eastAsia="en-AU"/>
              <w14:ligatures w14:val="standardContextual"/>
            </w:rPr>
          </w:pPr>
          <w:hyperlink w:anchor="_Toc171341069" w:history="1">
            <w:r w:rsidRPr="003836B9">
              <w:rPr>
                <w:rStyle w:val="Hyperlink"/>
                <w:noProof/>
              </w:rPr>
              <w:t>Changes to complaints complicate rather than improve outdated complaint procedures</w:t>
            </w:r>
            <w:r>
              <w:rPr>
                <w:noProof/>
                <w:webHidden/>
              </w:rPr>
              <w:tab/>
            </w:r>
            <w:r>
              <w:rPr>
                <w:noProof/>
                <w:webHidden/>
              </w:rPr>
              <w:fldChar w:fldCharType="begin"/>
            </w:r>
            <w:r>
              <w:rPr>
                <w:noProof/>
                <w:webHidden/>
              </w:rPr>
              <w:instrText xml:space="preserve"> PAGEREF _Toc171341069 \h </w:instrText>
            </w:r>
            <w:r>
              <w:rPr>
                <w:noProof/>
                <w:webHidden/>
              </w:rPr>
            </w:r>
            <w:r>
              <w:rPr>
                <w:noProof/>
                <w:webHidden/>
              </w:rPr>
              <w:fldChar w:fldCharType="separate"/>
            </w:r>
            <w:r w:rsidR="001F6C35">
              <w:rPr>
                <w:noProof/>
                <w:webHidden/>
              </w:rPr>
              <w:t>8</w:t>
            </w:r>
            <w:r>
              <w:rPr>
                <w:noProof/>
                <w:webHidden/>
              </w:rPr>
              <w:fldChar w:fldCharType="end"/>
            </w:r>
          </w:hyperlink>
        </w:p>
        <w:p w14:paraId="6A2DB8A8" w14:textId="570CD24D" w:rsidR="00602152" w:rsidRDefault="00602152">
          <w:pPr>
            <w:pStyle w:val="TOC2"/>
            <w:rPr>
              <w:rFonts w:asciiTheme="minorHAnsi" w:hAnsiTheme="minorHAnsi"/>
              <w:noProof/>
              <w:color w:val="auto"/>
              <w:kern w:val="2"/>
              <w:sz w:val="24"/>
              <w:lang w:eastAsia="en-AU"/>
              <w14:ligatures w14:val="standardContextual"/>
            </w:rPr>
          </w:pPr>
          <w:hyperlink w:anchor="_Toc171341070" w:history="1">
            <w:r w:rsidRPr="003836B9">
              <w:rPr>
                <w:rStyle w:val="Hyperlink"/>
                <w:noProof/>
              </w:rPr>
              <w:t>New sex-based contraventions may have unintended consequences</w:t>
            </w:r>
            <w:r>
              <w:rPr>
                <w:noProof/>
                <w:webHidden/>
              </w:rPr>
              <w:tab/>
            </w:r>
            <w:r>
              <w:rPr>
                <w:noProof/>
                <w:webHidden/>
              </w:rPr>
              <w:fldChar w:fldCharType="begin"/>
            </w:r>
            <w:r>
              <w:rPr>
                <w:noProof/>
                <w:webHidden/>
              </w:rPr>
              <w:instrText xml:space="preserve"> PAGEREF _Toc171341070 \h </w:instrText>
            </w:r>
            <w:r>
              <w:rPr>
                <w:noProof/>
                <w:webHidden/>
              </w:rPr>
            </w:r>
            <w:r>
              <w:rPr>
                <w:noProof/>
                <w:webHidden/>
              </w:rPr>
              <w:fldChar w:fldCharType="separate"/>
            </w:r>
            <w:r w:rsidR="001F6C35">
              <w:rPr>
                <w:noProof/>
                <w:webHidden/>
              </w:rPr>
              <w:t>9</w:t>
            </w:r>
            <w:r>
              <w:rPr>
                <w:noProof/>
                <w:webHidden/>
              </w:rPr>
              <w:fldChar w:fldCharType="end"/>
            </w:r>
          </w:hyperlink>
        </w:p>
        <w:p w14:paraId="7711E34A" w14:textId="122ABB56" w:rsidR="00602152" w:rsidRDefault="00602152">
          <w:pPr>
            <w:pStyle w:val="TOC2"/>
            <w:rPr>
              <w:rFonts w:asciiTheme="minorHAnsi" w:hAnsiTheme="minorHAnsi"/>
              <w:noProof/>
              <w:color w:val="auto"/>
              <w:kern w:val="2"/>
              <w:sz w:val="24"/>
              <w:lang w:eastAsia="en-AU"/>
              <w14:ligatures w14:val="standardContextual"/>
            </w:rPr>
          </w:pPr>
          <w:hyperlink w:anchor="_Toc171341071" w:history="1">
            <w:r w:rsidRPr="003836B9">
              <w:rPr>
                <w:rStyle w:val="Hyperlink"/>
                <w:noProof/>
              </w:rPr>
              <w:t>New vilification wording puts established case law at risk</w:t>
            </w:r>
            <w:r>
              <w:rPr>
                <w:noProof/>
                <w:webHidden/>
              </w:rPr>
              <w:tab/>
            </w:r>
            <w:r>
              <w:rPr>
                <w:noProof/>
                <w:webHidden/>
              </w:rPr>
              <w:fldChar w:fldCharType="begin"/>
            </w:r>
            <w:r>
              <w:rPr>
                <w:noProof/>
                <w:webHidden/>
              </w:rPr>
              <w:instrText xml:space="preserve"> PAGEREF _Toc171341071 \h </w:instrText>
            </w:r>
            <w:r>
              <w:rPr>
                <w:noProof/>
                <w:webHidden/>
              </w:rPr>
            </w:r>
            <w:r>
              <w:rPr>
                <w:noProof/>
                <w:webHidden/>
              </w:rPr>
              <w:fldChar w:fldCharType="separate"/>
            </w:r>
            <w:r w:rsidR="001F6C35">
              <w:rPr>
                <w:noProof/>
                <w:webHidden/>
              </w:rPr>
              <w:t>11</w:t>
            </w:r>
            <w:r>
              <w:rPr>
                <w:noProof/>
                <w:webHidden/>
              </w:rPr>
              <w:fldChar w:fldCharType="end"/>
            </w:r>
          </w:hyperlink>
        </w:p>
        <w:p w14:paraId="04497B0F" w14:textId="18084AD7" w:rsidR="00602152" w:rsidRDefault="00602152">
          <w:pPr>
            <w:pStyle w:val="TOC2"/>
            <w:rPr>
              <w:rFonts w:asciiTheme="minorHAnsi" w:hAnsiTheme="minorHAnsi"/>
              <w:noProof/>
              <w:color w:val="auto"/>
              <w:kern w:val="2"/>
              <w:sz w:val="24"/>
              <w:lang w:eastAsia="en-AU"/>
              <w14:ligatures w14:val="standardContextual"/>
            </w:rPr>
          </w:pPr>
          <w:hyperlink w:anchor="_Toc171341072" w:history="1">
            <w:r w:rsidRPr="003836B9">
              <w:rPr>
                <w:rStyle w:val="Hyperlink"/>
                <w:noProof/>
              </w:rPr>
              <w:t>Conflict between two Bills regarding ART exception</w:t>
            </w:r>
            <w:r>
              <w:rPr>
                <w:noProof/>
                <w:webHidden/>
              </w:rPr>
              <w:tab/>
            </w:r>
            <w:r>
              <w:rPr>
                <w:noProof/>
                <w:webHidden/>
              </w:rPr>
              <w:fldChar w:fldCharType="begin"/>
            </w:r>
            <w:r>
              <w:rPr>
                <w:noProof/>
                <w:webHidden/>
              </w:rPr>
              <w:instrText xml:space="preserve"> PAGEREF _Toc171341072 \h </w:instrText>
            </w:r>
            <w:r>
              <w:rPr>
                <w:noProof/>
                <w:webHidden/>
              </w:rPr>
            </w:r>
            <w:r>
              <w:rPr>
                <w:noProof/>
                <w:webHidden/>
              </w:rPr>
              <w:fldChar w:fldCharType="separate"/>
            </w:r>
            <w:r w:rsidR="001F6C35">
              <w:rPr>
                <w:noProof/>
                <w:webHidden/>
              </w:rPr>
              <w:t>11</w:t>
            </w:r>
            <w:r>
              <w:rPr>
                <w:noProof/>
                <w:webHidden/>
              </w:rPr>
              <w:fldChar w:fldCharType="end"/>
            </w:r>
          </w:hyperlink>
        </w:p>
        <w:p w14:paraId="12029497" w14:textId="5B93FB1B" w:rsidR="00602152" w:rsidRDefault="00602152">
          <w:pPr>
            <w:pStyle w:val="TOC1"/>
            <w:tabs>
              <w:tab w:val="right" w:leader="dot" w:pos="8296"/>
            </w:tabs>
            <w:rPr>
              <w:rFonts w:asciiTheme="minorHAnsi" w:hAnsiTheme="minorHAnsi"/>
              <w:noProof/>
              <w:color w:val="auto"/>
              <w:kern w:val="2"/>
              <w:sz w:val="24"/>
              <w:lang w:eastAsia="en-AU"/>
              <w14:ligatures w14:val="standardContextual"/>
            </w:rPr>
          </w:pPr>
          <w:hyperlink w:anchor="_Toc171341073" w:history="1">
            <w:r w:rsidRPr="003836B9">
              <w:rPr>
                <w:rStyle w:val="Hyperlink"/>
                <w:noProof/>
              </w:rPr>
              <w:t>Other key aspects</w:t>
            </w:r>
            <w:r>
              <w:rPr>
                <w:noProof/>
                <w:webHidden/>
              </w:rPr>
              <w:tab/>
            </w:r>
            <w:r>
              <w:rPr>
                <w:noProof/>
                <w:webHidden/>
              </w:rPr>
              <w:fldChar w:fldCharType="begin"/>
            </w:r>
            <w:r>
              <w:rPr>
                <w:noProof/>
                <w:webHidden/>
              </w:rPr>
              <w:instrText xml:space="preserve"> PAGEREF _Toc171341073 \h </w:instrText>
            </w:r>
            <w:r>
              <w:rPr>
                <w:noProof/>
                <w:webHidden/>
              </w:rPr>
            </w:r>
            <w:r>
              <w:rPr>
                <w:noProof/>
                <w:webHidden/>
              </w:rPr>
              <w:fldChar w:fldCharType="separate"/>
            </w:r>
            <w:r w:rsidR="001F6C35">
              <w:rPr>
                <w:noProof/>
                <w:webHidden/>
              </w:rPr>
              <w:t>12</w:t>
            </w:r>
            <w:r>
              <w:rPr>
                <w:noProof/>
                <w:webHidden/>
              </w:rPr>
              <w:fldChar w:fldCharType="end"/>
            </w:r>
          </w:hyperlink>
        </w:p>
        <w:p w14:paraId="080B29CB" w14:textId="60BA1F79" w:rsidR="00602152" w:rsidRDefault="00602152">
          <w:pPr>
            <w:pStyle w:val="TOC2"/>
            <w:rPr>
              <w:rFonts w:asciiTheme="minorHAnsi" w:hAnsiTheme="minorHAnsi"/>
              <w:noProof/>
              <w:color w:val="auto"/>
              <w:kern w:val="2"/>
              <w:sz w:val="24"/>
              <w:lang w:eastAsia="en-AU"/>
              <w14:ligatures w14:val="standardContextual"/>
            </w:rPr>
          </w:pPr>
          <w:hyperlink w:anchor="_Toc171341074" w:history="1">
            <w:r w:rsidRPr="003836B9">
              <w:rPr>
                <w:rStyle w:val="Hyperlink"/>
                <w:noProof/>
              </w:rPr>
              <w:t>Modernising and strengthening vilification laws</w:t>
            </w:r>
            <w:r>
              <w:rPr>
                <w:noProof/>
                <w:webHidden/>
              </w:rPr>
              <w:tab/>
            </w:r>
            <w:r>
              <w:rPr>
                <w:noProof/>
                <w:webHidden/>
              </w:rPr>
              <w:fldChar w:fldCharType="begin"/>
            </w:r>
            <w:r>
              <w:rPr>
                <w:noProof/>
                <w:webHidden/>
              </w:rPr>
              <w:instrText xml:space="preserve"> PAGEREF _Toc171341074 \h </w:instrText>
            </w:r>
            <w:r>
              <w:rPr>
                <w:noProof/>
                <w:webHidden/>
              </w:rPr>
            </w:r>
            <w:r>
              <w:rPr>
                <w:noProof/>
                <w:webHidden/>
              </w:rPr>
              <w:fldChar w:fldCharType="separate"/>
            </w:r>
            <w:r w:rsidR="001F6C35">
              <w:rPr>
                <w:noProof/>
                <w:webHidden/>
              </w:rPr>
              <w:t>12</w:t>
            </w:r>
            <w:r>
              <w:rPr>
                <w:noProof/>
                <w:webHidden/>
              </w:rPr>
              <w:fldChar w:fldCharType="end"/>
            </w:r>
          </w:hyperlink>
        </w:p>
        <w:p w14:paraId="2F4F086B" w14:textId="0C68D621" w:rsidR="00602152" w:rsidRDefault="00602152">
          <w:pPr>
            <w:pStyle w:val="TOC2"/>
            <w:rPr>
              <w:rFonts w:asciiTheme="minorHAnsi" w:hAnsiTheme="minorHAnsi"/>
              <w:noProof/>
              <w:color w:val="auto"/>
              <w:kern w:val="2"/>
              <w:sz w:val="24"/>
              <w:lang w:eastAsia="en-AU"/>
              <w14:ligatures w14:val="standardContextual"/>
            </w:rPr>
          </w:pPr>
          <w:hyperlink w:anchor="_Toc171341075" w:history="1">
            <w:r w:rsidRPr="003836B9">
              <w:rPr>
                <w:rStyle w:val="Hyperlink"/>
                <w:noProof/>
              </w:rPr>
              <w:t>New protected attributes and updated attributes</w:t>
            </w:r>
            <w:r>
              <w:rPr>
                <w:noProof/>
                <w:webHidden/>
              </w:rPr>
              <w:tab/>
            </w:r>
            <w:r>
              <w:rPr>
                <w:noProof/>
                <w:webHidden/>
              </w:rPr>
              <w:fldChar w:fldCharType="begin"/>
            </w:r>
            <w:r>
              <w:rPr>
                <w:noProof/>
                <w:webHidden/>
              </w:rPr>
              <w:instrText xml:space="preserve"> PAGEREF _Toc171341075 \h </w:instrText>
            </w:r>
            <w:r>
              <w:rPr>
                <w:noProof/>
                <w:webHidden/>
              </w:rPr>
            </w:r>
            <w:r>
              <w:rPr>
                <w:noProof/>
                <w:webHidden/>
              </w:rPr>
              <w:fldChar w:fldCharType="separate"/>
            </w:r>
            <w:r w:rsidR="001F6C35">
              <w:rPr>
                <w:noProof/>
                <w:webHidden/>
              </w:rPr>
              <w:t>15</w:t>
            </w:r>
            <w:r>
              <w:rPr>
                <w:noProof/>
                <w:webHidden/>
              </w:rPr>
              <w:fldChar w:fldCharType="end"/>
            </w:r>
          </w:hyperlink>
        </w:p>
        <w:p w14:paraId="0602C924" w14:textId="5B5F7467" w:rsidR="00602152" w:rsidRDefault="00602152">
          <w:pPr>
            <w:pStyle w:val="TOC2"/>
            <w:rPr>
              <w:rFonts w:asciiTheme="minorHAnsi" w:hAnsiTheme="minorHAnsi"/>
              <w:noProof/>
              <w:color w:val="auto"/>
              <w:kern w:val="2"/>
              <w:sz w:val="24"/>
              <w:lang w:eastAsia="en-AU"/>
              <w14:ligatures w14:val="standardContextual"/>
            </w:rPr>
          </w:pPr>
          <w:hyperlink w:anchor="_Toc171341076" w:history="1">
            <w:r w:rsidRPr="003836B9">
              <w:rPr>
                <w:rStyle w:val="Hyperlink"/>
                <w:noProof/>
              </w:rPr>
              <w:t>Representative complaints</w:t>
            </w:r>
            <w:r>
              <w:rPr>
                <w:noProof/>
                <w:webHidden/>
              </w:rPr>
              <w:tab/>
            </w:r>
            <w:r>
              <w:rPr>
                <w:noProof/>
                <w:webHidden/>
              </w:rPr>
              <w:fldChar w:fldCharType="begin"/>
            </w:r>
            <w:r>
              <w:rPr>
                <w:noProof/>
                <w:webHidden/>
              </w:rPr>
              <w:instrText xml:space="preserve"> PAGEREF _Toc171341076 \h </w:instrText>
            </w:r>
            <w:r>
              <w:rPr>
                <w:noProof/>
                <w:webHidden/>
              </w:rPr>
            </w:r>
            <w:r>
              <w:rPr>
                <w:noProof/>
                <w:webHidden/>
              </w:rPr>
              <w:fldChar w:fldCharType="separate"/>
            </w:r>
            <w:r w:rsidR="001F6C35">
              <w:rPr>
                <w:noProof/>
                <w:webHidden/>
              </w:rPr>
              <w:t>16</w:t>
            </w:r>
            <w:r>
              <w:rPr>
                <w:noProof/>
                <w:webHidden/>
              </w:rPr>
              <w:fldChar w:fldCharType="end"/>
            </w:r>
          </w:hyperlink>
        </w:p>
        <w:p w14:paraId="33EB1C82" w14:textId="6DB1A1A4" w:rsidR="00602152" w:rsidRDefault="00602152">
          <w:pPr>
            <w:pStyle w:val="TOC2"/>
            <w:rPr>
              <w:rFonts w:asciiTheme="minorHAnsi" w:hAnsiTheme="minorHAnsi"/>
              <w:noProof/>
              <w:color w:val="auto"/>
              <w:kern w:val="2"/>
              <w:sz w:val="24"/>
              <w:lang w:eastAsia="en-AU"/>
              <w14:ligatures w14:val="standardContextual"/>
            </w:rPr>
          </w:pPr>
          <w:hyperlink w:anchor="_Toc171341077" w:history="1">
            <w:r w:rsidRPr="003836B9">
              <w:rPr>
                <w:rStyle w:val="Hyperlink"/>
                <w:noProof/>
              </w:rPr>
              <w:t>Retention of restrictive and impractical investigation powers</w:t>
            </w:r>
            <w:r>
              <w:rPr>
                <w:noProof/>
                <w:webHidden/>
              </w:rPr>
              <w:tab/>
            </w:r>
            <w:r>
              <w:rPr>
                <w:noProof/>
                <w:webHidden/>
              </w:rPr>
              <w:fldChar w:fldCharType="begin"/>
            </w:r>
            <w:r>
              <w:rPr>
                <w:noProof/>
                <w:webHidden/>
              </w:rPr>
              <w:instrText xml:space="preserve"> PAGEREF _Toc171341077 \h </w:instrText>
            </w:r>
            <w:r>
              <w:rPr>
                <w:noProof/>
                <w:webHidden/>
              </w:rPr>
            </w:r>
            <w:r>
              <w:rPr>
                <w:noProof/>
                <w:webHidden/>
              </w:rPr>
              <w:fldChar w:fldCharType="separate"/>
            </w:r>
            <w:r w:rsidR="001F6C35">
              <w:rPr>
                <w:noProof/>
                <w:webHidden/>
              </w:rPr>
              <w:t>16</w:t>
            </w:r>
            <w:r>
              <w:rPr>
                <w:noProof/>
                <w:webHidden/>
              </w:rPr>
              <w:fldChar w:fldCharType="end"/>
            </w:r>
          </w:hyperlink>
        </w:p>
        <w:p w14:paraId="5DB16411" w14:textId="6CB8B444" w:rsidR="00602152" w:rsidRDefault="00602152">
          <w:pPr>
            <w:pStyle w:val="TOC1"/>
            <w:tabs>
              <w:tab w:val="right" w:leader="dot" w:pos="8296"/>
            </w:tabs>
            <w:rPr>
              <w:rFonts w:asciiTheme="minorHAnsi" w:hAnsiTheme="minorHAnsi"/>
              <w:noProof/>
              <w:color w:val="auto"/>
              <w:kern w:val="2"/>
              <w:sz w:val="24"/>
              <w:lang w:eastAsia="en-AU"/>
              <w14:ligatures w14:val="standardContextual"/>
            </w:rPr>
          </w:pPr>
          <w:hyperlink w:anchor="_Toc171341078" w:history="1">
            <w:r w:rsidRPr="003836B9">
              <w:rPr>
                <w:rStyle w:val="Hyperlink"/>
                <w:noProof/>
              </w:rPr>
              <w:t>Priority reforms for immediate action</w:t>
            </w:r>
            <w:r>
              <w:rPr>
                <w:noProof/>
                <w:webHidden/>
              </w:rPr>
              <w:tab/>
            </w:r>
            <w:r>
              <w:rPr>
                <w:noProof/>
                <w:webHidden/>
              </w:rPr>
              <w:fldChar w:fldCharType="begin"/>
            </w:r>
            <w:r>
              <w:rPr>
                <w:noProof/>
                <w:webHidden/>
              </w:rPr>
              <w:instrText xml:space="preserve"> PAGEREF _Toc171341078 \h </w:instrText>
            </w:r>
            <w:r>
              <w:rPr>
                <w:noProof/>
                <w:webHidden/>
              </w:rPr>
            </w:r>
            <w:r>
              <w:rPr>
                <w:noProof/>
                <w:webHidden/>
              </w:rPr>
              <w:fldChar w:fldCharType="separate"/>
            </w:r>
            <w:r w:rsidR="001F6C35">
              <w:rPr>
                <w:noProof/>
                <w:webHidden/>
              </w:rPr>
              <w:t>17</w:t>
            </w:r>
            <w:r>
              <w:rPr>
                <w:noProof/>
                <w:webHidden/>
              </w:rPr>
              <w:fldChar w:fldCharType="end"/>
            </w:r>
          </w:hyperlink>
        </w:p>
        <w:p w14:paraId="7958CCE5" w14:textId="67A890FE" w:rsidR="00602152" w:rsidRDefault="00602152">
          <w:pPr>
            <w:pStyle w:val="TOC2"/>
            <w:rPr>
              <w:rFonts w:asciiTheme="minorHAnsi" w:hAnsiTheme="minorHAnsi"/>
              <w:noProof/>
              <w:color w:val="auto"/>
              <w:kern w:val="2"/>
              <w:sz w:val="24"/>
              <w:lang w:eastAsia="en-AU"/>
              <w14:ligatures w14:val="standardContextual"/>
            </w:rPr>
          </w:pPr>
          <w:hyperlink w:anchor="_Toc171341079" w:history="1">
            <w:r w:rsidRPr="003836B9">
              <w:rPr>
                <w:rStyle w:val="Hyperlink"/>
                <w:noProof/>
              </w:rPr>
              <w:t>Redefining key concepts</w:t>
            </w:r>
            <w:r>
              <w:rPr>
                <w:noProof/>
                <w:webHidden/>
              </w:rPr>
              <w:tab/>
            </w:r>
            <w:r>
              <w:rPr>
                <w:noProof/>
                <w:webHidden/>
              </w:rPr>
              <w:fldChar w:fldCharType="begin"/>
            </w:r>
            <w:r>
              <w:rPr>
                <w:noProof/>
                <w:webHidden/>
              </w:rPr>
              <w:instrText xml:space="preserve"> PAGEREF _Toc171341079 \h </w:instrText>
            </w:r>
            <w:r>
              <w:rPr>
                <w:noProof/>
                <w:webHidden/>
              </w:rPr>
            </w:r>
            <w:r>
              <w:rPr>
                <w:noProof/>
                <w:webHidden/>
              </w:rPr>
              <w:fldChar w:fldCharType="separate"/>
            </w:r>
            <w:r w:rsidR="001F6C35">
              <w:rPr>
                <w:noProof/>
                <w:webHidden/>
              </w:rPr>
              <w:t>17</w:t>
            </w:r>
            <w:r>
              <w:rPr>
                <w:noProof/>
                <w:webHidden/>
              </w:rPr>
              <w:fldChar w:fldCharType="end"/>
            </w:r>
          </w:hyperlink>
        </w:p>
        <w:p w14:paraId="61871D61" w14:textId="530EC406" w:rsidR="00A16356" w:rsidRPr="005E7FEC" w:rsidRDefault="00602152" w:rsidP="005E7FEC">
          <w:pPr>
            <w:pStyle w:val="TOC1"/>
            <w:tabs>
              <w:tab w:val="right" w:leader="dot" w:pos="8296"/>
            </w:tabs>
            <w:rPr>
              <w:rFonts w:asciiTheme="minorHAnsi" w:hAnsiTheme="minorHAnsi"/>
              <w:noProof/>
              <w:color w:val="auto"/>
              <w:kern w:val="2"/>
              <w:sz w:val="24"/>
              <w:lang w:eastAsia="en-AU"/>
              <w14:ligatures w14:val="standardContextual"/>
            </w:rPr>
          </w:pPr>
          <w:hyperlink w:anchor="_Toc171341080" w:history="1">
            <w:r w:rsidRPr="003836B9">
              <w:rPr>
                <w:rStyle w:val="Hyperlink"/>
                <w:noProof/>
              </w:rPr>
              <w:t>Appendix A</w:t>
            </w:r>
            <w:r>
              <w:rPr>
                <w:noProof/>
                <w:webHidden/>
              </w:rPr>
              <w:tab/>
            </w:r>
            <w:r>
              <w:rPr>
                <w:noProof/>
                <w:webHidden/>
              </w:rPr>
              <w:fldChar w:fldCharType="begin"/>
            </w:r>
            <w:r>
              <w:rPr>
                <w:noProof/>
                <w:webHidden/>
              </w:rPr>
              <w:instrText xml:space="preserve"> PAGEREF _Toc171341080 \h </w:instrText>
            </w:r>
            <w:r>
              <w:rPr>
                <w:noProof/>
                <w:webHidden/>
              </w:rPr>
            </w:r>
            <w:r>
              <w:rPr>
                <w:noProof/>
                <w:webHidden/>
              </w:rPr>
              <w:fldChar w:fldCharType="separate"/>
            </w:r>
            <w:r w:rsidR="001F6C35">
              <w:rPr>
                <w:noProof/>
                <w:webHidden/>
              </w:rPr>
              <w:t>20</w:t>
            </w:r>
            <w:r>
              <w:rPr>
                <w:noProof/>
                <w:webHidden/>
              </w:rPr>
              <w:fldChar w:fldCharType="end"/>
            </w:r>
          </w:hyperlink>
          <w:r w:rsidR="00634E9E">
            <w:rPr>
              <w:rFonts w:cs="Arial"/>
              <w:b/>
              <w:bCs/>
              <w:noProof/>
            </w:rPr>
            <w:fldChar w:fldCharType="end"/>
          </w:r>
        </w:p>
      </w:sdtContent>
    </w:sdt>
    <w:p w14:paraId="177EF153" w14:textId="77777777" w:rsidR="004A2375" w:rsidRDefault="004A2375">
      <w:pPr>
        <w:rPr>
          <w:rFonts w:eastAsiaTheme="majorEastAsia" w:cstheme="majorBidi"/>
          <w:b/>
          <w:color w:val="365F91" w:themeColor="accent1" w:themeShade="BF"/>
          <w:sz w:val="28"/>
          <w:szCs w:val="32"/>
        </w:rPr>
        <w:sectPr w:rsidR="004A2375" w:rsidSect="00A16356">
          <w:footerReference w:type="default" r:id="rId13"/>
          <w:headerReference w:type="first" r:id="rId14"/>
          <w:pgSz w:w="11900" w:h="16840" w:code="9"/>
          <w:pgMar w:top="1440" w:right="1797" w:bottom="1440" w:left="1797" w:header="709" w:footer="709" w:gutter="0"/>
          <w:pgNumType w:start="0"/>
          <w:cols w:space="708"/>
          <w:titlePg/>
          <w:docGrid w:linePitch="360"/>
        </w:sectPr>
      </w:pPr>
    </w:p>
    <w:p w14:paraId="26634000" w14:textId="2565D5D5" w:rsidR="00DC7EB5" w:rsidRPr="00DC7EB5" w:rsidRDefault="00DC7EB5" w:rsidP="00DC7EB5">
      <w:pPr>
        <w:keepNext/>
        <w:keepLines/>
        <w:spacing w:before="240" w:after="240"/>
        <w:outlineLvl w:val="0"/>
        <w:rPr>
          <w:rFonts w:eastAsia="MS Gothic" w:cs="Angsana New"/>
          <w:color w:val="004270"/>
          <w:sz w:val="48"/>
          <w:szCs w:val="32"/>
        </w:rPr>
      </w:pPr>
      <w:bookmarkStart w:id="5" w:name="_Toc163720791"/>
      <w:bookmarkStart w:id="6" w:name="_Toc166839045"/>
      <w:bookmarkStart w:id="7" w:name="_Toc171341063"/>
      <w:r w:rsidRPr="00DC7EB5">
        <w:rPr>
          <w:rFonts w:eastAsia="MS Gothic" w:cs="Angsana New"/>
          <w:color w:val="004270"/>
          <w:sz w:val="48"/>
          <w:szCs w:val="32"/>
        </w:rPr>
        <w:t>About the Commission</w:t>
      </w:r>
      <w:bookmarkEnd w:id="5"/>
      <w:bookmarkEnd w:id="6"/>
      <w:bookmarkEnd w:id="7"/>
    </w:p>
    <w:p w14:paraId="489B0456" w14:textId="4010627D" w:rsidR="00DC7EB5" w:rsidRDefault="00DC7EB5" w:rsidP="000B74EB">
      <w:pPr>
        <w:pStyle w:val="Numberedparagraph"/>
        <w:numPr>
          <w:ilvl w:val="0"/>
          <w:numId w:val="1"/>
        </w:numPr>
        <w:spacing w:line="240" w:lineRule="auto"/>
        <w:ind w:left="567" w:hanging="567"/>
        <w:rPr>
          <w:lang w:val="en-US"/>
        </w:rPr>
      </w:pPr>
      <w:r w:rsidRPr="00DC7EB5">
        <w:rPr>
          <w:lang w:val="en-US"/>
        </w:rPr>
        <w:t xml:space="preserve">The </w:t>
      </w:r>
      <w:r w:rsidRPr="009C1C67">
        <w:rPr>
          <w:color w:val="auto"/>
        </w:rPr>
        <w:t>Queensland</w:t>
      </w:r>
      <w:r w:rsidRPr="00DC7EB5">
        <w:rPr>
          <w:lang w:val="en-US"/>
        </w:rPr>
        <w:t xml:space="preserve"> Human Rights Commission (</w:t>
      </w:r>
      <w:r w:rsidRPr="00DC7EB5">
        <w:rPr>
          <w:b/>
          <w:bCs/>
          <w:lang w:val="en-US"/>
        </w:rPr>
        <w:t>the Commission</w:t>
      </w:r>
      <w:r w:rsidRPr="00DC7EB5">
        <w:rPr>
          <w:lang w:val="en-US"/>
        </w:rPr>
        <w:t xml:space="preserve">) is an independent statutory body with functions under the </w:t>
      </w:r>
      <w:r w:rsidRPr="00DC7EB5">
        <w:rPr>
          <w:i/>
          <w:iCs/>
          <w:lang w:val="en-US"/>
        </w:rPr>
        <w:t>Anti-Discrimination Act 1991</w:t>
      </w:r>
      <w:r w:rsidRPr="00DC7EB5">
        <w:rPr>
          <w:lang w:val="en-US"/>
        </w:rPr>
        <w:t> (Qld) (</w:t>
      </w:r>
      <w:r w:rsidRPr="00DC7EB5">
        <w:rPr>
          <w:b/>
          <w:bCs/>
          <w:lang w:val="en-US"/>
        </w:rPr>
        <w:t>Anti-Discrimination Act</w:t>
      </w:r>
      <w:r w:rsidRPr="00DC7EB5">
        <w:rPr>
          <w:lang w:val="en-US"/>
        </w:rPr>
        <w:t xml:space="preserve">) and the </w:t>
      </w:r>
      <w:r w:rsidRPr="00DC7EB5">
        <w:rPr>
          <w:i/>
          <w:iCs/>
          <w:lang w:val="en-US"/>
        </w:rPr>
        <w:t xml:space="preserve">Human Rights Act 2019 </w:t>
      </w:r>
      <w:r w:rsidRPr="00DC7EB5">
        <w:rPr>
          <w:lang w:val="en-US"/>
        </w:rPr>
        <w:t>(Qld)</w:t>
      </w:r>
      <w:r w:rsidRPr="00DC7EB5">
        <w:rPr>
          <w:i/>
          <w:iCs/>
          <w:lang w:val="en-US"/>
        </w:rPr>
        <w:t xml:space="preserve"> </w:t>
      </w:r>
      <w:r w:rsidRPr="00DC7EB5">
        <w:rPr>
          <w:lang w:val="en-US"/>
        </w:rPr>
        <w:t>(</w:t>
      </w:r>
      <w:r w:rsidRPr="00DC7EB5">
        <w:rPr>
          <w:b/>
          <w:bCs/>
          <w:lang w:val="en-US"/>
        </w:rPr>
        <w:t>Human Rights Act</w:t>
      </w:r>
      <w:r w:rsidRPr="00DC7EB5">
        <w:rPr>
          <w:lang w:val="en-US"/>
        </w:rPr>
        <w:t xml:space="preserve">) including dealing with complaints of discrimination and contraventions of the Human Rights Act, and promoting an understanding, acceptance, and public discussion of human rights in Queensland. </w:t>
      </w:r>
    </w:p>
    <w:p w14:paraId="5439341F" w14:textId="3583E2C5" w:rsidR="002C2798" w:rsidRPr="00DC7EB5" w:rsidRDefault="002C2798" w:rsidP="002C2798">
      <w:pPr>
        <w:keepNext/>
        <w:keepLines/>
        <w:spacing w:before="240" w:after="240"/>
        <w:outlineLvl w:val="0"/>
        <w:rPr>
          <w:rFonts w:eastAsia="MS Gothic" w:cs="Angsana New"/>
          <w:color w:val="004270"/>
          <w:sz w:val="36"/>
          <w:szCs w:val="32"/>
          <w:lang w:val="en-US"/>
        </w:rPr>
      </w:pPr>
      <w:bookmarkStart w:id="8" w:name="_Toc171341064"/>
      <w:r w:rsidRPr="00DC7EB5">
        <w:rPr>
          <w:rFonts w:eastAsia="MS Gothic" w:cs="Angsana New"/>
          <w:color w:val="004270"/>
          <w:sz w:val="48"/>
          <w:szCs w:val="32"/>
          <w:lang w:val="en-US"/>
        </w:rPr>
        <w:t>Introduction</w:t>
      </w:r>
      <w:bookmarkEnd w:id="8"/>
    </w:p>
    <w:p w14:paraId="442B8864" w14:textId="347E2437" w:rsidR="001C0269" w:rsidRPr="009C1C67" w:rsidRDefault="002C2798" w:rsidP="00284D9A">
      <w:pPr>
        <w:pStyle w:val="Numberedparagraph"/>
        <w:numPr>
          <w:ilvl w:val="0"/>
          <w:numId w:val="1"/>
        </w:numPr>
        <w:spacing w:line="240" w:lineRule="auto"/>
        <w:ind w:left="567" w:hanging="567"/>
        <w:rPr>
          <w:lang w:val="en-US"/>
        </w:rPr>
      </w:pPr>
      <w:r w:rsidRPr="002C2798">
        <w:rPr>
          <w:lang w:val="en-US"/>
        </w:rPr>
        <w:t xml:space="preserve">This is a submission to the Community Safety and Legal Affairs Committee to inform their consideration of the </w:t>
      </w:r>
      <w:r w:rsidR="00CE72B7">
        <w:t>Respect at Work and Other Matters Amendment Bill</w:t>
      </w:r>
      <w:r w:rsidRPr="002C2798">
        <w:t xml:space="preserve"> </w:t>
      </w:r>
      <w:r w:rsidR="00164755">
        <w:t>2024</w:t>
      </w:r>
      <w:r w:rsidRPr="002C2798">
        <w:t xml:space="preserve"> </w:t>
      </w:r>
      <w:r w:rsidRPr="002C2798">
        <w:rPr>
          <w:lang w:val="en-US"/>
        </w:rPr>
        <w:t>(</w:t>
      </w:r>
      <w:r w:rsidRPr="002C2798">
        <w:rPr>
          <w:b/>
          <w:bCs/>
          <w:lang w:val="en-US"/>
        </w:rPr>
        <w:t>the Bill</w:t>
      </w:r>
      <w:r w:rsidRPr="002C2798">
        <w:rPr>
          <w:lang w:val="en-US"/>
        </w:rPr>
        <w:t>).</w:t>
      </w:r>
    </w:p>
    <w:p w14:paraId="4FA3CAEF" w14:textId="2B04EA60" w:rsidR="0049643C" w:rsidRPr="00AC3125" w:rsidRDefault="001C0269" w:rsidP="00284D9A">
      <w:pPr>
        <w:pStyle w:val="Numberedparagraph"/>
        <w:numPr>
          <w:ilvl w:val="0"/>
          <w:numId w:val="1"/>
        </w:numPr>
        <w:spacing w:line="240" w:lineRule="auto"/>
        <w:ind w:left="567" w:hanging="567"/>
        <w:rPr>
          <w:lang w:val="en-US"/>
        </w:rPr>
      </w:pPr>
      <w:r>
        <w:rPr>
          <w:lang w:val="en-US"/>
        </w:rPr>
        <w:t xml:space="preserve">The submission </w:t>
      </w:r>
      <w:r w:rsidR="00C41E7C">
        <w:rPr>
          <w:lang w:val="en-US"/>
        </w:rPr>
        <w:t>includes</w:t>
      </w:r>
      <w:r w:rsidR="0049643C">
        <w:rPr>
          <w:lang w:val="en-US"/>
        </w:rPr>
        <w:t>:</w:t>
      </w:r>
    </w:p>
    <w:p w14:paraId="1597FF21" w14:textId="14B7AD64" w:rsidR="00470F47" w:rsidRPr="00470F47" w:rsidRDefault="00490AE7" w:rsidP="00284D9A">
      <w:pPr>
        <w:pStyle w:val="ListParagraph"/>
        <w:numPr>
          <w:ilvl w:val="0"/>
          <w:numId w:val="45"/>
        </w:numPr>
        <w:spacing w:before="120" w:after="240" w:line="276" w:lineRule="auto"/>
        <w:rPr>
          <w:rFonts w:cs="Arial"/>
          <w:lang w:val="en-US"/>
        </w:rPr>
      </w:pPr>
      <w:r>
        <w:rPr>
          <w:rFonts w:cs="Arial"/>
          <w:lang w:val="en-US"/>
        </w:rPr>
        <w:t>high</w:t>
      </w:r>
      <w:r w:rsidR="0049643C">
        <w:rPr>
          <w:rFonts w:cs="Arial"/>
          <w:lang w:val="en-US"/>
        </w:rPr>
        <w:t xml:space="preserve"> priority </w:t>
      </w:r>
      <w:r w:rsidR="00C41E7C">
        <w:rPr>
          <w:rFonts w:cs="Arial"/>
          <w:lang w:val="en-US"/>
        </w:rPr>
        <w:t>issues</w:t>
      </w:r>
      <w:r w:rsidR="0049643C">
        <w:rPr>
          <w:rFonts w:cs="Arial"/>
          <w:lang w:val="en-US"/>
        </w:rPr>
        <w:t xml:space="preserve"> </w:t>
      </w:r>
      <w:r w:rsidR="00706DFA">
        <w:rPr>
          <w:rFonts w:cs="Arial"/>
          <w:lang w:val="en-US"/>
        </w:rPr>
        <w:t>that necessitate</w:t>
      </w:r>
      <w:r w:rsidR="0049643C">
        <w:rPr>
          <w:rFonts w:cs="Arial"/>
          <w:lang w:val="en-US"/>
        </w:rPr>
        <w:t xml:space="preserve"> amendments</w:t>
      </w:r>
      <w:r w:rsidR="00706DFA">
        <w:rPr>
          <w:rFonts w:cs="Arial"/>
          <w:lang w:val="en-US"/>
        </w:rPr>
        <w:t xml:space="preserve"> to the Bill</w:t>
      </w:r>
    </w:p>
    <w:p w14:paraId="48DAA97C" w14:textId="1D2914DE" w:rsidR="00490AE7" w:rsidRDefault="00FF159F" w:rsidP="00284D9A">
      <w:pPr>
        <w:pStyle w:val="ListParagraph"/>
        <w:numPr>
          <w:ilvl w:val="0"/>
          <w:numId w:val="45"/>
        </w:numPr>
        <w:spacing w:before="120" w:after="240" w:line="276" w:lineRule="auto"/>
        <w:rPr>
          <w:rFonts w:cs="Arial"/>
          <w:lang w:val="en-US"/>
        </w:rPr>
      </w:pPr>
      <w:r>
        <w:rPr>
          <w:rFonts w:cs="Arial"/>
          <w:lang w:val="en-US"/>
        </w:rPr>
        <w:t>p</w:t>
      </w:r>
      <w:r w:rsidR="00CE64E4">
        <w:rPr>
          <w:rFonts w:cs="Arial"/>
          <w:lang w:val="en-US"/>
        </w:rPr>
        <w:t>riority</w:t>
      </w:r>
      <w:r w:rsidR="0010529B">
        <w:rPr>
          <w:rFonts w:cs="Arial"/>
          <w:lang w:val="en-US"/>
        </w:rPr>
        <w:t xml:space="preserve"> </w:t>
      </w:r>
      <w:r>
        <w:rPr>
          <w:rFonts w:cs="Arial"/>
          <w:lang w:val="en-US"/>
        </w:rPr>
        <w:t xml:space="preserve">reforms </w:t>
      </w:r>
      <w:r w:rsidR="00490AE7">
        <w:rPr>
          <w:rFonts w:cs="Arial"/>
          <w:lang w:val="en-US"/>
        </w:rPr>
        <w:t xml:space="preserve">from </w:t>
      </w:r>
      <w:r w:rsidR="00CE64E4">
        <w:rPr>
          <w:rFonts w:cs="Arial"/>
          <w:i/>
          <w:iCs/>
          <w:lang w:val="en-US"/>
        </w:rPr>
        <w:t xml:space="preserve">Building Belonging </w:t>
      </w:r>
      <w:r w:rsidR="00490AE7">
        <w:rPr>
          <w:rFonts w:cs="Arial"/>
          <w:lang w:val="en-US"/>
        </w:rPr>
        <w:t>that</w:t>
      </w:r>
      <w:r w:rsidR="00A40E9A">
        <w:rPr>
          <w:rFonts w:cs="Arial"/>
          <w:lang w:val="en-US"/>
        </w:rPr>
        <w:t xml:space="preserve"> require immediate action to strengthen and improve Queensland discrimination laws</w:t>
      </w:r>
    </w:p>
    <w:p w14:paraId="549A407C" w14:textId="166B1C45" w:rsidR="00490AE7" w:rsidRDefault="00490AE7" w:rsidP="00490AE7">
      <w:pPr>
        <w:pStyle w:val="ListParagraph"/>
        <w:numPr>
          <w:ilvl w:val="0"/>
          <w:numId w:val="45"/>
        </w:numPr>
        <w:spacing w:before="120" w:after="240" w:line="276" w:lineRule="auto"/>
        <w:rPr>
          <w:rFonts w:cs="Arial"/>
          <w:lang w:val="en-US"/>
        </w:rPr>
      </w:pPr>
      <w:r>
        <w:rPr>
          <w:rFonts w:cs="Arial"/>
          <w:lang w:val="en-US"/>
        </w:rPr>
        <w:t>commentary on further key aspects of the Bill</w:t>
      </w:r>
      <w:r w:rsidR="009C5A95">
        <w:rPr>
          <w:rFonts w:cs="Arial"/>
          <w:lang w:val="en-US"/>
        </w:rPr>
        <w:t>.</w:t>
      </w:r>
    </w:p>
    <w:p w14:paraId="66576EBE" w14:textId="1FDD96B3" w:rsidR="002E5DAE" w:rsidRPr="009C1C67" w:rsidRDefault="0000065F" w:rsidP="00183584">
      <w:pPr>
        <w:spacing w:before="120" w:after="240" w:line="276" w:lineRule="auto"/>
        <w:rPr>
          <w:lang w:val="en-US"/>
        </w:rPr>
      </w:pPr>
      <w:r w:rsidRPr="00183584">
        <w:rPr>
          <w:rFonts w:eastAsiaTheme="majorEastAsia" w:cstheme="majorBidi"/>
          <w:color w:val="004270"/>
          <w:sz w:val="32"/>
        </w:rPr>
        <w:t>The Committee should recommend the Bill be passed</w:t>
      </w:r>
    </w:p>
    <w:p w14:paraId="3619E8B2" w14:textId="5B0255A9" w:rsidR="002E5DAE" w:rsidRPr="009C1C67" w:rsidRDefault="002E5DAE" w:rsidP="00284D9A">
      <w:pPr>
        <w:pStyle w:val="Numberedparagraph"/>
        <w:numPr>
          <w:ilvl w:val="0"/>
          <w:numId w:val="1"/>
        </w:numPr>
        <w:spacing w:line="240" w:lineRule="auto"/>
        <w:ind w:left="567" w:hanging="567"/>
        <w:rPr>
          <w:lang w:val="en-US"/>
        </w:rPr>
      </w:pPr>
      <w:r w:rsidRPr="002E5DAE">
        <w:rPr>
          <w:lang w:val="en-US"/>
        </w:rPr>
        <w:t xml:space="preserve">The Commission supports the passage of the Bill </w:t>
      </w:r>
      <w:r w:rsidR="0050196F">
        <w:rPr>
          <w:lang w:val="en-US"/>
        </w:rPr>
        <w:t xml:space="preserve">but </w:t>
      </w:r>
      <w:r w:rsidRPr="002E5DAE">
        <w:rPr>
          <w:lang w:val="en-US"/>
        </w:rPr>
        <w:t>recommend</w:t>
      </w:r>
      <w:r w:rsidR="00F73C24">
        <w:rPr>
          <w:lang w:val="en-US"/>
        </w:rPr>
        <w:t>s</w:t>
      </w:r>
      <w:r>
        <w:rPr>
          <w:lang w:val="en-US"/>
        </w:rPr>
        <w:t xml:space="preserve"> </w:t>
      </w:r>
      <w:r w:rsidR="005E6FF3">
        <w:rPr>
          <w:lang w:val="en-US"/>
        </w:rPr>
        <w:t xml:space="preserve">amendments that will improve the </w:t>
      </w:r>
      <w:r w:rsidR="00A81747">
        <w:rPr>
          <w:lang w:val="en-US"/>
        </w:rPr>
        <w:t xml:space="preserve">effectiveness of </w:t>
      </w:r>
      <w:r w:rsidR="007C13FD">
        <w:rPr>
          <w:lang w:val="en-US"/>
        </w:rPr>
        <w:t>proposed changes</w:t>
      </w:r>
      <w:r w:rsidR="0004008E">
        <w:rPr>
          <w:lang w:val="en-US"/>
        </w:rPr>
        <w:t xml:space="preserve"> to the Anti-Discrimination Act</w:t>
      </w:r>
      <w:r w:rsidR="007C13FD">
        <w:rPr>
          <w:lang w:val="en-US"/>
        </w:rPr>
        <w:t>.</w:t>
      </w:r>
      <w:r w:rsidRPr="002E5DAE">
        <w:rPr>
          <w:lang w:val="en-US"/>
        </w:rPr>
        <w:t xml:space="preserve"> </w:t>
      </w:r>
    </w:p>
    <w:p w14:paraId="6B962E60" w14:textId="1EEBD955" w:rsidR="00830841" w:rsidRPr="009C1C67" w:rsidRDefault="00FD405E" w:rsidP="00284D9A">
      <w:pPr>
        <w:pStyle w:val="Numberedparagraph"/>
        <w:numPr>
          <w:ilvl w:val="0"/>
          <w:numId w:val="1"/>
        </w:numPr>
        <w:spacing w:before="240" w:line="240" w:lineRule="auto"/>
        <w:ind w:left="567" w:hanging="567"/>
        <w:rPr>
          <w:lang w:val="en-US"/>
        </w:rPr>
      </w:pPr>
      <w:r w:rsidRPr="00F11840">
        <w:rPr>
          <w:lang w:val="en-US"/>
        </w:rPr>
        <w:t xml:space="preserve">The Bill </w:t>
      </w:r>
      <w:r w:rsidR="00F11840" w:rsidRPr="00F11840">
        <w:rPr>
          <w:lang w:val="en-US"/>
        </w:rPr>
        <w:t xml:space="preserve">implements </w:t>
      </w:r>
      <w:r w:rsidR="00AA3DD0">
        <w:rPr>
          <w:lang w:val="en-US"/>
        </w:rPr>
        <w:t>some</w:t>
      </w:r>
      <w:r w:rsidR="00AA3DD0" w:rsidRPr="00F11840">
        <w:rPr>
          <w:lang w:val="en-US"/>
        </w:rPr>
        <w:t xml:space="preserve"> </w:t>
      </w:r>
      <w:r w:rsidR="00F11840" w:rsidRPr="00F11840">
        <w:rPr>
          <w:lang w:val="en-US"/>
        </w:rPr>
        <w:t>recommendations of the Commission’s report</w:t>
      </w:r>
      <w:r w:rsidR="00113F76">
        <w:rPr>
          <w:lang w:val="en-US"/>
        </w:rPr>
        <w:t xml:space="preserve"> on its</w:t>
      </w:r>
      <w:r w:rsidR="003102C4">
        <w:rPr>
          <w:lang w:val="en-US"/>
        </w:rPr>
        <w:t xml:space="preserve"> 2021-22</w:t>
      </w:r>
      <w:r w:rsidR="00113F76">
        <w:rPr>
          <w:lang w:val="en-US"/>
        </w:rPr>
        <w:t xml:space="preserve"> review </w:t>
      </w:r>
      <w:r w:rsidR="001B38A0">
        <w:rPr>
          <w:lang w:val="en-US"/>
        </w:rPr>
        <w:t>of</w:t>
      </w:r>
      <w:r w:rsidR="00113F76">
        <w:rPr>
          <w:lang w:val="en-US"/>
        </w:rPr>
        <w:t xml:space="preserve"> discrimination laws in Queensland</w:t>
      </w:r>
      <w:r w:rsidR="001B38A0">
        <w:rPr>
          <w:lang w:val="en-US"/>
        </w:rPr>
        <w:t xml:space="preserve"> (</w:t>
      </w:r>
      <w:r w:rsidR="001B38A0">
        <w:rPr>
          <w:i/>
          <w:iCs/>
          <w:lang w:val="en-US"/>
        </w:rPr>
        <w:t>Building Belonging)</w:t>
      </w:r>
      <w:r w:rsidR="00F11840" w:rsidRPr="00F11840">
        <w:rPr>
          <w:lang w:val="en-US"/>
        </w:rPr>
        <w:t>.</w:t>
      </w:r>
      <w:r w:rsidR="00363118" w:rsidRPr="007222D0">
        <w:rPr>
          <w:vertAlign w:val="superscript"/>
        </w:rPr>
        <w:footnoteReference w:id="2"/>
      </w:r>
      <w:r w:rsidR="00F11840" w:rsidRPr="007222D0">
        <w:rPr>
          <w:vertAlign w:val="superscript"/>
          <w:lang w:val="en-US"/>
        </w:rPr>
        <w:t xml:space="preserve"> </w:t>
      </w:r>
    </w:p>
    <w:p w14:paraId="0D41F97E" w14:textId="40F8C5E5" w:rsidR="001A11C6" w:rsidRPr="009C1C67" w:rsidRDefault="00830841" w:rsidP="00284D9A">
      <w:pPr>
        <w:pStyle w:val="Numberedparagraph"/>
        <w:numPr>
          <w:ilvl w:val="0"/>
          <w:numId w:val="1"/>
        </w:numPr>
        <w:spacing w:line="240" w:lineRule="auto"/>
        <w:ind w:left="567" w:hanging="567"/>
      </w:pPr>
      <w:r w:rsidRPr="009C1C67">
        <w:rPr>
          <w:lang w:val="en-US"/>
        </w:rPr>
        <w:t>While</w:t>
      </w:r>
      <w:r>
        <w:t xml:space="preserve"> these </w:t>
      </w:r>
      <w:r w:rsidR="00A62ADC">
        <w:t xml:space="preserve">proposed amendments </w:t>
      </w:r>
      <w:r>
        <w:t xml:space="preserve">are welcome, the Bill </w:t>
      </w:r>
      <w:r w:rsidR="007C13FD">
        <w:t>does not</w:t>
      </w:r>
      <w:r>
        <w:t xml:space="preserve"> address foundational issues </w:t>
      </w:r>
      <w:r w:rsidR="00352BD6">
        <w:t xml:space="preserve">that </w:t>
      </w:r>
      <w:r w:rsidR="00352BD6">
        <w:rPr>
          <w:i/>
          <w:iCs/>
        </w:rPr>
        <w:t xml:space="preserve">Building Belonging </w:t>
      </w:r>
      <w:r w:rsidR="00FC3355">
        <w:t>addressed</w:t>
      </w:r>
      <w:r w:rsidR="00352BD6">
        <w:t>.</w:t>
      </w:r>
    </w:p>
    <w:p w14:paraId="75BA6C54" w14:textId="786CC13E" w:rsidR="00275B66" w:rsidRPr="00F77814" w:rsidRDefault="00CC19A1" w:rsidP="00F77814">
      <w:pPr>
        <w:pStyle w:val="Heading2"/>
      </w:pPr>
      <w:bookmarkStart w:id="9" w:name="_Toc171341065"/>
      <w:r>
        <w:t>Remaining</w:t>
      </w:r>
      <w:r w:rsidR="001C3290">
        <w:t xml:space="preserve"> </w:t>
      </w:r>
      <w:r w:rsidR="001A11C6" w:rsidRPr="002B6EB2">
        <w:rPr>
          <w:i/>
        </w:rPr>
        <w:t>Building Belonging</w:t>
      </w:r>
      <w:r w:rsidR="001A11C6">
        <w:t xml:space="preserve"> </w:t>
      </w:r>
      <w:r>
        <w:t xml:space="preserve">recommendations should be </w:t>
      </w:r>
      <w:r w:rsidR="001C3290">
        <w:t>implemented</w:t>
      </w:r>
      <w:r w:rsidR="001A11C6">
        <w:t xml:space="preserve"> </w:t>
      </w:r>
      <w:r w:rsidR="000C10B0">
        <w:t>without delay</w:t>
      </w:r>
      <w:bookmarkEnd w:id="9"/>
    </w:p>
    <w:p w14:paraId="19639F07" w14:textId="6DBD35DB" w:rsidR="00DA403B" w:rsidRPr="009C1C67" w:rsidRDefault="00D83508" w:rsidP="00284D9A">
      <w:pPr>
        <w:pStyle w:val="Numberedparagraph"/>
        <w:numPr>
          <w:ilvl w:val="0"/>
          <w:numId w:val="1"/>
        </w:numPr>
        <w:spacing w:line="240" w:lineRule="auto"/>
        <w:ind w:left="567" w:hanging="567"/>
      </w:pPr>
      <w:r>
        <w:t>In May 2021, the Attorney</w:t>
      </w:r>
      <w:r w:rsidR="0020356E">
        <w:t>-</w:t>
      </w:r>
      <w:r>
        <w:t xml:space="preserve">General </w:t>
      </w:r>
      <w:r w:rsidR="00CA5DE7">
        <w:t xml:space="preserve">asked </w:t>
      </w:r>
      <w:r>
        <w:t xml:space="preserve">the Commission </w:t>
      </w:r>
      <w:r w:rsidR="00734E8C">
        <w:t xml:space="preserve">to </w:t>
      </w:r>
      <w:r>
        <w:t xml:space="preserve">undertake a review of the Anti-Discrimination Act </w:t>
      </w:r>
      <w:r w:rsidR="0020356E">
        <w:t>–</w:t>
      </w:r>
      <w:r>
        <w:t xml:space="preserve"> the first holistic consideration of the Act since its introduction more than 30 years ago. Following a comprehensive 14-month consultation and review, the Commission published its final report</w:t>
      </w:r>
      <w:r w:rsidR="00873B77">
        <w:t>,</w:t>
      </w:r>
      <w:r>
        <w:t xml:space="preserve"> </w:t>
      </w:r>
      <w:r w:rsidRPr="00441035">
        <w:rPr>
          <w:i/>
        </w:rPr>
        <w:t>Building Belonging</w:t>
      </w:r>
      <w:r>
        <w:t>, which was tabled in parliament in September 2022.</w:t>
      </w:r>
      <w:r w:rsidR="00441035">
        <w:rPr>
          <w:rStyle w:val="FootnoteReference"/>
        </w:rPr>
        <w:footnoteReference w:id="3"/>
      </w:r>
    </w:p>
    <w:p w14:paraId="064C05D1" w14:textId="642FE3F1" w:rsidR="0064115B" w:rsidRPr="0064115B" w:rsidRDefault="00DA403B" w:rsidP="00284D9A">
      <w:pPr>
        <w:pStyle w:val="Numberedparagraph"/>
        <w:numPr>
          <w:ilvl w:val="0"/>
          <w:numId w:val="1"/>
        </w:numPr>
        <w:spacing w:line="240" w:lineRule="auto"/>
        <w:ind w:left="567" w:hanging="567"/>
      </w:pPr>
      <w:r w:rsidRPr="00DA403B">
        <w:lastRenderedPageBreak/>
        <w:t xml:space="preserve">The review conducted extensive consultation and research including more than 120 stakeholder consultations, 4 public consultations, 6 roundtables, 159 written submissions, and an online survey which received 1,109 responses. </w:t>
      </w:r>
    </w:p>
    <w:p w14:paraId="29023032" w14:textId="269F4BE0" w:rsidR="00FA5079" w:rsidRDefault="00FD405E" w:rsidP="00284D9A">
      <w:pPr>
        <w:pStyle w:val="Numberedparagraph"/>
        <w:numPr>
          <w:ilvl w:val="0"/>
          <w:numId w:val="1"/>
        </w:numPr>
        <w:spacing w:line="240" w:lineRule="auto"/>
        <w:ind w:left="567" w:hanging="567"/>
      </w:pPr>
      <w:r w:rsidRPr="00F11840">
        <w:rPr>
          <w:i/>
          <w:iCs/>
        </w:rPr>
        <w:t>Building Belonging</w:t>
      </w:r>
      <w:r w:rsidR="001D1B35">
        <w:rPr>
          <w:i/>
          <w:iCs/>
        </w:rPr>
        <w:t xml:space="preserve"> </w:t>
      </w:r>
      <w:r w:rsidRPr="00F11840">
        <w:t xml:space="preserve">called for significant reforms including the introduction of a positive duty </w:t>
      </w:r>
      <w:r w:rsidR="00500FB2">
        <w:t>on</w:t>
      </w:r>
      <w:r w:rsidRPr="00F11840">
        <w:t xml:space="preserve"> organisations to eliminate discrimination, the redefinition and expansion of protected attributes, and the recognition of intersectional discrimination. </w:t>
      </w:r>
      <w:r w:rsidRPr="00FA5079">
        <w:t xml:space="preserve">Changes to legal definitions and the complaint process were also </w:t>
      </w:r>
      <w:r w:rsidR="00F13397">
        <w:t>recommended to</w:t>
      </w:r>
      <w:r w:rsidRPr="00FA5079">
        <w:t xml:space="preserve"> simplify the legal framework for the benefit of both complainants and duty holders, making it more accessible and effective, and improving access to justice.</w:t>
      </w:r>
    </w:p>
    <w:p w14:paraId="21AB6962" w14:textId="3DA17B8E" w:rsidR="00DA403B" w:rsidRDefault="00FA5079" w:rsidP="00284D9A">
      <w:pPr>
        <w:pStyle w:val="Numberedparagraph"/>
        <w:numPr>
          <w:ilvl w:val="0"/>
          <w:numId w:val="1"/>
        </w:numPr>
        <w:spacing w:line="240" w:lineRule="auto"/>
        <w:ind w:left="567" w:hanging="567"/>
      </w:pPr>
      <w:r w:rsidRPr="009C1C67">
        <w:rPr>
          <w:i/>
          <w:iCs/>
        </w:rPr>
        <w:t>Building Belonging</w:t>
      </w:r>
      <w:r w:rsidR="00FD405E" w:rsidRPr="00FA5079">
        <w:t xml:space="preserve"> </w:t>
      </w:r>
      <w:r w:rsidR="001D1B35">
        <w:t>recommended a</w:t>
      </w:r>
      <w:r w:rsidR="00FD405E" w:rsidRPr="00FA5079">
        <w:t xml:space="preserve"> comprehensive overhaul of the Anti-Discrimination Act, </w:t>
      </w:r>
      <w:r w:rsidR="00C6411A">
        <w:t>and that</w:t>
      </w:r>
      <w:r w:rsidR="00C6411A" w:rsidRPr="00FA5079">
        <w:t xml:space="preserve"> </w:t>
      </w:r>
      <w:r w:rsidR="00895FAA">
        <w:t>the Act be repealed and replaced</w:t>
      </w:r>
      <w:r w:rsidR="001D1B35">
        <w:t xml:space="preserve"> with a</w:t>
      </w:r>
      <w:r w:rsidR="00FD405E" w:rsidRPr="00FA5079">
        <w:t xml:space="preserve"> new Act that aligns with contemporary </w:t>
      </w:r>
      <w:r w:rsidR="00897E81">
        <w:t>needs and expectations</w:t>
      </w:r>
      <w:r w:rsidR="00FD405E" w:rsidRPr="00FA5079">
        <w:t xml:space="preserve"> and </w:t>
      </w:r>
      <w:r w:rsidR="00895FAA">
        <w:t xml:space="preserve">with </w:t>
      </w:r>
      <w:r w:rsidR="006609C0">
        <w:t>the Human Rights Act</w:t>
      </w:r>
      <w:r w:rsidR="00FD405E" w:rsidRPr="00FA5079">
        <w:t xml:space="preserve">. </w:t>
      </w:r>
    </w:p>
    <w:p w14:paraId="1DBD18FD" w14:textId="0E148B31" w:rsidR="00566785" w:rsidRDefault="00FD405E" w:rsidP="00284D9A">
      <w:pPr>
        <w:pStyle w:val="Numberedparagraph"/>
        <w:numPr>
          <w:ilvl w:val="0"/>
          <w:numId w:val="1"/>
        </w:numPr>
        <w:spacing w:line="240" w:lineRule="auto"/>
        <w:ind w:left="567" w:hanging="567"/>
      </w:pPr>
      <w:r w:rsidRPr="009C1C67">
        <w:t xml:space="preserve">The final report was delivered to the Attorney-General in July 2022. </w:t>
      </w:r>
      <w:r w:rsidR="00DA403B" w:rsidRPr="00DA403B">
        <w:t xml:space="preserve">When tabling the report in the Queensland Parliament, the then Attorney-General described the review as </w:t>
      </w:r>
      <w:r w:rsidR="00E1684B">
        <w:t>‘</w:t>
      </w:r>
      <w:r w:rsidR="00DA403B" w:rsidRPr="00DA403B">
        <w:t>comprehensive, consultative, inclusive and evidence-based</w:t>
      </w:r>
      <w:r w:rsidR="00DA403B">
        <w:t>.</w:t>
      </w:r>
      <w:r w:rsidR="00E1684B">
        <w:t>’</w:t>
      </w:r>
    </w:p>
    <w:p w14:paraId="02EC6E3B" w14:textId="649DE4D6" w:rsidR="006609C0" w:rsidRDefault="00FD405E" w:rsidP="00284D9A">
      <w:pPr>
        <w:pStyle w:val="Numberedparagraph"/>
        <w:numPr>
          <w:ilvl w:val="0"/>
          <w:numId w:val="1"/>
        </w:numPr>
        <w:spacing w:line="240" w:lineRule="auto"/>
        <w:ind w:left="567" w:hanging="567"/>
      </w:pPr>
      <w:r w:rsidRPr="009C1C67">
        <w:t>In response, the Queensland Government support</w:t>
      </w:r>
      <w:r w:rsidR="00566785">
        <w:t>ed</w:t>
      </w:r>
      <w:r w:rsidRPr="00FA5079">
        <w:t xml:space="preserve"> </w:t>
      </w:r>
      <w:r w:rsidR="00566785">
        <w:t>in-principle</w:t>
      </w:r>
      <w:r w:rsidR="00566785" w:rsidRPr="00FA5079">
        <w:t xml:space="preserve"> </w:t>
      </w:r>
      <w:r w:rsidRPr="00FA5079">
        <w:t xml:space="preserve">all recommendations and </w:t>
      </w:r>
      <w:r w:rsidR="00921F1B">
        <w:t>committed</w:t>
      </w:r>
      <w:r w:rsidRPr="00FA5079">
        <w:t xml:space="preserve"> to </w:t>
      </w:r>
      <w:r w:rsidR="00091A66">
        <w:t xml:space="preserve">a Bill to repeal and replace the </w:t>
      </w:r>
      <w:r w:rsidR="00091A66" w:rsidRPr="00BF5F94">
        <w:rPr>
          <w:i/>
        </w:rPr>
        <w:t>Anti-Discrimination Act 1991</w:t>
      </w:r>
      <w:r w:rsidRPr="00FA5079">
        <w:t xml:space="preserve"> in the current term of government.</w:t>
      </w:r>
      <w:r w:rsidR="00921F1B">
        <w:rPr>
          <w:rStyle w:val="FootnoteReference"/>
        </w:rPr>
        <w:footnoteReference w:id="4"/>
      </w:r>
      <w:r w:rsidRPr="00FA5079">
        <w:t xml:space="preserve"> </w:t>
      </w:r>
    </w:p>
    <w:p w14:paraId="21E9050B" w14:textId="77708A2E" w:rsidR="00363118" w:rsidRDefault="006D78A4" w:rsidP="00284D9A">
      <w:pPr>
        <w:pStyle w:val="Numberedparagraph"/>
        <w:numPr>
          <w:ilvl w:val="0"/>
          <w:numId w:val="1"/>
        </w:numPr>
        <w:spacing w:line="240" w:lineRule="auto"/>
        <w:ind w:left="567" w:hanging="567"/>
      </w:pPr>
      <w:r w:rsidRPr="009C1C67">
        <w:t xml:space="preserve">If </w:t>
      </w:r>
      <w:r w:rsidR="006A3118">
        <w:t xml:space="preserve">the </w:t>
      </w:r>
      <w:r w:rsidR="00B0085E">
        <w:t xml:space="preserve">current </w:t>
      </w:r>
      <w:r w:rsidR="006A3118">
        <w:t>Bill pass</w:t>
      </w:r>
      <w:r w:rsidR="00E1684B">
        <w:t>es</w:t>
      </w:r>
      <w:r w:rsidR="006A3118">
        <w:t xml:space="preserve"> into law, </w:t>
      </w:r>
      <w:r w:rsidR="001C1F12">
        <w:t xml:space="preserve">14 of </w:t>
      </w:r>
      <w:r w:rsidR="00B0085E">
        <w:t xml:space="preserve">the </w:t>
      </w:r>
      <w:r w:rsidR="001C1F12">
        <w:t xml:space="preserve">46 </w:t>
      </w:r>
      <w:r w:rsidR="001C1F12">
        <w:rPr>
          <w:i/>
          <w:iCs/>
        </w:rPr>
        <w:t xml:space="preserve">Building Belonging </w:t>
      </w:r>
      <w:r w:rsidR="001C1F12">
        <w:t>recommendations will have been fully or partially implemented</w:t>
      </w:r>
      <w:r w:rsidR="00E679E1">
        <w:t>.</w:t>
      </w:r>
      <w:r w:rsidR="00420EDC">
        <w:rPr>
          <w:rStyle w:val="FootnoteReference"/>
        </w:rPr>
        <w:footnoteReference w:id="5"/>
      </w:r>
      <w:r w:rsidR="00C8706C">
        <w:t xml:space="preserve"> The Queensland Government ha</w:t>
      </w:r>
      <w:r w:rsidR="00B0085E">
        <w:t xml:space="preserve">s </w:t>
      </w:r>
      <w:r w:rsidR="00C8706C">
        <w:t xml:space="preserve">indicated that </w:t>
      </w:r>
      <w:r w:rsidR="00B0085E">
        <w:t xml:space="preserve">it </w:t>
      </w:r>
      <w:r w:rsidR="00C8706C">
        <w:t>intend</w:t>
      </w:r>
      <w:r w:rsidR="00B0085E">
        <w:t>s</w:t>
      </w:r>
      <w:r w:rsidR="00C8706C">
        <w:t xml:space="preserve"> to implement recommendations of the </w:t>
      </w:r>
      <w:r w:rsidR="00C8706C" w:rsidRPr="00BF5F94">
        <w:rPr>
          <w:i/>
        </w:rPr>
        <w:t>Building Belonging</w:t>
      </w:r>
      <w:r w:rsidR="00C8706C">
        <w:t xml:space="preserve"> report in two phases.</w:t>
      </w:r>
    </w:p>
    <w:p w14:paraId="259789A3" w14:textId="0B69CBC1" w:rsidR="00646AED" w:rsidRDefault="00D56AEC" w:rsidP="00284D9A">
      <w:pPr>
        <w:pStyle w:val="Numberedparagraph"/>
        <w:numPr>
          <w:ilvl w:val="0"/>
          <w:numId w:val="1"/>
        </w:numPr>
        <w:spacing w:line="240" w:lineRule="auto"/>
        <w:ind w:left="567" w:hanging="567"/>
      </w:pPr>
      <w:r>
        <w:t>T</w:t>
      </w:r>
      <w:r w:rsidR="00993D46" w:rsidRPr="009C1C67">
        <w:t xml:space="preserve">he Bill </w:t>
      </w:r>
      <w:r w:rsidR="00BF5F94">
        <w:t xml:space="preserve">also </w:t>
      </w:r>
      <w:r w:rsidR="001B71F3">
        <w:t>update</w:t>
      </w:r>
      <w:r w:rsidR="00171263">
        <w:t>s</w:t>
      </w:r>
      <w:r w:rsidR="00993D46" w:rsidRPr="002C213D">
        <w:t xml:space="preserve"> civil and criminal vilification </w:t>
      </w:r>
      <w:r w:rsidR="00171263">
        <w:t>laws</w:t>
      </w:r>
      <w:r w:rsidR="00993D46" w:rsidRPr="002C213D">
        <w:t xml:space="preserve">. While </w:t>
      </w:r>
      <w:r w:rsidR="00525261">
        <w:t xml:space="preserve">an </w:t>
      </w:r>
      <w:r w:rsidR="00993D46" w:rsidRPr="002C213D">
        <w:t>examin</w:t>
      </w:r>
      <w:r w:rsidR="00525261">
        <w:t>ation</w:t>
      </w:r>
      <w:r w:rsidR="00993D46" w:rsidRPr="002C213D">
        <w:t xml:space="preserve"> </w:t>
      </w:r>
      <w:r w:rsidR="00FE5A84">
        <w:t>of</w:t>
      </w:r>
      <w:r w:rsidR="00993D46" w:rsidRPr="002C213D">
        <w:t xml:space="preserve"> vilification and hate crime laws</w:t>
      </w:r>
      <w:r w:rsidR="00525261">
        <w:t xml:space="preserve"> </w:t>
      </w:r>
      <w:r w:rsidR="00221FAF">
        <w:t xml:space="preserve">was expressly excluded from the scope of </w:t>
      </w:r>
      <w:r w:rsidR="00525261" w:rsidRPr="002C213D">
        <w:t>the Commission’s review</w:t>
      </w:r>
      <w:r w:rsidR="00D72BB8">
        <w:t xml:space="preserve"> of the Anti-Discrimination Act</w:t>
      </w:r>
      <w:r w:rsidR="00993D46" w:rsidRPr="002C213D">
        <w:t xml:space="preserve">, the Legal Affairs and Safety Committee separately considered these issues and the Commission actively participated in this </w:t>
      </w:r>
      <w:r w:rsidR="00031D36">
        <w:t>inquiry.</w:t>
      </w:r>
      <w:r w:rsidR="009467C4">
        <w:rPr>
          <w:rStyle w:val="FootnoteReference"/>
        </w:rPr>
        <w:footnoteReference w:id="6"/>
      </w:r>
      <w:r w:rsidR="00646AED">
        <w:t xml:space="preserve"> </w:t>
      </w:r>
    </w:p>
    <w:p w14:paraId="34E4030F" w14:textId="44952060" w:rsidR="00B86D51" w:rsidRPr="00291E62" w:rsidRDefault="00646AED" w:rsidP="00B86D51">
      <w:pPr>
        <w:pStyle w:val="Numberedparagraph"/>
        <w:numPr>
          <w:ilvl w:val="0"/>
          <w:numId w:val="1"/>
        </w:numPr>
        <w:spacing w:line="240" w:lineRule="auto"/>
        <w:ind w:left="567" w:hanging="567"/>
      </w:pPr>
      <w:r w:rsidRPr="009C1C67">
        <w:t xml:space="preserve">The Commission </w:t>
      </w:r>
      <w:r w:rsidR="00470869">
        <w:t>supports</w:t>
      </w:r>
      <w:r w:rsidR="009C20C2">
        <w:t xml:space="preserve"> the</w:t>
      </w:r>
      <w:r w:rsidRPr="009C1C67">
        <w:t xml:space="preserve"> changes that further </w:t>
      </w:r>
      <w:r w:rsidR="000340DB">
        <w:t>implement the recommendations of th</w:t>
      </w:r>
      <w:r w:rsidR="009A32DE">
        <w:t xml:space="preserve">e Legal Affairs and Safety Committee to </w:t>
      </w:r>
      <w:r>
        <w:t>strengthen vilification and hate crime laws in Queensland,</w:t>
      </w:r>
      <w:r w:rsidR="000E25E2">
        <w:rPr>
          <w:rStyle w:val="FootnoteReference"/>
        </w:rPr>
        <w:footnoteReference w:id="7"/>
      </w:r>
      <w:r>
        <w:t xml:space="preserve"> subject to some concerns regarding the wording of the vilification provision.</w:t>
      </w:r>
    </w:p>
    <w:p w14:paraId="68C2E408" w14:textId="34779745" w:rsidR="00FE5A84" w:rsidRPr="00291E62" w:rsidRDefault="00171263" w:rsidP="00284D9A">
      <w:pPr>
        <w:pStyle w:val="Numberedparagraph"/>
        <w:numPr>
          <w:ilvl w:val="0"/>
          <w:numId w:val="1"/>
        </w:numPr>
        <w:spacing w:line="240" w:lineRule="auto"/>
        <w:ind w:left="567" w:hanging="567"/>
      </w:pPr>
      <w:r w:rsidRPr="009C1C67">
        <w:t>The Commission looks</w:t>
      </w:r>
      <w:r w:rsidR="00FE5A84">
        <w:t xml:space="preserve"> forward to the next phase of reforms and to the full implementation of the </w:t>
      </w:r>
      <w:r w:rsidR="00FE5A84" w:rsidRPr="00171263">
        <w:rPr>
          <w:i/>
        </w:rPr>
        <w:t>Building Belonging</w:t>
      </w:r>
      <w:r w:rsidR="00FE5A84">
        <w:t xml:space="preserve"> recommendations. </w:t>
      </w:r>
    </w:p>
    <w:p w14:paraId="322A8518" w14:textId="12A44B9A" w:rsidR="00102F00" w:rsidRPr="00102F00" w:rsidRDefault="00EC30DD" w:rsidP="00CA391B">
      <w:pPr>
        <w:pStyle w:val="Heading1"/>
      </w:pPr>
      <w:bookmarkStart w:id="10" w:name="_Toc171341066"/>
      <w:r>
        <w:lastRenderedPageBreak/>
        <w:t>Recommendations</w:t>
      </w:r>
      <w:bookmarkStart w:id="11" w:name="_Toc162451254"/>
      <w:bookmarkEnd w:id="10"/>
    </w:p>
    <w:p w14:paraId="44572029" w14:textId="41823F90" w:rsidR="00A90FB6" w:rsidRPr="00A90FB6" w:rsidRDefault="00CA391B" w:rsidP="00284D9A">
      <w:pPr>
        <w:pStyle w:val="Numberedparagraph"/>
        <w:numPr>
          <w:ilvl w:val="0"/>
          <w:numId w:val="1"/>
        </w:numPr>
        <w:spacing w:line="240" w:lineRule="auto"/>
        <w:ind w:left="567" w:hanging="567"/>
        <w:rPr>
          <w:b/>
          <w:bCs/>
        </w:rPr>
      </w:pPr>
      <w:bookmarkStart w:id="12" w:name="_Toc163720792"/>
      <w:bookmarkStart w:id="13" w:name="_Toc166839046"/>
      <w:r w:rsidRPr="009C1C67">
        <w:t xml:space="preserve">The Committee should recommend the </w:t>
      </w:r>
      <w:r w:rsidR="00A90FB6">
        <w:t xml:space="preserve">Bill be passed, subject to the following </w:t>
      </w:r>
      <w:r w:rsidR="00102017">
        <w:t xml:space="preserve">proposed </w:t>
      </w:r>
      <w:r w:rsidR="00A90FB6">
        <w:t>changes:</w:t>
      </w:r>
    </w:p>
    <w:p w14:paraId="6ED6634C" w14:textId="6DCF67F0" w:rsidR="00CA391B" w:rsidRDefault="00CA391B" w:rsidP="0043689A">
      <w:pPr>
        <w:pStyle w:val="Recommendation"/>
        <w:ind w:left="567"/>
      </w:pPr>
      <w:r w:rsidRPr="00020D86">
        <w:t xml:space="preserve">Recommendation </w:t>
      </w:r>
      <w:r>
        <w:t>1</w:t>
      </w:r>
    </w:p>
    <w:p w14:paraId="31AC3A72" w14:textId="2B2DBCA9" w:rsidR="00CA391B" w:rsidRPr="00F34059" w:rsidRDefault="00CA391B" w:rsidP="0043689A">
      <w:pPr>
        <w:spacing w:before="120" w:after="200" w:line="276" w:lineRule="auto"/>
        <w:ind w:left="567"/>
      </w:pPr>
      <w:r w:rsidRPr="00AC7C53">
        <w:t>Amend the Bill to incorporate s</w:t>
      </w:r>
      <w:r w:rsidR="00102017" w:rsidRPr="00AC7C53">
        <w:t xml:space="preserve">ections </w:t>
      </w:r>
      <w:r w:rsidRPr="00AC7C53">
        <w:t xml:space="preserve">151-154 of the </w:t>
      </w:r>
      <w:r w:rsidR="00EA526F" w:rsidRPr="00AC7C53">
        <w:t>C</w:t>
      </w:r>
      <w:r w:rsidRPr="00AC7C53">
        <w:t xml:space="preserve">onsultation </w:t>
      </w:r>
      <w:r w:rsidR="00EA526F" w:rsidRPr="00AC7C53">
        <w:t>D</w:t>
      </w:r>
      <w:r w:rsidRPr="00AC7C53">
        <w:t xml:space="preserve">raft Bill within Part 1A of the </w:t>
      </w:r>
      <w:r w:rsidR="00EA526F" w:rsidRPr="00AC7C53">
        <w:t xml:space="preserve">current </w:t>
      </w:r>
      <w:r w:rsidRPr="00AC7C53">
        <w:t>Bill – ‘What the commission may do – investigations and compliance’.</w:t>
      </w:r>
      <w:r>
        <w:t xml:space="preserve"> </w:t>
      </w:r>
    </w:p>
    <w:p w14:paraId="374AE72E" w14:textId="77777777" w:rsidR="00CA391B" w:rsidRPr="00455B24" w:rsidRDefault="00CA391B" w:rsidP="0043689A">
      <w:pPr>
        <w:pStyle w:val="Recommendation"/>
        <w:ind w:left="567"/>
      </w:pPr>
      <w:r w:rsidRPr="00455B24">
        <w:t>Recommendation</w:t>
      </w:r>
      <w:r>
        <w:t xml:space="preserve"> 2</w:t>
      </w:r>
    </w:p>
    <w:p w14:paraId="4F93994A" w14:textId="77777777" w:rsidR="00CA391B" w:rsidRPr="003D3957" w:rsidDel="00BB2F47" w:rsidRDefault="00CA391B" w:rsidP="0043689A">
      <w:pPr>
        <w:spacing w:before="120" w:after="200" w:line="276" w:lineRule="auto"/>
        <w:ind w:left="567"/>
      </w:pPr>
      <w:r>
        <w:t>Amend the Bill to include</w:t>
      </w:r>
      <w:r w:rsidRPr="00684C31">
        <w:t xml:space="preserve"> </w:t>
      </w:r>
      <w:r>
        <w:t xml:space="preserve">an express provision for publishing reports on </w:t>
      </w:r>
      <w:r w:rsidRPr="00684C31">
        <w:t>the investigations conducted into compliance with the positive duty</w:t>
      </w:r>
      <w:r>
        <w:t>.</w:t>
      </w:r>
    </w:p>
    <w:p w14:paraId="6C6C93F5" w14:textId="77777777" w:rsidR="00CA391B" w:rsidRPr="00D878E3" w:rsidRDefault="00CA391B" w:rsidP="0043689A">
      <w:pPr>
        <w:pStyle w:val="Recommendation"/>
        <w:ind w:left="567"/>
      </w:pPr>
      <w:r w:rsidRPr="00D878E3">
        <w:t>Recommendation</w:t>
      </w:r>
      <w:r>
        <w:t xml:space="preserve"> 3</w:t>
      </w:r>
    </w:p>
    <w:p w14:paraId="10D88152" w14:textId="2744AEE2" w:rsidR="00CA24B6" w:rsidRDefault="00975440" w:rsidP="00CA24B6">
      <w:pPr>
        <w:pStyle w:val="Recommendation"/>
        <w:ind w:left="567"/>
        <w:rPr>
          <w:b w:val="0"/>
          <w:bCs w:val="0"/>
        </w:rPr>
      </w:pPr>
      <w:r w:rsidRPr="00975440">
        <w:rPr>
          <w:b w:val="0"/>
          <w:bCs w:val="0"/>
        </w:rPr>
        <w:t>Expand the capacity to undertake systemic investigations to cover all unlawful conduct covered by the Act, and in relation to all attribute(s) and areas of activity.</w:t>
      </w:r>
    </w:p>
    <w:p w14:paraId="500CB75A" w14:textId="4EECFE86" w:rsidR="00CA391B" w:rsidRDefault="00CA391B" w:rsidP="00C54231">
      <w:pPr>
        <w:pStyle w:val="Recommendation"/>
        <w:ind w:firstLine="567"/>
      </w:pPr>
      <w:r w:rsidRPr="001E2F97">
        <w:t>Recommendation</w:t>
      </w:r>
      <w:r>
        <w:t xml:space="preserve"> 4</w:t>
      </w:r>
    </w:p>
    <w:p w14:paraId="12E2E6BE" w14:textId="77777777" w:rsidR="00CA391B" w:rsidRDefault="00CA391B" w:rsidP="0043689A">
      <w:pPr>
        <w:ind w:left="567"/>
      </w:pPr>
      <w:r>
        <w:t>Create a single time limit of 2 years across all attributes and areas by amending clause 29 of the Bill so that it changes the wording of current section 138 as follows:</w:t>
      </w:r>
    </w:p>
    <w:p w14:paraId="684E87EB" w14:textId="1E051661" w:rsidR="00742B5D" w:rsidRDefault="00A90FB6" w:rsidP="00AC7C53">
      <w:pPr>
        <w:ind w:left="720"/>
      </w:pPr>
      <w:r>
        <w:t xml:space="preserve">(1) </w:t>
      </w:r>
      <w:r w:rsidR="00CA391B">
        <w:t xml:space="preserve">Subject to subsection (2), a person is only entitled to make a complaint within </w:t>
      </w:r>
      <w:r w:rsidR="00CA391B" w:rsidRPr="008B5683">
        <w:rPr>
          <w:strike/>
        </w:rPr>
        <w:t xml:space="preserve">1 year </w:t>
      </w:r>
      <w:r w:rsidR="00CA391B" w:rsidRPr="00BD2DA0">
        <w:rPr>
          <w:b/>
          <w:bCs/>
        </w:rPr>
        <w:t>2 years</w:t>
      </w:r>
      <w:r w:rsidR="00CA391B">
        <w:t xml:space="preserve"> of the alleged contravention of the Act. </w:t>
      </w:r>
    </w:p>
    <w:p w14:paraId="2D9604A9" w14:textId="77777777" w:rsidR="00CA391B" w:rsidRDefault="00CA391B" w:rsidP="0043689A">
      <w:pPr>
        <w:pStyle w:val="Recommendation"/>
        <w:ind w:left="567"/>
      </w:pPr>
      <w:r w:rsidRPr="00F65F78">
        <w:t>Recommendation</w:t>
      </w:r>
      <w:r>
        <w:t xml:space="preserve"> 5</w:t>
      </w:r>
    </w:p>
    <w:p w14:paraId="6F3D93F8" w14:textId="765069A0" w:rsidR="00CA391B" w:rsidRDefault="00CA391B" w:rsidP="0043689A">
      <w:pPr>
        <w:spacing w:before="120" w:after="200" w:line="276" w:lineRule="auto"/>
        <w:ind w:left="567"/>
      </w:pPr>
      <w:r w:rsidRPr="00AC7C53">
        <w:t xml:space="preserve">Add </w:t>
      </w:r>
      <w:r w:rsidR="00F92425" w:rsidRPr="00AC7C53">
        <w:t>a</w:t>
      </w:r>
      <w:r w:rsidRPr="00AC7C53">
        <w:t xml:space="preserve"> clarifying note to section 124E which explains that, to remove any doubt, it remains open for a complainant to argue direct discrimination in relation to attributes other than sex.</w:t>
      </w:r>
    </w:p>
    <w:p w14:paraId="2862835C" w14:textId="77777777" w:rsidR="00CA391B" w:rsidRPr="007D2EBC" w:rsidRDefault="00CA391B" w:rsidP="0043689A">
      <w:pPr>
        <w:pStyle w:val="Recommendation"/>
        <w:ind w:left="567"/>
      </w:pPr>
      <w:r w:rsidRPr="007D2EBC">
        <w:t>Recommendation</w:t>
      </w:r>
      <w:r>
        <w:t xml:space="preserve"> 6</w:t>
      </w:r>
    </w:p>
    <w:p w14:paraId="66563A69" w14:textId="0FD47762" w:rsidR="00CA391B" w:rsidRPr="00AC7C53" w:rsidRDefault="00CA391B" w:rsidP="0043689A">
      <w:pPr>
        <w:ind w:left="567"/>
      </w:pPr>
      <w:r w:rsidRPr="00AC7C53">
        <w:t xml:space="preserve">Amend new section 124D so </w:t>
      </w:r>
      <w:r w:rsidR="00773F0F" w:rsidRPr="00AC7C53">
        <w:t xml:space="preserve">that </w:t>
      </w:r>
      <w:r w:rsidRPr="00AC7C53">
        <w:t>it reads:</w:t>
      </w:r>
    </w:p>
    <w:p w14:paraId="7C159642" w14:textId="55E8C29E" w:rsidR="00CA391B" w:rsidRDefault="00CA391B" w:rsidP="006065D1">
      <w:pPr>
        <w:ind w:left="720"/>
      </w:pPr>
      <w:r w:rsidRPr="00AC7C53">
        <w:t>A person must not, by a public act, urge or promote hatred towards, serious contempt for, or severe ridicule of, a person or group of persons on the ground of …</w:t>
      </w:r>
    </w:p>
    <w:p w14:paraId="63325750" w14:textId="77777777" w:rsidR="00CA391B" w:rsidRDefault="00CA391B" w:rsidP="0043689A">
      <w:pPr>
        <w:pStyle w:val="Recommendation"/>
        <w:ind w:left="567"/>
      </w:pPr>
      <w:r w:rsidRPr="007D2EBC">
        <w:t>Recommendation</w:t>
      </w:r>
      <w:r>
        <w:t xml:space="preserve"> 7</w:t>
      </w:r>
    </w:p>
    <w:p w14:paraId="1D4C834A" w14:textId="77777777" w:rsidR="00CA391B" w:rsidRPr="00CA3B8D" w:rsidRDefault="00CA391B" w:rsidP="0043689A">
      <w:pPr>
        <w:ind w:left="567"/>
      </w:pPr>
      <w:r>
        <w:t>Remove clause 12 of the Bill.</w:t>
      </w:r>
    </w:p>
    <w:p w14:paraId="1B555E97" w14:textId="77777777" w:rsidR="00CA391B" w:rsidRDefault="00CA391B" w:rsidP="0043689A">
      <w:pPr>
        <w:pStyle w:val="Recommendation"/>
        <w:ind w:left="567"/>
      </w:pPr>
      <w:r>
        <w:t>Recommendation 8</w:t>
      </w:r>
    </w:p>
    <w:p w14:paraId="351A7CE1" w14:textId="6A7C19B5" w:rsidR="00CA391B" w:rsidRPr="00E946DE" w:rsidRDefault="00CA391B" w:rsidP="0043689A">
      <w:pPr>
        <w:ind w:left="567"/>
      </w:pPr>
      <w:r w:rsidRPr="00AC7C53">
        <w:t xml:space="preserve">Amend </w:t>
      </w:r>
      <w:r w:rsidR="00DC54A5" w:rsidRPr="00AC7C53">
        <w:t>clause</w:t>
      </w:r>
      <w:r w:rsidR="00AC7C53" w:rsidRPr="00AC7C53">
        <w:t>s</w:t>
      </w:r>
      <w:r w:rsidR="00DC54A5" w:rsidRPr="00AC7C53">
        <w:t xml:space="preserve"> 21</w:t>
      </w:r>
      <w:r w:rsidR="00AD1EC7" w:rsidRPr="00AC7C53">
        <w:t xml:space="preserve"> and 57-59,</w:t>
      </w:r>
      <w:r w:rsidR="00DC54A5" w:rsidRPr="00AC7C53">
        <w:t xml:space="preserve"> </w:t>
      </w:r>
      <w:r w:rsidR="00AD1EC7" w:rsidRPr="00AC7C53">
        <w:t>so</w:t>
      </w:r>
      <w:r w:rsidR="00DC54A5" w:rsidRPr="00AC7C53">
        <w:t xml:space="preserve"> that </w:t>
      </w:r>
      <w:r w:rsidRPr="00AC7C53">
        <w:t>section</w:t>
      </w:r>
      <w:r w:rsidR="00773F0F" w:rsidRPr="00AC7C53">
        <w:t>s</w:t>
      </w:r>
      <w:r w:rsidRPr="00AC7C53">
        <w:t xml:space="preserve"> 124A, 124C, 124D of the Anti-Discrimination Act and section</w:t>
      </w:r>
      <w:r w:rsidR="00DE3120">
        <w:t>s</w:t>
      </w:r>
      <w:r w:rsidRPr="00AC7C53">
        <w:t xml:space="preserve"> 52A, 52B and 52C of the Criminal Code</w:t>
      </w:r>
      <w:r w:rsidR="00AD1EC7" w:rsidRPr="00AC7C53">
        <w:t xml:space="preserve"> </w:t>
      </w:r>
      <w:r w:rsidRPr="00AC7C53">
        <w:t>include ‘sex work activity’ as a grounds for civil and criminal vilification.</w:t>
      </w:r>
    </w:p>
    <w:p w14:paraId="75181F0B" w14:textId="60F7ED17" w:rsidR="00E872B8" w:rsidRDefault="00710381" w:rsidP="00E872B8">
      <w:pPr>
        <w:pStyle w:val="Heading1"/>
      </w:pPr>
      <w:bookmarkStart w:id="14" w:name="_Toc171341067"/>
      <w:r>
        <w:t>Five</w:t>
      </w:r>
      <w:r w:rsidR="006C0F82">
        <w:t xml:space="preserve"> </w:t>
      </w:r>
      <w:r w:rsidR="00AC3125">
        <w:t>p</w:t>
      </w:r>
      <w:r w:rsidR="00817511">
        <w:t xml:space="preserve">riority </w:t>
      </w:r>
      <w:r w:rsidR="00C41E7C">
        <w:t>issues</w:t>
      </w:r>
      <w:bookmarkEnd w:id="14"/>
    </w:p>
    <w:p w14:paraId="0460A62D" w14:textId="44059EBD" w:rsidR="00496E07" w:rsidRPr="00496E07" w:rsidRDefault="00496E07" w:rsidP="00284D9A">
      <w:pPr>
        <w:pStyle w:val="Numberedparagraph"/>
        <w:numPr>
          <w:ilvl w:val="0"/>
          <w:numId w:val="1"/>
        </w:numPr>
        <w:spacing w:line="240" w:lineRule="auto"/>
        <w:ind w:left="567" w:hanging="567"/>
      </w:pPr>
      <w:r>
        <w:t xml:space="preserve">This section </w:t>
      </w:r>
      <w:r w:rsidR="006C6DD0">
        <w:t xml:space="preserve">presents </w:t>
      </w:r>
      <w:r w:rsidR="001B19B5">
        <w:t>five</w:t>
      </w:r>
      <w:r w:rsidR="006C6DD0">
        <w:t xml:space="preserve"> </w:t>
      </w:r>
      <w:r w:rsidR="00EC6DB3">
        <w:t xml:space="preserve">priority </w:t>
      </w:r>
      <w:r w:rsidR="00414AE2">
        <w:t>issues for the Committee’s consideration and recommends changes</w:t>
      </w:r>
      <w:r w:rsidR="00393DBB">
        <w:t xml:space="preserve"> </w:t>
      </w:r>
      <w:r w:rsidR="00DD66A3">
        <w:t>that</w:t>
      </w:r>
      <w:r w:rsidR="00393DBB">
        <w:t xml:space="preserve"> address these concerns </w:t>
      </w:r>
      <w:r w:rsidR="000C0114">
        <w:t>and</w:t>
      </w:r>
      <w:r w:rsidR="00EC6DB3">
        <w:t xml:space="preserve"> substantially </w:t>
      </w:r>
      <w:r w:rsidR="00E256FA">
        <w:t>improve</w:t>
      </w:r>
      <w:r w:rsidR="00B51540">
        <w:t xml:space="preserve"> the Bill.</w:t>
      </w:r>
      <w:r>
        <w:t xml:space="preserve"> </w:t>
      </w:r>
    </w:p>
    <w:p w14:paraId="3FBA5FF6" w14:textId="1A3FE120" w:rsidR="00713C26" w:rsidRDefault="009A3227" w:rsidP="007758A7">
      <w:pPr>
        <w:pStyle w:val="Heading2"/>
      </w:pPr>
      <w:bookmarkStart w:id="15" w:name="_Toc171341068"/>
      <w:r>
        <w:lastRenderedPageBreak/>
        <w:t>Ensure adequate</w:t>
      </w:r>
      <w:r w:rsidR="00713C26">
        <w:t xml:space="preserve"> tools to </w:t>
      </w:r>
      <w:r w:rsidR="00072CBF">
        <w:t>prevent</w:t>
      </w:r>
      <w:r w:rsidR="00561300">
        <w:t xml:space="preserve"> </w:t>
      </w:r>
      <w:r w:rsidR="006A47AF">
        <w:t xml:space="preserve">all forms of </w:t>
      </w:r>
      <w:r w:rsidR="00561300">
        <w:t>discrimination</w:t>
      </w:r>
      <w:bookmarkEnd w:id="15"/>
    </w:p>
    <w:p w14:paraId="34597C6B" w14:textId="03A4F256" w:rsidR="007C65C5" w:rsidRPr="007C65C5" w:rsidRDefault="001624FB" w:rsidP="007758A7">
      <w:pPr>
        <w:pStyle w:val="Heading3"/>
      </w:pPr>
      <w:r>
        <w:t>Shifting to prevention</w:t>
      </w:r>
    </w:p>
    <w:p w14:paraId="033B651F" w14:textId="3E89DBFD" w:rsidR="007C65C5" w:rsidRPr="007C65C5" w:rsidRDefault="00CA2A5A" w:rsidP="00284D9A">
      <w:pPr>
        <w:pStyle w:val="Numberedparagraph"/>
        <w:numPr>
          <w:ilvl w:val="0"/>
          <w:numId w:val="1"/>
        </w:numPr>
        <w:spacing w:line="240" w:lineRule="auto"/>
        <w:ind w:left="567" w:hanging="567"/>
      </w:pPr>
      <w:r w:rsidRPr="00CA2A5A">
        <w:t xml:space="preserve">During </w:t>
      </w:r>
      <w:r w:rsidR="00F96B75">
        <w:t>the Commission’s</w:t>
      </w:r>
      <w:r w:rsidRPr="00CA2A5A">
        <w:t xml:space="preserve"> review</w:t>
      </w:r>
      <w:r w:rsidR="00F96B75">
        <w:t xml:space="preserve"> of discrimination laws, </w:t>
      </w:r>
      <w:r w:rsidR="005D209E">
        <w:t>a consistent theme that emerged throughout our consultations and submissions was that the current system lacks a preventative focus.</w:t>
      </w:r>
      <w:r w:rsidR="00920ADE" w:rsidRPr="00920ADE">
        <w:rPr>
          <w:rFonts w:cstheme="minorBidi"/>
        </w:rPr>
        <w:t xml:space="preserve"> </w:t>
      </w:r>
      <w:r w:rsidR="0083679E">
        <w:rPr>
          <w:rFonts w:cstheme="minorBidi"/>
        </w:rPr>
        <w:t xml:space="preserve">Currently, the primary way the </w:t>
      </w:r>
      <w:r w:rsidR="001E6D8E">
        <w:rPr>
          <w:rFonts w:cstheme="minorBidi"/>
        </w:rPr>
        <w:t xml:space="preserve">Anti-Discrimination </w:t>
      </w:r>
      <w:r w:rsidR="0083679E">
        <w:rPr>
          <w:rFonts w:cstheme="minorBidi"/>
        </w:rPr>
        <w:t xml:space="preserve">Act is enforced is through </w:t>
      </w:r>
      <w:r w:rsidR="00E1493E">
        <w:rPr>
          <w:rFonts w:cstheme="minorBidi"/>
        </w:rPr>
        <w:t>resolving</w:t>
      </w:r>
      <w:r w:rsidR="0083679E">
        <w:rPr>
          <w:rFonts w:cstheme="minorBidi"/>
        </w:rPr>
        <w:t xml:space="preserve"> individual complaints about conduct that has already occurred. Given the </w:t>
      </w:r>
      <w:r w:rsidR="00824854">
        <w:rPr>
          <w:rFonts w:cstheme="minorBidi"/>
        </w:rPr>
        <w:t xml:space="preserve">significant barriers many people face to making a complaint, this approach </w:t>
      </w:r>
      <w:r w:rsidR="00E1493E">
        <w:rPr>
          <w:rFonts w:cstheme="minorBidi"/>
        </w:rPr>
        <w:t>limit</w:t>
      </w:r>
      <w:r w:rsidR="001C2044">
        <w:rPr>
          <w:rFonts w:cstheme="minorBidi"/>
        </w:rPr>
        <w:t>s</w:t>
      </w:r>
      <w:r w:rsidR="00E1493E">
        <w:rPr>
          <w:rFonts w:cstheme="minorBidi"/>
        </w:rPr>
        <w:t xml:space="preserve"> the effectiveness of the law to protect people from </w:t>
      </w:r>
      <w:r w:rsidR="009E473D">
        <w:rPr>
          <w:rFonts w:cstheme="minorBidi"/>
        </w:rPr>
        <w:t>discrimination</w:t>
      </w:r>
      <w:r w:rsidR="00E1493E">
        <w:rPr>
          <w:rFonts w:cstheme="minorBidi"/>
        </w:rPr>
        <w:t xml:space="preserve">. </w:t>
      </w:r>
    </w:p>
    <w:p w14:paraId="531B2192" w14:textId="22316D5F" w:rsidR="00DF0672" w:rsidRPr="00DF0672" w:rsidRDefault="00920ADE" w:rsidP="00284D9A">
      <w:pPr>
        <w:pStyle w:val="Numberedparagraph"/>
        <w:numPr>
          <w:ilvl w:val="0"/>
          <w:numId w:val="1"/>
        </w:numPr>
        <w:spacing w:line="240" w:lineRule="auto"/>
        <w:ind w:left="567" w:hanging="567"/>
      </w:pPr>
      <w:r w:rsidRPr="00920ADE">
        <w:t xml:space="preserve">Overall, </w:t>
      </w:r>
      <w:r>
        <w:t>there was strong stakeholder</w:t>
      </w:r>
      <w:r w:rsidRPr="00920ADE">
        <w:t xml:space="preserve"> support</w:t>
      </w:r>
      <w:r>
        <w:t xml:space="preserve"> for</w:t>
      </w:r>
      <w:r w:rsidRPr="00920ADE">
        <w:t xml:space="preserve"> </w:t>
      </w:r>
      <w:r w:rsidR="00EE0C04">
        <w:t xml:space="preserve">shifting the focus to prevention, including through </w:t>
      </w:r>
      <w:r w:rsidRPr="00920ADE">
        <w:t>the introduction of a positive duty within the Anti</w:t>
      </w:r>
      <w:r w:rsidR="5907E11A">
        <w:t>-</w:t>
      </w:r>
      <w:r w:rsidRPr="00920ADE">
        <w:t>Discrimination Act</w:t>
      </w:r>
      <w:r>
        <w:t xml:space="preserve">, and </w:t>
      </w:r>
      <w:r w:rsidR="00EE0C04">
        <w:t xml:space="preserve">providing the Commission with </w:t>
      </w:r>
      <w:r w:rsidR="00EE625F">
        <w:t xml:space="preserve">tools to support compliance. </w:t>
      </w:r>
      <w:r w:rsidR="00A57671">
        <w:t>The Commission</w:t>
      </w:r>
      <w:r w:rsidR="00EE625F">
        <w:t xml:space="preserve"> heard these tools should </w:t>
      </w:r>
      <w:r>
        <w:t>focus on education and awareness</w:t>
      </w:r>
      <w:r w:rsidR="00EE625F">
        <w:t xml:space="preserve"> and include enforcing compliance</w:t>
      </w:r>
      <w:r>
        <w:t>.</w:t>
      </w:r>
    </w:p>
    <w:p w14:paraId="2A96AC5D" w14:textId="57D84B0B" w:rsidR="00C63F56" w:rsidRDefault="00C63F56" w:rsidP="00284D9A">
      <w:pPr>
        <w:pStyle w:val="Numberedparagraph"/>
        <w:numPr>
          <w:ilvl w:val="0"/>
          <w:numId w:val="1"/>
        </w:numPr>
        <w:spacing w:line="240" w:lineRule="auto"/>
        <w:ind w:left="567" w:hanging="567"/>
      </w:pPr>
      <w:r>
        <w:t xml:space="preserve">The Commission supports and endorses the positive duty as framed in the Bill. </w:t>
      </w:r>
      <w:r w:rsidR="00E70F0F">
        <w:t>This legal obligation require</w:t>
      </w:r>
      <w:r w:rsidR="00DB44BE">
        <w:t>s</w:t>
      </w:r>
      <w:r w:rsidR="00E70F0F">
        <w:t xml:space="preserve"> duty holders </w:t>
      </w:r>
      <w:r w:rsidR="001E6D8E">
        <w:t xml:space="preserve">to </w:t>
      </w:r>
      <w:r w:rsidR="00E70F0F">
        <w:t xml:space="preserve">take reasonable and proportionate steps to </w:t>
      </w:r>
      <w:r w:rsidR="00853E91">
        <w:t>eliminate</w:t>
      </w:r>
      <w:r w:rsidR="00E70F0F">
        <w:t xml:space="preserve"> discrimination as far as possible, while hav</w:t>
      </w:r>
      <w:r w:rsidR="00EE02B1">
        <w:t>ing</w:t>
      </w:r>
      <w:r w:rsidR="00E70F0F">
        <w:t xml:space="preserve"> regard to relevant factors such as the size, nature</w:t>
      </w:r>
      <w:r w:rsidR="00EE02B1">
        <w:t>,</w:t>
      </w:r>
      <w:r w:rsidR="00E70F0F">
        <w:t xml:space="preserve"> and resources of the </w:t>
      </w:r>
      <w:r w:rsidR="00853E91">
        <w:t xml:space="preserve">business or operation. </w:t>
      </w:r>
    </w:p>
    <w:p w14:paraId="18B82174" w14:textId="010674EA" w:rsidR="001074F8" w:rsidRDefault="00D36B43" w:rsidP="00284D9A">
      <w:pPr>
        <w:pStyle w:val="Numberedparagraph"/>
        <w:numPr>
          <w:ilvl w:val="0"/>
          <w:numId w:val="1"/>
        </w:numPr>
        <w:spacing w:line="240" w:lineRule="auto"/>
        <w:ind w:left="567" w:hanging="567"/>
      </w:pPr>
      <w:r>
        <w:rPr>
          <w:i/>
          <w:iCs/>
        </w:rPr>
        <w:t>Building Belonging</w:t>
      </w:r>
      <w:r w:rsidR="001074F8">
        <w:t xml:space="preserve"> highlighted the</w:t>
      </w:r>
      <w:r w:rsidR="00B353D3">
        <w:t xml:space="preserve"> benefits of a positive duty and effective </w:t>
      </w:r>
      <w:r w:rsidR="008F3D25">
        <w:t xml:space="preserve">tools to support </w:t>
      </w:r>
      <w:r w:rsidR="005D48EF">
        <w:t>compliance</w:t>
      </w:r>
      <w:r w:rsidR="008F3D25">
        <w:t>, including</w:t>
      </w:r>
      <w:r w:rsidR="005D48EF">
        <w:t xml:space="preserve"> prevention, education and awareness, shared responsibility, and</w:t>
      </w:r>
      <w:r w:rsidR="00AC651F">
        <w:t xml:space="preserve"> </w:t>
      </w:r>
      <w:r w:rsidR="00A33531">
        <w:t>shifting the focus</w:t>
      </w:r>
      <w:r w:rsidR="003D1C82">
        <w:t xml:space="preserve"> to address</w:t>
      </w:r>
      <w:r w:rsidR="00A33531">
        <w:t xml:space="preserve"> systemic</w:t>
      </w:r>
      <w:r w:rsidR="00B40F23">
        <w:t xml:space="preserve"> forms of discrimination, rather than addressing isolated, individual instances. </w:t>
      </w:r>
      <w:r w:rsidR="003D1C82">
        <w:t xml:space="preserve"> </w:t>
      </w:r>
    </w:p>
    <w:p w14:paraId="09B8B4BC" w14:textId="5586A276" w:rsidR="001624FB" w:rsidRDefault="001624FB" w:rsidP="00284D9A">
      <w:pPr>
        <w:pStyle w:val="Numberedparagraph"/>
        <w:numPr>
          <w:ilvl w:val="0"/>
          <w:numId w:val="1"/>
        </w:numPr>
        <w:spacing w:line="240" w:lineRule="auto"/>
        <w:ind w:left="567" w:hanging="567"/>
      </w:pPr>
      <w:r>
        <w:t>While strongly supporting the framing of the positive duty, the Commission has reservations about the</w:t>
      </w:r>
      <w:r w:rsidR="001F1A2C">
        <w:t xml:space="preserve"> lack of appropriate</w:t>
      </w:r>
      <w:r>
        <w:t xml:space="preserve"> functions and powers provided to the Commission to encourage and require compliance.</w:t>
      </w:r>
    </w:p>
    <w:p w14:paraId="7D690E22" w14:textId="7F1EFDF6" w:rsidR="00CC7613" w:rsidRDefault="006A47AF" w:rsidP="0079225F">
      <w:pPr>
        <w:pStyle w:val="Heading3"/>
      </w:pPr>
      <w:r>
        <w:t>E</w:t>
      </w:r>
      <w:r w:rsidR="007278FD">
        <w:t>ncourag</w:t>
      </w:r>
      <w:r>
        <w:t>ing</w:t>
      </w:r>
      <w:r w:rsidR="007278FD">
        <w:t xml:space="preserve"> voluntary compliance</w:t>
      </w:r>
    </w:p>
    <w:p w14:paraId="103E1D27" w14:textId="259D6899" w:rsidR="00A67937" w:rsidRPr="00A67937" w:rsidRDefault="00A67937" w:rsidP="00284D9A">
      <w:pPr>
        <w:pStyle w:val="Numberedparagraph"/>
        <w:numPr>
          <w:ilvl w:val="0"/>
          <w:numId w:val="1"/>
        </w:numPr>
        <w:spacing w:line="240" w:lineRule="auto"/>
        <w:ind w:left="567" w:hanging="567"/>
        <w:rPr>
          <w:rFonts w:eastAsia="Times New Roman"/>
        </w:rPr>
      </w:pPr>
      <w:r w:rsidRPr="00304AEE">
        <w:rPr>
          <w:i/>
          <w:iCs/>
        </w:rPr>
        <w:t>Building</w:t>
      </w:r>
      <w:r w:rsidRPr="00304AEE">
        <w:rPr>
          <w:rFonts w:eastAsia="Times New Roman"/>
          <w:i/>
          <w:iCs/>
        </w:rPr>
        <w:t xml:space="preserve"> Belonging</w:t>
      </w:r>
      <w:r w:rsidRPr="00A67937">
        <w:rPr>
          <w:rFonts w:eastAsia="Times New Roman"/>
        </w:rPr>
        <w:t xml:space="preserve"> recommended a suite of tools to support compliance with the positive duty. These functions and powers are based on</w:t>
      </w:r>
      <w:r w:rsidR="00304AEE">
        <w:rPr>
          <w:rFonts w:eastAsia="Times New Roman"/>
        </w:rPr>
        <w:t xml:space="preserve"> a</w:t>
      </w:r>
      <w:r w:rsidRPr="00A67937">
        <w:rPr>
          <w:rFonts w:eastAsia="Times New Roman"/>
        </w:rPr>
        <w:t xml:space="preserve"> ‘responsive regulation</w:t>
      </w:r>
      <w:r w:rsidR="0086709D">
        <w:rPr>
          <w:rFonts w:eastAsia="Times New Roman"/>
        </w:rPr>
        <w:t xml:space="preserve"> enfor</w:t>
      </w:r>
      <w:r w:rsidR="00441180">
        <w:rPr>
          <w:rFonts w:eastAsia="Times New Roman"/>
        </w:rPr>
        <w:t>cement</w:t>
      </w:r>
      <w:r w:rsidRPr="00A67937">
        <w:rPr>
          <w:rFonts w:eastAsia="Times New Roman"/>
        </w:rPr>
        <w:t>’</w:t>
      </w:r>
      <w:r>
        <w:rPr>
          <w:rStyle w:val="FootnoteReference"/>
          <w:rFonts w:eastAsia="Times New Roman"/>
        </w:rPr>
        <w:footnoteReference w:id="8"/>
      </w:r>
      <w:r w:rsidRPr="00A67937">
        <w:rPr>
          <w:rFonts w:eastAsia="Times New Roman"/>
        </w:rPr>
        <w:t xml:space="preserve"> framework, and include three tiers:</w:t>
      </w:r>
    </w:p>
    <w:p w14:paraId="39F11445" w14:textId="6597036F" w:rsidR="00A67937" w:rsidRDefault="00A67937" w:rsidP="00284D9A">
      <w:pPr>
        <w:pStyle w:val="ListParagraph"/>
        <w:numPr>
          <w:ilvl w:val="0"/>
          <w:numId w:val="4"/>
        </w:numPr>
        <w:spacing w:before="120" w:after="200" w:line="276" w:lineRule="auto"/>
        <w:rPr>
          <w:rFonts w:eastAsia="Times New Roman" w:cs="Arial"/>
        </w:rPr>
      </w:pPr>
      <w:r w:rsidRPr="00C4689F">
        <w:rPr>
          <w:rFonts w:eastAsia="Times New Roman" w:cs="Arial"/>
          <w:b/>
          <w:bCs/>
        </w:rPr>
        <w:t>Level one</w:t>
      </w:r>
      <w:r>
        <w:rPr>
          <w:rFonts w:eastAsia="Times New Roman" w:cs="Arial"/>
        </w:rPr>
        <w:t xml:space="preserve">: </w:t>
      </w:r>
      <w:r w:rsidR="00F8539E">
        <w:rPr>
          <w:rFonts w:eastAsia="Times New Roman" w:cs="Arial"/>
        </w:rPr>
        <w:t>b</w:t>
      </w:r>
      <w:r>
        <w:rPr>
          <w:rFonts w:eastAsia="Times New Roman" w:cs="Arial"/>
        </w:rPr>
        <w:t>uilding an understanding of obligations through education and awareness, and the publication of guidelines</w:t>
      </w:r>
    </w:p>
    <w:p w14:paraId="70A37042" w14:textId="5307E348" w:rsidR="00A67937" w:rsidRDefault="00A67937" w:rsidP="00284D9A">
      <w:pPr>
        <w:pStyle w:val="ListParagraph"/>
        <w:numPr>
          <w:ilvl w:val="0"/>
          <w:numId w:val="4"/>
        </w:numPr>
        <w:spacing w:before="120" w:after="200" w:line="276" w:lineRule="auto"/>
        <w:rPr>
          <w:rFonts w:eastAsia="Times New Roman" w:cs="Arial"/>
        </w:rPr>
      </w:pPr>
      <w:r w:rsidRPr="00C4689F">
        <w:rPr>
          <w:rFonts w:eastAsia="Times New Roman" w:cs="Arial"/>
          <w:b/>
          <w:bCs/>
        </w:rPr>
        <w:t>Level two</w:t>
      </w:r>
      <w:r>
        <w:rPr>
          <w:rFonts w:eastAsia="Times New Roman" w:cs="Arial"/>
        </w:rPr>
        <w:t xml:space="preserve">: </w:t>
      </w:r>
      <w:r w:rsidR="00F8539E">
        <w:rPr>
          <w:rFonts w:eastAsia="Times New Roman" w:cs="Arial"/>
        </w:rPr>
        <w:t>c</w:t>
      </w:r>
      <w:r>
        <w:rPr>
          <w:rFonts w:eastAsia="Times New Roman" w:cs="Arial"/>
        </w:rPr>
        <w:t>ooperating to address systemic issues through the express power to conduct voluntary reviews, and providing advice to duty holders on action plans</w:t>
      </w:r>
    </w:p>
    <w:p w14:paraId="491681F9" w14:textId="70A72C60" w:rsidR="00A67937" w:rsidRPr="00192478" w:rsidRDefault="00A67937" w:rsidP="00284D9A">
      <w:pPr>
        <w:pStyle w:val="ListParagraph"/>
        <w:numPr>
          <w:ilvl w:val="0"/>
          <w:numId w:val="4"/>
        </w:numPr>
        <w:spacing w:before="120" w:after="200" w:line="276" w:lineRule="auto"/>
        <w:rPr>
          <w:rFonts w:eastAsia="Times New Roman" w:cs="Arial"/>
        </w:rPr>
      </w:pPr>
      <w:r w:rsidRPr="00C4689F">
        <w:rPr>
          <w:rFonts w:eastAsia="Times New Roman" w:cs="Arial"/>
          <w:b/>
          <w:bCs/>
        </w:rPr>
        <w:t>Level three</w:t>
      </w:r>
      <w:r>
        <w:rPr>
          <w:rFonts w:eastAsia="Times New Roman" w:cs="Arial"/>
        </w:rPr>
        <w:t xml:space="preserve">: </w:t>
      </w:r>
      <w:r w:rsidR="00DC152B">
        <w:rPr>
          <w:rFonts w:eastAsia="Times New Roman" w:cs="Arial"/>
        </w:rPr>
        <w:t>a</w:t>
      </w:r>
      <w:r>
        <w:rPr>
          <w:rFonts w:eastAsia="Times New Roman" w:cs="Arial"/>
        </w:rPr>
        <w:t xml:space="preserve">ddressing non-compliance through systemic investigations, and the option to take various actions including accepting written undertakings, issuing a compliance notice, and applying to the tribunal for enforcement. </w:t>
      </w:r>
    </w:p>
    <w:p w14:paraId="2F055406" w14:textId="1691651D" w:rsidR="00A67937" w:rsidRDefault="00A67937" w:rsidP="00284D9A">
      <w:pPr>
        <w:pStyle w:val="Numberedparagraph"/>
        <w:numPr>
          <w:ilvl w:val="0"/>
          <w:numId w:val="1"/>
        </w:numPr>
        <w:spacing w:line="240" w:lineRule="auto"/>
        <w:ind w:left="567" w:hanging="567"/>
      </w:pPr>
      <w:r w:rsidRPr="0043689A">
        <w:lastRenderedPageBreak/>
        <w:t>The</w:t>
      </w:r>
      <w:r w:rsidRPr="00A67937">
        <w:rPr>
          <w:rFonts w:eastAsia="Times New Roman"/>
        </w:rPr>
        <w:t xml:space="preserve"> Bill would provide the Commission the functions and powers for levels one and </w:t>
      </w:r>
      <w:r w:rsidR="00F31D4A">
        <w:rPr>
          <w:rFonts w:eastAsia="Times New Roman"/>
        </w:rPr>
        <w:t>3</w:t>
      </w:r>
      <w:r w:rsidRPr="00A67937">
        <w:rPr>
          <w:rFonts w:eastAsia="Times New Roman"/>
        </w:rPr>
        <w:t xml:space="preserve"> but does not include level </w:t>
      </w:r>
      <w:r w:rsidR="00F31D4A">
        <w:rPr>
          <w:rFonts w:eastAsia="Times New Roman"/>
        </w:rPr>
        <w:t>2</w:t>
      </w:r>
      <w:r w:rsidR="00F31D4A" w:rsidRPr="00A67937">
        <w:rPr>
          <w:rFonts w:eastAsia="Times New Roman"/>
        </w:rPr>
        <w:t xml:space="preserve"> </w:t>
      </w:r>
      <w:r w:rsidRPr="00A67937">
        <w:rPr>
          <w:rFonts w:eastAsia="Times New Roman"/>
        </w:rPr>
        <w:t>compliance powers.</w:t>
      </w:r>
      <w:r>
        <w:rPr>
          <w:rFonts w:eastAsia="Times New Roman"/>
        </w:rPr>
        <w:t xml:space="preserve"> </w:t>
      </w:r>
      <w:r>
        <w:t>This means the</w:t>
      </w:r>
      <w:r w:rsidRPr="00923218">
        <w:t xml:space="preserve"> Commission </w:t>
      </w:r>
      <w:r>
        <w:t xml:space="preserve">would not </w:t>
      </w:r>
      <w:r w:rsidRPr="00923218">
        <w:t>have the function to conduct voluntary</w:t>
      </w:r>
      <w:r>
        <w:t xml:space="preserve"> </w:t>
      </w:r>
      <w:r w:rsidRPr="000A008E">
        <w:t>reviews</w:t>
      </w:r>
      <w:r w:rsidRPr="00923218">
        <w:t xml:space="preserve"> and </w:t>
      </w:r>
      <w:r w:rsidR="00635E65">
        <w:t>provide</w:t>
      </w:r>
      <w:r w:rsidRPr="00923218">
        <w:t xml:space="preserve"> input to an organisation’s </w:t>
      </w:r>
      <w:r w:rsidRPr="000A008E">
        <w:t>action plans</w:t>
      </w:r>
      <w:r w:rsidRPr="00923218">
        <w:t xml:space="preserve">. </w:t>
      </w:r>
    </w:p>
    <w:p w14:paraId="569BDBED" w14:textId="77777777" w:rsidR="00A67937" w:rsidRDefault="00A67937" w:rsidP="00284D9A">
      <w:pPr>
        <w:pStyle w:val="Numberedparagraph"/>
        <w:numPr>
          <w:ilvl w:val="0"/>
          <w:numId w:val="1"/>
        </w:numPr>
        <w:spacing w:line="240" w:lineRule="auto"/>
        <w:ind w:left="567" w:hanging="567"/>
      </w:pPr>
      <w:r w:rsidRPr="00923218">
        <w:t xml:space="preserve">While previously regarded as ‘soft’ regulation, </w:t>
      </w:r>
      <w:r>
        <w:t>voluntary reviews have</w:t>
      </w:r>
      <w:r w:rsidRPr="00923218">
        <w:t xml:space="preserve"> increasingly been considered an effective tool for motivating duty holders to take measurable steps towards eliminating systemic discrimination. </w:t>
      </w:r>
      <w:r>
        <w:t xml:space="preserve">In consultations during the </w:t>
      </w:r>
      <w:r w:rsidRPr="00A67937">
        <w:rPr>
          <w:i/>
          <w:iCs/>
        </w:rPr>
        <w:t>Building Belonging</w:t>
      </w:r>
      <w:r>
        <w:t xml:space="preserve"> review, these approaches</w:t>
      </w:r>
      <w:r w:rsidRPr="00923218">
        <w:t xml:space="preserve"> </w:t>
      </w:r>
      <w:r>
        <w:t>were</w:t>
      </w:r>
      <w:r w:rsidRPr="00923218">
        <w:t xml:space="preserve"> </w:t>
      </w:r>
      <w:r>
        <w:t xml:space="preserve">also </w:t>
      </w:r>
      <w:r w:rsidRPr="00923218">
        <w:t>preferred by duty holder</w:t>
      </w:r>
      <w:r>
        <w:t>s</w:t>
      </w:r>
      <w:r w:rsidRPr="00923218">
        <w:t>.</w:t>
      </w:r>
    </w:p>
    <w:p w14:paraId="3DB97EB1" w14:textId="5F53BA8C" w:rsidR="00A67937" w:rsidRDefault="00A67937" w:rsidP="00284D9A">
      <w:pPr>
        <w:pStyle w:val="Numberedparagraph"/>
        <w:numPr>
          <w:ilvl w:val="0"/>
          <w:numId w:val="1"/>
        </w:numPr>
        <w:spacing w:line="240" w:lineRule="auto"/>
        <w:ind w:left="567" w:hanging="567"/>
      </w:pPr>
      <w:r>
        <w:t xml:space="preserve">Level </w:t>
      </w:r>
      <w:r w:rsidR="00127188">
        <w:t>2</w:t>
      </w:r>
      <w:r>
        <w:t xml:space="preserve"> functions and powers also align</w:t>
      </w:r>
      <w:r w:rsidRPr="00490F28">
        <w:t xml:space="preserve"> with the fundamental purposes of the positive duty. This is because the positive duty is, at its core, about changing culture within institutions. While </w:t>
      </w:r>
      <w:r>
        <w:t xml:space="preserve">serious </w:t>
      </w:r>
      <w:r w:rsidRPr="00490F28">
        <w:t>wrongdoing is best addressed through an inquiry</w:t>
      </w:r>
      <w:r w:rsidR="00A76A0B">
        <w:t xml:space="preserve"> or </w:t>
      </w:r>
      <w:r w:rsidRPr="00490F28">
        <w:t xml:space="preserve">investigation approach using coercive powers, cultural change is </w:t>
      </w:r>
      <w:r>
        <w:t xml:space="preserve">often </w:t>
      </w:r>
      <w:r w:rsidRPr="00490F28">
        <w:t xml:space="preserve">best </w:t>
      </w:r>
      <w:r>
        <w:t>achieved</w:t>
      </w:r>
      <w:r w:rsidRPr="00490F28">
        <w:t xml:space="preserve"> through willing and voluntary involvement of the duty holder. </w:t>
      </w:r>
    </w:p>
    <w:p w14:paraId="094FCB3A" w14:textId="26A6855A" w:rsidR="00020D86" w:rsidRDefault="00382FDB" w:rsidP="00284D9A">
      <w:pPr>
        <w:pStyle w:val="Numberedparagraph"/>
        <w:numPr>
          <w:ilvl w:val="0"/>
          <w:numId w:val="1"/>
        </w:numPr>
        <w:spacing w:line="240" w:lineRule="auto"/>
        <w:ind w:left="567" w:hanging="567"/>
      </w:pPr>
      <w:r>
        <w:t>The Commission</w:t>
      </w:r>
      <w:r w:rsidR="00E67EFE">
        <w:t xml:space="preserve"> note</w:t>
      </w:r>
      <w:r>
        <w:t>s</w:t>
      </w:r>
      <w:r w:rsidR="00E67EFE">
        <w:t xml:space="preserve"> that these functions were incorporated into the consultation draft Bill published by the Queensland Government.</w:t>
      </w:r>
      <w:r w:rsidR="00531B66">
        <w:rPr>
          <w:rStyle w:val="FootnoteReference"/>
        </w:rPr>
        <w:footnoteReference w:id="9"/>
      </w:r>
      <w:r w:rsidR="00E67EFE">
        <w:t xml:space="preserve"> </w:t>
      </w:r>
      <w:r w:rsidR="005A33D4">
        <w:t xml:space="preserve">These provided fit-for-purpose provisions that implemented the recommendations of chapter 6 of the </w:t>
      </w:r>
      <w:r w:rsidR="005A33D4" w:rsidRPr="001F1A2C">
        <w:rPr>
          <w:i/>
        </w:rPr>
        <w:t>Building Belonging</w:t>
      </w:r>
      <w:r w:rsidR="005A33D4">
        <w:t xml:space="preserve"> </w:t>
      </w:r>
      <w:proofErr w:type="gramStart"/>
      <w:r w:rsidR="005A33D4">
        <w:t>repor</w:t>
      </w:r>
      <w:r w:rsidR="008F6E2B">
        <w:t>t, and</w:t>
      </w:r>
      <w:proofErr w:type="gramEnd"/>
      <w:r w:rsidR="008F6E2B">
        <w:t xml:space="preserve"> were supported by the Commission.</w:t>
      </w:r>
    </w:p>
    <w:p w14:paraId="2DF0C8B0" w14:textId="0456EDE3" w:rsidR="00020D86" w:rsidRDefault="00020D86" w:rsidP="00980ED2">
      <w:pPr>
        <w:pStyle w:val="Recommendation"/>
      </w:pPr>
      <w:r w:rsidRPr="00020D86">
        <w:t xml:space="preserve">Recommendation </w:t>
      </w:r>
      <w:r w:rsidR="009A1138">
        <w:t>1</w:t>
      </w:r>
    </w:p>
    <w:p w14:paraId="30A1B18A" w14:textId="673810E6" w:rsidR="00020D86" w:rsidRPr="00F34059" w:rsidRDefault="009A1138" w:rsidP="00224904">
      <w:pPr>
        <w:spacing w:before="120" w:after="200" w:line="276" w:lineRule="auto"/>
      </w:pPr>
      <w:r>
        <w:t>Amend the Bill to incorporate</w:t>
      </w:r>
      <w:r w:rsidR="00F34059" w:rsidRPr="000C1511">
        <w:t xml:space="preserve"> s</w:t>
      </w:r>
      <w:r w:rsidR="003E7BA2">
        <w:t xml:space="preserve">ections </w:t>
      </w:r>
      <w:r w:rsidR="00F34059" w:rsidRPr="000C1511">
        <w:t xml:space="preserve">151-154 of the </w:t>
      </w:r>
      <w:r w:rsidR="00CC43DE">
        <w:t>C</w:t>
      </w:r>
      <w:r w:rsidR="00272597">
        <w:t xml:space="preserve">onsultation </w:t>
      </w:r>
      <w:r w:rsidR="00CC43DE">
        <w:t>D</w:t>
      </w:r>
      <w:r w:rsidR="00272597">
        <w:t>raft</w:t>
      </w:r>
      <w:r w:rsidR="00F34059" w:rsidRPr="000C1511">
        <w:t xml:space="preserve"> Bill</w:t>
      </w:r>
      <w:r w:rsidR="00F34059">
        <w:t xml:space="preserve"> within Part 1A of the Bill – ‘What the commission may do – investigations and compliance’. </w:t>
      </w:r>
    </w:p>
    <w:p w14:paraId="1D29CB0F" w14:textId="76D8362C" w:rsidR="00814945" w:rsidRPr="00F162A0" w:rsidRDefault="001A5107" w:rsidP="0079225F">
      <w:pPr>
        <w:pStyle w:val="Heading3"/>
        <w:rPr>
          <w:rFonts w:eastAsia="Times New Roman" w:cs="Arial"/>
        </w:rPr>
      </w:pPr>
      <w:r>
        <w:t>Ensure that</w:t>
      </w:r>
      <w:r w:rsidR="00814945" w:rsidRPr="004A2A17">
        <w:t xml:space="preserve"> a positive duty compliance investigation</w:t>
      </w:r>
      <w:r w:rsidR="00814945">
        <w:rPr>
          <w:rFonts w:eastAsia="Times New Roman" w:cs="Arial"/>
        </w:rPr>
        <w:t xml:space="preserve"> </w:t>
      </w:r>
      <w:r w:rsidR="00372F21">
        <w:rPr>
          <w:rFonts w:eastAsia="Times New Roman" w:cs="Arial"/>
        </w:rPr>
        <w:t>has an express reporting power</w:t>
      </w:r>
    </w:p>
    <w:p w14:paraId="6CB11BCC" w14:textId="44344886" w:rsidR="00814945" w:rsidRDefault="00814945" w:rsidP="00284D9A">
      <w:pPr>
        <w:pStyle w:val="Numberedparagraph"/>
        <w:numPr>
          <w:ilvl w:val="0"/>
          <w:numId w:val="1"/>
        </w:numPr>
        <w:spacing w:line="240" w:lineRule="auto"/>
        <w:ind w:left="567" w:hanging="567"/>
      </w:pPr>
      <w:r>
        <w:t xml:space="preserve">Under the Bill, </w:t>
      </w:r>
      <w:r w:rsidR="00B55DCD">
        <w:t>after</w:t>
      </w:r>
      <w:r>
        <w:t xml:space="preserve"> the Commission </w:t>
      </w:r>
      <w:r w:rsidR="00057393">
        <w:t>has decided</w:t>
      </w:r>
      <w:r>
        <w:t xml:space="preserve"> to investigate compliance with the positive duty,</w:t>
      </w:r>
      <w:r>
        <w:rPr>
          <w:rStyle w:val="FootnoteReference"/>
          <w:rFonts w:eastAsia="Times New Roman"/>
        </w:rPr>
        <w:footnoteReference w:id="10"/>
      </w:r>
      <w:r>
        <w:t xml:space="preserve"> the Commission may take various actions. These include accepting and publishing written undertakings, issuing a compliance notice, and applying to the tribunal for enforcement.</w:t>
      </w:r>
      <w:r w:rsidR="002046B8">
        <w:rPr>
          <w:rStyle w:val="FootnoteReference"/>
        </w:rPr>
        <w:footnoteReference w:id="11"/>
      </w:r>
      <w:r>
        <w:t xml:space="preserve"> </w:t>
      </w:r>
    </w:p>
    <w:p w14:paraId="6BC31FE3" w14:textId="77777777" w:rsidR="00814945" w:rsidRDefault="00814945" w:rsidP="00284D9A">
      <w:pPr>
        <w:pStyle w:val="Numberedparagraph"/>
        <w:numPr>
          <w:ilvl w:val="0"/>
          <w:numId w:val="1"/>
        </w:numPr>
        <w:spacing w:line="240" w:lineRule="auto"/>
        <w:ind w:left="567" w:hanging="567"/>
      </w:pPr>
      <w:r>
        <w:t xml:space="preserve">However, there is no express provision that allows the commissioner to prepare and publish a report about the investigation. </w:t>
      </w:r>
    </w:p>
    <w:p w14:paraId="36BFEA0D" w14:textId="77777777" w:rsidR="00814945" w:rsidRDefault="00814945" w:rsidP="00284D9A">
      <w:pPr>
        <w:pStyle w:val="Numberedparagraph"/>
        <w:numPr>
          <w:ilvl w:val="0"/>
          <w:numId w:val="1"/>
        </w:numPr>
        <w:spacing w:line="240" w:lineRule="auto"/>
        <w:ind w:left="567" w:hanging="567"/>
      </w:pPr>
      <w:r>
        <w:t xml:space="preserve">This differs from the actions the commissioner may take following an investigation into systemic work-related contraventions </w:t>
      </w:r>
      <w:proofErr w:type="gramStart"/>
      <w:r>
        <w:t>on the basis of</w:t>
      </w:r>
      <w:proofErr w:type="gramEnd"/>
      <w:r>
        <w:t xml:space="preserve"> sex, where there is express provision providing for the publication and/or tabling of reports.</w:t>
      </w:r>
      <w:r>
        <w:rPr>
          <w:rStyle w:val="FootnoteReference"/>
          <w:rFonts w:eastAsia="Times New Roman"/>
        </w:rPr>
        <w:footnoteReference w:id="12"/>
      </w:r>
      <w:r>
        <w:t xml:space="preserve"> </w:t>
      </w:r>
    </w:p>
    <w:p w14:paraId="567EEC9F" w14:textId="694D48DE" w:rsidR="00814945" w:rsidRDefault="008638FF" w:rsidP="00284D9A">
      <w:pPr>
        <w:pStyle w:val="Numberedparagraph"/>
        <w:numPr>
          <w:ilvl w:val="0"/>
          <w:numId w:val="1"/>
        </w:numPr>
        <w:spacing w:line="240" w:lineRule="auto"/>
        <w:ind w:left="567" w:hanging="567"/>
      </w:pPr>
      <w:r>
        <w:t>Public reporting</w:t>
      </w:r>
      <w:r w:rsidR="00814945">
        <w:t xml:space="preserve"> is a </w:t>
      </w:r>
      <w:r w:rsidR="00FE04A1">
        <w:t>vital</w:t>
      </w:r>
      <w:r w:rsidR="00814945">
        <w:t xml:space="preserve"> function for the Commission</w:t>
      </w:r>
      <w:r>
        <w:t>for the following reasons</w:t>
      </w:r>
      <w:r w:rsidR="00814945">
        <w:t>:</w:t>
      </w:r>
    </w:p>
    <w:p w14:paraId="1A80F0B3" w14:textId="54F156AC" w:rsidR="00814945" w:rsidRPr="00722A8C" w:rsidDel="00BB2F47" w:rsidRDefault="001556A4" w:rsidP="00284D9A">
      <w:pPr>
        <w:pStyle w:val="ListParagraph"/>
        <w:numPr>
          <w:ilvl w:val="1"/>
          <w:numId w:val="5"/>
        </w:numPr>
        <w:spacing w:before="120" w:after="200" w:line="276" w:lineRule="auto"/>
      </w:pPr>
      <w:r>
        <w:t>creating</w:t>
      </w:r>
      <w:r w:rsidR="004D79C3">
        <w:t xml:space="preserve"> </w:t>
      </w:r>
      <w:r w:rsidR="00814945">
        <w:t>broader educative and normative value for duty holders, and promot</w:t>
      </w:r>
      <w:r w:rsidR="00221E7C">
        <w:t>ing</w:t>
      </w:r>
      <w:r w:rsidR="00814945">
        <w:t xml:space="preserve"> the broader objectives of the Act</w:t>
      </w:r>
    </w:p>
    <w:p w14:paraId="50A5FE7C" w14:textId="7B0E4D36" w:rsidR="00557AA1" w:rsidRPr="00722A8C" w:rsidDel="00BB2F47" w:rsidRDefault="00557AA1" w:rsidP="00284D9A">
      <w:pPr>
        <w:pStyle w:val="ListParagraph"/>
        <w:numPr>
          <w:ilvl w:val="1"/>
          <w:numId w:val="5"/>
        </w:numPr>
        <w:spacing w:before="120" w:after="200" w:line="276" w:lineRule="auto"/>
      </w:pPr>
      <w:r>
        <w:lastRenderedPageBreak/>
        <w:t>encouraging duty holders to engage voluntarily and collaboratively with the Commission, which can be more effective for driving cultural change</w:t>
      </w:r>
    </w:p>
    <w:p w14:paraId="3E6EFB97" w14:textId="6D64164E" w:rsidR="004D79C3" w:rsidRDefault="001556A4" w:rsidP="0034381F">
      <w:pPr>
        <w:pStyle w:val="ListParagraph"/>
        <w:numPr>
          <w:ilvl w:val="1"/>
          <w:numId w:val="5"/>
        </w:numPr>
        <w:spacing w:before="120" w:after="200" w:line="276" w:lineRule="auto"/>
      </w:pPr>
      <w:r>
        <w:t>providing</w:t>
      </w:r>
      <w:r w:rsidR="00814945">
        <w:t xml:space="preserve"> </w:t>
      </w:r>
      <w:r w:rsidR="0026015E">
        <w:t xml:space="preserve">further </w:t>
      </w:r>
      <w:r w:rsidR="00814945">
        <w:t>context</w:t>
      </w:r>
      <w:r w:rsidR="0026015E">
        <w:t xml:space="preserve"> where written undertakings </w:t>
      </w:r>
      <w:r w:rsidR="00221E7C">
        <w:t xml:space="preserve">are </w:t>
      </w:r>
      <w:r w:rsidR="0026015E">
        <w:t>being published</w:t>
      </w:r>
      <w:r w:rsidR="00814945">
        <w:t xml:space="preserve">, including an opportunity for duty holders to have their responses to any adverse comments published contemporaneously with any written undertakings. </w:t>
      </w:r>
    </w:p>
    <w:p w14:paraId="6A1E89A2" w14:textId="5BB13A0F" w:rsidR="00481C59" w:rsidRPr="004A078B" w:rsidRDefault="00814945" w:rsidP="00284D9A">
      <w:pPr>
        <w:pStyle w:val="Numberedparagraph"/>
        <w:numPr>
          <w:ilvl w:val="0"/>
          <w:numId w:val="1"/>
        </w:numPr>
        <w:spacing w:line="240" w:lineRule="auto"/>
        <w:ind w:left="567" w:hanging="567"/>
      </w:pPr>
      <w:r>
        <w:t xml:space="preserve">Reports on positive duty investigations </w:t>
      </w:r>
      <w:r w:rsidDel="00BB2F47">
        <w:t xml:space="preserve">would also align </w:t>
      </w:r>
      <w:r>
        <w:t xml:space="preserve">with </w:t>
      </w:r>
      <w:r w:rsidDel="00BB2F47">
        <w:t xml:space="preserve">options available </w:t>
      </w:r>
      <w:r>
        <w:t>for investigations</w:t>
      </w:r>
      <w:r w:rsidDel="00BB2F47">
        <w:t xml:space="preserve"> following a systemic investigation into work</w:t>
      </w:r>
      <w:r w:rsidR="00E42FCD">
        <w:t>-</w:t>
      </w:r>
      <w:r w:rsidDel="00BB2F47">
        <w:t xml:space="preserve">related contraventions </w:t>
      </w:r>
      <w:proofErr w:type="gramStart"/>
      <w:r w:rsidDel="00BB2F47">
        <w:t>on the basis of</w:t>
      </w:r>
      <w:proofErr w:type="gramEnd"/>
      <w:r w:rsidDel="00BB2F47">
        <w:t xml:space="preserve"> sex. </w:t>
      </w:r>
    </w:p>
    <w:p w14:paraId="736F33DF" w14:textId="2AD5FEC5" w:rsidR="00481C59" w:rsidRPr="00455B24" w:rsidRDefault="00481C59" w:rsidP="00980ED2">
      <w:pPr>
        <w:pStyle w:val="Recommendation"/>
      </w:pPr>
      <w:r w:rsidRPr="00455B24">
        <w:t>Recommendation</w:t>
      </w:r>
      <w:r w:rsidR="00980ED2">
        <w:t xml:space="preserve"> 2</w:t>
      </w:r>
    </w:p>
    <w:p w14:paraId="53DA0B17" w14:textId="1A5095AD" w:rsidR="00481C59" w:rsidRPr="003D3957" w:rsidDel="00BB2F47" w:rsidRDefault="00C86492" w:rsidP="0013579F">
      <w:pPr>
        <w:spacing w:before="120" w:after="200" w:line="276" w:lineRule="auto"/>
      </w:pPr>
      <w:r>
        <w:t>Amend the Bill to include</w:t>
      </w:r>
      <w:r w:rsidR="00481C59" w:rsidRPr="00684C31">
        <w:t xml:space="preserve"> </w:t>
      </w:r>
      <w:r w:rsidR="00481C59">
        <w:t>a</w:t>
      </w:r>
      <w:r w:rsidR="002A5537">
        <w:t>n express provision</w:t>
      </w:r>
      <w:r w:rsidR="00481C59">
        <w:t xml:space="preserve"> for publishing reports on </w:t>
      </w:r>
      <w:r w:rsidR="00481C59" w:rsidRPr="00684C31">
        <w:t>the investigations conducted into compliance with the positive duty</w:t>
      </w:r>
      <w:r w:rsidR="00481C59">
        <w:t>.</w:t>
      </w:r>
    </w:p>
    <w:p w14:paraId="74A7F114" w14:textId="12F7CF8D" w:rsidR="00814945" w:rsidRPr="002C20B1" w:rsidRDefault="00FA36B7" w:rsidP="0079225F">
      <w:pPr>
        <w:pStyle w:val="Heading3"/>
      </w:pPr>
      <w:r>
        <w:t>Scope of systemic investigation powers are too narrow</w:t>
      </w:r>
    </w:p>
    <w:p w14:paraId="705DE1EF" w14:textId="094962BC" w:rsidR="0007188C" w:rsidRPr="004A078B" w:rsidRDefault="00814945" w:rsidP="00284D9A">
      <w:pPr>
        <w:pStyle w:val="Numberedparagraph"/>
        <w:numPr>
          <w:ilvl w:val="0"/>
          <w:numId w:val="1"/>
        </w:numPr>
        <w:spacing w:line="240" w:lineRule="auto"/>
        <w:ind w:left="567" w:hanging="567"/>
        <w:rPr>
          <w:rFonts w:eastAsia="Times New Roman"/>
        </w:rPr>
      </w:pPr>
      <w:r w:rsidRPr="006B6212">
        <w:rPr>
          <w:rFonts w:eastAsia="Times New Roman"/>
        </w:rPr>
        <w:t xml:space="preserve">As drafted, the Bill only provides the Commission </w:t>
      </w:r>
      <w:r w:rsidR="001077B9">
        <w:rPr>
          <w:rFonts w:eastAsia="Times New Roman"/>
        </w:rPr>
        <w:t xml:space="preserve">with </w:t>
      </w:r>
      <w:r w:rsidRPr="006B6212">
        <w:rPr>
          <w:rFonts w:eastAsia="Times New Roman"/>
        </w:rPr>
        <w:t xml:space="preserve">an ‘own motion’ power to investigate contraventions of the Act if they are suspected </w:t>
      </w:r>
      <w:r w:rsidR="001077B9">
        <w:rPr>
          <w:rFonts w:eastAsia="Times New Roman"/>
        </w:rPr>
        <w:t>of</w:t>
      </w:r>
      <w:r w:rsidRPr="006B6212">
        <w:rPr>
          <w:rFonts w:eastAsia="Times New Roman"/>
        </w:rPr>
        <w:t xml:space="preserve"> </w:t>
      </w:r>
      <w:r w:rsidR="009B54DC">
        <w:rPr>
          <w:rFonts w:eastAsia="Times New Roman"/>
        </w:rPr>
        <w:t>happening</w:t>
      </w:r>
      <w:r w:rsidR="009B54DC" w:rsidRPr="006B6212">
        <w:rPr>
          <w:rFonts w:eastAsia="Times New Roman"/>
        </w:rPr>
        <w:t xml:space="preserve"> </w:t>
      </w:r>
      <w:r w:rsidRPr="006B6212">
        <w:rPr>
          <w:rFonts w:eastAsia="Times New Roman"/>
        </w:rPr>
        <w:t>at work, are systemic in nature</w:t>
      </w:r>
      <w:r w:rsidR="001077B9">
        <w:rPr>
          <w:rFonts w:eastAsia="Times New Roman"/>
        </w:rPr>
        <w:t>,</w:t>
      </w:r>
      <w:r w:rsidRPr="006B6212">
        <w:rPr>
          <w:rFonts w:eastAsia="Times New Roman"/>
        </w:rPr>
        <w:t xml:space="preserve"> and </w:t>
      </w:r>
      <w:proofErr w:type="gramStart"/>
      <w:r w:rsidRPr="006B6212">
        <w:rPr>
          <w:rFonts w:eastAsia="Times New Roman"/>
        </w:rPr>
        <w:t>on the basis of</w:t>
      </w:r>
      <w:proofErr w:type="gramEnd"/>
      <w:r w:rsidRPr="006B6212">
        <w:rPr>
          <w:rFonts w:eastAsia="Times New Roman"/>
        </w:rPr>
        <w:t xml:space="preserve"> sex. </w:t>
      </w:r>
      <w:r w:rsidR="0010275E">
        <w:rPr>
          <w:rFonts w:eastAsia="Times New Roman"/>
        </w:rPr>
        <w:t>No</w:t>
      </w:r>
      <w:r w:rsidR="00222CE3" w:rsidRPr="0007188C">
        <w:rPr>
          <w:rFonts w:eastAsia="Times New Roman"/>
        </w:rPr>
        <w:t xml:space="preserve"> similar own motion powers of investigation </w:t>
      </w:r>
      <w:r w:rsidR="00CA7BF7">
        <w:rPr>
          <w:rFonts w:eastAsia="Times New Roman"/>
        </w:rPr>
        <w:t>would be</w:t>
      </w:r>
      <w:r w:rsidR="0010275E">
        <w:rPr>
          <w:rFonts w:eastAsia="Times New Roman"/>
        </w:rPr>
        <w:t xml:space="preserve"> available to the Commission </w:t>
      </w:r>
      <w:r w:rsidR="008B3C30">
        <w:rPr>
          <w:rFonts w:eastAsia="Times New Roman"/>
        </w:rPr>
        <w:t>for</w:t>
      </w:r>
      <w:r w:rsidR="00222CE3" w:rsidRPr="0007188C">
        <w:rPr>
          <w:rFonts w:eastAsia="Times New Roman"/>
        </w:rPr>
        <w:t xml:space="preserve"> other contraventions such as systemic race or disability discrimination. </w:t>
      </w:r>
    </w:p>
    <w:p w14:paraId="66DFEA50" w14:textId="4DDBF9F6" w:rsidR="0007188C" w:rsidRDefault="0007188C" w:rsidP="00284D9A">
      <w:pPr>
        <w:pStyle w:val="Numberedparagraph"/>
        <w:numPr>
          <w:ilvl w:val="0"/>
          <w:numId w:val="1"/>
        </w:numPr>
        <w:spacing w:line="240" w:lineRule="auto"/>
        <w:ind w:left="567" w:hanging="567"/>
        <w:rPr>
          <w:rFonts w:eastAsia="Times New Roman"/>
        </w:rPr>
      </w:pPr>
      <w:r>
        <w:rPr>
          <w:rFonts w:eastAsia="Times New Roman"/>
        </w:rPr>
        <w:t xml:space="preserve">The Explanatory Notes state that the power to conduct an investigation is central to the Commission’s new functions to ‘proactively support compliance with the Act, rather than simply relying on individuals </w:t>
      </w:r>
      <w:r w:rsidR="00E379C1">
        <w:rPr>
          <w:rFonts w:eastAsia="Times New Roman"/>
        </w:rPr>
        <w:t>subject</w:t>
      </w:r>
      <w:r w:rsidR="005C1297">
        <w:rPr>
          <w:rFonts w:eastAsia="Times New Roman"/>
        </w:rPr>
        <w:t xml:space="preserve"> </w:t>
      </w:r>
      <w:r>
        <w:rPr>
          <w:rFonts w:eastAsia="Times New Roman"/>
        </w:rPr>
        <w:t xml:space="preserve">to alleged contraventions making </w:t>
      </w:r>
      <w:proofErr w:type="gramStart"/>
      <w:r>
        <w:rPr>
          <w:rFonts w:eastAsia="Times New Roman"/>
        </w:rPr>
        <w:t>complaints’</w:t>
      </w:r>
      <w:proofErr w:type="gramEnd"/>
      <w:r>
        <w:rPr>
          <w:rFonts w:eastAsia="Times New Roman"/>
        </w:rPr>
        <w:t>.</w:t>
      </w:r>
      <w:r>
        <w:rPr>
          <w:rStyle w:val="FootnoteReference"/>
          <w:rFonts w:eastAsia="Times New Roman"/>
        </w:rPr>
        <w:footnoteReference w:id="13"/>
      </w:r>
      <w:r>
        <w:rPr>
          <w:rFonts w:eastAsia="Times New Roman"/>
        </w:rPr>
        <w:t xml:space="preserve"> However, there is insufficient justification as to why own motion investigations can only be started in relation to systemic sex discrimination at work. </w:t>
      </w:r>
    </w:p>
    <w:p w14:paraId="77E36854" w14:textId="162C0C5E" w:rsidR="0007188C" w:rsidRPr="0007188C" w:rsidRDefault="007B3BFE" w:rsidP="00284D9A">
      <w:pPr>
        <w:pStyle w:val="Numberedparagraph"/>
        <w:numPr>
          <w:ilvl w:val="0"/>
          <w:numId w:val="1"/>
        </w:numPr>
        <w:spacing w:line="240" w:lineRule="auto"/>
        <w:ind w:left="567" w:hanging="567"/>
        <w:rPr>
          <w:rFonts w:eastAsia="Times New Roman"/>
        </w:rPr>
      </w:pPr>
      <w:r>
        <w:rPr>
          <w:rFonts w:eastAsia="Times New Roman"/>
        </w:rPr>
        <w:t>When</w:t>
      </w:r>
      <w:r w:rsidRPr="004A078B">
        <w:rPr>
          <w:rFonts w:eastAsia="Times New Roman"/>
        </w:rPr>
        <w:t xml:space="preserve"> </w:t>
      </w:r>
      <w:r w:rsidR="00C52006">
        <w:rPr>
          <w:rFonts w:eastAsia="Times New Roman"/>
        </w:rPr>
        <w:t xml:space="preserve">undertaking </w:t>
      </w:r>
      <w:r w:rsidR="0007188C" w:rsidRPr="004A078B">
        <w:rPr>
          <w:rFonts w:eastAsia="Times New Roman"/>
        </w:rPr>
        <w:t xml:space="preserve">the </w:t>
      </w:r>
      <w:r w:rsidR="0007188C" w:rsidRPr="0007188C">
        <w:rPr>
          <w:rFonts w:eastAsia="Times New Roman"/>
          <w:i/>
          <w:iCs/>
        </w:rPr>
        <w:t>Building Belonging</w:t>
      </w:r>
      <w:r w:rsidR="0007188C" w:rsidRPr="0007188C">
        <w:rPr>
          <w:rFonts w:eastAsia="Times New Roman"/>
        </w:rPr>
        <w:t xml:space="preserve"> review, the Commission heard about situations outside of workplaces </w:t>
      </w:r>
      <w:r w:rsidR="002E3AAC">
        <w:rPr>
          <w:rFonts w:eastAsia="Times New Roman"/>
        </w:rPr>
        <w:t>that</w:t>
      </w:r>
      <w:r w:rsidR="002E3AAC" w:rsidRPr="0007188C">
        <w:rPr>
          <w:rFonts w:eastAsia="Times New Roman"/>
        </w:rPr>
        <w:t xml:space="preserve"> </w:t>
      </w:r>
      <w:r w:rsidR="0007188C" w:rsidRPr="0007188C">
        <w:rPr>
          <w:rFonts w:eastAsia="Times New Roman"/>
        </w:rPr>
        <w:t xml:space="preserve">were clearly unlawful, </w:t>
      </w:r>
      <w:r w:rsidR="00E14035">
        <w:rPr>
          <w:rFonts w:eastAsia="Times New Roman"/>
        </w:rPr>
        <w:t>but where no individuals were</w:t>
      </w:r>
      <w:r w:rsidR="0007188C" w:rsidRPr="0007188C">
        <w:rPr>
          <w:rFonts w:eastAsia="Times New Roman"/>
        </w:rPr>
        <w:t xml:space="preserve"> prepared to make a complaint because of negative </w:t>
      </w:r>
      <w:r w:rsidR="00A939A2">
        <w:rPr>
          <w:rFonts w:eastAsia="Times New Roman"/>
        </w:rPr>
        <w:t xml:space="preserve">consequences. </w:t>
      </w:r>
      <w:r w:rsidR="0007188C" w:rsidRPr="0007188C">
        <w:rPr>
          <w:rFonts w:eastAsia="Times New Roman"/>
        </w:rPr>
        <w:t xml:space="preserve">For instance, </w:t>
      </w:r>
      <w:r w:rsidR="00597DC1">
        <w:rPr>
          <w:rFonts w:eastAsia="Times New Roman"/>
        </w:rPr>
        <w:t xml:space="preserve">in a regional area </w:t>
      </w:r>
      <w:r w:rsidR="00E14035">
        <w:rPr>
          <w:rFonts w:eastAsia="Times New Roman"/>
        </w:rPr>
        <w:t>we heard that</w:t>
      </w:r>
      <w:r w:rsidR="0007188C">
        <w:rPr>
          <w:rFonts w:eastAsia="Times New Roman"/>
        </w:rPr>
        <w:t xml:space="preserve"> </w:t>
      </w:r>
      <w:r w:rsidR="00597DC1">
        <w:rPr>
          <w:rFonts w:eastAsia="Times New Roman"/>
        </w:rPr>
        <w:t xml:space="preserve">rental application forms </w:t>
      </w:r>
      <w:r w:rsidR="00EC70BD">
        <w:rPr>
          <w:rFonts w:eastAsia="Times New Roman"/>
        </w:rPr>
        <w:t xml:space="preserve">were starting to </w:t>
      </w:r>
      <w:r w:rsidR="00977A1E">
        <w:rPr>
          <w:rFonts w:eastAsia="Times New Roman"/>
        </w:rPr>
        <w:t xml:space="preserve">include a </w:t>
      </w:r>
      <w:r w:rsidR="0074282E">
        <w:rPr>
          <w:rFonts w:eastAsia="Times New Roman"/>
        </w:rPr>
        <w:t xml:space="preserve">question about whether </w:t>
      </w:r>
      <w:r w:rsidR="00EC70BD">
        <w:rPr>
          <w:rFonts w:eastAsia="Times New Roman"/>
        </w:rPr>
        <w:t xml:space="preserve">the applicant is </w:t>
      </w:r>
      <w:r w:rsidR="0007188C">
        <w:rPr>
          <w:rFonts w:eastAsia="Times New Roman"/>
        </w:rPr>
        <w:t>Aboriginal or Torres Strait Islander.</w:t>
      </w:r>
      <w:r w:rsidR="00E14035">
        <w:rPr>
          <w:rFonts w:eastAsia="Times New Roman"/>
        </w:rPr>
        <w:t xml:space="preserve"> </w:t>
      </w:r>
      <w:r w:rsidR="0007188C">
        <w:rPr>
          <w:rFonts w:eastAsia="Times New Roman"/>
        </w:rPr>
        <w:t xml:space="preserve">The community considered they were being screened out as potential </w:t>
      </w:r>
      <w:r w:rsidR="00385BE6">
        <w:rPr>
          <w:rFonts w:eastAsia="Times New Roman"/>
        </w:rPr>
        <w:t>renters but</w:t>
      </w:r>
      <w:r w:rsidR="0007188C">
        <w:rPr>
          <w:rFonts w:eastAsia="Times New Roman"/>
        </w:rPr>
        <w:t xml:space="preserve"> feared </w:t>
      </w:r>
      <w:r w:rsidR="00D86A54">
        <w:rPr>
          <w:rFonts w:eastAsia="Times New Roman"/>
        </w:rPr>
        <w:t>repercussions if they raised their concerns.</w:t>
      </w:r>
    </w:p>
    <w:p w14:paraId="18E7595F" w14:textId="1DEC55FA" w:rsidR="00455B24" w:rsidRPr="002A5537" w:rsidRDefault="00814945" w:rsidP="00284D9A">
      <w:pPr>
        <w:pStyle w:val="Numberedparagraph"/>
        <w:numPr>
          <w:ilvl w:val="0"/>
          <w:numId w:val="1"/>
        </w:numPr>
        <w:spacing w:line="240" w:lineRule="auto"/>
        <w:ind w:left="567" w:hanging="567"/>
        <w:rPr>
          <w:rFonts w:eastAsia="Times New Roman"/>
        </w:rPr>
      </w:pPr>
      <w:r w:rsidRPr="004A078B">
        <w:rPr>
          <w:rFonts w:eastAsia="Times New Roman"/>
        </w:rPr>
        <w:t xml:space="preserve">While </w:t>
      </w:r>
      <w:r w:rsidR="006B6212">
        <w:rPr>
          <w:rFonts w:eastAsia="Times New Roman"/>
        </w:rPr>
        <w:t>the Commission</w:t>
      </w:r>
      <w:r w:rsidRPr="006B6212">
        <w:rPr>
          <w:rFonts w:eastAsia="Times New Roman"/>
        </w:rPr>
        <w:t xml:space="preserve"> anticipate</w:t>
      </w:r>
      <w:r w:rsidR="00EC70BD">
        <w:rPr>
          <w:rFonts w:eastAsia="Times New Roman"/>
        </w:rPr>
        <w:t>s</w:t>
      </w:r>
      <w:r w:rsidRPr="006B6212">
        <w:rPr>
          <w:rFonts w:eastAsia="Times New Roman"/>
        </w:rPr>
        <w:t xml:space="preserve"> investigative powers will only be used in limited circumstances to address the most serious and systemic conduct</w:t>
      </w:r>
      <w:r w:rsidR="00872069">
        <w:rPr>
          <w:rFonts w:eastAsia="Times New Roman"/>
        </w:rPr>
        <w:t>,</w:t>
      </w:r>
      <w:r w:rsidR="00041257">
        <w:rPr>
          <w:rFonts w:eastAsia="Times New Roman"/>
        </w:rPr>
        <w:t xml:space="preserve"> </w:t>
      </w:r>
      <w:r w:rsidR="00F652DC">
        <w:rPr>
          <w:rFonts w:eastAsia="Times New Roman"/>
        </w:rPr>
        <w:t>w</w:t>
      </w:r>
      <w:r w:rsidR="0007188C" w:rsidRPr="006B6212">
        <w:rPr>
          <w:rFonts w:eastAsia="Times New Roman"/>
        </w:rPr>
        <w:t>hen used strategically, systemic investigations can have a trickle-down effect on duty holders and create positive cultural change.</w:t>
      </w:r>
      <w:r w:rsidR="00041257">
        <w:rPr>
          <w:rFonts w:eastAsia="Times New Roman"/>
        </w:rPr>
        <w:t xml:space="preserve"> </w:t>
      </w:r>
    </w:p>
    <w:p w14:paraId="73209485" w14:textId="2B39EC19" w:rsidR="00481C59" w:rsidRPr="00D878E3" w:rsidRDefault="00481C59" w:rsidP="00980ED2">
      <w:pPr>
        <w:pStyle w:val="Recommendation"/>
      </w:pPr>
      <w:bookmarkStart w:id="16" w:name="_Hlk169620801"/>
      <w:r w:rsidRPr="00D878E3">
        <w:t>Recommendation</w:t>
      </w:r>
      <w:r w:rsidR="00980ED2">
        <w:t xml:space="preserve"> 3</w:t>
      </w:r>
    </w:p>
    <w:bookmarkEnd w:id="16"/>
    <w:p w14:paraId="39DFE367" w14:textId="4E2A6A3E" w:rsidR="005F75EE" w:rsidRDefault="0053628D" w:rsidP="00182A18">
      <w:pPr>
        <w:spacing w:before="120" w:after="200" w:line="276" w:lineRule="auto"/>
      </w:pPr>
      <w:r w:rsidRPr="008036FE">
        <w:t xml:space="preserve">Expand the capacity to undertake systemic investigations </w:t>
      </w:r>
      <w:r w:rsidR="00156FA1">
        <w:t xml:space="preserve">to cover </w:t>
      </w:r>
      <w:r w:rsidRPr="008036FE">
        <w:t>all unlawful conduct covered by the Act, an</w:t>
      </w:r>
      <w:r w:rsidR="00932444">
        <w:t>d in relation to</w:t>
      </w:r>
      <w:r w:rsidRPr="008036FE">
        <w:t xml:space="preserve"> all attribute(s) and areas of activity</w:t>
      </w:r>
      <w:r>
        <w:t>.</w:t>
      </w:r>
    </w:p>
    <w:p w14:paraId="3DFBC8A9" w14:textId="46AF56BA" w:rsidR="00496E07" w:rsidRDefault="00496E07" w:rsidP="007758A7">
      <w:pPr>
        <w:pStyle w:val="Heading2"/>
      </w:pPr>
      <w:bookmarkStart w:id="17" w:name="_Toc171341069"/>
      <w:r>
        <w:lastRenderedPageBreak/>
        <w:t xml:space="preserve">Changes to complaints </w:t>
      </w:r>
      <w:r w:rsidR="00171832">
        <w:t>complicate</w:t>
      </w:r>
      <w:r>
        <w:t xml:space="preserve"> rather than improve </w:t>
      </w:r>
      <w:r w:rsidR="009271C3">
        <w:t>outdated complaint procedures</w:t>
      </w:r>
      <w:bookmarkEnd w:id="17"/>
    </w:p>
    <w:p w14:paraId="475E4FB9" w14:textId="18B488D5" w:rsidR="00FD0C42" w:rsidRDefault="00713BA2" w:rsidP="00284D9A">
      <w:pPr>
        <w:pStyle w:val="Numberedparagraph"/>
        <w:numPr>
          <w:ilvl w:val="0"/>
          <w:numId w:val="1"/>
        </w:numPr>
        <w:spacing w:line="240" w:lineRule="auto"/>
        <w:ind w:left="567" w:hanging="567"/>
      </w:pPr>
      <w:r>
        <w:t xml:space="preserve">A major focus of </w:t>
      </w:r>
      <w:r>
        <w:rPr>
          <w:i/>
          <w:iCs/>
        </w:rPr>
        <w:t xml:space="preserve">Building Belonging </w:t>
      </w:r>
      <w:r>
        <w:t xml:space="preserve">was improving the complaints </w:t>
      </w:r>
      <w:r w:rsidR="00191C97">
        <w:t>provisions</w:t>
      </w:r>
      <w:r w:rsidR="008A370B">
        <w:t xml:space="preserve">, which </w:t>
      </w:r>
      <w:r w:rsidR="00191C97">
        <w:t>are</w:t>
      </w:r>
      <w:r w:rsidR="008A370B">
        <w:t xml:space="preserve"> outdated and overly prescriptive</w:t>
      </w:r>
      <w:r>
        <w:t xml:space="preserve">. </w:t>
      </w:r>
      <w:r w:rsidR="00890601">
        <w:t>But</w:t>
      </w:r>
      <w:r w:rsidR="008A370B">
        <w:t xml:space="preserve"> t</w:t>
      </w:r>
      <w:r w:rsidR="00FD0C42">
        <w:t>he Bill as drafted will worsen</w:t>
      </w:r>
      <w:r w:rsidR="008A370B">
        <w:t xml:space="preserve"> </w:t>
      </w:r>
      <w:r w:rsidR="00890601">
        <w:t xml:space="preserve">– </w:t>
      </w:r>
      <w:r w:rsidR="008A370B">
        <w:t>rather than improve</w:t>
      </w:r>
      <w:r w:rsidR="00FD0C42">
        <w:t xml:space="preserve"> </w:t>
      </w:r>
      <w:r w:rsidR="00890601">
        <w:t xml:space="preserve">– </w:t>
      </w:r>
      <w:r w:rsidR="00FD0C42">
        <w:t>the experience of complaint parties</w:t>
      </w:r>
      <w:r w:rsidR="00890601">
        <w:t>.</w:t>
      </w:r>
      <w:r w:rsidR="00473EE9">
        <w:t xml:space="preserve"> </w:t>
      </w:r>
      <w:r w:rsidR="00890601">
        <w:t>It</w:t>
      </w:r>
      <w:r w:rsidR="00473EE9">
        <w:t xml:space="preserve"> </w:t>
      </w:r>
      <w:r w:rsidR="008A370B">
        <w:t xml:space="preserve">will </w:t>
      </w:r>
      <w:r w:rsidR="008A27F7">
        <w:t>create delays and reduce</w:t>
      </w:r>
      <w:r w:rsidR="00E43CC0">
        <w:t xml:space="preserve"> the</w:t>
      </w:r>
      <w:r w:rsidR="008A27F7">
        <w:t xml:space="preserve"> efficiency of the Commission’s complaint handling process.</w:t>
      </w:r>
    </w:p>
    <w:p w14:paraId="274F8B40" w14:textId="2EF46696" w:rsidR="00641334" w:rsidRDefault="000D55AD" w:rsidP="00284D9A">
      <w:pPr>
        <w:pStyle w:val="Numberedparagraph"/>
        <w:numPr>
          <w:ilvl w:val="0"/>
          <w:numId w:val="1"/>
        </w:numPr>
        <w:spacing w:line="240" w:lineRule="auto"/>
        <w:ind w:left="567" w:hanging="567"/>
      </w:pPr>
      <w:r>
        <w:t xml:space="preserve">The Bill creates different time limits for complaints that allege sex-related </w:t>
      </w:r>
      <w:r w:rsidR="00043C80">
        <w:t xml:space="preserve">contraventions </w:t>
      </w:r>
      <w:r w:rsidR="00A42051">
        <w:t>at work</w:t>
      </w:r>
      <w:r>
        <w:t xml:space="preserve"> from those that do not.</w:t>
      </w:r>
      <w:r>
        <w:rPr>
          <w:rStyle w:val="FootnoteReference"/>
        </w:rPr>
        <w:footnoteReference w:id="14"/>
      </w:r>
      <w:r>
        <w:t xml:space="preserve"> This </w:t>
      </w:r>
      <w:r w:rsidR="00A75E24">
        <w:t xml:space="preserve">will </w:t>
      </w:r>
      <w:r>
        <w:t xml:space="preserve">result in some allegations having a 2-year time limit </w:t>
      </w:r>
      <w:r w:rsidR="004C55A1">
        <w:t>while</w:t>
      </w:r>
      <w:r>
        <w:t xml:space="preserve"> others having a 1-year time limit</w:t>
      </w:r>
      <w:r w:rsidR="00581483">
        <w:t xml:space="preserve">, depending on the area of activity (work or </w:t>
      </w:r>
      <w:r w:rsidR="00E02801">
        <w:t>another area</w:t>
      </w:r>
      <w:r w:rsidR="00581483">
        <w:t>) and the relevant attributes or contraventions (</w:t>
      </w:r>
      <w:proofErr w:type="gramStart"/>
      <w:r w:rsidR="00C86A1E">
        <w:t>on the basis of</w:t>
      </w:r>
      <w:proofErr w:type="gramEnd"/>
      <w:r w:rsidR="00C86A1E">
        <w:t xml:space="preserve"> sex or </w:t>
      </w:r>
      <w:r w:rsidR="00F774C4">
        <w:t>a different attribute</w:t>
      </w:r>
      <w:r w:rsidR="00C86A1E">
        <w:t>)</w:t>
      </w:r>
      <w:r>
        <w:t xml:space="preserve">. </w:t>
      </w:r>
    </w:p>
    <w:p w14:paraId="6D574625" w14:textId="407E1129" w:rsidR="00F02D71" w:rsidRDefault="000D55AD" w:rsidP="00284D9A">
      <w:pPr>
        <w:pStyle w:val="Numberedparagraph"/>
        <w:numPr>
          <w:ilvl w:val="0"/>
          <w:numId w:val="1"/>
        </w:numPr>
        <w:spacing w:line="240" w:lineRule="auto"/>
        <w:ind w:left="567" w:hanging="567"/>
      </w:pPr>
      <w:r>
        <w:t xml:space="preserve">The Explanatory Notes refer to the Australian Human Rights Commission’s </w:t>
      </w:r>
      <w:proofErr w:type="spellStart"/>
      <w:r w:rsidRPr="00B2286A">
        <w:rPr>
          <w:i/>
        </w:rPr>
        <w:t>Respect@Work</w:t>
      </w:r>
      <w:proofErr w:type="spellEnd"/>
      <w:r>
        <w:t xml:space="preserve"> </w:t>
      </w:r>
      <w:r w:rsidR="001339A3">
        <w:t>r</w:t>
      </w:r>
      <w:r>
        <w:t xml:space="preserve">eport which recommended amending the time limit under </w:t>
      </w:r>
      <w:r w:rsidR="00960F22">
        <w:t>the federal Sex Discrimination Act</w:t>
      </w:r>
      <w:r>
        <w:t xml:space="preserve">. </w:t>
      </w:r>
      <w:r w:rsidR="00B2286A">
        <w:t>However, a</w:t>
      </w:r>
      <w:r>
        <w:t xml:space="preserve">ll federal discrimination laws have since been standardised to </w:t>
      </w:r>
      <w:r w:rsidR="006D2321">
        <w:t xml:space="preserve">provide </w:t>
      </w:r>
      <w:r w:rsidR="00AD2744">
        <w:t>a 2-year</w:t>
      </w:r>
      <w:r>
        <w:t xml:space="preserve"> time limit for making a complaint.</w:t>
      </w:r>
      <w:r>
        <w:rPr>
          <w:rStyle w:val="FootnoteReference"/>
        </w:rPr>
        <w:footnoteReference w:id="15"/>
      </w:r>
    </w:p>
    <w:p w14:paraId="0CFA4EAC" w14:textId="21E4816A" w:rsidR="00DF625A" w:rsidRPr="00E022DC" w:rsidRDefault="00B61A63" w:rsidP="00284D9A">
      <w:pPr>
        <w:pStyle w:val="Numberedparagraph"/>
        <w:numPr>
          <w:ilvl w:val="0"/>
          <w:numId w:val="1"/>
        </w:numPr>
        <w:spacing w:line="240" w:lineRule="auto"/>
        <w:ind w:left="567" w:hanging="567"/>
      </w:pPr>
      <w:r>
        <w:t>The Commission anticipates that d</w:t>
      </w:r>
      <w:r w:rsidR="0046113A">
        <w:t xml:space="preserve">ifferent time limits will pose </w:t>
      </w:r>
      <w:r w:rsidR="00C51920">
        <w:t xml:space="preserve">serious </w:t>
      </w:r>
      <w:r w:rsidR="00545FBC">
        <w:t xml:space="preserve">difficulties </w:t>
      </w:r>
      <w:r w:rsidR="00651BAF">
        <w:t xml:space="preserve">that may not </w:t>
      </w:r>
      <w:r w:rsidR="00A20FEE">
        <w:t xml:space="preserve">have </w:t>
      </w:r>
      <w:r w:rsidR="00651BAF">
        <w:t xml:space="preserve">been anticipated when </w:t>
      </w:r>
      <w:r w:rsidR="00A8089C">
        <w:t>introducing</w:t>
      </w:r>
      <w:r w:rsidR="00651BAF">
        <w:t xml:space="preserve"> variable time limits. Commission staff </w:t>
      </w:r>
      <w:r w:rsidR="0087795F">
        <w:t>w</w:t>
      </w:r>
      <w:r w:rsidR="00BD01EB">
        <w:t>ill</w:t>
      </w:r>
      <w:r w:rsidR="0087795F">
        <w:t xml:space="preserve"> be called on to</w:t>
      </w:r>
      <w:r w:rsidR="00651BAF">
        <w:t xml:space="preserve"> </w:t>
      </w:r>
      <w:r w:rsidR="00651BAF" w:rsidRPr="00E022DC">
        <w:t xml:space="preserve">explain </w:t>
      </w:r>
      <w:r w:rsidR="00BD01EB">
        <w:t xml:space="preserve">this inconsistency </w:t>
      </w:r>
      <w:r w:rsidR="00651BAF" w:rsidRPr="00E022DC">
        <w:t>and its rationale</w:t>
      </w:r>
      <w:r w:rsidR="00651BAF">
        <w:t xml:space="preserve">, </w:t>
      </w:r>
      <w:r w:rsidR="00BD01EB">
        <w:t>which</w:t>
      </w:r>
      <w:r w:rsidR="00651BAF">
        <w:t xml:space="preserve"> is likely to cause serious frustration for complaint parties and the </w:t>
      </w:r>
      <w:r w:rsidR="00BD01EB">
        <w:t>t</w:t>
      </w:r>
      <w:r w:rsidR="00651BAF">
        <w:t>ribunal</w:t>
      </w:r>
      <w:r w:rsidR="00651BAF" w:rsidRPr="00E022DC">
        <w:t>.</w:t>
      </w:r>
    </w:p>
    <w:p w14:paraId="75156B40" w14:textId="299A1AB8" w:rsidR="003B0E0D" w:rsidRDefault="00E02801" w:rsidP="00284D9A">
      <w:pPr>
        <w:pStyle w:val="Numberedparagraph"/>
        <w:numPr>
          <w:ilvl w:val="0"/>
          <w:numId w:val="1"/>
        </w:numPr>
        <w:spacing w:line="240" w:lineRule="auto"/>
        <w:ind w:left="567" w:hanging="567"/>
      </w:pPr>
      <w:r>
        <w:t>Frequently</w:t>
      </w:r>
      <w:r w:rsidR="000D3E66">
        <w:t xml:space="preserve"> complaints </w:t>
      </w:r>
      <w:r w:rsidR="003A131F">
        <w:t>allege</w:t>
      </w:r>
      <w:r w:rsidR="000D3E66">
        <w:t xml:space="preserve"> a </w:t>
      </w:r>
      <w:r w:rsidR="00A368DB">
        <w:t>contravention on the basis of sex</w:t>
      </w:r>
      <w:r w:rsidR="00012190">
        <w:t xml:space="preserve"> </w:t>
      </w:r>
      <w:r w:rsidR="003A131F">
        <w:t xml:space="preserve">as well as </w:t>
      </w:r>
      <w:r w:rsidR="00012190">
        <w:t xml:space="preserve">and </w:t>
      </w:r>
      <w:r w:rsidR="00DD285F">
        <w:t>another</w:t>
      </w:r>
      <w:r w:rsidR="00012190">
        <w:t xml:space="preserve"> attribute</w:t>
      </w:r>
      <w:r w:rsidR="00FD307E">
        <w:t>/</w:t>
      </w:r>
      <w:proofErr w:type="gramStart"/>
      <w:r w:rsidR="00C51920">
        <w:t>s</w:t>
      </w:r>
      <w:r w:rsidR="00FD307E">
        <w:t>,</w:t>
      </w:r>
      <w:r w:rsidR="00C51920">
        <w:t xml:space="preserve"> and</w:t>
      </w:r>
      <w:proofErr w:type="gramEnd"/>
      <w:r w:rsidR="006763F4">
        <w:t xml:space="preserve"> may </w:t>
      </w:r>
      <w:r w:rsidR="00B51540">
        <w:t>occur</w:t>
      </w:r>
      <w:r w:rsidR="006763F4">
        <w:t xml:space="preserve"> </w:t>
      </w:r>
      <w:r w:rsidR="00B51540">
        <w:t xml:space="preserve">across </w:t>
      </w:r>
      <w:r w:rsidR="00C51920">
        <w:t>multiple</w:t>
      </w:r>
      <w:r w:rsidR="006763F4">
        <w:t xml:space="preserve"> areas of activity</w:t>
      </w:r>
      <w:r w:rsidR="00012190">
        <w:t>.</w:t>
      </w:r>
      <w:r w:rsidR="00C42449">
        <w:t xml:space="preserve"> </w:t>
      </w:r>
    </w:p>
    <w:p w14:paraId="39EB14C8" w14:textId="013DDF37" w:rsidR="00641334" w:rsidRDefault="004F6EA1" w:rsidP="00284D9A">
      <w:pPr>
        <w:pStyle w:val="Numberedparagraph"/>
        <w:numPr>
          <w:ilvl w:val="0"/>
          <w:numId w:val="1"/>
        </w:numPr>
        <w:spacing w:line="240" w:lineRule="auto"/>
        <w:ind w:left="567" w:hanging="567"/>
      </w:pPr>
      <w:r>
        <w:t>V</w:t>
      </w:r>
      <w:r w:rsidR="009412BB">
        <w:t>arying time limits create</w:t>
      </w:r>
      <w:r w:rsidR="00C42449">
        <w:t xml:space="preserve"> </w:t>
      </w:r>
      <w:r w:rsidR="009E709F">
        <w:t xml:space="preserve">practical </w:t>
      </w:r>
      <w:r w:rsidR="00C42449">
        <w:t>problems in situations where a person complains about:</w:t>
      </w:r>
    </w:p>
    <w:p w14:paraId="5D8D1E9A" w14:textId="519CAE9C" w:rsidR="0003495A" w:rsidRDefault="001A52CA" w:rsidP="007758A7">
      <w:pPr>
        <w:pStyle w:val="Bulletedlist"/>
      </w:pPr>
      <w:r>
        <w:t>a course of conduct</w:t>
      </w:r>
      <w:r w:rsidR="004545F5">
        <w:t xml:space="preserve"> </w:t>
      </w:r>
      <w:r>
        <w:t xml:space="preserve">which </w:t>
      </w:r>
      <w:r w:rsidR="00FD0C42">
        <w:t>has included a combination of</w:t>
      </w:r>
      <w:r>
        <w:t xml:space="preserve"> sexual harassment </w:t>
      </w:r>
      <w:r w:rsidR="00CD39EE">
        <w:t>with other unlawful treatment, e.g. impairment discrimination</w:t>
      </w:r>
    </w:p>
    <w:p w14:paraId="5230B26F" w14:textId="6EB0AD53" w:rsidR="00641334" w:rsidRDefault="00B51540" w:rsidP="007758A7">
      <w:pPr>
        <w:pStyle w:val="Bulletedlist"/>
      </w:pPr>
      <w:r>
        <w:t>a single allegation</w:t>
      </w:r>
      <w:r w:rsidR="005D1AF9">
        <w:t xml:space="preserve"> which</w:t>
      </w:r>
      <w:r w:rsidR="000252E0">
        <w:t xml:space="preserve"> amount</w:t>
      </w:r>
      <w:r>
        <w:t>s</w:t>
      </w:r>
      <w:r w:rsidR="000252E0">
        <w:t xml:space="preserve"> to</w:t>
      </w:r>
      <w:r w:rsidR="00641334">
        <w:t xml:space="preserve"> both sex discrimination and another form of discrimination, e.g. </w:t>
      </w:r>
      <w:r w:rsidR="00851505">
        <w:t xml:space="preserve">being subjected to abuse that is </w:t>
      </w:r>
      <w:r w:rsidR="005D1AF9">
        <w:t>both racist and sexist</w:t>
      </w:r>
    </w:p>
    <w:p w14:paraId="1C058518" w14:textId="0AF64204" w:rsidR="00E022DC" w:rsidRDefault="00362DEB" w:rsidP="003B0E0D">
      <w:pPr>
        <w:pStyle w:val="Bulletedlist"/>
      </w:pPr>
      <w:r>
        <w:t xml:space="preserve">a </w:t>
      </w:r>
      <w:r w:rsidR="00B51540">
        <w:t>series</w:t>
      </w:r>
      <w:r>
        <w:t xml:space="preserve"> of incidents where work colleagues have engaged in unlawful conduct, some of which occurred at work and some that did not.</w:t>
      </w:r>
    </w:p>
    <w:p w14:paraId="1895172B" w14:textId="77777777" w:rsidR="00BB2B5C" w:rsidRDefault="00BB2B5C" w:rsidP="00284D9A">
      <w:pPr>
        <w:pStyle w:val="Numberedparagraph"/>
        <w:numPr>
          <w:ilvl w:val="0"/>
          <w:numId w:val="1"/>
        </w:numPr>
        <w:spacing w:line="240" w:lineRule="auto"/>
        <w:ind w:left="567" w:hanging="567"/>
      </w:pPr>
      <w:r>
        <w:t>Variable time limits in the current Bill would:</w:t>
      </w:r>
    </w:p>
    <w:p w14:paraId="2AA69AD9" w14:textId="3AA70C86" w:rsidR="00BB2B5C" w:rsidRPr="00174A46" w:rsidRDefault="00BB2B5C" w:rsidP="00174A46">
      <w:pPr>
        <w:pStyle w:val="Bulletedlist"/>
      </w:pPr>
      <w:r w:rsidRPr="00174A46">
        <w:t xml:space="preserve">be inconsistent </w:t>
      </w:r>
      <w:r w:rsidR="00EA490F">
        <w:t xml:space="preserve">with the right of </w:t>
      </w:r>
      <w:r w:rsidRPr="00174A46">
        <w:t xml:space="preserve">equality before the law and the right to equal and effective </w:t>
      </w:r>
      <w:r w:rsidR="0092364D">
        <w:t>protection</w:t>
      </w:r>
      <w:r w:rsidR="0092364D" w:rsidRPr="00174A46">
        <w:t xml:space="preserve"> </w:t>
      </w:r>
      <w:r w:rsidRPr="00174A46">
        <w:t xml:space="preserve">against discrimination under section 15 of the </w:t>
      </w:r>
      <w:r w:rsidRPr="005C27D5">
        <w:rPr>
          <w:i/>
        </w:rPr>
        <w:t>Human Rights Act 2019</w:t>
      </w:r>
      <w:r w:rsidR="00820A75">
        <w:t xml:space="preserve"> (Qld)</w:t>
      </w:r>
    </w:p>
    <w:p w14:paraId="548F4295" w14:textId="359843A0" w:rsidR="00BB2B5C" w:rsidRPr="00174A46" w:rsidRDefault="00BB2B5C" w:rsidP="00174A46">
      <w:pPr>
        <w:pStyle w:val="Bulletedlist"/>
      </w:pPr>
      <w:r w:rsidRPr="00174A46">
        <w:t>introduce further inconsistency with the federal law, without any apparent justification</w:t>
      </w:r>
    </w:p>
    <w:p w14:paraId="16FA4079" w14:textId="5490C58B" w:rsidR="00BB2B5C" w:rsidRPr="00174A46" w:rsidRDefault="00BB2B5C" w:rsidP="00174A46">
      <w:pPr>
        <w:pStyle w:val="Bulletedlist"/>
      </w:pPr>
      <w:r w:rsidRPr="00174A46">
        <w:lastRenderedPageBreak/>
        <w:t xml:space="preserve">worsen the experience of complainants seeking redress </w:t>
      </w:r>
      <w:r w:rsidR="005B13D8">
        <w:t>for</w:t>
      </w:r>
      <w:r w:rsidR="005B13D8" w:rsidRPr="00174A46">
        <w:t xml:space="preserve"> </w:t>
      </w:r>
      <w:r w:rsidRPr="00174A46">
        <w:t>intersectional disadvantage, which is of particular concern given that people with experiences of marginalisation because of their age, race, and/or LGBTIQ+ status experience sexual harassment and other demeaning conduct at a higher rate</w:t>
      </w:r>
      <w:r w:rsidR="009A59AB">
        <w:rPr>
          <w:rStyle w:val="FootnoteReference"/>
        </w:rPr>
        <w:footnoteReference w:id="16"/>
      </w:r>
    </w:p>
    <w:p w14:paraId="119EEA74" w14:textId="111C29B6" w:rsidR="00BB2B5C" w:rsidRDefault="00BB2B5C" w:rsidP="009A40A5">
      <w:pPr>
        <w:pStyle w:val="Bulletedlist"/>
      </w:pPr>
      <w:r w:rsidRPr="00174A46">
        <w:t xml:space="preserve">be impracticable for the Commission to implement and create more red tape, slowing down complaint assessment processes and increasing delays for any complainant who is alleging sex-based discrimination or harassment, or sexual harassment, in addition to </w:t>
      </w:r>
      <w:r w:rsidR="003A60BA">
        <w:t xml:space="preserve">discrimination on the ground of </w:t>
      </w:r>
      <w:r w:rsidRPr="00174A46">
        <w:t>another attribute</w:t>
      </w:r>
      <w:r w:rsidR="00DC5F7B">
        <w:t xml:space="preserve"> or in more than one area of activity</w:t>
      </w:r>
      <w:r w:rsidRPr="00174A46">
        <w:t>.</w:t>
      </w:r>
    </w:p>
    <w:p w14:paraId="2295E6FA" w14:textId="389AD5BD" w:rsidR="008955EA" w:rsidRDefault="00D820DC" w:rsidP="00980ED2">
      <w:pPr>
        <w:pStyle w:val="Recommendation"/>
      </w:pPr>
      <w:r w:rsidRPr="001E2F97">
        <w:t>Recommendation</w:t>
      </w:r>
      <w:r w:rsidR="00980ED2">
        <w:t xml:space="preserve"> 4</w:t>
      </w:r>
    </w:p>
    <w:p w14:paraId="4A4A57D2" w14:textId="4C32958C" w:rsidR="00372587" w:rsidRDefault="00372587" w:rsidP="005801A3">
      <w:pPr>
        <w:pStyle w:val="Bulletedlist"/>
        <w:numPr>
          <w:ilvl w:val="0"/>
          <w:numId w:val="0"/>
        </w:numPr>
      </w:pPr>
      <w:r>
        <w:t xml:space="preserve">Create a single time limit of 2 years </w:t>
      </w:r>
      <w:r w:rsidR="003A60BA">
        <w:t xml:space="preserve">for </w:t>
      </w:r>
      <w:r>
        <w:t>all attributes</w:t>
      </w:r>
      <w:r w:rsidR="0066241B">
        <w:t xml:space="preserve"> and areas</w:t>
      </w:r>
      <w:r w:rsidR="007F1A35">
        <w:t xml:space="preserve"> </w:t>
      </w:r>
      <w:r>
        <w:t>by amending clause 29 of the Bill so that it changes the wording of current section 138 as follows:</w:t>
      </w:r>
    </w:p>
    <w:p w14:paraId="4BC5546D" w14:textId="4ABBCE93" w:rsidR="00372587" w:rsidRPr="00372587" w:rsidRDefault="00372587" w:rsidP="00BC6FE8">
      <w:r>
        <w:t xml:space="preserve">(1) Subject to subsection (2), a person is only entitled to make a complaint within </w:t>
      </w:r>
      <w:r w:rsidRPr="005801A3">
        <w:rPr>
          <w:strike/>
        </w:rPr>
        <w:t xml:space="preserve">1 year </w:t>
      </w:r>
      <w:r w:rsidRPr="005801A3">
        <w:rPr>
          <w:b/>
          <w:bCs/>
        </w:rPr>
        <w:t>2 years</w:t>
      </w:r>
      <w:r>
        <w:t xml:space="preserve"> of the alleged contravention of the Act. </w:t>
      </w:r>
    </w:p>
    <w:p w14:paraId="684BA521" w14:textId="02D3B22E" w:rsidR="001E2F97" w:rsidRPr="001E2F97" w:rsidRDefault="001E2F97" w:rsidP="00284D9A">
      <w:pPr>
        <w:pStyle w:val="Numberedparagraph"/>
        <w:numPr>
          <w:ilvl w:val="0"/>
          <w:numId w:val="1"/>
        </w:numPr>
        <w:spacing w:line="240" w:lineRule="auto"/>
        <w:ind w:left="567" w:hanging="567"/>
      </w:pPr>
      <w:r>
        <w:t xml:space="preserve">See also the section on </w:t>
      </w:r>
      <w:r w:rsidRPr="00182703">
        <w:rPr>
          <w:i/>
          <w:iCs/>
        </w:rPr>
        <w:t>Improving the complaint system</w:t>
      </w:r>
      <w:r>
        <w:t xml:space="preserve"> </w:t>
      </w:r>
      <w:r w:rsidR="00FF2B2B">
        <w:t xml:space="preserve">on page 19 </w:t>
      </w:r>
      <w:r w:rsidR="0027016C">
        <w:t>for a discussion</w:t>
      </w:r>
      <w:r>
        <w:t xml:space="preserve"> on </w:t>
      </w:r>
      <w:r w:rsidR="00B31622">
        <w:t>the further amendments required</w:t>
      </w:r>
      <w:r>
        <w:t xml:space="preserve"> to improve the system</w:t>
      </w:r>
      <w:r w:rsidR="00B31622">
        <w:t>.</w:t>
      </w:r>
    </w:p>
    <w:p w14:paraId="3E378F63" w14:textId="52C9C14D" w:rsidR="00727122" w:rsidRDefault="00E872B8" w:rsidP="0014430B">
      <w:pPr>
        <w:pStyle w:val="Heading2"/>
      </w:pPr>
      <w:bookmarkStart w:id="18" w:name="_Toc171341070"/>
      <w:r>
        <w:t>New sex-based contraventions may have unintended consequences</w:t>
      </w:r>
      <w:bookmarkEnd w:id="18"/>
    </w:p>
    <w:p w14:paraId="63910532" w14:textId="23A59438" w:rsidR="00846ACC" w:rsidRDefault="00E560FC" w:rsidP="00284D9A">
      <w:pPr>
        <w:pStyle w:val="Numberedparagraph"/>
        <w:numPr>
          <w:ilvl w:val="0"/>
          <w:numId w:val="1"/>
        </w:numPr>
        <w:spacing w:line="240" w:lineRule="auto"/>
        <w:ind w:left="567" w:hanging="567"/>
      </w:pPr>
      <w:r>
        <w:t xml:space="preserve">The Bill </w:t>
      </w:r>
      <w:r w:rsidR="002143C5">
        <w:t xml:space="preserve">amends chapter 3 of the Anti-Discrimination Act to create new prohibitions </w:t>
      </w:r>
      <w:r w:rsidR="006A7099">
        <w:t xml:space="preserve">on </w:t>
      </w:r>
      <w:r w:rsidR="00375F3A">
        <w:t xml:space="preserve">sex-based </w:t>
      </w:r>
      <w:r w:rsidR="002143C5">
        <w:t xml:space="preserve">harassment </w:t>
      </w:r>
      <w:r w:rsidR="00375F3A">
        <w:t>when it occurs</w:t>
      </w:r>
      <w:r w:rsidR="002143C5">
        <w:t xml:space="preserve"> </w:t>
      </w:r>
      <w:r w:rsidR="00492166">
        <w:t>at</w:t>
      </w:r>
      <w:r w:rsidR="002143C5">
        <w:t xml:space="preserve"> work</w:t>
      </w:r>
      <w:r w:rsidR="00492166">
        <w:t>,</w:t>
      </w:r>
      <w:r w:rsidR="002A5D75">
        <w:t xml:space="preserve"> and work environments that are hostile </w:t>
      </w:r>
      <w:proofErr w:type="gramStart"/>
      <w:r w:rsidR="002A5D75">
        <w:t>on the basis of</w:t>
      </w:r>
      <w:proofErr w:type="gramEnd"/>
      <w:r w:rsidR="002A5D75">
        <w:t xml:space="preserve"> sex. </w:t>
      </w:r>
      <w:r w:rsidR="00C84765">
        <w:t xml:space="preserve">These were amendments recommended by the Australian Human Rights Commission </w:t>
      </w:r>
      <w:r w:rsidR="00C96CD7">
        <w:t xml:space="preserve">in </w:t>
      </w:r>
      <w:r w:rsidR="2AE83AF3">
        <w:t xml:space="preserve">its </w:t>
      </w:r>
      <w:proofErr w:type="spellStart"/>
      <w:r w:rsidR="00C96CD7" w:rsidRPr="0008060A">
        <w:rPr>
          <w:i/>
        </w:rPr>
        <w:t>Respect@Work</w:t>
      </w:r>
      <w:proofErr w:type="spellEnd"/>
      <w:r w:rsidR="00C96CD7">
        <w:t xml:space="preserve"> report,</w:t>
      </w:r>
      <w:r w:rsidR="00C96CD7">
        <w:rPr>
          <w:rStyle w:val="FootnoteReference"/>
        </w:rPr>
        <w:footnoteReference w:id="17"/>
      </w:r>
      <w:r w:rsidR="00C96CD7">
        <w:t xml:space="preserve"> </w:t>
      </w:r>
      <w:r w:rsidR="00C84765">
        <w:t xml:space="preserve">since implemented in the federal context </w:t>
      </w:r>
      <w:r w:rsidR="00CE5E2C">
        <w:t>in</w:t>
      </w:r>
      <w:r w:rsidR="00C84765">
        <w:t xml:space="preserve"> the Sex Discrimination</w:t>
      </w:r>
      <w:r w:rsidR="00DA06E4">
        <w:t xml:space="preserve"> Act</w:t>
      </w:r>
      <w:r w:rsidR="00C84765">
        <w:t>.</w:t>
      </w:r>
    </w:p>
    <w:p w14:paraId="510A5532" w14:textId="77777777" w:rsidR="00834998" w:rsidRDefault="00834998" w:rsidP="00284D9A">
      <w:pPr>
        <w:pStyle w:val="Numberedparagraph"/>
        <w:numPr>
          <w:ilvl w:val="0"/>
          <w:numId w:val="1"/>
        </w:numPr>
        <w:spacing w:line="240" w:lineRule="auto"/>
        <w:ind w:left="567" w:hanging="567"/>
      </w:pPr>
      <w:r>
        <w:t>Sexual harassment thrives in environments where there is a culture of acceptance of inappropriate behaviour, particularly where an employer has failed to take reasonable steps to address the behaviour. Prohibitions against harassment based on sex and hostile work environments are aimed at addressing underlying sexist cultures that permeate some workplaces.</w:t>
      </w:r>
    </w:p>
    <w:p w14:paraId="1B47B78E" w14:textId="6B38FF23" w:rsidR="00834998" w:rsidRDefault="00834998" w:rsidP="00284D9A">
      <w:pPr>
        <w:pStyle w:val="Numberedparagraph"/>
        <w:numPr>
          <w:ilvl w:val="0"/>
          <w:numId w:val="1"/>
        </w:numPr>
        <w:spacing w:line="240" w:lineRule="auto"/>
        <w:ind w:left="567" w:hanging="567"/>
      </w:pPr>
      <w:r>
        <w:t xml:space="preserve">A common view expressed in submissions and consultations to the Commission’s review </w:t>
      </w:r>
      <w:r w:rsidR="000662EC">
        <w:t xml:space="preserve">of the </w:t>
      </w:r>
      <w:r>
        <w:t>Anti-Discrimination Act was that Queensland’s sexual harassment provisions are working well and are the best in Australia, and that relatively low complaint numbers are more to do with stigma and negative consequences of complaining rather than the law itself.</w:t>
      </w:r>
      <w:r>
        <w:rPr>
          <w:rStyle w:val="FootnoteReference"/>
        </w:rPr>
        <w:footnoteReference w:id="18"/>
      </w:r>
    </w:p>
    <w:p w14:paraId="75D8E000" w14:textId="77777777" w:rsidR="00C7665C" w:rsidRDefault="00D64D3B" w:rsidP="00284D9A">
      <w:pPr>
        <w:pStyle w:val="Numberedparagraph"/>
        <w:numPr>
          <w:ilvl w:val="0"/>
          <w:numId w:val="1"/>
        </w:numPr>
        <w:spacing w:line="240" w:lineRule="auto"/>
        <w:ind w:left="567" w:hanging="567"/>
      </w:pPr>
      <w:r>
        <w:lastRenderedPageBreak/>
        <w:t xml:space="preserve">After in-depth consultations, consideration of submissions and legal research, the Commission concluded that the current sexual harassment laws in Queensland are working well, and substantially cover the situations that </w:t>
      </w:r>
      <w:proofErr w:type="spellStart"/>
      <w:r w:rsidRPr="0008060A">
        <w:rPr>
          <w:i/>
        </w:rPr>
        <w:t>Respect@Work</w:t>
      </w:r>
      <w:proofErr w:type="spellEnd"/>
      <w:r>
        <w:t xml:space="preserve"> sought to address in the federal jurisdiction.</w:t>
      </w:r>
      <w:r w:rsidR="00C7665C">
        <w:t xml:space="preserve"> </w:t>
      </w:r>
    </w:p>
    <w:p w14:paraId="6BC4FACC" w14:textId="01B52598" w:rsidR="004744FE" w:rsidRDefault="004744FE" w:rsidP="00284D9A">
      <w:pPr>
        <w:pStyle w:val="Numberedparagraph"/>
        <w:numPr>
          <w:ilvl w:val="0"/>
          <w:numId w:val="1"/>
        </w:numPr>
        <w:spacing w:line="240" w:lineRule="auto"/>
        <w:ind w:left="567" w:hanging="567"/>
      </w:pPr>
      <w:r>
        <w:t xml:space="preserve">The Commission </w:t>
      </w:r>
      <w:r w:rsidR="00C7665C">
        <w:t>cautions</w:t>
      </w:r>
      <w:r>
        <w:t xml:space="preserve"> against implementing these changes in the Queensland context without due consideration of potential unintended consequences </w:t>
      </w:r>
      <w:r w:rsidR="00AA662C">
        <w:t xml:space="preserve">from </w:t>
      </w:r>
      <w:r>
        <w:t xml:space="preserve">the way the law is interpreted in relation to other attributes. </w:t>
      </w:r>
    </w:p>
    <w:p w14:paraId="3E6BAFDF" w14:textId="4867ADAB" w:rsidR="00FD3BE7" w:rsidRDefault="00FD3BE7" w:rsidP="00284D9A">
      <w:pPr>
        <w:pStyle w:val="Numberedparagraph"/>
        <w:numPr>
          <w:ilvl w:val="0"/>
          <w:numId w:val="1"/>
        </w:numPr>
        <w:spacing w:line="240" w:lineRule="auto"/>
        <w:ind w:left="567" w:hanging="567"/>
      </w:pPr>
      <w:r>
        <w:t xml:space="preserve">Interpretation of the </w:t>
      </w:r>
      <w:r w:rsidR="004744FE">
        <w:t xml:space="preserve">federal </w:t>
      </w:r>
      <w:r w:rsidRPr="004744FE">
        <w:rPr>
          <w:i/>
          <w:iCs/>
        </w:rPr>
        <w:t>Sex Discrimination Act</w:t>
      </w:r>
      <w:r>
        <w:t xml:space="preserve"> </w:t>
      </w:r>
      <w:r w:rsidR="004744FE" w:rsidRPr="004744FE">
        <w:rPr>
          <w:i/>
          <w:iCs/>
        </w:rPr>
        <w:t>1984</w:t>
      </w:r>
      <w:r w:rsidR="004744FE">
        <w:t xml:space="preserve"> </w:t>
      </w:r>
      <w:r>
        <w:t xml:space="preserve">does not affect the application of the </w:t>
      </w:r>
      <w:r w:rsidR="0008060A">
        <w:t>3</w:t>
      </w:r>
      <w:r>
        <w:t xml:space="preserve"> other federal discrimination laws </w:t>
      </w:r>
      <w:r w:rsidR="00AA662C">
        <w:t xml:space="preserve">that </w:t>
      </w:r>
      <w:r>
        <w:t xml:space="preserve">deal with contraventions based on </w:t>
      </w:r>
      <w:r w:rsidR="00EF41DD">
        <w:t xml:space="preserve">the </w:t>
      </w:r>
      <w:r>
        <w:t xml:space="preserve">attributes </w:t>
      </w:r>
      <w:r w:rsidR="00EF41DD">
        <w:t>of</w:t>
      </w:r>
      <w:r>
        <w:t xml:space="preserve"> age, race</w:t>
      </w:r>
      <w:r w:rsidR="00EF41DD">
        <w:t>,</w:t>
      </w:r>
      <w:r>
        <w:t xml:space="preserve"> and disability. In contrast, the Queensland Anti-Discrimination Act addresses discrimination against all attributes in one piece of legislation. </w:t>
      </w:r>
    </w:p>
    <w:p w14:paraId="27E186DE" w14:textId="77777777" w:rsidR="00FD3BE7" w:rsidRDefault="00FD3BE7" w:rsidP="00284D9A">
      <w:pPr>
        <w:pStyle w:val="Numberedparagraph"/>
        <w:numPr>
          <w:ilvl w:val="0"/>
          <w:numId w:val="1"/>
        </w:numPr>
        <w:spacing w:line="240" w:lineRule="auto"/>
        <w:ind w:left="567" w:hanging="567"/>
      </w:pPr>
      <w:r>
        <w:t xml:space="preserve">Sex-based harassment is a form of </w:t>
      </w:r>
      <w:r w:rsidRPr="00FD3BE7">
        <w:rPr>
          <w:i/>
          <w:iCs/>
        </w:rPr>
        <w:t>direct</w:t>
      </w:r>
      <w:r>
        <w:t xml:space="preserve"> discrimination.</w:t>
      </w:r>
      <w:r>
        <w:rPr>
          <w:rStyle w:val="FootnoteReference"/>
        </w:rPr>
        <w:footnoteReference w:id="19"/>
      </w:r>
      <w:r>
        <w:t xml:space="preserve"> Work environments that are hostile </w:t>
      </w:r>
      <w:proofErr w:type="gramStart"/>
      <w:r>
        <w:t>on the basis of</w:t>
      </w:r>
      <w:proofErr w:type="gramEnd"/>
      <w:r>
        <w:t xml:space="preserve"> sex are a form of </w:t>
      </w:r>
      <w:r w:rsidRPr="00FD3BE7">
        <w:rPr>
          <w:i/>
          <w:iCs/>
        </w:rPr>
        <w:t>indirect</w:t>
      </w:r>
      <w:r>
        <w:t xml:space="preserve"> discrimination.</w:t>
      </w:r>
      <w:r>
        <w:rPr>
          <w:rStyle w:val="FootnoteReference"/>
        </w:rPr>
        <w:footnoteReference w:id="20"/>
      </w:r>
      <w:r w:rsidR="00243BDF">
        <w:t xml:space="preserve"> </w:t>
      </w:r>
    </w:p>
    <w:p w14:paraId="246E2A19" w14:textId="1D6FE3C1" w:rsidR="009477D3" w:rsidRDefault="00FD3BE7" w:rsidP="00284D9A">
      <w:pPr>
        <w:pStyle w:val="Numberedparagraph"/>
        <w:numPr>
          <w:ilvl w:val="0"/>
          <w:numId w:val="1"/>
        </w:numPr>
        <w:spacing w:line="240" w:lineRule="auto"/>
        <w:ind w:left="567" w:hanging="567"/>
      </w:pPr>
      <w:r>
        <w:t>Under</w:t>
      </w:r>
      <w:r w:rsidR="009E1EF0">
        <w:t xml:space="preserve"> the rules of statutory</w:t>
      </w:r>
      <w:r>
        <w:t xml:space="preserve"> </w:t>
      </w:r>
      <w:r w:rsidR="009E1EF0">
        <w:t>interpretation</w:t>
      </w:r>
      <w:r>
        <w:t xml:space="preserve">, specific laws </w:t>
      </w:r>
      <w:r w:rsidR="007E5484">
        <w:t xml:space="preserve">when enacted more recently </w:t>
      </w:r>
      <w:r w:rsidR="005A18A9">
        <w:t xml:space="preserve">may be found to </w:t>
      </w:r>
      <w:r>
        <w:t>override general laws.</w:t>
      </w:r>
      <w:r w:rsidR="00B66A4B">
        <w:rPr>
          <w:rStyle w:val="FootnoteReference"/>
        </w:rPr>
        <w:footnoteReference w:id="21"/>
      </w:r>
      <w:r>
        <w:t xml:space="preserve"> </w:t>
      </w:r>
      <w:r w:rsidR="00F43F51">
        <w:t>As sex-based harassment is already a form of direct discrimination, specific provision in the Act about sex-based harassment may lead to an interpretation that</w:t>
      </w:r>
      <w:r w:rsidR="00EF633C">
        <w:t xml:space="preserve"> other kinds of harassing treatment, such as</w:t>
      </w:r>
      <w:r w:rsidR="00F43F51">
        <w:t xml:space="preserve"> racist comments</w:t>
      </w:r>
      <w:r w:rsidR="00EF633C">
        <w:t>,</w:t>
      </w:r>
      <w:r w:rsidR="00F43F51">
        <w:t xml:space="preserve"> are not unlawful. </w:t>
      </w:r>
    </w:p>
    <w:p w14:paraId="3934C64A" w14:textId="77777777" w:rsidR="009477D3" w:rsidRDefault="00B14179" w:rsidP="00284D9A">
      <w:pPr>
        <w:pStyle w:val="Numberedparagraph"/>
        <w:numPr>
          <w:ilvl w:val="0"/>
          <w:numId w:val="1"/>
        </w:numPr>
        <w:spacing w:line="240" w:lineRule="auto"/>
        <w:ind w:left="567" w:hanging="567"/>
      </w:pPr>
      <w:r>
        <w:t xml:space="preserve">New section 124E (hostile work environments) contains a sub-section that confirms that the section </w:t>
      </w:r>
      <w:r w:rsidR="004F768B">
        <w:t>does not</w:t>
      </w:r>
      <w:r>
        <w:t xml:space="preserve"> limit other provisions of the Act that prohibit conduct that may offend, humiliate or intimidate</w:t>
      </w:r>
      <w:r w:rsidR="004F768B">
        <w:t xml:space="preserve"> another person</w:t>
      </w:r>
      <w:r>
        <w:t xml:space="preserve">, but there is no similar </w:t>
      </w:r>
      <w:r w:rsidR="00F43F51">
        <w:t>provision in section 120 (sex-based harassment)</w:t>
      </w:r>
      <w:r>
        <w:t xml:space="preserve">. </w:t>
      </w:r>
    </w:p>
    <w:p w14:paraId="2C696697" w14:textId="614B1237" w:rsidR="00DA21C8" w:rsidRDefault="009477D3" w:rsidP="00284D9A">
      <w:pPr>
        <w:pStyle w:val="Numberedparagraph"/>
        <w:numPr>
          <w:ilvl w:val="0"/>
          <w:numId w:val="1"/>
        </w:numPr>
        <w:spacing w:line="240" w:lineRule="auto"/>
        <w:ind w:left="567" w:hanging="567"/>
      </w:pPr>
      <w:r>
        <w:t xml:space="preserve">While an </w:t>
      </w:r>
      <w:r w:rsidR="0033379B">
        <w:t>E</w:t>
      </w:r>
      <w:r>
        <w:t xml:space="preserve">xplanatory </w:t>
      </w:r>
      <w:r w:rsidR="0033379B">
        <w:t>N</w:t>
      </w:r>
      <w:r>
        <w:t xml:space="preserve">ote states that a complainant may still argue a term being imposed that constitutes indirect discrimination by facilitating a work environment that is hostile </w:t>
      </w:r>
      <w:proofErr w:type="gramStart"/>
      <w:r>
        <w:t>on the basis of</w:t>
      </w:r>
      <w:proofErr w:type="gramEnd"/>
      <w:r>
        <w:t xml:space="preserve"> another attribute,</w:t>
      </w:r>
      <w:r>
        <w:rPr>
          <w:rStyle w:val="FootnoteReference"/>
        </w:rPr>
        <w:footnoteReference w:id="22"/>
      </w:r>
      <w:r>
        <w:t xml:space="preserve"> there is no similar note in relation to harassment based on sex.</w:t>
      </w:r>
    </w:p>
    <w:p w14:paraId="4003F1F3" w14:textId="162FF9A4" w:rsidR="005013F2" w:rsidRDefault="005013F2" w:rsidP="00980ED2">
      <w:pPr>
        <w:pStyle w:val="Recommendation"/>
      </w:pPr>
      <w:r w:rsidRPr="00F65F78">
        <w:t>Recommendation</w:t>
      </w:r>
      <w:r w:rsidR="00980ED2">
        <w:t xml:space="preserve"> 5</w:t>
      </w:r>
    </w:p>
    <w:p w14:paraId="7BBCB360" w14:textId="20281835" w:rsidR="009477D3" w:rsidRDefault="005013F2" w:rsidP="0094625C">
      <w:pPr>
        <w:spacing w:before="120" w:after="200" w:line="276" w:lineRule="auto"/>
      </w:pPr>
      <w:r>
        <w:t xml:space="preserve">Add </w:t>
      </w:r>
      <w:r w:rsidR="0033379B">
        <w:t>a</w:t>
      </w:r>
      <w:r>
        <w:t xml:space="preserve"> clarifying note to section 124E which explains that, to remove any doubt, it remains open for a complainant to argue </w:t>
      </w:r>
      <w:r w:rsidR="00CF2E5D">
        <w:t>direct</w:t>
      </w:r>
      <w:r>
        <w:t xml:space="preserve"> discrimination in relation to attributes other than sex.</w:t>
      </w:r>
    </w:p>
    <w:p w14:paraId="6B25886F" w14:textId="786578AB" w:rsidR="005239AA" w:rsidRPr="00690A3D" w:rsidRDefault="00F65F78" w:rsidP="00284D9A">
      <w:pPr>
        <w:pStyle w:val="Numberedparagraph"/>
        <w:numPr>
          <w:ilvl w:val="0"/>
          <w:numId w:val="1"/>
        </w:numPr>
        <w:spacing w:line="240" w:lineRule="auto"/>
        <w:ind w:left="567" w:hanging="567"/>
      </w:pPr>
      <w:r>
        <w:t xml:space="preserve">See also </w:t>
      </w:r>
      <w:r w:rsidR="0019223B">
        <w:rPr>
          <w:i/>
          <w:iCs/>
        </w:rPr>
        <w:t xml:space="preserve">Redefining key concepts </w:t>
      </w:r>
      <w:r w:rsidR="00F254CA">
        <w:t xml:space="preserve">on page 18 </w:t>
      </w:r>
      <w:r w:rsidR="00750BC2">
        <w:t xml:space="preserve">for recommendations of how the </w:t>
      </w:r>
      <w:r w:rsidR="00D96DCC">
        <w:t>law</w:t>
      </w:r>
      <w:r w:rsidR="00750BC2">
        <w:t xml:space="preserve"> </w:t>
      </w:r>
      <w:r w:rsidR="00D96DCC">
        <w:t>sh</w:t>
      </w:r>
      <w:r w:rsidR="00750BC2">
        <w:t xml:space="preserve">ould be amended to address gaps in the </w:t>
      </w:r>
      <w:r w:rsidR="00D96DCC">
        <w:t>legislation</w:t>
      </w:r>
      <w:r w:rsidR="00750BC2">
        <w:t xml:space="preserve"> that the Bill </w:t>
      </w:r>
      <w:r w:rsidR="00605DEE">
        <w:t>aims to fill by creating new sex-based contraventions</w:t>
      </w:r>
      <w:r w:rsidR="00750BC2">
        <w:t>.</w:t>
      </w:r>
    </w:p>
    <w:p w14:paraId="75E2D7AC" w14:textId="152D47C5" w:rsidR="001373C6" w:rsidRDefault="00986625" w:rsidP="007758A7">
      <w:pPr>
        <w:pStyle w:val="Heading2"/>
      </w:pPr>
      <w:bookmarkStart w:id="20" w:name="_Toc171341071"/>
      <w:r>
        <w:lastRenderedPageBreak/>
        <w:t xml:space="preserve">New vilification </w:t>
      </w:r>
      <w:r w:rsidR="007F3256">
        <w:t>wording</w:t>
      </w:r>
      <w:r>
        <w:t xml:space="preserve"> puts established case law at risk</w:t>
      </w:r>
      <w:bookmarkEnd w:id="20"/>
      <w:r w:rsidR="001373C6" w:rsidRPr="008B01D9">
        <w:t xml:space="preserve"> </w:t>
      </w:r>
    </w:p>
    <w:p w14:paraId="23E161DD" w14:textId="0A468283" w:rsidR="00846ACC" w:rsidRDefault="00620A2D" w:rsidP="00284D9A">
      <w:pPr>
        <w:pStyle w:val="Numberedparagraph"/>
        <w:numPr>
          <w:ilvl w:val="0"/>
          <w:numId w:val="1"/>
        </w:numPr>
        <w:spacing w:line="240" w:lineRule="auto"/>
        <w:ind w:left="567" w:hanging="567"/>
      </w:pPr>
      <w:r>
        <w:t xml:space="preserve">The vilification provision in section 124D changes the existing provision by changing the word ‘incite’ to </w:t>
      </w:r>
      <w:r w:rsidRPr="003F75E2">
        <w:t xml:space="preserve">'engage in conduct that is likely to incite'. There is well established jurisprudence that 'incite' as currently used means to stimulate, urge on, and the like, and that it is not necessary that a person is </w:t>
      </w:r>
      <w:proofErr w:type="gramStart"/>
      <w:r w:rsidRPr="003F75E2">
        <w:t>actually incited</w:t>
      </w:r>
      <w:proofErr w:type="gramEnd"/>
      <w:r w:rsidRPr="003F75E2">
        <w:t xml:space="preserve">. </w:t>
      </w:r>
    </w:p>
    <w:p w14:paraId="7CFC3712" w14:textId="120DF431" w:rsidR="00846ACC" w:rsidRDefault="00A467AF" w:rsidP="00284D9A">
      <w:pPr>
        <w:pStyle w:val="Numberedparagraph"/>
        <w:numPr>
          <w:ilvl w:val="0"/>
          <w:numId w:val="1"/>
        </w:numPr>
        <w:spacing w:line="240" w:lineRule="auto"/>
        <w:ind w:left="567" w:hanging="567"/>
        <w:rPr>
          <w:color w:val="000000"/>
        </w:rPr>
      </w:pPr>
      <w:r>
        <w:t xml:space="preserve">In reviewing the effectiveness of vilification laws, the </w:t>
      </w:r>
      <w:r w:rsidR="00620A2D">
        <w:t>Legal Affairs and Safety Committee recommended lowering the threshold for incitement.</w:t>
      </w:r>
      <w:r w:rsidR="0065012B">
        <w:rPr>
          <w:rStyle w:val="FootnoteReference"/>
        </w:rPr>
        <w:footnoteReference w:id="23"/>
      </w:r>
      <w:r w:rsidR="00620A2D">
        <w:t xml:space="preserve"> By changing the meaning </w:t>
      </w:r>
      <w:r w:rsidR="00620A2D" w:rsidRPr="00620A2D">
        <w:rPr>
          <w:color w:val="000000"/>
        </w:rPr>
        <w:t xml:space="preserve">from the way it has been interpreted (promote, urge on, and the like), the way the provision is framed </w:t>
      </w:r>
      <w:r w:rsidR="00CF16B0">
        <w:rPr>
          <w:color w:val="000000"/>
        </w:rPr>
        <w:t xml:space="preserve">in the Bill </w:t>
      </w:r>
      <w:r w:rsidR="00620A2D" w:rsidRPr="00620A2D">
        <w:rPr>
          <w:color w:val="000000"/>
        </w:rPr>
        <w:t xml:space="preserve">will </w:t>
      </w:r>
      <w:r w:rsidR="00620A2D" w:rsidRPr="00620A2D">
        <w:rPr>
          <w:i/>
          <w:iCs/>
          <w:color w:val="000000"/>
        </w:rPr>
        <w:t>increase</w:t>
      </w:r>
      <w:r w:rsidR="00620A2D" w:rsidRPr="00620A2D">
        <w:rPr>
          <w:color w:val="000000"/>
        </w:rPr>
        <w:t xml:space="preserve"> rather than </w:t>
      </w:r>
      <w:r w:rsidR="00620A2D" w:rsidRPr="00620A2D">
        <w:rPr>
          <w:i/>
          <w:iCs/>
          <w:color w:val="000000"/>
        </w:rPr>
        <w:t>lower</w:t>
      </w:r>
      <w:r w:rsidR="00620A2D" w:rsidRPr="00620A2D">
        <w:rPr>
          <w:color w:val="000000"/>
        </w:rPr>
        <w:t xml:space="preserve"> the threshold.</w:t>
      </w:r>
      <w:r w:rsidR="00D341AB">
        <w:rPr>
          <w:color w:val="000000"/>
        </w:rPr>
        <w:t xml:space="preserve"> </w:t>
      </w:r>
      <w:r w:rsidR="00620A2D" w:rsidRPr="00620A2D">
        <w:rPr>
          <w:color w:val="000000"/>
        </w:rPr>
        <w:t xml:space="preserve">That is, the complainant will have to prove that the conduct is </w:t>
      </w:r>
      <w:r w:rsidR="00620A2D" w:rsidRPr="0065012B">
        <w:rPr>
          <w:color w:val="000000"/>
        </w:rPr>
        <w:t>likely to incite.</w:t>
      </w:r>
    </w:p>
    <w:p w14:paraId="001D7D2B" w14:textId="129AC263" w:rsidR="00620A2D" w:rsidRPr="008C5D64" w:rsidRDefault="000A0A42" w:rsidP="00284D9A">
      <w:pPr>
        <w:pStyle w:val="Numberedparagraph"/>
        <w:numPr>
          <w:ilvl w:val="0"/>
          <w:numId w:val="1"/>
        </w:numPr>
        <w:spacing w:line="240" w:lineRule="auto"/>
        <w:ind w:left="567" w:hanging="567"/>
        <w:rPr>
          <w:color w:val="000000"/>
        </w:rPr>
      </w:pPr>
      <w:r>
        <w:t>Adopting the words</w:t>
      </w:r>
      <w:r w:rsidR="00620A2D" w:rsidRPr="003F75E2">
        <w:t xml:space="preserve"> 'likely to incite' </w:t>
      </w:r>
      <w:r>
        <w:t>creates</w:t>
      </w:r>
      <w:r w:rsidRPr="003F75E2">
        <w:t xml:space="preserve"> </w:t>
      </w:r>
      <w:r w:rsidR="00620A2D" w:rsidRPr="003F75E2">
        <w:t xml:space="preserve">the impression that </w:t>
      </w:r>
      <w:r w:rsidR="007319EC">
        <w:t>the requir</w:t>
      </w:r>
      <w:r w:rsidR="0062165F">
        <w:t>e</w:t>
      </w:r>
      <w:r w:rsidR="007319EC">
        <w:t>ment</w:t>
      </w:r>
      <w:r w:rsidR="00620A2D" w:rsidRPr="003F75E2">
        <w:t xml:space="preserve"> is that someone might be </w:t>
      </w:r>
      <w:proofErr w:type="gramStart"/>
      <w:r w:rsidR="00620A2D" w:rsidRPr="003F75E2">
        <w:t>actually incited</w:t>
      </w:r>
      <w:proofErr w:type="gramEnd"/>
      <w:r w:rsidR="00253506">
        <w:t>.</w:t>
      </w:r>
      <w:r w:rsidR="00620A2D">
        <w:t xml:space="preserve"> </w:t>
      </w:r>
      <w:r w:rsidR="00393450">
        <w:t>I</w:t>
      </w:r>
      <w:r w:rsidR="00620A2D">
        <w:t xml:space="preserve">t would be much clearer to use words that </w:t>
      </w:r>
      <w:r w:rsidR="00620A2D" w:rsidRPr="003F75E2">
        <w:t>reflect the way that incite has been interpreted</w:t>
      </w:r>
      <w:r w:rsidR="0062165F">
        <w:t xml:space="preserve"> by the Queensland courts</w:t>
      </w:r>
      <w:r w:rsidR="00620A2D" w:rsidRPr="003F75E2">
        <w:t xml:space="preserve">. </w:t>
      </w:r>
      <w:r w:rsidR="00620A2D">
        <w:t xml:space="preserve">Under Queensland law, vilification may occur even where there </w:t>
      </w:r>
      <w:r w:rsidR="005C7E94">
        <w:t>is no</w:t>
      </w:r>
      <w:r w:rsidR="00620A2D">
        <w:t xml:space="preserve"> actual audience to observe the conduct.</w:t>
      </w:r>
      <w:r w:rsidR="00620A2D">
        <w:rPr>
          <w:rStyle w:val="FootnoteReference"/>
        </w:rPr>
        <w:footnoteReference w:id="24"/>
      </w:r>
      <w:r w:rsidR="00620A2D" w:rsidRPr="003F75E2">
        <w:t xml:space="preserve"> </w:t>
      </w:r>
    </w:p>
    <w:p w14:paraId="4446992A" w14:textId="77777777" w:rsidR="00846ACC" w:rsidRPr="008C5D64" w:rsidRDefault="00620A2D" w:rsidP="00284D9A">
      <w:pPr>
        <w:pStyle w:val="Numberedparagraph"/>
        <w:numPr>
          <w:ilvl w:val="0"/>
          <w:numId w:val="1"/>
        </w:numPr>
        <w:spacing w:line="240" w:lineRule="auto"/>
        <w:ind w:left="567" w:hanging="567"/>
        <w:rPr>
          <w:color w:val="000000"/>
        </w:rPr>
      </w:pPr>
      <w:r>
        <w:t>The Explanatory Notes state that ‘i</w:t>
      </w:r>
      <w:r w:rsidRPr="006B5E57">
        <w:t>t is not necessary to show actual incitement, but instead only requires the conduct to be capable of inciting hatred, serious contempt, or severe ridicule.</w:t>
      </w:r>
      <w:r>
        <w:t>’</w:t>
      </w:r>
      <w:r w:rsidR="00846ACC">
        <w:rPr>
          <w:rStyle w:val="FootnoteReference"/>
        </w:rPr>
        <w:footnoteReference w:id="25"/>
      </w:r>
    </w:p>
    <w:p w14:paraId="34835BB9" w14:textId="77777777" w:rsidR="00620A2D" w:rsidRPr="008C5D64" w:rsidRDefault="00620A2D" w:rsidP="00284D9A">
      <w:pPr>
        <w:pStyle w:val="Numberedparagraph"/>
        <w:numPr>
          <w:ilvl w:val="0"/>
          <w:numId w:val="1"/>
        </w:numPr>
        <w:spacing w:line="240" w:lineRule="auto"/>
        <w:ind w:left="567" w:hanging="567"/>
        <w:rPr>
          <w:color w:val="000000"/>
        </w:rPr>
      </w:pPr>
      <w:r>
        <w:t>This is different from the current legal test in Queensland</w:t>
      </w:r>
      <w:r w:rsidR="00846ACC">
        <w:t>, based on NSW case law,</w:t>
      </w:r>
      <w:r>
        <w:t xml:space="preserve"> which is</w:t>
      </w:r>
      <w:r w:rsidR="00846ACC">
        <w:t>:</w:t>
      </w:r>
      <w:r>
        <w:t xml:space="preserve"> whether the ordinary reader/listener/observer would consider that they were being urged on to hatred towards or the other relevant emotions.</w:t>
      </w:r>
      <w:r>
        <w:rPr>
          <w:rStyle w:val="FootnoteReference"/>
        </w:rPr>
        <w:footnoteReference w:id="26"/>
      </w:r>
    </w:p>
    <w:p w14:paraId="1F9B1179" w14:textId="50FEE9C5" w:rsidR="00D217A9" w:rsidRPr="008C5D64" w:rsidRDefault="00620A2D" w:rsidP="00284D9A">
      <w:pPr>
        <w:pStyle w:val="Numberedparagraph"/>
        <w:numPr>
          <w:ilvl w:val="0"/>
          <w:numId w:val="1"/>
        </w:numPr>
        <w:spacing w:line="240" w:lineRule="auto"/>
        <w:ind w:left="567" w:hanging="567"/>
        <w:rPr>
          <w:color w:val="000000"/>
        </w:rPr>
      </w:pPr>
      <w:r w:rsidRPr="008C5D64">
        <w:rPr>
          <w:color w:val="000000"/>
        </w:rPr>
        <w:t>Changing the provision from ‘engage in conduct that is likely to incite’ to ‘promote or urge on’ would better achieve the objective of simplifying the understanding and application of the threshold.</w:t>
      </w:r>
    </w:p>
    <w:p w14:paraId="30197C37" w14:textId="67D7DF3B" w:rsidR="00690A3D" w:rsidRPr="007D2EBC" w:rsidRDefault="00CE3996" w:rsidP="00D217A9">
      <w:pPr>
        <w:pStyle w:val="Recommendation"/>
      </w:pPr>
      <w:r w:rsidRPr="007D2EBC">
        <w:t>Recommendation</w:t>
      </w:r>
      <w:r w:rsidR="00D217A9">
        <w:t xml:space="preserve"> 6</w:t>
      </w:r>
    </w:p>
    <w:p w14:paraId="301FCDD7" w14:textId="7A639B6F" w:rsidR="007D2EBC" w:rsidRDefault="00040B31" w:rsidP="008C5D64">
      <w:r>
        <w:t xml:space="preserve">Amend </w:t>
      </w:r>
      <w:r w:rsidR="003532B4">
        <w:t>new section 124D</w:t>
      </w:r>
      <w:r w:rsidR="007D2EBC">
        <w:t xml:space="preserve"> so it reads that:</w:t>
      </w:r>
    </w:p>
    <w:p w14:paraId="34BA6052" w14:textId="5F89D4B6" w:rsidR="00CE3996" w:rsidRPr="00690A3D" w:rsidRDefault="00CE3996" w:rsidP="007758A7">
      <w:pPr>
        <w:spacing w:before="120" w:after="200" w:line="276" w:lineRule="auto"/>
        <w:ind w:left="720"/>
      </w:pPr>
      <w:r>
        <w:t>A person must not, by a public act, urge or promote hatred towards, serious contempt for, or severe ridicule of, a person or group of persons on the ground of …</w:t>
      </w:r>
    </w:p>
    <w:p w14:paraId="606EF3FD" w14:textId="3D761AEE" w:rsidR="00913CCB" w:rsidRDefault="00825DDA" w:rsidP="007758A7">
      <w:pPr>
        <w:pStyle w:val="Heading2"/>
      </w:pPr>
      <w:bookmarkStart w:id="21" w:name="_Toc171341072"/>
      <w:r>
        <w:t xml:space="preserve">Conflict between </w:t>
      </w:r>
      <w:r w:rsidR="007B430C">
        <w:t xml:space="preserve">two </w:t>
      </w:r>
      <w:r w:rsidR="00C41318">
        <w:t xml:space="preserve">Bills </w:t>
      </w:r>
      <w:r w:rsidR="00452D9C">
        <w:t>regarding</w:t>
      </w:r>
      <w:r w:rsidR="00C41318">
        <w:t xml:space="preserve"> </w:t>
      </w:r>
      <w:r w:rsidR="00302E24">
        <w:t>ART exception</w:t>
      </w:r>
      <w:bookmarkEnd w:id="21"/>
    </w:p>
    <w:p w14:paraId="0D07CD6A" w14:textId="10C9930C" w:rsidR="00CA3B8D" w:rsidRDefault="00913CCB" w:rsidP="00284D9A">
      <w:pPr>
        <w:pStyle w:val="Numberedparagraph"/>
        <w:numPr>
          <w:ilvl w:val="0"/>
          <w:numId w:val="1"/>
        </w:numPr>
        <w:spacing w:line="240" w:lineRule="auto"/>
        <w:ind w:left="567" w:hanging="567"/>
      </w:pPr>
      <w:r>
        <w:rPr>
          <w:i/>
          <w:iCs/>
        </w:rPr>
        <w:t xml:space="preserve">Building Belonging </w:t>
      </w:r>
      <w:r w:rsidRPr="008C5D64">
        <w:rPr>
          <w:color w:val="000000"/>
        </w:rPr>
        <w:t>recommended</w:t>
      </w:r>
      <w:r>
        <w:t xml:space="preserve"> the repeal of section 45A of the</w:t>
      </w:r>
      <w:r w:rsidR="00825DDA">
        <w:t xml:space="preserve"> Act</w:t>
      </w:r>
      <w:r w:rsidR="005B2793">
        <w:t xml:space="preserve">, which permits discrimination against single people and LGBTQ+ people seeking </w:t>
      </w:r>
      <w:r w:rsidR="005B2793">
        <w:lastRenderedPageBreak/>
        <w:t>assisted reproductive technology services</w:t>
      </w:r>
      <w:r w:rsidR="00825DDA">
        <w:t>.</w:t>
      </w:r>
      <w:r w:rsidR="00A53EEA">
        <w:rPr>
          <w:rStyle w:val="FootnoteReference"/>
        </w:rPr>
        <w:footnoteReference w:id="27"/>
      </w:r>
      <w:r w:rsidR="00825DDA">
        <w:t xml:space="preserve"> </w:t>
      </w:r>
      <w:r w:rsidR="00CA3B8D">
        <w:t xml:space="preserve">The section is not relied on by service providers and </w:t>
      </w:r>
      <w:r w:rsidR="004F3CEA">
        <w:t>is likely</w:t>
      </w:r>
      <w:r w:rsidR="00CA3B8D">
        <w:t xml:space="preserve"> </w:t>
      </w:r>
      <w:r w:rsidR="00B47F2F">
        <w:t xml:space="preserve">to be </w:t>
      </w:r>
      <w:r w:rsidR="004F3CEA">
        <w:t>inoperative</w:t>
      </w:r>
      <w:r w:rsidR="00CA3B8D">
        <w:t xml:space="preserve"> because it is inconsistent with the </w:t>
      </w:r>
      <w:r w:rsidR="002267A6">
        <w:t xml:space="preserve">federal </w:t>
      </w:r>
      <w:r w:rsidR="00CA3B8D" w:rsidRPr="005837DC">
        <w:rPr>
          <w:i/>
        </w:rPr>
        <w:t>Constitution</w:t>
      </w:r>
      <w:r w:rsidR="00CA3B8D">
        <w:t>.</w:t>
      </w:r>
      <w:r w:rsidR="004F3CEA">
        <w:rPr>
          <w:rStyle w:val="FootnoteReference"/>
        </w:rPr>
        <w:footnoteReference w:id="28"/>
      </w:r>
    </w:p>
    <w:p w14:paraId="0CE47A8C" w14:textId="5987EED5" w:rsidR="00913CCB" w:rsidRDefault="00A41BB0" w:rsidP="00284D9A">
      <w:pPr>
        <w:pStyle w:val="Numberedparagraph"/>
        <w:numPr>
          <w:ilvl w:val="0"/>
          <w:numId w:val="1"/>
        </w:numPr>
        <w:spacing w:line="240" w:lineRule="auto"/>
        <w:ind w:left="567" w:hanging="567"/>
      </w:pPr>
      <w:r w:rsidRPr="008C5D64">
        <w:rPr>
          <w:color w:val="000000"/>
        </w:rPr>
        <w:t>The</w:t>
      </w:r>
      <w:r>
        <w:t xml:space="preserve"> Assisted Reproductive Technology Bill </w:t>
      </w:r>
      <w:r w:rsidR="00CC1F92">
        <w:t>2024</w:t>
      </w:r>
      <w:r w:rsidR="001F5053">
        <w:t xml:space="preserve"> (</w:t>
      </w:r>
      <w:r w:rsidR="00331785">
        <w:t xml:space="preserve">Qld) </w:t>
      </w:r>
      <w:r w:rsidR="001F5053">
        <w:t>(</w:t>
      </w:r>
      <w:r w:rsidR="00331785">
        <w:t xml:space="preserve">the </w:t>
      </w:r>
      <w:r w:rsidR="001F5053" w:rsidRPr="005837DC">
        <w:rPr>
          <w:b/>
        </w:rPr>
        <w:t>ART Bill</w:t>
      </w:r>
      <w:r w:rsidR="001F5053">
        <w:t>)</w:t>
      </w:r>
      <w:r w:rsidR="00CC1F92">
        <w:t xml:space="preserve">, also </w:t>
      </w:r>
      <w:r w:rsidR="00E2129C">
        <w:t>being considered by</w:t>
      </w:r>
      <w:r w:rsidR="00CC1F92">
        <w:t xml:space="preserve"> this Committee</w:t>
      </w:r>
      <w:r w:rsidR="00E2129C">
        <w:t xml:space="preserve"> at the time of writing</w:t>
      </w:r>
      <w:r w:rsidR="00CC1F92">
        <w:t>, omits section 45A.</w:t>
      </w:r>
      <w:r w:rsidR="00CC1F92">
        <w:rPr>
          <w:rStyle w:val="FootnoteReference"/>
        </w:rPr>
        <w:footnoteReference w:id="29"/>
      </w:r>
      <w:r w:rsidR="001F5053">
        <w:t xml:space="preserve"> The omission of this </w:t>
      </w:r>
      <w:r w:rsidR="00FA1551">
        <w:t>exception</w:t>
      </w:r>
      <w:r w:rsidR="001F5053">
        <w:t xml:space="preserve"> is necessary for other provisions in the ART Bill</w:t>
      </w:r>
      <w:r w:rsidR="00806403">
        <w:t xml:space="preserve"> regarding eligibility for services</w:t>
      </w:r>
      <w:r w:rsidR="001F5053">
        <w:t xml:space="preserve"> to </w:t>
      </w:r>
      <w:r w:rsidR="008E7743">
        <w:t>function</w:t>
      </w:r>
      <w:r w:rsidR="00CA3B8D">
        <w:t xml:space="preserve"> congruently.</w:t>
      </w:r>
      <w:r w:rsidR="008A0BF5">
        <w:rPr>
          <w:rStyle w:val="FootnoteReference"/>
        </w:rPr>
        <w:footnoteReference w:id="30"/>
      </w:r>
      <w:r w:rsidR="00CA3B8D">
        <w:t xml:space="preserve"> </w:t>
      </w:r>
    </w:p>
    <w:p w14:paraId="3B326940" w14:textId="5AAE721F" w:rsidR="00CA3B8D" w:rsidRDefault="00051A58" w:rsidP="00284D9A">
      <w:pPr>
        <w:pStyle w:val="Numberedparagraph"/>
        <w:numPr>
          <w:ilvl w:val="0"/>
          <w:numId w:val="1"/>
        </w:numPr>
        <w:spacing w:line="240" w:lineRule="auto"/>
        <w:ind w:left="567" w:hanging="567"/>
      </w:pPr>
      <w:r w:rsidRPr="00051A58">
        <w:t xml:space="preserve">The Commission </w:t>
      </w:r>
      <w:r w:rsidR="00360BB3">
        <w:t xml:space="preserve">is unsure why the Bill </w:t>
      </w:r>
      <w:r w:rsidR="0079523F">
        <w:t>makes</w:t>
      </w:r>
      <w:r w:rsidR="00360BB3">
        <w:t xml:space="preserve"> minor wording changes to the exemption in section 45A when the intention appears to be to ultimately repeal the provision, consistent with </w:t>
      </w:r>
      <w:r w:rsidR="00360BB3">
        <w:rPr>
          <w:i/>
          <w:iCs/>
        </w:rPr>
        <w:t>Building Belonging</w:t>
      </w:r>
      <w:r w:rsidR="00EC38F8">
        <w:rPr>
          <w:i/>
          <w:iCs/>
        </w:rPr>
        <w:t xml:space="preserve"> </w:t>
      </w:r>
      <w:r w:rsidR="00EC38F8">
        <w:t>recommendations</w:t>
      </w:r>
      <w:r w:rsidR="00360BB3">
        <w:rPr>
          <w:i/>
          <w:iCs/>
        </w:rPr>
        <w:t>.</w:t>
      </w:r>
    </w:p>
    <w:p w14:paraId="6CE8D4A3" w14:textId="6FB857CB" w:rsidR="00CA3B8D" w:rsidRDefault="00CA3B8D" w:rsidP="00D217A9">
      <w:pPr>
        <w:pStyle w:val="Recommendation"/>
      </w:pPr>
      <w:r w:rsidRPr="007D2EBC">
        <w:t>Recommendation</w:t>
      </w:r>
      <w:r w:rsidR="00D217A9">
        <w:t xml:space="preserve"> 7</w:t>
      </w:r>
    </w:p>
    <w:p w14:paraId="2FF0970C" w14:textId="4CA5B9AE" w:rsidR="00CA3B8D" w:rsidRPr="00CA3B8D" w:rsidRDefault="00CA3B8D" w:rsidP="00040967">
      <w:r>
        <w:t xml:space="preserve">Remove </w:t>
      </w:r>
      <w:r w:rsidR="00364D7B">
        <w:t>clause 12 of the Bill.</w:t>
      </w:r>
    </w:p>
    <w:p w14:paraId="2C6F9902" w14:textId="760382E7" w:rsidR="00817511" w:rsidRDefault="00005EFB" w:rsidP="007758A7">
      <w:pPr>
        <w:pStyle w:val="Heading1"/>
      </w:pPr>
      <w:bookmarkStart w:id="22" w:name="_Toc171341073"/>
      <w:r>
        <w:t xml:space="preserve">Other </w:t>
      </w:r>
      <w:r w:rsidR="007442CB">
        <w:t xml:space="preserve">key </w:t>
      </w:r>
      <w:r w:rsidR="00B14BDE">
        <w:t>aspects</w:t>
      </w:r>
      <w:bookmarkEnd w:id="22"/>
    </w:p>
    <w:p w14:paraId="2E6522A8" w14:textId="5D537B16" w:rsidR="00E85056" w:rsidRDefault="00C95B44" w:rsidP="00284D9A">
      <w:pPr>
        <w:pStyle w:val="Numberedparagraph"/>
        <w:numPr>
          <w:ilvl w:val="0"/>
          <w:numId w:val="1"/>
        </w:numPr>
        <w:spacing w:line="240" w:lineRule="auto"/>
        <w:ind w:left="567" w:hanging="567"/>
      </w:pPr>
      <w:r>
        <w:t xml:space="preserve">This section </w:t>
      </w:r>
      <w:r w:rsidR="00E85056">
        <w:t>provides commentary on</w:t>
      </w:r>
      <w:r w:rsidR="00C35890">
        <w:t xml:space="preserve"> </w:t>
      </w:r>
      <w:r w:rsidR="00AD64FD">
        <w:t xml:space="preserve">other </w:t>
      </w:r>
      <w:r w:rsidR="00B14BDE">
        <w:t xml:space="preserve">key </w:t>
      </w:r>
      <w:r w:rsidR="00AD64FD">
        <w:t>aspects</w:t>
      </w:r>
      <w:r w:rsidR="008B65F5">
        <w:t xml:space="preserve"> of the</w:t>
      </w:r>
      <w:r w:rsidR="00AD64FD">
        <w:t xml:space="preserve"> Bil</w:t>
      </w:r>
      <w:r w:rsidR="007A113A">
        <w:t>l</w:t>
      </w:r>
      <w:r w:rsidR="008B65F5">
        <w:t xml:space="preserve"> relating to discrimination and vilification</w:t>
      </w:r>
      <w:r w:rsidR="007026CA" w:rsidRPr="007026CA">
        <w:t xml:space="preserve"> –</w:t>
      </w:r>
      <w:r w:rsidR="00F37E12">
        <w:t xml:space="preserve"> </w:t>
      </w:r>
      <w:r w:rsidR="00B14BDE">
        <w:t>u</w:t>
      </w:r>
      <w:r w:rsidR="00B14BDE" w:rsidRPr="00B14BDE">
        <w:t xml:space="preserve">pdates to vilification laws, the </w:t>
      </w:r>
      <w:r w:rsidR="00AB1407">
        <w:t xml:space="preserve">update and </w:t>
      </w:r>
      <w:r w:rsidR="00B14BDE" w:rsidRPr="00B14BDE">
        <w:t xml:space="preserve">expansion of protected attributes, improvements to representative complaints, </w:t>
      </w:r>
      <w:r w:rsidR="004B2113">
        <w:t>and</w:t>
      </w:r>
      <w:r w:rsidR="00B1261D">
        <w:t xml:space="preserve"> changes that substantially replicate existing</w:t>
      </w:r>
      <w:r w:rsidR="004B2113">
        <w:t xml:space="preserve"> investigation</w:t>
      </w:r>
      <w:r w:rsidR="00B1261D">
        <w:t xml:space="preserve"> provisions</w:t>
      </w:r>
      <w:r w:rsidR="004B2113">
        <w:t>.</w:t>
      </w:r>
    </w:p>
    <w:p w14:paraId="3DC82679" w14:textId="77777777" w:rsidR="00BC64F2" w:rsidRDefault="00BC64F2" w:rsidP="00817511">
      <w:pPr>
        <w:pStyle w:val="Heading2"/>
      </w:pPr>
      <w:bookmarkStart w:id="23" w:name="_Toc171341074"/>
      <w:r>
        <w:t>Modernising and strengthening vilification laws</w:t>
      </w:r>
      <w:bookmarkEnd w:id="23"/>
    </w:p>
    <w:p w14:paraId="4278CF1E" w14:textId="6733570E" w:rsidR="00BC64F2" w:rsidRPr="00E22F1B" w:rsidRDefault="00BC64F2" w:rsidP="00284D9A">
      <w:pPr>
        <w:pStyle w:val="Numberedparagraph"/>
        <w:numPr>
          <w:ilvl w:val="0"/>
          <w:numId w:val="1"/>
        </w:numPr>
        <w:spacing w:line="240" w:lineRule="auto"/>
        <w:ind w:left="567" w:hanging="567"/>
      </w:pPr>
      <w:r>
        <w:t xml:space="preserve">This section discusses the updates to vilification and hate crime laws in the Bill. </w:t>
      </w:r>
      <w:r w:rsidRPr="002F5F2E">
        <w:t xml:space="preserve">See also </w:t>
      </w:r>
      <w:proofErr w:type="gramStart"/>
      <w:r w:rsidRPr="002F5F2E">
        <w:rPr>
          <w:i/>
          <w:iCs/>
        </w:rPr>
        <w:t>New</w:t>
      </w:r>
      <w:proofErr w:type="gramEnd"/>
      <w:r w:rsidRPr="002F5F2E">
        <w:rPr>
          <w:i/>
          <w:iCs/>
        </w:rPr>
        <w:t xml:space="preserve"> vilification wording puts established case law at risk </w:t>
      </w:r>
      <w:r w:rsidRPr="002F5F2E">
        <w:t xml:space="preserve">on page </w:t>
      </w:r>
      <w:r w:rsidR="00AA59AE">
        <w:t>11.</w:t>
      </w:r>
    </w:p>
    <w:p w14:paraId="2FAE7F9A" w14:textId="77777777" w:rsidR="00BC64F2" w:rsidRDefault="00BC64F2" w:rsidP="00817511">
      <w:pPr>
        <w:pStyle w:val="Heading3"/>
      </w:pPr>
      <w:r>
        <w:t>Protections from vilification</w:t>
      </w:r>
    </w:p>
    <w:p w14:paraId="5F534015" w14:textId="1F667A15" w:rsidR="00CB0C49" w:rsidRPr="00EF0D2C" w:rsidRDefault="00CB0C49" w:rsidP="00284D9A">
      <w:pPr>
        <w:pStyle w:val="Numberedparagraph"/>
        <w:numPr>
          <w:ilvl w:val="0"/>
          <w:numId w:val="1"/>
        </w:numPr>
        <w:spacing w:line="240" w:lineRule="auto"/>
        <w:ind w:left="567" w:hanging="567"/>
        <w:rPr>
          <w:color w:val="auto"/>
        </w:rPr>
      </w:pPr>
      <w:r w:rsidRPr="008C5D64">
        <w:t>Following</w:t>
      </w:r>
      <w:r w:rsidRPr="000C10B0">
        <w:rPr>
          <w:color w:val="auto"/>
        </w:rPr>
        <w:t xml:space="preserve"> its </w:t>
      </w:r>
      <w:r w:rsidR="008E1ABF" w:rsidRPr="000C10B0">
        <w:rPr>
          <w:color w:val="auto"/>
        </w:rPr>
        <w:t>i</w:t>
      </w:r>
      <w:r w:rsidRPr="000C10B0">
        <w:rPr>
          <w:color w:val="auto"/>
        </w:rPr>
        <w:t xml:space="preserve">nquiry into </w:t>
      </w:r>
      <w:r w:rsidR="00A96BFA" w:rsidRPr="000C10B0">
        <w:rPr>
          <w:color w:val="auto"/>
        </w:rPr>
        <w:t>serious vilification and hate crimes</w:t>
      </w:r>
      <w:r w:rsidR="008E1ABF" w:rsidRPr="000C10B0">
        <w:rPr>
          <w:color w:val="auto"/>
        </w:rPr>
        <w:t xml:space="preserve"> (</w:t>
      </w:r>
      <w:r w:rsidR="00483DC0">
        <w:rPr>
          <w:color w:val="auto"/>
        </w:rPr>
        <w:t xml:space="preserve">the </w:t>
      </w:r>
      <w:r w:rsidR="008E1ABF" w:rsidRPr="002A6C12">
        <w:rPr>
          <w:b/>
          <w:color w:val="auto"/>
        </w:rPr>
        <w:t>Vilification inquiry</w:t>
      </w:r>
      <w:r w:rsidR="008E1ABF" w:rsidRPr="000C10B0">
        <w:rPr>
          <w:color w:val="auto"/>
        </w:rPr>
        <w:t>)</w:t>
      </w:r>
      <w:r w:rsidRPr="000C10B0">
        <w:rPr>
          <w:color w:val="auto"/>
        </w:rPr>
        <w:t>, the Legal Affairs and Safety Committee recommended lowering the threshold of the civil incitement test,</w:t>
      </w:r>
      <w:r w:rsidRPr="000C10B0">
        <w:rPr>
          <w:rStyle w:val="FootnoteReference"/>
          <w:color w:val="auto"/>
        </w:rPr>
        <w:t xml:space="preserve"> </w:t>
      </w:r>
      <w:r>
        <w:rPr>
          <w:rStyle w:val="FootnoteReference"/>
          <w:color w:val="auto"/>
        </w:rPr>
        <w:footnoteReference w:id="31"/>
      </w:r>
      <w:r w:rsidRPr="000C10B0">
        <w:rPr>
          <w:color w:val="auto"/>
        </w:rPr>
        <w:t xml:space="preserve"> adopting the definition of a ‘public act’ from </w:t>
      </w:r>
      <w:proofErr w:type="gramStart"/>
      <w:r w:rsidRPr="000C10B0">
        <w:rPr>
          <w:color w:val="auto"/>
        </w:rPr>
        <w:t>a</w:t>
      </w:r>
      <w:proofErr w:type="gramEnd"/>
      <w:r w:rsidRPr="000C10B0">
        <w:rPr>
          <w:color w:val="auto"/>
        </w:rPr>
        <w:t xml:space="preserve"> NSW provision that incorporates social media and other electronic methods,</w:t>
      </w:r>
      <w:r>
        <w:rPr>
          <w:rStyle w:val="FootnoteReference"/>
          <w:color w:val="auto"/>
        </w:rPr>
        <w:footnoteReference w:id="32"/>
      </w:r>
      <w:r w:rsidRPr="000C10B0">
        <w:rPr>
          <w:color w:val="auto"/>
        </w:rPr>
        <w:t xml:space="preserve"> and expanding the attributes covered by civil and criminal anti-vilification provisions.</w:t>
      </w:r>
      <w:r>
        <w:rPr>
          <w:rStyle w:val="FootnoteReference"/>
          <w:color w:val="auto"/>
        </w:rPr>
        <w:footnoteReference w:id="33"/>
      </w:r>
    </w:p>
    <w:p w14:paraId="2DB475B0" w14:textId="20D4E444" w:rsidR="008D5512" w:rsidRDefault="00F73166" w:rsidP="00284D9A">
      <w:pPr>
        <w:pStyle w:val="Numberedparagraph"/>
        <w:numPr>
          <w:ilvl w:val="0"/>
          <w:numId w:val="1"/>
        </w:numPr>
        <w:spacing w:line="240" w:lineRule="auto"/>
        <w:ind w:left="567" w:hanging="567"/>
      </w:pPr>
      <w:r>
        <w:lastRenderedPageBreak/>
        <w:t xml:space="preserve">The Commission supports the creation of a new harm-based </w:t>
      </w:r>
      <w:r w:rsidR="003061BD">
        <w:t>prohibition</w:t>
      </w:r>
      <w:r w:rsidR="005C56DA">
        <w:t>,</w:t>
      </w:r>
      <w:r w:rsidR="00922137">
        <w:t xml:space="preserve"> the addition of further attributes</w:t>
      </w:r>
      <w:r w:rsidR="00B6711C">
        <w:t>,</w:t>
      </w:r>
      <w:r w:rsidR="00922137">
        <w:t xml:space="preserve"> and the extension of coverage to include characteristics of attributes, and to</w:t>
      </w:r>
      <w:r w:rsidR="008D5512">
        <w:t xml:space="preserve"> clarify that a ‘public act’ </w:t>
      </w:r>
      <w:r w:rsidR="00AE20F1">
        <w:t xml:space="preserve">for the purposes of vilification </w:t>
      </w:r>
      <w:r w:rsidR="008D5512">
        <w:t>may occur on private land, such as a school or workplace.</w:t>
      </w:r>
    </w:p>
    <w:p w14:paraId="5461F848" w14:textId="7CA5B112" w:rsidR="00BC64F2" w:rsidRDefault="00BC64F2" w:rsidP="00817511">
      <w:pPr>
        <w:pStyle w:val="Heading4"/>
      </w:pPr>
      <w:r>
        <w:t>New prohibition on harmful conduct</w:t>
      </w:r>
    </w:p>
    <w:p w14:paraId="4E5A018A" w14:textId="6D418166" w:rsidR="00E95D70" w:rsidRDefault="00E95D70" w:rsidP="00284D9A">
      <w:pPr>
        <w:pStyle w:val="Numberedparagraph"/>
        <w:numPr>
          <w:ilvl w:val="0"/>
          <w:numId w:val="1"/>
        </w:numPr>
        <w:spacing w:line="240" w:lineRule="auto"/>
        <w:ind w:left="567" w:hanging="567"/>
      </w:pPr>
      <w:r>
        <w:t xml:space="preserve">The Commission supports the introduction of a new prohibition </w:t>
      </w:r>
      <w:r w:rsidR="00D91BDB">
        <w:t xml:space="preserve">of </w:t>
      </w:r>
      <w:r>
        <w:t>hateful, reviling, seriously contemptuous, or seriously ridicul</w:t>
      </w:r>
      <w:r w:rsidR="00761F9B">
        <w:t>ing</w:t>
      </w:r>
      <w:r>
        <w:t xml:space="preserve"> conduct (new section 124C). </w:t>
      </w:r>
      <w:r w:rsidRPr="007C4E8F">
        <w:t xml:space="preserve">The Commission considers that </w:t>
      </w:r>
      <w:r>
        <w:t xml:space="preserve">the provision </w:t>
      </w:r>
      <w:r w:rsidRPr="007C4E8F">
        <w:t xml:space="preserve">would complement the current prohibition against inciting conduct </w:t>
      </w:r>
      <w:r>
        <w:t xml:space="preserve">in current section 124A </w:t>
      </w:r>
      <w:r w:rsidRPr="007C4E8F">
        <w:t>and strengthen the law by prohibiting conduct that causes significant harm to others.</w:t>
      </w:r>
    </w:p>
    <w:p w14:paraId="55D2911B" w14:textId="77777777" w:rsidR="00BF7B43" w:rsidRDefault="00BF7B43" w:rsidP="00284D9A">
      <w:pPr>
        <w:pStyle w:val="Numberedparagraph"/>
        <w:numPr>
          <w:ilvl w:val="0"/>
          <w:numId w:val="1"/>
        </w:numPr>
        <w:spacing w:line="240" w:lineRule="auto"/>
        <w:ind w:left="567" w:hanging="567"/>
      </w:pPr>
      <w:r w:rsidRPr="00BF7B43">
        <w:t xml:space="preserve">A criticism of </w:t>
      </w:r>
      <w:r w:rsidR="00CB0C49">
        <w:t xml:space="preserve">civil </w:t>
      </w:r>
      <w:r w:rsidRPr="00BF7B43">
        <w:t xml:space="preserve">prohibitions </w:t>
      </w:r>
      <w:r w:rsidR="00CB0C49">
        <w:t>on discrimination</w:t>
      </w:r>
      <w:r w:rsidRPr="00BF7B43">
        <w:t xml:space="preserve"> is that they do not place enough emphasis on the harm experienced by victims, and the harm caused to the broader society in terms of social cohesion.</w:t>
      </w:r>
    </w:p>
    <w:p w14:paraId="440758A2" w14:textId="4372F605" w:rsidR="00CB0C49" w:rsidRDefault="00452231" w:rsidP="00DB625B">
      <w:pPr>
        <w:pStyle w:val="Numberedparagraph"/>
        <w:numPr>
          <w:ilvl w:val="0"/>
          <w:numId w:val="1"/>
        </w:numPr>
        <w:spacing w:line="240" w:lineRule="auto"/>
        <w:ind w:left="567" w:hanging="567"/>
      </w:pPr>
      <w:r>
        <w:t>A Victorian inquiry into anti-vilification protect</w:t>
      </w:r>
      <w:r w:rsidR="00EE731A">
        <w:t>ions</w:t>
      </w:r>
      <w:r>
        <w:t xml:space="preserve"> recommended a </w:t>
      </w:r>
      <w:r w:rsidR="004D30F1">
        <w:t>‘</w:t>
      </w:r>
      <w:r>
        <w:t>harm-based</w:t>
      </w:r>
      <w:r w:rsidR="004D30F1">
        <w:t>’</w:t>
      </w:r>
      <w:r>
        <w:t xml:space="preserve"> prohibition on vilification with the aim of reflecting the ordinary understanding of vilification as an expression of hatred or abuse and reducing the evidentiary burden on complainants to prove the element of ‘incitement’.</w:t>
      </w:r>
      <w:r w:rsidR="00F74DC8">
        <w:rPr>
          <w:rStyle w:val="FootnoteReference"/>
        </w:rPr>
        <w:footnoteReference w:id="34"/>
      </w:r>
      <w:r w:rsidR="004D30F1">
        <w:t xml:space="preserve"> This ‘harm-based’ approach</w:t>
      </w:r>
      <w:r w:rsidR="00E95D70">
        <w:t>, also considered in detail by the Legal Affairs and Safety Committee,</w:t>
      </w:r>
      <w:r w:rsidR="004D30F1">
        <w:t xml:space="preserve"> has been adopted in the Bill.</w:t>
      </w:r>
    </w:p>
    <w:p w14:paraId="143DDD72" w14:textId="01909741" w:rsidR="00BC64F2" w:rsidRDefault="00BC64F2" w:rsidP="00817511">
      <w:pPr>
        <w:pStyle w:val="Heading4"/>
      </w:pPr>
      <w:r>
        <w:t>New protected attributes</w:t>
      </w:r>
    </w:p>
    <w:p w14:paraId="69F2EFE5" w14:textId="654F9505" w:rsidR="00D76CF9" w:rsidRDefault="00D76CF9" w:rsidP="00284D9A">
      <w:pPr>
        <w:pStyle w:val="Numberedparagraph"/>
        <w:numPr>
          <w:ilvl w:val="0"/>
          <w:numId w:val="1"/>
        </w:numPr>
        <w:spacing w:line="240" w:lineRule="auto"/>
        <w:ind w:left="567" w:hanging="567"/>
      </w:pPr>
      <w:r>
        <w:t xml:space="preserve">As previously </w:t>
      </w:r>
      <w:r w:rsidR="008E1ABF">
        <w:t>expressed to the Vilification inquiry</w:t>
      </w:r>
      <w:r>
        <w:t>, t</w:t>
      </w:r>
      <w:r w:rsidR="009C3AA9">
        <w:t>he Commission supports the expansion of</w:t>
      </w:r>
      <w:r w:rsidR="004668B1">
        <w:t xml:space="preserve"> further</w:t>
      </w:r>
      <w:r w:rsidR="009C3AA9">
        <w:t xml:space="preserve"> attributes</w:t>
      </w:r>
      <w:r w:rsidR="004668B1">
        <w:t xml:space="preserve"> in the civil and criminal vilification </w:t>
      </w:r>
      <w:r w:rsidR="00656769">
        <w:t>provisions</w:t>
      </w:r>
      <w:proofErr w:type="gramStart"/>
      <w:r w:rsidR="009C3AA9">
        <w:t xml:space="preserve"> and</w:t>
      </w:r>
      <w:r w:rsidR="00DA2060">
        <w:t>,</w:t>
      </w:r>
      <w:r w:rsidR="009C3AA9">
        <w:t xml:space="preserve"> in particular</w:t>
      </w:r>
      <w:r w:rsidR="00DA2060">
        <w:t>,</w:t>
      </w:r>
      <w:proofErr w:type="gramEnd"/>
      <w:r w:rsidR="009C3AA9">
        <w:t xml:space="preserve"> the inclusion of impairment.</w:t>
      </w:r>
      <w:r w:rsidR="00A25D23">
        <w:t xml:space="preserve"> </w:t>
      </w:r>
      <w:r w:rsidR="00344623">
        <w:t>In conducting its inquiry, the</w:t>
      </w:r>
      <w:r w:rsidR="00344623" w:rsidRPr="00344623">
        <w:rPr>
          <w:color w:val="auto"/>
        </w:rPr>
        <w:t xml:space="preserve"> </w:t>
      </w:r>
      <w:r w:rsidR="00344623" w:rsidRPr="00100439">
        <w:rPr>
          <w:color w:val="auto"/>
        </w:rPr>
        <w:t>Legal Affairs and Safety</w:t>
      </w:r>
      <w:r w:rsidR="00344623">
        <w:t xml:space="preserve"> </w:t>
      </w:r>
      <w:r w:rsidR="005B372D">
        <w:t>Committee heard evidence to indicate that people with disabilities are subjected to vilification open</w:t>
      </w:r>
      <w:r w:rsidR="00151CAA">
        <w:t>ly in</w:t>
      </w:r>
      <w:r w:rsidR="005B372D">
        <w:t xml:space="preserve"> public and in other areas of public life.</w:t>
      </w:r>
      <w:r w:rsidR="00BC2240">
        <w:rPr>
          <w:rStyle w:val="FootnoteReference"/>
        </w:rPr>
        <w:footnoteReference w:id="35"/>
      </w:r>
    </w:p>
    <w:p w14:paraId="5C02502A" w14:textId="5BDC2D30" w:rsidR="008E1ABF" w:rsidRDefault="00656769" w:rsidP="00284D9A">
      <w:pPr>
        <w:pStyle w:val="Numberedparagraph"/>
        <w:numPr>
          <w:ilvl w:val="0"/>
          <w:numId w:val="1"/>
        </w:numPr>
        <w:spacing w:line="240" w:lineRule="auto"/>
        <w:ind w:left="567" w:hanging="567"/>
      </w:pPr>
      <w:r>
        <w:t xml:space="preserve">During </w:t>
      </w:r>
      <w:r w:rsidR="003C0385">
        <w:t xml:space="preserve">the </w:t>
      </w:r>
      <w:r w:rsidR="008E1ABF">
        <w:t>Vilification</w:t>
      </w:r>
      <w:r w:rsidR="003C0385">
        <w:t xml:space="preserve"> inquiry</w:t>
      </w:r>
      <w:r>
        <w:t xml:space="preserve">, and </w:t>
      </w:r>
      <w:r w:rsidR="003C0385">
        <w:t>more recently in</w:t>
      </w:r>
      <w:r w:rsidR="009A1E91">
        <w:t xml:space="preserve"> </w:t>
      </w:r>
      <w:r w:rsidR="008E1ABF">
        <w:t>a parliamentary</w:t>
      </w:r>
      <w:r w:rsidR="009A1E91">
        <w:t xml:space="preserve"> inquiry</w:t>
      </w:r>
      <w:r w:rsidR="008E1ABF">
        <w:t xml:space="preserve"> into</w:t>
      </w:r>
      <w:r>
        <w:t xml:space="preserve"> a recent Bill strengthening criminal responses,</w:t>
      </w:r>
      <w:r w:rsidR="00BE6DCB">
        <w:rPr>
          <w:rStyle w:val="FootnoteReference"/>
        </w:rPr>
        <w:footnoteReference w:id="36"/>
      </w:r>
      <w:r>
        <w:t xml:space="preserve"> some stakeholders made submissions recommending that sex workers be protected from vilification.</w:t>
      </w:r>
    </w:p>
    <w:p w14:paraId="76DE5581" w14:textId="76E6ABC5" w:rsidR="00E946DE" w:rsidRDefault="00656769" w:rsidP="00284D9A">
      <w:pPr>
        <w:pStyle w:val="Numberedparagraph"/>
        <w:numPr>
          <w:ilvl w:val="0"/>
          <w:numId w:val="1"/>
        </w:numPr>
        <w:spacing w:line="240" w:lineRule="auto"/>
        <w:ind w:left="567" w:hanging="567"/>
      </w:pPr>
      <w:r>
        <w:t xml:space="preserve">The </w:t>
      </w:r>
      <w:r w:rsidR="00BE6DCB">
        <w:t>Commission</w:t>
      </w:r>
      <w:r>
        <w:t xml:space="preserve"> has previously recommended a framework for consideration of which attributes should be selected for protection from civil and criminal vilification.</w:t>
      </w:r>
      <w:r w:rsidR="00B12302">
        <w:rPr>
          <w:rStyle w:val="FootnoteReference"/>
        </w:rPr>
        <w:footnoteReference w:id="37"/>
      </w:r>
      <w:r>
        <w:t xml:space="preserve"> The 5 factors for consideration in this framework are demonstrable need, relative prevalence, severity, additional harm</w:t>
      </w:r>
      <w:r w:rsidR="008F52D5">
        <w:t>,</w:t>
      </w:r>
      <w:r>
        <w:t xml:space="preserve"> and suitability.</w:t>
      </w:r>
      <w:r w:rsidR="00B12302">
        <w:rPr>
          <w:rStyle w:val="FootnoteReference"/>
        </w:rPr>
        <w:footnoteReference w:id="38"/>
      </w:r>
    </w:p>
    <w:p w14:paraId="32BF6873" w14:textId="5E4615BA" w:rsidR="00E946DE" w:rsidRDefault="00AC10C0" w:rsidP="00284D9A">
      <w:pPr>
        <w:pStyle w:val="Numberedparagraph"/>
        <w:numPr>
          <w:ilvl w:val="0"/>
          <w:numId w:val="1"/>
        </w:numPr>
        <w:spacing w:line="240" w:lineRule="auto"/>
        <w:ind w:left="567" w:hanging="567"/>
      </w:pPr>
      <w:r>
        <w:lastRenderedPageBreak/>
        <w:t>Considering this framework and evidence provided to the recent inquiries</w:t>
      </w:r>
      <w:r w:rsidR="00B85F75">
        <w:t xml:space="preserve"> in these issues,</w:t>
      </w:r>
      <w:r w:rsidR="00656769">
        <w:t xml:space="preserve"> there are arguable grounds for the inclusion of ‘sex work activity’ in the list of attributes </w:t>
      </w:r>
      <w:r w:rsidR="008F52D5">
        <w:t>to be</w:t>
      </w:r>
      <w:r w:rsidR="00656769">
        <w:t xml:space="preserve"> protect</w:t>
      </w:r>
      <w:r w:rsidR="008F52D5">
        <w:t>ed</w:t>
      </w:r>
      <w:r w:rsidR="00656769">
        <w:t xml:space="preserve"> from vilification and hate crimes</w:t>
      </w:r>
      <w:r w:rsidR="008F52D5">
        <w:t>.</w:t>
      </w:r>
    </w:p>
    <w:p w14:paraId="2D79BFCA" w14:textId="7BF374F3" w:rsidR="00E946DE" w:rsidRDefault="00E946DE" w:rsidP="00D217A9">
      <w:pPr>
        <w:pStyle w:val="Recommendation"/>
      </w:pPr>
      <w:r>
        <w:t>Recommendation</w:t>
      </w:r>
      <w:r w:rsidR="00D217A9">
        <w:t xml:space="preserve"> 8</w:t>
      </w:r>
    </w:p>
    <w:p w14:paraId="4B3115CE" w14:textId="5CA54402" w:rsidR="00E946DE" w:rsidRPr="00E946DE" w:rsidRDefault="007C4CF6" w:rsidP="00817511">
      <w:pPr>
        <w:pStyle w:val="ListParagraph"/>
      </w:pPr>
      <w:r w:rsidRPr="007C4CF6">
        <w:t>Amend clause</w:t>
      </w:r>
      <w:r w:rsidR="00FB4876">
        <w:t>s</w:t>
      </w:r>
      <w:r w:rsidRPr="007C4CF6">
        <w:t xml:space="preserve"> 21 and 57-59, so that sections 124A, 124C, 124D of the Anti-Discrimination Act and section</w:t>
      </w:r>
      <w:r w:rsidR="00DE3120">
        <w:t>s</w:t>
      </w:r>
      <w:r w:rsidRPr="007C4CF6">
        <w:t xml:space="preserve"> 52A, 52B and 52C of the Criminal Code include ‘sex work activity’ as a grounds for civil and criminal vilification.</w:t>
      </w:r>
    </w:p>
    <w:p w14:paraId="5751C822" w14:textId="77777777" w:rsidR="00BC64F2" w:rsidRDefault="00BC64F2" w:rsidP="00817511">
      <w:pPr>
        <w:pStyle w:val="Heading4"/>
      </w:pPr>
      <w:r>
        <w:t>Extending coverage to characteristics of attributes</w:t>
      </w:r>
    </w:p>
    <w:p w14:paraId="3FC7559F" w14:textId="5B0293B9" w:rsidR="00291E52" w:rsidRDefault="00B85F75" w:rsidP="00284D9A">
      <w:pPr>
        <w:pStyle w:val="Numberedparagraph"/>
        <w:numPr>
          <w:ilvl w:val="0"/>
          <w:numId w:val="1"/>
        </w:numPr>
        <w:spacing w:line="240" w:lineRule="auto"/>
        <w:ind w:left="567" w:hanging="567"/>
      </w:pPr>
      <w:r>
        <w:t xml:space="preserve">The Bill will ensure that people are adequately protected from vilification </w:t>
      </w:r>
      <w:r w:rsidR="00B46620">
        <w:t xml:space="preserve">that </w:t>
      </w:r>
      <w:r w:rsidR="005317E9">
        <w:t xml:space="preserve">occurs because of a characteristic of </w:t>
      </w:r>
      <w:r w:rsidR="00DC70CA">
        <w:t>a</w:t>
      </w:r>
      <w:r w:rsidR="005317E9">
        <w:t xml:space="preserve"> protected attribute. </w:t>
      </w:r>
      <w:r w:rsidR="008A4F2F">
        <w:t xml:space="preserve">Section 8 of the Anti-Discrimination Act </w:t>
      </w:r>
      <w:r w:rsidR="00E244D2">
        <w:t xml:space="preserve">currently </w:t>
      </w:r>
      <w:r w:rsidR="00C01E89">
        <w:t>states that</w:t>
      </w:r>
      <w:r w:rsidR="00CD506F">
        <w:t xml:space="preserve"> discrimination </w:t>
      </w:r>
      <w:proofErr w:type="gramStart"/>
      <w:r w:rsidR="00CD506F">
        <w:t>on the basis of</w:t>
      </w:r>
      <w:proofErr w:type="gramEnd"/>
      <w:r w:rsidR="00CD506F">
        <w:t xml:space="preserve"> an attribute </w:t>
      </w:r>
      <w:r w:rsidR="00BF0D65">
        <w:t xml:space="preserve">includes a characteristic </w:t>
      </w:r>
      <w:r w:rsidR="001C6015">
        <w:t xml:space="preserve">that </w:t>
      </w:r>
      <w:r w:rsidR="00E244D2">
        <w:t xml:space="preserve">a person with an attribute </w:t>
      </w:r>
      <w:r w:rsidR="00DA2A92">
        <w:t xml:space="preserve">generally has, or a characteristic that is often imputed </w:t>
      </w:r>
      <w:r w:rsidR="00F874F1">
        <w:t xml:space="preserve">to </w:t>
      </w:r>
      <w:r w:rsidR="00DA2A92">
        <w:t>a person with an attribute</w:t>
      </w:r>
      <w:r w:rsidR="00F874F1">
        <w:t>.</w:t>
      </w:r>
      <w:r w:rsidR="00DA2A92">
        <w:t xml:space="preserve"> </w:t>
      </w:r>
      <w:r w:rsidR="00F874F1">
        <w:t xml:space="preserve">The </w:t>
      </w:r>
      <w:r w:rsidR="00291E52">
        <w:t>new sex-based prohibitions</w:t>
      </w:r>
      <w:r w:rsidR="00FC5915">
        <w:t xml:space="preserve"> included in the Bill</w:t>
      </w:r>
      <w:r w:rsidR="00291E52">
        <w:t xml:space="preserve"> will</w:t>
      </w:r>
      <w:r w:rsidR="003329C6">
        <w:t xml:space="preserve"> </w:t>
      </w:r>
      <w:r w:rsidR="00291E52">
        <w:t xml:space="preserve">contain a </w:t>
      </w:r>
      <w:r w:rsidR="00F874F1">
        <w:t xml:space="preserve">similar </w:t>
      </w:r>
      <w:r w:rsidR="00291E52">
        <w:t xml:space="preserve">characteristics extension. </w:t>
      </w:r>
    </w:p>
    <w:p w14:paraId="6DFE8132" w14:textId="585D3752" w:rsidR="008C5D64" w:rsidRDefault="00291E52" w:rsidP="00284D9A">
      <w:pPr>
        <w:pStyle w:val="Numberedparagraph"/>
        <w:numPr>
          <w:ilvl w:val="0"/>
          <w:numId w:val="1"/>
        </w:numPr>
        <w:spacing w:line="240" w:lineRule="auto"/>
        <w:ind w:left="567" w:hanging="567"/>
      </w:pPr>
      <w:r>
        <w:t xml:space="preserve">Applying </w:t>
      </w:r>
      <w:r w:rsidR="00FC5915">
        <w:t>this approach</w:t>
      </w:r>
      <w:r>
        <w:t xml:space="preserve"> to vilification</w:t>
      </w:r>
      <w:r w:rsidR="008A4F2F">
        <w:t xml:space="preserve"> is a logical </w:t>
      </w:r>
      <w:r w:rsidR="008D0AA3">
        <w:t xml:space="preserve">and necessary </w:t>
      </w:r>
      <w:r w:rsidR="008A4F2F">
        <w:t xml:space="preserve">amendment to </w:t>
      </w:r>
      <w:r w:rsidR="00FC5915">
        <w:t>promote</w:t>
      </w:r>
      <w:r w:rsidR="008D0AA3">
        <w:t xml:space="preserve"> </w:t>
      </w:r>
      <w:r w:rsidR="008A4F2F">
        <w:t>consisten</w:t>
      </w:r>
      <w:r w:rsidR="00FC5915">
        <w:t xml:space="preserve">cy </w:t>
      </w:r>
      <w:r w:rsidR="008D0AA3">
        <w:t>across</w:t>
      </w:r>
      <w:r w:rsidR="008A4F2F">
        <w:t xml:space="preserve"> the </w:t>
      </w:r>
      <w:r w:rsidR="008D0AA3">
        <w:t>Act’s contraventions</w:t>
      </w:r>
      <w:r>
        <w:t xml:space="preserve"> and to close potential gaps in protection</w:t>
      </w:r>
      <w:r w:rsidR="008A4F2F">
        <w:t>.</w:t>
      </w:r>
      <w:r w:rsidR="005317E9">
        <w:t xml:space="preserve"> </w:t>
      </w:r>
      <w:r w:rsidR="008A4905">
        <w:t>In particular, t</w:t>
      </w:r>
      <w:r w:rsidR="008D0AA3">
        <w:t>he current law may fail to protect people from vilification where the vilifying conduct</w:t>
      </w:r>
      <w:r w:rsidR="00AF5B88">
        <w:t xml:space="preserve"> has occurred because of a</w:t>
      </w:r>
      <w:r w:rsidR="008A4905">
        <w:t xml:space="preserve"> characteristic often imputed to a person with the relevant attribute.</w:t>
      </w:r>
    </w:p>
    <w:p w14:paraId="4957119C" w14:textId="2838E138" w:rsidR="007A4CC1" w:rsidRDefault="007A4CC1" w:rsidP="00284D9A">
      <w:pPr>
        <w:pStyle w:val="Numberedparagraph"/>
        <w:numPr>
          <w:ilvl w:val="0"/>
          <w:numId w:val="1"/>
        </w:numPr>
        <w:spacing w:line="240" w:lineRule="auto"/>
        <w:ind w:left="567" w:hanging="567"/>
      </w:pPr>
      <w:r>
        <w:t xml:space="preserve">In the recent case of </w:t>
      </w:r>
      <w:r w:rsidR="0072326D" w:rsidRPr="00604C24">
        <w:rPr>
          <w:i/>
          <w:iCs/>
        </w:rPr>
        <w:t>Valkyrie and Hill v Shelton</w:t>
      </w:r>
      <w:r w:rsidR="0072326D">
        <w:t xml:space="preserve"> [2023] QCAT</w:t>
      </w:r>
      <w:r w:rsidR="00843D07">
        <w:t xml:space="preserve"> 302</w:t>
      </w:r>
      <w:r>
        <w:t xml:space="preserve">, </w:t>
      </w:r>
      <w:r w:rsidR="00604C24">
        <w:t xml:space="preserve">in the absence of a </w:t>
      </w:r>
      <w:r w:rsidR="00D3763D">
        <w:t>provision extending vilification on the ground of an attribute to include a characteristic of the attribute</w:t>
      </w:r>
      <w:r w:rsidR="005645E0">
        <w:t xml:space="preserve"> </w:t>
      </w:r>
      <w:r w:rsidR="000E4155">
        <w:t>(</w:t>
      </w:r>
      <w:r w:rsidR="000C007E">
        <w:t>as</w:t>
      </w:r>
      <w:r w:rsidR="009734A8">
        <w:t xml:space="preserve"> </w:t>
      </w:r>
      <w:r w:rsidR="000E4155">
        <w:t>with</w:t>
      </w:r>
      <w:r w:rsidR="009734A8">
        <w:t xml:space="preserve"> discrimination</w:t>
      </w:r>
      <w:r w:rsidR="000E4155">
        <w:t>)</w:t>
      </w:r>
      <w:r w:rsidR="00604C24">
        <w:t xml:space="preserve"> </w:t>
      </w:r>
      <w:r w:rsidR="005A6EA7">
        <w:t xml:space="preserve">there was </w:t>
      </w:r>
      <w:r w:rsidR="005645E0">
        <w:t>no mean</w:t>
      </w:r>
      <w:r w:rsidR="00261FAC">
        <w:t>s</w:t>
      </w:r>
      <w:r w:rsidR="005A6EA7">
        <w:t xml:space="preserve"> to </w:t>
      </w:r>
      <w:r w:rsidR="00845E61">
        <w:t>find</w:t>
      </w:r>
      <w:r w:rsidR="005A6EA7">
        <w:t xml:space="preserve"> that </w:t>
      </w:r>
      <w:r w:rsidR="009734A8">
        <w:t>references to drag</w:t>
      </w:r>
      <w:r w:rsidR="005A6EA7">
        <w:t xml:space="preserve"> queen</w:t>
      </w:r>
      <w:r w:rsidR="009734A8">
        <w:t>s</w:t>
      </w:r>
      <w:r w:rsidR="005A6EA7">
        <w:t xml:space="preserve"> </w:t>
      </w:r>
      <w:r w:rsidR="009734A8">
        <w:t>were</w:t>
      </w:r>
      <w:r w:rsidR="005A6EA7">
        <w:t xml:space="preserve"> </w:t>
      </w:r>
      <w:r w:rsidR="009734A8">
        <w:t xml:space="preserve">sufficiently linked to </w:t>
      </w:r>
      <w:r w:rsidR="00F96BC3">
        <w:t xml:space="preserve">either </w:t>
      </w:r>
      <w:r w:rsidR="009734A8">
        <w:t>the attributes of gender identity or sexuality.</w:t>
      </w:r>
      <w:r w:rsidR="009734A8">
        <w:rPr>
          <w:rStyle w:val="FootnoteReference"/>
        </w:rPr>
        <w:footnoteReference w:id="39"/>
      </w:r>
    </w:p>
    <w:p w14:paraId="19537F53" w14:textId="6AF0C1F7" w:rsidR="008D0AA3" w:rsidRPr="00C60C69" w:rsidRDefault="00906440" w:rsidP="00284D9A">
      <w:pPr>
        <w:pStyle w:val="Numberedparagraph"/>
        <w:numPr>
          <w:ilvl w:val="0"/>
          <w:numId w:val="1"/>
        </w:numPr>
        <w:spacing w:line="240" w:lineRule="auto"/>
        <w:ind w:left="567" w:hanging="567"/>
      </w:pPr>
      <w:r>
        <w:t>Adding</w:t>
      </w:r>
      <w:r w:rsidR="001C7261">
        <w:t xml:space="preserve"> a</w:t>
      </w:r>
      <w:r w:rsidR="006B5030">
        <w:t xml:space="preserve"> characteristics extension for vilification would also clarify other situations where people are vilified because of </w:t>
      </w:r>
      <w:r w:rsidR="004756CB">
        <w:t>characteristics associated with a protected attribute</w:t>
      </w:r>
      <w:r w:rsidR="006B5030">
        <w:t xml:space="preserve">. For instance, wearing a head scarf is generally </w:t>
      </w:r>
      <w:r w:rsidR="0085625A">
        <w:t>associated with</w:t>
      </w:r>
      <w:r w:rsidR="006B5030">
        <w:t xml:space="preserve"> Muslim women. In the absence of a </w:t>
      </w:r>
      <w:proofErr w:type="gramStart"/>
      <w:r w:rsidR="006B5030">
        <w:t>characteristics</w:t>
      </w:r>
      <w:proofErr w:type="gramEnd"/>
      <w:r w:rsidR="006B5030">
        <w:t xml:space="preserve"> extension for vilification, a respondent may </w:t>
      </w:r>
      <w:r w:rsidR="00603327">
        <w:t xml:space="preserve">be able to </w:t>
      </w:r>
      <w:r w:rsidR="006B5030">
        <w:t>argue that the vilifying conduct wa</w:t>
      </w:r>
      <w:r w:rsidR="00730E13">
        <w:t xml:space="preserve">s linked to the wearing of a head covering, </w:t>
      </w:r>
      <w:r w:rsidR="00893E3D">
        <w:t xml:space="preserve">rather than </w:t>
      </w:r>
      <w:r w:rsidR="00730E13">
        <w:t>to the person’s religion.</w:t>
      </w:r>
    </w:p>
    <w:p w14:paraId="3DFE300E" w14:textId="667C815E" w:rsidR="004B567F" w:rsidRDefault="00BC64F2" w:rsidP="00817511">
      <w:pPr>
        <w:pStyle w:val="Heading4"/>
      </w:pPr>
      <w:r>
        <w:t>Extending coverage to</w:t>
      </w:r>
      <w:r w:rsidR="00F14381">
        <w:t xml:space="preserve"> private land, including</w:t>
      </w:r>
      <w:r>
        <w:t xml:space="preserve"> schools and workplaces</w:t>
      </w:r>
    </w:p>
    <w:p w14:paraId="739F5DE1" w14:textId="38095E3C" w:rsidR="00014490" w:rsidRPr="00014490" w:rsidRDefault="00F14381" w:rsidP="00284D9A">
      <w:pPr>
        <w:pStyle w:val="Numberedparagraph"/>
        <w:numPr>
          <w:ilvl w:val="0"/>
          <w:numId w:val="1"/>
        </w:numPr>
        <w:spacing w:line="240" w:lineRule="auto"/>
        <w:ind w:left="567" w:hanging="567"/>
      </w:pPr>
      <w:r>
        <w:t>The Commission supports</w:t>
      </w:r>
      <w:r w:rsidR="004B567F">
        <w:t xml:space="preserve"> </w:t>
      </w:r>
      <w:r w:rsidR="002803AC">
        <w:t>clarification of</w:t>
      </w:r>
      <w:r w:rsidR="004B567F">
        <w:t xml:space="preserve"> the meaning of a ‘public act’</w:t>
      </w:r>
      <w:r w:rsidR="00536A32">
        <w:t xml:space="preserve"> to</w:t>
      </w:r>
      <w:r>
        <w:t xml:space="preserve"> </w:t>
      </w:r>
      <w:r w:rsidR="00536A32">
        <w:t xml:space="preserve">remove any doubt that </w:t>
      </w:r>
      <w:r w:rsidR="00B12090">
        <w:t>vilification that occurs in a public area of life</w:t>
      </w:r>
      <w:r w:rsidR="00536A32">
        <w:t xml:space="preserve"> </w:t>
      </w:r>
      <w:r w:rsidR="00A903CE">
        <w:t>is unlawful</w:t>
      </w:r>
      <w:r w:rsidR="00D20A5B">
        <w:t xml:space="preserve">, even if </w:t>
      </w:r>
      <w:r w:rsidR="00263A61">
        <w:t xml:space="preserve">it </w:t>
      </w:r>
      <w:r w:rsidR="00D20A5B">
        <w:t>occurs on private land</w:t>
      </w:r>
      <w:r w:rsidR="00EA3775">
        <w:t xml:space="preserve">. The </w:t>
      </w:r>
      <w:r w:rsidR="00D20A5B">
        <w:t>Commission</w:t>
      </w:r>
      <w:r w:rsidR="00EA3775">
        <w:t xml:space="preserve"> has previously </w:t>
      </w:r>
      <w:r w:rsidR="008F4DBE">
        <w:t xml:space="preserve">submitted </w:t>
      </w:r>
      <w:r w:rsidR="00D20A5B">
        <w:t xml:space="preserve">that, </w:t>
      </w:r>
      <w:proofErr w:type="gramStart"/>
      <w:r w:rsidR="00D20A5B">
        <w:t>in light of</w:t>
      </w:r>
      <w:proofErr w:type="gramEnd"/>
      <w:r w:rsidR="00D20A5B">
        <w:t xml:space="preserve"> recent case law, it is</w:t>
      </w:r>
      <w:r w:rsidR="00EA3775">
        <w:t xml:space="preserve"> necessary to </w:t>
      </w:r>
      <w:r w:rsidR="00F72991">
        <w:t>clarify whether the prohibition is intended to apply to environments such as workplaces</w:t>
      </w:r>
      <w:r w:rsidR="005C3C00">
        <w:t xml:space="preserve"> and schools</w:t>
      </w:r>
      <w:r w:rsidR="00F72991">
        <w:t xml:space="preserve"> that are not open to the public generally.</w:t>
      </w:r>
      <w:r w:rsidR="00F82C35">
        <w:rPr>
          <w:rStyle w:val="FootnoteReference"/>
        </w:rPr>
        <w:footnoteReference w:id="40"/>
      </w:r>
      <w:r w:rsidR="00F72991">
        <w:t xml:space="preserve"> </w:t>
      </w:r>
    </w:p>
    <w:p w14:paraId="4C1E22AF" w14:textId="3DFE742D" w:rsidR="00BC64F2" w:rsidRPr="000B3AE6" w:rsidRDefault="00A903CE" w:rsidP="00284D9A">
      <w:pPr>
        <w:pStyle w:val="Numberedparagraph"/>
        <w:numPr>
          <w:ilvl w:val="0"/>
          <w:numId w:val="1"/>
        </w:numPr>
        <w:spacing w:line="240" w:lineRule="auto"/>
        <w:ind w:left="567" w:hanging="567"/>
      </w:pPr>
      <w:r>
        <w:t>Vilification</w:t>
      </w:r>
      <w:r w:rsidR="006A26DB">
        <w:t xml:space="preserve"> and hate crime laws are</w:t>
      </w:r>
      <w:r w:rsidR="000B3AE6">
        <w:t xml:space="preserve"> not targeted at addressing</w:t>
      </w:r>
      <w:r>
        <w:t xml:space="preserve"> </w:t>
      </w:r>
      <w:r w:rsidR="000B3AE6">
        <w:t xml:space="preserve">private behaviour as this would </w:t>
      </w:r>
      <w:r w:rsidR="00883D05">
        <w:t>unjustifiably</w:t>
      </w:r>
      <w:r w:rsidR="000B3AE6">
        <w:t xml:space="preserve"> limit freedom of expression. </w:t>
      </w:r>
      <w:r w:rsidR="00014490">
        <w:t xml:space="preserve">Clarifying that vilification </w:t>
      </w:r>
      <w:r w:rsidR="00014490">
        <w:lastRenderedPageBreak/>
        <w:t>may</w:t>
      </w:r>
      <w:r w:rsidR="00B065CD">
        <w:t xml:space="preserve"> </w:t>
      </w:r>
      <w:r w:rsidR="00014490">
        <w:t>occur in workplaces and places of education is consistent with the approach that only private communications are excluded from the prohibitions.</w:t>
      </w:r>
    </w:p>
    <w:p w14:paraId="6005DC5B" w14:textId="3FBDE3A4" w:rsidR="00137F74" w:rsidRDefault="00DD3FB7" w:rsidP="007758A7">
      <w:pPr>
        <w:pStyle w:val="Heading2"/>
      </w:pPr>
      <w:bookmarkStart w:id="24" w:name="_Toc171341075"/>
      <w:r>
        <w:t>N</w:t>
      </w:r>
      <w:r w:rsidR="00406889">
        <w:t>ew</w:t>
      </w:r>
      <w:r w:rsidR="003D2A15">
        <w:t xml:space="preserve"> </w:t>
      </w:r>
      <w:r w:rsidR="00DF3995">
        <w:t>protected attributes</w:t>
      </w:r>
      <w:r>
        <w:t xml:space="preserve"> and updated attributes</w:t>
      </w:r>
      <w:bookmarkEnd w:id="24"/>
    </w:p>
    <w:p w14:paraId="2331B28B" w14:textId="77777777" w:rsidR="00A64716" w:rsidRPr="009A7E13" w:rsidRDefault="00A64716" w:rsidP="007758A7">
      <w:pPr>
        <w:pStyle w:val="Heading3"/>
      </w:pPr>
      <w:r w:rsidRPr="009546E5">
        <w:t>Updating protected attributes</w:t>
      </w:r>
    </w:p>
    <w:p w14:paraId="0770EE0B" w14:textId="610DC318" w:rsidR="00491C67" w:rsidRDefault="00DE6860" w:rsidP="00284D9A">
      <w:pPr>
        <w:pStyle w:val="Numberedparagraph"/>
        <w:numPr>
          <w:ilvl w:val="0"/>
          <w:numId w:val="1"/>
        </w:numPr>
        <w:spacing w:line="240" w:lineRule="auto"/>
        <w:ind w:left="567" w:hanging="567"/>
      </w:pPr>
      <w:r>
        <w:t xml:space="preserve">The Bill implements several recommendations of </w:t>
      </w:r>
      <w:r>
        <w:rPr>
          <w:i/>
          <w:iCs/>
        </w:rPr>
        <w:t>Building Belonging</w:t>
      </w:r>
      <w:r>
        <w:rPr>
          <w:rStyle w:val="FootnoteReference"/>
        </w:rPr>
        <w:footnoteReference w:id="41"/>
      </w:r>
      <w:r w:rsidR="00197D4B">
        <w:t xml:space="preserve"> </w:t>
      </w:r>
      <w:r w:rsidR="00C315C6">
        <w:t>by updating certain protected attributes in the current Anti-Discrimination Act</w:t>
      </w:r>
      <w:r w:rsidR="00574AE8">
        <w:t>, while other</w:t>
      </w:r>
      <w:r w:rsidR="00197D4B">
        <w:t xml:space="preserve"> amendments have been made </w:t>
      </w:r>
      <w:r w:rsidR="00F056BC">
        <w:t>indepen</w:t>
      </w:r>
      <w:r w:rsidR="003D0ED1">
        <w:t>d</w:t>
      </w:r>
      <w:r w:rsidR="00F056BC">
        <w:t xml:space="preserve">ently </w:t>
      </w:r>
      <w:r w:rsidR="00197D4B">
        <w:t>to improve the definition of gender identity</w:t>
      </w:r>
      <w:r w:rsidR="009E4C83">
        <w:t xml:space="preserve"> and </w:t>
      </w:r>
      <w:r w:rsidR="00197D4B">
        <w:t>update protection for sex workers</w:t>
      </w:r>
      <w:r w:rsidR="009E4C83">
        <w:t>.</w:t>
      </w:r>
      <w:r w:rsidR="009E4C83">
        <w:rPr>
          <w:rStyle w:val="FootnoteReference"/>
        </w:rPr>
        <w:footnoteReference w:id="42"/>
      </w:r>
      <w:r w:rsidR="00041744">
        <w:t xml:space="preserve"> </w:t>
      </w:r>
    </w:p>
    <w:p w14:paraId="7EF3B8E7" w14:textId="7E0A9276" w:rsidR="00BF7124" w:rsidRDefault="00491C67" w:rsidP="00284D9A">
      <w:pPr>
        <w:pStyle w:val="Numberedparagraph"/>
        <w:numPr>
          <w:ilvl w:val="0"/>
          <w:numId w:val="1"/>
        </w:numPr>
        <w:spacing w:line="240" w:lineRule="auto"/>
        <w:ind w:left="567" w:hanging="567"/>
      </w:pPr>
      <w:r>
        <w:t xml:space="preserve">The Commission strongly supports changes </w:t>
      </w:r>
      <w:r w:rsidR="00BF7124">
        <w:t>to the following attributes</w:t>
      </w:r>
      <w:r w:rsidR="00BB73B8">
        <w:t xml:space="preserve"> in accordance with </w:t>
      </w:r>
      <w:r w:rsidR="005A4956">
        <w:t xml:space="preserve">the recommendations of </w:t>
      </w:r>
      <w:r w:rsidR="00BB73B8">
        <w:rPr>
          <w:i/>
          <w:iCs/>
        </w:rPr>
        <w:t>Building Belonging</w:t>
      </w:r>
      <w:r w:rsidR="00BF7124">
        <w:t>:</w:t>
      </w:r>
    </w:p>
    <w:p w14:paraId="0AEB4647" w14:textId="7C24FA3D" w:rsidR="00BF7124" w:rsidRDefault="003D0ED1" w:rsidP="007758A7">
      <w:pPr>
        <w:pStyle w:val="Bulletedlist"/>
      </w:pPr>
      <w:r>
        <w:t>s</w:t>
      </w:r>
      <w:r w:rsidR="00BF7124">
        <w:t>exual orientation (currently sexuality)</w:t>
      </w:r>
    </w:p>
    <w:p w14:paraId="5EF287F6" w14:textId="31A0F9A9" w:rsidR="00BF7124" w:rsidRDefault="003D0ED1" w:rsidP="007758A7">
      <w:pPr>
        <w:pStyle w:val="Bulletedlist"/>
      </w:pPr>
      <w:r>
        <w:t>f</w:t>
      </w:r>
      <w:r w:rsidR="00BF7124">
        <w:t>amily, carer or kinsh</w:t>
      </w:r>
      <w:r w:rsidR="00EE668A">
        <w:t>i</w:t>
      </w:r>
      <w:r w:rsidR="00BF7124">
        <w:t xml:space="preserve">p responsibilities (currently family </w:t>
      </w:r>
      <w:r w:rsidR="00EE668A">
        <w:t>responsibilities</w:t>
      </w:r>
      <w:r w:rsidR="00BF7124">
        <w:t>)</w:t>
      </w:r>
    </w:p>
    <w:p w14:paraId="47E80447" w14:textId="079699D8" w:rsidR="0079079D" w:rsidRDefault="00FC2505" w:rsidP="00606E59">
      <w:pPr>
        <w:pStyle w:val="Bulletedlist"/>
      </w:pPr>
      <w:r>
        <w:t>r</w:t>
      </w:r>
      <w:r w:rsidR="001939D9">
        <w:t>ace (to explicitly include immigration / migration status</w:t>
      </w:r>
      <w:r w:rsidR="00DE58BD">
        <w:t xml:space="preserve"> in the non-</w:t>
      </w:r>
      <w:r w:rsidR="00BB73B8">
        <w:t>exhaustive</w:t>
      </w:r>
      <w:r w:rsidR="00DE58BD">
        <w:t xml:space="preserve"> definition</w:t>
      </w:r>
      <w:r w:rsidR="001939D9">
        <w:t>)</w:t>
      </w:r>
      <w:r w:rsidR="0079079D">
        <w:t>.</w:t>
      </w:r>
    </w:p>
    <w:p w14:paraId="3310A0E4" w14:textId="0C788915" w:rsidR="0079079D" w:rsidRDefault="0079079D" w:rsidP="00284D9A">
      <w:pPr>
        <w:pStyle w:val="Numberedparagraph"/>
        <w:numPr>
          <w:ilvl w:val="0"/>
          <w:numId w:val="1"/>
        </w:numPr>
        <w:spacing w:line="240" w:lineRule="auto"/>
        <w:ind w:left="567" w:hanging="567"/>
      </w:pPr>
      <w:r>
        <w:t xml:space="preserve">While not </w:t>
      </w:r>
      <w:r w:rsidR="00205238">
        <w:t>addressed</w:t>
      </w:r>
      <w:r>
        <w:t xml:space="preserve"> by </w:t>
      </w:r>
      <w:r>
        <w:rPr>
          <w:i/>
          <w:iCs/>
        </w:rPr>
        <w:t>Building Belonging</w:t>
      </w:r>
      <w:r>
        <w:t xml:space="preserve">, the Commission does not have concerns with </w:t>
      </w:r>
      <w:r w:rsidR="00BA2ECC">
        <w:t>expanding coverage</w:t>
      </w:r>
      <w:r>
        <w:t xml:space="preserve"> </w:t>
      </w:r>
      <w:r w:rsidR="00BA2ECC">
        <w:t>for pregnancy</w:t>
      </w:r>
      <w:r>
        <w:t xml:space="preserve"> with a new ‘</w:t>
      </w:r>
      <w:r w:rsidR="006A2282">
        <w:t>potential</w:t>
      </w:r>
      <w:r w:rsidR="00C306A2">
        <w:t xml:space="preserve"> pregnancy’ </w:t>
      </w:r>
      <w:r w:rsidR="00857592">
        <w:t>attribute, nor with specifically defining the meaning of trade union activity.</w:t>
      </w:r>
    </w:p>
    <w:p w14:paraId="3433A53A" w14:textId="5F6318FB" w:rsidR="00556094" w:rsidRDefault="00DE3819" w:rsidP="00284D9A">
      <w:pPr>
        <w:pStyle w:val="Numberedparagraph"/>
        <w:numPr>
          <w:ilvl w:val="0"/>
          <w:numId w:val="1"/>
        </w:numPr>
        <w:spacing w:line="240" w:lineRule="auto"/>
        <w:ind w:left="567" w:hanging="567"/>
      </w:pPr>
      <w:r>
        <w:rPr>
          <w:iCs/>
        </w:rPr>
        <w:t xml:space="preserve">The </w:t>
      </w:r>
      <w:r w:rsidRPr="008C5D64">
        <w:t>Commission</w:t>
      </w:r>
      <w:r>
        <w:rPr>
          <w:iCs/>
        </w:rPr>
        <w:t xml:space="preserve"> expresses disappointment </w:t>
      </w:r>
      <w:r w:rsidR="00652839">
        <w:rPr>
          <w:iCs/>
        </w:rPr>
        <w:t xml:space="preserve">at the </w:t>
      </w:r>
      <w:r w:rsidR="00CD0877">
        <w:rPr>
          <w:iCs/>
        </w:rPr>
        <w:t>failure to implement</w:t>
      </w:r>
      <w:r w:rsidR="008A3C9A">
        <w:rPr>
          <w:iCs/>
        </w:rPr>
        <w:t xml:space="preserve"> </w:t>
      </w:r>
      <w:r w:rsidR="006A254D">
        <w:rPr>
          <w:iCs/>
        </w:rPr>
        <w:t xml:space="preserve">the </w:t>
      </w:r>
      <w:r w:rsidR="00131DCE" w:rsidRPr="00FA672F">
        <w:rPr>
          <w:i/>
        </w:rPr>
        <w:t>Building Belonging</w:t>
      </w:r>
      <w:r w:rsidR="00947116" w:rsidRPr="00B73622">
        <w:rPr>
          <w:rStyle w:val="FootnoteReference"/>
          <w:iCs/>
        </w:rPr>
        <w:footnoteReference w:id="43"/>
      </w:r>
      <w:r w:rsidR="00131DCE" w:rsidRPr="00B73622">
        <w:rPr>
          <w:iCs/>
        </w:rPr>
        <w:t xml:space="preserve"> </w:t>
      </w:r>
      <w:r>
        <w:t xml:space="preserve">recommendation </w:t>
      </w:r>
      <w:r w:rsidR="006A254D">
        <w:t>to update</w:t>
      </w:r>
      <w:r w:rsidR="00C62746">
        <w:t xml:space="preserve"> the </w:t>
      </w:r>
      <w:r w:rsidR="00D23B93">
        <w:t xml:space="preserve">current </w:t>
      </w:r>
      <w:r w:rsidR="00B4731E">
        <w:t>name of the attribute</w:t>
      </w:r>
      <w:r w:rsidR="00C62746">
        <w:t xml:space="preserve"> </w:t>
      </w:r>
      <w:r w:rsidR="00297208">
        <w:t>‘</w:t>
      </w:r>
      <w:r w:rsidR="00C62746">
        <w:t>impairment</w:t>
      </w:r>
      <w:r w:rsidR="00297208">
        <w:t>’</w:t>
      </w:r>
      <w:r w:rsidR="00C62746">
        <w:t xml:space="preserve"> to </w:t>
      </w:r>
      <w:r w:rsidR="00297208">
        <w:t>‘</w:t>
      </w:r>
      <w:r w:rsidR="00C62746">
        <w:t>disability</w:t>
      </w:r>
      <w:r w:rsidR="00297208">
        <w:t>’</w:t>
      </w:r>
      <w:r w:rsidR="007C1EFD">
        <w:t>.</w:t>
      </w:r>
      <w:r w:rsidR="00E97F80">
        <w:t xml:space="preserve"> Associated </w:t>
      </w:r>
      <w:r w:rsidR="00C2023A">
        <w:t>changes</w:t>
      </w:r>
      <w:r w:rsidR="00E97F80">
        <w:t xml:space="preserve"> would have included </w:t>
      </w:r>
      <w:r>
        <w:t>updating the</w:t>
      </w:r>
      <w:r w:rsidR="00C62746">
        <w:t xml:space="preserve"> definition</w:t>
      </w:r>
      <w:r w:rsidR="004E417D">
        <w:t xml:space="preserve"> </w:t>
      </w:r>
      <w:r w:rsidR="00C2023A">
        <w:t xml:space="preserve">of disability </w:t>
      </w:r>
      <w:r w:rsidR="004E417D">
        <w:t xml:space="preserve">and </w:t>
      </w:r>
      <w:r w:rsidR="00C2023A">
        <w:t>replac</w:t>
      </w:r>
      <w:r w:rsidR="001F5192">
        <w:t>ing</w:t>
      </w:r>
      <w:r w:rsidR="004E417D">
        <w:t xml:space="preserve"> outdated language</w:t>
      </w:r>
      <w:r>
        <w:t xml:space="preserve"> to align better with federal law</w:t>
      </w:r>
      <w:r w:rsidR="00C2023A">
        <w:t>.</w:t>
      </w:r>
      <w:r w:rsidR="00C62746">
        <w:t xml:space="preserve"> </w:t>
      </w:r>
      <w:r w:rsidR="00BA4880">
        <w:t>Clarification of</w:t>
      </w:r>
      <w:r>
        <w:t xml:space="preserve"> </w:t>
      </w:r>
      <w:r w:rsidR="003A34B3">
        <w:t xml:space="preserve">how </w:t>
      </w:r>
      <w:r>
        <w:t>the</w:t>
      </w:r>
      <w:r w:rsidR="00C62746">
        <w:t xml:space="preserve"> </w:t>
      </w:r>
      <w:r w:rsidR="001045F7">
        <w:t>Act</w:t>
      </w:r>
      <w:r w:rsidR="008E111F">
        <w:t xml:space="preserve"> </w:t>
      </w:r>
      <w:r w:rsidR="002B3E8D">
        <w:t>appli</w:t>
      </w:r>
      <w:r w:rsidR="003A34B3">
        <w:t>es</w:t>
      </w:r>
      <w:r w:rsidR="002B3E8D">
        <w:t xml:space="preserve"> </w:t>
      </w:r>
      <w:r w:rsidR="003B2F96">
        <w:t>to</w:t>
      </w:r>
      <w:r w:rsidR="00C62746">
        <w:t xml:space="preserve"> assistance animals</w:t>
      </w:r>
      <w:r w:rsidR="00B032BA">
        <w:t xml:space="preserve"> </w:t>
      </w:r>
      <w:r w:rsidR="00E46F0D">
        <w:t xml:space="preserve">and people </w:t>
      </w:r>
      <w:r>
        <w:t>who experience</w:t>
      </w:r>
      <w:r w:rsidR="00E46F0D">
        <w:t xml:space="preserve"> addiction</w:t>
      </w:r>
      <w:r w:rsidR="00671400">
        <w:t xml:space="preserve"> </w:t>
      </w:r>
      <w:r w:rsidR="00675D8A">
        <w:t>is also needed</w:t>
      </w:r>
      <w:r w:rsidR="00C62746">
        <w:t>.</w:t>
      </w:r>
    </w:p>
    <w:p w14:paraId="06BF6F16" w14:textId="123B3E97" w:rsidR="00556094" w:rsidRDefault="00F16CDE" w:rsidP="00284D9A">
      <w:pPr>
        <w:pStyle w:val="Numberedparagraph"/>
        <w:numPr>
          <w:ilvl w:val="0"/>
          <w:numId w:val="1"/>
        </w:numPr>
        <w:spacing w:line="240" w:lineRule="auto"/>
        <w:ind w:left="567" w:hanging="567"/>
      </w:pPr>
      <w:r>
        <w:t>A</w:t>
      </w:r>
      <w:r w:rsidR="00556094">
        <w:t xml:space="preserve">ll </w:t>
      </w:r>
      <w:r w:rsidR="00BF105B">
        <w:t>groups</w:t>
      </w:r>
      <w:r w:rsidR="0007542A">
        <w:t xml:space="preserve"> in need of protection under the </w:t>
      </w:r>
      <w:r w:rsidR="0009155E">
        <w:t xml:space="preserve">Act </w:t>
      </w:r>
      <w:r w:rsidR="00BF105B">
        <w:t xml:space="preserve">will have the benefit of reforms recommended </w:t>
      </w:r>
      <w:r w:rsidR="00C77D40">
        <w:t xml:space="preserve">by the </w:t>
      </w:r>
      <w:r w:rsidR="00556094">
        <w:rPr>
          <w:i/>
          <w:iCs/>
        </w:rPr>
        <w:t xml:space="preserve">Building Belonging </w:t>
      </w:r>
      <w:r w:rsidR="00BF105B">
        <w:t>report</w:t>
      </w:r>
      <w:r w:rsidR="00556094">
        <w:t xml:space="preserve"> except for </w:t>
      </w:r>
      <w:r w:rsidR="00BF105B">
        <w:t>people with a disability</w:t>
      </w:r>
      <w:r w:rsidR="00556094">
        <w:t xml:space="preserve">. </w:t>
      </w:r>
      <w:r w:rsidR="00BF105B" w:rsidRPr="00BF105B">
        <w:t xml:space="preserve">Disability </w:t>
      </w:r>
      <w:r w:rsidR="00115E92">
        <w:t>(impairment)</w:t>
      </w:r>
      <w:r w:rsidR="00BF105B" w:rsidRPr="00BF105B">
        <w:t xml:space="preserve"> discrimination </w:t>
      </w:r>
      <w:r w:rsidR="00FC668F">
        <w:t>represent</w:t>
      </w:r>
      <w:r w:rsidR="00115E92">
        <w:t>ed</w:t>
      </w:r>
      <w:r w:rsidR="00BF105B" w:rsidRPr="00BF105B">
        <w:t xml:space="preserve"> 65% of complaints dealt with </w:t>
      </w:r>
      <w:r w:rsidR="00B05A27">
        <w:t xml:space="preserve">in 2022-23 </w:t>
      </w:r>
      <w:r w:rsidR="00491D08">
        <w:t>by the Commission</w:t>
      </w:r>
      <w:r w:rsidR="00B05A27">
        <w:t>.</w:t>
      </w:r>
    </w:p>
    <w:p w14:paraId="67E078C3" w14:textId="59BCC82E" w:rsidR="00FF54B1" w:rsidRPr="00DD626E" w:rsidRDefault="00FF54B1" w:rsidP="00284D9A">
      <w:pPr>
        <w:pStyle w:val="Numberedparagraph"/>
        <w:numPr>
          <w:ilvl w:val="0"/>
          <w:numId w:val="1"/>
        </w:numPr>
        <w:spacing w:line="240" w:lineRule="auto"/>
        <w:ind w:left="567" w:hanging="567"/>
      </w:pPr>
      <w:r w:rsidRPr="00FF54B1">
        <w:t xml:space="preserve">While </w:t>
      </w:r>
      <w:r w:rsidR="001F7CB6">
        <w:t>a</w:t>
      </w:r>
      <w:r w:rsidRPr="00FF54B1">
        <w:t>cknowledg</w:t>
      </w:r>
      <w:r w:rsidR="001F7CB6">
        <w:t>ing</w:t>
      </w:r>
      <w:r w:rsidRPr="00FF54B1">
        <w:t xml:space="preserve"> that this is the first tranche of </w:t>
      </w:r>
      <w:r w:rsidR="002769DC">
        <w:t xml:space="preserve">legislative </w:t>
      </w:r>
      <w:r w:rsidRPr="00FF54B1">
        <w:t xml:space="preserve">reform, </w:t>
      </w:r>
      <w:r w:rsidR="001F7CB6">
        <w:t>the Commission recommends that reforms</w:t>
      </w:r>
      <w:r w:rsidR="00D0598D">
        <w:t xml:space="preserve"> </w:t>
      </w:r>
      <w:r w:rsidR="00820A36">
        <w:t>relating to people</w:t>
      </w:r>
      <w:r w:rsidR="00D0598D">
        <w:t xml:space="preserve"> with a disability</w:t>
      </w:r>
      <w:r w:rsidR="001F7CB6">
        <w:t xml:space="preserve"> are prioritised</w:t>
      </w:r>
      <w:r w:rsidR="00C61BFA">
        <w:t xml:space="preserve"> in the </w:t>
      </w:r>
      <w:r w:rsidR="00820A36">
        <w:t>subsequent</w:t>
      </w:r>
      <w:r w:rsidR="00C61BFA">
        <w:t xml:space="preserve"> amendments.</w:t>
      </w:r>
    </w:p>
    <w:p w14:paraId="4B32EE19" w14:textId="77777777" w:rsidR="00A64716" w:rsidRDefault="00A64716" w:rsidP="007758A7">
      <w:pPr>
        <w:pStyle w:val="Heading3"/>
      </w:pPr>
      <w:r>
        <w:t>Protecting additional attributes</w:t>
      </w:r>
    </w:p>
    <w:p w14:paraId="1E107DCC" w14:textId="38CDB5AA" w:rsidR="0073179B" w:rsidRDefault="00B60A25" w:rsidP="00284D9A">
      <w:pPr>
        <w:pStyle w:val="Numberedparagraph"/>
        <w:numPr>
          <w:ilvl w:val="0"/>
          <w:numId w:val="1"/>
        </w:numPr>
        <w:spacing w:line="240" w:lineRule="auto"/>
        <w:ind w:left="567" w:hanging="567"/>
      </w:pPr>
      <w:r>
        <w:t>Protection for</w:t>
      </w:r>
      <w:r w:rsidR="00A64716">
        <w:t xml:space="preserve"> additional attributes</w:t>
      </w:r>
      <w:r w:rsidR="00A75993">
        <w:t xml:space="preserve"> </w:t>
      </w:r>
      <w:r>
        <w:t xml:space="preserve">as </w:t>
      </w:r>
      <w:r w:rsidR="00A64716">
        <w:t>recommend</w:t>
      </w:r>
      <w:r>
        <w:t>ed</w:t>
      </w:r>
      <w:r w:rsidR="00A64716">
        <w:t xml:space="preserve"> </w:t>
      </w:r>
      <w:r w:rsidR="00DF0E51">
        <w:t xml:space="preserve">by the </w:t>
      </w:r>
      <w:r w:rsidR="00A64716" w:rsidRPr="00A64716">
        <w:rPr>
          <w:i/>
          <w:iCs/>
        </w:rPr>
        <w:t>Building Belonging</w:t>
      </w:r>
      <w:r w:rsidR="00DF0E51">
        <w:t xml:space="preserve"> report</w:t>
      </w:r>
      <w:r w:rsidR="00D93780">
        <w:rPr>
          <w:rStyle w:val="FootnoteReference"/>
        </w:rPr>
        <w:footnoteReference w:id="44"/>
      </w:r>
      <w:r w:rsidR="00DF0E51">
        <w:t xml:space="preserve"> </w:t>
      </w:r>
      <w:r w:rsidR="00A75993">
        <w:t>h</w:t>
      </w:r>
      <w:r w:rsidR="00DF0E51">
        <w:t>as been included in the Bill.</w:t>
      </w:r>
      <w:r w:rsidR="00D93780">
        <w:t xml:space="preserve"> The Commission notes that </w:t>
      </w:r>
      <w:r w:rsidR="00856CED">
        <w:t xml:space="preserve">amendment of </w:t>
      </w:r>
      <w:r w:rsidR="00856CED">
        <w:lastRenderedPageBreak/>
        <w:t xml:space="preserve">the Act to include </w:t>
      </w:r>
      <w:r w:rsidR="00A75993">
        <w:t xml:space="preserve">the new attribute of </w:t>
      </w:r>
      <w:r w:rsidR="00D93780">
        <w:t xml:space="preserve">sex characteristics has already </w:t>
      </w:r>
      <w:r w:rsidR="007F223D">
        <w:t>commenced</w:t>
      </w:r>
      <w:r w:rsidR="008C7176">
        <w:t xml:space="preserve">, </w:t>
      </w:r>
      <w:r w:rsidR="00CA1777">
        <w:t>concurrently with birth certificate reforms</w:t>
      </w:r>
      <w:r w:rsidR="00D93780">
        <w:t>.</w:t>
      </w:r>
      <w:r w:rsidR="00D93780">
        <w:rPr>
          <w:rStyle w:val="FootnoteReference"/>
        </w:rPr>
        <w:footnoteReference w:id="45"/>
      </w:r>
    </w:p>
    <w:p w14:paraId="60611F0F" w14:textId="420106E2" w:rsidR="0073179B" w:rsidRDefault="0073179B" w:rsidP="00284D9A">
      <w:pPr>
        <w:pStyle w:val="Numberedparagraph"/>
        <w:numPr>
          <w:ilvl w:val="0"/>
          <w:numId w:val="1"/>
        </w:numPr>
        <w:spacing w:line="240" w:lineRule="auto"/>
        <w:ind w:left="567" w:hanging="567"/>
      </w:pPr>
      <w:r>
        <w:t xml:space="preserve">The Commission supports the introduction of the following new </w:t>
      </w:r>
      <w:r w:rsidR="007D2214">
        <w:t xml:space="preserve">attributes </w:t>
      </w:r>
      <w:r w:rsidR="00201A24">
        <w:t>as recommended by</w:t>
      </w:r>
      <w:r w:rsidR="00965CD3">
        <w:t xml:space="preserve"> </w:t>
      </w:r>
      <w:r w:rsidR="0001352C">
        <w:t>the</w:t>
      </w:r>
      <w:r w:rsidR="00965CD3">
        <w:t xml:space="preserve"> </w:t>
      </w:r>
      <w:r w:rsidR="00965CD3">
        <w:rPr>
          <w:i/>
          <w:iCs/>
        </w:rPr>
        <w:t>Building Belonging</w:t>
      </w:r>
      <w:r w:rsidR="00A934C0">
        <w:t>:</w:t>
      </w:r>
    </w:p>
    <w:p w14:paraId="392876C4" w14:textId="0E755F03" w:rsidR="0073179B" w:rsidRDefault="00F8599C" w:rsidP="00284D9A">
      <w:pPr>
        <w:pStyle w:val="Bulletedlist"/>
        <w:numPr>
          <w:ilvl w:val="1"/>
          <w:numId w:val="2"/>
        </w:numPr>
      </w:pPr>
      <w:r>
        <w:t>p</w:t>
      </w:r>
      <w:r w:rsidR="00146B7C">
        <w:t>hysical appearance</w:t>
      </w:r>
    </w:p>
    <w:p w14:paraId="5A8D2969" w14:textId="47CAC105" w:rsidR="00146B7C" w:rsidRDefault="00F8599C" w:rsidP="00284D9A">
      <w:pPr>
        <w:pStyle w:val="Bulletedlist"/>
        <w:numPr>
          <w:ilvl w:val="1"/>
          <w:numId w:val="2"/>
        </w:numPr>
      </w:pPr>
      <w:r>
        <w:t>h</w:t>
      </w:r>
      <w:r w:rsidR="00146B7C">
        <w:t>omelessness</w:t>
      </w:r>
    </w:p>
    <w:p w14:paraId="224AF4F1" w14:textId="485BA8DE" w:rsidR="00146B7C" w:rsidRDefault="00F8599C" w:rsidP="00284D9A">
      <w:pPr>
        <w:pStyle w:val="Bulletedlist"/>
        <w:numPr>
          <w:ilvl w:val="1"/>
          <w:numId w:val="2"/>
        </w:numPr>
      </w:pPr>
      <w:r>
        <w:t>s</w:t>
      </w:r>
      <w:r w:rsidR="00146B7C">
        <w:t>ubjection to family and domestic violence</w:t>
      </w:r>
    </w:p>
    <w:p w14:paraId="56375FC6" w14:textId="7F6A347F" w:rsidR="00146B7C" w:rsidRDefault="00F8599C" w:rsidP="00284D9A">
      <w:pPr>
        <w:pStyle w:val="Bulletedlist"/>
        <w:numPr>
          <w:ilvl w:val="1"/>
          <w:numId w:val="2"/>
        </w:numPr>
      </w:pPr>
      <w:r>
        <w:t>i</w:t>
      </w:r>
      <w:r w:rsidR="00146B7C">
        <w:t>rrelevant criminal record</w:t>
      </w:r>
    </w:p>
    <w:p w14:paraId="3EE5011E" w14:textId="286CE2E6" w:rsidR="00146B7C" w:rsidRDefault="00F8599C" w:rsidP="00284D9A">
      <w:pPr>
        <w:pStyle w:val="Bulletedlist"/>
        <w:numPr>
          <w:ilvl w:val="1"/>
          <w:numId w:val="2"/>
        </w:numPr>
      </w:pPr>
      <w:r>
        <w:t>e</w:t>
      </w:r>
      <w:r w:rsidR="00146B7C">
        <w:t>xpunged conviction</w:t>
      </w:r>
      <w:r w:rsidR="00385583">
        <w:t>.</w:t>
      </w:r>
    </w:p>
    <w:p w14:paraId="69CD58A3" w14:textId="22CB09C5" w:rsidR="003D2A15" w:rsidRDefault="00146B7C" w:rsidP="00284D9A">
      <w:pPr>
        <w:pStyle w:val="Numberedparagraph"/>
        <w:numPr>
          <w:ilvl w:val="0"/>
          <w:numId w:val="1"/>
        </w:numPr>
        <w:spacing w:line="240" w:lineRule="auto"/>
        <w:ind w:left="567" w:hanging="567"/>
      </w:pPr>
      <w:r>
        <w:t xml:space="preserve">While </w:t>
      </w:r>
      <w:r w:rsidR="00001265">
        <w:t>the conduct sought to be addressed</w:t>
      </w:r>
      <w:r w:rsidR="00BC27D1">
        <w:rPr>
          <w:rStyle w:val="FootnoteReference"/>
        </w:rPr>
        <w:footnoteReference w:id="46"/>
      </w:r>
      <w:r w:rsidR="00001265">
        <w:t xml:space="preserve"> is already</w:t>
      </w:r>
      <w:r>
        <w:t xml:space="preserve"> covered by </w:t>
      </w:r>
      <w:r w:rsidR="005E3BFC">
        <w:t xml:space="preserve">other attributes (i.e. </w:t>
      </w:r>
      <w:r>
        <w:t>impairment</w:t>
      </w:r>
      <w:r w:rsidR="00001265">
        <w:t>, gender identity</w:t>
      </w:r>
      <w:r w:rsidR="007B4937">
        <w:t xml:space="preserve"> and </w:t>
      </w:r>
      <w:r w:rsidR="00001265">
        <w:t>sex characteristics</w:t>
      </w:r>
      <w:r w:rsidR="005E3BFC">
        <w:t>)</w:t>
      </w:r>
      <w:r>
        <w:t xml:space="preserve">, the Commission </w:t>
      </w:r>
      <w:r w:rsidR="007B4937">
        <w:t>does not object</w:t>
      </w:r>
      <w:r>
        <w:t xml:space="preserve"> to the inclusion of the additional ‘irrelevant medical record’ attribute.</w:t>
      </w:r>
    </w:p>
    <w:p w14:paraId="5D3738EB" w14:textId="766ED259" w:rsidR="00C62CF6" w:rsidRDefault="00C62CF6" w:rsidP="007758A7">
      <w:pPr>
        <w:pStyle w:val="Heading2"/>
      </w:pPr>
      <w:bookmarkStart w:id="25" w:name="_Toc171341076"/>
      <w:bookmarkEnd w:id="11"/>
      <w:bookmarkEnd w:id="12"/>
      <w:bookmarkEnd w:id="13"/>
      <w:r>
        <w:t>Representative complaints</w:t>
      </w:r>
      <w:bookmarkEnd w:id="25"/>
    </w:p>
    <w:p w14:paraId="171CCD2E" w14:textId="4A2F8C34" w:rsidR="000C7C84" w:rsidRPr="006C1604" w:rsidRDefault="00DF2EB7" w:rsidP="00284D9A">
      <w:pPr>
        <w:pStyle w:val="Numberedparagraph"/>
        <w:numPr>
          <w:ilvl w:val="0"/>
          <w:numId w:val="1"/>
        </w:numPr>
        <w:spacing w:line="240" w:lineRule="auto"/>
        <w:ind w:left="567" w:hanging="567"/>
      </w:pPr>
      <w:r>
        <w:t xml:space="preserve">The Commission supports the amendments to representative complaints which align with the recommendations of </w:t>
      </w:r>
      <w:r>
        <w:rPr>
          <w:i/>
          <w:iCs/>
        </w:rPr>
        <w:t>Building Belonging</w:t>
      </w:r>
      <w:r>
        <w:t xml:space="preserve">. </w:t>
      </w:r>
      <w:r w:rsidR="006C1604">
        <w:t xml:space="preserve">The Commission is pleased to observe that </w:t>
      </w:r>
      <w:r w:rsidR="00295EA9">
        <w:t>the Commission’s</w:t>
      </w:r>
      <w:r w:rsidR="006C1604">
        <w:t xml:space="preserve"> drafting suggestions made to improve the representative complaints provisions have been </w:t>
      </w:r>
      <w:r w:rsidR="00295EA9">
        <w:t>implemented</w:t>
      </w:r>
      <w:r w:rsidR="006C1604">
        <w:t xml:space="preserve"> in the Bill.</w:t>
      </w:r>
    </w:p>
    <w:p w14:paraId="4198C81C" w14:textId="77777777" w:rsidR="005B538F" w:rsidRDefault="00590199" w:rsidP="005B538F">
      <w:pPr>
        <w:pStyle w:val="Heading2"/>
      </w:pPr>
      <w:bookmarkStart w:id="26" w:name="_Toc171341077"/>
      <w:r w:rsidRPr="001C0269">
        <w:t xml:space="preserve">Retention of </w:t>
      </w:r>
      <w:r w:rsidR="00B96820" w:rsidRPr="001C0269">
        <w:t>restrictive and impractical investigation powers</w:t>
      </w:r>
      <w:bookmarkEnd w:id="26"/>
      <w:r w:rsidR="00B96820" w:rsidRPr="001C0269">
        <w:t xml:space="preserve"> </w:t>
      </w:r>
    </w:p>
    <w:p w14:paraId="7A46378F" w14:textId="0196859A" w:rsidR="00B448D4" w:rsidRDefault="00511DFB" w:rsidP="00284D9A">
      <w:pPr>
        <w:pStyle w:val="Numberedparagraph"/>
        <w:numPr>
          <w:ilvl w:val="0"/>
          <w:numId w:val="1"/>
        </w:numPr>
        <w:spacing w:line="240" w:lineRule="auto"/>
        <w:ind w:left="567" w:hanging="567"/>
      </w:pPr>
      <w:r w:rsidRPr="00511DFB">
        <w:t>Some investigative powers included in the Bill</w:t>
      </w:r>
      <w:r w:rsidR="00956796">
        <w:rPr>
          <w:rStyle w:val="FootnoteReference"/>
        </w:rPr>
        <w:footnoteReference w:id="47"/>
      </w:r>
      <w:r w:rsidRPr="00511DFB">
        <w:t xml:space="preserve"> replicate </w:t>
      </w:r>
      <w:r w:rsidR="00F0633B">
        <w:t>impractical</w:t>
      </w:r>
      <w:r w:rsidRPr="00511DFB">
        <w:t xml:space="preserve"> and outdated provisions that have been part of the Act since </w:t>
      </w:r>
      <w:r w:rsidR="00E212BB">
        <w:t xml:space="preserve">commencement in </w:t>
      </w:r>
      <w:r w:rsidR="00C06A88">
        <w:t>1992</w:t>
      </w:r>
      <w:r w:rsidRPr="00511DFB">
        <w:t>.</w:t>
      </w:r>
      <w:r w:rsidR="003F239E">
        <w:rPr>
          <w:rStyle w:val="FootnoteReference"/>
        </w:rPr>
        <w:footnoteReference w:id="48"/>
      </w:r>
      <w:r>
        <w:t xml:space="preserve"> </w:t>
      </w:r>
      <w:r w:rsidR="00B448D4" w:rsidRPr="00511DFB">
        <w:rPr>
          <w:i/>
          <w:iCs/>
        </w:rPr>
        <w:t xml:space="preserve">Building Belonging </w:t>
      </w:r>
      <w:r w:rsidR="00B448D4">
        <w:t>concluded tha</w:t>
      </w:r>
      <w:r w:rsidR="00E21710">
        <w:t xml:space="preserve">t </w:t>
      </w:r>
      <w:r w:rsidR="00BA2ED6">
        <w:t xml:space="preserve">the </w:t>
      </w:r>
      <w:r w:rsidR="00912EAF">
        <w:t xml:space="preserve">existing </w:t>
      </w:r>
      <w:r w:rsidR="00BA2ED6">
        <w:t>section 155</w:t>
      </w:r>
      <w:r w:rsidR="002462C3">
        <w:t xml:space="preserve"> had </w:t>
      </w:r>
      <w:r w:rsidR="0076535E">
        <w:t xml:space="preserve">deficiencies which </w:t>
      </w:r>
      <w:r w:rsidR="00BA2ED6">
        <w:t>resulted in</w:t>
      </w:r>
      <w:r w:rsidR="0076535E">
        <w:t xml:space="preserve"> them being rarely</w:t>
      </w:r>
      <w:r w:rsidR="002F74E1">
        <w:t>, if ever,</w:t>
      </w:r>
      <w:r w:rsidR="0076535E">
        <w:t xml:space="preserve"> used</w:t>
      </w:r>
      <w:r w:rsidR="00B448D4">
        <w:t xml:space="preserve">. </w:t>
      </w:r>
    </w:p>
    <w:p w14:paraId="07B2B86B" w14:textId="6B4C5D43" w:rsidR="005D5F6B" w:rsidRDefault="005E2819" w:rsidP="00284D9A">
      <w:pPr>
        <w:pStyle w:val="Numberedparagraph"/>
        <w:numPr>
          <w:ilvl w:val="0"/>
          <w:numId w:val="1"/>
        </w:numPr>
        <w:spacing w:line="240" w:lineRule="auto"/>
        <w:ind w:left="567" w:hanging="567"/>
      </w:pPr>
      <w:r>
        <w:t>Currently s</w:t>
      </w:r>
      <w:r w:rsidR="00B448D4">
        <w:t xml:space="preserve">ection 155 </w:t>
      </w:r>
      <w:r>
        <w:t>requires</w:t>
      </w:r>
      <w:r w:rsidR="00532B73">
        <w:t xml:space="preserve"> the </w:t>
      </w:r>
      <w:r w:rsidR="00DC3F75">
        <w:t>Commissioner</w:t>
      </w:r>
      <w:r w:rsidR="00532B73">
        <w:t xml:space="preserve"> </w:t>
      </w:r>
      <w:r w:rsidR="00D12804">
        <w:t xml:space="preserve">to </w:t>
      </w:r>
      <w:r w:rsidR="00532B73">
        <w:t>initiate an investigation if requested to do so by the Minister, or if the tribunal becomes aware of circumstances that may constitute a contravention of the Act and refers the matter</w:t>
      </w:r>
      <w:r w:rsidR="0085397C">
        <w:t xml:space="preserve"> to the commissioner</w:t>
      </w:r>
      <w:r w:rsidR="00532B73">
        <w:t>.</w:t>
      </w:r>
      <w:r w:rsidR="00532B73">
        <w:rPr>
          <w:rStyle w:val="FootnoteReference"/>
        </w:rPr>
        <w:footnoteReference w:id="49"/>
      </w:r>
    </w:p>
    <w:p w14:paraId="75089AC7" w14:textId="1C5CA917" w:rsidR="005D5F6B" w:rsidRDefault="005D5F6B" w:rsidP="00284D9A">
      <w:pPr>
        <w:pStyle w:val="Numberedparagraph"/>
        <w:numPr>
          <w:ilvl w:val="0"/>
          <w:numId w:val="1"/>
        </w:numPr>
        <w:spacing w:line="240" w:lineRule="auto"/>
        <w:ind w:left="567" w:hanging="567"/>
      </w:pPr>
      <w:r>
        <w:t>In addition, the Commissioner may initiate an investigation if:</w:t>
      </w:r>
    </w:p>
    <w:p w14:paraId="4C1B2849" w14:textId="29CFA761" w:rsidR="00D573BE" w:rsidRDefault="003508F5" w:rsidP="00284D9A">
      <w:pPr>
        <w:pStyle w:val="ListParagraph"/>
        <w:numPr>
          <w:ilvl w:val="0"/>
          <w:numId w:val="6"/>
        </w:numPr>
      </w:pPr>
      <w:proofErr w:type="gramStart"/>
      <w:r>
        <w:t>during the course of</w:t>
      </w:r>
      <w:proofErr w:type="gramEnd"/>
      <w:r>
        <w:t xml:space="preserve"> carrying out the commission’s functions, </w:t>
      </w:r>
      <w:r w:rsidR="005D5F6B">
        <w:t xml:space="preserve">a possible </w:t>
      </w:r>
      <w:r w:rsidR="00F00974">
        <w:t xml:space="preserve">case of a </w:t>
      </w:r>
      <w:r w:rsidR="005D5F6B">
        <w:t xml:space="preserve">contravention </w:t>
      </w:r>
      <w:r w:rsidR="00F00974">
        <w:t xml:space="preserve">of the Act </w:t>
      </w:r>
      <w:r w:rsidR="005D5F6B">
        <w:t xml:space="preserve">against a group or class of people is discovered, the matter is of public concern and the Minister agrees </w:t>
      </w:r>
    </w:p>
    <w:p w14:paraId="0F6B057A" w14:textId="4BBA8869" w:rsidR="00D573BE" w:rsidRDefault="005D5F6B" w:rsidP="00284D9A">
      <w:pPr>
        <w:pStyle w:val="ListParagraph"/>
        <w:numPr>
          <w:ilvl w:val="0"/>
          <w:numId w:val="6"/>
        </w:numPr>
      </w:pPr>
      <w:r>
        <w:t>an allegation is made that an offence against the Act has been committed</w:t>
      </w:r>
    </w:p>
    <w:p w14:paraId="13F8FE83" w14:textId="289C4AC1" w:rsidR="006D6C91" w:rsidRDefault="00215A94" w:rsidP="00284D9A">
      <w:pPr>
        <w:pStyle w:val="ListParagraph"/>
        <w:numPr>
          <w:ilvl w:val="0"/>
          <w:numId w:val="6"/>
        </w:numPr>
      </w:pPr>
      <w:proofErr w:type="gramStart"/>
      <w:r>
        <w:lastRenderedPageBreak/>
        <w:t>during the course of</w:t>
      </w:r>
      <w:proofErr w:type="gramEnd"/>
      <w:r>
        <w:t xml:space="preserve"> carrying out the commission’s functions, </w:t>
      </w:r>
      <w:r w:rsidR="005D5F6B">
        <w:t>a possible offence against the Act is discovered.</w:t>
      </w:r>
      <w:r w:rsidR="00D573BE">
        <w:rPr>
          <w:rStyle w:val="FootnoteReference"/>
        </w:rPr>
        <w:footnoteReference w:id="50"/>
      </w:r>
    </w:p>
    <w:p w14:paraId="4611CAB2" w14:textId="2C4B3364" w:rsidR="00CE6FC0" w:rsidRDefault="006D6C91" w:rsidP="00284D9A">
      <w:pPr>
        <w:pStyle w:val="Numberedparagraph"/>
        <w:numPr>
          <w:ilvl w:val="0"/>
          <w:numId w:val="1"/>
        </w:numPr>
        <w:spacing w:line="240" w:lineRule="auto"/>
        <w:ind w:left="567" w:hanging="567"/>
      </w:pPr>
      <w:r>
        <w:t xml:space="preserve">The second and third options </w:t>
      </w:r>
      <w:r w:rsidR="00A016D1">
        <w:t>(s 155(2)(</w:t>
      </w:r>
      <w:r w:rsidR="00564E27">
        <w:t>b</w:t>
      </w:r>
      <w:r w:rsidR="00A016D1">
        <w:t>)</w:t>
      </w:r>
      <w:r w:rsidR="005C31FB">
        <w:t>–</w:t>
      </w:r>
      <w:r w:rsidR="00564E27">
        <w:t>(c))</w:t>
      </w:r>
      <w:r w:rsidR="005C31FB">
        <w:t xml:space="preserve"> </w:t>
      </w:r>
      <w:r>
        <w:t>apply in limited circumstances when an offence against the Act is alleged to have been committed</w:t>
      </w:r>
      <w:r w:rsidR="0044098E">
        <w:t xml:space="preserve"> or is discovered</w:t>
      </w:r>
      <w:r>
        <w:t>. For example, improper communication of official information, providing false or misleading information, obstruction, or contempt of the Commission.</w:t>
      </w:r>
      <w:r>
        <w:rPr>
          <w:rStyle w:val="FootnoteReference"/>
        </w:rPr>
        <w:footnoteReference w:id="51"/>
      </w:r>
      <w:r>
        <w:t xml:space="preserve"> These provisions have rarely, if ever, been used</w:t>
      </w:r>
      <w:r w:rsidR="00AE6152">
        <w:t>.</w:t>
      </w:r>
    </w:p>
    <w:p w14:paraId="6C9A8C44" w14:textId="08C11A4F" w:rsidR="007543A9" w:rsidRDefault="007543A9" w:rsidP="00284D9A">
      <w:pPr>
        <w:pStyle w:val="Numberedparagraph"/>
        <w:numPr>
          <w:ilvl w:val="0"/>
          <w:numId w:val="1"/>
        </w:numPr>
        <w:spacing w:line="240" w:lineRule="auto"/>
        <w:ind w:left="567" w:hanging="567"/>
      </w:pPr>
      <w:r>
        <w:t>The Commission</w:t>
      </w:r>
      <w:r w:rsidR="00F423EC">
        <w:t>er</w:t>
      </w:r>
      <w:r>
        <w:t xml:space="preserve"> may </w:t>
      </w:r>
      <w:proofErr w:type="gramStart"/>
      <w:r>
        <w:t>conduct an investigation</w:t>
      </w:r>
      <w:proofErr w:type="gramEnd"/>
      <w:r>
        <w:t xml:space="preserve"> if </w:t>
      </w:r>
      <w:r w:rsidR="0004316D">
        <w:t>in the course of carrying out the commission’s functions</w:t>
      </w:r>
      <w:r w:rsidR="00A200AB">
        <w:t xml:space="preserve"> if</w:t>
      </w:r>
      <w:r w:rsidR="00B60611">
        <w:t xml:space="preserve"> </w:t>
      </w:r>
      <w:r>
        <w:t>the first option applies. However, the outcomes of the investigation are limited to those available through the usual complaint process. This means that the outcome of an investigation conducted under these provisions can, at best, result in a conciliation conference and, if it cannot be resolved, referral to the tribunal for determination. It does not allow for recommendations or a public report, or another outcome.</w:t>
      </w:r>
    </w:p>
    <w:p w14:paraId="613FC7D1" w14:textId="41AFB870" w:rsidR="0035312B" w:rsidRDefault="00D74AFE" w:rsidP="00284D9A">
      <w:pPr>
        <w:pStyle w:val="Numberedparagraph"/>
        <w:numPr>
          <w:ilvl w:val="0"/>
          <w:numId w:val="1"/>
        </w:numPr>
        <w:spacing w:line="240" w:lineRule="auto"/>
        <w:ind w:left="567" w:hanging="567"/>
      </w:pPr>
      <w:r>
        <w:t>T</w:t>
      </w:r>
      <w:r w:rsidR="0035312B">
        <w:t>he Commission considers that these provisions should not remain in the Anti-Discrimination Act</w:t>
      </w:r>
      <w:r w:rsidR="00CA796A">
        <w:t xml:space="preserve"> </w:t>
      </w:r>
      <w:r w:rsidR="00D04540">
        <w:t>for the foll</w:t>
      </w:r>
      <w:r w:rsidR="00282EAC">
        <w:t>owing reasons</w:t>
      </w:r>
      <w:r w:rsidR="0035312B">
        <w:t>:</w:t>
      </w:r>
    </w:p>
    <w:p w14:paraId="183F3AA0" w14:textId="40F52E10" w:rsidR="008E19D1" w:rsidRDefault="008E19D1" w:rsidP="0035312B">
      <w:pPr>
        <w:pStyle w:val="Bulletedlist"/>
      </w:pPr>
      <w:r>
        <w:t xml:space="preserve">The role of the Minister in </w:t>
      </w:r>
      <w:r w:rsidR="00C75365">
        <w:t>directing</w:t>
      </w:r>
      <w:r>
        <w:t xml:space="preserve"> </w:t>
      </w:r>
      <w:r w:rsidR="00C75365">
        <w:t xml:space="preserve">(section 173A) </w:t>
      </w:r>
      <w:r>
        <w:t xml:space="preserve">or agreeing with </w:t>
      </w:r>
      <w:r w:rsidR="006E0AF5">
        <w:t xml:space="preserve">the commencement of </w:t>
      </w:r>
      <w:r>
        <w:t xml:space="preserve">an investigation </w:t>
      </w:r>
      <w:r w:rsidR="00C75365">
        <w:t xml:space="preserve">(section 173B) potentially </w:t>
      </w:r>
      <w:r w:rsidR="00014731">
        <w:t>compromises</w:t>
      </w:r>
      <w:r w:rsidR="00C75365">
        <w:t xml:space="preserve"> the independence of the Commission or may lead to a perception of</w:t>
      </w:r>
      <w:r w:rsidR="00014731">
        <w:t xml:space="preserve"> ministerial overreach</w:t>
      </w:r>
      <w:r w:rsidR="00B931EB">
        <w:t>.</w:t>
      </w:r>
    </w:p>
    <w:p w14:paraId="2020E623" w14:textId="2C7B2ED2" w:rsidR="00882FE4" w:rsidRDefault="00E5692F" w:rsidP="00D6793A">
      <w:pPr>
        <w:pStyle w:val="Bulletedlist"/>
      </w:pPr>
      <w:r>
        <w:t>The provisions in section 173</w:t>
      </w:r>
      <w:r w:rsidR="0095103F">
        <w:t xml:space="preserve">G and </w:t>
      </w:r>
      <w:r w:rsidR="00523DEE">
        <w:t>173</w:t>
      </w:r>
      <w:r w:rsidR="0095103F">
        <w:t>H</w:t>
      </w:r>
      <w:r w:rsidR="00BA5971">
        <w:t xml:space="preserve"> </w:t>
      </w:r>
      <w:r w:rsidR="00BE7D0B">
        <w:t>are inconsistent with</w:t>
      </w:r>
      <w:r w:rsidR="00BA5971">
        <w:t xml:space="preserve"> </w:t>
      </w:r>
      <w:r w:rsidR="0026111E">
        <w:t xml:space="preserve">the </w:t>
      </w:r>
      <w:r w:rsidR="00BA5971">
        <w:t xml:space="preserve">role of the Commission </w:t>
      </w:r>
      <w:r w:rsidR="00460EC4">
        <w:t xml:space="preserve">to </w:t>
      </w:r>
      <w:r w:rsidR="00B62EE4">
        <w:t xml:space="preserve">provide </w:t>
      </w:r>
      <w:r w:rsidR="00BA5971">
        <w:t>an impartial dispute resolution process</w:t>
      </w:r>
      <w:r w:rsidR="00B62EE4">
        <w:t>,</w:t>
      </w:r>
      <w:r w:rsidR="00BA5971">
        <w:t xml:space="preserve"> </w:t>
      </w:r>
      <w:r>
        <w:t xml:space="preserve">by requiring </w:t>
      </w:r>
      <w:r w:rsidR="00BE7D0B">
        <w:t xml:space="preserve">the Commissioner to </w:t>
      </w:r>
      <w:r w:rsidR="001D3BDB">
        <w:t xml:space="preserve">become the ‘applicant’ in a </w:t>
      </w:r>
      <w:r w:rsidR="008B725C">
        <w:t>t</w:t>
      </w:r>
      <w:r w:rsidR="001D3BDB">
        <w:t>ribunal matter</w:t>
      </w:r>
      <w:r w:rsidR="00B931EB">
        <w:t>.</w:t>
      </w:r>
    </w:p>
    <w:p w14:paraId="1E465815" w14:textId="42A6117F" w:rsidR="00A87671" w:rsidRDefault="00956796" w:rsidP="00284D9A">
      <w:pPr>
        <w:pStyle w:val="Numberedparagraph"/>
        <w:numPr>
          <w:ilvl w:val="0"/>
          <w:numId w:val="1"/>
        </w:numPr>
        <w:spacing w:line="240" w:lineRule="auto"/>
        <w:ind w:left="567" w:hanging="567"/>
      </w:pPr>
      <w:r w:rsidRPr="00956796">
        <w:t>If retained in the Bill, the Commission expects these powers to remain unused, as they have been for the past 30 years.</w:t>
      </w:r>
    </w:p>
    <w:p w14:paraId="0DC84BC8" w14:textId="394F5B36" w:rsidR="00B6198E" w:rsidRDefault="00C479D6" w:rsidP="00123611">
      <w:pPr>
        <w:pStyle w:val="Heading1"/>
      </w:pPr>
      <w:bookmarkStart w:id="27" w:name="_Toc171341078"/>
      <w:r>
        <w:t>Priority reforms for immediate action</w:t>
      </w:r>
      <w:bookmarkEnd w:id="27"/>
    </w:p>
    <w:p w14:paraId="35BA1240" w14:textId="30E2D647" w:rsidR="000A4F35" w:rsidRDefault="009740F0" w:rsidP="00284D9A">
      <w:pPr>
        <w:pStyle w:val="Numberedparagraph"/>
        <w:numPr>
          <w:ilvl w:val="0"/>
          <w:numId w:val="1"/>
        </w:numPr>
        <w:spacing w:line="240" w:lineRule="auto"/>
        <w:ind w:left="567" w:hanging="567"/>
      </w:pPr>
      <w:r>
        <w:t>The Commission brings to the attention of the Committee the further changes necessary to modernise and strengthen Queensland’s discrimination law</w:t>
      </w:r>
      <w:r w:rsidR="00205C8F">
        <w:t>.</w:t>
      </w:r>
    </w:p>
    <w:p w14:paraId="6ADCDEF6" w14:textId="59D0C26C" w:rsidR="000402E4" w:rsidRPr="009D1BC7" w:rsidRDefault="00312CB2" w:rsidP="00284D9A">
      <w:pPr>
        <w:pStyle w:val="Numberedparagraph"/>
        <w:numPr>
          <w:ilvl w:val="0"/>
          <w:numId w:val="1"/>
        </w:numPr>
        <w:spacing w:line="240" w:lineRule="auto"/>
        <w:ind w:left="567" w:hanging="567"/>
      </w:pPr>
      <w:r>
        <w:t xml:space="preserve">The Commission appreciates the </w:t>
      </w:r>
      <w:r w:rsidR="008002AF">
        <w:t>G</w:t>
      </w:r>
      <w:r w:rsidR="00903D33">
        <w:t>overnment’s</w:t>
      </w:r>
      <w:r>
        <w:t xml:space="preserve"> commitment to introducing the </w:t>
      </w:r>
      <w:r w:rsidR="00903D33">
        <w:t xml:space="preserve">remaining 32 recommendations made by </w:t>
      </w:r>
      <w:r w:rsidR="00903D33">
        <w:rPr>
          <w:i/>
          <w:iCs/>
        </w:rPr>
        <w:t xml:space="preserve">Building Belonging </w:t>
      </w:r>
      <w:r w:rsidR="00903D33">
        <w:t>in stage 2 reforms.</w:t>
      </w:r>
      <w:r>
        <w:t xml:space="preserve"> </w:t>
      </w:r>
    </w:p>
    <w:p w14:paraId="0104C619" w14:textId="39C16D15" w:rsidR="00062C23" w:rsidRDefault="00062C23" w:rsidP="00964829">
      <w:pPr>
        <w:pStyle w:val="Heading2"/>
      </w:pPr>
      <w:bookmarkStart w:id="28" w:name="_Toc171341079"/>
      <w:r>
        <w:t>Redefining key concepts</w:t>
      </w:r>
      <w:bookmarkEnd w:id="28"/>
    </w:p>
    <w:p w14:paraId="3C3D8FE8" w14:textId="722BC1E9" w:rsidR="001441AC" w:rsidRDefault="00062C23" w:rsidP="00284D9A">
      <w:pPr>
        <w:pStyle w:val="Numberedparagraph"/>
        <w:numPr>
          <w:ilvl w:val="0"/>
          <w:numId w:val="1"/>
        </w:numPr>
        <w:spacing w:line="240" w:lineRule="auto"/>
        <w:ind w:left="567" w:hanging="567"/>
      </w:pPr>
      <w:r>
        <w:t xml:space="preserve">While </w:t>
      </w:r>
      <w:r w:rsidR="00C44D7A">
        <w:t>th</w:t>
      </w:r>
      <w:r w:rsidR="00D07FF3">
        <w:t>e</w:t>
      </w:r>
      <w:r>
        <w:t xml:space="preserve"> </w:t>
      </w:r>
      <w:r w:rsidR="00D07FF3">
        <w:t xml:space="preserve">Respect </w:t>
      </w:r>
      <w:r w:rsidR="00541635" w:rsidRPr="00ED037C">
        <w:t>at Work and Other Matters Amendment</w:t>
      </w:r>
      <w:r w:rsidRPr="00EA3FEE">
        <w:t xml:space="preserve"> </w:t>
      </w:r>
      <w:r>
        <w:t xml:space="preserve">Bill </w:t>
      </w:r>
      <w:r w:rsidR="00A4065B">
        <w:t>creates</w:t>
      </w:r>
      <w:r>
        <w:t xml:space="preserve"> some changes to attributes and exceptions, </w:t>
      </w:r>
      <w:r w:rsidR="00C44D7A">
        <w:t>it</w:t>
      </w:r>
      <w:r>
        <w:t xml:space="preserve"> fails to resolve foundational issues with the Anti-Discrimination Act. </w:t>
      </w:r>
    </w:p>
    <w:p w14:paraId="64FC77A1" w14:textId="3FFED82E" w:rsidR="00C37301" w:rsidRDefault="001A3CAA" w:rsidP="00284D9A">
      <w:pPr>
        <w:pStyle w:val="Numberedparagraph"/>
        <w:numPr>
          <w:ilvl w:val="0"/>
          <w:numId w:val="1"/>
        </w:numPr>
        <w:spacing w:line="240" w:lineRule="auto"/>
        <w:ind w:left="567" w:hanging="567"/>
      </w:pPr>
      <w:r>
        <w:t>One key</w:t>
      </w:r>
      <w:r w:rsidR="00123611">
        <w:t xml:space="preserve"> intention of the Bill </w:t>
      </w:r>
      <w:r w:rsidR="00E64E13">
        <w:t>appears</w:t>
      </w:r>
      <w:r>
        <w:t xml:space="preserve"> to be to</w:t>
      </w:r>
      <w:r w:rsidR="00123611">
        <w:t xml:space="preserve"> strengthen</w:t>
      </w:r>
      <w:r w:rsidR="00E64E13">
        <w:t>ing</w:t>
      </w:r>
      <w:r w:rsidR="00123611">
        <w:t xml:space="preserve"> the law to </w:t>
      </w:r>
      <w:r>
        <w:t xml:space="preserve">better protect </w:t>
      </w:r>
      <w:r w:rsidR="00C17DDC">
        <w:t>people, and particularly women,</w:t>
      </w:r>
      <w:r>
        <w:t xml:space="preserve"> </w:t>
      </w:r>
      <w:r w:rsidR="006C4297">
        <w:t xml:space="preserve">from harassing </w:t>
      </w:r>
      <w:r w:rsidR="001B1B58">
        <w:t xml:space="preserve">and demeaning conduct </w:t>
      </w:r>
      <w:r>
        <w:t>in the workplace.</w:t>
      </w:r>
    </w:p>
    <w:p w14:paraId="72BCA6B0" w14:textId="08C420AB" w:rsidR="00E64E13" w:rsidRDefault="00C37301" w:rsidP="00284D9A">
      <w:pPr>
        <w:pStyle w:val="Numberedparagraph"/>
        <w:numPr>
          <w:ilvl w:val="0"/>
          <w:numId w:val="1"/>
        </w:numPr>
        <w:spacing w:line="240" w:lineRule="auto"/>
        <w:ind w:left="567" w:hanging="567"/>
      </w:pPr>
      <w:r>
        <w:lastRenderedPageBreak/>
        <w:t xml:space="preserve">The </w:t>
      </w:r>
      <w:proofErr w:type="spellStart"/>
      <w:r w:rsidR="00E6414A" w:rsidRPr="00373BBE">
        <w:rPr>
          <w:i/>
        </w:rPr>
        <w:t>Respect@Work</w:t>
      </w:r>
      <w:proofErr w:type="spellEnd"/>
      <w:r w:rsidR="00E6414A">
        <w:t xml:space="preserve"> </w:t>
      </w:r>
      <w:r>
        <w:t xml:space="preserve">report </w:t>
      </w:r>
      <w:r w:rsidR="00984576">
        <w:t>focussed on the intersectional nature of workplace sexual harassment</w:t>
      </w:r>
      <w:r w:rsidR="00B516D7">
        <w:t xml:space="preserve"> (</w:t>
      </w:r>
      <w:r w:rsidR="00B516D7" w:rsidRPr="00B516D7">
        <w:t>multiple forms of intersecting discrimination and harassment</w:t>
      </w:r>
      <w:proofErr w:type="gramStart"/>
      <w:r w:rsidR="0054702C">
        <w:t>)</w:t>
      </w:r>
      <w:proofErr w:type="gramEnd"/>
      <w:r>
        <w:t xml:space="preserve"> </w:t>
      </w:r>
      <w:r w:rsidR="00597E7F">
        <w:t>but this approach is not reflected in the Bill.</w:t>
      </w:r>
      <w:r w:rsidR="0099528B">
        <w:rPr>
          <w:rStyle w:val="FootnoteReference"/>
        </w:rPr>
        <w:footnoteReference w:id="52"/>
      </w:r>
    </w:p>
    <w:p w14:paraId="3ECCF670" w14:textId="6725FE89" w:rsidR="00123611" w:rsidRDefault="001A3CAA" w:rsidP="00284D9A">
      <w:pPr>
        <w:pStyle w:val="Numberedparagraph"/>
        <w:numPr>
          <w:ilvl w:val="0"/>
          <w:numId w:val="1"/>
        </w:numPr>
        <w:spacing w:line="240" w:lineRule="auto"/>
        <w:ind w:left="567" w:hanging="567"/>
      </w:pPr>
      <w:r>
        <w:t xml:space="preserve">The Commission considers that the best way to </w:t>
      </w:r>
      <w:r w:rsidR="00E24A63">
        <w:t>address</w:t>
      </w:r>
      <w:r w:rsidR="0054702C">
        <w:t xml:space="preserve"> intersectional</w:t>
      </w:r>
      <w:r w:rsidR="00591B8B">
        <w:t xml:space="preserve"> discrimination and harassment</w:t>
      </w:r>
      <w:r>
        <w:t xml:space="preserve"> is to </w:t>
      </w:r>
      <w:r w:rsidR="0059232B">
        <w:t xml:space="preserve">update </w:t>
      </w:r>
      <w:r>
        <w:t xml:space="preserve">the meaning of discrimination and introduce the concept of combined grounds </w:t>
      </w:r>
      <w:r w:rsidR="00591B8B">
        <w:t>of</w:t>
      </w:r>
      <w:r>
        <w:t xml:space="preserve"> discrimination.</w:t>
      </w:r>
      <w:r w:rsidR="00D3757A">
        <w:t xml:space="preserve"> This can be achieved by:</w:t>
      </w:r>
    </w:p>
    <w:p w14:paraId="07FFED6A" w14:textId="54DB4331" w:rsidR="00D3757A" w:rsidRDefault="00591B8B" w:rsidP="00DB1E46">
      <w:pPr>
        <w:pStyle w:val="Bulletedlist"/>
      </w:pPr>
      <w:r>
        <w:t>r</w:t>
      </w:r>
      <w:r w:rsidR="00D3757A">
        <w:t xml:space="preserve">edefining </w:t>
      </w:r>
      <w:r w:rsidR="00E54CD7">
        <w:t>the test for</w:t>
      </w:r>
      <w:r w:rsidR="00D3757A">
        <w:t xml:space="preserve"> direct discrimination as ‘unfavourable treatment’, with the requirement to prove that discrimination was ‘one of the reasons’ for the treatment</w:t>
      </w:r>
    </w:p>
    <w:p w14:paraId="0043B522" w14:textId="6FB8BDBA" w:rsidR="00D3757A" w:rsidRDefault="004C102E" w:rsidP="00DB1E46">
      <w:pPr>
        <w:pStyle w:val="Bulletedlist"/>
      </w:pPr>
      <w:r>
        <w:t>a</w:t>
      </w:r>
      <w:r w:rsidR="00D3757A">
        <w:t xml:space="preserve">dopting a simplified disadvantage test for indirect discrimination to remove complex, impractical, and technical aspects of the current test, and provide further guidance through an expanded, non-exhaustive list of factors to determine </w:t>
      </w:r>
      <w:proofErr w:type="gramStart"/>
      <w:r w:rsidR="00D3757A">
        <w:t>whether or not</w:t>
      </w:r>
      <w:proofErr w:type="gramEnd"/>
      <w:r w:rsidR="00D3757A">
        <w:t xml:space="preserve"> the conduct was reasonable</w:t>
      </w:r>
    </w:p>
    <w:p w14:paraId="20D125F3" w14:textId="29485EF4" w:rsidR="001441AC" w:rsidRDefault="004C102E" w:rsidP="00E64E13">
      <w:pPr>
        <w:pStyle w:val="Bulletedlist"/>
      </w:pPr>
      <w:r>
        <w:t>c</w:t>
      </w:r>
      <w:r w:rsidR="001C499C">
        <w:t xml:space="preserve">onfirming that </w:t>
      </w:r>
      <w:r w:rsidR="00166D41">
        <w:t xml:space="preserve">engaging in conduct in relation to a </w:t>
      </w:r>
      <w:r w:rsidR="00D50CD8">
        <w:t>person</w:t>
      </w:r>
      <w:r w:rsidR="00166D41">
        <w:t xml:space="preserve"> who has 2 or more protected attributes</w:t>
      </w:r>
      <w:r w:rsidR="00FF2059">
        <w:t xml:space="preserve">, includes engaging in </w:t>
      </w:r>
      <w:r w:rsidR="001D1C54">
        <w:t>conduct in relation</w:t>
      </w:r>
      <w:r w:rsidR="00E64E13">
        <w:t xml:space="preserve"> to the combined effect of </w:t>
      </w:r>
      <w:r w:rsidR="000700CB">
        <w:t>2</w:t>
      </w:r>
      <w:r w:rsidR="00E64E13">
        <w:t xml:space="preserve"> or more protected attributes.</w:t>
      </w:r>
    </w:p>
    <w:p w14:paraId="517C2AC7" w14:textId="5FBE94C9" w:rsidR="001441AC" w:rsidRDefault="00F27EEA" w:rsidP="00284D9A">
      <w:pPr>
        <w:pStyle w:val="Numberedparagraph"/>
        <w:numPr>
          <w:ilvl w:val="0"/>
          <w:numId w:val="1"/>
        </w:numPr>
        <w:spacing w:line="240" w:lineRule="auto"/>
        <w:ind w:left="567" w:hanging="567"/>
      </w:pPr>
      <w:r>
        <w:t>Other key</w:t>
      </w:r>
      <w:r w:rsidR="001441AC">
        <w:t xml:space="preserve"> recommendations </w:t>
      </w:r>
      <w:r>
        <w:t>that should be actioned as a priority include</w:t>
      </w:r>
      <w:r w:rsidR="001441AC">
        <w:t>:</w:t>
      </w:r>
    </w:p>
    <w:p w14:paraId="2381EBBD" w14:textId="65047F76" w:rsidR="001441AC" w:rsidRDefault="00910A91" w:rsidP="00284D9A">
      <w:pPr>
        <w:pStyle w:val="ListParagraph"/>
        <w:numPr>
          <w:ilvl w:val="1"/>
          <w:numId w:val="3"/>
        </w:numPr>
      </w:pPr>
      <w:r>
        <w:t>a</w:t>
      </w:r>
      <w:r w:rsidR="001441AC">
        <w:t xml:space="preserve">dopting a shared burden of proof to address </w:t>
      </w:r>
      <w:r w:rsidR="00383EF1">
        <w:t xml:space="preserve">the </w:t>
      </w:r>
      <w:r w:rsidR="001441AC">
        <w:t xml:space="preserve">challenges </w:t>
      </w:r>
      <w:r w:rsidR="00383EF1">
        <w:t xml:space="preserve">faced </w:t>
      </w:r>
      <w:r w:rsidR="00FC7B06">
        <w:t xml:space="preserve">to </w:t>
      </w:r>
      <w:r w:rsidR="001441AC">
        <w:t>prov</w:t>
      </w:r>
      <w:r w:rsidR="00FC7B06">
        <w:t>e</w:t>
      </w:r>
      <w:r w:rsidR="001441AC">
        <w:t xml:space="preserve"> discrimination, </w:t>
      </w:r>
      <w:r w:rsidR="00FC7B06">
        <w:t xml:space="preserve">especially </w:t>
      </w:r>
      <w:r w:rsidR="001441AC">
        <w:t>considering the power imbalances for disadvantaged and marginalised groups who experience discrimination the most</w:t>
      </w:r>
    </w:p>
    <w:p w14:paraId="4A3D6429" w14:textId="60B170D0" w:rsidR="001441AC" w:rsidRDefault="00FC7B06" w:rsidP="00284D9A">
      <w:pPr>
        <w:pStyle w:val="ListParagraph"/>
        <w:numPr>
          <w:ilvl w:val="1"/>
          <w:numId w:val="3"/>
        </w:numPr>
      </w:pPr>
      <w:r>
        <w:t>m</w:t>
      </w:r>
      <w:r w:rsidR="001441AC">
        <w:t xml:space="preserve">odernising and clarifying the role </w:t>
      </w:r>
      <w:r>
        <w:t xml:space="preserve">of </w:t>
      </w:r>
      <w:r w:rsidR="001441AC">
        <w:t>affirmative measures as a significant way to promote and realise substantive equality</w:t>
      </w:r>
    </w:p>
    <w:p w14:paraId="6B02268F" w14:textId="75343440" w:rsidR="001D1811" w:rsidRDefault="00FC7B06" w:rsidP="00284D9A">
      <w:pPr>
        <w:pStyle w:val="ListParagraph"/>
        <w:numPr>
          <w:ilvl w:val="1"/>
          <w:numId w:val="3"/>
        </w:numPr>
      </w:pPr>
      <w:r>
        <w:t>c</w:t>
      </w:r>
      <w:r w:rsidR="001441AC">
        <w:t xml:space="preserve">reating an express, positive obligation on duty holders to provide reasonable accommodations (adjustments) for people with disability to clarify the law and create more certainty for everyone. </w:t>
      </w:r>
    </w:p>
    <w:p w14:paraId="5A49E7FD" w14:textId="477A2941" w:rsidR="005A351C" w:rsidRDefault="001D1811" w:rsidP="00284D9A">
      <w:pPr>
        <w:pStyle w:val="Numberedparagraph"/>
        <w:numPr>
          <w:ilvl w:val="0"/>
          <w:numId w:val="1"/>
        </w:numPr>
        <w:spacing w:line="240" w:lineRule="auto"/>
        <w:ind w:left="567" w:hanging="567"/>
      </w:pPr>
      <w:r>
        <w:t xml:space="preserve">The Commission notes that </w:t>
      </w:r>
      <w:r w:rsidR="00084B08">
        <w:t>all</w:t>
      </w:r>
      <w:r>
        <w:t xml:space="preserve"> these changes</w:t>
      </w:r>
      <w:r w:rsidR="00386F66">
        <w:t xml:space="preserve"> to implement </w:t>
      </w:r>
      <w:r w:rsidR="00386F66">
        <w:rPr>
          <w:i/>
          <w:iCs/>
        </w:rPr>
        <w:t>Building Belonging</w:t>
      </w:r>
      <w:r>
        <w:t xml:space="preserve"> have been </w:t>
      </w:r>
      <w:proofErr w:type="gramStart"/>
      <w:r>
        <w:t xml:space="preserve">drafted, </w:t>
      </w:r>
      <w:r w:rsidR="00356EBC">
        <w:t>and</w:t>
      </w:r>
      <w:proofErr w:type="gramEnd"/>
      <w:r w:rsidR="00356EBC">
        <w:t xml:space="preserve"> incorporated</w:t>
      </w:r>
      <w:r>
        <w:t xml:space="preserve"> in the </w:t>
      </w:r>
      <w:r w:rsidR="00946682">
        <w:t>public consultation draft released in February 2024.</w:t>
      </w:r>
      <w:r w:rsidR="00CE05EE">
        <w:t xml:space="preserve"> Further improvements on the public consultation draft have been recommended</w:t>
      </w:r>
      <w:r w:rsidR="00084B08">
        <w:t xml:space="preserve"> by the Commission and other stakeholders</w:t>
      </w:r>
      <w:r w:rsidR="00CE05EE">
        <w:t>.</w:t>
      </w:r>
      <w:r w:rsidR="00CE05EE">
        <w:rPr>
          <w:rStyle w:val="FootnoteReference"/>
        </w:rPr>
        <w:footnoteReference w:id="53"/>
      </w:r>
    </w:p>
    <w:p w14:paraId="3FAE1D84" w14:textId="12AC0FCC" w:rsidR="00C50E88" w:rsidRDefault="00C50E88" w:rsidP="007758A7">
      <w:pPr>
        <w:pStyle w:val="Heading3"/>
      </w:pPr>
      <w:r>
        <w:t>Improving the complaints system</w:t>
      </w:r>
    </w:p>
    <w:p w14:paraId="6CB305B0" w14:textId="44397193" w:rsidR="0045274E" w:rsidRDefault="0045274E" w:rsidP="00284D9A">
      <w:pPr>
        <w:pStyle w:val="Numberedparagraph"/>
        <w:numPr>
          <w:ilvl w:val="0"/>
          <w:numId w:val="1"/>
        </w:numPr>
        <w:spacing w:line="240" w:lineRule="auto"/>
        <w:ind w:left="567" w:hanging="567"/>
      </w:pPr>
      <w:r w:rsidRPr="00846CAA">
        <w:rPr>
          <w:i/>
          <w:iCs/>
        </w:rPr>
        <w:t>Building Belonging</w:t>
      </w:r>
      <w:r>
        <w:t xml:space="preserve"> </w:t>
      </w:r>
      <w:r w:rsidR="00D74471">
        <w:t>recommended</w:t>
      </w:r>
      <w:r>
        <w:t xml:space="preserve"> </w:t>
      </w:r>
      <w:r w:rsidR="00806F35">
        <w:t>reorienting</w:t>
      </w:r>
      <w:r>
        <w:t xml:space="preserve"> the dispute resolution process to ensure </w:t>
      </w:r>
      <w:r w:rsidR="002A05A2">
        <w:t>a</w:t>
      </w:r>
      <w:r>
        <w:t xml:space="preserve"> flexible and efficient</w:t>
      </w:r>
      <w:r w:rsidR="00D74471">
        <w:t xml:space="preserve"> </w:t>
      </w:r>
      <w:r w:rsidR="002A05A2">
        <w:t xml:space="preserve">approach </w:t>
      </w:r>
      <w:r w:rsidR="00D74471">
        <w:t>while</w:t>
      </w:r>
      <w:r>
        <w:t xml:space="preserve"> enhanc</w:t>
      </w:r>
      <w:r w:rsidR="00D74471">
        <w:t>ing</w:t>
      </w:r>
      <w:r>
        <w:t xml:space="preserve"> access to justice</w:t>
      </w:r>
      <w:r w:rsidR="00D74471">
        <w:t xml:space="preserve"> for people </w:t>
      </w:r>
      <w:r w:rsidR="002A05A2">
        <w:t xml:space="preserve">who are </w:t>
      </w:r>
      <w:r w:rsidR="00D74471">
        <w:t>most likely to experience discriminatory treatment</w:t>
      </w:r>
      <w:r>
        <w:t>.</w:t>
      </w:r>
      <w:r w:rsidR="00846CAA">
        <w:t xml:space="preserve"> It is disappointing that </w:t>
      </w:r>
      <w:r w:rsidR="00AD423C">
        <w:t>necessary and uncontroversial</w:t>
      </w:r>
      <w:r w:rsidR="000A4F35">
        <w:t xml:space="preserve"> changes </w:t>
      </w:r>
      <w:r w:rsidR="00AD423C">
        <w:t>have not been made</w:t>
      </w:r>
      <w:r w:rsidR="00846CAA">
        <w:t xml:space="preserve">. </w:t>
      </w:r>
      <w:r w:rsidR="00846CAA" w:rsidRPr="001E6834">
        <w:t xml:space="preserve">See also </w:t>
      </w:r>
      <w:r w:rsidR="009D7D1C" w:rsidRPr="001E6834">
        <w:rPr>
          <w:i/>
          <w:iCs/>
        </w:rPr>
        <w:t xml:space="preserve">Changes to complaints complicate rather than improve outdated complaint procedures </w:t>
      </w:r>
      <w:r w:rsidR="009D7D1C" w:rsidRPr="001E6834">
        <w:t xml:space="preserve">on page </w:t>
      </w:r>
      <w:r w:rsidR="00CC2D71" w:rsidRPr="001E6834">
        <w:t>8</w:t>
      </w:r>
      <w:r w:rsidR="00C309E6" w:rsidRPr="001E6834">
        <w:t>.</w:t>
      </w:r>
    </w:p>
    <w:p w14:paraId="25047E44" w14:textId="4A07DD2D" w:rsidR="00C50E88" w:rsidRDefault="0045274E" w:rsidP="00284D9A">
      <w:pPr>
        <w:pStyle w:val="Numberedparagraph"/>
        <w:numPr>
          <w:ilvl w:val="0"/>
          <w:numId w:val="1"/>
        </w:numPr>
        <w:spacing w:line="240" w:lineRule="auto"/>
        <w:ind w:left="567" w:hanging="567"/>
      </w:pPr>
      <w:r>
        <w:t>A public consultation draft was released in February 2024</w:t>
      </w:r>
      <w:r w:rsidR="003D47BD">
        <w:t xml:space="preserve"> which implements all the recommended changes</w:t>
      </w:r>
      <w:r w:rsidR="00A212BF">
        <w:t>.</w:t>
      </w:r>
      <w:r w:rsidR="009D7D1C">
        <w:t xml:space="preserve"> </w:t>
      </w:r>
      <w:r w:rsidR="00591021">
        <w:t xml:space="preserve">The Commission has recommended </w:t>
      </w:r>
      <w:r w:rsidR="00296C7B">
        <w:t xml:space="preserve">further </w:t>
      </w:r>
      <w:r w:rsidR="009D7D1C">
        <w:t xml:space="preserve">minor </w:t>
      </w:r>
      <w:r w:rsidR="00296C7B">
        <w:lastRenderedPageBreak/>
        <w:t>improvements on the consultation draft</w:t>
      </w:r>
      <w:r w:rsidR="00CC2D71">
        <w:t>,</w:t>
      </w:r>
      <w:r w:rsidR="007E0C12">
        <w:t xml:space="preserve"> </w:t>
      </w:r>
      <w:proofErr w:type="gramStart"/>
      <w:r w:rsidR="00CC2D71">
        <w:t>a</w:t>
      </w:r>
      <w:r w:rsidR="007E0C12">
        <w:t xml:space="preserve"> number of</w:t>
      </w:r>
      <w:proofErr w:type="gramEnd"/>
      <w:r w:rsidR="007E0C12">
        <w:t xml:space="preserve"> </w:t>
      </w:r>
      <w:r w:rsidR="00CC2D71">
        <w:t>which</w:t>
      </w:r>
      <w:r w:rsidR="007E0C12">
        <w:t xml:space="preserve"> </w:t>
      </w:r>
      <w:r w:rsidR="00C92A51">
        <w:t>are set out in Appendix A to this submission.</w:t>
      </w:r>
    </w:p>
    <w:p w14:paraId="32B46966" w14:textId="295C0DD8" w:rsidR="006A55F9" w:rsidRDefault="006A55F9" w:rsidP="007758A7">
      <w:pPr>
        <w:pStyle w:val="Heading3"/>
      </w:pPr>
      <w:r>
        <w:t>Changes to exemptions</w:t>
      </w:r>
      <w:r w:rsidR="00550BAC">
        <w:t xml:space="preserve"> and exceptions</w:t>
      </w:r>
    </w:p>
    <w:p w14:paraId="6DD6E8AA" w14:textId="24225672" w:rsidR="00FC72A3" w:rsidRDefault="00DA40EE" w:rsidP="00284D9A">
      <w:pPr>
        <w:pStyle w:val="Numberedparagraph"/>
        <w:numPr>
          <w:ilvl w:val="0"/>
          <w:numId w:val="1"/>
        </w:numPr>
        <w:spacing w:line="240" w:lineRule="auto"/>
        <w:ind w:left="567" w:hanging="567"/>
      </w:pPr>
      <w:r>
        <w:t xml:space="preserve">The Commission understands that exemptions </w:t>
      </w:r>
      <w:r w:rsidR="00351BD9">
        <w:t xml:space="preserve">and exceptions </w:t>
      </w:r>
      <w:r>
        <w:t>will be dealt with in stage 2 of the reforms following further consultation.</w:t>
      </w:r>
    </w:p>
    <w:p w14:paraId="64B6E094" w14:textId="343C429F" w:rsidR="00FC72A3" w:rsidRDefault="00FC72A3" w:rsidP="00284D9A">
      <w:pPr>
        <w:pStyle w:val="Numberedparagraph"/>
        <w:numPr>
          <w:ilvl w:val="0"/>
          <w:numId w:val="1"/>
        </w:numPr>
        <w:spacing w:line="240" w:lineRule="auto"/>
        <w:ind w:left="567" w:hanging="567"/>
      </w:pPr>
      <w:r>
        <w:t xml:space="preserve">Some exceptions and </w:t>
      </w:r>
      <w:r w:rsidR="00351BD9">
        <w:t xml:space="preserve">exemptions for </w:t>
      </w:r>
      <w:proofErr w:type="gramStart"/>
      <w:r w:rsidR="00351BD9">
        <w:t xml:space="preserve">particular </w:t>
      </w:r>
      <w:r>
        <w:t>areas</w:t>
      </w:r>
      <w:proofErr w:type="gramEnd"/>
      <w:r>
        <w:t xml:space="preserve"> of activity require adjustment to meet current community needs and expectations, and to ensure that the Act is compatible with human rights obligations under the </w:t>
      </w:r>
      <w:r w:rsidRPr="00FC72A3">
        <w:rPr>
          <w:i/>
          <w:iCs/>
        </w:rPr>
        <w:t>Human Rights Act 2019</w:t>
      </w:r>
      <w:r>
        <w:t xml:space="preserve"> (Qld). </w:t>
      </w:r>
    </w:p>
    <w:p w14:paraId="4AC5AFEF" w14:textId="3008F7DE" w:rsidR="00FC72A3" w:rsidRDefault="00FC72A3" w:rsidP="00284D9A">
      <w:pPr>
        <w:pStyle w:val="Numberedparagraph"/>
        <w:numPr>
          <w:ilvl w:val="0"/>
          <w:numId w:val="1"/>
        </w:numPr>
        <w:spacing w:line="240" w:lineRule="auto"/>
        <w:ind w:left="567" w:hanging="567"/>
      </w:pPr>
      <w:r>
        <w:t xml:space="preserve">The delay </w:t>
      </w:r>
      <w:r w:rsidR="00AD7748">
        <w:t xml:space="preserve">in implementation </w:t>
      </w:r>
      <w:r>
        <w:t xml:space="preserve">will mean that </w:t>
      </w:r>
      <w:r w:rsidR="00105D9E">
        <w:t xml:space="preserve">provisions </w:t>
      </w:r>
      <w:r w:rsidR="00E06425">
        <w:t xml:space="preserve">that may be </w:t>
      </w:r>
      <w:r w:rsidR="00105D9E">
        <w:t xml:space="preserve">incompatible with </w:t>
      </w:r>
      <w:r w:rsidR="00A5615F">
        <w:t>the</w:t>
      </w:r>
      <w:r w:rsidR="00105D9E">
        <w:t xml:space="preserve"> </w:t>
      </w:r>
      <w:r w:rsidR="00A5615F">
        <w:t>H</w:t>
      </w:r>
      <w:r w:rsidR="00105D9E">
        <w:t xml:space="preserve">uman </w:t>
      </w:r>
      <w:r w:rsidR="00A5615F">
        <w:t>R</w:t>
      </w:r>
      <w:r w:rsidR="00AD7748">
        <w:t>ights</w:t>
      </w:r>
      <w:r w:rsidR="00A5615F">
        <w:t xml:space="preserve"> Act will remain in the Act</w:t>
      </w:r>
      <w:r w:rsidR="00105D9E">
        <w:t>.</w:t>
      </w:r>
      <w:r w:rsidR="00AD7748">
        <w:t xml:space="preserve"> The Commission looks forward to the swift implementation of changes to exceptions involving non-profit organisations that deliver goods or services, </w:t>
      </w:r>
      <w:r w:rsidR="00C400E7">
        <w:t xml:space="preserve">and exemptions for </w:t>
      </w:r>
      <w:r w:rsidR="00AD7748">
        <w:t>clubs, sport, religious bodies, superannuation, and insurance.</w:t>
      </w:r>
    </w:p>
    <w:p w14:paraId="18870ABA" w14:textId="513D1EA3" w:rsidR="00AD7748" w:rsidRDefault="005C3450" w:rsidP="00284D9A">
      <w:pPr>
        <w:pStyle w:val="Numberedparagraph"/>
        <w:numPr>
          <w:ilvl w:val="0"/>
          <w:numId w:val="1"/>
        </w:numPr>
        <w:spacing w:line="240" w:lineRule="auto"/>
        <w:ind w:left="567" w:hanging="567"/>
      </w:pPr>
      <w:r>
        <w:t xml:space="preserve">The </w:t>
      </w:r>
      <w:r w:rsidR="002D29F0">
        <w:t>Commission understands that the Queensland G</w:t>
      </w:r>
      <w:r>
        <w:t xml:space="preserve">overnment intends to conduct further consultation regarding religious </w:t>
      </w:r>
      <w:r w:rsidR="007E6CE6">
        <w:t>exemptions</w:t>
      </w:r>
      <w:r>
        <w:t xml:space="preserve"> </w:t>
      </w:r>
      <w:proofErr w:type="gramStart"/>
      <w:r>
        <w:t>in light of</w:t>
      </w:r>
      <w:proofErr w:type="gramEnd"/>
      <w:r>
        <w:t xml:space="preserve"> </w:t>
      </w:r>
      <w:r w:rsidR="000269DC">
        <w:t xml:space="preserve">the release of the Australian Law Reform Commission report </w:t>
      </w:r>
      <w:r w:rsidR="00102D4F">
        <w:t>that</w:t>
      </w:r>
      <w:r w:rsidR="00102D4F" w:rsidRPr="00102D4F">
        <w:rPr>
          <w:rFonts w:ascii="Helvetica" w:hAnsi="Helvetica" w:cstheme="minorBidi"/>
          <w:color w:val="000000"/>
          <w:spacing w:val="2"/>
        </w:rPr>
        <w:t xml:space="preserve"> </w:t>
      </w:r>
      <w:r w:rsidR="00102D4F" w:rsidRPr="00102D4F">
        <w:t>recommend</w:t>
      </w:r>
      <w:r w:rsidR="0045460D">
        <w:t>s</w:t>
      </w:r>
      <w:r w:rsidR="00102D4F" w:rsidRPr="00102D4F">
        <w:t xml:space="preserve"> legislative reforms to ensure the Australian Government’s policy regarding anti-discrimination laws and religious educational institutions is given legal effect in accordance with Australia’s international legal obligations.</w:t>
      </w:r>
      <w:r w:rsidR="00102D4F" w:rsidRPr="00102D4F">
        <w:rPr>
          <w:vertAlign w:val="superscript"/>
        </w:rPr>
        <w:t xml:space="preserve"> </w:t>
      </w:r>
      <w:r w:rsidR="008C54FC">
        <w:rPr>
          <w:rStyle w:val="FootnoteReference"/>
        </w:rPr>
        <w:footnoteReference w:id="54"/>
      </w:r>
      <w:r>
        <w:t xml:space="preserve"> However, </w:t>
      </w:r>
      <w:r w:rsidR="00AD7748">
        <w:t xml:space="preserve">changes </w:t>
      </w:r>
      <w:r>
        <w:t xml:space="preserve">to other </w:t>
      </w:r>
      <w:r w:rsidR="007E6CE6">
        <w:t>exemptions</w:t>
      </w:r>
      <w:r>
        <w:t xml:space="preserve"> </w:t>
      </w:r>
      <w:r w:rsidR="00AD7748">
        <w:t xml:space="preserve">are </w:t>
      </w:r>
      <w:r w:rsidR="002232CE">
        <w:t xml:space="preserve">generally </w:t>
      </w:r>
      <w:r w:rsidR="00AD7748">
        <w:t>uncontroversial</w:t>
      </w:r>
      <w:r w:rsidR="00B82CEE">
        <w:t xml:space="preserve"> and should be implemented </w:t>
      </w:r>
      <w:r w:rsidR="00E06425">
        <w:t>without delay</w:t>
      </w:r>
      <w:r w:rsidR="00AD7748">
        <w:t>.</w:t>
      </w:r>
    </w:p>
    <w:p w14:paraId="21C33918" w14:textId="77777777" w:rsidR="001E6834" w:rsidRDefault="001E6834">
      <w:pPr>
        <w:spacing w:after="0"/>
        <w:rPr>
          <w:rFonts w:eastAsiaTheme="majorEastAsia" w:cstheme="majorBidi"/>
          <w:color w:val="004270"/>
          <w:sz w:val="48"/>
          <w:szCs w:val="32"/>
        </w:rPr>
      </w:pPr>
      <w:r>
        <w:br w:type="page"/>
      </w:r>
    </w:p>
    <w:p w14:paraId="11662EA7" w14:textId="68E484B0" w:rsidR="00E7746A" w:rsidRDefault="00041E58" w:rsidP="0035517B">
      <w:pPr>
        <w:pStyle w:val="Heading1"/>
      </w:pPr>
      <w:bookmarkStart w:id="29" w:name="_Toc171341080"/>
      <w:r w:rsidRPr="0035517B">
        <w:lastRenderedPageBreak/>
        <w:t>Appendix</w:t>
      </w:r>
      <w:r w:rsidRPr="00E7746A">
        <w:t xml:space="preserve"> A</w:t>
      </w:r>
      <w:bookmarkEnd w:id="29"/>
      <w:r>
        <w:t xml:space="preserve"> </w:t>
      </w:r>
    </w:p>
    <w:p w14:paraId="33811030" w14:textId="1701DF39" w:rsidR="006E54E8" w:rsidRPr="00F07EF0" w:rsidRDefault="00D2039F" w:rsidP="006E54E8">
      <w:pPr>
        <w:rPr>
          <w:i/>
          <w:iCs/>
        </w:rPr>
      </w:pPr>
      <w:r w:rsidRPr="00F07EF0">
        <w:rPr>
          <w:i/>
          <w:iCs/>
        </w:rPr>
        <w:t xml:space="preserve">Below is an extract </w:t>
      </w:r>
      <w:r w:rsidR="00D17A02">
        <w:rPr>
          <w:i/>
          <w:iCs/>
        </w:rPr>
        <w:t>from</w:t>
      </w:r>
      <w:r w:rsidR="00D17A02" w:rsidRPr="00F07EF0">
        <w:rPr>
          <w:i/>
          <w:iCs/>
        </w:rPr>
        <w:t xml:space="preserve"> </w:t>
      </w:r>
      <w:r w:rsidRPr="00F07EF0">
        <w:rPr>
          <w:i/>
          <w:iCs/>
        </w:rPr>
        <w:t>the</w:t>
      </w:r>
      <w:r w:rsidR="00FE00A0">
        <w:rPr>
          <w:i/>
          <w:iCs/>
        </w:rPr>
        <w:t xml:space="preserve"> </w:t>
      </w:r>
      <w:r w:rsidR="00B467ED" w:rsidRPr="00F07EF0">
        <w:rPr>
          <w:i/>
          <w:iCs/>
        </w:rPr>
        <w:t>Anti-Discrimination Bill 2024</w:t>
      </w:r>
      <w:r w:rsidR="00D17A02">
        <w:rPr>
          <w:i/>
          <w:iCs/>
        </w:rPr>
        <w:t xml:space="preserve"> </w:t>
      </w:r>
      <w:r w:rsidR="00C251E9">
        <w:rPr>
          <w:i/>
          <w:iCs/>
        </w:rPr>
        <w:t>C</w:t>
      </w:r>
      <w:r w:rsidR="00D17A02">
        <w:rPr>
          <w:i/>
          <w:iCs/>
        </w:rPr>
        <w:t>onsultation</w:t>
      </w:r>
      <w:r w:rsidR="00D17A02" w:rsidRPr="00F07EF0">
        <w:rPr>
          <w:i/>
          <w:iCs/>
        </w:rPr>
        <w:t xml:space="preserve"> </w:t>
      </w:r>
      <w:r w:rsidR="00C251E9">
        <w:rPr>
          <w:i/>
          <w:iCs/>
        </w:rPr>
        <w:t>D</w:t>
      </w:r>
      <w:r w:rsidR="00D17A02" w:rsidRPr="00F07EF0">
        <w:rPr>
          <w:i/>
          <w:iCs/>
        </w:rPr>
        <w:t>raft</w:t>
      </w:r>
      <w:r w:rsidR="00B467ED" w:rsidRPr="00F07EF0">
        <w:rPr>
          <w:i/>
          <w:iCs/>
        </w:rPr>
        <w:t>, with further amendments recommended by the Commission.</w:t>
      </w:r>
      <w:r w:rsidRPr="00F07EF0">
        <w:rPr>
          <w:i/>
          <w:iCs/>
        </w:rPr>
        <w:t xml:space="preserve"> </w:t>
      </w:r>
      <w:r w:rsidR="00FE00A0">
        <w:rPr>
          <w:i/>
          <w:iCs/>
        </w:rPr>
        <w:t xml:space="preserve">The sections about representative complaints are excluded from the </w:t>
      </w:r>
      <w:r w:rsidR="00D17A02">
        <w:rPr>
          <w:i/>
          <w:iCs/>
        </w:rPr>
        <w:t xml:space="preserve">extract </w:t>
      </w:r>
      <w:r w:rsidR="00FE00A0">
        <w:rPr>
          <w:i/>
          <w:iCs/>
        </w:rPr>
        <w:t xml:space="preserve">below </w:t>
      </w:r>
      <w:r w:rsidR="00D17A02">
        <w:rPr>
          <w:i/>
          <w:iCs/>
        </w:rPr>
        <w:t xml:space="preserve">as </w:t>
      </w:r>
      <w:r w:rsidR="00FE00A0">
        <w:rPr>
          <w:i/>
          <w:iCs/>
        </w:rPr>
        <w:t>they are incorporated into the Respect at Work and Other Matters Amendment Bill 2024.</w:t>
      </w:r>
    </w:p>
    <w:p w14:paraId="3760732E" w14:textId="5075932F" w:rsidR="00E30A39" w:rsidRDefault="00E30A39" w:rsidP="00E30A39">
      <w:pPr>
        <w:pStyle w:val="Heading1"/>
        <w:spacing w:after="0" w:line="259" w:lineRule="auto"/>
        <w:ind w:left="-5"/>
      </w:pPr>
      <w:bookmarkStart w:id="30" w:name="_Toc170381459"/>
      <w:bookmarkStart w:id="31" w:name="_Toc171324760"/>
      <w:bookmarkStart w:id="32" w:name="_Toc171341081"/>
      <w:r>
        <w:rPr>
          <w:sz w:val="32"/>
        </w:rPr>
        <w:t>Part 9</w:t>
      </w:r>
      <w:r>
        <w:rPr>
          <w:sz w:val="32"/>
        </w:rPr>
        <w:tab/>
        <w:t>Complaints about contraventions of Act</w:t>
      </w:r>
      <w:bookmarkEnd w:id="30"/>
      <w:bookmarkEnd w:id="31"/>
      <w:bookmarkEnd w:id="32"/>
    </w:p>
    <w:p w14:paraId="5E123CF0" w14:textId="4D3FB285" w:rsidR="000F3607" w:rsidRDefault="00E30A39" w:rsidP="00E30A39">
      <w:pPr>
        <w:pStyle w:val="Heading1"/>
        <w:spacing w:after="421"/>
        <w:ind w:left="-5"/>
        <w:rPr>
          <w:sz w:val="28"/>
        </w:rPr>
      </w:pPr>
      <w:bookmarkStart w:id="33" w:name="_Toc170381460"/>
      <w:bookmarkStart w:id="34" w:name="_Toc171324761"/>
      <w:bookmarkStart w:id="35" w:name="_Toc171341082"/>
      <w:r>
        <w:rPr>
          <w:sz w:val="28"/>
        </w:rPr>
        <w:t>Division 1</w:t>
      </w:r>
      <w:r>
        <w:rPr>
          <w:sz w:val="28"/>
        </w:rPr>
        <w:tab/>
        <w:t>Preliminary</w:t>
      </w:r>
      <w:bookmarkEnd w:id="33"/>
      <w:bookmarkEnd w:id="34"/>
      <w:bookmarkEnd w:id="35"/>
      <w:r>
        <w:rPr>
          <w:sz w:val="28"/>
        </w:rPr>
        <w:t xml:space="preserve"> </w:t>
      </w:r>
    </w:p>
    <w:p w14:paraId="0A2F81F5" w14:textId="1505D125" w:rsidR="00E30A39" w:rsidRDefault="00E30A39" w:rsidP="00E30A39">
      <w:pPr>
        <w:pStyle w:val="Heading1"/>
        <w:spacing w:after="421"/>
        <w:ind w:left="-5"/>
      </w:pPr>
      <w:bookmarkStart w:id="36" w:name="_Toc170381461"/>
      <w:bookmarkStart w:id="37" w:name="_Toc171324762"/>
      <w:bookmarkStart w:id="38" w:name="_Toc171341083"/>
      <w:r>
        <w:rPr>
          <w:sz w:val="24"/>
        </w:rPr>
        <w:t>9</w:t>
      </w:r>
      <w:r w:rsidR="008B31AB">
        <w:rPr>
          <w:sz w:val="24"/>
        </w:rPr>
        <w:t>3</w:t>
      </w:r>
      <w:r>
        <w:rPr>
          <w:sz w:val="24"/>
        </w:rPr>
        <w:tab/>
        <w:t>Application of part</w:t>
      </w:r>
      <w:bookmarkEnd w:id="36"/>
      <w:bookmarkEnd w:id="37"/>
      <w:bookmarkEnd w:id="38"/>
    </w:p>
    <w:p w14:paraId="22BCA6D5" w14:textId="77777777" w:rsidR="008F7196" w:rsidRDefault="00E30A39" w:rsidP="008F7196">
      <w:pPr>
        <w:spacing w:after="487"/>
        <w:ind w:left="1259"/>
      </w:pPr>
      <w:r>
        <w:t>This part does not apply in relation to a contravention or an alleged contravention of the general duty.</w:t>
      </w:r>
    </w:p>
    <w:p w14:paraId="3A58F59F" w14:textId="62B19EBB" w:rsidR="00E30A39" w:rsidRDefault="00E30A39" w:rsidP="00E30A39">
      <w:pPr>
        <w:pStyle w:val="Heading1"/>
        <w:tabs>
          <w:tab w:val="center" w:pos="2261"/>
        </w:tabs>
        <w:spacing w:after="68"/>
      </w:pPr>
      <w:bookmarkStart w:id="39" w:name="_Toc170381462"/>
      <w:bookmarkStart w:id="40" w:name="_Toc171324763"/>
      <w:bookmarkStart w:id="41" w:name="_Toc171341084"/>
      <w:r>
        <w:rPr>
          <w:sz w:val="24"/>
        </w:rPr>
        <w:t>9</w:t>
      </w:r>
      <w:r w:rsidR="008B31AB">
        <w:rPr>
          <w:sz w:val="24"/>
        </w:rPr>
        <w:t>4</w:t>
      </w:r>
      <w:r>
        <w:rPr>
          <w:sz w:val="24"/>
        </w:rPr>
        <w:tab/>
        <w:t>Commissioner’s functions</w:t>
      </w:r>
      <w:bookmarkEnd w:id="39"/>
      <w:bookmarkEnd w:id="40"/>
      <w:bookmarkEnd w:id="41"/>
    </w:p>
    <w:p w14:paraId="01D3B01A" w14:textId="77777777" w:rsidR="00E30A39" w:rsidRDefault="00E30A39" w:rsidP="00E30A39">
      <w:pPr>
        <w:ind w:left="1259"/>
      </w:pPr>
      <w:r>
        <w:t>The commissioner’s functions under this part include—</w:t>
      </w:r>
    </w:p>
    <w:p w14:paraId="31179908" w14:textId="77777777" w:rsidR="00E30A39" w:rsidRDefault="00E30A39" w:rsidP="00284D9A">
      <w:pPr>
        <w:numPr>
          <w:ilvl w:val="0"/>
          <w:numId w:val="7"/>
        </w:numPr>
        <w:spacing w:after="135" w:line="235" w:lineRule="auto"/>
        <w:ind w:hanging="360"/>
        <w:jc w:val="both"/>
      </w:pPr>
      <w:r>
        <w:t>to consider and, if appropriate, inquire into complaints about alleged contraventions of this Act; and</w:t>
      </w:r>
    </w:p>
    <w:p w14:paraId="71569B9A" w14:textId="0B7CC529" w:rsidR="00E30A39" w:rsidRDefault="00E30A39" w:rsidP="00284D9A">
      <w:pPr>
        <w:numPr>
          <w:ilvl w:val="0"/>
          <w:numId w:val="7"/>
        </w:numPr>
        <w:spacing w:after="486" w:line="235" w:lineRule="auto"/>
        <w:ind w:hanging="360"/>
        <w:jc w:val="both"/>
      </w:pPr>
      <w:r>
        <w:t xml:space="preserve">to provide services to facilitate resolution of complaints about alleged contraventions of this Act </w:t>
      </w:r>
      <w:r w:rsidR="006B057C">
        <w:t>being dealt with</w:t>
      </w:r>
      <w:r>
        <w:t xml:space="preserve"> by the commissioner.</w:t>
      </w:r>
    </w:p>
    <w:p w14:paraId="229C4FAB" w14:textId="0CAE3DCB" w:rsidR="00E30A39" w:rsidRDefault="00E30A39" w:rsidP="00E30A39">
      <w:pPr>
        <w:pStyle w:val="Heading1"/>
        <w:tabs>
          <w:tab w:val="center" w:pos="2983"/>
        </w:tabs>
        <w:spacing w:after="69"/>
      </w:pPr>
      <w:bookmarkStart w:id="42" w:name="_Toc170381463"/>
      <w:bookmarkStart w:id="43" w:name="_Toc171324764"/>
      <w:bookmarkStart w:id="44" w:name="_Toc171341085"/>
      <w:r>
        <w:rPr>
          <w:sz w:val="24"/>
        </w:rPr>
        <w:t>9</w:t>
      </w:r>
      <w:r w:rsidR="008B31AB">
        <w:rPr>
          <w:sz w:val="24"/>
        </w:rPr>
        <w:t>5</w:t>
      </w:r>
      <w:r>
        <w:rPr>
          <w:sz w:val="24"/>
        </w:rPr>
        <w:tab/>
        <w:t xml:space="preserve">Who is the </w:t>
      </w:r>
      <w:r>
        <w:rPr>
          <w:rFonts w:eastAsia="Arial" w:cs="Arial"/>
          <w:i/>
          <w:sz w:val="24"/>
        </w:rPr>
        <w:t>complainant</w:t>
      </w:r>
      <w:r>
        <w:rPr>
          <w:sz w:val="24"/>
        </w:rPr>
        <w:t xml:space="preserve"> for a complaint</w:t>
      </w:r>
      <w:bookmarkEnd w:id="42"/>
      <w:bookmarkEnd w:id="43"/>
      <w:bookmarkEnd w:id="44"/>
    </w:p>
    <w:p w14:paraId="61A91C2D" w14:textId="77777777" w:rsidR="00E30A39" w:rsidRDefault="00E30A39" w:rsidP="00E30A39">
      <w:pPr>
        <w:ind w:left="1259"/>
      </w:pPr>
      <w:r>
        <w:t xml:space="preserve">The </w:t>
      </w:r>
      <w:r w:rsidRPr="00246257">
        <w:rPr>
          <w:rFonts w:eastAsia="Times New Roman" w:cs="Arial"/>
          <w:b/>
          <w:i/>
        </w:rPr>
        <w:t>complainant</w:t>
      </w:r>
      <w:r>
        <w:t xml:space="preserve"> for a complaint is—</w:t>
      </w:r>
    </w:p>
    <w:p w14:paraId="3DA02444" w14:textId="3AAC592C" w:rsidR="00385BAD" w:rsidRDefault="00385BAD" w:rsidP="00284D9A">
      <w:pPr>
        <w:pStyle w:val="ListParagraph"/>
        <w:numPr>
          <w:ilvl w:val="0"/>
          <w:numId w:val="46"/>
        </w:numPr>
      </w:pPr>
      <w:r>
        <w:t xml:space="preserve">for a complaint made by a relevant body as provided under section </w:t>
      </w:r>
      <w:r w:rsidR="008C7270">
        <w:t xml:space="preserve">99 </w:t>
      </w:r>
      <w:r>
        <w:t>- the relevant body</w:t>
      </w:r>
      <w:r w:rsidR="006F201D">
        <w:t>;</w:t>
      </w:r>
      <w:r>
        <w:t xml:space="preserve"> or</w:t>
      </w:r>
    </w:p>
    <w:p w14:paraId="341909CE" w14:textId="3D68CFFD" w:rsidR="006F201D" w:rsidRDefault="006F201D" w:rsidP="00284D9A">
      <w:pPr>
        <w:pStyle w:val="ListParagraph"/>
        <w:numPr>
          <w:ilvl w:val="0"/>
          <w:numId w:val="46"/>
        </w:numPr>
      </w:pPr>
      <w:r>
        <w:t xml:space="preserve">for a complaint made by an interested body as provided </w:t>
      </w:r>
      <w:r w:rsidR="005E2C59">
        <w:t xml:space="preserve">under section </w:t>
      </w:r>
      <w:r w:rsidR="00CC48E8">
        <w:t>100</w:t>
      </w:r>
      <w:r w:rsidR="001125D1">
        <w:t xml:space="preserve"> </w:t>
      </w:r>
      <w:r w:rsidR="00D919BE">
        <w:t>– a person named in the complaint as a person</w:t>
      </w:r>
      <w:r w:rsidR="00467481">
        <w:t xml:space="preserve"> on</w:t>
      </w:r>
      <w:r w:rsidR="00D919BE">
        <w:t xml:space="preserve"> whose behalf the complaint is being made; or</w:t>
      </w:r>
    </w:p>
    <w:p w14:paraId="622B3096" w14:textId="163C3501" w:rsidR="00D919BE" w:rsidRDefault="00602242" w:rsidP="00284D9A">
      <w:pPr>
        <w:pStyle w:val="ListParagraph"/>
        <w:numPr>
          <w:ilvl w:val="0"/>
          <w:numId w:val="46"/>
        </w:numPr>
      </w:pPr>
      <w:r w:rsidRPr="00602242">
        <w:t>for a representative complaint—the person who made the complaint; or</w:t>
      </w:r>
    </w:p>
    <w:p w14:paraId="3D654796" w14:textId="77777777" w:rsidR="00B77D90" w:rsidRDefault="00B77D90" w:rsidP="00284D9A">
      <w:pPr>
        <w:pStyle w:val="ListParagraph"/>
        <w:numPr>
          <w:ilvl w:val="1"/>
          <w:numId w:val="46"/>
        </w:numPr>
        <w:spacing w:after="0" w:line="259" w:lineRule="auto"/>
      </w:pPr>
      <w:r w:rsidRPr="00E44000">
        <w:rPr>
          <w:szCs w:val="28"/>
          <w:lang w:eastAsia="zh-CN" w:bidi="th-TH"/>
        </w:rPr>
        <w:t>the person who made the complaint; or</w:t>
      </w:r>
    </w:p>
    <w:p w14:paraId="71781E48" w14:textId="77777777" w:rsidR="00B77D90" w:rsidRDefault="00B77D90" w:rsidP="00284D9A">
      <w:pPr>
        <w:pStyle w:val="ListParagraph"/>
        <w:numPr>
          <w:ilvl w:val="1"/>
          <w:numId w:val="46"/>
        </w:numPr>
        <w:spacing w:after="0" w:line="259" w:lineRule="auto"/>
      </w:pPr>
      <w:r>
        <w:t xml:space="preserve">if the complainant has been substituted under section 110- the substituted complainant; or </w:t>
      </w:r>
    </w:p>
    <w:p w14:paraId="02CF5934" w14:textId="20557A38" w:rsidR="005C56B7" w:rsidRDefault="00A252D6" w:rsidP="00284D9A">
      <w:pPr>
        <w:pStyle w:val="ListParagraph"/>
        <w:numPr>
          <w:ilvl w:val="0"/>
          <w:numId w:val="46"/>
        </w:numPr>
        <w:spacing w:after="0" w:line="259" w:lineRule="auto"/>
      </w:pPr>
      <w:r>
        <w:t>otherwise—the person who made the complaint or on whose behalf the complaint is made.</w:t>
      </w:r>
    </w:p>
    <w:p w14:paraId="49C5A036" w14:textId="77777777" w:rsidR="00385BAD" w:rsidRDefault="00385BAD" w:rsidP="00956D53"/>
    <w:tbl>
      <w:tblPr>
        <w:tblStyle w:val="TableGrid0"/>
        <w:tblW w:w="7201" w:type="dxa"/>
        <w:tblInd w:w="0" w:type="dxa"/>
        <w:tblLook w:val="04A0" w:firstRow="1" w:lastRow="0" w:firstColumn="1" w:lastColumn="0" w:noHBand="0" w:noVBand="1"/>
      </w:tblPr>
      <w:tblGrid>
        <w:gridCol w:w="1800"/>
        <w:gridCol w:w="5401"/>
      </w:tblGrid>
      <w:tr w:rsidR="00430EC6" w14:paraId="5ECA768B" w14:textId="77777777" w:rsidTr="00A555D4">
        <w:trPr>
          <w:trHeight w:val="518"/>
        </w:trPr>
        <w:tc>
          <w:tcPr>
            <w:tcW w:w="1800" w:type="dxa"/>
            <w:tcBorders>
              <w:top w:val="nil"/>
              <w:left w:val="nil"/>
              <w:bottom w:val="nil"/>
              <w:right w:val="nil"/>
            </w:tcBorders>
            <w:vAlign w:val="bottom"/>
          </w:tcPr>
          <w:p w14:paraId="721DBDDC" w14:textId="77777777" w:rsidR="00430EC6" w:rsidRDefault="00430EC6" w:rsidP="00A555D4">
            <w:pPr>
              <w:spacing w:after="0" w:line="259" w:lineRule="auto"/>
            </w:pPr>
            <w:r>
              <w:rPr>
                <w:rFonts w:eastAsia="Arial" w:cs="Arial"/>
                <w:b/>
                <w:sz w:val="28"/>
              </w:rPr>
              <w:t>Division 2</w:t>
            </w:r>
          </w:p>
        </w:tc>
        <w:tc>
          <w:tcPr>
            <w:tcW w:w="5401" w:type="dxa"/>
            <w:tcBorders>
              <w:top w:val="nil"/>
              <w:left w:val="nil"/>
              <w:bottom w:val="nil"/>
              <w:right w:val="nil"/>
            </w:tcBorders>
            <w:vAlign w:val="bottom"/>
          </w:tcPr>
          <w:p w14:paraId="7A09A34B" w14:textId="77777777" w:rsidR="00430EC6" w:rsidRDefault="00430EC6" w:rsidP="00A555D4">
            <w:pPr>
              <w:spacing w:after="0" w:line="259" w:lineRule="auto"/>
              <w:ind w:left="600"/>
            </w:pPr>
            <w:r>
              <w:rPr>
                <w:rFonts w:eastAsia="Arial" w:cs="Arial"/>
                <w:b/>
                <w:sz w:val="28"/>
              </w:rPr>
              <w:t>Making a complaint generally</w:t>
            </w:r>
          </w:p>
        </w:tc>
      </w:tr>
    </w:tbl>
    <w:p w14:paraId="1832ADE8" w14:textId="450C36D7" w:rsidR="00430EC6" w:rsidRDefault="00C5547A" w:rsidP="00430EC6">
      <w:pPr>
        <w:pStyle w:val="Heading1"/>
        <w:tabs>
          <w:tab w:val="center" w:pos="3258"/>
        </w:tabs>
        <w:spacing w:after="69"/>
      </w:pPr>
      <w:bookmarkStart w:id="45" w:name="_Toc170381464"/>
      <w:bookmarkStart w:id="46" w:name="_Toc171324765"/>
      <w:bookmarkStart w:id="47" w:name="_Toc171341086"/>
      <w:r>
        <w:rPr>
          <w:sz w:val="24"/>
        </w:rPr>
        <w:t>96</w:t>
      </w:r>
      <w:r w:rsidR="00430EC6">
        <w:rPr>
          <w:sz w:val="24"/>
        </w:rPr>
        <w:tab/>
        <w:t>Period within which complaint may be made</w:t>
      </w:r>
      <w:bookmarkEnd w:id="45"/>
      <w:bookmarkEnd w:id="46"/>
      <w:bookmarkEnd w:id="47"/>
    </w:p>
    <w:p w14:paraId="6B4656F9" w14:textId="77777777" w:rsidR="00430EC6" w:rsidRDefault="00430EC6" w:rsidP="00430EC6">
      <w:pPr>
        <w:ind w:left="1259"/>
      </w:pPr>
      <w:r>
        <w:t xml:space="preserve">The period for making a complaint (the </w:t>
      </w:r>
      <w:r w:rsidRPr="00246257">
        <w:rPr>
          <w:rFonts w:eastAsia="Times New Roman" w:cs="Arial"/>
          <w:b/>
          <w:i/>
        </w:rPr>
        <w:t>complaint period</w:t>
      </w:r>
      <w:r>
        <w:t>) is within 2 years after—</w:t>
      </w:r>
    </w:p>
    <w:p w14:paraId="0483896B" w14:textId="28F273AF" w:rsidR="00430EC6" w:rsidRDefault="00430EC6" w:rsidP="00284D9A">
      <w:pPr>
        <w:numPr>
          <w:ilvl w:val="0"/>
          <w:numId w:val="8"/>
        </w:numPr>
        <w:spacing w:after="135" w:line="235" w:lineRule="auto"/>
        <w:ind w:hanging="360"/>
        <w:jc w:val="both"/>
      </w:pPr>
      <w:r>
        <w:t>the alleged contravention of this Act to which the complaint relates happened; or</w:t>
      </w:r>
    </w:p>
    <w:p w14:paraId="453B8432" w14:textId="2A82B2B7" w:rsidR="00430EC6" w:rsidRDefault="00430EC6" w:rsidP="00284D9A">
      <w:pPr>
        <w:numPr>
          <w:ilvl w:val="0"/>
          <w:numId w:val="8"/>
        </w:numPr>
        <w:spacing w:after="487" w:line="235" w:lineRule="auto"/>
        <w:ind w:hanging="360"/>
        <w:jc w:val="both"/>
      </w:pPr>
      <w:r>
        <w:lastRenderedPageBreak/>
        <w:t xml:space="preserve">if the </w:t>
      </w:r>
      <w:r w:rsidR="0089328C">
        <w:t xml:space="preserve">person the </w:t>
      </w:r>
      <w:r w:rsidR="00177BB2">
        <w:t xml:space="preserve">subject of the alleged contravention </w:t>
      </w:r>
      <w:r>
        <w:t xml:space="preserve">of this Act to which the complaint relates </w:t>
      </w:r>
      <w:r w:rsidR="0015643F">
        <w:t>was a child when the alleged contravention happened</w:t>
      </w:r>
      <w:r>
        <w:t>—the child turns 18.</w:t>
      </w:r>
    </w:p>
    <w:p w14:paraId="174B4018" w14:textId="41D4062E" w:rsidR="00430EC6" w:rsidRDefault="00955E45" w:rsidP="00430EC6">
      <w:pPr>
        <w:pStyle w:val="Heading1"/>
        <w:tabs>
          <w:tab w:val="center" w:pos="2327"/>
        </w:tabs>
      </w:pPr>
      <w:bookmarkStart w:id="48" w:name="_Toc170381465"/>
      <w:bookmarkStart w:id="49" w:name="_Toc171324766"/>
      <w:bookmarkStart w:id="50" w:name="_Toc171341087"/>
      <w:r>
        <w:rPr>
          <w:sz w:val="24"/>
        </w:rPr>
        <w:t>97</w:t>
      </w:r>
      <w:r w:rsidR="00430EC6">
        <w:rPr>
          <w:sz w:val="24"/>
        </w:rPr>
        <w:tab/>
        <w:t>Who may make a complaint</w:t>
      </w:r>
      <w:bookmarkEnd w:id="48"/>
      <w:bookmarkEnd w:id="49"/>
      <w:bookmarkEnd w:id="50"/>
    </w:p>
    <w:p w14:paraId="3CE68899" w14:textId="7B5A08F4" w:rsidR="00430EC6" w:rsidRDefault="00430EC6" w:rsidP="00284D9A">
      <w:pPr>
        <w:pStyle w:val="ListParagraph"/>
        <w:numPr>
          <w:ilvl w:val="0"/>
          <w:numId w:val="47"/>
        </w:numPr>
      </w:pPr>
      <w:r>
        <w:t>Any of the following may make a complaint for an alleged contravention of this Act—</w:t>
      </w:r>
    </w:p>
    <w:p w14:paraId="73F03810" w14:textId="77777777" w:rsidR="001A2633" w:rsidRDefault="00430EC6" w:rsidP="00284D9A">
      <w:pPr>
        <w:numPr>
          <w:ilvl w:val="0"/>
          <w:numId w:val="9"/>
        </w:numPr>
        <w:spacing w:after="79" w:line="291" w:lineRule="auto"/>
        <w:ind w:hanging="360"/>
        <w:jc w:val="both"/>
      </w:pPr>
      <w:r>
        <w:t xml:space="preserve">a person the subject of the alleged contravention or, if the person is a child— </w:t>
      </w:r>
    </w:p>
    <w:p w14:paraId="7313320A" w14:textId="056E3610" w:rsidR="00430EC6" w:rsidRDefault="00430EC6" w:rsidP="00284D9A">
      <w:pPr>
        <w:numPr>
          <w:ilvl w:val="1"/>
          <w:numId w:val="9"/>
        </w:numPr>
        <w:spacing w:after="79" w:line="291" w:lineRule="auto"/>
        <w:jc w:val="both"/>
      </w:pPr>
      <w:r>
        <w:t>the child; or</w:t>
      </w:r>
    </w:p>
    <w:p w14:paraId="4273AF61" w14:textId="6377D62E" w:rsidR="00430EC6" w:rsidRDefault="001A2633" w:rsidP="00284D9A">
      <w:pPr>
        <w:numPr>
          <w:ilvl w:val="1"/>
          <w:numId w:val="9"/>
        </w:numPr>
        <w:spacing w:after="79" w:line="291" w:lineRule="auto"/>
        <w:jc w:val="both"/>
      </w:pPr>
      <w:r>
        <w:t xml:space="preserve">the child’s </w:t>
      </w:r>
      <w:proofErr w:type="gramStart"/>
      <w:r>
        <w:t>parent;</w:t>
      </w:r>
      <w:proofErr w:type="gramEnd"/>
    </w:p>
    <w:p w14:paraId="6B1BFEEB" w14:textId="77777777" w:rsidR="00430EC6" w:rsidRDefault="00430EC6" w:rsidP="00284D9A">
      <w:pPr>
        <w:numPr>
          <w:ilvl w:val="0"/>
          <w:numId w:val="9"/>
        </w:numPr>
        <w:spacing w:after="135" w:line="235" w:lineRule="auto"/>
        <w:ind w:hanging="360"/>
        <w:jc w:val="both"/>
      </w:pPr>
      <w:r>
        <w:t xml:space="preserve">an agent of the </w:t>
      </w:r>
      <w:proofErr w:type="gramStart"/>
      <w:r>
        <w:t>person;</w:t>
      </w:r>
      <w:proofErr w:type="gramEnd"/>
    </w:p>
    <w:p w14:paraId="2C0F5FAE" w14:textId="77777777" w:rsidR="00430EC6" w:rsidRDefault="00430EC6" w:rsidP="00284D9A">
      <w:pPr>
        <w:numPr>
          <w:ilvl w:val="0"/>
          <w:numId w:val="9"/>
        </w:numPr>
        <w:spacing w:after="135" w:line="235" w:lineRule="auto"/>
        <w:ind w:hanging="360"/>
        <w:jc w:val="both"/>
      </w:pPr>
      <w:r>
        <w:t xml:space="preserve">a person authorised in writing by the commissioner to make the complaint for the </w:t>
      </w:r>
      <w:proofErr w:type="gramStart"/>
      <w:r>
        <w:t>person;</w:t>
      </w:r>
      <w:proofErr w:type="gramEnd"/>
    </w:p>
    <w:p w14:paraId="64D655AC" w14:textId="217E5C57" w:rsidR="00430EC6" w:rsidRDefault="00430EC6" w:rsidP="00284D9A">
      <w:pPr>
        <w:numPr>
          <w:ilvl w:val="0"/>
          <w:numId w:val="9"/>
        </w:numPr>
        <w:spacing w:after="135" w:line="235" w:lineRule="auto"/>
        <w:ind w:hanging="360"/>
        <w:jc w:val="both"/>
      </w:pPr>
      <w:r>
        <w:t xml:space="preserve">a relevant body as provided under section </w:t>
      </w:r>
      <w:proofErr w:type="gramStart"/>
      <w:r w:rsidR="00CC48E8">
        <w:t>99</w:t>
      </w:r>
      <w:r>
        <w:t>;</w:t>
      </w:r>
      <w:proofErr w:type="gramEnd"/>
    </w:p>
    <w:p w14:paraId="7CC86B26" w14:textId="3247AC2A" w:rsidR="00B16A55" w:rsidRDefault="008A1235" w:rsidP="00284D9A">
      <w:pPr>
        <w:numPr>
          <w:ilvl w:val="0"/>
          <w:numId w:val="9"/>
        </w:numPr>
        <w:spacing w:after="135" w:line="235" w:lineRule="auto"/>
        <w:ind w:hanging="360"/>
        <w:jc w:val="both"/>
      </w:pPr>
      <w:r>
        <w:t xml:space="preserve">an interested body as provided under section </w:t>
      </w:r>
      <w:r w:rsidR="00CC48E8">
        <w:t>100</w:t>
      </w:r>
      <w:r>
        <w:t>.</w:t>
      </w:r>
    </w:p>
    <w:p w14:paraId="0060BB4A" w14:textId="77777777" w:rsidR="00B16A55" w:rsidRDefault="00B16A55" w:rsidP="00284D9A">
      <w:pPr>
        <w:pStyle w:val="ListParagraph"/>
        <w:numPr>
          <w:ilvl w:val="0"/>
          <w:numId w:val="47"/>
        </w:numPr>
        <w:spacing w:after="135" w:line="235" w:lineRule="auto"/>
        <w:jc w:val="both"/>
      </w:pPr>
      <w:r>
        <w:t xml:space="preserve">For subsection (1)(c), the commissioner may authorise a person to make a complaint for a person if satisfied the person </w:t>
      </w:r>
      <w:proofErr w:type="spellStart"/>
      <w:r>
        <w:t>can not</w:t>
      </w:r>
      <w:proofErr w:type="spellEnd"/>
      <w:r>
        <w:t xml:space="preserve"> make the complaint.</w:t>
      </w:r>
    </w:p>
    <w:p w14:paraId="65C3C7D4" w14:textId="77777777" w:rsidR="00B16A55" w:rsidRPr="00B16A55" w:rsidRDefault="00B16A55" w:rsidP="00B16A55">
      <w:pPr>
        <w:pStyle w:val="ListParagraph"/>
        <w:spacing w:after="135" w:line="235" w:lineRule="auto"/>
        <w:ind w:left="1812"/>
        <w:jc w:val="both"/>
        <w:rPr>
          <w:sz w:val="20"/>
          <w:szCs w:val="20"/>
        </w:rPr>
      </w:pPr>
      <w:r w:rsidRPr="00B16A55">
        <w:rPr>
          <w:sz w:val="20"/>
          <w:szCs w:val="20"/>
        </w:rPr>
        <w:t>Note—</w:t>
      </w:r>
    </w:p>
    <w:p w14:paraId="1B653DFA" w14:textId="09DD71B4" w:rsidR="00430EC6" w:rsidRPr="00B16A55" w:rsidRDefault="00B16A55" w:rsidP="00B16A55">
      <w:pPr>
        <w:pStyle w:val="ListParagraph"/>
        <w:spacing w:after="135" w:line="235" w:lineRule="auto"/>
        <w:ind w:left="1812" w:firstLine="348"/>
        <w:jc w:val="both"/>
        <w:rPr>
          <w:sz w:val="20"/>
          <w:szCs w:val="20"/>
        </w:rPr>
      </w:pPr>
      <w:r w:rsidRPr="00B16A55">
        <w:rPr>
          <w:sz w:val="20"/>
          <w:szCs w:val="20"/>
        </w:rPr>
        <w:t xml:space="preserve">See also section </w:t>
      </w:r>
      <w:r w:rsidR="0050709C">
        <w:rPr>
          <w:sz w:val="20"/>
          <w:szCs w:val="20"/>
        </w:rPr>
        <w:t>139</w:t>
      </w:r>
      <w:r w:rsidRPr="00B16A55">
        <w:rPr>
          <w:sz w:val="20"/>
          <w:szCs w:val="20"/>
        </w:rPr>
        <w:t>.</w:t>
      </w:r>
    </w:p>
    <w:p w14:paraId="16075326" w14:textId="34D2B33E" w:rsidR="00430EC6" w:rsidRDefault="00955E45" w:rsidP="00430EC6">
      <w:pPr>
        <w:pStyle w:val="Heading1"/>
        <w:tabs>
          <w:tab w:val="center" w:pos="1718"/>
        </w:tabs>
        <w:spacing w:after="68"/>
      </w:pPr>
      <w:bookmarkStart w:id="51" w:name="_Toc170381466"/>
      <w:bookmarkStart w:id="52" w:name="_Toc171324767"/>
      <w:bookmarkStart w:id="53" w:name="_Toc171341088"/>
      <w:r>
        <w:rPr>
          <w:sz w:val="24"/>
        </w:rPr>
        <w:t>98</w:t>
      </w:r>
      <w:r w:rsidR="00430EC6">
        <w:rPr>
          <w:sz w:val="24"/>
        </w:rPr>
        <w:tab/>
        <w:t>Joint complaints</w:t>
      </w:r>
      <w:bookmarkEnd w:id="51"/>
      <w:bookmarkEnd w:id="52"/>
      <w:bookmarkEnd w:id="53"/>
    </w:p>
    <w:p w14:paraId="320D9C8B" w14:textId="77777777" w:rsidR="00430EC6" w:rsidRDefault="00430EC6" w:rsidP="00430EC6">
      <w:pPr>
        <w:spacing w:after="481"/>
        <w:ind w:left="1259"/>
      </w:pPr>
      <w:r>
        <w:t>Two or more persons may jointly make a complaint.</w:t>
      </w:r>
    </w:p>
    <w:p w14:paraId="4F3B3BC4" w14:textId="739CA98C" w:rsidR="00430EC6" w:rsidRDefault="00955E45" w:rsidP="00430EC6">
      <w:pPr>
        <w:pStyle w:val="Heading1"/>
        <w:tabs>
          <w:tab w:val="center" w:pos="3296"/>
        </w:tabs>
      </w:pPr>
      <w:bookmarkStart w:id="54" w:name="_Toc170381467"/>
      <w:bookmarkStart w:id="55" w:name="_Toc171324768"/>
      <w:bookmarkStart w:id="56" w:name="_Toc171341089"/>
      <w:r>
        <w:rPr>
          <w:sz w:val="24"/>
        </w:rPr>
        <w:t>99</w:t>
      </w:r>
      <w:r w:rsidR="00430EC6">
        <w:rPr>
          <w:sz w:val="24"/>
        </w:rPr>
        <w:tab/>
        <w:t>Complaint by relevant body about vilification</w:t>
      </w:r>
      <w:bookmarkEnd w:id="54"/>
      <w:bookmarkEnd w:id="55"/>
      <w:bookmarkEnd w:id="56"/>
    </w:p>
    <w:p w14:paraId="2E709BAE" w14:textId="208E33C3" w:rsidR="00430EC6" w:rsidRDefault="00430EC6" w:rsidP="00284D9A">
      <w:pPr>
        <w:numPr>
          <w:ilvl w:val="0"/>
          <w:numId w:val="10"/>
        </w:numPr>
        <w:spacing w:after="135" w:line="235" w:lineRule="auto"/>
        <w:ind w:left="1248" w:hanging="360"/>
        <w:jc w:val="both"/>
      </w:pPr>
      <w:r>
        <w:t xml:space="preserve">A relevant body may make a complaint for an alleged contravention of section </w:t>
      </w:r>
      <w:r w:rsidR="004C2253">
        <w:t>79</w:t>
      </w:r>
      <w:r>
        <w:t xml:space="preserve"> or </w:t>
      </w:r>
      <w:r w:rsidR="004C2253">
        <w:t>80</w:t>
      </w:r>
      <w:r>
        <w:t>.</w:t>
      </w:r>
    </w:p>
    <w:p w14:paraId="23839DF7" w14:textId="20743C2D" w:rsidR="00A24A00" w:rsidRDefault="00430EC6" w:rsidP="00284D9A">
      <w:pPr>
        <w:numPr>
          <w:ilvl w:val="0"/>
          <w:numId w:val="10"/>
        </w:numPr>
        <w:spacing w:after="135" w:line="235" w:lineRule="auto"/>
        <w:ind w:left="1248" w:hanging="360"/>
        <w:jc w:val="both"/>
      </w:pPr>
      <w:r>
        <w:t xml:space="preserve">However, the commissioner may </w:t>
      </w:r>
      <w:r w:rsidR="006A4494">
        <w:t>decide</w:t>
      </w:r>
      <w:r w:rsidR="004010BA">
        <w:t xml:space="preserve"> to deal with</w:t>
      </w:r>
      <w:r>
        <w:t xml:space="preserve"> a relevant body’s complaint about an alleged contravention of section </w:t>
      </w:r>
      <w:r w:rsidR="00D63A81">
        <w:t>79</w:t>
      </w:r>
      <w:r>
        <w:t xml:space="preserve"> or 8</w:t>
      </w:r>
      <w:r w:rsidR="00D63A81">
        <w:t>0</w:t>
      </w:r>
      <w:r>
        <w:t xml:space="preserve"> only if the commissioner is satisfied— </w:t>
      </w:r>
    </w:p>
    <w:p w14:paraId="31113502" w14:textId="6469944E" w:rsidR="00430EC6" w:rsidRDefault="00430EC6" w:rsidP="00284D9A">
      <w:pPr>
        <w:pStyle w:val="ListParagraph"/>
        <w:numPr>
          <w:ilvl w:val="0"/>
          <w:numId w:val="48"/>
        </w:numPr>
        <w:spacing w:after="135" w:line="235" w:lineRule="auto"/>
        <w:jc w:val="both"/>
      </w:pPr>
      <w:r>
        <w:t>the complaint is made in good faith; and</w:t>
      </w:r>
    </w:p>
    <w:p w14:paraId="7C2B5C8C" w14:textId="77777777" w:rsidR="00430EC6" w:rsidRDefault="00430EC6" w:rsidP="00284D9A">
      <w:pPr>
        <w:numPr>
          <w:ilvl w:val="1"/>
          <w:numId w:val="10"/>
        </w:numPr>
        <w:spacing w:after="135" w:line="235" w:lineRule="auto"/>
        <w:ind w:hanging="360"/>
        <w:jc w:val="both"/>
      </w:pPr>
      <w:r>
        <w:t>the alleged contravention is about conduct that has affected or is likely to affect represented persons for the relevant body; and</w:t>
      </w:r>
    </w:p>
    <w:p w14:paraId="268A6A5C" w14:textId="77777777" w:rsidR="00430EC6" w:rsidRDefault="00430EC6" w:rsidP="00284D9A">
      <w:pPr>
        <w:numPr>
          <w:ilvl w:val="1"/>
          <w:numId w:val="10"/>
        </w:numPr>
        <w:spacing w:after="135" w:line="235" w:lineRule="auto"/>
        <w:ind w:hanging="360"/>
        <w:jc w:val="both"/>
      </w:pPr>
      <w:r>
        <w:t>it is in the interests of justice to accept the complaint.</w:t>
      </w:r>
    </w:p>
    <w:p w14:paraId="02CF010E" w14:textId="77777777" w:rsidR="00E92F7E" w:rsidRDefault="00430EC6" w:rsidP="00284D9A">
      <w:pPr>
        <w:numPr>
          <w:ilvl w:val="0"/>
          <w:numId w:val="10"/>
        </w:numPr>
        <w:spacing w:after="108" w:line="235" w:lineRule="auto"/>
        <w:ind w:left="1248" w:hanging="360"/>
        <w:jc w:val="both"/>
      </w:pPr>
      <w:r>
        <w:t xml:space="preserve">In this section— </w:t>
      </w:r>
    </w:p>
    <w:p w14:paraId="271F1CDF" w14:textId="1F2252CB" w:rsidR="00430EC6" w:rsidRDefault="00430EC6" w:rsidP="00E92F7E">
      <w:pPr>
        <w:spacing w:after="108" w:line="235" w:lineRule="auto"/>
        <w:ind w:left="1248"/>
        <w:jc w:val="both"/>
      </w:pPr>
      <w:r w:rsidRPr="00246257">
        <w:rPr>
          <w:rFonts w:eastAsia="Times New Roman" w:cs="Arial"/>
          <w:b/>
          <w:i/>
        </w:rPr>
        <w:t>relevant body</w:t>
      </w:r>
      <w:r>
        <w:t xml:space="preserve"> means a body corporate or an unincorporated body whose primary purpose is, or whose primary purposes </w:t>
      </w:r>
      <w:proofErr w:type="gramStart"/>
      <w:r>
        <w:t>include,</w:t>
      </w:r>
      <w:proofErr w:type="gramEnd"/>
      <w:r>
        <w:t xml:space="preserve"> the promotion of the interests or welfare of persons of a particular age, gender identity, race, religion, sex or sexual orientation or with a particular disability or particular sex characteristics.</w:t>
      </w:r>
    </w:p>
    <w:p w14:paraId="68F9F1B9" w14:textId="3391C050" w:rsidR="00430EC6" w:rsidRDefault="00430EC6" w:rsidP="00246257">
      <w:pPr>
        <w:ind w:left="1259"/>
      </w:pPr>
      <w:r w:rsidRPr="00246257">
        <w:rPr>
          <w:rFonts w:eastAsia="Times New Roman" w:cs="Arial"/>
          <w:b/>
          <w:i/>
        </w:rPr>
        <w:t>represented persons</w:t>
      </w:r>
      <w:r>
        <w:t>, for a relevant body, means persons the promotion of whose interests or welfare is a primary purpose of the relevant body.</w:t>
      </w:r>
    </w:p>
    <w:p w14:paraId="57BB3746" w14:textId="339FA29D" w:rsidR="00430EC6" w:rsidRDefault="00CD7D11" w:rsidP="00430EC6">
      <w:pPr>
        <w:pStyle w:val="Heading1"/>
        <w:ind w:left="791" w:hanging="780"/>
      </w:pPr>
      <w:bookmarkStart w:id="57" w:name="_Toc170381468"/>
      <w:bookmarkStart w:id="58" w:name="_Toc171324769"/>
      <w:bookmarkStart w:id="59" w:name="_Toc171341090"/>
      <w:r>
        <w:rPr>
          <w:sz w:val="24"/>
        </w:rPr>
        <w:lastRenderedPageBreak/>
        <w:t>100</w:t>
      </w:r>
      <w:r w:rsidR="00430EC6">
        <w:rPr>
          <w:sz w:val="24"/>
        </w:rPr>
        <w:tab/>
        <w:t xml:space="preserve">Complaint by interested body on behalf of 1 or more </w:t>
      </w:r>
      <w:bookmarkEnd w:id="57"/>
      <w:r w:rsidR="00832169">
        <w:rPr>
          <w:sz w:val="24"/>
        </w:rPr>
        <w:t>persons</w:t>
      </w:r>
      <w:bookmarkEnd w:id="58"/>
      <w:bookmarkEnd w:id="59"/>
      <w:r w:rsidR="00832169">
        <w:rPr>
          <w:sz w:val="24"/>
        </w:rPr>
        <w:t xml:space="preserve"> </w:t>
      </w:r>
    </w:p>
    <w:p w14:paraId="444455F1" w14:textId="77777777" w:rsidR="00430EC6" w:rsidRDefault="00430EC6" w:rsidP="00284D9A">
      <w:pPr>
        <w:numPr>
          <w:ilvl w:val="0"/>
          <w:numId w:val="11"/>
        </w:numPr>
        <w:spacing w:after="135" w:line="235" w:lineRule="auto"/>
        <w:ind w:left="1248" w:hanging="360"/>
        <w:jc w:val="both"/>
      </w:pPr>
      <w:r>
        <w:t>An interested body may make a complaint about an alleged contravention of this Act on behalf of 1 or more named persons if—</w:t>
      </w:r>
    </w:p>
    <w:p w14:paraId="0CA1CC68" w14:textId="77777777" w:rsidR="00430EC6" w:rsidRDefault="00430EC6" w:rsidP="00284D9A">
      <w:pPr>
        <w:numPr>
          <w:ilvl w:val="1"/>
          <w:numId w:val="11"/>
        </w:numPr>
        <w:spacing w:after="135" w:line="235" w:lineRule="auto"/>
        <w:ind w:left="1811" w:hanging="360"/>
        <w:jc w:val="both"/>
      </w:pPr>
      <w:r>
        <w:t>each named person—</w:t>
      </w:r>
    </w:p>
    <w:p w14:paraId="362B5AB1" w14:textId="06AA9656" w:rsidR="00430EC6" w:rsidRDefault="00430EC6" w:rsidP="00284D9A">
      <w:pPr>
        <w:numPr>
          <w:ilvl w:val="2"/>
          <w:numId w:val="11"/>
        </w:numPr>
        <w:spacing w:after="135" w:line="235" w:lineRule="auto"/>
        <w:ind w:hanging="180"/>
        <w:jc w:val="both"/>
      </w:pPr>
      <w:r>
        <w:t xml:space="preserve">is entitled to make a complaint under section </w:t>
      </w:r>
      <w:r w:rsidR="00D63A81">
        <w:t>97</w:t>
      </w:r>
      <w:r>
        <w:t>(1)(a) about the alleged contravention; and</w:t>
      </w:r>
    </w:p>
    <w:p w14:paraId="384318E2" w14:textId="77777777" w:rsidR="00430EC6" w:rsidRDefault="00430EC6" w:rsidP="00284D9A">
      <w:pPr>
        <w:numPr>
          <w:ilvl w:val="2"/>
          <w:numId w:val="11"/>
        </w:numPr>
        <w:spacing w:after="135" w:line="235" w:lineRule="auto"/>
        <w:ind w:hanging="180"/>
        <w:jc w:val="both"/>
      </w:pPr>
      <w:r>
        <w:t>has consented to the complaint being made by the body on the person’s behalf; and</w:t>
      </w:r>
    </w:p>
    <w:p w14:paraId="011E751D" w14:textId="77777777" w:rsidR="00430EC6" w:rsidRDefault="00430EC6" w:rsidP="00284D9A">
      <w:pPr>
        <w:numPr>
          <w:ilvl w:val="1"/>
          <w:numId w:val="11"/>
        </w:numPr>
        <w:spacing w:after="135" w:line="235" w:lineRule="auto"/>
        <w:ind w:left="1811" w:hanging="360"/>
        <w:jc w:val="both"/>
      </w:pPr>
      <w:r>
        <w:t>if the complaint is made on behalf of more than 1 person, the alleged contravention relates to, or arises out of, the same conduct.</w:t>
      </w:r>
    </w:p>
    <w:p w14:paraId="2DC67246" w14:textId="77777777" w:rsidR="0050732E" w:rsidRDefault="00430EC6" w:rsidP="00284D9A">
      <w:pPr>
        <w:numPr>
          <w:ilvl w:val="0"/>
          <w:numId w:val="11"/>
        </w:numPr>
        <w:spacing w:after="135" w:line="235" w:lineRule="auto"/>
        <w:ind w:left="1248" w:hanging="360"/>
        <w:jc w:val="both"/>
      </w:pPr>
      <w:r>
        <w:t xml:space="preserve">In this section— </w:t>
      </w:r>
    </w:p>
    <w:p w14:paraId="07D6C718" w14:textId="77777777" w:rsidR="0050732E" w:rsidRPr="00C83868" w:rsidRDefault="00430EC6" w:rsidP="0050732E">
      <w:pPr>
        <w:spacing w:after="135" w:line="235" w:lineRule="auto"/>
        <w:ind w:left="1248"/>
        <w:jc w:val="both"/>
        <w:rPr>
          <w:rFonts w:cs="Arial"/>
        </w:rPr>
      </w:pPr>
      <w:r w:rsidRPr="00C83868">
        <w:rPr>
          <w:rFonts w:eastAsia="Times New Roman" w:cs="Arial"/>
          <w:b/>
          <w:i/>
        </w:rPr>
        <w:t>interested body</w:t>
      </w:r>
      <w:r w:rsidR="0050732E" w:rsidRPr="00C83868">
        <w:rPr>
          <w:rFonts w:cs="Arial"/>
        </w:rPr>
        <w:t>-</w:t>
      </w:r>
    </w:p>
    <w:p w14:paraId="087F994E" w14:textId="3AC2CA51" w:rsidR="00430EC6" w:rsidRDefault="0050732E" w:rsidP="00E42440">
      <w:pPr>
        <w:spacing w:after="135" w:line="235" w:lineRule="auto"/>
        <w:ind w:left="1811" w:hanging="563"/>
        <w:jc w:val="both"/>
      </w:pPr>
      <w:r>
        <w:t>1</w:t>
      </w:r>
      <w:r>
        <w:tab/>
      </w:r>
      <w:r w:rsidR="00C83868">
        <w:t xml:space="preserve">An </w:t>
      </w:r>
      <w:r w:rsidR="00C83868">
        <w:rPr>
          <w:i/>
          <w:iCs/>
        </w:rPr>
        <w:t xml:space="preserve">interested body </w:t>
      </w:r>
      <w:r w:rsidR="00430EC6">
        <w:t>in relation to a complaint</w:t>
      </w:r>
      <w:r w:rsidR="00284D9A">
        <w:t xml:space="preserve"> is</w:t>
      </w:r>
      <w:r w:rsidR="00C83868">
        <w:t xml:space="preserve">- </w:t>
      </w:r>
    </w:p>
    <w:p w14:paraId="4DF725F7" w14:textId="3D187016" w:rsidR="00E42440" w:rsidRDefault="00DA385E" w:rsidP="00284D9A">
      <w:pPr>
        <w:numPr>
          <w:ilvl w:val="1"/>
          <w:numId w:val="11"/>
        </w:numPr>
        <w:spacing w:after="135" w:line="235" w:lineRule="auto"/>
        <w:ind w:left="1811" w:hanging="360"/>
        <w:jc w:val="both"/>
      </w:pPr>
      <w:r>
        <w:t>A registered employee organisation, if the complaint made on behalf of its members; or</w:t>
      </w:r>
    </w:p>
    <w:p w14:paraId="37DF1257" w14:textId="2DD4639B" w:rsidR="00EF70E0" w:rsidRDefault="0039719B" w:rsidP="00284D9A">
      <w:pPr>
        <w:numPr>
          <w:ilvl w:val="1"/>
          <w:numId w:val="11"/>
        </w:numPr>
        <w:spacing w:after="135" w:line="235" w:lineRule="auto"/>
        <w:ind w:left="1811" w:hanging="360"/>
        <w:jc w:val="both"/>
      </w:pPr>
      <w:r>
        <w:t xml:space="preserve">a body corporate </w:t>
      </w:r>
      <w:r w:rsidR="004C262E">
        <w:t>or unincorporated body that has an interest in the complaint because-</w:t>
      </w:r>
    </w:p>
    <w:p w14:paraId="2228E88E" w14:textId="5DD84C62" w:rsidR="00430EC6" w:rsidRDefault="00430EC6" w:rsidP="0046443E">
      <w:pPr>
        <w:numPr>
          <w:ilvl w:val="2"/>
          <w:numId w:val="11"/>
        </w:numPr>
        <w:spacing w:after="135" w:line="235" w:lineRule="auto"/>
        <w:ind w:hanging="360"/>
        <w:jc w:val="both"/>
      </w:pPr>
      <w:r>
        <w:t>the body represents the interests or welfare of a group of persons with a protected attribute; and</w:t>
      </w:r>
    </w:p>
    <w:p w14:paraId="178FE881" w14:textId="5F058E6F" w:rsidR="00E02552" w:rsidRDefault="00430EC6" w:rsidP="00E02552">
      <w:pPr>
        <w:numPr>
          <w:ilvl w:val="2"/>
          <w:numId w:val="11"/>
        </w:numPr>
        <w:spacing w:after="485" w:line="235" w:lineRule="auto"/>
        <w:ind w:hanging="360"/>
        <w:jc w:val="both"/>
      </w:pPr>
      <w:r>
        <w:t>the conduct constituting the alleged contravention to which the complaint relates is a matter of genuine concern to the body because of the way conduct of that nature adversely affects or has the potential to adversely affect the interests of the body or the interests or welfare of the persons it represents.</w:t>
      </w:r>
    </w:p>
    <w:p w14:paraId="7E1E5303" w14:textId="47F0EF87" w:rsidR="00E02552" w:rsidRDefault="00041235" w:rsidP="00D87A9D">
      <w:pPr>
        <w:pStyle w:val="ListParagraph"/>
        <w:spacing w:after="135" w:line="235" w:lineRule="auto"/>
        <w:ind w:left="1944" w:hanging="695"/>
        <w:jc w:val="both"/>
      </w:pPr>
      <w:r>
        <w:t>2</w:t>
      </w:r>
      <w:r w:rsidR="00E02552">
        <w:tab/>
      </w:r>
      <w:r w:rsidR="00562CA7">
        <w:t>However, an entity that purports to represent the industrial interests of employ</w:t>
      </w:r>
      <w:r w:rsidR="00A00C63">
        <w:t xml:space="preserve">ees </w:t>
      </w:r>
      <w:r w:rsidR="0060451D">
        <w:t xml:space="preserve">or employers is not an </w:t>
      </w:r>
      <w:r w:rsidR="0060451D">
        <w:rPr>
          <w:i/>
          <w:iCs/>
        </w:rPr>
        <w:t xml:space="preserve">interested body </w:t>
      </w:r>
      <w:r w:rsidR="0060451D">
        <w:t xml:space="preserve">in relation to a complaint unless the entity is a registered </w:t>
      </w:r>
      <w:r>
        <w:t xml:space="preserve">employee organisation and the complaint is made on behalf of its members. </w:t>
      </w:r>
      <w:r w:rsidR="00E02552">
        <w:t xml:space="preserve"> </w:t>
      </w:r>
    </w:p>
    <w:p w14:paraId="22EAF210" w14:textId="0334A6CA" w:rsidR="00430EC6" w:rsidRDefault="00CD7D11" w:rsidP="00430EC6">
      <w:pPr>
        <w:pStyle w:val="Heading1"/>
        <w:tabs>
          <w:tab w:val="center" w:pos="2687"/>
        </w:tabs>
      </w:pPr>
      <w:bookmarkStart w:id="60" w:name="_Toc170381469"/>
      <w:bookmarkStart w:id="61" w:name="_Toc171324770"/>
      <w:bookmarkStart w:id="62" w:name="_Toc171341091"/>
      <w:r>
        <w:rPr>
          <w:sz w:val="24"/>
        </w:rPr>
        <w:t>101</w:t>
      </w:r>
      <w:r w:rsidR="00430EC6">
        <w:rPr>
          <w:sz w:val="24"/>
        </w:rPr>
        <w:tab/>
        <w:t>Complaints by dismissed workers</w:t>
      </w:r>
      <w:bookmarkEnd w:id="60"/>
      <w:bookmarkEnd w:id="61"/>
      <w:bookmarkEnd w:id="62"/>
    </w:p>
    <w:p w14:paraId="2A5519E1" w14:textId="77777777" w:rsidR="00430EC6" w:rsidRDefault="00430EC6" w:rsidP="00284D9A">
      <w:pPr>
        <w:numPr>
          <w:ilvl w:val="0"/>
          <w:numId w:val="12"/>
        </w:numPr>
        <w:spacing w:after="135" w:line="235" w:lineRule="auto"/>
        <w:ind w:left="1248" w:hanging="360"/>
        <w:jc w:val="both"/>
      </w:pPr>
      <w:r>
        <w:t>This section applies to a worker who is dismissed in circumstances entitling the worker to—</w:t>
      </w:r>
    </w:p>
    <w:p w14:paraId="1DCEA891" w14:textId="77777777" w:rsidR="00430EC6" w:rsidRDefault="00430EC6" w:rsidP="00284D9A">
      <w:pPr>
        <w:numPr>
          <w:ilvl w:val="1"/>
          <w:numId w:val="12"/>
        </w:numPr>
        <w:spacing w:after="135" w:line="235" w:lineRule="auto"/>
        <w:ind w:left="1811" w:hanging="360"/>
        <w:jc w:val="both"/>
      </w:pPr>
      <w:r>
        <w:t>make a complaint; and</w:t>
      </w:r>
    </w:p>
    <w:p w14:paraId="1C257A03" w14:textId="77777777" w:rsidR="00430EC6" w:rsidRDefault="00430EC6" w:rsidP="00284D9A">
      <w:pPr>
        <w:numPr>
          <w:ilvl w:val="1"/>
          <w:numId w:val="12"/>
        </w:numPr>
        <w:spacing w:after="135" w:line="235" w:lineRule="auto"/>
        <w:ind w:left="1811" w:hanging="360"/>
        <w:jc w:val="both"/>
      </w:pPr>
      <w:r>
        <w:t>apply for industrial relief.</w:t>
      </w:r>
    </w:p>
    <w:p w14:paraId="6408F09B" w14:textId="10E8EB37" w:rsidR="00E70B6F" w:rsidRDefault="00430EC6" w:rsidP="00227734">
      <w:pPr>
        <w:numPr>
          <w:ilvl w:val="0"/>
          <w:numId w:val="12"/>
        </w:numPr>
        <w:spacing w:after="135" w:line="235" w:lineRule="auto"/>
        <w:ind w:left="1248" w:hanging="360"/>
        <w:jc w:val="both"/>
      </w:pPr>
      <w:r>
        <w:t xml:space="preserve">If, in relation to the circumstances, the worker makes a complaint and </w:t>
      </w:r>
      <w:r w:rsidR="00214D76">
        <w:t>a notice under sectio</w:t>
      </w:r>
      <w:r w:rsidR="00C975E1">
        <w:t>n 121</w:t>
      </w:r>
      <w:r w:rsidR="00084214">
        <w:t xml:space="preserve"> is given for the complaint before the worker applies for industrial relief</w:t>
      </w:r>
      <w:r w:rsidR="0099015B">
        <w:t>, the worker may only proceed with the complaint and may not later apply for industrial relief in relation to the circumstances.</w:t>
      </w:r>
    </w:p>
    <w:p w14:paraId="033038FB" w14:textId="094DECAE" w:rsidR="00430EC6" w:rsidRDefault="00430EC6" w:rsidP="00284D9A">
      <w:pPr>
        <w:numPr>
          <w:ilvl w:val="0"/>
          <w:numId w:val="13"/>
        </w:numPr>
        <w:spacing w:after="135" w:line="235" w:lineRule="auto"/>
        <w:ind w:left="1248" w:hanging="360"/>
        <w:jc w:val="both"/>
      </w:pPr>
      <w:r>
        <w:t xml:space="preserve">If, in relation to the circumstances, the worker applies for industrial relief before making a complaint or before a </w:t>
      </w:r>
      <w:r w:rsidR="0099015B">
        <w:t>notice under section 121</w:t>
      </w:r>
      <w:r>
        <w:t>, the worker may proceed with both the complaint and the application for industrial relief, but the tribunal may not make an order in relation to the complaint requiring the reinstatement or re-employment of the worker.</w:t>
      </w:r>
    </w:p>
    <w:p w14:paraId="344376D1" w14:textId="77777777" w:rsidR="00542D2C" w:rsidRDefault="00430EC6" w:rsidP="00542D2C">
      <w:pPr>
        <w:numPr>
          <w:ilvl w:val="0"/>
          <w:numId w:val="13"/>
        </w:numPr>
        <w:spacing w:after="0"/>
        <w:ind w:left="1248" w:hanging="360"/>
        <w:jc w:val="both"/>
      </w:pPr>
      <w:r>
        <w:lastRenderedPageBreak/>
        <w:t xml:space="preserve">In this section— </w:t>
      </w:r>
    </w:p>
    <w:p w14:paraId="6C06A5BC" w14:textId="54B85E48" w:rsidR="00430EC6" w:rsidRDefault="00430EC6" w:rsidP="00542D2C">
      <w:pPr>
        <w:spacing w:after="0"/>
        <w:ind w:left="1248"/>
        <w:jc w:val="both"/>
      </w:pPr>
      <w:r w:rsidRPr="00246257">
        <w:rPr>
          <w:rFonts w:eastAsia="Times New Roman" w:cs="Arial"/>
          <w:b/>
          <w:i/>
        </w:rPr>
        <w:t>industrial relief</w:t>
      </w:r>
      <w:r>
        <w:t xml:space="preserve"> means relief under the </w:t>
      </w:r>
      <w:r w:rsidRPr="00246257">
        <w:rPr>
          <w:rFonts w:eastAsia="Times New Roman" w:cs="Arial"/>
          <w:i/>
        </w:rPr>
        <w:t>Industrial Relations Act 2016</w:t>
      </w:r>
      <w:r>
        <w:t>, chapter 8, part 2.</w:t>
      </w:r>
    </w:p>
    <w:p w14:paraId="5611121D" w14:textId="6C116781" w:rsidR="00430EC6" w:rsidRDefault="00430EC6" w:rsidP="00430EC6">
      <w:pPr>
        <w:pStyle w:val="Heading1"/>
        <w:tabs>
          <w:tab w:val="center" w:pos="3506"/>
        </w:tabs>
        <w:spacing w:after="68"/>
      </w:pPr>
      <w:bookmarkStart w:id="63" w:name="_Toc170381470"/>
      <w:bookmarkStart w:id="64" w:name="_Toc171324771"/>
      <w:bookmarkStart w:id="65" w:name="_Toc171341092"/>
      <w:r>
        <w:rPr>
          <w:sz w:val="24"/>
        </w:rPr>
        <w:t>10</w:t>
      </w:r>
      <w:r w:rsidR="00B4010C">
        <w:rPr>
          <w:sz w:val="24"/>
        </w:rPr>
        <w:t>2</w:t>
      </w:r>
      <w:r>
        <w:rPr>
          <w:sz w:val="24"/>
        </w:rPr>
        <w:tab/>
        <w:t>Complaint may allege more than 1 contravention</w:t>
      </w:r>
      <w:bookmarkEnd w:id="63"/>
      <w:bookmarkEnd w:id="64"/>
      <w:bookmarkEnd w:id="65"/>
    </w:p>
    <w:p w14:paraId="67F0B3D5" w14:textId="6C25A5B4" w:rsidR="00430EC6" w:rsidRDefault="00430EC6" w:rsidP="00430EC6">
      <w:pPr>
        <w:spacing w:after="61"/>
        <w:ind w:left="1259"/>
      </w:pPr>
      <w:r>
        <w:t>A complaint may be made in relation to more than 1 alleged contravention of this Act.</w:t>
      </w:r>
    </w:p>
    <w:p w14:paraId="182FCF4B" w14:textId="77777777" w:rsidR="00430EC6" w:rsidRDefault="00430EC6" w:rsidP="00430EC6">
      <w:pPr>
        <w:spacing w:after="71" w:line="259" w:lineRule="auto"/>
        <w:ind w:left="1243" w:hanging="10"/>
      </w:pPr>
      <w:r w:rsidRPr="00246257">
        <w:rPr>
          <w:rFonts w:eastAsia="Times New Roman" w:cs="Arial"/>
          <w:i/>
          <w:sz w:val="20"/>
        </w:rPr>
        <w:t>Example—</w:t>
      </w:r>
    </w:p>
    <w:p w14:paraId="7D302CB6" w14:textId="77777777" w:rsidR="00430EC6" w:rsidRDefault="00430EC6" w:rsidP="00430EC6">
      <w:pPr>
        <w:spacing w:after="513"/>
        <w:ind w:left="1483" w:hanging="10"/>
      </w:pPr>
      <w:r>
        <w:rPr>
          <w:sz w:val="20"/>
        </w:rPr>
        <w:t xml:space="preserve">C applies to real estate agent R to rent a house and is asked to fill out a form which includes a question about C’s country of birth. C is not offered a </w:t>
      </w:r>
      <w:proofErr w:type="gramStart"/>
      <w:r>
        <w:rPr>
          <w:sz w:val="20"/>
        </w:rPr>
        <w:t>house, and</w:t>
      </w:r>
      <w:proofErr w:type="gramEnd"/>
      <w:r>
        <w:rPr>
          <w:sz w:val="20"/>
        </w:rPr>
        <w:t xml:space="preserve"> believes this is on the basis of C’s national origin. C may make a complaint about being required to answer a question about C’s national origin contrary to section 92 (Unnecessary information), or a complaint about unlawful discrimination under section 46 (Providing accommodation), or both.</w:t>
      </w:r>
    </w:p>
    <w:p w14:paraId="3C30325C" w14:textId="5D6D1FBA" w:rsidR="00430EC6" w:rsidRDefault="00430EC6" w:rsidP="00430EC6">
      <w:pPr>
        <w:pStyle w:val="Heading1"/>
        <w:tabs>
          <w:tab w:val="center" w:pos="1808"/>
        </w:tabs>
      </w:pPr>
      <w:bookmarkStart w:id="66" w:name="_Toc170381471"/>
      <w:bookmarkStart w:id="67" w:name="_Toc171324772"/>
      <w:bookmarkStart w:id="68" w:name="_Toc171341093"/>
      <w:r>
        <w:rPr>
          <w:sz w:val="24"/>
        </w:rPr>
        <w:t>10</w:t>
      </w:r>
      <w:r w:rsidR="00B4010C">
        <w:rPr>
          <w:sz w:val="24"/>
        </w:rPr>
        <w:t>3</w:t>
      </w:r>
      <w:r>
        <w:rPr>
          <w:sz w:val="24"/>
        </w:rPr>
        <w:tab/>
        <w:t>Form of complaint</w:t>
      </w:r>
      <w:bookmarkEnd w:id="66"/>
      <w:bookmarkEnd w:id="67"/>
      <w:bookmarkEnd w:id="68"/>
    </w:p>
    <w:p w14:paraId="2008D129" w14:textId="77777777" w:rsidR="00430EC6" w:rsidRDefault="00430EC6" w:rsidP="00284D9A">
      <w:pPr>
        <w:numPr>
          <w:ilvl w:val="0"/>
          <w:numId w:val="14"/>
        </w:numPr>
        <w:spacing w:after="135" w:line="235" w:lineRule="auto"/>
        <w:ind w:hanging="360"/>
        <w:jc w:val="both"/>
      </w:pPr>
      <w:r>
        <w:t>A complaint made to the commissioner must—</w:t>
      </w:r>
    </w:p>
    <w:p w14:paraId="0D4CCE4A" w14:textId="77777777" w:rsidR="00430EC6" w:rsidRDefault="00430EC6" w:rsidP="00284D9A">
      <w:pPr>
        <w:numPr>
          <w:ilvl w:val="1"/>
          <w:numId w:val="14"/>
        </w:numPr>
        <w:spacing w:after="135" w:line="235" w:lineRule="auto"/>
        <w:ind w:left="1811" w:hanging="360"/>
        <w:jc w:val="both"/>
      </w:pPr>
      <w:r>
        <w:t>be in writing; and</w:t>
      </w:r>
    </w:p>
    <w:p w14:paraId="5692AFCB" w14:textId="77777777" w:rsidR="00430EC6" w:rsidRDefault="00430EC6" w:rsidP="00284D9A">
      <w:pPr>
        <w:numPr>
          <w:ilvl w:val="1"/>
          <w:numId w:val="14"/>
        </w:numPr>
        <w:spacing w:after="135" w:line="235" w:lineRule="auto"/>
        <w:ind w:left="1811" w:hanging="360"/>
        <w:jc w:val="both"/>
      </w:pPr>
      <w:r>
        <w:t>state the complainant’s name and address for service; and</w:t>
      </w:r>
    </w:p>
    <w:p w14:paraId="546EE074" w14:textId="77777777" w:rsidR="00430EC6" w:rsidRDefault="00430EC6" w:rsidP="00284D9A">
      <w:pPr>
        <w:numPr>
          <w:ilvl w:val="1"/>
          <w:numId w:val="14"/>
        </w:numPr>
        <w:spacing w:after="135" w:line="235" w:lineRule="auto"/>
        <w:ind w:left="1811" w:hanging="360"/>
        <w:jc w:val="both"/>
      </w:pPr>
      <w:r>
        <w:t>include enough details to indicate the alleged contravention to which the complaint relates.</w:t>
      </w:r>
    </w:p>
    <w:p w14:paraId="2E37B8F9" w14:textId="77777777" w:rsidR="00CA4BB1" w:rsidRDefault="00430EC6" w:rsidP="00284D9A">
      <w:pPr>
        <w:numPr>
          <w:ilvl w:val="0"/>
          <w:numId w:val="14"/>
        </w:numPr>
        <w:spacing w:after="135" w:line="235" w:lineRule="auto"/>
        <w:ind w:hanging="360"/>
        <w:jc w:val="both"/>
      </w:pPr>
      <w:r>
        <w:t>If the commissioner is satisfied the complainant needs help to put the complaint in writing, the commissioner</w:t>
      </w:r>
      <w:r w:rsidR="00CA4BB1">
        <w:t xml:space="preserve">- </w:t>
      </w:r>
    </w:p>
    <w:p w14:paraId="7B7B8BD1" w14:textId="408693C4" w:rsidR="00430EC6" w:rsidRDefault="00430EC6" w:rsidP="001C54D3">
      <w:pPr>
        <w:numPr>
          <w:ilvl w:val="1"/>
          <w:numId w:val="14"/>
        </w:numPr>
        <w:spacing w:after="135" w:line="235" w:lineRule="auto"/>
        <w:ind w:hanging="360"/>
        <w:jc w:val="both"/>
      </w:pPr>
      <w:r>
        <w:t>must give</w:t>
      </w:r>
      <w:r w:rsidR="001C54D3">
        <w:t xml:space="preserve"> </w:t>
      </w:r>
      <w:r>
        <w:t>reasonable help to the complainant to put the complaint in writing.</w:t>
      </w:r>
    </w:p>
    <w:p w14:paraId="1045D031" w14:textId="41516D9E" w:rsidR="009136B5" w:rsidRDefault="009136B5" w:rsidP="001C54D3">
      <w:pPr>
        <w:numPr>
          <w:ilvl w:val="1"/>
          <w:numId w:val="14"/>
        </w:numPr>
        <w:spacing w:after="135" w:line="235" w:lineRule="auto"/>
        <w:ind w:hanging="360"/>
        <w:jc w:val="both"/>
      </w:pPr>
      <w:r>
        <w:t>without limiting paragraph (a), may take the substance of the complaint orally and arrange for it to be transcribed into a written complaint.</w:t>
      </w:r>
    </w:p>
    <w:p w14:paraId="617A0B21" w14:textId="77777777" w:rsidR="00D71EFC" w:rsidRDefault="00430EC6" w:rsidP="00430EC6">
      <w:pPr>
        <w:pStyle w:val="Heading1"/>
        <w:spacing w:after="421"/>
        <w:ind w:left="-5"/>
        <w:rPr>
          <w:sz w:val="28"/>
        </w:rPr>
      </w:pPr>
      <w:bookmarkStart w:id="69" w:name="_Toc171324773"/>
      <w:bookmarkStart w:id="70" w:name="_Toc170381472"/>
      <w:bookmarkStart w:id="71" w:name="_Toc171341094"/>
      <w:r>
        <w:rPr>
          <w:sz w:val="28"/>
        </w:rPr>
        <w:t>Division 3</w:t>
      </w:r>
      <w:r>
        <w:rPr>
          <w:sz w:val="28"/>
        </w:rPr>
        <w:tab/>
        <w:t>Representative complaints</w:t>
      </w:r>
      <w:bookmarkEnd w:id="69"/>
      <w:bookmarkEnd w:id="71"/>
      <w:r>
        <w:rPr>
          <w:sz w:val="28"/>
        </w:rPr>
        <w:t xml:space="preserve"> </w:t>
      </w:r>
    </w:p>
    <w:p w14:paraId="7A5F6DDB" w14:textId="5028368B" w:rsidR="00C94B72" w:rsidRPr="00C94B72" w:rsidRDefault="00C94B72" w:rsidP="00FE1A37">
      <w:pPr>
        <w:ind w:left="720"/>
        <w:rPr>
          <w:i/>
          <w:iCs/>
        </w:rPr>
      </w:pPr>
      <w:r w:rsidRPr="00C94B72">
        <w:rPr>
          <w:i/>
          <w:iCs/>
        </w:rPr>
        <w:t xml:space="preserve">Note – this section </w:t>
      </w:r>
      <w:r w:rsidR="00CA3CC8">
        <w:rPr>
          <w:i/>
          <w:iCs/>
        </w:rPr>
        <w:t>has</w:t>
      </w:r>
      <w:r w:rsidRPr="00C94B72">
        <w:rPr>
          <w:i/>
          <w:iCs/>
        </w:rPr>
        <w:t xml:space="preserve"> already </w:t>
      </w:r>
      <w:r w:rsidR="00CA3CC8">
        <w:rPr>
          <w:i/>
          <w:iCs/>
        </w:rPr>
        <w:t xml:space="preserve">been </w:t>
      </w:r>
      <w:r w:rsidR="00DA21DF">
        <w:rPr>
          <w:i/>
          <w:iCs/>
        </w:rPr>
        <w:t>implemented</w:t>
      </w:r>
      <w:r w:rsidRPr="00C94B72">
        <w:rPr>
          <w:i/>
          <w:iCs/>
        </w:rPr>
        <w:t xml:space="preserve"> </w:t>
      </w:r>
      <w:r w:rsidR="00CA3CC8">
        <w:rPr>
          <w:i/>
          <w:iCs/>
        </w:rPr>
        <w:t>through</w:t>
      </w:r>
      <w:r w:rsidRPr="00C94B72">
        <w:rPr>
          <w:i/>
          <w:iCs/>
        </w:rPr>
        <w:t xml:space="preserve"> the</w:t>
      </w:r>
      <w:r w:rsidR="00DA21DF">
        <w:rPr>
          <w:i/>
          <w:iCs/>
        </w:rPr>
        <w:t xml:space="preserve"> Respect at Work and </w:t>
      </w:r>
      <w:r w:rsidR="00D418EA">
        <w:rPr>
          <w:i/>
          <w:iCs/>
        </w:rPr>
        <w:t>O</w:t>
      </w:r>
      <w:r w:rsidR="00DA21DF">
        <w:rPr>
          <w:i/>
          <w:iCs/>
        </w:rPr>
        <w:t xml:space="preserve">ther </w:t>
      </w:r>
      <w:r w:rsidR="00D418EA">
        <w:rPr>
          <w:i/>
          <w:iCs/>
        </w:rPr>
        <w:t>M</w:t>
      </w:r>
      <w:r w:rsidR="00DA21DF">
        <w:rPr>
          <w:i/>
          <w:iCs/>
        </w:rPr>
        <w:t>atters Amendment</w:t>
      </w:r>
      <w:r w:rsidRPr="00C94B72">
        <w:rPr>
          <w:i/>
          <w:iCs/>
        </w:rPr>
        <w:t xml:space="preserve"> Bill.</w:t>
      </w:r>
    </w:p>
    <w:p w14:paraId="30A5DE6E" w14:textId="75E36230" w:rsidR="00430EC6" w:rsidRDefault="00430EC6" w:rsidP="00430EC6">
      <w:pPr>
        <w:pStyle w:val="Heading1"/>
        <w:spacing w:after="421"/>
        <w:ind w:left="-5"/>
        <w:rPr>
          <w:sz w:val="24"/>
        </w:rPr>
      </w:pPr>
      <w:bookmarkStart w:id="72" w:name="_Toc171324782"/>
      <w:bookmarkStart w:id="73" w:name="_Toc170381479"/>
      <w:bookmarkStart w:id="74" w:name="_Toc171341095"/>
      <w:bookmarkEnd w:id="70"/>
      <w:r>
        <w:rPr>
          <w:sz w:val="28"/>
        </w:rPr>
        <w:t>Division 4</w:t>
      </w:r>
      <w:r>
        <w:rPr>
          <w:sz w:val="28"/>
        </w:rPr>
        <w:tab/>
        <w:t>Dealing with complaint</w:t>
      </w:r>
      <w:bookmarkEnd w:id="72"/>
      <w:bookmarkEnd w:id="74"/>
      <w:r>
        <w:rPr>
          <w:sz w:val="28"/>
        </w:rPr>
        <w:t xml:space="preserve"> </w:t>
      </w:r>
      <w:bookmarkEnd w:id="73"/>
    </w:p>
    <w:p w14:paraId="36A6CC49" w14:textId="3A0FE979" w:rsidR="003330BC" w:rsidRPr="003330BC" w:rsidRDefault="003330BC" w:rsidP="003330BC">
      <w:pPr>
        <w:pStyle w:val="Heading1"/>
        <w:tabs>
          <w:tab w:val="left" w:pos="1250"/>
          <w:tab w:val="center" w:pos="3893"/>
        </w:tabs>
      </w:pPr>
      <w:bookmarkStart w:id="75" w:name="_Toc171324783"/>
      <w:bookmarkStart w:id="76" w:name="_Toc171341096"/>
      <w:r>
        <w:rPr>
          <w:sz w:val="24"/>
        </w:rPr>
        <w:t>11</w:t>
      </w:r>
      <w:r w:rsidR="00433267">
        <w:rPr>
          <w:sz w:val="24"/>
        </w:rPr>
        <w:t>2</w:t>
      </w:r>
      <w:r w:rsidR="00833311">
        <w:rPr>
          <w:sz w:val="24"/>
        </w:rPr>
        <w:t xml:space="preserve">        </w:t>
      </w:r>
      <w:r>
        <w:rPr>
          <w:sz w:val="24"/>
        </w:rPr>
        <w:t>Preliminary inquiries</w:t>
      </w:r>
      <w:bookmarkEnd w:id="75"/>
      <w:bookmarkEnd w:id="76"/>
      <w:r>
        <w:rPr>
          <w:sz w:val="24"/>
        </w:rPr>
        <w:tab/>
      </w:r>
    </w:p>
    <w:p w14:paraId="6652FCEC" w14:textId="5F853EF9" w:rsidR="00430EC6" w:rsidRDefault="00430EC6" w:rsidP="003330BC">
      <w:pPr>
        <w:spacing w:after="487"/>
        <w:ind w:left="720"/>
      </w:pPr>
      <w:r>
        <w:t xml:space="preserve">The commissioner may make preliminary inquiries about a complaint to decide </w:t>
      </w:r>
      <w:r w:rsidR="00DE661F">
        <w:t xml:space="preserve">whether or </w:t>
      </w:r>
      <w:r>
        <w:t>how to deal with the complaint under this division.</w:t>
      </w:r>
    </w:p>
    <w:p w14:paraId="18BDD735" w14:textId="389981A8" w:rsidR="00430EC6" w:rsidRDefault="00430EC6" w:rsidP="00430EC6">
      <w:pPr>
        <w:pStyle w:val="Heading1"/>
        <w:tabs>
          <w:tab w:val="center" w:pos="3893"/>
        </w:tabs>
      </w:pPr>
      <w:bookmarkStart w:id="77" w:name="_Toc170381480"/>
      <w:bookmarkStart w:id="78" w:name="_Toc171324784"/>
      <w:bookmarkStart w:id="79" w:name="_Toc171341097"/>
      <w:r>
        <w:rPr>
          <w:sz w:val="24"/>
        </w:rPr>
        <w:t>11</w:t>
      </w:r>
      <w:r w:rsidR="00433267">
        <w:rPr>
          <w:sz w:val="24"/>
        </w:rPr>
        <w:t>3</w:t>
      </w:r>
      <w:r>
        <w:rPr>
          <w:sz w:val="24"/>
        </w:rPr>
        <w:tab/>
        <w:t xml:space="preserve">Commissioner must not deal with </w:t>
      </w:r>
      <w:proofErr w:type="gramStart"/>
      <w:r>
        <w:rPr>
          <w:sz w:val="24"/>
        </w:rPr>
        <w:t>particular complaints</w:t>
      </w:r>
      <w:bookmarkEnd w:id="77"/>
      <w:bookmarkEnd w:id="78"/>
      <w:bookmarkEnd w:id="79"/>
      <w:proofErr w:type="gramEnd"/>
    </w:p>
    <w:p w14:paraId="45F5CE31" w14:textId="77777777" w:rsidR="00430EC6" w:rsidRDefault="00430EC6" w:rsidP="00421BC1">
      <w:pPr>
        <w:pStyle w:val="ListParagraph"/>
        <w:numPr>
          <w:ilvl w:val="0"/>
          <w:numId w:val="60"/>
        </w:numPr>
        <w:spacing w:after="135" w:line="235" w:lineRule="auto"/>
        <w:jc w:val="both"/>
      </w:pPr>
      <w:r>
        <w:t>The commissioner must not deal with, or continue to deal with, a complaint that the commissioner considers is—</w:t>
      </w:r>
    </w:p>
    <w:p w14:paraId="01F401A6" w14:textId="77777777" w:rsidR="00430EC6" w:rsidRDefault="00430EC6" w:rsidP="00284D9A">
      <w:pPr>
        <w:numPr>
          <w:ilvl w:val="1"/>
          <w:numId w:val="19"/>
        </w:numPr>
        <w:spacing w:after="135" w:line="235" w:lineRule="auto"/>
        <w:jc w:val="both"/>
      </w:pPr>
      <w:r>
        <w:t>frivolous, trivial or vexatious; or</w:t>
      </w:r>
    </w:p>
    <w:p w14:paraId="08EFFA9A" w14:textId="77777777" w:rsidR="00430EC6" w:rsidRDefault="00430EC6" w:rsidP="00284D9A">
      <w:pPr>
        <w:numPr>
          <w:ilvl w:val="1"/>
          <w:numId w:val="19"/>
        </w:numPr>
        <w:spacing w:after="64" w:line="235" w:lineRule="auto"/>
        <w:jc w:val="both"/>
      </w:pPr>
      <w:r>
        <w:lastRenderedPageBreak/>
        <w:t>misconceived or lacking in substance.</w:t>
      </w:r>
    </w:p>
    <w:p w14:paraId="796D8963" w14:textId="77777777" w:rsidR="00430EC6" w:rsidRDefault="00430EC6" w:rsidP="00430EC6">
      <w:pPr>
        <w:spacing w:after="96" w:line="259" w:lineRule="auto"/>
        <w:ind w:left="1243" w:hanging="10"/>
      </w:pPr>
      <w:r w:rsidRPr="00246257">
        <w:rPr>
          <w:rFonts w:eastAsia="Times New Roman" w:cs="Arial"/>
          <w:i/>
          <w:sz w:val="20"/>
        </w:rPr>
        <w:t>Notes—</w:t>
      </w:r>
    </w:p>
    <w:p w14:paraId="7A3C8893" w14:textId="2E9DED13" w:rsidR="00430EC6" w:rsidRDefault="00430EC6" w:rsidP="00284D9A">
      <w:pPr>
        <w:numPr>
          <w:ilvl w:val="2"/>
          <w:numId w:val="19"/>
        </w:numPr>
        <w:spacing w:after="114"/>
        <w:jc w:val="both"/>
      </w:pPr>
      <w:r>
        <w:rPr>
          <w:sz w:val="20"/>
        </w:rPr>
        <w:t xml:space="preserve">See section </w:t>
      </w:r>
      <w:r w:rsidR="00AC538C">
        <w:rPr>
          <w:sz w:val="20"/>
        </w:rPr>
        <w:t>119</w:t>
      </w:r>
      <w:r>
        <w:rPr>
          <w:sz w:val="20"/>
        </w:rPr>
        <w:t xml:space="preserve"> for the requirement that the commissioner give written notice of not dealing with, or continuing to deal with, the complaint.</w:t>
      </w:r>
    </w:p>
    <w:p w14:paraId="7F50566D" w14:textId="480D7788" w:rsidR="00430EC6" w:rsidRDefault="00430EC6" w:rsidP="00284D9A">
      <w:pPr>
        <w:numPr>
          <w:ilvl w:val="2"/>
          <w:numId w:val="19"/>
        </w:numPr>
        <w:spacing w:after="166"/>
        <w:jc w:val="both"/>
      </w:pPr>
      <w:r>
        <w:rPr>
          <w:sz w:val="20"/>
        </w:rPr>
        <w:t>Under section 12</w:t>
      </w:r>
      <w:r w:rsidR="00AC538C">
        <w:rPr>
          <w:sz w:val="20"/>
        </w:rPr>
        <w:t>0</w:t>
      </w:r>
      <w:r>
        <w:rPr>
          <w:sz w:val="20"/>
        </w:rPr>
        <w:t xml:space="preserve">, a complaint to which this section applies </w:t>
      </w:r>
      <w:proofErr w:type="gramStart"/>
      <w:r>
        <w:rPr>
          <w:sz w:val="20"/>
        </w:rPr>
        <w:t>lapses</w:t>
      </w:r>
      <w:proofErr w:type="gramEnd"/>
      <w:r>
        <w:rPr>
          <w:sz w:val="20"/>
        </w:rPr>
        <w:t xml:space="preserve"> and the complainant </w:t>
      </w:r>
      <w:proofErr w:type="spellStart"/>
      <w:r>
        <w:rPr>
          <w:sz w:val="20"/>
        </w:rPr>
        <w:t>can not</w:t>
      </w:r>
      <w:proofErr w:type="spellEnd"/>
      <w:r>
        <w:rPr>
          <w:sz w:val="20"/>
        </w:rPr>
        <w:t xml:space="preserve"> make a further complaint relating to the alleged contravention the subject of the complaint.</w:t>
      </w:r>
    </w:p>
    <w:p w14:paraId="48108A82" w14:textId="6CD6751D" w:rsidR="00430EC6" w:rsidRDefault="00430EC6" w:rsidP="00421BC1">
      <w:pPr>
        <w:pStyle w:val="ListParagraph"/>
        <w:numPr>
          <w:ilvl w:val="0"/>
          <w:numId w:val="60"/>
        </w:numPr>
        <w:spacing w:after="135" w:line="235" w:lineRule="auto"/>
        <w:jc w:val="both"/>
      </w:pPr>
      <w:r>
        <w:t xml:space="preserve">Subsection (3) applies if, after a </w:t>
      </w:r>
      <w:r w:rsidR="005B3AFF" w:rsidRPr="00246257">
        <w:t>notice</w:t>
      </w:r>
      <w:r>
        <w:t xml:space="preserve"> is </w:t>
      </w:r>
      <w:r w:rsidR="00DB1098" w:rsidRPr="00246257">
        <w:t>given under section</w:t>
      </w:r>
      <w:r w:rsidR="001252AE">
        <w:t xml:space="preserve"> </w:t>
      </w:r>
      <w:r w:rsidR="00AC538C">
        <w:t>121</w:t>
      </w:r>
      <w:r w:rsidR="00F95453" w:rsidRPr="00246257">
        <w:t xml:space="preserve"> about the complaint </w:t>
      </w:r>
      <w:r>
        <w:t xml:space="preserve">and before the </w:t>
      </w:r>
      <w:r w:rsidR="00F95453" w:rsidRPr="00246257">
        <w:t>complainant</w:t>
      </w:r>
      <w:r>
        <w:t xml:space="preserve"> is referred to the tribunal, the commissioner is considering not to continue to deal with the complaint under subsection (1).</w:t>
      </w:r>
    </w:p>
    <w:p w14:paraId="3D9E8142" w14:textId="77777777" w:rsidR="00430EC6" w:rsidRDefault="00430EC6" w:rsidP="00421BC1">
      <w:pPr>
        <w:pStyle w:val="ListParagraph"/>
        <w:numPr>
          <w:ilvl w:val="0"/>
          <w:numId w:val="60"/>
        </w:numPr>
        <w:spacing w:after="486" w:line="235" w:lineRule="auto"/>
        <w:jc w:val="both"/>
      </w:pPr>
      <w:r>
        <w:t>Before the commissioner decides not to continue to deal with the complaint, the commissioner must give the complainant an opportunity to show, within a period of at least 14 days, to the commissioner’s satisfaction that the complaint is not frivolous, trivial, vexatious, misconceived or lacking in substance.</w:t>
      </w:r>
    </w:p>
    <w:p w14:paraId="04D18743" w14:textId="1F8360BF" w:rsidR="00430EC6" w:rsidRDefault="00430EC6" w:rsidP="00430EC6">
      <w:pPr>
        <w:pStyle w:val="Heading1"/>
        <w:tabs>
          <w:tab w:val="center" w:pos="3763"/>
        </w:tabs>
      </w:pPr>
      <w:bookmarkStart w:id="80" w:name="_Toc170381481"/>
      <w:bookmarkStart w:id="81" w:name="_Toc171324785"/>
      <w:bookmarkStart w:id="82" w:name="_Toc171341098"/>
      <w:r>
        <w:rPr>
          <w:sz w:val="24"/>
        </w:rPr>
        <w:t>11</w:t>
      </w:r>
      <w:r w:rsidR="00433267">
        <w:rPr>
          <w:sz w:val="24"/>
        </w:rPr>
        <w:t>4</w:t>
      </w:r>
      <w:r>
        <w:rPr>
          <w:sz w:val="24"/>
        </w:rPr>
        <w:tab/>
        <w:t>Commissioner may decide not to deal with complaint</w:t>
      </w:r>
      <w:bookmarkEnd w:id="80"/>
      <w:bookmarkEnd w:id="81"/>
      <w:bookmarkEnd w:id="82"/>
    </w:p>
    <w:p w14:paraId="06D87283" w14:textId="2F260F14" w:rsidR="00430EC6" w:rsidRDefault="00430EC6" w:rsidP="00E75EAC">
      <w:pPr>
        <w:pStyle w:val="ListParagraph"/>
        <w:numPr>
          <w:ilvl w:val="0"/>
          <w:numId w:val="56"/>
        </w:numPr>
      </w:pPr>
      <w:r>
        <w:t>The commissioner may decide not to deal with, or continue to deal with, a complaint if—</w:t>
      </w:r>
    </w:p>
    <w:p w14:paraId="38ADC4C3" w14:textId="77777777" w:rsidR="00430EC6" w:rsidRDefault="00430EC6" w:rsidP="00284D9A">
      <w:pPr>
        <w:numPr>
          <w:ilvl w:val="0"/>
          <w:numId w:val="20"/>
        </w:numPr>
        <w:spacing w:after="135" w:line="235" w:lineRule="auto"/>
        <w:jc w:val="both"/>
      </w:pPr>
      <w:r>
        <w:t>the complaint was not made to the commissioner within the complaint period; or</w:t>
      </w:r>
    </w:p>
    <w:p w14:paraId="2ECFA6D2" w14:textId="29E9F11E" w:rsidR="001607E7" w:rsidRDefault="00AE25ED" w:rsidP="00284D9A">
      <w:pPr>
        <w:numPr>
          <w:ilvl w:val="0"/>
          <w:numId w:val="20"/>
        </w:numPr>
        <w:spacing w:after="135" w:line="235" w:lineRule="auto"/>
        <w:jc w:val="both"/>
      </w:pPr>
      <w:r>
        <w:t xml:space="preserve">the person the subject of the alleged contravention of this Act to which the </w:t>
      </w:r>
      <w:r w:rsidR="009C1E21">
        <w:t xml:space="preserve">complaint relates was a child when the alleged </w:t>
      </w:r>
      <w:r w:rsidR="00094E58">
        <w:t xml:space="preserve">contravention happened and, </w:t>
      </w:r>
      <w:r w:rsidR="00790F25">
        <w:t xml:space="preserve">having regard to the time that elapsed between when the alleged contravention </w:t>
      </w:r>
      <w:r w:rsidR="000C78C8">
        <w:t>happened and when the complaint is made, the commissioner considers dealing with the complaint would be unfairly prejudicial to the respondent; or</w:t>
      </w:r>
    </w:p>
    <w:p w14:paraId="7D623704" w14:textId="4DD6D692" w:rsidR="00430EC6" w:rsidRDefault="00430EC6" w:rsidP="00284D9A">
      <w:pPr>
        <w:numPr>
          <w:ilvl w:val="0"/>
          <w:numId w:val="20"/>
        </w:numPr>
        <w:spacing w:after="135" w:line="235" w:lineRule="auto"/>
        <w:jc w:val="both"/>
      </w:pPr>
      <w:r>
        <w:t>the commissioner considers the alleged contravention the subject of the complaint has been appropriately dealt with by a</w:t>
      </w:r>
      <w:r w:rsidR="002957A8">
        <w:t>nother entity</w:t>
      </w:r>
      <w:r>
        <w:t>; or</w:t>
      </w:r>
    </w:p>
    <w:p w14:paraId="70820E6A" w14:textId="6F8B702C" w:rsidR="00430EC6" w:rsidRDefault="00430EC6">
      <w:pPr>
        <w:numPr>
          <w:ilvl w:val="0"/>
          <w:numId w:val="20"/>
        </w:numPr>
        <w:spacing w:after="3" w:line="235" w:lineRule="auto"/>
        <w:ind w:left="1800"/>
        <w:jc w:val="both"/>
      </w:pPr>
      <w:r>
        <w:t>the commissioner considers the alleged contravention the subject of the complaint would be more</w:t>
      </w:r>
      <w:r w:rsidR="007815D4">
        <w:t xml:space="preserve"> </w:t>
      </w:r>
      <w:r>
        <w:t>appropriately dealt with by a</w:t>
      </w:r>
      <w:r w:rsidR="007815D4">
        <w:t>nother entity</w:t>
      </w:r>
      <w:r>
        <w:t>; or</w:t>
      </w:r>
    </w:p>
    <w:p w14:paraId="486FF27E" w14:textId="2C7D75C9" w:rsidR="00430EC6" w:rsidRDefault="00430EC6" w:rsidP="00284D9A">
      <w:pPr>
        <w:numPr>
          <w:ilvl w:val="0"/>
          <w:numId w:val="20"/>
        </w:numPr>
        <w:spacing w:after="135" w:line="235" w:lineRule="auto"/>
        <w:jc w:val="both"/>
      </w:pPr>
      <w:r>
        <w:t>there are concurrent proceedings in a court</w:t>
      </w:r>
      <w:r w:rsidR="00885E4A">
        <w:t>,</w:t>
      </w:r>
      <w:r>
        <w:t xml:space="preserve"> tribunal </w:t>
      </w:r>
      <w:r w:rsidR="0050651B">
        <w:t xml:space="preserve">or another entity </w:t>
      </w:r>
      <w:r>
        <w:t>in relation to the alleged contravention the subject of the complaint; or</w:t>
      </w:r>
    </w:p>
    <w:p w14:paraId="09B69A87" w14:textId="77777777" w:rsidR="00430EC6" w:rsidRDefault="00430EC6" w:rsidP="00284D9A">
      <w:pPr>
        <w:numPr>
          <w:ilvl w:val="0"/>
          <w:numId w:val="20"/>
        </w:numPr>
        <w:spacing w:after="135" w:line="235" w:lineRule="auto"/>
        <w:jc w:val="both"/>
      </w:pPr>
      <w:r>
        <w:t>the commissioner considers there are insufficient details to indicate the alleged contravention the subject of the complaint; or</w:t>
      </w:r>
    </w:p>
    <w:p w14:paraId="3D52DCD9" w14:textId="5BAA178F" w:rsidR="00430EC6" w:rsidRDefault="00430EC6" w:rsidP="00284D9A">
      <w:pPr>
        <w:numPr>
          <w:ilvl w:val="0"/>
          <w:numId w:val="20"/>
        </w:numPr>
        <w:spacing w:after="61" w:line="235" w:lineRule="auto"/>
        <w:jc w:val="both"/>
      </w:pPr>
      <w:r>
        <w:t>having regard to all the circumstances, the commissioner considers it is not appropriate to deal with, or continue to deal with, the complaint.</w:t>
      </w:r>
    </w:p>
    <w:p w14:paraId="2EEF4654" w14:textId="77777777" w:rsidR="00430EC6" w:rsidRDefault="00430EC6" w:rsidP="00430EC6">
      <w:pPr>
        <w:spacing w:after="96" w:line="259" w:lineRule="auto"/>
        <w:ind w:left="1243" w:hanging="10"/>
      </w:pPr>
      <w:r w:rsidRPr="00246257">
        <w:rPr>
          <w:rFonts w:eastAsia="Times New Roman" w:cs="Arial"/>
          <w:i/>
          <w:sz w:val="20"/>
        </w:rPr>
        <w:t>Notes—</w:t>
      </w:r>
    </w:p>
    <w:p w14:paraId="2C69C1A9" w14:textId="167D7A66" w:rsidR="00430EC6" w:rsidRDefault="00430EC6" w:rsidP="00284D9A">
      <w:pPr>
        <w:numPr>
          <w:ilvl w:val="1"/>
          <w:numId w:val="20"/>
        </w:numPr>
        <w:spacing w:after="114"/>
        <w:jc w:val="both"/>
      </w:pPr>
      <w:r>
        <w:rPr>
          <w:sz w:val="20"/>
        </w:rPr>
        <w:t xml:space="preserve">See section </w:t>
      </w:r>
      <w:r w:rsidR="00B71EB1">
        <w:rPr>
          <w:sz w:val="20"/>
        </w:rPr>
        <w:t>119</w:t>
      </w:r>
      <w:r>
        <w:rPr>
          <w:sz w:val="20"/>
        </w:rPr>
        <w:t xml:space="preserve"> for the requirement that the commissioner give written notice of not dealing with, or continuing to deal with, the complaint.</w:t>
      </w:r>
    </w:p>
    <w:p w14:paraId="70372C42" w14:textId="70558607" w:rsidR="00430EC6" w:rsidRDefault="00430EC6" w:rsidP="00284D9A">
      <w:pPr>
        <w:numPr>
          <w:ilvl w:val="1"/>
          <w:numId w:val="20"/>
        </w:numPr>
        <w:spacing w:after="166"/>
        <w:jc w:val="both"/>
      </w:pPr>
      <w:r>
        <w:rPr>
          <w:sz w:val="20"/>
        </w:rPr>
        <w:t>Under section 12</w:t>
      </w:r>
      <w:r w:rsidR="00B71EB1">
        <w:rPr>
          <w:sz w:val="20"/>
        </w:rPr>
        <w:t>0</w:t>
      </w:r>
      <w:r>
        <w:rPr>
          <w:sz w:val="20"/>
        </w:rPr>
        <w:t xml:space="preserve">, a complaint to which this section applies </w:t>
      </w:r>
      <w:proofErr w:type="gramStart"/>
      <w:r>
        <w:rPr>
          <w:sz w:val="20"/>
        </w:rPr>
        <w:t>lapses</w:t>
      </w:r>
      <w:proofErr w:type="gramEnd"/>
      <w:r>
        <w:rPr>
          <w:sz w:val="20"/>
        </w:rPr>
        <w:t xml:space="preserve"> and the complainant </w:t>
      </w:r>
      <w:proofErr w:type="spellStart"/>
      <w:r>
        <w:rPr>
          <w:sz w:val="20"/>
        </w:rPr>
        <w:t>can not</w:t>
      </w:r>
      <w:proofErr w:type="spellEnd"/>
      <w:r>
        <w:rPr>
          <w:sz w:val="20"/>
        </w:rPr>
        <w:t xml:space="preserve"> make a further complaint relating to the alleged contravention the subject of the complaint.</w:t>
      </w:r>
    </w:p>
    <w:p w14:paraId="0FA9E534" w14:textId="408C9F16" w:rsidR="00430EC6" w:rsidRDefault="00430EC6" w:rsidP="00786EFE">
      <w:pPr>
        <w:pStyle w:val="ListParagraph"/>
        <w:numPr>
          <w:ilvl w:val="0"/>
          <w:numId w:val="56"/>
        </w:numPr>
      </w:pPr>
      <w:r>
        <w:lastRenderedPageBreak/>
        <w:t>If subsection (1)(a) applies, the commissioner may decide to deal with the complaint if the commissioner considers it is in the interests of justice to do so, having regard to the following matters—</w:t>
      </w:r>
    </w:p>
    <w:p w14:paraId="03CAADDF" w14:textId="77777777" w:rsidR="00430EC6" w:rsidRDefault="00430EC6" w:rsidP="00284D9A">
      <w:pPr>
        <w:numPr>
          <w:ilvl w:val="0"/>
          <w:numId w:val="21"/>
        </w:numPr>
        <w:spacing w:after="135" w:line="235" w:lineRule="auto"/>
        <w:jc w:val="both"/>
      </w:pPr>
      <w:r>
        <w:t xml:space="preserve">the reason for the complaint being made after the complaint period </w:t>
      </w:r>
      <w:proofErr w:type="gramStart"/>
      <w:r>
        <w:t>ended;</w:t>
      </w:r>
      <w:proofErr w:type="gramEnd"/>
    </w:p>
    <w:p w14:paraId="117CFD69" w14:textId="77777777" w:rsidR="00430EC6" w:rsidRDefault="00430EC6" w:rsidP="00284D9A">
      <w:pPr>
        <w:numPr>
          <w:ilvl w:val="0"/>
          <w:numId w:val="21"/>
        </w:numPr>
        <w:spacing w:after="135" w:line="235" w:lineRule="auto"/>
        <w:jc w:val="both"/>
      </w:pPr>
      <w:r>
        <w:t xml:space="preserve">the impact that not dealing with the complaint may have on the complainant or another person on whose behalf the complaint is </w:t>
      </w:r>
      <w:proofErr w:type="gramStart"/>
      <w:r>
        <w:t>made;</w:t>
      </w:r>
      <w:proofErr w:type="gramEnd"/>
    </w:p>
    <w:p w14:paraId="03125DDF" w14:textId="77777777" w:rsidR="00430EC6" w:rsidRDefault="00430EC6" w:rsidP="00284D9A">
      <w:pPr>
        <w:numPr>
          <w:ilvl w:val="0"/>
          <w:numId w:val="21"/>
        </w:numPr>
        <w:spacing w:after="135" w:line="235" w:lineRule="auto"/>
        <w:jc w:val="both"/>
      </w:pPr>
      <w:r>
        <w:t>the impact that dealing with the complaint may have on the respondent.</w:t>
      </w:r>
    </w:p>
    <w:p w14:paraId="16A19092" w14:textId="51B7C7BC" w:rsidR="009446A0" w:rsidRDefault="009446A0" w:rsidP="00284D9A">
      <w:pPr>
        <w:numPr>
          <w:ilvl w:val="0"/>
          <w:numId w:val="21"/>
        </w:numPr>
        <w:spacing w:after="135" w:line="235" w:lineRule="auto"/>
        <w:jc w:val="both"/>
      </w:pPr>
      <w:r>
        <w:t>any other relevant matter.</w:t>
      </w:r>
    </w:p>
    <w:p w14:paraId="2B8B7910" w14:textId="2B6D8BA1" w:rsidR="00430EC6" w:rsidRDefault="00430EC6" w:rsidP="001D2338">
      <w:pPr>
        <w:pStyle w:val="ListParagraph"/>
        <w:numPr>
          <w:ilvl w:val="0"/>
          <w:numId w:val="62"/>
        </w:numPr>
        <w:spacing w:after="0" w:line="235" w:lineRule="auto"/>
        <w:jc w:val="both"/>
      </w:pPr>
      <w:r>
        <w:t>If subsection (1)(</w:t>
      </w:r>
      <w:r w:rsidR="00786EFE" w:rsidRPr="00246257">
        <w:t>e</w:t>
      </w:r>
      <w:r>
        <w:t>) applies, the commissioner may decide to stay the complaint instead of deciding not to deal with, or continue to deal with, the complaint.</w:t>
      </w:r>
    </w:p>
    <w:p w14:paraId="55A31F57" w14:textId="0AC37DBD" w:rsidR="00430EC6" w:rsidRDefault="00430EC6" w:rsidP="009B63A7">
      <w:pPr>
        <w:pStyle w:val="ListParagraph"/>
        <w:numPr>
          <w:ilvl w:val="0"/>
          <w:numId w:val="60"/>
        </w:numPr>
        <w:spacing w:after="0" w:line="235" w:lineRule="auto"/>
        <w:jc w:val="both"/>
      </w:pPr>
      <w:r>
        <w:t>A time limit for doing anything under this Act in relation to a complaint does not run while a complaint is stayed.</w:t>
      </w:r>
    </w:p>
    <w:p w14:paraId="2A79D0D8" w14:textId="67907C03" w:rsidR="00213C8A" w:rsidRDefault="00213C8A" w:rsidP="00801FC6">
      <w:pPr>
        <w:pStyle w:val="Heading1"/>
        <w:tabs>
          <w:tab w:val="center" w:pos="3771"/>
        </w:tabs>
        <w:ind w:left="709" w:hanging="709"/>
      </w:pPr>
      <w:bookmarkStart w:id="83" w:name="_Toc171324786"/>
      <w:bookmarkStart w:id="84" w:name="_Toc171341099"/>
      <w:r>
        <w:rPr>
          <w:sz w:val="24"/>
        </w:rPr>
        <w:t>11</w:t>
      </w:r>
      <w:r w:rsidR="004C5403">
        <w:rPr>
          <w:sz w:val="24"/>
        </w:rPr>
        <w:t>5</w:t>
      </w:r>
      <w:r>
        <w:rPr>
          <w:sz w:val="24"/>
        </w:rPr>
        <w:tab/>
      </w:r>
      <w:r w:rsidR="00113AFC">
        <w:rPr>
          <w:sz w:val="24"/>
        </w:rPr>
        <w:t>Commissioner may deal with complaint despite agreement not to complain</w:t>
      </w:r>
      <w:bookmarkEnd w:id="83"/>
      <w:bookmarkEnd w:id="84"/>
    </w:p>
    <w:p w14:paraId="6545311B" w14:textId="07BA7AAB" w:rsidR="00213C8A" w:rsidRDefault="00924456" w:rsidP="009400C8">
      <w:pPr>
        <w:pStyle w:val="ListParagraph"/>
        <w:numPr>
          <w:ilvl w:val="0"/>
          <w:numId w:val="57"/>
        </w:numPr>
        <w:spacing w:before="240" w:after="0" w:line="235" w:lineRule="auto"/>
        <w:jc w:val="both"/>
      </w:pPr>
      <w:r>
        <w:t xml:space="preserve">The commissioner may </w:t>
      </w:r>
      <w:r w:rsidR="00266B7F">
        <w:t>decide</w:t>
      </w:r>
      <w:r>
        <w:t xml:space="preserve"> to deal with a complaint made by or on behalf of a person who has agreed with another person not to make the complaint </w:t>
      </w:r>
      <w:r w:rsidR="00266B7F">
        <w:t xml:space="preserve">if the commissioner considers it is in the interests of justice to deal with the complaint. </w:t>
      </w:r>
    </w:p>
    <w:p w14:paraId="2B7E2B18" w14:textId="4DB7AAF4" w:rsidR="0075163A" w:rsidRDefault="00757050" w:rsidP="009400C8">
      <w:pPr>
        <w:pStyle w:val="ListParagraph"/>
        <w:numPr>
          <w:ilvl w:val="0"/>
          <w:numId w:val="57"/>
        </w:numPr>
        <w:spacing w:before="240" w:after="0" w:line="235" w:lineRule="auto"/>
        <w:jc w:val="both"/>
      </w:pPr>
      <w:r>
        <w:t xml:space="preserve">In deciding whether it is in the interests of justice to deal with the complaint, the commissioner must have regard </w:t>
      </w:r>
      <w:r w:rsidR="00764FF1">
        <w:t>to the following matters-</w:t>
      </w:r>
    </w:p>
    <w:p w14:paraId="447428A4" w14:textId="3A9BF921" w:rsidR="00764FF1" w:rsidRDefault="00764FF1" w:rsidP="009400C8">
      <w:pPr>
        <w:pStyle w:val="ListParagraph"/>
        <w:numPr>
          <w:ilvl w:val="1"/>
          <w:numId w:val="57"/>
        </w:numPr>
        <w:spacing w:before="240" w:after="0" w:line="235" w:lineRule="auto"/>
        <w:jc w:val="both"/>
      </w:pPr>
      <w:r>
        <w:t xml:space="preserve">the knowledge of the parties </w:t>
      </w:r>
      <w:r w:rsidR="00B67D93">
        <w:t xml:space="preserve">to the </w:t>
      </w:r>
      <w:proofErr w:type="gramStart"/>
      <w:r w:rsidR="00B67D93">
        <w:t>agreement;</w:t>
      </w:r>
      <w:proofErr w:type="gramEnd"/>
    </w:p>
    <w:p w14:paraId="43FF7799" w14:textId="2FFB02E8" w:rsidR="00B67D93" w:rsidRDefault="00B67D93" w:rsidP="009400C8">
      <w:pPr>
        <w:pStyle w:val="ListParagraph"/>
        <w:numPr>
          <w:ilvl w:val="1"/>
          <w:numId w:val="57"/>
        </w:numPr>
        <w:spacing w:before="240" w:after="0" w:line="235" w:lineRule="auto"/>
        <w:jc w:val="both"/>
      </w:pPr>
      <w:r>
        <w:t xml:space="preserve">what the person by or on behalf of whom the complaint is made received </w:t>
      </w:r>
      <w:r w:rsidR="009400C8">
        <w:t xml:space="preserve">in return for entering into the </w:t>
      </w:r>
      <w:proofErr w:type="gramStart"/>
      <w:r w:rsidR="009400C8">
        <w:t>agreement;</w:t>
      </w:r>
      <w:proofErr w:type="gramEnd"/>
    </w:p>
    <w:p w14:paraId="05DF4044" w14:textId="664F471C" w:rsidR="009400C8" w:rsidRDefault="009400C8" w:rsidP="009400C8">
      <w:pPr>
        <w:pStyle w:val="ListParagraph"/>
        <w:numPr>
          <w:ilvl w:val="1"/>
          <w:numId w:val="57"/>
        </w:numPr>
        <w:spacing w:before="240" w:after="0" w:line="235" w:lineRule="auto"/>
        <w:jc w:val="both"/>
      </w:pPr>
      <w:r>
        <w:t>any other relevant matter.</w:t>
      </w:r>
    </w:p>
    <w:p w14:paraId="22C3FDA3" w14:textId="4BF7AFFB" w:rsidR="00430EC6" w:rsidRDefault="004C5403" w:rsidP="00430EC6">
      <w:pPr>
        <w:pStyle w:val="Heading1"/>
        <w:tabs>
          <w:tab w:val="center" w:pos="3771"/>
        </w:tabs>
      </w:pPr>
      <w:bookmarkStart w:id="85" w:name="_Toc170381482"/>
      <w:bookmarkStart w:id="86" w:name="_Toc171324787"/>
      <w:bookmarkStart w:id="87" w:name="_Toc171341100"/>
      <w:r>
        <w:rPr>
          <w:sz w:val="24"/>
        </w:rPr>
        <w:t>116</w:t>
      </w:r>
      <w:r w:rsidR="00430EC6">
        <w:rPr>
          <w:sz w:val="24"/>
        </w:rPr>
        <w:tab/>
        <w:t>Dealing with complaint under Human Rights Act 2019</w:t>
      </w:r>
      <w:bookmarkEnd w:id="85"/>
      <w:bookmarkEnd w:id="86"/>
      <w:bookmarkEnd w:id="87"/>
    </w:p>
    <w:p w14:paraId="53E60C16" w14:textId="77777777" w:rsidR="00430EC6" w:rsidRPr="00246257" w:rsidRDefault="00430EC6" w:rsidP="009400C8">
      <w:pPr>
        <w:pStyle w:val="ListParagraph"/>
        <w:numPr>
          <w:ilvl w:val="0"/>
          <w:numId w:val="64"/>
        </w:numPr>
        <w:spacing w:after="135" w:line="235" w:lineRule="auto"/>
        <w:jc w:val="both"/>
        <w:rPr>
          <w:rFonts w:cs="Arial"/>
        </w:rPr>
      </w:pPr>
      <w:r w:rsidRPr="00246257">
        <w:rPr>
          <w:rFonts w:cs="Arial"/>
        </w:rPr>
        <w:t xml:space="preserve">This section applies if the commissioner considers a complaint made to the commissioner under this Act would be more appropriately dealt with by the commission as a complaint about an alleged contravention of the </w:t>
      </w:r>
      <w:r w:rsidRPr="00246257">
        <w:rPr>
          <w:rFonts w:eastAsia="Times New Roman" w:cs="Arial"/>
          <w:i/>
        </w:rPr>
        <w:t>Human Rights Act 2019</w:t>
      </w:r>
      <w:r w:rsidRPr="00246257">
        <w:rPr>
          <w:rFonts w:cs="Arial"/>
        </w:rPr>
        <w:t>.</w:t>
      </w:r>
    </w:p>
    <w:p w14:paraId="3B6A98D6" w14:textId="77777777" w:rsidR="00430EC6" w:rsidRDefault="00430EC6" w:rsidP="009400C8">
      <w:pPr>
        <w:pStyle w:val="ListParagraph"/>
        <w:numPr>
          <w:ilvl w:val="0"/>
          <w:numId w:val="65"/>
        </w:numPr>
        <w:spacing w:after="135" w:line="235" w:lineRule="auto"/>
        <w:jc w:val="both"/>
      </w:pPr>
      <w:r w:rsidRPr="00246257">
        <w:rPr>
          <w:rFonts w:cs="Arial"/>
        </w:rPr>
        <w:t xml:space="preserve">The commissioner may, with the consent of the complainant, deal with the complaint under the </w:t>
      </w:r>
      <w:r w:rsidRPr="00246257">
        <w:rPr>
          <w:rFonts w:eastAsia="Times New Roman" w:cs="Arial"/>
          <w:i/>
        </w:rPr>
        <w:t>Human Rights Act 2019</w:t>
      </w:r>
      <w:r w:rsidRPr="00246257">
        <w:rPr>
          <w:rFonts w:cs="Arial"/>
        </w:rPr>
        <w:t xml:space="preserve"> as an alleged contravention of that Act</w:t>
      </w:r>
      <w:r>
        <w:t>.</w:t>
      </w:r>
    </w:p>
    <w:p w14:paraId="0376125A" w14:textId="710DB3F1" w:rsidR="00430EC6" w:rsidRDefault="00430EC6" w:rsidP="009400C8">
      <w:pPr>
        <w:pStyle w:val="ListParagraph"/>
        <w:numPr>
          <w:ilvl w:val="0"/>
          <w:numId w:val="66"/>
        </w:numPr>
        <w:spacing w:after="135" w:line="235" w:lineRule="auto"/>
        <w:jc w:val="both"/>
      </w:pPr>
      <w:r>
        <w:t>For dealing with the complaint as mentioned in subsection (2), the complaint—</w:t>
      </w:r>
    </w:p>
    <w:p w14:paraId="63AABA8B" w14:textId="77777777" w:rsidR="00430EC6" w:rsidRPr="00246257" w:rsidRDefault="00430EC6" w:rsidP="00284D9A">
      <w:pPr>
        <w:numPr>
          <w:ilvl w:val="1"/>
          <w:numId w:val="23"/>
        </w:numPr>
        <w:spacing w:after="135" w:line="235" w:lineRule="auto"/>
        <w:jc w:val="both"/>
        <w:rPr>
          <w:rFonts w:cs="Arial"/>
        </w:rPr>
      </w:pPr>
      <w:r w:rsidRPr="00246257">
        <w:rPr>
          <w:rFonts w:cs="Arial"/>
        </w:rPr>
        <w:t xml:space="preserve">is taken to be a complaint about an alleged contravention of the </w:t>
      </w:r>
      <w:r w:rsidRPr="00246257">
        <w:rPr>
          <w:rFonts w:eastAsia="Times New Roman" w:cs="Arial"/>
          <w:i/>
        </w:rPr>
        <w:t>Human Rights Act 2019</w:t>
      </w:r>
      <w:r w:rsidRPr="00246257">
        <w:rPr>
          <w:rFonts w:cs="Arial"/>
        </w:rPr>
        <w:t xml:space="preserve"> that is accepted by the commissioner under section 76 of that Act; and</w:t>
      </w:r>
    </w:p>
    <w:p w14:paraId="27C35B03" w14:textId="77777777" w:rsidR="00430EC6" w:rsidRDefault="00430EC6" w:rsidP="00284D9A">
      <w:pPr>
        <w:numPr>
          <w:ilvl w:val="1"/>
          <w:numId w:val="23"/>
        </w:numPr>
        <w:spacing w:after="487" w:line="235" w:lineRule="auto"/>
        <w:jc w:val="both"/>
      </w:pPr>
      <w:r>
        <w:t>is taken to be made on the day the complaint was made under this Act.</w:t>
      </w:r>
    </w:p>
    <w:p w14:paraId="0C8746E1" w14:textId="4B77FE6B" w:rsidR="00430EC6" w:rsidRDefault="004C5403" w:rsidP="00430EC6">
      <w:pPr>
        <w:pStyle w:val="Heading1"/>
        <w:tabs>
          <w:tab w:val="center" w:pos="2897"/>
        </w:tabs>
      </w:pPr>
      <w:bookmarkStart w:id="88" w:name="_Toc170381483"/>
      <w:bookmarkStart w:id="89" w:name="_Toc171324788"/>
      <w:bookmarkStart w:id="90" w:name="_Toc171341101"/>
      <w:r>
        <w:rPr>
          <w:sz w:val="24"/>
        </w:rPr>
        <w:lastRenderedPageBreak/>
        <w:t>117</w:t>
      </w:r>
      <w:r w:rsidR="00430EC6">
        <w:rPr>
          <w:sz w:val="24"/>
        </w:rPr>
        <w:tab/>
        <w:t>Complainant may withdraw complaint</w:t>
      </w:r>
      <w:bookmarkEnd w:id="88"/>
      <w:bookmarkEnd w:id="89"/>
      <w:bookmarkEnd w:id="90"/>
    </w:p>
    <w:p w14:paraId="3CB6CF79" w14:textId="77777777" w:rsidR="00430EC6" w:rsidRDefault="00430EC6" w:rsidP="009400C8">
      <w:pPr>
        <w:numPr>
          <w:ilvl w:val="0"/>
          <w:numId w:val="24"/>
        </w:numPr>
        <w:spacing w:after="135" w:line="235" w:lineRule="auto"/>
        <w:ind w:hanging="360"/>
        <w:jc w:val="both"/>
      </w:pPr>
      <w:r>
        <w:t>The complainant may give the commissioner written notice stating that the complainant wishes to withdraw the complaint.</w:t>
      </w:r>
    </w:p>
    <w:p w14:paraId="4C423577" w14:textId="77777777" w:rsidR="00430EC6" w:rsidRDefault="00430EC6" w:rsidP="009400C8">
      <w:pPr>
        <w:numPr>
          <w:ilvl w:val="0"/>
          <w:numId w:val="24"/>
        </w:numPr>
        <w:spacing w:after="135" w:line="235" w:lineRule="auto"/>
        <w:ind w:hanging="360"/>
        <w:jc w:val="both"/>
      </w:pPr>
      <w:r>
        <w:t>The commissioner may give the complainant an opportunity to decide to continue with the complaint before deciding to accept the withdrawal.</w:t>
      </w:r>
    </w:p>
    <w:p w14:paraId="2309EE46" w14:textId="00CFC044" w:rsidR="00430EC6" w:rsidRDefault="00430EC6" w:rsidP="009400C8">
      <w:pPr>
        <w:numPr>
          <w:ilvl w:val="0"/>
          <w:numId w:val="24"/>
        </w:numPr>
        <w:spacing w:after="135" w:line="235" w:lineRule="auto"/>
        <w:ind w:hanging="360"/>
        <w:jc w:val="both"/>
      </w:pPr>
      <w:r>
        <w:t xml:space="preserve">If </w:t>
      </w:r>
      <w:r>
        <w:tab/>
        <w:t>the commissioner accepts the withdrawal, the commissioner—</w:t>
      </w:r>
    </w:p>
    <w:p w14:paraId="4FB367A1" w14:textId="7092858E" w:rsidR="00430EC6" w:rsidRDefault="00430EC6" w:rsidP="009C60BB">
      <w:pPr>
        <w:numPr>
          <w:ilvl w:val="1"/>
          <w:numId w:val="24"/>
        </w:numPr>
        <w:spacing w:after="135" w:line="235" w:lineRule="auto"/>
        <w:ind w:left="1811" w:hanging="360"/>
        <w:jc w:val="both"/>
      </w:pPr>
      <w:r>
        <w:t xml:space="preserve">must not continue to deal with the complaint; and </w:t>
      </w:r>
    </w:p>
    <w:p w14:paraId="309B7716" w14:textId="77777777" w:rsidR="00430EC6" w:rsidRDefault="00430EC6" w:rsidP="00284D9A">
      <w:pPr>
        <w:numPr>
          <w:ilvl w:val="1"/>
          <w:numId w:val="24"/>
        </w:numPr>
        <w:spacing w:after="61" w:line="235" w:lineRule="auto"/>
        <w:ind w:left="1811" w:hanging="360"/>
        <w:jc w:val="both"/>
      </w:pPr>
      <w:r>
        <w:t>must give the complainant and respondent written notice that the complaint has been withdrawn.</w:t>
      </w:r>
    </w:p>
    <w:p w14:paraId="57345A89" w14:textId="77777777" w:rsidR="00430EC6" w:rsidRDefault="00430EC6" w:rsidP="00430EC6">
      <w:pPr>
        <w:spacing w:after="71" w:line="259" w:lineRule="auto"/>
        <w:ind w:left="1243" w:hanging="10"/>
      </w:pPr>
      <w:r w:rsidRPr="00246257">
        <w:rPr>
          <w:rFonts w:eastAsia="Times New Roman" w:cs="Arial"/>
          <w:i/>
          <w:sz w:val="20"/>
        </w:rPr>
        <w:t>Note—</w:t>
      </w:r>
    </w:p>
    <w:p w14:paraId="0E8227EB" w14:textId="7D4B7F9B" w:rsidR="00430EC6" w:rsidRDefault="00430EC6" w:rsidP="00430EC6">
      <w:pPr>
        <w:spacing w:after="166"/>
        <w:ind w:left="1483" w:hanging="10"/>
      </w:pPr>
      <w:r>
        <w:rPr>
          <w:sz w:val="20"/>
        </w:rPr>
        <w:t>Under section 12</w:t>
      </w:r>
      <w:r w:rsidR="00E934CD">
        <w:rPr>
          <w:sz w:val="20"/>
        </w:rPr>
        <w:t>0</w:t>
      </w:r>
      <w:r>
        <w:rPr>
          <w:sz w:val="20"/>
        </w:rPr>
        <w:t xml:space="preserve">, a complaint to which this subsection applies </w:t>
      </w:r>
      <w:proofErr w:type="gramStart"/>
      <w:r>
        <w:rPr>
          <w:sz w:val="20"/>
        </w:rPr>
        <w:t>lapses</w:t>
      </w:r>
      <w:proofErr w:type="gramEnd"/>
      <w:r>
        <w:rPr>
          <w:sz w:val="20"/>
        </w:rPr>
        <w:t xml:space="preserve"> and the complainant </w:t>
      </w:r>
      <w:proofErr w:type="spellStart"/>
      <w:r>
        <w:rPr>
          <w:sz w:val="20"/>
        </w:rPr>
        <w:t>can not</w:t>
      </w:r>
      <w:proofErr w:type="spellEnd"/>
      <w:r>
        <w:rPr>
          <w:sz w:val="20"/>
        </w:rPr>
        <w:t xml:space="preserve"> make a further complaint relating to the alleged contravention the subject of the complaint.</w:t>
      </w:r>
    </w:p>
    <w:p w14:paraId="3242164C" w14:textId="77777777" w:rsidR="00430EC6" w:rsidRDefault="00430EC6" w:rsidP="009400C8">
      <w:pPr>
        <w:numPr>
          <w:ilvl w:val="0"/>
          <w:numId w:val="24"/>
        </w:numPr>
        <w:spacing w:after="60" w:line="235" w:lineRule="auto"/>
        <w:ind w:hanging="360"/>
        <w:jc w:val="both"/>
      </w:pPr>
      <w:r>
        <w:t>However, the commissioner need not give notice of the withdrawal to the respondent if the commissioner considers it is not appropriate in the circumstances to do so.</w:t>
      </w:r>
    </w:p>
    <w:p w14:paraId="2C5E36BB" w14:textId="77777777" w:rsidR="00430EC6" w:rsidRDefault="00430EC6" w:rsidP="00430EC6">
      <w:pPr>
        <w:spacing w:after="71" w:line="259" w:lineRule="auto"/>
        <w:ind w:left="1243" w:hanging="10"/>
      </w:pPr>
      <w:r w:rsidRPr="00246257">
        <w:rPr>
          <w:rFonts w:eastAsia="Times New Roman" w:cs="Arial"/>
          <w:i/>
          <w:sz w:val="20"/>
        </w:rPr>
        <w:t>Example of circumstances for subsection (4)—</w:t>
      </w:r>
    </w:p>
    <w:p w14:paraId="008BE31B" w14:textId="37F097E8" w:rsidR="00430EC6" w:rsidRDefault="00430EC6" w:rsidP="00430EC6">
      <w:pPr>
        <w:spacing w:after="519"/>
        <w:ind w:left="1483" w:hanging="10"/>
        <w:rPr>
          <w:sz w:val="20"/>
        </w:rPr>
      </w:pPr>
      <w:r>
        <w:rPr>
          <w:sz w:val="20"/>
        </w:rPr>
        <w:t>The respondent is not aware of the complaint or has not been contacted by the commissioner in relation to the complaint.</w:t>
      </w:r>
    </w:p>
    <w:p w14:paraId="7993FFCD" w14:textId="6668D6F3" w:rsidR="00F04368" w:rsidRDefault="00F04368" w:rsidP="00F04368">
      <w:pPr>
        <w:numPr>
          <w:ilvl w:val="0"/>
          <w:numId w:val="24"/>
        </w:numPr>
        <w:spacing w:after="60" w:line="235" w:lineRule="auto"/>
        <w:ind w:hanging="360"/>
        <w:jc w:val="both"/>
      </w:pPr>
      <w:r>
        <w:t xml:space="preserve">If the withdrawal relates to a representative complaint and the commissioner substitutes another class member as the complainant for the complaint under section </w:t>
      </w:r>
      <w:r w:rsidR="003B187B">
        <w:t>106</w:t>
      </w:r>
      <w:r>
        <w:t>, the commissioner must give the person seeking withdrawal of the complaint written notice stating-</w:t>
      </w:r>
    </w:p>
    <w:p w14:paraId="3DC95CCD" w14:textId="77777777" w:rsidR="00F04368" w:rsidRDefault="00F04368" w:rsidP="00F04368">
      <w:pPr>
        <w:numPr>
          <w:ilvl w:val="1"/>
          <w:numId w:val="24"/>
        </w:numPr>
        <w:spacing w:after="60" w:line="235" w:lineRule="auto"/>
        <w:ind w:hanging="360"/>
        <w:jc w:val="both"/>
      </w:pPr>
      <w:r>
        <w:t>the complaint has not been withdrawn; and</w:t>
      </w:r>
    </w:p>
    <w:p w14:paraId="70F9EBBA" w14:textId="77777777" w:rsidR="00F04368" w:rsidRDefault="00F04368" w:rsidP="00F04368">
      <w:pPr>
        <w:numPr>
          <w:ilvl w:val="1"/>
          <w:numId w:val="24"/>
        </w:numPr>
        <w:spacing w:after="60" w:line="235" w:lineRule="auto"/>
        <w:ind w:hanging="360"/>
        <w:jc w:val="both"/>
      </w:pPr>
      <w:r>
        <w:t>that another class member has been substituted as the complainant for the complaint; and</w:t>
      </w:r>
    </w:p>
    <w:p w14:paraId="0D2E118D" w14:textId="5503CF9A" w:rsidR="00F04368" w:rsidRDefault="00F04368" w:rsidP="00470158">
      <w:pPr>
        <w:numPr>
          <w:ilvl w:val="1"/>
          <w:numId w:val="24"/>
        </w:numPr>
        <w:spacing w:after="60" w:line="235" w:lineRule="auto"/>
        <w:ind w:hanging="360"/>
        <w:jc w:val="both"/>
      </w:pPr>
      <w:r>
        <w:t xml:space="preserve">the person may opt-out of the complaint under section </w:t>
      </w:r>
      <w:r w:rsidR="003B187B">
        <w:t>106</w:t>
      </w:r>
      <w:r>
        <w:t>.</w:t>
      </w:r>
    </w:p>
    <w:p w14:paraId="0024ACD7" w14:textId="77777777" w:rsidR="00470158" w:rsidRPr="00246257" w:rsidRDefault="00470158" w:rsidP="00470158">
      <w:pPr>
        <w:spacing w:after="60" w:line="235" w:lineRule="auto"/>
        <w:ind w:left="1812"/>
        <w:jc w:val="both"/>
      </w:pPr>
    </w:p>
    <w:p w14:paraId="342E120E" w14:textId="58B72D6C" w:rsidR="00430EC6" w:rsidRDefault="004C5403" w:rsidP="00430EC6">
      <w:pPr>
        <w:pStyle w:val="Heading1"/>
        <w:ind w:left="791" w:hanging="780"/>
      </w:pPr>
      <w:bookmarkStart w:id="91" w:name="_Toc170381484"/>
      <w:bookmarkStart w:id="92" w:name="_Toc171324789"/>
      <w:bookmarkStart w:id="93" w:name="_Toc171341102"/>
      <w:r>
        <w:rPr>
          <w:sz w:val="24"/>
        </w:rPr>
        <w:t>118</w:t>
      </w:r>
      <w:r w:rsidR="00430EC6">
        <w:rPr>
          <w:sz w:val="24"/>
        </w:rPr>
        <w:tab/>
        <w:t>Commissioner may withdraw complaint on behalf of complainant</w:t>
      </w:r>
      <w:bookmarkEnd w:id="91"/>
      <w:bookmarkEnd w:id="92"/>
      <w:bookmarkEnd w:id="93"/>
    </w:p>
    <w:p w14:paraId="66778012" w14:textId="007B3A6A" w:rsidR="00430EC6" w:rsidRDefault="00430EC6" w:rsidP="009400C8">
      <w:pPr>
        <w:numPr>
          <w:ilvl w:val="0"/>
          <w:numId w:val="25"/>
        </w:numPr>
        <w:spacing w:after="135" w:line="235" w:lineRule="auto"/>
        <w:ind w:hanging="360"/>
        <w:jc w:val="both"/>
      </w:pPr>
      <w:r>
        <w:t>This section applies if the commissioner considers the complainant for a complaint may have lost interest in continuing with the complaint.</w:t>
      </w:r>
    </w:p>
    <w:p w14:paraId="11791C57" w14:textId="77777777" w:rsidR="00430EC6" w:rsidRDefault="00430EC6" w:rsidP="009400C8">
      <w:pPr>
        <w:numPr>
          <w:ilvl w:val="0"/>
          <w:numId w:val="25"/>
        </w:numPr>
        <w:spacing w:after="135" w:line="235" w:lineRule="auto"/>
        <w:ind w:hanging="360"/>
        <w:jc w:val="both"/>
      </w:pPr>
      <w:r>
        <w:t xml:space="preserve">The commissioner may, by written notice, ask the complainant to confirm within a stated reasonable period </w:t>
      </w:r>
      <w:proofErr w:type="gramStart"/>
      <w:r>
        <w:t>whether or not</w:t>
      </w:r>
      <w:proofErr w:type="gramEnd"/>
      <w:r>
        <w:t xml:space="preserve"> the complainant wishes to continue with the complaint.</w:t>
      </w:r>
    </w:p>
    <w:p w14:paraId="6E40FB5C" w14:textId="77777777" w:rsidR="00430EC6" w:rsidRDefault="00430EC6" w:rsidP="009400C8">
      <w:pPr>
        <w:numPr>
          <w:ilvl w:val="0"/>
          <w:numId w:val="25"/>
        </w:numPr>
        <w:spacing w:after="135" w:line="235" w:lineRule="auto"/>
        <w:ind w:hanging="360"/>
        <w:jc w:val="both"/>
      </w:pPr>
      <w:r>
        <w:t>If, within the time stated in the notice, the complainant confirms that the complainant no longer wishes to continue with the complaint, the commissioner—</w:t>
      </w:r>
    </w:p>
    <w:p w14:paraId="4DF7FCBF" w14:textId="77777777" w:rsidR="00430EC6" w:rsidRDefault="00430EC6" w:rsidP="00284D9A">
      <w:pPr>
        <w:numPr>
          <w:ilvl w:val="1"/>
          <w:numId w:val="25"/>
        </w:numPr>
        <w:spacing w:after="135" w:line="235" w:lineRule="auto"/>
        <w:ind w:left="1811" w:hanging="360"/>
        <w:jc w:val="both"/>
      </w:pPr>
      <w:r>
        <w:t xml:space="preserve">must not continue to deal with the complaint; and </w:t>
      </w:r>
    </w:p>
    <w:p w14:paraId="3DA7FCD6" w14:textId="77777777" w:rsidR="00430EC6" w:rsidRDefault="00430EC6" w:rsidP="00284D9A">
      <w:pPr>
        <w:numPr>
          <w:ilvl w:val="1"/>
          <w:numId w:val="25"/>
        </w:numPr>
        <w:spacing w:after="135" w:line="235" w:lineRule="auto"/>
        <w:ind w:left="1811" w:hanging="360"/>
        <w:jc w:val="both"/>
      </w:pPr>
      <w:r>
        <w:t>must give the complainant and respondent written notice that the complaint has been withdrawn.</w:t>
      </w:r>
    </w:p>
    <w:p w14:paraId="709B6239" w14:textId="77777777" w:rsidR="00430EC6" w:rsidRDefault="00430EC6" w:rsidP="009400C8">
      <w:pPr>
        <w:numPr>
          <w:ilvl w:val="0"/>
          <w:numId w:val="25"/>
        </w:numPr>
        <w:spacing w:after="60" w:line="235" w:lineRule="auto"/>
        <w:ind w:hanging="360"/>
        <w:jc w:val="both"/>
      </w:pPr>
      <w:r>
        <w:t>If the complainant does not respond to the commissioner’s notice within the time stated in the notice, the commissioner must not continue to deal with the complaint.</w:t>
      </w:r>
    </w:p>
    <w:p w14:paraId="141425A9" w14:textId="77777777" w:rsidR="00430EC6" w:rsidRDefault="00430EC6" w:rsidP="00430EC6">
      <w:pPr>
        <w:spacing w:after="96" w:line="259" w:lineRule="auto"/>
        <w:ind w:left="1243" w:hanging="10"/>
      </w:pPr>
      <w:r w:rsidRPr="00246257">
        <w:rPr>
          <w:rFonts w:eastAsia="Times New Roman" w:cs="Arial"/>
          <w:i/>
          <w:sz w:val="20"/>
        </w:rPr>
        <w:t>Notes—</w:t>
      </w:r>
    </w:p>
    <w:p w14:paraId="5E7F8F97" w14:textId="3F6FE0EC" w:rsidR="00430EC6" w:rsidRDefault="00430EC6" w:rsidP="00580751">
      <w:pPr>
        <w:spacing w:after="166"/>
        <w:ind w:left="1833" w:hanging="360"/>
      </w:pPr>
      <w:r>
        <w:rPr>
          <w:sz w:val="20"/>
        </w:rPr>
        <w:lastRenderedPageBreak/>
        <w:t xml:space="preserve">1 See section </w:t>
      </w:r>
      <w:r w:rsidR="0035153B">
        <w:rPr>
          <w:sz w:val="20"/>
        </w:rPr>
        <w:t>119</w:t>
      </w:r>
      <w:r>
        <w:rPr>
          <w:sz w:val="20"/>
        </w:rPr>
        <w:t xml:space="preserve"> for the requirement that the commissioner give written notice of not continuing to deal with the complaint under subsection (4).</w:t>
      </w:r>
    </w:p>
    <w:p w14:paraId="5EB48811" w14:textId="68CAAF96" w:rsidR="00430EC6" w:rsidRDefault="00430EC6" w:rsidP="00430EC6">
      <w:pPr>
        <w:spacing w:after="519"/>
        <w:ind w:left="1833" w:hanging="360"/>
      </w:pPr>
      <w:r>
        <w:rPr>
          <w:sz w:val="20"/>
        </w:rPr>
        <w:t xml:space="preserve">2 Under section </w:t>
      </w:r>
      <w:r w:rsidR="00566416">
        <w:rPr>
          <w:sz w:val="20"/>
        </w:rPr>
        <w:t>120</w:t>
      </w:r>
      <w:r>
        <w:rPr>
          <w:sz w:val="20"/>
        </w:rPr>
        <w:t xml:space="preserve">, a complaint to which subsection (3) or (4) applies lapses and the complainant </w:t>
      </w:r>
      <w:proofErr w:type="spellStart"/>
      <w:r>
        <w:rPr>
          <w:sz w:val="20"/>
        </w:rPr>
        <w:t>can not</w:t>
      </w:r>
      <w:proofErr w:type="spellEnd"/>
      <w:r>
        <w:rPr>
          <w:sz w:val="20"/>
        </w:rPr>
        <w:t xml:space="preserve"> make a further complaint relating to the alleged contravention the subject of the complaint.</w:t>
      </w:r>
    </w:p>
    <w:p w14:paraId="4ED4E9D0" w14:textId="6E1B4206" w:rsidR="00430EC6" w:rsidRDefault="004C5403" w:rsidP="00430EC6">
      <w:pPr>
        <w:pStyle w:val="Heading1"/>
        <w:tabs>
          <w:tab w:val="center" w:pos="3112"/>
        </w:tabs>
      </w:pPr>
      <w:bookmarkStart w:id="94" w:name="_Toc170381485"/>
      <w:bookmarkStart w:id="95" w:name="_Toc171324790"/>
      <w:bookmarkStart w:id="96" w:name="_Toc171341103"/>
      <w:r>
        <w:rPr>
          <w:sz w:val="24"/>
        </w:rPr>
        <w:t>119</w:t>
      </w:r>
      <w:r w:rsidR="00430EC6">
        <w:rPr>
          <w:sz w:val="24"/>
        </w:rPr>
        <w:tab/>
        <w:t>Notice about not dealing with a complaint</w:t>
      </w:r>
      <w:bookmarkEnd w:id="94"/>
      <w:bookmarkEnd w:id="95"/>
      <w:bookmarkEnd w:id="96"/>
    </w:p>
    <w:p w14:paraId="591AB125" w14:textId="77777777" w:rsidR="00430EC6" w:rsidRDefault="00430EC6" w:rsidP="009400C8">
      <w:pPr>
        <w:numPr>
          <w:ilvl w:val="0"/>
          <w:numId w:val="26"/>
        </w:numPr>
        <w:spacing w:after="135" w:line="235" w:lineRule="auto"/>
        <w:ind w:hanging="360"/>
        <w:jc w:val="both"/>
      </w:pPr>
      <w:r>
        <w:t>This section applies if the commissioner decides not to deal with, or continue to deal with, a complaint—</w:t>
      </w:r>
    </w:p>
    <w:p w14:paraId="700AB773" w14:textId="4A8136F1" w:rsidR="00430EC6" w:rsidRDefault="00430EC6" w:rsidP="00284D9A">
      <w:pPr>
        <w:numPr>
          <w:ilvl w:val="1"/>
          <w:numId w:val="26"/>
        </w:numPr>
        <w:spacing w:after="135" w:line="235" w:lineRule="auto"/>
        <w:ind w:hanging="360"/>
        <w:jc w:val="both"/>
      </w:pPr>
      <w:r>
        <w:t>under section 11</w:t>
      </w:r>
      <w:r w:rsidR="00566416">
        <w:t>4</w:t>
      </w:r>
      <w:r>
        <w:t>; or</w:t>
      </w:r>
    </w:p>
    <w:p w14:paraId="662C9CE7" w14:textId="6C8AF4EE" w:rsidR="00430EC6" w:rsidRDefault="00430EC6" w:rsidP="00284D9A">
      <w:pPr>
        <w:numPr>
          <w:ilvl w:val="1"/>
          <w:numId w:val="26"/>
        </w:numPr>
        <w:spacing w:after="135" w:line="235" w:lineRule="auto"/>
        <w:ind w:hanging="360"/>
        <w:jc w:val="both"/>
      </w:pPr>
      <w:r>
        <w:t>because section 11</w:t>
      </w:r>
      <w:r w:rsidR="00566416">
        <w:t>3</w:t>
      </w:r>
      <w:r>
        <w:t xml:space="preserve"> or </w:t>
      </w:r>
      <w:r w:rsidR="00566416">
        <w:t>118</w:t>
      </w:r>
      <w:r>
        <w:t>(4) applies in relation to the complaint.</w:t>
      </w:r>
    </w:p>
    <w:p w14:paraId="588C39EF" w14:textId="77777777" w:rsidR="00430EC6" w:rsidRDefault="00430EC6" w:rsidP="009400C8">
      <w:pPr>
        <w:numPr>
          <w:ilvl w:val="0"/>
          <w:numId w:val="26"/>
        </w:numPr>
        <w:spacing w:after="135" w:line="235" w:lineRule="auto"/>
        <w:ind w:hanging="360"/>
        <w:jc w:val="both"/>
      </w:pPr>
      <w:r>
        <w:t>The commissioner must give the complainant and respondent a written notice stating—</w:t>
      </w:r>
    </w:p>
    <w:p w14:paraId="169774DF" w14:textId="77777777" w:rsidR="00430EC6" w:rsidRDefault="00430EC6" w:rsidP="00284D9A">
      <w:pPr>
        <w:numPr>
          <w:ilvl w:val="1"/>
          <w:numId w:val="26"/>
        </w:numPr>
        <w:spacing w:after="135" w:line="235" w:lineRule="auto"/>
        <w:ind w:hanging="360"/>
        <w:jc w:val="both"/>
      </w:pPr>
      <w:r>
        <w:t>the decision; and</w:t>
      </w:r>
    </w:p>
    <w:p w14:paraId="4B6B49D4" w14:textId="77777777" w:rsidR="00430EC6" w:rsidRDefault="00430EC6" w:rsidP="00284D9A">
      <w:pPr>
        <w:numPr>
          <w:ilvl w:val="1"/>
          <w:numId w:val="26"/>
        </w:numPr>
        <w:spacing w:after="135" w:line="235" w:lineRule="auto"/>
        <w:ind w:hanging="360"/>
        <w:jc w:val="both"/>
      </w:pPr>
      <w:r>
        <w:t>the reasons for the decision; and</w:t>
      </w:r>
    </w:p>
    <w:p w14:paraId="6DFC3A68" w14:textId="092450F6" w:rsidR="00430EC6" w:rsidRDefault="00430EC6" w:rsidP="00284D9A">
      <w:pPr>
        <w:numPr>
          <w:ilvl w:val="1"/>
          <w:numId w:val="26"/>
        </w:numPr>
        <w:spacing w:after="135" w:line="235" w:lineRule="auto"/>
        <w:ind w:hanging="360"/>
        <w:jc w:val="both"/>
      </w:pPr>
      <w:r>
        <w:t>the effect of section 12</w:t>
      </w:r>
      <w:r w:rsidR="00566416">
        <w:t>0</w:t>
      </w:r>
      <w:r w:rsidR="00D17FF9">
        <w:t>.</w:t>
      </w:r>
    </w:p>
    <w:p w14:paraId="0774E3FE" w14:textId="77777777" w:rsidR="00430EC6" w:rsidRDefault="00430EC6" w:rsidP="009400C8">
      <w:pPr>
        <w:numPr>
          <w:ilvl w:val="0"/>
          <w:numId w:val="26"/>
        </w:numPr>
        <w:spacing w:after="61" w:line="235" w:lineRule="auto"/>
        <w:ind w:hanging="360"/>
        <w:jc w:val="both"/>
      </w:pPr>
      <w:r>
        <w:t>However, the commissioner need not give notice of the decision to the respondent if the commissioner considers it is not appropriate in the circumstances to do so.</w:t>
      </w:r>
    </w:p>
    <w:p w14:paraId="2A5B33C9" w14:textId="77777777" w:rsidR="00430EC6" w:rsidRDefault="00430EC6" w:rsidP="00430EC6">
      <w:pPr>
        <w:spacing w:after="71" w:line="259" w:lineRule="auto"/>
        <w:ind w:left="1243" w:hanging="10"/>
      </w:pPr>
      <w:r w:rsidRPr="00246257">
        <w:rPr>
          <w:rFonts w:eastAsia="Times New Roman" w:cs="Arial"/>
          <w:i/>
          <w:sz w:val="20"/>
        </w:rPr>
        <w:t>Example of circumstances for subsection (3)—</w:t>
      </w:r>
    </w:p>
    <w:p w14:paraId="07DE63D4" w14:textId="77777777" w:rsidR="00430EC6" w:rsidRDefault="00430EC6" w:rsidP="00430EC6">
      <w:pPr>
        <w:spacing w:after="519"/>
        <w:ind w:left="1483" w:hanging="10"/>
      </w:pPr>
      <w:r>
        <w:rPr>
          <w:sz w:val="20"/>
        </w:rPr>
        <w:t>The respondent is not aware of the complaint or has not been contacted by the commissioner in relation to the complaint.</w:t>
      </w:r>
    </w:p>
    <w:p w14:paraId="79A880FC" w14:textId="4F41EECC" w:rsidR="00430EC6" w:rsidRDefault="00430EC6" w:rsidP="00430EC6">
      <w:pPr>
        <w:pStyle w:val="Heading1"/>
        <w:tabs>
          <w:tab w:val="center" w:pos="2549"/>
        </w:tabs>
        <w:spacing w:after="68"/>
      </w:pPr>
      <w:bookmarkStart w:id="97" w:name="_Toc170381486"/>
      <w:bookmarkStart w:id="98" w:name="_Toc171324791"/>
      <w:bookmarkStart w:id="99" w:name="_Toc171341104"/>
      <w:r>
        <w:rPr>
          <w:sz w:val="24"/>
        </w:rPr>
        <w:t>12</w:t>
      </w:r>
      <w:r w:rsidR="004C5403">
        <w:rPr>
          <w:sz w:val="24"/>
        </w:rPr>
        <w:t>0</w:t>
      </w:r>
      <w:r>
        <w:rPr>
          <w:sz w:val="24"/>
        </w:rPr>
        <w:tab/>
        <w:t>Complaint not dealt with lapses</w:t>
      </w:r>
      <w:bookmarkEnd w:id="97"/>
      <w:bookmarkEnd w:id="98"/>
      <w:bookmarkEnd w:id="99"/>
    </w:p>
    <w:p w14:paraId="5069383F" w14:textId="77777777" w:rsidR="00430EC6" w:rsidRDefault="00430EC6" w:rsidP="00430EC6">
      <w:pPr>
        <w:ind w:left="1259"/>
      </w:pPr>
      <w:r>
        <w:t>If the commissioner does not deal with, or stops dealing with, a complaint under this division—</w:t>
      </w:r>
    </w:p>
    <w:p w14:paraId="6F9FB24F" w14:textId="77777777" w:rsidR="00430EC6" w:rsidRDefault="00430EC6" w:rsidP="00284D9A">
      <w:pPr>
        <w:numPr>
          <w:ilvl w:val="0"/>
          <w:numId w:val="27"/>
        </w:numPr>
        <w:spacing w:after="135" w:line="235" w:lineRule="auto"/>
        <w:ind w:hanging="360"/>
        <w:jc w:val="both"/>
      </w:pPr>
      <w:r>
        <w:t>the complaint lapses; and</w:t>
      </w:r>
    </w:p>
    <w:p w14:paraId="794AAC51" w14:textId="387F4988" w:rsidR="00430EC6" w:rsidRDefault="00430EC6" w:rsidP="00644520">
      <w:pPr>
        <w:numPr>
          <w:ilvl w:val="0"/>
          <w:numId w:val="27"/>
        </w:numPr>
        <w:spacing w:after="135" w:line="235" w:lineRule="auto"/>
        <w:ind w:hanging="360"/>
        <w:jc w:val="both"/>
      </w:pPr>
      <w:r>
        <w:t xml:space="preserve">the complainant </w:t>
      </w:r>
      <w:proofErr w:type="spellStart"/>
      <w:r>
        <w:t>can not</w:t>
      </w:r>
      <w:proofErr w:type="spellEnd"/>
      <w:r>
        <w:t xml:space="preserve"> make a further complaint relating to the alleged contravention the subject of the complaint.</w:t>
      </w:r>
    </w:p>
    <w:p w14:paraId="40C1A326" w14:textId="1DDAC4A9" w:rsidR="00430EC6" w:rsidRDefault="00430EC6" w:rsidP="00430EC6">
      <w:pPr>
        <w:pStyle w:val="Heading1"/>
        <w:tabs>
          <w:tab w:val="center" w:pos="3178"/>
        </w:tabs>
      </w:pPr>
      <w:bookmarkStart w:id="100" w:name="_Toc170381487"/>
      <w:bookmarkStart w:id="101" w:name="_Toc171324792"/>
      <w:bookmarkStart w:id="102" w:name="_Toc171341105"/>
      <w:r>
        <w:rPr>
          <w:sz w:val="24"/>
        </w:rPr>
        <w:t>12</w:t>
      </w:r>
      <w:bookmarkEnd w:id="100"/>
      <w:r w:rsidR="004C5403">
        <w:rPr>
          <w:sz w:val="24"/>
        </w:rPr>
        <w:t>1</w:t>
      </w:r>
      <w:r w:rsidR="004707C0">
        <w:rPr>
          <w:sz w:val="24"/>
        </w:rPr>
        <w:t xml:space="preserve">       </w:t>
      </w:r>
      <w:r w:rsidR="00242AC2">
        <w:rPr>
          <w:sz w:val="24"/>
        </w:rPr>
        <w:t>Decision by commissioner to deal with complaint</w:t>
      </w:r>
      <w:bookmarkEnd w:id="101"/>
      <w:bookmarkEnd w:id="102"/>
    </w:p>
    <w:p w14:paraId="5F9CCF3B" w14:textId="6B01248A" w:rsidR="00430EC6" w:rsidRDefault="00430EC6" w:rsidP="009400C8">
      <w:pPr>
        <w:numPr>
          <w:ilvl w:val="0"/>
          <w:numId w:val="28"/>
        </w:numPr>
        <w:spacing w:after="135" w:line="235" w:lineRule="auto"/>
        <w:ind w:hanging="360"/>
        <w:jc w:val="both"/>
      </w:pPr>
      <w:r>
        <w:t xml:space="preserve">If the commissioner decides to </w:t>
      </w:r>
      <w:r w:rsidR="00242AC2">
        <w:t>deal with</w:t>
      </w:r>
      <w:r>
        <w:t xml:space="preserve"> a complaint, the commissioner must give the complainant and respondent notice of the </w:t>
      </w:r>
      <w:r w:rsidR="006662D8">
        <w:t>decision</w:t>
      </w:r>
      <w:r>
        <w:t>.</w:t>
      </w:r>
    </w:p>
    <w:p w14:paraId="1DC6EFE4" w14:textId="77777777" w:rsidR="00430EC6" w:rsidRDefault="00430EC6" w:rsidP="009400C8">
      <w:pPr>
        <w:numPr>
          <w:ilvl w:val="0"/>
          <w:numId w:val="28"/>
        </w:numPr>
        <w:spacing w:after="135" w:line="235" w:lineRule="auto"/>
        <w:ind w:hanging="360"/>
        <w:jc w:val="both"/>
      </w:pPr>
      <w:r>
        <w:t>The notice must state—</w:t>
      </w:r>
    </w:p>
    <w:p w14:paraId="73EDAF0E" w14:textId="77777777" w:rsidR="00430EC6" w:rsidRDefault="00430EC6" w:rsidP="00284D9A">
      <w:pPr>
        <w:numPr>
          <w:ilvl w:val="1"/>
          <w:numId w:val="28"/>
        </w:numPr>
        <w:spacing w:after="135" w:line="235" w:lineRule="auto"/>
        <w:ind w:left="1811" w:hanging="360"/>
        <w:jc w:val="both"/>
      </w:pPr>
      <w:r>
        <w:t>the role of the commissioner in trying to resolve the complaint; and</w:t>
      </w:r>
    </w:p>
    <w:p w14:paraId="006192E4" w14:textId="77777777" w:rsidR="00430EC6" w:rsidRDefault="00430EC6" w:rsidP="00284D9A">
      <w:pPr>
        <w:numPr>
          <w:ilvl w:val="1"/>
          <w:numId w:val="28"/>
        </w:numPr>
        <w:spacing w:after="135" w:line="235" w:lineRule="auto"/>
        <w:ind w:left="1811" w:hanging="360"/>
        <w:jc w:val="both"/>
      </w:pPr>
      <w:r>
        <w:t>the powers the commissioner may exercise in trying to resolve the complaint.</w:t>
      </w:r>
    </w:p>
    <w:p w14:paraId="3A4CF066" w14:textId="25E3A62A" w:rsidR="00430EC6" w:rsidRDefault="00430EC6" w:rsidP="009400C8">
      <w:pPr>
        <w:numPr>
          <w:ilvl w:val="0"/>
          <w:numId w:val="28"/>
        </w:numPr>
        <w:spacing w:after="135" w:line="235" w:lineRule="auto"/>
        <w:ind w:hanging="360"/>
        <w:jc w:val="both"/>
      </w:pPr>
      <w:r>
        <w:t>The notice given to the respondent must also—</w:t>
      </w:r>
    </w:p>
    <w:p w14:paraId="70E2F960" w14:textId="25832E5E" w:rsidR="006662D8" w:rsidRDefault="0047714B" w:rsidP="009400C8">
      <w:pPr>
        <w:numPr>
          <w:ilvl w:val="1"/>
          <w:numId w:val="28"/>
        </w:numPr>
        <w:spacing w:after="135" w:line="235" w:lineRule="auto"/>
        <w:ind w:left="1811" w:hanging="360"/>
        <w:jc w:val="both"/>
      </w:pPr>
      <w:r>
        <w:t>i</w:t>
      </w:r>
      <w:r w:rsidR="009E636E">
        <w:t xml:space="preserve">nclude a copy of the complaint or a statement of </w:t>
      </w:r>
      <w:r w:rsidR="00430EC6">
        <w:t>the substance of the complaint; and</w:t>
      </w:r>
      <w:r w:rsidR="009E636E">
        <w:t xml:space="preserve"> </w:t>
      </w:r>
    </w:p>
    <w:p w14:paraId="6B84F936" w14:textId="6C600BC9" w:rsidR="009E636E" w:rsidRDefault="0047714B" w:rsidP="009400C8">
      <w:pPr>
        <w:numPr>
          <w:ilvl w:val="1"/>
          <w:numId w:val="28"/>
        </w:numPr>
        <w:spacing w:after="135" w:line="235" w:lineRule="auto"/>
        <w:ind w:left="1811" w:hanging="360"/>
        <w:jc w:val="both"/>
      </w:pPr>
      <w:r>
        <w:t>s</w:t>
      </w:r>
      <w:r w:rsidR="009E636E">
        <w:t>tate</w:t>
      </w:r>
      <w:r>
        <w:t>-</w:t>
      </w:r>
    </w:p>
    <w:p w14:paraId="04EC3DFA" w14:textId="2560A59D" w:rsidR="0047714B" w:rsidRPr="00246257" w:rsidRDefault="0047714B" w:rsidP="0047714B">
      <w:pPr>
        <w:pStyle w:val="ListParagraph"/>
        <w:numPr>
          <w:ilvl w:val="2"/>
          <w:numId w:val="28"/>
        </w:numPr>
      </w:pPr>
      <w:r w:rsidRPr="00246257">
        <w:lastRenderedPageBreak/>
        <w:t>that the respondent must advise the commissioner of the respondent’s address for service; and</w:t>
      </w:r>
    </w:p>
    <w:p w14:paraId="34AF3C0B" w14:textId="1453651B" w:rsidR="00430EC6" w:rsidRDefault="0047714B" w:rsidP="0047714B">
      <w:pPr>
        <w:pStyle w:val="ListParagraph"/>
        <w:numPr>
          <w:ilvl w:val="2"/>
          <w:numId w:val="28"/>
        </w:numPr>
      </w:pPr>
      <w:r w:rsidRPr="00246257">
        <w:t>that the commissioner may seek information or documents from the respondent in relation to the complaint.</w:t>
      </w:r>
    </w:p>
    <w:p w14:paraId="088CAE0C" w14:textId="500EE401" w:rsidR="00430EC6" w:rsidRDefault="00430EC6" w:rsidP="00430EC6">
      <w:pPr>
        <w:pStyle w:val="Heading1"/>
        <w:ind w:left="791" w:hanging="780"/>
      </w:pPr>
      <w:bookmarkStart w:id="103" w:name="_Toc170381488"/>
      <w:bookmarkStart w:id="104" w:name="_Toc171324793"/>
      <w:bookmarkStart w:id="105" w:name="_Toc171341106"/>
      <w:r>
        <w:rPr>
          <w:sz w:val="24"/>
        </w:rPr>
        <w:t>12</w:t>
      </w:r>
      <w:r w:rsidR="004C5403">
        <w:rPr>
          <w:sz w:val="24"/>
        </w:rPr>
        <w:t>2</w:t>
      </w:r>
      <w:r>
        <w:rPr>
          <w:sz w:val="24"/>
        </w:rPr>
        <w:tab/>
        <w:t>Commissioner may ask or direct relevant person to give information</w:t>
      </w:r>
      <w:bookmarkEnd w:id="103"/>
      <w:bookmarkEnd w:id="104"/>
      <w:bookmarkEnd w:id="105"/>
    </w:p>
    <w:p w14:paraId="17FDAF65" w14:textId="060A1F4D" w:rsidR="00430EC6" w:rsidRDefault="00430EC6" w:rsidP="009400C8">
      <w:pPr>
        <w:numPr>
          <w:ilvl w:val="0"/>
          <w:numId w:val="29"/>
        </w:numPr>
        <w:spacing w:after="135" w:line="235" w:lineRule="auto"/>
        <w:ind w:hanging="360"/>
        <w:jc w:val="both"/>
      </w:pPr>
      <w:r>
        <w:t>This section applies in relation to the commissioner for making preliminary inquiries under section 11</w:t>
      </w:r>
      <w:r w:rsidR="008F5C6A">
        <w:t>2</w:t>
      </w:r>
      <w:r>
        <w:t xml:space="preserve"> or dealing with a complaint under this part.</w:t>
      </w:r>
    </w:p>
    <w:p w14:paraId="7A3E6F88" w14:textId="77777777" w:rsidR="00430EC6" w:rsidRDefault="00430EC6" w:rsidP="009400C8">
      <w:pPr>
        <w:numPr>
          <w:ilvl w:val="0"/>
          <w:numId w:val="29"/>
        </w:numPr>
        <w:spacing w:after="135" w:line="235" w:lineRule="auto"/>
        <w:ind w:hanging="360"/>
        <w:jc w:val="both"/>
      </w:pPr>
      <w:r>
        <w:t>The commissioner may, by written notice given to a relevant person, ask or direct the person to give the commissioner information about the complaint within the reasonable period stated in the notice.</w:t>
      </w:r>
    </w:p>
    <w:p w14:paraId="4849BD4D" w14:textId="77777777" w:rsidR="00430EC6" w:rsidRDefault="00430EC6" w:rsidP="009400C8">
      <w:pPr>
        <w:numPr>
          <w:ilvl w:val="0"/>
          <w:numId w:val="29"/>
        </w:numPr>
        <w:spacing w:after="135" w:line="235" w:lineRule="auto"/>
        <w:ind w:hanging="360"/>
        <w:jc w:val="both"/>
      </w:pPr>
      <w:r>
        <w:t>The notice must state the purpose for making the request or giving the direction.</w:t>
      </w:r>
    </w:p>
    <w:p w14:paraId="4659628C" w14:textId="15089FA3" w:rsidR="00430EC6" w:rsidRDefault="00430EC6" w:rsidP="006A6FAF">
      <w:pPr>
        <w:numPr>
          <w:ilvl w:val="0"/>
          <w:numId w:val="29"/>
        </w:numPr>
        <w:spacing w:after="135" w:line="235" w:lineRule="auto"/>
        <w:ind w:hanging="360"/>
        <w:jc w:val="both"/>
      </w:pPr>
      <w:r>
        <w:t>For information in an electronic document, compliance with the request or direction requires the giving of a clear written reproduction of the information.</w:t>
      </w:r>
    </w:p>
    <w:p w14:paraId="6E26640E" w14:textId="77777777" w:rsidR="00430EC6" w:rsidRDefault="00430EC6" w:rsidP="009400C8">
      <w:pPr>
        <w:numPr>
          <w:ilvl w:val="0"/>
          <w:numId w:val="30"/>
        </w:numPr>
        <w:spacing w:after="135" w:line="235" w:lineRule="auto"/>
        <w:ind w:hanging="360"/>
        <w:jc w:val="both"/>
      </w:pPr>
      <w:r>
        <w:t>The relevant person must comply with a direction unless the person has a reasonable excuse.</w:t>
      </w:r>
    </w:p>
    <w:p w14:paraId="51D96D10" w14:textId="77777777" w:rsidR="00430EC6" w:rsidRDefault="00430EC6" w:rsidP="009400C8">
      <w:pPr>
        <w:numPr>
          <w:ilvl w:val="0"/>
          <w:numId w:val="30"/>
        </w:numPr>
        <w:spacing w:after="135" w:line="235" w:lineRule="auto"/>
        <w:ind w:hanging="360"/>
        <w:jc w:val="both"/>
      </w:pPr>
      <w:r>
        <w:t>It is a reasonable excuse for a relevant person to fail to comply with a direction because, for example, complying with the direction—</w:t>
      </w:r>
    </w:p>
    <w:p w14:paraId="1D39E1F2" w14:textId="77777777" w:rsidR="00430EC6" w:rsidRDefault="00430EC6" w:rsidP="00284D9A">
      <w:pPr>
        <w:numPr>
          <w:ilvl w:val="1"/>
          <w:numId w:val="30"/>
        </w:numPr>
        <w:spacing w:after="135" w:line="235" w:lineRule="auto"/>
        <w:ind w:left="1811" w:hanging="360"/>
        <w:jc w:val="both"/>
      </w:pPr>
      <w:r>
        <w:t>would require the person to disclose information that is the subject of legal professional privilege; or</w:t>
      </w:r>
    </w:p>
    <w:p w14:paraId="509DC04D" w14:textId="77777777" w:rsidR="00430EC6" w:rsidRDefault="00430EC6" w:rsidP="00284D9A">
      <w:pPr>
        <w:numPr>
          <w:ilvl w:val="1"/>
          <w:numId w:val="30"/>
        </w:numPr>
        <w:spacing w:line="251" w:lineRule="auto"/>
        <w:ind w:left="1811" w:hanging="360"/>
        <w:jc w:val="both"/>
      </w:pPr>
      <w:r>
        <w:t>for an individual—might tend to incriminate the individual or make the individual liable to a penalty.</w:t>
      </w:r>
    </w:p>
    <w:p w14:paraId="4EE73D70" w14:textId="77777777" w:rsidR="00430EC6" w:rsidRDefault="00430EC6" w:rsidP="009400C8">
      <w:pPr>
        <w:numPr>
          <w:ilvl w:val="0"/>
          <w:numId w:val="30"/>
        </w:numPr>
        <w:spacing w:after="135" w:line="235" w:lineRule="auto"/>
        <w:ind w:hanging="360"/>
        <w:jc w:val="both"/>
      </w:pPr>
      <w:r>
        <w:t>The commissioner may enforce a direction by filing a copy of the direction with a court of competent jurisdiction.</w:t>
      </w:r>
    </w:p>
    <w:p w14:paraId="182CC802" w14:textId="77777777" w:rsidR="00430EC6" w:rsidRDefault="00430EC6" w:rsidP="009400C8">
      <w:pPr>
        <w:numPr>
          <w:ilvl w:val="0"/>
          <w:numId w:val="30"/>
        </w:numPr>
        <w:spacing w:after="135" w:line="235" w:lineRule="auto"/>
        <w:ind w:hanging="360"/>
        <w:jc w:val="both"/>
      </w:pPr>
      <w:r>
        <w:t>The direction is then enforceable as if it were an order of the court.</w:t>
      </w:r>
    </w:p>
    <w:p w14:paraId="3B2EFD80" w14:textId="77777777" w:rsidR="00B31D60" w:rsidRDefault="00430EC6" w:rsidP="009400C8">
      <w:pPr>
        <w:numPr>
          <w:ilvl w:val="0"/>
          <w:numId w:val="30"/>
        </w:numPr>
        <w:spacing w:after="0" w:line="334" w:lineRule="auto"/>
        <w:ind w:hanging="360"/>
        <w:jc w:val="both"/>
      </w:pPr>
      <w:r>
        <w:t xml:space="preserve">In this section— </w:t>
      </w:r>
    </w:p>
    <w:p w14:paraId="0901B1CC" w14:textId="3350BB52" w:rsidR="00430EC6" w:rsidRDefault="00430EC6" w:rsidP="00B31D60">
      <w:pPr>
        <w:spacing w:after="0" w:line="334" w:lineRule="auto"/>
        <w:ind w:left="1249"/>
        <w:jc w:val="both"/>
      </w:pPr>
      <w:r w:rsidRPr="00246257">
        <w:rPr>
          <w:rFonts w:eastAsia="Times New Roman" w:cs="Arial"/>
          <w:b/>
          <w:i/>
        </w:rPr>
        <w:t>information</w:t>
      </w:r>
      <w:r>
        <w:t xml:space="preserve"> includes a document.</w:t>
      </w:r>
    </w:p>
    <w:p w14:paraId="210E9403" w14:textId="77777777" w:rsidR="00430EC6" w:rsidRDefault="00430EC6" w:rsidP="00430EC6">
      <w:pPr>
        <w:ind w:left="1259"/>
      </w:pPr>
      <w:r w:rsidRPr="00246257">
        <w:rPr>
          <w:rFonts w:eastAsia="Times New Roman" w:cs="Arial"/>
          <w:b/>
          <w:i/>
        </w:rPr>
        <w:t>relevant person</w:t>
      </w:r>
      <w:r>
        <w:t>, for a complaint, means—</w:t>
      </w:r>
    </w:p>
    <w:p w14:paraId="4750F3B5" w14:textId="77777777" w:rsidR="00430EC6" w:rsidRDefault="00430EC6" w:rsidP="00284D9A">
      <w:pPr>
        <w:numPr>
          <w:ilvl w:val="1"/>
          <w:numId w:val="30"/>
        </w:numPr>
        <w:spacing w:after="135" w:line="235" w:lineRule="auto"/>
        <w:ind w:left="1811" w:hanging="360"/>
        <w:jc w:val="both"/>
      </w:pPr>
      <w:r>
        <w:t>the complainant or respondent; or</w:t>
      </w:r>
    </w:p>
    <w:p w14:paraId="07A23E93" w14:textId="77777777" w:rsidR="00430EC6" w:rsidRDefault="00430EC6" w:rsidP="00284D9A">
      <w:pPr>
        <w:numPr>
          <w:ilvl w:val="1"/>
          <w:numId w:val="30"/>
        </w:numPr>
        <w:spacing w:after="135" w:line="235" w:lineRule="auto"/>
        <w:ind w:left="1811" w:hanging="360"/>
        <w:jc w:val="both"/>
      </w:pPr>
      <w:r>
        <w:t>for a representative complaint, a class member for the complaint; or</w:t>
      </w:r>
    </w:p>
    <w:p w14:paraId="76473C61" w14:textId="77777777" w:rsidR="00430EC6" w:rsidRDefault="00430EC6" w:rsidP="00284D9A">
      <w:pPr>
        <w:numPr>
          <w:ilvl w:val="1"/>
          <w:numId w:val="30"/>
        </w:numPr>
        <w:spacing w:after="487" w:line="235" w:lineRule="auto"/>
        <w:ind w:left="1811" w:hanging="360"/>
        <w:jc w:val="both"/>
      </w:pPr>
      <w:r>
        <w:t>another person the commissioner considers has information relevant to the complaint in the person’s possession or control.</w:t>
      </w:r>
    </w:p>
    <w:p w14:paraId="25E4512C" w14:textId="55EBFCDE" w:rsidR="00430EC6" w:rsidRDefault="00430EC6" w:rsidP="00430EC6">
      <w:pPr>
        <w:pStyle w:val="Heading1"/>
        <w:tabs>
          <w:tab w:val="center" w:pos="2869"/>
        </w:tabs>
        <w:spacing w:after="68"/>
      </w:pPr>
      <w:bookmarkStart w:id="106" w:name="_Toc170381489"/>
      <w:bookmarkStart w:id="107" w:name="_Toc171324794"/>
      <w:bookmarkStart w:id="108" w:name="_Toc171341107"/>
      <w:r>
        <w:rPr>
          <w:sz w:val="24"/>
        </w:rPr>
        <w:t>12</w:t>
      </w:r>
      <w:r w:rsidR="004C5403">
        <w:rPr>
          <w:sz w:val="24"/>
        </w:rPr>
        <w:t>3</w:t>
      </w:r>
      <w:r>
        <w:rPr>
          <w:sz w:val="24"/>
        </w:rPr>
        <w:tab/>
        <w:t>Timeframe for dealing with complaint</w:t>
      </w:r>
      <w:bookmarkEnd w:id="106"/>
      <w:bookmarkEnd w:id="107"/>
      <w:bookmarkEnd w:id="108"/>
    </w:p>
    <w:p w14:paraId="430AC93F" w14:textId="77777777" w:rsidR="00430EC6" w:rsidRDefault="00430EC6" w:rsidP="00430EC6">
      <w:pPr>
        <w:spacing w:after="63"/>
        <w:ind w:left="1259"/>
      </w:pPr>
      <w:r>
        <w:t>The commissioner must use the commissioner’s best endeavours to finish dealing with a complaint within 12 months after the complaint is made.</w:t>
      </w:r>
    </w:p>
    <w:p w14:paraId="0FD73B93" w14:textId="77777777" w:rsidR="00430EC6" w:rsidRDefault="00430EC6" w:rsidP="00430EC6">
      <w:pPr>
        <w:spacing w:after="71" w:line="259" w:lineRule="auto"/>
        <w:ind w:left="1243" w:hanging="10"/>
      </w:pPr>
      <w:r w:rsidRPr="00246257">
        <w:rPr>
          <w:rFonts w:eastAsia="Times New Roman" w:cs="Arial"/>
          <w:i/>
          <w:sz w:val="20"/>
        </w:rPr>
        <w:t>Note—</w:t>
      </w:r>
    </w:p>
    <w:p w14:paraId="79873352" w14:textId="73BF3733" w:rsidR="00430EC6" w:rsidRDefault="00430EC6" w:rsidP="00CE781B">
      <w:pPr>
        <w:spacing w:after="166"/>
        <w:ind w:left="1483" w:hanging="10"/>
      </w:pPr>
      <w:r>
        <w:rPr>
          <w:sz w:val="20"/>
        </w:rPr>
        <w:t>See, however, section 12</w:t>
      </w:r>
      <w:r w:rsidR="00243929">
        <w:rPr>
          <w:sz w:val="20"/>
        </w:rPr>
        <w:t>5</w:t>
      </w:r>
      <w:r>
        <w:rPr>
          <w:sz w:val="20"/>
        </w:rPr>
        <w:t xml:space="preserve"> in relation to requesting the complaint to be referred to the tribunal if the commissioner has not finished dealing with it within 6 months after the commissioner </w:t>
      </w:r>
      <w:r w:rsidR="00AE05FE">
        <w:rPr>
          <w:sz w:val="20"/>
        </w:rPr>
        <w:t xml:space="preserve">gives notice </w:t>
      </w:r>
      <w:r w:rsidR="00CE781B">
        <w:rPr>
          <w:sz w:val="20"/>
        </w:rPr>
        <w:t>under section 12</w:t>
      </w:r>
      <w:r w:rsidR="00243929">
        <w:rPr>
          <w:sz w:val="20"/>
        </w:rPr>
        <w:t>1</w:t>
      </w:r>
      <w:r>
        <w:rPr>
          <w:sz w:val="20"/>
        </w:rPr>
        <w:t>.</w:t>
      </w:r>
    </w:p>
    <w:p w14:paraId="52C8D3B0" w14:textId="089D7895" w:rsidR="00430EC6" w:rsidRDefault="00430EC6" w:rsidP="00430EC6">
      <w:pPr>
        <w:pStyle w:val="Heading1"/>
        <w:tabs>
          <w:tab w:val="center" w:pos="2673"/>
        </w:tabs>
      </w:pPr>
      <w:bookmarkStart w:id="109" w:name="_Toc170381490"/>
      <w:bookmarkStart w:id="110" w:name="_Toc171324795"/>
      <w:bookmarkStart w:id="111" w:name="_Toc171341108"/>
      <w:r>
        <w:rPr>
          <w:sz w:val="24"/>
        </w:rPr>
        <w:lastRenderedPageBreak/>
        <w:t>12</w:t>
      </w:r>
      <w:r w:rsidR="004C5403">
        <w:rPr>
          <w:sz w:val="24"/>
        </w:rPr>
        <w:t>4</w:t>
      </w:r>
      <w:r>
        <w:rPr>
          <w:sz w:val="24"/>
        </w:rPr>
        <w:tab/>
        <w:t>Complaint not able to be resolved</w:t>
      </w:r>
      <w:bookmarkEnd w:id="109"/>
      <w:bookmarkEnd w:id="110"/>
      <w:bookmarkEnd w:id="111"/>
    </w:p>
    <w:p w14:paraId="7D6DED5C" w14:textId="77777777" w:rsidR="00430EC6" w:rsidRDefault="00430EC6" w:rsidP="009400C8">
      <w:pPr>
        <w:numPr>
          <w:ilvl w:val="0"/>
          <w:numId w:val="31"/>
        </w:numPr>
        <w:spacing w:after="135" w:line="235" w:lineRule="auto"/>
        <w:ind w:hanging="360"/>
        <w:jc w:val="both"/>
      </w:pPr>
      <w:r>
        <w:t xml:space="preserve">If the commissioner believes that a complaint accepted by the commissioner </w:t>
      </w:r>
      <w:proofErr w:type="spellStart"/>
      <w:r>
        <w:t>can not</w:t>
      </w:r>
      <w:proofErr w:type="spellEnd"/>
      <w:r>
        <w:t xml:space="preserve"> be resolved by dispute resolution under division 5, the commissioner must promptly tell the complainant and the respondent by written notice.</w:t>
      </w:r>
    </w:p>
    <w:p w14:paraId="7D37EE3C" w14:textId="77777777" w:rsidR="00430EC6" w:rsidRDefault="00430EC6" w:rsidP="009400C8">
      <w:pPr>
        <w:numPr>
          <w:ilvl w:val="0"/>
          <w:numId w:val="31"/>
        </w:numPr>
        <w:spacing w:after="135" w:line="235" w:lineRule="auto"/>
        <w:ind w:hanging="360"/>
        <w:jc w:val="both"/>
      </w:pPr>
      <w:r>
        <w:t xml:space="preserve">The obligation in subsection (1) arises </w:t>
      </w:r>
      <w:proofErr w:type="gramStart"/>
      <w:r>
        <w:t>whether or not</w:t>
      </w:r>
      <w:proofErr w:type="gramEnd"/>
      <w:r>
        <w:t xml:space="preserve"> dispute resolution has been attempted.</w:t>
      </w:r>
    </w:p>
    <w:p w14:paraId="65BB71E6" w14:textId="77777777" w:rsidR="00430EC6" w:rsidRDefault="00430EC6" w:rsidP="009400C8">
      <w:pPr>
        <w:numPr>
          <w:ilvl w:val="0"/>
          <w:numId w:val="31"/>
        </w:numPr>
        <w:spacing w:after="135" w:line="235" w:lineRule="auto"/>
        <w:ind w:hanging="360"/>
        <w:jc w:val="both"/>
      </w:pPr>
      <w:r>
        <w:t>Within 28 days after the written notice is given or a longer period agreed by the commissioner under subsection (6), the complainant may, by written notice, require the commissioner to refer the complaint to—</w:t>
      </w:r>
    </w:p>
    <w:p w14:paraId="5B422A81" w14:textId="77777777" w:rsidR="00BB5B28" w:rsidRDefault="00430EC6" w:rsidP="00BB5B28">
      <w:pPr>
        <w:numPr>
          <w:ilvl w:val="2"/>
          <w:numId w:val="31"/>
        </w:numPr>
        <w:spacing w:after="2" w:line="291" w:lineRule="auto"/>
        <w:jc w:val="both"/>
      </w:pPr>
      <w:r>
        <w:t xml:space="preserve">if the complaint is or includes a work-related matter—the IRC; or </w:t>
      </w:r>
    </w:p>
    <w:p w14:paraId="630D795E" w14:textId="14DCFA24" w:rsidR="00430EC6" w:rsidRDefault="00430EC6" w:rsidP="00BB5B28">
      <w:pPr>
        <w:numPr>
          <w:ilvl w:val="2"/>
          <w:numId w:val="31"/>
        </w:numPr>
        <w:spacing w:after="2" w:line="291" w:lineRule="auto"/>
        <w:jc w:val="both"/>
      </w:pPr>
      <w:r>
        <w:t>otherwise—QCAT.</w:t>
      </w:r>
    </w:p>
    <w:p w14:paraId="16F5EBCF" w14:textId="77777777" w:rsidR="00430EC6" w:rsidRDefault="00430EC6" w:rsidP="00430EC6">
      <w:pPr>
        <w:spacing w:after="71" w:line="259" w:lineRule="auto"/>
        <w:ind w:left="1243" w:hanging="10"/>
      </w:pPr>
      <w:r w:rsidRPr="00246257">
        <w:rPr>
          <w:rFonts w:eastAsia="Times New Roman" w:cs="Arial"/>
          <w:i/>
          <w:sz w:val="20"/>
        </w:rPr>
        <w:t>Note—</w:t>
      </w:r>
    </w:p>
    <w:p w14:paraId="736423CF" w14:textId="3B81485C" w:rsidR="00430EC6" w:rsidRDefault="00430EC6" w:rsidP="00430EC6">
      <w:pPr>
        <w:spacing w:after="166"/>
        <w:ind w:left="1483" w:hanging="10"/>
      </w:pPr>
      <w:r>
        <w:rPr>
          <w:sz w:val="20"/>
        </w:rPr>
        <w:t>If the complaint includes a work-related matter and a matter other than a work-related matter, the complaint must be referred to the IRC. However, the IRC may transfer the complaint to QCAT under section 201.</w:t>
      </w:r>
    </w:p>
    <w:p w14:paraId="63BEC491" w14:textId="0EA6C078" w:rsidR="00430EC6" w:rsidRDefault="00BB5B28" w:rsidP="009400C8">
      <w:pPr>
        <w:numPr>
          <w:ilvl w:val="0"/>
          <w:numId w:val="31"/>
        </w:numPr>
        <w:spacing w:after="135" w:line="235" w:lineRule="auto"/>
        <w:ind w:hanging="360"/>
        <w:jc w:val="both"/>
      </w:pPr>
      <w:r>
        <w:t xml:space="preserve">If the commissioner is given a written notice under subsection </w:t>
      </w:r>
      <w:r w:rsidR="002A7B02">
        <w:t>(3) for the complaint, the commissioner must promptly</w:t>
      </w:r>
      <w:r w:rsidR="00430EC6">
        <w:t>—</w:t>
      </w:r>
    </w:p>
    <w:p w14:paraId="42F7E1F0" w14:textId="77777777" w:rsidR="002A7B02" w:rsidRDefault="00430EC6" w:rsidP="002A7B02">
      <w:pPr>
        <w:numPr>
          <w:ilvl w:val="2"/>
          <w:numId w:val="31"/>
        </w:numPr>
        <w:spacing w:after="1" w:line="358" w:lineRule="auto"/>
        <w:jc w:val="both"/>
      </w:pPr>
      <w:r>
        <w:t xml:space="preserve">refer the complaint to the IRC or QCAT; and </w:t>
      </w:r>
    </w:p>
    <w:p w14:paraId="2887DEFF" w14:textId="48550B95" w:rsidR="00430EC6" w:rsidRDefault="00430EC6" w:rsidP="002A7B02">
      <w:pPr>
        <w:numPr>
          <w:ilvl w:val="2"/>
          <w:numId w:val="31"/>
        </w:numPr>
        <w:spacing w:after="1" w:line="358" w:lineRule="auto"/>
        <w:jc w:val="both"/>
      </w:pPr>
      <w:r>
        <w:t>give the respondent a copy of the complaint.</w:t>
      </w:r>
    </w:p>
    <w:p w14:paraId="7F829AD3" w14:textId="77777777" w:rsidR="00430EC6" w:rsidRDefault="00430EC6" w:rsidP="009400C8">
      <w:pPr>
        <w:numPr>
          <w:ilvl w:val="0"/>
          <w:numId w:val="31"/>
        </w:numPr>
        <w:spacing w:after="62" w:line="235" w:lineRule="auto"/>
        <w:ind w:hanging="360"/>
        <w:jc w:val="both"/>
      </w:pPr>
      <w:r>
        <w:t>The complainant is the applicant for the purposes of the relevant tribunal Act.</w:t>
      </w:r>
    </w:p>
    <w:p w14:paraId="507A87B6" w14:textId="77777777" w:rsidR="00430EC6" w:rsidRDefault="00430EC6" w:rsidP="00430EC6">
      <w:pPr>
        <w:spacing w:after="71" w:line="259" w:lineRule="auto"/>
        <w:ind w:left="1243" w:hanging="10"/>
      </w:pPr>
      <w:r w:rsidRPr="00246257">
        <w:rPr>
          <w:rFonts w:eastAsia="Times New Roman" w:cs="Arial"/>
          <w:i/>
          <w:sz w:val="20"/>
        </w:rPr>
        <w:t>Note—</w:t>
      </w:r>
    </w:p>
    <w:p w14:paraId="07B54316" w14:textId="77777777" w:rsidR="00430EC6" w:rsidRDefault="00430EC6" w:rsidP="00430EC6">
      <w:pPr>
        <w:spacing w:after="166"/>
        <w:ind w:left="1483" w:hanging="10"/>
      </w:pPr>
      <w:r>
        <w:rPr>
          <w:sz w:val="20"/>
        </w:rPr>
        <w:t>If the complainant does not give written notice under subsection (3), the commissioner finishes dealing with the complaint—see section 139(e).</w:t>
      </w:r>
    </w:p>
    <w:p w14:paraId="4FDB6108" w14:textId="77777777" w:rsidR="00430EC6" w:rsidRDefault="00430EC6" w:rsidP="009400C8">
      <w:pPr>
        <w:numPr>
          <w:ilvl w:val="0"/>
          <w:numId w:val="31"/>
        </w:numPr>
        <w:spacing w:after="135" w:line="235" w:lineRule="auto"/>
        <w:ind w:hanging="360"/>
        <w:jc w:val="both"/>
      </w:pPr>
      <w:r>
        <w:t>The commissioner may agree to a longer period for subsection (3) if—</w:t>
      </w:r>
    </w:p>
    <w:p w14:paraId="2E265908" w14:textId="687D14F9" w:rsidR="00430EC6" w:rsidRDefault="00430EC6" w:rsidP="002A7B02">
      <w:pPr>
        <w:numPr>
          <w:ilvl w:val="2"/>
          <w:numId w:val="31"/>
        </w:numPr>
        <w:spacing w:after="135" w:line="235" w:lineRule="auto"/>
        <w:jc w:val="both"/>
      </w:pPr>
      <w:r>
        <w:t>the complainant asks the commissioner, in writing, for an extension within the 28-day period mentioned in the subsection; and</w:t>
      </w:r>
    </w:p>
    <w:p w14:paraId="10325BAE" w14:textId="77777777" w:rsidR="00430EC6" w:rsidRDefault="00430EC6" w:rsidP="002A7B02">
      <w:pPr>
        <w:numPr>
          <w:ilvl w:val="2"/>
          <w:numId w:val="31"/>
        </w:numPr>
        <w:spacing w:after="135" w:line="235" w:lineRule="auto"/>
        <w:jc w:val="both"/>
      </w:pPr>
      <w:r>
        <w:t>the commissioner considers—</w:t>
      </w:r>
    </w:p>
    <w:p w14:paraId="7CCDFBE7" w14:textId="35DD25C0" w:rsidR="00430EC6" w:rsidRDefault="00430EC6" w:rsidP="002A7B02">
      <w:pPr>
        <w:pStyle w:val="ListParagraph"/>
        <w:numPr>
          <w:ilvl w:val="0"/>
          <w:numId w:val="67"/>
        </w:numPr>
        <w:tabs>
          <w:tab w:val="center" w:pos="1913"/>
          <w:tab w:val="center" w:pos="4639"/>
        </w:tabs>
        <w:spacing w:line="251" w:lineRule="auto"/>
      </w:pPr>
      <w:r>
        <w:t>there are reasonable grounds for the request; and</w:t>
      </w:r>
    </w:p>
    <w:p w14:paraId="637F2661" w14:textId="56C9DC9E" w:rsidR="0044632C" w:rsidRPr="00246257" w:rsidRDefault="002A7B02" w:rsidP="0044632C">
      <w:pPr>
        <w:pStyle w:val="ListParagraph"/>
        <w:numPr>
          <w:ilvl w:val="0"/>
          <w:numId w:val="67"/>
        </w:numPr>
        <w:tabs>
          <w:tab w:val="center" w:pos="1913"/>
          <w:tab w:val="center" w:pos="4639"/>
        </w:tabs>
        <w:spacing w:line="251" w:lineRule="auto"/>
      </w:pPr>
      <w:r>
        <w:t>the extension will not cause undue hardship to the respondent.</w:t>
      </w:r>
    </w:p>
    <w:p w14:paraId="3C60542A" w14:textId="3E6E5802" w:rsidR="00033A2B" w:rsidRDefault="00E51CB1" w:rsidP="00E51CB1">
      <w:pPr>
        <w:spacing w:after="135" w:line="235" w:lineRule="auto"/>
        <w:ind w:left="889"/>
        <w:jc w:val="both"/>
      </w:pPr>
      <w:r>
        <w:t xml:space="preserve">(7) </w:t>
      </w:r>
      <w:r w:rsidR="00033A2B">
        <w:t>If the complainant asks for the extension, the day the complainant asks for the extension, the day the complainant is given written notice of the commissioner’s decision about the extension and any period between those days, is not included in the period mentioned in subsection (1) within which the complaint may be referred to the tribunal.</w:t>
      </w:r>
    </w:p>
    <w:p w14:paraId="110E54F6" w14:textId="7D336D5D" w:rsidR="00EC1DC4" w:rsidRDefault="00033A2B" w:rsidP="00E51CB1">
      <w:pPr>
        <w:pStyle w:val="ListParagraph"/>
        <w:numPr>
          <w:ilvl w:val="0"/>
          <w:numId w:val="72"/>
        </w:numPr>
        <w:spacing w:after="135" w:line="235" w:lineRule="auto"/>
        <w:jc w:val="both"/>
      </w:pPr>
      <w:r>
        <w:t>However, if the complainant asks for the extension on the last day of the period mentioned in subsection (1) and the extension is subsequently refused, the complainant may require the commissioner to refer the complaint to the tribunal by making a written request on the day the complainant receives written notice of the refusal or on the next day that is a business day.</w:t>
      </w:r>
    </w:p>
    <w:p w14:paraId="7ABA93FB" w14:textId="23D72A9F" w:rsidR="0044632C" w:rsidRPr="00246257" w:rsidRDefault="0044632C" w:rsidP="00E51CB1">
      <w:pPr>
        <w:pStyle w:val="ListParagraph"/>
        <w:numPr>
          <w:ilvl w:val="0"/>
          <w:numId w:val="72"/>
        </w:numPr>
        <w:spacing w:after="135" w:line="235" w:lineRule="auto"/>
        <w:jc w:val="both"/>
      </w:pPr>
      <w:r>
        <w:t xml:space="preserve">If </w:t>
      </w:r>
      <w:r w:rsidRPr="00246257">
        <w:t>the commissioner gives notice under subsection (1) for a complaint, section 12</w:t>
      </w:r>
      <w:r w:rsidR="00CC5100">
        <w:t>5</w:t>
      </w:r>
      <w:r w:rsidRPr="00246257">
        <w:t xml:space="preserve"> does not apply, or stops applying, in relation to the complaint.</w:t>
      </w:r>
    </w:p>
    <w:p w14:paraId="623F8B8E" w14:textId="66ED455D" w:rsidR="00430EC6" w:rsidRDefault="00430EC6" w:rsidP="00430EC6">
      <w:pPr>
        <w:pStyle w:val="Heading1"/>
        <w:ind w:left="791" w:hanging="780"/>
      </w:pPr>
      <w:bookmarkStart w:id="112" w:name="_Toc170381491"/>
      <w:bookmarkStart w:id="113" w:name="_Toc171324796"/>
      <w:bookmarkStart w:id="114" w:name="_Toc171341109"/>
      <w:r>
        <w:rPr>
          <w:sz w:val="24"/>
        </w:rPr>
        <w:lastRenderedPageBreak/>
        <w:t>12</w:t>
      </w:r>
      <w:r w:rsidR="006D0557">
        <w:rPr>
          <w:sz w:val="24"/>
        </w:rPr>
        <w:t>5</w:t>
      </w:r>
      <w:r>
        <w:rPr>
          <w:sz w:val="24"/>
        </w:rPr>
        <w:tab/>
        <w:t>Complainant or respondent may seek referral after 6 months</w:t>
      </w:r>
      <w:bookmarkEnd w:id="112"/>
      <w:bookmarkEnd w:id="113"/>
      <w:bookmarkEnd w:id="114"/>
    </w:p>
    <w:p w14:paraId="3AD9B721" w14:textId="29CC4959" w:rsidR="00430EC6" w:rsidRDefault="00430EC6" w:rsidP="00E51CB1">
      <w:pPr>
        <w:numPr>
          <w:ilvl w:val="0"/>
          <w:numId w:val="32"/>
        </w:numPr>
        <w:spacing w:after="135" w:line="235" w:lineRule="auto"/>
        <w:ind w:hanging="360"/>
        <w:jc w:val="both"/>
      </w:pPr>
      <w:r>
        <w:t xml:space="preserve">If the commissioner has not finished dealing with a complaint 6 months after </w:t>
      </w:r>
      <w:r w:rsidR="000D6EB4">
        <w:t xml:space="preserve">giving notice under section </w:t>
      </w:r>
      <w:r w:rsidR="00D3499A">
        <w:t>12</w:t>
      </w:r>
      <w:r w:rsidR="00A164E7">
        <w:t>1</w:t>
      </w:r>
      <w:r w:rsidR="00D3499A">
        <w:t xml:space="preserve"> </w:t>
      </w:r>
      <w:r w:rsidR="00B11774">
        <w:t>for</w:t>
      </w:r>
      <w:r>
        <w:t xml:space="preserve"> the complaint, either the complainant or the respondent may, by written notice, request the commissioner to refer the complaint to—</w:t>
      </w:r>
    </w:p>
    <w:p w14:paraId="4ED9B42F" w14:textId="77777777" w:rsidR="00B11774" w:rsidRDefault="00430EC6" w:rsidP="00E51CB1">
      <w:pPr>
        <w:numPr>
          <w:ilvl w:val="1"/>
          <w:numId w:val="32"/>
        </w:numPr>
        <w:spacing w:after="0" w:line="297" w:lineRule="auto"/>
        <w:ind w:hanging="360"/>
        <w:jc w:val="both"/>
      </w:pPr>
      <w:r>
        <w:t xml:space="preserve">if the complaint is or includes a work-related matter—the IRC; or </w:t>
      </w:r>
    </w:p>
    <w:p w14:paraId="4D534015" w14:textId="602605F0" w:rsidR="00430EC6" w:rsidRDefault="00430EC6" w:rsidP="00E51CB1">
      <w:pPr>
        <w:numPr>
          <w:ilvl w:val="1"/>
          <w:numId w:val="32"/>
        </w:numPr>
        <w:spacing w:after="0" w:line="297" w:lineRule="auto"/>
        <w:ind w:hanging="360"/>
        <w:jc w:val="both"/>
      </w:pPr>
      <w:r>
        <w:t>otherwise—QCAT.</w:t>
      </w:r>
    </w:p>
    <w:p w14:paraId="0DCE5055" w14:textId="39FB4381" w:rsidR="00430EC6" w:rsidRDefault="00430EC6" w:rsidP="00430EC6">
      <w:pPr>
        <w:spacing w:after="71" w:line="259" w:lineRule="auto"/>
        <w:ind w:left="1243" w:hanging="10"/>
      </w:pPr>
      <w:r w:rsidRPr="00246257">
        <w:rPr>
          <w:rFonts w:eastAsia="Times New Roman" w:cs="Arial"/>
          <w:i/>
          <w:sz w:val="20"/>
        </w:rPr>
        <w:t>Note—</w:t>
      </w:r>
    </w:p>
    <w:p w14:paraId="3EEC732B" w14:textId="77777777" w:rsidR="00430EC6" w:rsidRDefault="00430EC6" w:rsidP="00430EC6">
      <w:pPr>
        <w:spacing w:after="166"/>
        <w:ind w:left="1483" w:hanging="10"/>
      </w:pPr>
      <w:r>
        <w:rPr>
          <w:sz w:val="20"/>
        </w:rPr>
        <w:t>If the complaint includes a work-related matter and a matter other than a work-related matter, the complaint must be referred to the IRC. However, the IRC may transfer the complaint to QCAT under section 201.</w:t>
      </w:r>
    </w:p>
    <w:p w14:paraId="100B0B7F" w14:textId="77777777" w:rsidR="00430EC6" w:rsidRDefault="00430EC6" w:rsidP="00E51CB1">
      <w:pPr>
        <w:numPr>
          <w:ilvl w:val="0"/>
          <w:numId w:val="32"/>
        </w:numPr>
        <w:spacing w:after="135" w:line="235" w:lineRule="auto"/>
        <w:ind w:hanging="360"/>
        <w:jc w:val="both"/>
      </w:pPr>
      <w:r>
        <w:t>The commissioner may defer acting on a request for up to 28 days, if there is a significant prospect that the matter can be resolved by dispute resolution under division 5 within that period.</w:t>
      </w:r>
    </w:p>
    <w:p w14:paraId="12C4B692" w14:textId="77777777" w:rsidR="00430EC6" w:rsidRDefault="00430EC6" w:rsidP="00E51CB1">
      <w:pPr>
        <w:numPr>
          <w:ilvl w:val="0"/>
          <w:numId w:val="32"/>
        </w:numPr>
        <w:spacing w:after="135" w:line="235" w:lineRule="auto"/>
        <w:ind w:hanging="360"/>
        <w:jc w:val="both"/>
      </w:pPr>
      <w:r>
        <w:t>If the matter is not resolved at the end of 28 days, the procedures in subsection (4) or (5) apply.</w:t>
      </w:r>
    </w:p>
    <w:p w14:paraId="1F9CB1B1" w14:textId="77777777" w:rsidR="00430EC6" w:rsidRDefault="00430EC6" w:rsidP="00E51CB1">
      <w:pPr>
        <w:numPr>
          <w:ilvl w:val="0"/>
          <w:numId w:val="32"/>
        </w:numPr>
        <w:spacing w:after="135" w:line="235" w:lineRule="auto"/>
        <w:ind w:hanging="360"/>
        <w:jc w:val="both"/>
      </w:pPr>
      <w:r>
        <w:t>If the respondent requests the commissioner to refer the complaint—</w:t>
      </w:r>
    </w:p>
    <w:p w14:paraId="5959A50C" w14:textId="77777777" w:rsidR="00430EC6" w:rsidRDefault="00430EC6" w:rsidP="00E51CB1">
      <w:pPr>
        <w:numPr>
          <w:ilvl w:val="1"/>
          <w:numId w:val="32"/>
        </w:numPr>
        <w:spacing w:after="135" w:line="235" w:lineRule="auto"/>
        <w:ind w:hanging="360"/>
        <w:jc w:val="both"/>
      </w:pPr>
      <w:r>
        <w:t>the commissioner must ask the complainant whether the complainant agrees to the complaint being referred; and</w:t>
      </w:r>
    </w:p>
    <w:p w14:paraId="5F1D9DB7" w14:textId="77777777" w:rsidR="00430EC6" w:rsidRDefault="00430EC6" w:rsidP="00E51CB1">
      <w:pPr>
        <w:numPr>
          <w:ilvl w:val="1"/>
          <w:numId w:val="32"/>
        </w:numPr>
        <w:spacing w:after="135" w:line="235" w:lineRule="auto"/>
        <w:ind w:hanging="360"/>
        <w:jc w:val="both"/>
      </w:pPr>
      <w:r>
        <w:t>if the complainant agrees in writing—the commissioner must refer the complaint to the IRC or QCAT; and</w:t>
      </w:r>
    </w:p>
    <w:p w14:paraId="71D9493C" w14:textId="145E3082" w:rsidR="00430EC6" w:rsidRDefault="00430EC6" w:rsidP="00E51CB1">
      <w:pPr>
        <w:numPr>
          <w:ilvl w:val="1"/>
          <w:numId w:val="32"/>
        </w:numPr>
        <w:spacing w:after="135" w:line="235" w:lineRule="auto"/>
        <w:ind w:hanging="360"/>
        <w:jc w:val="both"/>
      </w:pPr>
      <w:r>
        <w:t xml:space="preserve">if the complainant does not agree in writing within 28 days—the complaint lapses, and the complainant </w:t>
      </w:r>
      <w:proofErr w:type="spellStart"/>
      <w:r>
        <w:t>can</w:t>
      </w:r>
      <w:r w:rsidR="00ED38FA">
        <w:t xml:space="preserve"> </w:t>
      </w:r>
      <w:r>
        <w:t>not</w:t>
      </w:r>
      <w:proofErr w:type="spellEnd"/>
      <w:r>
        <w:t xml:space="preserve"> make a further complaint relating to the alleged contravention the subject of the complaint; and</w:t>
      </w:r>
    </w:p>
    <w:p w14:paraId="37DB7570" w14:textId="77777777" w:rsidR="00430EC6" w:rsidRDefault="00430EC6" w:rsidP="00E51CB1">
      <w:pPr>
        <w:numPr>
          <w:ilvl w:val="1"/>
          <w:numId w:val="32"/>
        </w:numPr>
        <w:spacing w:after="135" w:line="235" w:lineRule="auto"/>
        <w:ind w:hanging="360"/>
        <w:jc w:val="both"/>
      </w:pPr>
      <w:r>
        <w:t>the commissioner may extend the 28-day period, but only if the complainant asks, in writing, for an extension before the 28 days have passed.</w:t>
      </w:r>
    </w:p>
    <w:p w14:paraId="7935203A" w14:textId="77777777" w:rsidR="00430EC6" w:rsidRDefault="00430EC6" w:rsidP="00E51CB1">
      <w:pPr>
        <w:numPr>
          <w:ilvl w:val="0"/>
          <w:numId w:val="32"/>
        </w:numPr>
        <w:spacing w:after="135" w:line="235" w:lineRule="auto"/>
        <w:ind w:hanging="360"/>
        <w:jc w:val="both"/>
      </w:pPr>
      <w:r>
        <w:t>If the complainant requests the commissioner, in writing, to refer the complaint, the commissioner must comply.</w:t>
      </w:r>
    </w:p>
    <w:p w14:paraId="06224969" w14:textId="77777777" w:rsidR="00430EC6" w:rsidRDefault="00430EC6" w:rsidP="00E51CB1">
      <w:pPr>
        <w:numPr>
          <w:ilvl w:val="0"/>
          <w:numId w:val="32"/>
        </w:numPr>
        <w:spacing w:after="135" w:line="235" w:lineRule="auto"/>
        <w:ind w:hanging="360"/>
        <w:jc w:val="both"/>
      </w:pPr>
      <w:r>
        <w:t>If the commissioner refers the complaint to the IRC or QCAT, the commissioner must promptly give the respondent a copy of the complaint.</w:t>
      </w:r>
    </w:p>
    <w:p w14:paraId="6C66E9D4" w14:textId="77777777" w:rsidR="00430EC6" w:rsidRDefault="00430EC6" w:rsidP="00E51CB1">
      <w:pPr>
        <w:numPr>
          <w:ilvl w:val="0"/>
          <w:numId w:val="32"/>
        </w:numPr>
        <w:spacing w:after="520" w:line="235" w:lineRule="auto"/>
        <w:ind w:hanging="360"/>
        <w:jc w:val="both"/>
      </w:pPr>
      <w:r>
        <w:t>The complainant is the applicant for the purposes of the relevant tribunal Act.</w:t>
      </w:r>
    </w:p>
    <w:p w14:paraId="43255C0E" w14:textId="79D860F9" w:rsidR="00430EC6" w:rsidRDefault="00430EC6" w:rsidP="00430EC6">
      <w:pPr>
        <w:pStyle w:val="Heading1"/>
        <w:tabs>
          <w:tab w:val="center" w:pos="3629"/>
        </w:tabs>
        <w:spacing w:after="459"/>
        <w:ind w:left="-15"/>
      </w:pPr>
      <w:bookmarkStart w:id="115" w:name="_Toc170381492"/>
      <w:bookmarkStart w:id="116" w:name="_Toc171324797"/>
      <w:bookmarkStart w:id="117" w:name="_Toc171341110"/>
      <w:r>
        <w:rPr>
          <w:sz w:val="28"/>
        </w:rPr>
        <w:t>Division 5</w:t>
      </w:r>
      <w:r>
        <w:rPr>
          <w:sz w:val="28"/>
        </w:rPr>
        <w:tab/>
        <w:t>Dispute resolution</w:t>
      </w:r>
      <w:bookmarkEnd w:id="115"/>
      <w:bookmarkEnd w:id="116"/>
      <w:bookmarkEnd w:id="117"/>
    </w:p>
    <w:p w14:paraId="5879D503" w14:textId="77777777" w:rsidR="00A17681" w:rsidRDefault="00430EC6" w:rsidP="00430EC6">
      <w:pPr>
        <w:pStyle w:val="Heading1"/>
        <w:spacing w:after="421"/>
        <w:ind w:left="-5"/>
        <w:rPr>
          <w:sz w:val="28"/>
        </w:rPr>
      </w:pPr>
      <w:bookmarkStart w:id="118" w:name="_Toc171324798"/>
      <w:bookmarkStart w:id="119" w:name="_Toc170381493"/>
      <w:bookmarkStart w:id="120" w:name="_Toc171341111"/>
      <w:r>
        <w:rPr>
          <w:sz w:val="28"/>
        </w:rPr>
        <w:t>Subdivision 1</w:t>
      </w:r>
      <w:r>
        <w:rPr>
          <w:sz w:val="28"/>
        </w:rPr>
        <w:tab/>
        <w:t>General provisions</w:t>
      </w:r>
      <w:bookmarkEnd w:id="118"/>
      <w:bookmarkEnd w:id="120"/>
      <w:r>
        <w:rPr>
          <w:sz w:val="28"/>
        </w:rPr>
        <w:t xml:space="preserve"> </w:t>
      </w:r>
    </w:p>
    <w:p w14:paraId="0B49709D" w14:textId="7F643573" w:rsidR="00430EC6" w:rsidRDefault="00AB328C" w:rsidP="00430EC6">
      <w:pPr>
        <w:pStyle w:val="Heading1"/>
        <w:spacing w:after="421"/>
        <w:ind w:left="-5"/>
      </w:pPr>
      <w:bookmarkStart w:id="121" w:name="_Toc171324799"/>
      <w:bookmarkStart w:id="122" w:name="_Toc171341112"/>
      <w:r>
        <w:rPr>
          <w:sz w:val="24"/>
        </w:rPr>
        <w:t>126</w:t>
      </w:r>
      <w:r w:rsidR="00430EC6">
        <w:rPr>
          <w:sz w:val="24"/>
        </w:rPr>
        <w:tab/>
        <w:t>Principles for dispute resolution</w:t>
      </w:r>
      <w:bookmarkEnd w:id="119"/>
      <w:bookmarkEnd w:id="121"/>
      <w:bookmarkEnd w:id="122"/>
    </w:p>
    <w:p w14:paraId="1B71DD40" w14:textId="77777777" w:rsidR="00430EC6" w:rsidRDefault="00430EC6" w:rsidP="00430EC6">
      <w:pPr>
        <w:ind w:left="1259"/>
      </w:pPr>
      <w:r>
        <w:t>The following principles apply in relation to a complaint accepted by the commissioner—</w:t>
      </w:r>
    </w:p>
    <w:p w14:paraId="7A41AC26" w14:textId="77777777" w:rsidR="00430EC6" w:rsidRDefault="00430EC6" w:rsidP="00E51CB1">
      <w:pPr>
        <w:numPr>
          <w:ilvl w:val="0"/>
          <w:numId w:val="33"/>
        </w:numPr>
        <w:spacing w:after="135" w:line="235" w:lineRule="auto"/>
        <w:ind w:hanging="360"/>
        <w:jc w:val="both"/>
      </w:pPr>
      <w:r>
        <w:lastRenderedPageBreak/>
        <w:t xml:space="preserve">dispute resolution should be provided for the complaint as early as </w:t>
      </w:r>
      <w:proofErr w:type="gramStart"/>
      <w:r>
        <w:t>possible;</w:t>
      </w:r>
      <w:proofErr w:type="gramEnd"/>
    </w:p>
    <w:p w14:paraId="44762E15" w14:textId="77777777" w:rsidR="00430EC6" w:rsidRDefault="00430EC6" w:rsidP="00E51CB1">
      <w:pPr>
        <w:numPr>
          <w:ilvl w:val="0"/>
          <w:numId w:val="33"/>
        </w:numPr>
        <w:spacing w:after="135" w:line="235" w:lineRule="auto"/>
        <w:ind w:hanging="360"/>
        <w:jc w:val="both"/>
      </w:pPr>
      <w:r>
        <w:t xml:space="preserve">the type of dispute resolution provided for the complaint should be appropriate to the nature of the </w:t>
      </w:r>
      <w:proofErr w:type="gramStart"/>
      <w:r>
        <w:t>complaint;</w:t>
      </w:r>
      <w:proofErr w:type="gramEnd"/>
    </w:p>
    <w:p w14:paraId="04D2B446" w14:textId="77777777" w:rsidR="00430EC6" w:rsidRDefault="00430EC6" w:rsidP="00E51CB1">
      <w:pPr>
        <w:numPr>
          <w:ilvl w:val="0"/>
          <w:numId w:val="33"/>
        </w:numPr>
        <w:spacing w:after="135" w:line="235" w:lineRule="auto"/>
        <w:ind w:hanging="360"/>
        <w:jc w:val="both"/>
      </w:pPr>
      <w:r>
        <w:t xml:space="preserve">the dispute resolution process provided for the complaint should be fair to all </w:t>
      </w:r>
      <w:proofErr w:type="gramStart"/>
      <w:r>
        <w:t>parties;</w:t>
      </w:r>
      <w:proofErr w:type="gramEnd"/>
      <w:r>
        <w:t xml:space="preserve"> </w:t>
      </w:r>
    </w:p>
    <w:p w14:paraId="225A9056" w14:textId="4033C66F" w:rsidR="00430EC6" w:rsidRDefault="00430EC6" w:rsidP="00E51CB1">
      <w:pPr>
        <w:numPr>
          <w:ilvl w:val="0"/>
          <w:numId w:val="33"/>
        </w:numPr>
        <w:spacing w:after="135" w:line="235" w:lineRule="auto"/>
        <w:ind w:hanging="360"/>
        <w:jc w:val="both"/>
      </w:pPr>
      <w:r>
        <w:t>dispute resolution for the complaint should be consistent with the purposes of this Act.</w:t>
      </w:r>
    </w:p>
    <w:p w14:paraId="093383B4" w14:textId="45AAC711" w:rsidR="00430EC6" w:rsidRDefault="00AB328C" w:rsidP="00430EC6">
      <w:pPr>
        <w:pStyle w:val="Heading1"/>
        <w:tabs>
          <w:tab w:val="center" w:pos="3047"/>
        </w:tabs>
      </w:pPr>
      <w:bookmarkStart w:id="123" w:name="_Toc170381494"/>
      <w:bookmarkStart w:id="124" w:name="_Toc171324800"/>
      <w:bookmarkStart w:id="125" w:name="_Toc171341113"/>
      <w:r>
        <w:rPr>
          <w:sz w:val="24"/>
        </w:rPr>
        <w:t>127</w:t>
      </w:r>
      <w:r w:rsidR="00430EC6">
        <w:rPr>
          <w:sz w:val="24"/>
        </w:rPr>
        <w:tab/>
        <w:t>Action to be taken for dispute resolution</w:t>
      </w:r>
      <w:bookmarkEnd w:id="123"/>
      <w:bookmarkEnd w:id="124"/>
      <w:bookmarkEnd w:id="125"/>
    </w:p>
    <w:p w14:paraId="185047C4" w14:textId="77777777" w:rsidR="00430EC6" w:rsidRDefault="00430EC6" w:rsidP="00E51CB1">
      <w:pPr>
        <w:numPr>
          <w:ilvl w:val="0"/>
          <w:numId w:val="34"/>
        </w:numPr>
        <w:spacing w:after="135" w:line="235" w:lineRule="auto"/>
        <w:ind w:hanging="360"/>
        <w:jc w:val="both"/>
      </w:pPr>
      <w:r>
        <w:t xml:space="preserve">If the commissioner accepts a complaint, the commissioner must </w:t>
      </w:r>
      <w:proofErr w:type="gramStart"/>
      <w:r>
        <w:t>take action</w:t>
      </w:r>
      <w:proofErr w:type="gramEnd"/>
      <w:r>
        <w:t xml:space="preserve"> the commissioner considers appropriate to provide dispute resolution for the complaint.</w:t>
      </w:r>
    </w:p>
    <w:p w14:paraId="5ADDE698" w14:textId="77777777" w:rsidR="00430EC6" w:rsidRDefault="00430EC6" w:rsidP="00E51CB1">
      <w:pPr>
        <w:numPr>
          <w:ilvl w:val="0"/>
          <w:numId w:val="34"/>
        </w:numPr>
        <w:spacing w:after="135" w:line="235" w:lineRule="auto"/>
        <w:ind w:hanging="360"/>
        <w:jc w:val="both"/>
      </w:pPr>
      <w:r>
        <w:t>Without limiting subsection (1), the commissioner may—</w:t>
      </w:r>
    </w:p>
    <w:p w14:paraId="0DE43E7F" w14:textId="77777777" w:rsidR="00430EC6" w:rsidRDefault="00430EC6" w:rsidP="00E51CB1">
      <w:pPr>
        <w:numPr>
          <w:ilvl w:val="1"/>
          <w:numId w:val="34"/>
        </w:numPr>
        <w:spacing w:line="251" w:lineRule="auto"/>
        <w:ind w:hanging="360"/>
        <w:jc w:val="both"/>
      </w:pPr>
      <w:r>
        <w:t>ask the respondent to make submissions to the commissioner in writing in response to the complaint; or</w:t>
      </w:r>
    </w:p>
    <w:p w14:paraId="083E497C" w14:textId="77777777" w:rsidR="00430EC6" w:rsidRDefault="00430EC6" w:rsidP="00E51CB1">
      <w:pPr>
        <w:numPr>
          <w:ilvl w:val="1"/>
          <w:numId w:val="34"/>
        </w:numPr>
        <w:spacing w:after="135" w:line="235" w:lineRule="auto"/>
        <w:ind w:hanging="360"/>
        <w:jc w:val="both"/>
      </w:pPr>
      <w:r>
        <w:t>give the complainant a copy of the respondent’s submissions; or</w:t>
      </w:r>
    </w:p>
    <w:p w14:paraId="5895C820" w14:textId="1E0AF6FC" w:rsidR="00430EC6" w:rsidRDefault="00430EC6" w:rsidP="00E51CB1">
      <w:pPr>
        <w:numPr>
          <w:ilvl w:val="1"/>
          <w:numId w:val="34"/>
        </w:numPr>
        <w:spacing w:after="135" w:line="235" w:lineRule="auto"/>
        <w:ind w:hanging="360"/>
        <w:jc w:val="both"/>
      </w:pPr>
      <w:r>
        <w:t xml:space="preserve">ask or direct the complainant or respondent to give the commissioner information relevant to the complaint, including under section </w:t>
      </w:r>
      <w:r w:rsidR="00555CB1">
        <w:t>12</w:t>
      </w:r>
      <w:r w:rsidR="00BE5B6F">
        <w:t>2</w:t>
      </w:r>
      <w:r>
        <w:t>; or</w:t>
      </w:r>
    </w:p>
    <w:p w14:paraId="052B68AB" w14:textId="5F0FE9B3" w:rsidR="00430EC6" w:rsidRDefault="00430EC6" w:rsidP="00E51CB1">
      <w:pPr>
        <w:numPr>
          <w:ilvl w:val="1"/>
          <w:numId w:val="34"/>
        </w:numPr>
        <w:spacing w:after="135" w:line="235" w:lineRule="auto"/>
        <w:ind w:hanging="360"/>
        <w:jc w:val="both"/>
      </w:pPr>
      <w:r>
        <w:t>make enquiries of, and discuss the complaint with, the complainant and the respondent; or</w:t>
      </w:r>
    </w:p>
    <w:p w14:paraId="6D5B10F4" w14:textId="77777777" w:rsidR="00430EC6" w:rsidRDefault="00430EC6" w:rsidP="00E51CB1">
      <w:pPr>
        <w:numPr>
          <w:ilvl w:val="1"/>
          <w:numId w:val="34"/>
        </w:numPr>
        <w:spacing w:after="135" w:line="235" w:lineRule="auto"/>
        <w:ind w:hanging="360"/>
        <w:jc w:val="both"/>
      </w:pPr>
      <w:r>
        <w:t>facilitate discussions between the complainant and the respondent; or</w:t>
      </w:r>
    </w:p>
    <w:p w14:paraId="59A6609E" w14:textId="5823F1E3" w:rsidR="00430EC6" w:rsidRDefault="00430EC6" w:rsidP="00E51CB1">
      <w:pPr>
        <w:numPr>
          <w:ilvl w:val="1"/>
          <w:numId w:val="34"/>
        </w:numPr>
        <w:spacing w:after="135" w:line="235" w:lineRule="auto"/>
        <w:ind w:hanging="360"/>
        <w:jc w:val="both"/>
      </w:pPr>
      <w:r>
        <w:t>give information to the respondent about how to comply with this Act; or</w:t>
      </w:r>
    </w:p>
    <w:p w14:paraId="5ED57087" w14:textId="77777777" w:rsidR="00430EC6" w:rsidRDefault="00430EC6" w:rsidP="00E51CB1">
      <w:pPr>
        <w:numPr>
          <w:ilvl w:val="1"/>
          <w:numId w:val="34"/>
        </w:numPr>
        <w:spacing w:after="135" w:line="235" w:lineRule="auto"/>
        <w:ind w:hanging="360"/>
        <w:jc w:val="both"/>
      </w:pPr>
      <w:r>
        <w:t>cause the complaint to be conciliated under subdivision 2.</w:t>
      </w:r>
    </w:p>
    <w:p w14:paraId="3D4AD0CC" w14:textId="77777777" w:rsidR="00430EC6" w:rsidRDefault="00430EC6" w:rsidP="00E51CB1">
      <w:pPr>
        <w:numPr>
          <w:ilvl w:val="0"/>
          <w:numId w:val="34"/>
        </w:numPr>
        <w:spacing w:after="135" w:line="235" w:lineRule="auto"/>
        <w:ind w:hanging="360"/>
        <w:jc w:val="both"/>
      </w:pPr>
      <w:r>
        <w:t>The commissioner may take action to provide dispute resolution in the way the commissioner considers appropriate, including, for example—</w:t>
      </w:r>
    </w:p>
    <w:p w14:paraId="7A38EF35" w14:textId="77777777" w:rsidR="00430EC6" w:rsidRDefault="00430EC6" w:rsidP="00E51CB1">
      <w:pPr>
        <w:numPr>
          <w:ilvl w:val="1"/>
          <w:numId w:val="34"/>
        </w:numPr>
        <w:spacing w:after="135" w:line="235" w:lineRule="auto"/>
        <w:ind w:hanging="360"/>
        <w:jc w:val="both"/>
      </w:pPr>
      <w:r>
        <w:t>by communicating with the complainant or respondent in person or by telephone, email or another electronic means; and</w:t>
      </w:r>
    </w:p>
    <w:p w14:paraId="753DC0EF" w14:textId="77777777" w:rsidR="00430EC6" w:rsidRDefault="00430EC6" w:rsidP="00E51CB1">
      <w:pPr>
        <w:numPr>
          <w:ilvl w:val="1"/>
          <w:numId w:val="34"/>
        </w:numPr>
        <w:spacing w:after="135" w:line="235" w:lineRule="auto"/>
        <w:ind w:hanging="360"/>
        <w:jc w:val="both"/>
      </w:pPr>
      <w:r>
        <w:t>by engaging with the complainant and respondent separately or together or by using an intermediary to engage with the complainant and respondent.</w:t>
      </w:r>
    </w:p>
    <w:p w14:paraId="684F0641" w14:textId="77777777" w:rsidR="00854B39" w:rsidRDefault="00430EC6" w:rsidP="00430EC6">
      <w:pPr>
        <w:pStyle w:val="Heading1"/>
        <w:spacing w:after="421"/>
        <w:ind w:left="-5"/>
        <w:rPr>
          <w:sz w:val="28"/>
        </w:rPr>
      </w:pPr>
      <w:bookmarkStart w:id="126" w:name="_Toc171324801"/>
      <w:bookmarkStart w:id="127" w:name="_Toc170381495"/>
      <w:bookmarkStart w:id="128" w:name="_Toc171341114"/>
      <w:r>
        <w:rPr>
          <w:sz w:val="28"/>
        </w:rPr>
        <w:t>Subdivision 2</w:t>
      </w:r>
      <w:r>
        <w:rPr>
          <w:sz w:val="28"/>
        </w:rPr>
        <w:tab/>
        <w:t>Conciliation</w:t>
      </w:r>
      <w:bookmarkEnd w:id="126"/>
      <w:bookmarkEnd w:id="128"/>
      <w:r>
        <w:rPr>
          <w:sz w:val="28"/>
        </w:rPr>
        <w:t xml:space="preserve"> </w:t>
      </w:r>
    </w:p>
    <w:p w14:paraId="1ABBBCF4" w14:textId="18524FE3" w:rsidR="00430EC6" w:rsidRDefault="00AB328C" w:rsidP="00430EC6">
      <w:pPr>
        <w:pStyle w:val="Heading1"/>
        <w:spacing w:after="421"/>
        <w:ind w:left="-5"/>
      </w:pPr>
      <w:bookmarkStart w:id="129" w:name="_Toc171324802"/>
      <w:bookmarkStart w:id="130" w:name="_Toc171341115"/>
      <w:r>
        <w:rPr>
          <w:sz w:val="24"/>
        </w:rPr>
        <w:t>128</w:t>
      </w:r>
      <w:r w:rsidR="00430EC6">
        <w:rPr>
          <w:sz w:val="24"/>
        </w:rPr>
        <w:tab/>
        <w:t>Commissioner may conduct conciliation conference</w:t>
      </w:r>
      <w:bookmarkEnd w:id="127"/>
      <w:bookmarkEnd w:id="129"/>
      <w:bookmarkEnd w:id="130"/>
    </w:p>
    <w:p w14:paraId="2F4CA03A" w14:textId="77777777" w:rsidR="00430EC6" w:rsidRDefault="00430EC6" w:rsidP="00430EC6">
      <w:pPr>
        <w:spacing w:after="487"/>
        <w:ind w:left="1259"/>
      </w:pPr>
      <w:r>
        <w:t xml:space="preserve">If the commissioner accepts a complaint, the commissioner may conduct a conference (a </w:t>
      </w:r>
      <w:r w:rsidRPr="00246257">
        <w:rPr>
          <w:rFonts w:eastAsia="Times New Roman" w:cs="Arial"/>
          <w:b/>
          <w:i/>
        </w:rPr>
        <w:t>conciliation conference</w:t>
      </w:r>
      <w:r>
        <w:t>) under this subdivision for the purpose of conciliating the complaint.</w:t>
      </w:r>
    </w:p>
    <w:p w14:paraId="29ABA4C4" w14:textId="0D9597F8" w:rsidR="00430EC6" w:rsidRDefault="00AB328C" w:rsidP="00430EC6">
      <w:pPr>
        <w:pStyle w:val="Heading1"/>
        <w:tabs>
          <w:tab w:val="center" w:pos="2084"/>
        </w:tabs>
        <w:spacing w:after="68"/>
      </w:pPr>
      <w:bookmarkStart w:id="131" w:name="_Toc170381496"/>
      <w:bookmarkStart w:id="132" w:name="_Toc171324803"/>
      <w:bookmarkStart w:id="133" w:name="_Toc171341116"/>
      <w:r>
        <w:rPr>
          <w:sz w:val="24"/>
        </w:rPr>
        <w:t>129</w:t>
      </w:r>
      <w:r w:rsidR="00430EC6">
        <w:rPr>
          <w:sz w:val="24"/>
        </w:rPr>
        <w:tab/>
        <w:t>Purpose of conciliation</w:t>
      </w:r>
      <w:bookmarkEnd w:id="131"/>
      <w:bookmarkEnd w:id="132"/>
      <w:bookmarkEnd w:id="133"/>
    </w:p>
    <w:p w14:paraId="38DCC8EC" w14:textId="77777777" w:rsidR="00430EC6" w:rsidRDefault="00430EC6" w:rsidP="00430EC6">
      <w:pPr>
        <w:spacing w:after="487"/>
        <w:ind w:left="1259"/>
      </w:pPr>
      <w:r>
        <w:t>The purpose of conciliation of a complaint is to promote the resolution of the complaint in a way that is informal, quick and efficient.</w:t>
      </w:r>
    </w:p>
    <w:p w14:paraId="0914D7C9" w14:textId="163457EE" w:rsidR="00430EC6" w:rsidRDefault="00AB328C" w:rsidP="00430EC6">
      <w:pPr>
        <w:pStyle w:val="Heading1"/>
        <w:tabs>
          <w:tab w:val="center" w:pos="2909"/>
        </w:tabs>
      </w:pPr>
      <w:bookmarkStart w:id="134" w:name="_Toc170381497"/>
      <w:bookmarkStart w:id="135" w:name="_Toc171324804"/>
      <w:bookmarkStart w:id="136" w:name="_Toc171341117"/>
      <w:r>
        <w:rPr>
          <w:sz w:val="24"/>
        </w:rPr>
        <w:lastRenderedPageBreak/>
        <w:t>130</w:t>
      </w:r>
      <w:r w:rsidR="00430EC6">
        <w:rPr>
          <w:sz w:val="24"/>
        </w:rPr>
        <w:tab/>
        <w:t>Attendance at conciliation conference</w:t>
      </w:r>
      <w:bookmarkEnd w:id="134"/>
      <w:bookmarkEnd w:id="135"/>
      <w:bookmarkEnd w:id="136"/>
    </w:p>
    <w:p w14:paraId="7FA6E985" w14:textId="096F36A5" w:rsidR="00430EC6" w:rsidRDefault="00430EC6" w:rsidP="00E51CB1">
      <w:pPr>
        <w:numPr>
          <w:ilvl w:val="0"/>
          <w:numId w:val="35"/>
        </w:numPr>
        <w:spacing w:after="135" w:line="235" w:lineRule="auto"/>
        <w:ind w:hanging="360"/>
        <w:jc w:val="both"/>
      </w:pPr>
      <w:r>
        <w:t>The commissioner may invite any of the following persons to take part in a conciliation conference—</w:t>
      </w:r>
    </w:p>
    <w:p w14:paraId="415999AA" w14:textId="77777777" w:rsidR="00430EC6" w:rsidRDefault="00430EC6" w:rsidP="00E51CB1">
      <w:pPr>
        <w:numPr>
          <w:ilvl w:val="1"/>
          <w:numId w:val="35"/>
        </w:numPr>
        <w:spacing w:after="135" w:line="235" w:lineRule="auto"/>
        <w:ind w:left="1811" w:hanging="360"/>
        <w:jc w:val="both"/>
      </w:pPr>
      <w:r>
        <w:t xml:space="preserve">the complainant or </w:t>
      </w:r>
      <w:proofErr w:type="gramStart"/>
      <w:r>
        <w:t>respondent;</w:t>
      </w:r>
      <w:proofErr w:type="gramEnd"/>
    </w:p>
    <w:p w14:paraId="2568DC76" w14:textId="77777777" w:rsidR="00430EC6" w:rsidRDefault="00430EC6" w:rsidP="00E51CB1">
      <w:pPr>
        <w:numPr>
          <w:ilvl w:val="1"/>
          <w:numId w:val="35"/>
        </w:numPr>
        <w:spacing w:after="135" w:line="235" w:lineRule="auto"/>
        <w:ind w:left="1811" w:hanging="360"/>
        <w:jc w:val="both"/>
      </w:pPr>
      <w:r>
        <w:t xml:space="preserve">for a representative complaint, a class member for the </w:t>
      </w:r>
      <w:proofErr w:type="gramStart"/>
      <w:r>
        <w:t>complaint;</w:t>
      </w:r>
      <w:proofErr w:type="gramEnd"/>
    </w:p>
    <w:p w14:paraId="42DE5C34" w14:textId="77777777" w:rsidR="00430EC6" w:rsidRDefault="00430EC6" w:rsidP="00E51CB1">
      <w:pPr>
        <w:numPr>
          <w:ilvl w:val="1"/>
          <w:numId w:val="35"/>
        </w:numPr>
        <w:spacing w:after="135" w:line="235" w:lineRule="auto"/>
        <w:ind w:left="1811" w:hanging="360"/>
        <w:jc w:val="both"/>
      </w:pPr>
      <w:r>
        <w:t xml:space="preserve">a person who the commissioner considers may be able to give information relevant to the conciliation of the </w:t>
      </w:r>
      <w:proofErr w:type="gramStart"/>
      <w:r>
        <w:t>complaint;</w:t>
      </w:r>
      <w:proofErr w:type="gramEnd"/>
    </w:p>
    <w:p w14:paraId="67841FB7" w14:textId="77777777" w:rsidR="00430EC6" w:rsidRDefault="00430EC6" w:rsidP="00E51CB1">
      <w:pPr>
        <w:numPr>
          <w:ilvl w:val="1"/>
          <w:numId w:val="35"/>
        </w:numPr>
        <w:spacing w:after="135" w:line="235" w:lineRule="auto"/>
        <w:ind w:left="1811" w:hanging="360"/>
        <w:jc w:val="both"/>
      </w:pPr>
      <w:r>
        <w:t>a person whose presence at the conference the commissioner considers is likely to be conducive to the conciliation of the complaint.</w:t>
      </w:r>
    </w:p>
    <w:p w14:paraId="52C18DBD" w14:textId="77777777" w:rsidR="00430EC6" w:rsidRDefault="00430EC6" w:rsidP="00E51CB1">
      <w:pPr>
        <w:numPr>
          <w:ilvl w:val="0"/>
          <w:numId w:val="35"/>
        </w:numPr>
        <w:spacing w:after="135" w:line="235" w:lineRule="auto"/>
        <w:ind w:hanging="360"/>
        <w:jc w:val="both"/>
      </w:pPr>
      <w:r>
        <w:t xml:space="preserve">The commissioner may, by written notice, direct a person mentioned in subsection (1) to take part in a conciliation conference, </w:t>
      </w:r>
      <w:proofErr w:type="gramStart"/>
      <w:r>
        <w:t>whether or not</w:t>
      </w:r>
      <w:proofErr w:type="gramEnd"/>
      <w:r>
        <w:t xml:space="preserve"> the person was invited to take part in the conciliation conference under the subsection.</w:t>
      </w:r>
    </w:p>
    <w:p w14:paraId="666778D4" w14:textId="77777777" w:rsidR="00430EC6" w:rsidRDefault="00430EC6" w:rsidP="00E51CB1">
      <w:pPr>
        <w:numPr>
          <w:ilvl w:val="0"/>
          <w:numId w:val="35"/>
        </w:numPr>
        <w:spacing w:after="135" w:line="235" w:lineRule="auto"/>
        <w:ind w:hanging="360"/>
        <w:jc w:val="both"/>
      </w:pPr>
      <w:r>
        <w:t>The commissioner may enforce the direction by filing a copy of it with a court of competent jurisdiction.</w:t>
      </w:r>
    </w:p>
    <w:p w14:paraId="2A934FCF" w14:textId="77777777" w:rsidR="00430EC6" w:rsidRDefault="00430EC6" w:rsidP="00E51CB1">
      <w:pPr>
        <w:numPr>
          <w:ilvl w:val="0"/>
          <w:numId w:val="35"/>
        </w:numPr>
        <w:spacing w:after="135" w:line="235" w:lineRule="auto"/>
        <w:ind w:hanging="360"/>
        <w:jc w:val="both"/>
      </w:pPr>
      <w:r>
        <w:t>The direction is then enforceable as if it were an order of the court.</w:t>
      </w:r>
    </w:p>
    <w:p w14:paraId="18E70B6B" w14:textId="273CD158" w:rsidR="00430EC6" w:rsidRDefault="00430EC6" w:rsidP="00430EC6">
      <w:pPr>
        <w:pStyle w:val="Heading1"/>
        <w:tabs>
          <w:tab w:val="center" w:pos="3226"/>
        </w:tabs>
      </w:pPr>
      <w:bookmarkStart w:id="137" w:name="_Toc170381498"/>
      <w:bookmarkStart w:id="138" w:name="_Toc171324805"/>
      <w:bookmarkStart w:id="139" w:name="_Toc171341118"/>
      <w:r>
        <w:rPr>
          <w:sz w:val="24"/>
        </w:rPr>
        <w:t>13</w:t>
      </w:r>
      <w:r w:rsidR="00AB328C">
        <w:rPr>
          <w:sz w:val="24"/>
        </w:rPr>
        <w:t>1</w:t>
      </w:r>
      <w:r>
        <w:rPr>
          <w:sz w:val="24"/>
        </w:rPr>
        <w:tab/>
        <w:t>Party fails to attend conciliation conference</w:t>
      </w:r>
      <w:bookmarkEnd w:id="137"/>
      <w:bookmarkEnd w:id="138"/>
      <w:bookmarkEnd w:id="139"/>
    </w:p>
    <w:p w14:paraId="72ADB98C" w14:textId="77777777" w:rsidR="00430EC6" w:rsidRDefault="00430EC6" w:rsidP="00E51CB1">
      <w:pPr>
        <w:numPr>
          <w:ilvl w:val="0"/>
          <w:numId w:val="36"/>
        </w:numPr>
        <w:spacing w:after="135" w:line="235" w:lineRule="auto"/>
        <w:ind w:hanging="360"/>
        <w:jc w:val="both"/>
      </w:pPr>
      <w:r>
        <w:t>If a complainant, without reasonable excuse, does not comply with a direction to attend a conciliation conference, the commissioner may, by written notice, dismiss the complaint and direct the complainant to pay costs to the respondent.</w:t>
      </w:r>
    </w:p>
    <w:p w14:paraId="0DB41A1C" w14:textId="77777777" w:rsidR="00430EC6" w:rsidRDefault="00430EC6" w:rsidP="00E51CB1">
      <w:pPr>
        <w:numPr>
          <w:ilvl w:val="0"/>
          <w:numId w:val="36"/>
        </w:numPr>
        <w:spacing w:after="135" w:line="235" w:lineRule="auto"/>
        <w:ind w:hanging="360"/>
        <w:jc w:val="both"/>
      </w:pPr>
      <w:r>
        <w:t>If a respondent, without reasonable excuse, does not comply with a direction to attend a conciliation conference, the commissioner may, by written notice, direct the respondent to pay costs to the complainant.</w:t>
      </w:r>
    </w:p>
    <w:p w14:paraId="515A6D87" w14:textId="77777777" w:rsidR="00430EC6" w:rsidRDefault="00430EC6" w:rsidP="00E51CB1">
      <w:pPr>
        <w:numPr>
          <w:ilvl w:val="0"/>
          <w:numId w:val="36"/>
        </w:numPr>
        <w:spacing w:after="135" w:line="235" w:lineRule="auto"/>
        <w:ind w:hanging="360"/>
        <w:jc w:val="both"/>
      </w:pPr>
      <w:r>
        <w:t>A party may enforce a direction as to costs by filing a copy of it with a court of competent jurisdiction.</w:t>
      </w:r>
    </w:p>
    <w:p w14:paraId="1528A737" w14:textId="77777777" w:rsidR="00430EC6" w:rsidRDefault="00430EC6" w:rsidP="00E51CB1">
      <w:pPr>
        <w:numPr>
          <w:ilvl w:val="0"/>
          <w:numId w:val="36"/>
        </w:numPr>
        <w:spacing w:after="487" w:line="235" w:lineRule="auto"/>
        <w:ind w:hanging="360"/>
        <w:jc w:val="both"/>
      </w:pPr>
      <w:r>
        <w:t>The direction is then enforceable as if it were an order of the court.</w:t>
      </w:r>
    </w:p>
    <w:p w14:paraId="53A3B448" w14:textId="6FD9F05C" w:rsidR="00430EC6" w:rsidRDefault="00430EC6" w:rsidP="00430EC6">
      <w:pPr>
        <w:pStyle w:val="Heading1"/>
        <w:tabs>
          <w:tab w:val="center" w:pos="1638"/>
        </w:tabs>
      </w:pPr>
      <w:bookmarkStart w:id="140" w:name="_Toc170381499"/>
      <w:bookmarkStart w:id="141" w:name="_Toc171324806"/>
      <w:bookmarkStart w:id="142" w:name="_Toc171341119"/>
      <w:r>
        <w:rPr>
          <w:sz w:val="24"/>
        </w:rPr>
        <w:t>13</w:t>
      </w:r>
      <w:r w:rsidR="00AB328C">
        <w:rPr>
          <w:sz w:val="24"/>
        </w:rPr>
        <w:t>2</w:t>
      </w:r>
      <w:r>
        <w:rPr>
          <w:sz w:val="24"/>
        </w:rPr>
        <w:tab/>
        <w:t>Representation</w:t>
      </w:r>
      <w:bookmarkEnd w:id="140"/>
      <w:bookmarkEnd w:id="141"/>
      <w:bookmarkEnd w:id="142"/>
    </w:p>
    <w:p w14:paraId="4A481D0D" w14:textId="1A5B8FD9" w:rsidR="00430EC6" w:rsidRDefault="00430EC6" w:rsidP="00E51CB1">
      <w:pPr>
        <w:numPr>
          <w:ilvl w:val="0"/>
          <w:numId w:val="37"/>
        </w:numPr>
        <w:spacing w:after="135" w:line="235" w:lineRule="auto"/>
        <w:ind w:hanging="360"/>
        <w:jc w:val="both"/>
      </w:pPr>
      <w:r>
        <w:t xml:space="preserve">A person may be represented by a person (a </w:t>
      </w:r>
      <w:r w:rsidRPr="00246257">
        <w:rPr>
          <w:rFonts w:eastAsia="Times New Roman" w:cs="Arial"/>
          <w:b/>
          <w:i/>
        </w:rPr>
        <w:t>representative</w:t>
      </w:r>
      <w:r>
        <w:t>) at a conciliation conference only with the commissioner’s consent.</w:t>
      </w:r>
    </w:p>
    <w:p w14:paraId="67083596" w14:textId="247F5109" w:rsidR="00430EC6" w:rsidRDefault="00430EC6" w:rsidP="00E51CB1">
      <w:pPr>
        <w:numPr>
          <w:ilvl w:val="0"/>
          <w:numId w:val="37"/>
        </w:numPr>
        <w:spacing w:after="135" w:line="235" w:lineRule="auto"/>
        <w:ind w:hanging="360"/>
        <w:jc w:val="both"/>
      </w:pPr>
      <w:r>
        <w:t>The commissioner m</w:t>
      </w:r>
      <w:r w:rsidR="00C90F68">
        <w:t>ust</w:t>
      </w:r>
      <w:r>
        <w:t xml:space="preserve"> consent to </w:t>
      </w:r>
      <w:r w:rsidR="008F3B79">
        <w:t xml:space="preserve">the </w:t>
      </w:r>
      <w:r>
        <w:t xml:space="preserve">representation </w:t>
      </w:r>
      <w:r w:rsidR="008F3B79">
        <w:t xml:space="preserve">unless it </w:t>
      </w:r>
      <w:r>
        <w:t xml:space="preserve">would </w:t>
      </w:r>
      <w:r w:rsidR="008F3B79">
        <w:t>not be in the interests</w:t>
      </w:r>
      <w:r>
        <w:t xml:space="preserve"> of </w:t>
      </w:r>
      <w:r w:rsidR="008F3B79">
        <w:t>justice</w:t>
      </w:r>
      <w:r>
        <w:t xml:space="preserve"> to </w:t>
      </w:r>
      <w:r w:rsidR="008F3B79">
        <w:t xml:space="preserve">do so. </w:t>
      </w:r>
    </w:p>
    <w:p w14:paraId="1B95BF0E" w14:textId="01759A7D" w:rsidR="00461DB0" w:rsidRDefault="00461DB0" w:rsidP="00461DB0">
      <w:pPr>
        <w:pStyle w:val="Heading1"/>
        <w:tabs>
          <w:tab w:val="center" w:pos="1638"/>
        </w:tabs>
        <w:rPr>
          <w:sz w:val="24"/>
        </w:rPr>
      </w:pPr>
      <w:bookmarkStart w:id="143" w:name="_Toc171324807"/>
      <w:bookmarkStart w:id="144" w:name="_Toc171341120"/>
      <w:r>
        <w:rPr>
          <w:sz w:val="24"/>
        </w:rPr>
        <w:t>13</w:t>
      </w:r>
      <w:r w:rsidR="002036CD">
        <w:rPr>
          <w:sz w:val="24"/>
        </w:rPr>
        <w:t>3</w:t>
      </w:r>
      <w:r>
        <w:rPr>
          <w:sz w:val="24"/>
        </w:rPr>
        <w:tab/>
        <w:t xml:space="preserve"> Support person</w:t>
      </w:r>
      <w:bookmarkEnd w:id="143"/>
      <w:bookmarkEnd w:id="144"/>
    </w:p>
    <w:p w14:paraId="5F89A315" w14:textId="3A84ADA7" w:rsidR="00461DB0" w:rsidRPr="00461DB0" w:rsidRDefault="00461DB0" w:rsidP="00E51CB1">
      <w:pPr>
        <w:pStyle w:val="ListParagraph"/>
        <w:numPr>
          <w:ilvl w:val="0"/>
          <w:numId w:val="68"/>
        </w:numPr>
      </w:pPr>
      <w:r>
        <w:t>A person may be accompanied by a support person at conciliation</w:t>
      </w:r>
      <w:r w:rsidR="00712EC5">
        <w:t xml:space="preserve"> conference with the commissioner’s consent.</w:t>
      </w:r>
    </w:p>
    <w:p w14:paraId="6A91C058" w14:textId="77777777" w:rsidR="00712EC5" w:rsidRDefault="00712EC5" w:rsidP="00E51CB1">
      <w:pPr>
        <w:pStyle w:val="ListParagraph"/>
        <w:numPr>
          <w:ilvl w:val="0"/>
          <w:numId w:val="68"/>
        </w:numPr>
      </w:pPr>
      <w:r>
        <w:t>The commissioner may—</w:t>
      </w:r>
    </w:p>
    <w:p w14:paraId="748CEFA5" w14:textId="77777777" w:rsidR="00712EC5" w:rsidRDefault="00712EC5" w:rsidP="00E51CB1">
      <w:pPr>
        <w:pStyle w:val="ListParagraph"/>
        <w:numPr>
          <w:ilvl w:val="1"/>
          <w:numId w:val="68"/>
        </w:numPr>
      </w:pPr>
      <w:r>
        <w:t>give the consent on conditions the commissioner considers reasonable; and</w:t>
      </w:r>
    </w:p>
    <w:p w14:paraId="1B2A3E17" w14:textId="36D9AE36" w:rsidR="00461DB0" w:rsidRPr="00246257" w:rsidRDefault="00712EC5" w:rsidP="00E51CB1">
      <w:pPr>
        <w:pStyle w:val="ListParagraph"/>
        <w:numPr>
          <w:ilvl w:val="1"/>
          <w:numId w:val="68"/>
        </w:numPr>
      </w:pPr>
      <w:r>
        <w:t>withdraw the consent if the person or the representative does not comply with the conditions.</w:t>
      </w:r>
    </w:p>
    <w:p w14:paraId="35CE65FB" w14:textId="7B3B3590" w:rsidR="00430EC6" w:rsidRDefault="00430EC6" w:rsidP="00430EC6">
      <w:pPr>
        <w:pStyle w:val="Heading1"/>
        <w:tabs>
          <w:tab w:val="center" w:pos="2889"/>
        </w:tabs>
        <w:spacing w:after="68"/>
      </w:pPr>
      <w:bookmarkStart w:id="145" w:name="_Toc170381500"/>
      <w:bookmarkStart w:id="146" w:name="_Toc171324808"/>
      <w:bookmarkStart w:id="147" w:name="_Toc171341121"/>
      <w:r>
        <w:rPr>
          <w:sz w:val="24"/>
        </w:rPr>
        <w:lastRenderedPageBreak/>
        <w:t>13</w:t>
      </w:r>
      <w:r w:rsidR="002036CD">
        <w:rPr>
          <w:sz w:val="24"/>
        </w:rPr>
        <w:t>4</w:t>
      </w:r>
      <w:r>
        <w:rPr>
          <w:sz w:val="24"/>
        </w:rPr>
        <w:tab/>
        <w:t>Use of interpreters and other persons</w:t>
      </w:r>
      <w:bookmarkEnd w:id="145"/>
      <w:bookmarkEnd w:id="146"/>
      <w:bookmarkEnd w:id="147"/>
    </w:p>
    <w:p w14:paraId="4A2B2985" w14:textId="77777777" w:rsidR="00430EC6" w:rsidRDefault="00430EC6" w:rsidP="00430EC6">
      <w:pPr>
        <w:ind w:left="1259"/>
      </w:pPr>
      <w:r>
        <w:t>A person may be helped at a conciliation conference by—</w:t>
      </w:r>
    </w:p>
    <w:p w14:paraId="74E4BD43" w14:textId="77777777" w:rsidR="00430EC6" w:rsidRDefault="00430EC6" w:rsidP="00E51CB1">
      <w:pPr>
        <w:numPr>
          <w:ilvl w:val="0"/>
          <w:numId w:val="38"/>
        </w:numPr>
        <w:spacing w:after="135" w:line="235" w:lineRule="auto"/>
        <w:ind w:hanging="360"/>
        <w:jc w:val="both"/>
      </w:pPr>
      <w:r>
        <w:t>an interpreter; or</w:t>
      </w:r>
    </w:p>
    <w:p w14:paraId="063DAD67" w14:textId="77777777" w:rsidR="00430EC6" w:rsidRDefault="00430EC6" w:rsidP="00E51CB1">
      <w:pPr>
        <w:numPr>
          <w:ilvl w:val="0"/>
          <w:numId w:val="38"/>
        </w:numPr>
        <w:spacing w:after="486" w:line="235" w:lineRule="auto"/>
        <w:ind w:hanging="360"/>
        <w:jc w:val="both"/>
      </w:pPr>
      <w:r>
        <w:t>another person necessary or desirable to make the conciliation conference intelligible to the person, including, for example, a person with appropriate cultural or social knowledge and experience.</w:t>
      </w:r>
    </w:p>
    <w:p w14:paraId="0731F7DA" w14:textId="17C692F3" w:rsidR="00430EC6" w:rsidRDefault="00430EC6" w:rsidP="00430EC6">
      <w:pPr>
        <w:pStyle w:val="Heading1"/>
        <w:tabs>
          <w:tab w:val="center" w:pos="2753"/>
        </w:tabs>
      </w:pPr>
      <w:bookmarkStart w:id="148" w:name="_Toc170381501"/>
      <w:bookmarkStart w:id="149" w:name="_Toc171324809"/>
      <w:bookmarkStart w:id="150" w:name="_Toc171341122"/>
      <w:r>
        <w:rPr>
          <w:sz w:val="24"/>
        </w:rPr>
        <w:t>13</w:t>
      </w:r>
      <w:r w:rsidR="002036CD">
        <w:rPr>
          <w:sz w:val="24"/>
        </w:rPr>
        <w:t>5</w:t>
      </w:r>
      <w:r>
        <w:rPr>
          <w:sz w:val="24"/>
        </w:rPr>
        <w:tab/>
        <w:t>Conduct of conciliation conference</w:t>
      </w:r>
      <w:bookmarkEnd w:id="148"/>
      <w:bookmarkEnd w:id="149"/>
      <w:bookmarkEnd w:id="150"/>
    </w:p>
    <w:p w14:paraId="22FE18D9" w14:textId="77777777" w:rsidR="00430EC6" w:rsidRDefault="00430EC6" w:rsidP="00E51CB1">
      <w:pPr>
        <w:numPr>
          <w:ilvl w:val="0"/>
          <w:numId w:val="39"/>
        </w:numPr>
        <w:spacing w:line="251" w:lineRule="auto"/>
        <w:ind w:hanging="360"/>
        <w:jc w:val="both"/>
      </w:pPr>
      <w:r>
        <w:t>In conducting a conciliation conference, the commissioner—</w:t>
      </w:r>
    </w:p>
    <w:p w14:paraId="7DBEFC12" w14:textId="77777777" w:rsidR="002D3E61" w:rsidRDefault="00430EC6" w:rsidP="00E51CB1">
      <w:pPr>
        <w:numPr>
          <w:ilvl w:val="1"/>
          <w:numId w:val="39"/>
        </w:numPr>
        <w:spacing w:after="135" w:line="235" w:lineRule="auto"/>
        <w:ind w:hanging="360"/>
        <w:jc w:val="both"/>
      </w:pPr>
      <w:r>
        <w:t xml:space="preserve">must take all reasonable steps to ensure the conduct of the conference does not disadvantage the complainant or respondent or, for a representative complaint, a class member for the complaint; and </w:t>
      </w:r>
    </w:p>
    <w:p w14:paraId="090C0E95" w14:textId="06F2CD64" w:rsidR="00430EC6" w:rsidRDefault="00430EC6" w:rsidP="00E51CB1">
      <w:pPr>
        <w:numPr>
          <w:ilvl w:val="1"/>
          <w:numId w:val="39"/>
        </w:numPr>
        <w:spacing w:after="135" w:line="235" w:lineRule="auto"/>
        <w:ind w:hanging="360"/>
        <w:jc w:val="both"/>
      </w:pPr>
      <w:r>
        <w:t>is not bound by the rules of evidence.</w:t>
      </w:r>
    </w:p>
    <w:p w14:paraId="2E982420" w14:textId="77777777" w:rsidR="00430EC6" w:rsidRDefault="00430EC6" w:rsidP="00E51CB1">
      <w:pPr>
        <w:numPr>
          <w:ilvl w:val="0"/>
          <w:numId w:val="39"/>
        </w:numPr>
        <w:spacing w:after="135" w:line="235" w:lineRule="auto"/>
        <w:ind w:hanging="360"/>
        <w:jc w:val="both"/>
      </w:pPr>
      <w:r>
        <w:t>A conciliation conference must be held in private.</w:t>
      </w:r>
    </w:p>
    <w:p w14:paraId="1DAEA9BB" w14:textId="77777777" w:rsidR="00430EC6" w:rsidRDefault="00430EC6" w:rsidP="00E51CB1">
      <w:pPr>
        <w:numPr>
          <w:ilvl w:val="0"/>
          <w:numId w:val="39"/>
        </w:numPr>
        <w:spacing w:after="135" w:line="235" w:lineRule="auto"/>
        <w:ind w:hanging="360"/>
        <w:jc w:val="both"/>
      </w:pPr>
      <w:r>
        <w:t>Subject to subsections (1) and (2), a conciliation conference is to be conducted in the way the commissioner considers appropriate, including, for example—</w:t>
      </w:r>
    </w:p>
    <w:p w14:paraId="50B2370F" w14:textId="77777777" w:rsidR="00430EC6" w:rsidRDefault="00430EC6" w:rsidP="00E51CB1">
      <w:pPr>
        <w:numPr>
          <w:ilvl w:val="1"/>
          <w:numId w:val="39"/>
        </w:numPr>
        <w:spacing w:after="135" w:line="235" w:lineRule="auto"/>
        <w:ind w:hanging="360"/>
        <w:jc w:val="both"/>
      </w:pPr>
      <w:r>
        <w:t>by the commissioner hearing from the complainant and respondent separately in separate rooms; and</w:t>
      </w:r>
    </w:p>
    <w:p w14:paraId="5FF72944" w14:textId="77777777" w:rsidR="00430EC6" w:rsidRDefault="00430EC6" w:rsidP="00E51CB1">
      <w:pPr>
        <w:numPr>
          <w:ilvl w:val="1"/>
          <w:numId w:val="39"/>
        </w:numPr>
        <w:spacing w:after="486" w:line="235" w:lineRule="auto"/>
        <w:ind w:hanging="360"/>
        <w:jc w:val="both"/>
      </w:pPr>
      <w:r>
        <w:t>by teleconferencing, videoconferencing or another form of communication that allows persons taking part in the conference to hear and take part in discussions as they happen.</w:t>
      </w:r>
    </w:p>
    <w:p w14:paraId="27F70858" w14:textId="697C9D74" w:rsidR="00430EC6" w:rsidRDefault="002036CD" w:rsidP="00430EC6">
      <w:pPr>
        <w:pStyle w:val="Heading1"/>
        <w:tabs>
          <w:tab w:val="center" w:pos="3094"/>
        </w:tabs>
        <w:spacing w:after="68"/>
      </w:pPr>
      <w:bookmarkStart w:id="151" w:name="_Toc170381502"/>
      <w:bookmarkStart w:id="152" w:name="_Toc171324810"/>
      <w:bookmarkStart w:id="153" w:name="_Toc171341123"/>
      <w:r>
        <w:rPr>
          <w:sz w:val="24"/>
        </w:rPr>
        <w:t>136</w:t>
      </w:r>
      <w:r w:rsidR="00430EC6">
        <w:rPr>
          <w:sz w:val="24"/>
        </w:rPr>
        <w:tab/>
        <w:t>Confidentiality of conciliation conference</w:t>
      </w:r>
      <w:bookmarkEnd w:id="151"/>
      <w:bookmarkEnd w:id="152"/>
      <w:bookmarkEnd w:id="153"/>
    </w:p>
    <w:p w14:paraId="4B07EE5C" w14:textId="7F556B93" w:rsidR="00430EC6" w:rsidRDefault="00430EC6" w:rsidP="00430EC6">
      <w:pPr>
        <w:ind w:left="1259"/>
      </w:pPr>
      <w:r>
        <w:t xml:space="preserve">Nothing said or done </w:t>
      </w:r>
      <w:proofErr w:type="gramStart"/>
      <w:r>
        <w:t>in the course of</w:t>
      </w:r>
      <w:proofErr w:type="gramEnd"/>
      <w:r>
        <w:t xml:space="preserve"> a conciliation conference for a complaint </w:t>
      </w:r>
      <w:r w:rsidR="00F36F6C">
        <w:t>may be included</w:t>
      </w:r>
      <w:r>
        <w:t xml:space="preserve"> in any </w:t>
      </w:r>
      <w:r w:rsidR="00F36F6C">
        <w:t>document prepared by</w:t>
      </w:r>
      <w:r>
        <w:t xml:space="preserve"> the </w:t>
      </w:r>
      <w:r w:rsidR="00F36F6C">
        <w:t>commissioner in the course of referring the complaint to the tribunal</w:t>
      </w:r>
      <w:r>
        <w:t>.</w:t>
      </w:r>
    </w:p>
    <w:p w14:paraId="3D0D15F4" w14:textId="77777777" w:rsidR="0034238C" w:rsidRDefault="00430EC6" w:rsidP="00430EC6">
      <w:pPr>
        <w:pStyle w:val="Heading1"/>
        <w:spacing w:after="421"/>
        <w:ind w:left="-5"/>
        <w:rPr>
          <w:sz w:val="28"/>
        </w:rPr>
      </w:pPr>
      <w:bookmarkStart w:id="154" w:name="_Toc171324811"/>
      <w:bookmarkStart w:id="155" w:name="_Toc170381503"/>
      <w:bookmarkStart w:id="156" w:name="_Toc171341124"/>
      <w:r>
        <w:rPr>
          <w:sz w:val="28"/>
        </w:rPr>
        <w:t>Division 6</w:t>
      </w:r>
      <w:r>
        <w:rPr>
          <w:sz w:val="28"/>
        </w:rPr>
        <w:tab/>
        <w:t>Action on dealing with complaint</w:t>
      </w:r>
      <w:bookmarkEnd w:id="154"/>
      <w:bookmarkEnd w:id="156"/>
      <w:r>
        <w:rPr>
          <w:sz w:val="28"/>
        </w:rPr>
        <w:t xml:space="preserve"> </w:t>
      </w:r>
    </w:p>
    <w:p w14:paraId="4061346E" w14:textId="4817AE50" w:rsidR="00430EC6" w:rsidRDefault="002036CD" w:rsidP="00430EC6">
      <w:pPr>
        <w:pStyle w:val="Heading1"/>
        <w:spacing w:after="421"/>
        <w:ind w:left="-5"/>
      </w:pPr>
      <w:bookmarkStart w:id="157" w:name="_Toc171324812"/>
      <w:bookmarkStart w:id="158" w:name="_Toc171341125"/>
      <w:r>
        <w:rPr>
          <w:sz w:val="24"/>
        </w:rPr>
        <w:t>137</w:t>
      </w:r>
      <w:r w:rsidR="00430EC6">
        <w:rPr>
          <w:sz w:val="24"/>
        </w:rPr>
        <w:tab/>
        <w:t>Resolution of complaint</w:t>
      </w:r>
      <w:bookmarkEnd w:id="155"/>
      <w:bookmarkEnd w:id="157"/>
      <w:bookmarkEnd w:id="158"/>
    </w:p>
    <w:p w14:paraId="6C254350" w14:textId="77777777" w:rsidR="00430EC6" w:rsidRDefault="00430EC6" w:rsidP="00E51CB1">
      <w:pPr>
        <w:numPr>
          <w:ilvl w:val="0"/>
          <w:numId w:val="40"/>
        </w:numPr>
        <w:spacing w:after="135" w:line="235" w:lineRule="auto"/>
        <w:ind w:hanging="360"/>
        <w:jc w:val="both"/>
      </w:pPr>
      <w:r>
        <w:t>If a complaint is resolved by dispute resolution under this part, either the complainant or respondent may ask the commissioner to make a record of the agreement.</w:t>
      </w:r>
    </w:p>
    <w:p w14:paraId="6C944EB8" w14:textId="042FCFE4" w:rsidR="00430EC6" w:rsidRDefault="00430EC6" w:rsidP="00E51CB1">
      <w:pPr>
        <w:numPr>
          <w:ilvl w:val="0"/>
          <w:numId w:val="40"/>
        </w:numPr>
        <w:spacing w:after="135" w:line="235" w:lineRule="auto"/>
        <w:ind w:hanging="360"/>
        <w:jc w:val="both"/>
      </w:pPr>
      <w:r>
        <w:t xml:space="preserve">If the complainant or respondent makes the request, the commissioner must make a record of the agreement and </w:t>
      </w:r>
      <w:r w:rsidR="00431154">
        <w:t>give</w:t>
      </w:r>
      <w:r>
        <w:t xml:space="preserve"> the record </w:t>
      </w:r>
      <w:r w:rsidR="00431154">
        <w:t>to</w:t>
      </w:r>
      <w:r>
        <w:t xml:space="preserve"> the complainant and the respondent</w:t>
      </w:r>
      <w:r w:rsidR="009F3ED9">
        <w:t xml:space="preserve"> for signing and returning to the commissioner</w:t>
      </w:r>
      <w:r>
        <w:t>.</w:t>
      </w:r>
    </w:p>
    <w:p w14:paraId="109CD006" w14:textId="63BDA662" w:rsidR="00430EC6" w:rsidRDefault="00F42369" w:rsidP="00E51CB1">
      <w:pPr>
        <w:numPr>
          <w:ilvl w:val="0"/>
          <w:numId w:val="40"/>
        </w:numPr>
        <w:spacing w:after="135" w:line="235" w:lineRule="auto"/>
        <w:ind w:hanging="360"/>
        <w:jc w:val="both"/>
      </w:pPr>
      <w:r>
        <w:t xml:space="preserve">If the record of agreement is signed by both the complainant and the respondent and the signed record is given to the commissioner, the commissioner must provide a copy of the signed record </w:t>
      </w:r>
      <w:r w:rsidR="00EB0467">
        <w:t>to each party and file the signed record with the tribunal.</w:t>
      </w:r>
    </w:p>
    <w:p w14:paraId="6AE52E4C" w14:textId="77777777" w:rsidR="00430EC6" w:rsidRDefault="00430EC6" w:rsidP="00E51CB1">
      <w:pPr>
        <w:numPr>
          <w:ilvl w:val="0"/>
          <w:numId w:val="40"/>
        </w:numPr>
        <w:spacing w:after="484" w:line="235" w:lineRule="auto"/>
        <w:ind w:hanging="360"/>
        <w:jc w:val="both"/>
      </w:pPr>
      <w:r>
        <w:t>The agreement is then enforceable as if it were an order of the tribunal.</w:t>
      </w:r>
    </w:p>
    <w:p w14:paraId="752E1BAF" w14:textId="0368B74E" w:rsidR="00430EC6" w:rsidRDefault="002036CD" w:rsidP="00430EC6">
      <w:pPr>
        <w:pStyle w:val="Heading1"/>
        <w:tabs>
          <w:tab w:val="center" w:pos="2452"/>
        </w:tabs>
        <w:spacing w:after="68"/>
      </w:pPr>
      <w:bookmarkStart w:id="159" w:name="_Toc170381504"/>
      <w:bookmarkStart w:id="160" w:name="_Toc171324813"/>
      <w:bookmarkStart w:id="161" w:name="_Toc171341126"/>
      <w:r>
        <w:rPr>
          <w:sz w:val="24"/>
        </w:rPr>
        <w:lastRenderedPageBreak/>
        <w:t>138</w:t>
      </w:r>
      <w:r w:rsidR="00430EC6">
        <w:rPr>
          <w:sz w:val="24"/>
        </w:rPr>
        <w:tab/>
        <w:t>End of dealing with complaint</w:t>
      </w:r>
      <w:bookmarkEnd w:id="159"/>
      <w:bookmarkEnd w:id="160"/>
      <w:bookmarkEnd w:id="161"/>
    </w:p>
    <w:p w14:paraId="7725B886" w14:textId="267429AE" w:rsidR="00430EC6" w:rsidRDefault="00430EC6" w:rsidP="00E51CB1">
      <w:pPr>
        <w:pStyle w:val="ListParagraph"/>
        <w:numPr>
          <w:ilvl w:val="0"/>
          <w:numId w:val="69"/>
        </w:numPr>
        <w:spacing w:after="24"/>
      </w:pPr>
      <w:r>
        <w:t xml:space="preserve">The commissioner finishes dealing with a complaint </w:t>
      </w:r>
      <w:proofErr w:type="gramStart"/>
      <w:r>
        <w:t>if and</w:t>
      </w:r>
      <w:r w:rsidR="009322CD" w:rsidRPr="00246257">
        <w:t xml:space="preserve"> </w:t>
      </w:r>
      <w:r>
        <w:t>when</w:t>
      </w:r>
      <w:proofErr w:type="gramEnd"/>
      <w:r>
        <w:t>—</w:t>
      </w:r>
    </w:p>
    <w:p w14:paraId="7D24F199" w14:textId="14F9DD70" w:rsidR="00430EC6" w:rsidRDefault="00430EC6" w:rsidP="00E51CB1">
      <w:pPr>
        <w:numPr>
          <w:ilvl w:val="0"/>
          <w:numId w:val="41"/>
        </w:numPr>
        <w:spacing w:after="135" w:line="235" w:lineRule="auto"/>
        <w:ind w:hanging="360"/>
        <w:jc w:val="both"/>
      </w:pPr>
      <w:r>
        <w:t xml:space="preserve">the commissioner stops dealing with the complaint under division 3 or section </w:t>
      </w:r>
      <w:r w:rsidR="006A0D62">
        <w:t>139</w:t>
      </w:r>
      <w:r>
        <w:t>(3); or</w:t>
      </w:r>
    </w:p>
    <w:p w14:paraId="0D5583C7" w14:textId="77777777" w:rsidR="00430EC6" w:rsidRDefault="00430EC6" w:rsidP="00E51CB1">
      <w:pPr>
        <w:numPr>
          <w:ilvl w:val="0"/>
          <w:numId w:val="41"/>
        </w:numPr>
        <w:spacing w:after="135" w:line="235" w:lineRule="auto"/>
        <w:ind w:hanging="360"/>
        <w:jc w:val="both"/>
      </w:pPr>
      <w:r>
        <w:t>the complainant and respondent give the commissioner written notice of their agreement to resolve the complaint; or</w:t>
      </w:r>
    </w:p>
    <w:p w14:paraId="2393DC71" w14:textId="2B2F0F69" w:rsidR="00430EC6" w:rsidRDefault="00430EC6" w:rsidP="00E51CB1">
      <w:pPr>
        <w:numPr>
          <w:ilvl w:val="0"/>
          <w:numId w:val="41"/>
        </w:numPr>
        <w:spacing w:after="135" w:line="235" w:lineRule="auto"/>
        <w:ind w:hanging="360"/>
        <w:jc w:val="both"/>
      </w:pPr>
      <w:r>
        <w:t>the complaint is resolved by dispute resolution under this part and the commissioner files a record of the agreement between the complainant and respondent with the tribunal under section 13</w:t>
      </w:r>
      <w:r w:rsidR="006A0D62">
        <w:t>7</w:t>
      </w:r>
      <w:r>
        <w:t>; or</w:t>
      </w:r>
    </w:p>
    <w:p w14:paraId="7A7CABBF" w14:textId="07A1D547" w:rsidR="00430EC6" w:rsidRDefault="00430EC6" w:rsidP="00E51CB1">
      <w:pPr>
        <w:numPr>
          <w:ilvl w:val="0"/>
          <w:numId w:val="41"/>
        </w:numPr>
        <w:spacing w:after="135" w:line="235" w:lineRule="auto"/>
        <w:ind w:hanging="360"/>
        <w:jc w:val="both"/>
      </w:pPr>
      <w:r>
        <w:t>the period within which the complainant may require the complaint to be referred to the tribunal under section 12</w:t>
      </w:r>
      <w:r w:rsidR="006A0D62">
        <w:t>4</w:t>
      </w:r>
      <w:r>
        <w:t xml:space="preserve">(3) passes without the complainant requiring the complaint to be </w:t>
      </w:r>
      <w:proofErr w:type="gramStart"/>
      <w:r>
        <w:t>referred;</w:t>
      </w:r>
      <w:proofErr w:type="gramEnd"/>
      <w:r>
        <w:t xml:space="preserve"> or</w:t>
      </w:r>
    </w:p>
    <w:p w14:paraId="6FD8713A" w14:textId="18141506" w:rsidR="00430EC6" w:rsidRDefault="00430EC6" w:rsidP="00E51CB1">
      <w:pPr>
        <w:numPr>
          <w:ilvl w:val="0"/>
          <w:numId w:val="41"/>
        </w:numPr>
        <w:spacing w:after="135" w:line="235" w:lineRule="auto"/>
        <w:ind w:hanging="360"/>
        <w:jc w:val="both"/>
      </w:pPr>
      <w:r>
        <w:t>the respondent asks for the complaint to be referred to the tribunal under section 12</w:t>
      </w:r>
      <w:r w:rsidR="006A0D62">
        <w:t>5</w:t>
      </w:r>
      <w:r>
        <w:t xml:space="preserve"> and the complainant does not agree to the referral within the time allowed under section 12</w:t>
      </w:r>
      <w:r w:rsidR="007D201F">
        <w:t>5</w:t>
      </w:r>
      <w:r>
        <w:t>(4); or</w:t>
      </w:r>
    </w:p>
    <w:p w14:paraId="5D7CAB50" w14:textId="78438A95" w:rsidR="00430EC6" w:rsidRDefault="00430EC6" w:rsidP="00E51CB1">
      <w:pPr>
        <w:numPr>
          <w:ilvl w:val="0"/>
          <w:numId w:val="41"/>
        </w:numPr>
        <w:spacing w:after="0" w:line="235" w:lineRule="auto"/>
        <w:ind w:hanging="360"/>
        <w:jc w:val="both"/>
      </w:pPr>
      <w:r>
        <w:t>the commissioner refers the complaint to the tribunal under section 12</w:t>
      </w:r>
      <w:r w:rsidR="007D201F">
        <w:t>4</w:t>
      </w:r>
      <w:r>
        <w:t xml:space="preserve"> or 12</w:t>
      </w:r>
      <w:r w:rsidR="007D201F">
        <w:t>5</w:t>
      </w:r>
      <w:r>
        <w:t>.</w:t>
      </w:r>
    </w:p>
    <w:p w14:paraId="7FB34B88" w14:textId="77777777" w:rsidR="00161638" w:rsidRDefault="00161638" w:rsidP="00161638">
      <w:pPr>
        <w:spacing w:after="0" w:line="235" w:lineRule="auto"/>
        <w:jc w:val="both"/>
      </w:pPr>
    </w:p>
    <w:p w14:paraId="43765706" w14:textId="77777777" w:rsidR="00161638" w:rsidRPr="00246257" w:rsidRDefault="00161638" w:rsidP="00E51CB1">
      <w:pPr>
        <w:pStyle w:val="ListParagraph"/>
        <w:numPr>
          <w:ilvl w:val="0"/>
          <w:numId w:val="69"/>
        </w:numPr>
        <w:spacing w:after="24"/>
      </w:pPr>
      <w:r>
        <w:t xml:space="preserve">If the commissioner finishes dealing with a complaint, the complainant </w:t>
      </w:r>
      <w:proofErr w:type="spellStart"/>
      <w:r>
        <w:t>can not</w:t>
      </w:r>
      <w:proofErr w:type="spellEnd"/>
      <w:r>
        <w:t xml:space="preserve"> make a further complaint relating to the alleged contravention the subject of the complaint. </w:t>
      </w:r>
    </w:p>
    <w:p w14:paraId="55EA27C6" w14:textId="77777777" w:rsidR="00161638" w:rsidRPr="00246257" w:rsidRDefault="00161638" w:rsidP="00161638">
      <w:pPr>
        <w:spacing w:after="0" w:line="235" w:lineRule="auto"/>
        <w:jc w:val="both"/>
      </w:pPr>
    </w:p>
    <w:p w14:paraId="28B5D9FF" w14:textId="77777777" w:rsidR="00161638" w:rsidRDefault="00430EC6" w:rsidP="00430EC6">
      <w:pPr>
        <w:pStyle w:val="Heading1"/>
        <w:spacing w:after="421"/>
        <w:ind w:left="-5"/>
        <w:rPr>
          <w:sz w:val="28"/>
        </w:rPr>
      </w:pPr>
      <w:bookmarkStart w:id="162" w:name="_Toc171324814"/>
      <w:bookmarkStart w:id="163" w:name="_Toc170381505"/>
      <w:bookmarkStart w:id="164" w:name="_Toc171341127"/>
      <w:r>
        <w:rPr>
          <w:sz w:val="28"/>
        </w:rPr>
        <w:t>Division 7</w:t>
      </w:r>
      <w:r>
        <w:rPr>
          <w:sz w:val="28"/>
        </w:rPr>
        <w:tab/>
        <w:t>Other provisions about complaints</w:t>
      </w:r>
      <w:bookmarkEnd w:id="162"/>
      <w:bookmarkEnd w:id="164"/>
      <w:r>
        <w:rPr>
          <w:sz w:val="28"/>
        </w:rPr>
        <w:t xml:space="preserve"> </w:t>
      </w:r>
    </w:p>
    <w:p w14:paraId="12C515F9" w14:textId="02A3AD89" w:rsidR="00430EC6" w:rsidRDefault="00556F0A" w:rsidP="00161638">
      <w:pPr>
        <w:pStyle w:val="Heading1"/>
        <w:spacing w:after="0"/>
      </w:pPr>
      <w:bookmarkStart w:id="165" w:name="_Toc171324815"/>
      <w:bookmarkStart w:id="166" w:name="_Toc171341128"/>
      <w:r>
        <w:rPr>
          <w:sz w:val="24"/>
        </w:rPr>
        <w:t>139</w:t>
      </w:r>
      <w:r w:rsidR="00430EC6">
        <w:rPr>
          <w:sz w:val="24"/>
        </w:rPr>
        <w:tab/>
        <w:t>Commissioner may withdraw authorisation</w:t>
      </w:r>
      <w:bookmarkEnd w:id="163"/>
      <w:bookmarkEnd w:id="165"/>
      <w:bookmarkEnd w:id="166"/>
    </w:p>
    <w:p w14:paraId="2DE8B93D" w14:textId="60D51432" w:rsidR="00430EC6" w:rsidRDefault="00430EC6" w:rsidP="00E51CB1">
      <w:pPr>
        <w:numPr>
          <w:ilvl w:val="0"/>
          <w:numId w:val="42"/>
        </w:numPr>
        <w:spacing w:before="240" w:after="0" w:line="235" w:lineRule="auto"/>
        <w:ind w:left="1254" w:hanging="360"/>
        <w:jc w:val="both"/>
      </w:pPr>
      <w:r>
        <w:t xml:space="preserve">The commissioner may, by written notice, withdraw an authorisation under section </w:t>
      </w:r>
      <w:r w:rsidR="007D201F">
        <w:t>97</w:t>
      </w:r>
      <w:r>
        <w:t>(1)(c) if the commissioner believes there is good reason to do so.</w:t>
      </w:r>
    </w:p>
    <w:p w14:paraId="54173373" w14:textId="77777777" w:rsidR="00430EC6" w:rsidRDefault="00430EC6" w:rsidP="00E51CB1">
      <w:pPr>
        <w:numPr>
          <w:ilvl w:val="0"/>
          <w:numId w:val="42"/>
        </w:numPr>
        <w:spacing w:after="135" w:line="235" w:lineRule="auto"/>
        <w:ind w:hanging="360"/>
        <w:jc w:val="both"/>
      </w:pPr>
      <w:r>
        <w:t>The commissioner may, by written notice, authorise another person to act on behalf of the complainant.</w:t>
      </w:r>
    </w:p>
    <w:p w14:paraId="191D97E6" w14:textId="0C28298F" w:rsidR="00430EC6" w:rsidRDefault="00430EC6" w:rsidP="00E51CB1">
      <w:pPr>
        <w:numPr>
          <w:ilvl w:val="0"/>
          <w:numId w:val="42"/>
        </w:numPr>
        <w:spacing w:after="135" w:line="235" w:lineRule="auto"/>
        <w:ind w:hanging="360"/>
        <w:jc w:val="both"/>
      </w:pPr>
      <w:r>
        <w:t>If the commissioner does not act under subsection (2) and no further authorisation is requested by the complainant within 28 days after the withdrawal under subsection (1)</w:t>
      </w:r>
      <w:r w:rsidR="0060488D">
        <w:t xml:space="preserve"> or a longer period allowed by the commissioner under section</w:t>
      </w:r>
      <w:r w:rsidR="00614A73">
        <w:t xml:space="preserve"> </w:t>
      </w:r>
      <w:r w:rsidR="007D201F">
        <w:t>140</w:t>
      </w:r>
      <w:r>
        <w:t>—</w:t>
      </w:r>
    </w:p>
    <w:p w14:paraId="1F6D5048" w14:textId="77777777" w:rsidR="00553359" w:rsidRDefault="00430EC6" w:rsidP="00E51CB1">
      <w:pPr>
        <w:pStyle w:val="ListParagraph"/>
        <w:numPr>
          <w:ilvl w:val="0"/>
          <w:numId w:val="70"/>
        </w:numPr>
        <w:spacing w:after="137" w:line="232" w:lineRule="auto"/>
      </w:pPr>
      <w:r>
        <w:t xml:space="preserve">the complaint lapses, and the complainant </w:t>
      </w:r>
      <w:proofErr w:type="spellStart"/>
      <w:r>
        <w:t>can not</w:t>
      </w:r>
      <w:proofErr w:type="spellEnd"/>
      <w:r>
        <w:t xml:space="preserve"> make a further complaint relating to the alleged contravention the subject of the complaint; and </w:t>
      </w:r>
    </w:p>
    <w:p w14:paraId="1F591338" w14:textId="5E973513" w:rsidR="00430EC6" w:rsidRDefault="00430EC6" w:rsidP="00E51CB1">
      <w:pPr>
        <w:pStyle w:val="ListParagraph"/>
        <w:numPr>
          <w:ilvl w:val="0"/>
          <w:numId w:val="70"/>
        </w:numPr>
        <w:spacing w:after="137" w:line="232" w:lineRule="auto"/>
      </w:pPr>
      <w:r>
        <w:t>the commissioner must—</w:t>
      </w:r>
    </w:p>
    <w:p w14:paraId="37431BD1" w14:textId="77777777" w:rsidR="00430EC6" w:rsidRDefault="00430EC6" w:rsidP="00E51CB1">
      <w:pPr>
        <w:numPr>
          <w:ilvl w:val="1"/>
          <w:numId w:val="42"/>
        </w:numPr>
        <w:spacing w:after="135" w:line="235" w:lineRule="auto"/>
        <w:ind w:hanging="360"/>
        <w:jc w:val="both"/>
      </w:pPr>
      <w:r>
        <w:t>stop dealing with the complaint; and</w:t>
      </w:r>
    </w:p>
    <w:p w14:paraId="248EFDEA" w14:textId="77777777" w:rsidR="00430EC6" w:rsidRDefault="00430EC6" w:rsidP="00E51CB1">
      <w:pPr>
        <w:numPr>
          <w:ilvl w:val="1"/>
          <w:numId w:val="42"/>
        </w:numPr>
        <w:spacing w:after="135" w:line="235" w:lineRule="auto"/>
        <w:ind w:hanging="360"/>
        <w:jc w:val="both"/>
      </w:pPr>
      <w:r>
        <w:t>tell the complainant and the respondent in writing that the complaint has lapsed.</w:t>
      </w:r>
    </w:p>
    <w:p w14:paraId="1CAFBD72" w14:textId="77777777" w:rsidR="00430EC6" w:rsidRDefault="00430EC6" w:rsidP="00E51CB1">
      <w:pPr>
        <w:numPr>
          <w:ilvl w:val="0"/>
          <w:numId w:val="42"/>
        </w:numPr>
        <w:spacing w:after="486" w:line="235" w:lineRule="auto"/>
        <w:ind w:hanging="360"/>
        <w:jc w:val="both"/>
      </w:pPr>
      <w:r>
        <w:t>Subsection (3) does not apply if the complainant notifies the commissioner that the complainant will continue with the complaint personally.</w:t>
      </w:r>
    </w:p>
    <w:p w14:paraId="1D03842D" w14:textId="3A12D056" w:rsidR="00430EC6" w:rsidRDefault="00556F0A" w:rsidP="00430EC6">
      <w:pPr>
        <w:pStyle w:val="Heading1"/>
        <w:tabs>
          <w:tab w:val="center" w:pos="2896"/>
        </w:tabs>
      </w:pPr>
      <w:bookmarkStart w:id="167" w:name="_Toc170381506"/>
      <w:bookmarkStart w:id="168" w:name="_Toc171324816"/>
      <w:bookmarkStart w:id="169" w:name="_Toc171341129"/>
      <w:r>
        <w:rPr>
          <w:sz w:val="24"/>
        </w:rPr>
        <w:lastRenderedPageBreak/>
        <w:t>140</w:t>
      </w:r>
      <w:r w:rsidR="00430EC6">
        <w:rPr>
          <w:sz w:val="24"/>
        </w:rPr>
        <w:tab/>
        <w:t>Commissioner may extend time limits</w:t>
      </w:r>
      <w:bookmarkEnd w:id="167"/>
      <w:bookmarkEnd w:id="168"/>
      <w:bookmarkEnd w:id="169"/>
    </w:p>
    <w:p w14:paraId="2AF269F2" w14:textId="4D4F3409" w:rsidR="00430EC6" w:rsidRDefault="00430EC6" w:rsidP="00E51CB1">
      <w:pPr>
        <w:pStyle w:val="ListParagraph"/>
        <w:numPr>
          <w:ilvl w:val="0"/>
          <w:numId w:val="71"/>
        </w:numPr>
      </w:pPr>
      <w:r>
        <w:t>The commissioner may extend a time limit specified in this part for the doing of anything, whether by a party or the commissioner, if the commissioner believes that—</w:t>
      </w:r>
    </w:p>
    <w:p w14:paraId="12C44BE0" w14:textId="77777777" w:rsidR="00430EC6" w:rsidRDefault="00430EC6" w:rsidP="00E51CB1">
      <w:pPr>
        <w:numPr>
          <w:ilvl w:val="1"/>
          <w:numId w:val="43"/>
        </w:numPr>
        <w:spacing w:after="135" w:line="235" w:lineRule="auto"/>
        <w:ind w:right="-5"/>
        <w:jc w:val="both"/>
      </w:pPr>
      <w:r>
        <w:t>the extension will not cause undue hardship to any party; and</w:t>
      </w:r>
    </w:p>
    <w:p w14:paraId="0F9F9A42" w14:textId="77777777" w:rsidR="00430EC6" w:rsidRDefault="00430EC6" w:rsidP="00E51CB1">
      <w:pPr>
        <w:numPr>
          <w:ilvl w:val="1"/>
          <w:numId w:val="43"/>
        </w:numPr>
        <w:spacing w:line="251" w:lineRule="auto"/>
        <w:ind w:right="-5"/>
        <w:jc w:val="both"/>
      </w:pPr>
      <w:r>
        <w:t>there are reasonable grounds for granting the extension.</w:t>
      </w:r>
    </w:p>
    <w:p w14:paraId="5C50385B" w14:textId="1088B69B" w:rsidR="007A0470" w:rsidRPr="00246257" w:rsidRDefault="007A0470" w:rsidP="00E51CB1">
      <w:pPr>
        <w:pStyle w:val="ListParagraph"/>
        <w:numPr>
          <w:ilvl w:val="0"/>
          <w:numId w:val="71"/>
        </w:numPr>
      </w:pPr>
      <w:r w:rsidRPr="00246257">
        <w:t>In this section, a reference to a party in relation to a representative complaint includes a reference to a class member for the complaint.</w:t>
      </w:r>
    </w:p>
    <w:p w14:paraId="4C4EB259" w14:textId="4A328D4E" w:rsidR="00430EC6" w:rsidRDefault="00556F0A" w:rsidP="00430EC6">
      <w:pPr>
        <w:pStyle w:val="Heading1"/>
        <w:ind w:left="791" w:hanging="780"/>
      </w:pPr>
      <w:bookmarkStart w:id="170" w:name="_Toc170381507"/>
      <w:bookmarkStart w:id="171" w:name="_Toc171324817"/>
      <w:bookmarkStart w:id="172" w:name="_Toc171341130"/>
      <w:r>
        <w:rPr>
          <w:sz w:val="24"/>
        </w:rPr>
        <w:t>141</w:t>
      </w:r>
      <w:r w:rsidR="00430EC6">
        <w:rPr>
          <w:sz w:val="24"/>
        </w:rPr>
        <w:tab/>
        <w:t>Applications for orders protecting complainant’s interests (before reference to tribunal)</w:t>
      </w:r>
      <w:bookmarkEnd w:id="170"/>
      <w:bookmarkEnd w:id="171"/>
      <w:bookmarkEnd w:id="172"/>
    </w:p>
    <w:p w14:paraId="2B0C2E47" w14:textId="77777777" w:rsidR="00AC419A" w:rsidRDefault="00430EC6" w:rsidP="00E51CB1">
      <w:pPr>
        <w:numPr>
          <w:ilvl w:val="0"/>
          <w:numId w:val="44"/>
        </w:numPr>
        <w:spacing w:after="135" w:line="235" w:lineRule="auto"/>
        <w:ind w:hanging="360"/>
        <w:jc w:val="both"/>
      </w:pPr>
      <w:r>
        <w:t xml:space="preserve">At any time before a complaint is referred to the tribunal, the complainant or the commissioner may apply, as provided under the relevant tribunal Act, to the tribunal for an order prohibiting a person from doing an act that might prejudice— </w:t>
      </w:r>
    </w:p>
    <w:p w14:paraId="52362B87" w14:textId="77777777" w:rsidR="00203157" w:rsidRDefault="00430EC6" w:rsidP="00E51CB1">
      <w:pPr>
        <w:numPr>
          <w:ilvl w:val="1"/>
          <w:numId w:val="44"/>
        </w:numPr>
        <w:spacing w:after="135" w:line="235" w:lineRule="auto"/>
        <w:jc w:val="both"/>
      </w:pPr>
      <w:r>
        <w:t xml:space="preserve">dispute resolution of the complaint under this part; or </w:t>
      </w:r>
    </w:p>
    <w:p w14:paraId="021CCB7D" w14:textId="32213BEB" w:rsidR="00430EC6" w:rsidRDefault="00430EC6" w:rsidP="00E51CB1">
      <w:pPr>
        <w:numPr>
          <w:ilvl w:val="1"/>
          <w:numId w:val="44"/>
        </w:numPr>
        <w:spacing w:after="135" w:line="235" w:lineRule="auto"/>
        <w:jc w:val="both"/>
      </w:pPr>
      <w:r>
        <w:t>an order that the tribunal might make after a hearing.</w:t>
      </w:r>
    </w:p>
    <w:p w14:paraId="25B73502" w14:textId="77777777" w:rsidR="00430EC6" w:rsidRDefault="00430EC6" w:rsidP="00E51CB1">
      <w:pPr>
        <w:numPr>
          <w:ilvl w:val="0"/>
          <w:numId w:val="44"/>
        </w:numPr>
        <w:spacing w:after="135" w:line="235" w:lineRule="auto"/>
        <w:ind w:hanging="360"/>
        <w:jc w:val="both"/>
      </w:pPr>
      <w:r>
        <w:t>A party or the commissioner may apply, as provided under the relevant tribunal Act, to the tribunal for an order varying or revoking an order made under subsection (1).</w:t>
      </w:r>
    </w:p>
    <w:p w14:paraId="007942DB" w14:textId="77777777" w:rsidR="00430EC6" w:rsidRDefault="00430EC6" w:rsidP="00E51CB1">
      <w:pPr>
        <w:numPr>
          <w:ilvl w:val="0"/>
          <w:numId w:val="44"/>
        </w:numPr>
        <w:spacing w:after="260" w:line="235" w:lineRule="auto"/>
        <w:ind w:hanging="360"/>
        <w:jc w:val="both"/>
      </w:pPr>
      <w:r>
        <w:t>If the tribunal is satisfied it is in the interests of justice, an application for an order under subsection (1) may be heard in the absence of the respondent to the application.</w:t>
      </w:r>
    </w:p>
    <w:p w14:paraId="6F1B9272" w14:textId="77777777" w:rsidR="00430EC6" w:rsidRDefault="00430EC6" w:rsidP="00E30A39">
      <w:pPr>
        <w:ind w:left="1259"/>
      </w:pPr>
    </w:p>
    <w:p w14:paraId="04B20D8E" w14:textId="7EB814EA" w:rsidR="000E5F45" w:rsidRDefault="000E5F45" w:rsidP="004062D6">
      <w:pPr>
        <w:spacing w:after="0"/>
      </w:pPr>
    </w:p>
    <w:p w14:paraId="2DCB2070" w14:textId="77777777" w:rsidR="000E5F45" w:rsidRDefault="000E5F45" w:rsidP="000E5F45">
      <w:pPr>
        <w:spacing w:after="468" w:line="232" w:lineRule="auto"/>
        <w:jc w:val="both"/>
      </w:pPr>
    </w:p>
    <w:p w14:paraId="45ADD4DA" w14:textId="7576DBF3" w:rsidR="007E0C12" w:rsidRDefault="007E0C12" w:rsidP="00F11833">
      <w:pPr>
        <w:spacing w:after="468" w:line="232" w:lineRule="auto"/>
        <w:jc w:val="both"/>
      </w:pPr>
    </w:p>
    <w:sectPr w:rsidR="007E0C12" w:rsidSect="00CB0BBF">
      <w:headerReference w:type="default" r:id="rId15"/>
      <w:headerReference w:type="first" r:id="rId16"/>
      <w:footerReference w:type="first" r:id="rId17"/>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EAF97" w14:textId="77777777" w:rsidR="00F5011A" w:rsidRDefault="00F5011A" w:rsidP="0034134D">
      <w:r>
        <w:separator/>
      </w:r>
    </w:p>
  </w:endnote>
  <w:endnote w:type="continuationSeparator" w:id="0">
    <w:p w14:paraId="344AAE99" w14:textId="77777777" w:rsidR="00F5011A" w:rsidRDefault="00F5011A" w:rsidP="0034134D">
      <w:r>
        <w:continuationSeparator/>
      </w:r>
    </w:p>
  </w:endnote>
  <w:endnote w:type="continuationNotice" w:id="1">
    <w:p w14:paraId="4A9F1FD2" w14:textId="77777777" w:rsidR="00F5011A" w:rsidRDefault="00F501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319A"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266A3E2" wp14:editId="46A9EE91">
          <wp:extent cx="5463606" cy="48027"/>
          <wp:effectExtent l="0" t="0" r="0" b="9525"/>
          <wp:docPr id="1852788263" name="Picture 185278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E578A" w14:textId="77777777" w:rsidR="007C510E" w:rsidRDefault="007C510E" w:rsidP="000731D3">
    <w:pPr>
      <w:pStyle w:val="Footer"/>
      <w:pBdr>
        <w:top w:val="single" w:sz="4" w:space="1" w:color="auto"/>
      </w:pBdr>
      <w:jc w:val="right"/>
      <w:rPr>
        <w:rFonts w:cs="Arial"/>
        <w:sz w:val="20"/>
        <w:szCs w:val="20"/>
      </w:rPr>
    </w:pPr>
  </w:p>
  <w:p w14:paraId="4D51237F"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CBAC4" w14:textId="77777777" w:rsidR="00F5011A" w:rsidRDefault="00F5011A" w:rsidP="0034134D">
      <w:r>
        <w:separator/>
      </w:r>
    </w:p>
  </w:footnote>
  <w:footnote w:type="continuationSeparator" w:id="0">
    <w:p w14:paraId="09DDECEF" w14:textId="77777777" w:rsidR="00F5011A" w:rsidRDefault="00F5011A" w:rsidP="0034134D">
      <w:r>
        <w:continuationSeparator/>
      </w:r>
    </w:p>
  </w:footnote>
  <w:footnote w:type="continuationNotice" w:id="1">
    <w:p w14:paraId="57B6D392" w14:textId="77777777" w:rsidR="00F5011A" w:rsidRDefault="00F5011A">
      <w:pPr>
        <w:spacing w:after="0"/>
      </w:pPr>
    </w:p>
  </w:footnote>
  <w:footnote w:id="2">
    <w:p w14:paraId="4B19B83F" w14:textId="76DB03B4" w:rsidR="00363118" w:rsidRPr="00F11840" w:rsidRDefault="00363118" w:rsidP="00363118">
      <w:pPr>
        <w:pStyle w:val="FootnoteText"/>
      </w:pPr>
      <w:r>
        <w:rPr>
          <w:rStyle w:val="FootnoteReference"/>
        </w:rPr>
        <w:footnoteRef/>
      </w:r>
      <w:r>
        <w:t xml:space="preserve"> </w:t>
      </w:r>
      <w:r w:rsidR="00AA3DD0">
        <w:t xml:space="preserve">Queensland Human Rights Commission, </w:t>
      </w:r>
      <w:r w:rsidR="0083281E" w:rsidRPr="0083281E">
        <w:rPr>
          <w:i/>
          <w:iCs/>
        </w:rPr>
        <w:t>Building belonging: Review of Queensland’s Anti-Discrimination Act 1991</w:t>
      </w:r>
      <w:r w:rsidR="0083281E">
        <w:t xml:space="preserve"> </w:t>
      </w:r>
      <w:r w:rsidR="00E46364">
        <w:t>(</w:t>
      </w:r>
      <w:r w:rsidR="00AE05E6">
        <w:t xml:space="preserve">Report, </w:t>
      </w:r>
      <w:r w:rsidR="0083281E">
        <w:t>July 2022</w:t>
      </w:r>
      <w:r w:rsidR="00AE05E6">
        <w:t>)</w:t>
      </w:r>
      <w:r w:rsidR="0083281E">
        <w:t>.</w:t>
      </w:r>
    </w:p>
  </w:footnote>
  <w:footnote w:id="3">
    <w:p w14:paraId="443AB53B" w14:textId="4B2A0EB8" w:rsidR="00441035" w:rsidRPr="00441035" w:rsidRDefault="00441035">
      <w:pPr>
        <w:pStyle w:val="FootnoteText"/>
      </w:pPr>
      <w:r>
        <w:rPr>
          <w:rStyle w:val="FootnoteReference"/>
        </w:rPr>
        <w:footnoteRef/>
      </w:r>
      <w:r>
        <w:t xml:space="preserve"> </w:t>
      </w:r>
      <w:r w:rsidR="0064115B">
        <w:t xml:space="preserve">Queensland Human Rights Commission, </w:t>
      </w:r>
      <w:r w:rsidR="0064115B" w:rsidRPr="0064115B">
        <w:rPr>
          <w:i/>
          <w:iCs/>
        </w:rPr>
        <w:t>Building belonging: Review of Queensland’s Anti-Discrimination Act 1991</w:t>
      </w:r>
      <w:r w:rsidR="0064115B">
        <w:t xml:space="preserve"> </w:t>
      </w:r>
      <w:r w:rsidR="00A06947">
        <w:t xml:space="preserve">(Report, </w:t>
      </w:r>
      <w:r w:rsidR="0064115B">
        <w:t>July 2022</w:t>
      </w:r>
      <w:r w:rsidR="00A06947">
        <w:t>)</w:t>
      </w:r>
      <w:r w:rsidR="005C0D40">
        <w:t>.</w:t>
      </w:r>
    </w:p>
  </w:footnote>
  <w:footnote w:id="4">
    <w:p w14:paraId="2FB42DCF" w14:textId="134A6BF7" w:rsidR="00921F1B" w:rsidRPr="00921F1B" w:rsidRDefault="00921F1B">
      <w:pPr>
        <w:pStyle w:val="FootnoteText"/>
      </w:pPr>
      <w:r>
        <w:rPr>
          <w:rStyle w:val="FootnoteReference"/>
        </w:rPr>
        <w:footnoteRef/>
      </w:r>
      <w:r>
        <w:t xml:space="preserve"> </w:t>
      </w:r>
      <w:r w:rsidRPr="00FA5079">
        <w:rPr>
          <w:rFonts w:cs="Arial"/>
        </w:rPr>
        <w:t xml:space="preserve">Final Queensland Government Response in the Legislative Assembly </w:t>
      </w:r>
      <w:r w:rsidR="005964D5">
        <w:rPr>
          <w:rFonts w:cs="Arial"/>
        </w:rPr>
        <w:t>tabled</w:t>
      </w:r>
      <w:r w:rsidRPr="00FA5079">
        <w:rPr>
          <w:rFonts w:cs="Arial"/>
        </w:rPr>
        <w:t xml:space="preserve"> 3 April 2023</w:t>
      </w:r>
      <w:r w:rsidR="00131939">
        <w:rPr>
          <w:rFonts w:cs="Arial"/>
        </w:rPr>
        <w:t>.</w:t>
      </w:r>
    </w:p>
  </w:footnote>
  <w:footnote w:id="5">
    <w:p w14:paraId="3499F6FF" w14:textId="401B53F0" w:rsidR="00420EDC" w:rsidRPr="00420EDC" w:rsidRDefault="00420EDC" w:rsidP="002530F5">
      <w:pPr>
        <w:pStyle w:val="FootnoteText"/>
        <w:rPr>
          <w:lang w:val="en-GB"/>
        </w:rPr>
      </w:pPr>
      <w:r>
        <w:rPr>
          <w:rStyle w:val="FootnoteReference"/>
        </w:rPr>
        <w:footnoteRef/>
      </w:r>
      <w:r>
        <w:t xml:space="preserve"> </w:t>
      </w:r>
      <w:r w:rsidR="00794AF3">
        <w:t xml:space="preserve">Aside from </w:t>
      </w:r>
      <w:r w:rsidR="00AA3DD0">
        <w:t>the amendments contained in this</w:t>
      </w:r>
      <w:r w:rsidR="00794AF3">
        <w:t xml:space="preserve"> Bill, </w:t>
      </w:r>
      <w:r w:rsidR="00794AF3">
        <w:rPr>
          <w:lang w:val="en-GB"/>
        </w:rPr>
        <w:t>o</w:t>
      </w:r>
      <w:r w:rsidR="005E314D">
        <w:rPr>
          <w:lang w:val="en-GB"/>
        </w:rPr>
        <w:t>ther</w:t>
      </w:r>
      <w:r>
        <w:rPr>
          <w:lang w:val="en-GB"/>
        </w:rPr>
        <w:t xml:space="preserve"> amendments</w:t>
      </w:r>
      <w:r w:rsidR="005E314D">
        <w:rPr>
          <w:lang w:val="en-GB"/>
        </w:rPr>
        <w:t xml:space="preserve"> to attributes and exceptions</w:t>
      </w:r>
      <w:r>
        <w:rPr>
          <w:lang w:val="en-GB"/>
        </w:rPr>
        <w:t xml:space="preserve"> have been </w:t>
      </w:r>
      <w:r w:rsidR="005E314D">
        <w:rPr>
          <w:lang w:val="en-GB"/>
        </w:rPr>
        <w:t>made</w:t>
      </w:r>
      <w:r>
        <w:rPr>
          <w:lang w:val="en-GB"/>
        </w:rPr>
        <w:t xml:space="preserve"> through the </w:t>
      </w:r>
      <w:r w:rsidRPr="005E314D">
        <w:rPr>
          <w:i/>
          <w:iCs/>
          <w:lang w:val="en-GB"/>
        </w:rPr>
        <w:t>Births, Deaths and Marriages Registration Act 2024</w:t>
      </w:r>
      <w:r>
        <w:rPr>
          <w:lang w:val="en-GB"/>
        </w:rPr>
        <w:t xml:space="preserve">, the </w:t>
      </w:r>
      <w:r w:rsidR="002530F5" w:rsidRPr="005E314D">
        <w:rPr>
          <w:i/>
          <w:iCs/>
          <w:lang w:val="en-GB"/>
        </w:rPr>
        <w:t>Criminal Code (Decriminalising Sex Work) and Other Legislation Amendment Act 2024</w:t>
      </w:r>
      <w:r w:rsidR="002530F5">
        <w:rPr>
          <w:lang w:val="en-GB"/>
        </w:rPr>
        <w:t xml:space="preserve"> and the </w:t>
      </w:r>
      <w:r w:rsidR="005E314D">
        <w:rPr>
          <w:lang w:val="en-GB"/>
        </w:rPr>
        <w:t xml:space="preserve">Assisted Reproductive Technology Bill 2024 (currently </w:t>
      </w:r>
      <w:r w:rsidR="00794AF3">
        <w:rPr>
          <w:lang w:val="en-GB"/>
        </w:rPr>
        <w:t>being considered by</w:t>
      </w:r>
      <w:r w:rsidR="005E314D">
        <w:rPr>
          <w:lang w:val="en-GB"/>
        </w:rPr>
        <w:t xml:space="preserve"> </w:t>
      </w:r>
      <w:r w:rsidR="00794AF3">
        <w:rPr>
          <w:lang w:val="en-GB"/>
        </w:rPr>
        <w:t>this committee</w:t>
      </w:r>
      <w:r w:rsidR="005E314D">
        <w:rPr>
          <w:lang w:val="en-GB"/>
        </w:rPr>
        <w:t>).</w:t>
      </w:r>
    </w:p>
  </w:footnote>
  <w:footnote w:id="6">
    <w:p w14:paraId="662196C5" w14:textId="1A0CA77A" w:rsidR="009467C4" w:rsidRPr="009467C4" w:rsidRDefault="009467C4">
      <w:pPr>
        <w:pStyle w:val="FootnoteText"/>
        <w:rPr>
          <w:lang w:val="en-GB"/>
        </w:rPr>
      </w:pPr>
      <w:r>
        <w:rPr>
          <w:rStyle w:val="FootnoteReference"/>
        </w:rPr>
        <w:footnoteRef/>
      </w:r>
      <w:r>
        <w:t xml:space="preserve"> </w:t>
      </w:r>
      <w:r w:rsidR="00837953">
        <w:rPr>
          <w:lang w:val="en-GB"/>
        </w:rPr>
        <w:t>Legal Affairs and Safety Committee,</w:t>
      </w:r>
      <w:r w:rsidR="0025410D">
        <w:rPr>
          <w:lang w:val="en-GB"/>
        </w:rPr>
        <w:t xml:space="preserve"> </w:t>
      </w:r>
      <w:r w:rsidR="00A21FB5">
        <w:rPr>
          <w:lang w:val="en-GB"/>
        </w:rPr>
        <w:t>Queensland Parliament</w:t>
      </w:r>
      <w:r w:rsidR="00837953">
        <w:rPr>
          <w:lang w:val="en-GB"/>
        </w:rPr>
        <w:t>,</w:t>
      </w:r>
      <w:r w:rsidR="0025410D">
        <w:rPr>
          <w:lang w:val="en-GB"/>
        </w:rPr>
        <w:t xml:space="preserve"> </w:t>
      </w:r>
      <w:r w:rsidR="0025410D">
        <w:rPr>
          <w:i/>
          <w:iCs/>
          <w:lang w:val="en-GB"/>
        </w:rPr>
        <w:t>Inquiry into serious vilification and hate crimes</w:t>
      </w:r>
      <w:r w:rsidR="00837953">
        <w:rPr>
          <w:i/>
          <w:lang w:val="en-GB"/>
        </w:rPr>
        <w:t xml:space="preserve"> </w:t>
      </w:r>
      <w:r w:rsidR="00263DEC" w:rsidRPr="006065D1">
        <w:rPr>
          <w:lang w:val="en-GB"/>
        </w:rPr>
        <w:t>(</w:t>
      </w:r>
      <w:r w:rsidR="00837953">
        <w:rPr>
          <w:lang w:val="en-GB"/>
        </w:rPr>
        <w:t xml:space="preserve">Report no. 22, </w:t>
      </w:r>
      <w:r w:rsidR="00A228C6">
        <w:rPr>
          <w:lang w:val="en-GB"/>
        </w:rPr>
        <w:t>January 2022).</w:t>
      </w:r>
    </w:p>
  </w:footnote>
  <w:footnote w:id="7">
    <w:p w14:paraId="47D9A198" w14:textId="19000C5F" w:rsidR="000E25E2" w:rsidRPr="007774D6" w:rsidRDefault="000E25E2">
      <w:pPr>
        <w:pStyle w:val="FootnoteText"/>
        <w:rPr>
          <w:lang w:val="en-GB"/>
        </w:rPr>
      </w:pPr>
      <w:r>
        <w:rPr>
          <w:rStyle w:val="FootnoteReference"/>
        </w:rPr>
        <w:footnoteRef/>
      </w:r>
      <w:r>
        <w:t xml:space="preserve"> </w:t>
      </w:r>
      <w:r>
        <w:rPr>
          <w:lang w:val="en-GB"/>
        </w:rPr>
        <w:t xml:space="preserve">Noting that amendments have </w:t>
      </w:r>
      <w:r w:rsidR="00643C57">
        <w:rPr>
          <w:lang w:val="en-GB"/>
        </w:rPr>
        <w:t xml:space="preserve">also </w:t>
      </w:r>
      <w:r w:rsidR="00006A09">
        <w:rPr>
          <w:lang w:val="en-GB"/>
        </w:rPr>
        <w:t xml:space="preserve">previously </w:t>
      </w:r>
      <w:r>
        <w:rPr>
          <w:lang w:val="en-GB"/>
        </w:rPr>
        <w:t xml:space="preserve">been made </w:t>
      </w:r>
      <w:r w:rsidR="00F173EC">
        <w:rPr>
          <w:lang w:val="en-GB"/>
        </w:rPr>
        <w:t xml:space="preserve">by the </w:t>
      </w:r>
      <w:r w:rsidR="00F173EC">
        <w:rPr>
          <w:i/>
          <w:iCs/>
          <w:lang w:val="en-GB"/>
        </w:rPr>
        <w:t xml:space="preserve">Criminal Code (Serious Vilification and Hate Crimes) and Other </w:t>
      </w:r>
      <w:r w:rsidR="007774D6">
        <w:rPr>
          <w:i/>
          <w:iCs/>
          <w:lang w:val="en-GB"/>
        </w:rPr>
        <w:t>Legislation Amendment Act 202</w:t>
      </w:r>
      <w:r w:rsidR="00006A09">
        <w:rPr>
          <w:i/>
          <w:iCs/>
          <w:lang w:val="en-GB"/>
        </w:rPr>
        <w:t>3</w:t>
      </w:r>
      <w:r w:rsidR="007774D6">
        <w:rPr>
          <w:lang w:val="en-GB"/>
        </w:rPr>
        <w:t>.</w:t>
      </w:r>
    </w:p>
  </w:footnote>
  <w:footnote w:id="8">
    <w:p w14:paraId="24D43D1C" w14:textId="6F2C31E3" w:rsidR="00A67937" w:rsidRPr="00CA7F24" w:rsidRDefault="00A67937" w:rsidP="00A67937">
      <w:pPr>
        <w:pStyle w:val="FootnoteText"/>
        <w:rPr>
          <w:lang w:val="en-GB"/>
        </w:rPr>
      </w:pPr>
      <w:r>
        <w:rPr>
          <w:rStyle w:val="FootnoteReference"/>
        </w:rPr>
        <w:footnoteRef/>
      </w:r>
      <w:r>
        <w:t xml:space="preserve"> </w:t>
      </w:r>
      <w:r w:rsidR="00C43ADD">
        <w:t>See</w:t>
      </w:r>
      <w:r w:rsidR="00C43ADD" w:rsidRPr="00C43ADD">
        <w:rPr>
          <w:sz w:val="22"/>
        </w:rPr>
        <w:t xml:space="preserve"> </w:t>
      </w:r>
      <w:r w:rsidR="00C43ADD" w:rsidRPr="00C43ADD">
        <w:t xml:space="preserve">Professors Ian Ayres and John </w:t>
      </w:r>
      <w:r w:rsidR="004C3D44">
        <w:t>B</w:t>
      </w:r>
      <w:r w:rsidR="00C43ADD" w:rsidRPr="00C43ADD">
        <w:t xml:space="preserve">raithwaite, </w:t>
      </w:r>
      <w:r w:rsidR="00C43ADD" w:rsidRPr="001F1A2C">
        <w:rPr>
          <w:i/>
          <w:iCs/>
        </w:rPr>
        <w:t>Responsive Regulation: Transcending the Deregulation Debate</w:t>
      </w:r>
      <w:r w:rsidR="00C43ADD" w:rsidRPr="00C43ADD">
        <w:t>, (Oxford University Press, 1992).</w:t>
      </w:r>
      <w:r>
        <w:t xml:space="preserve"> </w:t>
      </w:r>
      <w:r w:rsidR="00392DE0">
        <w:rPr>
          <w:lang w:val="en-GB"/>
        </w:rPr>
        <w:t>This work poses</w:t>
      </w:r>
      <w:r>
        <w:rPr>
          <w:lang w:val="en-GB"/>
        </w:rPr>
        <w:t xml:space="preserve"> the concept of the regulatory pyramid, which focuses a regulator’s efforts on prevention and persuasion. </w:t>
      </w:r>
      <w:r w:rsidR="000B33A8">
        <w:rPr>
          <w:lang w:val="en-GB"/>
        </w:rPr>
        <w:t>John Braithwaite is an</w:t>
      </w:r>
      <w:r w:rsidR="006A4CE3">
        <w:rPr>
          <w:lang w:val="en-GB"/>
        </w:rPr>
        <w:t xml:space="preserve"> </w:t>
      </w:r>
      <w:r w:rsidR="000B33A8">
        <w:rPr>
          <w:lang w:val="en-GB"/>
        </w:rPr>
        <w:t>Emeritus Professor at the Australian National University.</w:t>
      </w:r>
    </w:p>
  </w:footnote>
  <w:footnote w:id="9">
    <w:p w14:paraId="52A38A88" w14:textId="34463BEF" w:rsidR="00531B66" w:rsidRPr="00531B66" w:rsidRDefault="00531B66">
      <w:pPr>
        <w:pStyle w:val="FootnoteText"/>
        <w:rPr>
          <w:lang w:val="en-GB"/>
        </w:rPr>
      </w:pPr>
      <w:r>
        <w:rPr>
          <w:rStyle w:val="FootnoteReference"/>
        </w:rPr>
        <w:footnoteRef/>
      </w:r>
      <w:r>
        <w:t xml:space="preserve"> </w:t>
      </w:r>
      <w:r w:rsidR="00AE7647">
        <w:rPr>
          <w:lang w:val="en-GB"/>
        </w:rPr>
        <w:t>Anti</w:t>
      </w:r>
      <w:r w:rsidR="00382E9A">
        <w:rPr>
          <w:lang w:val="en-GB"/>
        </w:rPr>
        <w:t xml:space="preserve">-Discrimination Bill 2024 </w:t>
      </w:r>
      <w:r w:rsidR="003E7BA2">
        <w:rPr>
          <w:lang w:val="en-GB"/>
        </w:rPr>
        <w:t xml:space="preserve">(Qld) </w:t>
      </w:r>
      <w:r w:rsidR="00E469E1">
        <w:rPr>
          <w:lang w:val="en-GB"/>
        </w:rPr>
        <w:t>Consultation Draf</w:t>
      </w:r>
      <w:r w:rsidR="003E7BA2">
        <w:rPr>
          <w:lang w:val="en-GB"/>
        </w:rPr>
        <w:t>t,</w:t>
      </w:r>
      <w:r w:rsidR="00E469E1">
        <w:rPr>
          <w:lang w:val="en-GB"/>
        </w:rPr>
        <w:t xml:space="preserve"> February 2024. </w:t>
      </w:r>
    </w:p>
  </w:footnote>
  <w:footnote w:id="10">
    <w:p w14:paraId="1D997D87" w14:textId="6D8F74CE" w:rsidR="00814945" w:rsidRPr="00770F03" w:rsidRDefault="00814945" w:rsidP="00814945">
      <w:pPr>
        <w:pStyle w:val="FootnoteText"/>
        <w:rPr>
          <w:lang w:val="en-GB"/>
        </w:rPr>
      </w:pPr>
      <w:r>
        <w:rPr>
          <w:rStyle w:val="FootnoteReference"/>
        </w:rPr>
        <w:footnoteRef/>
      </w:r>
      <w:r>
        <w:t xml:space="preserve"> </w:t>
      </w:r>
      <w:r w:rsidR="000E310E">
        <w:t xml:space="preserve">Respect at Work and Other Matters Amendment Bill 2024 (Qld) </w:t>
      </w:r>
      <w:r w:rsidR="00632B38">
        <w:t>cl</w:t>
      </w:r>
      <w:r w:rsidR="00DE4483">
        <w:t xml:space="preserve"> </w:t>
      </w:r>
      <w:r w:rsidR="007A1DB9">
        <w:t xml:space="preserve">39 </w:t>
      </w:r>
      <w:r w:rsidR="001B4ABA">
        <w:t xml:space="preserve">relating to </w:t>
      </w:r>
      <w:r w:rsidR="00371C38">
        <w:t xml:space="preserve">proposed </w:t>
      </w:r>
      <w:r>
        <w:rPr>
          <w:lang w:val="en-GB"/>
        </w:rPr>
        <w:t>s</w:t>
      </w:r>
      <w:r w:rsidR="005F22EC">
        <w:rPr>
          <w:lang w:val="en-GB"/>
        </w:rPr>
        <w:t xml:space="preserve"> </w:t>
      </w:r>
      <w:r>
        <w:rPr>
          <w:lang w:val="en-GB"/>
        </w:rPr>
        <w:t>173</w:t>
      </w:r>
      <w:proofErr w:type="gramStart"/>
      <w:r>
        <w:rPr>
          <w:lang w:val="en-GB"/>
        </w:rPr>
        <w:t>B(</w:t>
      </w:r>
      <w:proofErr w:type="gramEnd"/>
      <w:r>
        <w:rPr>
          <w:lang w:val="en-GB"/>
        </w:rPr>
        <w:t>3)</w:t>
      </w:r>
      <w:r w:rsidR="00371C38">
        <w:rPr>
          <w:lang w:val="en-GB"/>
        </w:rPr>
        <w:t>.</w:t>
      </w:r>
      <w:r>
        <w:rPr>
          <w:lang w:val="en-GB"/>
        </w:rPr>
        <w:t xml:space="preserve"> </w:t>
      </w:r>
    </w:p>
  </w:footnote>
  <w:footnote w:id="11">
    <w:p w14:paraId="41ECAD03" w14:textId="64B8540D" w:rsidR="002046B8" w:rsidRPr="002046B8" w:rsidRDefault="002046B8">
      <w:pPr>
        <w:pStyle w:val="FootnoteText"/>
        <w:rPr>
          <w:lang w:val="en-GB"/>
        </w:rPr>
      </w:pPr>
      <w:r>
        <w:rPr>
          <w:rStyle w:val="FootnoteReference"/>
        </w:rPr>
        <w:footnoteRef/>
      </w:r>
      <w:r>
        <w:t xml:space="preserve"> </w:t>
      </w:r>
      <w:r w:rsidR="00FA3357">
        <w:rPr>
          <w:lang w:val="en-GB"/>
        </w:rPr>
        <w:t>Clause 39, sections 17</w:t>
      </w:r>
      <w:r w:rsidR="00FF654E">
        <w:rPr>
          <w:lang w:val="en-GB"/>
        </w:rPr>
        <w:t>3I-N.</w:t>
      </w:r>
    </w:p>
  </w:footnote>
  <w:footnote w:id="12">
    <w:p w14:paraId="247157AC" w14:textId="3961FC33" w:rsidR="00814945" w:rsidRPr="00A35507" w:rsidRDefault="00814945" w:rsidP="00814945">
      <w:pPr>
        <w:pStyle w:val="FootnoteText"/>
        <w:rPr>
          <w:lang w:val="en-GB"/>
        </w:rPr>
      </w:pPr>
      <w:r>
        <w:rPr>
          <w:rStyle w:val="FootnoteReference"/>
        </w:rPr>
        <w:footnoteRef/>
      </w:r>
      <w:r>
        <w:t xml:space="preserve"> </w:t>
      </w:r>
      <w:r w:rsidR="008638FF">
        <w:t xml:space="preserve">Respect at Work and Other Matters Amendment Bill 2024 (Qld) </w:t>
      </w:r>
      <w:r w:rsidR="00632B38">
        <w:t>cl</w:t>
      </w:r>
      <w:r w:rsidR="008638FF">
        <w:t xml:space="preserve"> 39 relating to proposed </w:t>
      </w:r>
      <w:r>
        <w:rPr>
          <w:lang w:val="en-GB"/>
        </w:rPr>
        <w:t>s173O and s173P</w:t>
      </w:r>
      <w:r w:rsidR="008638FF">
        <w:rPr>
          <w:lang w:val="en-GB"/>
        </w:rPr>
        <w:t>.</w:t>
      </w:r>
      <w:r>
        <w:rPr>
          <w:lang w:val="en-GB"/>
        </w:rPr>
        <w:t xml:space="preserve"> </w:t>
      </w:r>
    </w:p>
  </w:footnote>
  <w:footnote w:id="13">
    <w:p w14:paraId="5FE4AF92" w14:textId="43423147" w:rsidR="0007188C" w:rsidRPr="00404337" w:rsidRDefault="0007188C" w:rsidP="0007188C">
      <w:pPr>
        <w:pStyle w:val="FootnoteText"/>
        <w:rPr>
          <w:lang w:val="en-GB"/>
        </w:rPr>
      </w:pPr>
      <w:r w:rsidRPr="0062633C">
        <w:rPr>
          <w:rStyle w:val="FootnoteReference"/>
        </w:rPr>
        <w:footnoteRef/>
      </w:r>
      <w:r w:rsidRPr="0062633C">
        <w:t xml:space="preserve"> </w:t>
      </w:r>
      <w:r w:rsidR="005C1297" w:rsidRPr="0062633C">
        <w:t>Explanatory Notes</w:t>
      </w:r>
      <w:r w:rsidR="00EC6931" w:rsidRPr="0062633C">
        <w:t xml:space="preserve">, </w:t>
      </w:r>
      <w:r w:rsidR="004D24AD" w:rsidRPr="0062633C">
        <w:t>Respect</w:t>
      </w:r>
      <w:r w:rsidR="00DA4049" w:rsidRPr="0062633C">
        <w:t xml:space="preserve"> </w:t>
      </w:r>
      <w:r w:rsidR="00DA4049">
        <w:t xml:space="preserve">at Work and Other Matters Amendment Bill 2024 (Qld) </w:t>
      </w:r>
      <w:r w:rsidRPr="0062633C">
        <w:rPr>
          <w:lang w:val="en-GB"/>
        </w:rPr>
        <w:t>23</w:t>
      </w:r>
      <w:r w:rsidR="00D45818">
        <w:rPr>
          <w:lang w:val="en-GB"/>
        </w:rPr>
        <w:t>.</w:t>
      </w:r>
    </w:p>
  </w:footnote>
  <w:footnote w:id="14">
    <w:p w14:paraId="6F838145" w14:textId="6320F357" w:rsidR="000D55AD" w:rsidRPr="00955D62" w:rsidRDefault="000D55AD" w:rsidP="000D55AD">
      <w:pPr>
        <w:pStyle w:val="FootnoteText"/>
        <w:rPr>
          <w:i/>
        </w:rPr>
      </w:pPr>
      <w:r>
        <w:rPr>
          <w:rStyle w:val="FootnoteReference"/>
        </w:rPr>
        <w:footnoteRef/>
      </w:r>
      <w:r>
        <w:t xml:space="preserve"> </w:t>
      </w:r>
      <w:r w:rsidR="00F774C4">
        <w:t xml:space="preserve">Respect at Work and Other Matters Amendment Bill 2024 (Qld) </w:t>
      </w:r>
      <w:r>
        <w:t xml:space="preserve">cl 29, </w:t>
      </w:r>
      <w:r w:rsidR="00C51494">
        <w:t xml:space="preserve">relating to </w:t>
      </w:r>
      <w:r w:rsidR="005F1575">
        <w:t>amendment of</w:t>
      </w:r>
      <w:r w:rsidR="004D14FC">
        <w:t xml:space="preserve"> </w:t>
      </w:r>
      <w:r>
        <w:t>s 138. The following</w:t>
      </w:r>
      <w:r w:rsidR="00F8419C">
        <w:t xml:space="preserve"> contraventions</w:t>
      </w:r>
      <w:r>
        <w:t xml:space="preserve"> have a 2</w:t>
      </w:r>
      <w:r w:rsidR="00E33C73">
        <w:t>-</w:t>
      </w:r>
      <w:r>
        <w:t xml:space="preserve">year timeframe: sex discrimination, sexual harassment, sex-based harassment, subjecting a person to a work environment that is hostile based on sex or victimisation resulting from a sex-based allegation – see cl 50 of the Bill for meaning of </w:t>
      </w:r>
      <w:r>
        <w:rPr>
          <w:i/>
          <w:iCs/>
        </w:rPr>
        <w:t xml:space="preserve">contravention </w:t>
      </w:r>
      <w:proofErr w:type="gramStart"/>
      <w:r>
        <w:rPr>
          <w:i/>
          <w:iCs/>
        </w:rPr>
        <w:t>on the basis of</w:t>
      </w:r>
      <w:proofErr w:type="gramEnd"/>
      <w:r>
        <w:rPr>
          <w:i/>
          <w:iCs/>
        </w:rPr>
        <w:t xml:space="preserve"> sex</w:t>
      </w:r>
      <w:r>
        <w:rPr>
          <w:i/>
        </w:rPr>
        <w:t>.</w:t>
      </w:r>
    </w:p>
  </w:footnote>
  <w:footnote w:id="15">
    <w:p w14:paraId="2303365E" w14:textId="02244101" w:rsidR="000D55AD" w:rsidRPr="00875601" w:rsidRDefault="000D55AD" w:rsidP="000D55AD">
      <w:pPr>
        <w:pStyle w:val="FootnoteText"/>
      </w:pPr>
      <w:r>
        <w:rPr>
          <w:rStyle w:val="FootnoteReference"/>
        </w:rPr>
        <w:footnoteRef/>
      </w:r>
      <w:r>
        <w:t xml:space="preserve"> </w:t>
      </w:r>
      <w:r>
        <w:rPr>
          <w:rFonts w:cs="Arial"/>
          <w:i/>
          <w:iCs/>
          <w14:ligatures w14:val="standardContextual"/>
        </w:rPr>
        <w:t>Australian Human Rights Commission Act 1986</w:t>
      </w:r>
      <w:r>
        <w:rPr>
          <w:rFonts w:cs="Arial"/>
          <w14:ligatures w14:val="standardContextual"/>
        </w:rPr>
        <w:t xml:space="preserve"> (</w:t>
      </w:r>
      <w:proofErr w:type="spellStart"/>
      <w:r>
        <w:rPr>
          <w:rFonts w:cs="Arial"/>
          <w14:ligatures w14:val="standardContextual"/>
        </w:rPr>
        <w:t>Cth</w:t>
      </w:r>
      <w:proofErr w:type="spellEnd"/>
      <w:r>
        <w:rPr>
          <w:rFonts w:cs="Arial"/>
          <w14:ligatures w14:val="standardContextual"/>
        </w:rPr>
        <w:t xml:space="preserve">) s 46PH amended by the </w:t>
      </w:r>
      <w:r>
        <w:rPr>
          <w:rFonts w:cs="Arial"/>
          <w:i/>
          <w:iCs/>
          <w14:ligatures w14:val="standardContextual"/>
        </w:rPr>
        <w:t xml:space="preserve">Anti-Discrimination and Human Rights Legislation (Respect at Work) Act 2022 </w:t>
      </w:r>
      <w:r>
        <w:rPr>
          <w:rFonts w:cs="Arial"/>
          <w14:ligatures w14:val="standardContextual"/>
        </w:rPr>
        <w:t>(</w:t>
      </w:r>
      <w:proofErr w:type="spellStart"/>
      <w:r>
        <w:rPr>
          <w:rFonts w:cs="Arial"/>
          <w14:ligatures w14:val="standardContextual"/>
        </w:rPr>
        <w:t>Cth</w:t>
      </w:r>
      <w:proofErr w:type="spellEnd"/>
      <w:r>
        <w:rPr>
          <w:rFonts w:cs="Arial"/>
          <w14:ligatures w14:val="standardContextual"/>
        </w:rPr>
        <w:t>).</w:t>
      </w:r>
    </w:p>
  </w:footnote>
  <w:footnote w:id="16">
    <w:p w14:paraId="53B8D557" w14:textId="35E32B12" w:rsidR="009A59AB" w:rsidRPr="009A59AB" w:rsidRDefault="009A59AB">
      <w:pPr>
        <w:pStyle w:val="FootnoteText"/>
      </w:pPr>
      <w:r>
        <w:rPr>
          <w:rStyle w:val="FootnoteReference"/>
        </w:rPr>
        <w:footnoteRef/>
      </w:r>
      <w:r>
        <w:t xml:space="preserve"> Australian Human Rights Commission, </w:t>
      </w:r>
      <w:proofErr w:type="spellStart"/>
      <w:r w:rsidRPr="007749FA">
        <w:rPr>
          <w:i/>
          <w:iCs/>
        </w:rPr>
        <w:t>Respect@Work</w:t>
      </w:r>
      <w:proofErr w:type="spellEnd"/>
      <w:r w:rsidRPr="007749FA">
        <w:rPr>
          <w:i/>
          <w:iCs/>
        </w:rPr>
        <w:t>: National Inquiry into Sexual Harassment in Australian Workplaces</w:t>
      </w:r>
      <w:r>
        <w:t xml:space="preserve"> (2020) 19</w:t>
      </w:r>
      <w:r w:rsidR="00641AFE">
        <w:t xml:space="preserve">. </w:t>
      </w:r>
      <w:proofErr w:type="spellStart"/>
      <w:r w:rsidR="00641AFE" w:rsidRPr="0008060A">
        <w:rPr>
          <w:i/>
        </w:rPr>
        <w:t>Respect@Work</w:t>
      </w:r>
      <w:proofErr w:type="spellEnd"/>
      <w:r w:rsidR="00641AFE">
        <w:t xml:space="preserve"> noted that sexual harassment is experienced at greater rates by young people, LGBTIQ workers, Aboriginal and Torres Strait Islander workers, workers with a disability, workers from culturally and linguistically diverse backgrounds, migrant workers</w:t>
      </w:r>
      <w:r w:rsidR="004C55A1">
        <w:t>,</w:t>
      </w:r>
      <w:r w:rsidR="00641AFE">
        <w:t xml:space="preserve"> and people in insecure work.</w:t>
      </w:r>
    </w:p>
  </w:footnote>
  <w:footnote w:id="17">
    <w:p w14:paraId="67ADA03B" w14:textId="4AF6BDEE" w:rsidR="00C96CD7" w:rsidRPr="00C96CD7" w:rsidRDefault="00C96CD7">
      <w:pPr>
        <w:pStyle w:val="FootnoteText"/>
      </w:pPr>
      <w:r>
        <w:rPr>
          <w:rStyle w:val="FootnoteReference"/>
        </w:rPr>
        <w:footnoteRef/>
      </w:r>
      <w:r>
        <w:t xml:space="preserve"> </w:t>
      </w:r>
      <w:r w:rsidR="00FD23D1">
        <w:t xml:space="preserve">Australian Human Rights Commission, </w:t>
      </w:r>
      <w:proofErr w:type="spellStart"/>
      <w:r w:rsidR="00FD23D1" w:rsidRPr="007749FA">
        <w:rPr>
          <w:i/>
          <w:iCs/>
        </w:rPr>
        <w:t>Respect@Work</w:t>
      </w:r>
      <w:proofErr w:type="spellEnd"/>
      <w:r w:rsidR="00FD23D1" w:rsidRPr="007749FA">
        <w:rPr>
          <w:i/>
          <w:iCs/>
        </w:rPr>
        <w:t>: National Inquiry into Sexual Harassment in Australian Workplaces</w:t>
      </w:r>
      <w:r w:rsidR="007749FA">
        <w:t xml:space="preserve"> (</w:t>
      </w:r>
      <w:r w:rsidR="00FD23D1">
        <w:t>2020</w:t>
      </w:r>
      <w:r w:rsidR="007749FA">
        <w:t>).</w:t>
      </w:r>
    </w:p>
  </w:footnote>
  <w:footnote w:id="18">
    <w:p w14:paraId="2EF75E6B" w14:textId="3F966D1B" w:rsidR="00834998" w:rsidRPr="00FC419F" w:rsidRDefault="00834998" w:rsidP="00834998">
      <w:pPr>
        <w:pStyle w:val="FootnoteText"/>
      </w:pPr>
      <w:r w:rsidRPr="00FC419F">
        <w:rPr>
          <w:rStyle w:val="FootnoteReference"/>
        </w:rPr>
        <w:footnoteRef/>
      </w:r>
      <w:r w:rsidRPr="00FC419F">
        <w:t xml:space="preserve"> </w:t>
      </w:r>
      <w:bookmarkStart w:id="19" w:name="_Hlk170761058"/>
      <w:r w:rsidR="005C0D40" w:rsidRPr="005C0D40">
        <w:t xml:space="preserve">Queensland Human Rights Commission, </w:t>
      </w:r>
      <w:r w:rsidR="005C0D40" w:rsidRPr="0008060A">
        <w:rPr>
          <w:i/>
        </w:rPr>
        <w:t>Building belonging: Review of Queensland’s Anti-Discrimination Act 1991</w:t>
      </w:r>
      <w:r w:rsidR="005C0D40" w:rsidRPr="005C0D40">
        <w:t xml:space="preserve"> </w:t>
      </w:r>
      <w:r w:rsidR="00731D6E">
        <w:t xml:space="preserve">(Report, </w:t>
      </w:r>
      <w:r w:rsidR="005C0D40" w:rsidRPr="005C0D40">
        <w:t>July 202</w:t>
      </w:r>
      <w:r w:rsidR="005C0D40">
        <w:t>2</w:t>
      </w:r>
      <w:r w:rsidR="00731D6E">
        <w:t>)</w:t>
      </w:r>
      <w:r w:rsidR="005C0D40">
        <w:t xml:space="preserve"> </w:t>
      </w:r>
      <w:bookmarkEnd w:id="19"/>
      <w:r w:rsidRPr="00FC419F">
        <w:t>131.</w:t>
      </w:r>
    </w:p>
  </w:footnote>
  <w:footnote w:id="19">
    <w:p w14:paraId="4BE48EED" w14:textId="08E46D0B" w:rsidR="00FD3BE7" w:rsidRPr="00FC419F" w:rsidRDefault="00FD3BE7" w:rsidP="00FD3BE7">
      <w:pPr>
        <w:pStyle w:val="FootnoteText"/>
        <w:rPr>
          <w:lang w:val="en-GB"/>
        </w:rPr>
      </w:pPr>
      <w:r w:rsidRPr="00FC419F">
        <w:rPr>
          <w:rStyle w:val="FootnoteReference"/>
        </w:rPr>
        <w:footnoteRef/>
      </w:r>
      <w:r w:rsidRPr="00FC419F">
        <w:t xml:space="preserve"> </w:t>
      </w:r>
      <w:r w:rsidR="00FC419F" w:rsidRPr="00FC419F">
        <w:t>Explanatory Notes,</w:t>
      </w:r>
      <w:r w:rsidRPr="00FC419F">
        <w:rPr>
          <w:lang w:val="en-GB"/>
        </w:rPr>
        <w:t xml:space="preserve"> </w:t>
      </w:r>
      <w:r w:rsidR="00FC419F" w:rsidRPr="00FC419F">
        <w:rPr>
          <w:lang w:val="en-GB"/>
        </w:rPr>
        <w:t xml:space="preserve">Respect at Work and Other Matters Amendment Bill 2024 </w:t>
      </w:r>
      <w:r w:rsidR="00EC181B">
        <w:rPr>
          <w:lang w:val="en-GB"/>
        </w:rPr>
        <w:t>(Qld)</w:t>
      </w:r>
      <w:r w:rsidR="00FC419F" w:rsidRPr="00FC419F">
        <w:rPr>
          <w:lang w:val="en-GB"/>
        </w:rPr>
        <w:t xml:space="preserve"> </w:t>
      </w:r>
      <w:r w:rsidRPr="00FC419F">
        <w:rPr>
          <w:lang w:val="en-GB"/>
        </w:rPr>
        <w:t>9</w:t>
      </w:r>
      <w:r w:rsidR="00FC419F" w:rsidRPr="00FC419F">
        <w:rPr>
          <w:lang w:val="en-GB"/>
        </w:rPr>
        <w:t>.</w:t>
      </w:r>
      <w:r w:rsidR="008F6A9B">
        <w:rPr>
          <w:lang w:val="en-GB"/>
        </w:rPr>
        <w:t xml:space="preserve"> </w:t>
      </w:r>
    </w:p>
  </w:footnote>
  <w:footnote w:id="20">
    <w:p w14:paraId="1A4BF43D" w14:textId="3E37F65E" w:rsidR="00FD3BE7" w:rsidRPr="00A07268" w:rsidRDefault="00FD3BE7" w:rsidP="00FD3BE7">
      <w:pPr>
        <w:pStyle w:val="FootnoteText"/>
        <w:rPr>
          <w:lang w:val="en-GB"/>
        </w:rPr>
      </w:pPr>
      <w:r w:rsidRPr="00FC419F">
        <w:rPr>
          <w:rStyle w:val="FootnoteReference"/>
        </w:rPr>
        <w:footnoteRef/>
      </w:r>
      <w:r w:rsidRPr="00FC419F">
        <w:t xml:space="preserve"> </w:t>
      </w:r>
      <w:r w:rsidR="00FC419F" w:rsidRPr="00FC419F">
        <w:t>Explanatory Notes,</w:t>
      </w:r>
      <w:r w:rsidR="00FC419F" w:rsidRPr="00FC419F">
        <w:rPr>
          <w:lang w:val="en-GB"/>
        </w:rPr>
        <w:t xml:space="preserve"> Respect at Work and Other Matters Amendment Bill 2024 </w:t>
      </w:r>
      <w:r w:rsidR="00EC181B">
        <w:rPr>
          <w:lang w:val="en-GB"/>
        </w:rPr>
        <w:t>(Qld)</w:t>
      </w:r>
      <w:r w:rsidR="00FC419F" w:rsidRPr="00FC419F">
        <w:rPr>
          <w:lang w:val="en-GB"/>
        </w:rPr>
        <w:t xml:space="preserve"> 10.</w:t>
      </w:r>
    </w:p>
  </w:footnote>
  <w:footnote w:id="21">
    <w:p w14:paraId="0B21B968" w14:textId="4238337F" w:rsidR="00455E74" w:rsidRDefault="00B66A4B" w:rsidP="00455E74">
      <w:pPr>
        <w:pStyle w:val="FootnoteText"/>
      </w:pPr>
      <w:r>
        <w:rPr>
          <w:rStyle w:val="FootnoteReference"/>
        </w:rPr>
        <w:footnoteRef/>
      </w:r>
      <w:r>
        <w:t xml:space="preserve"> </w:t>
      </w:r>
      <w:r w:rsidRPr="00B66A4B">
        <w:rPr>
          <w:i/>
          <w:iCs/>
        </w:rPr>
        <w:t>Goodwin v Phillips</w:t>
      </w:r>
      <w:r>
        <w:t xml:space="preserve"> (1908) 7 CLR 1 at 14</w:t>
      </w:r>
      <w:r w:rsidR="00455E74">
        <w:t xml:space="preserve">. </w:t>
      </w:r>
    </w:p>
    <w:p w14:paraId="68812B0B" w14:textId="27D27E7C" w:rsidR="00B66A4B" w:rsidRPr="00B66A4B" w:rsidRDefault="00455E74" w:rsidP="00455E74">
      <w:pPr>
        <w:pStyle w:val="FootnoteText"/>
        <w:rPr>
          <w:lang w:val="en-GB"/>
        </w:rPr>
      </w:pPr>
      <w:r>
        <w:t>Multicultural and Indigenous Affairs v Nystrom (2006) 228 CLR 566, [48])</w:t>
      </w:r>
    </w:p>
  </w:footnote>
  <w:footnote w:id="22">
    <w:p w14:paraId="744C24B7" w14:textId="03F356E8" w:rsidR="009477D3" w:rsidRPr="000547C0" w:rsidRDefault="009477D3" w:rsidP="009477D3">
      <w:pPr>
        <w:pStyle w:val="FootnoteText"/>
      </w:pPr>
      <w:r>
        <w:rPr>
          <w:rStyle w:val="FootnoteReference"/>
        </w:rPr>
        <w:footnoteRef/>
      </w:r>
      <w:r>
        <w:t xml:space="preserve"> Explanatory Notes, Respect at Work and Other Matters Amendment Bill 2024</w:t>
      </w:r>
      <w:r w:rsidR="006C7F99">
        <w:t xml:space="preserve"> (Qld)</w:t>
      </w:r>
      <w:r>
        <w:t>10.</w:t>
      </w:r>
    </w:p>
  </w:footnote>
  <w:footnote w:id="23">
    <w:p w14:paraId="47C8709A" w14:textId="5F17EF10" w:rsidR="0065012B" w:rsidRPr="0065012B" w:rsidRDefault="0065012B">
      <w:pPr>
        <w:pStyle w:val="FootnoteText"/>
      </w:pPr>
      <w:r>
        <w:rPr>
          <w:rStyle w:val="FootnoteReference"/>
        </w:rPr>
        <w:footnoteRef/>
      </w:r>
      <w:r>
        <w:t xml:space="preserve"> </w:t>
      </w:r>
      <w:r>
        <w:rPr>
          <w:lang w:val="en-GB"/>
        </w:rPr>
        <w:t xml:space="preserve">Legal Affairs and Safety Committee, </w:t>
      </w:r>
      <w:r w:rsidR="00DB2DC1">
        <w:rPr>
          <w:lang w:val="en-GB"/>
        </w:rPr>
        <w:t>Queensland Parliam</w:t>
      </w:r>
      <w:r w:rsidR="0050550C">
        <w:rPr>
          <w:lang w:val="en-GB"/>
        </w:rPr>
        <w:t>en</w:t>
      </w:r>
      <w:r w:rsidR="00DB2DC1">
        <w:rPr>
          <w:lang w:val="en-GB"/>
        </w:rPr>
        <w:t>t</w:t>
      </w:r>
      <w:r w:rsidR="006C199C">
        <w:rPr>
          <w:lang w:val="en-GB"/>
        </w:rPr>
        <w:t>,</w:t>
      </w:r>
      <w:r>
        <w:rPr>
          <w:lang w:val="en-GB"/>
        </w:rPr>
        <w:t xml:space="preserve"> </w:t>
      </w:r>
      <w:r>
        <w:rPr>
          <w:i/>
          <w:iCs/>
          <w:lang w:val="en-GB"/>
        </w:rPr>
        <w:t>Inquiry into serious vilification and hate crimes</w:t>
      </w:r>
      <w:r>
        <w:rPr>
          <w:lang w:val="en-GB"/>
        </w:rPr>
        <w:t xml:space="preserve"> </w:t>
      </w:r>
      <w:r w:rsidR="006C199C">
        <w:rPr>
          <w:lang w:val="en-GB"/>
        </w:rPr>
        <w:t>(</w:t>
      </w:r>
      <w:r>
        <w:rPr>
          <w:lang w:val="en-GB"/>
        </w:rPr>
        <w:t>Report no. 22, January 2022), recommendation 5.</w:t>
      </w:r>
    </w:p>
  </w:footnote>
  <w:footnote w:id="24">
    <w:p w14:paraId="6B374906" w14:textId="343B2D8D" w:rsidR="00620A2D" w:rsidRPr="00F653E4" w:rsidRDefault="00620A2D" w:rsidP="00620A2D">
      <w:pPr>
        <w:pStyle w:val="FootnoteText"/>
      </w:pPr>
      <w:r>
        <w:rPr>
          <w:rStyle w:val="FootnoteReference"/>
        </w:rPr>
        <w:footnoteRef/>
      </w:r>
      <w:r>
        <w:t xml:space="preserve"> See for example </w:t>
      </w:r>
      <w:r w:rsidRPr="00F653E4">
        <w:rPr>
          <w:i/>
          <w:iCs/>
        </w:rPr>
        <w:t>Peters v Constance</w:t>
      </w:r>
      <w:r>
        <w:t xml:space="preserve"> [2005] 9 where it was sufficient that the conduct was capable of being heard by others in the apartment block. Also</w:t>
      </w:r>
      <w:r w:rsidR="00557FD5">
        <w:t>, in</w:t>
      </w:r>
      <w:r>
        <w:t xml:space="preserve"> </w:t>
      </w:r>
      <w:r w:rsidRPr="00F653E4">
        <w:rPr>
          <w:i/>
          <w:iCs/>
        </w:rPr>
        <w:t>Wilson &amp; McCollum v Lawson</w:t>
      </w:r>
      <w:r>
        <w:t xml:space="preserve"> [2008] QADT 27, </w:t>
      </w:r>
      <w:proofErr w:type="spellStart"/>
      <w:r w:rsidRPr="00F653E4">
        <w:rPr>
          <w:i/>
          <w:iCs/>
        </w:rPr>
        <w:t>Huenerberg</w:t>
      </w:r>
      <w:proofErr w:type="spellEnd"/>
      <w:r w:rsidRPr="00F653E4">
        <w:rPr>
          <w:i/>
          <w:iCs/>
        </w:rPr>
        <w:t xml:space="preserve"> v Murray</w:t>
      </w:r>
      <w:r>
        <w:t xml:space="preserve"> [2023] QCAT 175, and </w:t>
      </w:r>
      <w:r w:rsidRPr="00F653E4">
        <w:rPr>
          <w:i/>
          <w:iCs/>
        </w:rPr>
        <w:t xml:space="preserve">Zhai v </w:t>
      </w:r>
      <w:proofErr w:type="spellStart"/>
      <w:r w:rsidRPr="00F653E4">
        <w:rPr>
          <w:i/>
          <w:iCs/>
        </w:rPr>
        <w:t>Kullack</w:t>
      </w:r>
      <w:proofErr w:type="spellEnd"/>
      <w:r>
        <w:t xml:space="preserve"> [2024] QCAT 56, comments in a residential neighbourhood were capable of being heard by passers-by and other neighbours</w:t>
      </w:r>
    </w:p>
  </w:footnote>
  <w:footnote w:id="25">
    <w:p w14:paraId="5C2EB18D" w14:textId="5D4F53E9" w:rsidR="00846ACC" w:rsidRPr="00846ACC" w:rsidRDefault="00846ACC">
      <w:pPr>
        <w:pStyle w:val="FootnoteText"/>
      </w:pPr>
      <w:r>
        <w:rPr>
          <w:rStyle w:val="FootnoteReference"/>
        </w:rPr>
        <w:footnoteRef/>
      </w:r>
      <w:r>
        <w:t xml:space="preserve"> Explanatory Notes, Respect at Work and Other Matters Amendment Bill 2024 </w:t>
      </w:r>
      <w:r w:rsidR="005238B6">
        <w:t>(Qld)</w:t>
      </w:r>
      <w:r>
        <w:t xml:space="preserve"> 31.</w:t>
      </w:r>
    </w:p>
  </w:footnote>
  <w:footnote w:id="26">
    <w:p w14:paraId="42F94937" w14:textId="77777777" w:rsidR="00620A2D" w:rsidRPr="006752DF" w:rsidRDefault="00620A2D" w:rsidP="00620A2D">
      <w:pPr>
        <w:pStyle w:val="FootnoteText"/>
        <w:rPr>
          <w:lang w:val="en-GB"/>
        </w:rPr>
      </w:pPr>
      <w:r>
        <w:rPr>
          <w:rStyle w:val="FootnoteReference"/>
        </w:rPr>
        <w:footnoteRef/>
      </w:r>
      <w:r>
        <w:t xml:space="preserve"> </w:t>
      </w:r>
      <w:r w:rsidRPr="006752DF">
        <w:rPr>
          <w:i/>
          <w:iCs/>
        </w:rPr>
        <w:t>Kazak v John Fairfax Publications Limited</w:t>
      </w:r>
      <w:r>
        <w:t xml:space="preserve"> [2000] NSWADT 77.</w:t>
      </w:r>
    </w:p>
  </w:footnote>
  <w:footnote w:id="27">
    <w:p w14:paraId="40DB327E" w14:textId="095E8A68" w:rsidR="00A53EEA" w:rsidRPr="00A53EEA" w:rsidRDefault="00A53EEA">
      <w:pPr>
        <w:pStyle w:val="FootnoteText"/>
      </w:pPr>
      <w:r>
        <w:rPr>
          <w:rStyle w:val="FootnoteReference"/>
        </w:rPr>
        <w:footnoteRef/>
      </w:r>
      <w:r>
        <w:t xml:space="preserve"> </w:t>
      </w:r>
      <w:r w:rsidR="002267A6" w:rsidRPr="002267A6">
        <w:t xml:space="preserve">Queensland Human Rights Commission, </w:t>
      </w:r>
      <w:r w:rsidR="002267A6" w:rsidRPr="002267A6">
        <w:rPr>
          <w:i/>
          <w:iCs/>
        </w:rPr>
        <w:t>Building belonging: Review of Queensland’s Anti-Discrimination Act 1991</w:t>
      </w:r>
      <w:r w:rsidR="002267A6" w:rsidRPr="002267A6">
        <w:t xml:space="preserve"> </w:t>
      </w:r>
      <w:r w:rsidR="000734A7">
        <w:t>(Report</w:t>
      </w:r>
      <w:r w:rsidR="002267A6" w:rsidRPr="002267A6">
        <w:t>, July 2022</w:t>
      </w:r>
      <w:r w:rsidR="000734A7">
        <w:t>)</w:t>
      </w:r>
      <w:r w:rsidR="002267A6" w:rsidRPr="002267A6">
        <w:t xml:space="preserve"> </w:t>
      </w:r>
      <w:r>
        <w:t>Recommendation 44.</w:t>
      </w:r>
    </w:p>
  </w:footnote>
  <w:footnote w:id="28">
    <w:p w14:paraId="7FE0DFC8" w14:textId="4242389D" w:rsidR="004F3CEA" w:rsidRPr="004F3CEA" w:rsidRDefault="004F3CEA">
      <w:pPr>
        <w:pStyle w:val="FootnoteText"/>
        <w:rPr>
          <w:lang w:val="en-GB"/>
        </w:rPr>
      </w:pPr>
      <w:r>
        <w:rPr>
          <w:rStyle w:val="FootnoteReference"/>
        </w:rPr>
        <w:footnoteRef/>
      </w:r>
      <w:r>
        <w:t xml:space="preserve"> In </w:t>
      </w:r>
      <w:r w:rsidRPr="004F3CEA">
        <w:rPr>
          <w:i/>
          <w:iCs/>
        </w:rPr>
        <w:t>McBain v Victoria</w:t>
      </w:r>
      <w:r>
        <w:t xml:space="preserve">, the Federal Court found that an exception in the now repealed </w:t>
      </w:r>
      <w:r w:rsidRPr="004F3CEA">
        <w:rPr>
          <w:i/>
          <w:iCs/>
        </w:rPr>
        <w:t>Infertility Treatment Act 1995</w:t>
      </w:r>
      <w:r>
        <w:t xml:space="preserve"> (Vic), which permitted refusal of infertility treatment because of marital status, was inconsistent with the </w:t>
      </w:r>
      <w:r w:rsidRPr="004F3CEA">
        <w:rPr>
          <w:i/>
          <w:iCs/>
        </w:rPr>
        <w:t>Sex Discrimination Act 1984</w:t>
      </w:r>
      <w:r>
        <w:t>, and therefore inoperative under section 109 of the Constitution.</w:t>
      </w:r>
    </w:p>
  </w:footnote>
  <w:footnote w:id="29">
    <w:p w14:paraId="491CA9A3" w14:textId="7EB0C606" w:rsidR="00CC1F92" w:rsidRPr="00CC1F92" w:rsidRDefault="00CC1F92">
      <w:pPr>
        <w:pStyle w:val="FootnoteText"/>
        <w:rPr>
          <w:lang w:val="en-GB"/>
        </w:rPr>
      </w:pPr>
      <w:r>
        <w:rPr>
          <w:rStyle w:val="FootnoteReference"/>
        </w:rPr>
        <w:footnoteRef/>
      </w:r>
      <w:r>
        <w:t xml:space="preserve"> </w:t>
      </w:r>
      <w:r w:rsidR="00331785">
        <w:t>Assisted Reproductive Technology Bill 2024 (Qld)</w:t>
      </w:r>
      <w:r w:rsidR="002923E3">
        <w:t xml:space="preserve"> </w:t>
      </w:r>
      <w:r w:rsidR="002923E3">
        <w:rPr>
          <w:lang w:val="en-GB"/>
        </w:rPr>
        <w:t>cl</w:t>
      </w:r>
      <w:r>
        <w:rPr>
          <w:lang w:val="en-GB"/>
        </w:rPr>
        <w:t xml:space="preserve"> 155.</w:t>
      </w:r>
    </w:p>
  </w:footnote>
  <w:footnote w:id="30">
    <w:p w14:paraId="6DEC69BA" w14:textId="5EA9E1A5" w:rsidR="008A0BF5" w:rsidRPr="008A0BF5" w:rsidRDefault="008A0BF5">
      <w:pPr>
        <w:pStyle w:val="FootnoteText"/>
        <w:rPr>
          <w:lang w:val="en-GB"/>
        </w:rPr>
      </w:pPr>
      <w:r>
        <w:rPr>
          <w:rStyle w:val="FootnoteReference"/>
        </w:rPr>
        <w:footnoteRef/>
      </w:r>
      <w:r>
        <w:t xml:space="preserve"> </w:t>
      </w:r>
      <w:r>
        <w:rPr>
          <w:lang w:val="en-GB"/>
        </w:rPr>
        <w:t xml:space="preserve">Explanatory Notes, </w:t>
      </w:r>
      <w:r w:rsidR="0045410E">
        <w:t xml:space="preserve">Assisted Reproductive Technology Bill 2024 </w:t>
      </w:r>
      <w:r w:rsidR="00DF720F">
        <w:t>(Qld)</w:t>
      </w:r>
      <w:r w:rsidR="0045410E">
        <w:t xml:space="preserve"> 118.</w:t>
      </w:r>
    </w:p>
  </w:footnote>
  <w:footnote w:id="31">
    <w:p w14:paraId="5A8E5A6F" w14:textId="17DA0800" w:rsidR="00CB0C49" w:rsidRPr="009A7924" w:rsidRDefault="00CB0C49" w:rsidP="00CB0C49">
      <w:pPr>
        <w:pStyle w:val="FootnoteText"/>
        <w:rPr>
          <w:lang w:val="en-GB"/>
        </w:rPr>
      </w:pPr>
      <w:r>
        <w:rPr>
          <w:rStyle w:val="FootnoteReference"/>
        </w:rPr>
        <w:footnoteRef/>
      </w:r>
      <w:r>
        <w:t xml:space="preserve"> </w:t>
      </w:r>
      <w:r w:rsidR="009E35A3">
        <w:rPr>
          <w:lang w:val="en-GB"/>
        </w:rPr>
        <w:t xml:space="preserve">Legal Affairs and Safety Committee, Queensland Parliament, </w:t>
      </w:r>
      <w:r w:rsidR="009E35A3">
        <w:rPr>
          <w:i/>
          <w:iCs/>
          <w:lang w:val="en-GB"/>
        </w:rPr>
        <w:t>Inquiry into serious vilification and hate crimes</w:t>
      </w:r>
      <w:r w:rsidR="0014648C">
        <w:rPr>
          <w:i/>
          <w:iCs/>
          <w:lang w:val="en-GB"/>
        </w:rPr>
        <w:t xml:space="preserve"> </w:t>
      </w:r>
      <w:r w:rsidR="00FD7C20">
        <w:rPr>
          <w:lang w:val="en-GB"/>
        </w:rPr>
        <w:t>(</w:t>
      </w:r>
      <w:r w:rsidR="009E35A3">
        <w:rPr>
          <w:lang w:val="en-GB"/>
        </w:rPr>
        <w:t>Report no. 22,</w:t>
      </w:r>
      <w:r w:rsidR="00FD7C20">
        <w:rPr>
          <w:lang w:val="en-GB"/>
        </w:rPr>
        <w:t xml:space="preserve"> </w:t>
      </w:r>
      <w:r w:rsidR="009E35A3">
        <w:rPr>
          <w:lang w:val="en-GB"/>
        </w:rPr>
        <w:t xml:space="preserve">January 2022), </w:t>
      </w:r>
      <w:r w:rsidR="0014648C">
        <w:rPr>
          <w:lang w:val="en-GB"/>
        </w:rPr>
        <w:t>r</w:t>
      </w:r>
      <w:r>
        <w:rPr>
          <w:lang w:val="en-GB"/>
        </w:rPr>
        <w:t>ecommendation 5</w:t>
      </w:r>
      <w:r w:rsidR="007A4BF7">
        <w:rPr>
          <w:lang w:val="en-GB"/>
        </w:rPr>
        <w:t>.</w:t>
      </w:r>
    </w:p>
  </w:footnote>
  <w:footnote w:id="32">
    <w:p w14:paraId="2230495D" w14:textId="36424E62" w:rsidR="00CB0C49" w:rsidRPr="009A7924" w:rsidRDefault="00CB0C49" w:rsidP="00CB0C49">
      <w:pPr>
        <w:pStyle w:val="FootnoteText"/>
        <w:rPr>
          <w:lang w:val="en-GB"/>
        </w:rPr>
      </w:pPr>
      <w:r>
        <w:rPr>
          <w:rStyle w:val="FootnoteReference"/>
        </w:rPr>
        <w:footnoteRef/>
      </w:r>
      <w:r>
        <w:t xml:space="preserve"> </w:t>
      </w:r>
      <w:r w:rsidR="0054652D">
        <w:rPr>
          <w:lang w:val="en-GB"/>
        </w:rPr>
        <w:t xml:space="preserve">Legal Affairs and Safety Committee, Queensland Parliament, </w:t>
      </w:r>
      <w:r w:rsidR="0054652D">
        <w:rPr>
          <w:i/>
          <w:iCs/>
          <w:lang w:val="en-GB"/>
        </w:rPr>
        <w:t>Inquiry into serious vilification and hate crimes</w:t>
      </w:r>
      <w:r w:rsidR="0054652D">
        <w:rPr>
          <w:lang w:val="en-GB"/>
        </w:rPr>
        <w:t xml:space="preserve"> (Report no. 22, January 2022) r</w:t>
      </w:r>
      <w:r>
        <w:rPr>
          <w:lang w:val="en-GB"/>
        </w:rPr>
        <w:t>ecommendation 6</w:t>
      </w:r>
      <w:r w:rsidR="007A4BF7">
        <w:rPr>
          <w:lang w:val="en-GB"/>
        </w:rPr>
        <w:t>.</w:t>
      </w:r>
    </w:p>
  </w:footnote>
  <w:footnote w:id="33">
    <w:p w14:paraId="317B43FC" w14:textId="43DC3AD7" w:rsidR="00CB0C49" w:rsidRPr="00BE09FC" w:rsidRDefault="00CB0C49" w:rsidP="00CB0C49">
      <w:pPr>
        <w:pStyle w:val="FootnoteText"/>
        <w:rPr>
          <w:lang w:val="en-GB"/>
        </w:rPr>
      </w:pPr>
      <w:r>
        <w:rPr>
          <w:rStyle w:val="FootnoteReference"/>
        </w:rPr>
        <w:footnoteRef/>
      </w:r>
      <w:r>
        <w:t xml:space="preserve"> </w:t>
      </w:r>
      <w:r w:rsidR="0054652D">
        <w:rPr>
          <w:lang w:val="en-GB"/>
        </w:rPr>
        <w:t xml:space="preserve">Legal Affairs and Safety Committee, Queensland Parliament, </w:t>
      </w:r>
      <w:r w:rsidR="0054652D">
        <w:rPr>
          <w:i/>
          <w:iCs/>
          <w:lang w:val="en-GB"/>
        </w:rPr>
        <w:t>Inquiry into serious vilification and hate crimes</w:t>
      </w:r>
      <w:r w:rsidR="0054652D">
        <w:rPr>
          <w:lang w:val="en-GB"/>
        </w:rPr>
        <w:t xml:space="preserve"> (Report no. 22, January 2022) r</w:t>
      </w:r>
      <w:r>
        <w:rPr>
          <w:lang w:val="en-GB"/>
        </w:rPr>
        <w:t>ecommendation 4</w:t>
      </w:r>
      <w:r w:rsidR="007A4BF7">
        <w:rPr>
          <w:lang w:val="en-GB"/>
        </w:rPr>
        <w:t>.</w:t>
      </w:r>
    </w:p>
  </w:footnote>
  <w:footnote w:id="34">
    <w:p w14:paraId="3E207785" w14:textId="0771BC58" w:rsidR="00F74DC8" w:rsidRPr="00F74DC8" w:rsidRDefault="00F74DC8">
      <w:pPr>
        <w:pStyle w:val="FootnoteText"/>
        <w:rPr>
          <w:lang w:val="en-GB"/>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119.</w:t>
      </w:r>
    </w:p>
  </w:footnote>
  <w:footnote w:id="35">
    <w:p w14:paraId="40DC10E7" w14:textId="40186475" w:rsidR="00BC2240" w:rsidRPr="00D76CF9" w:rsidRDefault="00BC2240">
      <w:pPr>
        <w:pStyle w:val="FootnoteText"/>
        <w:rPr>
          <w:lang w:val="en-GB"/>
        </w:rPr>
      </w:pPr>
      <w:r>
        <w:rPr>
          <w:rStyle w:val="FootnoteReference"/>
        </w:rPr>
        <w:footnoteRef/>
      </w:r>
      <w:r>
        <w:t xml:space="preserve"> </w:t>
      </w:r>
      <w:r>
        <w:rPr>
          <w:lang w:val="en-GB"/>
        </w:rPr>
        <w:t>Queensland Human Rights Commission</w:t>
      </w:r>
      <w:r w:rsidRPr="00AC10C0">
        <w:rPr>
          <w:lang w:val="en-GB"/>
        </w:rPr>
        <w:t>,</w:t>
      </w:r>
      <w:r w:rsidR="00AC10C0">
        <w:rPr>
          <w:lang w:val="en-GB"/>
        </w:rPr>
        <w:t xml:space="preserve"> Supplementary submission to Legal Affairs and Safety Committee </w:t>
      </w:r>
      <w:r w:rsidR="00D76CF9" w:rsidRPr="00AC10C0">
        <w:rPr>
          <w:lang w:val="en-GB"/>
        </w:rPr>
        <w:t>– Inquiry into serious vilification and hate crimes</w:t>
      </w:r>
      <w:r w:rsidR="00D76CF9">
        <w:rPr>
          <w:i/>
          <w:iCs/>
          <w:lang w:val="en-GB"/>
        </w:rPr>
        <w:t xml:space="preserve"> </w:t>
      </w:r>
      <w:r w:rsidR="00D76CF9">
        <w:rPr>
          <w:lang w:val="en-GB"/>
        </w:rPr>
        <w:t>(11 November 2021).</w:t>
      </w:r>
    </w:p>
  </w:footnote>
  <w:footnote w:id="36">
    <w:p w14:paraId="764AD8F4" w14:textId="1288101E" w:rsidR="00BE6DCB" w:rsidRPr="00BD1BEA" w:rsidRDefault="00BE6DCB">
      <w:pPr>
        <w:pStyle w:val="FootnoteText"/>
        <w:rPr>
          <w:szCs w:val="20"/>
          <w:lang w:val="en-GB"/>
        </w:rPr>
      </w:pPr>
      <w:r>
        <w:rPr>
          <w:rStyle w:val="FootnoteReference"/>
        </w:rPr>
        <w:footnoteRef/>
      </w:r>
      <w:r>
        <w:t xml:space="preserve"> </w:t>
      </w:r>
      <w:r w:rsidRPr="00E90DAB">
        <w:rPr>
          <w:szCs w:val="20"/>
        </w:rPr>
        <w:t>Legal Affairs and Safety Committee, Queensland Parliament,</w:t>
      </w:r>
      <w:r w:rsidRPr="00E90DAB">
        <w:rPr>
          <w:i/>
          <w:szCs w:val="20"/>
        </w:rPr>
        <w:t xml:space="preserve"> Criminal Code (Serious Vilification and Hate Crimes) and Other Legislation Amendment Bill 2023</w:t>
      </w:r>
      <w:r w:rsidRPr="00E90DAB">
        <w:rPr>
          <w:szCs w:val="20"/>
        </w:rPr>
        <w:t xml:space="preserve"> (Report </w:t>
      </w:r>
      <w:r w:rsidR="00BD1BEA">
        <w:rPr>
          <w:szCs w:val="20"/>
        </w:rPr>
        <w:t>n</w:t>
      </w:r>
      <w:r w:rsidRPr="00E90DAB">
        <w:rPr>
          <w:szCs w:val="20"/>
        </w:rPr>
        <w:t>o. 49, June 2023).</w:t>
      </w:r>
    </w:p>
  </w:footnote>
  <w:footnote w:id="37">
    <w:p w14:paraId="3C61B050" w14:textId="00CDE48E" w:rsidR="00B12302" w:rsidRPr="00B12302" w:rsidRDefault="00B12302">
      <w:pPr>
        <w:pStyle w:val="FootnoteText"/>
      </w:pPr>
      <w:r>
        <w:rPr>
          <w:rStyle w:val="FootnoteReference"/>
        </w:rPr>
        <w:footnoteRef/>
      </w:r>
      <w:r>
        <w:t xml:space="preserve"> Queensland Human Rights Commission</w:t>
      </w:r>
      <w:r w:rsidR="00907206">
        <w:t>, Submission to Legal Affairs and Safety Committee – Inquiry into serious vilification and hate crimes</w:t>
      </w:r>
      <w:r w:rsidR="00E946DE">
        <w:t>, 26 (12 July 2021).</w:t>
      </w:r>
    </w:p>
  </w:footnote>
  <w:footnote w:id="38">
    <w:p w14:paraId="6166819E" w14:textId="399634BC" w:rsidR="00B12302" w:rsidRPr="00B12302" w:rsidRDefault="00B12302">
      <w:pPr>
        <w:pStyle w:val="FootnoteText"/>
        <w:rPr>
          <w:lang w:val="en-GB"/>
        </w:rPr>
      </w:pPr>
      <w:r>
        <w:rPr>
          <w:rStyle w:val="FootnoteReference"/>
        </w:rPr>
        <w:footnoteRef/>
      </w:r>
      <w:r>
        <w:t xml:space="preserve"> </w:t>
      </w:r>
      <w:r w:rsidRPr="00CA2653">
        <w:rPr>
          <w:szCs w:val="20"/>
        </w:rPr>
        <w:t xml:space="preserve">This framework has been drawn from the Law Commission (United Kingdom), </w:t>
      </w:r>
      <w:r w:rsidRPr="00CA2653">
        <w:rPr>
          <w:i/>
          <w:szCs w:val="20"/>
        </w:rPr>
        <w:t xml:space="preserve">Hate crime laws </w:t>
      </w:r>
      <w:r w:rsidRPr="00CA2653">
        <w:rPr>
          <w:szCs w:val="20"/>
        </w:rPr>
        <w:t>(Final report, Law Com No 402, 2021).</w:t>
      </w:r>
    </w:p>
  </w:footnote>
  <w:footnote w:id="39">
    <w:p w14:paraId="75A9BDAF" w14:textId="69E88C8F" w:rsidR="009734A8" w:rsidRPr="009734A8" w:rsidRDefault="009734A8">
      <w:pPr>
        <w:pStyle w:val="FootnoteText"/>
        <w:rPr>
          <w:lang w:val="en-GB"/>
        </w:rPr>
      </w:pPr>
      <w:r>
        <w:rPr>
          <w:rStyle w:val="FootnoteReference"/>
        </w:rPr>
        <w:footnoteRef/>
      </w:r>
      <w:r>
        <w:t xml:space="preserve"> </w:t>
      </w:r>
      <w:r w:rsidR="00A25294" w:rsidRPr="00A25294">
        <w:rPr>
          <w:i/>
          <w:iCs/>
        </w:rPr>
        <w:t>Valkyrie and Hill v Shelton</w:t>
      </w:r>
      <w:r w:rsidR="00A25294" w:rsidRPr="00A25294">
        <w:t xml:space="preserve"> [2023] QCAT 302</w:t>
      </w:r>
      <w:r w:rsidR="00780F2D">
        <w:rPr>
          <w:lang w:val="en-GB"/>
        </w:rPr>
        <w:t xml:space="preserve"> [131]</w:t>
      </w:r>
      <w:r w:rsidR="000575F1">
        <w:rPr>
          <w:lang w:val="en-GB"/>
        </w:rPr>
        <w:t>.</w:t>
      </w:r>
    </w:p>
  </w:footnote>
  <w:footnote w:id="40">
    <w:p w14:paraId="58E2474F" w14:textId="329B11F7" w:rsidR="00F82C35" w:rsidRPr="00F82C35" w:rsidRDefault="00F82C35">
      <w:pPr>
        <w:pStyle w:val="FootnoteText"/>
        <w:rPr>
          <w:lang w:val="en-GB"/>
        </w:rPr>
      </w:pPr>
      <w:r>
        <w:rPr>
          <w:rStyle w:val="FootnoteReference"/>
        </w:rPr>
        <w:footnoteRef/>
      </w:r>
      <w:r>
        <w:t xml:space="preserve"> Queensland Human Rights Commission, </w:t>
      </w:r>
      <w:r w:rsidRPr="00CA640D">
        <w:t>Submission</w:t>
      </w:r>
      <w:r w:rsidRPr="00C24AA8">
        <w:rPr>
          <w:i/>
        </w:rPr>
        <w:t xml:space="preserve"> </w:t>
      </w:r>
      <w:r w:rsidR="008F14D6">
        <w:rPr>
          <w:iCs/>
        </w:rPr>
        <w:t>No 36</w:t>
      </w:r>
      <w:r w:rsidRPr="00C24AA8">
        <w:rPr>
          <w:i/>
        </w:rPr>
        <w:t xml:space="preserve"> </w:t>
      </w:r>
      <w:r w:rsidRPr="00CA640D">
        <w:t>to Legal Affairs and Safety Committee</w:t>
      </w:r>
      <w:r w:rsidR="00480B7B">
        <w:rPr>
          <w:iCs/>
        </w:rPr>
        <w:t>, Queensland Parliament</w:t>
      </w:r>
      <w:r w:rsidR="00F6066E">
        <w:rPr>
          <w:iCs/>
        </w:rPr>
        <w:t>,</w:t>
      </w:r>
      <w:r w:rsidRPr="00C24AA8">
        <w:rPr>
          <w:i/>
        </w:rPr>
        <w:t xml:space="preserve"> Inquiry into serious vilification and hate crimes</w:t>
      </w:r>
      <w:r>
        <w:t xml:space="preserve"> (12 July 2021)</w:t>
      </w:r>
      <w:r w:rsidR="005E42BF">
        <w:t xml:space="preserve"> 40 [</w:t>
      </w:r>
      <w:r w:rsidR="00C274C8">
        <w:t>156]</w:t>
      </w:r>
      <w:r w:rsidR="004C697B">
        <w:t>.</w:t>
      </w:r>
    </w:p>
  </w:footnote>
  <w:footnote w:id="41">
    <w:p w14:paraId="5A6DA30F" w14:textId="020D0926" w:rsidR="00DE6860" w:rsidRPr="00DE6860" w:rsidRDefault="00DE6860">
      <w:pPr>
        <w:pStyle w:val="FootnoteText"/>
      </w:pPr>
      <w:r>
        <w:rPr>
          <w:rStyle w:val="FootnoteReference"/>
        </w:rPr>
        <w:footnoteRef/>
      </w:r>
      <w:r>
        <w:t xml:space="preserve"> </w:t>
      </w:r>
      <w:r w:rsidR="0065597E">
        <w:t xml:space="preserve">Queensland Human Rights Commission, </w:t>
      </w:r>
      <w:r w:rsidR="0065597E" w:rsidRPr="0083281E">
        <w:rPr>
          <w:i/>
          <w:iCs/>
        </w:rPr>
        <w:t>Building belonging: Review of Queensland’s Anti-Discrimination Act 1991</w:t>
      </w:r>
      <w:r w:rsidR="0065597E">
        <w:t xml:space="preserve"> </w:t>
      </w:r>
      <w:r w:rsidR="00235FCE">
        <w:t>(</w:t>
      </w:r>
      <w:r w:rsidR="007467FE">
        <w:t>Report,</w:t>
      </w:r>
      <w:r w:rsidR="008C269C">
        <w:t xml:space="preserve"> </w:t>
      </w:r>
      <w:r w:rsidR="0065597E">
        <w:t>July 2022</w:t>
      </w:r>
      <w:r w:rsidR="007467FE">
        <w:t>)</w:t>
      </w:r>
      <w:r w:rsidR="008C269C">
        <w:t xml:space="preserve"> r</w:t>
      </w:r>
      <w:r>
        <w:t xml:space="preserve">ecommendations </w:t>
      </w:r>
      <w:r w:rsidR="00420EDC">
        <w:t>23, 25</w:t>
      </w:r>
      <w:r w:rsidR="00041744">
        <w:t>, 26.</w:t>
      </w:r>
    </w:p>
  </w:footnote>
  <w:footnote w:id="42">
    <w:p w14:paraId="391D8107" w14:textId="2B19AA91" w:rsidR="009E4C83" w:rsidRPr="009E4C83" w:rsidRDefault="009E4C83">
      <w:pPr>
        <w:pStyle w:val="FootnoteText"/>
      </w:pPr>
      <w:r>
        <w:rPr>
          <w:rStyle w:val="FootnoteReference"/>
        </w:rPr>
        <w:footnoteRef/>
      </w:r>
      <w:r>
        <w:t xml:space="preserve"> </w:t>
      </w:r>
      <w:r>
        <w:rPr>
          <w:rStyle w:val="ui-provider"/>
          <w:i/>
          <w:iCs/>
        </w:rPr>
        <w:t>Births, Deaths and Marriages Registration Act 2024</w:t>
      </w:r>
      <w:r>
        <w:rPr>
          <w:rStyle w:val="ui-provider"/>
        </w:rPr>
        <w:t xml:space="preserve">; </w:t>
      </w:r>
      <w:r>
        <w:rPr>
          <w:rStyle w:val="ui-provider"/>
          <w:i/>
          <w:iCs/>
        </w:rPr>
        <w:t>Criminal Code (Decriminalising Sex Work) and Other Legislation Amendment Act 2024.</w:t>
      </w:r>
    </w:p>
  </w:footnote>
  <w:footnote w:id="43">
    <w:p w14:paraId="4E6F23FF" w14:textId="4680DDDE" w:rsidR="00947116" w:rsidRPr="00947116" w:rsidRDefault="00947116">
      <w:pPr>
        <w:pStyle w:val="FootnoteText"/>
        <w:rPr>
          <w:lang w:val="en-GB"/>
        </w:rPr>
      </w:pPr>
      <w:r>
        <w:rPr>
          <w:rStyle w:val="FootnoteReference"/>
        </w:rPr>
        <w:footnoteRef/>
      </w:r>
      <w:r>
        <w:t xml:space="preserve"> </w:t>
      </w:r>
      <w:r>
        <w:rPr>
          <w:lang w:val="en-GB"/>
        </w:rPr>
        <w:t>Recommendation 21.</w:t>
      </w:r>
    </w:p>
  </w:footnote>
  <w:footnote w:id="44">
    <w:p w14:paraId="5875A2BE" w14:textId="0AF64204" w:rsidR="00D93780" w:rsidRPr="00D93780" w:rsidRDefault="00D93780">
      <w:pPr>
        <w:pStyle w:val="FootnoteText"/>
      </w:pPr>
      <w:r>
        <w:rPr>
          <w:rStyle w:val="FootnoteReference"/>
        </w:rPr>
        <w:footnoteRef/>
      </w:r>
      <w:r>
        <w:t xml:space="preserve"> </w:t>
      </w:r>
      <w:r w:rsidR="0030759C">
        <w:t xml:space="preserve">Queensland Human Rights Commission, </w:t>
      </w:r>
      <w:r w:rsidR="0030759C" w:rsidRPr="0083281E">
        <w:rPr>
          <w:i/>
          <w:iCs/>
        </w:rPr>
        <w:t>Building belonging: Review of Queensland’s Anti-Discrimination Act 1991</w:t>
      </w:r>
      <w:r w:rsidR="0030759C">
        <w:t xml:space="preserve"> (Report, July 2022) </w:t>
      </w:r>
      <w:r w:rsidR="00201A24">
        <w:t>r</w:t>
      </w:r>
      <w:r w:rsidR="00B812C6">
        <w:t xml:space="preserve">ecommendations </w:t>
      </w:r>
      <w:r w:rsidR="0073179B">
        <w:t>29, 30, 31, 32.</w:t>
      </w:r>
    </w:p>
  </w:footnote>
  <w:footnote w:id="45">
    <w:p w14:paraId="163CDC6C" w14:textId="104FAAE9" w:rsidR="00D93780" w:rsidRPr="00D93780" w:rsidRDefault="00D93780">
      <w:pPr>
        <w:pStyle w:val="FootnoteText"/>
      </w:pPr>
      <w:r>
        <w:rPr>
          <w:rStyle w:val="FootnoteReference"/>
        </w:rPr>
        <w:footnoteRef/>
      </w:r>
      <w:r>
        <w:t xml:space="preserve"> Amended by </w:t>
      </w:r>
      <w:r w:rsidR="006352BA">
        <w:t>the</w:t>
      </w:r>
      <w:r>
        <w:t xml:space="preserve"> </w:t>
      </w:r>
      <w:r>
        <w:rPr>
          <w:rStyle w:val="ui-provider"/>
          <w:i/>
          <w:iCs/>
        </w:rPr>
        <w:t>Births, Deaths and Marriages Registration Act 2024</w:t>
      </w:r>
      <w:r w:rsidR="0030759C">
        <w:rPr>
          <w:rStyle w:val="ui-provider"/>
          <w:i/>
          <w:iCs/>
        </w:rPr>
        <w:t xml:space="preserve">, </w:t>
      </w:r>
      <w:r w:rsidR="0030759C">
        <w:rPr>
          <w:rStyle w:val="ui-provider"/>
        </w:rPr>
        <w:t>which</w:t>
      </w:r>
      <w:r>
        <w:rPr>
          <w:rStyle w:val="ui-provider"/>
        </w:rPr>
        <w:t xml:space="preserve"> commenced on 29 April 2024.</w:t>
      </w:r>
    </w:p>
  </w:footnote>
  <w:footnote w:id="46">
    <w:p w14:paraId="648DEFCF" w14:textId="5B5C7865" w:rsidR="00BC27D1" w:rsidRPr="000861E5" w:rsidRDefault="00BC27D1">
      <w:pPr>
        <w:pStyle w:val="FootnoteText"/>
      </w:pPr>
      <w:r>
        <w:rPr>
          <w:rStyle w:val="FootnoteReference"/>
        </w:rPr>
        <w:footnoteRef/>
      </w:r>
      <w:r>
        <w:t xml:space="preserve"> </w:t>
      </w:r>
      <w:r w:rsidR="00B7150E">
        <w:t xml:space="preserve">As discussed in </w:t>
      </w:r>
      <w:r>
        <w:t xml:space="preserve">Explanatory Notes, </w:t>
      </w:r>
      <w:r w:rsidR="007C02EF" w:rsidRPr="00CB3612">
        <w:t>Respect at Work and Other Matters Amendment Bill</w:t>
      </w:r>
      <w:r w:rsidR="007C02EF" w:rsidRPr="000861E5">
        <w:rPr>
          <w:i/>
          <w:iCs/>
        </w:rPr>
        <w:t xml:space="preserve"> </w:t>
      </w:r>
      <w:r w:rsidR="007C02EF" w:rsidRPr="00CB3612">
        <w:t>2024</w:t>
      </w:r>
      <w:r w:rsidR="000861E5">
        <w:rPr>
          <w:i/>
          <w:iCs/>
        </w:rPr>
        <w:t xml:space="preserve"> </w:t>
      </w:r>
      <w:r w:rsidR="00B65690">
        <w:t>(Qld)</w:t>
      </w:r>
      <w:r w:rsidR="000861E5">
        <w:rPr>
          <w:i/>
          <w:iCs/>
        </w:rPr>
        <w:t xml:space="preserve"> </w:t>
      </w:r>
      <w:r w:rsidR="000861E5">
        <w:t>4</w:t>
      </w:r>
      <w:r w:rsidR="007E7B1A">
        <w:t>4</w:t>
      </w:r>
      <w:r w:rsidR="000861E5">
        <w:t xml:space="preserve">. </w:t>
      </w:r>
    </w:p>
  </w:footnote>
  <w:footnote w:id="47">
    <w:p w14:paraId="1393A42F" w14:textId="0583AD09" w:rsidR="00956796" w:rsidRPr="00956796" w:rsidRDefault="00956796">
      <w:pPr>
        <w:pStyle w:val="FootnoteText"/>
      </w:pPr>
      <w:r>
        <w:rPr>
          <w:rStyle w:val="FootnoteReference"/>
        </w:rPr>
        <w:footnoteRef/>
      </w:r>
      <w:r>
        <w:t xml:space="preserve"> </w:t>
      </w:r>
      <w:r w:rsidR="00732FD6" w:rsidRPr="00FC419F">
        <w:rPr>
          <w:lang w:val="en-GB"/>
        </w:rPr>
        <w:t>Respect at Work and Other Matters Amendment Bill 2024</w:t>
      </w:r>
      <w:r w:rsidR="00732FD6">
        <w:rPr>
          <w:lang w:val="en-GB"/>
        </w:rPr>
        <w:t xml:space="preserve"> (Qld)</w:t>
      </w:r>
      <w:r w:rsidR="00732FD6" w:rsidRPr="00FC419F">
        <w:rPr>
          <w:lang w:val="en-GB"/>
        </w:rPr>
        <w:t xml:space="preserve"> </w:t>
      </w:r>
      <w:r w:rsidR="003427B6">
        <w:rPr>
          <w:lang w:val="en-GB"/>
        </w:rPr>
        <w:t xml:space="preserve">cl </w:t>
      </w:r>
      <w:r w:rsidR="00C71E5B">
        <w:rPr>
          <w:lang w:val="en-GB"/>
        </w:rPr>
        <w:t>39</w:t>
      </w:r>
      <w:r w:rsidR="004D6554">
        <w:rPr>
          <w:lang w:val="en-GB"/>
        </w:rPr>
        <w:t>, inserting</w:t>
      </w:r>
      <w:r w:rsidR="00C71E5B">
        <w:rPr>
          <w:lang w:val="en-GB"/>
        </w:rPr>
        <w:t xml:space="preserve"> </w:t>
      </w:r>
      <w:r w:rsidR="005C4A04">
        <w:t>s</w:t>
      </w:r>
      <w:r>
        <w:t>s 173A, 173</w:t>
      </w:r>
      <w:proofErr w:type="gramStart"/>
      <w:r>
        <w:t>B(</w:t>
      </w:r>
      <w:proofErr w:type="gramEnd"/>
      <w:r>
        <w:t>1), 173G and 173H.</w:t>
      </w:r>
    </w:p>
  </w:footnote>
  <w:footnote w:id="48">
    <w:p w14:paraId="51894D17" w14:textId="3913300B" w:rsidR="003F239E" w:rsidRPr="003F239E" w:rsidRDefault="003F239E">
      <w:pPr>
        <w:pStyle w:val="FootnoteText"/>
      </w:pPr>
      <w:r>
        <w:rPr>
          <w:rStyle w:val="FootnoteReference"/>
        </w:rPr>
        <w:footnoteRef/>
      </w:r>
      <w:r>
        <w:t xml:space="preserve"> To be clear, the Commission </w:t>
      </w:r>
      <w:r w:rsidR="004748CF">
        <w:t>supports the inclusion of section</w:t>
      </w:r>
      <w:r w:rsidR="006747A0">
        <w:t xml:space="preserve"> 173</w:t>
      </w:r>
      <w:proofErr w:type="gramStart"/>
      <w:r w:rsidR="006747A0">
        <w:t>B(</w:t>
      </w:r>
      <w:proofErr w:type="gramEnd"/>
      <w:r w:rsidR="00B9486D">
        <w:t>2)-(4), subject to earlier recommendations in this submission that section 173(3) should not be confined to one area (work) and one attribute (sex).</w:t>
      </w:r>
    </w:p>
  </w:footnote>
  <w:footnote w:id="49">
    <w:p w14:paraId="74E31514" w14:textId="3A82A4A1" w:rsidR="00532B73" w:rsidRPr="00D6793A" w:rsidRDefault="00532B73">
      <w:pPr>
        <w:pStyle w:val="FootnoteText"/>
        <w:rPr>
          <w:lang w:val="en-GB"/>
        </w:rPr>
      </w:pPr>
      <w:r>
        <w:rPr>
          <w:rStyle w:val="FootnoteReference"/>
        </w:rPr>
        <w:footnoteRef/>
      </w:r>
      <w:r>
        <w:t xml:space="preserve"> </w:t>
      </w:r>
      <w:r w:rsidR="00D85132" w:rsidRPr="00D6793A">
        <w:rPr>
          <w:i/>
          <w:iCs/>
        </w:rPr>
        <w:t>Anti-Discrimination Act 1991</w:t>
      </w:r>
      <w:r w:rsidR="00D85132">
        <w:t xml:space="preserve"> (Qld) s 155(1)</w:t>
      </w:r>
      <w:r w:rsidR="00AB136F">
        <w:t>.</w:t>
      </w:r>
    </w:p>
  </w:footnote>
  <w:footnote w:id="50">
    <w:p w14:paraId="3012E049" w14:textId="1DE8653A" w:rsidR="00D573BE" w:rsidRPr="00D6793A" w:rsidRDefault="00D573BE">
      <w:pPr>
        <w:pStyle w:val="FootnoteText"/>
        <w:rPr>
          <w:lang w:val="en-GB"/>
        </w:rPr>
      </w:pPr>
      <w:r>
        <w:rPr>
          <w:rStyle w:val="FootnoteReference"/>
        </w:rPr>
        <w:footnoteRef/>
      </w:r>
      <w:r>
        <w:t xml:space="preserve"> </w:t>
      </w:r>
      <w:r w:rsidR="00DB08C2" w:rsidRPr="00D6793A">
        <w:rPr>
          <w:i/>
          <w:iCs/>
        </w:rPr>
        <w:t>Anti-Discrimination Act 1991</w:t>
      </w:r>
      <w:r w:rsidR="00DB08C2">
        <w:t xml:space="preserve"> (Qld) s 155(2).</w:t>
      </w:r>
    </w:p>
  </w:footnote>
  <w:footnote w:id="51">
    <w:p w14:paraId="7D48A586" w14:textId="223C7132" w:rsidR="006D6C91" w:rsidRPr="00E2239C" w:rsidRDefault="006D6C91">
      <w:pPr>
        <w:pStyle w:val="FootnoteText"/>
        <w:rPr>
          <w:lang w:val="en-GB"/>
        </w:rPr>
      </w:pPr>
      <w:r>
        <w:rPr>
          <w:rStyle w:val="FootnoteReference"/>
        </w:rPr>
        <w:footnoteRef/>
      </w:r>
      <w:r>
        <w:t xml:space="preserve"> </w:t>
      </w:r>
      <w:r w:rsidR="00470735" w:rsidRPr="00E2239C">
        <w:rPr>
          <w:i/>
          <w:iCs/>
        </w:rPr>
        <w:t>Anti-Discrimination Act 1991</w:t>
      </w:r>
      <w:r w:rsidR="00470735">
        <w:t xml:space="preserve"> (Qld) ss 220</w:t>
      </w:r>
      <w:r w:rsidR="00AE6152">
        <w:t>–</w:t>
      </w:r>
      <w:r w:rsidR="00470735">
        <w:t>223.</w:t>
      </w:r>
    </w:p>
  </w:footnote>
  <w:footnote w:id="52">
    <w:p w14:paraId="0C3AB859" w14:textId="3FB23577" w:rsidR="0099528B" w:rsidRPr="0099528B" w:rsidRDefault="0099528B">
      <w:pPr>
        <w:pStyle w:val="FootnoteText"/>
      </w:pPr>
      <w:r>
        <w:rPr>
          <w:rStyle w:val="FootnoteReference"/>
        </w:rPr>
        <w:footnoteRef/>
      </w:r>
      <w:r>
        <w:t xml:space="preserve"> Australian Human Rights Commission, </w:t>
      </w:r>
      <w:proofErr w:type="spellStart"/>
      <w:r w:rsidRPr="007749FA">
        <w:rPr>
          <w:i/>
          <w:iCs/>
        </w:rPr>
        <w:t>Respect@Work</w:t>
      </w:r>
      <w:proofErr w:type="spellEnd"/>
      <w:r w:rsidRPr="007749FA">
        <w:rPr>
          <w:i/>
          <w:iCs/>
        </w:rPr>
        <w:t>: National Inquiry into Sexual Harassment in Australian Workplaces</w:t>
      </w:r>
      <w:r>
        <w:t xml:space="preserve"> (2020), 19</w:t>
      </w:r>
      <w:r w:rsidR="002F1689">
        <w:t>.</w:t>
      </w:r>
    </w:p>
  </w:footnote>
  <w:footnote w:id="53">
    <w:p w14:paraId="4EA251C5" w14:textId="7A62BFD0" w:rsidR="00CE05EE" w:rsidRPr="00CE05EE" w:rsidRDefault="00CE05EE">
      <w:pPr>
        <w:pStyle w:val="FootnoteText"/>
      </w:pPr>
      <w:r>
        <w:rPr>
          <w:rStyle w:val="FootnoteReference"/>
        </w:rPr>
        <w:footnoteRef/>
      </w:r>
      <w:r>
        <w:t xml:space="preserve"> </w:t>
      </w:r>
      <w:r w:rsidR="00D9048E">
        <w:t>Queensland Human Rights Commission</w:t>
      </w:r>
      <w:r w:rsidR="00B61909">
        <w:t xml:space="preserve">, </w:t>
      </w:r>
      <w:r w:rsidR="00092021">
        <w:t xml:space="preserve">Submission to </w:t>
      </w:r>
      <w:r w:rsidR="005D647E">
        <w:t>Department of Justice and Attorney-General</w:t>
      </w:r>
      <w:r w:rsidR="00AC6113">
        <w:t xml:space="preserve"> on the</w:t>
      </w:r>
      <w:r w:rsidR="00A17237">
        <w:t xml:space="preserve"> Anti-Discrimination </w:t>
      </w:r>
      <w:r w:rsidR="00883BBF">
        <w:t xml:space="preserve">Bill 2024 (Exposure Draft) </w:t>
      </w:r>
      <w:r w:rsidR="002F6146">
        <w:t>22 March 2024.</w:t>
      </w:r>
      <w:r w:rsidR="005B3E6E">
        <w:t xml:space="preserve"> </w:t>
      </w:r>
    </w:p>
  </w:footnote>
  <w:footnote w:id="54">
    <w:p w14:paraId="4616C7A0" w14:textId="31BDA55C" w:rsidR="00F60436" w:rsidRPr="00F60436" w:rsidRDefault="008C54FC" w:rsidP="00F60436">
      <w:pPr>
        <w:pStyle w:val="FootnoteText"/>
      </w:pPr>
      <w:r>
        <w:rPr>
          <w:rStyle w:val="FootnoteReference"/>
        </w:rPr>
        <w:footnoteRef/>
      </w:r>
      <w:r>
        <w:t xml:space="preserve"> </w:t>
      </w:r>
      <w:r w:rsidR="0045460D">
        <w:t xml:space="preserve">Australian Law Reform Commission, </w:t>
      </w:r>
      <w:r w:rsidR="00F60436">
        <w:t>‘</w:t>
      </w:r>
      <w:r w:rsidR="00F60436" w:rsidRPr="00F60436">
        <w:t>ALRC Religious Educational Institutions and Anti-Discrimination Laws Report tabled in Parliament</w:t>
      </w:r>
      <w:r w:rsidR="00F60436">
        <w:t xml:space="preserve">’, </w:t>
      </w:r>
      <w:r w:rsidR="00BD1738" w:rsidRPr="006D5FDD">
        <w:rPr>
          <w:i/>
          <w:iCs/>
        </w:rPr>
        <w:t>Media Release</w:t>
      </w:r>
      <w:r w:rsidR="00BD1738">
        <w:t xml:space="preserve"> (Web Page, </w:t>
      </w:r>
      <w:r w:rsidR="00D17A02">
        <w:t>21 March 2024) &lt;</w:t>
      </w:r>
      <w:r w:rsidR="00D17A02" w:rsidRPr="00D17A02">
        <w:t xml:space="preserve"> https://www.alrc.gov.au/news/adl-final-report-tabled/</w:t>
      </w:r>
      <w:r w:rsidR="00D17A02">
        <w:t>&gt;.</w:t>
      </w:r>
    </w:p>
    <w:p w14:paraId="1C0C91DE" w14:textId="72F50E8D" w:rsidR="008C54FC" w:rsidRPr="008C54FC" w:rsidRDefault="008C54F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317CB" w14:textId="77777777" w:rsidR="007C510E" w:rsidRDefault="007C510E" w:rsidP="00260847">
    <w:pPr>
      <w:pStyle w:val="Header"/>
      <w:tabs>
        <w:tab w:val="clear" w:pos="4513"/>
        <w:tab w:val="clear" w:pos="9026"/>
      </w:tabs>
      <w:spacing w:before="240"/>
    </w:pPr>
  </w:p>
  <w:p w14:paraId="0D8484A4"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7176D"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DF699"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60A2BA5" w14:textId="77777777" w:rsidR="007C510E" w:rsidRPr="000731D3" w:rsidRDefault="007C510E" w:rsidP="000731D3">
    <w:pPr>
      <w:pStyle w:val="Header"/>
      <w:pBdr>
        <w:bottom w:val="single" w:sz="4" w:space="1" w:color="auto"/>
      </w:pBdr>
      <w:rPr>
        <w:rFonts w:cs="Arial"/>
        <w:sz w:val="20"/>
        <w:szCs w:val="20"/>
      </w:rPr>
    </w:pPr>
  </w:p>
  <w:p w14:paraId="4F39072C"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DB4"/>
    <w:multiLevelType w:val="hybridMultilevel"/>
    <w:tmpl w:val="0B3A349E"/>
    <w:lvl w:ilvl="0" w:tplc="0CA2F2EE">
      <w:start w:val="1"/>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F69FB"/>
    <w:multiLevelType w:val="hybridMultilevel"/>
    <w:tmpl w:val="A57282AA"/>
    <w:lvl w:ilvl="0" w:tplc="4ABC8EEE">
      <w:start w:val="1"/>
      <w:numFmt w:val="decimal"/>
      <w:lvlText w:val="(%1)"/>
      <w:lvlJc w:val="left"/>
      <w:pPr>
        <w:ind w:left="115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71" w:hanging="360"/>
      </w:pPr>
    </w:lvl>
    <w:lvl w:ilvl="2" w:tplc="0C09001B" w:tentative="1">
      <w:start w:val="1"/>
      <w:numFmt w:val="lowerRoman"/>
      <w:lvlText w:val="%3."/>
      <w:lvlJc w:val="right"/>
      <w:pPr>
        <w:ind w:left="2591" w:hanging="180"/>
      </w:pPr>
    </w:lvl>
    <w:lvl w:ilvl="3" w:tplc="0C09000F" w:tentative="1">
      <w:start w:val="1"/>
      <w:numFmt w:val="decimal"/>
      <w:lvlText w:val="%4."/>
      <w:lvlJc w:val="left"/>
      <w:pPr>
        <w:ind w:left="3311" w:hanging="360"/>
      </w:pPr>
    </w:lvl>
    <w:lvl w:ilvl="4" w:tplc="0C090019" w:tentative="1">
      <w:start w:val="1"/>
      <w:numFmt w:val="lowerLetter"/>
      <w:lvlText w:val="%5."/>
      <w:lvlJc w:val="left"/>
      <w:pPr>
        <w:ind w:left="4031" w:hanging="360"/>
      </w:pPr>
    </w:lvl>
    <w:lvl w:ilvl="5" w:tplc="0C09001B" w:tentative="1">
      <w:start w:val="1"/>
      <w:numFmt w:val="lowerRoman"/>
      <w:lvlText w:val="%6."/>
      <w:lvlJc w:val="right"/>
      <w:pPr>
        <w:ind w:left="4751" w:hanging="180"/>
      </w:pPr>
    </w:lvl>
    <w:lvl w:ilvl="6" w:tplc="0C09000F" w:tentative="1">
      <w:start w:val="1"/>
      <w:numFmt w:val="decimal"/>
      <w:lvlText w:val="%7."/>
      <w:lvlJc w:val="left"/>
      <w:pPr>
        <w:ind w:left="5471" w:hanging="360"/>
      </w:pPr>
    </w:lvl>
    <w:lvl w:ilvl="7" w:tplc="0C090019" w:tentative="1">
      <w:start w:val="1"/>
      <w:numFmt w:val="lowerLetter"/>
      <w:lvlText w:val="%8."/>
      <w:lvlJc w:val="left"/>
      <w:pPr>
        <w:ind w:left="6191" w:hanging="360"/>
      </w:pPr>
    </w:lvl>
    <w:lvl w:ilvl="8" w:tplc="0C09001B" w:tentative="1">
      <w:start w:val="1"/>
      <w:numFmt w:val="lowerRoman"/>
      <w:lvlText w:val="%9."/>
      <w:lvlJc w:val="right"/>
      <w:pPr>
        <w:ind w:left="6911" w:hanging="180"/>
      </w:pPr>
    </w:lvl>
  </w:abstractNum>
  <w:abstractNum w:abstractNumId="2" w15:restartNumberingAfterBreak="0">
    <w:nsid w:val="01EF699B"/>
    <w:multiLevelType w:val="hybridMultilevel"/>
    <w:tmpl w:val="15ACC9D6"/>
    <w:lvl w:ilvl="0" w:tplc="BBBCA44E">
      <w:start w:val="1"/>
      <w:numFmt w:val="decimal"/>
      <w:lvlText w:val="%1."/>
      <w:lvlJc w:val="left"/>
      <w:pPr>
        <w:ind w:left="981" w:hanging="360"/>
      </w:pPr>
      <w:rPr>
        <w:rFonts w:hint="default"/>
        <w:b w:val="0"/>
        <w:bCs w:val="0"/>
      </w:rPr>
    </w:lvl>
    <w:lvl w:ilvl="1" w:tplc="0C090019">
      <w:start w:val="1"/>
      <w:numFmt w:val="lowerLetter"/>
      <w:lvlText w:val="%2."/>
      <w:lvlJc w:val="left"/>
      <w:pPr>
        <w:ind w:left="1701" w:hanging="360"/>
      </w:pPr>
    </w:lvl>
    <w:lvl w:ilvl="2" w:tplc="E872DAFC">
      <w:numFmt w:val="bullet"/>
      <w:lvlText w:val="•"/>
      <w:lvlJc w:val="left"/>
      <w:pPr>
        <w:ind w:left="2601" w:hanging="360"/>
      </w:pPr>
      <w:rPr>
        <w:rFonts w:ascii="Arial" w:eastAsiaTheme="minorEastAsia" w:hAnsi="Arial" w:cs="Arial" w:hint="default"/>
      </w:rPr>
    </w:lvl>
    <w:lvl w:ilvl="3" w:tplc="0C09000F" w:tentative="1">
      <w:start w:val="1"/>
      <w:numFmt w:val="decimal"/>
      <w:lvlText w:val="%4."/>
      <w:lvlJc w:val="left"/>
      <w:pPr>
        <w:ind w:left="3141" w:hanging="360"/>
      </w:pPr>
    </w:lvl>
    <w:lvl w:ilvl="4" w:tplc="0C090019" w:tentative="1">
      <w:start w:val="1"/>
      <w:numFmt w:val="lowerLetter"/>
      <w:lvlText w:val="%5."/>
      <w:lvlJc w:val="left"/>
      <w:pPr>
        <w:ind w:left="3861" w:hanging="360"/>
      </w:pPr>
    </w:lvl>
    <w:lvl w:ilvl="5" w:tplc="0C09001B" w:tentative="1">
      <w:start w:val="1"/>
      <w:numFmt w:val="lowerRoman"/>
      <w:lvlText w:val="%6."/>
      <w:lvlJc w:val="right"/>
      <w:pPr>
        <w:ind w:left="4581" w:hanging="180"/>
      </w:pPr>
    </w:lvl>
    <w:lvl w:ilvl="6" w:tplc="0C09000F" w:tentative="1">
      <w:start w:val="1"/>
      <w:numFmt w:val="decimal"/>
      <w:lvlText w:val="%7."/>
      <w:lvlJc w:val="left"/>
      <w:pPr>
        <w:ind w:left="5301" w:hanging="360"/>
      </w:pPr>
    </w:lvl>
    <w:lvl w:ilvl="7" w:tplc="0C090019" w:tentative="1">
      <w:start w:val="1"/>
      <w:numFmt w:val="lowerLetter"/>
      <w:lvlText w:val="%8."/>
      <w:lvlJc w:val="left"/>
      <w:pPr>
        <w:ind w:left="6021" w:hanging="360"/>
      </w:pPr>
    </w:lvl>
    <w:lvl w:ilvl="8" w:tplc="0C09001B" w:tentative="1">
      <w:start w:val="1"/>
      <w:numFmt w:val="lowerRoman"/>
      <w:lvlText w:val="%9."/>
      <w:lvlJc w:val="right"/>
      <w:pPr>
        <w:ind w:left="6741" w:hanging="180"/>
      </w:pPr>
    </w:lvl>
  </w:abstractNum>
  <w:abstractNum w:abstractNumId="3" w15:restartNumberingAfterBreak="0">
    <w:nsid w:val="030461B8"/>
    <w:multiLevelType w:val="hybridMultilevel"/>
    <w:tmpl w:val="300800EA"/>
    <w:lvl w:ilvl="0" w:tplc="73E225BC">
      <w:start w:val="1"/>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46A18C8"/>
    <w:multiLevelType w:val="hybridMultilevel"/>
    <w:tmpl w:val="34C6DB60"/>
    <w:lvl w:ilvl="0" w:tplc="7DFEE992">
      <w:start w:val="2"/>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7E06C1"/>
    <w:multiLevelType w:val="hybridMultilevel"/>
    <w:tmpl w:val="B50639EE"/>
    <w:lvl w:ilvl="0" w:tplc="DE005176">
      <w:start w:val="3"/>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D2288F"/>
    <w:multiLevelType w:val="hybridMultilevel"/>
    <w:tmpl w:val="4D44BF98"/>
    <w:lvl w:ilvl="0" w:tplc="C9B25624">
      <w:start w:val="3"/>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9DE7144">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4CA3A">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2304A">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EAB86">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AD65E">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A5C98">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27394">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C808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3F7604"/>
    <w:multiLevelType w:val="hybridMultilevel"/>
    <w:tmpl w:val="2EE0A466"/>
    <w:lvl w:ilvl="0" w:tplc="0C128184">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DBAA962">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3192FAD8">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653FE">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58B9D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85EC0">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4F6BC">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AD4C">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8E744">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54E211F"/>
    <w:multiLevelType w:val="hybridMultilevel"/>
    <w:tmpl w:val="81622730"/>
    <w:lvl w:ilvl="0" w:tplc="2ECA6DE0">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864208C">
      <w:start w:val="1"/>
      <w:numFmt w:val="lowerLetter"/>
      <w:lvlText w:val="(%2)"/>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2A44DBE0">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CDA14">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85DD8">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87B64">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2C4E4">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87324">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A0232">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6D6FE6"/>
    <w:multiLevelType w:val="hybridMultilevel"/>
    <w:tmpl w:val="3E98B52C"/>
    <w:lvl w:ilvl="0" w:tplc="073A78A0">
      <w:start w:val="1"/>
      <w:numFmt w:val="decimal"/>
      <w:lvlText w:val="(%1)"/>
      <w:lvlJc w:val="left"/>
      <w:pPr>
        <w:ind w:left="1069"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A0E5EA1"/>
    <w:multiLevelType w:val="hybridMultilevel"/>
    <w:tmpl w:val="4B289A34"/>
    <w:lvl w:ilvl="0" w:tplc="204E90EC">
      <w:start w:val="99"/>
      <w:numFmt w:val="bullet"/>
      <w:lvlText w:val=""/>
      <w:lvlJc w:val="left"/>
      <w:pPr>
        <w:ind w:left="1080" w:hanging="360"/>
      </w:pPr>
      <w:rPr>
        <w:rFonts w:ascii="Symbol" w:eastAsiaTheme="minorEastAsia" w:hAnsi="Symbo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245B37"/>
    <w:multiLevelType w:val="hybridMultilevel"/>
    <w:tmpl w:val="AAD664E2"/>
    <w:lvl w:ilvl="0" w:tplc="B7EA08C8">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6018D1C8">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6A9CC">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6665D2">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EFCCA">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C34C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20318">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C1F8E">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693EA">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4C4BCB"/>
    <w:multiLevelType w:val="hybridMultilevel"/>
    <w:tmpl w:val="F70C46D6"/>
    <w:lvl w:ilvl="0" w:tplc="7792B61C">
      <w:start w:val="3"/>
      <w:numFmt w:val="decimal"/>
      <w:lvlText w:val="(%1)"/>
      <w:lvlJc w:val="left"/>
      <w:pPr>
        <w:ind w:left="124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1954D2"/>
    <w:multiLevelType w:val="hybridMultilevel"/>
    <w:tmpl w:val="11206F4E"/>
    <w:lvl w:ilvl="0" w:tplc="8796F73C">
      <w:start w:val="1"/>
      <w:numFmt w:val="lowerLetter"/>
      <w:lvlText w:val="(%1)"/>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5D85202">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01960">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62A3C4">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8D580">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EA32C">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02BB6">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A1F82">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AC362">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BB2472"/>
    <w:multiLevelType w:val="hybridMultilevel"/>
    <w:tmpl w:val="0DC6E4A2"/>
    <w:lvl w:ilvl="0" w:tplc="AAA87150">
      <w:start w:val="1"/>
      <w:numFmt w:val="decimal"/>
      <w:lvlText w:val="(%1)"/>
      <w:lvlJc w:val="left"/>
      <w:pPr>
        <w:ind w:left="1353"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1162715"/>
    <w:multiLevelType w:val="hybridMultilevel"/>
    <w:tmpl w:val="43B284E8"/>
    <w:lvl w:ilvl="0" w:tplc="E8A0D962">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3465D66">
      <w:start w:val="1"/>
      <w:numFmt w:val="lowerLetter"/>
      <w:lvlText w:val="(%2)"/>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A54CCF1C">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AD084">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8D2A6">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E112E">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0028A">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6E302">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87E42">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1C901C4"/>
    <w:multiLevelType w:val="hybridMultilevel"/>
    <w:tmpl w:val="8D68716E"/>
    <w:lvl w:ilvl="0" w:tplc="FEDCD224">
      <w:start w:val="1"/>
      <w:numFmt w:val="decimal"/>
      <w:lvlText w:val="(%1)"/>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82CF8">
      <w:start w:val="1"/>
      <w:numFmt w:val="lowerLetter"/>
      <w:lvlText w:val="(%2)"/>
      <w:lvlJc w:val="left"/>
      <w:pPr>
        <w:ind w:left="1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AF898">
      <w:start w:val="1"/>
      <w:numFmt w:val="lowerRoman"/>
      <w:lvlText w:val="(%3)"/>
      <w:lvlJc w:val="left"/>
      <w:pPr>
        <w:ind w:left="230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977E27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617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45F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EEE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067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EA9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2382CE6"/>
    <w:multiLevelType w:val="hybridMultilevel"/>
    <w:tmpl w:val="47FC21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3746EF7"/>
    <w:multiLevelType w:val="hybridMultilevel"/>
    <w:tmpl w:val="34C6D6E4"/>
    <w:lvl w:ilvl="0" w:tplc="A914F50E">
      <w:start w:val="1"/>
      <w:numFmt w:val="lowerLetter"/>
      <w:lvlText w:val="(%1)"/>
      <w:lvlJc w:val="left"/>
      <w:pPr>
        <w:ind w:left="1953"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673" w:hanging="360"/>
      </w:pPr>
    </w:lvl>
    <w:lvl w:ilvl="2" w:tplc="0C09001B" w:tentative="1">
      <w:start w:val="1"/>
      <w:numFmt w:val="lowerRoman"/>
      <w:lvlText w:val="%3."/>
      <w:lvlJc w:val="right"/>
      <w:pPr>
        <w:ind w:left="3393" w:hanging="180"/>
      </w:pPr>
    </w:lvl>
    <w:lvl w:ilvl="3" w:tplc="0C09000F" w:tentative="1">
      <w:start w:val="1"/>
      <w:numFmt w:val="decimal"/>
      <w:lvlText w:val="%4."/>
      <w:lvlJc w:val="left"/>
      <w:pPr>
        <w:ind w:left="4113" w:hanging="360"/>
      </w:pPr>
    </w:lvl>
    <w:lvl w:ilvl="4" w:tplc="0C090019" w:tentative="1">
      <w:start w:val="1"/>
      <w:numFmt w:val="lowerLetter"/>
      <w:lvlText w:val="%5."/>
      <w:lvlJc w:val="left"/>
      <w:pPr>
        <w:ind w:left="4833" w:hanging="360"/>
      </w:pPr>
    </w:lvl>
    <w:lvl w:ilvl="5" w:tplc="0C09001B" w:tentative="1">
      <w:start w:val="1"/>
      <w:numFmt w:val="lowerRoman"/>
      <w:lvlText w:val="%6."/>
      <w:lvlJc w:val="right"/>
      <w:pPr>
        <w:ind w:left="5553" w:hanging="180"/>
      </w:pPr>
    </w:lvl>
    <w:lvl w:ilvl="6" w:tplc="0C09000F" w:tentative="1">
      <w:start w:val="1"/>
      <w:numFmt w:val="decimal"/>
      <w:lvlText w:val="%7."/>
      <w:lvlJc w:val="left"/>
      <w:pPr>
        <w:ind w:left="6273" w:hanging="360"/>
      </w:pPr>
    </w:lvl>
    <w:lvl w:ilvl="7" w:tplc="0C090019" w:tentative="1">
      <w:start w:val="1"/>
      <w:numFmt w:val="lowerLetter"/>
      <w:lvlText w:val="%8."/>
      <w:lvlJc w:val="left"/>
      <w:pPr>
        <w:ind w:left="6993" w:hanging="360"/>
      </w:pPr>
    </w:lvl>
    <w:lvl w:ilvl="8" w:tplc="0C09001B" w:tentative="1">
      <w:start w:val="1"/>
      <w:numFmt w:val="lowerRoman"/>
      <w:lvlText w:val="%9."/>
      <w:lvlJc w:val="right"/>
      <w:pPr>
        <w:ind w:left="7713" w:hanging="180"/>
      </w:pPr>
    </w:lvl>
  </w:abstractNum>
  <w:abstractNum w:abstractNumId="19" w15:restartNumberingAfterBreak="0">
    <w:nsid w:val="13BB25A6"/>
    <w:multiLevelType w:val="hybridMultilevel"/>
    <w:tmpl w:val="111E3142"/>
    <w:lvl w:ilvl="0" w:tplc="6AE8A6C4">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30CC752">
      <w:start w:val="1"/>
      <w:numFmt w:val="lowerRoman"/>
      <w:lvlText w:val="(%2)"/>
      <w:lvlJc w:val="left"/>
      <w:pPr>
        <w:ind w:left="230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3E387C1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EC85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AA76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CDF9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A9A0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A4B9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4083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3A6823"/>
    <w:multiLevelType w:val="hybridMultilevel"/>
    <w:tmpl w:val="F4E22268"/>
    <w:lvl w:ilvl="0" w:tplc="B8669220">
      <w:start w:val="1"/>
      <w:numFmt w:val="decimal"/>
      <w:lvlText w:val="(%1)"/>
      <w:lvlJc w:val="left"/>
      <w:pPr>
        <w:ind w:left="99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59CB9AE">
      <w:start w:val="1"/>
      <w:numFmt w:val="lowerLetter"/>
      <w:lvlText w:val="(%2)"/>
      <w:lvlJc w:val="left"/>
      <w:pPr>
        <w:ind w:left="155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E46CBF6A">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82C4C">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6259A">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27F58">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0075E">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8243E">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03954">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9B5A23"/>
    <w:multiLevelType w:val="hybridMultilevel"/>
    <w:tmpl w:val="867470B0"/>
    <w:lvl w:ilvl="0" w:tplc="A0D2408C">
      <w:start w:val="1"/>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036EC70">
      <w:start w:val="1"/>
      <w:numFmt w:val="lowerLetter"/>
      <w:lvlText w:val="(%2)"/>
      <w:lvlJc w:val="left"/>
      <w:pPr>
        <w:ind w:left="187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97854A6"/>
    <w:multiLevelType w:val="hybridMultilevel"/>
    <w:tmpl w:val="55FE57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A9F09CC"/>
    <w:multiLevelType w:val="hybridMultilevel"/>
    <w:tmpl w:val="3D7A05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DD247D9"/>
    <w:multiLevelType w:val="hybridMultilevel"/>
    <w:tmpl w:val="90442818"/>
    <w:lvl w:ilvl="0" w:tplc="CD7A643C">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69C895C">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67EE9F6">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8F112">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EBFCA">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CC1D0">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E69578">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A2C4A">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23E4E">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FCB6733"/>
    <w:multiLevelType w:val="hybridMultilevel"/>
    <w:tmpl w:val="4BF8BE9C"/>
    <w:lvl w:ilvl="0" w:tplc="E7729C58">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00851B8">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8EF26">
      <w:start w:val="1"/>
      <w:numFmt w:val="lowerLetter"/>
      <w:lvlText w:val="(%3)"/>
      <w:lvlJc w:val="left"/>
      <w:pPr>
        <w:ind w:left="187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D5440E32">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0292A">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6FCB6">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20D4E">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6208A">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21298">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8CC54FE"/>
    <w:multiLevelType w:val="hybridMultilevel"/>
    <w:tmpl w:val="48404F50"/>
    <w:lvl w:ilvl="0" w:tplc="1DD00E24">
      <w:start w:val="1"/>
      <w:numFmt w:val="lowerLetter"/>
      <w:lvlText w:val="(%1)"/>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C48BDEC">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6F256">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8B400">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CF400">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ED934">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4D9E0">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E5050">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C775E">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FD3CBF"/>
    <w:multiLevelType w:val="hybridMultilevel"/>
    <w:tmpl w:val="801C0F56"/>
    <w:lvl w:ilvl="0" w:tplc="052E30A4">
      <w:start w:val="1"/>
      <w:numFmt w:val="decimal"/>
      <w:lvlText w:val="(%1)"/>
      <w:lvlJc w:val="left"/>
      <w:pPr>
        <w:ind w:left="121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216687C">
      <w:start w:val="1"/>
      <w:numFmt w:val="lowerLetter"/>
      <w:lvlText w:val="(%2)"/>
      <w:lvlJc w:val="left"/>
      <w:pPr>
        <w:ind w:left="187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96F0F0A8">
      <w:start w:val="1"/>
      <w:numFmt w:val="lowerRoman"/>
      <w:lvlText w:val="(%3)"/>
      <w:lvlJc w:val="left"/>
      <w:pPr>
        <w:ind w:left="2724"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2C3C2645"/>
    <w:multiLevelType w:val="hybridMultilevel"/>
    <w:tmpl w:val="D1E6EB9C"/>
    <w:lvl w:ilvl="0" w:tplc="D3E6A902">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46EAF50">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E1EEEB72">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8307C">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6651C">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FEBE72">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6751E">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62C42">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4FCD0">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DB40D13"/>
    <w:multiLevelType w:val="hybridMultilevel"/>
    <w:tmpl w:val="C9CE6B38"/>
    <w:lvl w:ilvl="0" w:tplc="E0F49274">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4000FF6">
      <w:start w:val="1"/>
      <w:numFmt w:val="lowerLetter"/>
      <w:lvlText w:val="(%2)"/>
      <w:lvlJc w:val="left"/>
      <w:pPr>
        <w:ind w:left="1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4EF5E">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88BCE6">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E0202">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C9D0E">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27FFA">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02C92">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01734">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E692075"/>
    <w:multiLevelType w:val="hybridMultilevel"/>
    <w:tmpl w:val="AFD2B33C"/>
    <w:lvl w:ilvl="0" w:tplc="83FCECE0">
      <w:start w:val="3"/>
      <w:numFmt w:val="decimal"/>
      <w:lvlText w:val="(%1)"/>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6B23E">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6E13E">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9E92E6">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CAF22">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E7D94">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67B60">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684B4">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8C748">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F864A4"/>
    <w:multiLevelType w:val="hybridMultilevel"/>
    <w:tmpl w:val="375C1230"/>
    <w:lvl w:ilvl="0" w:tplc="2062C0B6">
      <w:start w:val="1"/>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4735802"/>
    <w:multiLevelType w:val="hybridMultilevel"/>
    <w:tmpl w:val="9CFE3B5E"/>
    <w:lvl w:ilvl="0" w:tplc="D37E2FEA">
      <w:start w:val="1"/>
      <w:numFmt w:val="decimal"/>
      <w:lvlText w:val="(%1)"/>
      <w:lvlJc w:val="left"/>
      <w:pPr>
        <w:ind w:left="124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4261962">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1D42EDAE">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E136A">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26D5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E9A8A">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E1E2E">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E4458">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672BC">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A562893"/>
    <w:multiLevelType w:val="hybridMultilevel"/>
    <w:tmpl w:val="9EDC0CEA"/>
    <w:lvl w:ilvl="0" w:tplc="D868C928">
      <w:start w:val="1"/>
      <w:numFmt w:val="decimal"/>
      <w:lvlText w:val="(%1)"/>
      <w:lvlJc w:val="left"/>
      <w:pPr>
        <w:ind w:left="1353"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DF21F49"/>
    <w:multiLevelType w:val="hybridMultilevel"/>
    <w:tmpl w:val="041C0A40"/>
    <w:lvl w:ilvl="0" w:tplc="8CCE2D44">
      <w:start w:val="5"/>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CB05ECC">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B86A604C">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AE090">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E7570">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2597C">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48794C">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0702C">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66B696">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F5F6E08"/>
    <w:multiLevelType w:val="hybridMultilevel"/>
    <w:tmpl w:val="BAAAB2CC"/>
    <w:lvl w:ilvl="0" w:tplc="08A059DE">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A5EC4E4">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E86B0EE">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61B64">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C39AA">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CC194">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6B99C">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83E4E">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802AA">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22E2940"/>
    <w:multiLevelType w:val="hybridMultilevel"/>
    <w:tmpl w:val="9C1EAA0E"/>
    <w:lvl w:ilvl="0" w:tplc="802EEDF2">
      <w:start w:val="1"/>
      <w:numFmt w:val="lowerLetter"/>
      <w:lvlText w:val="(%1)"/>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65C1A0E">
      <w:start w:val="1"/>
      <w:numFmt w:val="decimal"/>
      <w:lvlText w:val="%2"/>
      <w:lvlJc w:val="left"/>
      <w:pPr>
        <w:ind w:left="1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A03E60">
      <w:start w:val="1"/>
      <w:numFmt w:val="lowerRoman"/>
      <w:lvlText w:val="%3"/>
      <w:lvlJc w:val="left"/>
      <w:pPr>
        <w:ind w:left="1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169224">
      <w:start w:val="1"/>
      <w:numFmt w:val="decimal"/>
      <w:lvlText w:val="%4"/>
      <w:lvlJc w:val="left"/>
      <w:pPr>
        <w:ind w:left="2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3677CC">
      <w:start w:val="1"/>
      <w:numFmt w:val="lowerLetter"/>
      <w:lvlText w:val="%5"/>
      <w:lvlJc w:val="left"/>
      <w:pPr>
        <w:ind w:left="3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161CFC">
      <w:start w:val="1"/>
      <w:numFmt w:val="lowerRoman"/>
      <w:lvlText w:val="%6"/>
      <w:lvlJc w:val="left"/>
      <w:pPr>
        <w:ind w:left="3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BA9926">
      <w:start w:val="1"/>
      <w:numFmt w:val="decimal"/>
      <w:lvlText w:val="%7"/>
      <w:lvlJc w:val="left"/>
      <w:pPr>
        <w:ind w:left="4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3AAF50">
      <w:start w:val="1"/>
      <w:numFmt w:val="lowerLetter"/>
      <w:lvlText w:val="%8"/>
      <w:lvlJc w:val="left"/>
      <w:pPr>
        <w:ind w:left="5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CCD2E0">
      <w:start w:val="1"/>
      <w:numFmt w:val="lowerRoman"/>
      <w:lvlText w:val="%9"/>
      <w:lvlJc w:val="left"/>
      <w:pPr>
        <w:ind w:left="6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6C95845"/>
    <w:multiLevelType w:val="hybridMultilevel"/>
    <w:tmpl w:val="C4D6B6E2"/>
    <w:lvl w:ilvl="0" w:tplc="28F6B9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2D700">
      <w:start w:val="1"/>
      <w:numFmt w:val="lowerLetter"/>
      <w:lvlRestart w:val="0"/>
      <w:lvlText w:val="(%2)"/>
      <w:lvlJc w:val="left"/>
      <w:pPr>
        <w:ind w:left="171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0E9AAFC2">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2B97E">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C1716">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2CA28">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01AF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01CC6">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E3DB0">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7583A6A"/>
    <w:multiLevelType w:val="hybridMultilevel"/>
    <w:tmpl w:val="A2728B9C"/>
    <w:lvl w:ilvl="0" w:tplc="CAA6F584">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D960DD4">
      <w:start w:val="1"/>
      <w:numFmt w:val="lowerLetter"/>
      <w:lvlText w:val="(%2)"/>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FEE36CE">
      <w:start w:val="1"/>
      <w:numFmt w:val="lowerRoman"/>
      <w:lvlText w:val="(%3)"/>
      <w:lvlJc w:val="left"/>
      <w:pPr>
        <w:ind w:left="230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8244D2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A089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674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C94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C00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C683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8855353"/>
    <w:multiLevelType w:val="hybridMultilevel"/>
    <w:tmpl w:val="80026702"/>
    <w:lvl w:ilvl="0" w:tplc="55B8D708">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05EB2A8">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E5424">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6F82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74EA">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46AE">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45BC6">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2A4F6A">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C3AC8">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ADA4A8C"/>
    <w:multiLevelType w:val="hybridMultilevel"/>
    <w:tmpl w:val="AF666806"/>
    <w:lvl w:ilvl="0" w:tplc="49DAB5F4">
      <w:start w:val="3"/>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DB85336"/>
    <w:multiLevelType w:val="hybridMultilevel"/>
    <w:tmpl w:val="E3B06582"/>
    <w:lvl w:ilvl="0" w:tplc="B63A5616">
      <w:start w:val="1"/>
      <w:numFmt w:val="decimal"/>
      <w:lvlText w:val="(%1)"/>
      <w:lvlJc w:val="left"/>
      <w:pPr>
        <w:ind w:left="1812"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532" w:hanging="360"/>
      </w:pPr>
    </w:lvl>
    <w:lvl w:ilvl="2" w:tplc="0C09001B" w:tentative="1">
      <w:start w:val="1"/>
      <w:numFmt w:val="lowerRoman"/>
      <w:lvlText w:val="%3."/>
      <w:lvlJc w:val="right"/>
      <w:pPr>
        <w:ind w:left="3252" w:hanging="180"/>
      </w:pPr>
    </w:lvl>
    <w:lvl w:ilvl="3" w:tplc="0C09000F" w:tentative="1">
      <w:start w:val="1"/>
      <w:numFmt w:val="decimal"/>
      <w:lvlText w:val="%4."/>
      <w:lvlJc w:val="left"/>
      <w:pPr>
        <w:ind w:left="3972" w:hanging="360"/>
      </w:pPr>
    </w:lvl>
    <w:lvl w:ilvl="4" w:tplc="0C090019" w:tentative="1">
      <w:start w:val="1"/>
      <w:numFmt w:val="lowerLetter"/>
      <w:lvlText w:val="%5."/>
      <w:lvlJc w:val="left"/>
      <w:pPr>
        <w:ind w:left="4692" w:hanging="360"/>
      </w:pPr>
    </w:lvl>
    <w:lvl w:ilvl="5" w:tplc="0C09001B" w:tentative="1">
      <w:start w:val="1"/>
      <w:numFmt w:val="lowerRoman"/>
      <w:lvlText w:val="%6."/>
      <w:lvlJc w:val="right"/>
      <w:pPr>
        <w:ind w:left="5412" w:hanging="180"/>
      </w:pPr>
    </w:lvl>
    <w:lvl w:ilvl="6" w:tplc="0C09000F" w:tentative="1">
      <w:start w:val="1"/>
      <w:numFmt w:val="decimal"/>
      <w:lvlText w:val="%7."/>
      <w:lvlJc w:val="left"/>
      <w:pPr>
        <w:ind w:left="6132" w:hanging="360"/>
      </w:pPr>
    </w:lvl>
    <w:lvl w:ilvl="7" w:tplc="0C090019" w:tentative="1">
      <w:start w:val="1"/>
      <w:numFmt w:val="lowerLetter"/>
      <w:lvlText w:val="%8."/>
      <w:lvlJc w:val="left"/>
      <w:pPr>
        <w:ind w:left="6852" w:hanging="360"/>
      </w:pPr>
    </w:lvl>
    <w:lvl w:ilvl="8" w:tplc="0C09001B" w:tentative="1">
      <w:start w:val="1"/>
      <w:numFmt w:val="lowerRoman"/>
      <w:lvlText w:val="%9."/>
      <w:lvlJc w:val="right"/>
      <w:pPr>
        <w:ind w:left="7572" w:hanging="180"/>
      </w:pPr>
    </w:lvl>
  </w:abstractNum>
  <w:abstractNum w:abstractNumId="42" w15:restartNumberingAfterBreak="0">
    <w:nsid w:val="4ED20810"/>
    <w:multiLevelType w:val="hybridMultilevel"/>
    <w:tmpl w:val="0F940C9E"/>
    <w:lvl w:ilvl="0" w:tplc="D6203F8A">
      <w:start w:val="1"/>
      <w:numFmt w:val="decimal"/>
      <w:lvlText w:val="(%1)"/>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83660">
      <w:start w:val="1"/>
      <w:numFmt w:val="lowerLetter"/>
      <w:lvlText w:val="(%2)"/>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71AE434">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02B28">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432CE">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2ABBAE">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C4410">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640AE">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23A56">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0150A86"/>
    <w:multiLevelType w:val="hybridMultilevel"/>
    <w:tmpl w:val="81808E14"/>
    <w:lvl w:ilvl="0" w:tplc="3DB6CD4C">
      <w:start w:val="1"/>
      <w:numFmt w:val="lowerLetter"/>
      <w:lvlText w:val="(%1)"/>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E214DA">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AB33A">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09EC0">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2E8FA">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A0E4C">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8A3C8">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E7434">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AEB844">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13E7188"/>
    <w:multiLevelType w:val="hybridMultilevel"/>
    <w:tmpl w:val="7544132A"/>
    <w:lvl w:ilvl="0" w:tplc="18A4CCCA">
      <w:start w:val="1"/>
      <w:numFmt w:val="decimal"/>
      <w:lvlText w:val="(%1)"/>
      <w:lvlJc w:val="left"/>
      <w:pPr>
        <w:ind w:left="1353"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4A22AD2">
      <w:start w:val="1"/>
      <w:numFmt w:val="lowerLetter"/>
      <w:lvlText w:val="(%2)"/>
      <w:lvlJc w:val="left"/>
      <w:pPr>
        <w:ind w:left="187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5" w15:restartNumberingAfterBreak="0">
    <w:nsid w:val="52D27C80"/>
    <w:multiLevelType w:val="hybridMultilevel"/>
    <w:tmpl w:val="7E9221F8"/>
    <w:lvl w:ilvl="0" w:tplc="70CE1D62">
      <w:start w:val="1"/>
      <w:numFmt w:val="decimal"/>
      <w:lvlText w:val="(%1)"/>
      <w:lvlJc w:val="left"/>
      <w:pPr>
        <w:ind w:left="115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71" w:hanging="360"/>
      </w:pPr>
    </w:lvl>
    <w:lvl w:ilvl="2" w:tplc="0C09001B" w:tentative="1">
      <w:start w:val="1"/>
      <w:numFmt w:val="lowerRoman"/>
      <w:lvlText w:val="%3."/>
      <w:lvlJc w:val="right"/>
      <w:pPr>
        <w:ind w:left="2591" w:hanging="180"/>
      </w:pPr>
    </w:lvl>
    <w:lvl w:ilvl="3" w:tplc="0C09000F" w:tentative="1">
      <w:start w:val="1"/>
      <w:numFmt w:val="decimal"/>
      <w:lvlText w:val="%4."/>
      <w:lvlJc w:val="left"/>
      <w:pPr>
        <w:ind w:left="3311" w:hanging="360"/>
      </w:pPr>
    </w:lvl>
    <w:lvl w:ilvl="4" w:tplc="0C090019" w:tentative="1">
      <w:start w:val="1"/>
      <w:numFmt w:val="lowerLetter"/>
      <w:lvlText w:val="%5."/>
      <w:lvlJc w:val="left"/>
      <w:pPr>
        <w:ind w:left="4031" w:hanging="360"/>
      </w:pPr>
    </w:lvl>
    <w:lvl w:ilvl="5" w:tplc="0C09001B" w:tentative="1">
      <w:start w:val="1"/>
      <w:numFmt w:val="lowerRoman"/>
      <w:lvlText w:val="%6."/>
      <w:lvlJc w:val="right"/>
      <w:pPr>
        <w:ind w:left="4751" w:hanging="180"/>
      </w:pPr>
    </w:lvl>
    <w:lvl w:ilvl="6" w:tplc="0C09000F" w:tentative="1">
      <w:start w:val="1"/>
      <w:numFmt w:val="decimal"/>
      <w:lvlText w:val="%7."/>
      <w:lvlJc w:val="left"/>
      <w:pPr>
        <w:ind w:left="5471" w:hanging="360"/>
      </w:pPr>
    </w:lvl>
    <w:lvl w:ilvl="7" w:tplc="0C090019" w:tentative="1">
      <w:start w:val="1"/>
      <w:numFmt w:val="lowerLetter"/>
      <w:lvlText w:val="%8."/>
      <w:lvlJc w:val="left"/>
      <w:pPr>
        <w:ind w:left="6191" w:hanging="360"/>
      </w:pPr>
    </w:lvl>
    <w:lvl w:ilvl="8" w:tplc="0C09001B" w:tentative="1">
      <w:start w:val="1"/>
      <w:numFmt w:val="lowerRoman"/>
      <w:lvlText w:val="%9."/>
      <w:lvlJc w:val="right"/>
      <w:pPr>
        <w:ind w:left="6911" w:hanging="180"/>
      </w:pPr>
    </w:lvl>
  </w:abstractNum>
  <w:abstractNum w:abstractNumId="46" w15:restartNumberingAfterBreak="0">
    <w:nsid w:val="536A5754"/>
    <w:multiLevelType w:val="hybridMultilevel"/>
    <w:tmpl w:val="390E1D14"/>
    <w:lvl w:ilvl="0" w:tplc="A6661BE8">
      <w:start w:val="1"/>
      <w:numFmt w:val="decimal"/>
      <w:lvlText w:val="(%1)"/>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C2E8C">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4EABA22">
      <w:start w:val="1"/>
      <w:numFmt w:val="decimal"/>
      <w:lvlText w:val="%3"/>
      <w:lvlJc w:val="left"/>
      <w:pPr>
        <w:ind w:left="1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C432C4">
      <w:start w:val="1"/>
      <w:numFmt w:val="decimal"/>
      <w:lvlText w:val="%4"/>
      <w:lvlJc w:val="left"/>
      <w:pPr>
        <w:ind w:left="2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34BDF0">
      <w:start w:val="1"/>
      <w:numFmt w:val="lowerLetter"/>
      <w:lvlText w:val="%5"/>
      <w:lvlJc w:val="left"/>
      <w:pPr>
        <w:ind w:left="3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0ED886">
      <w:start w:val="1"/>
      <w:numFmt w:val="lowerRoman"/>
      <w:lvlText w:val="%6"/>
      <w:lvlJc w:val="left"/>
      <w:pPr>
        <w:ind w:left="4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984594">
      <w:start w:val="1"/>
      <w:numFmt w:val="decimal"/>
      <w:lvlText w:val="%7"/>
      <w:lvlJc w:val="left"/>
      <w:pPr>
        <w:ind w:left="4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0EC70C">
      <w:start w:val="1"/>
      <w:numFmt w:val="lowerLetter"/>
      <w:lvlText w:val="%8"/>
      <w:lvlJc w:val="left"/>
      <w:pPr>
        <w:ind w:left="5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727B22">
      <w:start w:val="1"/>
      <w:numFmt w:val="lowerRoman"/>
      <w:lvlText w:val="%9"/>
      <w:lvlJc w:val="left"/>
      <w:pPr>
        <w:ind w:left="6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6646F95"/>
    <w:multiLevelType w:val="hybridMultilevel"/>
    <w:tmpl w:val="D546797C"/>
    <w:lvl w:ilvl="0" w:tplc="82F219CA">
      <w:start w:val="1"/>
      <w:numFmt w:val="decimal"/>
      <w:lvlText w:val="(%1)"/>
      <w:lvlJc w:val="left"/>
      <w:pPr>
        <w:ind w:left="108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58255F1A"/>
    <w:multiLevelType w:val="hybridMultilevel"/>
    <w:tmpl w:val="F314104C"/>
    <w:lvl w:ilvl="0" w:tplc="407C556A">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7F81ECE">
      <w:start w:val="1"/>
      <w:numFmt w:val="lowerLetter"/>
      <w:lvlText w:val="(%2)"/>
      <w:lvlJc w:val="left"/>
      <w:pPr>
        <w:ind w:left="1953"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ACC4F3A">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A3F1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42F24">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C045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49CAC">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6E718">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6A4834">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83F3289"/>
    <w:multiLevelType w:val="hybridMultilevel"/>
    <w:tmpl w:val="23A26C96"/>
    <w:lvl w:ilvl="0" w:tplc="2258FC90">
      <w:start w:val="1"/>
      <w:numFmt w:val="lowerLetter"/>
      <w:lvlText w:val="(%1)"/>
      <w:lvlJc w:val="left"/>
      <w:pPr>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5A7A3A70"/>
    <w:multiLevelType w:val="hybridMultilevel"/>
    <w:tmpl w:val="8F2899F6"/>
    <w:lvl w:ilvl="0" w:tplc="5D028B3C">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C48606C">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EFCD552">
      <w:start w:val="1"/>
      <w:numFmt w:val="lowerRoman"/>
      <w:lvlText w:val="(%3)"/>
      <w:lvlJc w:val="left"/>
      <w:pPr>
        <w:ind w:left="230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C66000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84AF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60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5C18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627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BC05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B5D4798"/>
    <w:multiLevelType w:val="hybridMultilevel"/>
    <w:tmpl w:val="93628D90"/>
    <w:lvl w:ilvl="0" w:tplc="39DC03A0">
      <w:start w:val="1"/>
      <w:numFmt w:val="lowerLetter"/>
      <w:lvlText w:val="(%1)"/>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7C458EC">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34186A">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AA43C">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E2708">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2C3A6">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289E4">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2F1A2">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6E562">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BFD4536"/>
    <w:multiLevelType w:val="hybridMultilevel"/>
    <w:tmpl w:val="623AD6BA"/>
    <w:lvl w:ilvl="0" w:tplc="CC8EF030">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60034E6">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A458335E">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44BC8">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A73C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2FA6E">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497F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EF642">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65696">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C8D6484"/>
    <w:multiLevelType w:val="hybridMultilevel"/>
    <w:tmpl w:val="63BCB44C"/>
    <w:lvl w:ilvl="0" w:tplc="F0BABE8E">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4046DE6">
      <w:start w:val="1"/>
      <w:numFmt w:val="lowerLetter"/>
      <w:lvlText w:val="(%2)"/>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676C1F4C">
      <w:start w:val="1"/>
      <w:numFmt w:val="lowerRoman"/>
      <w:lvlText w:val="(%3)"/>
      <w:lvlJc w:val="left"/>
      <w:pPr>
        <w:ind w:left="2664"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F7CC1600">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A86E2">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6E6A4">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639AE">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0D664">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EBF7E">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DCC2F4D"/>
    <w:multiLevelType w:val="hybridMultilevel"/>
    <w:tmpl w:val="531491E2"/>
    <w:lvl w:ilvl="0" w:tplc="41F85A1C">
      <w:start w:val="8"/>
      <w:numFmt w:val="decimal"/>
      <w:lvlText w:val="(%1)"/>
      <w:lvlJc w:val="left"/>
      <w:pPr>
        <w:ind w:left="1249" w:hanging="360"/>
      </w:pPr>
      <w:rPr>
        <w:rFonts w:hint="default"/>
      </w:rPr>
    </w:lvl>
    <w:lvl w:ilvl="1" w:tplc="0C090019" w:tentative="1">
      <w:start w:val="1"/>
      <w:numFmt w:val="lowerLetter"/>
      <w:lvlText w:val="%2."/>
      <w:lvlJc w:val="left"/>
      <w:pPr>
        <w:ind w:left="1969" w:hanging="360"/>
      </w:pPr>
    </w:lvl>
    <w:lvl w:ilvl="2" w:tplc="0C09001B" w:tentative="1">
      <w:start w:val="1"/>
      <w:numFmt w:val="lowerRoman"/>
      <w:lvlText w:val="%3."/>
      <w:lvlJc w:val="right"/>
      <w:pPr>
        <w:ind w:left="2689" w:hanging="180"/>
      </w:pPr>
    </w:lvl>
    <w:lvl w:ilvl="3" w:tplc="0C09000F" w:tentative="1">
      <w:start w:val="1"/>
      <w:numFmt w:val="decimal"/>
      <w:lvlText w:val="%4."/>
      <w:lvlJc w:val="left"/>
      <w:pPr>
        <w:ind w:left="3409" w:hanging="360"/>
      </w:pPr>
    </w:lvl>
    <w:lvl w:ilvl="4" w:tplc="0C090019" w:tentative="1">
      <w:start w:val="1"/>
      <w:numFmt w:val="lowerLetter"/>
      <w:lvlText w:val="%5."/>
      <w:lvlJc w:val="left"/>
      <w:pPr>
        <w:ind w:left="4129" w:hanging="360"/>
      </w:pPr>
    </w:lvl>
    <w:lvl w:ilvl="5" w:tplc="0C09001B" w:tentative="1">
      <w:start w:val="1"/>
      <w:numFmt w:val="lowerRoman"/>
      <w:lvlText w:val="%6."/>
      <w:lvlJc w:val="right"/>
      <w:pPr>
        <w:ind w:left="4849" w:hanging="180"/>
      </w:pPr>
    </w:lvl>
    <w:lvl w:ilvl="6" w:tplc="0C09000F" w:tentative="1">
      <w:start w:val="1"/>
      <w:numFmt w:val="decimal"/>
      <w:lvlText w:val="%7."/>
      <w:lvlJc w:val="left"/>
      <w:pPr>
        <w:ind w:left="5569" w:hanging="360"/>
      </w:pPr>
    </w:lvl>
    <w:lvl w:ilvl="7" w:tplc="0C090019" w:tentative="1">
      <w:start w:val="1"/>
      <w:numFmt w:val="lowerLetter"/>
      <w:lvlText w:val="%8."/>
      <w:lvlJc w:val="left"/>
      <w:pPr>
        <w:ind w:left="6289" w:hanging="360"/>
      </w:pPr>
    </w:lvl>
    <w:lvl w:ilvl="8" w:tplc="0C09001B" w:tentative="1">
      <w:start w:val="1"/>
      <w:numFmt w:val="lowerRoman"/>
      <w:lvlText w:val="%9."/>
      <w:lvlJc w:val="right"/>
      <w:pPr>
        <w:ind w:left="7009" w:hanging="180"/>
      </w:pPr>
    </w:lvl>
  </w:abstractNum>
  <w:abstractNum w:abstractNumId="55" w15:restartNumberingAfterBreak="0">
    <w:nsid w:val="5EAD628B"/>
    <w:multiLevelType w:val="hybridMultilevel"/>
    <w:tmpl w:val="7F322DE4"/>
    <w:lvl w:ilvl="0" w:tplc="269A3580">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72ABF6">
      <w:start w:val="1"/>
      <w:numFmt w:val="lowerLetter"/>
      <w:lvlText w:val="(%2)"/>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CE2611E6">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4A7D8">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6CE0E">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ECD96">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0966C">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3E5740">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4B6FE">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F835D26"/>
    <w:multiLevelType w:val="hybridMultilevel"/>
    <w:tmpl w:val="12B4E582"/>
    <w:lvl w:ilvl="0" w:tplc="C554CC80">
      <w:start w:val="1"/>
      <w:numFmt w:val="lowerLetter"/>
      <w:lvlText w:val="(%1)"/>
      <w:lvlJc w:val="left"/>
      <w:pPr>
        <w:ind w:left="217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0289A90">
      <w:start w:val="1"/>
      <w:numFmt w:val="lowerRoman"/>
      <w:lvlText w:val="(%2)"/>
      <w:lvlJc w:val="left"/>
      <w:pPr>
        <w:ind w:left="3048"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47C4B960">
      <w:start w:val="1"/>
      <w:numFmt w:val="lowerRoman"/>
      <w:lvlText w:val="%3"/>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4B660">
      <w:start w:val="1"/>
      <w:numFmt w:val="decimal"/>
      <w:lvlText w:val="%4"/>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C6AAA">
      <w:start w:val="1"/>
      <w:numFmt w:val="lowerLetter"/>
      <w:lvlText w:val="%5"/>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244B8">
      <w:start w:val="1"/>
      <w:numFmt w:val="lowerRoman"/>
      <w:lvlText w:val="%6"/>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21FF0">
      <w:start w:val="1"/>
      <w:numFmt w:val="decimal"/>
      <w:lvlText w:val="%7"/>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89720">
      <w:start w:val="1"/>
      <w:numFmt w:val="lowerLetter"/>
      <w:lvlText w:val="%8"/>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8387E">
      <w:start w:val="1"/>
      <w:numFmt w:val="lowerRoman"/>
      <w:lvlText w:val="%9"/>
      <w:lvlJc w:val="left"/>
      <w:pPr>
        <w:ind w:left="7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F881F4B"/>
    <w:multiLevelType w:val="hybridMultilevel"/>
    <w:tmpl w:val="D81ADCB0"/>
    <w:lvl w:ilvl="0" w:tplc="FFFFFFFF">
      <w:start w:val="7"/>
      <w:numFmt w:val="bullet"/>
      <w:lvlText w:val=""/>
      <w:lvlJc w:val="left"/>
      <w:pPr>
        <w:ind w:left="720" w:hanging="360"/>
      </w:pPr>
      <w:rPr>
        <w:rFonts w:ascii="Symbol" w:eastAsiaTheme="minorEastAsia" w:hAnsi="Symbol" w:cstheme="minorBidi"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005737E"/>
    <w:multiLevelType w:val="hybridMultilevel"/>
    <w:tmpl w:val="EBA25180"/>
    <w:lvl w:ilvl="0" w:tplc="C9B81884">
      <w:start w:val="8"/>
      <w:numFmt w:val="decimal"/>
      <w:lvlText w:val="(%1)"/>
      <w:lvlJc w:val="left"/>
      <w:pPr>
        <w:ind w:left="1249" w:hanging="360"/>
      </w:pPr>
      <w:rPr>
        <w:rFonts w:hint="default"/>
      </w:rPr>
    </w:lvl>
    <w:lvl w:ilvl="1" w:tplc="0C090019" w:tentative="1">
      <w:start w:val="1"/>
      <w:numFmt w:val="lowerLetter"/>
      <w:lvlText w:val="%2."/>
      <w:lvlJc w:val="left"/>
      <w:pPr>
        <w:ind w:left="1969" w:hanging="360"/>
      </w:pPr>
    </w:lvl>
    <w:lvl w:ilvl="2" w:tplc="0C09001B" w:tentative="1">
      <w:start w:val="1"/>
      <w:numFmt w:val="lowerRoman"/>
      <w:lvlText w:val="%3."/>
      <w:lvlJc w:val="right"/>
      <w:pPr>
        <w:ind w:left="2689" w:hanging="180"/>
      </w:pPr>
    </w:lvl>
    <w:lvl w:ilvl="3" w:tplc="0C09000F" w:tentative="1">
      <w:start w:val="1"/>
      <w:numFmt w:val="decimal"/>
      <w:lvlText w:val="%4."/>
      <w:lvlJc w:val="left"/>
      <w:pPr>
        <w:ind w:left="3409" w:hanging="360"/>
      </w:pPr>
    </w:lvl>
    <w:lvl w:ilvl="4" w:tplc="0C090019" w:tentative="1">
      <w:start w:val="1"/>
      <w:numFmt w:val="lowerLetter"/>
      <w:lvlText w:val="%5."/>
      <w:lvlJc w:val="left"/>
      <w:pPr>
        <w:ind w:left="4129" w:hanging="360"/>
      </w:pPr>
    </w:lvl>
    <w:lvl w:ilvl="5" w:tplc="0C09001B" w:tentative="1">
      <w:start w:val="1"/>
      <w:numFmt w:val="lowerRoman"/>
      <w:lvlText w:val="%6."/>
      <w:lvlJc w:val="right"/>
      <w:pPr>
        <w:ind w:left="4849" w:hanging="180"/>
      </w:pPr>
    </w:lvl>
    <w:lvl w:ilvl="6" w:tplc="0C09000F" w:tentative="1">
      <w:start w:val="1"/>
      <w:numFmt w:val="decimal"/>
      <w:lvlText w:val="%7."/>
      <w:lvlJc w:val="left"/>
      <w:pPr>
        <w:ind w:left="5569" w:hanging="360"/>
      </w:pPr>
    </w:lvl>
    <w:lvl w:ilvl="7" w:tplc="0C090019" w:tentative="1">
      <w:start w:val="1"/>
      <w:numFmt w:val="lowerLetter"/>
      <w:lvlText w:val="%8."/>
      <w:lvlJc w:val="left"/>
      <w:pPr>
        <w:ind w:left="6289" w:hanging="360"/>
      </w:pPr>
    </w:lvl>
    <w:lvl w:ilvl="8" w:tplc="0C09001B" w:tentative="1">
      <w:start w:val="1"/>
      <w:numFmt w:val="lowerRoman"/>
      <w:lvlText w:val="%9."/>
      <w:lvlJc w:val="right"/>
      <w:pPr>
        <w:ind w:left="7009" w:hanging="180"/>
      </w:pPr>
    </w:lvl>
  </w:abstractNum>
  <w:abstractNum w:abstractNumId="59" w15:restartNumberingAfterBreak="0">
    <w:nsid w:val="62436203"/>
    <w:multiLevelType w:val="hybridMultilevel"/>
    <w:tmpl w:val="E96C774C"/>
    <w:lvl w:ilvl="0" w:tplc="3F143634">
      <w:start w:val="1"/>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659A1C57"/>
    <w:multiLevelType w:val="hybridMultilevel"/>
    <w:tmpl w:val="0DE09CA4"/>
    <w:lvl w:ilvl="0" w:tplc="204C622C">
      <w:start w:val="1"/>
      <w:numFmt w:val="decimal"/>
      <w:lvlText w:val="(%1)"/>
      <w:lvlJc w:val="left"/>
      <w:pPr>
        <w:ind w:left="1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77C566C"/>
    <w:multiLevelType w:val="hybridMultilevel"/>
    <w:tmpl w:val="C6DA2B98"/>
    <w:lvl w:ilvl="0" w:tplc="81483AF6">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D006B76">
      <w:start w:val="2"/>
      <w:numFmt w:val="lowerLetter"/>
      <w:lvlText w:val="(%2)"/>
      <w:lvlJc w:val="left"/>
      <w:pPr>
        <w:ind w:left="181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ED243E8">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055F0">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AAA4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C28CA">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EC000">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E99C0">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EDC78">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63" w15:restartNumberingAfterBreak="0">
    <w:nsid w:val="69C16CD0"/>
    <w:multiLevelType w:val="hybridMultilevel"/>
    <w:tmpl w:val="5DC4B728"/>
    <w:lvl w:ilvl="0" w:tplc="FA8A0766">
      <w:start w:val="1"/>
      <w:numFmt w:val="lowerLetter"/>
      <w:lvlText w:val="(%1)"/>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AD66352">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07AD0">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2F0BE">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E847C">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C755A">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64362">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AA3A2">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A8B86">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CEE347D"/>
    <w:multiLevelType w:val="hybridMultilevel"/>
    <w:tmpl w:val="047A348A"/>
    <w:lvl w:ilvl="0" w:tplc="D9F6646A">
      <w:start w:val="1"/>
      <w:numFmt w:val="decimal"/>
      <w:lvlText w:val="(%1)"/>
      <w:lvlJc w:val="left"/>
      <w:pPr>
        <w:ind w:left="124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32279C0">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ECBCC">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85836">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7EDB5C">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782BC6">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C5516">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C0AA50">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62010">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21A1E57"/>
    <w:multiLevelType w:val="hybridMultilevel"/>
    <w:tmpl w:val="41E2D3C4"/>
    <w:lvl w:ilvl="0" w:tplc="4A46BECA">
      <w:start w:val="1"/>
      <w:numFmt w:val="lowerRoman"/>
      <w:lvlText w:val="(%1)"/>
      <w:lvlJc w:val="left"/>
      <w:pPr>
        <w:ind w:left="25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3260" w:hanging="360"/>
      </w:pPr>
    </w:lvl>
    <w:lvl w:ilvl="2" w:tplc="0C09001B" w:tentative="1">
      <w:start w:val="1"/>
      <w:numFmt w:val="lowerRoman"/>
      <w:lvlText w:val="%3."/>
      <w:lvlJc w:val="right"/>
      <w:pPr>
        <w:ind w:left="3980" w:hanging="180"/>
      </w:pPr>
    </w:lvl>
    <w:lvl w:ilvl="3" w:tplc="0C09000F" w:tentative="1">
      <w:start w:val="1"/>
      <w:numFmt w:val="decimal"/>
      <w:lvlText w:val="%4."/>
      <w:lvlJc w:val="left"/>
      <w:pPr>
        <w:ind w:left="4700" w:hanging="360"/>
      </w:pPr>
    </w:lvl>
    <w:lvl w:ilvl="4" w:tplc="0C090019" w:tentative="1">
      <w:start w:val="1"/>
      <w:numFmt w:val="lowerLetter"/>
      <w:lvlText w:val="%5."/>
      <w:lvlJc w:val="left"/>
      <w:pPr>
        <w:ind w:left="5420" w:hanging="360"/>
      </w:pPr>
    </w:lvl>
    <w:lvl w:ilvl="5" w:tplc="0C09001B" w:tentative="1">
      <w:start w:val="1"/>
      <w:numFmt w:val="lowerRoman"/>
      <w:lvlText w:val="%6."/>
      <w:lvlJc w:val="right"/>
      <w:pPr>
        <w:ind w:left="6140" w:hanging="180"/>
      </w:pPr>
    </w:lvl>
    <w:lvl w:ilvl="6" w:tplc="0C09000F" w:tentative="1">
      <w:start w:val="1"/>
      <w:numFmt w:val="decimal"/>
      <w:lvlText w:val="%7."/>
      <w:lvlJc w:val="left"/>
      <w:pPr>
        <w:ind w:left="6860" w:hanging="360"/>
      </w:pPr>
    </w:lvl>
    <w:lvl w:ilvl="7" w:tplc="0C090019" w:tentative="1">
      <w:start w:val="1"/>
      <w:numFmt w:val="lowerLetter"/>
      <w:lvlText w:val="%8."/>
      <w:lvlJc w:val="left"/>
      <w:pPr>
        <w:ind w:left="7580" w:hanging="360"/>
      </w:pPr>
    </w:lvl>
    <w:lvl w:ilvl="8" w:tplc="0C09001B" w:tentative="1">
      <w:start w:val="1"/>
      <w:numFmt w:val="lowerRoman"/>
      <w:lvlText w:val="%9."/>
      <w:lvlJc w:val="right"/>
      <w:pPr>
        <w:ind w:left="8300" w:hanging="180"/>
      </w:pPr>
    </w:lvl>
  </w:abstractNum>
  <w:abstractNum w:abstractNumId="66" w15:restartNumberingAfterBreak="0">
    <w:nsid w:val="726671FC"/>
    <w:multiLevelType w:val="hybridMultilevel"/>
    <w:tmpl w:val="23387F88"/>
    <w:lvl w:ilvl="0" w:tplc="82F219CA">
      <w:start w:val="1"/>
      <w:numFmt w:val="decimal"/>
      <w:lvlText w:val="(%1)"/>
      <w:lvlJc w:val="left"/>
      <w:pPr>
        <w:ind w:left="108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76141C91"/>
    <w:multiLevelType w:val="hybridMultilevel"/>
    <w:tmpl w:val="59CAFDD6"/>
    <w:lvl w:ilvl="0" w:tplc="96B670A0">
      <w:start w:val="1"/>
      <w:numFmt w:val="lowerLetter"/>
      <w:lvlText w:val="(%1)"/>
      <w:lvlJc w:val="left"/>
      <w:pPr>
        <w:ind w:left="181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531" w:hanging="360"/>
      </w:pPr>
    </w:lvl>
    <w:lvl w:ilvl="2" w:tplc="0C09001B" w:tentative="1">
      <w:start w:val="1"/>
      <w:numFmt w:val="lowerRoman"/>
      <w:lvlText w:val="%3."/>
      <w:lvlJc w:val="right"/>
      <w:pPr>
        <w:ind w:left="3251" w:hanging="180"/>
      </w:pPr>
    </w:lvl>
    <w:lvl w:ilvl="3" w:tplc="0C09000F" w:tentative="1">
      <w:start w:val="1"/>
      <w:numFmt w:val="decimal"/>
      <w:lvlText w:val="%4."/>
      <w:lvlJc w:val="left"/>
      <w:pPr>
        <w:ind w:left="3971" w:hanging="360"/>
      </w:pPr>
    </w:lvl>
    <w:lvl w:ilvl="4" w:tplc="0C090019" w:tentative="1">
      <w:start w:val="1"/>
      <w:numFmt w:val="lowerLetter"/>
      <w:lvlText w:val="%5."/>
      <w:lvlJc w:val="left"/>
      <w:pPr>
        <w:ind w:left="4691" w:hanging="360"/>
      </w:pPr>
    </w:lvl>
    <w:lvl w:ilvl="5" w:tplc="0C09001B" w:tentative="1">
      <w:start w:val="1"/>
      <w:numFmt w:val="lowerRoman"/>
      <w:lvlText w:val="%6."/>
      <w:lvlJc w:val="right"/>
      <w:pPr>
        <w:ind w:left="5411" w:hanging="180"/>
      </w:pPr>
    </w:lvl>
    <w:lvl w:ilvl="6" w:tplc="0C09000F" w:tentative="1">
      <w:start w:val="1"/>
      <w:numFmt w:val="decimal"/>
      <w:lvlText w:val="%7."/>
      <w:lvlJc w:val="left"/>
      <w:pPr>
        <w:ind w:left="6131" w:hanging="360"/>
      </w:pPr>
    </w:lvl>
    <w:lvl w:ilvl="7" w:tplc="0C090019" w:tentative="1">
      <w:start w:val="1"/>
      <w:numFmt w:val="lowerLetter"/>
      <w:lvlText w:val="%8."/>
      <w:lvlJc w:val="left"/>
      <w:pPr>
        <w:ind w:left="6851" w:hanging="360"/>
      </w:pPr>
    </w:lvl>
    <w:lvl w:ilvl="8" w:tplc="0C09001B" w:tentative="1">
      <w:start w:val="1"/>
      <w:numFmt w:val="lowerRoman"/>
      <w:lvlText w:val="%9."/>
      <w:lvlJc w:val="right"/>
      <w:pPr>
        <w:ind w:left="7571" w:hanging="180"/>
      </w:pPr>
    </w:lvl>
  </w:abstractNum>
  <w:abstractNum w:abstractNumId="68" w15:restartNumberingAfterBreak="0">
    <w:nsid w:val="76EE6753"/>
    <w:multiLevelType w:val="hybridMultilevel"/>
    <w:tmpl w:val="04CC55E2"/>
    <w:lvl w:ilvl="0" w:tplc="7B46CDE8">
      <w:start w:val="1"/>
      <w:numFmt w:val="lowerLetter"/>
      <w:lvlText w:val="(%1)"/>
      <w:lvlJc w:val="left"/>
      <w:pPr>
        <w:ind w:left="1979"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BB04100">
      <w:start w:val="1"/>
      <w:numFmt w:val="lowerRoman"/>
      <w:lvlText w:val="(%2)"/>
      <w:lvlJc w:val="left"/>
      <w:pPr>
        <w:ind w:left="2699"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69" w15:restartNumberingAfterBreak="0">
    <w:nsid w:val="79CA0758"/>
    <w:multiLevelType w:val="hybridMultilevel"/>
    <w:tmpl w:val="5338DDE4"/>
    <w:lvl w:ilvl="0" w:tplc="12709EE0">
      <w:start w:val="1"/>
      <w:numFmt w:val="lowerLetter"/>
      <w:lvlText w:val="(%1)"/>
      <w:lvlJc w:val="left"/>
      <w:pPr>
        <w:ind w:left="18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B4C612C">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40F94">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E6C8C">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22612">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A9B86">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070E8">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C233F2">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C2C5A">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ABF4F26"/>
    <w:multiLevelType w:val="hybridMultilevel"/>
    <w:tmpl w:val="F690813E"/>
    <w:lvl w:ilvl="0" w:tplc="A460630C">
      <w:start w:val="1"/>
      <w:numFmt w:val="lowerLetter"/>
      <w:lvlText w:val="(%1)"/>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220E7C0">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E00AC">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862E0">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86C3A">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07B66">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4734E">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40CF4">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2D0EE">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DB13543"/>
    <w:multiLevelType w:val="hybridMultilevel"/>
    <w:tmpl w:val="75082BD6"/>
    <w:lvl w:ilvl="0" w:tplc="31D8BCCA">
      <w:start w:val="1"/>
      <w:numFmt w:val="decimal"/>
      <w:lvlText w:val="(%1)"/>
      <w:lvlJc w:val="left"/>
      <w:pPr>
        <w:ind w:left="108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15:restartNumberingAfterBreak="0">
    <w:nsid w:val="7E8F7A6B"/>
    <w:multiLevelType w:val="hybridMultilevel"/>
    <w:tmpl w:val="2A36B044"/>
    <w:lvl w:ilvl="0" w:tplc="B5782B38">
      <w:start w:val="1"/>
      <w:numFmt w:val="lowerLetter"/>
      <w:lvlText w:val="(%1)"/>
      <w:lvlJc w:val="left"/>
      <w:pPr>
        <w:ind w:left="17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F984FD4">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83C54">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C03CE">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A2952">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C653AE">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044B2">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62DA2">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037C">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502826">
    <w:abstractNumId w:val="2"/>
  </w:num>
  <w:num w:numId="2" w16cid:durableId="21463867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089415">
    <w:abstractNumId w:val="57"/>
  </w:num>
  <w:num w:numId="4" w16cid:durableId="246891458">
    <w:abstractNumId w:val="17"/>
  </w:num>
  <w:num w:numId="5" w16cid:durableId="1048144502">
    <w:abstractNumId w:val="23"/>
  </w:num>
  <w:num w:numId="6" w16cid:durableId="900402987">
    <w:abstractNumId w:val="22"/>
  </w:num>
  <w:num w:numId="7" w16cid:durableId="1084379616">
    <w:abstractNumId w:val="70"/>
  </w:num>
  <w:num w:numId="8" w16cid:durableId="2029523522">
    <w:abstractNumId w:val="43"/>
  </w:num>
  <w:num w:numId="9" w16cid:durableId="840661104">
    <w:abstractNumId w:val="56"/>
  </w:num>
  <w:num w:numId="10" w16cid:durableId="1064567545">
    <w:abstractNumId w:val="61"/>
  </w:num>
  <w:num w:numId="11" w16cid:durableId="738329286">
    <w:abstractNumId w:val="50"/>
  </w:num>
  <w:num w:numId="12" w16cid:durableId="362095481">
    <w:abstractNumId w:val="24"/>
  </w:num>
  <w:num w:numId="13" w16cid:durableId="182089220">
    <w:abstractNumId w:val="6"/>
  </w:num>
  <w:num w:numId="14" w16cid:durableId="1274245181">
    <w:abstractNumId w:val="32"/>
  </w:num>
  <w:num w:numId="15" w16cid:durableId="378019365">
    <w:abstractNumId w:val="38"/>
  </w:num>
  <w:num w:numId="16" w16cid:durableId="701175306">
    <w:abstractNumId w:val="52"/>
  </w:num>
  <w:num w:numId="17" w16cid:durableId="1151869269">
    <w:abstractNumId w:val="63"/>
  </w:num>
  <w:num w:numId="18" w16cid:durableId="1606765381">
    <w:abstractNumId w:val="16"/>
  </w:num>
  <w:num w:numId="19" w16cid:durableId="1349678387">
    <w:abstractNumId w:val="46"/>
  </w:num>
  <w:num w:numId="20" w16cid:durableId="1812402800">
    <w:abstractNumId w:val="36"/>
  </w:num>
  <w:num w:numId="21" w16cid:durableId="2088770329">
    <w:abstractNumId w:val="26"/>
  </w:num>
  <w:num w:numId="22" w16cid:durableId="978076741">
    <w:abstractNumId w:val="30"/>
  </w:num>
  <w:num w:numId="23" w16cid:durableId="1455099145">
    <w:abstractNumId w:val="42"/>
  </w:num>
  <w:num w:numId="24" w16cid:durableId="940065437">
    <w:abstractNumId w:val="35"/>
  </w:num>
  <w:num w:numId="25" w16cid:durableId="1207641158">
    <w:abstractNumId w:val="28"/>
  </w:num>
  <w:num w:numId="26" w16cid:durableId="982395343">
    <w:abstractNumId w:val="7"/>
  </w:num>
  <w:num w:numId="27" w16cid:durableId="383791607">
    <w:abstractNumId w:val="51"/>
  </w:num>
  <w:num w:numId="28" w16cid:durableId="518468299">
    <w:abstractNumId w:val="53"/>
  </w:num>
  <w:num w:numId="29" w16cid:durableId="1539512261">
    <w:abstractNumId w:val="64"/>
  </w:num>
  <w:num w:numId="30" w16cid:durableId="94636229">
    <w:abstractNumId w:val="34"/>
  </w:num>
  <w:num w:numId="31" w16cid:durableId="336081996">
    <w:abstractNumId w:val="25"/>
  </w:num>
  <w:num w:numId="32" w16cid:durableId="1950962887">
    <w:abstractNumId w:val="8"/>
  </w:num>
  <w:num w:numId="33" w16cid:durableId="235476850">
    <w:abstractNumId w:val="72"/>
  </w:num>
  <w:num w:numId="34" w16cid:durableId="569926640">
    <w:abstractNumId w:val="15"/>
  </w:num>
  <w:num w:numId="35" w16cid:durableId="1045254644">
    <w:abstractNumId w:val="20"/>
  </w:num>
  <w:num w:numId="36" w16cid:durableId="1341542676">
    <w:abstractNumId w:val="39"/>
  </w:num>
  <w:num w:numId="37" w16cid:durableId="805322321">
    <w:abstractNumId w:val="29"/>
  </w:num>
  <w:num w:numId="38" w16cid:durableId="1834222003">
    <w:abstractNumId w:val="69"/>
  </w:num>
  <w:num w:numId="39" w16cid:durableId="1531994862">
    <w:abstractNumId w:val="55"/>
  </w:num>
  <w:num w:numId="40" w16cid:durableId="217594056">
    <w:abstractNumId w:val="11"/>
  </w:num>
  <w:num w:numId="41" w16cid:durableId="313920555">
    <w:abstractNumId w:val="13"/>
  </w:num>
  <w:num w:numId="42" w16cid:durableId="52588383">
    <w:abstractNumId w:val="19"/>
  </w:num>
  <w:num w:numId="43" w16cid:durableId="1635788303">
    <w:abstractNumId w:val="37"/>
  </w:num>
  <w:num w:numId="44" w16cid:durableId="1330905309">
    <w:abstractNumId w:val="48"/>
  </w:num>
  <w:num w:numId="45" w16cid:durableId="1148865871">
    <w:abstractNumId w:val="10"/>
  </w:num>
  <w:num w:numId="46" w16cid:durableId="721829914">
    <w:abstractNumId w:val="68"/>
  </w:num>
  <w:num w:numId="47" w16cid:durableId="477961159">
    <w:abstractNumId w:val="41"/>
  </w:num>
  <w:num w:numId="48" w16cid:durableId="2055428294">
    <w:abstractNumId w:val="67"/>
  </w:num>
  <w:num w:numId="49" w16cid:durableId="64232266">
    <w:abstractNumId w:val="27"/>
  </w:num>
  <w:num w:numId="50" w16cid:durableId="841046548">
    <w:abstractNumId w:val="1"/>
  </w:num>
  <w:num w:numId="51" w16cid:durableId="176627449">
    <w:abstractNumId w:val="59"/>
  </w:num>
  <w:num w:numId="52" w16cid:durableId="561676098">
    <w:abstractNumId w:val="45"/>
  </w:num>
  <w:num w:numId="53" w16cid:durableId="184560978">
    <w:abstractNumId w:val="49"/>
  </w:num>
  <w:num w:numId="54" w16cid:durableId="1376004728">
    <w:abstractNumId w:val="71"/>
  </w:num>
  <w:num w:numId="55" w16cid:durableId="1776169873">
    <w:abstractNumId w:val="0"/>
  </w:num>
  <w:num w:numId="56" w16cid:durableId="1889755032">
    <w:abstractNumId w:val="3"/>
  </w:num>
  <w:num w:numId="57" w16cid:durableId="1157919478">
    <w:abstractNumId w:val="21"/>
  </w:num>
  <w:num w:numId="58" w16cid:durableId="1576277215">
    <w:abstractNumId w:val="60"/>
  </w:num>
  <w:num w:numId="59" w16cid:durableId="1741513974">
    <w:abstractNumId w:val="12"/>
  </w:num>
  <w:num w:numId="60" w16cid:durableId="1642880673">
    <w:abstractNumId w:val="9"/>
  </w:num>
  <w:num w:numId="61" w16cid:durableId="1166672351">
    <w:abstractNumId w:val="66"/>
  </w:num>
  <w:num w:numId="62" w16cid:durableId="1181973560">
    <w:abstractNumId w:val="40"/>
  </w:num>
  <w:num w:numId="63" w16cid:durableId="1357852830">
    <w:abstractNumId w:val="47"/>
  </w:num>
  <w:num w:numId="64" w16cid:durableId="1114598680">
    <w:abstractNumId w:val="31"/>
  </w:num>
  <w:num w:numId="65" w16cid:durableId="189269962">
    <w:abstractNumId w:val="4"/>
  </w:num>
  <w:num w:numId="66" w16cid:durableId="1654406688">
    <w:abstractNumId w:val="5"/>
  </w:num>
  <w:num w:numId="67" w16cid:durableId="1771125526">
    <w:abstractNumId w:val="65"/>
  </w:num>
  <w:num w:numId="68" w16cid:durableId="1011571570">
    <w:abstractNumId w:val="44"/>
  </w:num>
  <w:num w:numId="69" w16cid:durableId="1652320387">
    <w:abstractNumId w:val="14"/>
  </w:num>
  <w:num w:numId="70" w16cid:durableId="55444553">
    <w:abstractNumId w:val="18"/>
  </w:num>
  <w:num w:numId="71" w16cid:durableId="1513564620">
    <w:abstractNumId w:val="33"/>
  </w:num>
  <w:num w:numId="72" w16cid:durableId="137067810">
    <w:abstractNumId w:val="58"/>
  </w:num>
  <w:num w:numId="73" w16cid:durableId="1981418410">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29"/>
    <w:rsid w:val="0000065F"/>
    <w:rsid w:val="00001265"/>
    <w:rsid w:val="00001B80"/>
    <w:rsid w:val="00002F05"/>
    <w:rsid w:val="00003435"/>
    <w:rsid w:val="0000412C"/>
    <w:rsid w:val="00004360"/>
    <w:rsid w:val="0000528D"/>
    <w:rsid w:val="00005403"/>
    <w:rsid w:val="00005EFB"/>
    <w:rsid w:val="00006659"/>
    <w:rsid w:val="00006793"/>
    <w:rsid w:val="00006A09"/>
    <w:rsid w:val="00007CAC"/>
    <w:rsid w:val="000107EE"/>
    <w:rsid w:val="00012190"/>
    <w:rsid w:val="00012278"/>
    <w:rsid w:val="000129EA"/>
    <w:rsid w:val="0001333E"/>
    <w:rsid w:val="000134E2"/>
    <w:rsid w:val="0001352C"/>
    <w:rsid w:val="00014490"/>
    <w:rsid w:val="00014731"/>
    <w:rsid w:val="00016D9F"/>
    <w:rsid w:val="00017C60"/>
    <w:rsid w:val="00020D86"/>
    <w:rsid w:val="00021461"/>
    <w:rsid w:val="000215DA"/>
    <w:rsid w:val="0002351E"/>
    <w:rsid w:val="0002466B"/>
    <w:rsid w:val="000247A5"/>
    <w:rsid w:val="000252E0"/>
    <w:rsid w:val="000269DC"/>
    <w:rsid w:val="00030C95"/>
    <w:rsid w:val="00030E3B"/>
    <w:rsid w:val="00031AC5"/>
    <w:rsid w:val="00031D36"/>
    <w:rsid w:val="000321C2"/>
    <w:rsid w:val="00032517"/>
    <w:rsid w:val="00033A2B"/>
    <w:rsid w:val="000340DB"/>
    <w:rsid w:val="0003495A"/>
    <w:rsid w:val="000352B5"/>
    <w:rsid w:val="00036808"/>
    <w:rsid w:val="00037C07"/>
    <w:rsid w:val="0004008E"/>
    <w:rsid w:val="000402E4"/>
    <w:rsid w:val="00040967"/>
    <w:rsid w:val="00040B31"/>
    <w:rsid w:val="00041235"/>
    <w:rsid w:val="00041257"/>
    <w:rsid w:val="00041744"/>
    <w:rsid w:val="00041E58"/>
    <w:rsid w:val="000430A4"/>
    <w:rsid w:val="0004316D"/>
    <w:rsid w:val="00043C80"/>
    <w:rsid w:val="00044A7F"/>
    <w:rsid w:val="00045B46"/>
    <w:rsid w:val="00046D4B"/>
    <w:rsid w:val="00046DEB"/>
    <w:rsid w:val="000470E2"/>
    <w:rsid w:val="00047983"/>
    <w:rsid w:val="00050FA0"/>
    <w:rsid w:val="00050FDF"/>
    <w:rsid w:val="00051A58"/>
    <w:rsid w:val="00052254"/>
    <w:rsid w:val="00054120"/>
    <w:rsid w:val="000547C0"/>
    <w:rsid w:val="000548B3"/>
    <w:rsid w:val="0005593E"/>
    <w:rsid w:val="00056655"/>
    <w:rsid w:val="00056960"/>
    <w:rsid w:val="00057023"/>
    <w:rsid w:val="00057393"/>
    <w:rsid w:val="000575F1"/>
    <w:rsid w:val="00057D21"/>
    <w:rsid w:val="00061310"/>
    <w:rsid w:val="000617AF"/>
    <w:rsid w:val="00061E61"/>
    <w:rsid w:val="00062C23"/>
    <w:rsid w:val="00063EDF"/>
    <w:rsid w:val="00064FCD"/>
    <w:rsid w:val="00065584"/>
    <w:rsid w:val="000662EC"/>
    <w:rsid w:val="0006639A"/>
    <w:rsid w:val="00066EF4"/>
    <w:rsid w:val="000679D8"/>
    <w:rsid w:val="000700CB"/>
    <w:rsid w:val="0007173C"/>
    <w:rsid w:val="0007188C"/>
    <w:rsid w:val="000728D5"/>
    <w:rsid w:val="00072CBF"/>
    <w:rsid w:val="00072CE6"/>
    <w:rsid w:val="00072F69"/>
    <w:rsid w:val="000731D3"/>
    <w:rsid w:val="000734A7"/>
    <w:rsid w:val="0007542A"/>
    <w:rsid w:val="00075AB0"/>
    <w:rsid w:val="000765E9"/>
    <w:rsid w:val="0007682B"/>
    <w:rsid w:val="0008060A"/>
    <w:rsid w:val="00084214"/>
    <w:rsid w:val="00084B08"/>
    <w:rsid w:val="000857E9"/>
    <w:rsid w:val="00085B63"/>
    <w:rsid w:val="00085DA6"/>
    <w:rsid w:val="00085FB0"/>
    <w:rsid w:val="000861E5"/>
    <w:rsid w:val="000863D0"/>
    <w:rsid w:val="0008693A"/>
    <w:rsid w:val="0009155E"/>
    <w:rsid w:val="00091A66"/>
    <w:rsid w:val="00092021"/>
    <w:rsid w:val="000931C5"/>
    <w:rsid w:val="00094E58"/>
    <w:rsid w:val="00095FBB"/>
    <w:rsid w:val="00096517"/>
    <w:rsid w:val="0009746C"/>
    <w:rsid w:val="00097699"/>
    <w:rsid w:val="000A0A42"/>
    <w:rsid w:val="000A1FAF"/>
    <w:rsid w:val="000A201B"/>
    <w:rsid w:val="000A4454"/>
    <w:rsid w:val="000A4F35"/>
    <w:rsid w:val="000A5B16"/>
    <w:rsid w:val="000A5B7F"/>
    <w:rsid w:val="000A6A4F"/>
    <w:rsid w:val="000A6FEF"/>
    <w:rsid w:val="000A7009"/>
    <w:rsid w:val="000A7C94"/>
    <w:rsid w:val="000B104E"/>
    <w:rsid w:val="000B1A4D"/>
    <w:rsid w:val="000B20FE"/>
    <w:rsid w:val="000B220C"/>
    <w:rsid w:val="000B33A8"/>
    <w:rsid w:val="000B3AE6"/>
    <w:rsid w:val="000B50ED"/>
    <w:rsid w:val="000B54E3"/>
    <w:rsid w:val="000B5F13"/>
    <w:rsid w:val="000B6C72"/>
    <w:rsid w:val="000B74EB"/>
    <w:rsid w:val="000B794F"/>
    <w:rsid w:val="000B79EC"/>
    <w:rsid w:val="000C007E"/>
    <w:rsid w:val="000C0114"/>
    <w:rsid w:val="000C0176"/>
    <w:rsid w:val="000C020E"/>
    <w:rsid w:val="000C10B0"/>
    <w:rsid w:val="000C14F1"/>
    <w:rsid w:val="000C25AC"/>
    <w:rsid w:val="000C6850"/>
    <w:rsid w:val="000C7396"/>
    <w:rsid w:val="000C78C8"/>
    <w:rsid w:val="000C7C84"/>
    <w:rsid w:val="000D269A"/>
    <w:rsid w:val="000D2F45"/>
    <w:rsid w:val="000D3E66"/>
    <w:rsid w:val="000D40BC"/>
    <w:rsid w:val="000D40D9"/>
    <w:rsid w:val="000D49A5"/>
    <w:rsid w:val="000D5183"/>
    <w:rsid w:val="000D55AD"/>
    <w:rsid w:val="000D6B92"/>
    <w:rsid w:val="000D6EB4"/>
    <w:rsid w:val="000D7DD8"/>
    <w:rsid w:val="000E0BB4"/>
    <w:rsid w:val="000E1039"/>
    <w:rsid w:val="000E191F"/>
    <w:rsid w:val="000E25E2"/>
    <w:rsid w:val="000E26DC"/>
    <w:rsid w:val="000E310E"/>
    <w:rsid w:val="000E4155"/>
    <w:rsid w:val="000E5F45"/>
    <w:rsid w:val="000E6749"/>
    <w:rsid w:val="000E6774"/>
    <w:rsid w:val="000E6B9D"/>
    <w:rsid w:val="000E6F4A"/>
    <w:rsid w:val="000E7163"/>
    <w:rsid w:val="000E7E4C"/>
    <w:rsid w:val="000F0524"/>
    <w:rsid w:val="000F0BC1"/>
    <w:rsid w:val="000F1404"/>
    <w:rsid w:val="000F3607"/>
    <w:rsid w:val="000F3EA5"/>
    <w:rsid w:val="000F4098"/>
    <w:rsid w:val="00100439"/>
    <w:rsid w:val="001004FB"/>
    <w:rsid w:val="00102017"/>
    <w:rsid w:val="0010275E"/>
    <w:rsid w:val="00102D4F"/>
    <w:rsid w:val="00102F00"/>
    <w:rsid w:val="001045F7"/>
    <w:rsid w:val="00105217"/>
    <w:rsid w:val="0010529B"/>
    <w:rsid w:val="00105CFE"/>
    <w:rsid w:val="00105D9E"/>
    <w:rsid w:val="001066BD"/>
    <w:rsid w:val="001074F8"/>
    <w:rsid w:val="001077B9"/>
    <w:rsid w:val="00110DB1"/>
    <w:rsid w:val="00110E4E"/>
    <w:rsid w:val="00111A13"/>
    <w:rsid w:val="001125D1"/>
    <w:rsid w:val="00112BC1"/>
    <w:rsid w:val="00113AFC"/>
    <w:rsid w:val="00113F76"/>
    <w:rsid w:val="001140C8"/>
    <w:rsid w:val="00115E92"/>
    <w:rsid w:val="001165E0"/>
    <w:rsid w:val="00117072"/>
    <w:rsid w:val="00117D5C"/>
    <w:rsid w:val="00121E6F"/>
    <w:rsid w:val="0012224A"/>
    <w:rsid w:val="00122B5E"/>
    <w:rsid w:val="00123611"/>
    <w:rsid w:val="00124402"/>
    <w:rsid w:val="00124A35"/>
    <w:rsid w:val="00124EED"/>
    <w:rsid w:val="001252AE"/>
    <w:rsid w:val="00127188"/>
    <w:rsid w:val="0012747F"/>
    <w:rsid w:val="001304EE"/>
    <w:rsid w:val="00131939"/>
    <w:rsid w:val="00131DCE"/>
    <w:rsid w:val="001339A3"/>
    <w:rsid w:val="0013579F"/>
    <w:rsid w:val="0013658C"/>
    <w:rsid w:val="00136D02"/>
    <w:rsid w:val="001373C6"/>
    <w:rsid w:val="00137F49"/>
    <w:rsid w:val="00137F74"/>
    <w:rsid w:val="001412F3"/>
    <w:rsid w:val="001416F7"/>
    <w:rsid w:val="001418A5"/>
    <w:rsid w:val="00142989"/>
    <w:rsid w:val="00143256"/>
    <w:rsid w:val="001441AC"/>
    <w:rsid w:val="0014430B"/>
    <w:rsid w:val="001456C7"/>
    <w:rsid w:val="0014648C"/>
    <w:rsid w:val="00146B7C"/>
    <w:rsid w:val="00147815"/>
    <w:rsid w:val="00150139"/>
    <w:rsid w:val="00151CAA"/>
    <w:rsid w:val="00151FC9"/>
    <w:rsid w:val="00153246"/>
    <w:rsid w:val="00154EAB"/>
    <w:rsid w:val="0015564E"/>
    <w:rsid w:val="001556A4"/>
    <w:rsid w:val="00155A38"/>
    <w:rsid w:val="0015643F"/>
    <w:rsid w:val="001569F8"/>
    <w:rsid w:val="00156FA1"/>
    <w:rsid w:val="001607E7"/>
    <w:rsid w:val="00161638"/>
    <w:rsid w:val="00161876"/>
    <w:rsid w:val="00161E58"/>
    <w:rsid w:val="00162306"/>
    <w:rsid w:val="001624FB"/>
    <w:rsid w:val="00162E29"/>
    <w:rsid w:val="00163F1B"/>
    <w:rsid w:val="00164755"/>
    <w:rsid w:val="00166D41"/>
    <w:rsid w:val="0016721C"/>
    <w:rsid w:val="00167E90"/>
    <w:rsid w:val="0017057C"/>
    <w:rsid w:val="00171263"/>
    <w:rsid w:val="00171832"/>
    <w:rsid w:val="00171AFA"/>
    <w:rsid w:val="00171FF4"/>
    <w:rsid w:val="00172D56"/>
    <w:rsid w:val="0017426A"/>
    <w:rsid w:val="00174A46"/>
    <w:rsid w:val="00175958"/>
    <w:rsid w:val="00176EBA"/>
    <w:rsid w:val="001771A9"/>
    <w:rsid w:val="00177BB2"/>
    <w:rsid w:val="0018005F"/>
    <w:rsid w:val="001825CB"/>
    <w:rsid w:val="00182703"/>
    <w:rsid w:val="00182865"/>
    <w:rsid w:val="00182A18"/>
    <w:rsid w:val="00182E06"/>
    <w:rsid w:val="00182E60"/>
    <w:rsid w:val="00183584"/>
    <w:rsid w:val="00183A63"/>
    <w:rsid w:val="0018403D"/>
    <w:rsid w:val="00185C5F"/>
    <w:rsid w:val="001865C5"/>
    <w:rsid w:val="001908E3"/>
    <w:rsid w:val="00190ED8"/>
    <w:rsid w:val="001916E4"/>
    <w:rsid w:val="00191C97"/>
    <w:rsid w:val="0019203A"/>
    <w:rsid w:val="0019204E"/>
    <w:rsid w:val="00192238"/>
    <w:rsid w:val="0019223B"/>
    <w:rsid w:val="001928BE"/>
    <w:rsid w:val="00193046"/>
    <w:rsid w:val="001939D9"/>
    <w:rsid w:val="00193BD2"/>
    <w:rsid w:val="0019415F"/>
    <w:rsid w:val="00195461"/>
    <w:rsid w:val="00195734"/>
    <w:rsid w:val="00195C99"/>
    <w:rsid w:val="00195E9F"/>
    <w:rsid w:val="00197D4B"/>
    <w:rsid w:val="00197DB8"/>
    <w:rsid w:val="001A11C6"/>
    <w:rsid w:val="001A12BD"/>
    <w:rsid w:val="001A2119"/>
    <w:rsid w:val="001A2633"/>
    <w:rsid w:val="001A3CAA"/>
    <w:rsid w:val="001A5107"/>
    <w:rsid w:val="001A515F"/>
    <w:rsid w:val="001A52CA"/>
    <w:rsid w:val="001A5BF4"/>
    <w:rsid w:val="001A70F9"/>
    <w:rsid w:val="001B050A"/>
    <w:rsid w:val="001B0A1F"/>
    <w:rsid w:val="001B0CB1"/>
    <w:rsid w:val="001B19B5"/>
    <w:rsid w:val="001B1A27"/>
    <w:rsid w:val="001B1B58"/>
    <w:rsid w:val="001B1CD4"/>
    <w:rsid w:val="001B1EF0"/>
    <w:rsid w:val="001B2027"/>
    <w:rsid w:val="001B38A0"/>
    <w:rsid w:val="001B464A"/>
    <w:rsid w:val="001B4ABA"/>
    <w:rsid w:val="001B4DF5"/>
    <w:rsid w:val="001B5470"/>
    <w:rsid w:val="001B57C6"/>
    <w:rsid w:val="001B71F3"/>
    <w:rsid w:val="001C01FD"/>
    <w:rsid w:val="001C0269"/>
    <w:rsid w:val="001C06C3"/>
    <w:rsid w:val="001C0A42"/>
    <w:rsid w:val="001C127F"/>
    <w:rsid w:val="001C1F12"/>
    <w:rsid w:val="001C2044"/>
    <w:rsid w:val="001C3290"/>
    <w:rsid w:val="001C3359"/>
    <w:rsid w:val="001C3787"/>
    <w:rsid w:val="001C3E71"/>
    <w:rsid w:val="001C499C"/>
    <w:rsid w:val="001C5107"/>
    <w:rsid w:val="001C54D3"/>
    <w:rsid w:val="001C6011"/>
    <w:rsid w:val="001C6015"/>
    <w:rsid w:val="001C6519"/>
    <w:rsid w:val="001C6927"/>
    <w:rsid w:val="001C7261"/>
    <w:rsid w:val="001C78DE"/>
    <w:rsid w:val="001C7EE6"/>
    <w:rsid w:val="001D1744"/>
    <w:rsid w:val="001D1811"/>
    <w:rsid w:val="001D1B35"/>
    <w:rsid w:val="001D1C54"/>
    <w:rsid w:val="001D2338"/>
    <w:rsid w:val="001D307E"/>
    <w:rsid w:val="001D3083"/>
    <w:rsid w:val="001D33DE"/>
    <w:rsid w:val="001D3BDB"/>
    <w:rsid w:val="001D3FB0"/>
    <w:rsid w:val="001D50C0"/>
    <w:rsid w:val="001D5C13"/>
    <w:rsid w:val="001D5DD5"/>
    <w:rsid w:val="001D5E6D"/>
    <w:rsid w:val="001D7758"/>
    <w:rsid w:val="001E10DF"/>
    <w:rsid w:val="001E11D6"/>
    <w:rsid w:val="001E2484"/>
    <w:rsid w:val="001E2F97"/>
    <w:rsid w:val="001E3A26"/>
    <w:rsid w:val="001E6834"/>
    <w:rsid w:val="001E6A38"/>
    <w:rsid w:val="001E6BC9"/>
    <w:rsid w:val="001E6D8E"/>
    <w:rsid w:val="001E6E6E"/>
    <w:rsid w:val="001E7C77"/>
    <w:rsid w:val="001F0AD3"/>
    <w:rsid w:val="001F1A2C"/>
    <w:rsid w:val="001F246A"/>
    <w:rsid w:val="001F3AA3"/>
    <w:rsid w:val="001F3F19"/>
    <w:rsid w:val="001F4D2C"/>
    <w:rsid w:val="001F5053"/>
    <w:rsid w:val="001F5192"/>
    <w:rsid w:val="001F5F4B"/>
    <w:rsid w:val="001F6C35"/>
    <w:rsid w:val="001F7A77"/>
    <w:rsid w:val="001F7CB6"/>
    <w:rsid w:val="002001EB"/>
    <w:rsid w:val="00200E67"/>
    <w:rsid w:val="00201563"/>
    <w:rsid w:val="00201A24"/>
    <w:rsid w:val="00203157"/>
    <w:rsid w:val="0020356E"/>
    <w:rsid w:val="002036CD"/>
    <w:rsid w:val="002046B8"/>
    <w:rsid w:val="0020479F"/>
    <w:rsid w:val="00205235"/>
    <w:rsid w:val="00205238"/>
    <w:rsid w:val="00205900"/>
    <w:rsid w:val="00205AE7"/>
    <w:rsid w:val="00205C8F"/>
    <w:rsid w:val="00207D52"/>
    <w:rsid w:val="00210F42"/>
    <w:rsid w:val="00211136"/>
    <w:rsid w:val="0021354E"/>
    <w:rsid w:val="00213B73"/>
    <w:rsid w:val="00213C8A"/>
    <w:rsid w:val="002143C5"/>
    <w:rsid w:val="00214D76"/>
    <w:rsid w:val="00215633"/>
    <w:rsid w:val="00215A94"/>
    <w:rsid w:val="00215E36"/>
    <w:rsid w:val="0021611E"/>
    <w:rsid w:val="00216E0E"/>
    <w:rsid w:val="002211E8"/>
    <w:rsid w:val="00221E7C"/>
    <w:rsid w:val="00221FAF"/>
    <w:rsid w:val="00222C4A"/>
    <w:rsid w:val="00222CE3"/>
    <w:rsid w:val="002232CE"/>
    <w:rsid w:val="00224904"/>
    <w:rsid w:val="0022621C"/>
    <w:rsid w:val="002267A6"/>
    <w:rsid w:val="00226B41"/>
    <w:rsid w:val="00227178"/>
    <w:rsid w:val="00227487"/>
    <w:rsid w:val="00227734"/>
    <w:rsid w:val="00227D3A"/>
    <w:rsid w:val="002303FD"/>
    <w:rsid w:val="00232419"/>
    <w:rsid w:val="00232C5D"/>
    <w:rsid w:val="00233B4F"/>
    <w:rsid w:val="00233F52"/>
    <w:rsid w:val="00235527"/>
    <w:rsid w:val="00235FCE"/>
    <w:rsid w:val="002366D0"/>
    <w:rsid w:val="0024088D"/>
    <w:rsid w:val="00240C25"/>
    <w:rsid w:val="00240EF9"/>
    <w:rsid w:val="0024130F"/>
    <w:rsid w:val="0024194E"/>
    <w:rsid w:val="00242AC2"/>
    <w:rsid w:val="00243929"/>
    <w:rsid w:val="00243BDF"/>
    <w:rsid w:val="00246257"/>
    <w:rsid w:val="002462C3"/>
    <w:rsid w:val="00246828"/>
    <w:rsid w:val="002510E5"/>
    <w:rsid w:val="002524EC"/>
    <w:rsid w:val="00252AB8"/>
    <w:rsid w:val="00252CC0"/>
    <w:rsid w:val="00252D3E"/>
    <w:rsid w:val="002530F5"/>
    <w:rsid w:val="00253506"/>
    <w:rsid w:val="00253B42"/>
    <w:rsid w:val="0025410D"/>
    <w:rsid w:val="00254738"/>
    <w:rsid w:val="00254ADF"/>
    <w:rsid w:val="00255C15"/>
    <w:rsid w:val="00257D4B"/>
    <w:rsid w:val="0026015E"/>
    <w:rsid w:val="00260847"/>
    <w:rsid w:val="0026111E"/>
    <w:rsid w:val="00261FAC"/>
    <w:rsid w:val="00263A61"/>
    <w:rsid w:val="00263DEC"/>
    <w:rsid w:val="00264E89"/>
    <w:rsid w:val="00266075"/>
    <w:rsid w:val="0026660E"/>
    <w:rsid w:val="002668A8"/>
    <w:rsid w:val="00266B7F"/>
    <w:rsid w:val="0027016C"/>
    <w:rsid w:val="00270ACF"/>
    <w:rsid w:val="002712C8"/>
    <w:rsid w:val="00272597"/>
    <w:rsid w:val="002734CA"/>
    <w:rsid w:val="00273DC2"/>
    <w:rsid w:val="0027413F"/>
    <w:rsid w:val="0027430C"/>
    <w:rsid w:val="00274409"/>
    <w:rsid w:val="00275020"/>
    <w:rsid w:val="002758A0"/>
    <w:rsid w:val="00275B66"/>
    <w:rsid w:val="002761AE"/>
    <w:rsid w:val="00276461"/>
    <w:rsid w:val="002769DC"/>
    <w:rsid w:val="00277EAC"/>
    <w:rsid w:val="002803AC"/>
    <w:rsid w:val="00280596"/>
    <w:rsid w:val="00282EAC"/>
    <w:rsid w:val="00283D88"/>
    <w:rsid w:val="00284D9A"/>
    <w:rsid w:val="00284FF0"/>
    <w:rsid w:val="00285FB8"/>
    <w:rsid w:val="002870BF"/>
    <w:rsid w:val="002904AC"/>
    <w:rsid w:val="00291D72"/>
    <w:rsid w:val="00291E52"/>
    <w:rsid w:val="00291E62"/>
    <w:rsid w:val="002923E3"/>
    <w:rsid w:val="00292C50"/>
    <w:rsid w:val="00294728"/>
    <w:rsid w:val="00295687"/>
    <w:rsid w:val="002957A8"/>
    <w:rsid w:val="00295EA9"/>
    <w:rsid w:val="00296C7B"/>
    <w:rsid w:val="00297208"/>
    <w:rsid w:val="0029754F"/>
    <w:rsid w:val="002A0004"/>
    <w:rsid w:val="002A037B"/>
    <w:rsid w:val="002A03F1"/>
    <w:rsid w:val="002A05A2"/>
    <w:rsid w:val="002A0BDF"/>
    <w:rsid w:val="002A195F"/>
    <w:rsid w:val="002A5537"/>
    <w:rsid w:val="002A5D75"/>
    <w:rsid w:val="002A6B0C"/>
    <w:rsid w:val="002A6C12"/>
    <w:rsid w:val="002A7B02"/>
    <w:rsid w:val="002A7F9D"/>
    <w:rsid w:val="002B072A"/>
    <w:rsid w:val="002B3E8D"/>
    <w:rsid w:val="002B4F7C"/>
    <w:rsid w:val="002B65D4"/>
    <w:rsid w:val="002B6EB2"/>
    <w:rsid w:val="002B7D34"/>
    <w:rsid w:val="002C213D"/>
    <w:rsid w:val="002C2798"/>
    <w:rsid w:val="002C27CB"/>
    <w:rsid w:val="002C4FAD"/>
    <w:rsid w:val="002C5EB8"/>
    <w:rsid w:val="002C5F3F"/>
    <w:rsid w:val="002C61ED"/>
    <w:rsid w:val="002D03F1"/>
    <w:rsid w:val="002D0BD7"/>
    <w:rsid w:val="002D0DBF"/>
    <w:rsid w:val="002D13BE"/>
    <w:rsid w:val="002D29F0"/>
    <w:rsid w:val="002D3E61"/>
    <w:rsid w:val="002D46A2"/>
    <w:rsid w:val="002D554E"/>
    <w:rsid w:val="002E08DD"/>
    <w:rsid w:val="002E225A"/>
    <w:rsid w:val="002E3AAC"/>
    <w:rsid w:val="002E433B"/>
    <w:rsid w:val="002E4BF8"/>
    <w:rsid w:val="002E4EC9"/>
    <w:rsid w:val="002E5DAE"/>
    <w:rsid w:val="002E5F9F"/>
    <w:rsid w:val="002E6B3C"/>
    <w:rsid w:val="002E6C4D"/>
    <w:rsid w:val="002E74F1"/>
    <w:rsid w:val="002E7844"/>
    <w:rsid w:val="002F151C"/>
    <w:rsid w:val="002F1689"/>
    <w:rsid w:val="002F3463"/>
    <w:rsid w:val="002F3717"/>
    <w:rsid w:val="002F5B91"/>
    <w:rsid w:val="002F5F2E"/>
    <w:rsid w:val="002F6146"/>
    <w:rsid w:val="002F6751"/>
    <w:rsid w:val="002F74E1"/>
    <w:rsid w:val="00300E9A"/>
    <w:rsid w:val="00302E24"/>
    <w:rsid w:val="00302F65"/>
    <w:rsid w:val="00303DC0"/>
    <w:rsid w:val="00304AEE"/>
    <w:rsid w:val="00304DDD"/>
    <w:rsid w:val="00304F85"/>
    <w:rsid w:val="00305AA7"/>
    <w:rsid w:val="003061BD"/>
    <w:rsid w:val="0030759C"/>
    <w:rsid w:val="003102C4"/>
    <w:rsid w:val="00310CB2"/>
    <w:rsid w:val="00311746"/>
    <w:rsid w:val="00311D41"/>
    <w:rsid w:val="00312C2A"/>
    <w:rsid w:val="00312CB2"/>
    <w:rsid w:val="003140C9"/>
    <w:rsid w:val="0031479F"/>
    <w:rsid w:val="00314D5F"/>
    <w:rsid w:val="00315BB7"/>
    <w:rsid w:val="00315E5B"/>
    <w:rsid w:val="003162E1"/>
    <w:rsid w:val="003204FA"/>
    <w:rsid w:val="003205E7"/>
    <w:rsid w:val="003206D4"/>
    <w:rsid w:val="0032093D"/>
    <w:rsid w:val="00320A34"/>
    <w:rsid w:val="00321445"/>
    <w:rsid w:val="00322C56"/>
    <w:rsid w:val="00323F9A"/>
    <w:rsid w:val="00324313"/>
    <w:rsid w:val="00324397"/>
    <w:rsid w:val="00325020"/>
    <w:rsid w:val="0032516B"/>
    <w:rsid w:val="003252E4"/>
    <w:rsid w:val="00327DE7"/>
    <w:rsid w:val="003301BC"/>
    <w:rsid w:val="00330C61"/>
    <w:rsid w:val="00331785"/>
    <w:rsid w:val="0033216F"/>
    <w:rsid w:val="003328AB"/>
    <w:rsid w:val="003329C6"/>
    <w:rsid w:val="00332A6B"/>
    <w:rsid w:val="003330BC"/>
    <w:rsid w:val="00333116"/>
    <w:rsid w:val="00333446"/>
    <w:rsid w:val="0033379B"/>
    <w:rsid w:val="00333D13"/>
    <w:rsid w:val="00334285"/>
    <w:rsid w:val="00335163"/>
    <w:rsid w:val="00335EC8"/>
    <w:rsid w:val="00336066"/>
    <w:rsid w:val="00336650"/>
    <w:rsid w:val="00340134"/>
    <w:rsid w:val="0034112D"/>
    <w:rsid w:val="0034134D"/>
    <w:rsid w:val="00341682"/>
    <w:rsid w:val="0034238C"/>
    <w:rsid w:val="003427B6"/>
    <w:rsid w:val="0034304B"/>
    <w:rsid w:val="0034315B"/>
    <w:rsid w:val="00343528"/>
    <w:rsid w:val="0034381F"/>
    <w:rsid w:val="00344623"/>
    <w:rsid w:val="00344F59"/>
    <w:rsid w:val="0034502B"/>
    <w:rsid w:val="003454D8"/>
    <w:rsid w:val="00347142"/>
    <w:rsid w:val="003476DD"/>
    <w:rsid w:val="00347AFD"/>
    <w:rsid w:val="00347BB3"/>
    <w:rsid w:val="00347F31"/>
    <w:rsid w:val="00350673"/>
    <w:rsid w:val="003508F5"/>
    <w:rsid w:val="00350D39"/>
    <w:rsid w:val="003511E1"/>
    <w:rsid w:val="0035131A"/>
    <w:rsid w:val="0035153B"/>
    <w:rsid w:val="00351799"/>
    <w:rsid w:val="00351BD9"/>
    <w:rsid w:val="00351EBC"/>
    <w:rsid w:val="00352752"/>
    <w:rsid w:val="00352BD6"/>
    <w:rsid w:val="0035312B"/>
    <w:rsid w:val="003532B4"/>
    <w:rsid w:val="0035372D"/>
    <w:rsid w:val="00353CAD"/>
    <w:rsid w:val="003548AC"/>
    <w:rsid w:val="00354A61"/>
    <w:rsid w:val="0035517B"/>
    <w:rsid w:val="0035654D"/>
    <w:rsid w:val="0035689A"/>
    <w:rsid w:val="00356EBC"/>
    <w:rsid w:val="00357245"/>
    <w:rsid w:val="00357A9D"/>
    <w:rsid w:val="00357BA5"/>
    <w:rsid w:val="00360BB3"/>
    <w:rsid w:val="00360C9A"/>
    <w:rsid w:val="0036130B"/>
    <w:rsid w:val="00362AA0"/>
    <w:rsid w:val="00362DEB"/>
    <w:rsid w:val="00363118"/>
    <w:rsid w:val="00364D7B"/>
    <w:rsid w:val="003656F3"/>
    <w:rsid w:val="00365751"/>
    <w:rsid w:val="003660AB"/>
    <w:rsid w:val="00366F74"/>
    <w:rsid w:val="00367349"/>
    <w:rsid w:val="00367850"/>
    <w:rsid w:val="00370336"/>
    <w:rsid w:val="0037090B"/>
    <w:rsid w:val="00370A8F"/>
    <w:rsid w:val="00370EC3"/>
    <w:rsid w:val="0037119B"/>
    <w:rsid w:val="00371C38"/>
    <w:rsid w:val="00372587"/>
    <w:rsid w:val="00372CFC"/>
    <w:rsid w:val="00372F21"/>
    <w:rsid w:val="00373BBE"/>
    <w:rsid w:val="00373D20"/>
    <w:rsid w:val="00375F3A"/>
    <w:rsid w:val="00376987"/>
    <w:rsid w:val="00380B8C"/>
    <w:rsid w:val="003811BA"/>
    <w:rsid w:val="00382925"/>
    <w:rsid w:val="00382E9A"/>
    <w:rsid w:val="00382FDB"/>
    <w:rsid w:val="00383507"/>
    <w:rsid w:val="00383CA2"/>
    <w:rsid w:val="00383EF1"/>
    <w:rsid w:val="00384358"/>
    <w:rsid w:val="003847F0"/>
    <w:rsid w:val="00385583"/>
    <w:rsid w:val="003856B6"/>
    <w:rsid w:val="00385BAD"/>
    <w:rsid w:val="00385BE6"/>
    <w:rsid w:val="0038646B"/>
    <w:rsid w:val="00386B54"/>
    <w:rsid w:val="00386C31"/>
    <w:rsid w:val="00386EC8"/>
    <w:rsid w:val="00386F66"/>
    <w:rsid w:val="00387E50"/>
    <w:rsid w:val="0039021D"/>
    <w:rsid w:val="00392522"/>
    <w:rsid w:val="00392DE0"/>
    <w:rsid w:val="0039334B"/>
    <w:rsid w:val="00393450"/>
    <w:rsid w:val="00393624"/>
    <w:rsid w:val="00393DBB"/>
    <w:rsid w:val="00394CAD"/>
    <w:rsid w:val="00394DA9"/>
    <w:rsid w:val="00395332"/>
    <w:rsid w:val="0039562E"/>
    <w:rsid w:val="00395DF9"/>
    <w:rsid w:val="0039719B"/>
    <w:rsid w:val="003A074B"/>
    <w:rsid w:val="003A131F"/>
    <w:rsid w:val="003A2D93"/>
    <w:rsid w:val="003A34B3"/>
    <w:rsid w:val="003A4CC1"/>
    <w:rsid w:val="003A51D2"/>
    <w:rsid w:val="003A60BA"/>
    <w:rsid w:val="003A628B"/>
    <w:rsid w:val="003A666E"/>
    <w:rsid w:val="003A6DCD"/>
    <w:rsid w:val="003A74B9"/>
    <w:rsid w:val="003A7E42"/>
    <w:rsid w:val="003B0E0D"/>
    <w:rsid w:val="003B187B"/>
    <w:rsid w:val="003B197E"/>
    <w:rsid w:val="003B2F96"/>
    <w:rsid w:val="003B3CC5"/>
    <w:rsid w:val="003B5C58"/>
    <w:rsid w:val="003B743E"/>
    <w:rsid w:val="003C0385"/>
    <w:rsid w:val="003C1EBF"/>
    <w:rsid w:val="003C2709"/>
    <w:rsid w:val="003C33EF"/>
    <w:rsid w:val="003C3625"/>
    <w:rsid w:val="003C418C"/>
    <w:rsid w:val="003C443B"/>
    <w:rsid w:val="003C4A56"/>
    <w:rsid w:val="003C52A5"/>
    <w:rsid w:val="003C6729"/>
    <w:rsid w:val="003C6A61"/>
    <w:rsid w:val="003C6E6D"/>
    <w:rsid w:val="003D0ED1"/>
    <w:rsid w:val="003D1C82"/>
    <w:rsid w:val="003D1EA3"/>
    <w:rsid w:val="003D2A15"/>
    <w:rsid w:val="003D3839"/>
    <w:rsid w:val="003D3AAC"/>
    <w:rsid w:val="003D47BD"/>
    <w:rsid w:val="003D625C"/>
    <w:rsid w:val="003D6BE5"/>
    <w:rsid w:val="003E054D"/>
    <w:rsid w:val="003E1A24"/>
    <w:rsid w:val="003E1CD6"/>
    <w:rsid w:val="003E1D11"/>
    <w:rsid w:val="003E346F"/>
    <w:rsid w:val="003E3564"/>
    <w:rsid w:val="003E44B3"/>
    <w:rsid w:val="003E566C"/>
    <w:rsid w:val="003E5F4C"/>
    <w:rsid w:val="003E69BC"/>
    <w:rsid w:val="003E7555"/>
    <w:rsid w:val="003E76B3"/>
    <w:rsid w:val="003E7BA2"/>
    <w:rsid w:val="003F042F"/>
    <w:rsid w:val="003F0A82"/>
    <w:rsid w:val="003F1389"/>
    <w:rsid w:val="003F1F8B"/>
    <w:rsid w:val="003F239E"/>
    <w:rsid w:val="003F27D8"/>
    <w:rsid w:val="003F3501"/>
    <w:rsid w:val="003F51DC"/>
    <w:rsid w:val="003F6AF3"/>
    <w:rsid w:val="003F6F7E"/>
    <w:rsid w:val="003F782F"/>
    <w:rsid w:val="0040075F"/>
    <w:rsid w:val="004010BA"/>
    <w:rsid w:val="00401B7D"/>
    <w:rsid w:val="0040217F"/>
    <w:rsid w:val="004022A9"/>
    <w:rsid w:val="00402DE5"/>
    <w:rsid w:val="00404337"/>
    <w:rsid w:val="004062D6"/>
    <w:rsid w:val="00406889"/>
    <w:rsid w:val="00407037"/>
    <w:rsid w:val="004129EA"/>
    <w:rsid w:val="00413579"/>
    <w:rsid w:val="00414214"/>
    <w:rsid w:val="00414AE2"/>
    <w:rsid w:val="00415C6E"/>
    <w:rsid w:val="00416195"/>
    <w:rsid w:val="004168BC"/>
    <w:rsid w:val="00416A11"/>
    <w:rsid w:val="00417A78"/>
    <w:rsid w:val="00420A47"/>
    <w:rsid w:val="00420DF4"/>
    <w:rsid w:val="00420EDC"/>
    <w:rsid w:val="00421429"/>
    <w:rsid w:val="00421BC1"/>
    <w:rsid w:val="004226E6"/>
    <w:rsid w:val="004265AB"/>
    <w:rsid w:val="00426EFB"/>
    <w:rsid w:val="00427033"/>
    <w:rsid w:val="004274DC"/>
    <w:rsid w:val="00427F48"/>
    <w:rsid w:val="00430EC6"/>
    <w:rsid w:val="00431154"/>
    <w:rsid w:val="00431A33"/>
    <w:rsid w:val="00431D51"/>
    <w:rsid w:val="00432146"/>
    <w:rsid w:val="00433267"/>
    <w:rsid w:val="00433A1B"/>
    <w:rsid w:val="0043689A"/>
    <w:rsid w:val="004369C3"/>
    <w:rsid w:val="004403D2"/>
    <w:rsid w:val="0044098E"/>
    <w:rsid w:val="00441035"/>
    <w:rsid w:val="00441180"/>
    <w:rsid w:val="004417B3"/>
    <w:rsid w:val="004418EC"/>
    <w:rsid w:val="00441B40"/>
    <w:rsid w:val="00441ECA"/>
    <w:rsid w:val="004424F3"/>
    <w:rsid w:val="00444AF0"/>
    <w:rsid w:val="00445A45"/>
    <w:rsid w:val="0044632C"/>
    <w:rsid w:val="00446610"/>
    <w:rsid w:val="00447A4D"/>
    <w:rsid w:val="00451416"/>
    <w:rsid w:val="00451638"/>
    <w:rsid w:val="00452231"/>
    <w:rsid w:val="0045274E"/>
    <w:rsid w:val="00452D9C"/>
    <w:rsid w:val="004538FC"/>
    <w:rsid w:val="00453AC2"/>
    <w:rsid w:val="0045410E"/>
    <w:rsid w:val="004545F5"/>
    <w:rsid w:val="0045460D"/>
    <w:rsid w:val="00454E02"/>
    <w:rsid w:val="00455B24"/>
    <w:rsid w:val="00455CE1"/>
    <w:rsid w:val="00455E74"/>
    <w:rsid w:val="00456582"/>
    <w:rsid w:val="0045680C"/>
    <w:rsid w:val="004575AC"/>
    <w:rsid w:val="0045765D"/>
    <w:rsid w:val="00460EC4"/>
    <w:rsid w:val="0046113A"/>
    <w:rsid w:val="00461DB0"/>
    <w:rsid w:val="004620E4"/>
    <w:rsid w:val="00463918"/>
    <w:rsid w:val="00463BEF"/>
    <w:rsid w:val="00463D15"/>
    <w:rsid w:val="00464045"/>
    <w:rsid w:val="0046443E"/>
    <w:rsid w:val="00465658"/>
    <w:rsid w:val="00465D54"/>
    <w:rsid w:val="00466216"/>
    <w:rsid w:val="004668B1"/>
    <w:rsid w:val="00467481"/>
    <w:rsid w:val="00467795"/>
    <w:rsid w:val="00467B18"/>
    <w:rsid w:val="00470158"/>
    <w:rsid w:val="00470735"/>
    <w:rsid w:val="004707C0"/>
    <w:rsid w:val="00470869"/>
    <w:rsid w:val="00470F47"/>
    <w:rsid w:val="00473EE9"/>
    <w:rsid w:val="004744FE"/>
    <w:rsid w:val="004748CF"/>
    <w:rsid w:val="004756CB"/>
    <w:rsid w:val="0047714B"/>
    <w:rsid w:val="00477CFC"/>
    <w:rsid w:val="00480060"/>
    <w:rsid w:val="00480B7B"/>
    <w:rsid w:val="00480CF7"/>
    <w:rsid w:val="00480EBB"/>
    <w:rsid w:val="00481C59"/>
    <w:rsid w:val="00483174"/>
    <w:rsid w:val="00483DC0"/>
    <w:rsid w:val="00483E9F"/>
    <w:rsid w:val="004853ED"/>
    <w:rsid w:val="004874C4"/>
    <w:rsid w:val="004879B9"/>
    <w:rsid w:val="00487AFB"/>
    <w:rsid w:val="00490AE7"/>
    <w:rsid w:val="0049101B"/>
    <w:rsid w:val="004917D8"/>
    <w:rsid w:val="00491A69"/>
    <w:rsid w:val="00491C67"/>
    <w:rsid w:val="00491D08"/>
    <w:rsid w:val="00492166"/>
    <w:rsid w:val="00492381"/>
    <w:rsid w:val="00493182"/>
    <w:rsid w:val="00495A2F"/>
    <w:rsid w:val="00495C72"/>
    <w:rsid w:val="0049643C"/>
    <w:rsid w:val="00496E07"/>
    <w:rsid w:val="00496F8C"/>
    <w:rsid w:val="004A078B"/>
    <w:rsid w:val="004A0AD9"/>
    <w:rsid w:val="004A2375"/>
    <w:rsid w:val="004A2D2A"/>
    <w:rsid w:val="004A3B90"/>
    <w:rsid w:val="004A4370"/>
    <w:rsid w:val="004A663E"/>
    <w:rsid w:val="004A6F71"/>
    <w:rsid w:val="004A7263"/>
    <w:rsid w:val="004A7B96"/>
    <w:rsid w:val="004B0599"/>
    <w:rsid w:val="004B1ADF"/>
    <w:rsid w:val="004B1F68"/>
    <w:rsid w:val="004B2113"/>
    <w:rsid w:val="004B26AE"/>
    <w:rsid w:val="004B3936"/>
    <w:rsid w:val="004B4146"/>
    <w:rsid w:val="004B567F"/>
    <w:rsid w:val="004B5CAE"/>
    <w:rsid w:val="004B71ED"/>
    <w:rsid w:val="004B722F"/>
    <w:rsid w:val="004C102E"/>
    <w:rsid w:val="004C17FC"/>
    <w:rsid w:val="004C1DB1"/>
    <w:rsid w:val="004C2253"/>
    <w:rsid w:val="004C262E"/>
    <w:rsid w:val="004C2886"/>
    <w:rsid w:val="004C3237"/>
    <w:rsid w:val="004C3D44"/>
    <w:rsid w:val="004C5403"/>
    <w:rsid w:val="004C55A1"/>
    <w:rsid w:val="004C697B"/>
    <w:rsid w:val="004C6D48"/>
    <w:rsid w:val="004C7E7E"/>
    <w:rsid w:val="004D14FC"/>
    <w:rsid w:val="004D1833"/>
    <w:rsid w:val="004D24AD"/>
    <w:rsid w:val="004D30F1"/>
    <w:rsid w:val="004D3D17"/>
    <w:rsid w:val="004D4477"/>
    <w:rsid w:val="004D4BC3"/>
    <w:rsid w:val="004D621D"/>
    <w:rsid w:val="004D6554"/>
    <w:rsid w:val="004D6ED3"/>
    <w:rsid w:val="004D79C3"/>
    <w:rsid w:val="004E132C"/>
    <w:rsid w:val="004E2639"/>
    <w:rsid w:val="004E2B71"/>
    <w:rsid w:val="004E3263"/>
    <w:rsid w:val="004E3D6B"/>
    <w:rsid w:val="004E417D"/>
    <w:rsid w:val="004E46E6"/>
    <w:rsid w:val="004E58C1"/>
    <w:rsid w:val="004F0026"/>
    <w:rsid w:val="004F160C"/>
    <w:rsid w:val="004F1FB7"/>
    <w:rsid w:val="004F2CB8"/>
    <w:rsid w:val="004F2D0B"/>
    <w:rsid w:val="004F3BE5"/>
    <w:rsid w:val="004F3CEA"/>
    <w:rsid w:val="004F3F38"/>
    <w:rsid w:val="004F4A6A"/>
    <w:rsid w:val="004F4CB1"/>
    <w:rsid w:val="004F64A0"/>
    <w:rsid w:val="004F6EA1"/>
    <w:rsid w:val="004F70BB"/>
    <w:rsid w:val="004F768B"/>
    <w:rsid w:val="004F7914"/>
    <w:rsid w:val="00500136"/>
    <w:rsid w:val="005009D5"/>
    <w:rsid w:val="00500FB2"/>
    <w:rsid w:val="00501025"/>
    <w:rsid w:val="005013F2"/>
    <w:rsid w:val="0050196F"/>
    <w:rsid w:val="00502159"/>
    <w:rsid w:val="00502924"/>
    <w:rsid w:val="00504AE7"/>
    <w:rsid w:val="005054AA"/>
    <w:rsid w:val="0050550C"/>
    <w:rsid w:val="00505D7E"/>
    <w:rsid w:val="0050651B"/>
    <w:rsid w:val="0050709C"/>
    <w:rsid w:val="0050732E"/>
    <w:rsid w:val="005102D5"/>
    <w:rsid w:val="00510865"/>
    <w:rsid w:val="00511DFB"/>
    <w:rsid w:val="005123D2"/>
    <w:rsid w:val="00512A70"/>
    <w:rsid w:val="00513556"/>
    <w:rsid w:val="005136E3"/>
    <w:rsid w:val="00513839"/>
    <w:rsid w:val="00516283"/>
    <w:rsid w:val="00516A60"/>
    <w:rsid w:val="005170D4"/>
    <w:rsid w:val="005172DE"/>
    <w:rsid w:val="005178A2"/>
    <w:rsid w:val="00517A3A"/>
    <w:rsid w:val="00517D74"/>
    <w:rsid w:val="00520336"/>
    <w:rsid w:val="00520BB7"/>
    <w:rsid w:val="005238B6"/>
    <w:rsid w:val="005239AA"/>
    <w:rsid w:val="00523A3C"/>
    <w:rsid w:val="00523DEE"/>
    <w:rsid w:val="005244A7"/>
    <w:rsid w:val="00525261"/>
    <w:rsid w:val="005264AF"/>
    <w:rsid w:val="00526697"/>
    <w:rsid w:val="005267FC"/>
    <w:rsid w:val="005268D3"/>
    <w:rsid w:val="00527B1B"/>
    <w:rsid w:val="005317CD"/>
    <w:rsid w:val="005317E9"/>
    <w:rsid w:val="00531B66"/>
    <w:rsid w:val="005324FD"/>
    <w:rsid w:val="005327D7"/>
    <w:rsid w:val="00532B73"/>
    <w:rsid w:val="00535047"/>
    <w:rsid w:val="0053628D"/>
    <w:rsid w:val="00536A32"/>
    <w:rsid w:val="00541635"/>
    <w:rsid w:val="00542D2C"/>
    <w:rsid w:val="00542E22"/>
    <w:rsid w:val="00543DE9"/>
    <w:rsid w:val="00545B4B"/>
    <w:rsid w:val="00545FBC"/>
    <w:rsid w:val="0054652D"/>
    <w:rsid w:val="00547028"/>
    <w:rsid w:val="0054702C"/>
    <w:rsid w:val="00550BAC"/>
    <w:rsid w:val="00553359"/>
    <w:rsid w:val="005539E9"/>
    <w:rsid w:val="00553F29"/>
    <w:rsid w:val="00554A51"/>
    <w:rsid w:val="005554D8"/>
    <w:rsid w:val="00555B16"/>
    <w:rsid w:val="00555CB1"/>
    <w:rsid w:val="00556094"/>
    <w:rsid w:val="00556A70"/>
    <w:rsid w:val="00556F0A"/>
    <w:rsid w:val="0055719E"/>
    <w:rsid w:val="00557578"/>
    <w:rsid w:val="00557AA1"/>
    <w:rsid w:val="00557FD5"/>
    <w:rsid w:val="0056103B"/>
    <w:rsid w:val="00561300"/>
    <w:rsid w:val="00562A6D"/>
    <w:rsid w:val="00562CA7"/>
    <w:rsid w:val="00562CF3"/>
    <w:rsid w:val="005645E0"/>
    <w:rsid w:val="005645E9"/>
    <w:rsid w:val="00564E27"/>
    <w:rsid w:val="00565254"/>
    <w:rsid w:val="00565E4E"/>
    <w:rsid w:val="00566416"/>
    <w:rsid w:val="00566785"/>
    <w:rsid w:val="00567B10"/>
    <w:rsid w:val="005709CC"/>
    <w:rsid w:val="0057106C"/>
    <w:rsid w:val="005722FB"/>
    <w:rsid w:val="0057437B"/>
    <w:rsid w:val="00574AE8"/>
    <w:rsid w:val="00574C83"/>
    <w:rsid w:val="005752F9"/>
    <w:rsid w:val="00575480"/>
    <w:rsid w:val="0057629F"/>
    <w:rsid w:val="00580083"/>
    <w:rsid w:val="005801A3"/>
    <w:rsid w:val="00580751"/>
    <w:rsid w:val="00580EC9"/>
    <w:rsid w:val="00580ED8"/>
    <w:rsid w:val="00581483"/>
    <w:rsid w:val="00582442"/>
    <w:rsid w:val="005837DC"/>
    <w:rsid w:val="00584537"/>
    <w:rsid w:val="00585A96"/>
    <w:rsid w:val="00586BFC"/>
    <w:rsid w:val="00590199"/>
    <w:rsid w:val="00591021"/>
    <w:rsid w:val="005916EB"/>
    <w:rsid w:val="00591B8B"/>
    <w:rsid w:val="0059232B"/>
    <w:rsid w:val="005936F2"/>
    <w:rsid w:val="005938C3"/>
    <w:rsid w:val="005941B3"/>
    <w:rsid w:val="00594F4C"/>
    <w:rsid w:val="005955FC"/>
    <w:rsid w:val="005964D5"/>
    <w:rsid w:val="00596D5F"/>
    <w:rsid w:val="00597DC1"/>
    <w:rsid w:val="00597E7F"/>
    <w:rsid w:val="005A011B"/>
    <w:rsid w:val="005A09FE"/>
    <w:rsid w:val="005A0D4A"/>
    <w:rsid w:val="005A18A9"/>
    <w:rsid w:val="005A1C7B"/>
    <w:rsid w:val="005A2541"/>
    <w:rsid w:val="005A2EB8"/>
    <w:rsid w:val="005A33D4"/>
    <w:rsid w:val="005A351C"/>
    <w:rsid w:val="005A4956"/>
    <w:rsid w:val="005A6EA7"/>
    <w:rsid w:val="005A7A7E"/>
    <w:rsid w:val="005A7FC1"/>
    <w:rsid w:val="005B0AA3"/>
    <w:rsid w:val="005B0CCF"/>
    <w:rsid w:val="005B13D8"/>
    <w:rsid w:val="005B19D2"/>
    <w:rsid w:val="005B2288"/>
    <w:rsid w:val="005B2793"/>
    <w:rsid w:val="005B372D"/>
    <w:rsid w:val="005B3AFF"/>
    <w:rsid w:val="005B3D22"/>
    <w:rsid w:val="005B3E6E"/>
    <w:rsid w:val="005B404C"/>
    <w:rsid w:val="005B538F"/>
    <w:rsid w:val="005B74C7"/>
    <w:rsid w:val="005B7E50"/>
    <w:rsid w:val="005C0D40"/>
    <w:rsid w:val="005C1261"/>
    <w:rsid w:val="005C1297"/>
    <w:rsid w:val="005C1E13"/>
    <w:rsid w:val="005C27D5"/>
    <w:rsid w:val="005C2DD2"/>
    <w:rsid w:val="005C31FB"/>
    <w:rsid w:val="005C3450"/>
    <w:rsid w:val="005C3C00"/>
    <w:rsid w:val="005C3FB8"/>
    <w:rsid w:val="005C4601"/>
    <w:rsid w:val="005C49BB"/>
    <w:rsid w:val="005C4A04"/>
    <w:rsid w:val="005C4CD0"/>
    <w:rsid w:val="005C56B7"/>
    <w:rsid w:val="005C56DA"/>
    <w:rsid w:val="005C5DEA"/>
    <w:rsid w:val="005C6D97"/>
    <w:rsid w:val="005C7373"/>
    <w:rsid w:val="005C781D"/>
    <w:rsid w:val="005C7D41"/>
    <w:rsid w:val="005C7E94"/>
    <w:rsid w:val="005C7ECE"/>
    <w:rsid w:val="005D058D"/>
    <w:rsid w:val="005D13ED"/>
    <w:rsid w:val="005D1AF9"/>
    <w:rsid w:val="005D209E"/>
    <w:rsid w:val="005D2D7D"/>
    <w:rsid w:val="005D2E66"/>
    <w:rsid w:val="005D316D"/>
    <w:rsid w:val="005D360D"/>
    <w:rsid w:val="005D3BD8"/>
    <w:rsid w:val="005D48EF"/>
    <w:rsid w:val="005D59DD"/>
    <w:rsid w:val="005D5A16"/>
    <w:rsid w:val="005D5E4D"/>
    <w:rsid w:val="005D5F6B"/>
    <w:rsid w:val="005D647E"/>
    <w:rsid w:val="005D64D2"/>
    <w:rsid w:val="005D7E78"/>
    <w:rsid w:val="005D7EEC"/>
    <w:rsid w:val="005E2819"/>
    <w:rsid w:val="005E2C59"/>
    <w:rsid w:val="005E314D"/>
    <w:rsid w:val="005E3BFC"/>
    <w:rsid w:val="005E42BF"/>
    <w:rsid w:val="005E452A"/>
    <w:rsid w:val="005E468A"/>
    <w:rsid w:val="005E4EB0"/>
    <w:rsid w:val="005E5159"/>
    <w:rsid w:val="005E6FF3"/>
    <w:rsid w:val="005E7FEC"/>
    <w:rsid w:val="005F0E57"/>
    <w:rsid w:val="005F0F47"/>
    <w:rsid w:val="005F1575"/>
    <w:rsid w:val="005F207E"/>
    <w:rsid w:val="005F22EC"/>
    <w:rsid w:val="005F75EE"/>
    <w:rsid w:val="005F7606"/>
    <w:rsid w:val="006004CC"/>
    <w:rsid w:val="00602152"/>
    <w:rsid w:val="00602242"/>
    <w:rsid w:val="00603251"/>
    <w:rsid w:val="00603327"/>
    <w:rsid w:val="00603E91"/>
    <w:rsid w:val="0060451D"/>
    <w:rsid w:val="0060488D"/>
    <w:rsid w:val="0060492A"/>
    <w:rsid w:val="00604C24"/>
    <w:rsid w:val="00605DEE"/>
    <w:rsid w:val="006065D1"/>
    <w:rsid w:val="00606E59"/>
    <w:rsid w:val="00606F78"/>
    <w:rsid w:val="00610FB8"/>
    <w:rsid w:val="0061276C"/>
    <w:rsid w:val="00613DCD"/>
    <w:rsid w:val="00614A73"/>
    <w:rsid w:val="00615BF3"/>
    <w:rsid w:val="00617E4F"/>
    <w:rsid w:val="00620A2D"/>
    <w:rsid w:val="0062165F"/>
    <w:rsid w:val="006218D2"/>
    <w:rsid w:val="0062633C"/>
    <w:rsid w:val="00626CAD"/>
    <w:rsid w:val="00627334"/>
    <w:rsid w:val="006312CD"/>
    <w:rsid w:val="00631891"/>
    <w:rsid w:val="00632B38"/>
    <w:rsid w:val="006335BE"/>
    <w:rsid w:val="00634E9E"/>
    <w:rsid w:val="006352BA"/>
    <w:rsid w:val="006352C2"/>
    <w:rsid w:val="00635462"/>
    <w:rsid w:val="00635E65"/>
    <w:rsid w:val="0063790E"/>
    <w:rsid w:val="0064115B"/>
    <w:rsid w:val="00641334"/>
    <w:rsid w:val="00641AFE"/>
    <w:rsid w:val="00643C57"/>
    <w:rsid w:val="00643DC3"/>
    <w:rsid w:val="00644520"/>
    <w:rsid w:val="00644E73"/>
    <w:rsid w:val="00644E93"/>
    <w:rsid w:val="006458A6"/>
    <w:rsid w:val="006466AD"/>
    <w:rsid w:val="00646AED"/>
    <w:rsid w:val="0065012B"/>
    <w:rsid w:val="00650F40"/>
    <w:rsid w:val="00650FD2"/>
    <w:rsid w:val="00651A5B"/>
    <w:rsid w:val="00651BAF"/>
    <w:rsid w:val="00651C9F"/>
    <w:rsid w:val="00651CB6"/>
    <w:rsid w:val="00651E28"/>
    <w:rsid w:val="00652839"/>
    <w:rsid w:val="00653DE1"/>
    <w:rsid w:val="0065597E"/>
    <w:rsid w:val="0065632C"/>
    <w:rsid w:val="00656769"/>
    <w:rsid w:val="006577A9"/>
    <w:rsid w:val="006609C0"/>
    <w:rsid w:val="0066120C"/>
    <w:rsid w:val="006615D6"/>
    <w:rsid w:val="0066241B"/>
    <w:rsid w:val="006632D6"/>
    <w:rsid w:val="00663651"/>
    <w:rsid w:val="006654A0"/>
    <w:rsid w:val="006654BB"/>
    <w:rsid w:val="006662B4"/>
    <w:rsid w:val="006662D8"/>
    <w:rsid w:val="00666D62"/>
    <w:rsid w:val="00667E62"/>
    <w:rsid w:val="00670383"/>
    <w:rsid w:val="00670B77"/>
    <w:rsid w:val="00671400"/>
    <w:rsid w:val="00671557"/>
    <w:rsid w:val="0067223B"/>
    <w:rsid w:val="006735DA"/>
    <w:rsid w:val="006747A0"/>
    <w:rsid w:val="00674A62"/>
    <w:rsid w:val="00674E7E"/>
    <w:rsid w:val="00675D8A"/>
    <w:rsid w:val="006763F4"/>
    <w:rsid w:val="006769BF"/>
    <w:rsid w:val="00677162"/>
    <w:rsid w:val="00677256"/>
    <w:rsid w:val="00680D47"/>
    <w:rsid w:val="006838ED"/>
    <w:rsid w:val="0068541E"/>
    <w:rsid w:val="00685A0C"/>
    <w:rsid w:val="00686AFF"/>
    <w:rsid w:val="00687537"/>
    <w:rsid w:val="006908AF"/>
    <w:rsid w:val="00690A3D"/>
    <w:rsid w:val="00691C08"/>
    <w:rsid w:val="00692F3B"/>
    <w:rsid w:val="00693FD1"/>
    <w:rsid w:val="00694221"/>
    <w:rsid w:val="006949E9"/>
    <w:rsid w:val="006953FB"/>
    <w:rsid w:val="0069549F"/>
    <w:rsid w:val="006957F5"/>
    <w:rsid w:val="00695BB0"/>
    <w:rsid w:val="006969B6"/>
    <w:rsid w:val="00697856"/>
    <w:rsid w:val="006978C7"/>
    <w:rsid w:val="00697AFE"/>
    <w:rsid w:val="006A0D62"/>
    <w:rsid w:val="006A1FEB"/>
    <w:rsid w:val="006A2282"/>
    <w:rsid w:val="006A254D"/>
    <w:rsid w:val="006A26DB"/>
    <w:rsid w:val="006A3118"/>
    <w:rsid w:val="006A39A0"/>
    <w:rsid w:val="006A4494"/>
    <w:rsid w:val="006A47AF"/>
    <w:rsid w:val="006A4CE3"/>
    <w:rsid w:val="006A5319"/>
    <w:rsid w:val="006A55F9"/>
    <w:rsid w:val="006A5ECC"/>
    <w:rsid w:val="006A6FAF"/>
    <w:rsid w:val="006A7099"/>
    <w:rsid w:val="006A7163"/>
    <w:rsid w:val="006A7B3A"/>
    <w:rsid w:val="006B057C"/>
    <w:rsid w:val="006B0651"/>
    <w:rsid w:val="006B0F4D"/>
    <w:rsid w:val="006B269B"/>
    <w:rsid w:val="006B301B"/>
    <w:rsid w:val="006B3BEC"/>
    <w:rsid w:val="006B4F00"/>
    <w:rsid w:val="006B5030"/>
    <w:rsid w:val="006B549D"/>
    <w:rsid w:val="006B6212"/>
    <w:rsid w:val="006B6C64"/>
    <w:rsid w:val="006C05EA"/>
    <w:rsid w:val="006C07AB"/>
    <w:rsid w:val="006C0F82"/>
    <w:rsid w:val="006C1604"/>
    <w:rsid w:val="006C199C"/>
    <w:rsid w:val="006C1B18"/>
    <w:rsid w:val="006C1BEA"/>
    <w:rsid w:val="006C2FEC"/>
    <w:rsid w:val="006C37E2"/>
    <w:rsid w:val="006C4297"/>
    <w:rsid w:val="006C65AA"/>
    <w:rsid w:val="006C6DD0"/>
    <w:rsid w:val="006C6E5F"/>
    <w:rsid w:val="006C6E66"/>
    <w:rsid w:val="006C77D2"/>
    <w:rsid w:val="006C7F99"/>
    <w:rsid w:val="006D0197"/>
    <w:rsid w:val="006D0557"/>
    <w:rsid w:val="006D0C21"/>
    <w:rsid w:val="006D0CD6"/>
    <w:rsid w:val="006D1101"/>
    <w:rsid w:val="006D2321"/>
    <w:rsid w:val="006D2DCE"/>
    <w:rsid w:val="006D3172"/>
    <w:rsid w:val="006D3A73"/>
    <w:rsid w:val="006D3D19"/>
    <w:rsid w:val="006D4501"/>
    <w:rsid w:val="006D4753"/>
    <w:rsid w:val="006D57A3"/>
    <w:rsid w:val="006D5FDD"/>
    <w:rsid w:val="006D6C1A"/>
    <w:rsid w:val="006D6C91"/>
    <w:rsid w:val="006D78A4"/>
    <w:rsid w:val="006D7AEE"/>
    <w:rsid w:val="006E0AF5"/>
    <w:rsid w:val="006E1A96"/>
    <w:rsid w:val="006E1BB6"/>
    <w:rsid w:val="006E1C69"/>
    <w:rsid w:val="006E1E5E"/>
    <w:rsid w:val="006E3194"/>
    <w:rsid w:val="006E3668"/>
    <w:rsid w:val="006E54E8"/>
    <w:rsid w:val="006E5A8D"/>
    <w:rsid w:val="006E6A60"/>
    <w:rsid w:val="006E7264"/>
    <w:rsid w:val="006E7399"/>
    <w:rsid w:val="006E7ACA"/>
    <w:rsid w:val="006F0979"/>
    <w:rsid w:val="006F12FB"/>
    <w:rsid w:val="006F13E7"/>
    <w:rsid w:val="006F1EFD"/>
    <w:rsid w:val="006F1F8D"/>
    <w:rsid w:val="006F201D"/>
    <w:rsid w:val="006F2079"/>
    <w:rsid w:val="006F2563"/>
    <w:rsid w:val="006F2713"/>
    <w:rsid w:val="006F3717"/>
    <w:rsid w:val="006F393B"/>
    <w:rsid w:val="006F39DC"/>
    <w:rsid w:val="006F3D50"/>
    <w:rsid w:val="006F40B4"/>
    <w:rsid w:val="006F4606"/>
    <w:rsid w:val="006F5D5B"/>
    <w:rsid w:val="006F60A3"/>
    <w:rsid w:val="006F6EAC"/>
    <w:rsid w:val="006F72F4"/>
    <w:rsid w:val="0070126B"/>
    <w:rsid w:val="00701410"/>
    <w:rsid w:val="00701BE5"/>
    <w:rsid w:val="007026CA"/>
    <w:rsid w:val="0070312D"/>
    <w:rsid w:val="007032C7"/>
    <w:rsid w:val="00703B26"/>
    <w:rsid w:val="00703E9F"/>
    <w:rsid w:val="007048EA"/>
    <w:rsid w:val="007054B3"/>
    <w:rsid w:val="007069A1"/>
    <w:rsid w:val="00706A05"/>
    <w:rsid w:val="00706DFA"/>
    <w:rsid w:val="00707691"/>
    <w:rsid w:val="007101C2"/>
    <w:rsid w:val="00710381"/>
    <w:rsid w:val="00710663"/>
    <w:rsid w:val="00710A5E"/>
    <w:rsid w:val="00712027"/>
    <w:rsid w:val="00712EC5"/>
    <w:rsid w:val="00713BA2"/>
    <w:rsid w:val="00713C26"/>
    <w:rsid w:val="00713F66"/>
    <w:rsid w:val="0071606A"/>
    <w:rsid w:val="00716D14"/>
    <w:rsid w:val="00717097"/>
    <w:rsid w:val="00717B41"/>
    <w:rsid w:val="007201DB"/>
    <w:rsid w:val="007212CA"/>
    <w:rsid w:val="00721A5A"/>
    <w:rsid w:val="007222D0"/>
    <w:rsid w:val="00722C7E"/>
    <w:rsid w:val="0072326D"/>
    <w:rsid w:val="007234DA"/>
    <w:rsid w:val="00727122"/>
    <w:rsid w:val="007278FD"/>
    <w:rsid w:val="00727DD8"/>
    <w:rsid w:val="007301E5"/>
    <w:rsid w:val="00730224"/>
    <w:rsid w:val="00730B4B"/>
    <w:rsid w:val="00730E13"/>
    <w:rsid w:val="0073179B"/>
    <w:rsid w:val="007319EC"/>
    <w:rsid w:val="00731D6E"/>
    <w:rsid w:val="00732FD6"/>
    <w:rsid w:val="007330A2"/>
    <w:rsid w:val="00734BEF"/>
    <w:rsid w:val="00734E8C"/>
    <w:rsid w:val="0073599D"/>
    <w:rsid w:val="00735BA1"/>
    <w:rsid w:val="00736B76"/>
    <w:rsid w:val="007372FB"/>
    <w:rsid w:val="007372FF"/>
    <w:rsid w:val="0073762A"/>
    <w:rsid w:val="0073791A"/>
    <w:rsid w:val="0074282E"/>
    <w:rsid w:val="00742B5D"/>
    <w:rsid w:val="0074366D"/>
    <w:rsid w:val="007436BD"/>
    <w:rsid w:val="0074405D"/>
    <w:rsid w:val="00744294"/>
    <w:rsid w:val="007442CB"/>
    <w:rsid w:val="00744CD5"/>
    <w:rsid w:val="007463D1"/>
    <w:rsid w:val="007467FE"/>
    <w:rsid w:val="00750BC2"/>
    <w:rsid w:val="0075163A"/>
    <w:rsid w:val="00751AE0"/>
    <w:rsid w:val="007522F4"/>
    <w:rsid w:val="007527D4"/>
    <w:rsid w:val="007543A9"/>
    <w:rsid w:val="00757050"/>
    <w:rsid w:val="0075726E"/>
    <w:rsid w:val="00757626"/>
    <w:rsid w:val="007619FB"/>
    <w:rsid w:val="00761F9B"/>
    <w:rsid w:val="00763604"/>
    <w:rsid w:val="00764FF1"/>
    <w:rsid w:val="0076535E"/>
    <w:rsid w:val="0076596F"/>
    <w:rsid w:val="00771B55"/>
    <w:rsid w:val="00773F0F"/>
    <w:rsid w:val="00774881"/>
    <w:rsid w:val="007749FA"/>
    <w:rsid w:val="00774C44"/>
    <w:rsid w:val="007758A7"/>
    <w:rsid w:val="007765E0"/>
    <w:rsid w:val="007774D6"/>
    <w:rsid w:val="00777F38"/>
    <w:rsid w:val="00780F2D"/>
    <w:rsid w:val="007815D4"/>
    <w:rsid w:val="00781EF0"/>
    <w:rsid w:val="00782A1C"/>
    <w:rsid w:val="00782A76"/>
    <w:rsid w:val="007845E0"/>
    <w:rsid w:val="00784D41"/>
    <w:rsid w:val="007859BA"/>
    <w:rsid w:val="00786DE2"/>
    <w:rsid w:val="00786EFE"/>
    <w:rsid w:val="0079079D"/>
    <w:rsid w:val="00790F25"/>
    <w:rsid w:val="00790F61"/>
    <w:rsid w:val="0079225F"/>
    <w:rsid w:val="00793FAC"/>
    <w:rsid w:val="00794AF3"/>
    <w:rsid w:val="0079523F"/>
    <w:rsid w:val="007963F9"/>
    <w:rsid w:val="0079675F"/>
    <w:rsid w:val="00796A5B"/>
    <w:rsid w:val="0079736F"/>
    <w:rsid w:val="0079763E"/>
    <w:rsid w:val="0079778D"/>
    <w:rsid w:val="007A0470"/>
    <w:rsid w:val="007A113A"/>
    <w:rsid w:val="007A1DB9"/>
    <w:rsid w:val="007A264D"/>
    <w:rsid w:val="007A2994"/>
    <w:rsid w:val="007A29F6"/>
    <w:rsid w:val="007A45D7"/>
    <w:rsid w:val="007A4BF7"/>
    <w:rsid w:val="007A4CC1"/>
    <w:rsid w:val="007B19EF"/>
    <w:rsid w:val="007B3BFE"/>
    <w:rsid w:val="007B430C"/>
    <w:rsid w:val="007B4937"/>
    <w:rsid w:val="007B538A"/>
    <w:rsid w:val="007B7761"/>
    <w:rsid w:val="007B7D77"/>
    <w:rsid w:val="007B7FEF"/>
    <w:rsid w:val="007C02EF"/>
    <w:rsid w:val="007C04C9"/>
    <w:rsid w:val="007C13FD"/>
    <w:rsid w:val="007C1EFD"/>
    <w:rsid w:val="007C27E4"/>
    <w:rsid w:val="007C47D8"/>
    <w:rsid w:val="007C4CF6"/>
    <w:rsid w:val="007C4E8F"/>
    <w:rsid w:val="007C510E"/>
    <w:rsid w:val="007C5287"/>
    <w:rsid w:val="007C54CF"/>
    <w:rsid w:val="007C6087"/>
    <w:rsid w:val="007C62E7"/>
    <w:rsid w:val="007C65AF"/>
    <w:rsid w:val="007C65C5"/>
    <w:rsid w:val="007C76A0"/>
    <w:rsid w:val="007D0694"/>
    <w:rsid w:val="007D0AF8"/>
    <w:rsid w:val="007D101D"/>
    <w:rsid w:val="007D1C7A"/>
    <w:rsid w:val="007D1E13"/>
    <w:rsid w:val="007D201F"/>
    <w:rsid w:val="007D2214"/>
    <w:rsid w:val="007D2CD0"/>
    <w:rsid w:val="007D2EBC"/>
    <w:rsid w:val="007D50E6"/>
    <w:rsid w:val="007D64E9"/>
    <w:rsid w:val="007E0180"/>
    <w:rsid w:val="007E0C12"/>
    <w:rsid w:val="007E0EC3"/>
    <w:rsid w:val="007E179F"/>
    <w:rsid w:val="007E3039"/>
    <w:rsid w:val="007E33CA"/>
    <w:rsid w:val="007E4357"/>
    <w:rsid w:val="007E5484"/>
    <w:rsid w:val="007E688B"/>
    <w:rsid w:val="007E6CE6"/>
    <w:rsid w:val="007E7B1A"/>
    <w:rsid w:val="007F1A35"/>
    <w:rsid w:val="007F223D"/>
    <w:rsid w:val="007F3256"/>
    <w:rsid w:val="007F4F44"/>
    <w:rsid w:val="007F5D39"/>
    <w:rsid w:val="007F6060"/>
    <w:rsid w:val="007F7BB0"/>
    <w:rsid w:val="008002AF"/>
    <w:rsid w:val="008012C2"/>
    <w:rsid w:val="00801871"/>
    <w:rsid w:val="00801CC8"/>
    <w:rsid w:val="00801FC6"/>
    <w:rsid w:val="0080290B"/>
    <w:rsid w:val="00802C69"/>
    <w:rsid w:val="008037F9"/>
    <w:rsid w:val="00804295"/>
    <w:rsid w:val="00804754"/>
    <w:rsid w:val="00805768"/>
    <w:rsid w:val="008060BE"/>
    <w:rsid w:val="008063B9"/>
    <w:rsid w:val="008063C8"/>
    <w:rsid w:val="00806403"/>
    <w:rsid w:val="008069AC"/>
    <w:rsid w:val="00806F35"/>
    <w:rsid w:val="0080779F"/>
    <w:rsid w:val="008101EC"/>
    <w:rsid w:val="0081089D"/>
    <w:rsid w:val="008109FB"/>
    <w:rsid w:val="008139C5"/>
    <w:rsid w:val="00813CAA"/>
    <w:rsid w:val="00814945"/>
    <w:rsid w:val="00816AB0"/>
    <w:rsid w:val="00817511"/>
    <w:rsid w:val="00820A36"/>
    <w:rsid w:val="00820A75"/>
    <w:rsid w:val="00821D33"/>
    <w:rsid w:val="0082303F"/>
    <w:rsid w:val="00823B90"/>
    <w:rsid w:val="00824854"/>
    <w:rsid w:val="00825DDA"/>
    <w:rsid w:val="00827429"/>
    <w:rsid w:val="0083059E"/>
    <w:rsid w:val="00830841"/>
    <w:rsid w:val="00830D38"/>
    <w:rsid w:val="00832169"/>
    <w:rsid w:val="008327DC"/>
    <w:rsid w:val="0083281E"/>
    <w:rsid w:val="00832EE2"/>
    <w:rsid w:val="00833311"/>
    <w:rsid w:val="00834998"/>
    <w:rsid w:val="0083648D"/>
    <w:rsid w:val="0083679E"/>
    <w:rsid w:val="00836CE9"/>
    <w:rsid w:val="00836E62"/>
    <w:rsid w:val="00837953"/>
    <w:rsid w:val="00837B60"/>
    <w:rsid w:val="00840401"/>
    <w:rsid w:val="0084196A"/>
    <w:rsid w:val="0084222A"/>
    <w:rsid w:val="0084282E"/>
    <w:rsid w:val="008429EC"/>
    <w:rsid w:val="00842B6D"/>
    <w:rsid w:val="0084358C"/>
    <w:rsid w:val="008437D4"/>
    <w:rsid w:val="008437EA"/>
    <w:rsid w:val="00843D07"/>
    <w:rsid w:val="00843DE1"/>
    <w:rsid w:val="00844505"/>
    <w:rsid w:val="00844DF3"/>
    <w:rsid w:val="00845E61"/>
    <w:rsid w:val="008464AA"/>
    <w:rsid w:val="00846ACC"/>
    <w:rsid w:val="00846CAA"/>
    <w:rsid w:val="008470F3"/>
    <w:rsid w:val="00850147"/>
    <w:rsid w:val="00850155"/>
    <w:rsid w:val="00851505"/>
    <w:rsid w:val="00852F8D"/>
    <w:rsid w:val="0085397C"/>
    <w:rsid w:val="00853E91"/>
    <w:rsid w:val="008541BE"/>
    <w:rsid w:val="008546C1"/>
    <w:rsid w:val="00854B39"/>
    <w:rsid w:val="00854F70"/>
    <w:rsid w:val="0085520F"/>
    <w:rsid w:val="008553BB"/>
    <w:rsid w:val="008553C9"/>
    <w:rsid w:val="00855481"/>
    <w:rsid w:val="0085591D"/>
    <w:rsid w:val="00855BA0"/>
    <w:rsid w:val="0085625A"/>
    <w:rsid w:val="00856CED"/>
    <w:rsid w:val="008573B7"/>
    <w:rsid w:val="00857592"/>
    <w:rsid w:val="00857B9A"/>
    <w:rsid w:val="00860C7F"/>
    <w:rsid w:val="00861A60"/>
    <w:rsid w:val="00861D6F"/>
    <w:rsid w:val="0086282D"/>
    <w:rsid w:val="008638FF"/>
    <w:rsid w:val="0086439D"/>
    <w:rsid w:val="00865AE6"/>
    <w:rsid w:val="00866656"/>
    <w:rsid w:val="0086709D"/>
    <w:rsid w:val="00867AFD"/>
    <w:rsid w:val="00867E8B"/>
    <w:rsid w:val="00870DBF"/>
    <w:rsid w:val="00871324"/>
    <w:rsid w:val="008713C2"/>
    <w:rsid w:val="00872069"/>
    <w:rsid w:val="008721B5"/>
    <w:rsid w:val="00872495"/>
    <w:rsid w:val="0087290E"/>
    <w:rsid w:val="008735B9"/>
    <w:rsid w:val="00873B77"/>
    <w:rsid w:val="00874F5A"/>
    <w:rsid w:val="00875B38"/>
    <w:rsid w:val="00877364"/>
    <w:rsid w:val="0087795F"/>
    <w:rsid w:val="008808F9"/>
    <w:rsid w:val="00882603"/>
    <w:rsid w:val="00882627"/>
    <w:rsid w:val="00882FE4"/>
    <w:rsid w:val="00883BBF"/>
    <w:rsid w:val="00883C06"/>
    <w:rsid w:val="00883D05"/>
    <w:rsid w:val="00885E4A"/>
    <w:rsid w:val="00890601"/>
    <w:rsid w:val="00891016"/>
    <w:rsid w:val="0089208D"/>
    <w:rsid w:val="008930A1"/>
    <w:rsid w:val="0089328C"/>
    <w:rsid w:val="00893917"/>
    <w:rsid w:val="00893E3D"/>
    <w:rsid w:val="0089464A"/>
    <w:rsid w:val="008955EA"/>
    <w:rsid w:val="00895CB6"/>
    <w:rsid w:val="00895FAA"/>
    <w:rsid w:val="008964D5"/>
    <w:rsid w:val="00896FB8"/>
    <w:rsid w:val="008970A8"/>
    <w:rsid w:val="00897E81"/>
    <w:rsid w:val="008A0BF5"/>
    <w:rsid w:val="008A1235"/>
    <w:rsid w:val="008A135D"/>
    <w:rsid w:val="008A204C"/>
    <w:rsid w:val="008A217F"/>
    <w:rsid w:val="008A2714"/>
    <w:rsid w:val="008A27F7"/>
    <w:rsid w:val="008A370B"/>
    <w:rsid w:val="008A3C9A"/>
    <w:rsid w:val="008A4193"/>
    <w:rsid w:val="008A4905"/>
    <w:rsid w:val="008A4F2F"/>
    <w:rsid w:val="008A56C6"/>
    <w:rsid w:val="008A648C"/>
    <w:rsid w:val="008A7B2A"/>
    <w:rsid w:val="008B0352"/>
    <w:rsid w:val="008B08C0"/>
    <w:rsid w:val="008B13E9"/>
    <w:rsid w:val="008B1BBB"/>
    <w:rsid w:val="008B3191"/>
    <w:rsid w:val="008B31AB"/>
    <w:rsid w:val="008B3C30"/>
    <w:rsid w:val="008B65F5"/>
    <w:rsid w:val="008B725C"/>
    <w:rsid w:val="008B72A2"/>
    <w:rsid w:val="008B7B55"/>
    <w:rsid w:val="008C0B9B"/>
    <w:rsid w:val="008C0F22"/>
    <w:rsid w:val="008C269C"/>
    <w:rsid w:val="008C2FBE"/>
    <w:rsid w:val="008C3D59"/>
    <w:rsid w:val="008C47C3"/>
    <w:rsid w:val="008C4901"/>
    <w:rsid w:val="008C546E"/>
    <w:rsid w:val="008C54FC"/>
    <w:rsid w:val="008C5D64"/>
    <w:rsid w:val="008C6189"/>
    <w:rsid w:val="008C712D"/>
    <w:rsid w:val="008C7176"/>
    <w:rsid w:val="008C7270"/>
    <w:rsid w:val="008C7CFE"/>
    <w:rsid w:val="008C7E23"/>
    <w:rsid w:val="008D04E2"/>
    <w:rsid w:val="008D0AA3"/>
    <w:rsid w:val="008D29B3"/>
    <w:rsid w:val="008D2F02"/>
    <w:rsid w:val="008D3A9C"/>
    <w:rsid w:val="008D3F71"/>
    <w:rsid w:val="008D4439"/>
    <w:rsid w:val="008D44BD"/>
    <w:rsid w:val="008D4D8D"/>
    <w:rsid w:val="008D5512"/>
    <w:rsid w:val="008D57DA"/>
    <w:rsid w:val="008D59F8"/>
    <w:rsid w:val="008D5C92"/>
    <w:rsid w:val="008D60D0"/>
    <w:rsid w:val="008D6356"/>
    <w:rsid w:val="008D71A6"/>
    <w:rsid w:val="008D7429"/>
    <w:rsid w:val="008E111F"/>
    <w:rsid w:val="008E17CA"/>
    <w:rsid w:val="008E19D1"/>
    <w:rsid w:val="008E1ABF"/>
    <w:rsid w:val="008E1BDB"/>
    <w:rsid w:val="008E2E97"/>
    <w:rsid w:val="008E2FB8"/>
    <w:rsid w:val="008E304C"/>
    <w:rsid w:val="008E3052"/>
    <w:rsid w:val="008E49E7"/>
    <w:rsid w:val="008E4F42"/>
    <w:rsid w:val="008E70A7"/>
    <w:rsid w:val="008E7743"/>
    <w:rsid w:val="008E792D"/>
    <w:rsid w:val="008F025C"/>
    <w:rsid w:val="008F14D6"/>
    <w:rsid w:val="008F1D2B"/>
    <w:rsid w:val="008F3085"/>
    <w:rsid w:val="008F3464"/>
    <w:rsid w:val="008F3B79"/>
    <w:rsid w:val="008F3D25"/>
    <w:rsid w:val="008F4B26"/>
    <w:rsid w:val="008F4CBA"/>
    <w:rsid w:val="008F4DBE"/>
    <w:rsid w:val="008F50A1"/>
    <w:rsid w:val="008F52D5"/>
    <w:rsid w:val="008F5C6A"/>
    <w:rsid w:val="008F65C6"/>
    <w:rsid w:val="008F6A9B"/>
    <w:rsid w:val="008F6E2B"/>
    <w:rsid w:val="008F7196"/>
    <w:rsid w:val="00900FDE"/>
    <w:rsid w:val="0090102E"/>
    <w:rsid w:val="00901B7E"/>
    <w:rsid w:val="00902F00"/>
    <w:rsid w:val="00903221"/>
    <w:rsid w:val="00903B7F"/>
    <w:rsid w:val="00903D33"/>
    <w:rsid w:val="00904CCD"/>
    <w:rsid w:val="009057E8"/>
    <w:rsid w:val="00905A21"/>
    <w:rsid w:val="00906440"/>
    <w:rsid w:val="00906620"/>
    <w:rsid w:val="00906DBD"/>
    <w:rsid w:val="00907206"/>
    <w:rsid w:val="00910749"/>
    <w:rsid w:val="00910A91"/>
    <w:rsid w:val="00910CB8"/>
    <w:rsid w:val="009116DC"/>
    <w:rsid w:val="00912E7D"/>
    <w:rsid w:val="00912EAF"/>
    <w:rsid w:val="009136B5"/>
    <w:rsid w:val="00913B8E"/>
    <w:rsid w:val="00913CCB"/>
    <w:rsid w:val="009143C0"/>
    <w:rsid w:val="00914828"/>
    <w:rsid w:val="00916301"/>
    <w:rsid w:val="0091645B"/>
    <w:rsid w:val="009165E4"/>
    <w:rsid w:val="00920125"/>
    <w:rsid w:val="00920ADE"/>
    <w:rsid w:val="0092121A"/>
    <w:rsid w:val="00921F1B"/>
    <w:rsid w:val="00922137"/>
    <w:rsid w:val="00922E0F"/>
    <w:rsid w:val="009233E6"/>
    <w:rsid w:val="0092364D"/>
    <w:rsid w:val="00923A04"/>
    <w:rsid w:val="00923E93"/>
    <w:rsid w:val="00924456"/>
    <w:rsid w:val="009249BF"/>
    <w:rsid w:val="009264B3"/>
    <w:rsid w:val="00926856"/>
    <w:rsid w:val="009271C3"/>
    <w:rsid w:val="00927743"/>
    <w:rsid w:val="009302BC"/>
    <w:rsid w:val="00931C59"/>
    <w:rsid w:val="009322CD"/>
    <w:rsid w:val="0093238F"/>
    <w:rsid w:val="00932444"/>
    <w:rsid w:val="0093322E"/>
    <w:rsid w:val="009333FB"/>
    <w:rsid w:val="00934576"/>
    <w:rsid w:val="00935DA9"/>
    <w:rsid w:val="009364CA"/>
    <w:rsid w:val="00936FF8"/>
    <w:rsid w:val="009379D0"/>
    <w:rsid w:val="00937C8F"/>
    <w:rsid w:val="009400C8"/>
    <w:rsid w:val="009412BB"/>
    <w:rsid w:val="00941992"/>
    <w:rsid w:val="009421D9"/>
    <w:rsid w:val="009425C4"/>
    <w:rsid w:val="00944352"/>
    <w:rsid w:val="009445EC"/>
    <w:rsid w:val="009446A0"/>
    <w:rsid w:val="009451DA"/>
    <w:rsid w:val="0094625C"/>
    <w:rsid w:val="00946682"/>
    <w:rsid w:val="009467C4"/>
    <w:rsid w:val="00947057"/>
    <w:rsid w:val="00947116"/>
    <w:rsid w:val="009477D3"/>
    <w:rsid w:val="00947EA2"/>
    <w:rsid w:val="0095103F"/>
    <w:rsid w:val="0095217A"/>
    <w:rsid w:val="009540E5"/>
    <w:rsid w:val="009546E5"/>
    <w:rsid w:val="0095499C"/>
    <w:rsid w:val="00955866"/>
    <w:rsid w:val="00955B9F"/>
    <w:rsid w:val="00955C38"/>
    <w:rsid w:val="00955E45"/>
    <w:rsid w:val="00956796"/>
    <w:rsid w:val="00956D53"/>
    <w:rsid w:val="009571ED"/>
    <w:rsid w:val="00960F22"/>
    <w:rsid w:val="00960F4C"/>
    <w:rsid w:val="00963695"/>
    <w:rsid w:val="00964829"/>
    <w:rsid w:val="00964A79"/>
    <w:rsid w:val="00965CD3"/>
    <w:rsid w:val="00966075"/>
    <w:rsid w:val="009673F7"/>
    <w:rsid w:val="00971859"/>
    <w:rsid w:val="00971CB3"/>
    <w:rsid w:val="0097342E"/>
    <w:rsid w:val="009734A8"/>
    <w:rsid w:val="00973B80"/>
    <w:rsid w:val="009740F0"/>
    <w:rsid w:val="00974590"/>
    <w:rsid w:val="009746DD"/>
    <w:rsid w:val="00975440"/>
    <w:rsid w:val="009770F9"/>
    <w:rsid w:val="00977A1E"/>
    <w:rsid w:val="00980388"/>
    <w:rsid w:val="00980ED2"/>
    <w:rsid w:val="00982281"/>
    <w:rsid w:val="0098438C"/>
    <w:rsid w:val="00984576"/>
    <w:rsid w:val="0098546A"/>
    <w:rsid w:val="00986625"/>
    <w:rsid w:val="00987057"/>
    <w:rsid w:val="009871B3"/>
    <w:rsid w:val="0099015B"/>
    <w:rsid w:val="009918FF"/>
    <w:rsid w:val="00993D46"/>
    <w:rsid w:val="00993FE1"/>
    <w:rsid w:val="0099516A"/>
    <w:rsid w:val="0099528B"/>
    <w:rsid w:val="00995D97"/>
    <w:rsid w:val="0099753D"/>
    <w:rsid w:val="009A0AAC"/>
    <w:rsid w:val="009A1138"/>
    <w:rsid w:val="009A1E91"/>
    <w:rsid w:val="009A2D34"/>
    <w:rsid w:val="009A2F83"/>
    <w:rsid w:val="009A3227"/>
    <w:rsid w:val="009A32DE"/>
    <w:rsid w:val="009A371A"/>
    <w:rsid w:val="009A3D52"/>
    <w:rsid w:val="009A40A5"/>
    <w:rsid w:val="009A556B"/>
    <w:rsid w:val="009A58D8"/>
    <w:rsid w:val="009A59AB"/>
    <w:rsid w:val="009A7924"/>
    <w:rsid w:val="009A7E13"/>
    <w:rsid w:val="009B0708"/>
    <w:rsid w:val="009B0A3F"/>
    <w:rsid w:val="009B1E6F"/>
    <w:rsid w:val="009B1ED9"/>
    <w:rsid w:val="009B54DC"/>
    <w:rsid w:val="009B63A7"/>
    <w:rsid w:val="009B682D"/>
    <w:rsid w:val="009B6A74"/>
    <w:rsid w:val="009B724D"/>
    <w:rsid w:val="009B7266"/>
    <w:rsid w:val="009B7363"/>
    <w:rsid w:val="009B7ABF"/>
    <w:rsid w:val="009C02CA"/>
    <w:rsid w:val="009C1135"/>
    <w:rsid w:val="009C1C67"/>
    <w:rsid w:val="009C1E21"/>
    <w:rsid w:val="009C20C2"/>
    <w:rsid w:val="009C2AD6"/>
    <w:rsid w:val="009C3AA9"/>
    <w:rsid w:val="009C47DE"/>
    <w:rsid w:val="009C4ECF"/>
    <w:rsid w:val="009C5A95"/>
    <w:rsid w:val="009C5C42"/>
    <w:rsid w:val="009C60B5"/>
    <w:rsid w:val="009C60BB"/>
    <w:rsid w:val="009C66B8"/>
    <w:rsid w:val="009D026B"/>
    <w:rsid w:val="009D0980"/>
    <w:rsid w:val="009D127F"/>
    <w:rsid w:val="009D1AAD"/>
    <w:rsid w:val="009D1BC7"/>
    <w:rsid w:val="009D3109"/>
    <w:rsid w:val="009D3A2A"/>
    <w:rsid w:val="009D3B34"/>
    <w:rsid w:val="009D3B40"/>
    <w:rsid w:val="009D4F58"/>
    <w:rsid w:val="009D72C9"/>
    <w:rsid w:val="009D7452"/>
    <w:rsid w:val="009D7D1C"/>
    <w:rsid w:val="009E1514"/>
    <w:rsid w:val="009E1B85"/>
    <w:rsid w:val="009E1EF0"/>
    <w:rsid w:val="009E35A3"/>
    <w:rsid w:val="009E39C9"/>
    <w:rsid w:val="009E3D11"/>
    <w:rsid w:val="009E3ED2"/>
    <w:rsid w:val="009E42CB"/>
    <w:rsid w:val="009E473D"/>
    <w:rsid w:val="009E4C83"/>
    <w:rsid w:val="009E5F36"/>
    <w:rsid w:val="009E636E"/>
    <w:rsid w:val="009E6A17"/>
    <w:rsid w:val="009E709F"/>
    <w:rsid w:val="009E720E"/>
    <w:rsid w:val="009F1F08"/>
    <w:rsid w:val="009F3E8A"/>
    <w:rsid w:val="009F3ED9"/>
    <w:rsid w:val="009F40DF"/>
    <w:rsid w:val="009F4187"/>
    <w:rsid w:val="009F42AF"/>
    <w:rsid w:val="009F4FD5"/>
    <w:rsid w:val="00A0082F"/>
    <w:rsid w:val="00A00C63"/>
    <w:rsid w:val="00A016D1"/>
    <w:rsid w:val="00A023C1"/>
    <w:rsid w:val="00A02F1B"/>
    <w:rsid w:val="00A03170"/>
    <w:rsid w:val="00A039BD"/>
    <w:rsid w:val="00A04051"/>
    <w:rsid w:val="00A04652"/>
    <w:rsid w:val="00A04DA7"/>
    <w:rsid w:val="00A056C1"/>
    <w:rsid w:val="00A0638B"/>
    <w:rsid w:val="00A06947"/>
    <w:rsid w:val="00A06F0C"/>
    <w:rsid w:val="00A10068"/>
    <w:rsid w:val="00A115B9"/>
    <w:rsid w:val="00A11A1C"/>
    <w:rsid w:val="00A1438A"/>
    <w:rsid w:val="00A14C09"/>
    <w:rsid w:val="00A15F1E"/>
    <w:rsid w:val="00A160BE"/>
    <w:rsid w:val="00A160C5"/>
    <w:rsid w:val="00A16133"/>
    <w:rsid w:val="00A16356"/>
    <w:rsid w:val="00A164E7"/>
    <w:rsid w:val="00A17237"/>
    <w:rsid w:val="00A17681"/>
    <w:rsid w:val="00A200AB"/>
    <w:rsid w:val="00A2033B"/>
    <w:rsid w:val="00A20FEE"/>
    <w:rsid w:val="00A212BF"/>
    <w:rsid w:val="00A21FB5"/>
    <w:rsid w:val="00A2269E"/>
    <w:rsid w:val="00A228C6"/>
    <w:rsid w:val="00A23BAB"/>
    <w:rsid w:val="00A24A00"/>
    <w:rsid w:val="00A24EA7"/>
    <w:rsid w:val="00A25294"/>
    <w:rsid w:val="00A252D6"/>
    <w:rsid w:val="00A25D23"/>
    <w:rsid w:val="00A30198"/>
    <w:rsid w:val="00A30338"/>
    <w:rsid w:val="00A31F18"/>
    <w:rsid w:val="00A320A1"/>
    <w:rsid w:val="00A32CD9"/>
    <w:rsid w:val="00A33531"/>
    <w:rsid w:val="00A34788"/>
    <w:rsid w:val="00A3598C"/>
    <w:rsid w:val="00A35BBA"/>
    <w:rsid w:val="00A35D1F"/>
    <w:rsid w:val="00A36098"/>
    <w:rsid w:val="00A368DB"/>
    <w:rsid w:val="00A36BEA"/>
    <w:rsid w:val="00A37403"/>
    <w:rsid w:val="00A37860"/>
    <w:rsid w:val="00A4065B"/>
    <w:rsid w:val="00A40E9A"/>
    <w:rsid w:val="00A417CD"/>
    <w:rsid w:val="00A41BB0"/>
    <w:rsid w:val="00A42051"/>
    <w:rsid w:val="00A428FF"/>
    <w:rsid w:val="00A44B0D"/>
    <w:rsid w:val="00A44B2E"/>
    <w:rsid w:val="00A45369"/>
    <w:rsid w:val="00A456AB"/>
    <w:rsid w:val="00A45AEA"/>
    <w:rsid w:val="00A45B2F"/>
    <w:rsid w:val="00A467AF"/>
    <w:rsid w:val="00A475F4"/>
    <w:rsid w:val="00A50119"/>
    <w:rsid w:val="00A5015D"/>
    <w:rsid w:val="00A51CD6"/>
    <w:rsid w:val="00A52E12"/>
    <w:rsid w:val="00A52E28"/>
    <w:rsid w:val="00A53D1F"/>
    <w:rsid w:val="00A53EEA"/>
    <w:rsid w:val="00A555D4"/>
    <w:rsid w:val="00A5615F"/>
    <w:rsid w:val="00A56170"/>
    <w:rsid w:val="00A56787"/>
    <w:rsid w:val="00A57671"/>
    <w:rsid w:val="00A62055"/>
    <w:rsid w:val="00A62ADC"/>
    <w:rsid w:val="00A64716"/>
    <w:rsid w:val="00A6483A"/>
    <w:rsid w:val="00A651A1"/>
    <w:rsid w:val="00A67937"/>
    <w:rsid w:val="00A70E36"/>
    <w:rsid w:val="00A715AA"/>
    <w:rsid w:val="00A720B6"/>
    <w:rsid w:val="00A746F8"/>
    <w:rsid w:val="00A75993"/>
    <w:rsid w:val="00A75E24"/>
    <w:rsid w:val="00A76A0B"/>
    <w:rsid w:val="00A771AE"/>
    <w:rsid w:val="00A8089C"/>
    <w:rsid w:val="00A81747"/>
    <w:rsid w:val="00A82591"/>
    <w:rsid w:val="00A84299"/>
    <w:rsid w:val="00A85F33"/>
    <w:rsid w:val="00A86E81"/>
    <w:rsid w:val="00A87671"/>
    <w:rsid w:val="00A87CE5"/>
    <w:rsid w:val="00A90117"/>
    <w:rsid w:val="00A90373"/>
    <w:rsid w:val="00A903CE"/>
    <w:rsid w:val="00A90D33"/>
    <w:rsid w:val="00A90FB6"/>
    <w:rsid w:val="00A928ED"/>
    <w:rsid w:val="00A93312"/>
    <w:rsid w:val="00A934C0"/>
    <w:rsid w:val="00A939A2"/>
    <w:rsid w:val="00A9479F"/>
    <w:rsid w:val="00A949E8"/>
    <w:rsid w:val="00A94CED"/>
    <w:rsid w:val="00A95072"/>
    <w:rsid w:val="00A962C5"/>
    <w:rsid w:val="00A96BFA"/>
    <w:rsid w:val="00A96D3E"/>
    <w:rsid w:val="00A9758B"/>
    <w:rsid w:val="00AA217E"/>
    <w:rsid w:val="00AA255A"/>
    <w:rsid w:val="00AA276E"/>
    <w:rsid w:val="00AA3DD0"/>
    <w:rsid w:val="00AA4940"/>
    <w:rsid w:val="00AA59AE"/>
    <w:rsid w:val="00AA662C"/>
    <w:rsid w:val="00AA7232"/>
    <w:rsid w:val="00AB0B09"/>
    <w:rsid w:val="00AB136F"/>
    <w:rsid w:val="00AB1407"/>
    <w:rsid w:val="00AB153C"/>
    <w:rsid w:val="00AB16F6"/>
    <w:rsid w:val="00AB1899"/>
    <w:rsid w:val="00AB328C"/>
    <w:rsid w:val="00AB3A1C"/>
    <w:rsid w:val="00AB50BA"/>
    <w:rsid w:val="00AC0C4B"/>
    <w:rsid w:val="00AC10C0"/>
    <w:rsid w:val="00AC1221"/>
    <w:rsid w:val="00AC21F9"/>
    <w:rsid w:val="00AC2578"/>
    <w:rsid w:val="00AC3125"/>
    <w:rsid w:val="00AC419A"/>
    <w:rsid w:val="00AC465B"/>
    <w:rsid w:val="00AC4C95"/>
    <w:rsid w:val="00AC4F62"/>
    <w:rsid w:val="00AC5043"/>
    <w:rsid w:val="00AC538C"/>
    <w:rsid w:val="00AC54E5"/>
    <w:rsid w:val="00AC6113"/>
    <w:rsid w:val="00AC64CD"/>
    <w:rsid w:val="00AC651F"/>
    <w:rsid w:val="00AC7C53"/>
    <w:rsid w:val="00AD0E92"/>
    <w:rsid w:val="00AD1EC7"/>
    <w:rsid w:val="00AD1F66"/>
    <w:rsid w:val="00AD2744"/>
    <w:rsid w:val="00AD31F2"/>
    <w:rsid w:val="00AD423C"/>
    <w:rsid w:val="00AD48BD"/>
    <w:rsid w:val="00AD64FD"/>
    <w:rsid w:val="00AD675D"/>
    <w:rsid w:val="00AD6D74"/>
    <w:rsid w:val="00AD7748"/>
    <w:rsid w:val="00AE05E6"/>
    <w:rsid w:val="00AE05FE"/>
    <w:rsid w:val="00AE1086"/>
    <w:rsid w:val="00AE176D"/>
    <w:rsid w:val="00AE1ACE"/>
    <w:rsid w:val="00AE20F1"/>
    <w:rsid w:val="00AE25ED"/>
    <w:rsid w:val="00AE2701"/>
    <w:rsid w:val="00AE2748"/>
    <w:rsid w:val="00AE28B3"/>
    <w:rsid w:val="00AE3A61"/>
    <w:rsid w:val="00AE4DD2"/>
    <w:rsid w:val="00AE6152"/>
    <w:rsid w:val="00AE7647"/>
    <w:rsid w:val="00AE7695"/>
    <w:rsid w:val="00AE7875"/>
    <w:rsid w:val="00AF0283"/>
    <w:rsid w:val="00AF0BDD"/>
    <w:rsid w:val="00AF3B53"/>
    <w:rsid w:val="00AF4259"/>
    <w:rsid w:val="00AF5B07"/>
    <w:rsid w:val="00AF5B88"/>
    <w:rsid w:val="00B0029A"/>
    <w:rsid w:val="00B0085E"/>
    <w:rsid w:val="00B03079"/>
    <w:rsid w:val="00B032BA"/>
    <w:rsid w:val="00B0566F"/>
    <w:rsid w:val="00B05A27"/>
    <w:rsid w:val="00B06015"/>
    <w:rsid w:val="00B065CD"/>
    <w:rsid w:val="00B109C5"/>
    <w:rsid w:val="00B11774"/>
    <w:rsid w:val="00B12090"/>
    <w:rsid w:val="00B12302"/>
    <w:rsid w:val="00B1261D"/>
    <w:rsid w:val="00B12651"/>
    <w:rsid w:val="00B12EC9"/>
    <w:rsid w:val="00B12F14"/>
    <w:rsid w:val="00B130B3"/>
    <w:rsid w:val="00B1363D"/>
    <w:rsid w:val="00B14179"/>
    <w:rsid w:val="00B14BDE"/>
    <w:rsid w:val="00B15DC6"/>
    <w:rsid w:val="00B15F4C"/>
    <w:rsid w:val="00B16106"/>
    <w:rsid w:val="00B16A55"/>
    <w:rsid w:val="00B17C8F"/>
    <w:rsid w:val="00B20F11"/>
    <w:rsid w:val="00B210AF"/>
    <w:rsid w:val="00B2286A"/>
    <w:rsid w:val="00B229DF"/>
    <w:rsid w:val="00B22EDA"/>
    <w:rsid w:val="00B23193"/>
    <w:rsid w:val="00B2468C"/>
    <w:rsid w:val="00B24B24"/>
    <w:rsid w:val="00B24D6A"/>
    <w:rsid w:val="00B25DEE"/>
    <w:rsid w:val="00B2700F"/>
    <w:rsid w:val="00B30412"/>
    <w:rsid w:val="00B311AD"/>
    <w:rsid w:val="00B31622"/>
    <w:rsid w:val="00B31D60"/>
    <w:rsid w:val="00B3288F"/>
    <w:rsid w:val="00B32BE9"/>
    <w:rsid w:val="00B33748"/>
    <w:rsid w:val="00B3406F"/>
    <w:rsid w:val="00B34FEA"/>
    <w:rsid w:val="00B353D3"/>
    <w:rsid w:val="00B3580C"/>
    <w:rsid w:val="00B360EA"/>
    <w:rsid w:val="00B4010C"/>
    <w:rsid w:val="00B40F23"/>
    <w:rsid w:val="00B41356"/>
    <w:rsid w:val="00B424B9"/>
    <w:rsid w:val="00B42503"/>
    <w:rsid w:val="00B43BEA"/>
    <w:rsid w:val="00B440A1"/>
    <w:rsid w:val="00B448D4"/>
    <w:rsid w:val="00B452C8"/>
    <w:rsid w:val="00B4622A"/>
    <w:rsid w:val="00B46620"/>
    <w:rsid w:val="00B467ED"/>
    <w:rsid w:val="00B46BAB"/>
    <w:rsid w:val="00B4731E"/>
    <w:rsid w:val="00B47F2F"/>
    <w:rsid w:val="00B50F67"/>
    <w:rsid w:val="00B51540"/>
    <w:rsid w:val="00B516D7"/>
    <w:rsid w:val="00B51F5E"/>
    <w:rsid w:val="00B5258E"/>
    <w:rsid w:val="00B5292A"/>
    <w:rsid w:val="00B53860"/>
    <w:rsid w:val="00B54764"/>
    <w:rsid w:val="00B5597C"/>
    <w:rsid w:val="00B55DCD"/>
    <w:rsid w:val="00B56684"/>
    <w:rsid w:val="00B60611"/>
    <w:rsid w:val="00B60A25"/>
    <w:rsid w:val="00B60B2A"/>
    <w:rsid w:val="00B60E78"/>
    <w:rsid w:val="00B61909"/>
    <w:rsid w:val="00B6198E"/>
    <w:rsid w:val="00B61A63"/>
    <w:rsid w:val="00B61EBB"/>
    <w:rsid w:val="00B62816"/>
    <w:rsid w:val="00B62DC1"/>
    <w:rsid w:val="00B62EE4"/>
    <w:rsid w:val="00B62F42"/>
    <w:rsid w:val="00B6380A"/>
    <w:rsid w:val="00B65136"/>
    <w:rsid w:val="00B65690"/>
    <w:rsid w:val="00B66A4B"/>
    <w:rsid w:val="00B6711C"/>
    <w:rsid w:val="00B67CFB"/>
    <w:rsid w:val="00B67D93"/>
    <w:rsid w:val="00B67E6E"/>
    <w:rsid w:val="00B70ACB"/>
    <w:rsid w:val="00B7150E"/>
    <w:rsid w:val="00B719FC"/>
    <w:rsid w:val="00B71B39"/>
    <w:rsid w:val="00B71EB1"/>
    <w:rsid w:val="00B72458"/>
    <w:rsid w:val="00B726C5"/>
    <w:rsid w:val="00B73622"/>
    <w:rsid w:val="00B74FC0"/>
    <w:rsid w:val="00B771A6"/>
    <w:rsid w:val="00B77720"/>
    <w:rsid w:val="00B77D90"/>
    <w:rsid w:val="00B804D6"/>
    <w:rsid w:val="00B812C6"/>
    <w:rsid w:val="00B81383"/>
    <w:rsid w:val="00B82ADF"/>
    <w:rsid w:val="00B82CE9"/>
    <w:rsid w:val="00B82CEE"/>
    <w:rsid w:val="00B82D94"/>
    <w:rsid w:val="00B83AE9"/>
    <w:rsid w:val="00B83DAF"/>
    <w:rsid w:val="00B8456C"/>
    <w:rsid w:val="00B84D62"/>
    <w:rsid w:val="00B854CA"/>
    <w:rsid w:val="00B85F75"/>
    <w:rsid w:val="00B86195"/>
    <w:rsid w:val="00B86D51"/>
    <w:rsid w:val="00B86EC4"/>
    <w:rsid w:val="00B8733E"/>
    <w:rsid w:val="00B8743D"/>
    <w:rsid w:val="00B87FB4"/>
    <w:rsid w:val="00B90EBE"/>
    <w:rsid w:val="00B91E77"/>
    <w:rsid w:val="00B91EA6"/>
    <w:rsid w:val="00B92245"/>
    <w:rsid w:val="00B931EB"/>
    <w:rsid w:val="00B933A9"/>
    <w:rsid w:val="00B9412D"/>
    <w:rsid w:val="00B9486D"/>
    <w:rsid w:val="00B94BC9"/>
    <w:rsid w:val="00B95F04"/>
    <w:rsid w:val="00B96820"/>
    <w:rsid w:val="00B97674"/>
    <w:rsid w:val="00BA059A"/>
    <w:rsid w:val="00BA0C41"/>
    <w:rsid w:val="00BA1566"/>
    <w:rsid w:val="00BA1E89"/>
    <w:rsid w:val="00BA2ECC"/>
    <w:rsid w:val="00BA2ED6"/>
    <w:rsid w:val="00BA3F5E"/>
    <w:rsid w:val="00BA4821"/>
    <w:rsid w:val="00BA4880"/>
    <w:rsid w:val="00BA5971"/>
    <w:rsid w:val="00BB0225"/>
    <w:rsid w:val="00BB0B80"/>
    <w:rsid w:val="00BB1344"/>
    <w:rsid w:val="00BB2B5C"/>
    <w:rsid w:val="00BB2ED6"/>
    <w:rsid w:val="00BB2F50"/>
    <w:rsid w:val="00BB4033"/>
    <w:rsid w:val="00BB5B28"/>
    <w:rsid w:val="00BB7033"/>
    <w:rsid w:val="00BB73B8"/>
    <w:rsid w:val="00BB7491"/>
    <w:rsid w:val="00BC0313"/>
    <w:rsid w:val="00BC0503"/>
    <w:rsid w:val="00BC0809"/>
    <w:rsid w:val="00BC21D0"/>
    <w:rsid w:val="00BC2240"/>
    <w:rsid w:val="00BC27D1"/>
    <w:rsid w:val="00BC316F"/>
    <w:rsid w:val="00BC3499"/>
    <w:rsid w:val="00BC5C14"/>
    <w:rsid w:val="00BC64F2"/>
    <w:rsid w:val="00BC677A"/>
    <w:rsid w:val="00BC6FE8"/>
    <w:rsid w:val="00BC75F4"/>
    <w:rsid w:val="00BC78AB"/>
    <w:rsid w:val="00BD01EB"/>
    <w:rsid w:val="00BD0263"/>
    <w:rsid w:val="00BD05B9"/>
    <w:rsid w:val="00BD083C"/>
    <w:rsid w:val="00BD09F6"/>
    <w:rsid w:val="00BD1738"/>
    <w:rsid w:val="00BD1BEA"/>
    <w:rsid w:val="00BD2266"/>
    <w:rsid w:val="00BD6060"/>
    <w:rsid w:val="00BD60EC"/>
    <w:rsid w:val="00BE0985"/>
    <w:rsid w:val="00BE09FC"/>
    <w:rsid w:val="00BE11BE"/>
    <w:rsid w:val="00BE152B"/>
    <w:rsid w:val="00BE17F0"/>
    <w:rsid w:val="00BE20F5"/>
    <w:rsid w:val="00BE322E"/>
    <w:rsid w:val="00BE364A"/>
    <w:rsid w:val="00BE3915"/>
    <w:rsid w:val="00BE4366"/>
    <w:rsid w:val="00BE5864"/>
    <w:rsid w:val="00BE5B6F"/>
    <w:rsid w:val="00BE5D78"/>
    <w:rsid w:val="00BE6DCB"/>
    <w:rsid w:val="00BE7D0B"/>
    <w:rsid w:val="00BF0D65"/>
    <w:rsid w:val="00BF105B"/>
    <w:rsid w:val="00BF1F79"/>
    <w:rsid w:val="00BF28CA"/>
    <w:rsid w:val="00BF2AB4"/>
    <w:rsid w:val="00BF2F70"/>
    <w:rsid w:val="00BF4078"/>
    <w:rsid w:val="00BF41C8"/>
    <w:rsid w:val="00BF5F94"/>
    <w:rsid w:val="00BF60A5"/>
    <w:rsid w:val="00BF7124"/>
    <w:rsid w:val="00BF7B43"/>
    <w:rsid w:val="00C00A51"/>
    <w:rsid w:val="00C010A3"/>
    <w:rsid w:val="00C01B5C"/>
    <w:rsid w:val="00C01E89"/>
    <w:rsid w:val="00C0464B"/>
    <w:rsid w:val="00C0536B"/>
    <w:rsid w:val="00C05CE1"/>
    <w:rsid w:val="00C05E80"/>
    <w:rsid w:val="00C06A88"/>
    <w:rsid w:val="00C1080D"/>
    <w:rsid w:val="00C111D7"/>
    <w:rsid w:val="00C12F05"/>
    <w:rsid w:val="00C146F4"/>
    <w:rsid w:val="00C17DDC"/>
    <w:rsid w:val="00C2023A"/>
    <w:rsid w:val="00C246B1"/>
    <w:rsid w:val="00C24AA8"/>
    <w:rsid w:val="00C251E9"/>
    <w:rsid w:val="00C255F9"/>
    <w:rsid w:val="00C274C8"/>
    <w:rsid w:val="00C276E8"/>
    <w:rsid w:val="00C306A2"/>
    <w:rsid w:val="00C309E6"/>
    <w:rsid w:val="00C31521"/>
    <w:rsid w:val="00C315C6"/>
    <w:rsid w:val="00C3233D"/>
    <w:rsid w:val="00C32553"/>
    <w:rsid w:val="00C33416"/>
    <w:rsid w:val="00C3365E"/>
    <w:rsid w:val="00C35743"/>
    <w:rsid w:val="00C35890"/>
    <w:rsid w:val="00C37301"/>
    <w:rsid w:val="00C3779A"/>
    <w:rsid w:val="00C3798E"/>
    <w:rsid w:val="00C400E7"/>
    <w:rsid w:val="00C4083B"/>
    <w:rsid w:val="00C40A29"/>
    <w:rsid w:val="00C4116E"/>
    <w:rsid w:val="00C41318"/>
    <w:rsid w:val="00C41E7C"/>
    <w:rsid w:val="00C42449"/>
    <w:rsid w:val="00C43ADD"/>
    <w:rsid w:val="00C449D0"/>
    <w:rsid w:val="00C44D7A"/>
    <w:rsid w:val="00C4660F"/>
    <w:rsid w:val="00C466A1"/>
    <w:rsid w:val="00C4689F"/>
    <w:rsid w:val="00C475E6"/>
    <w:rsid w:val="00C476D1"/>
    <w:rsid w:val="00C47822"/>
    <w:rsid w:val="00C479D6"/>
    <w:rsid w:val="00C50E88"/>
    <w:rsid w:val="00C51494"/>
    <w:rsid w:val="00C51920"/>
    <w:rsid w:val="00C52006"/>
    <w:rsid w:val="00C521ED"/>
    <w:rsid w:val="00C526DC"/>
    <w:rsid w:val="00C52BA1"/>
    <w:rsid w:val="00C54231"/>
    <w:rsid w:val="00C5547A"/>
    <w:rsid w:val="00C60C69"/>
    <w:rsid w:val="00C61BFA"/>
    <w:rsid w:val="00C6224C"/>
    <w:rsid w:val="00C62746"/>
    <w:rsid w:val="00C627FD"/>
    <w:rsid w:val="00C62CF6"/>
    <w:rsid w:val="00C63F56"/>
    <w:rsid w:val="00C6411A"/>
    <w:rsid w:val="00C641D7"/>
    <w:rsid w:val="00C66E1D"/>
    <w:rsid w:val="00C6728B"/>
    <w:rsid w:val="00C71E5B"/>
    <w:rsid w:val="00C729A3"/>
    <w:rsid w:val="00C72B0E"/>
    <w:rsid w:val="00C7397F"/>
    <w:rsid w:val="00C741DC"/>
    <w:rsid w:val="00C74C5A"/>
    <w:rsid w:val="00C75365"/>
    <w:rsid w:val="00C7651F"/>
    <w:rsid w:val="00C7665C"/>
    <w:rsid w:val="00C77D40"/>
    <w:rsid w:val="00C807F6"/>
    <w:rsid w:val="00C824BA"/>
    <w:rsid w:val="00C833D2"/>
    <w:rsid w:val="00C83868"/>
    <w:rsid w:val="00C84765"/>
    <w:rsid w:val="00C8539B"/>
    <w:rsid w:val="00C8564F"/>
    <w:rsid w:val="00C857D1"/>
    <w:rsid w:val="00C857E8"/>
    <w:rsid w:val="00C862D9"/>
    <w:rsid w:val="00C86492"/>
    <w:rsid w:val="00C86A1E"/>
    <w:rsid w:val="00C8706C"/>
    <w:rsid w:val="00C87AB0"/>
    <w:rsid w:val="00C90AB2"/>
    <w:rsid w:val="00C90F68"/>
    <w:rsid w:val="00C915F8"/>
    <w:rsid w:val="00C922E7"/>
    <w:rsid w:val="00C92A51"/>
    <w:rsid w:val="00C93BF7"/>
    <w:rsid w:val="00C94B72"/>
    <w:rsid w:val="00C952E9"/>
    <w:rsid w:val="00C95B44"/>
    <w:rsid w:val="00C95DEA"/>
    <w:rsid w:val="00C96CD7"/>
    <w:rsid w:val="00C9716F"/>
    <w:rsid w:val="00C972EE"/>
    <w:rsid w:val="00C975E1"/>
    <w:rsid w:val="00CA162B"/>
    <w:rsid w:val="00CA1777"/>
    <w:rsid w:val="00CA23CF"/>
    <w:rsid w:val="00CA24B6"/>
    <w:rsid w:val="00CA2653"/>
    <w:rsid w:val="00CA2A5A"/>
    <w:rsid w:val="00CA391B"/>
    <w:rsid w:val="00CA3B8D"/>
    <w:rsid w:val="00CA3CC8"/>
    <w:rsid w:val="00CA42C5"/>
    <w:rsid w:val="00CA4879"/>
    <w:rsid w:val="00CA4BB1"/>
    <w:rsid w:val="00CA5DE7"/>
    <w:rsid w:val="00CA640D"/>
    <w:rsid w:val="00CA796A"/>
    <w:rsid w:val="00CA7BF7"/>
    <w:rsid w:val="00CB0BBF"/>
    <w:rsid w:val="00CB0C49"/>
    <w:rsid w:val="00CB12FE"/>
    <w:rsid w:val="00CB1409"/>
    <w:rsid w:val="00CB18A8"/>
    <w:rsid w:val="00CB2706"/>
    <w:rsid w:val="00CB2AC9"/>
    <w:rsid w:val="00CB3612"/>
    <w:rsid w:val="00CB3789"/>
    <w:rsid w:val="00CB665A"/>
    <w:rsid w:val="00CB6F2B"/>
    <w:rsid w:val="00CB710D"/>
    <w:rsid w:val="00CC0750"/>
    <w:rsid w:val="00CC15B8"/>
    <w:rsid w:val="00CC19A1"/>
    <w:rsid w:val="00CC1F92"/>
    <w:rsid w:val="00CC28D4"/>
    <w:rsid w:val="00CC2D71"/>
    <w:rsid w:val="00CC2E5C"/>
    <w:rsid w:val="00CC32E1"/>
    <w:rsid w:val="00CC37D9"/>
    <w:rsid w:val="00CC43DE"/>
    <w:rsid w:val="00CC47DA"/>
    <w:rsid w:val="00CC48E8"/>
    <w:rsid w:val="00CC5100"/>
    <w:rsid w:val="00CC7613"/>
    <w:rsid w:val="00CC7668"/>
    <w:rsid w:val="00CD0877"/>
    <w:rsid w:val="00CD145F"/>
    <w:rsid w:val="00CD1515"/>
    <w:rsid w:val="00CD1CE4"/>
    <w:rsid w:val="00CD24D9"/>
    <w:rsid w:val="00CD2FD7"/>
    <w:rsid w:val="00CD39EE"/>
    <w:rsid w:val="00CD506F"/>
    <w:rsid w:val="00CD58D6"/>
    <w:rsid w:val="00CD610F"/>
    <w:rsid w:val="00CD7704"/>
    <w:rsid w:val="00CD7D11"/>
    <w:rsid w:val="00CD7E6B"/>
    <w:rsid w:val="00CE05EE"/>
    <w:rsid w:val="00CE06E9"/>
    <w:rsid w:val="00CE14AA"/>
    <w:rsid w:val="00CE2102"/>
    <w:rsid w:val="00CE3996"/>
    <w:rsid w:val="00CE4544"/>
    <w:rsid w:val="00CE4F4B"/>
    <w:rsid w:val="00CE50C1"/>
    <w:rsid w:val="00CE5E2C"/>
    <w:rsid w:val="00CE6410"/>
    <w:rsid w:val="00CE64E4"/>
    <w:rsid w:val="00CE6DE5"/>
    <w:rsid w:val="00CE6FC0"/>
    <w:rsid w:val="00CE72B7"/>
    <w:rsid w:val="00CE781B"/>
    <w:rsid w:val="00CF09AA"/>
    <w:rsid w:val="00CF16B0"/>
    <w:rsid w:val="00CF2E5D"/>
    <w:rsid w:val="00CF5ABE"/>
    <w:rsid w:val="00D02547"/>
    <w:rsid w:val="00D03278"/>
    <w:rsid w:val="00D03871"/>
    <w:rsid w:val="00D04540"/>
    <w:rsid w:val="00D0517B"/>
    <w:rsid w:val="00D0598D"/>
    <w:rsid w:val="00D05A77"/>
    <w:rsid w:val="00D06E22"/>
    <w:rsid w:val="00D07E2E"/>
    <w:rsid w:val="00D07FF3"/>
    <w:rsid w:val="00D102EC"/>
    <w:rsid w:val="00D10EF4"/>
    <w:rsid w:val="00D11293"/>
    <w:rsid w:val="00D11A68"/>
    <w:rsid w:val="00D12212"/>
    <w:rsid w:val="00D12804"/>
    <w:rsid w:val="00D12EEA"/>
    <w:rsid w:val="00D14D0F"/>
    <w:rsid w:val="00D16A0E"/>
    <w:rsid w:val="00D16D08"/>
    <w:rsid w:val="00D17A02"/>
    <w:rsid w:val="00D17FF9"/>
    <w:rsid w:val="00D2039F"/>
    <w:rsid w:val="00D20A5B"/>
    <w:rsid w:val="00D21103"/>
    <w:rsid w:val="00D217A9"/>
    <w:rsid w:val="00D223C1"/>
    <w:rsid w:val="00D22955"/>
    <w:rsid w:val="00D2308E"/>
    <w:rsid w:val="00D23940"/>
    <w:rsid w:val="00D23B93"/>
    <w:rsid w:val="00D2489B"/>
    <w:rsid w:val="00D24F54"/>
    <w:rsid w:val="00D275B8"/>
    <w:rsid w:val="00D27CA7"/>
    <w:rsid w:val="00D3227E"/>
    <w:rsid w:val="00D33110"/>
    <w:rsid w:val="00D3383F"/>
    <w:rsid w:val="00D33B21"/>
    <w:rsid w:val="00D33C8D"/>
    <w:rsid w:val="00D33FEE"/>
    <w:rsid w:val="00D341AB"/>
    <w:rsid w:val="00D3499A"/>
    <w:rsid w:val="00D350FC"/>
    <w:rsid w:val="00D35A06"/>
    <w:rsid w:val="00D35B0E"/>
    <w:rsid w:val="00D36B43"/>
    <w:rsid w:val="00D3757A"/>
    <w:rsid w:val="00D3763D"/>
    <w:rsid w:val="00D37B2B"/>
    <w:rsid w:val="00D418EA"/>
    <w:rsid w:val="00D45525"/>
    <w:rsid w:val="00D45818"/>
    <w:rsid w:val="00D46134"/>
    <w:rsid w:val="00D47A3C"/>
    <w:rsid w:val="00D50207"/>
    <w:rsid w:val="00D5051A"/>
    <w:rsid w:val="00D50CD8"/>
    <w:rsid w:val="00D50CE6"/>
    <w:rsid w:val="00D547A4"/>
    <w:rsid w:val="00D56AEC"/>
    <w:rsid w:val="00D573BE"/>
    <w:rsid w:val="00D603F0"/>
    <w:rsid w:val="00D609C7"/>
    <w:rsid w:val="00D60EC2"/>
    <w:rsid w:val="00D60EF1"/>
    <w:rsid w:val="00D61A8B"/>
    <w:rsid w:val="00D61B81"/>
    <w:rsid w:val="00D6241A"/>
    <w:rsid w:val="00D62C1A"/>
    <w:rsid w:val="00D62F20"/>
    <w:rsid w:val="00D62FA4"/>
    <w:rsid w:val="00D63234"/>
    <w:rsid w:val="00D635DD"/>
    <w:rsid w:val="00D63A81"/>
    <w:rsid w:val="00D6420B"/>
    <w:rsid w:val="00D648D4"/>
    <w:rsid w:val="00D648E8"/>
    <w:rsid w:val="00D64D3B"/>
    <w:rsid w:val="00D655DF"/>
    <w:rsid w:val="00D659E6"/>
    <w:rsid w:val="00D673F3"/>
    <w:rsid w:val="00D67449"/>
    <w:rsid w:val="00D6793A"/>
    <w:rsid w:val="00D7071B"/>
    <w:rsid w:val="00D71EFC"/>
    <w:rsid w:val="00D72449"/>
    <w:rsid w:val="00D72BB8"/>
    <w:rsid w:val="00D72C43"/>
    <w:rsid w:val="00D73789"/>
    <w:rsid w:val="00D737A2"/>
    <w:rsid w:val="00D73B70"/>
    <w:rsid w:val="00D74335"/>
    <w:rsid w:val="00D74471"/>
    <w:rsid w:val="00D747AE"/>
    <w:rsid w:val="00D74AFE"/>
    <w:rsid w:val="00D75CB0"/>
    <w:rsid w:val="00D76A7F"/>
    <w:rsid w:val="00D76CF9"/>
    <w:rsid w:val="00D76F2A"/>
    <w:rsid w:val="00D7778F"/>
    <w:rsid w:val="00D81A9D"/>
    <w:rsid w:val="00D820DC"/>
    <w:rsid w:val="00D83390"/>
    <w:rsid w:val="00D83508"/>
    <w:rsid w:val="00D85132"/>
    <w:rsid w:val="00D86386"/>
    <w:rsid w:val="00D86A54"/>
    <w:rsid w:val="00D878E3"/>
    <w:rsid w:val="00D87A9D"/>
    <w:rsid w:val="00D9048E"/>
    <w:rsid w:val="00D919BE"/>
    <w:rsid w:val="00D91BDB"/>
    <w:rsid w:val="00D9207C"/>
    <w:rsid w:val="00D931C5"/>
    <w:rsid w:val="00D931F5"/>
    <w:rsid w:val="00D93780"/>
    <w:rsid w:val="00D94B1D"/>
    <w:rsid w:val="00D94B61"/>
    <w:rsid w:val="00D96DCC"/>
    <w:rsid w:val="00D971A2"/>
    <w:rsid w:val="00D974F0"/>
    <w:rsid w:val="00DA02EE"/>
    <w:rsid w:val="00DA0392"/>
    <w:rsid w:val="00DA06E4"/>
    <w:rsid w:val="00DA1631"/>
    <w:rsid w:val="00DA1642"/>
    <w:rsid w:val="00DA1878"/>
    <w:rsid w:val="00DA18E7"/>
    <w:rsid w:val="00DA1B13"/>
    <w:rsid w:val="00DA2060"/>
    <w:rsid w:val="00DA21C8"/>
    <w:rsid w:val="00DA21DF"/>
    <w:rsid w:val="00DA2A92"/>
    <w:rsid w:val="00DA385E"/>
    <w:rsid w:val="00DA403B"/>
    <w:rsid w:val="00DA4049"/>
    <w:rsid w:val="00DA40EE"/>
    <w:rsid w:val="00DA479B"/>
    <w:rsid w:val="00DB07F6"/>
    <w:rsid w:val="00DB08C2"/>
    <w:rsid w:val="00DB1098"/>
    <w:rsid w:val="00DB1375"/>
    <w:rsid w:val="00DB1E46"/>
    <w:rsid w:val="00DB2DC1"/>
    <w:rsid w:val="00DB36EB"/>
    <w:rsid w:val="00DB3B5B"/>
    <w:rsid w:val="00DB44BE"/>
    <w:rsid w:val="00DB625B"/>
    <w:rsid w:val="00DC0423"/>
    <w:rsid w:val="00DC0A10"/>
    <w:rsid w:val="00DC0EDF"/>
    <w:rsid w:val="00DC152B"/>
    <w:rsid w:val="00DC3F75"/>
    <w:rsid w:val="00DC48C6"/>
    <w:rsid w:val="00DC54A5"/>
    <w:rsid w:val="00DC553C"/>
    <w:rsid w:val="00DC5A39"/>
    <w:rsid w:val="00DC5CEB"/>
    <w:rsid w:val="00DC5F7B"/>
    <w:rsid w:val="00DC62CF"/>
    <w:rsid w:val="00DC6ADA"/>
    <w:rsid w:val="00DC6DF4"/>
    <w:rsid w:val="00DC70CA"/>
    <w:rsid w:val="00DC7280"/>
    <w:rsid w:val="00DC7DBA"/>
    <w:rsid w:val="00DC7EB5"/>
    <w:rsid w:val="00DD086A"/>
    <w:rsid w:val="00DD285F"/>
    <w:rsid w:val="00DD2998"/>
    <w:rsid w:val="00DD2B4E"/>
    <w:rsid w:val="00DD3FB7"/>
    <w:rsid w:val="00DD4168"/>
    <w:rsid w:val="00DD42D1"/>
    <w:rsid w:val="00DD460D"/>
    <w:rsid w:val="00DD5120"/>
    <w:rsid w:val="00DD5B86"/>
    <w:rsid w:val="00DD5DE7"/>
    <w:rsid w:val="00DD61D2"/>
    <w:rsid w:val="00DD626E"/>
    <w:rsid w:val="00DD649F"/>
    <w:rsid w:val="00DD66A3"/>
    <w:rsid w:val="00DD68D4"/>
    <w:rsid w:val="00DD74A0"/>
    <w:rsid w:val="00DD7883"/>
    <w:rsid w:val="00DE0C7A"/>
    <w:rsid w:val="00DE1EA4"/>
    <w:rsid w:val="00DE266D"/>
    <w:rsid w:val="00DE2CF8"/>
    <w:rsid w:val="00DE2EDE"/>
    <w:rsid w:val="00DE3120"/>
    <w:rsid w:val="00DE3819"/>
    <w:rsid w:val="00DE4483"/>
    <w:rsid w:val="00DE481F"/>
    <w:rsid w:val="00DE58BD"/>
    <w:rsid w:val="00DE5A61"/>
    <w:rsid w:val="00DE62F6"/>
    <w:rsid w:val="00DE661F"/>
    <w:rsid w:val="00DE6860"/>
    <w:rsid w:val="00DE78AF"/>
    <w:rsid w:val="00DF04B2"/>
    <w:rsid w:val="00DF0672"/>
    <w:rsid w:val="00DF0B52"/>
    <w:rsid w:val="00DF0E51"/>
    <w:rsid w:val="00DF2EB7"/>
    <w:rsid w:val="00DF318D"/>
    <w:rsid w:val="00DF3995"/>
    <w:rsid w:val="00DF4CB4"/>
    <w:rsid w:val="00DF5AE3"/>
    <w:rsid w:val="00DF625A"/>
    <w:rsid w:val="00DF6C0A"/>
    <w:rsid w:val="00DF720F"/>
    <w:rsid w:val="00DF72EC"/>
    <w:rsid w:val="00E008AD"/>
    <w:rsid w:val="00E01065"/>
    <w:rsid w:val="00E022DC"/>
    <w:rsid w:val="00E0245C"/>
    <w:rsid w:val="00E02552"/>
    <w:rsid w:val="00E026D2"/>
    <w:rsid w:val="00E02801"/>
    <w:rsid w:val="00E0280B"/>
    <w:rsid w:val="00E02A28"/>
    <w:rsid w:val="00E02B89"/>
    <w:rsid w:val="00E02BF6"/>
    <w:rsid w:val="00E04429"/>
    <w:rsid w:val="00E0539C"/>
    <w:rsid w:val="00E05C81"/>
    <w:rsid w:val="00E06425"/>
    <w:rsid w:val="00E064E4"/>
    <w:rsid w:val="00E067A9"/>
    <w:rsid w:val="00E11B79"/>
    <w:rsid w:val="00E13203"/>
    <w:rsid w:val="00E1382E"/>
    <w:rsid w:val="00E13C7B"/>
    <w:rsid w:val="00E14035"/>
    <w:rsid w:val="00E1493E"/>
    <w:rsid w:val="00E15E88"/>
    <w:rsid w:val="00E16253"/>
    <w:rsid w:val="00E1631A"/>
    <w:rsid w:val="00E1684B"/>
    <w:rsid w:val="00E1776D"/>
    <w:rsid w:val="00E20C3F"/>
    <w:rsid w:val="00E2129C"/>
    <w:rsid w:val="00E212BB"/>
    <w:rsid w:val="00E21710"/>
    <w:rsid w:val="00E2239C"/>
    <w:rsid w:val="00E223F4"/>
    <w:rsid w:val="00E22680"/>
    <w:rsid w:val="00E229C2"/>
    <w:rsid w:val="00E22EAA"/>
    <w:rsid w:val="00E22F1B"/>
    <w:rsid w:val="00E236E8"/>
    <w:rsid w:val="00E23E76"/>
    <w:rsid w:val="00E244D2"/>
    <w:rsid w:val="00E24571"/>
    <w:rsid w:val="00E246B8"/>
    <w:rsid w:val="00E24A63"/>
    <w:rsid w:val="00E2563E"/>
    <w:rsid w:val="00E256FA"/>
    <w:rsid w:val="00E27C28"/>
    <w:rsid w:val="00E3032B"/>
    <w:rsid w:val="00E30901"/>
    <w:rsid w:val="00E30A39"/>
    <w:rsid w:val="00E3177D"/>
    <w:rsid w:val="00E32DE1"/>
    <w:rsid w:val="00E33B08"/>
    <w:rsid w:val="00E33C73"/>
    <w:rsid w:val="00E348B6"/>
    <w:rsid w:val="00E34C48"/>
    <w:rsid w:val="00E35345"/>
    <w:rsid w:val="00E36499"/>
    <w:rsid w:val="00E367EA"/>
    <w:rsid w:val="00E379C1"/>
    <w:rsid w:val="00E40316"/>
    <w:rsid w:val="00E42440"/>
    <w:rsid w:val="00E425F7"/>
    <w:rsid w:val="00E42FCD"/>
    <w:rsid w:val="00E43CC0"/>
    <w:rsid w:val="00E44000"/>
    <w:rsid w:val="00E4400C"/>
    <w:rsid w:val="00E45733"/>
    <w:rsid w:val="00E46364"/>
    <w:rsid w:val="00E469E1"/>
    <w:rsid w:val="00E46F0D"/>
    <w:rsid w:val="00E474CA"/>
    <w:rsid w:val="00E50651"/>
    <w:rsid w:val="00E519B1"/>
    <w:rsid w:val="00E51AC9"/>
    <w:rsid w:val="00E51CB1"/>
    <w:rsid w:val="00E5321C"/>
    <w:rsid w:val="00E539B4"/>
    <w:rsid w:val="00E54B68"/>
    <w:rsid w:val="00E54CD7"/>
    <w:rsid w:val="00E55094"/>
    <w:rsid w:val="00E560FC"/>
    <w:rsid w:val="00E5692F"/>
    <w:rsid w:val="00E56E41"/>
    <w:rsid w:val="00E60CE8"/>
    <w:rsid w:val="00E620E8"/>
    <w:rsid w:val="00E62754"/>
    <w:rsid w:val="00E6324D"/>
    <w:rsid w:val="00E6414A"/>
    <w:rsid w:val="00E64B7F"/>
    <w:rsid w:val="00E64E13"/>
    <w:rsid w:val="00E65817"/>
    <w:rsid w:val="00E669BC"/>
    <w:rsid w:val="00E670DA"/>
    <w:rsid w:val="00E6776E"/>
    <w:rsid w:val="00E679E1"/>
    <w:rsid w:val="00E67EFE"/>
    <w:rsid w:val="00E70B6F"/>
    <w:rsid w:val="00E70F0F"/>
    <w:rsid w:val="00E7168F"/>
    <w:rsid w:val="00E72269"/>
    <w:rsid w:val="00E725B4"/>
    <w:rsid w:val="00E74531"/>
    <w:rsid w:val="00E75D79"/>
    <w:rsid w:val="00E75EAC"/>
    <w:rsid w:val="00E77181"/>
    <w:rsid w:val="00E7746A"/>
    <w:rsid w:val="00E77B79"/>
    <w:rsid w:val="00E77C73"/>
    <w:rsid w:val="00E82E04"/>
    <w:rsid w:val="00E83553"/>
    <w:rsid w:val="00E83FF1"/>
    <w:rsid w:val="00E842C1"/>
    <w:rsid w:val="00E85056"/>
    <w:rsid w:val="00E85BA8"/>
    <w:rsid w:val="00E863F8"/>
    <w:rsid w:val="00E86F7B"/>
    <w:rsid w:val="00E87100"/>
    <w:rsid w:val="00E872B8"/>
    <w:rsid w:val="00E87F82"/>
    <w:rsid w:val="00E90DAB"/>
    <w:rsid w:val="00E91A9E"/>
    <w:rsid w:val="00E91CE4"/>
    <w:rsid w:val="00E91D90"/>
    <w:rsid w:val="00E9202D"/>
    <w:rsid w:val="00E92F7E"/>
    <w:rsid w:val="00E93223"/>
    <w:rsid w:val="00E934CD"/>
    <w:rsid w:val="00E938F4"/>
    <w:rsid w:val="00E940D7"/>
    <w:rsid w:val="00E946DE"/>
    <w:rsid w:val="00E94C2E"/>
    <w:rsid w:val="00E957CF"/>
    <w:rsid w:val="00E95D70"/>
    <w:rsid w:val="00E96086"/>
    <w:rsid w:val="00E96C92"/>
    <w:rsid w:val="00E96FCF"/>
    <w:rsid w:val="00E97F80"/>
    <w:rsid w:val="00EA0B1D"/>
    <w:rsid w:val="00EA0CE5"/>
    <w:rsid w:val="00EA0FB4"/>
    <w:rsid w:val="00EA1E33"/>
    <w:rsid w:val="00EA24E5"/>
    <w:rsid w:val="00EA362C"/>
    <w:rsid w:val="00EA3775"/>
    <w:rsid w:val="00EA3FEE"/>
    <w:rsid w:val="00EA4066"/>
    <w:rsid w:val="00EA4824"/>
    <w:rsid w:val="00EA490F"/>
    <w:rsid w:val="00EA526F"/>
    <w:rsid w:val="00EA52E2"/>
    <w:rsid w:val="00EA6C1B"/>
    <w:rsid w:val="00EA74F4"/>
    <w:rsid w:val="00EA7509"/>
    <w:rsid w:val="00EA7B3D"/>
    <w:rsid w:val="00EB0467"/>
    <w:rsid w:val="00EB219F"/>
    <w:rsid w:val="00EB3433"/>
    <w:rsid w:val="00EB5211"/>
    <w:rsid w:val="00EB6299"/>
    <w:rsid w:val="00EB6445"/>
    <w:rsid w:val="00EB7E3E"/>
    <w:rsid w:val="00EC181B"/>
    <w:rsid w:val="00EC1DC4"/>
    <w:rsid w:val="00EC30DD"/>
    <w:rsid w:val="00EC38F8"/>
    <w:rsid w:val="00EC3E6F"/>
    <w:rsid w:val="00EC4117"/>
    <w:rsid w:val="00EC4641"/>
    <w:rsid w:val="00EC487A"/>
    <w:rsid w:val="00EC5770"/>
    <w:rsid w:val="00EC6931"/>
    <w:rsid w:val="00EC6DB3"/>
    <w:rsid w:val="00EC70BD"/>
    <w:rsid w:val="00ED0192"/>
    <w:rsid w:val="00ED037C"/>
    <w:rsid w:val="00ED0709"/>
    <w:rsid w:val="00ED263D"/>
    <w:rsid w:val="00ED38FA"/>
    <w:rsid w:val="00ED426F"/>
    <w:rsid w:val="00ED6006"/>
    <w:rsid w:val="00ED6A6B"/>
    <w:rsid w:val="00ED6E16"/>
    <w:rsid w:val="00EE02B1"/>
    <w:rsid w:val="00EE0C04"/>
    <w:rsid w:val="00EE20D8"/>
    <w:rsid w:val="00EE3B2C"/>
    <w:rsid w:val="00EE3C5C"/>
    <w:rsid w:val="00EE53C6"/>
    <w:rsid w:val="00EE625F"/>
    <w:rsid w:val="00EE668A"/>
    <w:rsid w:val="00EE731A"/>
    <w:rsid w:val="00EF0278"/>
    <w:rsid w:val="00EF0D2C"/>
    <w:rsid w:val="00EF138E"/>
    <w:rsid w:val="00EF22F6"/>
    <w:rsid w:val="00EF2CD3"/>
    <w:rsid w:val="00EF36E1"/>
    <w:rsid w:val="00EF41DD"/>
    <w:rsid w:val="00EF5E1D"/>
    <w:rsid w:val="00EF633C"/>
    <w:rsid w:val="00EF70E0"/>
    <w:rsid w:val="00F00974"/>
    <w:rsid w:val="00F01772"/>
    <w:rsid w:val="00F01EEC"/>
    <w:rsid w:val="00F02D65"/>
    <w:rsid w:val="00F02D71"/>
    <w:rsid w:val="00F02EF6"/>
    <w:rsid w:val="00F04317"/>
    <w:rsid w:val="00F04368"/>
    <w:rsid w:val="00F04CCB"/>
    <w:rsid w:val="00F056BC"/>
    <w:rsid w:val="00F0633B"/>
    <w:rsid w:val="00F07EF0"/>
    <w:rsid w:val="00F10AE4"/>
    <w:rsid w:val="00F117F8"/>
    <w:rsid w:val="00F11833"/>
    <w:rsid w:val="00F11840"/>
    <w:rsid w:val="00F11E2D"/>
    <w:rsid w:val="00F12660"/>
    <w:rsid w:val="00F13397"/>
    <w:rsid w:val="00F1352D"/>
    <w:rsid w:val="00F13797"/>
    <w:rsid w:val="00F14381"/>
    <w:rsid w:val="00F15B4E"/>
    <w:rsid w:val="00F16CDE"/>
    <w:rsid w:val="00F173EC"/>
    <w:rsid w:val="00F20957"/>
    <w:rsid w:val="00F21E3F"/>
    <w:rsid w:val="00F2540E"/>
    <w:rsid w:val="00F254CA"/>
    <w:rsid w:val="00F26DE1"/>
    <w:rsid w:val="00F2766C"/>
    <w:rsid w:val="00F27EEA"/>
    <w:rsid w:val="00F30940"/>
    <w:rsid w:val="00F31D4A"/>
    <w:rsid w:val="00F32C08"/>
    <w:rsid w:val="00F34059"/>
    <w:rsid w:val="00F340EB"/>
    <w:rsid w:val="00F35F89"/>
    <w:rsid w:val="00F362CC"/>
    <w:rsid w:val="00F364D0"/>
    <w:rsid w:val="00F36F6C"/>
    <w:rsid w:val="00F37034"/>
    <w:rsid w:val="00F37E12"/>
    <w:rsid w:val="00F40B6C"/>
    <w:rsid w:val="00F41AE3"/>
    <w:rsid w:val="00F42369"/>
    <w:rsid w:val="00F423EC"/>
    <w:rsid w:val="00F42978"/>
    <w:rsid w:val="00F429E1"/>
    <w:rsid w:val="00F42DAD"/>
    <w:rsid w:val="00F43754"/>
    <w:rsid w:val="00F43F51"/>
    <w:rsid w:val="00F4420D"/>
    <w:rsid w:val="00F444B8"/>
    <w:rsid w:val="00F47B59"/>
    <w:rsid w:val="00F5011A"/>
    <w:rsid w:val="00F50FD0"/>
    <w:rsid w:val="00F510B4"/>
    <w:rsid w:val="00F51308"/>
    <w:rsid w:val="00F513F6"/>
    <w:rsid w:val="00F519D1"/>
    <w:rsid w:val="00F552D1"/>
    <w:rsid w:val="00F55571"/>
    <w:rsid w:val="00F558ED"/>
    <w:rsid w:val="00F55A25"/>
    <w:rsid w:val="00F55DEB"/>
    <w:rsid w:val="00F563C9"/>
    <w:rsid w:val="00F566D4"/>
    <w:rsid w:val="00F568D4"/>
    <w:rsid w:val="00F57DAE"/>
    <w:rsid w:val="00F60154"/>
    <w:rsid w:val="00F60436"/>
    <w:rsid w:val="00F6066E"/>
    <w:rsid w:val="00F652DC"/>
    <w:rsid w:val="00F654FF"/>
    <w:rsid w:val="00F65F78"/>
    <w:rsid w:val="00F67EC0"/>
    <w:rsid w:val="00F701DF"/>
    <w:rsid w:val="00F71D70"/>
    <w:rsid w:val="00F72173"/>
    <w:rsid w:val="00F72991"/>
    <w:rsid w:val="00F73166"/>
    <w:rsid w:val="00F73546"/>
    <w:rsid w:val="00F739F1"/>
    <w:rsid w:val="00F73C24"/>
    <w:rsid w:val="00F74DC8"/>
    <w:rsid w:val="00F759B1"/>
    <w:rsid w:val="00F76BD0"/>
    <w:rsid w:val="00F774C4"/>
    <w:rsid w:val="00F77814"/>
    <w:rsid w:val="00F80EBF"/>
    <w:rsid w:val="00F821CF"/>
    <w:rsid w:val="00F82C35"/>
    <w:rsid w:val="00F82CCE"/>
    <w:rsid w:val="00F83BFB"/>
    <w:rsid w:val="00F8419C"/>
    <w:rsid w:val="00F844FD"/>
    <w:rsid w:val="00F845B0"/>
    <w:rsid w:val="00F8539E"/>
    <w:rsid w:val="00F8599C"/>
    <w:rsid w:val="00F85ED3"/>
    <w:rsid w:val="00F874F1"/>
    <w:rsid w:val="00F91581"/>
    <w:rsid w:val="00F92425"/>
    <w:rsid w:val="00F93A89"/>
    <w:rsid w:val="00F94A68"/>
    <w:rsid w:val="00F95453"/>
    <w:rsid w:val="00F967FF"/>
    <w:rsid w:val="00F96B75"/>
    <w:rsid w:val="00F96BC3"/>
    <w:rsid w:val="00F97154"/>
    <w:rsid w:val="00FA052C"/>
    <w:rsid w:val="00FA1551"/>
    <w:rsid w:val="00FA3357"/>
    <w:rsid w:val="00FA36B7"/>
    <w:rsid w:val="00FA5079"/>
    <w:rsid w:val="00FA5278"/>
    <w:rsid w:val="00FA672F"/>
    <w:rsid w:val="00FA682C"/>
    <w:rsid w:val="00FA6B83"/>
    <w:rsid w:val="00FA7C5E"/>
    <w:rsid w:val="00FA7ED7"/>
    <w:rsid w:val="00FB40D9"/>
    <w:rsid w:val="00FB44C8"/>
    <w:rsid w:val="00FB4876"/>
    <w:rsid w:val="00FB4D15"/>
    <w:rsid w:val="00FB6100"/>
    <w:rsid w:val="00FB6B2B"/>
    <w:rsid w:val="00FC0ADD"/>
    <w:rsid w:val="00FC2505"/>
    <w:rsid w:val="00FC3043"/>
    <w:rsid w:val="00FC3355"/>
    <w:rsid w:val="00FC3A26"/>
    <w:rsid w:val="00FC419F"/>
    <w:rsid w:val="00FC5915"/>
    <w:rsid w:val="00FC668F"/>
    <w:rsid w:val="00FC6A10"/>
    <w:rsid w:val="00FC72A3"/>
    <w:rsid w:val="00FC7426"/>
    <w:rsid w:val="00FC7B06"/>
    <w:rsid w:val="00FC7F95"/>
    <w:rsid w:val="00FC7FC7"/>
    <w:rsid w:val="00FD0C42"/>
    <w:rsid w:val="00FD0EC9"/>
    <w:rsid w:val="00FD10A0"/>
    <w:rsid w:val="00FD23D1"/>
    <w:rsid w:val="00FD307E"/>
    <w:rsid w:val="00FD3BE7"/>
    <w:rsid w:val="00FD4014"/>
    <w:rsid w:val="00FD405E"/>
    <w:rsid w:val="00FD42FA"/>
    <w:rsid w:val="00FD4B61"/>
    <w:rsid w:val="00FD5447"/>
    <w:rsid w:val="00FD5F47"/>
    <w:rsid w:val="00FD7C20"/>
    <w:rsid w:val="00FD7C5A"/>
    <w:rsid w:val="00FE00A0"/>
    <w:rsid w:val="00FE04A1"/>
    <w:rsid w:val="00FE1348"/>
    <w:rsid w:val="00FE1A37"/>
    <w:rsid w:val="00FE5A84"/>
    <w:rsid w:val="00FE5FF1"/>
    <w:rsid w:val="00FE6C99"/>
    <w:rsid w:val="00FE7601"/>
    <w:rsid w:val="00FE7FE2"/>
    <w:rsid w:val="00FF0FC0"/>
    <w:rsid w:val="00FF13FF"/>
    <w:rsid w:val="00FF159F"/>
    <w:rsid w:val="00FF2059"/>
    <w:rsid w:val="00FF26DA"/>
    <w:rsid w:val="00FF277B"/>
    <w:rsid w:val="00FF2B2B"/>
    <w:rsid w:val="00FF36BC"/>
    <w:rsid w:val="00FF4B00"/>
    <w:rsid w:val="00FF54B1"/>
    <w:rsid w:val="00FF654E"/>
    <w:rsid w:val="0694BADF"/>
    <w:rsid w:val="156FA95B"/>
    <w:rsid w:val="17FF7AAB"/>
    <w:rsid w:val="1A507455"/>
    <w:rsid w:val="26A28BD9"/>
    <w:rsid w:val="26E0C5A6"/>
    <w:rsid w:val="2AE83AF3"/>
    <w:rsid w:val="33362DEF"/>
    <w:rsid w:val="333E5F26"/>
    <w:rsid w:val="3881D28C"/>
    <w:rsid w:val="3EFE9F0E"/>
    <w:rsid w:val="41C09FBD"/>
    <w:rsid w:val="421C0EA4"/>
    <w:rsid w:val="4258039A"/>
    <w:rsid w:val="4DA07FD7"/>
    <w:rsid w:val="50B0F3B2"/>
    <w:rsid w:val="5907E11A"/>
    <w:rsid w:val="64E66561"/>
    <w:rsid w:val="65D059FB"/>
    <w:rsid w:val="70F05940"/>
    <w:rsid w:val="725D463C"/>
    <w:rsid w:val="7FA46B8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AF31F9"/>
  <w14:defaultImageDpi w14:val="300"/>
  <w15:docId w15:val="{A55F8D44-A472-46FF-BFE9-A0C41DC3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CD2FD7"/>
    <w:pPr>
      <w:keepNext/>
      <w:keepLines/>
      <w:spacing w:before="240"/>
      <w:outlineLvl w:val="1"/>
    </w:pPr>
    <w:rPr>
      <w:rFonts w:eastAsiaTheme="majorEastAsia" w:cstheme="majorBidi"/>
      <w:color w:val="004270"/>
      <w:sz w:val="32"/>
    </w:rPr>
  </w:style>
  <w:style w:type="paragraph" w:styleId="Heading3">
    <w:name w:val="heading 3"/>
    <w:basedOn w:val="Normal"/>
    <w:next w:val="Normal"/>
    <w:link w:val="Heading3Char"/>
    <w:uiPriority w:val="9"/>
    <w:unhideWhenUsed/>
    <w:qFormat/>
    <w:rsid w:val="00CD2FD7"/>
    <w:pPr>
      <w:keepNext/>
      <w:keepLines/>
      <w:spacing w:before="240"/>
      <w:outlineLvl w:val="2"/>
    </w:pPr>
    <w:rPr>
      <w:rFonts w:eastAsiaTheme="majorEastAsia" w:cstheme="majorBidi"/>
      <w:color w:val="004270"/>
      <w:sz w:val="24"/>
    </w:rPr>
  </w:style>
  <w:style w:type="paragraph" w:styleId="Heading4">
    <w:name w:val="heading 4"/>
    <w:basedOn w:val="Normal"/>
    <w:next w:val="Normal"/>
    <w:link w:val="Heading4Char"/>
    <w:uiPriority w:val="9"/>
    <w:unhideWhenUsed/>
    <w:qFormat/>
    <w:rsid w:val="00D820DC"/>
    <w:pPr>
      <w:keepNext/>
      <w:keepLines/>
      <w:spacing w:before="40" w:after="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316"/>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CD2FD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CD2FD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spacing w:before="120" w:after="240" w:line="276" w:lineRule="auto"/>
      <w:ind w:left="0"/>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E40316"/>
    <w:rPr>
      <w:rFonts w:ascii="Arial" w:hAnsi="Arial"/>
      <w:color w:val="000000" w:themeColor="text1"/>
      <w:sz w:val="22"/>
      <w:lang w:val="en-AU"/>
    </w:rPr>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2"/>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paragraph" w:styleId="NormalWeb">
    <w:name w:val="Normal (Web)"/>
    <w:basedOn w:val="Normal"/>
    <w:uiPriority w:val="99"/>
    <w:unhideWhenUsed/>
    <w:rsid w:val="00F60154"/>
    <w:pPr>
      <w:spacing w:before="100" w:beforeAutospacing="1" w:after="100" w:afterAutospacing="1"/>
    </w:pPr>
    <w:rPr>
      <w:rFonts w:ascii="Calibri" w:hAnsi="Calibri" w:cs="Calibri"/>
      <w:color w:val="auto"/>
      <w:szCs w:val="22"/>
      <w:lang w:eastAsia="zh-CN" w:bidi="th-TH"/>
    </w:rPr>
  </w:style>
  <w:style w:type="character" w:customStyle="1" w:styleId="Heading4Char">
    <w:name w:val="Heading 4 Char"/>
    <w:basedOn w:val="DefaultParagraphFont"/>
    <w:link w:val="Heading4"/>
    <w:uiPriority w:val="9"/>
    <w:rsid w:val="00D820DC"/>
    <w:rPr>
      <w:rFonts w:ascii="Arial" w:eastAsiaTheme="majorEastAsia" w:hAnsi="Arial" w:cstheme="majorBidi"/>
      <w:i/>
      <w:iCs/>
      <w:color w:val="365F91" w:themeColor="accent1" w:themeShade="BF"/>
      <w:sz w:val="22"/>
      <w:lang w:val="en-AU"/>
    </w:rPr>
  </w:style>
  <w:style w:type="character" w:customStyle="1" w:styleId="ui-provider">
    <w:name w:val="ui-provider"/>
    <w:basedOn w:val="DefaultParagraphFont"/>
    <w:rsid w:val="009E4C83"/>
  </w:style>
  <w:style w:type="character" w:styleId="Mention">
    <w:name w:val="Mention"/>
    <w:basedOn w:val="DefaultParagraphFont"/>
    <w:uiPriority w:val="99"/>
    <w:unhideWhenUsed/>
    <w:rsid w:val="00DA1878"/>
    <w:rPr>
      <w:color w:val="2B579A"/>
      <w:shd w:val="clear" w:color="auto" w:fill="E1DFDD"/>
    </w:rPr>
  </w:style>
  <w:style w:type="paragraph" w:styleId="Revision">
    <w:name w:val="Revision"/>
    <w:hidden/>
    <w:uiPriority w:val="99"/>
    <w:semiHidden/>
    <w:rsid w:val="000A5B7F"/>
    <w:rPr>
      <w:rFonts w:ascii="Arial" w:hAnsi="Arial"/>
      <w:color w:val="000000" w:themeColor="text1"/>
      <w:sz w:val="22"/>
      <w:lang w:val="en-AU"/>
    </w:rPr>
  </w:style>
  <w:style w:type="table" w:customStyle="1" w:styleId="TableGrid0">
    <w:name w:val="TableGrid"/>
    <w:rsid w:val="00430EC6"/>
    <w:rPr>
      <w:sz w:val="22"/>
      <w:szCs w:val="28"/>
      <w:lang w:val="en-AU" w:eastAsia="zh-CN" w:bidi="th-TH"/>
    </w:rPr>
    <w:tblPr>
      <w:tblCellMar>
        <w:top w:w="0" w:type="dxa"/>
        <w:left w:w="0" w:type="dxa"/>
        <w:bottom w:w="0" w:type="dxa"/>
        <w:right w:w="0" w:type="dxa"/>
      </w:tblCellMar>
    </w:tblPr>
  </w:style>
  <w:style w:type="paragraph" w:customStyle="1" w:styleId="Recommendation">
    <w:name w:val="Recommendation"/>
    <w:basedOn w:val="Normal"/>
    <w:link w:val="RecommendationChar"/>
    <w:qFormat/>
    <w:rsid w:val="00980ED2"/>
    <w:rPr>
      <w:b/>
      <w:bCs/>
    </w:rPr>
  </w:style>
  <w:style w:type="character" w:customStyle="1" w:styleId="RecommendationChar">
    <w:name w:val="Recommendation Char"/>
    <w:basedOn w:val="DefaultParagraphFont"/>
    <w:link w:val="Recommendation"/>
    <w:rsid w:val="00980ED2"/>
    <w:rPr>
      <w:rFonts w:ascii="Arial" w:hAnsi="Arial"/>
      <w:b/>
      <w:bCs/>
      <w:color w:val="000000" w:themeColor="text1"/>
      <w:sz w:val="22"/>
      <w:lang w:val="en-AU"/>
    </w:rPr>
  </w:style>
  <w:style w:type="character" w:styleId="UnresolvedMention">
    <w:name w:val="Unresolved Mention"/>
    <w:basedOn w:val="DefaultParagraphFont"/>
    <w:uiPriority w:val="99"/>
    <w:semiHidden/>
    <w:unhideWhenUsed/>
    <w:rsid w:val="00F844FD"/>
    <w:rPr>
      <w:color w:val="605E5C"/>
      <w:shd w:val="clear" w:color="auto" w:fill="E1DFDD"/>
    </w:rPr>
  </w:style>
  <w:style w:type="character" w:styleId="FollowedHyperlink">
    <w:name w:val="FollowedHyperlink"/>
    <w:basedOn w:val="DefaultParagraphFont"/>
    <w:uiPriority w:val="99"/>
    <w:semiHidden/>
    <w:unhideWhenUsed/>
    <w:rsid w:val="00EA3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39086">
      <w:bodyDiv w:val="1"/>
      <w:marLeft w:val="0"/>
      <w:marRight w:val="0"/>
      <w:marTop w:val="0"/>
      <w:marBottom w:val="0"/>
      <w:divBdr>
        <w:top w:val="none" w:sz="0" w:space="0" w:color="auto"/>
        <w:left w:val="none" w:sz="0" w:space="0" w:color="auto"/>
        <w:bottom w:val="none" w:sz="0" w:space="0" w:color="auto"/>
        <w:right w:val="none" w:sz="0" w:space="0" w:color="auto"/>
      </w:divBdr>
    </w:div>
    <w:div w:id="150679858">
      <w:bodyDiv w:val="1"/>
      <w:marLeft w:val="0"/>
      <w:marRight w:val="0"/>
      <w:marTop w:val="0"/>
      <w:marBottom w:val="0"/>
      <w:divBdr>
        <w:top w:val="none" w:sz="0" w:space="0" w:color="auto"/>
        <w:left w:val="none" w:sz="0" w:space="0" w:color="auto"/>
        <w:bottom w:val="none" w:sz="0" w:space="0" w:color="auto"/>
        <w:right w:val="none" w:sz="0" w:space="0" w:color="auto"/>
      </w:divBdr>
    </w:div>
    <w:div w:id="215747767">
      <w:bodyDiv w:val="1"/>
      <w:marLeft w:val="0"/>
      <w:marRight w:val="0"/>
      <w:marTop w:val="0"/>
      <w:marBottom w:val="0"/>
      <w:divBdr>
        <w:top w:val="none" w:sz="0" w:space="0" w:color="auto"/>
        <w:left w:val="none" w:sz="0" w:space="0" w:color="auto"/>
        <w:bottom w:val="none" w:sz="0" w:space="0" w:color="auto"/>
        <w:right w:val="none" w:sz="0" w:space="0" w:color="auto"/>
      </w:divBdr>
    </w:div>
    <w:div w:id="280302851">
      <w:bodyDiv w:val="1"/>
      <w:marLeft w:val="0"/>
      <w:marRight w:val="0"/>
      <w:marTop w:val="0"/>
      <w:marBottom w:val="0"/>
      <w:divBdr>
        <w:top w:val="none" w:sz="0" w:space="0" w:color="auto"/>
        <w:left w:val="none" w:sz="0" w:space="0" w:color="auto"/>
        <w:bottom w:val="none" w:sz="0" w:space="0" w:color="auto"/>
        <w:right w:val="none" w:sz="0" w:space="0" w:color="auto"/>
      </w:divBdr>
    </w:div>
    <w:div w:id="509032098">
      <w:bodyDiv w:val="1"/>
      <w:marLeft w:val="0"/>
      <w:marRight w:val="0"/>
      <w:marTop w:val="0"/>
      <w:marBottom w:val="0"/>
      <w:divBdr>
        <w:top w:val="none" w:sz="0" w:space="0" w:color="auto"/>
        <w:left w:val="none" w:sz="0" w:space="0" w:color="auto"/>
        <w:bottom w:val="none" w:sz="0" w:space="0" w:color="auto"/>
        <w:right w:val="none" w:sz="0" w:space="0" w:color="auto"/>
      </w:divBdr>
    </w:div>
    <w:div w:id="609974369">
      <w:bodyDiv w:val="1"/>
      <w:marLeft w:val="0"/>
      <w:marRight w:val="0"/>
      <w:marTop w:val="0"/>
      <w:marBottom w:val="0"/>
      <w:divBdr>
        <w:top w:val="none" w:sz="0" w:space="0" w:color="auto"/>
        <w:left w:val="none" w:sz="0" w:space="0" w:color="auto"/>
        <w:bottom w:val="none" w:sz="0" w:space="0" w:color="auto"/>
        <w:right w:val="none" w:sz="0" w:space="0" w:color="auto"/>
      </w:divBdr>
    </w:div>
    <w:div w:id="674722986">
      <w:bodyDiv w:val="1"/>
      <w:marLeft w:val="0"/>
      <w:marRight w:val="0"/>
      <w:marTop w:val="0"/>
      <w:marBottom w:val="0"/>
      <w:divBdr>
        <w:top w:val="none" w:sz="0" w:space="0" w:color="auto"/>
        <w:left w:val="none" w:sz="0" w:space="0" w:color="auto"/>
        <w:bottom w:val="none" w:sz="0" w:space="0" w:color="auto"/>
        <w:right w:val="none" w:sz="0" w:space="0" w:color="auto"/>
      </w:divBdr>
    </w:div>
    <w:div w:id="732965745">
      <w:bodyDiv w:val="1"/>
      <w:marLeft w:val="0"/>
      <w:marRight w:val="0"/>
      <w:marTop w:val="0"/>
      <w:marBottom w:val="0"/>
      <w:divBdr>
        <w:top w:val="none" w:sz="0" w:space="0" w:color="auto"/>
        <w:left w:val="none" w:sz="0" w:space="0" w:color="auto"/>
        <w:bottom w:val="none" w:sz="0" w:space="0" w:color="auto"/>
        <w:right w:val="none" w:sz="0" w:space="0" w:color="auto"/>
      </w:divBdr>
    </w:div>
    <w:div w:id="760414743">
      <w:bodyDiv w:val="1"/>
      <w:marLeft w:val="0"/>
      <w:marRight w:val="0"/>
      <w:marTop w:val="0"/>
      <w:marBottom w:val="0"/>
      <w:divBdr>
        <w:top w:val="none" w:sz="0" w:space="0" w:color="auto"/>
        <w:left w:val="none" w:sz="0" w:space="0" w:color="auto"/>
        <w:bottom w:val="none" w:sz="0" w:space="0" w:color="auto"/>
        <w:right w:val="none" w:sz="0" w:space="0" w:color="auto"/>
      </w:divBdr>
    </w:div>
    <w:div w:id="930165155">
      <w:bodyDiv w:val="1"/>
      <w:marLeft w:val="0"/>
      <w:marRight w:val="0"/>
      <w:marTop w:val="0"/>
      <w:marBottom w:val="0"/>
      <w:divBdr>
        <w:top w:val="none" w:sz="0" w:space="0" w:color="auto"/>
        <w:left w:val="none" w:sz="0" w:space="0" w:color="auto"/>
        <w:bottom w:val="none" w:sz="0" w:space="0" w:color="auto"/>
        <w:right w:val="none" w:sz="0" w:space="0" w:color="auto"/>
      </w:divBdr>
    </w:div>
    <w:div w:id="1181317398">
      <w:bodyDiv w:val="1"/>
      <w:marLeft w:val="0"/>
      <w:marRight w:val="0"/>
      <w:marTop w:val="0"/>
      <w:marBottom w:val="0"/>
      <w:divBdr>
        <w:top w:val="none" w:sz="0" w:space="0" w:color="auto"/>
        <w:left w:val="none" w:sz="0" w:space="0" w:color="auto"/>
        <w:bottom w:val="none" w:sz="0" w:space="0" w:color="auto"/>
        <w:right w:val="none" w:sz="0" w:space="0" w:color="auto"/>
      </w:divBdr>
    </w:div>
    <w:div w:id="1205285884">
      <w:bodyDiv w:val="1"/>
      <w:marLeft w:val="0"/>
      <w:marRight w:val="0"/>
      <w:marTop w:val="0"/>
      <w:marBottom w:val="0"/>
      <w:divBdr>
        <w:top w:val="none" w:sz="0" w:space="0" w:color="auto"/>
        <w:left w:val="none" w:sz="0" w:space="0" w:color="auto"/>
        <w:bottom w:val="none" w:sz="0" w:space="0" w:color="auto"/>
        <w:right w:val="none" w:sz="0" w:space="0" w:color="auto"/>
      </w:divBdr>
    </w:div>
    <w:div w:id="1258443873">
      <w:bodyDiv w:val="1"/>
      <w:marLeft w:val="0"/>
      <w:marRight w:val="0"/>
      <w:marTop w:val="0"/>
      <w:marBottom w:val="0"/>
      <w:divBdr>
        <w:top w:val="none" w:sz="0" w:space="0" w:color="auto"/>
        <w:left w:val="none" w:sz="0" w:space="0" w:color="auto"/>
        <w:bottom w:val="none" w:sz="0" w:space="0" w:color="auto"/>
        <w:right w:val="none" w:sz="0" w:space="0" w:color="auto"/>
      </w:divBdr>
    </w:div>
    <w:div w:id="1299068070">
      <w:bodyDiv w:val="1"/>
      <w:marLeft w:val="0"/>
      <w:marRight w:val="0"/>
      <w:marTop w:val="0"/>
      <w:marBottom w:val="0"/>
      <w:divBdr>
        <w:top w:val="none" w:sz="0" w:space="0" w:color="auto"/>
        <w:left w:val="none" w:sz="0" w:space="0" w:color="auto"/>
        <w:bottom w:val="none" w:sz="0" w:space="0" w:color="auto"/>
        <w:right w:val="none" w:sz="0" w:space="0" w:color="auto"/>
      </w:divBdr>
    </w:div>
    <w:div w:id="1357922716">
      <w:bodyDiv w:val="1"/>
      <w:marLeft w:val="0"/>
      <w:marRight w:val="0"/>
      <w:marTop w:val="0"/>
      <w:marBottom w:val="0"/>
      <w:divBdr>
        <w:top w:val="none" w:sz="0" w:space="0" w:color="auto"/>
        <w:left w:val="none" w:sz="0" w:space="0" w:color="auto"/>
        <w:bottom w:val="none" w:sz="0" w:space="0" w:color="auto"/>
        <w:right w:val="none" w:sz="0" w:space="0" w:color="auto"/>
      </w:divBdr>
    </w:div>
    <w:div w:id="1496725317">
      <w:bodyDiv w:val="1"/>
      <w:marLeft w:val="0"/>
      <w:marRight w:val="0"/>
      <w:marTop w:val="0"/>
      <w:marBottom w:val="0"/>
      <w:divBdr>
        <w:top w:val="none" w:sz="0" w:space="0" w:color="auto"/>
        <w:left w:val="none" w:sz="0" w:space="0" w:color="auto"/>
        <w:bottom w:val="none" w:sz="0" w:space="0" w:color="auto"/>
        <w:right w:val="none" w:sz="0" w:space="0" w:color="auto"/>
      </w:divBdr>
    </w:div>
    <w:div w:id="1558858882">
      <w:bodyDiv w:val="1"/>
      <w:marLeft w:val="0"/>
      <w:marRight w:val="0"/>
      <w:marTop w:val="0"/>
      <w:marBottom w:val="0"/>
      <w:divBdr>
        <w:top w:val="none" w:sz="0" w:space="0" w:color="auto"/>
        <w:left w:val="none" w:sz="0" w:space="0" w:color="auto"/>
        <w:bottom w:val="none" w:sz="0" w:space="0" w:color="auto"/>
        <w:right w:val="none" w:sz="0" w:space="0" w:color="auto"/>
      </w:divBdr>
    </w:div>
    <w:div w:id="1582712007">
      <w:bodyDiv w:val="1"/>
      <w:marLeft w:val="0"/>
      <w:marRight w:val="0"/>
      <w:marTop w:val="0"/>
      <w:marBottom w:val="0"/>
      <w:divBdr>
        <w:top w:val="none" w:sz="0" w:space="0" w:color="auto"/>
        <w:left w:val="none" w:sz="0" w:space="0" w:color="auto"/>
        <w:bottom w:val="none" w:sz="0" w:space="0" w:color="auto"/>
        <w:right w:val="none" w:sz="0" w:space="0" w:color="auto"/>
      </w:divBdr>
    </w:div>
    <w:div w:id="1676030714">
      <w:bodyDiv w:val="1"/>
      <w:marLeft w:val="0"/>
      <w:marRight w:val="0"/>
      <w:marTop w:val="0"/>
      <w:marBottom w:val="0"/>
      <w:divBdr>
        <w:top w:val="none" w:sz="0" w:space="0" w:color="auto"/>
        <w:left w:val="none" w:sz="0" w:space="0" w:color="auto"/>
        <w:bottom w:val="none" w:sz="0" w:space="0" w:color="auto"/>
        <w:right w:val="none" w:sz="0" w:space="0" w:color="auto"/>
      </w:divBdr>
    </w:div>
    <w:div w:id="1774207114">
      <w:bodyDiv w:val="1"/>
      <w:marLeft w:val="0"/>
      <w:marRight w:val="0"/>
      <w:marTop w:val="0"/>
      <w:marBottom w:val="0"/>
      <w:divBdr>
        <w:top w:val="none" w:sz="0" w:space="0" w:color="auto"/>
        <w:left w:val="none" w:sz="0" w:space="0" w:color="auto"/>
        <w:bottom w:val="none" w:sz="0" w:space="0" w:color="auto"/>
        <w:right w:val="none" w:sz="0" w:space="0" w:color="auto"/>
      </w:divBdr>
    </w:div>
    <w:div w:id="2079210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s%20LRP%20Team\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DCC8DB7DD6A34FA19A78F305829D99" ma:contentTypeVersion="6" ma:contentTypeDescription="Create a new document." ma:contentTypeScope="" ma:versionID="e43a76b8188e151d68dbe9461f0884ee">
  <xsd:schema xmlns:xsd="http://www.w3.org/2001/XMLSchema" xmlns:xs="http://www.w3.org/2001/XMLSchema" xmlns:p="http://schemas.microsoft.com/office/2006/metadata/properties" xmlns:ns2="e36519f3-4f2b-4e8b-8702-35122b379ea4" xmlns:ns3="4b19347a-9491-4220-8a59-46d160890b73" targetNamespace="http://schemas.microsoft.com/office/2006/metadata/properties" ma:root="true" ma:fieldsID="a8aa20ddc63a7a9278b1c01ee76e45c9" ns2:_="" ns3:_="">
    <xsd:import namespace="e36519f3-4f2b-4e8b-8702-35122b379ea4"/>
    <xsd:import namespace="4b19347a-9491-4220-8a59-46d160890b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519f3-4f2b-4e8b-8702-35122b3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9347a-9491-4220-8a59-46d160890b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b19347a-9491-4220-8a59-46d160890b73">
      <UserInfo>
        <DisplayName>Jane Vasey</DisplayName>
        <AccountId>6</AccountId>
        <AccountType/>
      </UserInfo>
      <UserInfo>
        <DisplayName>Heather Corkhill</DisplayName>
        <AccountId>10</AccountId>
        <AccountType/>
      </UserInfo>
      <UserInfo>
        <DisplayName>Julie Ball</DisplayName>
        <AccountId>28</AccountId>
        <AccountType/>
      </UserInfo>
      <UserInfo>
        <DisplayName>Rebekah Leong</DisplayName>
        <AccountId>35</AccountId>
        <AccountType/>
      </UserInfo>
      <UserInfo>
        <DisplayName>Sarah Fulton</DisplayName>
        <AccountId>30</AccountId>
        <AccountType/>
      </UserInfo>
      <UserInfo>
        <DisplayName>Ben Valle</DisplayName>
        <AccountId>36</AccountId>
        <AccountType/>
      </UserInfo>
      <UserInfo>
        <DisplayName>Helen Bannerman</DisplayName>
        <AccountId>31</AccountId>
        <AccountType/>
      </UserInfo>
      <UserInfo>
        <DisplayName>Neroli Holmes</DisplayName>
        <AccountId>25</AccountId>
        <AccountType/>
      </UserInfo>
      <UserInfo>
        <DisplayName>Scott McDougall</DisplayName>
        <AccountId>11</AccountId>
        <AccountType/>
      </UserInfo>
      <UserInfo>
        <DisplayName>Danielle Guinea</DisplayName>
        <AccountId>108</AccountId>
        <AccountType/>
      </UserInfo>
      <UserInfo>
        <DisplayName>Kate Marsh</DisplayName>
        <AccountId>18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A9B50-8385-4990-9C5A-320AD15E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519f3-4f2b-4e8b-8702-35122b379ea4"/>
    <ds:schemaRef ds:uri="4b19347a-9491-4220-8a59-46d160890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customXml/itemProps4.xml><?xml version="1.0" encoding="utf-8"?>
<ds:datastoreItem xmlns:ds="http://schemas.openxmlformats.org/officeDocument/2006/customXml" ds:itemID="{1BDF7BB3-2DB1-44A2-BD21-6417FE0D10D8}">
  <ds:schemaRefs>
    <ds:schemaRef ds:uri="http://purl.org/dc/elements/1.1/"/>
    <ds:schemaRef ds:uri="http://schemas.microsoft.com/office/2006/metadata/properties"/>
    <ds:schemaRef ds:uri="http://www.w3.org/XML/1998/namespace"/>
    <ds:schemaRef ds:uri="http://schemas.microsoft.com/office/2006/documentManagement/types"/>
    <ds:schemaRef ds:uri="4b19347a-9491-4220-8a59-46d160890b73"/>
    <ds:schemaRef ds:uri="http://schemas.microsoft.com/office/infopath/2007/PartnerControls"/>
    <ds:schemaRef ds:uri="http://purl.org/dc/terms/"/>
    <ds:schemaRef ds:uri="http://schemas.openxmlformats.org/package/2006/metadata/core-properties"/>
    <ds:schemaRef ds:uri="e36519f3-4f2b-4e8b-8702-35122b379ea4"/>
    <ds:schemaRef ds:uri="http://purl.org/dc/dcmitype/"/>
  </ds:schemaRefs>
</ds:datastoreItem>
</file>

<file path=customXml/itemProps5.xml><?xml version="1.0" encoding="utf-8"?>
<ds:datastoreItem xmlns:ds="http://schemas.openxmlformats.org/officeDocument/2006/customXml" ds:itemID="{E92FB0D8-D09D-48ED-B63A-D78627DBC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64</TotalTime>
  <Pages>36</Pages>
  <Words>11285</Words>
  <Characters>64326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75461</CharactersWithSpaces>
  <SharedDoc>false</SharedDoc>
  <HLinks>
    <vt:vector size="114" baseType="variant">
      <vt:variant>
        <vt:i4>1179701</vt:i4>
      </vt:variant>
      <vt:variant>
        <vt:i4>110</vt:i4>
      </vt:variant>
      <vt:variant>
        <vt:i4>0</vt:i4>
      </vt:variant>
      <vt:variant>
        <vt:i4>5</vt:i4>
      </vt:variant>
      <vt:variant>
        <vt:lpwstr/>
      </vt:variant>
      <vt:variant>
        <vt:lpwstr>_Toc171324759</vt:lpwstr>
      </vt:variant>
      <vt:variant>
        <vt:i4>1179701</vt:i4>
      </vt:variant>
      <vt:variant>
        <vt:i4>104</vt:i4>
      </vt:variant>
      <vt:variant>
        <vt:i4>0</vt:i4>
      </vt:variant>
      <vt:variant>
        <vt:i4>5</vt:i4>
      </vt:variant>
      <vt:variant>
        <vt:lpwstr/>
      </vt:variant>
      <vt:variant>
        <vt:lpwstr>_Toc171324758</vt:lpwstr>
      </vt:variant>
      <vt:variant>
        <vt:i4>1179701</vt:i4>
      </vt:variant>
      <vt:variant>
        <vt:i4>98</vt:i4>
      </vt:variant>
      <vt:variant>
        <vt:i4>0</vt:i4>
      </vt:variant>
      <vt:variant>
        <vt:i4>5</vt:i4>
      </vt:variant>
      <vt:variant>
        <vt:lpwstr/>
      </vt:variant>
      <vt:variant>
        <vt:lpwstr>_Toc171324757</vt:lpwstr>
      </vt:variant>
      <vt:variant>
        <vt:i4>1179701</vt:i4>
      </vt:variant>
      <vt:variant>
        <vt:i4>92</vt:i4>
      </vt:variant>
      <vt:variant>
        <vt:i4>0</vt:i4>
      </vt:variant>
      <vt:variant>
        <vt:i4>5</vt:i4>
      </vt:variant>
      <vt:variant>
        <vt:lpwstr/>
      </vt:variant>
      <vt:variant>
        <vt:lpwstr>_Toc171324756</vt:lpwstr>
      </vt:variant>
      <vt:variant>
        <vt:i4>1179701</vt:i4>
      </vt:variant>
      <vt:variant>
        <vt:i4>86</vt:i4>
      </vt:variant>
      <vt:variant>
        <vt:i4>0</vt:i4>
      </vt:variant>
      <vt:variant>
        <vt:i4>5</vt:i4>
      </vt:variant>
      <vt:variant>
        <vt:lpwstr/>
      </vt:variant>
      <vt:variant>
        <vt:lpwstr>_Toc171324755</vt:lpwstr>
      </vt:variant>
      <vt:variant>
        <vt:i4>1179701</vt:i4>
      </vt:variant>
      <vt:variant>
        <vt:i4>80</vt:i4>
      </vt:variant>
      <vt:variant>
        <vt:i4>0</vt:i4>
      </vt:variant>
      <vt:variant>
        <vt:i4>5</vt:i4>
      </vt:variant>
      <vt:variant>
        <vt:lpwstr/>
      </vt:variant>
      <vt:variant>
        <vt:lpwstr>_Toc171324754</vt:lpwstr>
      </vt:variant>
      <vt:variant>
        <vt:i4>1179701</vt:i4>
      </vt:variant>
      <vt:variant>
        <vt:i4>74</vt:i4>
      </vt:variant>
      <vt:variant>
        <vt:i4>0</vt:i4>
      </vt:variant>
      <vt:variant>
        <vt:i4>5</vt:i4>
      </vt:variant>
      <vt:variant>
        <vt:lpwstr/>
      </vt:variant>
      <vt:variant>
        <vt:lpwstr>_Toc171324753</vt:lpwstr>
      </vt:variant>
      <vt:variant>
        <vt:i4>1179701</vt:i4>
      </vt:variant>
      <vt:variant>
        <vt:i4>68</vt:i4>
      </vt:variant>
      <vt:variant>
        <vt:i4>0</vt:i4>
      </vt:variant>
      <vt:variant>
        <vt:i4>5</vt:i4>
      </vt:variant>
      <vt:variant>
        <vt:lpwstr/>
      </vt:variant>
      <vt:variant>
        <vt:lpwstr>_Toc171324752</vt:lpwstr>
      </vt:variant>
      <vt:variant>
        <vt:i4>1179701</vt:i4>
      </vt:variant>
      <vt:variant>
        <vt:i4>62</vt:i4>
      </vt:variant>
      <vt:variant>
        <vt:i4>0</vt:i4>
      </vt:variant>
      <vt:variant>
        <vt:i4>5</vt:i4>
      </vt:variant>
      <vt:variant>
        <vt:lpwstr/>
      </vt:variant>
      <vt:variant>
        <vt:lpwstr>_Toc171324751</vt:lpwstr>
      </vt:variant>
      <vt:variant>
        <vt:i4>1179701</vt:i4>
      </vt:variant>
      <vt:variant>
        <vt:i4>56</vt:i4>
      </vt:variant>
      <vt:variant>
        <vt:i4>0</vt:i4>
      </vt:variant>
      <vt:variant>
        <vt:i4>5</vt:i4>
      </vt:variant>
      <vt:variant>
        <vt:lpwstr/>
      </vt:variant>
      <vt:variant>
        <vt:lpwstr>_Toc171324750</vt:lpwstr>
      </vt:variant>
      <vt:variant>
        <vt:i4>1245237</vt:i4>
      </vt:variant>
      <vt:variant>
        <vt:i4>50</vt:i4>
      </vt:variant>
      <vt:variant>
        <vt:i4>0</vt:i4>
      </vt:variant>
      <vt:variant>
        <vt:i4>5</vt:i4>
      </vt:variant>
      <vt:variant>
        <vt:lpwstr/>
      </vt:variant>
      <vt:variant>
        <vt:lpwstr>_Toc171324749</vt:lpwstr>
      </vt:variant>
      <vt:variant>
        <vt:i4>1245237</vt:i4>
      </vt:variant>
      <vt:variant>
        <vt:i4>44</vt:i4>
      </vt:variant>
      <vt:variant>
        <vt:i4>0</vt:i4>
      </vt:variant>
      <vt:variant>
        <vt:i4>5</vt:i4>
      </vt:variant>
      <vt:variant>
        <vt:lpwstr/>
      </vt:variant>
      <vt:variant>
        <vt:lpwstr>_Toc171324748</vt:lpwstr>
      </vt:variant>
      <vt:variant>
        <vt:i4>1245237</vt:i4>
      </vt:variant>
      <vt:variant>
        <vt:i4>38</vt:i4>
      </vt:variant>
      <vt:variant>
        <vt:i4>0</vt:i4>
      </vt:variant>
      <vt:variant>
        <vt:i4>5</vt:i4>
      </vt:variant>
      <vt:variant>
        <vt:lpwstr/>
      </vt:variant>
      <vt:variant>
        <vt:lpwstr>_Toc171324747</vt:lpwstr>
      </vt:variant>
      <vt:variant>
        <vt:i4>1245237</vt:i4>
      </vt:variant>
      <vt:variant>
        <vt:i4>32</vt:i4>
      </vt:variant>
      <vt:variant>
        <vt:i4>0</vt:i4>
      </vt:variant>
      <vt:variant>
        <vt:i4>5</vt:i4>
      </vt:variant>
      <vt:variant>
        <vt:lpwstr/>
      </vt:variant>
      <vt:variant>
        <vt:lpwstr>_Toc171324746</vt:lpwstr>
      </vt:variant>
      <vt:variant>
        <vt:i4>1245237</vt:i4>
      </vt:variant>
      <vt:variant>
        <vt:i4>26</vt:i4>
      </vt:variant>
      <vt:variant>
        <vt:i4>0</vt:i4>
      </vt:variant>
      <vt:variant>
        <vt:i4>5</vt:i4>
      </vt:variant>
      <vt:variant>
        <vt:lpwstr/>
      </vt:variant>
      <vt:variant>
        <vt:lpwstr>_Toc171324745</vt:lpwstr>
      </vt:variant>
      <vt:variant>
        <vt:i4>1245237</vt:i4>
      </vt:variant>
      <vt:variant>
        <vt:i4>20</vt:i4>
      </vt:variant>
      <vt:variant>
        <vt:i4>0</vt:i4>
      </vt:variant>
      <vt:variant>
        <vt:i4>5</vt:i4>
      </vt:variant>
      <vt:variant>
        <vt:lpwstr/>
      </vt:variant>
      <vt:variant>
        <vt:lpwstr>_Toc171324744</vt:lpwstr>
      </vt:variant>
      <vt:variant>
        <vt:i4>1245237</vt:i4>
      </vt:variant>
      <vt:variant>
        <vt:i4>14</vt:i4>
      </vt:variant>
      <vt:variant>
        <vt:i4>0</vt:i4>
      </vt:variant>
      <vt:variant>
        <vt:i4>5</vt:i4>
      </vt:variant>
      <vt:variant>
        <vt:lpwstr/>
      </vt:variant>
      <vt:variant>
        <vt:lpwstr>_Toc171324743</vt:lpwstr>
      </vt:variant>
      <vt:variant>
        <vt:i4>1245237</vt:i4>
      </vt:variant>
      <vt:variant>
        <vt:i4>8</vt:i4>
      </vt:variant>
      <vt:variant>
        <vt:i4>0</vt:i4>
      </vt:variant>
      <vt:variant>
        <vt:i4>5</vt:i4>
      </vt:variant>
      <vt:variant>
        <vt:lpwstr/>
      </vt:variant>
      <vt:variant>
        <vt:lpwstr>_Toc171324742</vt:lpwstr>
      </vt:variant>
      <vt:variant>
        <vt:i4>1245237</vt:i4>
      </vt:variant>
      <vt:variant>
        <vt:i4>2</vt:i4>
      </vt:variant>
      <vt:variant>
        <vt:i4>0</vt:i4>
      </vt:variant>
      <vt:variant>
        <vt:i4>5</vt:i4>
      </vt:variant>
      <vt:variant>
        <vt:lpwstr/>
      </vt:variant>
      <vt:variant>
        <vt:lpwstr>_Toc171324741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Heather Corkhill</dc:creator>
  <cp:keywords/>
  <dc:description/>
  <cp:lastModifiedBy>Heather Corkhill</cp:lastModifiedBy>
  <cp:revision>22</cp:revision>
  <cp:lastPrinted>2024-07-08T04:24:00Z</cp:lastPrinted>
  <dcterms:created xsi:type="dcterms:W3CDTF">2024-07-08T03:03:00Z</dcterms:created>
  <dcterms:modified xsi:type="dcterms:W3CDTF">2024-07-08T04:24:00Z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0x0101002ADCC8DB7DD6A34FA19A78F305829D99</vt:lpwstr>
  </property>
</Properties>
</file>