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color w:val="000000" w:themeColor="text1"/>
          <w:sz w:val="28"/>
          <w:szCs w:val="28"/>
          <w:lang w:val="en-AU"/>
        </w:rPr>
        <w:id w:val="2067608509"/>
        <w:docPartObj>
          <w:docPartGallery w:val="Cover Pages"/>
          <w:docPartUnique/>
        </w:docPartObj>
      </w:sdtPr>
      <w:sdtEndPr>
        <w:rPr>
          <w:rFonts w:cstheme="minorBidi"/>
          <w:sz w:val="16"/>
          <w:szCs w:val="16"/>
        </w:rPr>
      </w:sdtEndPr>
      <w:sdtContent>
        <w:p w14:paraId="6A0840BC" w14:textId="77777777" w:rsidR="0035517B" w:rsidRPr="00880275" w:rsidRDefault="0035517B" w:rsidP="00260847">
          <w:pPr>
            <w:pStyle w:val="NoSpacing"/>
            <w:spacing w:before="120" w:after="120"/>
            <w:rPr>
              <w:rFonts w:ascii="Arial" w:hAnsi="Arial" w:cs="Arial"/>
              <w:bCs/>
              <w:sz w:val="28"/>
            </w:rPr>
          </w:pPr>
        </w:p>
        <w:p w14:paraId="59A860E2" w14:textId="77777777" w:rsidR="0035517B" w:rsidRPr="00880275" w:rsidRDefault="0035517B" w:rsidP="00260847">
          <w:pPr>
            <w:pStyle w:val="NoSpacing"/>
            <w:spacing w:before="120" w:after="120"/>
            <w:rPr>
              <w:rFonts w:ascii="Arial" w:hAnsi="Arial" w:cs="Arial"/>
              <w:bCs/>
              <w:sz w:val="28"/>
            </w:rPr>
          </w:pPr>
        </w:p>
        <w:p w14:paraId="2B99B038" w14:textId="77777777" w:rsidR="0035517B" w:rsidRPr="00880275" w:rsidRDefault="0035517B" w:rsidP="00260847">
          <w:pPr>
            <w:pStyle w:val="NoSpacing"/>
            <w:spacing w:before="120" w:after="120"/>
            <w:rPr>
              <w:rFonts w:ascii="Arial" w:hAnsi="Arial" w:cs="Arial"/>
              <w:bCs/>
              <w:sz w:val="28"/>
            </w:rPr>
          </w:pPr>
          <w:r w:rsidRPr="00880275">
            <w:rPr>
              <w:noProof/>
              <w:lang w:val="en-AU" w:eastAsia="en-AU"/>
            </w:rPr>
            <w:drawing>
              <wp:inline distT="0" distB="0" distL="0" distR="0" wp14:anchorId="4AEA1327" wp14:editId="10EDA599">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420A2052" w14:textId="77777777" w:rsidR="0035517B" w:rsidRPr="00880275" w:rsidRDefault="0035517B" w:rsidP="00260847">
          <w:pPr>
            <w:pStyle w:val="NoSpacing"/>
            <w:spacing w:before="120" w:after="120"/>
            <w:rPr>
              <w:rFonts w:ascii="Arial" w:hAnsi="Arial" w:cs="Arial"/>
              <w:bCs/>
              <w:sz w:val="28"/>
            </w:rPr>
          </w:pPr>
        </w:p>
        <w:p w14:paraId="1986CAAD" w14:textId="77777777" w:rsidR="0035517B" w:rsidRPr="00880275" w:rsidRDefault="0035517B" w:rsidP="00260847">
          <w:pPr>
            <w:pStyle w:val="NoSpacing"/>
            <w:spacing w:before="120" w:after="120"/>
            <w:rPr>
              <w:rFonts w:ascii="Arial" w:hAnsi="Arial" w:cs="Arial"/>
              <w:bCs/>
              <w:sz w:val="28"/>
            </w:rPr>
          </w:pPr>
        </w:p>
        <w:p w14:paraId="6319FD00" w14:textId="77777777" w:rsidR="0035517B" w:rsidRPr="00880275" w:rsidRDefault="0035517B" w:rsidP="00260847">
          <w:pPr>
            <w:pStyle w:val="NoSpacing"/>
            <w:spacing w:before="120" w:after="120"/>
            <w:rPr>
              <w:rFonts w:ascii="Arial" w:hAnsi="Arial" w:cs="Arial"/>
              <w:bCs/>
              <w:sz w:val="28"/>
            </w:rPr>
          </w:pPr>
        </w:p>
        <w:p w14:paraId="770BE501" w14:textId="77777777" w:rsidR="0035517B" w:rsidRPr="00880275" w:rsidRDefault="0035517B" w:rsidP="00260847">
          <w:pPr>
            <w:pStyle w:val="NoSpacing"/>
            <w:spacing w:before="120" w:after="120"/>
            <w:rPr>
              <w:rFonts w:ascii="Arial" w:hAnsi="Arial" w:cs="Arial"/>
              <w:bCs/>
              <w:sz w:val="28"/>
            </w:rPr>
          </w:pPr>
        </w:p>
        <w:p w14:paraId="1E5D48CF" w14:textId="77777777" w:rsidR="0035517B" w:rsidRPr="00880275" w:rsidRDefault="0035517B" w:rsidP="00260847">
          <w:pPr>
            <w:pStyle w:val="NoSpacing"/>
            <w:spacing w:before="120" w:after="120"/>
            <w:rPr>
              <w:rFonts w:ascii="Arial" w:hAnsi="Arial" w:cs="Arial"/>
              <w:bCs/>
              <w:sz w:val="28"/>
            </w:rPr>
          </w:pPr>
        </w:p>
        <w:p w14:paraId="7BBEE0F9" w14:textId="77777777" w:rsidR="0035517B" w:rsidRPr="00880275" w:rsidRDefault="0035517B" w:rsidP="00260847">
          <w:pPr>
            <w:pStyle w:val="NoSpacing"/>
            <w:spacing w:before="120" w:after="120"/>
            <w:rPr>
              <w:rFonts w:ascii="Arial" w:hAnsi="Arial" w:cs="Arial"/>
              <w:bCs/>
              <w:sz w:val="28"/>
            </w:rPr>
          </w:pPr>
        </w:p>
        <w:p w14:paraId="64C99E00" w14:textId="7DFECC4D" w:rsidR="0035517B" w:rsidRPr="00880275" w:rsidRDefault="00996C8E" w:rsidP="0035517B">
          <w:pPr>
            <w:pStyle w:val="Title"/>
          </w:pPr>
          <w:r w:rsidRPr="00880275">
            <w:t xml:space="preserve">Review of Queensland’s Human Rights Act 2019 </w:t>
          </w:r>
        </w:p>
        <w:p w14:paraId="25BF556C" w14:textId="59AC64EE" w:rsidR="00260847" w:rsidRPr="00880275" w:rsidRDefault="00260847" w:rsidP="003A26DA">
          <w:pPr>
            <w:rPr>
              <w:color w:val="1F497D" w:themeColor="text2"/>
              <w:sz w:val="36"/>
              <w:szCs w:val="36"/>
            </w:rPr>
          </w:pPr>
          <w:r w:rsidRPr="00880275">
            <w:rPr>
              <w:color w:val="1F497D" w:themeColor="text2"/>
              <w:sz w:val="36"/>
              <w:szCs w:val="36"/>
            </w:rPr>
            <w:t xml:space="preserve">Submission to </w:t>
          </w:r>
          <w:r w:rsidR="00ED4DB0" w:rsidRPr="00880275">
            <w:rPr>
              <w:color w:val="1F497D" w:themeColor="text2"/>
              <w:sz w:val="36"/>
              <w:szCs w:val="36"/>
            </w:rPr>
            <w:t>Independent Reviewer</w:t>
          </w:r>
        </w:p>
        <w:p w14:paraId="383CC788" w14:textId="56ECCE57" w:rsidR="00260847" w:rsidRPr="00880275" w:rsidRDefault="001450CC" w:rsidP="003A26DA">
          <w:pPr>
            <w:rPr>
              <w:color w:val="1F497D" w:themeColor="text2"/>
              <w:sz w:val="36"/>
              <w:szCs w:val="36"/>
            </w:rPr>
          </w:pPr>
          <w:r w:rsidRPr="00880275">
            <w:rPr>
              <w:color w:val="1F497D" w:themeColor="text2"/>
              <w:sz w:val="36"/>
              <w:szCs w:val="36"/>
            </w:rPr>
            <w:t>8</w:t>
          </w:r>
          <w:r w:rsidR="002077D6" w:rsidRPr="00880275">
            <w:rPr>
              <w:color w:val="1F497D" w:themeColor="text2"/>
              <w:sz w:val="36"/>
              <w:szCs w:val="36"/>
            </w:rPr>
            <w:t xml:space="preserve"> July</w:t>
          </w:r>
          <w:r w:rsidR="00996C8E" w:rsidRPr="00880275">
            <w:rPr>
              <w:color w:val="1F497D" w:themeColor="text2"/>
              <w:sz w:val="36"/>
              <w:szCs w:val="36"/>
            </w:rPr>
            <w:t xml:space="preserve"> 2024</w:t>
          </w:r>
        </w:p>
        <w:p w14:paraId="6779387E" w14:textId="0C59F4F7" w:rsidR="00A16356" w:rsidRPr="00880275" w:rsidRDefault="00260847">
          <w:pPr>
            <w:rPr>
              <w:rFonts w:cs="Arial"/>
              <w:sz w:val="28"/>
              <w:szCs w:val="28"/>
              <w:lang w:val="en-US"/>
            </w:rPr>
          </w:pPr>
          <w:r w:rsidRPr="00880275">
            <w:rPr>
              <w:rFonts w:cs="Arial"/>
              <w:sz w:val="28"/>
              <w:szCs w:val="28"/>
            </w:rPr>
            <w:br w:type="page"/>
          </w:r>
        </w:p>
      </w:sdtContent>
    </w:sdt>
    <w:bookmarkStart w:id="0" w:name="_Toc169077305" w:displacedByCustomXml="next"/>
    <w:bookmarkStart w:id="1" w:name="_Toc170463748" w:displacedByCustomXml="next"/>
    <w:sdt>
      <w:sdtPr>
        <w:rPr>
          <w:szCs w:val="22"/>
        </w:rPr>
        <w:id w:val="1718792788"/>
        <w:docPartObj>
          <w:docPartGallery w:val="Table of Contents"/>
          <w:docPartUnique/>
        </w:docPartObj>
      </w:sdtPr>
      <w:sdtEndPr/>
      <w:sdtContent>
        <w:p w14:paraId="3079381B" w14:textId="77777777" w:rsidR="00A16356" w:rsidRPr="00880275" w:rsidRDefault="00260847" w:rsidP="00885C2C">
          <w:pPr>
            <w:rPr>
              <w:color w:val="004270"/>
              <w:sz w:val="48"/>
              <w:szCs w:val="48"/>
            </w:rPr>
          </w:pPr>
          <w:r w:rsidRPr="00880275">
            <w:rPr>
              <w:color w:val="004270"/>
              <w:sz w:val="48"/>
              <w:szCs w:val="48"/>
            </w:rPr>
            <w:t>Table of c</w:t>
          </w:r>
          <w:r w:rsidR="00A16356" w:rsidRPr="00880275">
            <w:rPr>
              <w:color w:val="004270"/>
              <w:sz w:val="48"/>
              <w:szCs w:val="48"/>
            </w:rPr>
            <w:t>ontents</w:t>
          </w:r>
          <w:bookmarkEnd w:id="1"/>
          <w:bookmarkEnd w:id="0"/>
        </w:p>
        <w:p w14:paraId="609EF0AD" w14:textId="7103AC3B" w:rsidR="00E16784" w:rsidRDefault="60D4A6C5">
          <w:pPr>
            <w:pStyle w:val="TOC1"/>
            <w:tabs>
              <w:tab w:val="right" w:leader="dot" w:pos="8296"/>
            </w:tabs>
            <w:rPr>
              <w:rFonts w:asciiTheme="minorHAnsi" w:hAnsiTheme="minorHAnsi"/>
              <w:noProof/>
              <w:color w:val="auto"/>
              <w:kern w:val="2"/>
              <w:sz w:val="24"/>
              <w:lang w:eastAsia="en-AU"/>
              <w14:ligatures w14:val="standardContextual"/>
            </w:rPr>
          </w:pPr>
          <w:r w:rsidRPr="00880275">
            <w:fldChar w:fldCharType="begin"/>
          </w:r>
          <w:r w:rsidR="00D5233D" w:rsidRPr="00880275">
            <w:instrText>TOC \o "1-3" \z \u \h</w:instrText>
          </w:r>
          <w:r w:rsidRPr="00880275">
            <w:fldChar w:fldCharType="separate"/>
          </w:r>
          <w:hyperlink w:anchor="_Toc171346741" w:history="1">
            <w:r w:rsidR="00E16784" w:rsidRPr="0006795A">
              <w:rPr>
                <w:rStyle w:val="Hyperlink"/>
                <w:noProof/>
              </w:rPr>
              <w:t>Executive Summary</w:t>
            </w:r>
            <w:r w:rsidR="00E16784">
              <w:rPr>
                <w:noProof/>
                <w:webHidden/>
              </w:rPr>
              <w:tab/>
            </w:r>
            <w:r w:rsidR="00E16784">
              <w:rPr>
                <w:noProof/>
                <w:webHidden/>
              </w:rPr>
              <w:fldChar w:fldCharType="begin"/>
            </w:r>
            <w:r w:rsidR="00E16784">
              <w:rPr>
                <w:noProof/>
                <w:webHidden/>
              </w:rPr>
              <w:instrText xml:space="preserve"> PAGEREF _Toc171346741 \h </w:instrText>
            </w:r>
            <w:r w:rsidR="00E16784">
              <w:rPr>
                <w:noProof/>
                <w:webHidden/>
              </w:rPr>
            </w:r>
            <w:r w:rsidR="00E16784">
              <w:rPr>
                <w:noProof/>
                <w:webHidden/>
              </w:rPr>
              <w:fldChar w:fldCharType="separate"/>
            </w:r>
            <w:r w:rsidR="00BF3C68">
              <w:rPr>
                <w:noProof/>
                <w:webHidden/>
              </w:rPr>
              <w:t>3</w:t>
            </w:r>
            <w:r w:rsidR="00E16784">
              <w:rPr>
                <w:noProof/>
                <w:webHidden/>
              </w:rPr>
              <w:fldChar w:fldCharType="end"/>
            </w:r>
          </w:hyperlink>
        </w:p>
        <w:p w14:paraId="4C840406" w14:textId="1D72CB6E" w:rsidR="00E16784" w:rsidRDefault="00E16784">
          <w:pPr>
            <w:pStyle w:val="TOC1"/>
            <w:tabs>
              <w:tab w:val="right" w:leader="dot" w:pos="8296"/>
            </w:tabs>
            <w:rPr>
              <w:rFonts w:asciiTheme="minorHAnsi" w:hAnsiTheme="minorHAnsi"/>
              <w:noProof/>
              <w:color w:val="auto"/>
              <w:kern w:val="2"/>
              <w:sz w:val="24"/>
              <w:lang w:eastAsia="en-AU"/>
              <w14:ligatures w14:val="standardContextual"/>
            </w:rPr>
          </w:pPr>
          <w:hyperlink w:anchor="_Toc171346742" w:history="1">
            <w:r w:rsidRPr="0006795A">
              <w:rPr>
                <w:rStyle w:val="Hyperlink"/>
                <w:noProof/>
              </w:rPr>
              <w:t>Introduction</w:t>
            </w:r>
            <w:r>
              <w:rPr>
                <w:noProof/>
                <w:webHidden/>
              </w:rPr>
              <w:tab/>
            </w:r>
            <w:r>
              <w:rPr>
                <w:noProof/>
                <w:webHidden/>
              </w:rPr>
              <w:fldChar w:fldCharType="begin"/>
            </w:r>
            <w:r>
              <w:rPr>
                <w:noProof/>
                <w:webHidden/>
              </w:rPr>
              <w:instrText xml:space="preserve"> PAGEREF _Toc171346742 \h </w:instrText>
            </w:r>
            <w:r>
              <w:rPr>
                <w:noProof/>
                <w:webHidden/>
              </w:rPr>
            </w:r>
            <w:r>
              <w:rPr>
                <w:noProof/>
                <w:webHidden/>
              </w:rPr>
              <w:fldChar w:fldCharType="separate"/>
            </w:r>
            <w:r w:rsidR="00BF3C68">
              <w:rPr>
                <w:noProof/>
                <w:webHidden/>
              </w:rPr>
              <w:t>5</w:t>
            </w:r>
            <w:r>
              <w:rPr>
                <w:noProof/>
                <w:webHidden/>
              </w:rPr>
              <w:fldChar w:fldCharType="end"/>
            </w:r>
          </w:hyperlink>
        </w:p>
        <w:p w14:paraId="7F9B3896" w14:textId="224F7B35" w:rsidR="00E16784" w:rsidRDefault="00E16784">
          <w:pPr>
            <w:pStyle w:val="TOC1"/>
            <w:tabs>
              <w:tab w:val="right" w:leader="dot" w:pos="8296"/>
            </w:tabs>
            <w:rPr>
              <w:rFonts w:asciiTheme="minorHAnsi" w:hAnsiTheme="minorHAnsi"/>
              <w:noProof/>
              <w:color w:val="auto"/>
              <w:kern w:val="2"/>
              <w:sz w:val="24"/>
              <w:lang w:eastAsia="en-AU"/>
              <w14:ligatures w14:val="standardContextual"/>
            </w:rPr>
          </w:pPr>
          <w:hyperlink w:anchor="_Toc171346743" w:history="1">
            <w:r w:rsidRPr="0006795A">
              <w:rPr>
                <w:rStyle w:val="Hyperlink"/>
                <w:noProof/>
              </w:rPr>
              <w:t>About the Commission</w:t>
            </w:r>
            <w:r>
              <w:rPr>
                <w:noProof/>
                <w:webHidden/>
              </w:rPr>
              <w:tab/>
            </w:r>
            <w:r>
              <w:rPr>
                <w:noProof/>
                <w:webHidden/>
              </w:rPr>
              <w:fldChar w:fldCharType="begin"/>
            </w:r>
            <w:r>
              <w:rPr>
                <w:noProof/>
                <w:webHidden/>
              </w:rPr>
              <w:instrText xml:space="preserve"> PAGEREF _Toc171346743 \h </w:instrText>
            </w:r>
            <w:r>
              <w:rPr>
                <w:noProof/>
                <w:webHidden/>
              </w:rPr>
            </w:r>
            <w:r>
              <w:rPr>
                <w:noProof/>
                <w:webHidden/>
              </w:rPr>
              <w:fldChar w:fldCharType="separate"/>
            </w:r>
            <w:r w:rsidR="00BF3C68">
              <w:rPr>
                <w:noProof/>
                <w:webHidden/>
              </w:rPr>
              <w:t>5</w:t>
            </w:r>
            <w:r>
              <w:rPr>
                <w:noProof/>
                <w:webHidden/>
              </w:rPr>
              <w:fldChar w:fldCharType="end"/>
            </w:r>
          </w:hyperlink>
        </w:p>
        <w:p w14:paraId="00D6CD9B" w14:textId="6A08271F" w:rsidR="00E16784" w:rsidRDefault="00E16784">
          <w:pPr>
            <w:pStyle w:val="TOC1"/>
            <w:tabs>
              <w:tab w:val="right" w:leader="dot" w:pos="8296"/>
            </w:tabs>
            <w:rPr>
              <w:rFonts w:asciiTheme="minorHAnsi" w:hAnsiTheme="minorHAnsi"/>
              <w:noProof/>
              <w:color w:val="auto"/>
              <w:kern w:val="2"/>
              <w:sz w:val="24"/>
              <w:lang w:eastAsia="en-AU"/>
              <w14:ligatures w14:val="standardContextual"/>
            </w:rPr>
          </w:pPr>
          <w:hyperlink w:anchor="_Toc171346744" w:history="1">
            <w:r w:rsidRPr="0006795A">
              <w:rPr>
                <w:rStyle w:val="Hyperlink"/>
                <w:noProof/>
                <w:lang w:val="en-US"/>
              </w:rPr>
              <w:t>Recommendations</w:t>
            </w:r>
            <w:r>
              <w:rPr>
                <w:noProof/>
                <w:webHidden/>
              </w:rPr>
              <w:tab/>
            </w:r>
            <w:r>
              <w:rPr>
                <w:noProof/>
                <w:webHidden/>
              </w:rPr>
              <w:fldChar w:fldCharType="begin"/>
            </w:r>
            <w:r>
              <w:rPr>
                <w:noProof/>
                <w:webHidden/>
              </w:rPr>
              <w:instrText xml:space="preserve"> PAGEREF _Toc171346744 \h </w:instrText>
            </w:r>
            <w:r>
              <w:rPr>
                <w:noProof/>
                <w:webHidden/>
              </w:rPr>
            </w:r>
            <w:r>
              <w:rPr>
                <w:noProof/>
                <w:webHidden/>
              </w:rPr>
              <w:fldChar w:fldCharType="separate"/>
            </w:r>
            <w:r w:rsidR="00BF3C68">
              <w:rPr>
                <w:noProof/>
                <w:webHidden/>
              </w:rPr>
              <w:t>6</w:t>
            </w:r>
            <w:r>
              <w:rPr>
                <w:noProof/>
                <w:webHidden/>
              </w:rPr>
              <w:fldChar w:fldCharType="end"/>
            </w:r>
          </w:hyperlink>
        </w:p>
        <w:p w14:paraId="4B9A5134" w14:textId="6CAA5D3D" w:rsidR="00E16784" w:rsidRDefault="00E16784">
          <w:pPr>
            <w:pStyle w:val="TOC1"/>
            <w:tabs>
              <w:tab w:val="right" w:leader="dot" w:pos="8296"/>
            </w:tabs>
            <w:rPr>
              <w:rFonts w:asciiTheme="minorHAnsi" w:hAnsiTheme="minorHAnsi"/>
              <w:noProof/>
              <w:color w:val="auto"/>
              <w:kern w:val="2"/>
              <w:sz w:val="24"/>
              <w:lang w:eastAsia="en-AU"/>
              <w14:ligatures w14:val="standardContextual"/>
            </w:rPr>
          </w:pPr>
          <w:hyperlink w:anchor="_Toc171346745" w:history="1">
            <w:r w:rsidRPr="0006795A">
              <w:rPr>
                <w:rStyle w:val="Hyperlink"/>
                <w:noProof/>
              </w:rPr>
              <w:t>1. Building a culture of human rights</w:t>
            </w:r>
            <w:r>
              <w:rPr>
                <w:noProof/>
                <w:webHidden/>
              </w:rPr>
              <w:tab/>
            </w:r>
            <w:r>
              <w:rPr>
                <w:noProof/>
                <w:webHidden/>
              </w:rPr>
              <w:fldChar w:fldCharType="begin"/>
            </w:r>
            <w:r>
              <w:rPr>
                <w:noProof/>
                <w:webHidden/>
              </w:rPr>
              <w:instrText xml:space="preserve"> PAGEREF _Toc171346745 \h </w:instrText>
            </w:r>
            <w:r>
              <w:rPr>
                <w:noProof/>
                <w:webHidden/>
              </w:rPr>
            </w:r>
            <w:r>
              <w:rPr>
                <w:noProof/>
                <w:webHidden/>
              </w:rPr>
              <w:fldChar w:fldCharType="separate"/>
            </w:r>
            <w:r w:rsidR="00BF3C68">
              <w:rPr>
                <w:noProof/>
                <w:webHidden/>
              </w:rPr>
              <w:t>12</w:t>
            </w:r>
            <w:r>
              <w:rPr>
                <w:noProof/>
                <w:webHidden/>
              </w:rPr>
              <w:fldChar w:fldCharType="end"/>
            </w:r>
          </w:hyperlink>
        </w:p>
        <w:p w14:paraId="7A2A23EF" w14:textId="329CEBFD" w:rsidR="00E16784" w:rsidRDefault="00E16784">
          <w:pPr>
            <w:pStyle w:val="TOC2"/>
            <w:rPr>
              <w:rFonts w:asciiTheme="minorHAnsi" w:hAnsiTheme="minorHAnsi"/>
              <w:noProof/>
              <w:color w:val="auto"/>
              <w:kern w:val="2"/>
              <w:sz w:val="24"/>
              <w:lang w:eastAsia="en-AU"/>
              <w14:ligatures w14:val="standardContextual"/>
            </w:rPr>
          </w:pPr>
          <w:hyperlink w:anchor="_Toc171346746" w:history="1">
            <w:r w:rsidRPr="0006795A">
              <w:rPr>
                <w:rStyle w:val="Hyperlink"/>
                <w:noProof/>
              </w:rPr>
              <w:t>Defining and measuring a human rights culture</w:t>
            </w:r>
            <w:r>
              <w:rPr>
                <w:noProof/>
                <w:webHidden/>
              </w:rPr>
              <w:tab/>
            </w:r>
            <w:r>
              <w:rPr>
                <w:noProof/>
                <w:webHidden/>
              </w:rPr>
              <w:fldChar w:fldCharType="begin"/>
            </w:r>
            <w:r>
              <w:rPr>
                <w:noProof/>
                <w:webHidden/>
              </w:rPr>
              <w:instrText xml:space="preserve"> PAGEREF _Toc171346746 \h </w:instrText>
            </w:r>
            <w:r>
              <w:rPr>
                <w:noProof/>
                <w:webHidden/>
              </w:rPr>
            </w:r>
            <w:r>
              <w:rPr>
                <w:noProof/>
                <w:webHidden/>
              </w:rPr>
              <w:fldChar w:fldCharType="separate"/>
            </w:r>
            <w:r w:rsidR="00BF3C68">
              <w:rPr>
                <w:noProof/>
                <w:webHidden/>
              </w:rPr>
              <w:t>12</w:t>
            </w:r>
            <w:r>
              <w:rPr>
                <w:noProof/>
                <w:webHidden/>
              </w:rPr>
              <w:fldChar w:fldCharType="end"/>
            </w:r>
          </w:hyperlink>
        </w:p>
        <w:p w14:paraId="3DB190A5" w14:textId="720088C1" w:rsidR="00E16784" w:rsidRDefault="00E16784">
          <w:pPr>
            <w:pStyle w:val="TOC2"/>
            <w:rPr>
              <w:rFonts w:asciiTheme="minorHAnsi" w:hAnsiTheme="minorHAnsi"/>
              <w:noProof/>
              <w:color w:val="auto"/>
              <w:kern w:val="2"/>
              <w:sz w:val="24"/>
              <w:lang w:eastAsia="en-AU"/>
              <w14:ligatures w14:val="standardContextual"/>
            </w:rPr>
          </w:pPr>
          <w:hyperlink w:anchor="_Toc171346747" w:history="1">
            <w:r w:rsidRPr="0006795A">
              <w:rPr>
                <w:rStyle w:val="Hyperlink"/>
                <w:noProof/>
              </w:rPr>
              <w:t>Impacts of COVID-19</w:t>
            </w:r>
            <w:r>
              <w:rPr>
                <w:noProof/>
                <w:webHidden/>
              </w:rPr>
              <w:tab/>
            </w:r>
            <w:r>
              <w:rPr>
                <w:noProof/>
                <w:webHidden/>
              </w:rPr>
              <w:fldChar w:fldCharType="begin"/>
            </w:r>
            <w:r>
              <w:rPr>
                <w:noProof/>
                <w:webHidden/>
              </w:rPr>
              <w:instrText xml:space="preserve"> PAGEREF _Toc171346747 \h </w:instrText>
            </w:r>
            <w:r>
              <w:rPr>
                <w:noProof/>
                <w:webHidden/>
              </w:rPr>
            </w:r>
            <w:r>
              <w:rPr>
                <w:noProof/>
                <w:webHidden/>
              </w:rPr>
              <w:fldChar w:fldCharType="separate"/>
            </w:r>
            <w:r w:rsidR="00BF3C68">
              <w:rPr>
                <w:noProof/>
                <w:webHidden/>
              </w:rPr>
              <w:t>14</w:t>
            </w:r>
            <w:r>
              <w:rPr>
                <w:noProof/>
                <w:webHidden/>
              </w:rPr>
              <w:fldChar w:fldCharType="end"/>
            </w:r>
          </w:hyperlink>
        </w:p>
        <w:p w14:paraId="6006D77E" w14:textId="0FFAE6F0" w:rsidR="00E16784" w:rsidRDefault="00E16784">
          <w:pPr>
            <w:pStyle w:val="TOC2"/>
            <w:rPr>
              <w:rFonts w:asciiTheme="minorHAnsi" w:hAnsiTheme="minorHAnsi"/>
              <w:noProof/>
              <w:color w:val="auto"/>
              <w:kern w:val="2"/>
              <w:sz w:val="24"/>
              <w:lang w:eastAsia="en-AU"/>
              <w14:ligatures w14:val="standardContextual"/>
            </w:rPr>
          </w:pPr>
          <w:hyperlink w:anchor="_Toc171346748" w:history="1">
            <w:r w:rsidRPr="0006795A">
              <w:rPr>
                <w:rStyle w:val="Hyperlink"/>
                <w:noProof/>
              </w:rPr>
              <w:t>Commission observations as at 30 June 2023</w:t>
            </w:r>
            <w:r>
              <w:rPr>
                <w:noProof/>
                <w:webHidden/>
              </w:rPr>
              <w:tab/>
            </w:r>
            <w:r>
              <w:rPr>
                <w:noProof/>
                <w:webHidden/>
              </w:rPr>
              <w:fldChar w:fldCharType="begin"/>
            </w:r>
            <w:r>
              <w:rPr>
                <w:noProof/>
                <w:webHidden/>
              </w:rPr>
              <w:instrText xml:space="preserve"> PAGEREF _Toc171346748 \h </w:instrText>
            </w:r>
            <w:r>
              <w:rPr>
                <w:noProof/>
                <w:webHidden/>
              </w:rPr>
            </w:r>
            <w:r>
              <w:rPr>
                <w:noProof/>
                <w:webHidden/>
              </w:rPr>
              <w:fldChar w:fldCharType="separate"/>
            </w:r>
            <w:r w:rsidR="00BF3C68">
              <w:rPr>
                <w:noProof/>
                <w:webHidden/>
              </w:rPr>
              <w:t>16</w:t>
            </w:r>
            <w:r>
              <w:rPr>
                <w:noProof/>
                <w:webHidden/>
              </w:rPr>
              <w:fldChar w:fldCharType="end"/>
            </w:r>
          </w:hyperlink>
        </w:p>
        <w:p w14:paraId="0185D68B" w14:textId="19A2A37D"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49" w:history="1">
            <w:r w:rsidRPr="0006795A">
              <w:rPr>
                <w:rStyle w:val="Hyperlink"/>
                <w:noProof/>
              </w:rPr>
              <w:t>State government progress</w:t>
            </w:r>
            <w:r>
              <w:rPr>
                <w:noProof/>
                <w:webHidden/>
              </w:rPr>
              <w:tab/>
            </w:r>
            <w:r>
              <w:rPr>
                <w:noProof/>
                <w:webHidden/>
              </w:rPr>
              <w:fldChar w:fldCharType="begin"/>
            </w:r>
            <w:r>
              <w:rPr>
                <w:noProof/>
                <w:webHidden/>
              </w:rPr>
              <w:instrText xml:space="preserve"> PAGEREF _Toc171346749 \h </w:instrText>
            </w:r>
            <w:r>
              <w:rPr>
                <w:noProof/>
                <w:webHidden/>
              </w:rPr>
            </w:r>
            <w:r>
              <w:rPr>
                <w:noProof/>
                <w:webHidden/>
              </w:rPr>
              <w:fldChar w:fldCharType="separate"/>
            </w:r>
            <w:r w:rsidR="00BF3C68">
              <w:rPr>
                <w:noProof/>
                <w:webHidden/>
              </w:rPr>
              <w:t>16</w:t>
            </w:r>
            <w:r>
              <w:rPr>
                <w:noProof/>
                <w:webHidden/>
              </w:rPr>
              <w:fldChar w:fldCharType="end"/>
            </w:r>
          </w:hyperlink>
        </w:p>
        <w:p w14:paraId="068436D7" w14:textId="72948900"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50" w:history="1">
            <w:r w:rsidRPr="0006795A">
              <w:rPr>
                <w:rStyle w:val="Hyperlink"/>
                <w:noProof/>
              </w:rPr>
              <w:t>Local government progress</w:t>
            </w:r>
            <w:r>
              <w:rPr>
                <w:noProof/>
                <w:webHidden/>
              </w:rPr>
              <w:tab/>
            </w:r>
            <w:r>
              <w:rPr>
                <w:noProof/>
                <w:webHidden/>
              </w:rPr>
              <w:fldChar w:fldCharType="begin"/>
            </w:r>
            <w:r>
              <w:rPr>
                <w:noProof/>
                <w:webHidden/>
              </w:rPr>
              <w:instrText xml:space="preserve"> PAGEREF _Toc171346750 \h </w:instrText>
            </w:r>
            <w:r>
              <w:rPr>
                <w:noProof/>
                <w:webHidden/>
              </w:rPr>
            </w:r>
            <w:r>
              <w:rPr>
                <w:noProof/>
                <w:webHidden/>
              </w:rPr>
              <w:fldChar w:fldCharType="separate"/>
            </w:r>
            <w:r w:rsidR="00BF3C68">
              <w:rPr>
                <w:noProof/>
                <w:webHidden/>
              </w:rPr>
              <w:t>17</w:t>
            </w:r>
            <w:r>
              <w:rPr>
                <w:noProof/>
                <w:webHidden/>
              </w:rPr>
              <w:fldChar w:fldCharType="end"/>
            </w:r>
          </w:hyperlink>
        </w:p>
        <w:p w14:paraId="19388D42" w14:textId="3355D06E"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51" w:history="1">
            <w:r w:rsidRPr="0006795A">
              <w:rPr>
                <w:rStyle w:val="Hyperlink"/>
                <w:noProof/>
              </w:rPr>
              <w:t>Functional public entity progress</w:t>
            </w:r>
            <w:r>
              <w:rPr>
                <w:noProof/>
                <w:webHidden/>
              </w:rPr>
              <w:tab/>
            </w:r>
            <w:r>
              <w:rPr>
                <w:noProof/>
                <w:webHidden/>
              </w:rPr>
              <w:fldChar w:fldCharType="begin"/>
            </w:r>
            <w:r>
              <w:rPr>
                <w:noProof/>
                <w:webHidden/>
              </w:rPr>
              <w:instrText xml:space="preserve"> PAGEREF _Toc171346751 \h </w:instrText>
            </w:r>
            <w:r>
              <w:rPr>
                <w:noProof/>
                <w:webHidden/>
              </w:rPr>
            </w:r>
            <w:r>
              <w:rPr>
                <w:noProof/>
                <w:webHidden/>
              </w:rPr>
              <w:fldChar w:fldCharType="separate"/>
            </w:r>
            <w:r w:rsidR="00BF3C68">
              <w:rPr>
                <w:noProof/>
                <w:webHidden/>
              </w:rPr>
              <w:t>19</w:t>
            </w:r>
            <w:r>
              <w:rPr>
                <w:noProof/>
                <w:webHidden/>
              </w:rPr>
              <w:fldChar w:fldCharType="end"/>
            </w:r>
          </w:hyperlink>
        </w:p>
        <w:p w14:paraId="298FCFF6" w14:textId="261FF524" w:rsidR="00E16784" w:rsidRDefault="00E16784">
          <w:pPr>
            <w:pStyle w:val="TOC2"/>
            <w:rPr>
              <w:rFonts w:asciiTheme="minorHAnsi" w:hAnsiTheme="minorHAnsi"/>
              <w:noProof/>
              <w:color w:val="auto"/>
              <w:kern w:val="2"/>
              <w:sz w:val="24"/>
              <w:lang w:eastAsia="en-AU"/>
              <w14:ligatures w14:val="standardContextual"/>
            </w:rPr>
          </w:pPr>
          <w:hyperlink w:anchor="_Toc171346752" w:history="1">
            <w:r w:rsidRPr="0006795A">
              <w:rPr>
                <w:rStyle w:val="Hyperlink"/>
                <w:noProof/>
              </w:rPr>
              <w:t>The Commission’s work</w:t>
            </w:r>
            <w:r>
              <w:rPr>
                <w:noProof/>
                <w:webHidden/>
              </w:rPr>
              <w:tab/>
            </w:r>
            <w:r>
              <w:rPr>
                <w:noProof/>
                <w:webHidden/>
              </w:rPr>
              <w:fldChar w:fldCharType="begin"/>
            </w:r>
            <w:r>
              <w:rPr>
                <w:noProof/>
                <w:webHidden/>
              </w:rPr>
              <w:instrText xml:space="preserve"> PAGEREF _Toc171346752 \h </w:instrText>
            </w:r>
            <w:r>
              <w:rPr>
                <w:noProof/>
                <w:webHidden/>
              </w:rPr>
            </w:r>
            <w:r>
              <w:rPr>
                <w:noProof/>
                <w:webHidden/>
              </w:rPr>
              <w:fldChar w:fldCharType="separate"/>
            </w:r>
            <w:r w:rsidR="00BF3C68">
              <w:rPr>
                <w:noProof/>
                <w:webHidden/>
              </w:rPr>
              <w:t>20</w:t>
            </w:r>
            <w:r>
              <w:rPr>
                <w:noProof/>
                <w:webHidden/>
              </w:rPr>
              <w:fldChar w:fldCharType="end"/>
            </w:r>
          </w:hyperlink>
        </w:p>
        <w:p w14:paraId="0D29E6AB" w14:textId="7595C7B7"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53" w:history="1">
            <w:r w:rsidRPr="0006795A">
              <w:rPr>
                <w:rStyle w:val="Hyperlink"/>
                <w:noProof/>
              </w:rPr>
              <w:t>Community engagement</w:t>
            </w:r>
            <w:r>
              <w:rPr>
                <w:noProof/>
                <w:webHidden/>
              </w:rPr>
              <w:tab/>
            </w:r>
            <w:r>
              <w:rPr>
                <w:noProof/>
                <w:webHidden/>
              </w:rPr>
              <w:fldChar w:fldCharType="begin"/>
            </w:r>
            <w:r>
              <w:rPr>
                <w:noProof/>
                <w:webHidden/>
              </w:rPr>
              <w:instrText xml:space="preserve"> PAGEREF _Toc171346753 \h </w:instrText>
            </w:r>
            <w:r>
              <w:rPr>
                <w:noProof/>
                <w:webHidden/>
              </w:rPr>
            </w:r>
            <w:r>
              <w:rPr>
                <w:noProof/>
                <w:webHidden/>
              </w:rPr>
              <w:fldChar w:fldCharType="separate"/>
            </w:r>
            <w:r w:rsidR="00BF3C68">
              <w:rPr>
                <w:noProof/>
                <w:webHidden/>
              </w:rPr>
              <w:t>20</w:t>
            </w:r>
            <w:r>
              <w:rPr>
                <w:noProof/>
                <w:webHidden/>
              </w:rPr>
              <w:fldChar w:fldCharType="end"/>
            </w:r>
          </w:hyperlink>
        </w:p>
        <w:p w14:paraId="1B82F30F" w14:textId="584007DF"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54" w:history="1">
            <w:r w:rsidRPr="0006795A">
              <w:rPr>
                <w:rStyle w:val="Hyperlink"/>
                <w:noProof/>
              </w:rPr>
              <w:t>Education and training</w:t>
            </w:r>
            <w:r>
              <w:rPr>
                <w:noProof/>
                <w:webHidden/>
              </w:rPr>
              <w:tab/>
            </w:r>
            <w:r>
              <w:rPr>
                <w:noProof/>
                <w:webHidden/>
              </w:rPr>
              <w:fldChar w:fldCharType="begin"/>
            </w:r>
            <w:r>
              <w:rPr>
                <w:noProof/>
                <w:webHidden/>
              </w:rPr>
              <w:instrText xml:space="preserve"> PAGEREF _Toc171346754 \h </w:instrText>
            </w:r>
            <w:r>
              <w:rPr>
                <w:noProof/>
                <w:webHidden/>
              </w:rPr>
            </w:r>
            <w:r>
              <w:rPr>
                <w:noProof/>
                <w:webHidden/>
              </w:rPr>
              <w:fldChar w:fldCharType="separate"/>
            </w:r>
            <w:r w:rsidR="00BF3C68">
              <w:rPr>
                <w:noProof/>
                <w:webHidden/>
              </w:rPr>
              <w:t>20</w:t>
            </w:r>
            <w:r>
              <w:rPr>
                <w:noProof/>
                <w:webHidden/>
              </w:rPr>
              <w:fldChar w:fldCharType="end"/>
            </w:r>
          </w:hyperlink>
        </w:p>
        <w:p w14:paraId="09B33E20" w14:textId="2428317A"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55" w:history="1">
            <w:r w:rsidRPr="0006795A">
              <w:rPr>
                <w:rStyle w:val="Hyperlink"/>
                <w:noProof/>
              </w:rPr>
              <w:t>Website and resource development</w:t>
            </w:r>
            <w:r>
              <w:rPr>
                <w:noProof/>
                <w:webHidden/>
              </w:rPr>
              <w:tab/>
            </w:r>
            <w:r>
              <w:rPr>
                <w:noProof/>
                <w:webHidden/>
              </w:rPr>
              <w:fldChar w:fldCharType="begin"/>
            </w:r>
            <w:r>
              <w:rPr>
                <w:noProof/>
                <w:webHidden/>
              </w:rPr>
              <w:instrText xml:space="preserve"> PAGEREF _Toc171346755 \h </w:instrText>
            </w:r>
            <w:r>
              <w:rPr>
                <w:noProof/>
                <w:webHidden/>
              </w:rPr>
            </w:r>
            <w:r>
              <w:rPr>
                <w:noProof/>
                <w:webHidden/>
              </w:rPr>
              <w:fldChar w:fldCharType="separate"/>
            </w:r>
            <w:r w:rsidR="00BF3C68">
              <w:rPr>
                <w:noProof/>
                <w:webHidden/>
              </w:rPr>
              <w:t>22</w:t>
            </w:r>
            <w:r>
              <w:rPr>
                <w:noProof/>
                <w:webHidden/>
              </w:rPr>
              <w:fldChar w:fldCharType="end"/>
            </w:r>
          </w:hyperlink>
        </w:p>
        <w:p w14:paraId="3C630387" w14:textId="31B13A82"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56" w:history="1">
            <w:r w:rsidRPr="0006795A">
              <w:rPr>
                <w:rStyle w:val="Hyperlink"/>
                <w:noProof/>
              </w:rPr>
              <w:t>Collaborations</w:t>
            </w:r>
            <w:r>
              <w:rPr>
                <w:noProof/>
                <w:webHidden/>
              </w:rPr>
              <w:tab/>
            </w:r>
            <w:r>
              <w:rPr>
                <w:noProof/>
                <w:webHidden/>
              </w:rPr>
              <w:fldChar w:fldCharType="begin"/>
            </w:r>
            <w:r>
              <w:rPr>
                <w:noProof/>
                <w:webHidden/>
              </w:rPr>
              <w:instrText xml:space="preserve"> PAGEREF _Toc171346756 \h </w:instrText>
            </w:r>
            <w:r>
              <w:rPr>
                <w:noProof/>
                <w:webHidden/>
              </w:rPr>
            </w:r>
            <w:r>
              <w:rPr>
                <w:noProof/>
                <w:webHidden/>
              </w:rPr>
              <w:fldChar w:fldCharType="separate"/>
            </w:r>
            <w:r w:rsidR="00BF3C68">
              <w:rPr>
                <w:noProof/>
                <w:webHidden/>
              </w:rPr>
              <w:t>23</w:t>
            </w:r>
            <w:r>
              <w:rPr>
                <w:noProof/>
                <w:webHidden/>
              </w:rPr>
              <w:fldChar w:fldCharType="end"/>
            </w:r>
          </w:hyperlink>
        </w:p>
        <w:p w14:paraId="3D8B2AD5" w14:textId="64BDE4D6"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57" w:history="1">
            <w:r w:rsidRPr="0006795A">
              <w:rPr>
                <w:rStyle w:val="Hyperlink"/>
                <w:noProof/>
              </w:rPr>
              <w:t>Human rights reviews</w:t>
            </w:r>
            <w:r>
              <w:rPr>
                <w:noProof/>
                <w:webHidden/>
              </w:rPr>
              <w:tab/>
            </w:r>
            <w:r>
              <w:rPr>
                <w:noProof/>
                <w:webHidden/>
              </w:rPr>
              <w:fldChar w:fldCharType="begin"/>
            </w:r>
            <w:r>
              <w:rPr>
                <w:noProof/>
                <w:webHidden/>
              </w:rPr>
              <w:instrText xml:space="preserve"> PAGEREF _Toc171346757 \h </w:instrText>
            </w:r>
            <w:r>
              <w:rPr>
                <w:noProof/>
                <w:webHidden/>
              </w:rPr>
            </w:r>
            <w:r>
              <w:rPr>
                <w:noProof/>
                <w:webHidden/>
              </w:rPr>
              <w:fldChar w:fldCharType="separate"/>
            </w:r>
            <w:r w:rsidR="00BF3C68">
              <w:rPr>
                <w:noProof/>
                <w:webHidden/>
              </w:rPr>
              <w:t>24</w:t>
            </w:r>
            <w:r>
              <w:rPr>
                <w:noProof/>
                <w:webHidden/>
              </w:rPr>
              <w:fldChar w:fldCharType="end"/>
            </w:r>
          </w:hyperlink>
        </w:p>
        <w:p w14:paraId="1EF71096" w14:textId="0F8E1D18"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58" w:history="1">
            <w:r w:rsidRPr="0006795A">
              <w:rPr>
                <w:rStyle w:val="Hyperlink"/>
                <w:noProof/>
              </w:rPr>
              <w:t>Reporting</w:t>
            </w:r>
            <w:r>
              <w:rPr>
                <w:noProof/>
                <w:webHidden/>
              </w:rPr>
              <w:tab/>
            </w:r>
            <w:r>
              <w:rPr>
                <w:noProof/>
                <w:webHidden/>
              </w:rPr>
              <w:fldChar w:fldCharType="begin"/>
            </w:r>
            <w:r>
              <w:rPr>
                <w:noProof/>
                <w:webHidden/>
              </w:rPr>
              <w:instrText xml:space="preserve"> PAGEREF _Toc171346758 \h </w:instrText>
            </w:r>
            <w:r>
              <w:rPr>
                <w:noProof/>
                <w:webHidden/>
              </w:rPr>
            </w:r>
            <w:r>
              <w:rPr>
                <w:noProof/>
                <w:webHidden/>
              </w:rPr>
              <w:fldChar w:fldCharType="separate"/>
            </w:r>
            <w:r w:rsidR="00BF3C68">
              <w:rPr>
                <w:noProof/>
                <w:webHidden/>
              </w:rPr>
              <w:t>26</w:t>
            </w:r>
            <w:r>
              <w:rPr>
                <w:noProof/>
                <w:webHidden/>
              </w:rPr>
              <w:fldChar w:fldCharType="end"/>
            </w:r>
          </w:hyperlink>
        </w:p>
        <w:p w14:paraId="074410DB" w14:textId="1E6E460C"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59" w:history="1">
            <w:r w:rsidRPr="0006795A">
              <w:rPr>
                <w:rStyle w:val="Hyperlink"/>
                <w:noProof/>
              </w:rPr>
              <w:t>Law reform and policy submissions</w:t>
            </w:r>
            <w:r>
              <w:rPr>
                <w:noProof/>
                <w:webHidden/>
              </w:rPr>
              <w:tab/>
            </w:r>
            <w:r>
              <w:rPr>
                <w:noProof/>
                <w:webHidden/>
              </w:rPr>
              <w:fldChar w:fldCharType="begin"/>
            </w:r>
            <w:r>
              <w:rPr>
                <w:noProof/>
                <w:webHidden/>
              </w:rPr>
              <w:instrText xml:space="preserve"> PAGEREF _Toc171346759 \h </w:instrText>
            </w:r>
            <w:r>
              <w:rPr>
                <w:noProof/>
                <w:webHidden/>
              </w:rPr>
            </w:r>
            <w:r>
              <w:rPr>
                <w:noProof/>
                <w:webHidden/>
              </w:rPr>
              <w:fldChar w:fldCharType="separate"/>
            </w:r>
            <w:r w:rsidR="00BF3C68">
              <w:rPr>
                <w:noProof/>
                <w:webHidden/>
              </w:rPr>
              <w:t>29</w:t>
            </w:r>
            <w:r>
              <w:rPr>
                <w:noProof/>
                <w:webHidden/>
              </w:rPr>
              <w:fldChar w:fldCharType="end"/>
            </w:r>
          </w:hyperlink>
        </w:p>
        <w:p w14:paraId="5947442D" w14:textId="22091453"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60" w:history="1">
            <w:r w:rsidRPr="0006795A">
              <w:rPr>
                <w:rStyle w:val="Hyperlink"/>
                <w:noProof/>
              </w:rPr>
              <w:t>Commission resourcing</w:t>
            </w:r>
            <w:r>
              <w:rPr>
                <w:noProof/>
                <w:webHidden/>
              </w:rPr>
              <w:tab/>
            </w:r>
            <w:r>
              <w:rPr>
                <w:noProof/>
                <w:webHidden/>
              </w:rPr>
              <w:fldChar w:fldCharType="begin"/>
            </w:r>
            <w:r>
              <w:rPr>
                <w:noProof/>
                <w:webHidden/>
              </w:rPr>
              <w:instrText xml:space="preserve"> PAGEREF _Toc171346760 \h </w:instrText>
            </w:r>
            <w:r>
              <w:rPr>
                <w:noProof/>
                <w:webHidden/>
              </w:rPr>
            </w:r>
            <w:r>
              <w:rPr>
                <w:noProof/>
                <w:webHidden/>
              </w:rPr>
              <w:fldChar w:fldCharType="separate"/>
            </w:r>
            <w:r w:rsidR="00BF3C68">
              <w:rPr>
                <w:noProof/>
                <w:webHidden/>
              </w:rPr>
              <w:t>30</w:t>
            </w:r>
            <w:r>
              <w:rPr>
                <w:noProof/>
                <w:webHidden/>
              </w:rPr>
              <w:fldChar w:fldCharType="end"/>
            </w:r>
          </w:hyperlink>
        </w:p>
        <w:p w14:paraId="1E0F490B" w14:textId="0B512FA4" w:rsidR="00E16784" w:rsidRDefault="00E16784">
          <w:pPr>
            <w:pStyle w:val="TOC2"/>
            <w:rPr>
              <w:rFonts w:asciiTheme="minorHAnsi" w:hAnsiTheme="minorHAnsi"/>
              <w:noProof/>
              <w:color w:val="auto"/>
              <w:kern w:val="2"/>
              <w:sz w:val="24"/>
              <w:lang w:eastAsia="en-AU"/>
              <w14:ligatures w14:val="standardContextual"/>
            </w:rPr>
          </w:pPr>
          <w:hyperlink w:anchor="_Toc171346761" w:history="1">
            <w:r w:rsidRPr="0006795A">
              <w:rPr>
                <w:rStyle w:val="Hyperlink"/>
                <w:noProof/>
              </w:rPr>
              <w:t>Key factors for strengthening human rights culture</w:t>
            </w:r>
            <w:r>
              <w:rPr>
                <w:noProof/>
                <w:webHidden/>
              </w:rPr>
              <w:tab/>
            </w:r>
            <w:r>
              <w:rPr>
                <w:noProof/>
                <w:webHidden/>
              </w:rPr>
              <w:fldChar w:fldCharType="begin"/>
            </w:r>
            <w:r>
              <w:rPr>
                <w:noProof/>
                <w:webHidden/>
              </w:rPr>
              <w:instrText xml:space="preserve"> PAGEREF _Toc171346761 \h </w:instrText>
            </w:r>
            <w:r>
              <w:rPr>
                <w:noProof/>
                <w:webHidden/>
              </w:rPr>
            </w:r>
            <w:r>
              <w:rPr>
                <w:noProof/>
                <w:webHidden/>
              </w:rPr>
              <w:fldChar w:fldCharType="separate"/>
            </w:r>
            <w:r w:rsidR="00BF3C68">
              <w:rPr>
                <w:noProof/>
                <w:webHidden/>
              </w:rPr>
              <w:t>31</w:t>
            </w:r>
            <w:r>
              <w:rPr>
                <w:noProof/>
                <w:webHidden/>
              </w:rPr>
              <w:fldChar w:fldCharType="end"/>
            </w:r>
          </w:hyperlink>
        </w:p>
        <w:p w14:paraId="4B71E48A" w14:textId="6497511E"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62" w:history="1">
            <w:r w:rsidRPr="0006795A">
              <w:rPr>
                <w:rStyle w:val="Hyperlink"/>
                <w:noProof/>
              </w:rPr>
              <w:t>Central and internal leadership</w:t>
            </w:r>
            <w:r w:rsidRPr="0006795A">
              <w:rPr>
                <w:rStyle w:val="Hyperlink"/>
                <w:noProof/>
                <w:vertAlign w:val="superscript"/>
              </w:rPr>
              <w:t xml:space="preserve"> </w:t>
            </w:r>
            <w:r>
              <w:rPr>
                <w:noProof/>
                <w:webHidden/>
              </w:rPr>
              <w:tab/>
            </w:r>
            <w:r>
              <w:rPr>
                <w:noProof/>
                <w:webHidden/>
              </w:rPr>
              <w:fldChar w:fldCharType="begin"/>
            </w:r>
            <w:r>
              <w:rPr>
                <w:noProof/>
                <w:webHidden/>
              </w:rPr>
              <w:instrText xml:space="preserve"> PAGEREF _Toc171346762 \h </w:instrText>
            </w:r>
            <w:r>
              <w:rPr>
                <w:noProof/>
                <w:webHidden/>
              </w:rPr>
            </w:r>
            <w:r>
              <w:rPr>
                <w:noProof/>
                <w:webHidden/>
              </w:rPr>
              <w:fldChar w:fldCharType="separate"/>
            </w:r>
            <w:r w:rsidR="00BF3C68">
              <w:rPr>
                <w:noProof/>
                <w:webHidden/>
              </w:rPr>
              <w:t>31</w:t>
            </w:r>
            <w:r>
              <w:rPr>
                <w:noProof/>
                <w:webHidden/>
              </w:rPr>
              <w:fldChar w:fldCharType="end"/>
            </w:r>
          </w:hyperlink>
        </w:p>
        <w:p w14:paraId="6B596F27" w14:textId="25F92020"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63" w:history="1">
            <w:r w:rsidRPr="0006795A">
              <w:rPr>
                <w:rStyle w:val="Hyperlink"/>
                <w:noProof/>
              </w:rPr>
              <w:t>Communicating the value of human rights</w:t>
            </w:r>
            <w:r>
              <w:rPr>
                <w:noProof/>
                <w:webHidden/>
              </w:rPr>
              <w:tab/>
            </w:r>
            <w:r>
              <w:rPr>
                <w:noProof/>
                <w:webHidden/>
              </w:rPr>
              <w:fldChar w:fldCharType="begin"/>
            </w:r>
            <w:r>
              <w:rPr>
                <w:noProof/>
                <w:webHidden/>
              </w:rPr>
              <w:instrText xml:space="preserve"> PAGEREF _Toc171346763 \h </w:instrText>
            </w:r>
            <w:r>
              <w:rPr>
                <w:noProof/>
                <w:webHidden/>
              </w:rPr>
            </w:r>
            <w:r>
              <w:rPr>
                <w:noProof/>
                <w:webHidden/>
              </w:rPr>
              <w:fldChar w:fldCharType="separate"/>
            </w:r>
            <w:r w:rsidR="00BF3C68">
              <w:rPr>
                <w:noProof/>
                <w:webHidden/>
              </w:rPr>
              <w:t>33</w:t>
            </w:r>
            <w:r>
              <w:rPr>
                <w:noProof/>
                <w:webHidden/>
              </w:rPr>
              <w:fldChar w:fldCharType="end"/>
            </w:r>
          </w:hyperlink>
        </w:p>
        <w:p w14:paraId="610A1005" w14:textId="28A2218C"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64" w:history="1">
            <w:r w:rsidRPr="0006795A">
              <w:rPr>
                <w:rStyle w:val="Hyperlink"/>
                <w:noProof/>
              </w:rPr>
              <w:t>Identifying and responding to human rights complaints</w:t>
            </w:r>
            <w:r>
              <w:rPr>
                <w:noProof/>
                <w:webHidden/>
              </w:rPr>
              <w:tab/>
            </w:r>
            <w:r>
              <w:rPr>
                <w:noProof/>
                <w:webHidden/>
              </w:rPr>
              <w:fldChar w:fldCharType="begin"/>
            </w:r>
            <w:r>
              <w:rPr>
                <w:noProof/>
                <w:webHidden/>
              </w:rPr>
              <w:instrText xml:space="preserve"> PAGEREF _Toc171346764 \h </w:instrText>
            </w:r>
            <w:r>
              <w:rPr>
                <w:noProof/>
                <w:webHidden/>
              </w:rPr>
            </w:r>
            <w:r>
              <w:rPr>
                <w:noProof/>
                <w:webHidden/>
              </w:rPr>
              <w:fldChar w:fldCharType="separate"/>
            </w:r>
            <w:r w:rsidR="00BF3C68">
              <w:rPr>
                <w:noProof/>
                <w:webHidden/>
              </w:rPr>
              <w:t>34</w:t>
            </w:r>
            <w:r>
              <w:rPr>
                <w:noProof/>
                <w:webHidden/>
              </w:rPr>
              <w:fldChar w:fldCharType="end"/>
            </w:r>
          </w:hyperlink>
        </w:p>
        <w:p w14:paraId="5A157C89" w14:textId="3225ADA2"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65" w:history="1">
            <w:r w:rsidRPr="0006795A">
              <w:rPr>
                <w:rStyle w:val="Hyperlink"/>
                <w:noProof/>
              </w:rPr>
              <w:t>Prioritising community understanding and engagement</w:t>
            </w:r>
            <w:r>
              <w:rPr>
                <w:noProof/>
                <w:webHidden/>
              </w:rPr>
              <w:tab/>
            </w:r>
            <w:r>
              <w:rPr>
                <w:noProof/>
                <w:webHidden/>
              </w:rPr>
              <w:fldChar w:fldCharType="begin"/>
            </w:r>
            <w:r>
              <w:rPr>
                <w:noProof/>
                <w:webHidden/>
              </w:rPr>
              <w:instrText xml:space="preserve"> PAGEREF _Toc171346765 \h </w:instrText>
            </w:r>
            <w:r>
              <w:rPr>
                <w:noProof/>
                <w:webHidden/>
              </w:rPr>
            </w:r>
            <w:r>
              <w:rPr>
                <w:noProof/>
                <w:webHidden/>
              </w:rPr>
              <w:fldChar w:fldCharType="separate"/>
            </w:r>
            <w:r w:rsidR="00BF3C68">
              <w:rPr>
                <w:noProof/>
                <w:webHidden/>
              </w:rPr>
              <w:t>34</w:t>
            </w:r>
            <w:r>
              <w:rPr>
                <w:noProof/>
                <w:webHidden/>
              </w:rPr>
              <w:fldChar w:fldCharType="end"/>
            </w:r>
          </w:hyperlink>
        </w:p>
        <w:p w14:paraId="0557831E" w14:textId="3ED1400A"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66" w:history="1">
            <w:r w:rsidRPr="0006795A">
              <w:rPr>
                <w:rStyle w:val="Hyperlink"/>
                <w:noProof/>
              </w:rPr>
              <w:t>Training and resources for courts and public entities</w:t>
            </w:r>
            <w:r>
              <w:rPr>
                <w:noProof/>
                <w:webHidden/>
              </w:rPr>
              <w:tab/>
            </w:r>
            <w:r>
              <w:rPr>
                <w:noProof/>
                <w:webHidden/>
              </w:rPr>
              <w:fldChar w:fldCharType="begin"/>
            </w:r>
            <w:r>
              <w:rPr>
                <w:noProof/>
                <w:webHidden/>
              </w:rPr>
              <w:instrText xml:space="preserve"> PAGEREF _Toc171346766 \h </w:instrText>
            </w:r>
            <w:r>
              <w:rPr>
                <w:noProof/>
                <w:webHidden/>
              </w:rPr>
            </w:r>
            <w:r>
              <w:rPr>
                <w:noProof/>
                <w:webHidden/>
              </w:rPr>
              <w:fldChar w:fldCharType="separate"/>
            </w:r>
            <w:r w:rsidR="00BF3C68">
              <w:rPr>
                <w:noProof/>
                <w:webHidden/>
              </w:rPr>
              <w:t>34</w:t>
            </w:r>
            <w:r>
              <w:rPr>
                <w:noProof/>
                <w:webHidden/>
              </w:rPr>
              <w:fldChar w:fldCharType="end"/>
            </w:r>
          </w:hyperlink>
        </w:p>
        <w:p w14:paraId="094DC63B" w14:textId="2080B856" w:rsidR="00E16784" w:rsidRDefault="00E16784">
          <w:pPr>
            <w:pStyle w:val="TOC1"/>
            <w:tabs>
              <w:tab w:val="right" w:leader="dot" w:pos="8296"/>
            </w:tabs>
            <w:rPr>
              <w:rFonts w:asciiTheme="minorHAnsi" w:hAnsiTheme="minorHAnsi"/>
              <w:noProof/>
              <w:color w:val="auto"/>
              <w:kern w:val="2"/>
              <w:sz w:val="24"/>
              <w:lang w:eastAsia="en-AU"/>
              <w14:ligatures w14:val="standardContextual"/>
            </w:rPr>
          </w:pPr>
          <w:hyperlink w:anchor="_Toc171346767" w:history="1">
            <w:r w:rsidRPr="0006795A">
              <w:rPr>
                <w:rStyle w:val="Hyperlink"/>
                <w:noProof/>
              </w:rPr>
              <w:t>2. Matters referred to in section 95(4)</w:t>
            </w:r>
            <w:r>
              <w:rPr>
                <w:noProof/>
                <w:webHidden/>
              </w:rPr>
              <w:tab/>
            </w:r>
            <w:r>
              <w:rPr>
                <w:noProof/>
                <w:webHidden/>
              </w:rPr>
              <w:fldChar w:fldCharType="begin"/>
            </w:r>
            <w:r>
              <w:rPr>
                <w:noProof/>
                <w:webHidden/>
              </w:rPr>
              <w:instrText xml:space="preserve"> PAGEREF _Toc171346767 \h </w:instrText>
            </w:r>
            <w:r>
              <w:rPr>
                <w:noProof/>
                <w:webHidden/>
              </w:rPr>
            </w:r>
            <w:r>
              <w:rPr>
                <w:noProof/>
                <w:webHidden/>
              </w:rPr>
              <w:fldChar w:fldCharType="separate"/>
            </w:r>
            <w:r w:rsidR="00BF3C68">
              <w:rPr>
                <w:noProof/>
                <w:webHidden/>
              </w:rPr>
              <w:t>37</w:t>
            </w:r>
            <w:r>
              <w:rPr>
                <w:noProof/>
                <w:webHidden/>
              </w:rPr>
              <w:fldChar w:fldCharType="end"/>
            </w:r>
          </w:hyperlink>
        </w:p>
        <w:p w14:paraId="07BA7EFB" w14:textId="173B3C84" w:rsidR="00E16784" w:rsidRDefault="00E16784">
          <w:pPr>
            <w:pStyle w:val="TOC2"/>
            <w:rPr>
              <w:rFonts w:asciiTheme="minorHAnsi" w:hAnsiTheme="minorHAnsi"/>
              <w:noProof/>
              <w:color w:val="auto"/>
              <w:kern w:val="2"/>
              <w:sz w:val="24"/>
              <w:lang w:eastAsia="en-AU"/>
              <w14:ligatures w14:val="standardContextual"/>
            </w:rPr>
          </w:pPr>
          <w:hyperlink w:anchor="_Toc171346768" w:history="1">
            <w:r w:rsidRPr="0006795A">
              <w:rPr>
                <w:rStyle w:val="Hyperlink"/>
                <w:noProof/>
              </w:rPr>
              <w:t>(a) Additional human rights</w:t>
            </w:r>
            <w:r>
              <w:rPr>
                <w:noProof/>
                <w:webHidden/>
              </w:rPr>
              <w:tab/>
            </w:r>
            <w:r>
              <w:rPr>
                <w:noProof/>
                <w:webHidden/>
              </w:rPr>
              <w:fldChar w:fldCharType="begin"/>
            </w:r>
            <w:r>
              <w:rPr>
                <w:noProof/>
                <w:webHidden/>
              </w:rPr>
              <w:instrText xml:space="preserve"> PAGEREF _Toc171346768 \h </w:instrText>
            </w:r>
            <w:r>
              <w:rPr>
                <w:noProof/>
                <w:webHidden/>
              </w:rPr>
            </w:r>
            <w:r>
              <w:rPr>
                <w:noProof/>
                <w:webHidden/>
              </w:rPr>
              <w:fldChar w:fldCharType="separate"/>
            </w:r>
            <w:r w:rsidR="00BF3C68">
              <w:rPr>
                <w:noProof/>
                <w:webHidden/>
              </w:rPr>
              <w:t>37</w:t>
            </w:r>
            <w:r>
              <w:rPr>
                <w:noProof/>
                <w:webHidden/>
              </w:rPr>
              <w:fldChar w:fldCharType="end"/>
            </w:r>
          </w:hyperlink>
        </w:p>
        <w:p w14:paraId="18A629D8" w14:textId="055BD43D" w:rsidR="00E16784" w:rsidRDefault="00E16784">
          <w:pPr>
            <w:pStyle w:val="TOC2"/>
            <w:rPr>
              <w:rFonts w:asciiTheme="minorHAnsi" w:hAnsiTheme="minorHAnsi"/>
              <w:noProof/>
              <w:color w:val="auto"/>
              <w:kern w:val="2"/>
              <w:sz w:val="24"/>
              <w:lang w:eastAsia="en-AU"/>
              <w14:ligatures w14:val="standardContextual"/>
            </w:rPr>
          </w:pPr>
          <w:hyperlink w:anchor="_Toc171346769" w:history="1">
            <w:r w:rsidRPr="0006795A">
              <w:rPr>
                <w:rStyle w:val="Hyperlink"/>
                <w:noProof/>
              </w:rPr>
              <w:t>(b) Remedies</w:t>
            </w:r>
            <w:r>
              <w:rPr>
                <w:noProof/>
                <w:webHidden/>
              </w:rPr>
              <w:tab/>
            </w:r>
            <w:r>
              <w:rPr>
                <w:noProof/>
                <w:webHidden/>
              </w:rPr>
              <w:fldChar w:fldCharType="begin"/>
            </w:r>
            <w:r>
              <w:rPr>
                <w:noProof/>
                <w:webHidden/>
              </w:rPr>
              <w:instrText xml:space="preserve"> PAGEREF _Toc171346769 \h </w:instrText>
            </w:r>
            <w:r>
              <w:rPr>
                <w:noProof/>
                <w:webHidden/>
              </w:rPr>
            </w:r>
            <w:r>
              <w:rPr>
                <w:noProof/>
                <w:webHidden/>
              </w:rPr>
              <w:fldChar w:fldCharType="separate"/>
            </w:r>
            <w:r w:rsidR="00BF3C68">
              <w:rPr>
                <w:noProof/>
                <w:webHidden/>
              </w:rPr>
              <w:t>38</w:t>
            </w:r>
            <w:r>
              <w:rPr>
                <w:noProof/>
                <w:webHidden/>
              </w:rPr>
              <w:fldChar w:fldCharType="end"/>
            </w:r>
          </w:hyperlink>
        </w:p>
        <w:p w14:paraId="39A001F6" w14:textId="5E8A37A4"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70" w:history="1">
            <w:r w:rsidRPr="0006795A">
              <w:rPr>
                <w:rStyle w:val="Hyperlink"/>
                <w:noProof/>
              </w:rPr>
              <w:t>Enforcement of human rights complaints</w:t>
            </w:r>
            <w:r>
              <w:rPr>
                <w:noProof/>
                <w:webHidden/>
              </w:rPr>
              <w:tab/>
            </w:r>
            <w:r>
              <w:rPr>
                <w:noProof/>
                <w:webHidden/>
              </w:rPr>
              <w:fldChar w:fldCharType="begin"/>
            </w:r>
            <w:r>
              <w:rPr>
                <w:noProof/>
                <w:webHidden/>
              </w:rPr>
              <w:instrText xml:space="preserve"> PAGEREF _Toc171346770 \h </w:instrText>
            </w:r>
            <w:r>
              <w:rPr>
                <w:noProof/>
                <w:webHidden/>
              </w:rPr>
            </w:r>
            <w:r>
              <w:rPr>
                <w:noProof/>
                <w:webHidden/>
              </w:rPr>
              <w:fldChar w:fldCharType="separate"/>
            </w:r>
            <w:r w:rsidR="00BF3C68">
              <w:rPr>
                <w:noProof/>
                <w:webHidden/>
              </w:rPr>
              <w:t>39</w:t>
            </w:r>
            <w:r>
              <w:rPr>
                <w:noProof/>
                <w:webHidden/>
              </w:rPr>
              <w:fldChar w:fldCharType="end"/>
            </w:r>
          </w:hyperlink>
        </w:p>
        <w:p w14:paraId="4A780093" w14:textId="56F4C0A9"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71" w:history="1">
            <w:r w:rsidRPr="0006795A">
              <w:rPr>
                <w:rStyle w:val="Hyperlink"/>
                <w:noProof/>
              </w:rPr>
              <w:t>Standalone pathway to the courts</w:t>
            </w:r>
            <w:r>
              <w:rPr>
                <w:noProof/>
                <w:webHidden/>
              </w:rPr>
              <w:tab/>
            </w:r>
            <w:r>
              <w:rPr>
                <w:noProof/>
                <w:webHidden/>
              </w:rPr>
              <w:fldChar w:fldCharType="begin"/>
            </w:r>
            <w:r>
              <w:rPr>
                <w:noProof/>
                <w:webHidden/>
              </w:rPr>
              <w:instrText xml:space="preserve"> PAGEREF _Toc171346771 \h </w:instrText>
            </w:r>
            <w:r>
              <w:rPr>
                <w:noProof/>
                <w:webHidden/>
              </w:rPr>
            </w:r>
            <w:r>
              <w:rPr>
                <w:noProof/>
                <w:webHidden/>
              </w:rPr>
              <w:fldChar w:fldCharType="separate"/>
            </w:r>
            <w:r w:rsidR="00BF3C68">
              <w:rPr>
                <w:noProof/>
                <w:webHidden/>
              </w:rPr>
              <w:t>41</w:t>
            </w:r>
            <w:r>
              <w:rPr>
                <w:noProof/>
                <w:webHidden/>
              </w:rPr>
              <w:fldChar w:fldCharType="end"/>
            </w:r>
          </w:hyperlink>
        </w:p>
        <w:p w14:paraId="78BAE8CE" w14:textId="59A6F2D0"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72" w:history="1">
            <w:r w:rsidRPr="0006795A">
              <w:rPr>
                <w:rStyle w:val="Hyperlink"/>
                <w:noProof/>
              </w:rPr>
              <w:t>Discretion to order a range of remedies, including damages</w:t>
            </w:r>
            <w:r>
              <w:rPr>
                <w:noProof/>
                <w:webHidden/>
              </w:rPr>
              <w:tab/>
            </w:r>
            <w:r>
              <w:rPr>
                <w:noProof/>
                <w:webHidden/>
              </w:rPr>
              <w:fldChar w:fldCharType="begin"/>
            </w:r>
            <w:r>
              <w:rPr>
                <w:noProof/>
                <w:webHidden/>
              </w:rPr>
              <w:instrText xml:space="preserve"> PAGEREF _Toc171346772 \h </w:instrText>
            </w:r>
            <w:r>
              <w:rPr>
                <w:noProof/>
                <w:webHidden/>
              </w:rPr>
            </w:r>
            <w:r>
              <w:rPr>
                <w:noProof/>
                <w:webHidden/>
              </w:rPr>
              <w:fldChar w:fldCharType="separate"/>
            </w:r>
            <w:r w:rsidR="00BF3C68">
              <w:rPr>
                <w:noProof/>
                <w:webHidden/>
              </w:rPr>
              <w:t>42</w:t>
            </w:r>
            <w:r>
              <w:rPr>
                <w:noProof/>
                <w:webHidden/>
              </w:rPr>
              <w:fldChar w:fldCharType="end"/>
            </w:r>
          </w:hyperlink>
        </w:p>
        <w:p w14:paraId="35822C22" w14:textId="38EEAD8D"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73" w:history="1">
            <w:r w:rsidRPr="0006795A">
              <w:rPr>
                <w:rStyle w:val="Hyperlink"/>
                <w:noProof/>
              </w:rPr>
              <w:t>Fund legal advocacy</w:t>
            </w:r>
            <w:r>
              <w:rPr>
                <w:noProof/>
                <w:webHidden/>
              </w:rPr>
              <w:tab/>
            </w:r>
            <w:r>
              <w:rPr>
                <w:noProof/>
                <w:webHidden/>
              </w:rPr>
              <w:fldChar w:fldCharType="begin"/>
            </w:r>
            <w:r>
              <w:rPr>
                <w:noProof/>
                <w:webHidden/>
              </w:rPr>
              <w:instrText xml:space="preserve"> PAGEREF _Toc171346773 \h </w:instrText>
            </w:r>
            <w:r>
              <w:rPr>
                <w:noProof/>
                <w:webHidden/>
              </w:rPr>
            </w:r>
            <w:r>
              <w:rPr>
                <w:noProof/>
                <w:webHidden/>
              </w:rPr>
              <w:fldChar w:fldCharType="separate"/>
            </w:r>
            <w:r w:rsidR="00BF3C68">
              <w:rPr>
                <w:noProof/>
                <w:webHidden/>
              </w:rPr>
              <w:t>42</w:t>
            </w:r>
            <w:r>
              <w:rPr>
                <w:noProof/>
                <w:webHidden/>
              </w:rPr>
              <w:fldChar w:fldCharType="end"/>
            </w:r>
          </w:hyperlink>
        </w:p>
        <w:p w14:paraId="5DE3F395" w14:textId="7DA5BD08" w:rsidR="00E16784" w:rsidRDefault="00E16784">
          <w:pPr>
            <w:pStyle w:val="TOC2"/>
            <w:rPr>
              <w:rFonts w:asciiTheme="minorHAnsi" w:hAnsiTheme="minorHAnsi"/>
              <w:noProof/>
              <w:color w:val="auto"/>
              <w:kern w:val="2"/>
              <w:sz w:val="24"/>
              <w:lang w:eastAsia="en-AU"/>
              <w14:ligatures w14:val="standardContextual"/>
            </w:rPr>
          </w:pPr>
          <w:hyperlink w:anchor="_Toc171346774" w:history="1">
            <w:r w:rsidRPr="0006795A">
              <w:rPr>
                <w:rStyle w:val="Hyperlink"/>
                <w:noProof/>
              </w:rPr>
              <w:t>(c) Amendments to Corrective Services Act 2006 and the Youth Justice Act 1992</w:t>
            </w:r>
            <w:r>
              <w:rPr>
                <w:noProof/>
                <w:webHidden/>
              </w:rPr>
              <w:tab/>
            </w:r>
            <w:r>
              <w:rPr>
                <w:noProof/>
                <w:webHidden/>
              </w:rPr>
              <w:fldChar w:fldCharType="begin"/>
            </w:r>
            <w:r>
              <w:rPr>
                <w:noProof/>
                <w:webHidden/>
              </w:rPr>
              <w:instrText xml:space="preserve"> PAGEREF _Toc171346774 \h </w:instrText>
            </w:r>
            <w:r>
              <w:rPr>
                <w:noProof/>
                <w:webHidden/>
              </w:rPr>
            </w:r>
            <w:r>
              <w:rPr>
                <w:noProof/>
                <w:webHidden/>
              </w:rPr>
              <w:fldChar w:fldCharType="separate"/>
            </w:r>
            <w:r w:rsidR="00BF3C68">
              <w:rPr>
                <w:noProof/>
                <w:webHidden/>
              </w:rPr>
              <w:t>43</w:t>
            </w:r>
            <w:r>
              <w:rPr>
                <w:noProof/>
                <w:webHidden/>
              </w:rPr>
              <w:fldChar w:fldCharType="end"/>
            </w:r>
          </w:hyperlink>
        </w:p>
        <w:p w14:paraId="2F1D94BB" w14:textId="77777777" w:rsidR="003405FC" w:rsidRDefault="003405FC">
          <w:pPr>
            <w:spacing w:after="0"/>
            <w:rPr>
              <w:rStyle w:val="Hyperlink"/>
              <w:noProof/>
            </w:rPr>
          </w:pPr>
          <w:r>
            <w:rPr>
              <w:rStyle w:val="Hyperlink"/>
              <w:noProof/>
            </w:rPr>
            <w:br w:type="page"/>
          </w:r>
        </w:p>
        <w:p w14:paraId="0D04962A" w14:textId="130E1D8F" w:rsidR="00E16784" w:rsidRDefault="00E16784">
          <w:pPr>
            <w:pStyle w:val="TOC1"/>
            <w:tabs>
              <w:tab w:val="right" w:leader="dot" w:pos="8296"/>
            </w:tabs>
            <w:rPr>
              <w:rFonts w:asciiTheme="minorHAnsi" w:hAnsiTheme="minorHAnsi"/>
              <w:noProof/>
              <w:color w:val="auto"/>
              <w:kern w:val="2"/>
              <w:sz w:val="24"/>
              <w:lang w:eastAsia="en-AU"/>
              <w14:ligatures w14:val="standardContextual"/>
            </w:rPr>
          </w:pPr>
          <w:hyperlink w:anchor="_Toc171346775" w:history="1">
            <w:r w:rsidRPr="0006795A">
              <w:rPr>
                <w:rStyle w:val="Hyperlink"/>
                <w:noProof/>
              </w:rPr>
              <w:t>3. Effectiveness of the Act</w:t>
            </w:r>
            <w:r>
              <w:rPr>
                <w:noProof/>
                <w:webHidden/>
              </w:rPr>
              <w:tab/>
            </w:r>
            <w:r>
              <w:rPr>
                <w:noProof/>
                <w:webHidden/>
              </w:rPr>
              <w:fldChar w:fldCharType="begin"/>
            </w:r>
            <w:r>
              <w:rPr>
                <w:noProof/>
                <w:webHidden/>
              </w:rPr>
              <w:instrText xml:space="preserve"> PAGEREF _Toc171346775 \h </w:instrText>
            </w:r>
            <w:r>
              <w:rPr>
                <w:noProof/>
                <w:webHidden/>
              </w:rPr>
            </w:r>
            <w:r>
              <w:rPr>
                <w:noProof/>
                <w:webHidden/>
              </w:rPr>
              <w:fldChar w:fldCharType="separate"/>
            </w:r>
            <w:r w:rsidR="00BF3C68">
              <w:rPr>
                <w:noProof/>
                <w:webHidden/>
              </w:rPr>
              <w:t>45</w:t>
            </w:r>
            <w:r>
              <w:rPr>
                <w:noProof/>
                <w:webHidden/>
              </w:rPr>
              <w:fldChar w:fldCharType="end"/>
            </w:r>
          </w:hyperlink>
        </w:p>
        <w:p w14:paraId="0401867A" w14:textId="0B6B4ED6" w:rsidR="00E16784" w:rsidRDefault="00E16784">
          <w:pPr>
            <w:pStyle w:val="TOC2"/>
            <w:rPr>
              <w:rFonts w:asciiTheme="minorHAnsi" w:hAnsiTheme="minorHAnsi"/>
              <w:noProof/>
              <w:color w:val="auto"/>
              <w:kern w:val="2"/>
              <w:sz w:val="24"/>
              <w:lang w:eastAsia="en-AU"/>
              <w14:ligatures w14:val="standardContextual"/>
            </w:rPr>
          </w:pPr>
          <w:hyperlink w:anchor="_Toc171346776" w:history="1">
            <w:r w:rsidRPr="0006795A">
              <w:rPr>
                <w:rStyle w:val="Hyperlink"/>
                <w:noProof/>
              </w:rPr>
              <w:t>(a) Existing protected rights</w:t>
            </w:r>
            <w:r>
              <w:rPr>
                <w:noProof/>
                <w:webHidden/>
              </w:rPr>
              <w:tab/>
            </w:r>
            <w:r>
              <w:rPr>
                <w:noProof/>
                <w:webHidden/>
              </w:rPr>
              <w:fldChar w:fldCharType="begin"/>
            </w:r>
            <w:r>
              <w:rPr>
                <w:noProof/>
                <w:webHidden/>
              </w:rPr>
              <w:instrText xml:space="preserve"> PAGEREF _Toc171346776 \h </w:instrText>
            </w:r>
            <w:r>
              <w:rPr>
                <w:noProof/>
                <w:webHidden/>
              </w:rPr>
            </w:r>
            <w:r>
              <w:rPr>
                <w:noProof/>
                <w:webHidden/>
              </w:rPr>
              <w:fldChar w:fldCharType="separate"/>
            </w:r>
            <w:r w:rsidR="00BF3C68">
              <w:rPr>
                <w:noProof/>
                <w:webHidden/>
              </w:rPr>
              <w:t>45</w:t>
            </w:r>
            <w:r>
              <w:rPr>
                <w:noProof/>
                <w:webHidden/>
              </w:rPr>
              <w:fldChar w:fldCharType="end"/>
            </w:r>
          </w:hyperlink>
        </w:p>
        <w:p w14:paraId="4990B928" w14:textId="7F2B3F02"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77" w:history="1">
            <w:r w:rsidRPr="0006795A">
              <w:rPr>
                <w:rStyle w:val="Hyperlink"/>
                <w:noProof/>
              </w:rPr>
              <w:t>Recognise absolute rights</w:t>
            </w:r>
            <w:r>
              <w:rPr>
                <w:noProof/>
                <w:webHidden/>
              </w:rPr>
              <w:tab/>
            </w:r>
            <w:r>
              <w:rPr>
                <w:noProof/>
                <w:webHidden/>
              </w:rPr>
              <w:fldChar w:fldCharType="begin"/>
            </w:r>
            <w:r>
              <w:rPr>
                <w:noProof/>
                <w:webHidden/>
              </w:rPr>
              <w:instrText xml:space="preserve"> PAGEREF _Toc171346777 \h </w:instrText>
            </w:r>
            <w:r>
              <w:rPr>
                <w:noProof/>
                <w:webHidden/>
              </w:rPr>
            </w:r>
            <w:r>
              <w:rPr>
                <w:noProof/>
                <w:webHidden/>
              </w:rPr>
              <w:fldChar w:fldCharType="separate"/>
            </w:r>
            <w:r w:rsidR="00BF3C68">
              <w:rPr>
                <w:noProof/>
                <w:webHidden/>
              </w:rPr>
              <w:t>45</w:t>
            </w:r>
            <w:r>
              <w:rPr>
                <w:noProof/>
                <w:webHidden/>
              </w:rPr>
              <w:fldChar w:fldCharType="end"/>
            </w:r>
          </w:hyperlink>
        </w:p>
        <w:p w14:paraId="501C0E45" w14:textId="2D5A8AF0"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78" w:history="1">
            <w:r w:rsidRPr="0006795A">
              <w:rPr>
                <w:rStyle w:val="Hyperlink"/>
                <w:noProof/>
              </w:rPr>
              <w:t>Meaning of discrimination</w:t>
            </w:r>
            <w:r>
              <w:rPr>
                <w:noProof/>
                <w:webHidden/>
              </w:rPr>
              <w:tab/>
            </w:r>
            <w:r>
              <w:rPr>
                <w:noProof/>
                <w:webHidden/>
              </w:rPr>
              <w:fldChar w:fldCharType="begin"/>
            </w:r>
            <w:r>
              <w:rPr>
                <w:noProof/>
                <w:webHidden/>
              </w:rPr>
              <w:instrText xml:space="preserve"> PAGEREF _Toc171346778 \h </w:instrText>
            </w:r>
            <w:r>
              <w:rPr>
                <w:noProof/>
                <w:webHidden/>
              </w:rPr>
            </w:r>
            <w:r>
              <w:rPr>
                <w:noProof/>
                <w:webHidden/>
              </w:rPr>
              <w:fldChar w:fldCharType="separate"/>
            </w:r>
            <w:r w:rsidR="00BF3C68">
              <w:rPr>
                <w:noProof/>
                <w:webHidden/>
              </w:rPr>
              <w:t>45</w:t>
            </w:r>
            <w:r>
              <w:rPr>
                <w:noProof/>
                <w:webHidden/>
              </w:rPr>
              <w:fldChar w:fldCharType="end"/>
            </w:r>
          </w:hyperlink>
        </w:p>
        <w:p w14:paraId="5F5C45A1" w14:textId="2543BFA8"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79" w:history="1">
            <w:r w:rsidRPr="0006795A">
              <w:rPr>
                <w:rStyle w:val="Hyperlink"/>
                <w:noProof/>
              </w:rPr>
              <w:t>Security of the person</w:t>
            </w:r>
            <w:r>
              <w:rPr>
                <w:noProof/>
                <w:webHidden/>
              </w:rPr>
              <w:tab/>
            </w:r>
            <w:r>
              <w:rPr>
                <w:noProof/>
                <w:webHidden/>
              </w:rPr>
              <w:fldChar w:fldCharType="begin"/>
            </w:r>
            <w:r>
              <w:rPr>
                <w:noProof/>
                <w:webHidden/>
              </w:rPr>
              <w:instrText xml:space="preserve"> PAGEREF _Toc171346779 \h </w:instrText>
            </w:r>
            <w:r>
              <w:rPr>
                <w:noProof/>
                <w:webHidden/>
              </w:rPr>
            </w:r>
            <w:r>
              <w:rPr>
                <w:noProof/>
                <w:webHidden/>
              </w:rPr>
              <w:fldChar w:fldCharType="separate"/>
            </w:r>
            <w:r w:rsidR="00BF3C68">
              <w:rPr>
                <w:noProof/>
                <w:webHidden/>
              </w:rPr>
              <w:t>47</w:t>
            </w:r>
            <w:r>
              <w:rPr>
                <w:noProof/>
                <w:webHidden/>
              </w:rPr>
              <w:fldChar w:fldCharType="end"/>
            </w:r>
          </w:hyperlink>
        </w:p>
        <w:p w14:paraId="71E82626" w14:textId="6075EB74"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80" w:history="1">
            <w:r w:rsidRPr="0006795A">
              <w:rPr>
                <w:rStyle w:val="Hyperlink"/>
                <w:noProof/>
              </w:rPr>
              <w:t>Full free and informed consent to medical treatment</w:t>
            </w:r>
            <w:r>
              <w:rPr>
                <w:noProof/>
                <w:webHidden/>
              </w:rPr>
              <w:tab/>
            </w:r>
            <w:r>
              <w:rPr>
                <w:noProof/>
                <w:webHidden/>
              </w:rPr>
              <w:fldChar w:fldCharType="begin"/>
            </w:r>
            <w:r>
              <w:rPr>
                <w:noProof/>
                <w:webHidden/>
              </w:rPr>
              <w:instrText xml:space="preserve"> PAGEREF _Toc171346780 \h </w:instrText>
            </w:r>
            <w:r>
              <w:rPr>
                <w:noProof/>
                <w:webHidden/>
              </w:rPr>
            </w:r>
            <w:r>
              <w:rPr>
                <w:noProof/>
                <w:webHidden/>
              </w:rPr>
              <w:fldChar w:fldCharType="separate"/>
            </w:r>
            <w:r w:rsidR="00BF3C68">
              <w:rPr>
                <w:noProof/>
                <w:webHidden/>
              </w:rPr>
              <w:t>48</w:t>
            </w:r>
            <w:r>
              <w:rPr>
                <w:noProof/>
                <w:webHidden/>
              </w:rPr>
              <w:fldChar w:fldCharType="end"/>
            </w:r>
          </w:hyperlink>
        </w:p>
        <w:p w14:paraId="720C78E3" w14:textId="15F55377" w:rsidR="00E16784" w:rsidRDefault="00E16784">
          <w:pPr>
            <w:pStyle w:val="TOC2"/>
            <w:rPr>
              <w:rFonts w:asciiTheme="minorHAnsi" w:hAnsiTheme="minorHAnsi"/>
              <w:noProof/>
              <w:color w:val="auto"/>
              <w:kern w:val="2"/>
              <w:sz w:val="24"/>
              <w:lang w:eastAsia="en-AU"/>
              <w14:ligatures w14:val="standardContextual"/>
            </w:rPr>
          </w:pPr>
          <w:hyperlink w:anchor="_Toc171346781" w:history="1">
            <w:r w:rsidRPr="0006795A">
              <w:rPr>
                <w:rStyle w:val="Hyperlink"/>
                <w:noProof/>
              </w:rPr>
              <w:t>(b) Scrutiny of legislation and regulation by Parliament</w:t>
            </w:r>
            <w:r>
              <w:rPr>
                <w:noProof/>
                <w:webHidden/>
              </w:rPr>
              <w:tab/>
            </w:r>
            <w:r>
              <w:rPr>
                <w:noProof/>
                <w:webHidden/>
              </w:rPr>
              <w:fldChar w:fldCharType="begin"/>
            </w:r>
            <w:r>
              <w:rPr>
                <w:noProof/>
                <w:webHidden/>
              </w:rPr>
              <w:instrText xml:space="preserve"> PAGEREF _Toc171346781 \h </w:instrText>
            </w:r>
            <w:r>
              <w:rPr>
                <w:noProof/>
                <w:webHidden/>
              </w:rPr>
            </w:r>
            <w:r>
              <w:rPr>
                <w:noProof/>
                <w:webHidden/>
              </w:rPr>
              <w:fldChar w:fldCharType="separate"/>
            </w:r>
            <w:r w:rsidR="00BF3C68">
              <w:rPr>
                <w:noProof/>
                <w:webHidden/>
              </w:rPr>
              <w:t>49</w:t>
            </w:r>
            <w:r>
              <w:rPr>
                <w:noProof/>
                <w:webHidden/>
              </w:rPr>
              <w:fldChar w:fldCharType="end"/>
            </w:r>
          </w:hyperlink>
        </w:p>
        <w:p w14:paraId="63868AAF" w14:textId="47F551AC"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82" w:history="1">
            <w:r w:rsidRPr="0006795A">
              <w:rPr>
                <w:rStyle w:val="Hyperlink"/>
                <w:noProof/>
                <w:lang w:val="en-US"/>
              </w:rPr>
              <w:t>Measuring the development of a human rights culture within Parliament</w:t>
            </w:r>
            <w:r>
              <w:rPr>
                <w:noProof/>
                <w:webHidden/>
              </w:rPr>
              <w:tab/>
            </w:r>
            <w:r>
              <w:rPr>
                <w:noProof/>
                <w:webHidden/>
              </w:rPr>
              <w:fldChar w:fldCharType="begin"/>
            </w:r>
            <w:r>
              <w:rPr>
                <w:noProof/>
                <w:webHidden/>
              </w:rPr>
              <w:instrText xml:space="preserve"> PAGEREF _Toc171346782 \h </w:instrText>
            </w:r>
            <w:r>
              <w:rPr>
                <w:noProof/>
                <w:webHidden/>
              </w:rPr>
            </w:r>
            <w:r>
              <w:rPr>
                <w:noProof/>
                <w:webHidden/>
              </w:rPr>
              <w:fldChar w:fldCharType="separate"/>
            </w:r>
            <w:r w:rsidR="00BF3C68">
              <w:rPr>
                <w:noProof/>
                <w:webHidden/>
              </w:rPr>
              <w:t>49</w:t>
            </w:r>
            <w:r>
              <w:rPr>
                <w:noProof/>
                <w:webHidden/>
              </w:rPr>
              <w:fldChar w:fldCharType="end"/>
            </w:r>
          </w:hyperlink>
        </w:p>
        <w:p w14:paraId="3B833CE8" w14:textId="41AC5F68"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83" w:history="1">
            <w:r w:rsidRPr="0006795A">
              <w:rPr>
                <w:rStyle w:val="Hyperlink"/>
                <w:noProof/>
                <w:lang w:val="en-US" w:eastAsia="en-AU"/>
              </w:rPr>
              <w:t>Remove override declarations</w:t>
            </w:r>
            <w:r>
              <w:rPr>
                <w:noProof/>
                <w:webHidden/>
              </w:rPr>
              <w:tab/>
            </w:r>
            <w:r>
              <w:rPr>
                <w:noProof/>
                <w:webHidden/>
              </w:rPr>
              <w:fldChar w:fldCharType="begin"/>
            </w:r>
            <w:r>
              <w:rPr>
                <w:noProof/>
                <w:webHidden/>
              </w:rPr>
              <w:instrText xml:space="preserve"> PAGEREF _Toc171346783 \h </w:instrText>
            </w:r>
            <w:r>
              <w:rPr>
                <w:noProof/>
                <w:webHidden/>
              </w:rPr>
            </w:r>
            <w:r>
              <w:rPr>
                <w:noProof/>
                <w:webHidden/>
              </w:rPr>
              <w:fldChar w:fldCharType="separate"/>
            </w:r>
            <w:r w:rsidR="00BF3C68">
              <w:rPr>
                <w:noProof/>
                <w:webHidden/>
              </w:rPr>
              <w:t>51</w:t>
            </w:r>
            <w:r>
              <w:rPr>
                <w:noProof/>
                <w:webHidden/>
              </w:rPr>
              <w:fldChar w:fldCharType="end"/>
            </w:r>
          </w:hyperlink>
        </w:p>
        <w:p w14:paraId="34C46840" w14:textId="61A8C135"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84" w:history="1">
            <w:r w:rsidRPr="0006795A">
              <w:rPr>
                <w:rStyle w:val="Hyperlink"/>
                <w:noProof/>
                <w:lang w:val="en-US"/>
              </w:rPr>
              <w:t>Ensure scrutiny of Bills by parliamentary committees</w:t>
            </w:r>
            <w:r>
              <w:rPr>
                <w:noProof/>
                <w:webHidden/>
              </w:rPr>
              <w:tab/>
            </w:r>
            <w:r>
              <w:rPr>
                <w:noProof/>
                <w:webHidden/>
              </w:rPr>
              <w:fldChar w:fldCharType="begin"/>
            </w:r>
            <w:r>
              <w:rPr>
                <w:noProof/>
                <w:webHidden/>
              </w:rPr>
              <w:instrText xml:space="preserve"> PAGEREF _Toc171346784 \h </w:instrText>
            </w:r>
            <w:r>
              <w:rPr>
                <w:noProof/>
                <w:webHidden/>
              </w:rPr>
            </w:r>
            <w:r>
              <w:rPr>
                <w:noProof/>
                <w:webHidden/>
              </w:rPr>
              <w:fldChar w:fldCharType="separate"/>
            </w:r>
            <w:r w:rsidR="00BF3C68">
              <w:rPr>
                <w:noProof/>
                <w:webHidden/>
              </w:rPr>
              <w:t>53</w:t>
            </w:r>
            <w:r>
              <w:rPr>
                <w:noProof/>
                <w:webHidden/>
              </w:rPr>
              <w:fldChar w:fldCharType="end"/>
            </w:r>
          </w:hyperlink>
        </w:p>
        <w:p w14:paraId="6DE01C2A" w14:textId="4BB9A702"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85" w:history="1">
            <w:r w:rsidRPr="0006795A">
              <w:rPr>
                <w:rStyle w:val="Hyperlink"/>
                <w:noProof/>
              </w:rPr>
              <w:t>Amendments to statements of compatibility</w:t>
            </w:r>
            <w:r>
              <w:rPr>
                <w:noProof/>
                <w:webHidden/>
              </w:rPr>
              <w:tab/>
            </w:r>
            <w:r>
              <w:rPr>
                <w:noProof/>
                <w:webHidden/>
              </w:rPr>
              <w:fldChar w:fldCharType="begin"/>
            </w:r>
            <w:r>
              <w:rPr>
                <w:noProof/>
                <w:webHidden/>
              </w:rPr>
              <w:instrText xml:space="preserve"> PAGEREF _Toc171346785 \h </w:instrText>
            </w:r>
            <w:r>
              <w:rPr>
                <w:noProof/>
                <w:webHidden/>
              </w:rPr>
            </w:r>
            <w:r>
              <w:rPr>
                <w:noProof/>
                <w:webHidden/>
              </w:rPr>
              <w:fldChar w:fldCharType="separate"/>
            </w:r>
            <w:r w:rsidR="00BF3C68">
              <w:rPr>
                <w:noProof/>
                <w:webHidden/>
              </w:rPr>
              <w:t>53</w:t>
            </w:r>
            <w:r>
              <w:rPr>
                <w:noProof/>
                <w:webHidden/>
              </w:rPr>
              <w:fldChar w:fldCharType="end"/>
            </w:r>
          </w:hyperlink>
        </w:p>
        <w:p w14:paraId="49A56AF2" w14:textId="03B015EB"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86" w:history="1">
            <w:r w:rsidRPr="0006795A">
              <w:rPr>
                <w:rStyle w:val="Hyperlink"/>
                <w:noProof/>
                <w:lang w:val="en-US" w:eastAsia="en-AU"/>
              </w:rPr>
              <w:t>Subordinate legislation</w:t>
            </w:r>
            <w:r>
              <w:rPr>
                <w:noProof/>
                <w:webHidden/>
              </w:rPr>
              <w:tab/>
            </w:r>
            <w:r>
              <w:rPr>
                <w:noProof/>
                <w:webHidden/>
              </w:rPr>
              <w:fldChar w:fldCharType="begin"/>
            </w:r>
            <w:r>
              <w:rPr>
                <w:noProof/>
                <w:webHidden/>
              </w:rPr>
              <w:instrText xml:space="preserve"> PAGEREF _Toc171346786 \h </w:instrText>
            </w:r>
            <w:r>
              <w:rPr>
                <w:noProof/>
                <w:webHidden/>
              </w:rPr>
            </w:r>
            <w:r>
              <w:rPr>
                <w:noProof/>
                <w:webHidden/>
              </w:rPr>
              <w:fldChar w:fldCharType="separate"/>
            </w:r>
            <w:r w:rsidR="00BF3C68">
              <w:rPr>
                <w:noProof/>
                <w:webHidden/>
              </w:rPr>
              <w:t>54</w:t>
            </w:r>
            <w:r>
              <w:rPr>
                <w:noProof/>
                <w:webHidden/>
              </w:rPr>
              <w:fldChar w:fldCharType="end"/>
            </w:r>
          </w:hyperlink>
        </w:p>
        <w:p w14:paraId="6A04B122" w14:textId="258372FE" w:rsidR="00E16784" w:rsidRDefault="00E16784">
          <w:pPr>
            <w:pStyle w:val="TOC2"/>
            <w:rPr>
              <w:rFonts w:asciiTheme="minorHAnsi" w:hAnsiTheme="minorHAnsi"/>
              <w:noProof/>
              <w:color w:val="auto"/>
              <w:kern w:val="2"/>
              <w:sz w:val="24"/>
              <w:lang w:eastAsia="en-AU"/>
              <w14:ligatures w14:val="standardContextual"/>
            </w:rPr>
          </w:pPr>
          <w:hyperlink w:anchor="_Toc171346787" w:history="1">
            <w:r w:rsidRPr="0006795A">
              <w:rPr>
                <w:rStyle w:val="Hyperlink"/>
                <w:noProof/>
              </w:rPr>
              <w:t>(c) Court and tribunal proceedings</w:t>
            </w:r>
            <w:r>
              <w:rPr>
                <w:noProof/>
                <w:webHidden/>
              </w:rPr>
              <w:tab/>
            </w:r>
            <w:r>
              <w:rPr>
                <w:noProof/>
                <w:webHidden/>
              </w:rPr>
              <w:fldChar w:fldCharType="begin"/>
            </w:r>
            <w:r>
              <w:rPr>
                <w:noProof/>
                <w:webHidden/>
              </w:rPr>
              <w:instrText xml:space="preserve"> PAGEREF _Toc171346787 \h </w:instrText>
            </w:r>
            <w:r>
              <w:rPr>
                <w:noProof/>
                <w:webHidden/>
              </w:rPr>
            </w:r>
            <w:r>
              <w:rPr>
                <w:noProof/>
                <w:webHidden/>
              </w:rPr>
              <w:fldChar w:fldCharType="separate"/>
            </w:r>
            <w:r w:rsidR="00BF3C68">
              <w:rPr>
                <w:noProof/>
                <w:webHidden/>
              </w:rPr>
              <w:t>55</w:t>
            </w:r>
            <w:r>
              <w:rPr>
                <w:noProof/>
                <w:webHidden/>
              </w:rPr>
              <w:fldChar w:fldCharType="end"/>
            </w:r>
          </w:hyperlink>
        </w:p>
        <w:p w14:paraId="510C62C8" w14:textId="15AE109C"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88" w:history="1">
            <w:r w:rsidRPr="0006795A">
              <w:rPr>
                <w:rStyle w:val="Hyperlink"/>
                <w:noProof/>
              </w:rPr>
              <w:t>Access to the court and remedies</w:t>
            </w:r>
            <w:r>
              <w:rPr>
                <w:noProof/>
                <w:webHidden/>
              </w:rPr>
              <w:tab/>
            </w:r>
            <w:r>
              <w:rPr>
                <w:noProof/>
                <w:webHidden/>
              </w:rPr>
              <w:fldChar w:fldCharType="begin"/>
            </w:r>
            <w:r>
              <w:rPr>
                <w:noProof/>
                <w:webHidden/>
              </w:rPr>
              <w:instrText xml:space="preserve"> PAGEREF _Toc171346788 \h </w:instrText>
            </w:r>
            <w:r>
              <w:rPr>
                <w:noProof/>
                <w:webHidden/>
              </w:rPr>
            </w:r>
            <w:r>
              <w:rPr>
                <w:noProof/>
                <w:webHidden/>
              </w:rPr>
              <w:fldChar w:fldCharType="separate"/>
            </w:r>
            <w:r w:rsidR="00BF3C68">
              <w:rPr>
                <w:noProof/>
                <w:webHidden/>
              </w:rPr>
              <w:t>55</w:t>
            </w:r>
            <w:r>
              <w:rPr>
                <w:noProof/>
                <w:webHidden/>
              </w:rPr>
              <w:fldChar w:fldCharType="end"/>
            </w:r>
          </w:hyperlink>
        </w:p>
        <w:p w14:paraId="63366F0A" w14:textId="4CDC323B"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89" w:history="1">
            <w:r w:rsidRPr="0006795A">
              <w:rPr>
                <w:rStyle w:val="Hyperlink"/>
                <w:noProof/>
              </w:rPr>
              <w:t>Development of a Human Rights Act benchbook</w:t>
            </w:r>
            <w:r>
              <w:rPr>
                <w:noProof/>
                <w:webHidden/>
              </w:rPr>
              <w:tab/>
            </w:r>
            <w:r>
              <w:rPr>
                <w:noProof/>
                <w:webHidden/>
              </w:rPr>
              <w:fldChar w:fldCharType="begin"/>
            </w:r>
            <w:r>
              <w:rPr>
                <w:noProof/>
                <w:webHidden/>
              </w:rPr>
              <w:instrText xml:space="preserve"> PAGEREF _Toc171346789 \h </w:instrText>
            </w:r>
            <w:r>
              <w:rPr>
                <w:noProof/>
                <w:webHidden/>
              </w:rPr>
            </w:r>
            <w:r>
              <w:rPr>
                <w:noProof/>
                <w:webHidden/>
              </w:rPr>
              <w:fldChar w:fldCharType="separate"/>
            </w:r>
            <w:r w:rsidR="00BF3C68">
              <w:rPr>
                <w:noProof/>
                <w:webHidden/>
              </w:rPr>
              <w:t>55</w:t>
            </w:r>
            <w:r>
              <w:rPr>
                <w:noProof/>
                <w:webHidden/>
              </w:rPr>
              <w:fldChar w:fldCharType="end"/>
            </w:r>
          </w:hyperlink>
        </w:p>
        <w:p w14:paraId="3A4ED16A" w14:textId="62569ABD"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90" w:history="1">
            <w:r w:rsidRPr="0006795A">
              <w:rPr>
                <w:rStyle w:val="Hyperlink"/>
                <w:noProof/>
              </w:rPr>
              <w:t>Role of interveners</w:t>
            </w:r>
            <w:r>
              <w:rPr>
                <w:noProof/>
                <w:webHidden/>
              </w:rPr>
              <w:tab/>
            </w:r>
            <w:r>
              <w:rPr>
                <w:noProof/>
                <w:webHidden/>
              </w:rPr>
              <w:fldChar w:fldCharType="begin"/>
            </w:r>
            <w:r>
              <w:rPr>
                <w:noProof/>
                <w:webHidden/>
              </w:rPr>
              <w:instrText xml:space="preserve"> PAGEREF _Toc171346790 \h </w:instrText>
            </w:r>
            <w:r>
              <w:rPr>
                <w:noProof/>
                <w:webHidden/>
              </w:rPr>
            </w:r>
            <w:r>
              <w:rPr>
                <w:noProof/>
                <w:webHidden/>
              </w:rPr>
              <w:fldChar w:fldCharType="separate"/>
            </w:r>
            <w:r w:rsidR="00BF3C68">
              <w:rPr>
                <w:noProof/>
                <w:webHidden/>
              </w:rPr>
              <w:t>56</w:t>
            </w:r>
            <w:r>
              <w:rPr>
                <w:noProof/>
                <w:webHidden/>
              </w:rPr>
              <w:fldChar w:fldCharType="end"/>
            </w:r>
          </w:hyperlink>
        </w:p>
        <w:p w14:paraId="7CC48FDE" w14:textId="226D593E" w:rsidR="00E16784" w:rsidRDefault="00E16784">
          <w:pPr>
            <w:pStyle w:val="TOC2"/>
            <w:rPr>
              <w:rFonts w:asciiTheme="minorHAnsi" w:hAnsiTheme="minorHAnsi"/>
              <w:noProof/>
              <w:color w:val="auto"/>
              <w:kern w:val="2"/>
              <w:sz w:val="24"/>
              <w:lang w:eastAsia="en-AU"/>
              <w14:ligatures w14:val="standardContextual"/>
            </w:rPr>
          </w:pPr>
          <w:hyperlink w:anchor="_Toc171346791" w:history="1">
            <w:r w:rsidRPr="0006795A">
              <w:rPr>
                <w:rStyle w:val="Hyperlink"/>
                <w:noProof/>
              </w:rPr>
              <w:t>(d) Public entity obligations</w:t>
            </w:r>
            <w:r>
              <w:rPr>
                <w:noProof/>
                <w:webHidden/>
              </w:rPr>
              <w:tab/>
            </w:r>
            <w:r>
              <w:rPr>
                <w:noProof/>
                <w:webHidden/>
              </w:rPr>
              <w:fldChar w:fldCharType="begin"/>
            </w:r>
            <w:r>
              <w:rPr>
                <w:noProof/>
                <w:webHidden/>
              </w:rPr>
              <w:instrText xml:space="preserve"> PAGEREF _Toc171346791 \h </w:instrText>
            </w:r>
            <w:r>
              <w:rPr>
                <w:noProof/>
                <w:webHidden/>
              </w:rPr>
            </w:r>
            <w:r>
              <w:rPr>
                <w:noProof/>
                <w:webHidden/>
              </w:rPr>
              <w:fldChar w:fldCharType="separate"/>
            </w:r>
            <w:r w:rsidR="00BF3C68">
              <w:rPr>
                <w:noProof/>
                <w:webHidden/>
              </w:rPr>
              <w:t>58</w:t>
            </w:r>
            <w:r>
              <w:rPr>
                <w:noProof/>
                <w:webHidden/>
              </w:rPr>
              <w:fldChar w:fldCharType="end"/>
            </w:r>
          </w:hyperlink>
        </w:p>
        <w:p w14:paraId="1BD038FA" w14:textId="60B82860"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92" w:history="1">
            <w:r w:rsidRPr="0006795A">
              <w:rPr>
                <w:rStyle w:val="Hyperlink"/>
                <w:noProof/>
              </w:rPr>
              <w:t>Include a duty to ensure participation</w:t>
            </w:r>
            <w:r>
              <w:rPr>
                <w:noProof/>
                <w:webHidden/>
              </w:rPr>
              <w:tab/>
            </w:r>
            <w:r>
              <w:rPr>
                <w:noProof/>
                <w:webHidden/>
              </w:rPr>
              <w:fldChar w:fldCharType="begin"/>
            </w:r>
            <w:r>
              <w:rPr>
                <w:noProof/>
                <w:webHidden/>
              </w:rPr>
              <w:instrText xml:space="preserve"> PAGEREF _Toc171346792 \h </w:instrText>
            </w:r>
            <w:r>
              <w:rPr>
                <w:noProof/>
                <w:webHidden/>
              </w:rPr>
            </w:r>
            <w:r>
              <w:rPr>
                <w:noProof/>
                <w:webHidden/>
              </w:rPr>
              <w:fldChar w:fldCharType="separate"/>
            </w:r>
            <w:r w:rsidR="00BF3C68">
              <w:rPr>
                <w:noProof/>
                <w:webHidden/>
              </w:rPr>
              <w:t>58</w:t>
            </w:r>
            <w:r>
              <w:rPr>
                <w:noProof/>
                <w:webHidden/>
              </w:rPr>
              <w:fldChar w:fldCharType="end"/>
            </w:r>
          </w:hyperlink>
        </w:p>
        <w:p w14:paraId="1E269614" w14:textId="3FAF5426"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93" w:history="1">
            <w:r w:rsidRPr="0006795A">
              <w:rPr>
                <w:rStyle w:val="Hyperlink"/>
                <w:noProof/>
              </w:rPr>
              <w:t>Remove legislative note concerning non-state schools</w:t>
            </w:r>
            <w:r>
              <w:rPr>
                <w:noProof/>
                <w:webHidden/>
              </w:rPr>
              <w:tab/>
            </w:r>
            <w:r>
              <w:rPr>
                <w:noProof/>
                <w:webHidden/>
              </w:rPr>
              <w:fldChar w:fldCharType="begin"/>
            </w:r>
            <w:r>
              <w:rPr>
                <w:noProof/>
                <w:webHidden/>
              </w:rPr>
              <w:instrText xml:space="preserve"> PAGEREF _Toc171346793 \h </w:instrText>
            </w:r>
            <w:r>
              <w:rPr>
                <w:noProof/>
                <w:webHidden/>
              </w:rPr>
            </w:r>
            <w:r>
              <w:rPr>
                <w:noProof/>
                <w:webHidden/>
              </w:rPr>
              <w:fldChar w:fldCharType="separate"/>
            </w:r>
            <w:r w:rsidR="00BF3C68">
              <w:rPr>
                <w:noProof/>
                <w:webHidden/>
              </w:rPr>
              <w:t>59</w:t>
            </w:r>
            <w:r>
              <w:rPr>
                <w:noProof/>
                <w:webHidden/>
              </w:rPr>
              <w:fldChar w:fldCharType="end"/>
            </w:r>
          </w:hyperlink>
        </w:p>
        <w:p w14:paraId="49584D24" w14:textId="4F92BA37" w:rsidR="00E16784" w:rsidRDefault="00E16784">
          <w:pPr>
            <w:pStyle w:val="TOC2"/>
            <w:rPr>
              <w:rFonts w:asciiTheme="minorHAnsi" w:hAnsiTheme="minorHAnsi"/>
              <w:noProof/>
              <w:color w:val="auto"/>
              <w:kern w:val="2"/>
              <w:sz w:val="24"/>
              <w:lang w:eastAsia="en-AU"/>
              <w14:ligatures w14:val="standardContextual"/>
            </w:rPr>
          </w:pPr>
          <w:hyperlink w:anchor="_Toc171346794" w:history="1">
            <w:r w:rsidRPr="0006795A">
              <w:rPr>
                <w:rStyle w:val="Hyperlink"/>
                <w:noProof/>
              </w:rPr>
              <w:t>(e) Complaints and dispute resolution</w:t>
            </w:r>
            <w:r>
              <w:rPr>
                <w:noProof/>
                <w:webHidden/>
              </w:rPr>
              <w:tab/>
            </w:r>
            <w:r>
              <w:rPr>
                <w:noProof/>
                <w:webHidden/>
              </w:rPr>
              <w:fldChar w:fldCharType="begin"/>
            </w:r>
            <w:r>
              <w:rPr>
                <w:noProof/>
                <w:webHidden/>
              </w:rPr>
              <w:instrText xml:space="preserve"> PAGEREF _Toc171346794 \h </w:instrText>
            </w:r>
            <w:r>
              <w:rPr>
                <w:noProof/>
                <w:webHidden/>
              </w:rPr>
            </w:r>
            <w:r>
              <w:rPr>
                <w:noProof/>
                <w:webHidden/>
              </w:rPr>
              <w:fldChar w:fldCharType="separate"/>
            </w:r>
            <w:r w:rsidR="00BF3C68">
              <w:rPr>
                <w:noProof/>
                <w:webHidden/>
              </w:rPr>
              <w:t>61</w:t>
            </w:r>
            <w:r>
              <w:rPr>
                <w:noProof/>
                <w:webHidden/>
              </w:rPr>
              <w:fldChar w:fldCharType="end"/>
            </w:r>
          </w:hyperlink>
        </w:p>
        <w:p w14:paraId="5B9429AE" w14:textId="28B418B8"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95" w:history="1">
            <w:r w:rsidRPr="0006795A">
              <w:rPr>
                <w:rStyle w:val="Hyperlink"/>
                <w:noProof/>
              </w:rPr>
              <w:t>Effectiveness</w:t>
            </w:r>
            <w:r>
              <w:rPr>
                <w:noProof/>
                <w:webHidden/>
              </w:rPr>
              <w:tab/>
            </w:r>
            <w:r>
              <w:rPr>
                <w:noProof/>
                <w:webHidden/>
              </w:rPr>
              <w:fldChar w:fldCharType="begin"/>
            </w:r>
            <w:r>
              <w:rPr>
                <w:noProof/>
                <w:webHidden/>
              </w:rPr>
              <w:instrText xml:space="preserve"> PAGEREF _Toc171346795 \h </w:instrText>
            </w:r>
            <w:r>
              <w:rPr>
                <w:noProof/>
                <w:webHidden/>
              </w:rPr>
            </w:r>
            <w:r>
              <w:rPr>
                <w:noProof/>
                <w:webHidden/>
              </w:rPr>
              <w:fldChar w:fldCharType="separate"/>
            </w:r>
            <w:r w:rsidR="00BF3C68">
              <w:rPr>
                <w:noProof/>
                <w:webHidden/>
              </w:rPr>
              <w:t>61</w:t>
            </w:r>
            <w:r>
              <w:rPr>
                <w:noProof/>
                <w:webHidden/>
              </w:rPr>
              <w:fldChar w:fldCharType="end"/>
            </w:r>
          </w:hyperlink>
        </w:p>
        <w:p w14:paraId="5E0FDC9D" w14:textId="492E7F94"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96" w:history="1">
            <w:r w:rsidRPr="0006795A">
              <w:rPr>
                <w:rStyle w:val="Hyperlink"/>
                <w:noProof/>
              </w:rPr>
              <w:t>Complaint data and trends</w:t>
            </w:r>
            <w:r>
              <w:rPr>
                <w:noProof/>
                <w:webHidden/>
              </w:rPr>
              <w:tab/>
            </w:r>
            <w:r>
              <w:rPr>
                <w:noProof/>
                <w:webHidden/>
              </w:rPr>
              <w:fldChar w:fldCharType="begin"/>
            </w:r>
            <w:r>
              <w:rPr>
                <w:noProof/>
                <w:webHidden/>
              </w:rPr>
              <w:instrText xml:space="preserve"> PAGEREF _Toc171346796 \h </w:instrText>
            </w:r>
            <w:r>
              <w:rPr>
                <w:noProof/>
                <w:webHidden/>
              </w:rPr>
            </w:r>
            <w:r>
              <w:rPr>
                <w:noProof/>
                <w:webHidden/>
              </w:rPr>
              <w:fldChar w:fldCharType="separate"/>
            </w:r>
            <w:r w:rsidR="00BF3C68">
              <w:rPr>
                <w:noProof/>
                <w:webHidden/>
              </w:rPr>
              <w:t>62</w:t>
            </w:r>
            <w:r>
              <w:rPr>
                <w:noProof/>
                <w:webHidden/>
              </w:rPr>
              <w:fldChar w:fldCharType="end"/>
            </w:r>
          </w:hyperlink>
        </w:p>
        <w:p w14:paraId="218F5C29" w14:textId="33465854"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97" w:history="1">
            <w:r w:rsidRPr="0006795A">
              <w:rPr>
                <w:rStyle w:val="Hyperlink"/>
                <w:noProof/>
              </w:rPr>
              <w:t>Areas for improvement</w:t>
            </w:r>
            <w:r>
              <w:rPr>
                <w:noProof/>
                <w:webHidden/>
              </w:rPr>
              <w:tab/>
            </w:r>
            <w:r>
              <w:rPr>
                <w:noProof/>
                <w:webHidden/>
              </w:rPr>
              <w:fldChar w:fldCharType="begin"/>
            </w:r>
            <w:r>
              <w:rPr>
                <w:noProof/>
                <w:webHidden/>
              </w:rPr>
              <w:instrText xml:space="preserve"> PAGEREF _Toc171346797 \h </w:instrText>
            </w:r>
            <w:r>
              <w:rPr>
                <w:noProof/>
                <w:webHidden/>
              </w:rPr>
            </w:r>
            <w:r>
              <w:rPr>
                <w:noProof/>
                <w:webHidden/>
              </w:rPr>
              <w:fldChar w:fldCharType="separate"/>
            </w:r>
            <w:r w:rsidR="00BF3C68">
              <w:rPr>
                <w:noProof/>
                <w:webHidden/>
              </w:rPr>
              <w:t>65</w:t>
            </w:r>
            <w:r>
              <w:rPr>
                <w:noProof/>
                <w:webHidden/>
              </w:rPr>
              <w:fldChar w:fldCharType="end"/>
            </w:r>
          </w:hyperlink>
        </w:p>
        <w:p w14:paraId="13CF64AB" w14:textId="10C41869" w:rsidR="00E16784" w:rsidRDefault="00E16784">
          <w:pPr>
            <w:pStyle w:val="TOC1"/>
            <w:tabs>
              <w:tab w:val="right" w:leader="dot" w:pos="8296"/>
            </w:tabs>
            <w:rPr>
              <w:rFonts w:asciiTheme="minorHAnsi" w:hAnsiTheme="minorHAnsi"/>
              <w:noProof/>
              <w:color w:val="auto"/>
              <w:kern w:val="2"/>
              <w:sz w:val="24"/>
              <w:lang w:eastAsia="en-AU"/>
              <w14:ligatures w14:val="standardContextual"/>
            </w:rPr>
          </w:pPr>
          <w:hyperlink w:anchor="_Toc171346798" w:history="1">
            <w:r w:rsidRPr="0006795A">
              <w:rPr>
                <w:rStyle w:val="Hyperlink"/>
                <w:noProof/>
              </w:rPr>
              <w:t>4. Victims’ rights</w:t>
            </w:r>
            <w:r>
              <w:rPr>
                <w:noProof/>
                <w:webHidden/>
              </w:rPr>
              <w:tab/>
            </w:r>
            <w:r>
              <w:rPr>
                <w:noProof/>
                <w:webHidden/>
              </w:rPr>
              <w:fldChar w:fldCharType="begin"/>
            </w:r>
            <w:r>
              <w:rPr>
                <w:noProof/>
                <w:webHidden/>
              </w:rPr>
              <w:instrText xml:space="preserve"> PAGEREF _Toc171346798 \h </w:instrText>
            </w:r>
            <w:r>
              <w:rPr>
                <w:noProof/>
                <w:webHidden/>
              </w:rPr>
            </w:r>
            <w:r>
              <w:rPr>
                <w:noProof/>
                <w:webHidden/>
              </w:rPr>
              <w:fldChar w:fldCharType="separate"/>
            </w:r>
            <w:r w:rsidR="00BF3C68">
              <w:rPr>
                <w:noProof/>
                <w:webHidden/>
              </w:rPr>
              <w:t>71</w:t>
            </w:r>
            <w:r>
              <w:rPr>
                <w:noProof/>
                <w:webHidden/>
              </w:rPr>
              <w:fldChar w:fldCharType="end"/>
            </w:r>
          </w:hyperlink>
        </w:p>
        <w:p w14:paraId="1655AA72" w14:textId="047F51FD"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799" w:history="1">
            <w:r w:rsidRPr="0006795A">
              <w:rPr>
                <w:rStyle w:val="Hyperlink"/>
                <w:rFonts w:eastAsia="Arial" w:cs="Arial"/>
                <w:noProof/>
              </w:rPr>
              <w:t>Background</w:t>
            </w:r>
            <w:r>
              <w:rPr>
                <w:noProof/>
                <w:webHidden/>
              </w:rPr>
              <w:tab/>
            </w:r>
            <w:r>
              <w:rPr>
                <w:noProof/>
                <w:webHidden/>
              </w:rPr>
              <w:fldChar w:fldCharType="begin"/>
            </w:r>
            <w:r>
              <w:rPr>
                <w:noProof/>
                <w:webHidden/>
              </w:rPr>
              <w:instrText xml:space="preserve"> PAGEREF _Toc171346799 \h </w:instrText>
            </w:r>
            <w:r>
              <w:rPr>
                <w:noProof/>
                <w:webHidden/>
              </w:rPr>
            </w:r>
            <w:r>
              <w:rPr>
                <w:noProof/>
                <w:webHidden/>
              </w:rPr>
              <w:fldChar w:fldCharType="separate"/>
            </w:r>
            <w:r w:rsidR="00BF3C68">
              <w:rPr>
                <w:noProof/>
                <w:webHidden/>
              </w:rPr>
              <w:t>71</w:t>
            </w:r>
            <w:r>
              <w:rPr>
                <w:noProof/>
                <w:webHidden/>
              </w:rPr>
              <w:fldChar w:fldCharType="end"/>
            </w:r>
          </w:hyperlink>
        </w:p>
        <w:p w14:paraId="6F78A556" w14:textId="77287745"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800" w:history="1">
            <w:r w:rsidRPr="0006795A">
              <w:rPr>
                <w:rStyle w:val="Hyperlink"/>
                <w:rFonts w:eastAsia="Arial" w:cs="Arial"/>
                <w:noProof/>
              </w:rPr>
              <w:t>Existing protections</w:t>
            </w:r>
            <w:r>
              <w:rPr>
                <w:noProof/>
                <w:webHidden/>
              </w:rPr>
              <w:tab/>
            </w:r>
            <w:r>
              <w:rPr>
                <w:noProof/>
                <w:webHidden/>
              </w:rPr>
              <w:fldChar w:fldCharType="begin"/>
            </w:r>
            <w:r>
              <w:rPr>
                <w:noProof/>
                <w:webHidden/>
              </w:rPr>
              <w:instrText xml:space="preserve"> PAGEREF _Toc171346800 \h </w:instrText>
            </w:r>
            <w:r>
              <w:rPr>
                <w:noProof/>
                <w:webHidden/>
              </w:rPr>
            </w:r>
            <w:r>
              <w:rPr>
                <w:noProof/>
                <w:webHidden/>
              </w:rPr>
              <w:fldChar w:fldCharType="separate"/>
            </w:r>
            <w:r w:rsidR="00BF3C68">
              <w:rPr>
                <w:noProof/>
                <w:webHidden/>
              </w:rPr>
              <w:t>72</w:t>
            </w:r>
            <w:r>
              <w:rPr>
                <w:noProof/>
                <w:webHidden/>
              </w:rPr>
              <w:fldChar w:fldCharType="end"/>
            </w:r>
          </w:hyperlink>
        </w:p>
        <w:p w14:paraId="026BD0DA" w14:textId="1F954467"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801" w:history="1">
            <w:r w:rsidRPr="0006795A">
              <w:rPr>
                <w:rStyle w:val="Hyperlink"/>
                <w:noProof/>
              </w:rPr>
              <w:t>The right to security of the person should be given its full effect</w:t>
            </w:r>
            <w:r>
              <w:rPr>
                <w:noProof/>
                <w:webHidden/>
              </w:rPr>
              <w:tab/>
            </w:r>
            <w:r>
              <w:rPr>
                <w:noProof/>
                <w:webHidden/>
              </w:rPr>
              <w:fldChar w:fldCharType="begin"/>
            </w:r>
            <w:r>
              <w:rPr>
                <w:noProof/>
                <w:webHidden/>
              </w:rPr>
              <w:instrText xml:space="preserve"> PAGEREF _Toc171346801 \h </w:instrText>
            </w:r>
            <w:r>
              <w:rPr>
                <w:noProof/>
                <w:webHidden/>
              </w:rPr>
            </w:r>
            <w:r>
              <w:rPr>
                <w:noProof/>
                <w:webHidden/>
              </w:rPr>
              <w:fldChar w:fldCharType="separate"/>
            </w:r>
            <w:r w:rsidR="00BF3C68">
              <w:rPr>
                <w:noProof/>
                <w:webHidden/>
              </w:rPr>
              <w:t>74</w:t>
            </w:r>
            <w:r>
              <w:rPr>
                <w:noProof/>
                <w:webHidden/>
              </w:rPr>
              <w:fldChar w:fldCharType="end"/>
            </w:r>
          </w:hyperlink>
        </w:p>
        <w:p w14:paraId="7D37F15D" w14:textId="6154CD43"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802" w:history="1">
            <w:r w:rsidRPr="0006795A">
              <w:rPr>
                <w:rStyle w:val="Hyperlink"/>
                <w:noProof/>
              </w:rPr>
              <w:t>Operational duties should be made clearer</w:t>
            </w:r>
            <w:r>
              <w:rPr>
                <w:noProof/>
                <w:webHidden/>
              </w:rPr>
              <w:tab/>
            </w:r>
            <w:r>
              <w:rPr>
                <w:noProof/>
                <w:webHidden/>
              </w:rPr>
              <w:fldChar w:fldCharType="begin"/>
            </w:r>
            <w:r>
              <w:rPr>
                <w:noProof/>
                <w:webHidden/>
              </w:rPr>
              <w:instrText xml:space="preserve"> PAGEREF _Toc171346802 \h </w:instrText>
            </w:r>
            <w:r>
              <w:rPr>
                <w:noProof/>
                <w:webHidden/>
              </w:rPr>
            </w:r>
            <w:r>
              <w:rPr>
                <w:noProof/>
                <w:webHidden/>
              </w:rPr>
              <w:fldChar w:fldCharType="separate"/>
            </w:r>
            <w:r w:rsidR="00BF3C68">
              <w:rPr>
                <w:noProof/>
                <w:webHidden/>
              </w:rPr>
              <w:t>75</w:t>
            </w:r>
            <w:r>
              <w:rPr>
                <w:noProof/>
                <w:webHidden/>
              </w:rPr>
              <w:fldChar w:fldCharType="end"/>
            </w:r>
          </w:hyperlink>
        </w:p>
        <w:p w14:paraId="66338980" w14:textId="52E556FA" w:rsidR="00E16784" w:rsidRDefault="00E16784">
          <w:pPr>
            <w:pStyle w:val="TOC3"/>
            <w:tabs>
              <w:tab w:val="right" w:leader="dot" w:pos="8296"/>
            </w:tabs>
            <w:rPr>
              <w:rFonts w:asciiTheme="minorHAnsi" w:hAnsiTheme="minorHAnsi"/>
              <w:noProof/>
              <w:color w:val="auto"/>
              <w:kern w:val="2"/>
              <w:sz w:val="24"/>
              <w:lang w:eastAsia="en-AU"/>
              <w14:ligatures w14:val="standardContextual"/>
            </w:rPr>
          </w:pPr>
          <w:hyperlink w:anchor="_Toc171346803" w:history="1">
            <w:r w:rsidRPr="0006795A">
              <w:rPr>
                <w:rStyle w:val="Hyperlink"/>
                <w:rFonts w:eastAsia="Arial" w:cs="Arial"/>
                <w:noProof/>
              </w:rPr>
              <w:t>Recognise victim and public interests in criminal trials</w:t>
            </w:r>
            <w:r>
              <w:rPr>
                <w:noProof/>
                <w:webHidden/>
              </w:rPr>
              <w:tab/>
            </w:r>
            <w:r>
              <w:rPr>
                <w:noProof/>
                <w:webHidden/>
              </w:rPr>
              <w:fldChar w:fldCharType="begin"/>
            </w:r>
            <w:r>
              <w:rPr>
                <w:noProof/>
                <w:webHidden/>
              </w:rPr>
              <w:instrText xml:space="preserve"> PAGEREF _Toc171346803 \h </w:instrText>
            </w:r>
            <w:r>
              <w:rPr>
                <w:noProof/>
                <w:webHidden/>
              </w:rPr>
            </w:r>
            <w:r>
              <w:rPr>
                <w:noProof/>
                <w:webHidden/>
              </w:rPr>
              <w:fldChar w:fldCharType="separate"/>
            </w:r>
            <w:r w:rsidR="00BF3C68">
              <w:rPr>
                <w:noProof/>
                <w:webHidden/>
              </w:rPr>
              <w:t>78</w:t>
            </w:r>
            <w:r>
              <w:rPr>
                <w:noProof/>
                <w:webHidden/>
              </w:rPr>
              <w:fldChar w:fldCharType="end"/>
            </w:r>
          </w:hyperlink>
        </w:p>
        <w:p w14:paraId="7BC91799" w14:textId="622EE910" w:rsidR="550F0A0F" w:rsidRPr="00880275" w:rsidRDefault="60D4A6C5" w:rsidP="550F0A0F">
          <w:pPr>
            <w:pStyle w:val="TOC1"/>
            <w:tabs>
              <w:tab w:val="right" w:leader="dot" w:pos="8295"/>
            </w:tabs>
            <w:rPr>
              <w:rStyle w:val="Hyperlink"/>
            </w:rPr>
          </w:pPr>
          <w:r w:rsidRPr="00880275">
            <w:fldChar w:fldCharType="end"/>
          </w:r>
        </w:p>
      </w:sdtContent>
    </w:sdt>
    <w:p w14:paraId="7CA71BF1" w14:textId="5F754FA7" w:rsidR="60D4A6C5" w:rsidRPr="00880275" w:rsidRDefault="60D4A6C5" w:rsidP="60D4A6C5">
      <w:pPr>
        <w:pStyle w:val="TOC1"/>
        <w:tabs>
          <w:tab w:val="right" w:leader="dot" w:pos="8295"/>
        </w:tabs>
        <w:rPr>
          <w:rStyle w:val="Hyperlink"/>
        </w:rPr>
      </w:pPr>
    </w:p>
    <w:p w14:paraId="38A00DCD" w14:textId="728EECF2" w:rsidR="00A16356" w:rsidRPr="00880275" w:rsidRDefault="00A16356" w:rsidP="00466216">
      <w:pPr>
        <w:spacing w:before="120"/>
        <w:rPr>
          <w:rFonts w:cs="Arial"/>
        </w:rPr>
      </w:pPr>
    </w:p>
    <w:p w14:paraId="6F3E4033" w14:textId="77777777" w:rsidR="004A2375" w:rsidRPr="00880275" w:rsidRDefault="004A2375">
      <w:pPr>
        <w:rPr>
          <w:rFonts w:eastAsiaTheme="majorEastAsia" w:cstheme="majorBidi"/>
          <w:b/>
          <w:color w:val="365F91" w:themeColor="accent1" w:themeShade="BF"/>
          <w:sz w:val="28"/>
          <w:szCs w:val="32"/>
        </w:rPr>
        <w:sectPr w:rsidR="004A2375" w:rsidRPr="00880275" w:rsidSect="00A16356">
          <w:headerReference w:type="default" r:id="rId10"/>
          <w:footerReference w:type="default" r:id="rId11"/>
          <w:headerReference w:type="first" r:id="rId12"/>
          <w:footerReference w:type="first" r:id="rId13"/>
          <w:pgSz w:w="11900" w:h="16840" w:code="9"/>
          <w:pgMar w:top="1440" w:right="1797" w:bottom="1440" w:left="1797" w:header="709" w:footer="709" w:gutter="0"/>
          <w:pgNumType w:start="0"/>
          <w:cols w:space="708"/>
          <w:titlePg/>
          <w:docGrid w:linePitch="360"/>
        </w:sectPr>
      </w:pPr>
    </w:p>
    <w:p w14:paraId="68F0849E" w14:textId="77777777" w:rsidR="00885C2C" w:rsidRPr="00880275" w:rsidRDefault="00885C2C" w:rsidP="00885C2C">
      <w:pPr>
        <w:pStyle w:val="Heading1"/>
      </w:pPr>
      <w:bookmarkStart w:id="2" w:name="_Toc163720791"/>
      <w:bookmarkStart w:id="3" w:name="_Toc171346741"/>
      <w:r w:rsidRPr="00880275">
        <w:lastRenderedPageBreak/>
        <w:t>Executive Summary</w:t>
      </w:r>
      <w:bookmarkEnd w:id="3"/>
    </w:p>
    <w:p w14:paraId="4ED9F409" w14:textId="1C8B3B54" w:rsidR="004B465E" w:rsidRPr="00880275" w:rsidRDefault="004909AF" w:rsidP="00754FAE">
      <w:pPr>
        <w:pStyle w:val="Numberedparagraph"/>
      </w:pPr>
      <w:r w:rsidRPr="00880275">
        <w:t xml:space="preserve">The </w:t>
      </w:r>
      <w:r w:rsidRPr="00880275">
        <w:rPr>
          <w:i/>
        </w:rPr>
        <w:t>Human Rights Act</w:t>
      </w:r>
      <w:r w:rsidRPr="00880275">
        <w:t xml:space="preserve"> </w:t>
      </w:r>
      <w:r w:rsidR="00F47234" w:rsidRPr="00880275">
        <w:rPr>
          <w:i/>
        </w:rPr>
        <w:t xml:space="preserve">2019 </w:t>
      </w:r>
      <w:r w:rsidR="00F47234" w:rsidRPr="00880275">
        <w:t>(Qld) (</w:t>
      </w:r>
      <w:r w:rsidR="00F47234" w:rsidRPr="00880275">
        <w:rPr>
          <w:b/>
        </w:rPr>
        <w:t>Human Rights Act</w:t>
      </w:r>
      <w:r w:rsidR="00F47234" w:rsidRPr="00880275">
        <w:t xml:space="preserve">) </w:t>
      </w:r>
      <w:r w:rsidRPr="00880275">
        <w:t xml:space="preserve">has already made a real difference </w:t>
      </w:r>
      <w:r w:rsidR="009067A4" w:rsidRPr="00880275">
        <w:t>by</w:t>
      </w:r>
      <w:r w:rsidRPr="00880275">
        <w:t xml:space="preserve"> enhancing human rights protections and improving government decision-making</w:t>
      </w:r>
      <w:r w:rsidR="00577267" w:rsidRPr="00880275">
        <w:t>,</w:t>
      </w:r>
      <w:r w:rsidR="00896BEA" w:rsidRPr="00880275">
        <w:t xml:space="preserve"> and its successes should be celebrated</w:t>
      </w:r>
      <w:r w:rsidR="00855736" w:rsidRPr="00880275">
        <w:t>.</w:t>
      </w:r>
      <w:r w:rsidR="001C7917" w:rsidRPr="00880275">
        <w:t xml:space="preserve"> There is evidence of </w:t>
      </w:r>
      <w:r w:rsidR="00E44903" w:rsidRPr="00880275">
        <w:t xml:space="preserve">a significant, and growing, </w:t>
      </w:r>
      <w:r w:rsidR="001C7917" w:rsidRPr="00880275">
        <w:t xml:space="preserve">human rights culture within the public sector, and </w:t>
      </w:r>
      <w:r w:rsidR="00377192" w:rsidRPr="00880275">
        <w:t xml:space="preserve">the Act has </w:t>
      </w:r>
      <w:r w:rsidR="00AA2AD7" w:rsidRPr="00880275">
        <w:t>regularly operated</w:t>
      </w:r>
      <w:r w:rsidR="00377192" w:rsidRPr="00880275">
        <w:t xml:space="preserve"> to </w:t>
      </w:r>
      <w:r w:rsidR="00C261A8" w:rsidRPr="00880275">
        <w:t xml:space="preserve">protect and promote the </w:t>
      </w:r>
      <w:r w:rsidR="00AA2AD7" w:rsidRPr="00880275">
        <w:t xml:space="preserve">human </w:t>
      </w:r>
      <w:r w:rsidR="00C261A8" w:rsidRPr="00880275">
        <w:t>rights of individuals and groups across</w:t>
      </w:r>
      <w:r w:rsidR="00AA2AD7" w:rsidRPr="00880275">
        <w:t xml:space="preserve"> </w:t>
      </w:r>
      <w:r w:rsidR="00646E32" w:rsidRPr="00880275">
        <w:t>many areas of public decision-making</w:t>
      </w:r>
      <w:r w:rsidR="001D6FB1" w:rsidRPr="00880275">
        <w:t xml:space="preserve"> – </w:t>
      </w:r>
      <w:r w:rsidR="007156A3" w:rsidRPr="00880275">
        <w:t>both</w:t>
      </w:r>
      <w:r w:rsidR="001D6FB1" w:rsidRPr="00880275">
        <w:t xml:space="preserve"> in formal</w:t>
      </w:r>
      <w:r w:rsidR="007156A3" w:rsidRPr="00880275">
        <w:t xml:space="preserve"> complaints and</w:t>
      </w:r>
      <w:r w:rsidR="001D6FB1" w:rsidRPr="00880275">
        <w:t xml:space="preserve"> legal </w:t>
      </w:r>
      <w:r w:rsidR="007156A3" w:rsidRPr="00880275">
        <w:t>processes</w:t>
      </w:r>
      <w:r w:rsidR="001D6FB1" w:rsidRPr="00880275">
        <w:t xml:space="preserve"> </w:t>
      </w:r>
      <w:r w:rsidR="007156A3" w:rsidRPr="00880275">
        <w:t>and</w:t>
      </w:r>
      <w:r w:rsidR="001D6FB1" w:rsidRPr="00880275">
        <w:t xml:space="preserve"> behind the scenes</w:t>
      </w:r>
      <w:r w:rsidR="00646E32" w:rsidRPr="00880275">
        <w:t>.</w:t>
      </w:r>
    </w:p>
    <w:p w14:paraId="119508AE" w14:textId="0BBABA40" w:rsidR="004B465E" w:rsidRPr="00880275" w:rsidRDefault="008347C0" w:rsidP="00754FAE">
      <w:pPr>
        <w:pStyle w:val="Numberedparagraph"/>
      </w:pPr>
      <w:r w:rsidRPr="00880275">
        <w:t>As would be expected, a</w:t>
      </w:r>
      <w:r w:rsidR="002D065B" w:rsidRPr="00880275">
        <w:t xml:space="preserve">fter nearly five years of operation, there are areas in which the Act and its implementation could be strengthened to </w:t>
      </w:r>
      <w:r w:rsidRPr="00880275">
        <w:t xml:space="preserve">better </w:t>
      </w:r>
      <w:r w:rsidR="00070C38" w:rsidRPr="00880275">
        <w:t>promote a strong</w:t>
      </w:r>
      <w:r w:rsidR="00E44903" w:rsidRPr="00880275">
        <w:t xml:space="preserve"> and sustainable</w:t>
      </w:r>
      <w:r w:rsidR="00B12E83" w:rsidRPr="00880275">
        <w:t xml:space="preserve"> human rights culture and </w:t>
      </w:r>
      <w:r w:rsidR="002D065B" w:rsidRPr="00880275">
        <w:t>protect the rights of Queenslanders.</w:t>
      </w:r>
      <w:r w:rsidR="001C60EE" w:rsidRPr="00880275">
        <w:t xml:space="preserve"> P</w:t>
      </w:r>
      <w:r w:rsidR="00855736" w:rsidRPr="00880275">
        <w:t>rio</w:t>
      </w:r>
      <w:r w:rsidR="001C60EE" w:rsidRPr="00880275">
        <w:t>rity areas identified</w:t>
      </w:r>
      <w:r w:rsidR="00855736" w:rsidRPr="00880275">
        <w:t xml:space="preserve"> by the Queensland Human Rights Commission</w:t>
      </w:r>
      <w:r w:rsidR="00CE5E95" w:rsidRPr="00880275">
        <w:t xml:space="preserve"> (</w:t>
      </w:r>
      <w:r w:rsidR="00F47234" w:rsidRPr="00880275">
        <w:rPr>
          <w:b/>
        </w:rPr>
        <w:t>Commission</w:t>
      </w:r>
      <w:r w:rsidR="00CE5E95" w:rsidRPr="00880275">
        <w:t>)</w:t>
      </w:r>
      <w:r w:rsidR="00855736" w:rsidRPr="00880275">
        <w:t xml:space="preserve"> </w:t>
      </w:r>
      <w:r w:rsidR="001C60EE" w:rsidRPr="00880275">
        <w:t>include</w:t>
      </w:r>
      <w:r w:rsidR="00855736" w:rsidRPr="00880275">
        <w:t>:</w:t>
      </w:r>
    </w:p>
    <w:p w14:paraId="5CD4E6FC" w14:textId="3CAF427A" w:rsidR="00901F1E" w:rsidRPr="00880275" w:rsidRDefault="00065D40" w:rsidP="00855013">
      <w:pPr>
        <w:spacing w:before="120"/>
        <w:ind w:left="567"/>
        <w:rPr>
          <w:b/>
        </w:rPr>
      </w:pPr>
      <w:r w:rsidRPr="00880275">
        <w:rPr>
          <w:b/>
        </w:rPr>
        <w:t>I</w:t>
      </w:r>
      <w:r w:rsidR="00A37DF8" w:rsidRPr="00880275">
        <w:rPr>
          <w:b/>
        </w:rPr>
        <w:t xml:space="preserve">ncreasing </w:t>
      </w:r>
      <w:r w:rsidRPr="00880275">
        <w:rPr>
          <w:b/>
        </w:rPr>
        <w:t xml:space="preserve">the </w:t>
      </w:r>
      <w:r w:rsidR="007E065C" w:rsidRPr="00880275">
        <w:rPr>
          <w:b/>
        </w:rPr>
        <w:t xml:space="preserve">effectiveness of </w:t>
      </w:r>
      <w:r w:rsidR="00652427" w:rsidRPr="00880275">
        <w:rPr>
          <w:b/>
        </w:rPr>
        <w:t>human rights protections</w:t>
      </w:r>
      <w:r w:rsidR="00A37DF8" w:rsidRPr="00880275">
        <w:rPr>
          <w:b/>
        </w:rPr>
        <w:t xml:space="preserve"> and </w:t>
      </w:r>
      <w:r w:rsidR="005B4681" w:rsidRPr="00880275">
        <w:rPr>
          <w:b/>
        </w:rPr>
        <w:t xml:space="preserve">access to justice </w:t>
      </w:r>
      <w:r w:rsidR="0066561A" w:rsidRPr="00880275">
        <w:rPr>
          <w:b/>
        </w:rPr>
        <w:t>by:</w:t>
      </w:r>
    </w:p>
    <w:p w14:paraId="3194E59C" w14:textId="37900BF3" w:rsidR="00BC74C5" w:rsidRPr="00880275" w:rsidRDefault="00BC74C5" w:rsidP="00855013">
      <w:pPr>
        <w:pStyle w:val="Bulletedlist"/>
        <w:spacing w:before="120" w:after="120"/>
        <w:contextualSpacing w:val="0"/>
      </w:pPr>
      <w:r w:rsidRPr="00880275">
        <w:t xml:space="preserve">allowing the Commission to refer unresolved human rights complaints and </w:t>
      </w:r>
      <w:r w:rsidR="00955F4D" w:rsidRPr="00880275">
        <w:t>complaints unsuitable for its dispute resolution processes</w:t>
      </w:r>
      <w:r w:rsidRPr="00880275">
        <w:t xml:space="preserve"> to a tribunal for determination</w:t>
      </w:r>
    </w:p>
    <w:p w14:paraId="351F68C1" w14:textId="72CAEB1D" w:rsidR="00901F1E" w:rsidRPr="00880275" w:rsidRDefault="00370FDA" w:rsidP="00855013">
      <w:pPr>
        <w:pStyle w:val="Bulletedlist"/>
        <w:spacing w:before="120" w:after="120"/>
        <w:contextualSpacing w:val="0"/>
      </w:pPr>
      <w:r w:rsidRPr="00880275">
        <w:t xml:space="preserve">providing </w:t>
      </w:r>
      <w:r w:rsidR="00105D19" w:rsidRPr="00880275">
        <w:t>a standalone cause of action in the</w:t>
      </w:r>
      <w:r w:rsidR="004909AF" w:rsidRPr="00880275">
        <w:t xml:space="preserve"> courts </w:t>
      </w:r>
      <w:r w:rsidR="005B4681" w:rsidRPr="00880275">
        <w:t xml:space="preserve">for </w:t>
      </w:r>
      <w:r w:rsidRPr="00880275">
        <w:t xml:space="preserve">all </w:t>
      </w:r>
      <w:r w:rsidR="005B4681" w:rsidRPr="00880275">
        <w:t>human rights claim</w:t>
      </w:r>
      <w:r w:rsidR="00577267" w:rsidRPr="00880275">
        <w:t>s</w:t>
      </w:r>
      <w:r w:rsidR="005B4681" w:rsidRPr="00880275">
        <w:t xml:space="preserve"> </w:t>
      </w:r>
    </w:p>
    <w:p w14:paraId="16B33617" w14:textId="1F7EAE2C" w:rsidR="004B465E" w:rsidRPr="00880275" w:rsidRDefault="00370FDA" w:rsidP="00855013">
      <w:pPr>
        <w:pStyle w:val="Bulletedlist"/>
        <w:spacing w:before="120" w:after="120"/>
        <w:contextualSpacing w:val="0"/>
      </w:pPr>
      <w:r w:rsidRPr="00880275">
        <w:t>empowering</w:t>
      </w:r>
      <w:r w:rsidR="005B4681" w:rsidRPr="00880275">
        <w:t xml:space="preserve"> courts to order </w:t>
      </w:r>
      <w:r w:rsidR="00A762CA" w:rsidRPr="00880275">
        <w:t>the full range of remedies</w:t>
      </w:r>
      <w:r w:rsidR="004909AF" w:rsidRPr="00880275">
        <w:t xml:space="preserve"> for </w:t>
      </w:r>
      <w:r w:rsidR="005B4681" w:rsidRPr="00880275">
        <w:t xml:space="preserve">contraventions </w:t>
      </w:r>
    </w:p>
    <w:p w14:paraId="69DEE8CC" w14:textId="77777777" w:rsidR="00EB01E4" w:rsidRPr="00880275" w:rsidRDefault="0066561A" w:rsidP="00855013">
      <w:pPr>
        <w:pStyle w:val="Bulletedlist"/>
        <w:spacing w:before="120" w:after="120"/>
        <w:contextualSpacing w:val="0"/>
      </w:pPr>
      <w:r w:rsidRPr="00880275">
        <w:t>improving the flexibility of the Commission’s human rights complaint process</w:t>
      </w:r>
    </w:p>
    <w:p w14:paraId="5E1EF4FE" w14:textId="77777777" w:rsidR="00EB01E4" w:rsidRPr="00880275" w:rsidRDefault="0066561A" w:rsidP="00855013">
      <w:pPr>
        <w:pStyle w:val="Bulletedlist"/>
        <w:spacing w:before="120" w:after="120"/>
        <w:contextualSpacing w:val="0"/>
      </w:pPr>
      <w:r w:rsidRPr="00880275">
        <w:t>increasing resources for community legal services</w:t>
      </w:r>
    </w:p>
    <w:p w14:paraId="3E9AF8CA" w14:textId="689E304B" w:rsidR="0066561A" w:rsidRPr="00880275" w:rsidRDefault="0066561A" w:rsidP="00855013">
      <w:pPr>
        <w:pStyle w:val="Bulletedlist"/>
        <w:spacing w:before="120" w:after="120"/>
        <w:contextualSpacing w:val="0"/>
      </w:pPr>
      <w:r w:rsidRPr="00880275">
        <w:t xml:space="preserve">creating protections from victimisation for people who make complaints </w:t>
      </w:r>
    </w:p>
    <w:p w14:paraId="696E4D0D" w14:textId="0365AAC1" w:rsidR="001B0773" w:rsidRPr="00880275" w:rsidRDefault="00EB01E4" w:rsidP="00855013">
      <w:pPr>
        <w:pStyle w:val="Bulletedlist"/>
        <w:numPr>
          <w:ilvl w:val="0"/>
          <w:numId w:val="0"/>
        </w:numPr>
        <w:spacing w:before="120" w:after="120"/>
        <w:ind w:left="720"/>
        <w:contextualSpacing w:val="0"/>
        <w:rPr>
          <w:b/>
        </w:rPr>
      </w:pPr>
      <w:r w:rsidRPr="00880275">
        <w:rPr>
          <w:b/>
        </w:rPr>
        <w:t>Enhancing human rights protections by:</w:t>
      </w:r>
    </w:p>
    <w:p w14:paraId="2BD8663F" w14:textId="6A74A872" w:rsidR="00A762CA" w:rsidRPr="00880275" w:rsidRDefault="00EB01E4" w:rsidP="00855013">
      <w:pPr>
        <w:pStyle w:val="Bulletedlist"/>
        <w:spacing w:before="120" w:after="120"/>
        <w:contextualSpacing w:val="0"/>
      </w:pPr>
      <w:r w:rsidRPr="00880275">
        <w:t>clarifying in the Act</w:t>
      </w:r>
      <w:r w:rsidR="004909AF" w:rsidRPr="00880275">
        <w:t xml:space="preserve"> </w:t>
      </w:r>
      <w:r w:rsidR="00991A92" w:rsidRPr="00880275">
        <w:t xml:space="preserve">that some rights are </w:t>
      </w:r>
      <w:r w:rsidR="004909AF" w:rsidRPr="00880275">
        <w:t xml:space="preserve">absolute </w:t>
      </w:r>
      <w:r w:rsidR="00EC0340" w:rsidRPr="00880275">
        <w:t>and cannot be limited</w:t>
      </w:r>
    </w:p>
    <w:p w14:paraId="2BA66975" w14:textId="7BB6D13B" w:rsidR="00C2213B" w:rsidRPr="00880275" w:rsidRDefault="00C2213B" w:rsidP="00855013">
      <w:pPr>
        <w:pStyle w:val="Bulletedlist"/>
        <w:spacing w:before="120" w:after="120"/>
        <w:contextualSpacing w:val="0"/>
      </w:pPr>
      <w:r w:rsidRPr="00880275">
        <w:t xml:space="preserve">clarifying the scope and nature of some existing protected rights, including the right to security of the person, the right </w:t>
      </w:r>
      <w:r w:rsidR="000F174D" w:rsidRPr="00880275">
        <w:t>not to be subject</w:t>
      </w:r>
      <w:r w:rsidR="00331B4E" w:rsidRPr="00880275">
        <w:t>ed</w:t>
      </w:r>
      <w:r w:rsidR="000F174D" w:rsidRPr="00880275">
        <w:t xml:space="preserve"> to medical treatment without full, free and informed consent, and the </w:t>
      </w:r>
      <w:r w:rsidR="00F91579" w:rsidRPr="00880275">
        <w:t>meaning of discrimination</w:t>
      </w:r>
    </w:p>
    <w:p w14:paraId="418573B1" w14:textId="06C6B631" w:rsidR="00A92B7E" w:rsidRPr="00880275" w:rsidRDefault="004909AF" w:rsidP="00855013">
      <w:pPr>
        <w:pStyle w:val="Bulletedlist"/>
        <w:spacing w:before="120" w:after="120"/>
        <w:contextualSpacing w:val="0"/>
      </w:pPr>
      <w:r w:rsidRPr="00880275">
        <w:t>making the Act work better for victims of violent crime</w:t>
      </w:r>
      <w:r w:rsidR="007B5DD3" w:rsidRPr="00880275">
        <w:t>, including by clarifying that in some circumstances</w:t>
      </w:r>
      <w:r w:rsidR="00C001A0" w:rsidRPr="00880275">
        <w:t xml:space="preserve"> acting compatibly with human rights may require</w:t>
      </w:r>
      <w:r w:rsidR="007B5DD3" w:rsidRPr="00880275">
        <w:t xml:space="preserve"> public entities to take steps to respond to</w:t>
      </w:r>
      <w:r w:rsidR="00807F0C" w:rsidRPr="00880275">
        <w:t xml:space="preserve"> </w:t>
      </w:r>
      <w:r w:rsidR="003417FB" w:rsidRPr="00880275">
        <w:t>identified</w:t>
      </w:r>
      <w:r w:rsidR="002814BE" w:rsidRPr="00880275">
        <w:t xml:space="preserve"> risks and allegations of serious harm</w:t>
      </w:r>
    </w:p>
    <w:p w14:paraId="6B88AA75" w14:textId="475B99D7" w:rsidR="66AD2BA3" w:rsidRPr="00880275" w:rsidRDefault="66AD2BA3" w:rsidP="003F495C">
      <w:pPr>
        <w:pStyle w:val="Bulletedlist"/>
        <w:spacing w:before="120" w:after="120"/>
        <w:contextualSpacing w:val="0"/>
      </w:pPr>
      <w:r w:rsidRPr="00880275">
        <w:t>introducing a ‘participation duty’ to ensure that people have a say in policies that affect their lives</w:t>
      </w:r>
    </w:p>
    <w:p w14:paraId="0080FB84" w14:textId="146FC692" w:rsidR="007E092B" w:rsidRPr="00880275" w:rsidRDefault="004909AF" w:rsidP="00855013">
      <w:pPr>
        <w:pStyle w:val="Bulletedlist"/>
        <w:spacing w:before="120" w:after="120"/>
        <w:contextualSpacing w:val="0"/>
      </w:pPr>
      <w:r w:rsidRPr="00880275">
        <w:t>considering</w:t>
      </w:r>
      <w:r w:rsidR="00A37DF8" w:rsidRPr="00880275">
        <w:t xml:space="preserve"> the</w:t>
      </w:r>
      <w:r w:rsidRPr="00880275">
        <w:t xml:space="preserve"> inclusion of additional rights</w:t>
      </w:r>
      <w:r w:rsidR="00547C28" w:rsidRPr="00880275">
        <w:t>, including the right to a clean, healthy and sustainable environment, and the right to</w:t>
      </w:r>
      <w:r w:rsidR="00A92B7E" w:rsidRPr="00880275">
        <w:t xml:space="preserve"> an adequate standard of living </w:t>
      </w:r>
    </w:p>
    <w:p w14:paraId="5D89DB23" w14:textId="3175C19C" w:rsidR="00BF554E" w:rsidRPr="00880275" w:rsidRDefault="00ED44EB" w:rsidP="00855013">
      <w:pPr>
        <w:pStyle w:val="Bulletedlist"/>
        <w:keepNext/>
        <w:numPr>
          <w:ilvl w:val="0"/>
          <w:numId w:val="0"/>
        </w:numPr>
        <w:spacing w:before="120" w:after="120"/>
        <w:ind w:left="720"/>
        <w:contextualSpacing w:val="0"/>
        <w:rPr>
          <w:b/>
        </w:rPr>
      </w:pPr>
      <w:r w:rsidRPr="00880275">
        <w:rPr>
          <w:b/>
        </w:rPr>
        <w:lastRenderedPageBreak/>
        <w:t>More deeply e</w:t>
      </w:r>
      <w:r w:rsidR="00BD0367" w:rsidRPr="00880275">
        <w:rPr>
          <w:b/>
        </w:rPr>
        <w:t>mbedding a culture of human rights within</w:t>
      </w:r>
      <w:r w:rsidR="0039527F" w:rsidRPr="00880275">
        <w:rPr>
          <w:b/>
        </w:rPr>
        <w:t xml:space="preserve"> Parliament and</w:t>
      </w:r>
      <w:r w:rsidR="00BD0367" w:rsidRPr="00880275">
        <w:rPr>
          <w:b/>
        </w:rPr>
        <w:t xml:space="preserve"> the public sector by:</w:t>
      </w:r>
    </w:p>
    <w:p w14:paraId="41709DAF" w14:textId="072B61BC" w:rsidR="00BF007C" w:rsidRPr="00880275" w:rsidRDefault="00547C28" w:rsidP="00855013">
      <w:pPr>
        <w:pStyle w:val="Bulletedlist"/>
        <w:spacing w:before="120" w:after="120"/>
        <w:contextualSpacing w:val="0"/>
      </w:pPr>
      <w:r w:rsidRPr="00880275">
        <w:t>removing</w:t>
      </w:r>
      <w:r w:rsidR="00C25B3A" w:rsidRPr="00880275">
        <w:t xml:space="preserve"> unnecessary</w:t>
      </w:r>
      <w:r w:rsidRPr="00880275">
        <w:t xml:space="preserve"> provisions in the Act that</w:t>
      </w:r>
      <w:r w:rsidR="00491E34" w:rsidRPr="00880275">
        <w:t xml:space="preserve"> </w:t>
      </w:r>
      <w:r w:rsidR="0064270A" w:rsidRPr="00880275">
        <w:t>provide a mechanism for</w:t>
      </w:r>
      <w:r w:rsidRPr="00880275">
        <w:t xml:space="preserve"> Parliament to </w:t>
      </w:r>
      <w:r w:rsidR="00FA6B1D" w:rsidRPr="00880275">
        <w:t>declare th</w:t>
      </w:r>
      <w:r w:rsidR="00237CA5" w:rsidRPr="00880275">
        <w:t>at</w:t>
      </w:r>
      <w:r w:rsidR="003A3C91" w:rsidRPr="00880275">
        <w:t xml:space="preserve"> </w:t>
      </w:r>
      <w:r w:rsidR="00FA6B1D" w:rsidRPr="00880275">
        <w:t>legislation overrides the Human Rights Act</w:t>
      </w:r>
      <w:r w:rsidR="00565E0E" w:rsidRPr="00880275">
        <w:t xml:space="preserve"> </w:t>
      </w:r>
    </w:p>
    <w:p w14:paraId="67BB389F" w14:textId="6C3E2764" w:rsidR="007E092B" w:rsidRPr="00880275" w:rsidRDefault="00565E0E" w:rsidP="00855013">
      <w:pPr>
        <w:pStyle w:val="Bulletedlist"/>
        <w:spacing w:before="120" w:after="120"/>
        <w:contextualSpacing w:val="0"/>
      </w:pPr>
      <w:r w:rsidRPr="00880275">
        <w:t>enhancing parliamentary scrutiny processes</w:t>
      </w:r>
      <w:r w:rsidR="00AB172B" w:rsidRPr="00880275">
        <w:t>, including of amendments to Bills</w:t>
      </w:r>
    </w:p>
    <w:p w14:paraId="0E007342" w14:textId="77777777" w:rsidR="00324CC0" w:rsidRPr="00880275" w:rsidRDefault="00324CC0" w:rsidP="00855013">
      <w:pPr>
        <w:pStyle w:val="Bulletedlist"/>
        <w:spacing w:before="120" w:after="120"/>
        <w:contextualSpacing w:val="0"/>
      </w:pPr>
      <w:r w:rsidRPr="00880275">
        <w:t>supporting public entities to better identify, record, and respond to human rights complaints</w:t>
      </w:r>
    </w:p>
    <w:p w14:paraId="13D2CF8A" w14:textId="019D8B37" w:rsidR="00903B57" w:rsidRPr="00880275" w:rsidRDefault="00BC2F70" w:rsidP="00855013">
      <w:pPr>
        <w:pStyle w:val="Bulletedlist"/>
        <w:spacing w:before="120" w:after="120"/>
        <w:contextualSpacing w:val="0"/>
      </w:pPr>
      <w:r w:rsidRPr="00880275">
        <w:t>providing further support to</w:t>
      </w:r>
      <w:r w:rsidR="00903B57" w:rsidRPr="00880275">
        <w:t xml:space="preserve"> local government </w:t>
      </w:r>
      <w:r w:rsidRPr="00880275">
        <w:t>to understand and implement responsibilities under the Human Rights Act</w:t>
      </w:r>
    </w:p>
    <w:p w14:paraId="6F16C53B" w14:textId="4CF906B4" w:rsidR="58E06BF4" w:rsidRPr="00880275" w:rsidRDefault="58E06BF4" w:rsidP="00855013">
      <w:pPr>
        <w:pStyle w:val="Bulletedlist"/>
        <w:spacing w:before="120" w:after="120"/>
        <w:contextualSpacing w:val="0"/>
      </w:pPr>
      <w:r w:rsidRPr="00880275">
        <w:t>permanently establishing specialist human rights units and designating</w:t>
      </w:r>
      <w:r w:rsidR="7F1E9F89" w:rsidRPr="00880275">
        <w:t xml:space="preserve"> specialist</w:t>
      </w:r>
      <w:r w:rsidR="7872CCAE" w:rsidRPr="00880275">
        <w:t xml:space="preserve"> </w:t>
      </w:r>
      <w:r w:rsidRPr="00880275">
        <w:t>roles within government departments to</w:t>
      </w:r>
      <w:r w:rsidR="1E89F1CF" w:rsidRPr="00880275">
        <w:t xml:space="preserve"> promote leadership, expertise, and information-sharing on human rights issues</w:t>
      </w:r>
      <w:r w:rsidRPr="00880275">
        <w:t xml:space="preserve"> </w:t>
      </w:r>
    </w:p>
    <w:p w14:paraId="7D63DF08" w14:textId="0F271BFA" w:rsidR="00D50BD5" w:rsidRPr="00880275" w:rsidRDefault="00D50BD5" w:rsidP="00855013">
      <w:pPr>
        <w:pStyle w:val="Bulletedlist"/>
        <w:spacing w:before="120" w:after="120"/>
        <w:contextualSpacing w:val="0"/>
      </w:pPr>
      <w:r w:rsidRPr="00880275">
        <w:t>expanding the Commission’s functions to conduct investigations, inquiries and reviews beyond its existing function under section 61(c) of the Human Rights Act</w:t>
      </w:r>
      <w:r w:rsidR="00B93EAE" w:rsidRPr="00880275">
        <w:t>,</w:t>
      </w:r>
      <w:r w:rsidRPr="00880275">
        <w:t xml:space="preserve"> </w:t>
      </w:r>
      <w:r w:rsidR="00317330" w:rsidRPr="00880275">
        <w:t>and e</w:t>
      </w:r>
      <w:r w:rsidR="00215D97" w:rsidRPr="00880275">
        <w:t>nhancing</w:t>
      </w:r>
      <w:r w:rsidR="00317330" w:rsidRPr="00880275">
        <w:t xml:space="preserve"> its capacity</w:t>
      </w:r>
      <w:r w:rsidR="00682964" w:rsidRPr="00880275">
        <w:t xml:space="preserve"> (including adequate resources)</w:t>
      </w:r>
      <w:r w:rsidR="00317330" w:rsidRPr="00880275">
        <w:t xml:space="preserve"> to make</w:t>
      </w:r>
      <w:r w:rsidR="004752D1" w:rsidRPr="00880275">
        <w:t xml:space="preserve"> and monitor implementation of</w:t>
      </w:r>
      <w:r w:rsidR="00317330" w:rsidRPr="00880275">
        <w:t xml:space="preserve"> recommendations </w:t>
      </w:r>
      <w:r w:rsidR="00215D97" w:rsidRPr="00880275">
        <w:t>to public entities</w:t>
      </w:r>
    </w:p>
    <w:p w14:paraId="29E1676C" w14:textId="4A6F6A47" w:rsidR="00565E0E" w:rsidRPr="00880275" w:rsidRDefault="004909AF" w:rsidP="00855013">
      <w:pPr>
        <w:pStyle w:val="Bulletedlist"/>
        <w:spacing w:before="120" w:after="120"/>
        <w:contextualSpacing w:val="0"/>
      </w:pPr>
      <w:r w:rsidRPr="00880275">
        <w:t xml:space="preserve">investing in </w:t>
      </w:r>
      <w:r w:rsidR="00FA6B1D" w:rsidRPr="00880275">
        <w:t xml:space="preserve">the next phase of </w:t>
      </w:r>
      <w:r w:rsidR="003A3C91" w:rsidRPr="00880275">
        <w:t xml:space="preserve">human rights </w:t>
      </w:r>
      <w:r w:rsidR="00896BEA" w:rsidRPr="00880275">
        <w:t>awareness-raising</w:t>
      </w:r>
      <w:r w:rsidRPr="00880275">
        <w:t xml:space="preserve"> and training for the community, public entities, and the legal sector</w:t>
      </w:r>
      <w:r w:rsidR="003F6259" w:rsidRPr="00880275">
        <w:t xml:space="preserve"> with targeted resources and regular</w:t>
      </w:r>
      <w:r w:rsidR="00C11966" w:rsidRPr="00880275">
        <w:t>,</w:t>
      </w:r>
      <w:r w:rsidR="00B24AB5" w:rsidRPr="00880275">
        <w:t xml:space="preserve"> meaningful </w:t>
      </w:r>
      <w:r w:rsidR="003F6259" w:rsidRPr="00880275">
        <w:t>training.</w:t>
      </w:r>
    </w:p>
    <w:p w14:paraId="0DAEC407" w14:textId="3490C1B5" w:rsidR="00885C2C" w:rsidRPr="00880275" w:rsidRDefault="00656D4E" w:rsidP="00754FAE">
      <w:pPr>
        <w:pStyle w:val="Numberedparagraph"/>
      </w:pPr>
      <w:r w:rsidRPr="00880275">
        <w:t xml:space="preserve">The Commission </w:t>
      </w:r>
      <w:r w:rsidR="00EA1BB6" w:rsidRPr="00880275">
        <w:t>welcomes the Independent Review as an important step towards</w:t>
      </w:r>
      <w:r w:rsidR="0009185B" w:rsidRPr="00880275">
        <w:t xml:space="preserve"> recognising and</w:t>
      </w:r>
      <w:r w:rsidR="00EA1BB6" w:rsidRPr="00880275">
        <w:t xml:space="preserve"> </w:t>
      </w:r>
      <w:r w:rsidR="00B33CFF" w:rsidRPr="00880275">
        <w:t xml:space="preserve">consolidating the </w:t>
      </w:r>
      <w:r w:rsidR="0009185B" w:rsidRPr="00880275">
        <w:t xml:space="preserve">already significant achievements of the </w:t>
      </w:r>
      <w:proofErr w:type="gramStart"/>
      <w:r w:rsidR="0009185B" w:rsidRPr="00880275">
        <w:t>Act, and</w:t>
      </w:r>
      <w:proofErr w:type="gramEnd"/>
      <w:r w:rsidR="0009185B" w:rsidRPr="00880275">
        <w:t xml:space="preserve"> building upon </w:t>
      </w:r>
      <w:r w:rsidR="002C10C3" w:rsidRPr="00880275">
        <w:t>those succ</w:t>
      </w:r>
      <w:r w:rsidR="00EE00D8" w:rsidRPr="00880275">
        <w:t>esses.</w:t>
      </w:r>
      <w:r w:rsidR="00885C2C" w:rsidRPr="00880275">
        <w:br w:type="page"/>
      </w:r>
    </w:p>
    <w:p w14:paraId="0ED86F25" w14:textId="364845E9" w:rsidR="00845D2C" w:rsidRPr="00880275" w:rsidRDefault="00845D2C" w:rsidP="00845D2C">
      <w:pPr>
        <w:pStyle w:val="Heading1"/>
      </w:pPr>
      <w:bookmarkStart w:id="4" w:name="_Toc171346742"/>
      <w:r w:rsidRPr="00880275">
        <w:lastRenderedPageBreak/>
        <w:t>Introduction</w:t>
      </w:r>
      <w:bookmarkEnd w:id="4"/>
    </w:p>
    <w:p w14:paraId="37E94284" w14:textId="11289E45" w:rsidR="005E20E3" w:rsidRPr="00880275" w:rsidRDefault="00470609" w:rsidP="00754FAE">
      <w:pPr>
        <w:pStyle w:val="Numberedparagraph"/>
      </w:pPr>
      <w:r w:rsidRPr="00880275">
        <w:t xml:space="preserve">The </w:t>
      </w:r>
      <w:r w:rsidR="00F47234" w:rsidRPr="00880275">
        <w:t>Human Rights Act</w:t>
      </w:r>
      <w:r w:rsidR="00C97C78" w:rsidRPr="00880275">
        <w:t xml:space="preserve"> commenced in full on 1</w:t>
      </w:r>
      <w:r w:rsidR="00405636" w:rsidRPr="00880275">
        <w:t> </w:t>
      </w:r>
      <w:r w:rsidR="00C97C78" w:rsidRPr="00880275">
        <w:t>January 2020</w:t>
      </w:r>
      <w:r w:rsidR="007C1091" w:rsidRPr="00880275">
        <w:t xml:space="preserve"> following </w:t>
      </w:r>
      <w:r w:rsidR="00D50469" w:rsidRPr="00880275">
        <w:t xml:space="preserve">a </w:t>
      </w:r>
      <w:r w:rsidR="007C1091" w:rsidRPr="00880275">
        <w:t>sustained, grassroots campaign</w:t>
      </w:r>
      <w:r w:rsidR="00463781" w:rsidRPr="00880275">
        <w:t xml:space="preserve"> </w:t>
      </w:r>
      <w:r w:rsidR="007C1091" w:rsidRPr="00880275">
        <w:t>spanning 5 years.</w:t>
      </w:r>
    </w:p>
    <w:p w14:paraId="16B809B1" w14:textId="404EE7A8" w:rsidR="000D3DD1" w:rsidRPr="00880275" w:rsidRDefault="00E05D8E" w:rsidP="00754FAE">
      <w:pPr>
        <w:pStyle w:val="Numberedparagraph"/>
      </w:pPr>
      <w:r w:rsidRPr="00880275">
        <w:t xml:space="preserve">The Act </w:t>
      </w:r>
      <w:r w:rsidR="00DD683A" w:rsidRPr="00880275">
        <w:t>identifie</w:t>
      </w:r>
      <w:r w:rsidR="00793D44" w:rsidRPr="00880275">
        <w:t>s</w:t>
      </w:r>
      <w:r w:rsidR="00DD683A" w:rsidRPr="00880275">
        <w:t xml:space="preserve"> certain human rights for protection </w:t>
      </w:r>
      <w:r w:rsidRPr="00880275">
        <w:t>in Queensland through a dialog</w:t>
      </w:r>
      <w:r w:rsidR="00DD683A" w:rsidRPr="00880275">
        <w:t xml:space="preserve">ue model, </w:t>
      </w:r>
      <w:r w:rsidR="009F64C0" w:rsidRPr="00880275">
        <w:t xml:space="preserve">imposing obligations on each arm of government </w:t>
      </w:r>
      <w:r w:rsidR="0070006F" w:rsidRPr="00880275">
        <w:t xml:space="preserve">(Parliament, the </w:t>
      </w:r>
      <w:r w:rsidR="00E22FFA" w:rsidRPr="00880275">
        <w:t>judiciary</w:t>
      </w:r>
      <w:r w:rsidR="0070006F" w:rsidRPr="00880275">
        <w:t xml:space="preserve">, and executive government) </w:t>
      </w:r>
      <w:r w:rsidR="009F64C0" w:rsidRPr="00880275">
        <w:t xml:space="preserve">to protect and </w:t>
      </w:r>
      <w:r w:rsidR="00091DB9" w:rsidRPr="00880275">
        <w:t>promote</w:t>
      </w:r>
      <w:r w:rsidR="009F64C0" w:rsidRPr="00880275">
        <w:t xml:space="preserve"> human rights.</w:t>
      </w:r>
      <w:r w:rsidR="000D3DD1" w:rsidRPr="00880275">
        <w:t xml:space="preserve"> </w:t>
      </w:r>
      <w:r w:rsidR="00643524" w:rsidRPr="00880275">
        <w:t xml:space="preserve">However, </w:t>
      </w:r>
      <w:r w:rsidR="00D1227F" w:rsidRPr="00880275">
        <w:t xml:space="preserve">enforceability of </w:t>
      </w:r>
      <w:r w:rsidR="009A35CA" w:rsidRPr="00880275">
        <w:t xml:space="preserve">these </w:t>
      </w:r>
      <w:r w:rsidR="00074A9D" w:rsidRPr="00880275">
        <w:t>obligations is limited</w:t>
      </w:r>
      <w:r w:rsidR="00566614" w:rsidRPr="00880275">
        <w:t>, t</w:t>
      </w:r>
      <w:r w:rsidR="00643524" w:rsidRPr="00880275">
        <w:t xml:space="preserve">he model </w:t>
      </w:r>
      <w:r w:rsidR="006359AE" w:rsidRPr="00880275">
        <w:t>instead favour</w:t>
      </w:r>
      <w:r w:rsidR="00566614" w:rsidRPr="00880275">
        <w:t>ing</w:t>
      </w:r>
      <w:r w:rsidR="006359AE" w:rsidRPr="00880275">
        <w:t xml:space="preserve"> </w:t>
      </w:r>
      <w:r w:rsidR="009576AA" w:rsidRPr="00880275">
        <w:t>discussion, awareness</w:t>
      </w:r>
      <w:r w:rsidR="0094210F" w:rsidRPr="00880275">
        <w:t>-</w:t>
      </w:r>
      <w:r w:rsidR="009576AA" w:rsidRPr="00880275">
        <w:t>raising</w:t>
      </w:r>
      <w:r w:rsidR="0094210F" w:rsidRPr="00880275">
        <w:t>,</w:t>
      </w:r>
      <w:r w:rsidR="009576AA" w:rsidRPr="00880275">
        <w:t xml:space="preserve"> and education about human rights.</w:t>
      </w:r>
      <w:r w:rsidR="00643524" w:rsidRPr="00880275">
        <w:rPr>
          <w:rStyle w:val="FootnoteReference"/>
        </w:rPr>
        <w:footnoteReference w:id="2"/>
      </w:r>
      <w:r w:rsidR="009576AA" w:rsidRPr="00880275">
        <w:t xml:space="preserve"> </w:t>
      </w:r>
    </w:p>
    <w:p w14:paraId="7EF71D46" w14:textId="7909393A" w:rsidR="007F6C95" w:rsidRPr="00880275" w:rsidRDefault="008C6898" w:rsidP="00754FAE">
      <w:pPr>
        <w:pStyle w:val="Numberedparagraph"/>
      </w:pPr>
      <w:r w:rsidRPr="00880275">
        <w:t xml:space="preserve">Under section 95 of the Human Rights Act, the Act’s operation from 1 January 2020 to 1 July 2023 </w:t>
      </w:r>
      <w:r w:rsidR="00840BB0" w:rsidRPr="00880275">
        <w:t>must be independently reviewed</w:t>
      </w:r>
      <w:r w:rsidR="00FC753E" w:rsidRPr="00880275">
        <w:t>.</w:t>
      </w:r>
    </w:p>
    <w:p w14:paraId="2A763D4A" w14:textId="3BDF097D" w:rsidR="00840BB0" w:rsidRPr="00880275" w:rsidRDefault="00840BB0" w:rsidP="00754FAE">
      <w:pPr>
        <w:pStyle w:val="Numberedparagraph"/>
      </w:pPr>
      <w:r w:rsidRPr="00880275">
        <w:t xml:space="preserve">On 8 April 2024, </w:t>
      </w:r>
      <w:r w:rsidR="002502C0" w:rsidRPr="00880275">
        <w:t xml:space="preserve">Queensland’s Attorney-General published the terms of reference </w:t>
      </w:r>
      <w:r w:rsidR="00932F12" w:rsidRPr="00880275">
        <w:t xml:space="preserve">for the </w:t>
      </w:r>
      <w:proofErr w:type="gramStart"/>
      <w:r w:rsidR="00932F12" w:rsidRPr="00880275">
        <w:t>review</w:t>
      </w:r>
      <w:r w:rsidR="000E4E8D" w:rsidRPr="00880275">
        <w:t>,</w:t>
      </w:r>
      <w:r w:rsidR="00345C0A" w:rsidRPr="00880275">
        <w:t xml:space="preserve"> and</w:t>
      </w:r>
      <w:proofErr w:type="gramEnd"/>
      <w:r w:rsidR="00345C0A" w:rsidRPr="00880275">
        <w:t xml:space="preserve"> requested the reviewer to provide a report on the review by 20 September 2024</w:t>
      </w:r>
      <w:r w:rsidR="00A66BFD" w:rsidRPr="00880275">
        <w:t xml:space="preserve"> (</w:t>
      </w:r>
      <w:r w:rsidR="00A66BFD" w:rsidRPr="00880275">
        <w:rPr>
          <w:b/>
        </w:rPr>
        <w:t>the Review</w:t>
      </w:r>
      <w:r w:rsidR="00A66BFD" w:rsidRPr="00880275">
        <w:t>).</w:t>
      </w:r>
      <w:r w:rsidR="00AA2965" w:rsidRPr="00880275">
        <w:rPr>
          <w:vertAlign w:val="superscript"/>
        </w:rPr>
        <w:footnoteReference w:id="3"/>
      </w:r>
      <w:r w:rsidR="00DF104E" w:rsidRPr="00880275">
        <w:t xml:space="preserve"> </w:t>
      </w:r>
    </w:p>
    <w:p w14:paraId="77B8ECB5" w14:textId="32EB0B21" w:rsidR="00345C0A" w:rsidRPr="00880275" w:rsidRDefault="005E3978" w:rsidP="00754FAE">
      <w:pPr>
        <w:pStyle w:val="Numberedparagraph"/>
      </w:pPr>
      <w:r w:rsidRPr="00880275">
        <w:t xml:space="preserve">This submission is </w:t>
      </w:r>
      <w:r w:rsidR="00FC753E" w:rsidRPr="00880275">
        <w:t xml:space="preserve">in response to </w:t>
      </w:r>
      <w:r w:rsidR="00DC2B6B" w:rsidRPr="00880275">
        <w:t>a</w:t>
      </w:r>
      <w:r w:rsidR="008B67BD" w:rsidRPr="00880275">
        <w:t xml:space="preserve"> public</w:t>
      </w:r>
      <w:r w:rsidR="00DC2B6B" w:rsidRPr="00880275">
        <w:t xml:space="preserve"> </w:t>
      </w:r>
      <w:r w:rsidR="00FC753E" w:rsidRPr="00880275">
        <w:t xml:space="preserve">invitation </w:t>
      </w:r>
      <w:r w:rsidR="00DC2B6B" w:rsidRPr="00880275">
        <w:t xml:space="preserve">by the reviewer </w:t>
      </w:r>
      <w:r w:rsidR="00DF104E" w:rsidRPr="00880275">
        <w:t>to provide submissions to the Review</w:t>
      </w:r>
      <w:r w:rsidR="00DC2B6B" w:rsidRPr="00880275">
        <w:t>.</w:t>
      </w:r>
      <w:r w:rsidR="00DF104E" w:rsidRPr="00880275">
        <w:t xml:space="preserve"> </w:t>
      </w:r>
    </w:p>
    <w:p w14:paraId="19B96F27" w14:textId="523828C2" w:rsidR="000A68FD" w:rsidRPr="00880275" w:rsidRDefault="000A68FD" w:rsidP="000A68FD">
      <w:pPr>
        <w:pStyle w:val="Heading1"/>
      </w:pPr>
      <w:bookmarkStart w:id="5" w:name="_Toc171346743"/>
      <w:r w:rsidRPr="00880275">
        <w:t>About the Commission</w:t>
      </w:r>
      <w:bookmarkEnd w:id="2"/>
      <w:bookmarkEnd w:id="5"/>
    </w:p>
    <w:p w14:paraId="518A151D" w14:textId="70DDE3D4" w:rsidR="00D340A4" w:rsidRPr="00880275" w:rsidRDefault="002417B3" w:rsidP="00754FAE">
      <w:pPr>
        <w:pStyle w:val="Numberedparagraph"/>
      </w:pPr>
      <w:r w:rsidRPr="00880275">
        <w:t xml:space="preserve">The Anti-Discrimination Commission Queensland was established under the </w:t>
      </w:r>
      <w:r w:rsidRPr="00880275">
        <w:rPr>
          <w:i/>
        </w:rPr>
        <w:t>Anti-Discrimination Act 1991</w:t>
      </w:r>
      <w:r w:rsidRPr="00880275">
        <w:t xml:space="preserve"> with functions </w:t>
      </w:r>
      <w:r w:rsidR="00502860" w:rsidRPr="00880275">
        <w:t xml:space="preserve">including </w:t>
      </w:r>
      <w:r w:rsidR="002E2622" w:rsidRPr="00880275">
        <w:t xml:space="preserve">dealing </w:t>
      </w:r>
      <w:r w:rsidR="00502860" w:rsidRPr="00880275">
        <w:t xml:space="preserve">with complaints of discrimination and other contraventions of </w:t>
      </w:r>
      <w:r w:rsidR="009B740C" w:rsidRPr="00880275">
        <w:t>that Act, undertaking research and educational programs</w:t>
      </w:r>
      <w:r w:rsidR="0059604D" w:rsidRPr="00880275">
        <w:t>, and consult</w:t>
      </w:r>
      <w:r w:rsidR="002E2622" w:rsidRPr="00880275">
        <w:t>ing</w:t>
      </w:r>
      <w:r w:rsidR="0059604D" w:rsidRPr="00880275">
        <w:t xml:space="preserve"> with organisations to</w:t>
      </w:r>
      <w:r w:rsidR="00985AF0" w:rsidRPr="00880275">
        <w:t xml:space="preserve"> help </w:t>
      </w:r>
      <w:r w:rsidR="002E2622" w:rsidRPr="00880275">
        <w:t xml:space="preserve">improve </w:t>
      </w:r>
      <w:r w:rsidR="0059604D" w:rsidRPr="00880275">
        <w:t>services and conditions</w:t>
      </w:r>
      <w:r w:rsidR="00985AF0" w:rsidRPr="00880275">
        <w:t xml:space="preserve"> </w:t>
      </w:r>
      <w:r w:rsidR="007D085B" w:rsidRPr="00880275">
        <w:t xml:space="preserve">for </w:t>
      </w:r>
      <w:r w:rsidR="00985AF0" w:rsidRPr="00880275">
        <w:t xml:space="preserve">groups </w:t>
      </w:r>
      <w:r w:rsidR="007D085B" w:rsidRPr="00880275">
        <w:t xml:space="preserve">affected by </w:t>
      </w:r>
      <w:r w:rsidR="00985AF0" w:rsidRPr="00880275">
        <w:t>discrimination</w:t>
      </w:r>
      <w:r w:rsidR="0059604D" w:rsidRPr="00880275">
        <w:t>.</w:t>
      </w:r>
    </w:p>
    <w:p w14:paraId="5F106111" w14:textId="5AD1EBAD" w:rsidR="007D085B" w:rsidRPr="00880275" w:rsidRDefault="007D085B" w:rsidP="00754FAE">
      <w:pPr>
        <w:pStyle w:val="Numberedparagraph"/>
      </w:pPr>
      <w:r w:rsidRPr="00880275">
        <w:t xml:space="preserve">From 1 July 2019, the Anti-Discrimination Commission Queensland became the Queensland Human Rights Commission, taking on </w:t>
      </w:r>
      <w:r w:rsidR="00003A38" w:rsidRPr="00880275">
        <w:t>additional</w:t>
      </w:r>
      <w:r w:rsidRPr="00880275">
        <w:t xml:space="preserve"> functions and responsibilities</w:t>
      </w:r>
      <w:r w:rsidR="004D38F2" w:rsidRPr="00880275">
        <w:t xml:space="preserve"> such as </w:t>
      </w:r>
      <w:r w:rsidR="00EE21AE" w:rsidRPr="00880275">
        <w:t>promoting an understanding</w:t>
      </w:r>
      <w:r w:rsidR="00CB1448" w:rsidRPr="00880275">
        <w:t>,</w:t>
      </w:r>
      <w:r w:rsidR="00EE21AE" w:rsidRPr="00880275">
        <w:t xml:space="preserve"> acceptance, and the public discussion of human rights and the Act in Queensland</w:t>
      </w:r>
      <w:r w:rsidRPr="00880275">
        <w:t xml:space="preserve">. </w:t>
      </w:r>
      <w:r w:rsidR="00B67C7C" w:rsidRPr="00880275">
        <w:t xml:space="preserve"> The Commission began d</w:t>
      </w:r>
      <w:r w:rsidRPr="00880275">
        <w:t xml:space="preserve">ealing with human rights complaints </w:t>
      </w:r>
      <w:r w:rsidR="00B67C7C" w:rsidRPr="00880275">
        <w:t xml:space="preserve">made </w:t>
      </w:r>
      <w:r w:rsidRPr="00880275">
        <w:t xml:space="preserve">under the </w:t>
      </w:r>
      <w:r w:rsidR="008F415D" w:rsidRPr="00880275">
        <w:t xml:space="preserve">Human Rights </w:t>
      </w:r>
      <w:r w:rsidRPr="00880275">
        <w:t>Act on 1</w:t>
      </w:r>
      <w:r w:rsidR="00C81421" w:rsidRPr="00880275">
        <w:t> </w:t>
      </w:r>
      <w:r w:rsidRPr="00880275">
        <w:t>January 2020</w:t>
      </w:r>
      <w:r w:rsidR="008F415D" w:rsidRPr="00880275">
        <w:t>.</w:t>
      </w:r>
    </w:p>
    <w:p w14:paraId="2887F535" w14:textId="77777777" w:rsidR="001C3212" w:rsidRPr="00880275" w:rsidRDefault="001C3212">
      <w:pPr>
        <w:spacing w:after="0"/>
        <w:rPr>
          <w:rFonts w:eastAsiaTheme="majorEastAsia" w:cstheme="majorBidi"/>
          <w:color w:val="004270"/>
          <w:sz w:val="48"/>
          <w:szCs w:val="32"/>
          <w:lang w:val="en-US"/>
        </w:rPr>
      </w:pPr>
      <w:r w:rsidRPr="00880275">
        <w:rPr>
          <w:lang w:val="en-US"/>
        </w:rPr>
        <w:br w:type="page"/>
      </w:r>
    </w:p>
    <w:p w14:paraId="25B3C5AE" w14:textId="28964954" w:rsidR="008810D9" w:rsidRPr="00880275" w:rsidRDefault="008F2E29" w:rsidP="005E20E3">
      <w:pPr>
        <w:pStyle w:val="Heading1"/>
      </w:pPr>
      <w:bookmarkStart w:id="6" w:name="_Toc171346744"/>
      <w:r w:rsidRPr="00880275">
        <w:rPr>
          <w:lang w:val="en-US"/>
        </w:rPr>
        <w:lastRenderedPageBreak/>
        <w:t>Recommendations</w:t>
      </w:r>
      <w:bookmarkEnd w:id="6"/>
      <w:r w:rsidRPr="00880275">
        <w:rPr>
          <w:lang w:val="en-US"/>
        </w:rPr>
        <w:t xml:space="preserve"> </w:t>
      </w:r>
    </w:p>
    <w:p w14:paraId="30EB7F98" w14:textId="66815A2A" w:rsidR="00200800" w:rsidRPr="00880275" w:rsidRDefault="005E20E3" w:rsidP="00754FAE">
      <w:pPr>
        <w:pStyle w:val="Numberedparagraph"/>
      </w:pPr>
      <w:r w:rsidRPr="00880275">
        <w:t xml:space="preserve">The structure of this submission </w:t>
      </w:r>
      <w:r w:rsidR="008F2E29" w:rsidRPr="00880275">
        <w:t xml:space="preserve">and recommendations </w:t>
      </w:r>
      <w:r w:rsidRPr="00880275">
        <w:t xml:space="preserve">follows the </w:t>
      </w:r>
      <w:r w:rsidR="003A3FB7" w:rsidRPr="00880275">
        <w:t>T</w:t>
      </w:r>
      <w:r w:rsidRPr="00880275">
        <w:t xml:space="preserve">erms of </w:t>
      </w:r>
      <w:r w:rsidR="003A3FB7" w:rsidRPr="00880275">
        <w:t>R</w:t>
      </w:r>
      <w:r w:rsidRPr="00880275">
        <w:t>eference</w:t>
      </w:r>
      <w:r w:rsidR="006A052A" w:rsidRPr="00880275">
        <w:t xml:space="preserve"> for the Review.</w:t>
      </w:r>
      <w:r w:rsidR="001C3212" w:rsidRPr="00880275">
        <w:t xml:space="preserve"> </w:t>
      </w:r>
      <w:r w:rsidR="008F2E29" w:rsidRPr="00880275">
        <w:t>T</w:t>
      </w:r>
      <w:r w:rsidR="00200800" w:rsidRPr="00880275">
        <w:t xml:space="preserve">he Commission’s recommendations </w:t>
      </w:r>
      <w:r w:rsidR="008F2E29" w:rsidRPr="00880275">
        <w:t>to the Review</w:t>
      </w:r>
      <w:r w:rsidR="00200800" w:rsidRPr="00880275">
        <w:t xml:space="preserve"> are </w:t>
      </w:r>
      <w:r w:rsidR="00C86C0A" w:rsidRPr="00880275">
        <w:t>as follows.</w:t>
      </w:r>
    </w:p>
    <w:tbl>
      <w:tblPr>
        <w:tblStyle w:val="TableGrid"/>
        <w:tblW w:w="85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
        <w:gridCol w:w="8221"/>
      </w:tblGrid>
      <w:tr w:rsidR="00732D89" w:rsidRPr="00880275" w14:paraId="6CE23104" w14:textId="77777777" w:rsidTr="00B9708F">
        <w:trPr>
          <w:gridBefore w:val="1"/>
          <w:wBefore w:w="289" w:type="dxa"/>
        </w:trPr>
        <w:tc>
          <w:tcPr>
            <w:tcW w:w="8221" w:type="dxa"/>
          </w:tcPr>
          <w:p w14:paraId="2CD4703A" w14:textId="77777777" w:rsidR="00732D89" w:rsidRPr="00880275" w:rsidRDefault="00732D89" w:rsidP="00C86C0A">
            <w:pPr>
              <w:pStyle w:val="Recommendationheading"/>
            </w:pPr>
            <w:r w:rsidRPr="00880275">
              <w:t xml:space="preserve">Measuring human rights culture </w:t>
            </w:r>
          </w:p>
        </w:tc>
      </w:tr>
      <w:tr w:rsidR="00836DD0" w:rsidRPr="00880275" w14:paraId="33517B49" w14:textId="77777777" w:rsidTr="00B9708F">
        <w:trPr>
          <w:gridBefore w:val="1"/>
          <w:wBefore w:w="289" w:type="dxa"/>
        </w:trPr>
        <w:tc>
          <w:tcPr>
            <w:tcW w:w="8221" w:type="dxa"/>
          </w:tcPr>
          <w:p w14:paraId="72F76FA4" w14:textId="628CBEA6" w:rsidR="00836DD0" w:rsidRPr="00880275" w:rsidRDefault="00836DD0">
            <w:pPr>
              <w:rPr>
                <w:lang w:val="en-GB"/>
              </w:rPr>
            </w:pPr>
            <w:r w:rsidRPr="00880275">
              <w:rPr>
                <w:b/>
                <w:bCs/>
              </w:rPr>
              <w:t>Recommendation 1.1</w:t>
            </w:r>
          </w:p>
          <w:p w14:paraId="7D7B3965" w14:textId="50BD16E8" w:rsidR="00836DD0" w:rsidRPr="00880275" w:rsidRDefault="00836DD0">
            <w:pPr>
              <w:rPr>
                <w:lang w:val="en-GB"/>
              </w:rPr>
            </w:pPr>
            <w:r w:rsidRPr="00880275">
              <w:rPr>
                <w:lang w:val="en-GB"/>
              </w:rPr>
              <w:t>State government departments, with co-ordination and support from the Human Rights Unit of the Department of Justice and Attorney</w:t>
            </w:r>
            <w:r w:rsidR="00F20431" w:rsidRPr="00880275">
              <w:rPr>
                <w:lang w:val="en-GB"/>
              </w:rPr>
              <w:t>-</w:t>
            </w:r>
            <w:r w:rsidRPr="00880275">
              <w:rPr>
                <w:lang w:val="en-GB"/>
              </w:rPr>
              <w:t>General, should:</w:t>
            </w:r>
          </w:p>
          <w:p w14:paraId="7B55CF20" w14:textId="77777777" w:rsidR="00836DD0" w:rsidRPr="00880275" w:rsidRDefault="00836DD0" w:rsidP="008A311A">
            <w:pPr>
              <w:pStyle w:val="ListParagraph"/>
              <w:numPr>
                <w:ilvl w:val="0"/>
                <w:numId w:val="21"/>
              </w:numPr>
              <w:spacing w:before="120"/>
              <w:rPr>
                <w:lang w:val="en-GB"/>
              </w:rPr>
            </w:pPr>
            <w:r w:rsidRPr="00880275">
              <w:rPr>
                <w:lang w:val="en-GB"/>
              </w:rPr>
              <w:t xml:space="preserve">analyse </w:t>
            </w:r>
            <w:r w:rsidRPr="00880275">
              <w:rPr>
                <w:i/>
                <w:iCs/>
                <w:lang w:val="en-GB"/>
              </w:rPr>
              <w:t>Working for Queensland</w:t>
            </w:r>
            <w:r w:rsidRPr="00880275">
              <w:rPr>
                <w:lang w:val="en-GB"/>
              </w:rPr>
              <w:t xml:space="preserve"> survey responses to ‘I understand how the Human Rights Act 2019 applies to my work’ within the department and across employee levels </w:t>
            </w:r>
          </w:p>
          <w:p w14:paraId="25F7ED25" w14:textId="77777777" w:rsidR="00836DD0" w:rsidRPr="00880275" w:rsidRDefault="00836DD0" w:rsidP="008A311A">
            <w:pPr>
              <w:pStyle w:val="ListParagraph"/>
              <w:numPr>
                <w:ilvl w:val="0"/>
                <w:numId w:val="21"/>
              </w:numPr>
              <w:spacing w:before="120"/>
              <w:rPr>
                <w:lang w:val="en-GB"/>
              </w:rPr>
            </w:pPr>
            <w:r w:rsidRPr="00880275">
              <w:rPr>
                <w:lang w:val="en-GB"/>
              </w:rPr>
              <w:t>take concrete steps to address neutral and negative responses across the department.</w:t>
            </w:r>
          </w:p>
        </w:tc>
      </w:tr>
      <w:tr w:rsidR="00836DD0" w:rsidRPr="00880275" w14:paraId="72D86AE5" w14:textId="77777777" w:rsidTr="00B9708F">
        <w:trPr>
          <w:gridBefore w:val="1"/>
          <w:wBefore w:w="289" w:type="dxa"/>
        </w:trPr>
        <w:tc>
          <w:tcPr>
            <w:tcW w:w="8221" w:type="dxa"/>
          </w:tcPr>
          <w:p w14:paraId="05E20B4A" w14:textId="0EC0C49D" w:rsidR="00836DD0" w:rsidRPr="00880275" w:rsidRDefault="00836DD0">
            <w:pPr>
              <w:rPr>
                <w:b/>
                <w:bCs/>
                <w:lang w:val="en-GB"/>
              </w:rPr>
            </w:pPr>
            <w:r w:rsidRPr="00880275">
              <w:rPr>
                <w:b/>
                <w:bCs/>
                <w:lang w:val="en-GB"/>
              </w:rPr>
              <w:t>Recommendation 1.2</w:t>
            </w:r>
          </w:p>
          <w:p w14:paraId="2FC34FC8" w14:textId="4B548E40" w:rsidR="00836DD0" w:rsidRPr="00880275" w:rsidRDefault="00836DD0">
            <w:pPr>
              <w:rPr>
                <w:lang w:val="en-GB"/>
              </w:rPr>
            </w:pPr>
            <w:r w:rsidRPr="00880275">
              <w:rPr>
                <w:lang w:val="en-GB"/>
              </w:rPr>
              <w:t>The State government and relevant State government departments should provide further support to local government entities for Human Rights Act implementation activities, informed by consultation with local government.</w:t>
            </w:r>
          </w:p>
        </w:tc>
      </w:tr>
      <w:tr w:rsidR="00732D89" w:rsidRPr="00880275" w14:paraId="0580497B" w14:textId="77777777" w:rsidTr="00B9708F">
        <w:trPr>
          <w:gridBefore w:val="1"/>
          <w:wBefore w:w="289" w:type="dxa"/>
        </w:trPr>
        <w:tc>
          <w:tcPr>
            <w:tcW w:w="8221" w:type="dxa"/>
          </w:tcPr>
          <w:p w14:paraId="7389B8B7" w14:textId="77777777" w:rsidR="00732D89" w:rsidRPr="00880275" w:rsidRDefault="00732D89" w:rsidP="00C86C0A">
            <w:pPr>
              <w:pStyle w:val="Recommendationheading"/>
            </w:pPr>
            <w:r w:rsidRPr="00880275">
              <w:t>Enhancing Commission functions</w:t>
            </w:r>
          </w:p>
        </w:tc>
      </w:tr>
      <w:tr w:rsidR="00836DD0" w:rsidRPr="00880275" w14:paraId="1DA93A21" w14:textId="77777777" w:rsidTr="00B9708F">
        <w:trPr>
          <w:gridBefore w:val="1"/>
          <w:wBefore w:w="289" w:type="dxa"/>
        </w:trPr>
        <w:tc>
          <w:tcPr>
            <w:tcW w:w="8221" w:type="dxa"/>
          </w:tcPr>
          <w:p w14:paraId="35D152EA" w14:textId="33A13779" w:rsidR="00836DD0" w:rsidRPr="00880275" w:rsidRDefault="00836DD0">
            <w:pPr>
              <w:rPr>
                <w:b/>
                <w:bCs/>
                <w:lang w:val="en-GB"/>
              </w:rPr>
            </w:pPr>
            <w:r w:rsidRPr="00880275">
              <w:rPr>
                <w:b/>
                <w:bCs/>
                <w:lang w:val="en-GB"/>
              </w:rPr>
              <w:t>Recommendation 1.3</w:t>
            </w:r>
          </w:p>
          <w:p w14:paraId="156E0627" w14:textId="1EE0EC2E" w:rsidR="00836DD0" w:rsidRPr="00880275" w:rsidRDefault="00836DD0">
            <w:pPr>
              <w:rPr>
                <w:lang w:val="en-GB"/>
              </w:rPr>
            </w:pPr>
            <w:r w:rsidRPr="00880275">
              <w:rPr>
                <w:lang w:val="en-GB"/>
              </w:rPr>
              <w:t xml:space="preserve">The Human Rights Act should be amended to: </w:t>
            </w:r>
          </w:p>
          <w:p w14:paraId="38EEC1E3" w14:textId="77777777" w:rsidR="00836DD0" w:rsidRPr="00880275" w:rsidRDefault="00836DD0" w:rsidP="008A311A">
            <w:pPr>
              <w:pStyle w:val="ListParagraph"/>
              <w:numPr>
                <w:ilvl w:val="0"/>
                <w:numId w:val="22"/>
              </w:numPr>
              <w:spacing w:before="120"/>
              <w:rPr>
                <w:lang w:val="en-GB"/>
              </w:rPr>
            </w:pPr>
            <w:r w:rsidRPr="00880275">
              <w:rPr>
                <w:lang w:val="en-GB"/>
              </w:rPr>
              <w:t xml:space="preserve">give the Commission expanded functions to conduct investigations, inquiries and reviews </w:t>
            </w:r>
            <w:r w:rsidRPr="00880275">
              <w:t xml:space="preserve">beyond its existing function under section 61(c) of the Human Rights Act </w:t>
            </w:r>
          </w:p>
          <w:p w14:paraId="3A90F263" w14:textId="77777777" w:rsidR="00836DD0" w:rsidRPr="00880275" w:rsidRDefault="00836DD0" w:rsidP="008A311A">
            <w:pPr>
              <w:pStyle w:val="ListParagraph"/>
              <w:numPr>
                <w:ilvl w:val="0"/>
                <w:numId w:val="22"/>
              </w:numPr>
              <w:spacing w:before="120"/>
              <w:rPr>
                <w:lang w:val="en-GB"/>
              </w:rPr>
            </w:pPr>
            <w:r w:rsidRPr="00880275">
              <w:t xml:space="preserve">at a minimum enable the Commission to both review </w:t>
            </w:r>
            <w:r w:rsidRPr="00880275">
              <w:rPr>
                <w:i/>
                <w:iCs/>
              </w:rPr>
              <w:t>and monitor</w:t>
            </w:r>
            <w:r w:rsidRPr="00880275">
              <w:t xml:space="preserve"> public entity policies, programs, procedures practice and services</w:t>
            </w:r>
          </w:p>
          <w:p w14:paraId="65AFA065" w14:textId="0BD7EE12" w:rsidR="00836DD0" w:rsidRPr="00880275" w:rsidRDefault="00836DD0" w:rsidP="008A311A">
            <w:pPr>
              <w:pStyle w:val="ListParagraph"/>
              <w:numPr>
                <w:ilvl w:val="0"/>
                <w:numId w:val="22"/>
              </w:numPr>
              <w:spacing w:before="120"/>
            </w:pPr>
            <w:r w:rsidRPr="00880275">
              <w:t xml:space="preserve">empower the Commission to seek information for the purpose of deciding whether to </w:t>
            </w:r>
            <w:r w:rsidR="003A3C71" w:rsidRPr="00880275">
              <w:t>commence</w:t>
            </w:r>
            <w:r w:rsidRPr="00880275">
              <w:t xml:space="preserve"> a review under section 61(c) of the Act, and to enable the Commission to monitor and evaluate the implementation of recommendations made in a review under section 61(c) of the Act. </w:t>
            </w:r>
          </w:p>
        </w:tc>
      </w:tr>
      <w:tr w:rsidR="00836DD0" w:rsidRPr="00880275" w14:paraId="283FAA29" w14:textId="77777777" w:rsidTr="00B9708F">
        <w:trPr>
          <w:gridBefore w:val="1"/>
          <w:wBefore w:w="289" w:type="dxa"/>
        </w:trPr>
        <w:tc>
          <w:tcPr>
            <w:tcW w:w="8221" w:type="dxa"/>
          </w:tcPr>
          <w:p w14:paraId="25D54DAE" w14:textId="0D3D3C06" w:rsidR="00836DD0" w:rsidRPr="00880275" w:rsidRDefault="00836DD0">
            <w:pPr>
              <w:rPr>
                <w:b/>
                <w:bCs/>
              </w:rPr>
            </w:pPr>
            <w:r w:rsidRPr="00880275">
              <w:rPr>
                <w:b/>
                <w:bCs/>
              </w:rPr>
              <w:t>Recommendation 1.4</w:t>
            </w:r>
          </w:p>
          <w:p w14:paraId="11C9BE78" w14:textId="4AD9EFE7" w:rsidR="00836DD0" w:rsidRPr="00880275" w:rsidRDefault="00836DD0">
            <w:pPr>
              <w:rPr>
                <w:lang w:val="en-GB"/>
              </w:rPr>
            </w:pPr>
            <w:r w:rsidRPr="00880275">
              <w:t xml:space="preserve">Section 91(2) of the Human Rights Act prescribing information to be included in the annual report on the operation of the Human Rights Act should be amended so that: </w:t>
            </w:r>
          </w:p>
          <w:p w14:paraId="039CCA5B" w14:textId="77777777" w:rsidR="00836DD0" w:rsidRPr="00880275" w:rsidRDefault="00836DD0" w:rsidP="008A311A">
            <w:pPr>
              <w:pStyle w:val="ListParagraph"/>
              <w:numPr>
                <w:ilvl w:val="0"/>
                <w:numId w:val="23"/>
              </w:numPr>
              <w:spacing w:before="120"/>
            </w:pPr>
            <w:r w:rsidRPr="00880275">
              <w:t xml:space="preserve">sub-section 91(2)(e) requires reporting on the number of human rights complaints </w:t>
            </w:r>
            <w:r w:rsidRPr="00880275">
              <w:rPr>
                <w:i/>
                <w:iCs/>
              </w:rPr>
              <w:t>finalised</w:t>
            </w:r>
            <w:r w:rsidRPr="00880275">
              <w:t xml:space="preserve"> by the commissioner in the reporting </w:t>
            </w:r>
            <w:proofErr w:type="gramStart"/>
            <w:r w:rsidRPr="00880275">
              <w:t>period;</w:t>
            </w:r>
            <w:proofErr w:type="gramEnd"/>
          </w:p>
          <w:p w14:paraId="310BAEDA" w14:textId="77777777" w:rsidR="00836DD0" w:rsidRPr="00880275" w:rsidRDefault="00836DD0" w:rsidP="008A311A">
            <w:pPr>
              <w:pStyle w:val="ListParagraph"/>
              <w:numPr>
                <w:ilvl w:val="0"/>
                <w:numId w:val="23"/>
              </w:numPr>
              <w:spacing w:before="120"/>
            </w:pPr>
            <w:r w:rsidRPr="00880275">
              <w:t>sub-sections 91(2)(h), (i) and (j) are repealed.</w:t>
            </w:r>
          </w:p>
        </w:tc>
      </w:tr>
      <w:tr w:rsidR="00836DD0" w:rsidRPr="00880275" w14:paraId="6A0A343A" w14:textId="77777777" w:rsidTr="00B9708F">
        <w:trPr>
          <w:gridBefore w:val="1"/>
          <w:wBefore w:w="289" w:type="dxa"/>
        </w:trPr>
        <w:tc>
          <w:tcPr>
            <w:tcW w:w="8221" w:type="dxa"/>
          </w:tcPr>
          <w:p w14:paraId="559F2800" w14:textId="614AC97F" w:rsidR="00836DD0" w:rsidRPr="00880275" w:rsidRDefault="00836DD0">
            <w:pPr>
              <w:rPr>
                <w:b/>
                <w:bCs/>
              </w:rPr>
            </w:pPr>
            <w:r w:rsidRPr="00880275">
              <w:rPr>
                <w:b/>
                <w:bCs/>
              </w:rPr>
              <w:t>Recommendation 1.5</w:t>
            </w:r>
          </w:p>
          <w:p w14:paraId="12A1F394" w14:textId="01347CAA" w:rsidR="00836DD0" w:rsidRPr="00880275" w:rsidRDefault="00836DD0">
            <w:r w:rsidRPr="00880275">
              <w:t xml:space="preserve">The State government should provide the Commission with sufficient resources to improve its capacity to make timely reports on unresolved human rights complaints that include recommendations to public entities under section 88(4) of the Act.  </w:t>
            </w:r>
          </w:p>
        </w:tc>
      </w:tr>
      <w:tr w:rsidR="00836DD0" w:rsidRPr="00880275" w14:paraId="565E8F82" w14:textId="77777777" w:rsidTr="00BF5B49">
        <w:tc>
          <w:tcPr>
            <w:tcW w:w="8510" w:type="dxa"/>
            <w:gridSpan w:val="2"/>
          </w:tcPr>
          <w:p w14:paraId="45439439" w14:textId="7660FA63" w:rsidR="00836DD0" w:rsidRPr="00880275" w:rsidRDefault="00836DD0">
            <w:pPr>
              <w:rPr>
                <w:b/>
                <w:bCs/>
              </w:rPr>
            </w:pPr>
            <w:r w:rsidRPr="00880275">
              <w:rPr>
                <w:b/>
                <w:bCs/>
              </w:rPr>
              <w:lastRenderedPageBreak/>
              <w:t>Recommendation 1.6</w:t>
            </w:r>
          </w:p>
          <w:p w14:paraId="3FC81A0F" w14:textId="4ECA606D" w:rsidR="00836DD0" w:rsidRPr="00880275" w:rsidRDefault="00836DD0">
            <w:r w:rsidRPr="00880275">
              <w:t xml:space="preserve">The </w:t>
            </w:r>
            <w:r w:rsidR="006B6D0C" w:rsidRPr="00880275">
              <w:t xml:space="preserve">Human Rights </w:t>
            </w:r>
            <w:r w:rsidRPr="00880275">
              <w:t>Act should be amended to:</w:t>
            </w:r>
          </w:p>
          <w:p w14:paraId="7A9C9540" w14:textId="77777777" w:rsidR="00836DD0" w:rsidRPr="00880275" w:rsidRDefault="00836DD0" w:rsidP="008A311A">
            <w:pPr>
              <w:pStyle w:val="ListParagraph"/>
              <w:numPr>
                <w:ilvl w:val="0"/>
                <w:numId w:val="24"/>
              </w:numPr>
              <w:spacing w:before="120"/>
            </w:pPr>
            <w:r w:rsidRPr="00880275">
              <w:t xml:space="preserve">require a public entity that is the subject of recommendations made under section 88(4) to publish a response to the recommendations </w:t>
            </w:r>
          </w:p>
          <w:p w14:paraId="6416B65A" w14:textId="77777777" w:rsidR="00836DD0" w:rsidRPr="00880275" w:rsidRDefault="00836DD0" w:rsidP="008A311A">
            <w:pPr>
              <w:pStyle w:val="ListParagraph"/>
              <w:numPr>
                <w:ilvl w:val="0"/>
                <w:numId w:val="24"/>
              </w:numPr>
              <w:spacing w:before="120"/>
            </w:pPr>
            <w:r w:rsidRPr="00880275">
              <w:t>expand the Commission’s functions to include monitoring implementation of recommendations made to public entities under section 88(4).</w:t>
            </w:r>
          </w:p>
        </w:tc>
      </w:tr>
      <w:tr w:rsidR="00732D89" w:rsidRPr="00880275" w14:paraId="14431A15" w14:textId="77777777" w:rsidTr="00BF5B49">
        <w:tc>
          <w:tcPr>
            <w:tcW w:w="8510" w:type="dxa"/>
            <w:gridSpan w:val="2"/>
          </w:tcPr>
          <w:p w14:paraId="04B44EE3" w14:textId="77777777" w:rsidR="00732D89" w:rsidRPr="00880275" w:rsidRDefault="00732D89" w:rsidP="00C86C0A">
            <w:pPr>
              <w:pStyle w:val="Recommendationheading"/>
            </w:pPr>
            <w:r w:rsidRPr="00880275">
              <w:t>Strengthening factors that grow human rights culture</w:t>
            </w:r>
          </w:p>
        </w:tc>
      </w:tr>
      <w:tr w:rsidR="00836DD0" w:rsidRPr="00880275" w14:paraId="525BDDBF" w14:textId="77777777" w:rsidTr="00BF5B49">
        <w:tc>
          <w:tcPr>
            <w:tcW w:w="8510" w:type="dxa"/>
            <w:gridSpan w:val="2"/>
          </w:tcPr>
          <w:p w14:paraId="47BE2245" w14:textId="4DB0C001" w:rsidR="00836DD0" w:rsidRPr="00880275" w:rsidRDefault="00836DD0">
            <w:pPr>
              <w:rPr>
                <w:b/>
                <w:bCs/>
              </w:rPr>
            </w:pPr>
            <w:r w:rsidRPr="00880275">
              <w:rPr>
                <w:b/>
                <w:bCs/>
              </w:rPr>
              <w:t>Recommendation 1.7</w:t>
            </w:r>
          </w:p>
          <w:p w14:paraId="24236E63" w14:textId="2C0144EE" w:rsidR="00836DD0" w:rsidRPr="00880275" w:rsidRDefault="00836DD0">
            <w:r w:rsidRPr="00880275">
              <w:t>Leadership, expertise and resources on human rights for the public sector should be strengthened by:</w:t>
            </w:r>
          </w:p>
          <w:p w14:paraId="7E4E8A3A" w14:textId="742FE6CF" w:rsidR="00836DD0" w:rsidRPr="00880275" w:rsidRDefault="00836DD0" w:rsidP="008A311A">
            <w:pPr>
              <w:pStyle w:val="ListParagraph"/>
              <w:numPr>
                <w:ilvl w:val="0"/>
                <w:numId w:val="25"/>
              </w:numPr>
              <w:spacing w:before="120"/>
            </w:pPr>
            <w:r w:rsidRPr="00880275">
              <w:t>establishing the Human Rights Unit as a permanent unit within the Department of Justice and Attorney</w:t>
            </w:r>
            <w:r w:rsidR="00F20431" w:rsidRPr="00880275">
              <w:t>-</w:t>
            </w:r>
            <w:r w:rsidRPr="00880275">
              <w:t>General</w:t>
            </w:r>
          </w:p>
          <w:p w14:paraId="2619D11A" w14:textId="77777777" w:rsidR="00836DD0" w:rsidRPr="00880275" w:rsidRDefault="00836DD0" w:rsidP="008A311A">
            <w:pPr>
              <w:pStyle w:val="ListParagraph"/>
              <w:numPr>
                <w:ilvl w:val="0"/>
                <w:numId w:val="25"/>
              </w:numPr>
              <w:spacing w:before="120"/>
            </w:pPr>
            <w:r w:rsidRPr="00880275">
              <w:t>designating key human rights roles and units within other public entities</w:t>
            </w:r>
          </w:p>
          <w:p w14:paraId="47779A00" w14:textId="77777777" w:rsidR="00836DD0" w:rsidRPr="00880275" w:rsidRDefault="00836DD0" w:rsidP="008A311A">
            <w:pPr>
              <w:pStyle w:val="ListParagraph"/>
              <w:numPr>
                <w:ilvl w:val="0"/>
                <w:numId w:val="25"/>
              </w:numPr>
              <w:spacing w:before="120"/>
            </w:pPr>
            <w:r w:rsidRPr="00880275">
              <w:t>establishing cross-governmental and cross-sector communities of practice that meet regularly to foster collaboration and share learnings to develop culture across the Queensland public sector.</w:t>
            </w:r>
          </w:p>
        </w:tc>
      </w:tr>
      <w:tr w:rsidR="00836DD0" w:rsidRPr="00880275" w14:paraId="53AC0F42" w14:textId="77777777" w:rsidTr="00BF5B49">
        <w:tc>
          <w:tcPr>
            <w:tcW w:w="8510" w:type="dxa"/>
            <w:gridSpan w:val="2"/>
          </w:tcPr>
          <w:p w14:paraId="188E3100" w14:textId="737D2CC1" w:rsidR="00836DD0" w:rsidRPr="00880275" w:rsidRDefault="00836DD0">
            <w:pPr>
              <w:rPr>
                <w:b/>
                <w:bCs/>
              </w:rPr>
            </w:pPr>
            <w:r w:rsidRPr="00880275">
              <w:rPr>
                <w:b/>
                <w:bCs/>
              </w:rPr>
              <w:t>Recommendation 1.8</w:t>
            </w:r>
          </w:p>
          <w:p w14:paraId="018B2F8E" w14:textId="347825BD" w:rsidR="00836DD0" w:rsidRPr="00880275" w:rsidRDefault="00836DD0">
            <w:r w:rsidRPr="00880275">
              <w:t>All public entities (assisted by the Human Rights Unit of the Department of Justice and Attorney</w:t>
            </w:r>
            <w:r w:rsidR="00F20431" w:rsidRPr="00880275">
              <w:t>-</w:t>
            </w:r>
            <w:r w:rsidRPr="00880275">
              <w:t xml:space="preserve">General and the Commission) should support staff at all levels to understand the value of applying human rights to their work, beyond merely a requirement of law.  </w:t>
            </w:r>
          </w:p>
        </w:tc>
      </w:tr>
      <w:tr w:rsidR="00836DD0" w:rsidRPr="00880275" w14:paraId="7132D15E" w14:textId="77777777" w:rsidTr="00BF5B49">
        <w:tc>
          <w:tcPr>
            <w:tcW w:w="8510" w:type="dxa"/>
            <w:gridSpan w:val="2"/>
          </w:tcPr>
          <w:p w14:paraId="1BA0EE73" w14:textId="10E5ED76" w:rsidR="00836DD0" w:rsidRPr="00880275" w:rsidRDefault="00836DD0">
            <w:pPr>
              <w:rPr>
                <w:rFonts w:eastAsia="Arial"/>
                <w:b/>
                <w:bCs/>
              </w:rPr>
            </w:pPr>
            <w:r w:rsidRPr="00880275">
              <w:rPr>
                <w:rFonts w:eastAsia="Arial"/>
                <w:b/>
                <w:bCs/>
              </w:rPr>
              <w:t>Recommendation 1.9</w:t>
            </w:r>
          </w:p>
          <w:p w14:paraId="40A41127" w14:textId="242ADE5A" w:rsidR="00836DD0" w:rsidRPr="00880275" w:rsidRDefault="00836DD0">
            <w:r w:rsidRPr="00880275">
              <w:rPr>
                <w:rFonts w:eastAsia="Arial"/>
              </w:rPr>
              <w:t>The Commission should continue to direct specific resources to building community understanding of the Human Rights Act, how it may apply to individuals and communities, and how remedies can be accessed.</w:t>
            </w:r>
          </w:p>
        </w:tc>
      </w:tr>
      <w:tr w:rsidR="00836DD0" w:rsidRPr="00880275" w14:paraId="58CA21BC" w14:textId="77777777" w:rsidTr="00BF5B49">
        <w:tc>
          <w:tcPr>
            <w:tcW w:w="8510" w:type="dxa"/>
            <w:gridSpan w:val="2"/>
          </w:tcPr>
          <w:p w14:paraId="5029C563" w14:textId="4D43B7F3" w:rsidR="00836DD0" w:rsidRPr="00880275" w:rsidRDefault="00836DD0">
            <w:pPr>
              <w:rPr>
                <w:b/>
                <w:bCs/>
                <w:color w:val="111111"/>
              </w:rPr>
            </w:pPr>
            <w:r w:rsidRPr="00880275">
              <w:rPr>
                <w:b/>
                <w:bCs/>
                <w:color w:val="111111"/>
              </w:rPr>
              <w:t>Recommendation 1.10</w:t>
            </w:r>
          </w:p>
          <w:p w14:paraId="4BD8D758" w14:textId="5FD381DC" w:rsidR="00836DD0" w:rsidRPr="00880275" w:rsidRDefault="00836DD0">
            <w:r w:rsidRPr="00880275">
              <w:rPr>
                <w:color w:val="111111"/>
              </w:rPr>
              <w:t>All public entities should be provided with adequate resourcing and support to deliver customised human rights training to staff and to integrate human rights considerations across all staff training. Human rights training should be regular, interactive and targeted – focusing on the rights most often engaged by the entity’s decisions and actions.</w:t>
            </w:r>
          </w:p>
        </w:tc>
      </w:tr>
      <w:tr w:rsidR="00836DD0" w:rsidRPr="00880275" w14:paraId="0245D355" w14:textId="77777777" w:rsidTr="00BF5B49">
        <w:tc>
          <w:tcPr>
            <w:tcW w:w="8510" w:type="dxa"/>
            <w:gridSpan w:val="2"/>
          </w:tcPr>
          <w:p w14:paraId="7E154AE7" w14:textId="4E163393" w:rsidR="00836DD0" w:rsidRPr="00880275" w:rsidRDefault="00836DD0">
            <w:pPr>
              <w:rPr>
                <w:b/>
                <w:bCs/>
              </w:rPr>
            </w:pPr>
            <w:r w:rsidRPr="00880275">
              <w:rPr>
                <w:b/>
                <w:bCs/>
              </w:rPr>
              <w:t>Recommendation 1.11</w:t>
            </w:r>
          </w:p>
          <w:p w14:paraId="21E250E3" w14:textId="39F4C423" w:rsidR="00836DD0" w:rsidRPr="00880275" w:rsidRDefault="00836DD0">
            <w:pPr>
              <w:rPr>
                <w:i/>
              </w:rPr>
            </w:pPr>
            <w:r w:rsidRPr="00880275">
              <w:t xml:space="preserve">The State government should, in consultation with the judiciary, provide specific funding to an appropriate body to develop a Queensland Human Rights Act bench book, </w:t>
            </w:r>
            <w:proofErr w:type="gramStart"/>
            <w:r w:rsidRPr="00880275">
              <w:t>similar to</w:t>
            </w:r>
            <w:proofErr w:type="gramEnd"/>
            <w:r w:rsidRPr="00880275">
              <w:t xml:space="preserve"> the Judicial College of Victoria’s </w:t>
            </w:r>
            <w:r w:rsidRPr="00880275">
              <w:rPr>
                <w:i/>
                <w:iCs/>
              </w:rPr>
              <w:t>Charter of Human Rights Bench Book.</w:t>
            </w:r>
          </w:p>
        </w:tc>
      </w:tr>
    </w:tbl>
    <w:p w14:paraId="27F0B40D" w14:textId="77777777" w:rsidR="003D316B" w:rsidRPr="00880275" w:rsidRDefault="003D316B">
      <w:r w:rsidRPr="00880275">
        <w:br w:type="page"/>
      </w:r>
    </w:p>
    <w:tbl>
      <w:tblPr>
        <w:tblStyle w:val="TableGrid"/>
        <w:tblW w:w="8363" w:type="dxa"/>
        <w:tblInd w:w="142" w:type="dxa"/>
        <w:tblLayout w:type="fixed"/>
        <w:tblLook w:val="04A0" w:firstRow="1" w:lastRow="0" w:firstColumn="1" w:lastColumn="0" w:noHBand="0" w:noVBand="1"/>
      </w:tblPr>
      <w:tblGrid>
        <w:gridCol w:w="8363"/>
      </w:tblGrid>
      <w:tr w:rsidR="00732D89" w:rsidRPr="00880275" w14:paraId="1050D9EA" w14:textId="77777777" w:rsidTr="00B9708F">
        <w:tc>
          <w:tcPr>
            <w:tcW w:w="8363" w:type="dxa"/>
            <w:tcBorders>
              <w:top w:val="nil"/>
              <w:left w:val="nil"/>
              <w:bottom w:val="nil"/>
              <w:right w:val="nil"/>
            </w:tcBorders>
          </w:tcPr>
          <w:p w14:paraId="72B12121" w14:textId="6061EDE7" w:rsidR="00732D89" w:rsidRPr="00880275" w:rsidRDefault="00732D89" w:rsidP="00C86C0A">
            <w:pPr>
              <w:pStyle w:val="Recommendationheading"/>
            </w:pPr>
            <w:r w:rsidRPr="00880275">
              <w:lastRenderedPageBreak/>
              <w:t>Additional human rights</w:t>
            </w:r>
          </w:p>
        </w:tc>
      </w:tr>
      <w:tr w:rsidR="00836DD0" w:rsidRPr="00880275" w14:paraId="2170DF2E" w14:textId="77777777" w:rsidTr="00B9708F">
        <w:tc>
          <w:tcPr>
            <w:tcW w:w="8363" w:type="dxa"/>
            <w:tcBorders>
              <w:top w:val="nil"/>
              <w:left w:val="nil"/>
              <w:bottom w:val="nil"/>
              <w:right w:val="nil"/>
            </w:tcBorders>
          </w:tcPr>
          <w:p w14:paraId="66D20673" w14:textId="40C75CB4" w:rsidR="00836DD0" w:rsidRPr="00880275" w:rsidRDefault="00836DD0">
            <w:pPr>
              <w:rPr>
                <w:b/>
                <w:bCs/>
              </w:rPr>
            </w:pPr>
            <w:r w:rsidRPr="00880275">
              <w:rPr>
                <w:b/>
                <w:bCs/>
              </w:rPr>
              <w:t>Recommendation 2.1</w:t>
            </w:r>
          </w:p>
          <w:p w14:paraId="7A6BEE44" w14:textId="44C5797A" w:rsidR="00836DD0" w:rsidRPr="00880275" w:rsidRDefault="00836DD0">
            <w:r w:rsidRPr="00880275">
              <w:t>The Commission recommends consideration of the following additional human rights:</w:t>
            </w:r>
          </w:p>
          <w:p w14:paraId="19A09FDD" w14:textId="77777777" w:rsidR="00836DD0" w:rsidRPr="00880275" w:rsidRDefault="00836DD0" w:rsidP="008A311A">
            <w:pPr>
              <w:pStyle w:val="ListParagraph"/>
              <w:numPr>
                <w:ilvl w:val="0"/>
                <w:numId w:val="18"/>
              </w:numPr>
              <w:spacing w:before="120"/>
            </w:pPr>
            <w:r w:rsidRPr="00880275">
              <w:t>the right to an adequate standard of living</w:t>
            </w:r>
          </w:p>
          <w:p w14:paraId="4221B02F" w14:textId="77777777" w:rsidR="00836DD0" w:rsidRPr="00880275" w:rsidRDefault="00836DD0" w:rsidP="008A311A">
            <w:pPr>
              <w:pStyle w:val="ListParagraph"/>
              <w:numPr>
                <w:ilvl w:val="0"/>
                <w:numId w:val="18"/>
              </w:numPr>
              <w:spacing w:before="120"/>
            </w:pPr>
            <w:r w:rsidRPr="00880275">
              <w:t>the right to a clean, healthy, and sustainable environment.</w:t>
            </w:r>
          </w:p>
        </w:tc>
      </w:tr>
      <w:tr w:rsidR="00FA704B" w:rsidRPr="00880275" w14:paraId="2B8BDF1A" w14:textId="77777777" w:rsidTr="00B9708F">
        <w:tc>
          <w:tcPr>
            <w:tcW w:w="8363" w:type="dxa"/>
            <w:tcBorders>
              <w:top w:val="nil"/>
              <w:left w:val="nil"/>
              <w:bottom w:val="nil"/>
              <w:right w:val="nil"/>
            </w:tcBorders>
          </w:tcPr>
          <w:p w14:paraId="4BB64BEF" w14:textId="1F7DD4DD" w:rsidR="00FA704B" w:rsidRPr="00880275" w:rsidRDefault="00FA704B" w:rsidP="00C86C0A">
            <w:pPr>
              <w:pStyle w:val="Recommendationheading"/>
              <w:rPr>
                <w:b/>
                <w:bCs/>
              </w:rPr>
            </w:pPr>
            <w:r w:rsidRPr="00880275">
              <w:t>Enforcement and remedies</w:t>
            </w:r>
          </w:p>
        </w:tc>
      </w:tr>
      <w:tr w:rsidR="00FA704B" w:rsidRPr="00880275" w14:paraId="3C8B6F55" w14:textId="77777777" w:rsidTr="00B9708F">
        <w:tc>
          <w:tcPr>
            <w:tcW w:w="8363" w:type="dxa"/>
            <w:tcBorders>
              <w:top w:val="nil"/>
              <w:left w:val="nil"/>
              <w:bottom w:val="nil"/>
              <w:right w:val="nil"/>
            </w:tcBorders>
          </w:tcPr>
          <w:p w14:paraId="2E95E1E2" w14:textId="6FCFA7E5" w:rsidR="008B5963" w:rsidRPr="00880275" w:rsidRDefault="008B5963" w:rsidP="00FA704B">
            <w:pPr>
              <w:rPr>
                <w:b/>
              </w:rPr>
            </w:pPr>
            <w:r w:rsidRPr="00880275">
              <w:rPr>
                <w:b/>
              </w:rPr>
              <w:t>Recommendation 2.2</w:t>
            </w:r>
          </w:p>
          <w:p w14:paraId="3D3F32C4" w14:textId="330BD6DD" w:rsidR="00FA704B" w:rsidRPr="00880275" w:rsidRDefault="00FA704B" w:rsidP="00FA704B">
            <w:pPr>
              <w:rPr>
                <w:b/>
                <w:bCs/>
              </w:rPr>
            </w:pPr>
            <w:r w:rsidRPr="00880275">
              <w:rPr>
                <w:bCs/>
              </w:rPr>
              <w:t xml:space="preserve">The Human Rights Act should be amended to allow the Commission to refer unresolved human rights complaints, and complaints that are otherwise unsuited to the Commission’s </w:t>
            </w:r>
            <w:r w:rsidR="00EB3BFD" w:rsidRPr="00880275">
              <w:rPr>
                <w:bCs/>
              </w:rPr>
              <w:t>dispute</w:t>
            </w:r>
            <w:r w:rsidRPr="00880275">
              <w:rPr>
                <w:bCs/>
              </w:rPr>
              <w:t xml:space="preserve"> resolution process, to a tribunal for determination.</w:t>
            </w:r>
          </w:p>
        </w:tc>
      </w:tr>
      <w:tr w:rsidR="00836DD0" w:rsidRPr="00880275" w14:paraId="01995C2D"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6EFF19D8" w14:textId="19FD888C" w:rsidR="00836DD0" w:rsidRPr="00880275" w:rsidRDefault="00836DD0">
            <w:pPr>
              <w:rPr>
                <w:b/>
                <w:bCs/>
              </w:rPr>
            </w:pPr>
            <w:r w:rsidRPr="00880275">
              <w:rPr>
                <w:b/>
                <w:bCs/>
              </w:rPr>
              <w:t>Recommendation 2.3</w:t>
            </w:r>
          </w:p>
          <w:p w14:paraId="78CD9350" w14:textId="3305579E" w:rsidR="00836DD0" w:rsidRPr="00880275" w:rsidRDefault="00836DD0">
            <w:r w:rsidRPr="00880275">
              <w:t>The Human Rights Act should be amended to allow a pathway to the courts for standalone human rights claims, in addition to piggy-back claims.</w:t>
            </w:r>
          </w:p>
        </w:tc>
      </w:tr>
      <w:tr w:rsidR="00836DD0" w:rsidRPr="00880275" w14:paraId="12A1F076"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0639B50B" w14:textId="190D0629" w:rsidR="00836DD0" w:rsidRPr="00880275" w:rsidRDefault="00836DD0">
            <w:pPr>
              <w:rPr>
                <w:b/>
                <w:bCs/>
                <w:shd w:val="clear" w:color="auto" w:fill="FFFFFF"/>
              </w:rPr>
            </w:pPr>
            <w:r w:rsidRPr="00880275">
              <w:rPr>
                <w:b/>
                <w:bCs/>
                <w:shd w:val="clear" w:color="auto" w:fill="FFFFFF"/>
              </w:rPr>
              <w:t>Recommendation 2.4</w:t>
            </w:r>
          </w:p>
          <w:p w14:paraId="7354ADF1" w14:textId="2E6C27A5" w:rsidR="00836DD0" w:rsidRPr="00880275" w:rsidRDefault="00836DD0">
            <w:r w:rsidRPr="00880275">
              <w:rPr>
                <w:shd w:val="clear" w:color="auto" w:fill="FFFFFF"/>
              </w:rPr>
              <w:t>The Human Rights Act should be amended to allow courts and tribunals considering human rights claims, either as a piggy-back or as a standalone cause of action, to order the full range of remedies within their power, including damages.</w:t>
            </w:r>
          </w:p>
        </w:tc>
      </w:tr>
      <w:tr w:rsidR="00836DD0" w:rsidRPr="00880275" w14:paraId="026CEE3B"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01602888" w14:textId="5DEADBC8" w:rsidR="00836DD0" w:rsidRPr="00880275" w:rsidRDefault="00836DD0">
            <w:pPr>
              <w:rPr>
                <w:b/>
                <w:bCs/>
                <w:shd w:val="clear" w:color="auto" w:fill="FFFFFF"/>
              </w:rPr>
            </w:pPr>
            <w:r w:rsidRPr="00880275">
              <w:rPr>
                <w:b/>
                <w:bCs/>
                <w:shd w:val="clear" w:color="auto" w:fill="FFFFFF"/>
              </w:rPr>
              <w:t>Recommendation 2.5</w:t>
            </w:r>
          </w:p>
          <w:p w14:paraId="3A12E877" w14:textId="23B211C3" w:rsidR="00836DD0" w:rsidRPr="00880275" w:rsidRDefault="00836DD0">
            <w:r w:rsidRPr="00880275">
              <w:rPr>
                <w:shd w:val="clear" w:color="auto" w:fill="FFFFFF"/>
              </w:rPr>
              <w:t>The State government should provide appropriate levels of long-term funding for legal assistance and representation in human rights complaints and legal proceedings to address power imbalances and improve access to justice.</w:t>
            </w:r>
          </w:p>
        </w:tc>
      </w:tr>
      <w:tr w:rsidR="00732D89" w:rsidRPr="00880275" w14:paraId="0BC404EA"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27FC0E79" w14:textId="77777777" w:rsidR="00732D89" w:rsidRPr="00880275" w:rsidRDefault="00732D89" w:rsidP="00C86C0A">
            <w:pPr>
              <w:pStyle w:val="Recommendationheading"/>
            </w:pPr>
            <w:r w:rsidRPr="00880275">
              <w:rPr>
                <w:shd w:val="clear" w:color="auto" w:fill="FFFFFF"/>
              </w:rPr>
              <w:t>Amendments to the Corrective Services Act 2006 and the Youth Justice Act 1992</w:t>
            </w:r>
          </w:p>
        </w:tc>
      </w:tr>
      <w:tr w:rsidR="00836DD0" w:rsidRPr="00880275" w14:paraId="01380E25"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5C7EA4D5" w14:textId="292DB8D1" w:rsidR="00836DD0" w:rsidRPr="00880275" w:rsidRDefault="00836DD0">
            <w:pPr>
              <w:rPr>
                <w:b/>
                <w:bCs/>
                <w:shd w:val="clear" w:color="auto" w:fill="FFFFFF"/>
              </w:rPr>
            </w:pPr>
            <w:r w:rsidRPr="00880275">
              <w:rPr>
                <w:b/>
                <w:bCs/>
                <w:shd w:val="clear" w:color="auto" w:fill="FFFFFF"/>
              </w:rPr>
              <w:t>Recommendation 2.6</w:t>
            </w:r>
          </w:p>
          <w:p w14:paraId="03417527" w14:textId="15FE6BEA" w:rsidR="00836DD0" w:rsidRPr="00880275" w:rsidRDefault="00836DD0">
            <w:r w:rsidRPr="00880275">
              <w:rPr>
                <w:shd w:val="clear" w:color="auto" w:fill="FFFFFF"/>
              </w:rPr>
              <w:t xml:space="preserve">Amendments made by the Human Rights Act to the </w:t>
            </w:r>
            <w:r w:rsidRPr="00880275">
              <w:rPr>
                <w:i/>
                <w:iCs/>
                <w:shd w:val="clear" w:color="auto" w:fill="FFFFFF"/>
              </w:rPr>
              <w:t>Corrective Services Act 2006</w:t>
            </w:r>
            <w:r w:rsidRPr="00880275">
              <w:rPr>
                <w:shd w:val="clear" w:color="auto" w:fill="FFFFFF"/>
              </w:rPr>
              <w:t xml:space="preserve"> and the </w:t>
            </w:r>
            <w:r w:rsidRPr="00880275">
              <w:rPr>
                <w:i/>
                <w:iCs/>
                <w:shd w:val="clear" w:color="auto" w:fill="FFFFFF"/>
              </w:rPr>
              <w:t>Youth Justice Act 1992</w:t>
            </w:r>
            <w:r w:rsidRPr="00880275">
              <w:rPr>
                <w:shd w:val="clear" w:color="auto" w:fill="FFFFFF"/>
              </w:rPr>
              <w:t xml:space="preserve"> should be repealed.</w:t>
            </w:r>
          </w:p>
        </w:tc>
      </w:tr>
      <w:tr w:rsidR="00732D89" w:rsidRPr="00880275" w14:paraId="45B21769"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138DE5B5" w14:textId="77777777" w:rsidR="00732D89" w:rsidRPr="00880275" w:rsidRDefault="00732D89" w:rsidP="00C86C0A">
            <w:pPr>
              <w:pStyle w:val="Recommendationheading"/>
            </w:pPr>
            <w:r w:rsidRPr="00880275">
              <w:rPr>
                <w:shd w:val="clear" w:color="auto" w:fill="FFFFFF"/>
              </w:rPr>
              <w:t>Existing rights</w:t>
            </w:r>
          </w:p>
        </w:tc>
      </w:tr>
      <w:tr w:rsidR="00836DD0" w:rsidRPr="00880275" w14:paraId="52E69CA9"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61A97DAC" w14:textId="1E49D046" w:rsidR="00836DD0" w:rsidRPr="00880275" w:rsidRDefault="00836DD0">
            <w:pPr>
              <w:rPr>
                <w:rFonts w:eastAsia="Arial"/>
                <w:b/>
                <w:bCs/>
              </w:rPr>
            </w:pPr>
            <w:r w:rsidRPr="00880275">
              <w:rPr>
                <w:rFonts w:eastAsia="Arial"/>
                <w:b/>
                <w:bCs/>
              </w:rPr>
              <w:t>Recommendation 3.1</w:t>
            </w:r>
          </w:p>
          <w:p w14:paraId="11285236" w14:textId="5A17E498" w:rsidR="00836DD0" w:rsidRPr="00880275" w:rsidRDefault="00836DD0">
            <w:r w:rsidRPr="00880275">
              <w:rPr>
                <w:rFonts w:eastAsia="Arial"/>
              </w:rPr>
              <w:t>Section 13 of the Human Rights Act should be amended to clarify that limitations to absolute rights cannot be justified.</w:t>
            </w:r>
          </w:p>
        </w:tc>
      </w:tr>
      <w:tr w:rsidR="00836DD0" w:rsidRPr="00880275" w14:paraId="690C89B2"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5AD5CF3A" w14:textId="3F958134" w:rsidR="00836DD0" w:rsidRPr="00880275" w:rsidRDefault="00836DD0">
            <w:pPr>
              <w:rPr>
                <w:rFonts w:eastAsia="Arial"/>
                <w:b/>
                <w:bCs/>
                <w:szCs w:val="22"/>
              </w:rPr>
            </w:pPr>
            <w:r w:rsidRPr="00880275">
              <w:rPr>
                <w:rFonts w:eastAsia="Arial"/>
                <w:b/>
                <w:bCs/>
                <w:szCs w:val="22"/>
              </w:rPr>
              <w:t>Recommendation 3.2</w:t>
            </w:r>
          </w:p>
          <w:p w14:paraId="5FA21BAC" w14:textId="10C7C4CE" w:rsidR="00836DD0" w:rsidRPr="00880275" w:rsidRDefault="00836DD0">
            <w:pPr>
              <w:rPr>
                <w:rFonts w:eastAsia="Arial"/>
                <w:szCs w:val="22"/>
              </w:rPr>
            </w:pPr>
            <w:r w:rsidRPr="00880275">
              <w:rPr>
                <w:rFonts w:eastAsia="Arial"/>
                <w:szCs w:val="22"/>
              </w:rPr>
              <w:t xml:space="preserve">The definition of ‘discrimination’ in the Human Rights Act should be amended to clarify that it includes discrimination </w:t>
            </w:r>
            <w:proofErr w:type="gramStart"/>
            <w:r w:rsidRPr="00880275">
              <w:rPr>
                <w:rFonts w:eastAsia="Arial"/>
                <w:szCs w:val="22"/>
              </w:rPr>
              <w:t>on the basis of</w:t>
            </w:r>
            <w:proofErr w:type="gramEnd"/>
            <w:r w:rsidRPr="00880275">
              <w:rPr>
                <w:rFonts w:eastAsia="Arial"/>
                <w:szCs w:val="22"/>
              </w:rPr>
              <w:t xml:space="preserve"> attributes listed under section 7 of the </w:t>
            </w:r>
            <w:r w:rsidRPr="00880275">
              <w:rPr>
                <w:rFonts w:eastAsia="Arial"/>
                <w:i/>
                <w:iCs/>
                <w:szCs w:val="22"/>
              </w:rPr>
              <w:t>Anti-Discrimination Act 1991</w:t>
            </w:r>
            <w:r w:rsidRPr="00880275">
              <w:rPr>
                <w:rFonts w:eastAsia="Arial"/>
                <w:szCs w:val="22"/>
              </w:rPr>
              <w:t xml:space="preserve"> (Qld) and analogous grounds of discrimination. </w:t>
            </w:r>
          </w:p>
        </w:tc>
      </w:tr>
      <w:tr w:rsidR="00836DD0" w:rsidRPr="00880275" w14:paraId="48BB8798"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0E6EAB4C" w14:textId="456CE4D2" w:rsidR="00836DD0" w:rsidRPr="00880275" w:rsidRDefault="00836DD0" w:rsidP="000C4FA8">
            <w:pPr>
              <w:keepNext/>
              <w:rPr>
                <w:b/>
                <w:bCs/>
              </w:rPr>
            </w:pPr>
            <w:r w:rsidRPr="00880275">
              <w:rPr>
                <w:b/>
                <w:bCs/>
              </w:rPr>
              <w:lastRenderedPageBreak/>
              <w:t>Recommendation 3.3</w:t>
            </w:r>
          </w:p>
          <w:p w14:paraId="4D86D58E" w14:textId="658A871F" w:rsidR="00836DD0" w:rsidRPr="00880275" w:rsidRDefault="00836DD0">
            <w:r w:rsidRPr="00880275">
              <w:t xml:space="preserve">The Human Rights Act should be amended to clarify that the right to security is distinct from the right to liberty. This could be achieved through an interpretive note, or alternatively, each right could be given its own section. </w:t>
            </w:r>
          </w:p>
        </w:tc>
      </w:tr>
      <w:tr w:rsidR="00836DD0" w:rsidRPr="00880275" w14:paraId="3F248DB8"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10A9377C" w14:textId="086ACC31" w:rsidR="00836DD0" w:rsidRPr="00880275" w:rsidRDefault="00836DD0">
            <w:pPr>
              <w:rPr>
                <w:b/>
                <w:bCs/>
              </w:rPr>
            </w:pPr>
            <w:r w:rsidRPr="00880275">
              <w:rPr>
                <w:b/>
                <w:bCs/>
              </w:rPr>
              <w:t>Recommendation 3.4</w:t>
            </w:r>
          </w:p>
          <w:p w14:paraId="09A5F7EA" w14:textId="26CB9639" w:rsidR="00836DD0" w:rsidRPr="00880275" w:rsidRDefault="00836DD0">
            <w:r w:rsidRPr="00880275">
              <w:t xml:space="preserve">The Human Rights Act should be amended so that the right not to be subjected to medical or scientific treatment without a person’s full, free and informed consent is set out alongside the right to privacy or the right to health services (and not within section 17 on the right to protection from torture or cruel, inhuman or degrading treatment). </w:t>
            </w:r>
          </w:p>
        </w:tc>
      </w:tr>
      <w:tr w:rsidR="00732D89" w:rsidRPr="00880275" w14:paraId="3D61C876"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785DB125" w14:textId="77777777" w:rsidR="00732D89" w:rsidRPr="00880275" w:rsidRDefault="00732D89" w:rsidP="00C86C0A">
            <w:pPr>
              <w:pStyle w:val="Recommendationheading"/>
            </w:pPr>
            <w:r w:rsidRPr="00880275">
              <w:t>Scrutiny of legislation and regulation by parliament</w:t>
            </w:r>
          </w:p>
        </w:tc>
      </w:tr>
      <w:tr w:rsidR="00DB46B3" w:rsidRPr="00880275" w14:paraId="6C391D10"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149FB326" w14:textId="2963248D" w:rsidR="00DB46B3" w:rsidRPr="00880275" w:rsidRDefault="00DB46B3">
            <w:pPr>
              <w:rPr>
                <w:b/>
                <w:bCs/>
              </w:rPr>
            </w:pPr>
            <w:r w:rsidRPr="00880275">
              <w:rPr>
                <w:b/>
                <w:bCs/>
              </w:rPr>
              <w:t>Recommendation 3.5</w:t>
            </w:r>
          </w:p>
          <w:p w14:paraId="154DFEEA" w14:textId="04282F00" w:rsidR="00DB46B3" w:rsidRPr="00880275" w:rsidRDefault="00DB46B3">
            <w:r w:rsidRPr="00880275">
              <w:t>Sections 43 to 47 of the Human Rights Act, concerning Parliament’s power to override the Human Rights Act, should be repealed. At a minimum, the default expiry date of an override declaration set out in section 45(2) of the Act should be reduced from 5 years to 1 year.</w:t>
            </w:r>
          </w:p>
        </w:tc>
      </w:tr>
      <w:tr w:rsidR="00DB46B3" w:rsidRPr="00880275" w14:paraId="29A2C20D"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08EA65FA" w14:textId="38DEE6D9" w:rsidR="00DB46B3" w:rsidRPr="00880275" w:rsidRDefault="00DB46B3" w:rsidP="00836DD0">
            <w:pPr>
              <w:keepNext/>
              <w:rPr>
                <w:b/>
                <w:bCs/>
              </w:rPr>
            </w:pPr>
            <w:r w:rsidRPr="00880275">
              <w:rPr>
                <w:b/>
                <w:bCs/>
              </w:rPr>
              <w:t>Recommendation 3.6</w:t>
            </w:r>
          </w:p>
          <w:p w14:paraId="7E15E944" w14:textId="5B7DEC98" w:rsidR="00DB46B3" w:rsidRPr="00880275" w:rsidRDefault="00DB46B3">
            <w:r w:rsidRPr="00880275">
              <w:t>The Human Rights Act should be amended to require all major amendments to Bills with potential human rights impacts to be referred to the relevant portfolio committee (or designated members of it) for scrutiny.</w:t>
            </w:r>
          </w:p>
        </w:tc>
      </w:tr>
      <w:tr w:rsidR="00DB46B3" w:rsidRPr="00880275" w14:paraId="7E3E772D"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078E9259" w14:textId="70C6B49A" w:rsidR="00DB46B3" w:rsidRPr="00880275" w:rsidRDefault="00DB46B3">
            <w:pPr>
              <w:rPr>
                <w:b/>
                <w:bCs/>
              </w:rPr>
            </w:pPr>
            <w:r w:rsidRPr="00880275">
              <w:rPr>
                <w:b/>
                <w:bCs/>
              </w:rPr>
              <w:t>Recommendation 3.7</w:t>
            </w:r>
          </w:p>
          <w:p w14:paraId="37D4EABF" w14:textId="5A4AEDB8" w:rsidR="00DB46B3" w:rsidRPr="00880275" w:rsidRDefault="00DB46B3">
            <w:r w:rsidRPr="00880275">
              <w:t>Members of parliament who introduce Bills should be encouraged to publish amended statements of compatibility to accurately reflect any changes or clarifications following Parliamentary committee scrutiny.</w:t>
            </w:r>
          </w:p>
        </w:tc>
      </w:tr>
      <w:tr w:rsidR="00DB46B3" w:rsidRPr="00880275" w14:paraId="346008C9"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063D84BB" w14:textId="7FBB2EC6" w:rsidR="00DB46B3" w:rsidRPr="00880275" w:rsidRDefault="00DB46B3">
            <w:pPr>
              <w:rPr>
                <w:b/>
                <w:bCs/>
              </w:rPr>
            </w:pPr>
            <w:r w:rsidRPr="00880275">
              <w:rPr>
                <w:b/>
                <w:bCs/>
              </w:rPr>
              <w:t>Recommendation 3.8</w:t>
            </w:r>
          </w:p>
          <w:p w14:paraId="6548C951" w14:textId="3680CCCC" w:rsidR="00DB46B3" w:rsidRPr="00880275" w:rsidRDefault="00DB46B3">
            <w:r w:rsidRPr="00880275">
              <w:t>Human rights certificate processes should be reviewed to better understand their effectiveness and identify any issues for reform.</w:t>
            </w:r>
          </w:p>
        </w:tc>
      </w:tr>
      <w:tr w:rsidR="00732D89" w:rsidRPr="00880275" w14:paraId="558C84C0"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633DD11F" w14:textId="77777777" w:rsidR="00732D89" w:rsidRPr="00880275" w:rsidRDefault="00732D89" w:rsidP="00C86C0A">
            <w:pPr>
              <w:pStyle w:val="Recommendationheading"/>
            </w:pPr>
            <w:r w:rsidRPr="00880275">
              <w:t>Court and tribunal proceedings</w:t>
            </w:r>
          </w:p>
        </w:tc>
      </w:tr>
      <w:tr w:rsidR="00840E1A" w:rsidRPr="00880275" w14:paraId="44E0BAD1"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1E380AF5" w14:textId="6967D614" w:rsidR="00840E1A" w:rsidRPr="00880275" w:rsidRDefault="00840E1A">
            <w:pPr>
              <w:rPr>
                <w:b/>
                <w:bCs/>
              </w:rPr>
            </w:pPr>
            <w:r w:rsidRPr="00880275">
              <w:rPr>
                <w:b/>
                <w:bCs/>
              </w:rPr>
              <w:t>Recommendation 3.9</w:t>
            </w:r>
          </w:p>
          <w:p w14:paraId="0EC8B552" w14:textId="4AFE70BE" w:rsidR="00840E1A" w:rsidRPr="00880275" w:rsidRDefault="00840E1A">
            <w:r w:rsidRPr="00880275">
              <w:t xml:space="preserve">The Human Rights Act should be amended to facilitate the Commission’s and Attorney-General’s access to (confidential) court and tribunal proceeding information for the purpose of deciding whether to intervene in court or tribunal proceedings. </w:t>
            </w:r>
          </w:p>
        </w:tc>
      </w:tr>
      <w:tr w:rsidR="00840E1A" w:rsidRPr="00880275" w14:paraId="2D8BA9AD"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0BE9CB85" w14:textId="233174F3" w:rsidR="00840E1A" w:rsidRPr="00880275" w:rsidRDefault="00840E1A">
            <w:pPr>
              <w:rPr>
                <w:b/>
                <w:bCs/>
              </w:rPr>
            </w:pPr>
            <w:r w:rsidRPr="00880275">
              <w:rPr>
                <w:b/>
                <w:bCs/>
              </w:rPr>
              <w:t>Recommendation 3.10</w:t>
            </w:r>
          </w:p>
          <w:p w14:paraId="4ED71D4B" w14:textId="2C10646F" w:rsidR="00840E1A" w:rsidRPr="00880275" w:rsidRDefault="00840E1A">
            <w:r w:rsidRPr="00880275">
              <w:t xml:space="preserve">The Human Rights Act should be amended to allow the Commission to act as an </w:t>
            </w:r>
            <w:proofErr w:type="gramStart"/>
            <w:r w:rsidRPr="00880275">
              <w:rPr>
                <w:i/>
                <w:iCs/>
              </w:rPr>
              <w:t>amicus curiae</w:t>
            </w:r>
            <w:proofErr w:type="gramEnd"/>
            <w:r w:rsidRPr="00880275">
              <w:t xml:space="preserve"> in court proceedings raising significant human rights issues, in addition to its existing intervention function.</w:t>
            </w:r>
          </w:p>
        </w:tc>
      </w:tr>
      <w:tr w:rsidR="00732D89" w:rsidRPr="00880275" w14:paraId="2F446E27"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61F92D1C" w14:textId="77777777" w:rsidR="00732D89" w:rsidRPr="00880275" w:rsidRDefault="00732D89" w:rsidP="000C4FA8">
            <w:pPr>
              <w:pStyle w:val="Recommendationheading"/>
              <w:keepNext/>
            </w:pPr>
            <w:r w:rsidRPr="00880275">
              <w:lastRenderedPageBreak/>
              <w:t>Public entity obligations</w:t>
            </w:r>
          </w:p>
        </w:tc>
      </w:tr>
      <w:tr w:rsidR="00840E1A" w:rsidRPr="00880275" w14:paraId="2944C579"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027919C5" w14:textId="77777777" w:rsidR="00840E1A" w:rsidRPr="00880275" w:rsidRDefault="00840E1A" w:rsidP="000C4FA8">
            <w:pPr>
              <w:keepNext/>
              <w:rPr>
                <w:b/>
                <w:bCs/>
                <w:lang w:val="en-US"/>
              </w:rPr>
            </w:pPr>
            <w:r w:rsidRPr="00880275">
              <w:rPr>
                <w:b/>
                <w:bCs/>
                <w:lang w:val="en-US"/>
              </w:rPr>
              <w:t>Recommendation 3.11</w:t>
            </w:r>
          </w:p>
          <w:p w14:paraId="6AE689E3" w14:textId="64A0A8D0" w:rsidR="00840E1A" w:rsidRPr="00880275" w:rsidRDefault="00840E1A">
            <w:pPr>
              <w:rPr>
                <w:lang w:val="en-US"/>
              </w:rPr>
            </w:pPr>
            <w:r w:rsidRPr="00880275">
              <w:rPr>
                <w:lang w:val="en-US"/>
              </w:rPr>
              <w:t>The Human Rights Act should be amended so that public entities have an express duty to ensure participation processes are in place for matters that disproportionately affect the rights of First Nations peoples, children and people with disability.</w:t>
            </w:r>
          </w:p>
        </w:tc>
      </w:tr>
      <w:tr w:rsidR="00840E1A" w:rsidRPr="00880275" w14:paraId="5398A27A"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3C005DB5" w14:textId="33F94F40" w:rsidR="00840E1A" w:rsidRPr="00880275" w:rsidRDefault="00840E1A">
            <w:pPr>
              <w:rPr>
                <w:b/>
                <w:bCs/>
              </w:rPr>
            </w:pPr>
            <w:r w:rsidRPr="00880275">
              <w:rPr>
                <w:b/>
                <w:bCs/>
              </w:rPr>
              <w:t>Recommendation 3.12</w:t>
            </w:r>
          </w:p>
          <w:p w14:paraId="33EAD921" w14:textId="7ADE44BF" w:rsidR="00840E1A" w:rsidRPr="00880275" w:rsidRDefault="00840E1A">
            <w:r w:rsidRPr="00880275">
              <w:t>The legislative note regarding the example of non-state schools under section 9(1)(h) of the Human Rights Act cannot be justified and should be removed.</w:t>
            </w:r>
          </w:p>
        </w:tc>
      </w:tr>
      <w:tr w:rsidR="00732D89" w:rsidRPr="00880275" w14:paraId="43A070EC"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219DF3D8" w14:textId="77777777" w:rsidR="00732D89" w:rsidRPr="00880275" w:rsidRDefault="00732D89" w:rsidP="00C86C0A">
            <w:pPr>
              <w:pStyle w:val="Recommendationheading"/>
            </w:pPr>
            <w:r w:rsidRPr="00880275">
              <w:t>Complaints and dispute resolution</w:t>
            </w:r>
          </w:p>
        </w:tc>
      </w:tr>
      <w:tr w:rsidR="0075641F" w:rsidRPr="00880275" w14:paraId="34A6494A"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15DB9A5C" w14:textId="16DEFE4A" w:rsidR="0075641F" w:rsidRPr="00880275" w:rsidRDefault="0075641F">
            <w:pPr>
              <w:rPr>
                <w:rFonts w:eastAsia="Arial"/>
                <w:b/>
              </w:rPr>
            </w:pPr>
            <w:r w:rsidRPr="00880275">
              <w:rPr>
                <w:rFonts w:eastAsia="Arial"/>
                <w:b/>
              </w:rPr>
              <w:t>Recommendation 3.13</w:t>
            </w:r>
          </w:p>
          <w:p w14:paraId="3EF769E5" w14:textId="7E6222BD" w:rsidR="0075641F" w:rsidRPr="00880275" w:rsidRDefault="0075641F">
            <w:r w:rsidRPr="00880275">
              <w:rPr>
                <w:rFonts w:eastAsia="Arial"/>
                <w:bCs/>
              </w:rPr>
              <w:t xml:space="preserve">The Human Rights Act should be amended to include a prohibition against victimisation, based on section 129 of the </w:t>
            </w:r>
            <w:r w:rsidRPr="00880275">
              <w:rPr>
                <w:rFonts w:eastAsia="Arial"/>
                <w:bCs/>
                <w:i/>
                <w:iCs/>
              </w:rPr>
              <w:t>Anti-Discrimination Act 1991</w:t>
            </w:r>
            <w:r w:rsidRPr="00880275">
              <w:rPr>
                <w:rFonts w:eastAsia="Arial"/>
                <w:bCs/>
              </w:rPr>
              <w:t xml:space="preserve"> (Qld).</w:t>
            </w:r>
          </w:p>
        </w:tc>
      </w:tr>
      <w:tr w:rsidR="0075641F" w:rsidRPr="00880275" w14:paraId="79B6D981"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1408A314" w14:textId="4A79BDDA" w:rsidR="0075641F" w:rsidRPr="00880275" w:rsidRDefault="0075641F">
            <w:pPr>
              <w:rPr>
                <w:b/>
                <w:bCs/>
              </w:rPr>
            </w:pPr>
            <w:r w:rsidRPr="00880275">
              <w:rPr>
                <w:b/>
                <w:bCs/>
              </w:rPr>
              <w:t>Recommendation 3.14</w:t>
            </w:r>
          </w:p>
          <w:p w14:paraId="0EB61100" w14:textId="13A26770" w:rsidR="0075641F" w:rsidRPr="00880275" w:rsidRDefault="0075641F">
            <w:r w:rsidRPr="00880275">
              <w:t>All public entities (assisted by the Human Rights Unit of the Department of Justice and Attorney</w:t>
            </w:r>
            <w:r w:rsidR="00F20431" w:rsidRPr="00880275">
              <w:t>-</w:t>
            </w:r>
            <w:r w:rsidRPr="00880275">
              <w:t>General and the Commission) should improve their ability to consistently identify</w:t>
            </w:r>
            <w:r w:rsidR="00225530" w:rsidRPr="00880275">
              <w:t>, record</w:t>
            </w:r>
            <w:r w:rsidRPr="00880275">
              <w:t xml:space="preserve"> and respond to human rights complaints. </w:t>
            </w:r>
          </w:p>
        </w:tc>
      </w:tr>
      <w:tr w:rsidR="0075641F" w:rsidRPr="00880275" w14:paraId="1FF6AB13"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1AEF4FDF" w14:textId="66C05A15" w:rsidR="0075641F" w:rsidRPr="00880275" w:rsidRDefault="0075641F">
            <w:pPr>
              <w:rPr>
                <w:rFonts w:eastAsiaTheme="minorEastAsia" w:cs="Arial"/>
                <w:b/>
                <w:bCs/>
              </w:rPr>
            </w:pPr>
            <w:r w:rsidRPr="00880275">
              <w:rPr>
                <w:rFonts w:eastAsiaTheme="minorEastAsia" w:cs="Arial"/>
                <w:b/>
                <w:bCs/>
              </w:rPr>
              <w:t>Recommendation 3.15</w:t>
            </w:r>
          </w:p>
          <w:p w14:paraId="379666E8" w14:textId="3B7537ED" w:rsidR="0075641F" w:rsidRPr="00880275" w:rsidRDefault="0075641F">
            <w:pPr>
              <w:rPr>
                <w:rFonts w:eastAsiaTheme="minorEastAsia" w:cs="Arial"/>
              </w:rPr>
            </w:pPr>
            <w:r w:rsidRPr="00880275">
              <w:rPr>
                <w:rFonts w:eastAsiaTheme="minorEastAsia" w:cs="Arial"/>
              </w:rPr>
              <w:t>Section 65 of the Human Rights Act, which requires a complaint about an alleged contravention of the Act to be made to the relevant public entity prior to any complaint to the Commission, should be repealed. At a minimum, section 65 should be amended to reduce the required period after making an internal complaint from 45 business days to 30 business days.</w:t>
            </w:r>
          </w:p>
        </w:tc>
      </w:tr>
      <w:tr w:rsidR="0075641F" w:rsidRPr="00880275" w14:paraId="03EE6808"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0D8CABD2" w14:textId="77777777" w:rsidR="0075641F" w:rsidRPr="00880275" w:rsidRDefault="0075641F">
            <w:pPr>
              <w:rPr>
                <w:b/>
                <w:bCs/>
              </w:rPr>
            </w:pPr>
            <w:r w:rsidRPr="00880275">
              <w:rPr>
                <w:b/>
                <w:bCs/>
              </w:rPr>
              <w:t>Recommendation 3.16</w:t>
            </w:r>
          </w:p>
          <w:p w14:paraId="09DBC9BF" w14:textId="7357E22C" w:rsidR="0075641F" w:rsidRPr="00880275" w:rsidRDefault="0075641F">
            <w:r w:rsidRPr="00880275">
              <w:t>To strengthen the effectiveness of the Commission’s human rights complaints process, principles of dispute resolution should be enshrined in the Human Rights Act. These principles should include:</w:t>
            </w:r>
          </w:p>
          <w:p w14:paraId="4FD76D5E" w14:textId="77777777" w:rsidR="0075641F" w:rsidRPr="00880275" w:rsidRDefault="0075641F" w:rsidP="008A311A">
            <w:pPr>
              <w:pStyle w:val="ListParagraph"/>
              <w:numPr>
                <w:ilvl w:val="0"/>
                <w:numId w:val="19"/>
              </w:numPr>
              <w:spacing w:before="120"/>
              <w:rPr>
                <w:bCs/>
              </w:rPr>
            </w:pPr>
            <w:r w:rsidRPr="00880275">
              <w:rPr>
                <w:bCs/>
              </w:rPr>
              <w:t xml:space="preserve">Dispute resolution should be provided as early as possible.   </w:t>
            </w:r>
          </w:p>
          <w:p w14:paraId="168B85D8" w14:textId="77777777" w:rsidR="0075641F" w:rsidRPr="00880275" w:rsidRDefault="0075641F" w:rsidP="008A311A">
            <w:pPr>
              <w:pStyle w:val="ListParagraph"/>
              <w:numPr>
                <w:ilvl w:val="0"/>
                <w:numId w:val="19"/>
              </w:numPr>
              <w:spacing w:before="120"/>
              <w:rPr>
                <w:bCs/>
              </w:rPr>
            </w:pPr>
            <w:r w:rsidRPr="00880275">
              <w:rPr>
                <w:bCs/>
              </w:rPr>
              <w:t xml:space="preserve">The type of dispute resolution offered should be appropriate to the nature of the complaint. </w:t>
            </w:r>
          </w:p>
          <w:p w14:paraId="019A6905" w14:textId="480E2D63" w:rsidR="0075641F" w:rsidRPr="00880275" w:rsidRDefault="0075641F" w:rsidP="008A311A">
            <w:pPr>
              <w:pStyle w:val="ListParagraph"/>
              <w:numPr>
                <w:ilvl w:val="0"/>
                <w:numId w:val="19"/>
              </w:numPr>
              <w:spacing w:before="120"/>
              <w:rPr>
                <w:bCs/>
              </w:rPr>
            </w:pPr>
            <w:r w:rsidRPr="00880275">
              <w:rPr>
                <w:bCs/>
              </w:rPr>
              <w:t>The dispute resolution process should be fair to all parties</w:t>
            </w:r>
            <w:r w:rsidR="008222C0" w:rsidRPr="00880275">
              <w:rPr>
                <w:bCs/>
              </w:rPr>
              <w:t>.</w:t>
            </w:r>
            <w:r w:rsidRPr="00880275">
              <w:rPr>
                <w:bCs/>
              </w:rPr>
              <w:t xml:space="preserve"> </w:t>
            </w:r>
          </w:p>
          <w:p w14:paraId="1BBB851D" w14:textId="77777777" w:rsidR="0075641F" w:rsidRPr="00880275" w:rsidRDefault="0075641F" w:rsidP="008A311A">
            <w:pPr>
              <w:pStyle w:val="ListParagraph"/>
              <w:numPr>
                <w:ilvl w:val="0"/>
                <w:numId w:val="19"/>
              </w:numPr>
              <w:spacing w:before="120"/>
            </w:pPr>
            <w:r w:rsidRPr="00880275">
              <w:rPr>
                <w:bCs/>
              </w:rPr>
              <w:t>Dispute resolution should be consistent with the objectives of the Act.</w:t>
            </w:r>
          </w:p>
        </w:tc>
      </w:tr>
      <w:tr w:rsidR="0075641F" w:rsidRPr="00880275" w14:paraId="7402F0B8"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0C605DA5" w14:textId="77777777" w:rsidR="0075641F" w:rsidRPr="00880275" w:rsidRDefault="0075641F">
            <w:pPr>
              <w:rPr>
                <w:rFonts w:eastAsia="Arial"/>
                <w:b/>
                <w:bCs/>
                <w:szCs w:val="22"/>
              </w:rPr>
            </w:pPr>
            <w:r w:rsidRPr="00880275">
              <w:rPr>
                <w:rFonts w:eastAsia="Arial"/>
                <w:b/>
                <w:bCs/>
                <w:szCs w:val="22"/>
              </w:rPr>
              <w:t>Recommendation 3.17</w:t>
            </w:r>
          </w:p>
          <w:p w14:paraId="2F0BD54E" w14:textId="69E4DF88" w:rsidR="0075641F" w:rsidRPr="00880275" w:rsidRDefault="0075641F">
            <w:r w:rsidRPr="00880275">
              <w:rPr>
                <w:rFonts w:eastAsia="Arial"/>
                <w:szCs w:val="22"/>
              </w:rPr>
              <w:t>The Human Rights Act should be amended to clarify that verbal complaints can be accepted and transcribed by the Commission.</w:t>
            </w:r>
          </w:p>
        </w:tc>
      </w:tr>
      <w:tr w:rsidR="0075641F" w:rsidRPr="00880275" w14:paraId="1BEA10BE"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1999FA6F" w14:textId="77777777" w:rsidR="0075641F" w:rsidRPr="00880275" w:rsidRDefault="0075641F">
            <w:pPr>
              <w:rPr>
                <w:b/>
                <w:bCs/>
              </w:rPr>
            </w:pPr>
            <w:r w:rsidRPr="00880275">
              <w:rPr>
                <w:b/>
                <w:bCs/>
              </w:rPr>
              <w:t>Recommendation 3.18</w:t>
            </w:r>
          </w:p>
          <w:p w14:paraId="4BAD081D" w14:textId="157DE3D4" w:rsidR="0075641F" w:rsidRPr="00880275" w:rsidRDefault="0075641F">
            <w:r w:rsidRPr="00880275">
              <w:t>The Commission’s discretion to refuse to deal or continue to deal with a complaint under section 70(1) of the Human Rights Act should be reviewed to consider whether:</w:t>
            </w:r>
          </w:p>
          <w:p w14:paraId="481D2A7C" w14:textId="77777777" w:rsidR="0075641F" w:rsidRPr="00880275" w:rsidRDefault="0075641F" w:rsidP="008A311A">
            <w:pPr>
              <w:pStyle w:val="ListParagraph"/>
              <w:numPr>
                <w:ilvl w:val="0"/>
                <w:numId w:val="20"/>
              </w:numPr>
              <w:spacing w:before="120"/>
            </w:pPr>
            <w:r w:rsidRPr="00880275">
              <w:t>The scope of the discretion in sections 70(1)(a) and (b) should be clarified by way of legislative amendment or explanatory guidance.</w:t>
            </w:r>
          </w:p>
          <w:p w14:paraId="21F3AABE" w14:textId="59DE2A5B" w:rsidR="0075641F" w:rsidRPr="00880275" w:rsidRDefault="0075641F" w:rsidP="008A311A">
            <w:pPr>
              <w:pStyle w:val="ListParagraph"/>
              <w:numPr>
                <w:ilvl w:val="0"/>
                <w:numId w:val="20"/>
              </w:numPr>
              <w:spacing w:before="120"/>
            </w:pPr>
            <w:r w:rsidRPr="00880275">
              <w:lastRenderedPageBreak/>
              <w:t xml:space="preserve">If the Commission’s human rights complaints process is to remain unenforceable, the Human Rights Act should be amended to expressly identify the Commission’s discretion to refuse to deal with a complaint if </w:t>
            </w:r>
            <w:r w:rsidR="000412FA" w:rsidRPr="00880275">
              <w:t xml:space="preserve">the Commissioner considers </w:t>
            </w:r>
            <w:r w:rsidRPr="00880275">
              <w:t xml:space="preserve">there is no utility in dealing with the complaint, because the processes available under the Human Rights Act are unlikely to achieve a satisfactory result.  </w:t>
            </w:r>
          </w:p>
        </w:tc>
      </w:tr>
      <w:tr w:rsidR="00732D89" w:rsidRPr="00880275" w14:paraId="42C85768"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7D911B11" w14:textId="498DDAE8" w:rsidR="00732D89" w:rsidRPr="00880275" w:rsidRDefault="00732D89" w:rsidP="00C86C0A">
            <w:pPr>
              <w:pStyle w:val="Recommendationheading"/>
            </w:pPr>
            <w:r w:rsidRPr="00880275">
              <w:lastRenderedPageBreak/>
              <w:t>Victims’ rights</w:t>
            </w:r>
          </w:p>
        </w:tc>
      </w:tr>
      <w:tr w:rsidR="00CD3656" w:rsidRPr="00880275" w14:paraId="362E0588"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375570EF" w14:textId="77777777" w:rsidR="00CD3656" w:rsidRPr="00880275" w:rsidRDefault="00CD3656">
            <w:pPr>
              <w:rPr>
                <w:b/>
                <w:bCs/>
              </w:rPr>
            </w:pPr>
            <w:r w:rsidRPr="00880275">
              <w:rPr>
                <w:b/>
                <w:bCs/>
              </w:rPr>
              <w:t>Recommendation 4.1</w:t>
            </w:r>
          </w:p>
          <w:p w14:paraId="6E6BBC91" w14:textId="59BA9F54" w:rsidR="00CD3656" w:rsidRPr="00880275" w:rsidRDefault="00CD3656">
            <w:r w:rsidRPr="00880275">
              <w:t>The Human Rights Act should be amended to insert legislative guidance clarifying that in some circumstances acting compatib</w:t>
            </w:r>
            <w:r w:rsidR="00B60016" w:rsidRPr="00880275">
              <w:t>ly</w:t>
            </w:r>
            <w:r w:rsidRPr="00880275">
              <w:t xml:space="preserve"> with human rights will require relevant public entities to take positive steps to prevent and respond to risks and allegations of harm.</w:t>
            </w:r>
          </w:p>
        </w:tc>
      </w:tr>
      <w:tr w:rsidR="00CD3656" w:rsidRPr="00880275" w14:paraId="1063B25D" w14:textId="77777777" w:rsidTr="00B97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63" w:type="dxa"/>
          </w:tcPr>
          <w:p w14:paraId="76C0EA7C" w14:textId="77777777" w:rsidR="00CD3656" w:rsidRPr="00880275" w:rsidRDefault="00CD3656">
            <w:pPr>
              <w:rPr>
                <w:b/>
                <w:bCs/>
                <w:color w:val="auto"/>
              </w:rPr>
            </w:pPr>
            <w:r w:rsidRPr="00880275">
              <w:rPr>
                <w:b/>
                <w:bCs/>
                <w:color w:val="auto"/>
              </w:rPr>
              <w:t>Recommendation 4.2</w:t>
            </w:r>
          </w:p>
          <w:p w14:paraId="20FA7E60" w14:textId="0F0610D8" w:rsidR="00CD3656" w:rsidRPr="00880275" w:rsidRDefault="00CD3656">
            <w:pPr>
              <w:rPr>
                <w:color w:val="auto"/>
              </w:rPr>
            </w:pPr>
            <w:r w:rsidRPr="00880275">
              <w:rPr>
                <w:color w:val="auto"/>
              </w:rPr>
              <w:t>The Human Rights Act could be amended to more explicitly recognise victim and public interest rights in criminal trials, for example by:</w:t>
            </w:r>
          </w:p>
          <w:p w14:paraId="44CEEC3C" w14:textId="77777777" w:rsidR="00CD3656" w:rsidRPr="00880275" w:rsidRDefault="00CD3656" w:rsidP="008A311A">
            <w:pPr>
              <w:pStyle w:val="ListParagraph"/>
              <w:numPr>
                <w:ilvl w:val="0"/>
                <w:numId w:val="26"/>
              </w:numPr>
            </w:pPr>
            <w:r w:rsidRPr="00880275">
              <w:t>amending section 31(1) of the Human Rights Act to recognise that ‘everyone’ has rights to a fair hearing in criminal proceedings</w:t>
            </w:r>
          </w:p>
          <w:p w14:paraId="51499EF3" w14:textId="3E69E162" w:rsidR="00CD3656" w:rsidRPr="00880275" w:rsidRDefault="00CD3656" w:rsidP="008A311A">
            <w:pPr>
              <w:pStyle w:val="ListParagraph"/>
              <w:numPr>
                <w:ilvl w:val="0"/>
                <w:numId w:val="26"/>
              </w:numPr>
            </w:pPr>
            <w:r w:rsidRPr="00880275">
              <w:t xml:space="preserve">including a right for a victim of a criminal offence to have certain specific minimum guarantees, including: to be acknowledged as a participant with an interest in the proceedings; to be </w:t>
            </w:r>
            <w:proofErr w:type="gramStart"/>
            <w:r w:rsidRPr="00880275">
              <w:t>treated with respect at all times</w:t>
            </w:r>
            <w:proofErr w:type="gramEnd"/>
            <w:r w:rsidRPr="00880275">
              <w:t>; and to be protected from unnecessary trauma, intimidation, and distress when giving evidence.</w:t>
            </w:r>
          </w:p>
        </w:tc>
      </w:tr>
    </w:tbl>
    <w:p w14:paraId="3FE04A70" w14:textId="77777777" w:rsidR="001C3212" w:rsidRPr="00880275" w:rsidRDefault="001C3212" w:rsidP="0074701E">
      <w:pPr>
        <w:pStyle w:val="Heading1"/>
      </w:pPr>
    </w:p>
    <w:p w14:paraId="502B4F84" w14:textId="77777777" w:rsidR="001C3212" w:rsidRPr="00880275" w:rsidRDefault="001C3212">
      <w:pPr>
        <w:spacing w:after="0"/>
        <w:rPr>
          <w:rFonts w:eastAsiaTheme="majorEastAsia" w:cstheme="majorBidi"/>
          <w:color w:val="004270"/>
          <w:sz w:val="48"/>
          <w:szCs w:val="32"/>
        </w:rPr>
      </w:pPr>
      <w:r w:rsidRPr="00880275">
        <w:br w:type="page"/>
      </w:r>
    </w:p>
    <w:p w14:paraId="2D371218" w14:textId="1A948E7F" w:rsidR="0074701E" w:rsidRPr="00880275" w:rsidRDefault="3B52B87D" w:rsidP="0074701E">
      <w:pPr>
        <w:pStyle w:val="Heading1"/>
      </w:pPr>
      <w:bookmarkStart w:id="7" w:name="_Toc171346745"/>
      <w:r w:rsidRPr="00880275">
        <w:lastRenderedPageBreak/>
        <w:t>1</w:t>
      </w:r>
      <w:r w:rsidR="00A8623B" w:rsidRPr="00880275">
        <w:t>.</w:t>
      </w:r>
      <w:r w:rsidRPr="00880275">
        <w:t xml:space="preserve"> </w:t>
      </w:r>
      <w:r w:rsidR="0074701E" w:rsidRPr="00880275">
        <w:t>Building a culture of human rights</w:t>
      </w:r>
      <w:bookmarkEnd w:id="7"/>
      <w:r w:rsidR="0074701E" w:rsidRPr="00880275">
        <w:t xml:space="preserve"> </w:t>
      </w:r>
    </w:p>
    <w:p w14:paraId="182AAE80" w14:textId="6B9001B9" w:rsidR="00145E27" w:rsidRPr="00880275" w:rsidRDefault="00171822" w:rsidP="00754FAE">
      <w:pPr>
        <w:pStyle w:val="Numberedparagraph"/>
      </w:pPr>
      <w:r w:rsidRPr="00880275">
        <w:t xml:space="preserve">The Terms of Reference for this Review </w:t>
      </w:r>
      <w:r w:rsidR="00010F49" w:rsidRPr="00880275">
        <w:t>require</w:t>
      </w:r>
      <w:r w:rsidRPr="00880275">
        <w:t xml:space="preserve"> consideration of</w:t>
      </w:r>
      <w:r w:rsidR="00145E27" w:rsidRPr="00880275">
        <w:t>:</w:t>
      </w:r>
    </w:p>
    <w:p w14:paraId="1B2FBFE7" w14:textId="320785A5" w:rsidR="00171822" w:rsidRPr="00880275" w:rsidRDefault="00171822" w:rsidP="00754FAE">
      <w:pPr>
        <w:pStyle w:val="Numberedparagraph"/>
        <w:numPr>
          <w:ilvl w:val="0"/>
          <w:numId w:val="3"/>
        </w:numPr>
      </w:pPr>
      <w:r w:rsidRPr="00880275">
        <w:t xml:space="preserve">the extent to which the Act has helped to build a </w:t>
      </w:r>
      <w:r w:rsidR="00145E27" w:rsidRPr="00880275">
        <w:t>culture of human rights in the Queensland public sector</w:t>
      </w:r>
    </w:p>
    <w:p w14:paraId="72222B9D" w14:textId="2862455A" w:rsidR="00145E27" w:rsidRPr="00880275" w:rsidRDefault="00010F49" w:rsidP="00754FAE">
      <w:pPr>
        <w:pStyle w:val="Numberedparagraph"/>
        <w:numPr>
          <w:ilvl w:val="0"/>
          <w:numId w:val="3"/>
        </w:numPr>
      </w:pPr>
      <w:r w:rsidRPr="00880275">
        <w:t>t</w:t>
      </w:r>
      <w:r w:rsidR="00145E27" w:rsidRPr="00880275">
        <w:t>he role of the Queensland Government and the Commission in providing support, education, training and guidance</w:t>
      </w:r>
      <w:r w:rsidR="00C45077" w:rsidRPr="00880275">
        <w:t xml:space="preserve"> to the public sector.</w:t>
      </w:r>
    </w:p>
    <w:p w14:paraId="0050D52E" w14:textId="2052FF8B" w:rsidR="005C560E" w:rsidRPr="00880275" w:rsidRDefault="00254326" w:rsidP="005C560E">
      <w:pPr>
        <w:pStyle w:val="Heading2"/>
      </w:pPr>
      <w:bookmarkStart w:id="8" w:name="_Toc171346746"/>
      <w:r w:rsidRPr="00880275">
        <w:t xml:space="preserve">Defining and measuring a </w:t>
      </w:r>
      <w:r w:rsidR="00372705" w:rsidRPr="00880275">
        <w:t>human rights culture</w:t>
      </w:r>
      <w:bookmarkEnd w:id="8"/>
    </w:p>
    <w:p w14:paraId="169BE6B8" w14:textId="4EFA7006" w:rsidR="005C560E" w:rsidRPr="00880275" w:rsidRDefault="005C560E" w:rsidP="00754FAE">
      <w:pPr>
        <w:pStyle w:val="Numberedparagraph"/>
      </w:pPr>
      <w:r w:rsidRPr="00880275">
        <w:t xml:space="preserve">Developing a culture of human rights requires more than mere compliance with the </w:t>
      </w:r>
      <w:r w:rsidR="000A020F" w:rsidRPr="00880275">
        <w:t>Human Rights Act</w:t>
      </w:r>
      <w:r w:rsidRPr="00880275">
        <w:t xml:space="preserve">. While public entities may start in compliance mode, the aim is for the public sector to move towards a culture in which protecting and promoting human rights – rights of clients, stakeholders, and staff – becomes part of everyday business. </w:t>
      </w:r>
    </w:p>
    <w:p w14:paraId="75EEDE5B" w14:textId="073EA664" w:rsidR="005C560E" w:rsidRPr="00880275" w:rsidRDefault="005C560E" w:rsidP="00754FAE">
      <w:pPr>
        <w:pStyle w:val="Numberedparagraph"/>
      </w:pPr>
      <w:r w:rsidRPr="00880275">
        <w:t xml:space="preserve">The </w:t>
      </w:r>
      <w:r w:rsidR="00254326" w:rsidRPr="00880275">
        <w:t>Commission</w:t>
      </w:r>
      <w:r w:rsidRPr="00880275">
        <w:t xml:space="preserve"> has developed the cascading culture change model to illustrate how human rights culture starts with legislation and flows down through regulations, policies, procedures, and services through to the individual.</w:t>
      </w:r>
    </w:p>
    <w:p w14:paraId="67D54E21" w14:textId="181BE2A5" w:rsidR="005C560E" w:rsidRPr="00880275" w:rsidRDefault="001A2C47" w:rsidP="001A2C47">
      <w:pPr>
        <w:pStyle w:val="Caption"/>
      </w:pPr>
      <w:r w:rsidRPr="00880275">
        <w:t xml:space="preserve">Figure </w:t>
      </w:r>
      <w:r w:rsidRPr="00880275">
        <w:fldChar w:fldCharType="begin"/>
      </w:r>
      <w:r w:rsidRPr="00880275">
        <w:instrText xml:space="preserve"> SEQ Figure \* ARABIC </w:instrText>
      </w:r>
      <w:r w:rsidRPr="00880275">
        <w:fldChar w:fldCharType="separate"/>
      </w:r>
      <w:r w:rsidR="00BF3C68">
        <w:rPr>
          <w:noProof/>
        </w:rPr>
        <w:t>1</w:t>
      </w:r>
      <w:r w:rsidRPr="00880275">
        <w:fldChar w:fldCharType="end"/>
      </w:r>
      <w:r w:rsidR="005C560E" w:rsidRPr="00880275">
        <w:t xml:space="preserve">: Cascading culture change model </w:t>
      </w:r>
    </w:p>
    <w:p w14:paraId="7D23389A" w14:textId="77777777" w:rsidR="005C560E" w:rsidRPr="00880275" w:rsidRDefault="005C560E" w:rsidP="005C560E">
      <w:pPr>
        <w:keepNext/>
        <w:keepLines/>
        <w:widowControl w:val="0"/>
      </w:pPr>
      <w:r w:rsidRPr="00880275">
        <w:rPr>
          <w:noProof/>
        </w:rPr>
        <w:drawing>
          <wp:inline distT="0" distB="0" distL="0" distR="0" wp14:anchorId="2CABCCBC" wp14:editId="55DA0A4F">
            <wp:extent cx="5334000" cy="2362200"/>
            <wp:effectExtent l="0" t="0" r="0" b="0"/>
            <wp:docPr id="382574188" name="Picture 1" descr="Figure 3: Cascading culture change model&#10;&#10;This diagram shows the cascading culture change model of human rights, where change flows from legislation through regulations, policies, procedures and service delivery to individual members of the community. &#10;&#10;The diagram shows a series of six rectangles stepping downward from the top left corner of the image to the bottom right. Each has an arrow curving down to the rectangle below it, to demonstrate the flow of change. From top to bottom these rectangles are labelled in white text: Legislation (navy rectangle), Regulations (blue), Policies (aqua), Procedures (gold), Service Delivery (orange), and a brown box at the bottom contains white people icons to represent the community. &#10;&#10;Down the left hand side of the image is a grey rectangle which says Leadership. Grey arrows extend from this to each of the top five boxes of the cascade, to demonstrate that leadership is needed at each level to champion human rights culture chan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gure 3: Cascading culture change model&#10;&#10;This diagram shows the cascading culture change model of human rights, where change flows from legislation through regulations, policies, procedures and service delivery to individual members of the community. &#10;&#10;The diagram shows a series of six rectangles stepping downward from the top left corner of the image to the bottom right. Each has an arrow curving down to the rectangle below it, to demonstrate the flow of change. From top to bottom these rectangles are labelled in white text: Legislation (navy rectangle), Regulations (blue), Policies (aqua), Procedures (gold), Service Delivery (orange), and a brown box at the bottom contains white people icons to represent the community. &#10;&#10;Down the left hand side of the image is a grey rectangle which says Leadership. Grey arrows extend from this to each of the top five boxes of the cascade, to demonstrate that leadership is needed at each level to champion human rights culture chang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2362200"/>
                    </a:xfrm>
                    <a:prstGeom prst="rect">
                      <a:avLst/>
                    </a:prstGeom>
                    <a:noFill/>
                    <a:ln>
                      <a:noFill/>
                    </a:ln>
                  </pic:spPr>
                </pic:pic>
              </a:graphicData>
            </a:graphic>
          </wp:inline>
        </w:drawing>
      </w:r>
    </w:p>
    <w:p w14:paraId="4B3F6C5F" w14:textId="77777777" w:rsidR="005C560E" w:rsidRPr="00880275" w:rsidRDefault="005C560E" w:rsidP="00754FAE">
      <w:pPr>
        <w:pStyle w:val="Numberedparagraph"/>
      </w:pPr>
      <w:r w:rsidRPr="00880275">
        <w:t>The model recognises that unless legislation and regulations are human rights compatible, limited benefit will result from changing policies and procedures. Correspondingly, service delivery is unlikely to improve if policies and procedures are not human rights compliant. For a human rights culture to develop, strong leadership needs to be present at every stage: at the strategic and operational levels as well as among individual workers on the front line.</w:t>
      </w:r>
    </w:p>
    <w:p w14:paraId="7A2D38CF" w14:textId="77777777" w:rsidR="006B302D" w:rsidRPr="00880275" w:rsidRDefault="006B302D">
      <w:pPr>
        <w:spacing w:after="0"/>
        <w:rPr>
          <w:rFonts w:cs="Arial"/>
        </w:rPr>
      </w:pPr>
      <w:r w:rsidRPr="00880275">
        <w:br w:type="page"/>
      </w:r>
    </w:p>
    <w:p w14:paraId="5B2D5F3D" w14:textId="6C4A51B3" w:rsidR="005C560E" w:rsidRPr="00880275" w:rsidRDefault="005C560E" w:rsidP="00754FAE">
      <w:pPr>
        <w:pStyle w:val="Numberedparagraph"/>
      </w:pPr>
      <w:r w:rsidRPr="00880275">
        <w:lastRenderedPageBreak/>
        <w:t xml:space="preserve">In the first year of the </w:t>
      </w:r>
      <w:r w:rsidR="00E22F0E" w:rsidRPr="00880275">
        <w:t xml:space="preserve">Human Rights </w:t>
      </w:r>
      <w:r w:rsidRPr="00880275">
        <w:t xml:space="preserve">Act’s operation, the </w:t>
      </w:r>
      <w:r w:rsidR="00E22F0E" w:rsidRPr="00880275">
        <w:t xml:space="preserve">Commission </w:t>
      </w:r>
      <w:r w:rsidRPr="00880275">
        <w:t xml:space="preserve">developed 7 indicators </w:t>
      </w:r>
      <w:r w:rsidR="00FB46F0" w:rsidRPr="00880275">
        <w:t>of a developing human rights culture</w:t>
      </w:r>
      <w:r w:rsidR="00F53D1B" w:rsidRPr="00880275">
        <w:t xml:space="preserve"> in public entities</w:t>
      </w:r>
      <w:r w:rsidRPr="00880275">
        <w:t xml:space="preserve">, reflecting the elements in the </w:t>
      </w:r>
      <w:r w:rsidR="000E221F" w:rsidRPr="00880275">
        <w:t>c</w:t>
      </w:r>
      <w:r w:rsidRPr="00880275">
        <w:t xml:space="preserve">ascading culture change model. These indicators have become the basis of an annual survey </w:t>
      </w:r>
      <w:r w:rsidR="0026466E" w:rsidRPr="00880275">
        <w:t xml:space="preserve">conducted by the Commission of State </w:t>
      </w:r>
      <w:r w:rsidR="005C0CE1" w:rsidRPr="00880275">
        <w:t xml:space="preserve">departments </w:t>
      </w:r>
      <w:r w:rsidR="0026466E" w:rsidRPr="00880275">
        <w:t xml:space="preserve">and local government </w:t>
      </w:r>
      <w:r w:rsidRPr="00880275">
        <w:t xml:space="preserve">aimed at evaluating the extent to which the </w:t>
      </w:r>
      <w:r w:rsidR="0000075A" w:rsidRPr="00880275">
        <w:t>Human Rights</w:t>
      </w:r>
      <w:r w:rsidRPr="00880275">
        <w:t xml:space="preserve"> Act is influencing the</w:t>
      </w:r>
      <w:r w:rsidR="00854385" w:rsidRPr="00880275">
        <w:t>ir</w:t>
      </w:r>
      <w:r w:rsidRPr="00880275">
        <w:t xml:space="preserve"> day-to-day business. </w:t>
      </w:r>
      <w:r w:rsidR="00CC512A" w:rsidRPr="00880275">
        <w:t xml:space="preserve"> The indicators are:</w:t>
      </w:r>
    </w:p>
    <w:p w14:paraId="2B618711" w14:textId="60AE55FA" w:rsidR="00CC512A" w:rsidRPr="00880275" w:rsidRDefault="00FE0063" w:rsidP="00754FAE">
      <w:pPr>
        <w:pStyle w:val="Numberedparagraph"/>
        <w:numPr>
          <w:ilvl w:val="1"/>
          <w:numId w:val="4"/>
        </w:numPr>
      </w:pPr>
      <w:r w:rsidRPr="00880275">
        <w:t>Indicator 1: Staff awareness, education, and development</w:t>
      </w:r>
    </w:p>
    <w:p w14:paraId="00BD663B" w14:textId="11BE35D5" w:rsidR="00FE0063" w:rsidRPr="00880275" w:rsidRDefault="005071B5" w:rsidP="00754FAE">
      <w:pPr>
        <w:pStyle w:val="Numberedparagraph"/>
        <w:numPr>
          <w:ilvl w:val="1"/>
          <w:numId w:val="4"/>
        </w:numPr>
      </w:pPr>
      <w:r w:rsidRPr="00880275">
        <w:t>Indicator 2: Community consultation and engagement about human rights</w:t>
      </w:r>
    </w:p>
    <w:p w14:paraId="2A69B38B" w14:textId="0F05AE32" w:rsidR="00864F9E" w:rsidRPr="00880275" w:rsidRDefault="00864F9E" w:rsidP="00754FAE">
      <w:pPr>
        <w:pStyle w:val="Numberedparagraph"/>
        <w:numPr>
          <w:ilvl w:val="1"/>
          <w:numId w:val="4"/>
        </w:numPr>
      </w:pPr>
      <w:r w:rsidRPr="00880275">
        <w:t>Indicator 3: Awareness raising and support for related entities (including functional public entities engaged by the entity i.e. contractors)</w:t>
      </w:r>
    </w:p>
    <w:p w14:paraId="02469AA5" w14:textId="249D3F59" w:rsidR="00713355" w:rsidRPr="00880275" w:rsidRDefault="00713355" w:rsidP="00754FAE">
      <w:pPr>
        <w:pStyle w:val="Numberedparagraph"/>
        <w:numPr>
          <w:ilvl w:val="1"/>
          <w:numId w:val="4"/>
        </w:numPr>
      </w:pPr>
      <w:r w:rsidRPr="00880275">
        <w:t>Indicator 4: Reviews and development of legislation or subordinate legislation</w:t>
      </w:r>
    </w:p>
    <w:p w14:paraId="75BD9601" w14:textId="65350F41" w:rsidR="002118F6" w:rsidRPr="00880275" w:rsidRDefault="002118F6" w:rsidP="00754FAE">
      <w:pPr>
        <w:pStyle w:val="Numberedparagraph"/>
        <w:numPr>
          <w:ilvl w:val="1"/>
          <w:numId w:val="4"/>
        </w:numPr>
      </w:pPr>
      <w:r w:rsidRPr="00880275">
        <w:t>Indicator 5: Review of policies and procedures</w:t>
      </w:r>
    </w:p>
    <w:p w14:paraId="36959B4A" w14:textId="77777777" w:rsidR="002D2FAB" w:rsidRPr="00880275" w:rsidRDefault="002D2FAB" w:rsidP="00754FAE">
      <w:pPr>
        <w:pStyle w:val="Numberedparagraph"/>
        <w:numPr>
          <w:ilvl w:val="1"/>
          <w:numId w:val="4"/>
        </w:numPr>
      </w:pPr>
      <w:r w:rsidRPr="00880275">
        <w:t>Indicator 6: Internal complaint management for human rights complaints</w:t>
      </w:r>
    </w:p>
    <w:p w14:paraId="09334EF0" w14:textId="1D3287EF" w:rsidR="00674B34" w:rsidRPr="00880275" w:rsidRDefault="00674B34" w:rsidP="00754FAE">
      <w:pPr>
        <w:pStyle w:val="Numberedparagraph"/>
        <w:numPr>
          <w:ilvl w:val="1"/>
          <w:numId w:val="4"/>
        </w:numPr>
      </w:pPr>
      <w:r w:rsidRPr="00880275">
        <w:t xml:space="preserve">Indicator 7: </w:t>
      </w:r>
      <w:proofErr w:type="gramStart"/>
      <w:r w:rsidRPr="00880275">
        <w:t>Future plans</w:t>
      </w:r>
      <w:proofErr w:type="gramEnd"/>
    </w:p>
    <w:p w14:paraId="76AB821F" w14:textId="56F4004E" w:rsidR="005C560E" w:rsidRPr="00880275" w:rsidRDefault="005C560E" w:rsidP="00754FAE">
      <w:pPr>
        <w:pStyle w:val="Numberedparagraph"/>
      </w:pPr>
      <w:r w:rsidRPr="00880275">
        <w:t xml:space="preserve">The </w:t>
      </w:r>
      <w:r w:rsidR="00881F90" w:rsidRPr="00880275">
        <w:t>Commission</w:t>
      </w:r>
      <w:r w:rsidRPr="00880275">
        <w:t xml:space="preserve">’s annual reports prepared under the </w:t>
      </w:r>
      <w:r w:rsidR="00881F90" w:rsidRPr="00880275">
        <w:t>Human Rights Act</w:t>
      </w:r>
      <w:r w:rsidR="00784AB5" w:rsidRPr="00880275">
        <w:rPr>
          <w:rStyle w:val="FootnoteReference"/>
        </w:rPr>
        <w:footnoteReference w:id="4"/>
      </w:r>
      <w:r w:rsidRPr="00880275">
        <w:t xml:space="preserve"> </w:t>
      </w:r>
      <w:r w:rsidR="00792529" w:rsidRPr="00880275">
        <w:t>(</w:t>
      </w:r>
      <w:r w:rsidR="00792529" w:rsidRPr="00880275">
        <w:rPr>
          <w:b/>
          <w:bCs/>
        </w:rPr>
        <w:t>Human Rights Act annual reports</w:t>
      </w:r>
      <w:r w:rsidR="00792529" w:rsidRPr="00880275">
        <w:t xml:space="preserve">) </w:t>
      </w:r>
      <w:r w:rsidRPr="00880275">
        <w:t xml:space="preserve">provide </w:t>
      </w:r>
      <w:r w:rsidR="0000686A" w:rsidRPr="00880275">
        <w:t>detailed indicators,</w:t>
      </w:r>
      <w:r w:rsidRPr="00880275">
        <w:t xml:space="preserve"> a full discussion of the public entities surveyed and their responses</w:t>
      </w:r>
      <w:r w:rsidR="0000686A" w:rsidRPr="00880275">
        <w:t xml:space="preserve"> for the first four years of the Act</w:t>
      </w:r>
      <w:r w:rsidRPr="00880275">
        <w:t>.</w:t>
      </w:r>
      <w:r w:rsidRPr="00880275">
        <w:rPr>
          <w:rStyle w:val="FootnoteReference"/>
        </w:rPr>
        <w:footnoteReference w:id="5"/>
      </w:r>
      <w:r w:rsidR="003F57EB" w:rsidRPr="00880275">
        <w:t xml:space="preserve"> </w:t>
      </w:r>
    </w:p>
    <w:p w14:paraId="5E154D32" w14:textId="797ED2A1" w:rsidR="00396814" w:rsidRPr="00880275" w:rsidRDefault="00396814" w:rsidP="00754FAE">
      <w:pPr>
        <w:pStyle w:val="Numberedparagraph"/>
      </w:pPr>
      <w:r w:rsidRPr="00880275">
        <w:t xml:space="preserve">In 2021, the annual </w:t>
      </w:r>
      <w:r w:rsidRPr="00880275">
        <w:rPr>
          <w:i/>
          <w:iCs/>
        </w:rPr>
        <w:t>Working for Queensland</w:t>
      </w:r>
      <w:r w:rsidRPr="00880275">
        <w:t xml:space="preserve"> survey of over 80,000 </w:t>
      </w:r>
      <w:r w:rsidR="00CC027A" w:rsidRPr="00880275">
        <w:t>S</w:t>
      </w:r>
      <w:r w:rsidRPr="00880275">
        <w:t xml:space="preserve">tate public sector employees </w:t>
      </w:r>
      <w:r w:rsidR="00395489" w:rsidRPr="00880275">
        <w:t>asked for responses to the statement</w:t>
      </w:r>
      <w:r w:rsidR="00AF6D25" w:rsidRPr="00880275">
        <w:t>,</w:t>
      </w:r>
      <w:r w:rsidR="002B5121" w:rsidRPr="00880275">
        <w:t xml:space="preserve"> ‘I understand how the </w:t>
      </w:r>
      <w:r w:rsidR="002B5121" w:rsidRPr="00880275">
        <w:rPr>
          <w:i/>
          <w:iCs/>
        </w:rPr>
        <w:t>Human Rights Act 2019</w:t>
      </w:r>
      <w:r w:rsidR="002B5121" w:rsidRPr="00880275">
        <w:t xml:space="preserve"> applies to my work’. </w:t>
      </w:r>
      <w:r w:rsidR="003D4FF8" w:rsidRPr="00880275">
        <w:t xml:space="preserve">Results </w:t>
      </w:r>
      <w:r w:rsidR="00146A20" w:rsidRPr="00880275">
        <w:t xml:space="preserve">across the Queensland public sector </w:t>
      </w:r>
      <w:r w:rsidR="003D4FF8" w:rsidRPr="00880275">
        <w:t xml:space="preserve">have consistently </w:t>
      </w:r>
      <w:r w:rsidR="002451F2" w:rsidRPr="00880275">
        <w:t xml:space="preserve">been around 78% positive. </w:t>
      </w:r>
    </w:p>
    <w:p w14:paraId="1991971A" w14:textId="77777777" w:rsidR="006B302D" w:rsidRPr="00880275" w:rsidRDefault="006B302D">
      <w:pPr>
        <w:spacing w:after="0"/>
        <w:rPr>
          <w:rFonts w:eastAsiaTheme="minorHAnsi"/>
          <w:i/>
          <w:iCs/>
          <w:sz w:val="20"/>
          <w:szCs w:val="18"/>
        </w:rPr>
      </w:pPr>
      <w:bookmarkStart w:id="9" w:name="_Ref170324182"/>
      <w:r w:rsidRPr="00880275">
        <w:br w:type="page"/>
      </w:r>
    </w:p>
    <w:p w14:paraId="738317D6" w14:textId="5797B25E" w:rsidR="00EF7BDA" w:rsidRPr="00880275" w:rsidRDefault="00921228" w:rsidP="00292BC3">
      <w:pPr>
        <w:pStyle w:val="Caption"/>
      </w:pPr>
      <w:r w:rsidRPr="00880275">
        <w:lastRenderedPageBreak/>
        <w:t>Figure</w:t>
      </w:r>
      <w:r w:rsidR="001A2C47" w:rsidRPr="00880275">
        <w:t xml:space="preserve"> </w:t>
      </w:r>
      <w:r w:rsidRPr="00880275">
        <w:fldChar w:fldCharType="begin"/>
      </w:r>
      <w:r w:rsidRPr="00880275">
        <w:instrText xml:space="preserve"> SEQ Figure \* ARABIC </w:instrText>
      </w:r>
      <w:r w:rsidRPr="00880275">
        <w:fldChar w:fldCharType="separate"/>
      </w:r>
      <w:r w:rsidR="00BF3C68">
        <w:rPr>
          <w:noProof/>
        </w:rPr>
        <w:t>2</w:t>
      </w:r>
      <w:r w:rsidRPr="00880275">
        <w:fldChar w:fldCharType="end"/>
      </w:r>
      <w:r w:rsidR="00EF7BDA" w:rsidRPr="00880275">
        <w:t xml:space="preserve">: Results from the annual Working for Queensland survey in response to the </w:t>
      </w:r>
      <w:r w:rsidR="00395489" w:rsidRPr="00880275">
        <w:t xml:space="preserve">statement, </w:t>
      </w:r>
      <w:r w:rsidR="00EF7BDA" w:rsidRPr="00880275">
        <w:t>‘I understand how the Human Rights Act 2019 applies to my work’</w:t>
      </w:r>
      <w:bookmarkEnd w:id="9"/>
    </w:p>
    <w:tbl>
      <w:tblPr>
        <w:tblStyle w:val="TableGrid"/>
        <w:tblW w:w="0" w:type="auto"/>
        <w:tblInd w:w="567" w:type="dxa"/>
        <w:tblBorders>
          <w:top w:val="single" w:sz="8" w:space="0" w:color="004270"/>
          <w:left w:val="none" w:sz="0" w:space="0" w:color="auto"/>
          <w:bottom w:val="single" w:sz="8" w:space="0" w:color="004270"/>
          <w:right w:val="none" w:sz="0" w:space="0" w:color="auto"/>
          <w:insideH w:val="single" w:sz="8" w:space="0" w:color="004270"/>
          <w:insideV w:val="none" w:sz="0" w:space="0" w:color="auto"/>
        </w:tblBorders>
        <w:tblLook w:val="04A0" w:firstRow="1" w:lastRow="0" w:firstColumn="1" w:lastColumn="0" w:noHBand="0" w:noVBand="1"/>
      </w:tblPr>
      <w:tblGrid>
        <w:gridCol w:w="1964"/>
        <w:gridCol w:w="1988"/>
        <w:gridCol w:w="1980"/>
        <w:gridCol w:w="1999"/>
      </w:tblGrid>
      <w:tr w:rsidR="00AB7C34" w:rsidRPr="00880275" w14:paraId="7985EC19" w14:textId="77777777" w:rsidTr="00A63829">
        <w:tc>
          <w:tcPr>
            <w:tcW w:w="2122" w:type="dxa"/>
          </w:tcPr>
          <w:p w14:paraId="45C9F22B" w14:textId="561F79E9" w:rsidR="00AB7C34" w:rsidRPr="00880275" w:rsidRDefault="00A63829" w:rsidP="00754FAE">
            <w:pPr>
              <w:pStyle w:val="Numberedparagraph"/>
              <w:numPr>
                <w:ilvl w:val="0"/>
                <w:numId w:val="0"/>
              </w:numPr>
            </w:pPr>
            <w:r w:rsidRPr="00880275">
              <w:t>Year</w:t>
            </w:r>
          </w:p>
        </w:tc>
        <w:tc>
          <w:tcPr>
            <w:tcW w:w="2122" w:type="dxa"/>
          </w:tcPr>
          <w:p w14:paraId="6F5C3190" w14:textId="65178AC1" w:rsidR="00AB7C34" w:rsidRPr="00880275" w:rsidRDefault="00AB7C34" w:rsidP="00754FAE">
            <w:pPr>
              <w:pStyle w:val="Numberedparagraph"/>
              <w:numPr>
                <w:ilvl w:val="0"/>
                <w:numId w:val="0"/>
              </w:numPr>
            </w:pPr>
            <w:r w:rsidRPr="00880275">
              <w:t>Positive</w:t>
            </w:r>
            <w:r w:rsidR="00187E46" w:rsidRPr="00880275">
              <w:t xml:space="preserve"> (%)</w:t>
            </w:r>
          </w:p>
        </w:tc>
        <w:tc>
          <w:tcPr>
            <w:tcW w:w="2122" w:type="dxa"/>
          </w:tcPr>
          <w:p w14:paraId="3EE64844" w14:textId="469E80A3" w:rsidR="00AB7C34" w:rsidRPr="00880275" w:rsidRDefault="00AB7C34" w:rsidP="00754FAE">
            <w:pPr>
              <w:pStyle w:val="Numberedparagraph"/>
              <w:numPr>
                <w:ilvl w:val="0"/>
                <w:numId w:val="0"/>
              </w:numPr>
            </w:pPr>
            <w:r w:rsidRPr="00880275">
              <w:t>Neutral</w:t>
            </w:r>
            <w:r w:rsidR="00187E46" w:rsidRPr="00880275">
              <w:t xml:space="preserve"> (%)</w:t>
            </w:r>
          </w:p>
        </w:tc>
        <w:tc>
          <w:tcPr>
            <w:tcW w:w="2122" w:type="dxa"/>
          </w:tcPr>
          <w:p w14:paraId="236F225C" w14:textId="50DC3920" w:rsidR="00AB7C34" w:rsidRPr="00880275" w:rsidRDefault="00AB7C34" w:rsidP="00754FAE">
            <w:pPr>
              <w:pStyle w:val="Numberedparagraph"/>
              <w:numPr>
                <w:ilvl w:val="0"/>
                <w:numId w:val="0"/>
              </w:numPr>
            </w:pPr>
            <w:r w:rsidRPr="00880275">
              <w:t>Negative</w:t>
            </w:r>
            <w:r w:rsidR="00187E46" w:rsidRPr="00880275">
              <w:t xml:space="preserve"> (%)</w:t>
            </w:r>
          </w:p>
        </w:tc>
      </w:tr>
      <w:tr w:rsidR="00AB7C34" w:rsidRPr="00880275" w14:paraId="2AC116A9" w14:textId="77777777" w:rsidTr="00A63829">
        <w:tc>
          <w:tcPr>
            <w:tcW w:w="2122" w:type="dxa"/>
          </w:tcPr>
          <w:p w14:paraId="21BF82A1" w14:textId="289C199F" w:rsidR="00AB7C34" w:rsidRPr="00880275" w:rsidRDefault="00AB7C34" w:rsidP="00754FAE">
            <w:pPr>
              <w:pStyle w:val="Numberedparagraph"/>
              <w:numPr>
                <w:ilvl w:val="0"/>
                <w:numId w:val="0"/>
              </w:numPr>
            </w:pPr>
            <w:r w:rsidRPr="00880275">
              <w:t>2021</w:t>
            </w:r>
            <w:r w:rsidRPr="00880275">
              <w:rPr>
                <w:rStyle w:val="FootnoteReference"/>
              </w:rPr>
              <w:footnoteReference w:id="6"/>
            </w:r>
          </w:p>
        </w:tc>
        <w:tc>
          <w:tcPr>
            <w:tcW w:w="2122" w:type="dxa"/>
          </w:tcPr>
          <w:p w14:paraId="4B032498" w14:textId="69955EA0" w:rsidR="00AB7C34" w:rsidRPr="00880275" w:rsidRDefault="00E8428B" w:rsidP="00754FAE">
            <w:pPr>
              <w:pStyle w:val="Numberedparagraph"/>
              <w:numPr>
                <w:ilvl w:val="0"/>
                <w:numId w:val="0"/>
              </w:numPr>
            </w:pPr>
            <w:r w:rsidRPr="00880275">
              <w:t>78</w:t>
            </w:r>
          </w:p>
        </w:tc>
        <w:tc>
          <w:tcPr>
            <w:tcW w:w="2122" w:type="dxa"/>
          </w:tcPr>
          <w:p w14:paraId="529FA758" w14:textId="4325EA21" w:rsidR="00AB7C34" w:rsidRPr="00880275" w:rsidRDefault="00E8428B" w:rsidP="00754FAE">
            <w:pPr>
              <w:pStyle w:val="Numberedparagraph"/>
              <w:numPr>
                <w:ilvl w:val="0"/>
                <w:numId w:val="0"/>
              </w:numPr>
            </w:pPr>
            <w:r w:rsidRPr="00880275">
              <w:t>15</w:t>
            </w:r>
          </w:p>
        </w:tc>
        <w:tc>
          <w:tcPr>
            <w:tcW w:w="2122" w:type="dxa"/>
          </w:tcPr>
          <w:p w14:paraId="51E3C9C9" w14:textId="3EABF56E" w:rsidR="00AB7C34" w:rsidRPr="00880275" w:rsidRDefault="00586EAA" w:rsidP="00754FAE">
            <w:pPr>
              <w:pStyle w:val="Numberedparagraph"/>
              <w:numPr>
                <w:ilvl w:val="0"/>
                <w:numId w:val="0"/>
              </w:numPr>
            </w:pPr>
            <w:r w:rsidRPr="00880275">
              <w:t>7</w:t>
            </w:r>
          </w:p>
        </w:tc>
      </w:tr>
      <w:tr w:rsidR="00AB7C34" w:rsidRPr="00880275" w14:paraId="30350BB6" w14:textId="77777777" w:rsidTr="00A63829">
        <w:tc>
          <w:tcPr>
            <w:tcW w:w="2122" w:type="dxa"/>
          </w:tcPr>
          <w:p w14:paraId="4C8F27C9" w14:textId="4834DFCA" w:rsidR="00AB7C34" w:rsidRPr="00880275" w:rsidRDefault="00AB7C34" w:rsidP="00754FAE">
            <w:pPr>
              <w:pStyle w:val="Numberedparagraph"/>
              <w:numPr>
                <w:ilvl w:val="0"/>
                <w:numId w:val="0"/>
              </w:numPr>
            </w:pPr>
            <w:r w:rsidRPr="00880275">
              <w:t>2022</w:t>
            </w:r>
            <w:r w:rsidRPr="00880275">
              <w:rPr>
                <w:rStyle w:val="FootnoteReference"/>
              </w:rPr>
              <w:footnoteReference w:id="7"/>
            </w:r>
          </w:p>
        </w:tc>
        <w:tc>
          <w:tcPr>
            <w:tcW w:w="2122" w:type="dxa"/>
          </w:tcPr>
          <w:p w14:paraId="2AF6346B" w14:textId="27684B66" w:rsidR="00AB7C34" w:rsidRPr="00880275" w:rsidRDefault="00187E46" w:rsidP="00754FAE">
            <w:pPr>
              <w:pStyle w:val="Numberedparagraph"/>
              <w:numPr>
                <w:ilvl w:val="0"/>
                <w:numId w:val="0"/>
              </w:numPr>
            </w:pPr>
            <w:r w:rsidRPr="00880275">
              <w:t>77</w:t>
            </w:r>
          </w:p>
        </w:tc>
        <w:tc>
          <w:tcPr>
            <w:tcW w:w="2122" w:type="dxa"/>
          </w:tcPr>
          <w:p w14:paraId="4245C403" w14:textId="02F82AEF" w:rsidR="00AB7C34" w:rsidRPr="00880275" w:rsidRDefault="00187E46" w:rsidP="00754FAE">
            <w:pPr>
              <w:pStyle w:val="Numberedparagraph"/>
              <w:numPr>
                <w:ilvl w:val="0"/>
                <w:numId w:val="0"/>
              </w:numPr>
            </w:pPr>
            <w:r w:rsidRPr="00880275">
              <w:t>16</w:t>
            </w:r>
          </w:p>
        </w:tc>
        <w:tc>
          <w:tcPr>
            <w:tcW w:w="2122" w:type="dxa"/>
          </w:tcPr>
          <w:p w14:paraId="097D8A73" w14:textId="0593BD16" w:rsidR="00AB7C34" w:rsidRPr="00880275" w:rsidRDefault="00187E46" w:rsidP="00754FAE">
            <w:pPr>
              <w:pStyle w:val="Numberedparagraph"/>
              <w:numPr>
                <w:ilvl w:val="0"/>
                <w:numId w:val="0"/>
              </w:numPr>
            </w:pPr>
            <w:r w:rsidRPr="00880275">
              <w:t>8</w:t>
            </w:r>
          </w:p>
        </w:tc>
      </w:tr>
      <w:tr w:rsidR="00AB7C34" w:rsidRPr="00880275" w14:paraId="330DBCFF" w14:textId="77777777" w:rsidTr="00A63829">
        <w:tc>
          <w:tcPr>
            <w:tcW w:w="2122" w:type="dxa"/>
          </w:tcPr>
          <w:p w14:paraId="7E0F05DA" w14:textId="7BA8C63B" w:rsidR="00AB7C34" w:rsidRPr="00880275" w:rsidRDefault="00AB7C34" w:rsidP="00754FAE">
            <w:pPr>
              <w:pStyle w:val="Numberedparagraph"/>
              <w:numPr>
                <w:ilvl w:val="0"/>
                <w:numId w:val="0"/>
              </w:numPr>
            </w:pPr>
            <w:r w:rsidRPr="00880275">
              <w:t>2023</w:t>
            </w:r>
            <w:r w:rsidRPr="00880275">
              <w:rPr>
                <w:rStyle w:val="FootnoteReference"/>
              </w:rPr>
              <w:footnoteReference w:id="8"/>
            </w:r>
          </w:p>
        </w:tc>
        <w:tc>
          <w:tcPr>
            <w:tcW w:w="2122" w:type="dxa"/>
          </w:tcPr>
          <w:p w14:paraId="21607A01" w14:textId="79236FDF" w:rsidR="00AB7C34" w:rsidRPr="00880275" w:rsidRDefault="00187E46" w:rsidP="00754FAE">
            <w:pPr>
              <w:pStyle w:val="Numberedparagraph"/>
              <w:numPr>
                <w:ilvl w:val="0"/>
                <w:numId w:val="0"/>
              </w:numPr>
            </w:pPr>
            <w:r w:rsidRPr="00880275">
              <w:t>78</w:t>
            </w:r>
          </w:p>
        </w:tc>
        <w:tc>
          <w:tcPr>
            <w:tcW w:w="2122" w:type="dxa"/>
          </w:tcPr>
          <w:p w14:paraId="0D352AF1" w14:textId="72C1D685" w:rsidR="00AB7C34" w:rsidRPr="00880275" w:rsidRDefault="00187E46" w:rsidP="00754FAE">
            <w:pPr>
              <w:pStyle w:val="Numberedparagraph"/>
              <w:numPr>
                <w:ilvl w:val="0"/>
                <w:numId w:val="0"/>
              </w:numPr>
            </w:pPr>
            <w:r w:rsidRPr="00880275">
              <w:t>15</w:t>
            </w:r>
          </w:p>
        </w:tc>
        <w:tc>
          <w:tcPr>
            <w:tcW w:w="2122" w:type="dxa"/>
          </w:tcPr>
          <w:p w14:paraId="4BBD2A54" w14:textId="114F9A77" w:rsidR="00AB7C34" w:rsidRPr="00880275" w:rsidRDefault="00187E46" w:rsidP="00754FAE">
            <w:pPr>
              <w:pStyle w:val="Numberedparagraph"/>
              <w:numPr>
                <w:ilvl w:val="0"/>
                <w:numId w:val="0"/>
              </w:numPr>
            </w:pPr>
            <w:r w:rsidRPr="00880275">
              <w:t>7</w:t>
            </w:r>
          </w:p>
        </w:tc>
      </w:tr>
    </w:tbl>
    <w:p w14:paraId="532E32E8" w14:textId="77777777" w:rsidR="003B195A" w:rsidRPr="00880275" w:rsidRDefault="003B195A" w:rsidP="003B195A"/>
    <w:p w14:paraId="50F4AA9D" w14:textId="46F57FA2" w:rsidR="004C40F3" w:rsidRPr="00880275" w:rsidRDefault="004C40F3" w:rsidP="00AE31F2">
      <w:pPr>
        <w:pStyle w:val="Heading2"/>
      </w:pPr>
      <w:bookmarkStart w:id="10" w:name="_Toc171346747"/>
      <w:r w:rsidRPr="00880275">
        <w:t>Impacts of COVID-19</w:t>
      </w:r>
      <w:bookmarkEnd w:id="10"/>
    </w:p>
    <w:p w14:paraId="1B57A2DF" w14:textId="5515E9A6" w:rsidR="00EB7832" w:rsidRPr="00880275" w:rsidRDefault="00742FBF" w:rsidP="00754FAE">
      <w:pPr>
        <w:pStyle w:val="Numberedparagraph"/>
      </w:pPr>
      <w:r w:rsidRPr="00880275">
        <w:t>The</w:t>
      </w:r>
      <w:r w:rsidR="00EF7BDA" w:rsidRPr="00880275">
        <w:t xml:space="preserve"> Human Rights Act </w:t>
      </w:r>
      <w:r w:rsidRPr="00880275">
        <w:t xml:space="preserve">commenced operation in full </w:t>
      </w:r>
      <w:r w:rsidR="00EF7BDA" w:rsidRPr="00880275">
        <w:t>on 1 January 2020</w:t>
      </w:r>
      <w:r w:rsidR="00C4770B" w:rsidRPr="00880275">
        <w:t>. On 29</w:t>
      </w:r>
      <w:r w:rsidR="008606A9" w:rsidRPr="00880275">
        <w:t> </w:t>
      </w:r>
      <w:r w:rsidR="00C4770B" w:rsidRPr="00880275">
        <w:t xml:space="preserve">January 2020, </w:t>
      </w:r>
      <w:r w:rsidR="00EB7832" w:rsidRPr="00880275">
        <w:t>the Queensland Government</w:t>
      </w:r>
      <w:r w:rsidR="00C4770B" w:rsidRPr="00880275">
        <w:t xml:space="preserve"> declared </w:t>
      </w:r>
      <w:r w:rsidR="00EB7832" w:rsidRPr="00880275">
        <w:t>a public health emergency</w:t>
      </w:r>
      <w:r w:rsidR="00B00528" w:rsidRPr="00880275">
        <w:t xml:space="preserve"> </w:t>
      </w:r>
      <w:r w:rsidR="00BD0001" w:rsidRPr="00880275">
        <w:t>because of</w:t>
      </w:r>
      <w:r w:rsidR="002F3DA5" w:rsidRPr="00880275">
        <w:t xml:space="preserve"> </w:t>
      </w:r>
      <w:r w:rsidR="00CB2CFA" w:rsidRPr="00880275">
        <w:t xml:space="preserve">the </w:t>
      </w:r>
      <w:r w:rsidR="00B00528" w:rsidRPr="00880275">
        <w:t>COVID-19</w:t>
      </w:r>
      <w:r w:rsidR="00CB2CFA" w:rsidRPr="00880275">
        <w:t xml:space="preserve"> pandemic, which </w:t>
      </w:r>
      <w:r w:rsidR="00F676A5" w:rsidRPr="00880275">
        <w:t xml:space="preserve">continued until </w:t>
      </w:r>
      <w:r w:rsidR="00EB7832" w:rsidRPr="00880275">
        <w:t>1 November 2022.</w:t>
      </w:r>
      <w:r w:rsidR="00A36D1A" w:rsidRPr="00880275">
        <w:t xml:space="preserve"> </w:t>
      </w:r>
      <w:r w:rsidR="00CB2CFA" w:rsidRPr="00880275">
        <w:t xml:space="preserve">The </w:t>
      </w:r>
      <w:r w:rsidR="00B00528" w:rsidRPr="00880275">
        <w:t xml:space="preserve">government’s response to the pandemic </w:t>
      </w:r>
      <w:r w:rsidR="007A7405" w:rsidRPr="00880275">
        <w:t xml:space="preserve">immediately </w:t>
      </w:r>
      <w:r w:rsidR="006A4DF3" w:rsidRPr="00880275">
        <w:t>placed</w:t>
      </w:r>
      <w:r w:rsidR="00022045" w:rsidRPr="00880275">
        <w:t xml:space="preserve"> implementation of the Act’s obligations and functions to the test. </w:t>
      </w:r>
    </w:p>
    <w:p w14:paraId="7E0789C1" w14:textId="31783D95" w:rsidR="00960004" w:rsidRPr="00880275" w:rsidRDefault="005C2FA2" w:rsidP="00754FAE">
      <w:pPr>
        <w:pStyle w:val="Numberedparagraph"/>
      </w:pPr>
      <w:r w:rsidRPr="00880275">
        <w:t xml:space="preserve">While the challenges were considerable, so too have been the gains in developing Queensland’s human rights culture. The Human Rights Act provided a framework for a consistent, nuanced assessment of public health directions in an evolving environment against international human rights standards. </w:t>
      </w:r>
      <w:r w:rsidR="00A04DFE" w:rsidRPr="00880275">
        <w:t xml:space="preserve">Human rights were considered in statements of compatibility prepared in relation to emergency legislation passed and no declarations overriding the Human Rights Act were made. </w:t>
      </w:r>
      <w:r w:rsidR="00AA225B" w:rsidRPr="00880275">
        <w:t xml:space="preserve">The Commission’s functions under the Act allowed the Commission </w:t>
      </w:r>
      <w:r w:rsidR="00395489" w:rsidRPr="00880275">
        <w:t>to</w:t>
      </w:r>
      <w:r w:rsidR="00AA225B" w:rsidRPr="00880275">
        <w:t xml:space="preserve"> </w:t>
      </w:r>
      <w:r w:rsidRPr="00880275">
        <w:t>raise issues directly with the Chief Health Officer (</w:t>
      </w:r>
      <w:r w:rsidRPr="00880275">
        <w:rPr>
          <w:b/>
        </w:rPr>
        <w:t>CHO</w:t>
      </w:r>
      <w:r w:rsidRPr="00880275">
        <w:t xml:space="preserve">) and other key agencies.  </w:t>
      </w:r>
    </w:p>
    <w:p w14:paraId="1D02D04A" w14:textId="0F77DBBE" w:rsidR="005C2FA2" w:rsidRPr="00880275" w:rsidRDefault="005C2FA2" w:rsidP="00754FAE">
      <w:pPr>
        <w:pStyle w:val="Numberedparagraph"/>
      </w:pPr>
      <w:r w:rsidRPr="00880275">
        <w:t xml:space="preserve">The Human Rights Act </w:t>
      </w:r>
      <w:r w:rsidR="00960004" w:rsidRPr="00880275">
        <w:t>complaint process gave people a</w:t>
      </w:r>
      <w:r w:rsidR="00795028" w:rsidRPr="00880275">
        <w:t xml:space="preserve">n avenue </w:t>
      </w:r>
      <w:r w:rsidR="00960004" w:rsidRPr="00880275">
        <w:t>in which to raise their human rights concerns and, in some cases, have them quickly resolved</w:t>
      </w:r>
      <w:r w:rsidRPr="00880275">
        <w:t xml:space="preserve">. </w:t>
      </w:r>
      <w:r w:rsidR="00A670E1" w:rsidRPr="00880275">
        <w:t xml:space="preserve">Trends in </w:t>
      </w:r>
      <w:r w:rsidR="00795028" w:rsidRPr="00880275">
        <w:t xml:space="preserve">complaints data could be relayed </w:t>
      </w:r>
      <w:r w:rsidRPr="00880275">
        <w:t>to the CHO and other key agencies</w:t>
      </w:r>
      <w:r w:rsidR="00281622" w:rsidRPr="00880275">
        <w:t xml:space="preserve"> </w:t>
      </w:r>
      <w:r w:rsidR="00145045" w:rsidRPr="00880275">
        <w:t>as an evidence</w:t>
      </w:r>
      <w:r w:rsidR="00395489" w:rsidRPr="00880275">
        <w:t xml:space="preserve"> </w:t>
      </w:r>
      <w:r w:rsidR="00145045" w:rsidRPr="00880275">
        <w:t xml:space="preserve">base for </w:t>
      </w:r>
      <w:r w:rsidR="00281622" w:rsidRPr="00880275">
        <w:t xml:space="preserve">systemic </w:t>
      </w:r>
      <w:proofErr w:type="gramStart"/>
      <w:r w:rsidR="00281622" w:rsidRPr="00880275">
        <w:t>reform, or</w:t>
      </w:r>
      <w:proofErr w:type="gramEnd"/>
      <w:r w:rsidR="00281622" w:rsidRPr="00880275">
        <w:t xml:space="preserve"> </w:t>
      </w:r>
      <w:r w:rsidR="00961853" w:rsidRPr="00880275">
        <w:t>used in submissions to parliament</w:t>
      </w:r>
      <w:r w:rsidRPr="00880275">
        <w:t xml:space="preserve">. </w:t>
      </w:r>
      <w:r w:rsidR="00F018C9" w:rsidRPr="00880275">
        <w:t xml:space="preserve">Complaints and enquiries data </w:t>
      </w:r>
      <w:r w:rsidR="00A95633" w:rsidRPr="00880275">
        <w:t xml:space="preserve">was also </w:t>
      </w:r>
      <w:r w:rsidR="00F018C9" w:rsidRPr="00880275">
        <w:t xml:space="preserve">used </w:t>
      </w:r>
      <w:r w:rsidR="006975B3" w:rsidRPr="00880275">
        <w:t xml:space="preserve">by the Commission </w:t>
      </w:r>
      <w:r w:rsidR="00F018C9" w:rsidRPr="00880275">
        <w:t>to</w:t>
      </w:r>
      <w:r w:rsidR="006975B3" w:rsidRPr="00880275">
        <w:t xml:space="preserve"> prepare publications on key issues to assist the community to navigate their rights. </w:t>
      </w:r>
    </w:p>
    <w:p w14:paraId="0FFD6441" w14:textId="77777777" w:rsidR="005C2FA2" w:rsidRPr="00880275" w:rsidRDefault="005C2FA2" w:rsidP="00754FAE">
      <w:pPr>
        <w:pStyle w:val="Numberedparagraph"/>
      </w:pPr>
      <w:r w:rsidRPr="00880275">
        <w:t xml:space="preserve">Hotel quarantine, mask requirements, vaccines, lockdowns, and border closures occupied much space in media coverage and public discourse, and </w:t>
      </w:r>
      <w:r w:rsidRPr="00880275">
        <w:lastRenderedPageBreak/>
        <w:t xml:space="preserve">along with that has come an accelerated understanding of the need to balance people’s human rights against the rights of others, both individually and collectively. </w:t>
      </w:r>
    </w:p>
    <w:p w14:paraId="06FBBC07" w14:textId="6101286A" w:rsidR="005C2FA2" w:rsidRPr="00880275" w:rsidRDefault="005C2FA2" w:rsidP="00754FAE">
      <w:pPr>
        <w:pStyle w:val="Numberedparagraph"/>
      </w:pPr>
      <w:r w:rsidRPr="00880275">
        <w:t xml:space="preserve">Many public entities indicated a willingness to engage in human rights dialogue when issues were raised, and to consider less restrictive alternatives to </w:t>
      </w:r>
      <w:r w:rsidR="00F7620F" w:rsidRPr="00880275">
        <w:t xml:space="preserve">limiting </w:t>
      </w:r>
      <w:r w:rsidRPr="00880275">
        <w:t xml:space="preserve">rights. Advocates also reported positive outcomes from raising human rights arguments in their dealings with public entities. </w:t>
      </w:r>
    </w:p>
    <w:p w14:paraId="025AAC5B" w14:textId="27FDE58C" w:rsidR="00781676" w:rsidRPr="00880275" w:rsidRDefault="00436674" w:rsidP="00754FAE">
      <w:pPr>
        <w:pStyle w:val="Numberedparagraph"/>
      </w:pPr>
      <w:r w:rsidRPr="00880275">
        <w:t>Unfortunately</w:t>
      </w:r>
      <w:r w:rsidR="00781676" w:rsidRPr="00880275">
        <w:t xml:space="preserve">, </w:t>
      </w:r>
      <w:r w:rsidR="006E1439" w:rsidRPr="00880275">
        <w:t xml:space="preserve">dramatic increases in </w:t>
      </w:r>
      <w:r w:rsidR="00781676" w:rsidRPr="00880275">
        <w:t xml:space="preserve">complaints </w:t>
      </w:r>
      <w:r w:rsidR="000965C0" w:rsidRPr="00880275">
        <w:t xml:space="preserve">and enquiries </w:t>
      </w:r>
      <w:r w:rsidR="006E1439" w:rsidRPr="00880275">
        <w:t>on</w:t>
      </w:r>
      <w:r w:rsidR="00007532" w:rsidRPr="00880275">
        <w:t xml:space="preserve"> </w:t>
      </w:r>
      <w:r w:rsidR="00781676" w:rsidRPr="00880275">
        <w:t>COVID-19-related issues</w:t>
      </w:r>
      <w:r w:rsidR="00461C08" w:rsidRPr="00880275">
        <w:t xml:space="preserve"> overwhelmed </w:t>
      </w:r>
      <w:r w:rsidR="00F7620F" w:rsidRPr="00880275">
        <w:t xml:space="preserve">the Commission’s </w:t>
      </w:r>
      <w:r w:rsidR="00461C08" w:rsidRPr="00880275">
        <w:t xml:space="preserve">complaint handling </w:t>
      </w:r>
      <w:r w:rsidR="00F7620F" w:rsidRPr="00880275">
        <w:t>capacity</w:t>
      </w:r>
      <w:r w:rsidR="00670976" w:rsidRPr="00880275">
        <w:t xml:space="preserve">. This led to </w:t>
      </w:r>
      <w:r w:rsidR="00525AE7" w:rsidRPr="00880275">
        <w:t>long delays</w:t>
      </w:r>
      <w:r w:rsidR="00702449" w:rsidRPr="00880275">
        <w:t xml:space="preserve"> and </w:t>
      </w:r>
      <w:r w:rsidR="00670976" w:rsidRPr="00880275">
        <w:t xml:space="preserve">a lack of </w:t>
      </w:r>
      <w:r w:rsidR="00F7620F" w:rsidRPr="00880275">
        <w:t xml:space="preserve">ability </w:t>
      </w:r>
      <w:r w:rsidR="00670976" w:rsidRPr="00880275">
        <w:t xml:space="preserve">to explore more innovative approaches to resolving disputes </w:t>
      </w:r>
      <w:r w:rsidR="00166EDE" w:rsidRPr="00880275">
        <w:t xml:space="preserve">allowed for </w:t>
      </w:r>
      <w:r w:rsidR="00670976" w:rsidRPr="00880275">
        <w:t>under the Human Rights</w:t>
      </w:r>
      <w:r w:rsidR="005D4019" w:rsidRPr="00880275">
        <w:t xml:space="preserve"> Act</w:t>
      </w:r>
      <w:r w:rsidR="00525AE7" w:rsidRPr="00880275">
        <w:t>.</w:t>
      </w:r>
    </w:p>
    <w:p w14:paraId="08BA3305" w14:textId="1EF240A0" w:rsidR="003F2B29" w:rsidRPr="00880275" w:rsidRDefault="00921228" w:rsidP="00292BC3">
      <w:pPr>
        <w:pStyle w:val="Caption"/>
      </w:pPr>
      <w:r w:rsidRPr="00880275">
        <w:t>Figure</w:t>
      </w:r>
      <w:r w:rsidR="003F2B29" w:rsidRPr="00880275">
        <w:t xml:space="preserve"> </w:t>
      </w:r>
      <w:r w:rsidRPr="00880275">
        <w:fldChar w:fldCharType="begin"/>
      </w:r>
      <w:r w:rsidRPr="00880275">
        <w:instrText xml:space="preserve"> SEQ Figure \* ARABIC </w:instrText>
      </w:r>
      <w:r w:rsidRPr="00880275">
        <w:fldChar w:fldCharType="separate"/>
      </w:r>
      <w:r w:rsidR="00BF3C68">
        <w:rPr>
          <w:noProof/>
        </w:rPr>
        <w:t>3</w:t>
      </w:r>
      <w:r w:rsidRPr="00880275">
        <w:fldChar w:fldCharType="end"/>
      </w:r>
      <w:r w:rsidR="003F2B29" w:rsidRPr="00880275">
        <w:t xml:space="preserve">: </w:t>
      </w:r>
      <w:r w:rsidR="004A7BCF" w:rsidRPr="00880275">
        <w:t>C</w:t>
      </w:r>
      <w:r w:rsidR="00167080" w:rsidRPr="00880275">
        <w:t xml:space="preserve">omplaints received / finalised </w:t>
      </w:r>
      <w:r w:rsidR="009006BF" w:rsidRPr="00880275">
        <w:t xml:space="preserve">by </w:t>
      </w:r>
      <w:r w:rsidR="00167080" w:rsidRPr="00880275">
        <w:t xml:space="preserve">and enquiries </w:t>
      </w:r>
      <w:r w:rsidR="00D518DC" w:rsidRPr="00880275">
        <w:t xml:space="preserve">to the Commission </w:t>
      </w:r>
      <w:r w:rsidR="00167080" w:rsidRPr="00880275">
        <w:t>from 2018-</w:t>
      </w:r>
      <w:r w:rsidR="00F13205" w:rsidRPr="00880275">
        <w:t>2023</w:t>
      </w:r>
      <w:r w:rsidR="008F08D9" w:rsidRPr="00880275">
        <w:rPr>
          <w:rStyle w:val="FootnoteReference"/>
          <w:vertAlign w:val="baseline"/>
        </w:rPr>
        <w:footnoteReference w:id="9"/>
      </w:r>
    </w:p>
    <w:tbl>
      <w:tblPr>
        <w:tblStyle w:val="TableGrid"/>
        <w:tblW w:w="0" w:type="auto"/>
        <w:tblInd w:w="567" w:type="dxa"/>
        <w:tblBorders>
          <w:top w:val="single" w:sz="8" w:space="0" w:color="004270"/>
          <w:left w:val="none" w:sz="0" w:space="0" w:color="auto"/>
          <w:bottom w:val="single" w:sz="8" w:space="0" w:color="004270"/>
          <w:right w:val="none" w:sz="0" w:space="0" w:color="auto"/>
          <w:insideH w:val="single" w:sz="8" w:space="0" w:color="004270"/>
          <w:insideV w:val="none" w:sz="0" w:space="0" w:color="auto"/>
        </w:tblBorders>
        <w:tblLook w:val="04A0" w:firstRow="1" w:lastRow="0" w:firstColumn="1" w:lastColumn="0" w:noHBand="0" w:noVBand="1"/>
      </w:tblPr>
      <w:tblGrid>
        <w:gridCol w:w="2122"/>
        <w:gridCol w:w="1564"/>
        <w:gridCol w:w="2405"/>
        <w:gridCol w:w="1830"/>
      </w:tblGrid>
      <w:tr w:rsidR="002D1B06" w:rsidRPr="00880275" w14:paraId="140B76D0" w14:textId="77777777" w:rsidTr="00083E48">
        <w:tc>
          <w:tcPr>
            <w:tcW w:w="2122" w:type="dxa"/>
            <w:vAlign w:val="center"/>
          </w:tcPr>
          <w:p w14:paraId="0E414241" w14:textId="64B2AA35" w:rsidR="002D1B06" w:rsidRPr="00880275" w:rsidRDefault="00CA6360" w:rsidP="00CA6360">
            <w:pPr>
              <w:rPr>
                <w:b/>
                <w:color w:val="004270"/>
              </w:rPr>
            </w:pPr>
            <w:r w:rsidRPr="00880275">
              <w:rPr>
                <w:b/>
                <w:color w:val="004270"/>
              </w:rPr>
              <w:t>Financial year</w:t>
            </w:r>
          </w:p>
        </w:tc>
        <w:tc>
          <w:tcPr>
            <w:tcW w:w="1564" w:type="dxa"/>
            <w:vAlign w:val="center"/>
          </w:tcPr>
          <w:p w14:paraId="540F84CD" w14:textId="75C63E55" w:rsidR="002D1B06" w:rsidRPr="00880275" w:rsidRDefault="002D1B06" w:rsidP="00754FAE">
            <w:pPr>
              <w:pStyle w:val="Numberedparagraph"/>
              <w:numPr>
                <w:ilvl w:val="0"/>
                <w:numId w:val="0"/>
              </w:numPr>
            </w:pPr>
            <w:r w:rsidRPr="00880275">
              <w:t>Complaints received</w:t>
            </w:r>
          </w:p>
        </w:tc>
        <w:tc>
          <w:tcPr>
            <w:tcW w:w="2405" w:type="dxa"/>
            <w:vAlign w:val="center"/>
          </w:tcPr>
          <w:p w14:paraId="78976F6F" w14:textId="3C8EF9BC" w:rsidR="002D1B06" w:rsidRPr="00880275" w:rsidRDefault="002D1B06" w:rsidP="00754FAE">
            <w:pPr>
              <w:pStyle w:val="Numberedparagraph"/>
              <w:numPr>
                <w:ilvl w:val="0"/>
                <w:numId w:val="0"/>
              </w:numPr>
            </w:pPr>
            <w:r w:rsidRPr="00880275">
              <w:t>Complaints finalised (% COVID-related)</w:t>
            </w:r>
          </w:p>
        </w:tc>
        <w:tc>
          <w:tcPr>
            <w:tcW w:w="1830" w:type="dxa"/>
            <w:vAlign w:val="center"/>
          </w:tcPr>
          <w:p w14:paraId="649ADB86" w14:textId="371E6340" w:rsidR="002D1B06" w:rsidRPr="00880275" w:rsidRDefault="002D1B06" w:rsidP="00754FAE">
            <w:pPr>
              <w:pStyle w:val="Numberedparagraph"/>
              <w:numPr>
                <w:ilvl w:val="0"/>
                <w:numId w:val="0"/>
              </w:numPr>
            </w:pPr>
            <w:r w:rsidRPr="00880275">
              <w:t>Enquiries (% COVID-related)</w:t>
            </w:r>
          </w:p>
        </w:tc>
      </w:tr>
      <w:tr w:rsidR="00C732D1" w:rsidRPr="00880275" w14:paraId="73B7EB8F" w14:textId="77777777" w:rsidTr="00083E48">
        <w:tc>
          <w:tcPr>
            <w:tcW w:w="2122" w:type="dxa"/>
            <w:vAlign w:val="center"/>
          </w:tcPr>
          <w:p w14:paraId="293CC82E" w14:textId="6036BE66" w:rsidR="00C732D1" w:rsidRPr="00880275" w:rsidRDefault="00C732D1" w:rsidP="00083E48">
            <w:r w:rsidRPr="00880275">
              <w:t>2018-2019</w:t>
            </w:r>
          </w:p>
        </w:tc>
        <w:tc>
          <w:tcPr>
            <w:tcW w:w="1564" w:type="dxa"/>
            <w:vAlign w:val="center"/>
          </w:tcPr>
          <w:p w14:paraId="1BD84BA7" w14:textId="2F334B5D" w:rsidR="00C732D1" w:rsidRPr="00880275" w:rsidRDefault="00C732D1" w:rsidP="00754FAE">
            <w:pPr>
              <w:pStyle w:val="Numberedparagraph"/>
              <w:numPr>
                <w:ilvl w:val="0"/>
                <w:numId w:val="0"/>
              </w:numPr>
            </w:pPr>
            <w:r w:rsidRPr="00880275">
              <w:t>961</w:t>
            </w:r>
          </w:p>
        </w:tc>
        <w:tc>
          <w:tcPr>
            <w:tcW w:w="2405" w:type="dxa"/>
            <w:vAlign w:val="center"/>
          </w:tcPr>
          <w:p w14:paraId="53DB0F52" w14:textId="5DDEEF5F" w:rsidR="00C732D1" w:rsidRPr="00880275" w:rsidRDefault="00C732D1" w:rsidP="00754FAE">
            <w:pPr>
              <w:pStyle w:val="Numberedparagraph"/>
              <w:numPr>
                <w:ilvl w:val="0"/>
                <w:numId w:val="0"/>
              </w:numPr>
            </w:pPr>
            <w:r w:rsidRPr="00880275">
              <w:t>849 (NA)</w:t>
            </w:r>
          </w:p>
        </w:tc>
        <w:tc>
          <w:tcPr>
            <w:tcW w:w="1830" w:type="dxa"/>
            <w:vAlign w:val="center"/>
          </w:tcPr>
          <w:p w14:paraId="15E7ABD6" w14:textId="4C91FF61" w:rsidR="00C732D1" w:rsidRPr="00880275" w:rsidRDefault="00C732D1" w:rsidP="00754FAE">
            <w:pPr>
              <w:pStyle w:val="Numberedparagraph"/>
              <w:numPr>
                <w:ilvl w:val="0"/>
                <w:numId w:val="0"/>
              </w:numPr>
            </w:pPr>
            <w:r w:rsidRPr="00880275">
              <w:t>2637 (NA)</w:t>
            </w:r>
          </w:p>
        </w:tc>
      </w:tr>
      <w:tr w:rsidR="002D1B06" w:rsidRPr="00880275" w14:paraId="74D646B5" w14:textId="77777777" w:rsidTr="00083E48">
        <w:tc>
          <w:tcPr>
            <w:tcW w:w="2122" w:type="dxa"/>
            <w:vAlign w:val="center"/>
          </w:tcPr>
          <w:p w14:paraId="47A62634" w14:textId="1B9A5408" w:rsidR="002D1B06" w:rsidRPr="00880275" w:rsidRDefault="002D1B06" w:rsidP="00754FAE">
            <w:pPr>
              <w:pStyle w:val="Numberedparagraph"/>
              <w:numPr>
                <w:ilvl w:val="0"/>
                <w:numId w:val="0"/>
              </w:numPr>
            </w:pPr>
            <w:r w:rsidRPr="00880275">
              <w:t>2019-2020</w:t>
            </w:r>
          </w:p>
        </w:tc>
        <w:tc>
          <w:tcPr>
            <w:tcW w:w="1564" w:type="dxa"/>
            <w:vAlign w:val="center"/>
          </w:tcPr>
          <w:p w14:paraId="3F740F2B" w14:textId="37F2684F" w:rsidR="002D1B06" w:rsidRPr="00880275" w:rsidRDefault="00A01B6B" w:rsidP="00754FAE">
            <w:pPr>
              <w:pStyle w:val="Numberedparagraph"/>
              <w:numPr>
                <w:ilvl w:val="0"/>
                <w:numId w:val="0"/>
              </w:numPr>
            </w:pPr>
            <w:r w:rsidRPr="00880275">
              <w:t>1093</w:t>
            </w:r>
          </w:p>
        </w:tc>
        <w:tc>
          <w:tcPr>
            <w:tcW w:w="2405" w:type="dxa"/>
            <w:vAlign w:val="center"/>
          </w:tcPr>
          <w:p w14:paraId="4C146ED5" w14:textId="12DCE619" w:rsidR="002D1B06" w:rsidRPr="00880275" w:rsidRDefault="002D1B06" w:rsidP="00754FAE">
            <w:pPr>
              <w:pStyle w:val="Numberedparagraph"/>
              <w:numPr>
                <w:ilvl w:val="0"/>
                <w:numId w:val="0"/>
              </w:numPr>
            </w:pPr>
            <w:r w:rsidRPr="00880275">
              <w:t>1025 (5%)</w:t>
            </w:r>
          </w:p>
        </w:tc>
        <w:tc>
          <w:tcPr>
            <w:tcW w:w="1830" w:type="dxa"/>
            <w:vAlign w:val="center"/>
          </w:tcPr>
          <w:p w14:paraId="46ECC855" w14:textId="4E5102FD" w:rsidR="002D1B06" w:rsidRPr="00880275" w:rsidRDefault="002D1B06" w:rsidP="00754FAE">
            <w:pPr>
              <w:pStyle w:val="Numberedparagraph"/>
              <w:numPr>
                <w:ilvl w:val="0"/>
                <w:numId w:val="0"/>
              </w:numPr>
            </w:pPr>
            <w:r w:rsidRPr="00880275">
              <w:t>3947 (not recorded)</w:t>
            </w:r>
          </w:p>
        </w:tc>
      </w:tr>
      <w:tr w:rsidR="002D1B06" w:rsidRPr="00880275" w14:paraId="10AB962B" w14:textId="77777777" w:rsidTr="00083E48">
        <w:tc>
          <w:tcPr>
            <w:tcW w:w="2122" w:type="dxa"/>
            <w:vAlign w:val="center"/>
          </w:tcPr>
          <w:p w14:paraId="16D9C8E1" w14:textId="150E57EE" w:rsidR="002D1B06" w:rsidRPr="00880275" w:rsidRDefault="002D1B06" w:rsidP="00754FAE">
            <w:pPr>
              <w:pStyle w:val="Numberedparagraph"/>
              <w:numPr>
                <w:ilvl w:val="0"/>
                <w:numId w:val="0"/>
              </w:numPr>
            </w:pPr>
            <w:r w:rsidRPr="00880275">
              <w:t>2020-2021</w:t>
            </w:r>
          </w:p>
        </w:tc>
        <w:tc>
          <w:tcPr>
            <w:tcW w:w="1564" w:type="dxa"/>
            <w:vAlign w:val="center"/>
          </w:tcPr>
          <w:p w14:paraId="68265966" w14:textId="5C09657F" w:rsidR="002D1B06" w:rsidRPr="00880275" w:rsidRDefault="0084614F" w:rsidP="00754FAE">
            <w:pPr>
              <w:pStyle w:val="Numberedparagraph"/>
              <w:numPr>
                <w:ilvl w:val="0"/>
                <w:numId w:val="0"/>
              </w:numPr>
            </w:pPr>
            <w:r w:rsidRPr="00880275">
              <w:t>1490</w:t>
            </w:r>
          </w:p>
        </w:tc>
        <w:tc>
          <w:tcPr>
            <w:tcW w:w="2405" w:type="dxa"/>
            <w:vAlign w:val="center"/>
          </w:tcPr>
          <w:p w14:paraId="3BFC25DF" w14:textId="60DF0DEE" w:rsidR="002D1B06" w:rsidRPr="00880275" w:rsidRDefault="002D1B06" w:rsidP="00754FAE">
            <w:pPr>
              <w:pStyle w:val="Numberedparagraph"/>
              <w:numPr>
                <w:ilvl w:val="0"/>
                <w:numId w:val="0"/>
              </w:numPr>
            </w:pPr>
            <w:r w:rsidRPr="00880275">
              <w:t>1142 (18%)</w:t>
            </w:r>
          </w:p>
        </w:tc>
        <w:tc>
          <w:tcPr>
            <w:tcW w:w="1830" w:type="dxa"/>
            <w:vAlign w:val="center"/>
          </w:tcPr>
          <w:p w14:paraId="5345B673" w14:textId="0F2AA30B" w:rsidR="002D1B06" w:rsidRPr="00880275" w:rsidRDefault="002D1B06" w:rsidP="00754FAE">
            <w:pPr>
              <w:pStyle w:val="Numberedparagraph"/>
              <w:numPr>
                <w:ilvl w:val="0"/>
                <w:numId w:val="0"/>
              </w:numPr>
            </w:pPr>
            <w:r w:rsidRPr="00880275">
              <w:t>5849 (</w:t>
            </w:r>
            <w:r w:rsidR="000D2A1F" w:rsidRPr="00880275">
              <w:t>8%</w:t>
            </w:r>
            <w:r w:rsidRPr="00880275">
              <w:t>)</w:t>
            </w:r>
          </w:p>
        </w:tc>
      </w:tr>
      <w:tr w:rsidR="002D1B06" w:rsidRPr="00880275" w14:paraId="6149856A" w14:textId="77777777" w:rsidTr="00083E48">
        <w:tc>
          <w:tcPr>
            <w:tcW w:w="2122" w:type="dxa"/>
            <w:vAlign w:val="center"/>
          </w:tcPr>
          <w:p w14:paraId="21AC9A7B" w14:textId="262B904B" w:rsidR="002D1B06" w:rsidRPr="00880275" w:rsidRDefault="002D1B06" w:rsidP="00754FAE">
            <w:pPr>
              <w:pStyle w:val="Numberedparagraph"/>
              <w:numPr>
                <w:ilvl w:val="0"/>
                <w:numId w:val="0"/>
              </w:numPr>
            </w:pPr>
            <w:r w:rsidRPr="00880275">
              <w:t>2021-2022</w:t>
            </w:r>
          </w:p>
        </w:tc>
        <w:tc>
          <w:tcPr>
            <w:tcW w:w="1564" w:type="dxa"/>
            <w:vAlign w:val="center"/>
          </w:tcPr>
          <w:p w14:paraId="408DBFF5" w14:textId="3F2AFED7" w:rsidR="002D1B06" w:rsidRPr="00880275" w:rsidRDefault="005838E2" w:rsidP="00754FAE">
            <w:pPr>
              <w:pStyle w:val="Numberedparagraph"/>
              <w:numPr>
                <w:ilvl w:val="0"/>
                <w:numId w:val="0"/>
              </w:numPr>
            </w:pPr>
            <w:r w:rsidRPr="00880275">
              <w:t>1870</w:t>
            </w:r>
          </w:p>
        </w:tc>
        <w:tc>
          <w:tcPr>
            <w:tcW w:w="2405" w:type="dxa"/>
            <w:vAlign w:val="center"/>
          </w:tcPr>
          <w:p w14:paraId="75AF36A0" w14:textId="1E265B6A" w:rsidR="002D1B06" w:rsidRPr="00880275" w:rsidRDefault="002D1B06" w:rsidP="00754FAE">
            <w:pPr>
              <w:pStyle w:val="Numberedparagraph"/>
              <w:numPr>
                <w:ilvl w:val="0"/>
                <w:numId w:val="0"/>
              </w:numPr>
            </w:pPr>
            <w:r w:rsidRPr="00880275">
              <w:t>1568 (36%)</w:t>
            </w:r>
          </w:p>
        </w:tc>
        <w:tc>
          <w:tcPr>
            <w:tcW w:w="1830" w:type="dxa"/>
            <w:vAlign w:val="center"/>
          </w:tcPr>
          <w:p w14:paraId="5DCF7F13" w14:textId="1595E9CA" w:rsidR="002D1B06" w:rsidRPr="00880275" w:rsidRDefault="002D1B06" w:rsidP="00754FAE">
            <w:pPr>
              <w:pStyle w:val="Numberedparagraph"/>
              <w:numPr>
                <w:ilvl w:val="0"/>
                <w:numId w:val="0"/>
              </w:numPr>
            </w:pPr>
            <w:r w:rsidRPr="00880275">
              <w:t>6409 (29%)</w:t>
            </w:r>
          </w:p>
        </w:tc>
      </w:tr>
      <w:tr w:rsidR="002D1B06" w:rsidRPr="00880275" w14:paraId="6DC22441" w14:textId="77777777" w:rsidTr="00083E48">
        <w:tc>
          <w:tcPr>
            <w:tcW w:w="2122" w:type="dxa"/>
            <w:vAlign w:val="center"/>
          </w:tcPr>
          <w:p w14:paraId="5C9014D7" w14:textId="536D4900" w:rsidR="002D1B06" w:rsidRPr="00880275" w:rsidRDefault="002D1B06" w:rsidP="00754FAE">
            <w:pPr>
              <w:pStyle w:val="Numberedparagraph"/>
              <w:numPr>
                <w:ilvl w:val="0"/>
                <w:numId w:val="0"/>
              </w:numPr>
            </w:pPr>
            <w:r w:rsidRPr="00880275">
              <w:t>2022-2023</w:t>
            </w:r>
          </w:p>
        </w:tc>
        <w:tc>
          <w:tcPr>
            <w:tcW w:w="1564" w:type="dxa"/>
            <w:vAlign w:val="center"/>
          </w:tcPr>
          <w:p w14:paraId="61084145" w14:textId="01D70977" w:rsidR="002D1B06" w:rsidRPr="00880275" w:rsidRDefault="00D46D73" w:rsidP="00754FAE">
            <w:pPr>
              <w:pStyle w:val="Numberedparagraph"/>
              <w:numPr>
                <w:ilvl w:val="0"/>
                <w:numId w:val="0"/>
              </w:numPr>
            </w:pPr>
            <w:r w:rsidRPr="00880275">
              <w:t>1860</w:t>
            </w:r>
          </w:p>
        </w:tc>
        <w:tc>
          <w:tcPr>
            <w:tcW w:w="2405" w:type="dxa"/>
            <w:vAlign w:val="center"/>
          </w:tcPr>
          <w:p w14:paraId="1E7C5413" w14:textId="30DB1D85" w:rsidR="002D1B06" w:rsidRPr="00880275" w:rsidRDefault="002D1B06" w:rsidP="00754FAE">
            <w:pPr>
              <w:pStyle w:val="Numberedparagraph"/>
              <w:numPr>
                <w:ilvl w:val="0"/>
                <w:numId w:val="0"/>
              </w:numPr>
            </w:pPr>
            <w:r w:rsidRPr="00880275">
              <w:t>1653 (24%)</w:t>
            </w:r>
          </w:p>
        </w:tc>
        <w:tc>
          <w:tcPr>
            <w:tcW w:w="1830" w:type="dxa"/>
            <w:vAlign w:val="center"/>
          </w:tcPr>
          <w:p w14:paraId="22B219D2" w14:textId="51AB19F3" w:rsidR="002D1B06" w:rsidRPr="00880275" w:rsidRDefault="002D1B06" w:rsidP="00754FAE">
            <w:pPr>
              <w:pStyle w:val="Numberedparagraph"/>
              <w:numPr>
                <w:ilvl w:val="0"/>
                <w:numId w:val="0"/>
              </w:numPr>
            </w:pPr>
            <w:r w:rsidRPr="00880275">
              <w:t>3829 (2.5%)</w:t>
            </w:r>
          </w:p>
        </w:tc>
      </w:tr>
    </w:tbl>
    <w:p w14:paraId="14EDE906" w14:textId="5154E42B" w:rsidR="005D75A0" w:rsidRPr="00880275" w:rsidRDefault="00AA2563" w:rsidP="00754FAE">
      <w:pPr>
        <w:pStyle w:val="Numberedparagraph"/>
        <w:rPr>
          <w:color w:val="auto"/>
        </w:rPr>
      </w:pPr>
      <w:r w:rsidRPr="00880275">
        <w:t xml:space="preserve">The high proportion of COVID-19 related complaints </w:t>
      </w:r>
      <w:r w:rsidR="00F421DD" w:rsidRPr="00880275">
        <w:t xml:space="preserve">has influenced </w:t>
      </w:r>
      <w:r w:rsidR="00697A98" w:rsidRPr="00880275">
        <w:t xml:space="preserve">statistics, such as sectors </w:t>
      </w:r>
      <w:r w:rsidR="00040D9C" w:rsidRPr="00880275">
        <w:t xml:space="preserve">that </w:t>
      </w:r>
      <w:r w:rsidR="00697A98" w:rsidRPr="00880275">
        <w:t xml:space="preserve">have the most complaints (eg health agencies and police who were responsible for imposing and implementing many of the COVID-19 restrictions) and rights </w:t>
      </w:r>
      <w:proofErr w:type="gramStart"/>
      <w:r w:rsidR="00697A98" w:rsidRPr="00880275">
        <w:t xml:space="preserve">most commonly </w:t>
      </w:r>
      <w:r w:rsidR="00D618EB" w:rsidRPr="00880275">
        <w:t>engaged</w:t>
      </w:r>
      <w:proofErr w:type="gramEnd"/>
      <w:r w:rsidR="00D618EB" w:rsidRPr="00880275">
        <w:t xml:space="preserve"> </w:t>
      </w:r>
      <w:r w:rsidR="00697A98" w:rsidRPr="00880275">
        <w:t>(such as freedom of movement).</w:t>
      </w:r>
      <w:r w:rsidR="009801AD" w:rsidRPr="00880275">
        <w:t xml:space="preserve"> A more accurate picture of </w:t>
      </w:r>
      <w:r w:rsidR="003524FD" w:rsidRPr="00880275">
        <w:t xml:space="preserve">where and what type of </w:t>
      </w:r>
      <w:r w:rsidR="00A66C0D" w:rsidRPr="00880275">
        <w:t xml:space="preserve">human rights </w:t>
      </w:r>
      <w:r w:rsidR="003524FD" w:rsidRPr="00880275">
        <w:t>concerns most</w:t>
      </w:r>
      <w:r w:rsidR="00EC1A29" w:rsidRPr="00880275">
        <w:t xml:space="preserve"> </w:t>
      </w:r>
      <w:r w:rsidR="005E483A" w:rsidRPr="00880275">
        <w:t>frequently</w:t>
      </w:r>
      <w:r w:rsidR="003524FD" w:rsidRPr="00880275">
        <w:t xml:space="preserve"> </w:t>
      </w:r>
      <w:r w:rsidR="00B71451" w:rsidRPr="00880275">
        <w:t xml:space="preserve">occur </w:t>
      </w:r>
      <w:r w:rsidR="003524FD" w:rsidRPr="00880275">
        <w:t>will emerge in years to come.</w:t>
      </w:r>
    </w:p>
    <w:p w14:paraId="1CD8F83A" w14:textId="5455F5C7" w:rsidR="00BD3D9B" w:rsidRPr="00880275" w:rsidRDefault="001C5738" w:rsidP="00754FAE">
      <w:pPr>
        <w:pStyle w:val="Numberedparagraph"/>
        <w:rPr>
          <w:rStyle w:val="cf01"/>
          <w:rFonts w:ascii="Arial" w:hAnsi="Arial" w:cs="Arial"/>
          <w:color w:val="auto"/>
          <w:sz w:val="22"/>
          <w:szCs w:val="24"/>
        </w:rPr>
      </w:pPr>
      <w:r w:rsidRPr="00880275">
        <w:rPr>
          <w:rStyle w:val="cf01"/>
          <w:rFonts w:ascii="Arial" w:hAnsi="Arial" w:cs="Arial"/>
          <w:sz w:val="22"/>
          <w:szCs w:val="22"/>
        </w:rPr>
        <w:t xml:space="preserve">During the early stages of operationalising the Act, public entity implementation activities were sharply focussed on pandemic response measures. While this was necessary at the time, and potentially aided entities' rapid growth in </w:t>
      </w:r>
      <w:r w:rsidR="00017391" w:rsidRPr="00880275">
        <w:rPr>
          <w:rStyle w:val="cf01"/>
          <w:rFonts w:ascii="Arial" w:hAnsi="Arial" w:cs="Arial"/>
          <w:sz w:val="22"/>
          <w:szCs w:val="22"/>
        </w:rPr>
        <w:t xml:space="preserve">understanding and implementing </w:t>
      </w:r>
      <w:r w:rsidRPr="00880275">
        <w:rPr>
          <w:rStyle w:val="cf01"/>
          <w:rFonts w:ascii="Arial" w:hAnsi="Arial" w:cs="Arial"/>
          <w:sz w:val="22"/>
          <w:szCs w:val="22"/>
        </w:rPr>
        <w:t>human rights compatibility, this focus may have hindered the Act's application beyond acts and decisions relating to the pandemic and its associated restrictions on rights.</w:t>
      </w:r>
      <w:r w:rsidR="00D74A20" w:rsidRPr="00880275" w:rsidDel="00D74A20">
        <w:rPr>
          <w:rStyle w:val="cf01"/>
        </w:rPr>
        <w:t xml:space="preserve"> </w:t>
      </w:r>
      <w:r w:rsidR="00ED1F6C" w:rsidRPr="00880275">
        <w:rPr>
          <w:rStyle w:val="cf01"/>
          <w:rFonts w:ascii="Arial" w:hAnsi="Arial" w:cs="Arial"/>
          <w:sz w:val="22"/>
          <w:szCs w:val="22"/>
        </w:rPr>
        <w:t xml:space="preserve">This must be </w:t>
      </w:r>
      <w:proofErr w:type="gramStart"/>
      <w:r w:rsidR="00ED1F6C" w:rsidRPr="00880275">
        <w:rPr>
          <w:rStyle w:val="cf01"/>
          <w:rFonts w:ascii="Arial" w:hAnsi="Arial" w:cs="Arial"/>
          <w:sz w:val="22"/>
          <w:szCs w:val="22"/>
        </w:rPr>
        <w:lastRenderedPageBreak/>
        <w:t>taken into account</w:t>
      </w:r>
      <w:proofErr w:type="gramEnd"/>
      <w:r w:rsidR="00ED1F6C" w:rsidRPr="00880275">
        <w:rPr>
          <w:rStyle w:val="cf01"/>
          <w:rFonts w:ascii="Arial" w:hAnsi="Arial" w:cs="Arial"/>
          <w:sz w:val="22"/>
          <w:szCs w:val="22"/>
        </w:rPr>
        <w:t xml:space="preserve"> in assessing the </w:t>
      </w:r>
      <w:r w:rsidR="007A242A" w:rsidRPr="00880275">
        <w:rPr>
          <w:rStyle w:val="cf01"/>
          <w:rFonts w:ascii="Arial" w:hAnsi="Arial" w:cs="Arial"/>
          <w:sz w:val="22"/>
          <w:szCs w:val="22"/>
        </w:rPr>
        <w:t xml:space="preserve">success of the </w:t>
      </w:r>
      <w:r w:rsidR="00ED1F6C" w:rsidRPr="00880275">
        <w:rPr>
          <w:rStyle w:val="cf01"/>
          <w:rFonts w:ascii="Arial" w:hAnsi="Arial" w:cs="Arial"/>
          <w:sz w:val="22"/>
          <w:szCs w:val="22"/>
        </w:rPr>
        <w:t xml:space="preserve">Act </w:t>
      </w:r>
      <w:r w:rsidR="007A242A" w:rsidRPr="00880275">
        <w:rPr>
          <w:rStyle w:val="cf01"/>
          <w:rFonts w:ascii="Arial" w:hAnsi="Arial" w:cs="Arial"/>
          <w:sz w:val="22"/>
          <w:szCs w:val="22"/>
        </w:rPr>
        <w:t xml:space="preserve">in building </w:t>
      </w:r>
      <w:r w:rsidR="007E0CDF" w:rsidRPr="00880275">
        <w:rPr>
          <w:rStyle w:val="cf01"/>
          <w:rFonts w:ascii="Arial" w:hAnsi="Arial" w:cs="Arial"/>
          <w:sz w:val="22"/>
          <w:szCs w:val="22"/>
        </w:rPr>
        <w:t xml:space="preserve">a human rights </w:t>
      </w:r>
      <w:r w:rsidR="007A242A" w:rsidRPr="00880275">
        <w:rPr>
          <w:rStyle w:val="cf01"/>
          <w:rFonts w:ascii="Arial" w:hAnsi="Arial" w:cs="Arial"/>
          <w:sz w:val="22"/>
          <w:szCs w:val="22"/>
        </w:rPr>
        <w:t xml:space="preserve">culture </w:t>
      </w:r>
      <w:r w:rsidR="007E0CDF" w:rsidRPr="00880275">
        <w:rPr>
          <w:rStyle w:val="cf01"/>
          <w:rFonts w:ascii="Arial" w:hAnsi="Arial" w:cs="Arial"/>
          <w:sz w:val="22"/>
          <w:szCs w:val="22"/>
        </w:rPr>
        <w:t xml:space="preserve">within </w:t>
      </w:r>
      <w:r w:rsidR="00C3475F" w:rsidRPr="00880275">
        <w:rPr>
          <w:rStyle w:val="cf01"/>
          <w:rFonts w:ascii="Arial" w:hAnsi="Arial" w:cs="Arial"/>
          <w:sz w:val="22"/>
          <w:szCs w:val="22"/>
        </w:rPr>
        <w:t xml:space="preserve">the </w:t>
      </w:r>
      <w:r w:rsidR="007E0CDF" w:rsidRPr="00880275">
        <w:rPr>
          <w:rStyle w:val="cf01"/>
          <w:rFonts w:ascii="Arial" w:hAnsi="Arial" w:cs="Arial"/>
          <w:sz w:val="22"/>
          <w:szCs w:val="22"/>
        </w:rPr>
        <w:t>4</w:t>
      </w:r>
      <w:r w:rsidR="00017391" w:rsidRPr="00880275">
        <w:rPr>
          <w:rStyle w:val="cf01"/>
          <w:rFonts w:ascii="Arial" w:hAnsi="Arial" w:cs="Arial"/>
          <w:sz w:val="22"/>
          <w:szCs w:val="22"/>
        </w:rPr>
        <w:t>-</w:t>
      </w:r>
      <w:r w:rsidR="007E0CDF" w:rsidRPr="00880275">
        <w:rPr>
          <w:rStyle w:val="cf01"/>
          <w:rFonts w:ascii="Arial" w:hAnsi="Arial" w:cs="Arial"/>
          <w:sz w:val="22"/>
          <w:szCs w:val="22"/>
        </w:rPr>
        <w:t xml:space="preserve">year period set by government at </w:t>
      </w:r>
      <w:r w:rsidR="007A242A" w:rsidRPr="00880275">
        <w:rPr>
          <w:rStyle w:val="cf01"/>
          <w:rFonts w:ascii="Arial" w:hAnsi="Arial" w:cs="Arial"/>
          <w:sz w:val="22"/>
          <w:szCs w:val="22"/>
        </w:rPr>
        <w:t xml:space="preserve">a time </w:t>
      </w:r>
      <w:r w:rsidR="003803BF" w:rsidRPr="00880275">
        <w:rPr>
          <w:rStyle w:val="cf01"/>
          <w:rFonts w:ascii="Arial" w:hAnsi="Arial" w:cs="Arial"/>
          <w:sz w:val="22"/>
          <w:szCs w:val="22"/>
        </w:rPr>
        <w:t xml:space="preserve">when </w:t>
      </w:r>
      <w:r w:rsidR="007A242A" w:rsidRPr="00880275">
        <w:rPr>
          <w:rStyle w:val="cf01"/>
          <w:rFonts w:ascii="Arial" w:hAnsi="Arial" w:cs="Arial"/>
          <w:sz w:val="22"/>
          <w:szCs w:val="22"/>
        </w:rPr>
        <w:t xml:space="preserve">a global pandemic was not contemplated. </w:t>
      </w:r>
    </w:p>
    <w:p w14:paraId="5BAFBB69" w14:textId="356D9551" w:rsidR="00CF195A" w:rsidRPr="00880275" w:rsidRDefault="00CF195A" w:rsidP="00754FAE">
      <w:pPr>
        <w:pStyle w:val="Numberedparagraph"/>
      </w:pPr>
      <w:r w:rsidRPr="00880275">
        <w:rPr>
          <w:rStyle w:val="cf01"/>
          <w:rFonts w:ascii="Arial" w:hAnsi="Arial" w:cs="Arial"/>
          <w:color w:val="auto"/>
          <w:sz w:val="22"/>
          <w:szCs w:val="22"/>
        </w:rPr>
        <w:t xml:space="preserve">Similarly, </w:t>
      </w:r>
      <w:r w:rsidR="009C2AAD" w:rsidRPr="00880275">
        <w:rPr>
          <w:shd w:val="clear" w:color="auto" w:fill="FFFFFF"/>
        </w:rPr>
        <w:t xml:space="preserve">while the pandemic itself and the widespread limitations on rights during this public health emergency provided some public awareness about the Act and how it operates, no concerted public information campaign was undertaken and training for duty holders was not universally available or sought out. </w:t>
      </w:r>
      <w:r w:rsidR="003942C6" w:rsidRPr="00880275">
        <w:rPr>
          <w:shd w:val="clear" w:color="auto" w:fill="FFFFFF"/>
        </w:rPr>
        <w:t xml:space="preserve">To exercise rights and </w:t>
      </w:r>
      <w:r w:rsidR="00E03F29" w:rsidRPr="00880275">
        <w:rPr>
          <w:shd w:val="clear" w:color="auto" w:fill="FFFFFF"/>
        </w:rPr>
        <w:t xml:space="preserve">fulfil </w:t>
      </w:r>
      <w:r w:rsidR="003942C6" w:rsidRPr="00880275">
        <w:rPr>
          <w:shd w:val="clear" w:color="auto" w:fill="FFFFFF"/>
        </w:rPr>
        <w:t>obligations, people need access to easy to understand, evidence-based</w:t>
      </w:r>
      <w:r w:rsidR="00185479" w:rsidRPr="00880275">
        <w:rPr>
          <w:color w:val="484848"/>
          <w:shd w:val="clear" w:color="auto" w:fill="FFFFFF"/>
        </w:rPr>
        <w:t>,</w:t>
      </w:r>
      <w:r w:rsidR="003942C6" w:rsidRPr="00880275">
        <w:rPr>
          <w:shd w:val="clear" w:color="auto" w:fill="FFFFFF"/>
        </w:rPr>
        <w:t xml:space="preserve"> and widely available information and resources about the Act. This includes properly funded and resourced public education and awareness as well as specialised support for public entities, parliament, and courts and tribunals, so </w:t>
      </w:r>
      <w:r w:rsidR="00185479" w:rsidRPr="00880275">
        <w:rPr>
          <w:color w:val="484848"/>
          <w:shd w:val="clear" w:color="auto" w:fill="FFFFFF"/>
        </w:rPr>
        <w:t xml:space="preserve">that </w:t>
      </w:r>
      <w:r w:rsidR="003942C6" w:rsidRPr="00880275">
        <w:rPr>
          <w:shd w:val="clear" w:color="auto" w:fill="FFFFFF"/>
        </w:rPr>
        <w:t>rights can be realised.</w:t>
      </w:r>
    </w:p>
    <w:p w14:paraId="4C9F7F41" w14:textId="62F0F505" w:rsidR="002B5121" w:rsidRPr="00880275" w:rsidRDefault="00D27965" w:rsidP="00AE31F2">
      <w:pPr>
        <w:pStyle w:val="Heading2"/>
      </w:pPr>
      <w:bookmarkStart w:id="11" w:name="_Toc171346748"/>
      <w:r w:rsidRPr="00880275">
        <w:t>Commission observations</w:t>
      </w:r>
      <w:r w:rsidR="00B04984" w:rsidRPr="00880275">
        <w:t xml:space="preserve"> </w:t>
      </w:r>
      <w:r w:rsidR="00905E3E" w:rsidRPr="00880275">
        <w:t xml:space="preserve">as </w:t>
      </w:r>
      <w:proofErr w:type="gramStart"/>
      <w:r w:rsidR="00905E3E" w:rsidRPr="00880275">
        <w:t>at</w:t>
      </w:r>
      <w:proofErr w:type="gramEnd"/>
      <w:r w:rsidR="00B04984" w:rsidRPr="00880275">
        <w:t xml:space="preserve"> 30 June 2023</w:t>
      </w:r>
      <w:bookmarkEnd w:id="11"/>
    </w:p>
    <w:p w14:paraId="6A03BAC6" w14:textId="26EF512C" w:rsidR="003B27E9" w:rsidRPr="00880275" w:rsidRDefault="003B27E9" w:rsidP="00754FAE">
      <w:pPr>
        <w:pStyle w:val="Numberedparagraph"/>
      </w:pPr>
      <w:r w:rsidRPr="00880275">
        <w:t xml:space="preserve">The following is a summary of the </w:t>
      </w:r>
      <w:r w:rsidR="00A528FB" w:rsidRPr="00880275">
        <w:t>Commission’s observations of a growing human rights culture in the public sector taken from our</w:t>
      </w:r>
      <w:r w:rsidR="00322313" w:rsidRPr="00880275">
        <w:t xml:space="preserve"> Human Rights Act</w:t>
      </w:r>
      <w:r w:rsidR="00A528FB" w:rsidRPr="00880275">
        <w:t xml:space="preserve"> annual report</w:t>
      </w:r>
      <w:r w:rsidR="00F77E27" w:rsidRPr="00880275">
        <w:t xml:space="preserve"> for 2022-23</w:t>
      </w:r>
      <w:r w:rsidR="00432927" w:rsidRPr="00880275">
        <w:t>,</w:t>
      </w:r>
      <w:r w:rsidR="00A528FB" w:rsidRPr="00880275">
        <w:t xml:space="preserve"> </w:t>
      </w:r>
      <w:r w:rsidR="00A528FB" w:rsidRPr="00880275">
        <w:rPr>
          <w:i/>
          <w:iCs/>
        </w:rPr>
        <w:t xml:space="preserve">Progress and Pitfalls. </w:t>
      </w:r>
      <w:r w:rsidR="00A528FB" w:rsidRPr="00880275">
        <w:t>For</w:t>
      </w:r>
      <w:r w:rsidR="00A528FB" w:rsidRPr="00880275">
        <w:rPr>
          <w:i/>
          <w:iCs/>
        </w:rPr>
        <w:t xml:space="preserve"> </w:t>
      </w:r>
      <w:r w:rsidR="00A528FB" w:rsidRPr="00880275">
        <w:t>more details, including case studies, please refer to that report in full.</w:t>
      </w:r>
      <w:r w:rsidR="00185479" w:rsidRPr="00880275">
        <w:rPr>
          <w:rStyle w:val="FootnoteReference"/>
        </w:rPr>
        <w:footnoteReference w:id="10"/>
      </w:r>
    </w:p>
    <w:p w14:paraId="36A3E61C" w14:textId="79EEF7C1" w:rsidR="00AE31F2" w:rsidRPr="00880275" w:rsidRDefault="00AE31F2" w:rsidP="00EA3A8C">
      <w:pPr>
        <w:pStyle w:val="Heading3"/>
      </w:pPr>
      <w:bookmarkStart w:id="12" w:name="_Toc171346749"/>
      <w:r w:rsidRPr="00880275">
        <w:t>State government progress</w:t>
      </w:r>
      <w:bookmarkEnd w:id="12"/>
    </w:p>
    <w:p w14:paraId="0A693995" w14:textId="6C03E7E7" w:rsidR="00DA0DD0" w:rsidRPr="00880275" w:rsidRDefault="00D25899" w:rsidP="00754FAE">
      <w:pPr>
        <w:pStyle w:val="Numberedparagraph"/>
      </w:pPr>
      <w:r w:rsidRPr="00880275">
        <w:t xml:space="preserve">Based </w:t>
      </w:r>
      <w:r w:rsidR="00217A16" w:rsidRPr="00880275">
        <w:t xml:space="preserve">on responses to questions in the Commission’s </w:t>
      </w:r>
      <w:r w:rsidR="00217A16" w:rsidRPr="00880275">
        <w:rPr>
          <w:i/>
        </w:rPr>
        <w:t>Indicators of a human rights culture</w:t>
      </w:r>
      <w:r w:rsidR="003F0DE5" w:rsidRPr="00880275">
        <w:t xml:space="preserve"> survey</w:t>
      </w:r>
      <w:r w:rsidR="00217A16" w:rsidRPr="00880275">
        <w:rPr>
          <w:i/>
        </w:rPr>
        <w:t>,</w:t>
      </w:r>
      <w:r w:rsidR="00217A16" w:rsidRPr="00880275">
        <w:t xml:space="preserve"> steady progress appears to have been made by </w:t>
      </w:r>
      <w:r w:rsidR="002F2E0A" w:rsidRPr="00880275">
        <w:t>S</w:t>
      </w:r>
      <w:r w:rsidR="00217A16" w:rsidRPr="00880275">
        <w:t xml:space="preserve">tate public entities in the fourth year of operation of the Act. State public entities have worked </w:t>
      </w:r>
      <w:r w:rsidR="000713F2" w:rsidRPr="00880275">
        <w:t xml:space="preserve">actively </w:t>
      </w:r>
      <w:r w:rsidR="00217A16" w:rsidRPr="00880275">
        <w:t>on increasing awareness and providing education and training to staff about the Human Rights Act.</w:t>
      </w:r>
      <w:r w:rsidR="009D5D9E" w:rsidRPr="00880275">
        <w:t xml:space="preserve"> </w:t>
      </w:r>
    </w:p>
    <w:p w14:paraId="1F4C6299" w14:textId="39496AFA" w:rsidR="00A85590" w:rsidRPr="00880275" w:rsidRDefault="00866EA3" w:rsidP="003F69C7">
      <w:pPr>
        <w:pStyle w:val="Numberedparagraph"/>
      </w:pPr>
      <w:r w:rsidRPr="00880275">
        <w:t xml:space="preserve">However, </w:t>
      </w:r>
      <w:r w:rsidR="00813558" w:rsidRPr="00880275">
        <w:t>there was no change</w:t>
      </w:r>
      <w:r w:rsidR="005B2F14" w:rsidRPr="00880275">
        <w:t xml:space="preserve"> </w:t>
      </w:r>
      <w:r w:rsidR="00813558" w:rsidRPr="00880275">
        <w:t xml:space="preserve">in </w:t>
      </w:r>
      <w:r w:rsidR="00C76CD4" w:rsidRPr="003F69C7">
        <w:rPr>
          <w:i/>
        </w:rPr>
        <w:t>Working for Queensland</w:t>
      </w:r>
      <w:r w:rsidR="00C76CD4" w:rsidRPr="00880275">
        <w:t xml:space="preserve"> survey results </w:t>
      </w:r>
      <w:r w:rsidR="00933B7D" w:rsidRPr="00880275">
        <w:t xml:space="preserve">across </w:t>
      </w:r>
      <w:r w:rsidR="00B500CD" w:rsidRPr="00880275">
        <w:t xml:space="preserve">the whole of </w:t>
      </w:r>
      <w:r w:rsidR="00933B7D" w:rsidRPr="00880275">
        <w:t xml:space="preserve">government </w:t>
      </w:r>
      <w:r w:rsidR="00C76CD4" w:rsidRPr="00880275">
        <w:t xml:space="preserve">in </w:t>
      </w:r>
      <w:r w:rsidR="003661FD" w:rsidRPr="00880275">
        <w:t>relation to employee understanding of how the Human Rights Act applies to their work.</w:t>
      </w:r>
      <w:r w:rsidR="00C20F96" w:rsidRPr="00880275">
        <w:t xml:space="preserve"> (See</w:t>
      </w:r>
      <w:r w:rsidR="003F69C7">
        <w:t xml:space="preserve"> </w:t>
      </w:r>
      <w:r w:rsidR="003F69C7" w:rsidRPr="003F69C7">
        <w:rPr>
          <w:i/>
          <w:iCs/>
        </w:rPr>
        <w:t>Figure 2: Results from the annual Working for Queensland survey in response to the statement, ‘I understand how the Human Rights Act 2019 applies to my work</w:t>
      </w:r>
      <w:r w:rsidR="003F69C7">
        <w:t xml:space="preserve">’ above). </w:t>
      </w:r>
      <w:r w:rsidR="000356F3" w:rsidRPr="00880275">
        <w:t>More work could be done to identify whether th</w:t>
      </w:r>
      <w:r w:rsidR="00161679" w:rsidRPr="00880275">
        <w:t xml:space="preserve">ese </w:t>
      </w:r>
      <w:r w:rsidR="00DC652D" w:rsidRPr="00880275">
        <w:t>percentages</w:t>
      </w:r>
      <w:r w:rsidR="000356F3" w:rsidRPr="00880275">
        <w:t xml:space="preserve"> reflect results within departments, at all employee levels, and what departments are doing, if anything, to address neutral and negative responses.</w:t>
      </w:r>
      <w:r w:rsidR="005C226B" w:rsidRPr="003F69C7">
        <w:rPr>
          <w:b/>
          <w:bCs/>
        </w:rPr>
        <w:t xml:space="preserve"> </w:t>
      </w:r>
    </w:p>
    <w:p w14:paraId="0C4B79BF" w14:textId="10001A3F" w:rsidR="00801BAB" w:rsidRPr="00880275" w:rsidRDefault="00801BAB" w:rsidP="00754FAE">
      <w:pPr>
        <w:pStyle w:val="Heading5"/>
      </w:pPr>
      <w:r w:rsidRPr="00880275">
        <w:lastRenderedPageBreak/>
        <w:t xml:space="preserve">Recommendation 1.1 </w:t>
      </w:r>
    </w:p>
    <w:p w14:paraId="796E9172" w14:textId="7F770E04" w:rsidR="00EE6ACE" w:rsidRPr="00880275" w:rsidRDefault="00EE6ACE" w:rsidP="00754FAE">
      <w:pPr>
        <w:pStyle w:val="Heading5"/>
      </w:pPr>
      <w:r w:rsidRPr="00880275">
        <w:t>State government departments, with co-ordination and support from the Human Rights Unit of the Department of Justice and Attorney</w:t>
      </w:r>
      <w:r w:rsidR="00F20431" w:rsidRPr="00880275">
        <w:t>-</w:t>
      </w:r>
      <w:r w:rsidRPr="00880275">
        <w:t>General, should:</w:t>
      </w:r>
    </w:p>
    <w:p w14:paraId="21CEBE46" w14:textId="77777777" w:rsidR="00EE6ACE" w:rsidRPr="00880275" w:rsidRDefault="00EE6ACE" w:rsidP="00754FAE">
      <w:pPr>
        <w:pStyle w:val="Heading5"/>
        <w:numPr>
          <w:ilvl w:val="0"/>
          <w:numId w:val="13"/>
        </w:numPr>
      </w:pPr>
      <w:r w:rsidRPr="00880275">
        <w:t xml:space="preserve">analyse </w:t>
      </w:r>
      <w:r w:rsidRPr="00880275">
        <w:rPr>
          <w:i/>
        </w:rPr>
        <w:t>Working for Queensland</w:t>
      </w:r>
      <w:r w:rsidRPr="00880275">
        <w:t xml:space="preserve"> survey responses to ‘I understand how the Human Rights Act 2019 applies to my work’ within the department and across employee levels </w:t>
      </w:r>
    </w:p>
    <w:p w14:paraId="3E3FD050" w14:textId="1085206E" w:rsidR="0053781F" w:rsidRPr="00880275" w:rsidRDefault="00EE6ACE" w:rsidP="00754FAE">
      <w:pPr>
        <w:pStyle w:val="Heading5"/>
        <w:numPr>
          <w:ilvl w:val="0"/>
          <w:numId w:val="13"/>
        </w:numPr>
        <w:rPr>
          <w:color w:val="auto"/>
          <w:sz w:val="20"/>
          <w:lang w:val="en-AU"/>
        </w:rPr>
      </w:pPr>
      <w:r w:rsidRPr="00880275">
        <w:t>take concrete steps to</w:t>
      </w:r>
      <w:r w:rsidR="004444C4" w:rsidRPr="00880275">
        <w:t xml:space="preserve"> address neutral and negative responses </w:t>
      </w:r>
      <w:r w:rsidRPr="00880275">
        <w:t>across the department.</w:t>
      </w:r>
    </w:p>
    <w:p w14:paraId="2902E420" w14:textId="703FD4A8" w:rsidR="007F2BF6" w:rsidRPr="00880275" w:rsidRDefault="007F2BF6" w:rsidP="00754FAE">
      <w:pPr>
        <w:pStyle w:val="Numberedparagraph"/>
        <w:rPr>
          <w:color w:val="auto"/>
          <w:sz w:val="20"/>
        </w:rPr>
      </w:pPr>
      <w:r w:rsidRPr="00880275">
        <w:t xml:space="preserve">Departments reported that they have engaged in community consultations and initiatives related to human rights with a particular focus </w:t>
      </w:r>
      <w:r w:rsidR="00432927" w:rsidRPr="00880275">
        <w:t>in 2022-23</w:t>
      </w:r>
      <w:r w:rsidRPr="00880275">
        <w:t xml:space="preserve"> on First Nations engagement to promote cultural rights under the Human Rights Act.</w:t>
      </w:r>
    </w:p>
    <w:p w14:paraId="6EF66C46" w14:textId="77777777" w:rsidR="007F2BF6" w:rsidRPr="00880275" w:rsidRDefault="007F2BF6" w:rsidP="00754FAE">
      <w:pPr>
        <w:pStyle w:val="Numberedparagraph"/>
      </w:pPr>
      <w:r w:rsidRPr="00880275">
        <w:t>Government contracts increasingly include clauses requiring contractors to comply with the Human Rights Act. Procurement processes now embed human rights obligations, and departments have actively raised awareness of the Act among their contractors.</w:t>
      </w:r>
    </w:p>
    <w:p w14:paraId="7EA4B2A9" w14:textId="17E028B1" w:rsidR="007F2BF6" w:rsidRPr="00880275" w:rsidRDefault="007F2BF6" w:rsidP="00754FAE">
      <w:pPr>
        <w:pStyle w:val="Numberedparagraph"/>
      </w:pPr>
      <w:r w:rsidRPr="00880275">
        <w:t>Human rights compatibility assessments seem to be well integrated into policy review and development processes, and because of the requirement to write statement</w:t>
      </w:r>
      <w:r w:rsidR="006F3B70" w:rsidRPr="00880275">
        <w:t>s</w:t>
      </w:r>
      <w:r w:rsidRPr="00880275">
        <w:t xml:space="preserve"> of compatibility and human rights certificate</w:t>
      </w:r>
      <w:r w:rsidR="006F3B70" w:rsidRPr="00880275">
        <w:t>s</w:t>
      </w:r>
      <w:r w:rsidRPr="00880275">
        <w:t xml:space="preserve"> when introducing laws and regulations, this appears to be an established and routine practice for </w:t>
      </w:r>
      <w:r w:rsidR="002F2E0A" w:rsidRPr="00880275">
        <w:t>S</w:t>
      </w:r>
      <w:r w:rsidRPr="00880275">
        <w:t>tate public entities. However, few examples</w:t>
      </w:r>
      <w:r w:rsidR="008C1ABC" w:rsidRPr="00880275">
        <w:t xml:space="preserve"> </w:t>
      </w:r>
      <w:r w:rsidRPr="00880275">
        <w:t xml:space="preserve">were provided </w:t>
      </w:r>
      <w:r w:rsidR="008C1ABC" w:rsidRPr="00880275">
        <w:t>for 2022</w:t>
      </w:r>
      <w:r w:rsidR="002F2E0A" w:rsidRPr="00880275">
        <w:t>–</w:t>
      </w:r>
      <w:r w:rsidR="008C1ABC" w:rsidRPr="00880275">
        <w:t xml:space="preserve">23 </w:t>
      </w:r>
      <w:r w:rsidRPr="00880275">
        <w:t xml:space="preserve">of substantive changes being made to existing policies, or in the development of new policies, based on the Human Rights Act. </w:t>
      </w:r>
    </w:p>
    <w:p w14:paraId="6AFF35D5" w14:textId="45B890F3" w:rsidR="007F2BF6" w:rsidRPr="00880275" w:rsidRDefault="00E50B04" w:rsidP="00754FAE">
      <w:pPr>
        <w:pStyle w:val="Numberedparagraph"/>
      </w:pPr>
      <w:r w:rsidRPr="00880275">
        <w:t>State public entities have consistently worked on integrating human rights complaints into existing complaints processes and worked with staff to raise awareness and improve processes. These efforts have at times led to positive changes in policies, procedures, practices, and improved service delivery in response to internal complaints.</w:t>
      </w:r>
      <w:r w:rsidR="00051DEF" w:rsidRPr="00880275">
        <w:t xml:space="preserve"> </w:t>
      </w:r>
      <w:r w:rsidRPr="00880275">
        <w:t xml:space="preserve">However, </w:t>
      </w:r>
      <w:r w:rsidR="005F6996" w:rsidRPr="00880275">
        <w:t xml:space="preserve">departments continue </w:t>
      </w:r>
      <w:r w:rsidR="004B5CA3" w:rsidRPr="00880275">
        <w:t xml:space="preserve">to face challenges regarding the identification of human rights complaints, reflected </w:t>
      </w:r>
      <w:r w:rsidR="002F2E0A" w:rsidRPr="00880275">
        <w:t xml:space="preserve">in </w:t>
      </w:r>
      <w:r w:rsidR="00B42A4C" w:rsidRPr="00880275">
        <w:t xml:space="preserve">relatively low numbers of human rights complaints </w:t>
      </w:r>
      <w:r w:rsidR="004B5CA3" w:rsidRPr="00880275">
        <w:t>being reported</w:t>
      </w:r>
      <w:r w:rsidR="005F6996" w:rsidRPr="00880275">
        <w:t>.</w:t>
      </w:r>
      <w:r w:rsidR="00733F8F" w:rsidRPr="00880275">
        <w:t xml:space="preserve"> </w:t>
      </w:r>
    </w:p>
    <w:p w14:paraId="1F78E3AF" w14:textId="73B3DB7E" w:rsidR="00EF62FE" w:rsidRPr="00880275" w:rsidRDefault="00EF62FE" w:rsidP="00EF62FE">
      <w:pPr>
        <w:pStyle w:val="Heading3"/>
      </w:pPr>
      <w:bookmarkStart w:id="13" w:name="_Toc171346750"/>
      <w:r w:rsidRPr="00880275">
        <w:t>Local government progress</w:t>
      </w:r>
      <w:bookmarkEnd w:id="13"/>
    </w:p>
    <w:p w14:paraId="1587ABDB" w14:textId="5F10600E" w:rsidR="00305875" w:rsidRPr="00880275" w:rsidRDefault="00305875" w:rsidP="00754FAE">
      <w:pPr>
        <w:pStyle w:val="Numberedparagraph"/>
        <w:rPr>
          <w:color w:val="auto"/>
          <w:sz w:val="20"/>
        </w:rPr>
      </w:pPr>
      <w:r w:rsidRPr="00880275">
        <w:t xml:space="preserve">Implementation of the Act across Queensland’s councils lacks a coordinated and consistent approach, in part due to a lack of funding and resourcing from the outset. The Commission has observed that this has created a delay in the effective implementation of the Human Rights Act </w:t>
      </w:r>
      <w:r w:rsidR="002F2E0A" w:rsidRPr="00880275">
        <w:t xml:space="preserve">at the local government level </w:t>
      </w:r>
      <w:r w:rsidRPr="00880275">
        <w:t xml:space="preserve">compared with the progress in </w:t>
      </w:r>
      <w:r w:rsidR="002F2E0A" w:rsidRPr="00880275">
        <w:t>S</w:t>
      </w:r>
      <w:r w:rsidRPr="00880275">
        <w:t>tate public entities.</w:t>
      </w:r>
      <w:r w:rsidR="00571E02" w:rsidRPr="00880275">
        <w:t xml:space="preserve"> There is no </w:t>
      </w:r>
      <w:r w:rsidR="00571E02" w:rsidRPr="00880275">
        <w:rPr>
          <w:i/>
        </w:rPr>
        <w:t xml:space="preserve">Working for Queensland </w:t>
      </w:r>
      <w:r w:rsidR="00BD4553" w:rsidRPr="00880275">
        <w:t>survey equivalent for councils.</w:t>
      </w:r>
    </w:p>
    <w:p w14:paraId="1354961C" w14:textId="1A4AEC91" w:rsidR="000A400B" w:rsidRPr="00880275" w:rsidRDefault="000F3F6B" w:rsidP="00754FAE">
      <w:pPr>
        <w:pStyle w:val="Numberedparagraph"/>
        <w:rPr>
          <w:color w:val="auto"/>
          <w:sz w:val="20"/>
        </w:rPr>
      </w:pPr>
      <w:r w:rsidRPr="00880275">
        <w:t>M</w:t>
      </w:r>
      <w:r w:rsidR="000A400B" w:rsidRPr="00880275">
        <w:t xml:space="preserve">ost councils surveyed </w:t>
      </w:r>
      <w:r w:rsidRPr="00880275">
        <w:t>in 2022</w:t>
      </w:r>
      <w:r w:rsidR="002F2E0A" w:rsidRPr="00880275">
        <w:t>–</w:t>
      </w:r>
      <w:r w:rsidRPr="00880275">
        <w:t xml:space="preserve">23 </w:t>
      </w:r>
      <w:proofErr w:type="gramStart"/>
      <w:r w:rsidR="000A400B" w:rsidRPr="00880275">
        <w:t>were</w:t>
      </w:r>
      <w:proofErr w:type="gramEnd"/>
      <w:r w:rsidR="000A400B" w:rsidRPr="00880275">
        <w:t xml:space="preserve"> building staff awareness through online training and awareness campaigns, and the only council that had not commenced training indicated a willingness to do </w:t>
      </w:r>
      <w:r w:rsidR="00E71162" w:rsidRPr="00880275">
        <w:t xml:space="preserve">so </w:t>
      </w:r>
      <w:r w:rsidR="000A400B" w:rsidRPr="00880275">
        <w:t xml:space="preserve">in the near future. Most </w:t>
      </w:r>
      <w:r w:rsidR="000A400B" w:rsidRPr="00880275">
        <w:lastRenderedPageBreak/>
        <w:t xml:space="preserve">councils incorporate human rights in induction training with a preference for online delivery. While exact figures on staff training were </w:t>
      </w:r>
      <w:r w:rsidR="00A82824" w:rsidRPr="00880275">
        <w:t>un</w:t>
      </w:r>
      <w:r w:rsidR="000A400B" w:rsidRPr="00880275">
        <w:t xml:space="preserve">clear, the larger and better resourced councils </w:t>
      </w:r>
      <w:r w:rsidR="00AD5B15" w:rsidRPr="00880275">
        <w:t xml:space="preserve">as a minimum </w:t>
      </w:r>
      <w:r w:rsidR="000A400B" w:rsidRPr="00880275">
        <w:t>are offering regular training sessions to staff.</w:t>
      </w:r>
    </w:p>
    <w:p w14:paraId="2F0F6333" w14:textId="77777777" w:rsidR="000A400B" w:rsidRPr="00880275" w:rsidRDefault="000A400B" w:rsidP="00754FAE">
      <w:pPr>
        <w:pStyle w:val="Numberedparagraph"/>
      </w:pPr>
      <w:r w:rsidRPr="00880275">
        <w:t>Most councils maintain a dedicated website or platform through which information about human rights is disseminated to the public, including instructions on how to make a complaint and the purpose of human rights legislation. Increased engagement with contractors was also evident, with some councils taking steps to develop information for their contractors about their human rights obligations to the community.</w:t>
      </w:r>
    </w:p>
    <w:p w14:paraId="7C5D69C0" w14:textId="798FD529" w:rsidR="000A400B" w:rsidRPr="00880275" w:rsidRDefault="000A400B" w:rsidP="00754FAE">
      <w:pPr>
        <w:pStyle w:val="Numberedparagraph"/>
        <w:rPr>
          <w:rFonts w:eastAsiaTheme="minorHAnsi" w:cstheme="minorBidi"/>
        </w:rPr>
      </w:pPr>
      <w:r w:rsidRPr="00880275">
        <w:t>For the first three years of the Act’s operation, the development of local laws seemed untouched by the commencement of the Human Rights Act, but this shifted in 2022</w:t>
      </w:r>
      <w:r w:rsidR="007100EE" w:rsidRPr="00880275">
        <w:t>–</w:t>
      </w:r>
      <w:r w:rsidRPr="00880275">
        <w:t>23. One council provided an example of where their human rights assessments, now a standard part of the law-making process, had systematically considered human rights in decision-making and achieved a balanced outcome. Some councils also provided specific examples of how the Human Rights Act was directly influencing the review and development of council policies.</w:t>
      </w:r>
    </w:p>
    <w:p w14:paraId="26AEDCDE" w14:textId="66467993" w:rsidR="000A400B" w:rsidRPr="00880275" w:rsidRDefault="001710DD" w:rsidP="00754FAE">
      <w:pPr>
        <w:pStyle w:val="Numberedparagraph"/>
      </w:pPr>
      <w:r w:rsidRPr="00880275">
        <w:t>In 2021-22</w:t>
      </w:r>
      <w:r w:rsidR="000A400B" w:rsidRPr="00880275">
        <w:t xml:space="preserve">, few complaints were identified by councils with limited systemic change as a result. But </w:t>
      </w:r>
      <w:r w:rsidRPr="00880275">
        <w:t xml:space="preserve">in 2022-23, </w:t>
      </w:r>
      <w:r w:rsidR="000A400B" w:rsidRPr="00880275">
        <w:t>councils report actively incorporating human rights considerations into their management of complaints, with the aim of identify</w:t>
      </w:r>
      <w:r w:rsidR="003C7FD4" w:rsidRPr="00880275">
        <w:t>ing</w:t>
      </w:r>
      <w:r w:rsidR="000A400B" w:rsidRPr="00880275">
        <w:t xml:space="preserve"> and addressing human rights issues more effectively. This was indicated by examples where internal complaints had led to policy and procedure improvements and improved service delivery as a result.</w:t>
      </w:r>
    </w:p>
    <w:p w14:paraId="229A302F" w14:textId="6A4CA4B6" w:rsidR="00DE0599" w:rsidRPr="00880275" w:rsidRDefault="00D40AAD" w:rsidP="00754FAE">
      <w:pPr>
        <w:pStyle w:val="Numberedparagraph"/>
        <w:rPr>
          <w:b/>
        </w:rPr>
      </w:pPr>
      <w:r w:rsidRPr="00880275">
        <w:t xml:space="preserve">Unlike State government departments and agencies, there is no obligation on local governments to </w:t>
      </w:r>
      <w:r w:rsidR="00AC278F" w:rsidRPr="00880275">
        <w:t xml:space="preserve">report annually on actions taken during the reporting period to further the objects of the </w:t>
      </w:r>
      <w:r w:rsidR="004A18A7" w:rsidRPr="00880275">
        <w:t xml:space="preserve">Human Rights </w:t>
      </w:r>
      <w:r w:rsidR="00AC278F" w:rsidRPr="00880275">
        <w:t>Act.</w:t>
      </w:r>
      <w:r w:rsidR="00AC278F" w:rsidRPr="00880275">
        <w:rPr>
          <w:rStyle w:val="FootnoteReference"/>
          <w:rFonts w:eastAsia="Calibri"/>
        </w:rPr>
        <w:footnoteReference w:id="11"/>
      </w:r>
      <w:r w:rsidR="00AC278F" w:rsidRPr="00880275">
        <w:t xml:space="preserve"> </w:t>
      </w:r>
      <w:r w:rsidR="00DE0599" w:rsidRPr="00880275">
        <w:t>The Commission</w:t>
      </w:r>
      <w:r w:rsidR="003F3428" w:rsidRPr="00880275">
        <w:t>’s survey is the only external accountability mechanism, outside of complaints, that monitors councils for implementation o</w:t>
      </w:r>
      <w:r w:rsidR="004A18A7" w:rsidRPr="00880275">
        <w:t xml:space="preserve">f the Human Rights Act. </w:t>
      </w:r>
      <w:r w:rsidR="005C2540" w:rsidRPr="00880275">
        <w:t xml:space="preserve">The Commission </w:t>
      </w:r>
      <w:r w:rsidR="00DE0599" w:rsidRPr="00880275">
        <w:t>is unaware whether</w:t>
      </w:r>
      <w:r w:rsidR="00DE0599" w:rsidRPr="00880275" w:rsidDel="00033F48">
        <w:t xml:space="preserve"> </w:t>
      </w:r>
      <w:r w:rsidR="00520C06" w:rsidRPr="00880275">
        <w:t>information</w:t>
      </w:r>
      <w:r w:rsidR="003A2A8C" w:rsidRPr="00880275">
        <w:t>-</w:t>
      </w:r>
      <w:r w:rsidR="00520C06" w:rsidRPr="00880275">
        <w:t xml:space="preserve">sharing or </w:t>
      </w:r>
      <w:r w:rsidR="00DE0599" w:rsidRPr="00880275">
        <w:t xml:space="preserve">a community of practice </w:t>
      </w:r>
      <w:r w:rsidR="003C479E" w:rsidRPr="00880275">
        <w:t xml:space="preserve">exists </w:t>
      </w:r>
      <w:r w:rsidR="00DE0599" w:rsidRPr="00880275">
        <w:t xml:space="preserve">between local governments </w:t>
      </w:r>
      <w:r w:rsidR="00520C06" w:rsidRPr="00880275">
        <w:t>regarding Human Rights Act implementation or issues.</w:t>
      </w:r>
    </w:p>
    <w:p w14:paraId="49866BD5" w14:textId="68CD04C6" w:rsidR="00DE0599" w:rsidRPr="00880275" w:rsidRDefault="002375DF" w:rsidP="00754FAE">
      <w:pPr>
        <w:pStyle w:val="Numberedparagraph"/>
        <w:rPr>
          <w:b/>
        </w:rPr>
      </w:pPr>
      <w:r w:rsidRPr="00880275">
        <w:t>Acknowledging the significant resource constraints facing local government to implement the Human Rights Act,</w:t>
      </w:r>
      <w:r w:rsidRPr="00880275">
        <w:rPr>
          <w:b/>
        </w:rPr>
        <w:t xml:space="preserve"> </w:t>
      </w:r>
      <w:r w:rsidRPr="00880275">
        <w:t>the Commission recommends</w:t>
      </w:r>
      <w:r w:rsidR="00BF5959" w:rsidRPr="00880275">
        <w:t xml:space="preserve"> </w:t>
      </w:r>
      <w:r w:rsidR="00EF179F" w:rsidRPr="00880275">
        <w:t>more</w:t>
      </w:r>
      <w:r w:rsidR="00EA3E3C" w:rsidRPr="00880275">
        <w:t xml:space="preserve"> </w:t>
      </w:r>
      <w:r w:rsidR="00AC6A7A" w:rsidRPr="00880275">
        <w:t xml:space="preserve">support </w:t>
      </w:r>
      <w:r w:rsidR="00267604" w:rsidRPr="00880275">
        <w:t xml:space="preserve">from the State </w:t>
      </w:r>
      <w:r w:rsidR="00AC6A7A" w:rsidRPr="00880275">
        <w:t>for implementation activities</w:t>
      </w:r>
      <w:r w:rsidR="003D1B66" w:rsidRPr="00880275">
        <w:t>. The content of this support must be</w:t>
      </w:r>
      <w:r w:rsidR="0068006F" w:rsidRPr="00880275">
        <w:t xml:space="preserve"> informed by consultation with local government</w:t>
      </w:r>
      <w:r w:rsidR="0000220C" w:rsidRPr="00880275">
        <w:t>, but</w:t>
      </w:r>
      <w:r w:rsidR="007433B7" w:rsidRPr="00880275">
        <w:rPr>
          <w:b/>
        </w:rPr>
        <w:t xml:space="preserve"> </w:t>
      </w:r>
      <w:r w:rsidR="007433B7" w:rsidRPr="00880275">
        <w:t xml:space="preserve">could include </w:t>
      </w:r>
      <w:r w:rsidR="00AC6A7A" w:rsidRPr="00880275">
        <w:t>resources, information sharing</w:t>
      </w:r>
      <w:r w:rsidR="00784FC6" w:rsidRPr="00880275">
        <w:t>,</w:t>
      </w:r>
      <w:r w:rsidR="00AC6A7A" w:rsidRPr="00880275">
        <w:t xml:space="preserve"> and </w:t>
      </w:r>
      <w:r w:rsidR="0000220C" w:rsidRPr="00880275">
        <w:t>facilitation</w:t>
      </w:r>
      <w:r w:rsidR="00AD6509" w:rsidRPr="00880275">
        <w:t xml:space="preserve"> of a local government </w:t>
      </w:r>
      <w:r w:rsidR="00AC6A7A" w:rsidRPr="00880275">
        <w:t>community of practice.</w:t>
      </w:r>
      <w:r w:rsidR="00AC6A7A" w:rsidRPr="00880275">
        <w:rPr>
          <w:b/>
        </w:rPr>
        <w:t xml:space="preserve"> </w:t>
      </w:r>
    </w:p>
    <w:p w14:paraId="222E89F0" w14:textId="2E776070" w:rsidR="00580BDD" w:rsidRPr="00880275" w:rsidRDefault="00580BDD" w:rsidP="00754FAE">
      <w:pPr>
        <w:pStyle w:val="Heading5"/>
      </w:pPr>
      <w:r w:rsidRPr="00880275">
        <w:lastRenderedPageBreak/>
        <w:t>Recommendation 1.2</w:t>
      </w:r>
    </w:p>
    <w:p w14:paraId="41C79F36" w14:textId="77777777" w:rsidR="00960072" w:rsidRPr="00880275" w:rsidRDefault="00960072" w:rsidP="00754FAE">
      <w:pPr>
        <w:pStyle w:val="Heading5"/>
      </w:pPr>
      <w:r w:rsidRPr="00880275">
        <w:t>The State government and relevant State government departments should provide further support to local government entities for Human Rights Act implementation activities, informed by consultation with local government.</w:t>
      </w:r>
    </w:p>
    <w:p w14:paraId="6F44CD55" w14:textId="1AC2E493" w:rsidR="00EF62FE" w:rsidRPr="00880275" w:rsidRDefault="00EF62FE" w:rsidP="00EF62FE">
      <w:pPr>
        <w:pStyle w:val="Heading3"/>
      </w:pPr>
      <w:bookmarkStart w:id="14" w:name="_Toc171346751"/>
      <w:r w:rsidRPr="00880275">
        <w:t>Functional public entity progress</w:t>
      </w:r>
      <w:bookmarkEnd w:id="14"/>
    </w:p>
    <w:p w14:paraId="475CCB4D" w14:textId="4456A357" w:rsidR="003F05A0" w:rsidRPr="00880275" w:rsidRDefault="002E4432" w:rsidP="00754FAE">
      <w:pPr>
        <w:pStyle w:val="Numberedparagraph"/>
        <w:rPr>
          <w:color w:val="auto"/>
        </w:rPr>
      </w:pPr>
      <w:r w:rsidRPr="00880275">
        <w:rPr>
          <w:shd w:val="clear" w:color="auto" w:fill="FFFFFF"/>
        </w:rPr>
        <w:t xml:space="preserve">Many functional public entities have a direct role in the delivery of essential services, including disability services, aged care, and housing. </w:t>
      </w:r>
      <w:r w:rsidR="003F05A0" w:rsidRPr="00880275">
        <w:rPr>
          <w:color w:val="auto"/>
        </w:rPr>
        <w:t xml:space="preserve">The Commission </w:t>
      </w:r>
      <w:r w:rsidR="00065AFE" w:rsidRPr="00880275">
        <w:rPr>
          <w:color w:val="auto"/>
        </w:rPr>
        <w:t xml:space="preserve">invites </w:t>
      </w:r>
      <w:r w:rsidR="009B637C" w:rsidRPr="00880275">
        <w:rPr>
          <w:color w:val="auto"/>
        </w:rPr>
        <w:t>feedback from functional public entities to inform its</w:t>
      </w:r>
      <w:r w:rsidR="00BE0663" w:rsidRPr="00880275">
        <w:rPr>
          <w:color w:val="auto"/>
        </w:rPr>
        <w:t xml:space="preserve"> Human Rights Act</w:t>
      </w:r>
      <w:r w:rsidR="009B637C" w:rsidRPr="00880275">
        <w:rPr>
          <w:color w:val="auto"/>
        </w:rPr>
        <w:t xml:space="preserve"> annual </w:t>
      </w:r>
      <w:proofErr w:type="gramStart"/>
      <w:r w:rsidR="009B637C" w:rsidRPr="00880275">
        <w:rPr>
          <w:color w:val="auto"/>
        </w:rPr>
        <w:t>report, but</w:t>
      </w:r>
      <w:proofErr w:type="gramEnd"/>
      <w:r w:rsidR="009B637C" w:rsidRPr="00880275">
        <w:rPr>
          <w:color w:val="auto"/>
        </w:rPr>
        <w:t xml:space="preserve"> </w:t>
      </w:r>
      <w:r w:rsidR="003F05A0" w:rsidRPr="00880275">
        <w:rPr>
          <w:color w:val="auto"/>
        </w:rPr>
        <w:t xml:space="preserve">does not survey </w:t>
      </w:r>
      <w:r w:rsidR="00065AFE" w:rsidRPr="00880275">
        <w:rPr>
          <w:color w:val="auto"/>
        </w:rPr>
        <w:t xml:space="preserve">functional public entities in the same way it does </w:t>
      </w:r>
      <w:r w:rsidR="00AC6BE2" w:rsidRPr="00880275">
        <w:rPr>
          <w:color w:val="auto"/>
        </w:rPr>
        <w:t xml:space="preserve">State </w:t>
      </w:r>
      <w:r w:rsidR="00A72EA3" w:rsidRPr="00880275">
        <w:rPr>
          <w:color w:val="auto"/>
        </w:rPr>
        <w:t xml:space="preserve">government </w:t>
      </w:r>
      <w:r w:rsidR="00AC6BE2" w:rsidRPr="00880275">
        <w:rPr>
          <w:color w:val="auto"/>
        </w:rPr>
        <w:t>departments and local government.</w:t>
      </w:r>
    </w:p>
    <w:p w14:paraId="32CA9426" w14:textId="5B3F44BB" w:rsidR="0044781C" w:rsidRPr="00880275" w:rsidRDefault="0044781C" w:rsidP="00754FAE">
      <w:pPr>
        <w:pStyle w:val="Numberedparagraph"/>
        <w:rPr>
          <w:color w:val="auto"/>
        </w:rPr>
      </w:pPr>
      <w:r w:rsidRPr="00880275">
        <w:t xml:space="preserve">Several non-government agencies have prioritised applying the </w:t>
      </w:r>
      <w:r w:rsidR="00881F90" w:rsidRPr="00880275">
        <w:t>Human Rights Act</w:t>
      </w:r>
      <w:r w:rsidRPr="00880275">
        <w:t xml:space="preserve"> in the housing sector. Consistent with research findings across Australian human rights jurisdictions, while there are few reported tribunal and court decisions to indicate that the </w:t>
      </w:r>
      <w:r w:rsidR="00881F90" w:rsidRPr="00880275">
        <w:t>Human Rights Act</w:t>
      </w:r>
      <w:r w:rsidRPr="00880275">
        <w:t xml:space="preserve"> is having a significant impact on the housing sector,</w:t>
      </w:r>
      <w:r w:rsidRPr="00880275">
        <w:rPr>
          <w:rStyle w:val="FootnoteReference"/>
          <w:rFonts w:eastAsia="Calibri"/>
        </w:rPr>
        <w:footnoteReference w:id="12"/>
      </w:r>
      <w:r w:rsidRPr="00880275">
        <w:t xml:space="preserve"> the </w:t>
      </w:r>
      <w:r w:rsidR="0067017C" w:rsidRPr="00880275">
        <w:t>Commission</w:t>
      </w:r>
      <w:r w:rsidRPr="00880275">
        <w:t xml:space="preserve"> continues to hear that informal discussions and negotiations between advocates and housing service providers framed around the Human Rights Act </w:t>
      </w:r>
      <w:r w:rsidR="007100EE" w:rsidRPr="00880275">
        <w:t xml:space="preserve">are </w:t>
      </w:r>
      <w:r w:rsidRPr="00880275">
        <w:t>leading to early resolution of disputes.</w:t>
      </w:r>
      <w:r w:rsidR="00BF5A4E" w:rsidRPr="00880275">
        <w:rPr>
          <w:rStyle w:val="FootnoteReference"/>
        </w:rPr>
        <w:footnoteReference w:id="13"/>
      </w:r>
      <w:r w:rsidRPr="00880275">
        <w:t xml:space="preserve"> </w:t>
      </w:r>
    </w:p>
    <w:p w14:paraId="20A254D1" w14:textId="0388B2F9" w:rsidR="0044781C" w:rsidRPr="00880275" w:rsidRDefault="00A226B9" w:rsidP="00754FAE">
      <w:pPr>
        <w:pStyle w:val="Numberedparagraph"/>
        <w:rPr>
          <w:color w:val="auto"/>
        </w:rPr>
      </w:pPr>
      <w:r w:rsidRPr="00880275">
        <w:t>In</w:t>
      </w:r>
      <w:r w:rsidR="0044781C" w:rsidRPr="00880275">
        <w:t xml:space="preserve"> research </w:t>
      </w:r>
      <w:r w:rsidRPr="00880275">
        <w:t>conducted by Professor Tamara Walsh, f</w:t>
      </w:r>
      <w:r w:rsidR="00654A1E" w:rsidRPr="00880275">
        <w:t xml:space="preserve">ocus groups </w:t>
      </w:r>
      <w:r w:rsidR="00F012DC" w:rsidRPr="00880275">
        <w:t xml:space="preserve">of lawyers </w:t>
      </w:r>
      <w:r w:rsidR="00A25087" w:rsidRPr="00880275">
        <w:t>in</w:t>
      </w:r>
      <w:r w:rsidR="0044781C" w:rsidRPr="00880275">
        <w:t xml:space="preserve"> Australian human rights jurisdictions (Queensland, ACT, and Victoria)</w:t>
      </w:r>
      <w:r w:rsidR="00DB1B24" w:rsidRPr="00880275">
        <w:t xml:space="preserve"> </w:t>
      </w:r>
      <w:r w:rsidR="00DD458E" w:rsidRPr="00880275">
        <w:t>said</w:t>
      </w:r>
      <w:r w:rsidR="0044781C" w:rsidRPr="00880275">
        <w:t xml:space="preserve"> that while many people were hesitant to raise rights-based arguments before tribunals, human rights dialogue was taking place ‘behind the scenes’ in negotiations with social housing providers.</w:t>
      </w:r>
      <w:r w:rsidR="0044781C" w:rsidRPr="00880275">
        <w:rPr>
          <w:rStyle w:val="FootnoteReference"/>
          <w:rFonts w:eastAsia="Calibri"/>
        </w:rPr>
        <w:footnoteReference w:id="14"/>
      </w:r>
      <w:r w:rsidR="0044781C" w:rsidRPr="00880275">
        <w:t xml:space="preserve"> </w:t>
      </w:r>
    </w:p>
    <w:p w14:paraId="5CE3FABE" w14:textId="4FAD726A" w:rsidR="005D3C5A" w:rsidRPr="00880275" w:rsidRDefault="00EB0A65" w:rsidP="00754FAE">
      <w:pPr>
        <w:pStyle w:val="Numberedparagraph"/>
        <w:rPr>
          <w:rFonts w:ascii="Times New Roman" w:hAnsi="Times New Roman" w:cs="Times New Roman"/>
          <w:color w:val="auto"/>
          <w:sz w:val="24"/>
          <w:lang w:eastAsia="en-AU"/>
        </w:rPr>
      </w:pPr>
      <w:r w:rsidRPr="00880275">
        <w:rPr>
          <w:shd w:val="clear" w:color="auto" w:fill="FFFFFF"/>
        </w:rPr>
        <w:t xml:space="preserve">The </w:t>
      </w:r>
      <w:r w:rsidR="004863F1" w:rsidRPr="00880275">
        <w:rPr>
          <w:shd w:val="clear" w:color="auto" w:fill="FFFFFF"/>
        </w:rPr>
        <w:t>Queensland Council of Social Service (</w:t>
      </w:r>
      <w:r w:rsidR="004863F1" w:rsidRPr="00880275">
        <w:rPr>
          <w:b/>
          <w:bCs/>
          <w:shd w:val="clear" w:color="auto" w:fill="FFFFFF"/>
        </w:rPr>
        <w:t>QCOSS</w:t>
      </w:r>
      <w:r w:rsidR="004863F1" w:rsidRPr="00880275">
        <w:rPr>
          <w:shd w:val="clear" w:color="auto" w:fill="FFFFFF"/>
        </w:rPr>
        <w:t>)</w:t>
      </w:r>
      <w:r w:rsidRPr="00880275">
        <w:rPr>
          <w:shd w:val="clear" w:color="auto" w:fill="FFFFFF"/>
        </w:rPr>
        <w:t>, Queensland’s peak body for the social services sector,</w:t>
      </w:r>
      <w:r w:rsidR="004863F1" w:rsidRPr="00880275">
        <w:rPr>
          <w:shd w:val="clear" w:color="auto" w:fill="FFFFFF"/>
        </w:rPr>
        <w:t xml:space="preserve"> works with functional public entities in the sector to raise awareness of their obligations under the Human Rights Act. </w:t>
      </w:r>
      <w:r w:rsidR="004863F1" w:rsidRPr="00880275">
        <w:t>In 2022</w:t>
      </w:r>
      <w:r w:rsidR="00372781" w:rsidRPr="00880275">
        <w:t>–</w:t>
      </w:r>
      <w:r w:rsidR="004863F1" w:rsidRPr="00880275">
        <w:t>23, QCOSS reported that 681 people registered to attend their Human Rights in Action events</w:t>
      </w:r>
      <w:r w:rsidR="00EE424F" w:rsidRPr="00880275">
        <w:t xml:space="preserve">. QCOSS also relaunched their Human Rights in Action newsletter, which was delivered to more than </w:t>
      </w:r>
      <w:r w:rsidR="005D3C5A" w:rsidRPr="00880275">
        <w:t>2,300 recipients.</w:t>
      </w:r>
      <w:r w:rsidR="005D3C5A" w:rsidRPr="00880275">
        <w:rPr>
          <w:vertAlign w:val="superscript"/>
        </w:rPr>
        <w:footnoteReference w:id="15"/>
      </w:r>
      <w:r w:rsidR="005D3C5A" w:rsidRPr="00880275">
        <w:rPr>
          <w:rFonts w:ascii="Times New Roman" w:hAnsi="Times New Roman" w:cs="Times New Roman"/>
          <w:sz w:val="24"/>
          <w:lang w:eastAsia="en-AU"/>
        </w:rPr>
        <w:t xml:space="preserve"> </w:t>
      </w:r>
    </w:p>
    <w:p w14:paraId="42D75241" w14:textId="312DB782" w:rsidR="002C7AF0" w:rsidRPr="00880275" w:rsidRDefault="00466F51" w:rsidP="00A723B6">
      <w:pPr>
        <w:pStyle w:val="Heading2"/>
      </w:pPr>
      <w:bookmarkStart w:id="15" w:name="_Toc171346752"/>
      <w:r w:rsidRPr="00880275">
        <w:lastRenderedPageBreak/>
        <w:t>The Commission’s work</w:t>
      </w:r>
      <w:bookmarkEnd w:id="15"/>
    </w:p>
    <w:p w14:paraId="27BCC747" w14:textId="671EF8AA" w:rsidR="00EE5C93" w:rsidRPr="00880275" w:rsidRDefault="00EF70FE" w:rsidP="00754FAE">
      <w:pPr>
        <w:pStyle w:val="Numberedparagraph"/>
      </w:pPr>
      <w:r w:rsidRPr="00880275">
        <w:t xml:space="preserve">The </w:t>
      </w:r>
      <w:r w:rsidR="00EE5C93" w:rsidRPr="00880275">
        <w:t xml:space="preserve">Commission’s work </w:t>
      </w:r>
      <w:r w:rsidRPr="00880275">
        <w:t xml:space="preserve">in </w:t>
      </w:r>
      <w:r w:rsidR="00B84558" w:rsidRPr="00880275">
        <w:t xml:space="preserve">providing </w:t>
      </w:r>
      <w:r w:rsidR="000E7B14" w:rsidRPr="00880275">
        <w:t>support, education, training and guidance to the public sector</w:t>
      </w:r>
      <w:r w:rsidR="00B84558" w:rsidRPr="00880275">
        <w:t xml:space="preserve"> is </w:t>
      </w:r>
      <w:r w:rsidR="00807AFC" w:rsidRPr="00880275">
        <w:t>summarised each year in the annual report</w:t>
      </w:r>
      <w:r w:rsidR="00872E52" w:rsidRPr="00880275">
        <w:t xml:space="preserve"> on the operation of the Human Rights Act</w:t>
      </w:r>
      <w:r w:rsidR="00807AFC" w:rsidRPr="00880275">
        <w:t>.</w:t>
      </w:r>
      <w:r w:rsidR="00BF2991" w:rsidRPr="00880275">
        <w:t xml:space="preserve"> </w:t>
      </w:r>
    </w:p>
    <w:p w14:paraId="7DBBF1FB" w14:textId="532FC222" w:rsidR="00E06E41" w:rsidRPr="00880275" w:rsidRDefault="00E06E41" w:rsidP="00754FAE">
      <w:pPr>
        <w:pStyle w:val="Numberedparagraph"/>
      </w:pPr>
      <w:r w:rsidRPr="00880275">
        <w:t xml:space="preserve">Further details on some of this </w:t>
      </w:r>
      <w:proofErr w:type="gramStart"/>
      <w:r w:rsidRPr="00880275">
        <w:t>work</w:t>
      </w:r>
      <w:proofErr w:type="gramEnd"/>
      <w:r w:rsidRPr="00880275">
        <w:t xml:space="preserve"> </w:t>
      </w:r>
      <w:r w:rsidR="001D180F" w:rsidRPr="00880275">
        <w:t>are</w:t>
      </w:r>
      <w:r w:rsidRPr="00880275">
        <w:t xml:space="preserve"> outlined below.</w:t>
      </w:r>
    </w:p>
    <w:p w14:paraId="31760EA3" w14:textId="652B7A84" w:rsidR="0005414F" w:rsidRPr="00880275" w:rsidRDefault="0005414F" w:rsidP="00EE5C93">
      <w:pPr>
        <w:pStyle w:val="Heading3"/>
      </w:pPr>
      <w:bookmarkStart w:id="16" w:name="_Toc171346753"/>
      <w:r w:rsidRPr="00880275">
        <w:t>Community engagement</w:t>
      </w:r>
      <w:bookmarkEnd w:id="16"/>
    </w:p>
    <w:p w14:paraId="3F953C6F" w14:textId="4F3E06BC" w:rsidR="002346B3" w:rsidRPr="00880275" w:rsidRDefault="002346B3" w:rsidP="00754FAE">
      <w:pPr>
        <w:pStyle w:val="Numberedparagraph"/>
      </w:pPr>
      <w:r w:rsidRPr="00880275">
        <w:t xml:space="preserve">The Commission takes part in a range of community engagement activities as part of our commitment to increasing public understanding and discussion of human rights and responsibilities. This includes attending and participating in </w:t>
      </w:r>
      <w:r w:rsidR="00906A04" w:rsidRPr="00880275">
        <w:t xml:space="preserve">community </w:t>
      </w:r>
      <w:r w:rsidRPr="00880275">
        <w:t xml:space="preserve">events across Queensland </w:t>
      </w:r>
      <w:r w:rsidR="00395269" w:rsidRPr="00880275">
        <w:t xml:space="preserve">such as </w:t>
      </w:r>
      <w:r w:rsidR="00906A04" w:rsidRPr="00880275">
        <w:t>MOSAIC Multicultural Festival, Deadly Day Out, Iftar dinners</w:t>
      </w:r>
      <w:r w:rsidR="006B3152" w:rsidRPr="00880275">
        <w:t>,</w:t>
      </w:r>
      <w:r w:rsidR="00906A04" w:rsidRPr="00880275">
        <w:t xml:space="preserve"> </w:t>
      </w:r>
      <w:r w:rsidR="00B02B92" w:rsidRPr="00880275">
        <w:t>and International Women’s Day.</w:t>
      </w:r>
    </w:p>
    <w:p w14:paraId="7E7A3CD5" w14:textId="38CC81CB" w:rsidR="0005414F" w:rsidRPr="00880275" w:rsidRDefault="004A2559" w:rsidP="00754FAE">
      <w:pPr>
        <w:pStyle w:val="Numberedparagraph"/>
      </w:pPr>
      <w:r w:rsidRPr="00880275">
        <w:t xml:space="preserve">The Commission runs an </w:t>
      </w:r>
      <w:r w:rsidR="0005414F" w:rsidRPr="00880275">
        <w:t xml:space="preserve">annual Human Rights Week campaign </w:t>
      </w:r>
      <w:r w:rsidRPr="00880275">
        <w:t>starting on 1</w:t>
      </w:r>
      <w:r w:rsidR="009F76C2" w:rsidRPr="00880275">
        <w:t> </w:t>
      </w:r>
      <w:r w:rsidRPr="00880275">
        <w:t xml:space="preserve">December and </w:t>
      </w:r>
      <w:r w:rsidR="0005414F" w:rsidRPr="00880275">
        <w:t>culminating on Human Rights Day on 10 December</w:t>
      </w:r>
      <w:r w:rsidRPr="00880275">
        <w:t xml:space="preserve">. </w:t>
      </w:r>
      <w:r w:rsidR="005E1698" w:rsidRPr="00880275">
        <w:t xml:space="preserve">Human Rights Week awareness and education activities </w:t>
      </w:r>
      <w:r w:rsidR="00146E69" w:rsidRPr="00880275">
        <w:t xml:space="preserve">each year </w:t>
      </w:r>
      <w:r w:rsidR="00872E52" w:rsidRPr="00880275">
        <w:t>focus on</w:t>
      </w:r>
      <w:r w:rsidR="005E1698" w:rsidRPr="00880275">
        <w:t xml:space="preserve"> a theme </w:t>
      </w:r>
      <w:r w:rsidR="008A5EF2" w:rsidRPr="00880275">
        <w:t>and</w:t>
      </w:r>
      <w:r w:rsidR="004670C1" w:rsidRPr="00880275">
        <w:t xml:space="preserve"> include </w:t>
      </w:r>
      <w:r w:rsidR="00D405B3" w:rsidRPr="00880275">
        <w:t>public events and forums, speaking engagements, free online and in</w:t>
      </w:r>
      <w:r w:rsidR="00AF4FF5" w:rsidRPr="00880275">
        <w:t>-</w:t>
      </w:r>
      <w:r w:rsidR="00D405B3" w:rsidRPr="00880275">
        <w:t xml:space="preserve">person training sessions for the community, </w:t>
      </w:r>
      <w:r w:rsidR="00C72A33" w:rsidRPr="00880275">
        <w:t xml:space="preserve">information days and events held </w:t>
      </w:r>
      <w:r w:rsidR="002A225D" w:rsidRPr="00880275">
        <w:t xml:space="preserve">collaboratively with community partners, </w:t>
      </w:r>
      <w:r w:rsidR="00050751" w:rsidRPr="00880275">
        <w:t xml:space="preserve">and </w:t>
      </w:r>
      <w:r w:rsidR="00212534" w:rsidRPr="00880275">
        <w:t xml:space="preserve">curated content across digital channels to </w:t>
      </w:r>
      <w:r w:rsidR="00AD7CAA" w:rsidRPr="00880275">
        <w:t xml:space="preserve">broaden understanding of and engagement with the Act. </w:t>
      </w:r>
    </w:p>
    <w:p w14:paraId="7D12E897" w14:textId="4DD9A404" w:rsidR="00E11FF3" w:rsidRPr="00880275" w:rsidRDefault="00E11FF3" w:rsidP="00EE5C93">
      <w:pPr>
        <w:pStyle w:val="Heading3"/>
      </w:pPr>
      <w:bookmarkStart w:id="17" w:name="_Toc171346754"/>
      <w:r w:rsidRPr="00880275">
        <w:t>Education and training</w:t>
      </w:r>
      <w:bookmarkEnd w:id="17"/>
    </w:p>
    <w:p w14:paraId="2A2BFA61" w14:textId="07352E52" w:rsidR="002351BE" w:rsidRPr="00880275" w:rsidRDefault="002351BE" w:rsidP="00754FAE">
      <w:pPr>
        <w:pStyle w:val="Numberedparagraph"/>
        <w:rPr>
          <w:lang w:eastAsia="en-AU"/>
        </w:rPr>
      </w:pPr>
      <w:r w:rsidRPr="00880275">
        <w:rPr>
          <w:lang w:eastAsia="en-AU"/>
        </w:rPr>
        <w:t xml:space="preserve">The </w:t>
      </w:r>
      <w:r w:rsidR="001D2125" w:rsidRPr="00880275">
        <w:rPr>
          <w:lang w:eastAsia="en-AU"/>
        </w:rPr>
        <w:t>Commission</w:t>
      </w:r>
      <w:r w:rsidRPr="00880275">
        <w:rPr>
          <w:lang w:eastAsia="en-AU"/>
        </w:rPr>
        <w:t xml:space="preserve"> provides </w:t>
      </w:r>
      <w:r w:rsidR="00375C0B" w:rsidRPr="00880275">
        <w:rPr>
          <w:lang w:eastAsia="en-AU"/>
        </w:rPr>
        <w:t>face</w:t>
      </w:r>
      <w:r w:rsidR="00C96D61" w:rsidRPr="00880275">
        <w:rPr>
          <w:lang w:eastAsia="en-AU"/>
        </w:rPr>
        <w:t>-</w:t>
      </w:r>
      <w:r w:rsidR="00375C0B" w:rsidRPr="00880275">
        <w:rPr>
          <w:lang w:eastAsia="en-AU"/>
        </w:rPr>
        <w:t>to</w:t>
      </w:r>
      <w:r w:rsidR="000C07A2" w:rsidRPr="00880275">
        <w:rPr>
          <w:lang w:eastAsia="en-AU"/>
        </w:rPr>
        <w:t>-</w:t>
      </w:r>
      <w:r w:rsidR="00375C0B" w:rsidRPr="00880275">
        <w:rPr>
          <w:lang w:eastAsia="en-AU"/>
        </w:rPr>
        <w:t xml:space="preserve">face and webinar </w:t>
      </w:r>
      <w:r w:rsidRPr="00880275">
        <w:rPr>
          <w:lang w:eastAsia="en-AU"/>
        </w:rPr>
        <w:t xml:space="preserve">training on the </w:t>
      </w:r>
      <w:r w:rsidR="00881F90" w:rsidRPr="00880275">
        <w:rPr>
          <w:lang w:eastAsia="en-AU"/>
        </w:rPr>
        <w:t>Human Rights Act</w:t>
      </w:r>
      <w:r w:rsidRPr="00880275">
        <w:rPr>
          <w:lang w:eastAsia="en-AU"/>
        </w:rPr>
        <w:t xml:space="preserve"> to government and functional public entities, private and not-for-profit sectors, and sessions aimed at community advocates and legal representatives. </w:t>
      </w:r>
      <w:r w:rsidR="00221C62" w:rsidRPr="00880275">
        <w:rPr>
          <w:lang w:eastAsia="en-AU"/>
        </w:rPr>
        <w:t xml:space="preserve">The Commission has other standard training courses, </w:t>
      </w:r>
      <w:r w:rsidR="002E27C9" w:rsidRPr="00880275">
        <w:rPr>
          <w:lang w:eastAsia="en-AU"/>
        </w:rPr>
        <w:t xml:space="preserve">such as </w:t>
      </w:r>
      <w:r w:rsidR="00342F31" w:rsidRPr="00880275">
        <w:rPr>
          <w:lang w:eastAsia="en-AU"/>
        </w:rPr>
        <w:t xml:space="preserve">sessions </w:t>
      </w:r>
      <w:r w:rsidR="002E27C9" w:rsidRPr="00880275">
        <w:rPr>
          <w:lang w:eastAsia="en-AU"/>
        </w:rPr>
        <w:t xml:space="preserve">on the </w:t>
      </w:r>
      <w:r w:rsidR="002E27C9" w:rsidRPr="00880275">
        <w:rPr>
          <w:i/>
          <w:lang w:eastAsia="en-AU"/>
        </w:rPr>
        <w:t>Anti-Discrimination Act 1991</w:t>
      </w:r>
      <w:r w:rsidR="002E27C9" w:rsidRPr="00880275">
        <w:rPr>
          <w:lang w:eastAsia="en-AU"/>
        </w:rPr>
        <w:t xml:space="preserve"> (Qld)</w:t>
      </w:r>
      <w:r w:rsidR="002C7A94" w:rsidRPr="00880275">
        <w:rPr>
          <w:lang w:eastAsia="en-AU"/>
        </w:rPr>
        <w:t xml:space="preserve">, </w:t>
      </w:r>
      <w:r w:rsidR="00784BDF" w:rsidRPr="00880275">
        <w:rPr>
          <w:lang w:eastAsia="en-AU"/>
        </w:rPr>
        <w:t>which</w:t>
      </w:r>
      <w:r w:rsidR="00FE22DC" w:rsidRPr="00880275">
        <w:rPr>
          <w:lang w:eastAsia="en-AU"/>
        </w:rPr>
        <w:t xml:space="preserve"> can be tailored to the specific needs </w:t>
      </w:r>
      <w:r w:rsidR="00375C0B" w:rsidRPr="00880275">
        <w:rPr>
          <w:lang w:eastAsia="en-AU"/>
        </w:rPr>
        <w:t>of an organi</w:t>
      </w:r>
      <w:r w:rsidR="007E726F" w:rsidRPr="00880275">
        <w:rPr>
          <w:lang w:eastAsia="en-AU"/>
        </w:rPr>
        <w:t>s</w:t>
      </w:r>
      <w:r w:rsidR="00375C0B" w:rsidRPr="00880275">
        <w:rPr>
          <w:lang w:eastAsia="en-AU"/>
        </w:rPr>
        <w:t xml:space="preserve">ation. </w:t>
      </w:r>
    </w:p>
    <w:p w14:paraId="1EEC6AE0" w14:textId="0EA54061" w:rsidR="00375C0B" w:rsidRPr="00880275" w:rsidRDefault="00375C0B" w:rsidP="00754FAE">
      <w:pPr>
        <w:pStyle w:val="Numberedparagraph"/>
        <w:rPr>
          <w:lang w:eastAsia="en-AU"/>
        </w:rPr>
      </w:pPr>
      <w:r w:rsidRPr="00880275">
        <w:t xml:space="preserve">The Commission also offers online </w:t>
      </w:r>
      <w:r w:rsidR="007222CC" w:rsidRPr="00880275">
        <w:t xml:space="preserve">learning </w:t>
      </w:r>
      <w:r w:rsidRPr="00880275">
        <w:t xml:space="preserve">modules to provide </w:t>
      </w:r>
      <w:r w:rsidR="007222CC" w:rsidRPr="00880275">
        <w:t xml:space="preserve">education </w:t>
      </w:r>
      <w:r w:rsidRPr="00880275">
        <w:t xml:space="preserve">options for people unable to access standard training courses. </w:t>
      </w:r>
    </w:p>
    <w:p w14:paraId="1BACA54B" w14:textId="2128829B" w:rsidR="002351BE" w:rsidRPr="00880275" w:rsidRDefault="002351BE" w:rsidP="00754FAE">
      <w:pPr>
        <w:pStyle w:val="Numberedparagraph"/>
      </w:pPr>
      <w:r w:rsidRPr="00880275">
        <w:rPr>
          <w:lang w:eastAsia="en-AU"/>
        </w:rPr>
        <w:t xml:space="preserve">Training was a particular focus of the </w:t>
      </w:r>
      <w:r w:rsidR="001D2125" w:rsidRPr="00880275">
        <w:rPr>
          <w:lang w:eastAsia="en-AU"/>
        </w:rPr>
        <w:t>Commission</w:t>
      </w:r>
      <w:r w:rsidRPr="00880275">
        <w:rPr>
          <w:lang w:eastAsia="en-AU"/>
        </w:rPr>
        <w:t xml:space="preserve">’s work prior to the operational provisions of the </w:t>
      </w:r>
      <w:r w:rsidR="00881F90" w:rsidRPr="00880275">
        <w:rPr>
          <w:lang w:eastAsia="en-AU"/>
        </w:rPr>
        <w:t>Human Rights Act</w:t>
      </w:r>
      <w:r w:rsidRPr="00880275">
        <w:rPr>
          <w:lang w:eastAsia="en-AU"/>
        </w:rPr>
        <w:t xml:space="preserve"> commencing. </w:t>
      </w:r>
      <w:r w:rsidRPr="00880275">
        <w:t xml:space="preserve">In 2019–20, the </w:t>
      </w:r>
      <w:r w:rsidR="001D2125" w:rsidRPr="00880275">
        <w:t>Commission</w:t>
      </w:r>
      <w:r w:rsidRPr="00880275">
        <w:t xml:space="preserve"> conducted state-wide training for public sector entities, large and small, to promote an understanding of obligations under the Act. </w:t>
      </w:r>
      <w:r w:rsidR="00D76A44" w:rsidRPr="00880275">
        <w:t xml:space="preserve"> </w:t>
      </w:r>
      <w:r w:rsidR="00353FCA" w:rsidRPr="00880275">
        <w:t>T</w:t>
      </w:r>
      <w:r w:rsidRPr="00880275">
        <w:t xml:space="preserve">raining was available online, face-to-face, and through webinars. The demand was </w:t>
      </w:r>
      <w:proofErr w:type="gramStart"/>
      <w:r w:rsidRPr="00880275">
        <w:t>high</w:t>
      </w:r>
      <w:proofErr w:type="gramEnd"/>
      <w:r w:rsidRPr="00880275">
        <w:t xml:space="preserve"> and the </w:t>
      </w:r>
      <w:r w:rsidR="001D2125" w:rsidRPr="00880275">
        <w:t>Commission</w:t>
      </w:r>
      <w:r w:rsidRPr="00880275">
        <w:t xml:space="preserve"> saw a 35% increase in training sessions over the previous year, and a 55% increase in participant numbers. In most cases, organisations requested training tailored to their business needs, and </w:t>
      </w:r>
      <w:r w:rsidR="001D2125" w:rsidRPr="00880275">
        <w:t>Commission</w:t>
      </w:r>
      <w:r w:rsidRPr="00880275">
        <w:t xml:space="preserve"> trainers worked with </w:t>
      </w:r>
      <w:r w:rsidR="00AF64BD" w:rsidRPr="00880275">
        <w:t xml:space="preserve">clients </w:t>
      </w:r>
      <w:r w:rsidRPr="00880275">
        <w:t xml:space="preserve">to </w:t>
      </w:r>
      <w:r w:rsidR="00556C91" w:rsidRPr="00880275">
        <w:t>craft</w:t>
      </w:r>
      <w:r w:rsidRPr="00880275">
        <w:t xml:space="preserve"> </w:t>
      </w:r>
      <w:r w:rsidR="68290E57" w:rsidRPr="00880275">
        <w:t>real</w:t>
      </w:r>
      <w:r w:rsidR="1FBD5666" w:rsidRPr="00880275">
        <w:t>-</w:t>
      </w:r>
      <w:r w:rsidR="68290E57" w:rsidRPr="00880275">
        <w:t xml:space="preserve">life </w:t>
      </w:r>
      <w:r w:rsidRPr="00880275">
        <w:t xml:space="preserve">scenarios </w:t>
      </w:r>
      <w:r w:rsidR="00556C91" w:rsidRPr="00880275">
        <w:t>for</w:t>
      </w:r>
      <w:r w:rsidRPr="00880275">
        <w:t xml:space="preserve"> workshopp</w:t>
      </w:r>
      <w:r w:rsidR="00556C91" w:rsidRPr="00880275">
        <w:t>ing</w:t>
      </w:r>
      <w:r w:rsidRPr="00880275">
        <w:t xml:space="preserve"> by participants</w:t>
      </w:r>
      <w:r w:rsidR="00FB53A9" w:rsidRPr="00880275">
        <w:t xml:space="preserve"> </w:t>
      </w:r>
      <w:proofErr w:type="gramStart"/>
      <w:r w:rsidR="00FB53A9" w:rsidRPr="00880275">
        <w:t xml:space="preserve">so as </w:t>
      </w:r>
      <w:r w:rsidRPr="00880275">
        <w:t>to</w:t>
      </w:r>
      <w:proofErr w:type="gramEnd"/>
      <w:r w:rsidRPr="00880275">
        <w:t xml:space="preserve"> make the Act relevant to their </w:t>
      </w:r>
      <w:r w:rsidR="00556C91" w:rsidRPr="00880275">
        <w:t xml:space="preserve">particular </w:t>
      </w:r>
      <w:r w:rsidRPr="00880275">
        <w:t>environment.</w:t>
      </w:r>
    </w:p>
    <w:p w14:paraId="494DE58B" w14:textId="67604D76" w:rsidR="002351BE" w:rsidRPr="00880275" w:rsidRDefault="002351BE" w:rsidP="00754FAE">
      <w:pPr>
        <w:pStyle w:val="Numberedparagraph"/>
      </w:pPr>
      <w:r w:rsidRPr="00880275">
        <w:lastRenderedPageBreak/>
        <w:t xml:space="preserve">Over 18,000 participants completed the </w:t>
      </w:r>
      <w:r w:rsidR="001D2125" w:rsidRPr="00880275">
        <w:t>Commission</w:t>
      </w:r>
      <w:r w:rsidRPr="00880275">
        <w:t xml:space="preserve">’s online </w:t>
      </w:r>
      <w:r w:rsidR="005A3F07" w:rsidRPr="00880275">
        <w:t>learning</w:t>
      </w:r>
      <w:r w:rsidRPr="00880275">
        <w:t xml:space="preserve"> for public entities during 2019–2020. </w:t>
      </w:r>
    </w:p>
    <w:p w14:paraId="15816117" w14:textId="0E023345" w:rsidR="00403DF7" w:rsidRPr="00880275" w:rsidRDefault="00921228" w:rsidP="00754FAE">
      <w:pPr>
        <w:pStyle w:val="Numberedparagraph"/>
      </w:pPr>
      <w:r w:rsidRPr="00880275">
        <w:t>Figures 4</w:t>
      </w:r>
      <w:r w:rsidR="00AF452E" w:rsidRPr="00880275">
        <w:t xml:space="preserve"> and </w:t>
      </w:r>
      <w:r w:rsidRPr="00880275">
        <w:t>5</w:t>
      </w:r>
      <w:r w:rsidR="00AF452E" w:rsidRPr="00880275">
        <w:t xml:space="preserve"> set out </w:t>
      </w:r>
      <w:r w:rsidR="00774B27" w:rsidRPr="00880275">
        <w:t xml:space="preserve">attendance at </w:t>
      </w:r>
      <w:r w:rsidR="007B7E7A" w:rsidRPr="00880275">
        <w:t xml:space="preserve">Commission </w:t>
      </w:r>
      <w:r w:rsidR="00AF452E" w:rsidRPr="00880275">
        <w:t xml:space="preserve">training and </w:t>
      </w:r>
      <w:r w:rsidR="002E1B5C" w:rsidRPr="00880275">
        <w:t xml:space="preserve">access to </w:t>
      </w:r>
      <w:r w:rsidR="00AF452E" w:rsidRPr="00880275">
        <w:t xml:space="preserve">online learning in recent years. </w:t>
      </w:r>
      <w:r w:rsidR="00C50642" w:rsidRPr="00880275">
        <w:t xml:space="preserve">Demand for training appears to have </w:t>
      </w:r>
      <w:r w:rsidR="00F35B26" w:rsidRPr="00880275">
        <w:t xml:space="preserve">returned to </w:t>
      </w:r>
      <w:r w:rsidR="009910DE" w:rsidRPr="00880275">
        <w:t>2018-19</w:t>
      </w:r>
      <w:r w:rsidR="00F35B26" w:rsidRPr="00880275">
        <w:t xml:space="preserve"> levels, although this is </w:t>
      </w:r>
      <w:r w:rsidR="00903745" w:rsidRPr="00880275">
        <w:t xml:space="preserve">now </w:t>
      </w:r>
      <w:r w:rsidR="00F659F1" w:rsidRPr="00880275">
        <w:t>complemented</w:t>
      </w:r>
      <w:r w:rsidR="00F35B26" w:rsidRPr="00880275">
        <w:t xml:space="preserve"> by </w:t>
      </w:r>
      <w:r w:rsidR="003D522D" w:rsidRPr="00880275">
        <w:t xml:space="preserve">stable numbers of </w:t>
      </w:r>
      <w:r w:rsidR="00F659F1" w:rsidRPr="00880275">
        <w:t xml:space="preserve">enrolments </w:t>
      </w:r>
      <w:r w:rsidR="009910DE" w:rsidRPr="00880275">
        <w:t xml:space="preserve">in </w:t>
      </w:r>
      <w:r w:rsidR="003D522D" w:rsidRPr="00880275">
        <w:t>(</w:t>
      </w:r>
      <w:r w:rsidR="00F659F1" w:rsidRPr="00880275">
        <w:t>and completion</w:t>
      </w:r>
      <w:r w:rsidR="009910DE" w:rsidRPr="00880275">
        <w:t xml:space="preserve"> of</w:t>
      </w:r>
      <w:r w:rsidR="003D522D" w:rsidRPr="00880275">
        <w:t>)</w:t>
      </w:r>
      <w:r w:rsidR="00F659F1" w:rsidRPr="00880275">
        <w:t xml:space="preserve"> online </w:t>
      </w:r>
      <w:r w:rsidR="004C48A0" w:rsidRPr="00880275">
        <w:t xml:space="preserve">human rights </w:t>
      </w:r>
      <w:r w:rsidR="005A3F07" w:rsidRPr="00880275">
        <w:t>learning</w:t>
      </w:r>
      <w:r w:rsidR="004C48A0" w:rsidRPr="00880275">
        <w:t>.</w:t>
      </w:r>
      <w:r w:rsidR="006B21BF" w:rsidRPr="00880275">
        <w:t xml:space="preserve"> </w:t>
      </w:r>
      <w:r w:rsidR="009D1D6C" w:rsidRPr="00880275">
        <w:t>However,</w:t>
      </w:r>
      <w:r w:rsidR="00FA0212" w:rsidRPr="00880275">
        <w:t xml:space="preserve"> the</w:t>
      </w:r>
      <w:r w:rsidR="006B21BF" w:rsidRPr="00880275">
        <w:t xml:space="preserve"> </w:t>
      </w:r>
      <w:r w:rsidR="006B719A" w:rsidRPr="00880275">
        <w:t>large</w:t>
      </w:r>
      <w:r w:rsidR="006B21BF" w:rsidRPr="00880275">
        <w:t xml:space="preserve"> number of public </w:t>
      </w:r>
      <w:proofErr w:type="gramStart"/>
      <w:r w:rsidR="006B21BF" w:rsidRPr="00880275">
        <w:t>sector</w:t>
      </w:r>
      <w:proofErr w:type="gramEnd"/>
      <w:r w:rsidR="006B21BF" w:rsidRPr="00880275">
        <w:t>, local government</w:t>
      </w:r>
      <w:r w:rsidR="0041072F" w:rsidRPr="00880275">
        <w:t>,</w:t>
      </w:r>
      <w:r w:rsidR="006B21BF" w:rsidRPr="00880275">
        <w:t xml:space="preserve"> and functional public entity employees</w:t>
      </w:r>
      <w:r w:rsidR="006B719A" w:rsidRPr="00880275">
        <w:t xml:space="preserve"> means that</w:t>
      </w:r>
      <w:r w:rsidR="009D0331" w:rsidRPr="00880275">
        <w:t xml:space="preserve"> the Commission’s </w:t>
      </w:r>
      <w:r w:rsidR="006B21BF" w:rsidRPr="00880275">
        <w:t xml:space="preserve">capacity to </w:t>
      </w:r>
      <w:r w:rsidR="00BA4F92" w:rsidRPr="00880275">
        <w:t>satisfy</w:t>
      </w:r>
      <w:r w:rsidR="009B07FD" w:rsidRPr="00880275">
        <w:t xml:space="preserve"> </w:t>
      </w:r>
      <w:r w:rsidR="0042062E" w:rsidRPr="00880275">
        <w:t xml:space="preserve">the public sector’s training needs </w:t>
      </w:r>
      <w:r w:rsidR="006B21BF" w:rsidRPr="00880275">
        <w:t xml:space="preserve">is </w:t>
      </w:r>
      <w:r w:rsidR="009B07FD" w:rsidRPr="00880275">
        <w:t>stretched</w:t>
      </w:r>
      <w:r w:rsidR="006B21BF" w:rsidRPr="00880275">
        <w:t xml:space="preserve">. </w:t>
      </w:r>
    </w:p>
    <w:p w14:paraId="1284F1F0" w14:textId="75D71DCC" w:rsidR="00CA6360" w:rsidRPr="00880275" w:rsidRDefault="00921228" w:rsidP="00292BC3">
      <w:pPr>
        <w:pStyle w:val="Caption"/>
      </w:pPr>
      <w:r w:rsidRPr="00880275">
        <w:t>Figure</w:t>
      </w:r>
      <w:r w:rsidR="00CA6360" w:rsidRPr="00880275">
        <w:t xml:space="preserve"> </w:t>
      </w:r>
      <w:r w:rsidRPr="00880275">
        <w:fldChar w:fldCharType="begin"/>
      </w:r>
      <w:r w:rsidRPr="00880275">
        <w:instrText xml:space="preserve"> SEQ Figure \* ARABIC </w:instrText>
      </w:r>
      <w:r w:rsidRPr="00880275">
        <w:fldChar w:fldCharType="separate"/>
      </w:r>
      <w:r w:rsidR="00BF3C68">
        <w:rPr>
          <w:noProof/>
        </w:rPr>
        <w:t>4</w:t>
      </w:r>
      <w:r w:rsidRPr="00880275">
        <w:fldChar w:fldCharType="end"/>
      </w:r>
      <w:r w:rsidR="00CA6360" w:rsidRPr="00880275">
        <w:t xml:space="preserve">: </w:t>
      </w:r>
      <w:r w:rsidR="00E608CF" w:rsidRPr="00880275">
        <w:t xml:space="preserve">Training sessions delivered </w:t>
      </w:r>
      <w:r w:rsidR="00CA6360" w:rsidRPr="00880275">
        <w:t>from 2018-2023</w:t>
      </w:r>
      <w:r w:rsidR="00CA6360" w:rsidRPr="00880275">
        <w:rPr>
          <w:rStyle w:val="FootnoteReference"/>
          <w:i w:val="0"/>
          <w:iCs w:val="0"/>
          <w:szCs w:val="20"/>
        </w:rPr>
        <w:footnoteReference w:id="16"/>
      </w:r>
    </w:p>
    <w:tbl>
      <w:tblPr>
        <w:tblStyle w:val="TableGrid"/>
        <w:tblW w:w="7933" w:type="dxa"/>
        <w:tblInd w:w="567" w:type="dxa"/>
        <w:tblBorders>
          <w:top w:val="single" w:sz="8" w:space="0" w:color="004270"/>
          <w:left w:val="none" w:sz="0" w:space="0" w:color="auto"/>
          <w:bottom w:val="single" w:sz="8" w:space="0" w:color="004270"/>
          <w:right w:val="none" w:sz="0" w:space="0" w:color="auto"/>
          <w:insideH w:val="single" w:sz="8" w:space="0" w:color="004270"/>
          <w:insideV w:val="none" w:sz="0" w:space="0" w:color="auto"/>
        </w:tblBorders>
        <w:tblLook w:val="04A0" w:firstRow="1" w:lastRow="0" w:firstColumn="1" w:lastColumn="0" w:noHBand="0" w:noVBand="1"/>
      </w:tblPr>
      <w:tblGrid>
        <w:gridCol w:w="2122"/>
        <w:gridCol w:w="2409"/>
        <w:gridCol w:w="1701"/>
        <w:gridCol w:w="1701"/>
      </w:tblGrid>
      <w:tr w:rsidR="00A50D9E" w:rsidRPr="00880275" w14:paraId="3F4C4297" w14:textId="1B91BC97" w:rsidTr="00D52996">
        <w:tc>
          <w:tcPr>
            <w:tcW w:w="2122" w:type="dxa"/>
          </w:tcPr>
          <w:p w14:paraId="5F88B9F8" w14:textId="17C74B84" w:rsidR="00A50D9E" w:rsidRPr="00880275" w:rsidRDefault="00E443FB" w:rsidP="00754FAE">
            <w:pPr>
              <w:pStyle w:val="Numberedparagraph"/>
              <w:numPr>
                <w:ilvl w:val="0"/>
                <w:numId w:val="0"/>
              </w:numPr>
            </w:pPr>
            <w:r w:rsidRPr="00880275">
              <w:t>Financial year</w:t>
            </w:r>
          </w:p>
        </w:tc>
        <w:tc>
          <w:tcPr>
            <w:tcW w:w="2409" w:type="dxa"/>
          </w:tcPr>
          <w:p w14:paraId="1B53575B" w14:textId="094CE18F" w:rsidR="00A50D9E" w:rsidRPr="00880275" w:rsidRDefault="00A50D9E" w:rsidP="00754FAE">
            <w:pPr>
              <w:pStyle w:val="Numberedparagraph"/>
              <w:numPr>
                <w:ilvl w:val="0"/>
                <w:numId w:val="0"/>
              </w:numPr>
            </w:pPr>
            <w:r w:rsidRPr="00880275">
              <w:t>Total sessions delivered (approx. participant numbers)</w:t>
            </w:r>
          </w:p>
        </w:tc>
        <w:tc>
          <w:tcPr>
            <w:tcW w:w="1701" w:type="dxa"/>
          </w:tcPr>
          <w:p w14:paraId="674B05FD" w14:textId="1F1F5BD8" w:rsidR="00A50D9E" w:rsidRPr="00880275" w:rsidRDefault="00A50D9E" w:rsidP="00754FAE">
            <w:pPr>
              <w:pStyle w:val="Numberedparagraph"/>
              <w:numPr>
                <w:ilvl w:val="0"/>
                <w:numId w:val="0"/>
              </w:numPr>
            </w:pPr>
            <w:r w:rsidRPr="00880275">
              <w:t xml:space="preserve">Public sector sessions </w:t>
            </w:r>
          </w:p>
        </w:tc>
        <w:tc>
          <w:tcPr>
            <w:tcW w:w="1701" w:type="dxa"/>
          </w:tcPr>
          <w:p w14:paraId="4431A323" w14:textId="1E4639E0" w:rsidR="00A50D9E" w:rsidRPr="00880275" w:rsidRDefault="00A50D9E" w:rsidP="00754FAE">
            <w:pPr>
              <w:pStyle w:val="Numberedparagraph"/>
              <w:numPr>
                <w:ilvl w:val="0"/>
                <w:numId w:val="0"/>
              </w:numPr>
            </w:pPr>
            <w:r w:rsidRPr="00880275">
              <w:t>Human rights focused sessions</w:t>
            </w:r>
            <w:r w:rsidRPr="00880275">
              <w:rPr>
                <w:rStyle w:val="FootnoteReference"/>
                <w:b/>
                <w:color w:val="004270"/>
              </w:rPr>
              <w:footnoteReference w:id="17"/>
            </w:r>
          </w:p>
        </w:tc>
      </w:tr>
      <w:tr w:rsidR="00A50D9E" w:rsidRPr="00880275" w14:paraId="34D98C86" w14:textId="2A4B1E5E" w:rsidTr="00D52996">
        <w:tc>
          <w:tcPr>
            <w:tcW w:w="2122" w:type="dxa"/>
            <w:vAlign w:val="center"/>
          </w:tcPr>
          <w:p w14:paraId="6BA382A1" w14:textId="77777777" w:rsidR="00A50D9E" w:rsidRPr="00880275" w:rsidRDefault="00A50D9E">
            <w:r w:rsidRPr="00880275">
              <w:t>2018-2019</w:t>
            </w:r>
          </w:p>
        </w:tc>
        <w:tc>
          <w:tcPr>
            <w:tcW w:w="2409" w:type="dxa"/>
            <w:vAlign w:val="center"/>
          </w:tcPr>
          <w:p w14:paraId="7AD74A47" w14:textId="448C21C7" w:rsidR="00A50D9E" w:rsidRPr="00880275" w:rsidRDefault="00CE7750" w:rsidP="00754FAE">
            <w:pPr>
              <w:pStyle w:val="Numberedparagraph"/>
              <w:numPr>
                <w:ilvl w:val="0"/>
                <w:numId w:val="0"/>
              </w:numPr>
            </w:pPr>
            <w:r w:rsidRPr="00880275">
              <w:t>277 (4480)</w:t>
            </w:r>
          </w:p>
        </w:tc>
        <w:tc>
          <w:tcPr>
            <w:tcW w:w="1701" w:type="dxa"/>
            <w:vAlign w:val="center"/>
          </w:tcPr>
          <w:p w14:paraId="3049864C" w14:textId="3A8162E0" w:rsidR="00A50D9E" w:rsidRPr="00880275" w:rsidRDefault="00454733" w:rsidP="00754FAE">
            <w:pPr>
              <w:pStyle w:val="Numberedparagraph"/>
              <w:numPr>
                <w:ilvl w:val="0"/>
                <w:numId w:val="0"/>
              </w:numPr>
            </w:pPr>
            <w:r w:rsidRPr="00880275">
              <w:t>88</w:t>
            </w:r>
          </w:p>
        </w:tc>
        <w:tc>
          <w:tcPr>
            <w:tcW w:w="1701" w:type="dxa"/>
            <w:vAlign w:val="center"/>
          </w:tcPr>
          <w:p w14:paraId="0FB1D8DF" w14:textId="0E7468BA" w:rsidR="00A50D9E" w:rsidRPr="00880275" w:rsidRDefault="00454733" w:rsidP="00754FAE">
            <w:pPr>
              <w:pStyle w:val="Numberedparagraph"/>
              <w:numPr>
                <w:ilvl w:val="0"/>
                <w:numId w:val="0"/>
              </w:numPr>
            </w:pPr>
            <w:r w:rsidRPr="00880275">
              <w:t>NA</w:t>
            </w:r>
          </w:p>
        </w:tc>
      </w:tr>
      <w:tr w:rsidR="00A50D9E" w:rsidRPr="00880275" w14:paraId="7E25502B" w14:textId="12C71653" w:rsidTr="00D52996">
        <w:tc>
          <w:tcPr>
            <w:tcW w:w="2122" w:type="dxa"/>
          </w:tcPr>
          <w:p w14:paraId="18F0BC49" w14:textId="77777777" w:rsidR="00A50D9E" w:rsidRPr="00880275" w:rsidRDefault="00A50D9E" w:rsidP="00754FAE">
            <w:pPr>
              <w:pStyle w:val="Numberedparagraph"/>
              <w:numPr>
                <w:ilvl w:val="0"/>
                <w:numId w:val="0"/>
              </w:numPr>
            </w:pPr>
            <w:r w:rsidRPr="00880275">
              <w:t>2019-2020</w:t>
            </w:r>
          </w:p>
        </w:tc>
        <w:tc>
          <w:tcPr>
            <w:tcW w:w="2409" w:type="dxa"/>
          </w:tcPr>
          <w:p w14:paraId="6673FA8F" w14:textId="140808CD" w:rsidR="00A50D9E" w:rsidRPr="00880275" w:rsidRDefault="00C62A34" w:rsidP="00754FAE">
            <w:pPr>
              <w:pStyle w:val="Numberedparagraph"/>
              <w:numPr>
                <w:ilvl w:val="0"/>
                <w:numId w:val="0"/>
              </w:numPr>
            </w:pPr>
            <w:r w:rsidRPr="00880275">
              <w:t>376 (</w:t>
            </w:r>
            <w:r w:rsidR="00BB10BD" w:rsidRPr="00880275">
              <w:t>6945)</w:t>
            </w:r>
          </w:p>
        </w:tc>
        <w:tc>
          <w:tcPr>
            <w:tcW w:w="1701" w:type="dxa"/>
          </w:tcPr>
          <w:p w14:paraId="0A602914" w14:textId="0CC01681" w:rsidR="00A50D9E" w:rsidRPr="00880275" w:rsidRDefault="00782E10" w:rsidP="00754FAE">
            <w:pPr>
              <w:pStyle w:val="Numberedparagraph"/>
              <w:numPr>
                <w:ilvl w:val="0"/>
                <w:numId w:val="0"/>
              </w:numPr>
            </w:pPr>
            <w:r w:rsidRPr="00880275">
              <w:t>163</w:t>
            </w:r>
          </w:p>
        </w:tc>
        <w:tc>
          <w:tcPr>
            <w:tcW w:w="1701" w:type="dxa"/>
          </w:tcPr>
          <w:p w14:paraId="261491AD" w14:textId="5749EBA1" w:rsidR="00A50D9E" w:rsidRPr="00880275" w:rsidRDefault="00351995" w:rsidP="00754FAE">
            <w:pPr>
              <w:pStyle w:val="Numberedparagraph"/>
              <w:numPr>
                <w:ilvl w:val="0"/>
                <w:numId w:val="0"/>
              </w:numPr>
            </w:pPr>
            <w:r w:rsidRPr="00880275">
              <w:t xml:space="preserve">149 </w:t>
            </w:r>
          </w:p>
        </w:tc>
      </w:tr>
      <w:tr w:rsidR="00A50D9E" w:rsidRPr="00880275" w14:paraId="598BD72E" w14:textId="37BA7CD1" w:rsidTr="00D52996">
        <w:tc>
          <w:tcPr>
            <w:tcW w:w="2122" w:type="dxa"/>
          </w:tcPr>
          <w:p w14:paraId="788175E8" w14:textId="77777777" w:rsidR="00A50D9E" w:rsidRPr="00880275" w:rsidRDefault="00A50D9E" w:rsidP="00754FAE">
            <w:pPr>
              <w:pStyle w:val="Numberedparagraph"/>
              <w:numPr>
                <w:ilvl w:val="0"/>
                <w:numId w:val="0"/>
              </w:numPr>
            </w:pPr>
            <w:r w:rsidRPr="00880275">
              <w:t>2020-2021</w:t>
            </w:r>
          </w:p>
        </w:tc>
        <w:tc>
          <w:tcPr>
            <w:tcW w:w="2409" w:type="dxa"/>
          </w:tcPr>
          <w:p w14:paraId="199541E4" w14:textId="03679D19" w:rsidR="00A50D9E" w:rsidRPr="00880275" w:rsidRDefault="00501EFE" w:rsidP="00754FAE">
            <w:pPr>
              <w:pStyle w:val="Numberedparagraph"/>
              <w:numPr>
                <w:ilvl w:val="0"/>
                <w:numId w:val="0"/>
              </w:numPr>
            </w:pPr>
            <w:r w:rsidRPr="00880275">
              <w:t>309 (4626)</w:t>
            </w:r>
          </w:p>
        </w:tc>
        <w:tc>
          <w:tcPr>
            <w:tcW w:w="1701" w:type="dxa"/>
          </w:tcPr>
          <w:p w14:paraId="0E0D7E01" w14:textId="725564B3" w:rsidR="00A50D9E" w:rsidRPr="00880275" w:rsidRDefault="00C73908" w:rsidP="00754FAE">
            <w:pPr>
              <w:pStyle w:val="Numberedparagraph"/>
              <w:numPr>
                <w:ilvl w:val="0"/>
                <w:numId w:val="0"/>
              </w:numPr>
            </w:pPr>
            <w:r w:rsidRPr="00880275">
              <w:t>84</w:t>
            </w:r>
          </w:p>
        </w:tc>
        <w:tc>
          <w:tcPr>
            <w:tcW w:w="1701" w:type="dxa"/>
          </w:tcPr>
          <w:p w14:paraId="36A7AC5A" w14:textId="74B27BCA" w:rsidR="00A50D9E" w:rsidRPr="00880275" w:rsidRDefault="00EB4B92" w:rsidP="00754FAE">
            <w:pPr>
              <w:pStyle w:val="Numberedparagraph"/>
              <w:numPr>
                <w:ilvl w:val="0"/>
                <w:numId w:val="0"/>
              </w:numPr>
            </w:pPr>
            <w:r w:rsidRPr="00880275">
              <w:t xml:space="preserve">132 </w:t>
            </w:r>
          </w:p>
        </w:tc>
      </w:tr>
      <w:tr w:rsidR="00A50D9E" w:rsidRPr="00880275" w14:paraId="5D4CAE09" w14:textId="53151614" w:rsidTr="00D52996">
        <w:tc>
          <w:tcPr>
            <w:tcW w:w="2122" w:type="dxa"/>
          </w:tcPr>
          <w:p w14:paraId="64CADB6C" w14:textId="77777777" w:rsidR="00A50D9E" w:rsidRPr="00880275" w:rsidRDefault="00A50D9E" w:rsidP="00754FAE">
            <w:pPr>
              <w:pStyle w:val="Numberedparagraph"/>
              <w:numPr>
                <w:ilvl w:val="0"/>
                <w:numId w:val="0"/>
              </w:numPr>
            </w:pPr>
            <w:r w:rsidRPr="00880275">
              <w:t>2021-2022</w:t>
            </w:r>
          </w:p>
        </w:tc>
        <w:tc>
          <w:tcPr>
            <w:tcW w:w="2409" w:type="dxa"/>
          </w:tcPr>
          <w:p w14:paraId="5550A4A9" w14:textId="79965F22" w:rsidR="00A50D9E" w:rsidRPr="00880275" w:rsidRDefault="00A50D9E" w:rsidP="00754FAE">
            <w:pPr>
              <w:pStyle w:val="Numberedparagraph"/>
              <w:numPr>
                <w:ilvl w:val="0"/>
                <w:numId w:val="0"/>
              </w:numPr>
            </w:pPr>
            <w:r w:rsidRPr="00880275">
              <w:t xml:space="preserve">226 (3482) </w:t>
            </w:r>
          </w:p>
        </w:tc>
        <w:tc>
          <w:tcPr>
            <w:tcW w:w="1701" w:type="dxa"/>
          </w:tcPr>
          <w:p w14:paraId="11C9CCDA" w14:textId="53CA9EBC" w:rsidR="00A50D9E" w:rsidRPr="00880275" w:rsidRDefault="002E3163" w:rsidP="00754FAE">
            <w:pPr>
              <w:pStyle w:val="Numberedparagraph"/>
              <w:numPr>
                <w:ilvl w:val="0"/>
                <w:numId w:val="0"/>
              </w:numPr>
            </w:pPr>
            <w:r w:rsidRPr="00880275">
              <w:t>96</w:t>
            </w:r>
          </w:p>
        </w:tc>
        <w:tc>
          <w:tcPr>
            <w:tcW w:w="1701" w:type="dxa"/>
          </w:tcPr>
          <w:p w14:paraId="05C4786D" w14:textId="6C18A3A5" w:rsidR="00A50D9E" w:rsidRPr="00880275" w:rsidRDefault="005B14E6" w:rsidP="00754FAE">
            <w:pPr>
              <w:pStyle w:val="Numberedparagraph"/>
              <w:numPr>
                <w:ilvl w:val="0"/>
                <w:numId w:val="0"/>
              </w:numPr>
            </w:pPr>
            <w:r w:rsidRPr="00880275">
              <w:t xml:space="preserve">62 </w:t>
            </w:r>
          </w:p>
        </w:tc>
      </w:tr>
      <w:tr w:rsidR="00A50D9E" w:rsidRPr="00880275" w14:paraId="3E9C3E69" w14:textId="235DA8A5" w:rsidTr="00D52996">
        <w:tc>
          <w:tcPr>
            <w:tcW w:w="2122" w:type="dxa"/>
          </w:tcPr>
          <w:p w14:paraId="61BD7133" w14:textId="77777777" w:rsidR="00A50D9E" w:rsidRPr="00880275" w:rsidRDefault="00A50D9E" w:rsidP="00754FAE">
            <w:pPr>
              <w:pStyle w:val="Numberedparagraph"/>
              <w:numPr>
                <w:ilvl w:val="0"/>
                <w:numId w:val="0"/>
              </w:numPr>
            </w:pPr>
            <w:r w:rsidRPr="00880275">
              <w:t>2022-2023</w:t>
            </w:r>
          </w:p>
        </w:tc>
        <w:tc>
          <w:tcPr>
            <w:tcW w:w="2409" w:type="dxa"/>
          </w:tcPr>
          <w:p w14:paraId="3BAC9AE1" w14:textId="18CC8D9F" w:rsidR="00A50D9E" w:rsidRPr="00880275" w:rsidRDefault="00A50D9E" w:rsidP="00754FAE">
            <w:pPr>
              <w:pStyle w:val="Numberedparagraph"/>
              <w:numPr>
                <w:ilvl w:val="0"/>
                <w:numId w:val="0"/>
              </w:numPr>
            </w:pPr>
            <w:r w:rsidRPr="00880275">
              <w:t>275 (4341)</w:t>
            </w:r>
          </w:p>
        </w:tc>
        <w:tc>
          <w:tcPr>
            <w:tcW w:w="1701" w:type="dxa"/>
          </w:tcPr>
          <w:p w14:paraId="67BE6C0C" w14:textId="45C76DA5" w:rsidR="00A50D9E" w:rsidRPr="00880275" w:rsidRDefault="00A50D9E" w:rsidP="00754FAE">
            <w:pPr>
              <w:pStyle w:val="Numberedparagraph"/>
              <w:numPr>
                <w:ilvl w:val="0"/>
                <w:numId w:val="0"/>
              </w:numPr>
            </w:pPr>
            <w:r w:rsidRPr="00880275">
              <w:t>125</w:t>
            </w:r>
          </w:p>
        </w:tc>
        <w:tc>
          <w:tcPr>
            <w:tcW w:w="1701" w:type="dxa"/>
          </w:tcPr>
          <w:p w14:paraId="0F43FF0D" w14:textId="359DA8B4" w:rsidR="00A50D9E" w:rsidRPr="00880275" w:rsidRDefault="00A50D9E" w:rsidP="00754FAE">
            <w:pPr>
              <w:pStyle w:val="Numberedparagraph"/>
              <w:numPr>
                <w:ilvl w:val="0"/>
                <w:numId w:val="0"/>
              </w:numPr>
            </w:pPr>
            <w:r w:rsidRPr="00880275">
              <w:t>69</w:t>
            </w:r>
          </w:p>
        </w:tc>
      </w:tr>
    </w:tbl>
    <w:p w14:paraId="1833C2CE" w14:textId="77777777" w:rsidR="00921228" w:rsidRPr="00880275" w:rsidRDefault="00921228" w:rsidP="00292BC3">
      <w:pPr>
        <w:pStyle w:val="Caption"/>
      </w:pPr>
    </w:p>
    <w:p w14:paraId="3BE41CE0" w14:textId="6D6EE38B" w:rsidR="00A50D9E" w:rsidRPr="00880275" w:rsidRDefault="00921228" w:rsidP="00292BC3">
      <w:pPr>
        <w:pStyle w:val="Caption"/>
      </w:pPr>
      <w:r w:rsidRPr="00880275">
        <w:t>Figure</w:t>
      </w:r>
      <w:r w:rsidR="00A50D9E" w:rsidRPr="00880275">
        <w:t xml:space="preserve"> </w:t>
      </w:r>
      <w:r w:rsidRPr="00880275">
        <w:fldChar w:fldCharType="begin"/>
      </w:r>
      <w:r w:rsidRPr="00880275">
        <w:instrText xml:space="preserve"> SEQ Figure \* ARABIC </w:instrText>
      </w:r>
      <w:r w:rsidRPr="00880275">
        <w:fldChar w:fldCharType="separate"/>
      </w:r>
      <w:r w:rsidR="00BF3C68">
        <w:rPr>
          <w:noProof/>
        </w:rPr>
        <w:t>5</w:t>
      </w:r>
      <w:r w:rsidRPr="00880275">
        <w:fldChar w:fldCharType="end"/>
      </w:r>
      <w:r w:rsidR="00A50D9E" w:rsidRPr="00880275">
        <w:t>: Human rights online learning</w:t>
      </w:r>
      <w:r w:rsidR="00E95A63" w:rsidRPr="00880275">
        <w:t xml:space="preserve"> – new enrolments (course completion)</w:t>
      </w:r>
      <w:r w:rsidR="00050BFD" w:rsidRPr="00880275">
        <w:t xml:space="preserve"> 20</w:t>
      </w:r>
      <w:r w:rsidR="006C0E19" w:rsidRPr="00880275">
        <w:t>19-2023</w:t>
      </w:r>
      <w:r w:rsidR="00A50D9E" w:rsidRPr="00880275">
        <w:rPr>
          <w:rStyle w:val="FootnoteReference"/>
          <w:vertAlign w:val="baseline"/>
        </w:rPr>
        <w:footnoteReference w:id="18"/>
      </w:r>
    </w:p>
    <w:tbl>
      <w:tblPr>
        <w:tblStyle w:val="TableGrid"/>
        <w:tblW w:w="7933" w:type="dxa"/>
        <w:tblInd w:w="567" w:type="dxa"/>
        <w:tblBorders>
          <w:top w:val="single" w:sz="8" w:space="0" w:color="004270"/>
          <w:left w:val="none" w:sz="0" w:space="0" w:color="auto"/>
          <w:bottom w:val="single" w:sz="8" w:space="0" w:color="004270"/>
          <w:right w:val="none" w:sz="0" w:space="0" w:color="auto"/>
          <w:insideH w:val="single" w:sz="8" w:space="0" w:color="004270"/>
          <w:insideV w:val="none" w:sz="0" w:space="0" w:color="auto"/>
        </w:tblBorders>
        <w:tblLook w:val="04A0" w:firstRow="1" w:lastRow="0" w:firstColumn="1" w:lastColumn="0" w:noHBand="0" w:noVBand="1"/>
      </w:tblPr>
      <w:tblGrid>
        <w:gridCol w:w="1470"/>
        <w:gridCol w:w="1687"/>
        <w:gridCol w:w="1941"/>
        <w:gridCol w:w="2835"/>
      </w:tblGrid>
      <w:tr w:rsidR="00A50D9E" w:rsidRPr="00880275" w14:paraId="7B4BE6DD" w14:textId="77777777" w:rsidTr="00083E48">
        <w:tc>
          <w:tcPr>
            <w:tcW w:w="1470" w:type="dxa"/>
            <w:vAlign w:val="center"/>
          </w:tcPr>
          <w:p w14:paraId="188FB7E9" w14:textId="49455E9F" w:rsidR="00A50D9E" w:rsidRPr="00880275" w:rsidRDefault="00D52996" w:rsidP="00083E48">
            <w:pPr>
              <w:rPr>
                <w:b/>
                <w:color w:val="004270"/>
              </w:rPr>
            </w:pPr>
            <w:r w:rsidRPr="00880275">
              <w:rPr>
                <w:b/>
                <w:bCs/>
                <w:color w:val="004270"/>
              </w:rPr>
              <w:t>Financial year</w:t>
            </w:r>
          </w:p>
        </w:tc>
        <w:tc>
          <w:tcPr>
            <w:tcW w:w="1687" w:type="dxa"/>
            <w:vAlign w:val="center"/>
          </w:tcPr>
          <w:p w14:paraId="5C8F26FB" w14:textId="2523EE3F" w:rsidR="00A50D9E" w:rsidRPr="00880275" w:rsidRDefault="00A50D9E" w:rsidP="00754FAE">
            <w:pPr>
              <w:pStyle w:val="Numberedparagraph"/>
              <w:numPr>
                <w:ilvl w:val="0"/>
                <w:numId w:val="0"/>
              </w:numPr>
            </w:pPr>
            <w:r w:rsidRPr="00880275">
              <w:t xml:space="preserve">Introduction to the Human Rights Act </w:t>
            </w:r>
          </w:p>
        </w:tc>
        <w:tc>
          <w:tcPr>
            <w:tcW w:w="1941" w:type="dxa"/>
            <w:vAlign w:val="center"/>
          </w:tcPr>
          <w:p w14:paraId="7AD75401" w14:textId="7F8308C9" w:rsidR="00A50D9E" w:rsidRPr="00880275" w:rsidRDefault="00E95A63" w:rsidP="00754FAE">
            <w:pPr>
              <w:pStyle w:val="Numberedparagraph"/>
              <w:numPr>
                <w:ilvl w:val="0"/>
                <w:numId w:val="0"/>
              </w:numPr>
            </w:pPr>
            <w:r w:rsidRPr="00880275">
              <w:t>Public entities and the Human Rights Act</w:t>
            </w:r>
          </w:p>
        </w:tc>
        <w:tc>
          <w:tcPr>
            <w:tcW w:w="2835" w:type="dxa"/>
            <w:vAlign w:val="center"/>
          </w:tcPr>
          <w:p w14:paraId="31BEAEFD" w14:textId="5E6A6E80" w:rsidR="00A50D9E" w:rsidRPr="00880275" w:rsidRDefault="00CA6484" w:rsidP="00754FAE">
            <w:pPr>
              <w:pStyle w:val="Numberedparagraph"/>
              <w:numPr>
                <w:ilvl w:val="0"/>
                <w:numId w:val="0"/>
              </w:numPr>
            </w:pPr>
            <w:r w:rsidRPr="00880275">
              <w:rPr>
                <w:i/>
              </w:rPr>
              <w:t>Public entities and Human Rights Act</w:t>
            </w:r>
            <w:r w:rsidRPr="00880275">
              <w:t xml:space="preserve"> t</w:t>
            </w:r>
            <w:r w:rsidR="00E95A63" w:rsidRPr="00880275">
              <w:t xml:space="preserve">ailored module for the Department of Children, Youth Justice and Multicultural Affairs </w:t>
            </w:r>
          </w:p>
        </w:tc>
      </w:tr>
      <w:tr w:rsidR="00A50D9E" w:rsidRPr="00880275" w14:paraId="310C28A3" w14:textId="77777777" w:rsidTr="00083E48">
        <w:tc>
          <w:tcPr>
            <w:tcW w:w="1470" w:type="dxa"/>
          </w:tcPr>
          <w:p w14:paraId="16BEF3D0" w14:textId="77777777" w:rsidR="00A50D9E" w:rsidRPr="00880275" w:rsidRDefault="00A50D9E" w:rsidP="00754FAE">
            <w:pPr>
              <w:pStyle w:val="Numberedparagraph"/>
              <w:numPr>
                <w:ilvl w:val="0"/>
                <w:numId w:val="0"/>
              </w:numPr>
            </w:pPr>
            <w:r w:rsidRPr="00880275">
              <w:t>2019-2020</w:t>
            </w:r>
          </w:p>
        </w:tc>
        <w:tc>
          <w:tcPr>
            <w:tcW w:w="1687" w:type="dxa"/>
          </w:tcPr>
          <w:p w14:paraId="369C3759" w14:textId="780B4AF8" w:rsidR="00A50D9E" w:rsidRPr="00880275" w:rsidRDefault="00930E95" w:rsidP="00754FAE">
            <w:pPr>
              <w:pStyle w:val="Numberedparagraph"/>
              <w:numPr>
                <w:ilvl w:val="0"/>
                <w:numId w:val="0"/>
              </w:numPr>
            </w:pPr>
            <w:r w:rsidRPr="00880275">
              <w:t>7901 (6312)</w:t>
            </w:r>
          </w:p>
        </w:tc>
        <w:tc>
          <w:tcPr>
            <w:tcW w:w="1941" w:type="dxa"/>
          </w:tcPr>
          <w:p w14:paraId="2204216F" w14:textId="7EADD8FD" w:rsidR="00A50D9E" w:rsidRPr="00880275" w:rsidRDefault="00930E95" w:rsidP="00754FAE">
            <w:pPr>
              <w:pStyle w:val="Numberedparagraph"/>
              <w:numPr>
                <w:ilvl w:val="0"/>
                <w:numId w:val="0"/>
              </w:numPr>
            </w:pPr>
            <w:r w:rsidRPr="00880275">
              <w:t>20611 (18141)</w:t>
            </w:r>
          </w:p>
        </w:tc>
        <w:tc>
          <w:tcPr>
            <w:tcW w:w="2835" w:type="dxa"/>
          </w:tcPr>
          <w:p w14:paraId="13835979" w14:textId="19463410" w:rsidR="00A50D9E" w:rsidRPr="00880275" w:rsidRDefault="00930E95" w:rsidP="00754FAE">
            <w:pPr>
              <w:pStyle w:val="Numberedparagraph"/>
              <w:numPr>
                <w:ilvl w:val="0"/>
                <w:numId w:val="0"/>
              </w:numPr>
            </w:pPr>
            <w:r w:rsidRPr="00880275">
              <w:t>NA</w:t>
            </w:r>
          </w:p>
        </w:tc>
      </w:tr>
      <w:tr w:rsidR="00A50D9E" w:rsidRPr="00880275" w14:paraId="71A47C02" w14:textId="77777777" w:rsidTr="00083E48">
        <w:tc>
          <w:tcPr>
            <w:tcW w:w="1470" w:type="dxa"/>
          </w:tcPr>
          <w:p w14:paraId="3A7FB91A" w14:textId="77777777" w:rsidR="00A50D9E" w:rsidRPr="00880275" w:rsidRDefault="00A50D9E" w:rsidP="00754FAE">
            <w:pPr>
              <w:pStyle w:val="Numberedparagraph"/>
              <w:numPr>
                <w:ilvl w:val="0"/>
                <w:numId w:val="0"/>
              </w:numPr>
            </w:pPr>
            <w:r w:rsidRPr="00880275">
              <w:lastRenderedPageBreak/>
              <w:t>2020-2021</w:t>
            </w:r>
          </w:p>
        </w:tc>
        <w:tc>
          <w:tcPr>
            <w:tcW w:w="1687" w:type="dxa"/>
          </w:tcPr>
          <w:p w14:paraId="50ECE3A6" w14:textId="652DCC7D" w:rsidR="00A50D9E" w:rsidRPr="00880275" w:rsidRDefault="00F53758" w:rsidP="00754FAE">
            <w:pPr>
              <w:pStyle w:val="Numberedparagraph"/>
              <w:numPr>
                <w:ilvl w:val="0"/>
                <w:numId w:val="0"/>
              </w:numPr>
            </w:pPr>
            <w:r w:rsidRPr="00880275">
              <w:t>3888 (3049)</w:t>
            </w:r>
          </w:p>
        </w:tc>
        <w:tc>
          <w:tcPr>
            <w:tcW w:w="1941" w:type="dxa"/>
          </w:tcPr>
          <w:p w14:paraId="2AE642E7" w14:textId="4B6A40FB" w:rsidR="00A50D9E" w:rsidRPr="00880275" w:rsidRDefault="00F53758" w:rsidP="00754FAE">
            <w:pPr>
              <w:pStyle w:val="Numberedparagraph"/>
              <w:numPr>
                <w:ilvl w:val="0"/>
                <w:numId w:val="0"/>
              </w:numPr>
            </w:pPr>
            <w:r w:rsidRPr="00880275">
              <w:t>7139 (5686)</w:t>
            </w:r>
          </w:p>
        </w:tc>
        <w:tc>
          <w:tcPr>
            <w:tcW w:w="2835" w:type="dxa"/>
          </w:tcPr>
          <w:p w14:paraId="5EA16B76" w14:textId="5A0F7E1A" w:rsidR="00A50D9E" w:rsidRPr="00880275" w:rsidRDefault="00593D1E" w:rsidP="00754FAE">
            <w:pPr>
              <w:pStyle w:val="Numberedparagraph"/>
              <w:numPr>
                <w:ilvl w:val="0"/>
                <w:numId w:val="0"/>
              </w:numPr>
            </w:pPr>
            <w:r w:rsidRPr="00880275">
              <w:t>NA</w:t>
            </w:r>
          </w:p>
        </w:tc>
      </w:tr>
      <w:tr w:rsidR="00A50D9E" w:rsidRPr="00880275" w14:paraId="684C077E" w14:textId="77777777" w:rsidTr="00083E48">
        <w:tc>
          <w:tcPr>
            <w:tcW w:w="1470" w:type="dxa"/>
          </w:tcPr>
          <w:p w14:paraId="4E365961" w14:textId="77777777" w:rsidR="00A50D9E" w:rsidRPr="00880275" w:rsidRDefault="00A50D9E" w:rsidP="00754FAE">
            <w:pPr>
              <w:pStyle w:val="Numberedparagraph"/>
              <w:numPr>
                <w:ilvl w:val="0"/>
                <w:numId w:val="0"/>
              </w:numPr>
            </w:pPr>
            <w:r w:rsidRPr="00880275">
              <w:t>2021-2022</w:t>
            </w:r>
          </w:p>
        </w:tc>
        <w:tc>
          <w:tcPr>
            <w:tcW w:w="1687" w:type="dxa"/>
          </w:tcPr>
          <w:p w14:paraId="160FB36F" w14:textId="2AA09C18" w:rsidR="00A50D9E" w:rsidRPr="00880275" w:rsidRDefault="005B14E6" w:rsidP="00754FAE">
            <w:pPr>
              <w:pStyle w:val="Numberedparagraph"/>
              <w:numPr>
                <w:ilvl w:val="0"/>
                <w:numId w:val="0"/>
              </w:numPr>
            </w:pPr>
            <w:r w:rsidRPr="00880275">
              <w:t>2880 (2142)</w:t>
            </w:r>
          </w:p>
        </w:tc>
        <w:tc>
          <w:tcPr>
            <w:tcW w:w="1941" w:type="dxa"/>
          </w:tcPr>
          <w:p w14:paraId="736370F4" w14:textId="72655B1E" w:rsidR="00A50D9E" w:rsidRPr="00880275" w:rsidRDefault="005B14E6" w:rsidP="00754FAE">
            <w:pPr>
              <w:pStyle w:val="Numberedparagraph"/>
              <w:numPr>
                <w:ilvl w:val="0"/>
                <w:numId w:val="0"/>
              </w:numPr>
            </w:pPr>
            <w:r w:rsidRPr="00880275">
              <w:t>6771 (5556)</w:t>
            </w:r>
          </w:p>
        </w:tc>
        <w:tc>
          <w:tcPr>
            <w:tcW w:w="2835" w:type="dxa"/>
          </w:tcPr>
          <w:p w14:paraId="48F1335B" w14:textId="0ED7E125" w:rsidR="00A50D9E" w:rsidRPr="00880275" w:rsidRDefault="00AE15FD" w:rsidP="00754FAE">
            <w:pPr>
              <w:pStyle w:val="Numberedparagraph"/>
              <w:numPr>
                <w:ilvl w:val="0"/>
                <w:numId w:val="0"/>
              </w:numPr>
            </w:pPr>
            <w:r w:rsidRPr="00880275">
              <w:t>NA</w:t>
            </w:r>
          </w:p>
        </w:tc>
      </w:tr>
      <w:tr w:rsidR="00A50D9E" w:rsidRPr="00880275" w14:paraId="5E190471" w14:textId="77777777" w:rsidTr="00083E48">
        <w:tc>
          <w:tcPr>
            <w:tcW w:w="1470" w:type="dxa"/>
          </w:tcPr>
          <w:p w14:paraId="47C85A05" w14:textId="77777777" w:rsidR="00A50D9E" w:rsidRPr="00880275" w:rsidRDefault="00A50D9E" w:rsidP="00754FAE">
            <w:pPr>
              <w:pStyle w:val="Numberedparagraph"/>
              <w:numPr>
                <w:ilvl w:val="0"/>
                <w:numId w:val="0"/>
              </w:numPr>
            </w:pPr>
            <w:r w:rsidRPr="00880275">
              <w:t>2022-2023</w:t>
            </w:r>
          </w:p>
        </w:tc>
        <w:tc>
          <w:tcPr>
            <w:tcW w:w="1687" w:type="dxa"/>
          </w:tcPr>
          <w:p w14:paraId="6C324536" w14:textId="5F3719C5" w:rsidR="00A50D9E" w:rsidRPr="00880275" w:rsidRDefault="00E95A63" w:rsidP="00754FAE">
            <w:pPr>
              <w:pStyle w:val="Numberedparagraph"/>
              <w:numPr>
                <w:ilvl w:val="0"/>
                <w:numId w:val="0"/>
              </w:numPr>
            </w:pPr>
            <w:r w:rsidRPr="00880275">
              <w:t>2217 (1813)</w:t>
            </w:r>
          </w:p>
        </w:tc>
        <w:tc>
          <w:tcPr>
            <w:tcW w:w="1941" w:type="dxa"/>
          </w:tcPr>
          <w:p w14:paraId="5F9608D3" w14:textId="51D3043D" w:rsidR="00A50D9E" w:rsidRPr="00880275" w:rsidRDefault="006D048C" w:rsidP="00754FAE">
            <w:pPr>
              <w:pStyle w:val="Numberedparagraph"/>
              <w:numPr>
                <w:ilvl w:val="0"/>
                <w:numId w:val="0"/>
              </w:numPr>
            </w:pPr>
            <w:r w:rsidRPr="00880275">
              <w:t>6</w:t>
            </w:r>
            <w:r w:rsidR="00DA4B87" w:rsidRPr="00880275">
              <w:t>090 (5740)</w:t>
            </w:r>
          </w:p>
        </w:tc>
        <w:tc>
          <w:tcPr>
            <w:tcW w:w="2835" w:type="dxa"/>
          </w:tcPr>
          <w:p w14:paraId="19DD6930" w14:textId="0E150C2C" w:rsidR="00A50D9E" w:rsidRPr="00880275" w:rsidRDefault="00DA4B87" w:rsidP="00754FAE">
            <w:pPr>
              <w:pStyle w:val="Numberedparagraph"/>
              <w:numPr>
                <w:ilvl w:val="0"/>
                <w:numId w:val="0"/>
              </w:numPr>
            </w:pPr>
            <w:r w:rsidRPr="00880275">
              <w:t>1395 (1103)</w:t>
            </w:r>
          </w:p>
        </w:tc>
      </w:tr>
    </w:tbl>
    <w:p w14:paraId="4B1674C9" w14:textId="77777777" w:rsidR="00B57920" w:rsidRPr="00880275" w:rsidRDefault="00B57920" w:rsidP="00754FAE">
      <w:pPr>
        <w:pStyle w:val="Numberedparagraph"/>
        <w:numPr>
          <w:ilvl w:val="0"/>
          <w:numId w:val="0"/>
        </w:numPr>
        <w:ind w:left="567"/>
      </w:pPr>
    </w:p>
    <w:p w14:paraId="1FBBD9FB" w14:textId="62C29A6A" w:rsidR="007121FD" w:rsidRPr="00880275" w:rsidRDefault="00D03BEF" w:rsidP="00EE5C93">
      <w:pPr>
        <w:pStyle w:val="Heading3"/>
      </w:pPr>
      <w:bookmarkStart w:id="18" w:name="_Toc171346755"/>
      <w:r w:rsidRPr="00880275">
        <w:t>Website and r</w:t>
      </w:r>
      <w:r w:rsidR="007121FD" w:rsidRPr="00880275">
        <w:t>esource development</w:t>
      </w:r>
      <w:bookmarkEnd w:id="18"/>
    </w:p>
    <w:p w14:paraId="282A3D70" w14:textId="61649BD9" w:rsidR="00781860" w:rsidRPr="00880275" w:rsidRDefault="00781860" w:rsidP="00754FAE">
      <w:pPr>
        <w:pStyle w:val="Numberedparagraph"/>
        <w:rPr>
          <w:rFonts w:eastAsia="Arial"/>
          <w:color w:val="auto"/>
          <w:sz w:val="20"/>
        </w:rPr>
      </w:pPr>
      <w:r w:rsidRPr="00880275">
        <w:t xml:space="preserve">The Commission’s website </w:t>
      </w:r>
      <w:r w:rsidR="009C5ACA" w:rsidRPr="00880275">
        <w:t>is</w:t>
      </w:r>
      <w:r w:rsidRPr="00880275">
        <w:t xml:space="preserve"> a key source of information for the community about their rights. General information on </w:t>
      </w:r>
      <w:r w:rsidR="002A7162" w:rsidRPr="00880275">
        <w:t>the Act as well as specific protected</w:t>
      </w:r>
      <w:r w:rsidRPr="00880275">
        <w:t xml:space="preserve"> rights </w:t>
      </w:r>
      <w:r w:rsidR="002A7162" w:rsidRPr="00880275">
        <w:t>(including t</w:t>
      </w:r>
      <w:r w:rsidRPr="00880275">
        <w:t>he right to recognition and equality before the law, right to life and right to liberty and security of person pages</w:t>
      </w:r>
      <w:r w:rsidR="00AD1518" w:rsidRPr="00880275">
        <w:t>)</w:t>
      </w:r>
      <w:r w:rsidRPr="00880275">
        <w:t xml:space="preserve"> were in the top ten most accessed pages on the site in 2022-23.</w:t>
      </w:r>
    </w:p>
    <w:p w14:paraId="3ABBCA2D" w14:textId="23AE9619" w:rsidR="00337068" w:rsidRPr="00880275" w:rsidRDefault="00DE5DE0" w:rsidP="00754FAE">
      <w:pPr>
        <w:pStyle w:val="Numberedparagraph"/>
      </w:pPr>
      <w:r w:rsidRPr="00880275">
        <w:t xml:space="preserve">The Commission’s </w:t>
      </w:r>
      <w:r w:rsidR="00EB74CB" w:rsidRPr="00880275">
        <w:t xml:space="preserve">change of </w:t>
      </w:r>
      <w:r w:rsidRPr="00880275">
        <w:t xml:space="preserve">name from the Anti-Discrimination Commission Queensland to the Queensland Human Rights Commission </w:t>
      </w:r>
      <w:r w:rsidR="005E29BC" w:rsidRPr="00880275">
        <w:t>on 1 July 2019</w:t>
      </w:r>
      <w:r w:rsidR="00E01A45" w:rsidRPr="00880275">
        <w:t xml:space="preserve"> necessitated a </w:t>
      </w:r>
      <w:r w:rsidR="00693FC3" w:rsidRPr="00880275">
        <w:t>new domain and website</w:t>
      </w:r>
      <w:r w:rsidR="009B6A8F" w:rsidRPr="00880275">
        <w:t xml:space="preserve">. </w:t>
      </w:r>
      <w:r w:rsidR="00E42F82" w:rsidRPr="00880275">
        <w:t xml:space="preserve">While </w:t>
      </w:r>
      <w:r w:rsidR="00C66BF2" w:rsidRPr="00880275">
        <w:t xml:space="preserve">this caused a </w:t>
      </w:r>
      <w:r w:rsidR="00B87954" w:rsidRPr="00880275">
        <w:t xml:space="preserve">temporary </w:t>
      </w:r>
      <w:r w:rsidR="00E55F59" w:rsidRPr="00880275">
        <w:t>dip in visitor numbers from 2019</w:t>
      </w:r>
      <w:r w:rsidR="00055FF2" w:rsidRPr="00880275">
        <w:t xml:space="preserve"> </w:t>
      </w:r>
      <w:r w:rsidR="004B35DB" w:rsidRPr="00880275">
        <w:t>c</w:t>
      </w:r>
      <w:r w:rsidR="00E367F2" w:rsidRPr="00880275">
        <w:t>ompared to the previous year</w:t>
      </w:r>
      <w:r w:rsidR="0098636F" w:rsidRPr="00880275">
        <w:t>,</w:t>
      </w:r>
      <w:r w:rsidR="00E367F2" w:rsidRPr="00880275">
        <w:t xml:space="preserve"> users stay</w:t>
      </w:r>
      <w:r w:rsidR="00C23E1C" w:rsidRPr="00880275">
        <w:t>ed</w:t>
      </w:r>
      <w:r w:rsidR="00E367F2" w:rsidRPr="00880275">
        <w:t xml:space="preserve"> on the site longer and view</w:t>
      </w:r>
      <w:r w:rsidR="00C23E1C" w:rsidRPr="00880275">
        <w:t>ed</w:t>
      </w:r>
      <w:r w:rsidR="00E367F2" w:rsidRPr="00880275">
        <w:t xml:space="preserve"> more pages while they </w:t>
      </w:r>
      <w:r w:rsidR="009750A4" w:rsidRPr="00880275">
        <w:t>we</w:t>
      </w:r>
      <w:r w:rsidR="00E367F2" w:rsidRPr="00880275">
        <w:t>re there.</w:t>
      </w:r>
      <w:r w:rsidR="00E367F2" w:rsidRPr="00880275">
        <w:rPr>
          <w:rStyle w:val="FootnoteReference"/>
        </w:rPr>
        <w:footnoteReference w:id="19"/>
      </w:r>
      <w:r w:rsidR="00E367F2" w:rsidRPr="00880275">
        <w:rPr>
          <w:vertAlign w:val="superscript"/>
        </w:rPr>
        <w:t xml:space="preserve"> </w:t>
      </w:r>
      <w:r w:rsidR="00E367F2" w:rsidRPr="00880275">
        <w:t>Site visits increased by 40% the following year, with high traffic to the Commission’s online complaint form and high demand for information on specific rights protected by the Human Rights Act. This was heightened during periods of lockdown in response to the COVID-19 pandemic.</w:t>
      </w:r>
      <w:r w:rsidR="00E367F2" w:rsidRPr="00880275">
        <w:rPr>
          <w:rStyle w:val="FootnoteReference"/>
        </w:rPr>
        <w:footnoteReference w:id="20"/>
      </w:r>
      <w:r w:rsidR="00E367F2" w:rsidRPr="00880275">
        <w:rPr>
          <w:vertAlign w:val="superscript"/>
        </w:rPr>
        <w:t xml:space="preserve"> </w:t>
      </w:r>
      <w:r w:rsidR="00E367F2" w:rsidRPr="00880275">
        <w:t>In 2021-22 there were over 1 million views of the Commission’s website, with</w:t>
      </w:r>
      <w:r w:rsidR="00337068" w:rsidRPr="00880275">
        <w:t xml:space="preserve"> </w:t>
      </w:r>
      <w:r w:rsidR="00D43FEB" w:rsidRPr="00880275">
        <w:t>20% of views</w:t>
      </w:r>
      <w:r w:rsidR="00337068" w:rsidRPr="00880275">
        <w:t xml:space="preserve"> accounted for by the high traffic to COVID-19 related pages. Particularly </w:t>
      </w:r>
      <w:r w:rsidR="00E367F2" w:rsidRPr="00880275">
        <w:t xml:space="preserve">high traffic </w:t>
      </w:r>
      <w:r w:rsidR="00337068" w:rsidRPr="00880275">
        <w:t xml:space="preserve">was to the </w:t>
      </w:r>
      <w:r w:rsidR="00E367F2" w:rsidRPr="00880275">
        <w:t>page on ‘vaccination and your rights’, correlating with announcements around vaccine-related public health directions.</w:t>
      </w:r>
      <w:r w:rsidR="00644481" w:rsidRPr="00880275">
        <w:rPr>
          <w:rStyle w:val="FootnoteReference"/>
        </w:rPr>
        <w:footnoteReference w:id="21"/>
      </w:r>
      <w:r w:rsidR="009850A0" w:rsidRPr="00880275">
        <w:t xml:space="preserve"> </w:t>
      </w:r>
      <w:r w:rsidR="003A7772" w:rsidRPr="00880275">
        <w:t xml:space="preserve">Website visits dropped to </w:t>
      </w:r>
      <w:r w:rsidR="00337068" w:rsidRPr="00880275">
        <w:t>over 700,000 views in 2022</w:t>
      </w:r>
      <w:r w:rsidR="002047BC" w:rsidRPr="00880275">
        <w:t>-</w:t>
      </w:r>
      <w:r w:rsidR="00337068" w:rsidRPr="00880275">
        <w:t>23</w:t>
      </w:r>
      <w:r w:rsidR="004176A9" w:rsidRPr="00880275">
        <w:t>.</w:t>
      </w:r>
      <w:r w:rsidR="004176A9" w:rsidRPr="00880275">
        <w:rPr>
          <w:rStyle w:val="FootnoteReference"/>
        </w:rPr>
        <w:footnoteReference w:id="22"/>
      </w:r>
      <w:r w:rsidR="004176A9" w:rsidRPr="00880275">
        <w:rPr>
          <w:vertAlign w:val="superscript"/>
        </w:rPr>
        <w:t xml:space="preserve"> </w:t>
      </w:r>
    </w:p>
    <w:p w14:paraId="4C6BE148" w14:textId="196B0440" w:rsidR="002351BE" w:rsidRPr="00880275" w:rsidRDefault="002351BE" w:rsidP="00754FAE">
      <w:pPr>
        <w:pStyle w:val="Numberedparagraph"/>
      </w:pPr>
      <w:r w:rsidRPr="00880275">
        <w:t xml:space="preserve">In addition to general rights resources, the </w:t>
      </w:r>
      <w:r w:rsidR="001D2125" w:rsidRPr="00880275">
        <w:t>Commission</w:t>
      </w:r>
      <w:r w:rsidRPr="00880275">
        <w:t xml:space="preserve"> created tailored resources for </w:t>
      </w:r>
      <w:r w:rsidR="008B76AA" w:rsidRPr="00880275">
        <w:t xml:space="preserve">specific </w:t>
      </w:r>
      <w:r w:rsidRPr="00880275">
        <w:t xml:space="preserve">groups </w:t>
      </w:r>
      <w:r w:rsidR="7DB5F522" w:rsidRPr="00880275">
        <w:t>about</w:t>
      </w:r>
      <w:r w:rsidRPr="00880275">
        <w:t xml:space="preserve"> how the </w:t>
      </w:r>
      <w:r w:rsidR="00881F90" w:rsidRPr="00880275">
        <w:t>Human Rights Act</w:t>
      </w:r>
      <w:r w:rsidRPr="00880275">
        <w:t xml:space="preserve"> applies to them. For example, the </w:t>
      </w:r>
      <w:r w:rsidR="001D2125" w:rsidRPr="00880275">
        <w:t>Commission</w:t>
      </w:r>
      <w:r w:rsidRPr="00880275">
        <w:t xml:space="preserve"> released </w:t>
      </w:r>
      <w:r w:rsidR="4EBA5BFB" w:rsidRPr="00880275">
        <w:rPr>
          <w:i/>
          <w:iCs/>
        </w:rPr>
        <w:t>A guide for our mob</w:t>
      </w:r>
      <w:r w:rsidR="00343D7B" w:rsidRPr="00880275">
        <w:rPr>
          <w:rStyle w:val="FootnoteReference"/>
        </w:rPr>
        <w:footnoteReference w:id="23"/>
      </w:r>
      <w:r w:rsidRPr="00880275">
        <w:t xml:space="preserve"> which addresses common questions from Aboriginal and Torres Strait Islander communities about how the </w:t>
      </w:r>
      <w:r w:rsidR="00881F90" w:rsidRPr="00880275">
        <w:t>Human Rights Act</w:t>
      </w:r>
      <w:r w:rsidRPr="00880275">
        <w:t xml:space="preserve"> works and </w:t>
      </w:r>
      <w:r w:rsidR="45BF593E" w:rsidRPr="00880275">
        <w:t>describes</w:t>
      </w:r>
      <w:r w:rsidR="00A27D60" w:rsidRPr="00880275">
        <w:t xml:space="preserve"> </w:t>
      </w:r>
      <w:r w:rsidRPr="00880275">
        <w:t xml:space="preserve">practical situations in which </w:t>
      </w:r>
      <w:r w:rsidR="00A27D60" w:rsidRPr="00880275">
        <w:t>the Act</w:t>
      </w:r>
      <w:r w:rsidRPr="00880275">
        <w:t xml:space="preserve"> may be used, with a particular focus on cultural rights. The guide is part of a whole-of-Commission commitment to make our </w:t>
      </w:r>
      <w:r w:rsidRPr="00880275">
        <w:lastRenderedPageBreak/>
        <w:t xml:space="preserve">processes more accessible to Aboriginal and Torres Strait Islander </w:t>
      </w:r>
      <w:r w:rsidR="00A27D60" w:rsidRPr="00880275">
        <w:t>peoples</w:t>
      </w:r>
      <w:r w:rsidRPr="00880275">
        <w:t>.</w:t>
      </w:r>
      <w:r w:rsidR="007967E3" w:rsidRPr="00880275">
        <w:t xml:space="preserve"> </w:t>
      </w:r>
      <w:r w:rsidR="3D0E3CB2" w:rsidRPr="00880275">
        <w:t xml:space="preserve">Human rights guides have also been developed </w:t>
      </w:r>
      <w:r w:rsidR="5F9CF784" w:rsidRPr="00880275">
        <w:t>for people in prison</w:t>
      </w:r>
      <w:r w:rsidR="07EE3423" w:rsidRPr="00880275">
        <w:t>,</w:t>
      </w:r>
      <w:r w:rsidR="00504E7F" w:rsidRPr="00880275">
        <w:rPr>
          <w:rStyle w:val="FootnoteReference"/>
        </w:rPr>
        <w:footnoteReference w:id="24"/>
      </w:r>
      <w:r w:rsidR="3D0E3CB2" w:rsidRPr="00880275">
        <w:t xml:space="preserve"> for </w:t>
      </w:r>
      <w:r w:rsidR="3CA5E475" w:rsidRPr="00880275">
        <w:t>children and young people</w:t>
      </w:r>
      <w:r w:rsidR="3D0E3CB2" w:rsidRPr="00880275">
        <w:t xml:space="preserve"> in youth detention,</w:t>
      </w:r>
      <w:r w:rsidR="00B162ED" w:rsidRPr="00880275">
        <w:rPr>
          <w:rStyle w:val="FootnoteReference"/>
        </w:rPr>
        <w:footnoteReference w:id="25"/>
      </w:r>
      <w:r w:rsidR="3D0E3CB2" w:rsidRPr="00880275">
        <w:t xml:space="preserve"> and </w:t>
      </w:r>
      <w:r w:rsidR="5F9CA485" w:rsidRPr="00880275">
        <w:t>specific guidance and resources are available for public entities</w:t>
      </w:r>
      <w:r w:rsidR="3D0E3CB2" w:rsidRPr="00880275">
        <w:t xml:space="preserve"> to help them comply with their obligations under the Act.</w:t>
      </w:r>
      <w:r w:rsidR="002C5FEE" w:rsidRPr="00880275">
        <w:rPr>
          <w:rStyle w:val="FootnoteReference"/>
        </w:rPr>
        <w:footnoteReference w:id="26"/>
      </w:r>
      <w:r w:rsidR="3D0E3CB2" w:rsidRPr="00880275">
        <w:t xml:space="preserve"> These include a </w:t>
      </w:r>
      <w:r w:rsidR="151F58B7" w:rsidRPr="00880275">
        <w:t xml:space="preserve">toolkit and </w:t>
      </w:r>
      <w:r w:rsidR="554B0D88" w:rsidRPr="00880275">
        <w:t>guidance on assessing acts and decisions for compatibility with human rights</w:t>
      </w:r>
      <w:r w:rsidR="34AAB78D" w:rsidRPr="00880275">
        <w:t xml:space="preserve">. </w:t>
      </w:r>
    </w:p>
    <w:p w14:paraId="40315EA7" w14:textId="2AB4189C" w:rsidR="00CF08BF" w:rsidRPr="00880275" w:rsidRDefault="00ED0E9E" w:rsidP="00CF08BF">
      <w:pPr>
        <w:pStyle w:val="Heading3"/>
      </w:pPr>
      <w:bookmarkStart w:id="19" w:name="_Toc171346756"/>
      <w:r w:rsidRPr="00880275">
        <w:t>Collaborations</w:t>
      </w:r>
      <w:bookmarkEnd w:id="19"/>
    </w:p>
    <w:p w14:paraId="58F7478A" w14:textId="7CCC6AD4" w:rsidR="00CF08BF" w:rsidRPr="00880275" w:rsidRDefault="00031647" w:rsidP="00754FAE">
      <w:pPr>
        <w:pStyle w:val="Numberedparagraph"/>
      </w:pPr>
      <w:r w:rsidRPr="00880275">
        <w:t xml:space="preserve">The Commission has </w:t>
      </w:r>
      <w:r w:rsidR="009642F5" w:rsidRPr="00880275">
        <w:t xml:space="preserve">collaborated </w:t>
      </w:r>
      <w:r w:rsidR="00A27D60" w:rsidRPr="00880275">
        <w:t xml:space="preserve">with </w:t>
      </w:r>
      <w:r w:rsidR="009642F5" w:rsidRPr="00880275">
        <w:t xml:space="preserve">external </w:t>
      </w:r>
      <w:r w:rsidR="00A27D60" w:rsidRPr="00880275">
        <w:t>agencies</w:t>
      </w:r>
      <w:r w:rsidR="009642F5" w:rsidRPr="00880275">
        <w:t xml:space="preserve"> to assist in resource development and other activities to support a growing culture of human rights</w:t>
      </w:r>
      <w:r w:rsidR="00A27D60" w:rsidRPr="00880275">
        <w:t>, as shown in the following examples</w:t>
      </w:r>
      <w:r w:rsidR="009642F5" w:rsidRPr="00880275">
        <w:t xml:space="preserve">. </w:t>
      </w:r>
    </w:p>
    <w:p w14:paraId="44A06C81" w14:textId="2A50232A" w:rsidR="00FF5D8A" w:rsidRPr="00880275" w:rsidRDefault="00FF5D8A" w:rsidP="009642F5">
      <w:pPr>
        <w:pStyle w:val="Heading4"/>
        <w:rPr>
          <w:shd w:val="clear" w:color="auto" w:fill="FFFFFF"/>
        </w:rPr>
      </w:pPr>
      <w:r w:rsidRPr="00880275">
        <w:rPr>
          <w:shd w:val="clear" w:color="auto" w:fill="FFFFFF"/>
        </w:rPr>
        <w:t>Housing</w:t>
      </w:r>
    </w:p>
    <w:p w14:paraId="4615D1D6" w14:textId="027459A9" w:rsidR="00FF5D8A" w:rsidRPr="00880275" w:rsidRDefault="00FF5D8A" w:rsidP="00754FAE">
      <w:pPr>
        <w:pStyle w:val="Numberedparagraph"/>
        <w:rPr>
          <w:shd w:val="clear" w:color="auto" w:fill="FFFFFF"/>
        </w:rPr>
      </w:pPr>
      <w:r w:rsidRPr="00880275">
        <w:rPr>
          <w:shd w:val="clear" w:color="auto" w:fill="FFFFFF"/>
        </w:rPr>
        <w:t>In 2021 the Queensland Council of Social Service (</w:t>
      </w:r>
      <w:r w:rsidRPr="00880275">
        <w:rPr>
          <w:b/>
          <w:shd w:val="clear" w:color="auto" w:fill="FFFFFF"/>
        </w:rPr>
        <w:t>QCOSS</w:t>
      </w:r>
      <w:r w:rsidRPr="00880275">
        <w:rPr>
          <w:shd w:val="clear" w:color="auto" w:fill="FFFFFF"/>
        </w:rPr>
        <w:t>) partnered with the Department of Communities, Housing and Digital Economy (</w:t>
      </w:r>
      <w:r w:rsidRPr="00880275">
        <w:rPr>
          <w:b/>
          <w:shd w:val="clear" w:color="auto" w:fill="FFFFFF"/>
        </w:rPr>
        <w:t>DCHDE</w:t>
      </w:r>
      <w:r w:rsidRPr="00880275">
        <w:rPr>
          <w:shd w:val="clear" w:color="auto" w:fill="FFFFFF"/>
        </w:rPr>
        <w:t xml:space="preserve">) and the housing and homelessness sector to build understanding of the Act, increase confidence to work compatibly with the Act, and support sectors to use the Act for person-centred service delivery. </w:t>
      </w:r>
    </w:p>
    <w:p w14:paraId="4E1FCDF1" w14:textId="569DA9A0" w:rsidR="00FF5D8A" w:rsidRPr="00880275" w:rsidRDefault="00452B32" w:rsidP="00754FAE">
      <w:pPr>
        <w:pStyle w:val="Numberedparagraph"/>
      </w:pPr>
      <w:r w:rsidRPr="00880275">
        <w:t xml:space="preserve">The </w:t>
      </w:r>
      <w:r w:rsidR="00881F90" w:rsidRPr="00880275">
        <w:t>Commission</w:t>
      </w:r>
      <w:r w:rsidR="00FF5D8A" w:rsidRPr="00880275">
        <w:t xml:space="preserve"> was engaged as a project stakeholder. As part of the project, QCOSS worked intensively with five community service providers and 15 department</w:t>
      </w:r>
      <w:r w:rsidRPr="00880275">
        <w:t>al</w:t>
      </w:r>
      <w:r w:rsidR="00FF5D8A" w:rsidRPr="00880275">
        <w:t xml:space="preserve"> staff (from across the state) as Human Rights Champions. Through training, policy development, and the co-design of learning resources, project champions built their confidence to develop new practices and share their insights across the sector to help other providers understand the benefits of a human rights approach. Practical, real-life scenarios were used to train staff and the sector about how to </w:t>
      </w:r>
      <w:proofErr w:type="gramStart"/>
      <w:r w:rsidR="00FF5D8A" w:rsidRPr="00880275">
        <w:t>give proper consideration</w:t>
      </w:r>
      <w:r w:rsidRPr="00880275">
        <w:t xml:space="preserve"> to</w:t>
      </w:r>
      <w:proofErr w:type="gramEnd"/>
      <w:r w:rsidRPr="00880275">
        <w:t xml:space="preserve"> human rights</w:t>
      </w:r>
      <w:r w:rsidR="00FF5D8A" w:rsidRPr="00880275">
        <w:t>.</w:t>
      </w:r>
    </w:p>
    <w:p w14:paraId="352C702A" w14:textId="676C12FE" w:rsidR="00FF5D8A" w:rsidRPr="00880275" w:rsidRDefault="00FF5D8A" w:rsidP="00754FAE">
      <w:pPr>
        <w:pStyle w:val="Numberedparagraph"/>
      </w:pPr>
      <w:r w:rsidRPr="00880275">
        <w:rPr>
          <w:shd w:val="clear" w:color="auto" w:fill="FFFFFF"/>
        </w:rPr>
        <w:t xml:space="preserve">The </w:t>
      </w:r>
      <w:r w:rsidRPr="00880275">
        <w:t xml:space="preserve">tailored, practical, and detailed resources produced for the project are available through </w:t>
      </w:r>
      <w:r w:rsidR="00452B32" w:rsidRPr="00880275">
        <w:t xml:space="preserve">QCOSS’s </w:t>
      </w:r>
      <w:r w:rsidRPr="00880275">
        <w:t>Community Door website, which aims to ensure organisations are ‘human rights-aligned’. Jacaranda Housing, a human rights champion that participated in the project, commented that they became champions:</w:t>
      </w:r>
    </w:p>
    <w:p w14:paraId="04D7DE64" w14:textId="77777777" w:rsidR="00FF5D8A" w:rsidRPr="00880275" w:rsidRDefault="00FF5D8A" w:rsidP="00FF5D8A">
      <w:pPr>
        <w:pStyle w:val="Quote"/>
        <w:rPr>
          <w:vertAlign w:val="superscript"/>
        </w:rPr>
      </w:pPr>
      <w:r w:rsidRPr="00880275">
        <w:rPr>
          <w:shd w:val="clear" w:color="auto" w:fill="FCFCFC"/>
        </w:rPr>
        <w:t xml:space="preserve">To receive bespoke guidance that reflects the challenges and operating environment of the community housing sector. Our team has attended training and discussion forums on the Act, but this is a terrific opportunity to </w:t>
      </w:r>
      <w:r w:rsidRPr="00880275">
        <w:rPr>
          <w:shd w:val="clear" w:color="auto" w:fill="FCFCFC"/>
        </w:rPr>
        <w:lastRenderedPageBreak/>
        <w:t>ensure we have correctly embedded the Act in all aspects of our decision-making processes and service delivery.</w:t>
      </w:r>
      <w:r w:rsidRPr="00880275">
        <w:rPr>
          <w:vertAlign w:val="superscript"/>
        </w:rPr>
        <w:t xml:space="preserve"> </w:t>
      </w:r>
      <w:r w:rsidRPr="00880275">
        <w:rPr>
          <w:vertAlign w:val="superscript"/>
        </w:rPr>
        <w:footnoteReference w:id="27"/>
      </w:r>
    </w:p>
    <w:p w14:paraId="266EED59" w14:textId="656C3C36" w:rsidR="0070757F" w:rsidRPr="00880275" w:rsidRDefault="009642F5" w:rsidP="009642F5">
      <w:pPr>
        <w:pStyle w:val="Heading4"/>
        <w:rPr>
          <w:shd w:val="clear" w:color="auto" w:fill="FFFFFF"/>
        </w:rPr>
      </w:pPr>
      <w:r w:rsidRPr="00880275">
        <w:rPr>
          <w:shd w:val="clear" w:color="auto" w:fill="FFFFFF"/>
        </w:rPr>
        <w:t>Child safety</w:t>
      </w:r>
    </w:p>
    <w:p w14:paraId="52218246" w14:textId="28B87F86" w:rsidR="0093239E" w:rsidRPr="00880275" w:rsidRDefault="009642F5" w:rsidP="00754FAE">
      <w:pPr>
        <w:pStyle w:val="Numberedparagraph"/>
        <w:rPr>
          <w:shd w:val="clear" w:color="auto" w:fill="FFFFFF"/>
        </w:rPr>
      </w:pPr>
      <w:r w:rsidRPr="00880275">
        <w:rPr>
          <w:shd w:val="clear" w:color="auto" w:fill="FFFFFF"/>
        </w:rPr>
        <w:t xml:space="preserve">The Commission </w:t>
      </w:r>
      <w:r w:rsidR="5688E022" w:rsidRPr="00880275">
        <w:t xml:space="preserve">was involved </w:t>
      </w:r>
      <w:r w:rsidR="00452B32" w:rsidRPr="00880275">
        <w:t xml:space="preserve">in </w:t>
      </w:r>
      <w:r w:rsidR="5688E022" w:rsidRPr="00880275">
        <w:t>collaborations with the Family Inclusion Network</w:t>
      </w:r>
      <w:r w:rsidR="00983044" w:rsidRPr="00880275">
        <w:t xml:space="preserve"> </w:t>
      </w:r>
      <w:proofErr w:type="gramStart"/>
      <w:r w:rsidR="00225202" w:rsidRPr="00880275">
        <w:t>South East</w:t>
      </w:r>
      <w:proofErr w:type="gramEnd"/>
      <w:r w:rsidR="00225202" w:rsidRPr="00880275">
        <w:t xml:space="preserve"> </w:t>
      </w:r>
      <w:r w:rsidR="00983044" w:rsidRPr="00880275">
        <w:t>Queensland</w:t>
      </w:r>
      <w:r w:rsidR="00225202" w:rsidRPr="00880275">
        <w:t>, the Queensland Parents Advisory Committee</w:t>
      </w:r>
      <w:r w:rsidR="004E47AC" w:rsidRPr="00880275">
        <w:t>,</w:t>
      </w:r>
      <w:r w:rsidR="5688E022" w:rsidRPr="00880275">
        <w:t xml:space="preserve"> </w:t>
      </w:r>
      <w:r w:rsidR="00371B91" w:rsidRPr="00880275">
        <w:t>and the Department of Children, Youth Justice</w:t>
      </w:r>
      <w:r w:rsidR="5688E022" w:rsidRPr="00880275">
        <w:t xml:space="preserve"> and </w:t>
      </w:r>
      <w:r w:rsidR="00371B91" w:rsidRPr="00880275">
        <w:t xml:space="preserve">Multicultural Affairs </w:t>
      </w:r>
      <w:r w:rsidR="005C1B08" w:rsidRPr="00880275">
        <w:t xml:space="preserve">to </w:t>
      </w:r>
      <w:r w:rsidR="5688E022" w:rsidRPr="00880275">
        <w:t>develop</w:t>
      </w:r>
      <w:r w:rsidR="005C1B08" w:rsidRPr="00880275">
        <w:t xml:space="preserve"> </w:t>
      </w:r>
      <w:r w:rsidR="00371B91" w:rsidRPr="00880275">
        <w:t>a</w:t>
      </w:r>
      <w:r w:rsidR="5688E022" w:rsidRPr="00880275">
        <w:t xml:space="preserve"> </w:t>
      </w:r>
      <w:r w:rsidR="5688E022" w:rsidRPr="00880275">
        <w:rPr>
          <w:i/>
        </w:rPr>
        <w:t>Charter of Rights for parents involved with the child protection system in Queensland</w:t>
      </w:r>
      <w:r w:rsidR="003A118D" w:rsidRPr="00880275">
        <w:t>.</w:t>
      </w:r>
      <w:r w:rsidR="5688E022" w:rsidRPr="00880275">
        <w:t xml:space="preserve"> The Charter </w:t>
      </w:r>
      <w:r w:rsidR="00DE70D3" w:rsidRPr="00880275">
        <w:t xml:space="preserve">aims </w:t>
      </w:r>
      <w:r w:rsidR="0045539B" w:rsidRPr="00880275">
        <w:t xml:space="preserve">to </w:t>
      </w:r>
      <w:r w:rsidR="003776FA" w:rsidRPr="00880275">
        <w:t>improve awareness</w:t>
      </w:r>
      <w:r w:rsidR="000522F1" w:rsidRPr="00880275">
        <w:t xml:space="preserve">, </w:t>
      </w:r>
      <w:r w:rsidR="003776FA" w:rsidRPr="00880275">
        <w:t>understanding</w:t>
      </w:r>
      <w:r w:rsidR="008921F8" w:rsidRPr="00880275">
        <w:t>, and fulfilment</w:t>
      </w:r>
      <w:r w:rsidR="003776FA" w:rsidRPr="00880275">
        <w:t xml:space="preserve"> </w:t>
      </w:r>
      <w:r w:rsidR="009C39F4" w:rsidRPr="00880275">
        <w:t xml:space="preserve">of </w:t>
      </w:r>
      <w:r w:rsidR="008921F8" w:rsidRPr="00880275">
        <w:t>parents</w:t>
      </w:r>
      <w:r w:rsidR="00432008" w:rsidRPr="00880275">
        <w:t>’</w:t>
      </w:r>
      <w:r w:rsidR="008921F8" w:rsidRPr="00880275">
        <w:t xml:space="preserve"> </w:t>
      </w:r>
      <w:r w:rsidR="009C39F4" w:rsidRPr="00880275">
        <w:t xml:space="preserve">rights </w:t>
      </w:r>
      <w:r w:rsidR="00322CB0" w:rsidRPr="00880275">
        <w:t xml:space="preserve">protected by the Human Rights Act </w:t>
      </w:r>
      <w:r w:rsidR="008921F8" w:rsidRPr="00880275">
        <w:t xml:space="preserve">by setting out </w:t>
      </w:r>
      <w:r w:rsidR="00C17D95" w:rsidRPr="00880275">
        <w:t xml:space="preserve">relevant </w:t>
      </w:r>
      <w:r w:rsidR="008921F8" w:rsidRPr="00880275">
        <w:t xml:space="preserve">rights </w:t>
      </w:r>
      <w:r w:rsidR="00322CB0" w:rsidRPr="00880275">
        <w:t xml:space="preserve">in a way that is practical and meaningful to </w:t>
      </w:r>
      <w:r w:rsidR="00695454" w:rsidRPr="00880275">
        <w:t>parents</w:t>
      </w:r>
      <w:r w:rsidR="00647EAA" w:rsidRPr="00880275">
        <w:t xml:space="preserve"> </w:t>
      </w:r>
      <w:r w:rsidR="008468CE" w:rsidRPr="00880275">
        <w:t>who have contact with Child Safety</w:t>
      </w:r>
      <w:r w:rsidR="00322CB0" w:rsidRPr="00880275">
        <w:t>.</w:t>
      </w:r>
      <w:r w:rsidR="00237B8F" w:rsidRPr="00880275">
        <w:t xml:space="preserve"> </w:t>
      </w:r>
    </w:p>
    <w:p w14:paraId="08943133" w14:textId="2D8EF16E" w:rsidR="0070757F" w:rsidRPr="00880275" w:rsidRDefault="0093239E" w:rsidP="00754FAE">
      <w:pPr>
        <w:pStyle w:val="Numberedparagraph"/>
        <w:rPr>
          <w:shd w:val="clear" w:color="auto" w:fill="FFFFFF"/>
        </w:rPr>
      </w:pPr>
      <w:r w:rsidRPr="00880275">
        <w:t xml:space="preserve">The Charter was launched by the Department on 1 June 2022 and is currently being </w:t>
      </w:r>
      <w:r w:rsidR="008D7D1A" w:rsidRPr="00880275">
        <w:t xml:space="preserve">independently evaluated. </w:t>
      </w:r>
      <w:r w:rsidR="00322CB0" w:rsidRPr="00880275">
        <w:t xml:space="preserve"> </w:t>
      </w:r>
    </w:p>
    <w:p w14:paraId="7264372E" w14:textId="77777777" w:rsidR="00F158DD" w:rsidRPr="00880275" w:rsidRDefault="00F158DD" w:rsidP="00F158DD">
      <w:pPr>
        <w:pStyle w:val="Heading3"/>
      </w:pPr>
      <w:bookmarkStart w:id="20" w:name="_Toc171346757"/>
      <w:r w:rsidRPr="00880275">
        <w:t>Human rights reviews</w:t>
      </w:r>
      <w:bookmarkEnd w:id="20"/>
    </w:p>
    <w:p w14:paraId="72BF9B00" w14:textId="77777777" w:rsidR="00830CF8" w:rsidRPr="00880275" w:rsidRDefault="00F158DD" w:rsidP="00754FAE">
      <w:pPr>
        <w:pStyle w:val="Numberedparagraph"/>
      </w:pPr>
      <w:r w:rsidRPr="00880275">
        <w:t xml:space="preserve">The Commission has a function </w:t>
      </w:r>
      <w:r w:rsidR="0041719F" w:rsidRPr="00880275">
        <w:t xml:space="preserve">under section 61(c) of the Human Rights Act </w:t>
      </w:r>
      <w:r w:rsidRPr="00880275">
        <w:t>to review public entities’ policies, programs, procedures, practices and services for compatibility with human rights.</w:t>
      </w:r>
    </w:p>
    <w:p w14:paraId="141AF7E6" w14:textId="5F430155" w:rsidR="00830CF8" w:rsidRPr="00880275" w:rsidRDefault="00830CF8" w:rsidP="00551D22">
      <w:pPr>
        <w:pStyle w:val="Heading4"/>
      </w:pPr>
      <w:r w:rsidRPr="00880275">
        <w:t>Examples</w:t>
      </w:r>
      <w:r w:rsidR="00F158DD" w:rsidRPr="00880275">
        <w:t xml:space="preserve"> </w:t>
      </w:r>
    </w:p>
    <w:p w14:paraId="09A5CE75" w14:textId="06E4D70E" w:rsidR="00F158DD" w:rsidRPr="00880275" w:rsidRDefault="00F158DD" w:rsidP="00754FAE">
      <w:pPr>
        <w:pStyle w:val="Numberedparagraph"/>
      </w:pPr>
      <w:r w:rsidRPr="00880275">
        <w:t>The Commission has undertaken two reviews since the commencement of the Human Rights Act.</w:t>
      </w:r>
    </w:p>
    <w:p w14:paraId="38EE23F7" w14:textId="77777777" w:rsidR="00F158DD" w:rsidRPr="00880275" w:rsidRDefault="00F158DD" w:rsidP="00754FAE">
      <w:pPr>
        <w:pStyle w:val="Numberedparagraph"/>
        <w:rPr>
          <w:iCs/>
        </w:rPr>
      </w:pPr>
      <w:r w:rsidRPr="00880275">
        <w:t>In late 2019 the Commission commenced an organisational review of community housing provider, Bric Housing (</w:t>
      </w:r>
      <w:r w:rsidRPr="00880275">
        <w:rPr>
          <w:b/>
        </w:rPr>
        <w:t>Bric</w:t>
      </w:r>
      <w:r w:rsidRPr="00880275">
        <w:t>). Bric is a functional public entity that manages tenancies, properties, and maintenance services for low income and/or disadvantaged families and single people. The Commission review included:</w:t>
      </w:r>
    </w:p>
    <w:p w14:paraId="22E67CD2" w14:textId="77777777" w:rsidR="00F158DD" w:rsidRPr="00880275" w:rsidRDefault="00F158DD" w:rsidP="00964947">
      <w:pPr>
        <w:pStyle w:val="Bulletedlist"/>
        <w:numPr>
          <w:ilvl w:val="0"/>
          <w:numId w:val="2"/>
        </w:numPr>
        <w:tabs>
          <w:tab w:val="left" w:pos="720"/>
        </w:tabs>
        <w:spacing w:after="120" w:line="300" w:lineRule="auto"/>
        <w:ind w:left="1077" w:hanging="357"/>
        <w:contextualSpacing w:val="0"/>
      </w:pPr>
      <w:r w:rsidRPr="00880275">
        <w:t>human rights workshops</w:t>
      </w:r>
    </w:p>
    <w:p w14:paraId="7F4F3FB4" w14:textId="77777777" w:rsidR="00F158DD" w:rsidRPr="00880275" w:rsidRDefault="00F158DD" w:rsidP="00964947">
      <w:pPr>
        <w:pStyle w:val="Bulletedlist"/>
        <w:numPr>
          <w:ilvl w:val="0"/>
          <w:numId w:val="2"/>
        </w:numPr>
        <w:tabs>
          <w:tab w:val="left" w:pos="720"/>
        </w:tabs>
        <w:spacing w:after="120" w:line="300" w:lineRule="auto"/>
        <w:ind w:left="1077" w:hanging="357"/>
        <w:contextualSpacing w:val="0"/>
      </w:pPr>
      <w:r w:rsidRPr="00880275">
        <w:t>development of decision-making flowcharts</w:t>
      </w:r>
    </w:p>
    <w:p w14:paraId="1E4BDE2B" w14:textId="77777777" w:rsidR="00F158DD" w:rsidRPr="00880275" w:rsidRDefault="00F158DD" w:rsidP="00964947">
      <w:pPr>
        <w:pStyle w:val="Bulletedlist"/>
        <w:numPr>
          <w:ilvl w:val="0"/>
          <w:numId w:val="2"/>
        </w:numPr>
        <w:tabs>
          <w:tab w:val="left" w:pos="720"/>
        </w:tabs>
        <w:spacing w:after="120" w:line="300" w:lineRule="auto"/>
        <w:ind w:left="1077" w:hanging="357"/>
        <w:contextualSpacing w:val="0"/>
      </w:pPr>
      <w:r w:rsidRPr="00880275">
        <w:t xml:space="preserve">working with Bric to review and amend policies and procedures. </w:t>
      </w:r>
    </w:p>
    <w:p w14:paraId="0646A5EC" w14:textId="0D2CD111" w:rsidR="00F158DD" w:rsidRPr="00880275" w:rsidRDefault="00F158DD" w:rsidP="00754FAE">
      <w:pPr>
        <w:pStyle w:val="Numberedparagraph"/>
        <w:rPr>
          <w:color w:val="auto"/>
        </w:rPr>
      </w:pPr>
      <w:r w:rsidRPr="00880275">
        <w:t xml:space="preserve">Following a recommendation of the Queensland </w:t>
      </w:r>
      <w:r w:rsidRPr="00880275">
        <w:rPr>
          <w:i/>
          <w:iCs/>
        </w:rPr>
        <w:t>Women’s Safety and Justice Taskforce</w:t>
      </w:r>
      <w:r w:rsidRPr="00880275">
        <w:t>, the Commission commenced a human rights review of policies, procedures</w:t>
      </w:r>
      <w:r w:rsidR="00452B32" w:rsidRPr="00880275">
        <w:t>,</w:t>
      </w:r>
      <w:r w:rsidRPr="00880275">
        <w:t xml:space="preserve"> and practices relating to the use of strip searches on women in Queensland</w:t>
      </w:r>
      <w:r w:rsidR="00452B32" w:rsidRPr="00880275">
        <w:t xml:space="preserve"> prisons</w:t>
      </w:r>
      <w:r w:rsidRPr="00880275">
        <w:t>.</w:t>
      </w:r>
      <w:r w:rsidRPr="00880275">
        <w:rPr>
          <w:rStyle w:val="FootnoteReference"/>
        </w:rPr>
        <w:footnoteReference w:id="28"/>
      </w:r>
      <w:r w:rsidRPr="00880275">
        <w:t xml:space="preserve"> The Commission’s report, </w:t>
      </w:r>
      <w:proofErr w:type="gramStart"/>
      <w:r w:rsidRPr="00880275">
        <w:rPr>
          <w:i/>
          <w:iCs/>
        </w:rPr>
        <w:t>Stripped</w:t>
      </w:r>
      <w:proofErr w:type="gramEnd"/>
      <w:r w:rsidRPr="00880275">
        <w:rPr>
          <w:i/>
          <w:iCs/>
        </w:rPr>
        <w:t xml:space="preserve"> of our dignity</w:t>
      </w:r>
      <w:r w:rsidRPr="00880275">
        <w:t xml:space="preserve">, was published in </w:t>
      </w:r>
      <w:r w:rsidRPr="00880275">
        <w:rPr>
          <w:color w:val="auto"/>
        </w:rPr>
        <w:t xml:space="preserve">September 2023. </w:t>
      </w:r>
      <w:r w:rsidRPr="00880275">
        <w:rPr>
          <w:color w:val="auto"/>
          <w:shd w:val="clear" w:color="auto" w:fill="FFFFFF"/>
        </w:rPr>
        <w:t xml:space="preserve">The report concludes that strip searches fail to improve prison safety and unreasonably limit the human rights of prisoners, </w:t>
      </w:r>
      <w:r w:rsidRPr="00880275">
        <w:rPr>
          <w:color w:val="auto"/>
          <w:shd w:val="clear" w:color="auto" w:fill="FFFFFF"/>
        </w:rPr>
        <w:lastRenderedPageBreak/>
        <w:t xml:space="preserve">their children and families, and prison staff. The report </w:t>
      </w:r>
      <w:r w:rsidR="00EA1F23" w:rsidRPr="00880275">
        <w:t>presents 24 recommendations to Queensland Corrective Services aimed at fostering a more trauma-informed and human rights-compatible approach to searching female prisoners.</w:t>
      </w:r>
      <w:r w:rsidRPr="00880275">
        <w:t xml:space="preserve"> </w:t>
      </w:r>
    </w:p>
    <w:p w14:paraId="3A6FA7EC" w14:textId="10479F0F" w:rsidR="00F158DD" w:rsidRPr="00880275" w:rsidRDefault="00F158DD" w:rsidP="00754FAE">
      <w:pPr>
        <w:pStyle w:val="Numberedparagraph"/>
      </w:pPr>
      <w:r w:rsidRPr="00880275">
        <w:rPr>
          <w:shd w:val="clear" w:color="auto" w:fill="FFFFFF"/>
        </w:rPr>
        <w:t>At the time of writing</w:t>
      </w:r>
      <w:r w:rsidR="00EA1F23" w:rsidRPr="00880275">
        <w:rPr>
          <w:shd w:val="clear" w:color="auto" w:fill="FFFFFF"/>
        </w:rPr>
        <w:t>,</w:t>
      </w:r>
      <w:r w:rsidRPr="00880275">
        <w:rPr>
          <w:shd w:val="clear" w:color="auto" w:fill="FFFFFF"/>
        </w:rPr>
        <w:t xml:space="preserve"> implementation </w:t>
      </w:r>
      <w:r w:rsidR="00EA1F23" w:rsidRPr="00880275">
        <w:rPr>
          <w:shd w:val="clear" w:color="auto" w:fill="FFFFFF"/>
        </w:rPr>
        <w:t xml:space="preserve">of the </w:t>
      </w:r>
      <w:r w:rsidR="00EA1F23" w:rsidRPr="00880275">
        <w:rPr>
          <w:i/>
          <w:shd w:val="clear" w:color="auto" w:fill="FFFFFF"/>
        </w:rPr>
        <w:t>Stripped of our dignity</w:t>
      </w:r>
      <w:r w:rsidR="00EA1F23" w:rsidRPr="00880275">
        <w:rPr>
          <w:shd w:val="clear" w:color="auto" w:fill="FFFFFF"/>
        </w:rPr>
        <w:t xml:space="preserve"> recommendations </w:t>
      </w:r>
      <w:r w:rsidRPr="00880275">
        <w:rPr>
          <w:shd w:val="clear" w:color="auto" w:fill="FFFFFF"/>
        </w:rPr>
        <w:t>is ongoing</w:t>
      </w:r>
      <w:r w:rsidR="00EA1F23" w:rsidRPr="00880275">
        <w:rPr>
          <w:shd w:val="clear" w:color="auto" w:fill="FFFFFF"/>
        </w:rPr>
        <w:t>,</w:t>
      </w:r>
      <w:r w:rsidRPr="00880275">
        <w:rPr>
          <w:shd w:val="clear" w:color="auto" w:fill="FFFFFF"/>
        </w:rPr>
        <w:t xml:space="preserve"> but initial changes to policies have </w:t>
      </w:r>
      <w:r w:rsidR="00EA1F23" w:rsidRPr="00880275">
        <w:rPr>
          <w:shd w:val="clear" w:color="auto" w:fill="FFFFFF"/>
        </w:rPr>
        <w:t xml:space="preserve">included: </w:t>
      </w:r>
      <w:r w:rsidRPr="00880275">
        <w:rPr>
          <w:shd w:val="clear" w:color="auto" w:fill="FFFFFF"/>
        </w:rPr>
        <w:t>provid</w:t>
      </w:r>
      <w:r w:rsidR="00EA1F23" w:rsidRPr="00880275">
        <w:rPr>
          <w:shd w:val="clear" w:color="auto" w:fill="FFFFFF"/>
        </w:rPr>
        <w:t>ing</w:t>
      </w:r>
      <w:r w:rsidRPr="00880275">
        <w:rPr>
          <w:shd w:val="clear" w:color="auto" w:fill="FFFFFF"/>
        </w:rPr>
        <w:t xml:space="preserve"> additional guidance on human rights considerations when conduct</w:t>
      </w:r>
      <w:r w:rsidR="00EA1F23" w:rsidRPr="00880275">
        <w:rPr>
          <w:shd w:val="clear" w:color="auto" w:fill="FFFFFF"/>
        </w:rPr>
        <w:t>ing</w:t>
      </w:r>
      <w:r w:rsidRPr="00880275">
        <w:rPr>
          <w:shd w:val="clear" w:color="auto" w:fill="FFFFFF"/>
        </w:rPr>
        <w:t xml:space="preserve"> searches</w:t>
      </w:r>
      <w:r w:rsidR="00EA1F23" w:rsidRPr="00880275">
        <w:rPr>
          <w:shd w:val="clear" w:color="auto" w:fill="FFFFFF"/>
        </w:rPr>
        <w:t>;</w:t>
      </w:r>
      <w:r w:rsidRPr="00880275">
        <w:rPr>
          <w:shd w:val="clear" w:color="auto" w:fill="FFFFFF"/>
        </w:rPr>
        <w:t xml:space="preserve"> updat</w:t>
      </w:r>
      <w:r w:rsidR="00EA1F23" w:rsidRPr="00880275">
        <w:rPr>
          <w:shd w:val="clear" w:color="auto" w:fill="FFFFFF"/>
        </w:rPr>
        <w:t>ing</w:t>
      </w:r>
      <w:r w:rsidRPr="00880275">
        <w:rPr>
          <w:shd w:val="clear" w:color="auto" w:fill="FFFFFF"/>
        </w:rPr>
        <w:t xml:space="preserve"> requirements for the searches of female prisoners, including those who are pregnant or menstruating</w:t>
      </w:r>
      <w:r w:rsidR="00EA1F23" w:rsidRPr="00880275">
        <w:rPr>
          <w:shd w:val="clear" w:color="auto" w:fill="FFFFFF"/>
        </w:rPr>
        <w:t>;</w:t>
      </w:r>
      <w:r w:rsidRPr="00880275">
        <w:rPr>
          <w:shd w:val="clear" w:color="auto" w:fill="FFFFFF"/>
        </w:rPr>
        <w:t xml:space="preserve"> address</w:t>
      </w:r>
      <w:r w:rsidR="00EA1F23" w:rsidRPr="00880275">
        <w:rPr>
          <w:shd w:val="clear" w:color="auto" w:fill="FFFFFF"/>
        </w:rPr>
        <w:t>ing</w:t>
      </w:r>
      <w:r w:rsidRPr="00880275">
        <w:rPr>
          <w:shd w:val="clear" w:color="auto" w:fill="FFFFFF"/>
        </w:rPr>
        <w:t xml:space="preserve"> the needs of prisoners with children in their care</w:t>
      </w:r>
      <w:r w:rsidR="00EA1F23" w:rsidRPr="00880275">
        <w:rPr>
          <w:shd w:val="clear" w:color="auto" w:fill="FFFFFF"/>
        </w:rPr>
        <w:t>;</w:t>
      </w:r>
      <w:r w:rsidRPr="00880275">
        <w:rPr>
          <w:shd w:val="clear" w:color="auto" w:fill="FFFFFF"/>
        </w:rPr>
        <w:t xml:space="preserve"> and updat</w:t>
      </w:r>
      <w:r w:rsidR="00EA1F23" w:rsidRPr="00880275">
        <w:rPr>
          <w:shd w:val="clear" w:color="auto" w:fill="FFFFFF"/>
        </w:rPr>
        <w:t>ing</w:t>
      </w:r>
      <w:r w:rsidRPr="00880275">
        <w:rPr>
          <w:shd w:val="clear" w:color="auto" w:fill="FFFFFF"/>
        </w:rPr>
        <w:t xml:space="preserve"> guidance for when a prisoner refuses a search.</w:t>
      </w:r>
    </w:p>
    <w:p w14:paraId="5022C44F" w14:textId="1436C8DC" w:rsidR="00C756D6" w:rsidRPr="00880275" w:rsidRDefault="00C756D6" w:rsidP="00C756D6">
      <w:pPr>
        <w:pStyle w:val="Heading4"/>
      </w:pPr>
      <w:r w:rsidRPr="00880275">
        <w:t>A case for expanded powers</w:t>
      </w:r>
    </w:p>
    <w:p w14:paraId="578406F8" w14:textId="65DE45CC" w:rsidR="000D0A09" w:rsidRPr="00880275" w:rsidRDefault="00806528" w:rsidP="00754FAE">
      <w:pPr>
        <w:pStyle w:val="Numberedparagraph"/>
      </w:pPr>
      <w:r w:rsidRPr="00880275">
        <w:t xml:space="preserve">The federal parliamentary committee </w:t>
      </w:r>
      <w:r w:rsidR="001244F7" w:rsidRPr="00880275">
        <w:t>in its Inquiry into Australia’s Human Rights Framework</w:t>
      </w:r>
      <w:r w:rsidR="00CA6AFB" w:rsidRPr="00880275">
        <w:t xml:space="preserve"> recommended that the Australian Human Rights Commission be enabled to conduct own-motion inquiries into systemic human rights concerns, monitor and report on compliance with the Act, and inquire into and investigate and report on any act or practice of a public authority that may be contrary to the human rights legislation.</w:t>
      </w:r>
      <w:r w:rsidR="008D2ED1" w:rsidRPr="00880275">
        <w:rPr>
          <w:rStyle w:val="FootnoteReference"/>
          <w:color w:val="auto"/>
        </w:rPr>
        <w:footnoteReference w:id="29"/>
      </w:r>
    </w:p>
    <w:p w14:paraId="1B1EFAEF" w14:textId="3390FEBE" w:rsidR="00DB4275" w:rsidRPr="00880275" w:rsidRDefault="00DB4275" w:rsidP="00754FAE">
      <w:pPr>
        <w:pStyle w:val="Numberedparagraph"/>
        <w:rPr>
          <w:color w:val="auto"/>
        </w:rPr>
      </w:pPr>
      <w:r w:rsidRPr="00880275">
        <w:rPr>
          <w:color w:val="auto"/>
        </w:rPr>
        <w:t xml:space="preserve">While work </w:t>
      </w:r>
      <w:r w:rsidR="00964213" w:rsidRPr="00880275">
        <w:rPr>
          <w:color w:val="auto"/>
        </w:rPr>
        <w:t>using</w:t>
      </w:r>
      <w:r w:rsidRPr="00880275">
        <w:rPr>
          <w:color w:val="auto"/>
        </w:rPr>
        <w:t xml:space="preserve"> the Commission’s review functions has been valuable, </w:t>
      </w:r>
      <w:r w:rsidRPr="00880275">
        <w:t xml:space="preserve">there does not appear to be any </w:t>
      </w:r>
      <w:r w:rsidR="007B600A" w:rsidRPr="00880275">
        <w:t>justification for</w:t>
      </w:r>
      <w:r w:rsidRPr="00880275">
        <w:t xml:space="preserve"> the Commission’s functions </w:t>
      </w:r>
      <w:r w:rsidR="00114E71" w:rsidRPr="00880275">
        <w:t>being</w:t>
      </w:r>
      <w:r w:rsidRPr="00880275">
        <w:t xml:space="preserve"> limited to reviewing policies, programs</w:t>
      </w:r>
      <w:r w:rsidR="00F16F92" w:rsidRPr="00880275">
        <w:t>,</w:t>
      </w:r>
      <w:r w:rsidRPr="00880275">
        <w:t xml:space="preserve"> procedures</w:t>
      </w:r>
      <w:r w:rsidR="00F16F92" w:rsidRPr="00880275">
        <w:t>,</w:t>
      </w:r>
      <w:r w:rsidRPr="00880275">
        <w:t xml:space="preserve"> and practices </w:t>
      </w:r>
      <w:r w:rsidR="005760EA" w:rsidRPr="00880275">
        <w:t xml:space="preserve">and services </w:t>
      </w:r>
      <w:r w:rsidRPr="00880275">
        <w:t>for human rights compatibility</w:t>
      </w:r>
      <w:r w:rsidRPr="00880275">
        <w:rPr>
          <w:b/>
          <w:bCs/>
        </w:rPr>
        <w:t xml:space="preserve">. </w:t>
      </w:r>
      <w:r w:rsidRPr="00880275">
        <w:t>The Commission’s contribution to building a culture of human rights in the Queensland public sector would be assisted by expanding its powers to conduct investigations, inquiries</w:t>
      </w:r>
      <w:r w:rsidR="005B364B" w:rsidRPr="00880275">
        <w:t>,</w:t>
      </w:r>
      <w:r w:rsidRPr="00880275">
        <w:t xml:space="preserve"> and reviews </w:t>
      </w:r>
      <w:r w:rsidR="00B73245" w:rsidRPr="00880275">
        <w:t>consistent with the objects and purpose of the Human Rights Act</w:t>
      </w:r>
      <w:r w:rsidRPr="00880275">
        <w:t>.</w:t>
      </w:r>
      <w:r w:rsidR="00AF18F2" w:rsidRPr="00880275">
        <w:rPr>
          <w:b/>
          <w:bCs/>
        </w:rPr>
        <w:t xml:space="preserve"> </w:t>
      </w:r>
    </w:p>
    <w:p w14:paraId="6889DED3" w14:textId="6181395C" w:rsidR="00F158DD" w:rsidRPr="00880275" w:rsidRDefault="0002256E" w:rsidP="00754FAE">
      <w:pPr>
        <w:pStyle w:val="Numberedparagraph"/>
      </w:pPr>
      <w:r w:rsidRPr="00880275">
        <w:t xml:space="preserve">The Commission’s </w:t>
      </w:r>
      <w:r w:rsidR="00BE33F4" w:rsidRPr="00880275">
        <w:t xml:space="preserve">review function is underpinned by </w:t>
      </w:r>
      <w:r w:rsidR="00E2283F" w:rsidRPr="00880275">
        <w:t xml:space="preserve">an </w:t>
      </w:r>
      <w:r w:rsidR="00F158DD" w:rsidRPr="00880275">
        <w:t xml:space="preserve">information request </w:t>
      </w:r>
      <w:r w:rsidR="00E2283F" w:rsidRPr="00880275">
        <w:t xml:space="preserve">power </w:t>
      </w:r>
      <w:r w:rsidR="00F158DD" w:rsidRPr="00880275">
        <w:t xml:space="preserve">(section 98) and reporting </w:t>
      </w:r>
      <w:r w:rsidR="00E2283F" w:rsidRPr="00880275">
        <w:t xml:space="preserve">obligations and </w:t>
      </w:r>
      <w:r w:rsidR="00F158DD" w:rsidRPr="00880275">
        <w:t xml:space="preserve">powers (section 92). </w:t>
      </w:r>
    </w:p>
    <w:p w14:paraId="0C36398B" w14:textId="5C89A141" w:rsidR="00F158DD" w:rsidRPr="00880275" w:rsidRDefault="00E24D27" w:rsidP="00754FAE">
      <w:pPr>
        <w:pStyle w:val="Numberedparagraph"/>
      </w:pPr>
      <w:r w:rsidRPr="00880275">
        <w:t xml:space="preserve">The Commission’s power to request information under section 98 of the Human Rights Act is limited to information the commissioner </w:t>
      </w:r>
      <w:r w:rsidRPr="00880275">
        <w:rPr>
          <w:i/>
        </w:rPr>
        <w:t>reasonably requires</w:t>
      </w:r>
      <w:r w:rsidR="00FE1571" w:rsidRPr="00880275">
        <w:t xml:space="preserve"> </w:t>
      </w:r>
      <w:proofErr w:type="gramStart"/>
      <w:r w:rsidR="00FE1571" w:rsidRPr="00880275">
        <w:t>to prepare</w:t>
      </w:r>
      <w:proofErr w:type="gramEnd"/>
      <w:r w:rsidR="00FE1571" w:rsidRPr="00880275">
        <w:t xml:space="preserve"> an annual report or a report under section 92. The information cannot be personal information that is not publicly </w:t>
      </w:r>
      <w:proofErr w:type="gramStart"/>
      <w:r w:rsidR="00FE1571" w:rsidRPr="00880275">
        <w:t>available, and</w:t>
      </w:r>
      <w:proofErr w:type="gramEnd"/>
      <w:r w:rsidR="00FE1571" w:rsidRPr="00880275">
        <w:t xml:space="preserve"> cannot be used for any purpose other </w:t>
      </w:r>
      <w:r w:rsidR="00A54B85" w:rsidRPr="00880275">
        <w:t xml:space="preserve">than </w:t>
      </w:r>
      <w:r w:rsidR="00FE1571" w:rsidRPr="00880275">
        <w:t>the purpose for which it was requested</w:t>
      </w:r>
      <w:r w:rsidR="00F158DD" w:rsidRPr="00880275">
        <w:t xml:space="preserve">. </w:t>
      </w:r>
    </w:p>
    <w:p w14:paraId="174A4AC3" w14:textId="50FD7998" w:rsidR="00F158DD" w:rsidRPr="00880275" w:rsidRDefault="00F158DD" w:rsidP="00754FAE">
      <w:pPr>
        <w:pStyle w:val="Numberedparagraph"/>
      </w:pPr>
      <w:r w:rsidRPr="00880275">
        <w:t xml:space="preserve">The Commission </w:t>
      </w:r>
      <w:r w:rsidR="5EADE9EC" w:rsidRPr="00880275">
        <w:t>holds no explicit power to</w:t>
      </w:r>
      <w:r w:rsidRPr="00880275">
        <w:t xml:space="preserve"> make a preliminary inquiry to identify whether there are sufficient grounds to commence a formal review under section</w:t>
      </w:r>
      <w:r w:rsidR="0035756A" w:rsidRPr="00880275">
        <w:t> </w:t>
      </w:r>
      <w:r w:rsidRPr="00880275">
        <w:t>61(c)</w:t>
      </w:r>
      <w:r w:rsidR="00690C11" w:rsidRPr="00880275">
        <w:t xml:space="preserve"> of the Human Rights Act</w:t>
      </w:r>
      <w:r w:rsidRPr="00880275">
        <w:t>. This is particularly problematic when policies are confidential or redacted.</w:t>
      </w:r>
      <w:r w:rsidR="00703D42" w:rsidRPr="00880275">
        <w:t xml:space="preserve"> An expanded Commission function to conduct investigations</w:t>
      </w:r>
      <w:r w:rsidR="00612A84" w:rsidRPr="00880275">
        <w:t>,</w:t>
      </w:r>
      <w:r w:rsidR="00703D42" w:rsidRPr="00880275">
        <w:t xml:space="preserve"> inquiries</w:t>
      </w:r>
      <w:r w:rsidR="004E1041" w:rsidRPr="00880275">
        <w:t>,</w:t>
      </w:r>
      <w:r w:rsidR="00703D42" w:rsidRPr="00880275">
        <w:t xml:space="preserve"> </w:t>
      </w:r>
      <w:r w:rsidR="00612A84" w:rsidRPr="00880275">
        <w:t xml:space="preserve">and reviews </w:t>
      </w:r>
      <w:r w:rsidR="00703D42" w:rsidRPr="00880275">
        <w:t>would address this issue.</w:t>
      </w:r>
      <w:r w:rsidR="00A17060" w:rsidRPr="00880275">
        <w:t xml:space="preserve"> Alternatively, the Act should be amended to enable the Commission to make </w:t>
      </w:r>
      <w:r w:rsidR="00A17060" w:rsidRPr="00880275">
        <w:lastRenderedPageBreak/>
        <w:t>preliminary enquiries</w:t>
      </w:r>
      <w:r w:rsidR="00391BD4" w:rsidRPr="00880275">
        <w:t xml:space="preserve"> </w:t>
      </w:r>
      <w:r w:rsidR="00C82528" w:rsidRPr="00880275">
        <w:t xml:space="preserve">or seek information </w:t>
      </w:r>
      <w:r w:rsidR="00391BD4" w:rsidRPr="00880275">
        <w:t xml:space="preserve">for the purpose of </w:t>
      </w:r>
      <w:proofErr w:type="gramStart"/>
      <w:r w:rsidR="00391BD4" w:rsidRPr="00880275">
        <w:t>making a decision</w:t>
      </w:r>
      <w:proofErr w:type="gramEnd"/>
      <w:r w:rsidR="00391BD4" w:rsidRPr="00880275">
        <w:t xml:space="preserve"> on whether to </w:t>
      </w:r>
      <w:r w:rsidR="00E63591" w:rsidRPr="00880275">
        <w:t>commence</w:t>
      </w:r>
      <w:r w:rsidR="00391BD4" w:rsidRPr="00880275">
        <w:t xml:space="preserve"> a review under section 61(c) of the Human Rights Act. </w:t>
      </w:r>
      <w:r w:rsidR="005028AD" w:rsidRPr="00880275">
        <w:t xml:space="preserve"> </w:t>
      </w:r>
    </w:p>
    <w:p w14:paraId="42093B33" w14:textId="2FBF89B2" w:rsidR="00097941" w:rsidRPr="00880275" w:rsidRDefault="00F158DD" w:rsidP="00754FAE">
      <w:pPr>
        <w:pStyle w:val="Numberedparagraph"/>
      </w:pPr>
      <w:r w:rsidRPr="00880275">
        <w:t xml:space="preserve">Further, </w:t>
      </w:r>
      <w:r w:rsidR="006243DF" w:rsidRPr="00880275">
        <w:t>s</w:t>
      </w:r>
      <w:r w:rsidR="00CC2F4D" w:rsidRPr="00880275">
        <w:t>hould</w:t>
      </w:r>
      <w:r w:rsidRPr="00880275">
        <w:t xml:space="preserve"> the Commission wish to monitor or evaluate the extent to which its recommendations </w:t>
      </w:r>
      <w:r w:rsidR="00CC2F4D" w:rsidRPr="00880275">
        <w:t>made under</w:t>
      </w:r>
      <w:r w:rsidRPr="00880275">
        <w:t xml:space="preserve"> a section 61(c) human rights review have been implemented, there is no </w:t>
      </w:r>
      <w:r w:rsidR="283DB40B" w:rsidRPr="00880275">
        <w:t>explicit</w:t>
      </w:r>
      <w:r w:rsidRPr="00880275">
        <w:t xml:space="preserve"> power to seek this information</w:t>
      </w:r>
      <w:r w:rsidR="00CC2F4D" w:rsidRPr="00880275">
        <w:t>.</w:t>
      </w:r>
      <w:r w:rsidRPr="00880275">
        <w:rPr>
          <w:rStyle w:val="FootnoteReference"/>
          <w:color w:val="auto"/>
        </w:rPr>
        <w:footnoteReference w:id="30"/>
      </w:r>
      <w:r w:rsidRPr="00880275">
        <w:t xml:space="preserve"> </w:t>
      </w:r>
      <w:r w:rsidR="61CBD7C6" w:rsidRPr="00880275">
        <w:t>Arguably</w:t>
      </w:r>
      <w:r w:rsidR="45A33776" w:rsidRPr="00880275">
        <w:t>, t</w:t>
      </w:r>
      <w:r w:rsidR="26C77192" w:rsidRPr="00880275">
        <w:t xml:space="preserve">he </w:t>
      </w:r>
      <w:r w:rsidRPr="00880275">
        <w:t xml:space="preserve">Commission </w:t>
      </w:r>
      <w:r w:rsidR="61165952" w:rsidRPr="00880275">
        <w:t>would have</w:t>
      </w:r>
      <w:r w:rsidRPr="00880275">
        <w:t xml:space="preserve"> to commence a new review under section 61(c) to obtain information it needs to identify the extent of the implementation of </w:t>
      </w:r>
      <w:r w:rsidR="46B030D9" w:rsidRPr="00880275">
        <w:t>any</w:t>
      </w:r>
      <w:r w:rsidRPr="00880275">
        <w:t xml:space="preserve"> initial review</w:t>
      </w:r>
      <w:r w:rsidR="00CC2F4D" w:rsidRPr="00880275">
        <w:t xml:space="preserve"> recommendations</w:t>
      </w:r>
      <w:r w:rsidRPr="00880275">
        <w:t>.</w:t>
      </w:r>
      <w:r w:rsidR="00B61173" w:rsidRPr="00880275">
        <w:t xml:space="preserve"> At a minimum, the </w:t>
      </w:r>
      <w:r w:rsidR="009710C9" w:rsidRPr="00880275">
        <w:t>Commission</w:t>
      </w:r>
      <w:r w:rsidR="00005793" w:rsidRPr="00880275">
        <w:t>’</w:t>
      </w:r>
      <w:r w:rsidR="009710C9" w:rsidRPr="00880275">
        <w:t xml:space="preserve">s function </w:t>
      </w:r>
      <w:r w:rsidR="00005793" w:rsidRPr="00880275">
        <w:t xml:space="preserve">under section 61(c) should be to both review </w:t>
      </w:r>
      <w:r w:rsidR="00005793" w:rsidRPr="00880275">
        <w:rPr>
          <w:i/>
        </w:rPr>
        <w:t>and monitor</w:t>
      </w:r>
      <w:r w:rsidR="00005793" w:rsidRPr="00880275">
        <w:t xml:space="preserve"> public entity policy, programs, procedures, practices and services. </w:t>
      </w:r>
      <w:r w:rsidR="00CE206B" w:rsidRPr="00880275">
        <w:t xml:space="preserve">The Commission </w:t>
      </w:r>
      <w:r w:rsidR="00632A44" w:rsidRPr="00880275">
        <w:t xml:space="preserve">should be </w:t>
      </w:r>
      <w:r w:rsidR="00CE206B" w:rsidRPr="00880275">
        <w:t>able to obtain the information it requires to monitor and evaluate implementation of its recommendations made in a human rights review.</w:t>
      </w:r>
      <w:r w:rsidR="005028AD" w:rsidRPr="00880275">
        <w:t xml:space="preserve"> </w:t>
      </w:r>
    </w:p>
    <w:p w14:paraId="67733BD8" w14:textId="14D748A3" w:rsidR="00EF2FEC" w:rsidRPr="00880275" w:rsidRDefault="00EF2FEC" w:rsidP="00754FAE">
      <w:pPr>
        <w:pStyle w:val="Heading5"/>
      </w:pPr>
      <w:r w:rsidRPr="00880275">
        <w:t>Recommendation 1.3</w:t>
      </w:r>
    </w:p>
    <w:p w14:paraId="5A3EF4DE" w14:textId="77777777" w:rsidR="00B8286A" w:rsidRPr="00880275" w:rsidRDefault="00B8286A" w:rsidP="00754FAE">
      <w:pPr>
        <w:pStyle w:val="Heading5"/>
      </w:pPr>
      <w:r w:rsidRPr="00880275">
        <w:t xml:space="preserve">The Human Rights Act should be amended to: </w:t>
      </w:r>
    </w:p>
    <w:p w14:paraId="3C44DB97" w14:textId="59153B3F" w:rsidR="00B8286A" w:rsidRPr="00880275" w:rsidRDefault="00B8286A" w:rsidP="00754FAE">
      <w:pPr>
        <w:pStyle w:val="Heading5"/>
        <w:numPr>
          <w:ilvl w:val="0"/>
          <w:numId w:val="14"/>
        </w:numPr>
      </w:pPr>
      <w:r w:rsidRPr="00880275">
        <w:t xml:space="preserve">give the Commission expanded functions to conduct investigations, inquiries and reviews beyond its existing function under section 61(c) of the Human Rights Act </w:t>
      </w:r>
    </w:p>
    <w:p w14:paraId="38A8FBC2" w14:textId="77777777" w:rsidR="00B8286A" w:rsidRPr="00880275" w:rsidRDefault="00B8286A" w:rsidP="00754FAE">
      <w:pPr>
        <w:pStyle w:val="Heading5"/>
        <w:numPr>
          <w:ilvl w:val="0"/>
          <w:numId w:val="14"/>
        </w:numPr>
        <w:rPr>
          <w:lang w:val="en-GB"/>
        </w:rPr>
      </w:pPr>
      <w:r w:rsidRPr="00880275">
        <w:t xml:space="preserve">at a minimum enable the Commission to both review </w:t>
      </w:r>
      <w:r w:rsidRPr="00880275">
        <w:rPr>
          <w:i/>
          <w:iCs/>
        </w:rPr>
        <w:t>and monitor</w:t>
      </w:r>
      <w:r w:rsidRPr="00880275">
        <w:t xml:space="preserve"> public entity policies, programs, procedures practice and services</w:t>
      </w:r>
    </w:p>
    <w:p w14:paraId="7CB20245" w14:textId="049D5884" w:rsidR="00B8286A" w:rsidRPr="00880275" w:rsidRDefault="00B8286A" w:rsidP="00754FAE">
      <w:pPr>
        <w:pStyle w:val="Heading5"/>
        <w:numPr>
          <w:ilvl w:val="0"/>
          <w:numId w:val="14"/>
        </w:numPr>
      </w:pPr>
      <w:r w:rsidRPr="00880275">
        <w:t xml:space="preserve">empower the Commission to seek information for the purpose of deciding whether to </w:t>
      </w:r>
      <w:r w:rsidR="00D40775" w:rsidRPr="00880275">
        <w:t>commence</w:t>
      </w:r>
      <w:r w:rsidRPr="00880275">
        <w:t xml:space="preserve"> a review under section 61(c) of the Act, and to enable the Commission to monitor and evaluate the implementation of recommendations made in a review under section 61(c) of the Act. </w:t>
      </w:r>
    </w:p>
    <w:p w14:paraId="6B9781DB" w14:textId="2152B337" w:rsidR="00F31127" w:rsidRPr="00880275" w:rsidRDefault="00A75D93" w:rsidP="00B8286A">
      <w:pPr>
        <w:pStyle w:val="Heading3"/>
      </w:pPr>
      <w:bookmarkStart w:id="21" w:name="_Toc171346758"/>
      <w:r w:rsidRPr="00880275">
        <w:t>Reporting</w:t>
      </w:r>
      <w:bookmarkEnd w:id="21"/>
      <w:r w:rsidRPr="00880275">
        <w:t xml:space="preserve"> </w:t>
      </w:r>
    </w:p>
    <w:p w14:paraId="26235CEE" w14:textId="260F32EE" w:rsidR="006F71B1" w:rsidRPr="00880275" w:rsidRDefault="001321D4" w:rsidP="00754FAE">
      <w:pPr>
        <w:pStyle w:val="Numberedparagraph"/>
      </w:pPr>
      <w:r w:rsidRPr="00880275">
        <w:t xml:space="preserve">The Commission has </w:t>
      </w:r>
      <w:r w:rsidR="00012247" w:rsidRPr="00880275">
        <w:t xml:space="preserve">functions </w:t>
      </w:r>
      <w:r w:rsidRPr="00880275">
        <w:t xml:space="preserve">to prepare </w:t>
      </w:r>
      <w:r w:rsidR="00391F4C" w:rsidRPr="00880275">
        <w:t xml:space="preserve">annual </w:t>
      </w:r>
      <w:r w:rsidRPr="00880275">
        <w:t>reports</w:t>
      </w:r>
      <w:r w:rsidR="00D45394" w:rsidRPr="00880275">
        <w:t xml:space="preserve"> about the operation of the Human Rights Act </w:t>
      </w:r>
      <w:r w:rsidR="00391F4C" w:rsidRPr="00880275">
        <w:t>during the year,</w:t>
      </w:r>
      <w:r w:rsidR="00A6062D" w:rsidRPr="00880275">
        <w:t xml:space="preserve"> </w:t>
      </w:r>
      <w:r w:rsidR="003E0538" w:rsidRPr="00880275">
        <w:t xml:space="preserve">reports on </w:t>
      </w:r>
      <w:r w:rsidR="00A6062D" w:rsidRPr="00880275">
        <w:t xml:space="preserve">unresolved </w:t>
      </w:r>
      <w:r w:rsidR="00012247" w:rsidRPr="00880275">
        <w:t>complaints</w:t>
      </w:r>
      <w:r w:rsidR="003864A0" w:rsidRPr="00880275">
        <w:t>,</w:t>
      </w:r>
      <w:r w:rsidR="00012247" w:rsidRPr="00880275">
        <w:t xml:space="preserve"> and other reports. </w:t>
      </w:r>
    </w:p>
    <w:p w14:paraId="7AC49479" w14:textId="6FE95F6C" w:rsidR="00F80A58" w:rsidRPr="00880275" w:rsidRDefault="00F80A58" w:rsidP="00F80A58">
      <w:pPr>
        <w:pStyle w:val="Heading4"/>
      </w:pPr>
      <w:r w:rsidRPr="00880275">
        <w:t>Human Rights Act annual reports</w:t>
      </w:r>
    </w:p>
    <w:p w14:paraId="3C72C7A3" w14:textId="143BCE81" w:rsidR="00793437" w:rsidRPr="00880275" w:rsidRDefault="00C50389" w:rsidP="00754FAE">
      <w:pPr>
        <w:pStyle w:val="Numberedparagraph"/>
        <w:rPr>
          <w:rStyle w:val="CommentReference"/>
          <w:sz w:val="22"/>
          <w:szCs w:val="22"/>
        </w:rPr>
      </w:pPr>
      <w:r w:rsidRPr="00880275">
        <w:t>The Commission’s</w:t>
      </w:r>
      <w:r w:rsidR="00211326" w:rsidRPr="00880275">
        <w:t xml:space="preserve"> annual</w:t>
      </w:r>
      <w:r w:rsidRPr="00880275">
        <w:t xml:space="preserve"> </w:t>
      </w:r>
      <w:r w:rsidR="00450D11" w:rsidRPr="00880275">
        <w:t xml:space="preserve">reports </w:t>
      </w:r>
      <w:r w:rsidR="240DA109" w:rsidRPr="00880275">
        <w:t>aim</w:t>
      </w:r>
      <w:r w:rsidR="00461B06" w:rsidRPr="00880275">
        <w:t xml:space="preserve"> to create</w:t>
      </w:r>
      <w:r w:rsidR="00450D11" w:rsidRPr="00880275">
        <w:t xml:space="preserve"> a</w:t>
      </w:r>
      <w:r w:rsidR="00211326" w:rsidRPr="00880275">
        <w:t xml:space="preserve"> valuable </w:t>
      </w:r>
      <w:r w:rsidR="00FF1696" w:rsidRPr="00880275">
        <w:t>resource</w:t>
      </w:r>
      <w:r w:rsidR="00211326" w:rsidRPr="00880275">
        <w:t xml:space="preserve"> for </w:t>
      </w:r>
      <w:r w:rsidR="007F1EF2" w:rsidRPr="00880275">
        <w:t>government, parliament</w:t>
      </w:r>
      <w:r w:rsidR="00461B06" w:rsidRPr="00880275">
        <w:t>,</w:t>
      </w:r>
      <w:r w:rsidR="007F1EF2" w:rsidRPr="00880275">
        <w:t xml:space="preserve"> and the community on the operationalisation of the Act and the degree to which it is achieving its objectives.</w:t>
      </w:r>
      <w:r w:rsidR="00865329" w:rsidRPr="00880275">
        <w:rPr>
          <w:rStyle w:val="FootnoteReference"/>
        </w:rPr>
        <w:footnoteReference w:id="31"/>
      </w:r>
      <w:r w:rsidR="007F1EF2" w:rsidRPr="00880275">
        <w:t xml:space="preserve"> </w:t>
      </w:r>
      <w:r w:rsidR="00B85AA5" w:rsidRPr="00880275">
        <w:t>The annual</w:t>
      </w:r>
      <w:r w:rsidR="007F1EF2" w:rsidRPr="00880275">
        <w:t xml:space="preserve"> reports </w:t>
      </w:r>
      <w:r w:rsidR="240DA109" w:rsidRPr="00880275">
        <w:t>also</w:t>
      </w:r>
      <w:r w:rsidR="00461B06" w:rsidRPr="00880275">
        <w:t xml:space="preserve"> have</w:t>
      </w:r>
      <w:r w:rsidR="007F1EF2" w:rsidRPr="00880275">
        <w:t xml:space="preserve"> a secondary function</w:t>
      </w:r>
      <w:r w:rsidR="3D80400E" w:rsidRPr="00880275">
        <w:t xml:space="preserve"> </w:t>
      </w:r>
      <w:r w:rsidR="240DA109" w:rsidRPr="00880275">
        <w:t>to</w:t>
      </w:r>
      <w:r w:rsidR="235EFF0A" w:rsidRPr="00880275">
        <w:t xml:space="preserve"> maintain</w:t>
      </w:r>
      <w:r w:rsidR="007F1EF2" w:rsidRPr="00880275">
        <w:t xml:space="preserve"> a degree of oversight </w:t>
      </w:r>
      <w:r w:rsidR="005D0B09" w:rsidRPr="00880275">
        <w:t xml:space="preserve">on </w:t>
      </w:r>
      <w:r w:rsidR="00801886" w:rsidRPr="00880275">
        <w:t xml:space="preserve">how </w:t>
      </w:r>
      <w:r w:rsidR="005D0B09" w:rsidRPr="00880275">
        <w:t xml:space="preserve">the </w:t>
      </w:r>
      <w:r w:rsidR="005D0B09" w:rsidRPr="00880275">
        <w:lastRenderedPageBreak/>
        <w:t xml:space="preserve">Act </w:t>
      </w:r>
      <w:r w:rsidR="00801886" w:rsidRPr="00880275">
        <w:t xml:space="preserve">is </w:t>
      </w:r>
      <w:r w:rsidR="00B820FA" w:rsidRPr="00880275">
        <w:t>operating in practice, while</w:t>
      </w:r>
      <w:r w:rsidR="00801886" w:rsidRPr="00880275">
        <w:t xml:space="preserve"> encouraging public entities to maintain their focus on development of a human rights culture</w:t>
      </w:r>
      <w:r w:rsidR="00B820FA" w:rsidRPr="00880275">
        <w:t xml:space="preserve"> in the first years of the Act</w:t>
      </w:r>
      <w:r w:rsidR="00801886" w:rsidRPr="00880275">
        <w:t>.</w:t>
      </w:r>
      <w:r w:rsidR="00801886" w:rsidRPr="00880275">
        <w:rPr>
          <w:rStyle w:val="CommentReference"/>
          <w:rFonts w:cstheme="minorBidi"/>
        </w:rPr>
        <w:t xml:space="preserve"> </w:t>
      </w:r>
    </w:p>
    <w:p w14:paraId="59577F5E" w14:textId="1BF1B106" w:rsidR="005F0453" w:rsidRPr="00880275" w:rsidRDefault="005F0453" w:rsidP="00754FAE">
      <w:pPr>
        <w:pStyle w:val="Numberedparagraph"/>
        <w:rPr>
          <w:rStyle w:val="CommentReference"/>
          <w:sz w:val="22"/>
          <w:szCs w:val="24"/>
        </w:rPr>
      </w:pPr>
      <w:r w:rsidRPr="00880275">
        <w:rPr>
          <w:rStyle w:val="CommentReference"/>
          <w:sz w:val="22"/>
          <w:szCs w:val="22"/>
        </w:rPr>
        <w:t>While the Commission supports the continued reporting requirements in section</w:t>
      </w:r>
      <w:r w:rsidR="00C00967" w:rsidRPr="00880275">
        <w:rPr>
          <w:rStyle w:val="CommentReference"/>
          <w:sz w:val="22"/>
          <w:szCs w:val="22"/>
        </w:rPr>
        <w:t> </w:t>
      </w:r>
      <w:r w:rsidRPr="00880275">
        <w:rPr>
          <w:rStyle w:val="CommentReference"/>
          <w:sz w:val="22"/>
          <w:szCs w:val="22"/>
        </w:rPr>
        <w:t xml:space="preserve">91 of the Act generally, </w:t>
      </w:r>
      <w:r w:rsidR="00E815C8" w:rsidRPr="00880275">
        <w:rPr>
          <w:rStyle w:val="CommentReference"/>
          <w:sz w:val="22"/>
          <w:szCs w:val="22"/>
        </w:rPr>
        <w:t>a</w:t>
      </w:r>
      <w:r w:rsidR="00B820FA" w:rsidRPr="00880275">
        <w:rPr>
          <w:rStyle w:val="CommentReference"/>
          <w:sz w:val="22"/>
          <w:szCs w:val="22"/>
        </w:rPr>
        <w:t xml:space="preserve"> practical </w:t>
      </w:r>
      <w:r w:rsidR="00E815C8" w:rsidRPr="00880275">
        <w:rPr>
          <w:rStyle w:val="CommentReference"/>
          <w:sz w:val="22"/>
          <w:szCs w:val="22"/>
        </w:rPr>
        <w:t xml:space="preserve">concern </w:t>
      </w:r>
      <w:r w:rsidR="00733B98" w:rsidRPr="00880275">
        <w:rPr>
          <w:rStyle w:val="CommentReference"/>
          <w:sz w:val="22"/>
          <w:szCs w:val="22"/>
        </w:rPr>
        <w:t xml:space="preserve">regarding </w:t>
      </w:r>
      <w:r w:rsidR="00E815C8" w:rsidRPr="00880275">
        <w:rPr>
          <w:rStyle w:val="CommentReference"/>
          <w:sz w:val="22"/>
          <w:szCs w:val="22"/>
        </w:rPr>
        <w:t>section 91(2)(e)</w:t>
      </w:r>
      <w:r w:rsidR="00BD4903" w:rsidRPr="00880275">
        <w:rPr>
          <w:rStyle w:val="CommentReference"/>
          <w:sz w:val="22"/>
          <w:szCs w:val="22"/>
        </w:rPr>
        <w:t xml:space="preserve"> </w:t>
      </w:r>
      <w:r w:rsidR="00733B98" w:rsidRPr="00880275">
        <w:rPr>
          <w:rStyle w:val="CommentReference"/>
          <w:sz w:val="22"/>
          <w:szCs w:val="22"/>
        </w:rPr>
        <w:t xml:space="preserve">has arisen </w:t>
      </w:r>
      <w:r w:rsidR="00BD4903" w:rsidRPr="00880275">
        <w:rPr>
          <w:rStyle w:val="CommentReference"/>
          <w:sz w:val="22"/>
          <w:szCs w:val="22"/>
        </w:rPr>
        <w:t xml:space="preserve">that </w:t>
      </w:r>
      <w:r w:rsidR="00B820FA" w:rsidRPr="00880275">
        <w:rPr>
          <w:rStyle w:val="CommentReference"/>
          <w:sz w:val="22"/>
          <w:szCs w:val="22"/>
        </w:rPr>
        <w:t xml:space="preserve">should be </w:t>
      </w:r>
      <w:r w:rsidR="00F2353B" w:rsidRPr="00880275">
        <w:rPr>
          <w:rStyle w:val="CommentReference"/>
          <w:sz w:val="22"/>
          <w:szCs w:val="22"/>
        </w:rPr>
        <w:t>fixed</w:t>
      </w:r>
      <w:r w:rsidRPr="00880275">
        <w:rPr>
          <w:rStyle w:val="CommentReference"/>
          <w:sz w:val="22"/>
          <w:szCs w:val="22"/>
        </w:rPr>
        <w:t xml:space="preserve">, and some </w:t>
      </w:r>
      <w:r w:rsidR="00C46156" w:rsidRPr="00880275">
        <w:rPr>
          <w:rStyle w:val="CommentReference"/>
          <w:sz w:val="22"/>
          <w:szCs w:val="22"/>
        </w:rPr>
        <w:t xml:space="preserve">mandatory </w:t>
      </w:r>
      <w:r w:rsidR="00E815C8" w:rsidRPr="00880275">
        <w:rPr>
          <w:rStyle w:val="CommentReference"/>
          <w:sz w:val="22"/>
          <w:szCs w:val="22"/>
        </w:rPr>
        <w:t>elements</w:t>
      </w:r>
      <w:r w:rsidR="006276AB" w:rsidRPr="00880275">
        <w:rPr>
          <w:rStyle w:val="CommentReference"/>
          <w:sz w:val="22"/>
          <w:szCs w:val="22"/>
        </w:rPr>
        <w:t xml:space="preserve"> </w:t>
      </w:r>
      <w:r w:rsidR="00733B98" w:rsidRPr="00880275">
        <w:rPr>
          <w:rStyle w:val="CommentReference"/>
          <w:sz w:val="22"/>
          <w:szCs w:val="22"/>
        </w:rPr>
        <w:t xml:space="preserve">that </w:t>
      </w:r>
      <w:r w:rsidR="006276AB" w:rsidRPr="00880275">
        <w:rPr>
          <w:rStyle w:val="CommentReference"/>
          <w:sz w:val="22"/>
          <w:szCs w:val="22"/>
        </w:rPr>
        <w:t>are too onerous and do not provide meaningful data</w:t>
      </w:r>
      <w:r w:rsidR="00733B98" w:rsidRPr="00880275">
        <w:rPr>
          <w:rStyle w:val="CommentReference"/>
          <w:sz w:val="22"/>
          <w:szCs w:val="22"/>
        </w:rPr>
        <w:t xml:space="preserve"> should be removed</w:t>
      </w:r>
      <w:r w:rsidR="006276AB" w:rsidRPr="00880275">
        <w:rPr>
          <w:rStyle w:val="CommentReference"/>
          <w:sz w:val="22"/>
          <w:szCs w:val="22"/>
        </w:rPr>
        <w:t>.</w:t>
      </w:r>
      <w:r w:rsidR="00F2353B" w:rsidRPr="00880275">
        <w:rPr>
          <w:rStyle w:val="CommentReference"/>
          <w:sz w:val="22"/>
          <w:szCs w:val="22"/>
        </w:rPr>
        <w:t xml:space="preserve"> </w:t>
      </w:r>
    </w:p>
    <w:p w14:paraId="27E76458" w14:textId="5898BDBB" w:rsidR="008F65DC" w:rsidRPr="00880275" w:rsidRDefault="00F64860" w:rsidP="00754FAE">
      <w:pPr>
        <w:pStyle w:val="Numberedparagraph"/>
        <w:rPr>
          <w:rStyle w:val="CommentReference"/>
          <w:sz w:val="22"/>
          <w:szCs w:val="24"/>
        </w:rPr>
      </w:pPr>
      <w:r w:rsidRPr="00880275">
        <w:rPr>
          <w:rStyle w:val="CommentReference"/>
          <w:sz w:val="22"/>
          <w:szCs w:val="22"/>
        </w:rPr>
        <w:t xml:space="preserve">These issues arise because the Commission administers both the Human Rights Act and the </w:t>
      </w:r>
      <w:r w:rsidRPr="00880275">
        <w:rPr>
          <w:rStyle w:val="CommentReference"/>
          <w:i/>
          <w:sz w:val="22"/>
          <w:szCs w:val="22"/>
        </w:rPr>
        <w:t>Anti-Discrimination Act</w:t>
      </w:r>
      <w:r w:rsidR="00953375" w:rsidRPr="00880275">
        <w:rPr>
          <w:rStyle w:val="CommentReference"/>
          <w:i/>
          <w:iCs/>
          <w:sz w:val="22"/>
          <w:szCs w:val="22"/>
        </w:rPr>
        <w:t xml:space="preserve"> 1991</w:t>
      </w:r>
      <w:r w:rsidR="003C4EE2" w:rsidRPr="00880275">
        <w:rPr>
          <w:rStyle w:val="CommentReference"/>
          <w:sz w:val="22"/>
          <w:szCs w:val="22"/>
        </w:rPr>
        <w:t xml:space="preserve"> (Qld)</w:t>
      </w:r>
      <w:r w:rsidR="002B5E29" w:rsidRPr="00880275">
        <w:rPr>
          <w:rStyle w:val="CommentReference"/>
          <w:sz w:val="22"/>
          <w:szCs w:val="22"/>
        </w:rPr>
        <w:t xml:space="preserve"> (</w:t>
      </w:r>
      <w:r w:rsidR="002B5E29" w:rsidRPr="00880275">
        <w:rPr>
          <w:rStyle w:val="CommentReference"/>
          <w:b/>
          <w:bCs/>
          <w:sz w:val="22"/>
          <w:szCs w:val="22"/>
        </w:rPr>
        <w:t>Anti-Discrimination Act</w:t>
      </w:r>
      <w:r w:rsidR="002B5E29" w:rsidRPr="00880275">
        <w:rPr>
          <w:rStyle w:val="CommentReference"/>
          <w:sz w:val="22"/>
          <w:szCs w:val="22"/>
        </w:rPr>
        <w:t>)</w:t>
      </w:r>
      <w:r w:rsidR="00E21398" w:rsidRPr="00880275">
        <w:rPr>
          <w:rStyle w:val="CommentReference"/>
          <w:sz w:val="22"/>
          <w:szCs w:val="22"/>
        </w:rPr>
        <w:t>.</w:t>
      </w:r>
      <w:r w:rsidRPr="00880275">
        <w:rPr>
          <w:rStyle w:val="CommentReference"/>
          <w:sz w:val="22"/>
          <w:szCs w:val="22"/>
        </w:rPr>
        <w:t xml:space="preserve"> </w:t>
      </w:r>
      <w:r w:rsidR="00E21398" w:rsidRPr="00880275">
        <w:rPr>
          <w:rStyle w:val="CommentReference"/>
          <w:sz w:val="22"/>
          <w:szCs w:val="22"/>
        </w:rPr>
        <w:t>T</w:t>
      </w:r>
      <w:r w:rsidRPr="00880275">
        <w:rPr>
          <w:rStyle w:val="CommentReference"/>
          <w:sz w:val="22"/>
          <w:szCs w:val="22"/>
        </w:rPr>
        <w:t xml:space="preserve">o ensure </w:t>
      </w:r>
      <w:r w:rsidR="008F65DC" w:rsidRPr="00880275">
        <w:rPr>
          <w:rStyle w:val="CommentReference"/>
          <w:sz w:val="22"/>
          <w:szCs w:val="22"/>
        </w:rPr>
        <w:t>the complaints process is as accessible as possible</w:t>
      </w:r>
      <w:r w:rsidR="00706DF6" w:rsidRPr="00880275">
        <w:rPr>
          <w:rStyle w:val="CommentReference"/>
          <w:sz w:val="22"/>
          <w:szCs w:val="22"/>
        </w:rPr>
        <w:t xml:space="preserve"> for complainants</w:t>
      </w:r>
      <w:r w:rsidR="008F65DC" w:rsidRPr="00880275">
        <w:rPr>
          <w:rStyle w:val="CommentReference"/>
          <w:sz w:val="22"/>
          <w:szCs w:val="22"/>
        </w:rPr>
        <w:t>, the Commission has only one complaint form for complaints</w:t>
      </w:r>
      <w:r w:rsidR="003C4EE2" w:rsidRPr="00880275">
        <w:rPr>
          <w:rStyle w:val="CommentReference"/>
          <w:sz w:val="22"/>
          <w:szCs w:val="22"/>
        </w:rPr>
        <w:t xml:space="preserve"> under both Acts</w:t>
      </w:r>
      <w:r w:rsidR="008F65DC" w:rsidRPr="00880275">
        <w:rPr>
          <w:rStyle w:val="CommentReference"/>
          <w:sz w:val="22"/>
          <w:szCs w:val="22"/>
        </w:rPr>
        <w:t>.</w:t>
      </w:r>
      <w:r w:rsidR="00EF1F88" w:rsidRPr="00880275">
        <w:rPr>
          <w:rStyle w:val="CommentReference"/>
          <w:sz w:val="22"/>
          <w:szCs w:val="22"/>
        </w:rPr>
        <w:t xml:space="preserve"> The Commission does not categorise a complaint as falling under the </w:t>
      </w:r>
      <w:r w:rsidR="00EF1F88" w:rsidRPr="00880275">
        <w:rPr>
          <w:rStyle w:val="CommentReference"/>
          <w:iCs/>
          <w:sz w:val="22"/>
          <w:szCs w:val="22"/>
        </w:rPr>
        <w:t>Anti-Discrimination Act</w:t>
      </w:r>
      <w:r w:rsidR="00395617" w:rsidRPr="00880275">
        <w:rPr>
          <w:rStyle w:val="CommentReference"/>
          <w:sz w:val="22"/>
          <w:szCs w:val="22"/>
        </w:rPr>
        <w:t xml:space="preserve"> </w:t>
      </w:r>
      <w:r w:rsidR="00EF1F88" w:rsidRPr="00880275">
        <w:rPr>
          <w:rStyle w:val="CommentReference"/>
          <w:sz w:val="22"/>
          <w:szCs w:val="22"/>
        </w:rPr>
        <w:t xml:space="preserve">or </w:t>
      </w:r>
      <w:r w:rsidR="00E21398" w:rsidRPr="00880275">
        <w:rPr>
          <w:rStyle w:val="CommentReference"/>
          <w:sz w:val="22"/>
          <w:szCs w:val="22"/>
        </w:rPr>
        <w:t xml:space="preserve">the </w:t>
      </w:r>
      <w:r w:rsidR="00EF1F88" w:rsidRPr="00880275">
        <w:rPr>
          <w:rStyle w:val="CommentReference"/>
          <w:sz w:val="22"/>
          <w:szCs w:val="22"/>
        </w:rPr>
        <w:t xml:space="preserve">Human Rights Act until the matter has been allocated </w:t>
      </w:r>
      <w:r w:rsidR="003C4EE2" w:rsidRPr="00880275">
        <w:rPr>
          <w:rStyle w:val="CommentReference"/>
          <w:sz w:val="22"/>
          <w:szCs w:val="22"/>
        </w:rPr>
        <w:t xml:space="preserve">to </w:t>
      </w:r>
      <w:r w:rsidR="00EF1F88" w:rsidRPr="00880275">
        <w:rPr>
          <w:rStyle w:val="CommentReference"/>
          <w:sz w:val="22"/>
          <w:szCs w:val="22"/>
        </w:rPr>
        <w:t xml:space="preserve">a complaint handler </w:t>
      </w:r>
      <w:r w:rsidR="003C4EE2" w:rsidRPr="00880275">
        <w:rPr>
          <w:rStyle w:val="CommentReference"/>
          <w:sz w:val="22"/>
          <w:szCs w:val="22"/>
        </w:rPr>
        <w:t xml:space="preserve">for </w:t>
      </w:r>
      <w:r w:rsidR="00EF1F88" w:rsidRPr="00880275">
        <w:rPr>
          <w:rStyle w:val="CommentReference"/>
          <w:sz w:val="22"/>
          <w:szCs w:val="22"/>
        </w:rPr>
        <w:t>assess</w:t>
      </w:r>
      <w:r w:rsidR="003C4EE2" w:rsidRPr="00880275">
        <w:rPr>
          <w:rStyle w:val="CommentReference"/>
          <w:sz w:val="22"/>
          <w:szCs w:val="22"/>
        </w:rPr>
        <w:t>ment</w:t>
      </w:r>
      <w:r w:rsidR="00E21398" w:rsidRPr="00880275">
        <w:rPr>
          <w:rStyle w:val="CommentReference"/>
          <w:sz w:val="22"/>
          <w:szCs w:val="22"/>
        </w:rPr>
        <w:t>, which means</w:t>
      </w:r>
      <w:r w:rsidR="00EF1F88" w:rsidRPr="00880275">
        <w:rPr>
          <w:rStyle w:val="CommentReference"/>
          <w:sz w:val="22"/>
          <w:szCs w:val="22"/>
        </w:rPr>
        <w:t xml:space="preserve"> </w:t>
      </w:r>
      <w:r w:rsidR="003A5358" w:rsidRPr="00880275">
        <w:rPr>
          <w:rStyle w:val="CommentReference"/>
          <w:sz w:val="22"/>
          <w:szCs w:val="22"/>
        </w:rPr>
        <w:t>i</w:t>
      </w:r>
      <w:r w:rsidR="000B745A" w:rsidRPr="00880275">
        <w:rPr>
          <w:rStyle w:val="CommentReference"/>
          <w:sz w:val="22"/>
          <w:szCs w:val="22"/>
        </w:rPr>
        <w:t>t can take</w:t>
      </w:r>
      <w:r w:rsidR="00533250" w:rsidRPr="00880275">
        <w:rPr>
          <w:rStyle w:val="CommentReference"/>
          <w:sz w:val="22"/>
          <w:szCs w:val="22"/>
        </w:rPr>
        <w:t xml:space="preserve"> </w:t>
      </w:r>
      <w:r w:rsidR="00EF1F88" w:rsidRPr="00880275">
        <w:rPr>
          <w:rStyle w:val="CommentReference"/>
          <w:sz w:val="22"/>
          <w:szCs w:val="22"/>
        </w:rPr>
        <w:t xml:space="preserve">several months before the Commission is able to determine the number of human rights complaints received </w:t>
      </w:r>
      <w:proofErr w:type="gramStart"/>
      <w:r w:rsidR="00EF1F88" w:rsidRPr="00880275">
        <w:rPr>
          <w:rStyle w:val="CommentReference"/>
          <w:sz w:val="22"/>
          <w:szCs w:val="22"/>
        </w:rPr>
        <w:t>in a given</w:t>
      </w:r>
      <w:proofErr w:type="gramEnd"/>
      <w:r w:rsidR="00EF1F88" w:rsidRPr="00880275">
        <w:rPr>
          <w:rStyle w:val="CommentReference"/>
          <w:sz w:val="22"/>
          <w:szCs w:val="22"/>
        </w:rPr>
        <w:t xml:space="preserve"> period.  </w:t>
      </w:r>
    </w:p>
    <w:p w14:paraId="014D3AF3" w14:textId="3B56CF39" w:rsidR="00ED5356" w:rsidRPr="00880275" w:rsidRDefault="00FD27FD" w:rsidP="00754FAE">
      <w:pPr>
        <w:pStyle w:val="Numberedparagraph"/>
        <w:rPr>
          <w:rStyle w:val="CommentReference"/>
          <w:sz w:val="22"/>
          <w:szCs w:val="22"/>
        </w:rPr>
      </w:pPr>
      <w:r w:rsidRPr="00880275">
        <w:rPr>
          <w:rStyle w:val="CommentReference"/>
          <w:sz w:val="22"/>
          <w:szCs w:val="22"/>
        </w:rPr>
        <w:t>In both the Commission’s annual report, and its report on the operation of the Human Rights Act</w:t>
      </w:r>
      <w:r w:rsidR="00ED5356" w:rsidRPr="00880275">
        <w:rPr>
          <w:rStyle w:val="CommentReference"/>
          <w:sz w:val="22"/>
          <w:szCs w:val="22"/>
        </w:rPr>
        <w:t xml:space="preserve">, the Commission </w:t>
      </w:r>
      <w:r w:rsidRPr="00880275">
        <w:rPr>
          <w:rStyle w:val="CommentReference"/>
          <w:sz w:val="22"/>
          <w:szCs w:val="22"/>
        </w:rPr>
        <w:t>currently</w:t>
      </w:r>
      <w:r w:rsidR="00ED5356" w:rsidRPr="00880275">
        <w:rPr>
          <w:rStyle w:val="CommentReference"/>
          <w:sz w:val="22"/>
          <w:szCs w:val="22"/>
        </w:rPr>
        <w:t xml:space="preserve"> reports on complaints that have been </w:t>
      </w:r>
      <w:r w:rsidR="00ED5356" w:rsidRPr="00880275">
        <w:rPr>
          <w:rStyle w:val="CommentReference"/>
          <w:i/>
          <w:sz w:val="22"/>
          <w:szCs w:val="22"/>
        </w:rPr>
        <w:t>finalised</w:t>
      </w:r>
      <w:r w:rsidR="00ED5356" w:rsidRPr="00880275">
        <w:rPr>
          <w:rStyle w:val="CommentReference"/>
          <w:sz w:val="22"/>
          <w:szCs w:val="22"/>
        </w:rPr>
        <w:t xml:space="preserve"> within the financial year. </w:t>
      </w:r>
      <w:r w:rsidRPr="00880275">
        <w:rPr>
          <w:rStyle w:val="CommentReference"/>
          <w:sz w:val="22"/>
          <w:szCs w:val="22"/>
        </w:rPr>
        <w:t xml:space="preserve">As well as </w:t>
      </w:r>
      <w:r w:rsidR="00983F21" w:rsidRPr="00880275">
        <w:rPr>
          <w:rStyle w:val="CommentReference"/>
          <w:sz w:val="22"/>
          <w:szCs w:val="22"/>
        </w:rPr>
        <w:t>overcoming practical concerns</w:t>
      </w:r>
      <w:r w:rsidR="007B3A25" w:rsidRPr="00880275">
        <w:rPr>
          <w:rStyle w:val="CommentReference"/>
          <w:sz w:val="22"/>
          <w:szCs w:val="22"/>
        </w:rPr>
        <w:t xml:space="preserve"> caused by a delay between receipt and assessment of a complaint</w:t>
      </w:r>
      <w:r w:rsidR="00983F21" w:rsidRPr="00880275">
        <w:rPr>
          <w:rStyle w:val="CommentReference"/>
          <w:sz w:val="22"/>
          <w:szCs w:val="22"/>
        </w:rPr>
        <w:t>, t</w:t>
      </w:r>
      <w:r w:rsidR="00ED5356" w:rsidRPr="00880275">
        <w:rPr>
          <w:rStyle w:val="CommentReference"/>
          <w:sz w:val="22"/>
          <w:szCs w:val="22"/>
        </w:rPr>
        <w:t>his is a more meaningful reporting metric, because the Commission is not reporting on matters that are in progress</w:t>
      </w:r>
      <w:r w:rsidR="007B3A25" w:rsidRPr="00880275">
        <w:rPr>
          <w:rStyle w:val="CommentReference"/>
          <w:sz w:val="22"/>
          <w:szCs w:val="22"/>
        </w:rPr>
        <w:t>.</w:t>
      </w:r>
      <w:r w:rsidR="00ED5356" w:rsidRPr="00880275">
        <w:rPr>
          <w:rStyle w:val="CommentReference"/>
          <w:sz w:val="22"/>
          <w:szCs w:val="22"/>
        </w:rPr>
        <w:t xml:space="preserve"> </w:t>
      </w:r>
      <w:r w:rsidR="007B3A25" w:rsidRPr="00880275">
        <w:rPr>
          <w:rStyle w:val="CommentReference"/>
          <w:sz w:val="22"/>
          <w:szCs w:val="22"/>
        </w:rPr>
        <w:t>When reporting on finalised complaints</w:t>
      </w:r>
      <w:r w:rsidR="001012BF" w:rsidRPr="00880275">
        <w:rPr>
          <w:rStyle w:val="CommentReference"/>
          <w:sz w:val="22"/>
          <w:szCs w:val="22"/>
        </w:rPr>
        <w:t>,</w:t>
      </w:r>
      <w:r w:rsidR="007B3A25" w:rsidRPr="00880275">
        <w:rPr>
          <w:rStyle w:val="CommentReference"/>
          <w:sz w:val="22"/>
          <w:szCs w:val="22"/>
        </w:rPr>
        <w:t xml:space="preserve"> </w:t>
      </w:r>
      <w:r w:rsidR="00FB022E" w:rsidRPr="00880275">
        <w:rPr>
          <w:rStyle w:val="CommentReference"/>
          <w:sz w:val="22"/>
          <w:szCs w:val="22"/>
        </w:rPr>
        <w:t xml:space="preserve">the Commission </w:t>
      </w:r>
      <w:proofErr w:type="gramStart"/>
      <w:r w:rsidR="00FB022E" w:rsidRPr="00880275">
        <w:rPr>
          <w:rStyle w:val="CommentReference"/>
          <w:sz w:val="22"/>
          <w:szCs w:val="22"/>
        </w:rPr>
        <w:t>is</w:t>
      </w:r>
      <w:r w:rsidR="007B3A25" w:rsidRPr="00880275">
        <w:rPr>
          <w:rStyle w:val="CommentReference"/>
          <w:sz w:val="22"/>
          <w:szCs w:val="22"/>
        </w:rPr>
        <w:t xml:space="preserve"> able to</w:t>
      </w:r>
      <w:proofErr w:type="gramEnd"/>
      <w:r w:rsidR="007B3A25" w:rsidRPr="00880275">
        <w:rPr>
          <w:rStyle w:val="CommentReference"/>
          <w:sz w:val="22"/>
          <w:szCs w:val="22"/>
        </w:rPr>
        <w:t xml:space="preserve"> say</w:t>
      </w:r>
      <w:r w:rsidR="00ED5356" w:rsidRPr="00880275">
        <w:rPr>
          <w:rStyle w:val="CommentReference"/>
          <w:sz w:val="22"/>
          <w:szCs w:val="22"/>
        </w:rPr>
        <w:t xml:space="preserve"> how many </w:t>
      </w:r>
      <w:r w:rsidR="00A66E4F" w:rsidRPr="00880275">
        <w:rPr>
          <w:rStyle w:val="CommentReference"/>
          <w:sz w:val="22"/>
          <w:szCs w:val="24"/>
        </w:rPr>
        <w:t>were accepted, how</w:t>
      </w:r>
      <w:r w:rsidR="000E0C53" w:rsidRPr="00880275">
        <w:rPr>
          <w:rStyle w:val="CommentReference"/>
          <w:sz w:val="22"/>
          <w:szCs w:val="22"/>
        </w:rPr>
        <w:t xml:space="preserve"> </w:t>
      </w:r>
      <w:r w:rsidR="000E0C53" w:rsidRPr="00880275">
        <w:rPr>
          <w:rStyle w:val="CommentReference"/>
          <w:sz w:val="22"/>
          <w:szCs w:val="24"/>
        </w:rPr>
        <w:t>many</w:t>
      </w:r>
      <w:r w:rsidR="00ED5356" w:rsidRPr="00880275">
        <w:rPr>
          <w:rStyle w:val="CommentReference"/>
          <w:sz w:val="22"/>
          <w:szCs w:val="22"/>
        </w:rPr>
        <w:t xml:space="preserve"> have been closed, what </w:t>
      </w:r>
      <w:r w:rsidR="000E0C53" w:rsidRPr="00880275">
        <w:rPr>
          <w:rStyle w:val="CommentReference"/>
          <w:sz w:val="22"/>
          <w:szCs w:val="22"/>
        </w:rPr>
        <w:t>complaints</w:t>
      </w:r>
      <w:r w:rsidR="00ED5356" w:rsidRPr="00880275">
        <w:rPr>
          <w:rStyle w:val="CommentReference"/>
          <w:sz w:val="22"/>
          <w:szCs w:val="22"/>
        </w:rPr>
        <w:t xml:space="preserve"> were about, and what outcomes were achieved through the process.</w:t>
      </w:r>
    </w:p>
    <w:p w14:paraId="641AC30C" w14:textId="3AEB0CBD" w:rsidR="00B820FA" w:rsidRPr="00880275" w:rsidRDefault="00983F21" w:rsidP="00754FAE">
      <w:pPr>
        <w:pStyle w:val="Numberedparagraph"/>
        <w:rPr>
          <w:rStyle w:val="CommentReference"/>
          <w:sz w:val="22"/>
          <w:szCs w:val="24"/>
        </w:rPr>
      </w:pPr>
      <w:r w:rsidRPr="00880275">
        <w:rPr>
          <w:rStyle w:val="CommentReference"/>
          <w:sz w:val="22"/>
          <w:szCs w:val="24"/>
        </w:rPr>
        <w:t>Section</w:t>
      </w:r>
      <w:r w:rsidR="008049FF" w:rsidRPr="00880275">
        <w:rPr>
          <w:rStyle w:val="CommentReference"/>
          <w:sz w:val="22"/>
          <w:szCs w:val="24"/>
        </w:rPr>
        <w:t xml:space="preserve"> 91(</w:t>
      </w:r>
      <w:r w:rsidR="00F64860" w:rsidRPr="00880275">
        <w:rPr>
          <w:rStyle w:val="CommentReference"/>
          <w:sz w:val="22"/>
          <w:szCs w:val="24"/>
        </w:rPr>
        <w:t>2)(e)</w:t>
      </w:r>
      <w:r w:rsidR="005448E0" w:rsidRPr="00880275">
        <w:rPr>
          <w:rStyle w:val="CommentReference"/>
          <w:sz w:val="22"/>
          <w:szCs w:val="24"/>
        </w:rPr>
        <w:t xml:space="preserve"> </w:t>
      </w:r>
      <w:r w:rsidR="007554B4" w:rsidRPr="00880275">
        <w:rPr>
          <w:rStyle w:val="CommentReference"/>
          <w:sz w:val="22"/>
          <w:szCs w:val="24"/>
        </w:rPr>
        <w:t>of the Human Rights Act</w:t>
      </w:r>
      <w:r w:rsidR="005448E0" w:rsidRPr="00880275">
        <w:rPr>
          <w:rStyle w:val="CommentReference"/>
          <w:sz w:val="22"/>
          <w:szCs w:val="24"/>
        </w:rPr>
        <w:t xml:space="preserve"> expresses </w:t>
      </w:r>
      <w:r w:rsidR="00457690" w:rsidRPr="00880275">
        <w:rPr>
          <w:rStyle w:val="CommentReference"/>
          <w:sz w:val="22"/>
          <w:szCs w:val="24"/>
        </w:rPr>
        <w:t>the</w:t>
      </w:r>
      <w:r w:rsidR="005448E0" w:rsidRPr="00880275">
        <w:rPr>
          <w:rStyle w:val="CommentReference"/>
          <w:sz w:val="22"/>
          <w:szCs w:val="24"/>
        </w:rPr>
        <w:t xml:space="preserve"> reporting requirement in terms of </w:t>
      </w:r>
      <w:r w:rsidR="00ED5356" w:rsidRPr="00880275">
        <w:rPr>
          <w:rStyle w:val="CommentReference"/>
          <w:sz w:val="22"/>
          <w:szCs w:val="24"/>
        </w:rPr>
        <w:t xml:space="preserve">the number of complaints ‘made or referred’. </w:t>
      </w:r>
      <w:r w:rsidR="00880DE7" w:rsidRPr="00880275">
        <w:rPr>
          <w:rStyle w:val="CommentReference"/>
          <w:sz w:val="22"/>
          <w:szCs w:val="24"/>
        </w:rPr>
        <w:t>D</w:t>
      </w:r>
      <w:r w:rsidR="008F657E" w:rsidRPr="00880275">
        <w:rPr>
          <w:rStyle w:val="CommentReference"/>
          <w:sz w:val="22"/>
          <w:szCs w:val="24"/>
        </w:rPr>
        <w:t>elays</w:t>
      </w:r>
      <w:r w:rsidR="00477109" w:rsidRPr="00880275" w:rsidDel="00880DE7">
        <w:rPr>
          <w:rStyle w:val="CommentReference"/>
          <w:sz w:val="22"/>
          <w:szCs w:val="24"/>
        </w:rPr>
        <w:t xml:space="preserve"> </w:t>
      </w:r>
      <w:r w:rsidRPr="00880275">
        <w:rPr>
          <w:rStyle w:val="CommentReference"/>
          <w:sz w:val="22"/>
          <w:szCs w:val="24"/>
        </w:rPr>
        <w:t xml:space="preserve">in </w:t>
      </w:r>
      <w:r w:rsidR="00880DE7" w:rsidRPr="00880275">
        <w:rPr>
          <w:rStyle w:val="CommentReference"/>
          <w:sz w:val="22"/>
          <w:szCs w:val="24"/>
        </w:rPr>
        <w:t xml:space="preserve">the allocation and assessment of </w:t>
      </w:r>
      <w:r w:rsidRPr="00880275">
        <w:rPr>
          <w:rStyle w:val="CommentReference"/>
          <w:sz w:val="22"/>
          <w:szCs w:val="24"/>
        </w:rPr>
        <w:t xml:space="preserve">complaints </w:t>
      </w:r>
      <w:r w:rsidR="007828CF" w:rsidRPr="00880275">
        <w:rPr>
          <w:rStyle w:val="CommentReference"/>
          <w:sz w:val="22"/>
          <w:szCs w:val="24"/>
        </w:rPr>
        <w:t>ha</w:t>
      </w:r>
      <w:r w:rsidR="00D979F6" w:rsidRPr="00880275">
        <w:rPr>
          <w:rStyle w:val="CommentReference"/>
          <w:sz w:val="22"/>
          <w:szCs w:val="24"/>
        </w:rPr>
        <w:t>ve</w:t>
      </w:r>
      <w:r w:rsidR="007828CF" w:rsidRPr="00880275">
        <w:rPr>
          <w:rStyle w:val="CommentReference"/>
          <w:sz w:val="22"/>
          <w:szCs w:val="24"/>
        </w:rPr>
        <w:t xml:space="preserve"> meant that </w:t>
      </w:r>
      <w:r w:rsidRPr="00880275">
        <w:rPr>
          <w:rStyle w:val="CommentReference"/>
          <w:sz w:val="22"/>
          <w:szCs w:val="24"/>
        </w:rPr>
        <w:t xml:space="preserve">the Commission has been unable to </w:t>
      </w:r>
      <w:r w:rsidR="005704E0" w:rsidRPr="00880275">
        <w:rPr>
          <w:rStyle w:val="CommentReference"/>
          <w:sz w:val="22"/>
          <w:szCs w:val="24"/>
        </w:rPr>
        <w:t xml:space="preserve">accurately </w:t>
      </w:r>
      <w:r w:rsidRPr="00880275">
        <w:rPr>
          <w:rStyle w:val="CommentReference"/>
          <w:sz w:val="22"/>
          <w:szCs w:val="24"/>
        </w:rPr>
        <w:t xml:space="preserve">report on this </w:t>
      </w:r>
      <w:r w:rsidR="00AD2E31" w:rsidRPr="00880275">
        <w:rPr>
          <w:rStyle w:val="CommentReference"/>
          <w:sz w:val="22"/>
          <w:szCs w:val="24"/>
        </w:rPr>
        <w:t>number.</w:t>
      </w:r>
      <w:r w:rsidR="004A5F3F" w:rsidRPr="00880275">
        <w:rPr>
          <w:rStyle w:val="CommentReference"/>
          <w:sz w:val="22"/>
          <w:szCs w:val="24"/>
        </w:rPr>
        <w:t xml:space="preserve"> Section 91(2)</w:t>
      </w:r>
      <w:r w:rsidR="00880316" w:rsidRPr="00880275">
        <w:rPr>
          <w:rStyle w:val="CommentReference"/>
          <w:sz w:val="22"/>
          <w:szCs w:val="24"/>
        </w:rPr>
        <w:t>(e)</w:t>
      </w:r>
      <w:r w:rsidR="004A5F3F" w:rsidRPr="00880275">
        <w:rPr>
          <w:rStyle w:val="CommentReference"/>
          <w:sz w:val="22"/>
          <w:szCs w:val="24"/>
        </w:rPr>
        <w:t xml:space="preserve"> should be amended to require </w:t>
      </w:r>
      <w:r w:rsidR="00A62691" w:rsidRPr="00880275">
        <w:rPr>
          <w:rStyle w:val="CommentReference"/>
          <w:sz w:val="22"/>
          <w:szCs w:val="24"/>
        </w:rPr>
        <w:t xml:space="preserve">reporting </w:t>
      </w:r>
      <w:r w:rsidR="00D82789" w:rsidRPr="00880275">
        <w:rPr>
          <w:rStyle w:val="CommentReference"/>
          <w:sz w:val="22"/>
          <w:szCs w:val="24"/>
        </w:rPr>
        <w:t xml:space="preserve">on the number of </w:t>
      </w:r>
      <w:r w:rsidR="00494B45" w:rsidRPr="00880275">
        <w:rPr>
          <w:rStyle w:val="CommentReference"/>
          <w:sz w:val="22"/>
          <w:szCs w:val="24"/>
        </w:rPr>
        <w:t xml:space="preserve">human rights </w:t>
      </w:r>
      <w:r w:rsidR="00D82789" w:rsidRPr="00880275">
        <w:rPr>
          <w:rStyle w:val="CommentReference"/>
          <w:sz w:val="22"/>
          <w:szCs w:val="24"/>
        </w:rPr>
        <w:t xml:space="preserve">complaints that were </w:t>
      </w:r>
      <w:r w:rsidR="00D82789" w:rsidRPr="00880275">
        <w:rPr>
          <w:rStyle w:val="CommentReference"/>
          <w:i/>
          <w:iCs/>
          <w:sz w:val="22"/>
          <w:szCs w:val="24"/>
        </w:rPr>
        <w:t>finalised</w:t>
      </w:r>
      <w:r w:rsidR="0039616C" w:rsidRPr="00880275">
        <w:rPr>
          <w:rStyle w:val="CommentReference"/>
          <w:sz w:val="22"/>
          <w:szCs w:val="24"/>
        </w:rPr>
        <w:t xml:space="preserve"> by the commissioner.</w:t>
      </w:r>
    </w:p>
    <w:p w14:paraId="75F2AB07" w14:textId="5336717C" w:rsidR="000F6C26" w:rsidRPr="00880275" w:rsidRDefault="004F39E5" w:rsidP="00754FAE">
      <w:pPr>
        <w:pStyle w:val="Numberedparagraph"/>
      </w:pPr>
      <w:r w:rsidRPr="00880275">
        <w:t>The requirements of s</w:t>
      </w:r>
      <w:r w:rsidR="005361E4" w:rsidRPr="00880275">
        <w:t>ubsections</w:t>
      </w:r>
      <w:r w:rsidR="00085D9C" w:rsidRPr="00880275">
        <w:t xml:space="preserve"> 91(2)(h), (i) and (j) </w:t>
      </w:r>
      <w:r w:rsidR="00420B02" w:rsidRPr="00880275">
        <w:t xml:space="preserve">are </w:t>
      </w:r>
      <w:r w:rsidR="003A7581" w:rsidRPr="00880275">
        <w:t>disproportionately</w:t>
      </w:r>
      <w:r w:rsidR="00420B02" w:rsidRPr="00880275">
        <w:t xml:space="preserve"> onerous for the Commission when weighed against the relevance and </w:t>
      </w:r>
      <w:r w:rsidR="000C14A1" w:rsidRPr="00880275">
        <w:t xml:space="preserve">value </w:t>
      </w:r>
      <w:r w:rsidR="00420B02" w:rsidRPr="00880275">
        <w:t>of the data.</w:t>
      </w:r>
    </w:p>
    <w:p w14:paraId="7EEB163A" w14:textId="25A9317F" w:rsidR="00420B02" w:rsidRPr="00880275" w:rsidRDefault="006C65CE" w:rsidP="00754FAE">
      <w:pPr>
        <w:pStyle w:val="Numberedparagraph"/>
      </w:pPr>
      <w:r w:rsidRPr="00880275">
        <w:t>The</w:t>
      </w:r>
      <w:r w:rsidR="00B6682D" w:rsidRPr="00880275">
        <w:t xml:space="preserve"> </w:t>
      </w:r>
      <w:r w:rsidR="000872F7" w:rsidRPr="00880275">
        <w:t xml:space="preserve">commissioner </w:t>
      </w:r>
      <w:r w:rsidR="00FF4564" w:rsidRPr="00880275">
        <w:t xml:space="preserve">must </w:t>
      </w:r>
      <w:r w:rsidR="00FD5FA5" w:rsidRPr="00880275">
        <w:t xml:space="preserve">report on the </w:t>
      </w:r>
      <w:r w:rsidR="00B6682D" w:rsidRPr="00880275">
        <w:t>following</w:t>
      </w:r>
      <w:r w:rsidRPr="00880275">
        <w:t>:</w:t>
      </w:r>
    </w:p>
    <w:p w14:paraId="509C5F2A" w14:textId="3A0C4BAF" w:rsidR="006C65CE" w:rsidRPr="00880275" w:rsidRDefault="006C65CE" w:rsidP="00754FAE">
      <w:pPr>
        <w:pStyle w:val="Numberedparagraph"/>
        <w:numPr>
          <w:ilvl w:val="1"/>
          <w:numId w:val="4"/>
        </w:numPr>
      </w:pPr>
      <w:r w:rsidRPr="00880275">
        <w:t>number of conciliation conferences conducted</w:t>
      </w:r>
      <w:r w:rsidR="00CF4BA9" w:rsidRPr="00880275">
        <w:t xml:space="preserve"> </w:t>
      </w:r>
      <w:r w:rsidR="00224C91" w:rsidRPr="00880275">
        <w:t>– s 91</w:t>
      </w:r>
      <w:r w:rsidR="004A2DDE" w:rsidRPr="00880275">
        <w:t>(</w:t>
      </w:r>
      <w:r w:rsidR="009E5327" w:rsidRPr="00880275">
        <w:t>2)(h)</w:t>
      </w:r>
    </w:p>
    <w:p w14:paraId="02FCC126" w14:textId="04C05052" w:rsidR="00C950E9" w:rsidRPr="00880275" w:rsidRDefault="006C65CE" w:rsidP="00754FAE">
      <w:pPr>
        <w:pStyle w:val="Numberedparagraph"/>
        <w:numPr>
          <w:ilvl w:val="1"/>
          <w:numId w:val="4"/>
        </w:numPr>
      </w:pPr>
      <w:r w:rsidRPr="00880275">
        <w:t>number of public entities asked or directed to take part in conciliation</w:t>
      </w:r>
      <w:r w:rsidR="009E5327" w:rsidRPr="00880275">
        <w:t xml:space="preserve"> </w:t>
      </w:r>
      <w:r w:rsidR="008175A1" w:rsidRPr="00880275">
        <w:t>and the</w:t>
      </w:r>
      <w:r w:rsidR="00C950E9" w:rsidRPr="00880275">
        <w:t xml:space="preserve"> number </w:t>
      </w:r>
      <w:r w:rsidR="00971934" w:rsidRPr="00880275">
        <w:t>that</w:t>
      </w:r>
      <w:r w:rsidR="00C950E9" w:rsidRPr="00880275">
        <w:t xml:space="preserve"> failed to </w:t>
      </w:r>
      <w:r w:rsidR="008175A1" w:rsidRPr="00880275">
        <w:t>take part</w:t>
      </w:r>
      <w:r w:rsidR="001077B1" w:rsidRPr="00880275">
        <w:t xml:space="preserve"> – s 91</w:t>
      </w:r>
      <w:r w:rsidR="00971934" w:rsidRPr="00880275">
        <w:t xml:space="preserve"> </w:t>
      </w:r>
      <w:r w:rsidR="009E5327" w:rsidRPr="00880275">
        <w:t>(2)(</w:t>
      </w:r>
      <w:r w:rsidR="008175A1" w:rsidRPr="00880275">
        <w:t>i)</w:t>
      </w:r>
      <w:r w:rsidR="00C950E9" w:rsidRPr="00880275">
        <w:t xml:space="preserve"> </w:t>
      </w:r>
    </w:p>
    <w:p w14:paraId="2547FB06" w14:textId="02CAC7C3" w:rsidR="00C950E9" w:rsidRPr="00880275" w:rsidRDefault="00C950E9" w:rsidP="00754FAE">
      <w:pPr>
        <w:pStyle w:val="Numberedparagraph"/>
        <w:numPr>
          <w:ilvl w:val="1"/>
          <w:numId w:val="4"/>
        </w:numPr>
      </w:pPr>
      <w:r w:rsidRPr="00880275">
        <w:t xml:space="preserve">number of human rights complaints received by </w:t>
      </w:r>
      <w:proofErr w:type="gramStart"/>
      <w:r w:rsidRPr="00880275">
        <w:t>particular entities</w:t>
      </w:r>
      <w:proofErr w:type="gramEnd"/>
      <w:r w:rsidRPr="00880275">
        <w:t xml:space="preserve"> decided by the Commissione</w:t>
      </w:r>
      <w:r w:rsidRPr="00880275" w:rsidDel="003E0A8D">
        <w:t>r</w:t>
      </w:r>
      <w:r w:rsidR="003127E1" w:rsidRPr="00880275">
        <w:t xml:space="preserve"> – s 91</w:t>
      </w:r>
      <w:r w:rsidR="00971934" w:rsidRPr="00880275">
        <w:t>(2)(j).</w:t>
      </w:r>
    </w:p>
    <w:p w14:paraId="4C008C56" w14:textId="7D2E0E9A" w:rsidR="00971934" w:rsidRPr="00880275" w:rsidRDefault="00E91A44" w:rsidP="00754FAE">
      <w:pPr>
        <w:pStyle w:val="Numberedparagraph"/>
      </w:pPr>
      <w:r w:rsidRPr="00880275">
        <w:lastRenderedPageBreak/>
        <w:t>T</w:t>
      </w:r>
      <w:r w:rsidR="00C2605E" w:rsidRPr="00880275">
        <w:t>he</w:t>
      </w:r>
      <w:r w:rsidR="00AE32B8" w:rsidRPr="00880275">
        <w:t xml:space="preserve"> number of </w:t>
      </w:r>
      <w:r w:rsidRPr="00880275">
        <w:t xml:space="preserve">conciliation </w:t>
      </w:r>
      <w:r w:rsidR="00AE32B8" w:rsidRPr="00880275">
        <w:t xml:space="preserve">conferences </w:t>
      </w:r>
      <w:proofErr w:type="gramStart"/>
      <w:r w:rsidRPr="00880275">
        <w:t>conducted</w:t>
      </w:r>
      <w:proofErr w:type="gramEnd"/>
      <w:r w:rsidRPr="00880275">
        <w:t xml:space="preserve"> </w:t>
      </w:r>
      <w:r w:rsidR="00AE32B8" w:rsidRPr="00880275">
        <w:t xml:space="preserve">and </w:t>
      </w:r>
      <w:r w:rsidRPr="00880275">
        <w:t xml:space="preserve">the </w:t>
      </w:r>
      <w:r w:rsidR="00AE32B8" w:rsidRPr="00880275">
        <w:t xml:space="preserve">number of complaint respondents </w:t>
      </w:r>
      <w:r w:rsidR="00B7013B" w:rsidRPr="00880275">
        <w:t>directed to attend</w:t>
      </w:r>
      <w:r w:rsidR="00AE32B8" w:rsidRPr="00880275">
        <w:t xml:space="preserve"> </w:t>
      </w:r>
      <w:r w:rsidR="001826D9" w:rsidRPr="00880275">
        <w:t>does</w:t>
      </w:r>
      <w:r w:rsidR="00AE32B8" w:rsidRPr="00880275">
        <w:t xml:space="preserve"> </w:t>
      </w:r>
      <w:r w:rsidR="000853E3" w:rsidRPr="00880275">
        <w:t xml:space="preserve">not </w:t>
      </w:r>
      <w:r w:rsidR="009B4F1A" w:rsidRPr="00880275">
        <w:t xml:space="preserve">provide much </w:t>
      </w:r>
      <w:r w:rsidR="006F65E1" w:rsidRPr="00880275">
        <w:t>additional</w:t>
      </w:r>
      <w:r w:rsidR="00336DC5" w:rsidRPr="00880275">
        <w:t xml:space="preserve"> information </w:t>
      </w:r>
      <w:r w:rsidR="009B4F1A" w:rsidRPr="00880275">
        <w:t xml:space="preserve">that </w:t>
      </w:r>
      <w:r w:rsidR="00336DC5" w:rsidRPr="00880275">
        <w:t xml:space="preserve">could </w:t>
      </w:r>
      <w:r w:rsidR="009B4F1A" w:rsidRPr="00880275">
        <w:t xml:space="preserve">not already </w:t>
      </w:r>
      <w:r w:rsidR="00336DC5" w:rsidRPr="00880275">
        <w:t xml:space="preserve">be </w:t>
      </w:r>
      <w:r w:rsidR="006F65E1" w:rsidRPr="00880275">
        <w:t>assumed</w:t>
      </w:r>
      <w:r w:rsidR="00336DC5" w:rsidRPr="00880275">
        <w:t xml:space="preserve"> from the number of accepted complaints. </w:t>
      </w:r>
      <w:r w:rsidR="00E06C39" w:rsidRPr="00880275">
        <w:t>Respondents, and particularly public</w:t>
      </w:r>
      <w:r w:rsidR="00336DC5" w:rsidRPr="00880275">
        <w:t xml:space="preserve"> entities</w:t>
      </w:r>
      <w:r w:rsidR="00D96B79" w:rsidRPr="00880275">
        <w:t>,</w:t>
      </w:r>
      <w:r w:rsidR="00336DC5" w:rsidRPr="00880275">
        <w:t xml:space="preserve"> </w:t>
      </w:r>
      <w:r w:rsidR="00D96B79" w:rsidRPr="00880275">
        <w:t>very rarely if ever</w:t>
      </w:r>
      <w:r w:rsidR="00336DC5" w:rsidRPr="00880275">
        <w:t xml:space="preserve"> refuse to engage with the process, and therefore </w:t>
      </w:r>
      <w:r w:rsidR="002A21BA" w:rsidRPr="00880275">
        <w:t xml:space="preserve">the Commission consistently reports </w:t>
      </w:r>
      <w:r w:rsidR="00F31739" w:rsidRPr="00880275">
        <w:t xml:space="preserve">the number of public entities </w:t>
      </w:r>
      <w:r w:rsidR="0007150F" w:rsidRPr="00880275">
        <w:t>that failed to take part</w:t>
      </w:r>
      <w:r w:rsidR="00C970D7" w:rsidRPr="00880275">
        <w:t xml:space="preserve"> as none.</w:t>
      </w:r>
      <w:r w:rsidR="002A21BA" w:rsidRPr="00880275">
        <w:t xml:space="preserve"> </w:t>
      </w:r>
      <w:r w:rsidR="00424899" w:rsidRPr="00880275">
        <w:t>To meet the needs of parties and achieve earlier outcomes, t</w:t>
      </w:r>
      <w:r w:rsidR="00BA4BF2" w:rsidRPr="00880275">
        <w:t xml:space="preserve">he Commission </w:t>
      </w:r>
      <w:r w:rsidR="00EB76F3" w:rsidRPr="00880275">
        <w:t xml:space="preserve">has </w:t>
      </w:r>
      <w:r w:rsidR="00D100D6" w:rsidRPr="00880275">
        <w:t>develop</w:t>
      </w:r>
      <w:r w:rsidR="00865C91" w:rsidRPr="00880275">
        <w:t>ed</w:t>
      </w:r>
      <w:r w:rsidR="00D100D6" w:rsidRPr="00880275">
        <w:t xml:space="preserve"> </w:t>
      </w:r>
      <w:r w:rsidR="005C69E5" w:rsidRPr="00880275">
        <w:t xml:space="preserve">greater </w:t>
      </w:r>
      <w:r w:rsidR="00D100D6" w:rsidRPr="00880275">
        <w:t xml:space="preserve">flexibility in </w:t>
      </w:r>
      <w:r w:rsidR="00424899" w:rsidRPr="00880275">
        <w:t>its</w:t>
      </w:r>
      <w:r w:rsidR="00140393" w:rsidRPr="00880275">
        <w:t xml:space="preserve"> dispute resolution processes</w:t>
      </w:r>
      <w:r w:rsidR="005C69E5" w:rsidRPr="00880275">
        <w:t>,</w:t>
      </w:r>
      <w:r w:rsidR="00E46A7F" w:rsidRPr="00880275">
        <w:t xml:space="preserve"> </w:t>
      </w:r>
      <w:r w:rsidR="005C69E5" w:rsidRPr="00880275">
        <w:t xml:space="preserve">which </w:t>
      </w:r>
      <w:r w:rsidR="006A0B1B" w:rsidRPr="00880275">
        <w:t xml:space="preserve">does </w:t>
      </w:r>
      <w:r w:rsidR="005C69E5" w:rsidRPr="00880275">
        <w:t xml:space="preserve">not always include a conciliation conference. </w:t>
      </w:r>
      <w:r w:rsidR="00140393" w:rsidRPr="00880275">
        <w:t xml:space="preserve"> </w:t>
      </w:r>
    </w:p>
    <w:p w14:paraId="27B6DCF9" w14:textId="384C0CA3" w:rsidR="00C970D7" w:rsidRPr="00880275" w:rsidRDefault="00C2605E" w:rsidP="00754FAE">
      <w:pPr>
        <w:pStyle w:val="Numberedparagraph"/>
      </w:pPr>
      <w:r w:rsidRPr="00880275">
        <w:t xml:space="preserve">The </w:t>
      </w:r>
      <w:r w:rsidR="00B21BA4" w:rsidRPr="00880275">
        <w:t xml:space="preserve">information referred to in section 91(2)(j) is </w:t>
      </w:r>
      <w:r w:rsidR="00D96B79" w:rsidRPr="00880275">
        <w:t>unnecessary and</w:t>
      </w:r>
      <w:r w:rsidR="00B21BA4" w:rsidRPr="00880275">
        <w:t xml:space="preserve"> repetitive since </w:t>
      </w:r>
      <w:r w:rsidR="004A0249" w:rsidRPr="00880275">
        <w:t>it</w:t>
      </w:r>
      <w:r w:rsidR="00B21BA4" w:rsidRPr="00880275">
        <w:t xml:space="preserve"> is</w:t>
      </w:r>
      <w:r w:rsidR="00D96B79" w:rsidRPr="00880275">
        <w:t xml:space="preserve"> simply</w:t>
      </w:r>
      <w:r w:rsidR="00B21BA4" w:rsidRPr="00880275">
        <w:t xml:space="preserve"> drawn from the </w:t>
      </w:r>
      <w:r w:rsidR="001914D9" w:rsidRPr="00880275">
        <w:t xml:space="preserve">annual </w:t>
      </w:r>
      <w:r w:rsidR="00B21BA4" w:rsidRPr="00880275">
        <w:t>reports of other public entities.</w:t>
      </w:r>
      <w:r w:rsidR="1DF2CDC0" w:rsidRPr="00880275">
        <w:t xml:space="preserve"> This provides no further information to the reader of the report but is a resource-intensive task.</w:t>
      </w:r>
    </w:p>
    <w:p w14:paraId="56C9CBC7" w14:textId="19F86BBC" w:rsidR="00EF2FEC" w:rsidRPr="00880275" w:rsidRDefault="00EF2FEC" w:rsidP="00754FAE">
      <w:pPr>
        <w:pStyle w:val="Heading5"/>
      </w:pPr>
      <w:r w:rsidRPr="00880275">
        <w:t>Recommendation 1</w:t>
      </w:r>
      <w:r w:rsidR="00FE7B31" w:rsidRPr="00880275">
        <w:t>.4</w:t>
      </w:r>
    </w:p>
    <w:p w14:paraId="1C0D19AB" w14:textId="77777777" w:rsidR="00E3261C" w:rsidRPr="00880275" w:rsidRDefault="00E3261C" w:rsidP="00754FAE">
      <w:pPr>
        <w:pStyle w:val="Heading5"/>
        <w:rPr>
          <w:lang w:val="en-GB"/>
        </w:rPr>
      </w:pPr>
      <w:r w:rsidRPr="00880275">
        <w:t xml:space="preserve">Section 91(2) of the Human Rights Act prescribing information to be included in the annual report on the operation of the Human Rights Act should be amended so that: </w:t>
      </w:r>
    </w:p>
    <w:p w14:paraId="3D9E647A" w14:textId="77777777" w:rsidR="00E3261C" w:rsidRPr="00880275" w:rsidRDefault="00E3261C" w:rsidP="00754FAE">
      <w:pPr>
        <w:pStyle w:val="Heading5"/>
        <w:numPr>
          <w:ilvl w:val="0"/>
          <w:numId w:val="15"/>
        </w:numPr>
      </w:pPr>
      <w:r w:rsidRPr="00880275">
        <w:t xml:space="preserve">sub-section 91(2)(e) requires reporting on the number of human rights complaints </w:t>
      </w:r>
      <w:proofErr w:type="spellStart"/>
      <w:r w:rsidRPr="00880275">
        <w:rPr>
          <w:i/>
          <w:iCs/>
        </w:rPr>
        <w:t>finalised</w:t>
      </w:r>
      <w:proofErr w:type="spellEnd"/>
      <w:r w:rsidRPr="00880275">
        <w:t xml:space="preserve"> by the commissioner in the reporting </w:t>
      </w:r>
      <w:proofErr w:type="gramStart"/>
      <w:r w:rsidRPr="00880275">
        <w:t>period;</w:t>
      </w:r>
      <w:proofErr w:type="gramEnd"/>
    </w:p>
    <w:p w14:paraId="7D6BB01A" w14:textId="77777777" w:rsidR="00E3261C" w:rsidRPr="00880275" w:rsidRDefault="00E3261C" w:rsidP="00754FAE">
      <w:pPr>
        <w:pStyle w:val="Heading5"/>
        <w:numPr>
          <w:ilvl w:val="0"/>
          <w:numId w:val="15"/>
        </w:numPr>
      </w:pPr>
      <w:r w:rsidRPr="00880275">
        <w:t>sub-sections 91(2)(h), (i) and (j) are repealed.</w:t>
      </w:r>
    </w:p>
    <w:p w14:paraId="0C45B188" w14:textId="5E9B0DC2" w:rsidR="006F71B1" w:rsidRPr="00880275" w:rsidRDefault="006F71B1" w:rsidP="00E3261C">
      <w:pPr>
        <w:pStyle w:val="Heading4"/>
      </w:pPr>
      <w:r w:rsidRPr="00880275">
        <w:t>Unresolved complaint reports</w:t>
      </w:r>
    </w:p>
    <w:p w14:paraId="27F34ADA" w14:textId="4FBE8ECA" w:rsidR="00711C3F" w:rsidRPr="00880275" w:rsidRDefault="00283691" w:rsidP="00754FAE">
      <w:pPr>
        <w:pStyle w:val="Numberedparagraph"/>
      </w:pPr>
      <w:r w:rsidRPr="00880275">
        <w:t xml:space="preserve">Section 88 of the Human Rights Act </w:t>
      </w:r>
      <w:r w:rsidR="0056165A" w:rsidRPr="00880275">
        <w:t xml:space="preserve">requires </w:t>
      </w:r>
      <w:r w:rsidRPr="00880275">
        <w:t>the Commission to prepare a report about a</w:t>
      </w:r>
      <w:r w:rsidR="001C05E1" w:rsidRPr="00880275">
        <w:t>n unresolved</w:t>
      </w:r>
      <w:r w:rsidRPr="00880275">
        <w:t xml:space="preserve"> human rights complaint</w:t>
      </w:r>
      <w:r w:rsidR="00CA3572" w:rsidRPr="00880275">
        <w:t>. At the Com</w:t>
      </w:r>
      <w:r w:rsidR="00A156DF" w:rsidRPr="00880275">
        <w:t>m</w:t>
      </w:r>
      <w:r w:rsidR="00CA3572" w:rsidRPr="00880275">
        <w:t>ission</w:t>
      </w:r>
      <w:r w:rsidR="001576F1" w:rsidRPr="00880275">
        <w:t xml:space="preserve">er’s discretion, the report </w:t>
      </w:r>
      <w:r w:rsidR="0056165A" w:rsidRPr="00880275">
        <w:t xml:space="preserve">can </w:t>
      </w:r>
      <w:r w:rsidRPr="00880275">
        <w:t>include</w:t>
      </w:r>
      <w:r w:rsidR="0056165A" w:rsidRPr="00880275">
        <w:t xml:space="preserve"> </w:t>
      </w:r>
      <w:r w:rsidRPr="00880275">
        <w:t>recommendations of actions to be taken by public entities to ensure its acts and decisions are compatible with human rights</w:t>
      </w:r>
      <w:r w:rsidR="001C05E1" w:rsidRPr="00880275">
        <w:t>.</w:t>
      </w:r>
      <w:r w:rsidR="004044FD" w:rsidRPr="00880275">
        <w:t xml:space="preserve"> </w:t>
      </w:r>
      <w:r w:rsidR="004044FD" w:rsidRPr="00880275">
        <w:rPr>
          <w:szCs w:val="22"/>
          <w:shd w:val="clear" w:color="auto" w:fill="FFFFFF"/>
        </w:rPr>
        <w:t>Factors relevant to the exercise of this discretion may include whether the recommendations promote respect for the complainant’s human rights</w:t>
      </w:r>
      <w:r w:rsidR="00E51F76" w:rsidRPr="00880275">
        <w:rPr>
          <w:szCs w:val="22"/>
          <w:shd w:val="clear" w:color="auto" w:fill="FFFFFF"/>
        </w:rPr>
        <w:t>,</w:t>
      </w:r>
      <w:r w:rsidR="004044FD" w:rsidRPr="00880275">
        <w:rPr>
          <w:szCs w:val="22"/>
          <w:shd w:val="clear" w:color="auto" w:fill="FFFFFF"/>
        </w:rPr>
        <w:t xml:space="preserve"> address a systemic issue</w:t>
      </w:r>
      <w:r w:rsidR="00E51F76" w:rsidRPr="00880275">
        <w:rPr>
          <w:szCs w:val="22"/>
          <w:shd w:val="clear" w:color="auto" w:fill="FFFFFF"/>
        </w:rPr>
        <w:t>,</w:t>
      </w:r>
      <w:r w:rsidR="004044FD" w:rsidRPr="00880275">
        <w:rPr>
          <w:szCs w:val="22"/>
          <w:shd w:val="clear" w:color="auto" w:fill="FFFFFF"/>
        </w:rPr>
        <w:t xml:space="preserve"> or support clarification of the interpretation or application of a human right.</w:t>
      </w:r>
      <w:r w:rsidR="00F72FD0" w:rsidRPr="00880275">
        <w:rPr>
          <w:szCs w:val="22"/>
          <w:shd w:val="clear" w:color="auto" w:fill="FFFFFF"/>
        </w:rPr>
        <w:t xml:space="preserve"> </w:t>
      </w:r>
    </w:p>
    <w:p w14:paraId="08BACBDC" w14:textId="3DA8CAF1" w:rsidR="00087026" w:rsidRPr="00880275" w:rsidRDefault="008C6B1F" w:rsidP="00754FAE">
      <w:pPr>
        <w:pStyle w:val="Numberedparagraph"/>
      </w:pPr>
      <w:r w:rsidRPr="00880275">
        <w:rPr>
          <w:shd w:val="clear" w:color="auto" w:fill="FFFFFF"/>
        </w:rPr>
        <w:t>The</w:t>
      </w:r>
      <w:r w:rsidR="00F72FD0" w:rsidRPr="00880275">
        <w:rPr>
          <w:shd w:val="clear" w:color="auto" w:fill="FFFFFF"/>
        </w:rPr>
        <w:t xml:space="preserve"> reports </w:t>
      </w:r>
      <w:r w:rsidR="00087026" w:rsidRPr="00880275">
        <w:rPr>
          <w:shd w:val="clear" w:color="auto" w:fill="FFFFFF"/>
        </w:rPr>
        <w:t xml:space="preserve">provide an opportunity for the Commission to </w:t>
      </w:r>
      <w:r w:rsidR="00216731" w:rsidRPr="00880275">
        <w:rPr>
          <w:shd w:val="clear" w:color="auto" w:fill="FFFFFF"/>
        </w:rPr>
        <w:t xml:space="preserve">comment on the application of rights </w:t>
      </w:r>
      <w:r w:rsidR="00336C66" w:rsidRPr="00880275">
        <w:rPr>
          <w:shd w:val="clear" w:color="auto" w:fill="FFFFFF"/>
        </w:rPr>
        <w:t xml:space="preserve">in specific </w:t>
      </w:r>
      <w:r w:rsidR="00216731" w:rsidRPr="00880275">
        <w:rPr>
          <w:shd w:val="clear" w:color="auto" w:fill="FFFFFF"/>
        </w:rPr>
        <w:t xml:space="preserve">circumstances, and to provide guidance to public entities on how rights can be better respected. </w:t>
      </w:r>
    </w:p>
    <w:p w14:paraId="4F053A20" w14:textId="6AF319F6" w:rsidR="001C05E1" w:rsidRPr="00880275" w:rsidRDefault="008C6B1F" w:rsidP="00754FAE">
      <w:pPr>
        <w:pStyle w:val="Numberedparagraph"/>
      </w:pPr>
      <w:r w:rsidRPr="00880275">
        <w:t xml:space="preserve">The Commission has prepared 6 reports with recommendations which are published on the </w:t>
      </w:r>
      <w:r w:rsidR="00C77CF5" w:rsidRPr="00880275">
        <w:t>C</w:t>
      </w:r>
      <w:r w:rsidRPr="00880275">
        <w:t>ommission’s website.</w:t>
      </w:r>
      <w:r w:rsidRPr="00880275">
        <w:rPr>
          <w:rStyle w:val="FootnoteReference"/>
        </w:rPr>
        <w:footnoteReference w:id="32"/>
      </w:r>
      <w:r w:rsidR="00443ED3" w:rsidRPr="00880275">
        <w:t xml:space="preserve"> </w:t>
      </w:r>
      <w:r w:rsidR="00B35914" w:rsidRPr="00880275">
        <w:t>It appears that the reports have had a positive impact.</w:t>
      </w:r>
    </w:p>
    <w:p w14:paraId="3513ACE8" w14:textId="16CC219F" w:rsidR="00B35914" w:rsidRPr="00880275" w:rsidRDefault="00225260" w:rsidP="00754FAE">
      <w:pPr>
        <w:pStyle w:val="Numberedparagraph"/>
      </w:pPr>
      <w:r w:rsidRPr="00880275">
        <w:lastRenderedPageBreak/>
        <w:t>In one case</w:t>
      </w:r>
      <w:r w:rsidR="00B35914" w:rsidRPr="00880275">
        <w:t xml:space="preserve"> the hotel quarantine report </w:t>
      </w:r>
      <w:r w:rsidR="001337C6" w:rsidRPr="00880275">
        <w:t xml:space="preserve">resulted in greater attention </w:t>
      </w:r>
      <w:r w:rsidR="0004790E" w:rsidRPr="00880275">
        <w:t xml:space="preserve">by </w:t>
      </w:r>
      <w:r w:rsidR="00E2270E" w:rsidRPr="00880275">
        <w:t xml:space="preserve">the Queensland </w:t>
      </w:r>
      <w:r w:rsidR="5BDBF011" w:rsidRPr="00880275">
        <w:t>G</w:t>
      </w:r>
      <w:r w:rsidR="5FF6CC7F" w:rsidRPr="00880275">
        <w:t>overnment</w:t>
      </w:r>
      <w:r w:rsidR="0004790E" w:rsidRPr="00880275">
        <w:t xml:space="preserve"> </w:t>
      </w:r>
      <w:r w:rsidR="001337C6" w:rsidRPr="00880275">
        <w:t xml:space="preserve">to </w:t>
      </w:r>
      <w:r w:rsidR="00ED7117" w:rsidRPr="00880275">
        <w:t>minimum standards for hotel quarantine facilities</w:t>
      </w:r>
      <w:r w:rsidR="004074DA" w:rsidRPr="00880275">
        <w:t xml:space="preserve"> </w:t>
      </w:r>
      <w:r w:rsidR="00AB38EF" w:rsidRPr="00880275">
        <w:t>and consideration o</w:t>
      </w:r>
      <w:r w:rsidR="00B41014" w:rsidRPr="00880275">
        <w:t>f</w:t>
      </w:r>
      <w:r w:rsidR="000316C8" w:rsidRPr="00880275">
        <w:t xml:space="preserve"> adjustments for people with existing vulnerabilities. It </w:t>
      </w:r>
      <w:r w:rsidR="00252BCB" w:rsidRPr="00880275">
        <w:t xml:space="preserve">was </w:t>
      </w:r>
      <w:r w:rsidR="00E2270E" w:rsidRPr="00880275">
        <w:t xml:space="preserve">also </w:t>
      </w:r>
      <w:r w:rsidR="00252BCB" w:rsidRPr="00880275">
        <w:t xml:space="preserve">referenced by the </w:t>
      </w:r>
      <w:r w:rsidR="00D1115B" w:rsidRPr="00880275">
        <w:t xml:space="preserve">South Australian Ombudsman </w:t>
      </w:r>
      <w:r w:rsidR="00252BCB" w:rsidRPr="00880275">
        <w:t xml:space="preserve">when recommending </w:t>
      </w:r>
      <w:r w:rsidR="0075725F" w:rsidRPr="00880275">
        <w:t xml:space="preserve">that all people in hotel quarantine should have access to fresh air, </w:t>
      </w:r>
      <w:r w:rsidR="00A520B6" w:rsidRPr="00880275">
        <w:t>which was implemented by the South Australian government.</w:t>
      </w:r>
      <w:r w:rsidR="00525E73" w:rsidRPr="00880275">
        <w:rPr>
          <w:rStyle w:val="FootnoteReference"/>
        </w:rPr>
        <w:footnoteReference w:id="33"/>
      </w:r>
      <w:r w:rsidR="004C06EB" w:rsidRPr="00880275">
        <w:t xml:space="preserve">  </w:t>
      </w:r>
    </w:p>
    <w:p w14:paraId="135EB6E4" w14:textId="54BFEF2B" w:rsidR="004C06EB" w:rsidRPr="00880275" w:rsidRDefault="002675DA" w:rsidP="00754FAE">
      <w:pPr>
        <w:pStyle w:val="Numberedparagraph"/>
      </w:pPr>
      <w:r w:rsidRPr="00880275">
        <w:t xml:space="preserve">The Commission’s </w:t>
      </w:r>
      <w:r w:rsidR="00A941A3" w:rsidRPr="00880275">
        <w:t xml:space="preserve">recommendations </w:t>
      </w:r>
      <w:r w:rsidRPr="00880275">
        <w:t xml:space="preserve">on prisoner accommodation and </w:t>
      </w:r>
      <w:r w:rsidR="00ED73DF" w:rsidRPr="00880275">
        <w:t>medication w</w:t>
      </w:r>
      <w:r w:rsidR="002F7A57" w:rsidRPr="00880275">
        <w:t>ere</w:t>
      </w:r>
      <w:r w:rsidR="00ED73DF" w:rsidRPr="00880275">
        <w:t xml:space="preserve"> accepted </w:t>
      </w:r>
      <w:r w:rsidR="00CA5D8F" w:rsidRPr="00880275">
        <w:t>by Queensland Corrective Services and Hospital and Health Services who advised they have commenced implementation.</w:t>
      </w:r>
    </w:p>
    <w:p w14:paraId="74F498FF" w14:textId="16F3322A" w:rsidR="00582464" w:rsidRPr="00880275" w:rsidRDefault="000A4A15" w:rsidP="00754FAE">
      <w:pPr>
        <w:pStyle w:val="Numberedparagraph"/>
      </w:pPr>
      <w:r w:rsidRPr="00880275">
        <w:t xml:space="preserve">The Commission </w:t>
      </w:r>
      <w:r w:rsidR="008913F3" w:rsidRPr="00880275">
        <w:t>should</w:t>
      </w:r>
      <w:r w:rsidRPr="00880275">
        <w:t xml:space="preserve"> improve its </w:t>
      </w:r>
      <w:r w:rsidR="00995DFA" w:rsidRPr="00880275">
        <w:t>capacity and timeliness for section 88</w:t>
      </w:r>
      <w:r w:rsidR="001D4EBB" w:rsidRPr="00880275">
        <w:t xml:space="preserve"> reports with recommendations. The utility of the reports could also be improved </w:t>
      </w:r>
      <w:r w:rsidR="00E811DA" w:rsidRPr="00880275">
        <w:t xml:space="preserve">by </w:t>
      </w:r>
      <w:r w:rsidR="0EE26F01" w:rsidRPr="00880275">
        <w:t xml:space="preserve">amendments </w:t>
      </w:r>
      <w:r w:rsidR="007515C8" w:rsidRPr="00880275">
        <w:t xml:space="preserve">requiring a published </w:t>
      </w:r>
      <w:r w:rsidR="009B4960" w:rsidRPr="00880275">
        <w:t xml:space="preserve">response from </w:t>
      </w:r>
      <w:r w:rsidR="3B52A050" w:rsidRPr="00880275">
        <w:t xml:space="preserve">public </w:t>
      </w:r>
      <w:proofErr w:type="gramStart"/>
      <w:r w:rsidR="3B52A050" w:rsidRPr="00880275">
        <w:t>entities</w:t>
      </w:r>
      <w:r w:rsidR="00AC663A" w:rsidRPr="00880275">
        <w:t>,</w:t>
      </w:r>
      <w:r w:rsidR="009B4960" w:rsidRPr="00880275">
        <w:t xml:space="preserve"> </w:t>
      </w:r>
      <w:r w:rsidR="00AD6F0F" w:rsidRPr="00880275">
        <w:t>and</w:t>
      </w:r>
      <w:proofErr w:type="gramEnd"/>
      <w:r w:rsidR="00AD6F0F" w:rsidRPr="00880275">
        <w:t xml:space="preserve"> </w:t>
      </w:r>
      <w:r w:rsidR="10ED96A8" w:rsidRPr="00880275">
        <w:t>providing powers to the Commission to monitor</w:t>
      </w:r>
      <w:r w:rsidR="000351D8" w:rsidRPr="00880275">
        <w:t xml:space="preserve"> </w:t>
      </w:r>
      <w:r w:rsidR="009769B3" w:rsidRPr="00880275">
        <w:t>implementation</w:t>
      </w:r>
      <w:r w:rsidR="008E6D1F" w:rsidRPr="00880275">
        <w:t xml:space="preserve"> </w:t>
      </w:r>
      <w:r w:rsidR="000351D8" w:rsidRPr="00880275">
        <w:t>of recommendations</w:t>
      </w:r>
      <w:r w:rsidR="4B97CBA2" w:rsidRPr="00880275">
        <w:t>.</w:t>
      </w:r>
    </w:p>
    <w:p w14:paraId="771A8AEA" w14:textId="7EBFFBCE" w:rsidR="00FA6DF3" w:rsidRPr="00880275" w:rsidRDefault="00FA6DF3" w:rsidP="00754FAE">
      <w:pPr>
        <w:pStyle w:val="Heading5"/>
      </w:pPr>
      <w:r w:rsidRPr="00880275">
        <w:t>Recommendation 1.5</w:t>
      </w:r>
    </w:p>
    <w:p w14:paraId="76E266FC" w14:textId="77777777" w:rsidR="000D3A07" w:rsidRPr="00880275" w:rsidRDefault="000D3A07" w:rsidP="00754FAE">
      <w:pPr>
        <w:pStyle w:val="Heading5"/>
      </w:pPr>
      <w:r w:rsidRPr="00880275">
        <w:t xml:space="preserve">The State government should provide the Commission with sufficient resources to improve its capacity to make timely reports on unresolved human rights complaints that include recommendations to public entities under section 88(4) of the Act.  </w:t>
      </w:r>
    </w:p>
    <w:p w14:paraId="3FA0F351" w14:textId="77777777" w:rsidR="004F078A" w:rsidRPr="00880275" w:rsidRDefault="004F078A" w:rsidP="00E82675">
      <w:pPr>
        <w:spacing w:after="0"/>
        <w:rPr>
          <w:sz w:val="16"/>
          <w:szCs w:val="16"/>
        </w:rPr>
      </w:pPr>
    </w:p>
    <w:p w14:paraId="3C458FFB" w14:textId="5ACD87DF" w:rsidR="004F078A" w:rsidRPr="00880275" w:rsidRDefault="004F078A" w:rsidP="00754FAE">
      <w:pPr>
        <w:pStyle w:val="Heading5"/>
        <w:rPr>
          <w:rFonts w:eastAsiaTheme="minorEastAsia" w:cstheme="minorBidi"/>
        </w:rPr>
      </w:pPr>
      <w:r w:rsidRPr="00880275">
        <w:t>Recommendation 1.6</w:t>
      </w:r>
    </w:p>
    <w:p w14:paraId="1479DD5D" w14:textId="07CC9705" w:rsidR="004F078A" w:rsidRPr="00880275" w:rsidRDefault="004F078A" w:rsidP="00754FAE">
      <w:pPr>
        <w:pStyle w:val="Heading5"/>
      </w:pPr>
      <w:r w:rsidRPr="00880275">
        <w:t xml:space="preserve">The </w:t>
      </w:r>
      <w:r w:rsidR="001249D9" w:rsidRPr="00880275">
        <w:t xml:space="preserve">Human Rights </w:t>
      </w:r>
      <w:r w:rsidRPr="00880275">
        <w:t>Act should be amended to:</w:t>
      </w:r>
    </w:p>
    <w:p w14:paraId="222DF1CF" w14:textId="77777777" w:rsidR="004F078A" w:rsidRPr="00880275" w:rsidRDefault="004F078A" w:rsidP="00754FAE">
      <w:pPr>
        <w:pStyle w:val="Heading5"/>
        <w:numPr>
          <w:ilvl w:val="0"/>
          <w:numId w:val="16"/>
        </w:numPr>
      </w:pPr>
      <w:r w:rsidRPr="00880275">
        <w:t xml:space="preserve">require a public entity that is the subject of recommendations made under section 88(4) to publish a response to the recommendations </w:t>
      </w:r>
    </w:p>
    <w:p w14:paraId="622048C3" w14:textId="57A24E71" w:rsidR="000D3A07" w:rsidRPr="00880275" w:rsidRDefault="004F078A" w:rsidP="00754FAE">
      <w:pPr>
        <w:pStyle w:val="Heading5"/>
        <w:numPr>
          <w:ilvl w:val="0"/>
          <w:numId w:val="16"/>
        </w:numPr>
      </w:pPr>
      <w:r w:rsidRPr="00880275">
        <w:t>expand the Commission’s functions to include monitoring implementation of recommendations made to public entities under section 88(4).</w:t>
      </w:r>
    </w:p>
    <w:p w14:paraId="22C9A8AF" w14:textId="317B4C06" w:rsidR="00F33E57" w:rsidRPr="00880275" w:rsidRDefault="00F33E57" w:rsidP="00C729FB">
      <w:pPr>
        <w:pStyle w:val="Heading3"/>
      </w:pPr>
      <w:bookmarkStart w:id="22" w:name="_Toc171346759"/>
      <w:r w:rsidRPr="00880275">
        <w:t>Law reform and policy submissions</w:t>
      </w:r>
      <w:bookmarkEnd w:id="22"/>
    </w:p>
    <w:p w14:paraId="1FC54AC7" w14:textId="205B6F87" w:rsidR="00F639A6" w:rsidRPr="00880275" w:rsidRDefault="00F639A6" w:rsidP="00C729FB">
      <w:pPr>
        <w:pStyle w:val="Heading4"/>
      </w:pPr>
      <w:r w:rsidRPr="00880275">
        <w:t>Law reform processes</w:t>
      </w:r>
    </w:p>
    <w:p w14:paraId="6C901076" w14:textId="6DFC5E7C" w:rsidR="009739E9" w:rsidRPr="00880275" w:rsidRDefault="00890D29" w:rsidP="00754FAE">
      <w:pPr>
        <w:pStyle w:val="Numberedparagraph"/>
      </w:pPr>
      <w:r w:rsidRPr="00880275">
        <w:t xml:space="preserve">The Commission has observed that human rights considerations have become well embedded in reviews </w:t>
      </w:r>
      <w:r w:rsidR="00916C51" w:rsidRPr="00880275">
        <w:t xml:space="preserve">and inquiries </w:t>
      </w:r>
      <w:r w:rsidR="0025350F" w:rsidRPr="00880275">
        <w:t xml:space="preserve">conducted by government </w:t>
      </w:r>
      <w:r w:rsidR="00916C51" w:rsidRPr="00880275">
        <w:t xml:space="preserve">since the commencement of the Act. </w:t>
      </w:r>
      <w:r w:rsidR="00EF2811" w:rsidRPr="00880275">
        <w:t>For example, t</w:t>
      </w:r>
      <w:r w:rsidR="00090CF4" w:rsidRPr="00880275">
        <w:t xml:space="preserve">erms of reference </w:t>
      </w:r>
      <w:r w:rsidR="00EF2811" w:rsidRPr="00880275">
        <w:t xml:space="preserve">have </w:t>
      </w:r>
      <w:r w:rsidR="00760D59" w:rsidRPr="00880275">
        <w:t>include</w:t>
      </w:r>
      <w:r w:rsidR="00EF2811" w:rsidRPr="00880275">
        <w:t>d</w:t>
      </w:r>
      <w:r w:rsidR="00760D59" w:rsidRPr="00880275">
        <w:t xml:space="preserve"> human rights as a guiding principle</w:t>
      </w:r>
      <w:r w:rsidR="00AA47D7" w:rsidRPr="00880275">
        <w:rPr>
          <w:rStyle w:val="FootnoteReference"/>
        </w:rPr>
        <w:footnoteReference w:id="34"/>
      </w:r>
      <w:r w:rsidR="00FB1E7B" w:rsidRPr="00880275">
        <w:t xml:space="preserve"> </w:t>
      </w:r>
      <w:r w:rsidR="006F68FC" w:rsidRPr="00880275">
        <w:t xml:space="preserve">or </w:t>
      </w:r>
      <w:r w:rsidR="00A17B6D" w:rsidRPr="00880275">
        <w:t xml:space="preserve">have </w:t>
      </w:r>
      <w:r w:rsidR="00FB1E7B" w:rsidRPr="00880275">
        <w:t>explicitly</w:t>
      </w:r>
      <w:r w:rsidR="00090CF4" w:rsidRPr="00880275">
        <w:t xml:space="preserve"> include</w:t>
      </w:r>
      <w:r w:rsidR="003A3B48" w:rsidRPr="00880275">
        <w:t>d</w:t>
      </w:r>
      <w:r w:rsidR="00090CF4" w:rsidRPr="00880275">
        <w:t xml:space="preserve"> a </w:t>
      </w:r>
      <w:r w:rsidR="00090CF4" w:rsidRPr="00880275">
        <w:lastRenderedPageBreak/>
        <w:t xml:space="preserve">requirement to consider the human rights compatibility </w:t>
      </w:r>
      <w:r w:rsidR="000B412F" w:rsidRPr="00880275">
        <w:t>of legislation or the recommendations developed as part of the review.</w:t>
      </w:r>
      <w:r w:rsidR="00C1170F" w:rsidRPr="00880275">
        <w:rPr>
          <w:rStyle w:val="FootnoteReference"/>
        </w:rPr>
        <w:footnoteReference w:id="35"/>
      </w:r>
      <w:r w:rsidR="00090CF4" w:rsidRPr="00880275">
        <w:t xml:space="preserve"> </w:t>
      </w:r>
    </w:p>
    <w:p w14:paraId="16055C03" w14:textId="68F5C949" w:rsidR="00F639A6" w:rsidRPr="00880275" w:rsidRDefault="00F639A6" w:rsidP="00C729FB">
      <w:pPr>
        <w:pStyle w:val="Heading4"/>
      </w:pPr>
      <w:r w:rsidRPr="00880275">
        <w:t>Policy submissions</w:t>
      </w:r>
    </w:p>
    <w:p w14:paraId="13108B06" w14:textId="4BD18EB2" w:rsidR="00767434" w:rsidRPr="00880275" w:rsidRDefault="00767434" w:rsidP="00754FAE">
      <w:pPr>
        <w:pStyle w:val="Numberedparagraph"/>
      </w:pPr>
      <w:r w:rsidRPr="00880275">
        <w:t xml:space="preserve">The Commission plays an active role in shaping policy development through its submissions to Queensland parliamentary inquiries, law reform processes, and other reviews. Through these contributions, </w:t>
      </w:r>
      <w:r w:rsidR="00250718" w:rsidRPr="00880275">
        <w:t>the Commission</w:t>
      </w:r>
      <w:r w:rsidRPr="00880275">
        <w:t xml:space="preserve"> emphasise</w:t>
      </w:r>
      <w:r w:rsidR="001614EF" w:rsidRPr="00880275">
        <w:t>s</w:t>
      </w:r>
      <w:r w:rsidRPr="00880275">
        <w:t xml:space="preserve"> human rights issues across a broad </w:t>
      </w:r>
      <w:r w:rsidR="00250718" w:rsidRPr="00880275">
        <w:t>range</w:t>
      </w:r>
      <w:r w:rsidRPr="00880275">
        <w:t xml:space="preserve"> of topics.</w:t>
      </w:r>
      <w:r w:rsidR="00086256" w:rsidRPr="00880275">
        <w:t xml:space="preserve"> </w:t>
      </w:r>
      <w:r w:rsidR="005559ED" w:rsidRPr="00880275">
        <w:t xml:space="preserve">The Commission has </w:t>
      </w:r>
      <w:r w:rsidR="00BF2AC1" w:rsidRPr="00880275">
        <w:t>noted</w:t>
      </w:r>
      <w:r w:rsidR="005559ED" w:rsidRPr="00880275">
        <w:t xml:space="preserve"> that other stakeholders </w:t>
      </w:r>
      <w:r w:rsidR="00BF2AC1" w:rsidRPr="00880275">
        <w:t>participating in</w:t>
      </w:r>
      <w:r w:rsidR="005559ED" w:rsidRPr="00880275">
        <w:t xml:space="preserve"> these processes have </w:t>
      </w:r>
      <w:r w:rsidR="00BF2AC1" w:rsidRPr="00880275">
        <w:t>utilised</w:t>
      </w:r>
      <w:r w:rsidR="005559ED" w:rsidRPr="00880275">
        <w:t xml:space="preserve"> the framework </w:t>
      </w:r>
      <w:r w:rsidR="00BF2AC1" w:rsidRPr="00880275">
        <w:t>provided by</w:t>
      </w:r>
      <w:r w:rsidR="005559ED" w:rsidRPr="00880275">
        <w:t xml:space="preserve"> the Human Rights Act to advocate for reform.</w:t>
      </w:r>
    </w:p>
    <w:p w14:paraId="28198C7C" w14:textId="6A6ADA1C" w:rsidR="00C63EF2" w:rsidRPr="00880275" w:rsidRDefault="000A4CCE" w:rsidP="00754FAE">
      <w:pPr>
        <w:pStyle w:val="Numberedparagraph"/>
      </w:pPr>
      <w:r w:rsidRPr="00880275">
        <w:t xml:space="preserve">Government departments </w:t>
      </w:r>
      <w:r w:rsidR="003209C6" w:rsidRPr="00880275">
        <w:t>frequently</w:t>
      </w:r>
      <w:r w:rsidRPr="00880275">
        <w:t xml:space="preserve"> consult</w:t>
      </w:r>
      <w:r w:rsidR="0096064A" w:rsidRPr="00880275">
        <w:t xml:space="preserve"> with the Commission about the human rights implications of proposed Bills and subordinate legislation during the drafting stage. This consultative approach has been prompted, in part, by the requirement for a statement of compatibility or human rights certificate. The Commission </w:t>
      </w:r>
      <w:r w:rsidR="008127B4" w:rsidRPr="00880275">
        <w:t>has</w:t>
      </w:r>
      <w:r w:rsidR="008127B4" w:rsidRPr="00880275" w:rsidDel="00317CDF">
        <w:t xml:space="preserve"> </w:t>
      </w:r>
      <w:r w:rsidR="00317CDF" w:rsidRPr="00880275">
        <w:t xml:space="preserve">found </w:t>
      </w:r>
      <w:r w:rsidR="008127B4" w:rsidRPr="00880275">
        <w:t xml:space="preserve">that </w:t>
      </w:r>
      <w:r w:rsidR="00323AB2" w:rsidRPr="00880275">
        <w:t xml:space="preserve">discussions that occur through cabinet-in-confidence </w:t>
      </w:r>
      <w:r w:rsidR="001C2E44" w:rsidRPr="00880275">
        <w:t>consultations</w:t>
      </w:r>
      <w:r w:rsidR="00323AB2" w:rsidRPr="00880275">
        <w:t xml:space="preserve"> are most likely to</w:t>
      </w:r>
      <w:r w:rsidR="00AC5EAD" w:rsidRPr="00880275">
        <w:t xml:space="preserve"> lead to changes</w:t>
      </w:r>
      <w:r w:rsidR="00E32664" w:rsidRPr="00880275">
        <w:t xml:space="preserve"> </w:t>
      </w:r>
      <w:r w:rsidR="001B5DF0" w:rsidRPr="00880275">
        <w:t>that</w:t>
      </w:r>
      <w:r w:rsidR="00E32664" w:rsidRPr="00880275">
        <w:t xml:space="preserve"> </w:t>
      </w:r>
      <w:r w:rsidR="00093057" w:rsidRPr="00880275">
        <w:t>promote</w:t>
      </w:r>
      <w:r w:rsidR="00E32664" w:rsidRPr="00880275">
        <w:t xml:space="preserve"> human rights compatibility</w:t>
      </w:r>
      <w:r w:rsidR="0096064A" w:rsidRPr="00880275">
        <w:t xml:space="preserve">. </w:t>
      </w:r>
      <w:r w:rsidR="00C63EF2" w:rsidRPr="00880275">
        <w:t>However, due to limited resources</w:t>
      </w:r>
      <w:r w:rsidR="00527FC6" w:rsidRPr="00880275">
        <w:t xml:space="preserve">, the Commission </w:t>
      </w:r>
      <w:r w:rsidR="00C63EF2" w:rsidRPr="00880275">
        <w:t>can only provide</w:t>
      </w:r>
      <w:r w:rsidR="00A9050D" w:rsidRPr="00880275">
        <w:t xml:space="preserve"> feedback on draft Bills </w:t>
      </w:r>
      <w:r w:rsidR="00521EC3" w:rsidRPr="00880275">
        <w:t>selectively and strategically</w:t>
      </w:r>
      <w:r w:rsidR="00C63EF2" w:rsidRPr="00880275">
        <w:t xml:space="preserve">, focusing on areas </w:t>
      </w:r>
      <w:r w:rsidR="00521EC3" w:rsidRPr="00880275">
        <w:t>within our capacity and expertise.</w:t>
      </w:r>
    </w:p>
    <w:p w14:paraId="5A032413" w14:textId="780B6C11" w:rsidR="00892E4D" w:rsidRPr="00880275" w:rsidRDefault="00892E4D" w:rsidP="00754FAE">
      <w:pPr>
        <w:pStyle w:val="Numberedparagraph"/>
      </w:pPr>
      <w:r w:rsidRPr="00880275">
        <w:t xml:space="preserve">Publishing </w:t>
      </w:r>
      <w:r w:rsidR="00943F0D" w:rsidRPr="00880275">
        <w:t xml:space="preserve">the Commission’s </w:t>
      </w:r>
      <w:r w:rsidRPr="00880275">
        <w:t>submissions</w:t>
      </w:r>
      <w:r w:rsidR="00366809" w:rsidRPr="00880275">
        <w:rPr>
          <w:rStyle w:val="FootnoteReference"/>
        </w:rPr>
        <w:footnoteReference w:id="36"/>
      </w:r>
      <w:r w:rsidRPr="00880275">
        <w:t xml:space="preserve"> </w:t>
      </w:r>
      <w:r w:rsidR="00366809" w:rsidRPr="00880275">
        <w:t xml:space="preserve">provides a </w:t>
      </w:r>
      <w:r w:rsidR="00B102EE" w:rsidRPr="00880275">
        <w:t xml:space="preserve">public </w:t>
      </w:r>
      <w:r w:rsidR="00366809" w:rsidRPr="00880275">
        <w:t xml:space="preserve">resource on the </w:t>
      </w:r>
      <w:r w:rsidR="00397D83" w:rsidRPr="00880275">
        <w:t>discussion</w:t>
      </w:r>
      <w:r w:rsidR="00366809" w:rsidRPr="00880275">
        <w:t xml:space="preserve"> o</w:t>
      </w:r>
      <w:r w:rsidR="00251556" w:rsidRPr="00880275">
        <w:t>f</w:t>
      </w:r>
      <w:r w:rsidR="00366809" w:rsidRPr="00880275">
        <w:t xml:space="preserve"> human rights issues in a wide variety of areas</w:t>
      </w:r>
      <w:r w:rsidR="00526B3B" w:rsidRPr="00880275">
        <w:t xml:space="preserve"> as well as </w:t>
      </w:r>
      <w:r w:rsidR="001E0475" w:rsidRPr="00880275">
        <w:t xml:space="preserve">a record of the </w:t>
      </w:r>
      <w:r w:rsidR="00526B3B" w:rsidRPr="00880275">
        <w:t>Commission’s position</w:t>
      </w:r>
      <w:r w:rsidR="00366809" w:rsidRPr="00880275">
        <w:t xml:space="preserve">. </w:t>
      </w:r>
    </w:p>
    <w:p w14:paraId="1121075C" w14:textId="7266295E" w:rsidR="0038085C" w:rsidRPr="00880275" w:rsidRDefault="0038085C" w:rsidP="0038085C">
      <w:pPr>
        <w:pStyle w:val="Heading3"/>
      </w:pPr>
      <w:bookmarkStart w:id="23" w:name="_Toc171346760"/>
      <w:r w:rsidRPr="00880275">
        <w:t>Commission resourcing</w:t>
      </w:r>
      <w:bookmarkEnd w:id="23"/>
    </w:p>
    <w:p w14:paraId="7EB1E32D" w14:textId="37F93C00" w:rsidR="00AA12C5" w:rsidRPr="00880275" w:rsidRDefault="00AA12C5" w:rsidP="00754FAE">
      <w:pPr>
        <w:pStyle w:val="Numberedparagraph"/>
        <w:rPr>
          <w:lang w:eastAsia="ja-JP" w:bidi="th-TH"/>
        </w:rPr>
      </w:pPr>
      <w:r w:rsidRPr="00880275">
        <w:rPr>
          <w:lang w:eastAsia="ja-JP" w:bidi="th-TH"/>
        </w:rPr>
        <w:t>The Commission</w:t>
      </w:r>
      <w:r w:rsidR="003422FC" w:rsidRPr="00880275">
        <w:rPr>
          <w:lang w:eastAsia="ja-JP" w:bidi="th-TH"/>
        </w:rPr>
        <w:t xml:space="preserve"> is not resourced to reach its </w:t>
      </w:r>
      <w:r w:rsidR="00B45657" w:rsidRPr="00880275">
        <w:rPr>
          <w:lang w:eastAsia="ja-JP" w:bidi="th-TH"/>
        </w:rPr>
        <w:t xml:space="preserve">full </w:t>
      </w:r>
      <w:r w:rsidR="003422FC" w:rsidRPr="00880275">
        <w:rPr>
          <w:lang w:eastAsia="ja-JP" w:bidi="th-TH"/>
        </w:rPr>
        <w:t xml:space="preserve">potential </w:t>
      </w:r>
      <w:r w:rsidR="00A50EA0" w:rsidRPr="00880275">
        <w:rPr>
          <w:lang w:eastAsia="ja-JP" w:bidi="th-TH"/>
        </w:rPr>
        <w:t xml:space="preserve">in </w:t>
      </w:r>
      <w:r w:rsidR="00A50EA0" w:rsidRPr="00880275">
        <w:t>providing support, education, training</w:t>
      </w:r>
      <w:r w:rsidR="001E0475" w:rsidRPr="00880275">
        <w:t>,</w:t>
      </w:r>
      <w:r w:rsidR="00A50EA0" w:rsidRPr="00880275">
        <w:t xml:space="preserve"> and guidance to the </w:t>
      </w:r>
      <w:r w:rsidR="001E0475" w:rsidRPr="00880275">
        <w:t xml:space="preserve">Queensland </w:t>
      </w:r>
      <w:r w:rsidR="00A50EA0" w:rsidRPr="00880275">
        <w:t>public sector</w:t>
      </w:r>
      <w:r w:rsidR="009E0B03" w:rsidRPr="00880275">
        <w:t>, and building a culture of human rights</w:t>
      </w:r>
      <w:r w:rsidR="00A50EA0" w:rsidRPr="00880275">
        <w:t>.</w:t>
      </w:r>
    </w:p>
    <w:p w14:paraId="7194A59C" w14:textId="0310732B" w:rsidR="0038085C" w:rsidRPr="00880275" w:rsidRDefault="0038085C" w:rsidP="00754FAE">
      <w:pPr>
        <w:pStyle w:val="Numberedparagraph"/>
        <w:rPr>
          <w:lang w:eastAsia="ja-JP" w:bidi="th-TH"/>
        </w:rPr>
      </w:pPr>
      <w:r w:rsidRPr="00880275">
        <w:rPr>
          <w:lang w:eastAsia="ja-JP" w:bidi="th-TH"/>
        </w:rPr>
        <w:t>Since the commencement of the Act, the waiting period for complaints to be dealt with has been on average 100 days. Prior to the commencement of the Act, complainants waited on average 34 days for their matter to be dealt with.</w:t>
      </w:r>
      <w:r w:rsidRPr="00880275">
        <w:rPr>
          <w:vertAlign w:val="superscript"/>
          <w:lang w:eastAsia="ja-JP" w:bidi="th-TH"/>
        </w:rPr>
        <w:footnoteReference w:id="37"/>
      </w:r>
      <w:r w:rsidRPr="00880275">
        <w:rPr>
          <w:lang w:eastAsia="ja-JP" w:bidi="th-TH"/>
        </w:rPr>
        <w:t xml:space="preserve">  </w:t>
      </w:r>
      <w:r w:rsidR="000923D6" w:rsidRPr="00880275">
        <w:rPr>
          <w:lang w:eastAsia="ja-JP" w:bidi="th-TH"/>
        </w:rPr>
        <w:t>Lengthy delays</w:t>
      </w:r>
      <w:r w:rsidRPr="00880275">
        <w:rPr>
          <w:lang w:eastAsia="ja-JP" w:bidi="th-TH"/>
        </w:rPr>
        <w:t xml:space="preserve"> can lead to increased frustration of complainants</w:t>
      </w:r>
      <w:r w:rsidR="00F748D4" w:rsidRPr="00880275">
        <w:rPr>
          <w:lang w:eastAsia="ja-JP" w:bidi="th-TH"/>
        </w:rPr>
        <w:t xml:space="preserve"> and</w:t>
      </w:r>
      <w:r w:rsidRPr="00880275">
        <w:rPr>
          <w:lang w:eastAsia="ja-JP" w:bidi="th-TH"/>
        </w:rPr>
        <w:t xml:space="preserve"> </w:t>
      </w:r>
      <w:proofErr w:type="gramStart"/>
      <w:r w:rsidRPr="00880275">
        <w:rPr>
          <w:lang w:eastAsia="ja-JP" w:bidi="th-TH"/>
        </w:rPr>
        <w:t>respondents, and</w:t>
      </w:r>
      <w:proofErr w:type="gramEnd"/>
      <w:r w:rsidRPr="00880275">
        <w:rPr>
          <w:lang w:eastAsia="ja-JP" w:bidi="th-TH"/>
        </w:rPr>
        <w:t xml:space="preserve"> means that parties can become entrenched in their positions by the time their matters are dealt with through dispute resolution.</w:t>
      </w:r>
    </w:p>
    <w:p w14:paraId="7CE02B03" w14:textId="10C0A203" w:rsidR="000923D6" w:rsidRPr="00880275" w:rsidRDefault="000923D6" w:rsidP="00754FAE">
      <w:pPr>
        <w:pStyle w:val="Numberedparagraph"/>
        <w:rPr>
          <w:lang w:eastAsia="ja-JP" w:bidi="th-TH"/>
        </w:rPr>
      </w:pPr>
      <w:r w:rsidRPr="00880275">
        <w:rPr>
          <w:lang w:eastAsia="ja-JP" w:bidi="th-TH"/>
        </w:rPr>
        <w:t xml:space="preserve">Because complaint handling must be prioritised as a core Commission </w:t>
      </w:r>
      <w:r w:rsidR="6004643E" w:rsidRPr="00880275">
        <w:rPr>
          <w:lang w:eastAsia="ja-JP" w:bidi="th-TH"/>
        </w:rPr>
        <w:t>function</w:t>
      </w:r>
      <w:r w:rsidRPr="00880275">
        <w:rPr>
          <w:lang w:eastAsia="ja-JP" w:bidi="th-TH"/>
        </w:rPr>
        <w:t xml:space="preserve">, this limits the Commission’s capacity to engage in work that might </w:t>
      </w:r>
      <w:r w:rsidR="001F2033" w:rsidRPr="00880275">
        <w:rPr>
          <w:lang w:eastAsia="ja-JP" w:bidi="th-TH"/>
        </w:rPr>
        <w:lastRenderedPageBreak/>
        <w:t>improve understanding and fulfilment of human rights</w:t>
      </w:r>
      <w:r w:rsidR="004551DD" w:rsidRPr="00880275">
        <w:rPr>
          <w:lang w:eastAsia="ja-JP" w:bidi="th-TH"/>
        </w:rPr>
        <w:t xml:space="preserve"> in the public sector</w:t>
      </w:r>
      <w:r w:rsidR="00894744" w:rsidRPr="00880275">
        <w:rPr>
          <w:lang w:eastAsia="ja-JP" w:bidi="th-TH"/>
        </w:rPr>
        <w:t>. Activities such as public sector training,</w:t>
      </w:r>
      <w:r w:rsidR="00BB49AB" w:rsidRPr="00880275">
        <w:rPr>
          <w:lang w:eastAsia="ja-JP" w:bidi="th-TH"/>
        </w:rPr>
        <w:t xml:space="preserve"> engaging with policy and law reform, </w:t>
      </w:r>
      <w:r w:rsidR="002815F2" w:rsidRPr="00880275">
        <w:rPr>
          <w:lang w:eastAsia="ja-JP" w:bidi="th-TH"/>
        </w:rPr>
        <w:t xml:space="preserve">making recommendations on </w:t>
      </w:r>
      <w:r w:rsidR="00894744" w:rsidRPr="00880275">
        <w:rPr>
          <w:lang w:eastAsia="ja-JP" w:bidi="th-TH"/>
        </w:rPr>
        <w:t xml:space="preserve">unresolved complaints, </w:t>
      </w:r>
      <w:r w:rsidR="00BB49AB" w:rsidRPr="00880275">
        <w:rPr>
          <w:lang w:eastAsia="ja-JP" w:bidi="th-TH"/>
        </w:rPr>
        <w:t xml:space="preserve">and reviewing </w:t>
      </w:r>
      <w:r w:rsidR="00894744" w:rsidRPr="00880275">
        <w:rPr>
          <w:lang w:eastAsia="ja-JP" w:bidi="th-TH"/>
        </w:rPr>
        <w:t xml:space="preserve">public entity policies, procedures, practices and services in relation to compatibility with human rights can </w:t>
      </w:r>
      <w:r w:rsidR="000D25AE" w:rsidRPr="00880275">
        <w:rPr>
          <w:lang w:eastAsia="ja-JP" w:bidi="th-TH"/>
        </w:rPr>
        <w:t>lead</w:t>
      </w:r>
      <w:r w:rsidR="00894744" w:rsidRPr="00880275">
        <w:rPr>
          <w:lang w:eastAsia="ja-JP" w:bidi="th-TH"/>
        </w:rPr>
        <w:t xml:space="preserve"> to systemic and cultural change,</w:t>
      </w:r>
      <w:r w:rsidR="004551DD" w:rsidRPr="00880275">
        <w:rPr>
          <w:lang w:eastAsia="ja-JP" w:bidi="th-TH"/>
        </w:rPr>
        <w:t xml:space="preserve"> </w:t>
      </w:r>
      <w:r w:rsidR="00F540A9" w:rsidRPr="00880275">
        <w:rPr>
          <w:lang w:eastAsia="ja-JP" w:bidi="th-TH"/>
        </w:rPr>
        <w:t xml:space="preserve">and proactively address </w:t>
      </w:r>
      <w:r w:rsidR="00844901" w:rsidRPr="00880275">
        <w:rPr>
          <w:lang w:eastAsia="ja-JP" w:bidi="th-TH"/>
        </w:rPr>
        <w:t xml:space="preserve">human rights issues </w:t>
      </w:r>
      <w:r w:rsidR="009D53DA" w:rsidRPr="00880275">
        <w:rPr>
          <w:lang w:eastAsia="ja-JP" w:bidi="th-TH"/>
        </w:rPr>
        <w:t>without need</w:t>
      </w:r>
      <w:r w:rsidR="00EE7F20" w:rsidRPr="00880275">
        <w:rPr>
          <w:lang w:eastAsia="ja-JP" w:bidi="th-TH"/>
        </w:rPr>
        <w:t xml:space="preserve">ing (in most cases) </w:t>
      </w:r>
      <w:r w:rsidR="009D53DA" w:rsidRPr="00880275">
        <w:rPr>
          <w:lang w:eastAsia="ja-JP" w:bidi="th-TH"/>
        </w:rPr>
        <w:t>an individual complaint</w:t>
      </w:r>
      <w:r w:rsidR="00844901" w:rsidRPr="00880275">
        <w:rPr>
          <w:lang w:eastAsia="ja-JP" w:bidi="th-TH"/>
        </w:rPr>
        <w:t xml:space="preserve">. </w:t>
      </w:r>
    </w:p>
    <w:p w14:paraId="6CF261F1" w14:textId="072949DA" w:rsidR="006266D8" w:rsidRPr="00880275" w:rsidRDefault="003E2577" w:rsidP="00754FAE">
      <w:pPr>
        <w:pStyle w:val="Numberedparagraph"/>
        <w:rPr>
          <w:lang w:eastAsia="ja-JP" w:bidi="th-TH"/>
        </w:rPr>
      </w:pPr>
      <w:r w:rsidRPr="00880275">
        <w:rPr>
          <w:lang w:eastAsia="ja-JP" w:bidi="th-TH"/>
        </w:rPr>
        <w:t xml:space="preserve">Building a culture of human rights in the Queensland public sector is only one of three main objects of the Human Rights Act. The other objects are to protect and promote human rights, and to help promote a dialogue about the nature, meaning and scope of human rights. </w:t>
      </w:r>
      <w:r w:rsidR="00517567" w:rsidRPr="00880275">
        <w:rPr>
          <w:lang w:eastAsia="ja-JP" w:bidi="th-TH"/>
        </w:rPr>
        <w:t xml:space="preserve">It is critical that the Commission supports these objects by </w:t>
      </w:r>
      <w:r w:rsidR="00F73789" w:rsidRPr="00880275">
        <w:rPr>
          <w:lang w:eastAsia="ja-JP" w:bidi="th-TH"/>
        </w:rPr>
        <w:t xml:space="preserve">making information about human rights available to the community, </w:t>
      </w:r>
      <w:r w:rsidR="00CE5BA4" w:rsidRPr="00880275">
        <w:rPr>
          <w:lang w:eastAsia="ja-JP" w:bidi="th-TH"/>
        </w:rPr>
        <w:t>on its own initiative or collaboratively</w:t>
      </w:r>
      <w:r w:rsidR="00BC6856" w:rsidRPr="00880275">
        <w:rPr>
          <w:lang w:eastAsia="ja-JP" w:bidi="th-TH"/>
        </w:rPr>
        <w:t>,</w:t>
      </w:r>
      <w:r w:rsidR="00EE45FA" w:rsidRPr="00880275">
        <w:rPr>
          <w:lang w:eastAsia="ja-JP" w:bidi="th-TH"/>
        </w:rPr>
        <w:t xml:space="preserve"> and promoting an awareness and understanding of human rights through community engagement. </w:t>
      </w:r>
      <w:r w:rsidR="00B03237" w:rsidRPr="00880275">
        <w:rPr>
          <w:lang w:eastAsia="ja-JP" w:bidi="th-TH"/>
        </w:rPr>
        <w:t>However, the Commission</w:t>
      </w:r>
      <w:r w:rsidR="006266D8" w:rsidRPr="00880275">
        <w:rPr>
          <w:lang w:eastAsia="ja-JP" w:bidi="th-TH"/>
        </w:rPr>
        <w:t xml:space="preserve"> has not been able to focus on these</w:t>
      </w:r>
      <w:r w:rsidR="001D3BB6" w:rsidRPr="00880275">
        <w:rPr>
          <w:lang w:eastAsia="ja-JP" w:bidi="th-TH"/>
        </w:rPr>
        <w:t xml:space="preserve"> activities in </w:t>
      </w:r>
      <w:r w:rsidR="00AE73B5" w:rsidRPr="00880275">
        <w:rPr>
          <w:lang w:eastAsia="ja-JP" w:bidi="th-TH"/>
        </w:rPr>
        <w:t xml:space="preserve">the way </w:t>
      </w:r>
      <w:r w:rsidR="00024A3C" w:rsidRPr="00880275">
        <w:rPr>
          <w:lang w:eastAsia="ja-JP" w:bidi="th-TH"/>
        </w:rPr>
        <w:t xml:space="preserve">it would like </w:t>
      </w:r>
      <w:r w:rsidR="001D3BB6" w:rsidRPr="00880275">
        <w:rPr>
          <w:lang w:eastAsia="ja-JP" w:bidi="th-TH"/>
        </w:rPr>
        <w:t xml:space="preserve">due to competing priorities. </w:t>
      </w:r>
    </w:p>
    <w:p w14:paraId="7CBA268D" w14:textId="73E0B6B0" w:rsidR="002351BE" w:rsidRPr="00880275" w:rsidRDefault="00F55611" w:rsidP="000F5EA8">
      <w:pPr>
        <w:pStyle w:val="Heading2"/>
      </w:pPr>
      <w:bookmarkStart w:id="24" w:name="_Toc171346761"/>
      <w:r w:rsidRPr="00880275">
        <w:t xml:space="preserve">Key </w:t>
      </w:r>
      <w:r w:rsidR="00730BEF" w:rsidRPr="00880275">
        <w:t xml:space="preserve">factors for </w:t>
      </w:r>
      <w:r w:rsidR="00B9695C" w:rsidRPr="00880275">
        <w:t xml:space="preserve">strengthening </w:t>
      </w:r>
      <w:r w:rsidR="00AF270B" w:rsidRPr="00880275">
        <w:t>human rights culture</w:t>
      </w:r>
      <w:bookmarkEnd w:id="24"/>
    </w:p>
    <w:p w14:paraId="46BCCDB2" w14:textId="7DC803B4" w:rsidR="00F761D1" w:rsidRPr="00880275" w:rsidRDefault="00D32CB7" w:rsidP="000A4957">
      <w:pPr>
        <w:pStyle w:val="Heading3"/>
        <w:rPr>
          <w:rFonts w:ascii="Times New Roman" w:hAnsi="Times New Roman" w:cs="Times New Roman"/>
          <w:color w:val="auto"/>
          <w:sz w:val="24"/>
          <w:lang w:eastAsia="en-AU"/>
        </w:rPr>
      </w:pPr>
      <w:bookmarkStart w:id="25" w:name="_Toc171346762"/>
      <w:r w:rsidRPr="00880275">
        <w:t>Central</w:t>
      </w:r>
      <w:r w:rsidR="005B5009" w:rsidRPr="00880275">
        <w:t xml:space="preserve"> </w:t>
      </w:r>
      <w:r w:rsidR="00B133C3" w:rsidRPr="00880275">
        <w:t xml:space="preserve">and </w:t>
      </w:r>
      <w:r w:rsidR="00D83ECB" w:rsidRPr="00880275">
        <w:t xml:space="preserve">internal </w:t>
      </w:r>
      <w:r w:rsidR="00796982" w:rsidRPr="00880275">
        <w:t>l</w:t>
      </w:r>
      <w:r w:rsidR="00FE1EF3" w:rsidRPr="00880275">
        <w:t>eadership</w:t>
      </w:r>
      <w:r w:rsidR="00F761D1" w:rsidRPr="00880275">
        <w:rPr>
          <w:vertAlign w:val="superscript"/>
        </w:rPr>
        <w:t xml:space="preserve"> </w:t>
      </w:r>
      <w:r w:rsidR="00F761D1" w:rsidRPr="00880275">
        <w:rPr>
          <w:vertAlign w:val="superscript"/>
        </w:rPr>
        <w:footnoteReference w:id="38"/>
      </w:r>
      <w:bookmarkEnd w:id="25"/>
      <w:r w:rsidR="00F761D1" w:rsidRPr="00880275">
        <w:rPr>
          <w:rFonts w:ascii="Times New Roman" w:hAnsi="Times New Roman" w:cs="Times New Roman"/>
          <w:color w:val="auto"/>
          <w:sz w:val="24"/>
          <w:lang w:eastAsia="en-AU"/>
        </w:rPr>
        <w:t xml:space="preserve"> </w:t>
      </w:r>
    </w:p>
    <w:p w14:paraId="134AF84F" w14:textId="0B080430" w:rsidR="0089053E" w:rsidRPr="00880275" w:rsidRDefault="00D1445D" w:rsidP="00754FAE">
      <w:pPr>
        <w:pStyle w:val="Numberedparagraph"/>
      </w:pPr>
      <w:r w:rsidRPr="00880275">
        <w:t>P</w:t>
      </w:r>
      <w:r w:rsidR="00796982" w:rsidRPr="00880275">
        <w:t>roviding accessible, central government support</w:t>
      </w:r>
      <w:r w:rsidR="00BB73A0" w:rsidRPr="00880275">
        <w:t xml:space="preserve"> </w:t>
      </w:r>
      <w:r w:rsidR="00796982" w:rsidRPr="00880275">
        <w:t xml:space="preserve">is essential for successful implementation of human rights </w:t>
      </w:r>
      <w:r w:rsidR="00EF2407" w:rsidRPr="00880275">
        <w:t>legislation</w:t>
      </w:r>
      <w:r w:rsidR="00796982" w:rsidRPr="00880275">
        <w:t xml:space="preserve">. </w:t>
      </w:r>
      <w:r w:rsidR="00BD46B0" w:rsidRPr="00880275">
        <w:t>In addition, maintaining</w:t>
      </w:r>
      <w:r w:rsidR="0089053E" w:rsidRPr="00880275">
        <w:t xml:space="preserve"> human rights units in each government department </w:t>
      </w:r>
      <w:r w:rsidR="00BD46B0" w:rsidRPr="00880275">
        <w:t>would</w:t>
      </w:r>
      <w:r w:rsidR="0089053E" w:rsidRPr="00880275">
        <w:t xml:space="preserve"> promote the spread of specialised knowledge across Queensland Government.</w:t>
      </w:r>
    </w:p>
    <w:p w14:paraId="1174F38D" w14:textId="43749ED5" w:rsidR="00796982" w:rsidRPr="00880275" w:rsidRDefault="00796982" w:rsidP="00754FAE">
      <w:pPr>
        <w:pStyle w:val="Numberedparagraph"/>
      </w:pPr>
      <w:r w:rsidRPr="00880275">
        <w:t>In May 2019, the Department of Justice and Attorney-General established a Human Rights Unit (</w:t>
      </w:r>
      <w:r w:rsidRPr="00880275">
        <w:rPr>
          <w:b/>
        </w:rPr>
        <w:t>HRU</w:t>
      </w:r>
      <w:r w:rsidRPr="00880275">
        <w:t xml:space="preserve">) to help prepare Queensland Government departments to embed human rights into their business by providing leadership, coordination, and support. </w:t>
      </w:r>
    </w:p>
    <w:p w14:paraId="4EB02045" w14:textId="13ECF816" w:rsidR="00796982" w:rsidRPr="00880275" w:rsidRDefault="00796982" w:rsidP="00754FAE">
      <w:pPr>
        <w:pStyle w:val="Numberedparagraph"/>
      </w:pPr>
      <w:r w:rsidRPr="00880275">
        <w:t>The HRU convened a Human Rights Inter-Departmental Committee (</w:t>
      </w:r>
      <w:r w:rsidRPr="00880275">
        <w:rPr>
          <w:b/>
        </w:rPr>
        <w:t>HRIDC</w:t>
      </w:r>
      <w:r w:rsidRPr="00880275">
        <w:t>) with a representative from each Queensland Government department to support capacity-building, collaboration, and culture change across Queensland Government. This included discussing implementation activities, sharing lessons across departments and government functions, and facilitating the distribution of information and</w:t>
      </w:r>
      <w:r w:rsidR="00B94BB1" w:rsidRPr="00880275">
        <w:t>`</w:t>
      </w:r>
      <w:r w:rsidRPr="00880275">
        <w:t xml:space="preserve"> resources. </w:t>
      </w:r>
    </w:p>
    <w:p w14:paraId="1E88F9AB" w14:textId="62372903" w:rsidR="00796982" w:rsidRPr="00880275" w:rsidRDefault="00796982" w:rsidP="00754FAE">
      <w:pPr>
        <w:pStyle w:val="Numberedparagraph"/>
      </w:pPr>
      <w:r w:rsidRPr="00880275">
        <w:t>A key resource for communication and education about human rights for Queensland Public Service employees is the Human Rights Portal.</w:t>
      </w:r>
      <w:r w:rsidR="00062EB7" w:rsidRPr="00880275">
        <w:rPr>
          <w:rStyle w:val="FootnoteReference"/>
          <w:vertAlign w:val="baseline"/>
        </w:rPr>
        <w:footnoteReference w:id="39"/>
      </w:r>
      <w:r w:rsidRPr="00880275">
        <w:t xml:space="preserve"> The portal comprises six web pages</w:t>
      </w:r>
      <w:r w:rsidR="00C645A3" w:rsidRPr="00880275">
        <w:t xml:space="preserve"> that </w:t>
      </w:r>
      <w:r w:rsidR="00BD7BDE" w:rsidRPr="00880275">
        <w:t>are</w:t>
      </w:r>
      <w:r w:rsidRPr="00880275">
        <w:t xml:space="preserve"> developed and maintained by the </w:t>
      </w:r>
      <w:r w:rsidRPr="00880275">
        <w:lastRenderedPageBreak/>
        <w:t>HRU</w:t>
      </w:r>
      <w:r w:rsidR="00C645A3" w:rsidRPr="00880275">
        <w:t xml:space="preserve">. </w:t>
      </w:r>
      <w:r w:rsidRPr="00880275">
        <w:t>In 2019</w:t>
      </w:r>
      <w:r w:rsidR="004A5D6E" w:rsidRPr="00880275">
        <w:t>–</w:t>
      </w:r>
      <w:r w:rsidRPr="00880275">
        <w:t xml:space="preserve">20, the portal had nearly 70,000 page views and over 85,000 clicks to available resources, which includes detailed guides, factsheets, posters, presentations, and video resources. </w:t>
      </w:r>
    </w:p>
    <w:p w14:paraId="07DEDC15" w14:textId="267CBF52" w:rsidR="00796982" w:rsidRPr="00880275" w:rsidRDefault="005F11E3" w:rsidP="00754FAE">
      <w:pPr>
        <w:pStyle w:val="Numberedparagraph"/>
      </w:pPr>
      <w:r w:rsidRPr="00880275">
        <w:t>Further, t</w:t>
      </w:r>
      <w:r w:rsidR="00796982" w:rsidRPr="00880275">
        <w:t xml:space="preserve">he HRU provides a repository of human rights expertise for officers within Queensland Government departments to support them in developing policy and legislation that is compatible with human rights. This includes providing detailed advice on the preparation of statements of compatibility and human rights certificates for legislation. The HRU provides ongoing advice and information to government departments on human rights implementation activities, including reviewing policies and procedures, identifying and responding to human rights complaints, and understanding reporting obligations under the </w:t>
      </w:r>
      <w:r w:rsidR="00881F90" w:rsidRPr="00880275">
        <w:t>Human Rights Act</w:t>
      </w:r>
      <w:r w:rsidR="00796982" w:rsidRPr="00880275">
        <w:t xml:space="preserve">.  </w:t>
      </w:r>
    </w:p>
    <w:p w14:paraId="24838D94" w14:textId="1646546A" w:rsidR="00796982" w:rsidRPr="00880275" w:rsidRDefault="00BE19CD" w:rsidP="00754FAE">
      <w:pPr>
        <w:pStyle w:val="Numberedparagraph"/>
      </w:pPr>
      <w:r w:rsidRPr="00880275">
        <w:t xml:space="preserve">The </w:t>
      </w:r>
      <w:r w:rsidR="00D35A86" w:rsidRPr="00880275">
        <w:t xml:space="preserve">HRU is </w:t>
      </w:r>
      <w:r w:rsidR="008C4F9A" w:rsidRPr="00880275">
        <w:t xml:space="preserve">essential for providing </w:t>
      </w:r>
      <w:r w:rsidR="00796982" w:rsidRPr="00880275">
        <w:t>practical and expert advice and assistance to public entities.</w:t>
      </w:r>
      <w:r w:rsidR="007302CD" w:rsidRPr="00880275">
        <w:t xml:space="preserve"> </w:t>
      </w:r>
      <w:r w:rsidR="00796982" w:rsidRPr="00880275">
        <w:t xml:space="preserve">As an independent statutory body with an impartial complaint handling function, the </w:t>
      </w:r>
      <w:r w:rsidR="00881F90" w:rsidRPr="00880275">
        <w:t>Commission</w:t>
      </w:r>
      <w:r w:rsidR="00796982" w:rsidRPr="00880275">
        <w:t xml:space="preserve"> must necessarily have a less hands-on role in advising agencies on policy matters than the HRU. </w:t>
      </w:r>
      <w:r w:rsidR="00297CDF" w:rsidRPr="00880275">
        <w:t xml:space="preserve">Even as departments develop their own </w:t>
      </w:r>
      <w:proofErr w:type="gramStart"/>
      <w:r w:rsidR="00EF2067" w:rsidRPr="00880275">
        <w:t>in house</w:t>
      </w:r>
      <w:proofErr w:type="gramEnd"/>
      <w:r w:rsidR="00EF2067" w:rsidRPr="00880275">
        <w:t xml:space="preserve"> </w:t>
      </w:r>
      <w:r w:rsidR="00297CDF" w:rsidRPr="00880275">
        <w:t>expertise, there is still a</w:t>
      </w:r>
      <w:r w:rsidR="00EF2067" w:rsidRPr="00880275">
        <w:t xml:space="preserve"> role for supporting smaller </w:t>
      </w:r>
      <w:r w:rsidR="00541946" w:rsidRPr="00880275">
        <w:t xml:space="preserve">agencies, monitoring </w:t>
      </w:r>
      <w:r w:rsidR="0053354A" w:rsidRPr="00880275">
        <w:t xml:space="preserve">implementation, </w:t>
      </w:r>
      <w:r w:rsidR="00672F3B" w:rsidRPr="00880275">
        <w:t xml:space="preserve">providing advice on novel issues, </w:t>
      </w:r>
      <w:r w:rsidR="0053354A" w:rsidRPr="00880275">
        <w:t>maintain</w:t>
      </w:r>
      <w:r w:rsidR="00B461D2" w:rsidRPr="00880275">
        <w:t>ing</w:t>
      </w:r>
      <w:r w:rsidR="0053354A" w:rsidRPr="00880275">
        <w:t xml:space="preserve"> resources, and driving </w:t>
      </w:r>
      <w:r w:rsidR="007E4266" w:rsidRPr="00880275">
        <w:t>leadership and coordination.</w:t>
      </w:r>
    </w:p>
    <w:p w14:paraId="470B946F" w14:textId="37EB24EB" w:rsidR="00B52484" w:rsidRPr="00880275" w:rsidRDefault="00B52484" w:rsidP="00754FAE">
      <w:pPr>
        <w:pStyle w:val="Numberedparagraph"/>
      </w:pPr>
      <w:r w:rsidRPr="00880275">
        <w:t>Unfortunately, funding and resources available for this unit have not been consistent over the first four years of the Act.</w:t>
      </w:r>
    </w:p>
    <w:p w14:paraId="65DB234E" w14:textId="71ECA410" w:rsidR="00796982" w:rsidRPr="00880275" w:rsidRDefault="00796982" w:rsidP="00754FAE">
      <w:pPr>
        <w:pStyle w:val="Numberedparagraph"/>
      </w:pPr>
      <w:r w:rsidRPr="00880275">
        <w:t xml:space="preserve">During a period when the HRU was not active during the 2021-22 reporting year, the </w:t>
      </w:r>
      <w:r w:rsidR="00881F90" w:rsidRPr="00880275">
        <w:t>Commission</w:t>
      </w:r>
      <w:r w:rsidRPr="00880275">
        <w:t xml:space="preserve"> saw a decline in the number of internal human rights complaints reported by public entities whose service delivery was not directly impacted by COVID</w:t>
      </w:r>
      <w:r w:rsidR="00E0270B" w:rsidRPr="00880275">
        <w:t>-19</w:t>
      </w:r>
      <w:r w:rsidRPr="00880275">
        <w:t xml:space="preserve"> (e</w:t>
      </w:r>
      <w:r w:rsidR="00946EB3" w:rsidRPr="00880275">
        <w:t>g</w:t>
      </w:r>
      <w:r w:rsidRPr="00880275">
        <w:t xml:space="preserve"> police, Queensland Corrective Services and Queensland Health). This may have been a result of the HRU not supporting agencies to identify and report such complaints. </w:t>
      </w:r>
    </w:p>
    <w:p w14:paraId="7BC3CAC4" w14:textId="15B8159D" w:rsidR="00E81E07" w:rsidRPr="00880275" w:rsidRDefault="00031E41" w:rsidP="00754FAE">
      <w:pPr>
        <w:pStyle w:val="Numberedparagraph"/>
      </w:pPr>
      <w:r w:rsidRPr="00880275">
        <w:t>Maintaining a</w:t>
      </w:r>
      <w:r w:rsidR="00E81E07" w:rsidRPr="00880275">
        <w:t xml:space="preserve"> central </w:t>
      </w:r>
      <w:r w:rsidRPr="00880275">
        <w:t>human rights</w:t>
      </w:r>
      <w:r w:rsidR="00E81E07" w:rsidRPr="00880275">
        <w:t xml:space="preserve"> unit alone is not enough to build a human rights culture. There must be leadership and commitment across government to building a human rights culture, particularly within key departments.</w:t>
      </w:r>
      <w:r w:rsidR="000539EA" w:rsidRPr="00880275">
        <w:t xml:space="preserve"> </w:t>
      </w:r>
      <w:r w:rsidR="00680A50" w:rsidRPr="00880275">
        <w:t xml:space="preserve">There should be designated </w:t>
      </w:r>
      <w:r w:rsidR="00CC1B71" w:rsidRPr="00880275">
        <w:t xml:space="preserve">leadership </w:t>
      </w:r>
      <w:r w:rsidR="00680A50" w:rsidRPr="00880275">
        <w:t xml:space="preserve">roles within </w:t>
      </w:r>
      <w:r w:rsidR="002E5F2D" w:rsidRPr="00880275">
        <w:t>entities</w:t>
      </w:r>
      <w:r w:rsidR="0007724F" w:rsidRPr="00880275">
        <w:t>,</w:t>
      </w:r>
      <w:r w:rsidR="00CE637B" w:rsidRPr="00880275">
        <w:t xml:space="preserve"> and </w:t>
      </w:r>
      <w:r w:rsidR="003B53F0" w:rsidRPr="00880275">
        <w:t xml:space="preserve">dedicated </w:t>
      </w:r>
      <w:r w:rsidR="00CE637B" w:rsidRPr="00880275">
        <w:t>units</w:t>
      </w:r>
      <w:r w:rsidR="0007724F" w:rsidRPr="00880275">
        <w:t xml:space="preserve"> </w:t>
      </w:r>
      <w:r w:rsidR="003B53F0" w:rsidRPr="00880275">
        <w:t>with</w:t>
      </w:r>
      <w:r w:rsidR="00CE637B" w:rsidRPr="00880275">
        <w:t>in larger public entities,</w:t>
      </w:r>
      <w:r w:rsidR="002E5F2D" w:rsidRPr="00880275">
        <w:t xml:space="preserve"> </w:t>
      </w:r>
      <w:r w:rsidR="00523616" w:rsidRPr="00880275">
        <w:t xml:space="preserve">with responsibility for human rights </w:t>
      </w:r>
      <w:r w:rsidR="00C25532" w:rsidRPr="00880275">
        <w:t xml:space="preserve">implementation and development. </w:t>
      </w:r>
      <w:r w:rsidR="00BC310A" w:rsidRPr="00880275">
        <w:t xml:space="preserve">Like the HRIDC, these leaders </w:t>
      </w:r>
      <w:r w:rsidR="00315A23" w:rsidRPr="00880275">
        <w:t>would meet on a regular basis to share kn</w:t>
      </w:r>
      <w:r w:rsidR="00EA5ACB" w:rsidRPr="00880275">
        <w:t xml:space="preserve">owledge and identify </w:t>
      </w:r>
      <w:r w:rsidR="006815D2" w:rsidRPr="00880275">
        <w:t xml:space="preserve">issues and responses. </w:t>
      </w:r>
    </w:p>
    <w:p w14:paraId="04A70153" w14:textId="3D510022" w:rsidR="00A737A6" w:rsidRPr="00880275" w:rsidRDefault="00283FFC" w:rsidP="00754FAE">
      <w:pPr>
        <w:pStyle w:val="Numberedparagraph"/>
        <w:rPr>
          <w:b/>
          <w:bCs/>
        </w:rPr>
      </w:pPr>
      <w:r w:rsidRPr="00880275">
        <w:t>Culture</w:t>
      </w:r>
      <w:r w:rsidR="00E60C6B" w:rsidRPr="00880275">
        <w:t xml:space="preserve"> </w:t>
      </w:r>
      <w:r w:rsidR="00A737A6" w:rsidRPr="00880275">
        <w:t xml:space="preserve">may be enhanced </w:t>
      </w:r>
      <w:r w:rsidR="00E60C6B" w:rsidRPr="00880275">
        <w:t xml:space="preserve">by </w:t>
      </w:r>
      <w:r w:rsidR="00B34B9E" w:rsidRPr="00880275">
        <w:t>developing communities of practice</w:t>
      </w:r>
      <w:r w:rsidRPr="00880275">
        <w:t xml:space="preserve"> as a place to share learnings and</w:t>
      </w:r>
      <w:r w:rsidR="005554E7" w:rsidRPr="00880275">
        <w:t xml:space="preserve"> foster collaboration</w:t>
      </w:r>
      <w:r w:rsidR="00576F75" w:rsidRPr="00880275">
        <w:t xml:space="preserve"> between</w:t>
      </w:r>
      <w:r w:rsidRPr="00880275">
        <w:t xml:space="preserve"> public entities. </w:t>
      </w:r>
      <w:r w:rsidR="00A737A6" w:rsidRPr="00880275">
        <w:t>This is especially valuable in contexts where service delivery is shared between departments and non-government organi</w:t>
      </w:r>
      <w:r w:rsidR="0012449C" w:rsidRPr="00880275">
        <w:t>s</w:t>
      </w:r>
      <w:r w:rsidR="00A737A6" w:rsidRPr="00880275">
        <w:t>ations engaged in public functions.</w:t>
      </w:r>
    </w:p>
    <w:p w14:paraId="5A6EDFA1" w14:textId="26950101" w:rsidR="009C42B7" w:rsidRPr="00880275" w:rsidRDefault="009C42B7" w:rsidP="00754FAE">
      <w:pPr>
        <w:pStyle w:val="Heading5"/>
      </w:pPr>
      <w:r w:rsidRPr="00880275">
        <w:lastRenderedPageBreak/>
        <w:t>Recommendation 1.</w:t>
      </w:r>
      <w:r w:rsidR="006F0373" w:rsidRPr="00880275">
        <w:t>7</w:t>
      </w:r>
    </w:p>
    <w:p w14:paraId="1DEECB31" w14:textId="77777777" w:rsidR="006F0373" w:rsidRPr="00880275" w:rsidRDefault="006F0373" w:rsidP="00754FAE">
      <w:pPr>
        <w:pStyle w:val="Heading5"/>
      </w:pPr>
      <w:r w:rsidRPr="00880275">
        <w:t>Leadership, expertise and resources on human rights for the public sector should be strengthened by:</w:t>
      </w:r>
    </w:p>
    <w:p w14:paraId="6CF5E04E" w14:textId="60B9250C" w:rsidR="006F0373" w:rsidRPr="00880275" w:rsidRDefault="006F0373" w:rsidP="00754FAE">
      <w:pPr>
        <w:pStyle w:val="Heading5"/>
        <w:numPr>
          <w:ilvl w:val="0"/>
          <w:numId w:val="17"/>
        </w:numPr>
      </w:pPr>
      <w:r w:rsidRPr="00880275">
        <w:t>establishing the Human Rights Unit as a permanent unit within the Department of Justice and Attorney</w:t>
      </w:r>
      <w:r w:rsidR="00F20431" w:rsidRPr="00880275">
        <w:t>-</w:t>
      </w:r>
      <w:r w:rsidRPr="00880275">
        <w:t>General</w:t>
      </w:r>
    </w:p>
    <w:p w14:paraId="2FAAF172" w14:textId="77777777" w:rsidR="006F0373" w:rsidRPr="00880275" w:rsidRDefault="006F0373" w:rsidP="00754FAE">
      <w:pPr>
        <w:pStyle w:val="Heading5"/>
        <w:numPr>
          <w:ilvl w:val="0"/>
          <w:numId w:val="17"/>
        </w:numPr>
      </w:pPr>
      <w:r w:rsidRPr="00880275">
        <w:t>designating key human rights roles and units within other public entities</w:t>
      </w:r>
    </w:p>
    <w:p w14:paraId="41CBD4A8" w14:textId="77777777" w:rsidR="006F0373" w:rsidRPr="00880275" w:rsidRDefault="006F0373" w:rsidP="00754FAE">
      <w:pPr>
        <w:pStyle w:val="Heading5"/>
        <w:numPr>
          <w:ilvl w:val="0"/>
          <w:numId w:val="17"/>
        </w:numPr>
      </w:pPr>
      <w:r w:rsidRPr="00880275">
        <w:t>establishing cross-governmental and cross-sector communities of practice that meet regularly to foster collaboration and share learnings to develop culture across the Queensland public sector.</w:t>
      </w:r>
    </w:p>
    <w:p w14:paraId="504628C5" w14:textId="6E0B47BB" w:rsidR="008D4BF2" w:rsidRPr="00880275" w:rsidRDefault="008D4BF2" w:rsidP="006F0373">
      <w:pPr>
        <w:pStyle w:val="Heading3"/>
      </w:pPr>
      <w:bookmarkStart w:id="26" w:name="_Toc171346763"/>
      <w:r w:rsidRPr="00880275">
        <w:t>Communicating the value of human rights</w:t>
      </w:r>
      <w:bookmarkEnd w:id="26"/>
    </w:p>
    <w:p w14:paraId="6F3714A0" w14:textId="56F2C290" w:rsidR="00535ED0" w:rsidRPr="00880275" w:rsidRDefault="0073431C" w:rsidP="00754FAE">
      <w:pPr>
        <w:pStyle w:val="Numberedparagraph"/>
      </w:pPr>
      <w:r w:rsidRPr="00880275">
        <w:t>Cultural change takes time</w:t>
      </w:r>
      <w:r w:rsidR="005D3D54" w:rsidRPr="00880275">
        <w:t>,</w:t>
      </w:r>
      <w:r w:rsidR="000154F6" w:rsidRPr="00880275">
        <w:t xml:space="preserve"> and</w:t>
      </w:r>
      <w:r w:rsidRPr="00880275">
        <w:t xml:space="preserve"> people are </w:t>
      </w:r>
      <w:r w:rsidR="00BD796C" w:rsidRPr="00880275">
        <w:t>un</w:t>
      </w:r>
      <w:r w:rsidRPr="00880275">
        <w:t xml:space="preserve">likely to adopt new </w:t>
      </w:r>
      <w:r w:rsidR="00531341" w:rsidRPr="00880275">
        <w:t xml:space="preserve">ways of </w:t>
      </w:r>
      <w:r w:rsidR="00BD796C" w:rsidRPr="00880275">
        <w:t>working</w:t>
      </w:r>
      <w:r w:rsidR="00531341" w:rsidRPr="00880275">
        <w:t xml:space="preserve"> </w:t>
      </w:r>
      <w:r w:rsidRPr="00880275">
        <w:t xml:space="preserve">if they </w:t>
      </w:r>
      <w:r w:rsidR="00656226" w:rsidRPr="00880275">
        <w:t>can</w:t>
      </w:r>
      <w:r w:rsidR="00CC7E3C" w:rsidRPr="00880275">
        <w:t xml:space="preserve">not see </w:t>
      </w:r>
      <w:r w:rsidR="000801B4" w:rsidRPr="00880275">
        <w:t>the</w:t>
      </w:r>
      <w:r w:rsidR="00CC7E3C" w:rsidRPr="00880275">
        <w:t xml:space="preserve"> value in </w:t>
      </w:r>
      <w:r w:rsidR="00B14158" w:rsidRPr="00880275">
        <w:t xml:space="preserve">it, or </w:t>
      </w:r>
      <w:r w:rsidR="00723680" w:rsidRPr="00880275">
        <w:t xml:space="preserve">the value is outweighed by </w:t>
      </w:r>
      <w:r w:rsidR="001F0592" w:rsidRPr="00880275">
        <w:t xml:space="preserve">the </w:t>
      </w:r>
      <w:r w:rsidR="000801B4" w:rsidRPr="00880275">
        <w:t>difficult</w:t>
      </w:r>
      <w:r w:rsidR="001F0592" w:rsidRPr="00880275">
        <w:t>y of</w:t>
      </w:r>
      <w:r w:rsidR="000801B4" w:rsidRPr="00880275">
        <w:t xml:space="preserve"> incorporat</w:t>
      </w:r>
      <w:r w:rsidR="002E0B15" w:rsidRPr="00880275">
        <w:t>ing</w:t>
      </w:r>
      <w:r w:rsidR="000801B4" w:rsidRPr="00880275">
        <w:t xml:space="preserve"> it into practice</w:t>
      </w:r>
      <w:r w:rsidR="00C06F96" w:rsidRPr="00880275">
        <w:t>.</w:t>
      </w:r>
    </w:p>
    <w:p w14:paraId="646AE0EC" w14:textId="01C98A62" w:rsidR="000862A2" w:rsidRPr="00880275" w:rsidRDefault="00535ED0" w:rsidP="00754FAE">
      <w:pPr>
        <w:pStyle w:val="Numberedparagraph"/>
      </w:pPr>
      <w:r w:rsidRPr="00880275">
        <w:t xml:space="preserve">One of </w:t>
      </w:r>
      <w:r w:rsidR="00EA3A8C" w:rsidRPr="00880275">
        <w:t xml:space="preserve">the roles of leadership </w:t>
      </w:r>
      <w:r w:rsidR="00FA7B9D" w:rsidRPr="00880275">
        <w:t xml:space="preserve">is </w:t>
      </w:r>
      <w:r w:rsidR="00EA3A8C" w:rsidRPr="00880275">
        <w:t xml:space="preserve">to identify and communicate </w:t>
      </w:r>
      <w:r w:rsidR="000801B4" w:rsidRPr="00880275">
        <w:t>organisational values – in this case</w:t>
      </w:r>
      <w:r w:rsidR="000C1306" w:rsidRPr="00880275">
        <w:t xml:space="preserve"> applying </w:t>
      </w:r>
      <w:r w:rsidR="00FA7B9D" w:rsidRPr="00880275">
        <w:t xml:space="preserve">human rights </w:t>
      </w:r>
      <w:r w:rsidR="00B21E9B" w:rsidRPr="00880275">
        <w:t xml:space="preserve">– </w:t>
      </w:r>
      <w:r w:rsidR="00FA7B9D" w:rsidRPr="00880275">
        <w:t xml:space="preserve">in </w:t>
      </w:r>
      <w:r w:rsidR="007638EA" w:rsidRPr="00880275">
        <w:t>a way that is meaningful for staff</w:t>
      </w:r>
      <w:r w:rsidR="002F35ED" w:rsidRPr="00880275">
        <w:t xml:space="preserve">, </w:t>
      </w:r>
      <w:r w:rsidR="000D0C8D" w:rsidRPr="00880275">
        <w:t xml:space="preserve">rather than merely </w:t>
      </w:r>
      <w:r w:rsidR="000C1306" w:rsidRPr="00880275">
        <w:t>a requirement of law</w:t>
      </w:r>
      <w:r w:rsidR="002F35ED" w:rsidRPr="00880275">
        <w:t xml:space="preserve">. </w:t>
      </w:r>
      <w:r w:rsidR="00D40C12" w:rsidRPr="00880275">
        <w:t>For example,</w:t>
      </w:r>
      <w:r w:rsidR="00414CCF" w:rsidRPr="00880275">
        <w:t xml:space="preserve"> </w:t>
      </w:r>
      <w:r w:rsidR="001762A6" w:rsidRPr="00880275">
        <w:t>a</w:t>
      </w:r>
      <w:r w:rsidR="009250F3" w:rsidRPr="00880275">
        <w:t>pplying</w:t>
      </w:r>
      <w:r w:rsidR="001762A6" w:rsidRPr="00880275">
        <w:t xml:space="preserve"> </w:t>
      </w:r>
      <w:r w:rsidR="009F0580" w:rsidRPr="00880275">
        <w:t xml:space="preserve">human rights </w:t>
      </w:r>
      <w:r w:rsidR="00CA1E1C" w:rsidRPr="00880275">
        <w:t xml:space="preserve">may </w:t>
      </w:r>
      <w:r w:rsidR="008D4C26" w:rsidRPr="00880275">
        <w:t xml:space="preserve">uncover innovative solutions </w:t>
      </w:r>
      <w:r w:rsidR="000A782A" w:rsidRPr="00880275">
        <w:t xml:space="preserve">to situations </w:t>
      </w:r>
      <w:r w:rsidR="008D4C26" w:rsidRPr="00880275">
        <w:t xml:space="preserve">or </w:t>
      </w:r>
      <w:r w:rsidR="000D5534" w:rsidRPr="00880275">
        <w:t xml:space="preserve">give confidence to </w:t>
      </w:r>
      <w:r w:rsidR="000A782A" w:rsidRPr="00880275">
        <w:t>staff</w:t>
      </w:r>
      <w:r w:rsidR="000D5534" w:rsidRPr="00880275">
        <w:t xml:space="preserve"> </w:t>
      </w:r>
      <w:r w:rsidR="004F6996" w:rsidRPr="00880275">
        <w:t>making difficult decisions</w:t>
      </w:r>
      <w:r w:rsidR="000671FE" w:rsidRPr="00880275">
        <w:t>.</w:t>
      </w:r>
      <w:r w:rsidR="004F6996" w:rsidRPr="00880275">
        <w:t xml:space="preserve"> </w:t>
      </w:r>
      <w:r w:rsidR="002556B9" w:rsidRPr="00880275">
        <w:t xml:space="preserve">Considering </w:t>
      </w:r>
      <w:r w:rsidR="00420B38" w:rsidRPr="00880275">
        <w:t xml:space="preserve">human rights </w:t>
      </w:r>
      <w:r w:rsidR="00E36BB5" w:rsidRPr="00880275">
        <w:t xml:space="preserve">at the outset </w:t>
      </w:r>
      <w:r w:rsidR="00CA1E1C" w:rsidRPr="00880275">
        <w:t>help</w:t>
      </w:r>
      <w:r w:rsidR="00A27F53" w:rsidRPr="00880275">
        <w:t>s</w:t>
      </w:r>
      <w:r w:rsidR="00CA1E1C" w:rsidRPr="00880275">
        <w:t xml:space="preserve"> </w:t>
      </w:r>
      <w:r w:rsidR="00657350" w:rsidRPr="00880275">
        <w:t xml:space="preserve">ensure </w:t>
      </w:r>
      <w:r w:rsidR="00EB28D2" w:rsidRPr="00880275">
        <w:t xml:space="preserve">comprehensive </w:t>
      </w:r>
      <w:r w:rsidR="00C57DC3" w:rsidRPr="00880275">
        <w:t>consideration</w:t>
      </w:r>
      <w:r w:rsidR="00FD41B8" w:rsidRPr="00880275">
        <w:t xml:space="preserve"> </w:t>
      </w:r>
      <w:r w:rsidR="00EB28D2" w:rsidRPr="00880275">
        <w:t xml:space="preserve">of </w:t>
      </w:r>
      <w:r w:rsidR="004C45B6" w:rsidRPr="00880275">
        <w:t xml:space="preserve">the issues </w:t>
      </w:r>
      <w:r w:rsidR="00B126E1" w:rsidRPr="00880275">
        <w:t>and avoid</w:t>
      </w:r>
      <w:r w:rsidR="00A27F53" w:rsidRPr="00880275">
        <w:t>s possible</w:t>
      </w:r>
      <w:r w:rsidR="00B126E1" w:rsidRPr="00880275">
        <w:t xml:space="preserve"> unintended consequences </w:t>
      </w:r>
      <w:r w:rsidR="0001449B" w:rsidRPr="00880275">
        <w:t>in the future</w:t>
      </w:r>
      <w:r w:rsidR="00C63A4C" w:rsidRPr="00880275">
        <w:t>.</w:t>
      </w:r>
      <w:r w:rsidR="00B126E1" w:rsidRPr="00880275">
        <w:t xml:space="preserve"> </w:t>
      </w:r>
      <w:r w:rsidR="00380CE9" w:rsidRPr="00880275">
        <w:t xml:space="preserve">It </w:t>
      </w:r>
      <w:r w:rsidR="000671FE" w:rsidRPr="00880275">
        <w:t xml:space="preserve">also </w:t>
      </w:r>
      <w:r w:rsidR="00D33082" w:rsidRPr="00880275">
        <w:t xml:space="preserve">allows </w:t>
      </w:r>
      <w:r w:rsidR="00A75DF5" w:rsidRPr="00880275">
        <w:t>decision-makers to reflect on</w:t>
      </w:r>
      <w:r w:rsidR="00BD3C1E" w:rsidRPr="00880275">
        <w:t xml:space="preserve"> </w:t>
      </w:r>
      <w:r w:rsidR="00990506" w:rsidRPr="00880275">
        <w:t xml:space="preserve">the </w:t>
      </w:r>
      <w:r w:rsidR="003939A1" w:rsidRPr="00880275">
        <w:t xml:space="preserve">purpose </w:t>
      </w:r>
      <w:r w:rsidR="00990506" w:rsidRPr="00880275">
        <w:t xml:space="preserve">and </w:t>
      </w:r>
      <w:r w:rsidR="003939A1" w:rsidRPr="00880275">
        <w:t>value of the</w:t>
      </w:r>
      <w:r w:rsidR="00A75DF5" w:rsidRPr="00880275">
        <w:t>ir</w:t>
      </w:r>
      <w:r w:rsidR="003939A1" w:rsidRPr="00880275">
        <w:t xml:space="preserve"> work.</w:t>
      </w:r>
    </w:p>
    <w:p w14:paraId="75F83417" w14:textId="05AA5AB1" w:rsidR="004140E6" w:rsidRPr="00880275" w:rsidRDefault="00A80C59" w:rsidP="00754FAE">
      <w:pPr>
        <w:pStyle w:val="Numberedparagraph"/>
      </w:pPr>
      <w:r w:rsidRPr="00880275">
        <w:t>Where</w:t>
      </w:r>
      <w:r w:rsidR="00925931" w:rsidRPr="00880275">
        <w:t xml:space="preserve"> </w:t>
      </w:r>
      <w:r w:rsidR="00747F56" w:rsidRPr="00880275">
        <w:t xml:space="preserve">staff </w:t>
      </w:r>
      <w:r w:rsidR="00E71BDD" w:rsidRPr="00880275">
        <w:t xml:space="preserve">see </w:t>
      </w:r>
      <w:r w:rsidR="006226BF" w:rsidRPr="00880275">
        <w:t>benefit</w:t>
      </w:r>
      <w:r w:rsidR="00165471" w:rsidRPr="00880275">
        <w:t>s to</w:t>
      </w:r>
      <w:r w:rsidR="00747F56" w:rsidRPr="00880275">
        <w:t xml:space="preserve"> </w:t>
      </w:r>
      <w:r w:rsidR="00EB31B6" w:rsidRPr="00880275">
        <w:t xml:space="preserve">incorporating human rights values in their </w:t>
      </w:r>
      <w:r w:rsidR="006226BF" w:rsidRPr="00880275">
        <w:t xml:space="preserve">own work, they </w:t>
      </w:r>
      <w:r w:rsidR="00747F56" w:rsidRPr="00880275">
        <w:t>may be</w:t>
      </w:r>
      <w:r w:rsidR="00C019A0" w:rsidRPr="00880275">
        <w:t xml:space="preserve"> open to upskilling in human rights </w:t>
      </w:r>
      <w:r w:rsidR="001F0CDE" w:rsidRPr="00880275">
        <w:t xml:space="preserve">obligations </w:t>
      </w:r>
      <w:r w:rsidR="00C019A0" w:rsidRPr="00880275">
        <w:t xml:space="preserve">and willing </w:t>
      </w:r>
      <w:r w:rsidR="00747F56" w:rsidRPr="00880275">
        <w:t xml:space="preserve">to </w:t>
      </w:r>
      <w:r w:rsidR="005B3961" w:rsidRPr="00880275">
        <w:t>apply</w:t>
      </w:r>
      <w:r w:rsidR="00820AC8" w:rsidRPr="00880275">
        <w:t xml:space="preserve"> </w:t>
      </w:r>
      <w:r w:rsidR="009323B2" w:rsidRPr="00880275">
        <w:t xml:space="preserve">human rights in their everyday work. </w:t>
      </w:r>
    </w:p>
    <w:p w14:paraId="2963B6A7" w14:textId="3D6534DA" w:rsidR="00C23238" w:rsidRPr="00880275" w:rsidRDefault="00C23238" w:rsidP="00754FAE">
      <w:pPr>
        <w:pStyle w:val="Numberedparagraph"/>
      </w:pPr>
      <w:r w:rsidRPr="00880275">
        <w:t xml:space="preserve">Recognising the inherent value of human rights </w:t>
      </w:r>
      <w:r w:rsidR="00E349AE" w:rsidRPr="00880275">
        <w:t xml:space="preserve">should </w:t>
      </w:r>
      <w:r w:rsidRPr="00880275">
        <w:t xml:space="preserve">also lead </w:t>
      </w:r>
      <w:r w:rsidR="00AA0958" w:rsidRPr="00880275">
        <w:t xml:space="preserve">to </w:t>
      </w:r>
      <w:r w:rsidR="008C3BBA" w:rsidRPr="00880275">
        <w:t xml:space="preserve">improved </w:t>
      </w:r>
      <w:r w:rsidR="007D1069" w:rsidRPr="00880275">
        <w:t xml:space="preserve">attitudes towards resolving human rights complaints, </w:t>
      </w:r>
      <w:r w:rsidR="00F310F1" w:rsidRPr="00880275">
        <w:t>a</w:t>
      </w:r>
      <w:r w:rsidR="004B1D4D" w:rsidRPr="00880275">
        <w:t>llocating</w:t>
      </w:r>
      <w:r w:rsidR="00F310F1" w:rsidRPr="00880275">
        <w:t xml:space="preserve"> </w:t>
      </w:r>
      <w:r w:rsidR="00A52E96" w:rsidRPr="00880275">
        <w:t xml:space="preserve">resources dedicated to </w:t>
      </w:r>
      <w:r w:rsidR="00CA5B78" w:rsidRPr="00880275">
        <w:t xml:space="preserve">embedding </w:t>
      </w:r>
      <w:r w:rsidR="003A2C18" w:rsidRPr="00880275">
        <w:t>human rights in policy and practice, and</w:t>
      </w:r>
      <w:r w:rsidR="00982C1E" w:rsidRPr="00880275">
        <w:t xml:space="preserve"> </w:t>
      </w:r>
      <w:r w:rsidR="002F3F90" w:rsidRPr="00880275">
        <w:t>making</w:t>
      </w:r>
      <w:r w:rsidR="00982C1E" w:rsidRPr="00880275">
        <w:t xml:space="preserve"> training and resource</w:t>
      </w:r>
      <w:r w:rsidR="00C6005D" w:rsidRPr="00880275">
        <w:t xml:space="preserve">s available </w:t>
      </w:r>
      <w:r w:rsidR="00ED594F" w:rsidRPr="00880275">
        <w:t>to</w:t>
      </w:r>
      <w:r w:rsidR="00C6005D" w:rsidRPr="00880275">
        <w:t xml:space="preserve"> staff. </w:t>
      </w:r>
      <w:r w:rsidR="003A2C18" w:rsidRPr="00880275">
        <w:t xml:space="preserve"> </w:t>
      </w:r>
    </w:p>
    <w:p w14:paraId="77EF277B" w14:textId="6AC9463D" w:rsidR="003C003C" w:rsidRPr="00880275" w:rsidRDefault="00A66A8C" w:rsidP="00754FAE">
      <w:pPr>
        <w:pStyle w:val="Numberedparagraph"/>
        <w:rPr>
          <w:rFonts w:eastAsia="Arial"/>
        </w:rPr>
      </w:pPr>
      <w:r w:rsidRPr="00880275">
        <w:t xml:space="preserve">Public sector staff </w:t>
      </w:r>
      <w:r w:rsidR="00C32226" w:rsidRPr="00880275">
        <w:t xml:space="preserve">at all levels </w:t>
      </w:r>
      <w:r w:rsidRPr="00880275">
        <w:t>should be supported to understand the</w:t>
      </w:r>
      <w:r w:rsidR="00C32226" w:rsidRPr="00880275">
        <w:t xml:space="preserve"> </w:t>
      </w:r>
      <w:r w:rsidRPr="00880275">
        <w:t xml:space="preserve">value of </w:t>
      </w:r>
      <w:r w:rsidR="00C32226" w:rsidRPr="00880275">
        <w:t xml:space="preserve">applying </w:t>
      </w:r>
      <w:r w:rsidRPr="00880275">
        <w:t xml:space="preserve">human rights </w:t>
      </w:r>
      <w:r w:rsidR="00C32226" w:rsidRPr="00880275">
        <w:t>to their work</w:t>
      </w:r>
      <w:r w:rsidR="00D50A4E" w:rsidRPr="00880275">
        <w:t>.</w:t>
      </w:r>
      <w:r w:rsidR="001C4A58" w:rsidRPr="00880275">
        <w:t xml:space="preserve"> </w:t>
      </w:r>
      <w:r w:rsidR="003A17B8" w:rsidRPr="00880275">
        <w:t>S</w:t>
      </w:r>
      <w:r w:rsidR="001C4A58" w:rsidRPr="00880275">
        <w:t xml:space="preserve">enior </w:t>
      </w:r>
      <w:r w:rsidR="00751FD1" w:rsidRPr="00880275">
        <w:t xml:space="preserve">leadership </w:t>
      </w:r>
      <w:r w:rsidR="006B3834" w:rsidRPr="00880275">
        <w:t xml:space="preserve">can then </w:t>
      </w:r>
      <w:r w:rsidR="00E32348" w:rsidRPr="00880275">
        <w:t xml:space="preserve">harness </w:t>
      </w:r>
      <w:r w:rsidR="00F22CFA" w:rsidRPr="00880275">
        <w:t xml:space="preserve">that understanding </w:t>
      </w:r>
      <w:r w:rsidR="006B3834" w:rsidRPr="00880275">
        <w:t>to more successfully</w:t>
      </w:r>
      <w:r w:rsidR="00F22CFA" w:rsidRPr="00880275">
        <w:t xml:space="preserve"> </w:t>
      </w:r>
      <w:r w:rsidR="006D1E06" w:rsidRPr="00880275">
        <w:t xml:space="preserve">drive </w:t>
      </w:r>
      <w:r w:rsidR="0001798C" w:rsidRPr="00880275">
        <w:t xml:space="preserve">and model human rights </w:t>
      </w:r>
      <w:r w:rsidR="00987B3E" w:rsidRPr="00880275">
        <w:t xml:space="preserve">culture. </w:t>
      </w:r>
      <w:r w:rsidR="001C4A58" w:rsidRPr="00880275">
        <w:t xml:space="preserve"> </w:t>
      </w:r>
    </w:p>
    <w:p w14:paraId="10DA06BA" w14:textId="0DBDB50D" w:rsidR="009C42B7" w:rsidRPr="00880275" w:rsidRDefault="009C42B7" w:rsidP="00754FAE">
      <w:pPr>
        <w:pStyle w:val="Heading5"/>
      </w:pPr>
      <w:r w:rsidRPr="00880275">
        <w:lastRenderedPageBreak/>
        <w:t>Recommendation 1.</w:t>
      </w:r>
      <w:r w:rsidR="00964947" w:rsidRPr="00880275">
        <w:t>8</w:t>
      </w:r>
    </w:p>
    <w:p w14:paraId="7E1FC2F1" w14:textId="5CD8C1BC" w:rsidR="00964947" w:rsidRPr="00880275" w:rsidRDefault="00964947" w:rsidP="00754FAE">
      <w:pPr>
        <w:pStyle w:val="Heading5"/>
      </w:pPr>
      <w:r w:rsidRPr="00880275">
        <w:t>All public entities (assisted by the Human Rights Unit of the Department of Justice and Attorney</w:t>
      </w:r>
      <w:r w:rsidR="00F20431" w:rsidRPr="00880275">
        <w:t>-</w:t>
      </w:r>
      <w:r w:rsidRPr="00880275">
        <w:t xml:space="preserve">General and the Commission) should support staff at all levels to understand the value of applying human rights to their work, beyond merely a requirement of law.  </w:t>
      </w:r>
    </w:p>
    <w:p w14:paraId="0F626DAE" w14:textId="7FD3DF05" w:rsidR="008F3D39" w:rsidRPr="00880275" w:rsidRDefault="006E2C22" w:rsidP="000A4957">
      <w:pPr>
        <w:pStyle w:val="Heading3"/>
      </w:pPr>
      <w:bookmarkStart w:id="27" w:name="_Toc171346764"/>
      <w:r w:rsidRPr="00880275">
        <w:t>Identifying and r</w:t>
      </w:r>
      <w:r w:rsidR="008F3ABC" w:rsidRPr="00880275">
        <w:t>esponding to human rights complaints</w:t>
      </w:r>
      <w:bookmarkEnd w:id="27"/>
    </w:p>
    <w:p w14:paraId="525E0A84" w14:textId="12FD555E" w:rsidR="00340FED" w:rsidRPr="00880275" w:rsidRDefault="005C01D2" w:rsidP="00754FAE">
      <w:pPr>
        <w:pStyle w:val="Numberedparagraph"/>
      </w:pPr>
      <w:r w:rsidRPr="00880275">
        <w:t>Human rights complaints</w:t>
      </w:r>
      <w:r w:rsidR="009331CE" w:rsidRPr="00880275">
        <w:t xml:space="preserve"> </w:t>
      </w:r>
      <w:r w:rsidR="00107C42" w:rsidRPr="00880275">
        <w:t>have</w:t>
      </w:r>
      <w:r w:rsidR="009331CE" w:rsidRPr="00880275">
        <w:t xml:space="preserve"> a crucial</w:t>
      </w:r>
      <w:r w:rsidR="00AB4DC9" w:rsidRPr="00880275">
        <w:t xml:space="preserve"> </w:t>
      </w:r>
      <w:r w:rsidR="007D7E99" w:rsidRPr="00880275">
        <w:t>role in</w:t>
      </w:r>
      <w:r w:rsidR="00AB4DC9" w:rsidRPr="00880275">
        <w:t xml:space="preserve"> the dialogue between individuals and the State</w:t>
      </w:r>
      <w:r w:rsidR="007D7E99" w:rsidRPr="00880275">
        <w:t>. They not only offer</w:t>
      </w:r>
      <w:r w:rsidRPr="00880275">
        <w:t xml:space="preserve"> the </w:t>
      </w:r>
      <w:r w:rsidR="007D7E99" w:rsidRPr="00880275">
        <w:t>chance to address</w:t>
      </w:r>
      <w:r w:rsidRPr="00880275">
        <w:t xml:space="preserve"> </w:t>
      </w:r>
      <w:r w:rsidR="008C43C0" w:rsidRPr="00880275">
        <w:t>individual</w:t>
      </w:r>
      <w:r w:rsidRPr="00880275">
        <w:t xml:space="preserve"> concerns but </w:t>
      </w:r>
      <w:r w:rsidR="007D7E99" w:rsidRPr="00880275">
        <w:t>also serve as valuable</w:t>
      </w:r>
      <w:r w:rsidR="008C43C0" w:rsidRPr="00880275">
        <w:t xml:space="preserve"> opportunities to </w:t>
      </w:r>
      <w:r w:rsidR="007D7E99" w:rsidRPr="00880275">
        <w:t>enhance</w:t>
      </w:r>
      <w:r w:rsidR="008C43C0" w:rsidRPr="00880275">
        <w:t xml:space="preserve"> systemic practices</w:t>
      </w:r>
      <w:r w:rsidR="00AB4DC9" w:rsidRPr="00880275">
        <w:t xml:space="preserve">. </w:t>
      </w:r>
      <w:r w:rsidR="00340FED" w:rsidRPr="00880275">
        <w:t xml:space="preserve">From the Commission's perspective, </w:t>
      </w:r>
      <w:r w:rsidR="0053325C" w:rsidRPr="00880275">
        <w:t>opportunities</w:t>
      </w:r>
      <w:r w:rsidR="00340FED" w:rsidRPr="00880275">
        <w:t xml:space="preserve"> </w:t>
      </w:r>
      <w:r w:rsidR="00A82370" w:rsidRPr="00880275">
        <w:t xml:space="preserve">exist </w:t>
      </w:r>
      <w:r w:rsidR="00340FED" w:rsidRPr="00880275">
        <w:t xml:space="preserve">for improvement in both identification of complaints related to human rights and the approach to dispute resolution </w:t>
      </w:r>
      <w:r w:rsidR="00CC0C85" w:rsidRPr="00880275">
        <w:t xml:space="preserve">at the Commission </w:t>
      </w:r>
      <w:r w:rsidR="00A82370" w:rsidRPr="00880275">
        <w:t xml:space="preserve">and </w:t>
      </w:r>
      <w:r w:rsidR="00340FED" w:rsidRPr="00880275">
        <w:t>across the public sector.</w:t>
      </w:r>
      <w:r w:rsidR="0093479F" w:rsidRPr="00880275">
        <w:t xml:space="preserve"> </w:t>
      </w:r>
    </w:p>
    <w:p w14:paraId="07170BE7" w14:textId="57082F9A" w:rsidR="00BB2F85" w:rsidRPr="00880275" w:rsidRDefault="0012062D" w:rsidP="00754FAE">
      <w:pPr>
        <w:pStyle w:val="Numberedparagraph"/>
      </w:pPr>
      <w:r w:rsidRPr="00880275">
        <w:t xml:space="preserve">This issue is </w:t>
      </w:r>
      <w:r w:rsidR="00CC0C85" w:rsidRPr="00880275">
        <w:t xml:space="preserve">discussed in more detail </w:t>
      </w:r>
      <w:r w:rsidRPr="00880275">
        <w:t xml:space="preserve">with recommendations </w:t>
      </w:r>
      <w:r w:rsidR="00CC0C85" w:rsidRPr="00880275">
        <w:t xml:space="preserve">in the section on </w:t>
      </w:r>
      <w:r w:rsidRPr="00880275">
        <w:rPr>
          <w:b/>
          <w:bCs/>
        </w:rPr>
        <w:t>Complaints and dispute resolution</w:t>
      </w:r>
      <w:r w:rsidRPr="00880275">
        <w:t xml:space="preserve"> below.</w:t>
      </w:r>
    </w:p>
    <w:p w14:paraId="34017A9A" w14:textId="58E9D728" w:rsidR="002C0F31" w:rsidRPr="00880275" w:rsidRDefault="003E015B" w:rsidP="002C0F31">
      <w:pPr>
        <w:pStyle w:val="Heading3"/>
      </w:pPr>
      <w:bookmarkStart w:id="28" w:name="_Toc171346765"/>
      <w:r w:rsidRPr="00880275">
        <w:t>Prioritis</w:t>
      </w:r>
      <w:r w:rsidR="00545E47" w:rsidRPr="00880275">
        <w:t>ing</w:t>
      </w:r>
      <w:r w:rsidR="002C0F31" w:rsidRPr="00880275">
        <w:t xml:space="preserve"> community </w:t>
      </w:r>
      <w:r w:rsidR="00545E47" w:rsidRPr="00880275">
        <w:t xml:space="preserve">understanding and </w:t>
      </w:r>
      <w:r w:rsidR="002C0F31" w:rsidRPr="00880275">
        <w:t>engagement</w:t>
      </w:r>
      <w:bookmarkEnd w:id="28"/>
    </w:p>
    <w:p w14:paraId="6CF842D1" w14:textId="77777777" w:rsidR="002858D7" w:rsidRPr="00880275" w:rsidRDefault="001B149F" w:rsidP="00754FAE">
      <w:pPr>
        <w:pStyle w:val="Numberedparagraph"/>
      </w:pPr>
      <w:r w:rsidRPr="00880275">
        <w:t>Recent research shows that an overwhelming majority of people think that the protection of human rights and dignity is vital and relevant to them,</w:t>
      </w:r>
      <w:r w:rsidRPr="00880275">
        <w:rPr>
          <w:vertAlign w:val="superscript"/>
        </w:rPr>
        <w:footnoteReference w:id="40"/>
      </w:r>
      <w:r w:rsidRPr="00880275">
        <w:t xml:space="preserve"> and awareness of the Act is increasing.</w:t>
      </w:r>
      <w:r w:rsidRPr="00880275">
        <w:rPr>
          <w:vertAlign w:val="superscript"/>
        </w:rPr>
        <w:footnoteReference w:id="41"/>
      </w:r>
      <w:r w:rsidRPr="00880275">
        <w:t xml:space="preserve"> However, community understanding of what human rights means in practice, and how an individual can enforce their rights under the Act could be greatly enhanced</w:t>
      </w:r>
      <w:r w:rsidR="00DC36B9" w:rsidRPr="00880275">
        <w:t>, which will in turn drive human</w:t>
      </w:r>
      <w:r w:rsidRPr="00880275">
        <w:t xml:space="preserve"> rights </w:t>
      </w:r>
      <w:r w:rsidR="00DC36B9" w:rsidRPr="00880275">
        <w:t>culture in the public sector</w:t>
      </w:r>
      <w:r w:rsidRPr="00880275">
        <w:t xml:space="preserve">. </w:t>
      </w:r>
    </w:p>
    <w:p w14:paraId="21E3D7D9" w14:textId="76F20C96" w:rsidR="002858D7" w:rsidRPr="00880275" w:rsidRDefault="002858D7" w:rsidP="00754FAE">
      <w:pPr>
        <w:pStyle w:val="Heading5"/>
      </w:pPr>
      <w:r w:rsidRPr="00880275">
        <w:t>Recommendation 1.</w:t>
      </w:r>
      <w:r w:rsidR="00EE3ED1" w:rsidRPr="00880275">
        <w:t>9</w:t>
      </w:r>
    </w:p>
    <w:p w14:paraId="11651E6C" w14:textId="4E2B3584" w:rsidR="001B149F" w:rsidRPr="00880275" w:rsidRDefault="00217250" w:rsidP="00754FAE">
      <w:pPr>
        <w:pStyle w:val="Heading5"/>
      </w:pPr>
      <w:r w:rsidRPr="00880275">
        <w:t>The Commission should continue to direct specific resources to building community understanding of the Human Rights Act</w:t>
      </w:r>
      <w:r w:rsidR="00495BD9" w:rsidRPr="00880275">
        <w:t xml:space="preserve">, </w:t>
      </w:r>
      <w:r w:rsidR="001B149F" w:rsidRPr="00880275">
        <w:t>how it may apply to individuals and communities</w:t>
      </w:r>
      <w:r w:rsidR="6A6949E8" w:rsidRPr="00880275">
        <w:t xml:space="preserve">, and how </w:t>
      </w:r>
      <w:r w:rsidR="604F2151" w:rsidRPr="00880275">
        <w:t>remedies can be accessed</w:t>
      </w:r>
      <w:r w:rsidR="001B149F" w:rsidRPr="00880275">
        <w:t xml:space="preserve">. </w:t>
      </w:r>
    </w:p>
    <w:p w14:paraId="4C9A7E05" w14:textId="083DE9D8" w:rsidR="001B149F" w:rsidRPr="00880275" w:rsidRDefault="001B149F" w:rsidP="001B149F">
      <w:pPr>
        <w:pStyle w:val="Heading3"/>
        <w:rPr>
          <w:color w:val="000000" w:themeColor="text1"/>
        </w:rPr>
      </w:pPr>
      <w:bookmarkStart w:id="29" w:name="_Toc171346766"/>
      <w:r w:rsidRPr="00880275">
        <w:t>Training and resources for</w:t>
      </w:r>
      <w:r w:rsidR="00E46B87" w:rsidRPr="00880275">
        <w:t xml:space="preserve"> courts and</w:t>
      </w:r>
      <w:r w:rsidRPr="00880275">
        <w:t xml:space="preserve"> public entities</w:t>
      </w:r>
      <w:bookmarkEnd w:id="29"/>
    </w:p>
    <w:p w14:paraId="2DE661E8" w14:textId="286BCD75" w:rsidR="00B03FDD" w:rsidRPr="00880275" w:rsidRDefault="00F20098" w:rsidP="00754FAE">
      <w:pPr>
        <w:pStyle w:val="Numberedparagraph"/>
      </w:pPr>
      <w:r w:rsidRPr="00880275">
        <w:t>T</w:t>
      </w:r>
      <w:r w:rsidR="00B03FDD" w:rsidRPr="00880275">
        <w:t>he</w:t>
      </w:r>
      <w:r w:rsidR="001412CF" w:rsidRPr="00880275" w:rsidDel="00072CE5">
        <w:t xml:space="preserve"> </w:t>
      </w:r>
      <w:r w:rsidR="00072CE5" w:rsidRPr="00880275">
        <w:t xml:space="preserve">onset </w:t>
      </w:r>
      <w:r w:rsidR="001412CF" w:rsidRPr="00880275">
        <w:t xml:space="preserve">of the </w:t>
      </w:r>
      <w:r w:rsidR="00205020" w:rsidRPr="00880275">
        <w:t xml:space="preserve">global COVID-19 pandemic at the same time as the </w:t>
      </w:r>
      <w:r w:rsidR="008D2C7A" w:rsidRPr="00880275">
        <w:t xml:space="preserve">commencement of the Human Rights Act </w:t>
      </w:r>
      <w:r w:rsidR="0003745D" w:rsidRPr="00880275">
        <w:t xml:space="preserve">meant that </w:t>
      </w:r>
      <w:r w:rsidR="001412CF" w:rsidRPr="00880275">
        <w:t xml:space="preserve">few </w:t>
      </w:r>
      <w:r w:rsidR="0003745D" w:rsidRPr="00880275">
        <w:t>resources</w:t>
      </w:r>
      <w:r w:rsidR="001412CF" w:rsidRPr="00880275">
        <w:t xml:space="preserve"> were available for a concerted public information campaign and </w:t>
      </w:r>
      <w:r w:rsidR="00973C22" w:rsidRPr="00880275">
        <w:t xml:space="preserve">large-scale sector </w:t>
      </w:r>
      <w:r w:rsidR="001412CF" w:rsidRPr="00880275">
        <w:t xml:space="preserve">training. </w:t>
      </w:r>
      <w:r w:rsidR="0003745D" w:rsidRPr="00880275">
        <w:t xml:space="preserve"> </w:t>
      </w:r>
    </w:p>
    <w:p w14:paraId="5BABD54D" w14:textId="21B38496" w:rsidR="006F6291" w:rsidRPr="00880275" w:rsidRDefault="002670FD" w:rsidP="00754FAE">
      <w:pPr>
        <w:pStyle w:val="Numberedparagraph"/>
        <w:rPr>
          <w:color w:val="111111"/>
        </w:rPr>
      </w:pPr>
      <w:r w:rsidRPr="00880275">
        <w:t xml:space="preserve">While large government departments and councils may have resources to train their staff on the obligations under the Act, smaller, less well-resourced </w:t>
      </w:r>
      <w:r w:rsidRPr="00880275">
        <w:lastRenderedPageBreak/>
        <w:t xml:space="preserve">councils and non-profit organisations are not in this position. The quality of training </w:t>
      </w:r>
      <w:r w:rsidR="003071BB" w:rsidRPr="00880275">
        <w:t xml:space="preserve">for public sector staff </w:t>
      </w:r>
      <w:r w:rsidRPr="00880275">
        <w:t>may also vary – often training is provided through a short online module involving no discussion or interaction with other staff</w:t>
      </w:r>
      <w:r w:rsidR="003071BB" w:rsidRPr="00880275">
        <w:t xml:space="preserve">, or modelling </w:t>
      </w:r>
      <w:r w:rsidR="00DC182E" w:rsidRPr="00880275">
        <w:t xml:space="preserve">of </w:t>
      </w:r>
      <w:r w:rsidR="003071BB" w:rsidRPr="00880275">
        <w:t xml:space="preserve">the application of human </w:t>
      </w:r>
      <w:r w:rsidR="00DC182E" w:rsidRPr="00880275">
        <w:t>rights to the specific work of staff</w:t>
      </w:r>
      <w:r w:rsidRPr="00880275">
        <w:t xml:space="preserve">. </w:t>
      </w:r>
    </w:p>
    <w:p w14:paraId="5DA2E3FF" w14:textId="7EC88202" w:rsidR="002670FD" w:rsidRPr="00880275" w:rsidRDefault="002670FD" w:rsidP="00754FAE">
      <w:pPr>
        <w:pStyle w:val="Numberedparagraph"/>
      </w:pPr>
      <w:r w:rsidRPr="00880275">
        <w:t xml:space="preserve">The Commission has heard from public entities that interactive, customised training with relevant examples specific to everyday actions and decisions is key to enhancing staff’s understanding and engagement with human rights. </w:t>
      </w:r>
      <w:r w:rsidR="00B451A5" w:rsidRPr="00880275">
        <w:t>To be effective</w:t>
      </w:r>
      <w:r w:rsidR="00244DE5" w:rsidRPr="00880275">
        <w:t xml:space="preserve">, </w:t>
      </w:r>
      <w:r w:rsidR="008417F7" w:rsidRPr="00880275">
        <w:t xml:space="preserve">training </w:t>
      </w:r>
      <w:r w:rsidR="00924678" w:rsidRPr="00880275">
        <w:t xml:space="preserve">must be </w:t>
      </w:r>
      <w:r w:rsidR="003C761E" w:rsidRPr="00880275">
        <w:t>kept up to date and regularly revisited by staff beyond induction</w:t>
      </w:r>
      <w:r w:rsidR="008417F7" w:rsidRPr="00880275">
        <w:t xml:space="preserve">. </w:t>
      </w:r>
      <w:r w:rsidRPr="00880275">
        <w:t>However, the current capacity to develop and engage in intensive training is limited – at present the Commission and the Human Rights Unit at the Department of Justice and Attorney</w:t>
      </w:r>
      <w:r w:rsidR="00F20431" w:rsidRPr="00880275">
        <w:t>-</w:t>
      </w:r>
      <w:r w:rsidRPr="00880275">
        <w:t xml:space="preserve">General offer </w:t>
      </w:r>
      <w:proofErr w:type="gramStart"/>
      <w:r w:rsidRPr="00880275">
        <w:t>training</w:t>
      </w:r>
      <w:r w:rsidR="007901F9" w:rsidRPr="00880275">
        <w:t>,</w:t>
      </w:r>
      <w:r w:rsidRPr="00880275">
        <w:t xml:space="preserve"> but</w:t>
      </w:r>
      <w:proofErr w:type="gramEnd"/>
      <w:r w:rsidRPr="00880275">
        <w:t xml:space="preserve"> are staffed with small teams. </w:t>
      </w:r>
    </w:p>
    <w:p w14:paraId="3CD9A918" w14:textId="5363D31A" w:rsidR="00BD099B" w:rsidRPr="00880275" w:rsidRDefault="003D3C85" w:rsidP="00754FAE">
      <w:pPr>
        <w:pStyle w:val="Numberedparagraph"/>
      </w:pPr>
      <w:r w:rsidRPr="00880275">
        <w:t>As the Human Rights Act matures, m</w:t>
      </w:r>
      <w:r w:rsidR="00B41D87" w:rsidRPr="00880275">
        <w:t>ajor public entities should now</w:t>
      </w:r>
      <w:r w:rsidR="002E45DB" w:rsidRPr="00880275">
        <w:t xml:space="preserve"> be resourced </w:t>
      </w:r>
      <w:r w:rsidR="00640807" w:rsidRPr="00880275">
        <w:t>to provide the</w:t>
      </w:r>
      <w:r w:rsidR="00B41D87" w:rsidRPr="00880275">
        <w:t xml:space="preserve"> next stage of customised training</w:t>
      </w:r>
      <w:r w:rsidRPr="00880275">
        <w:t xml:space="preserve"> for staff</w:t>
      </w:r>
      <w:r w:rsidR="00124F6D" w:rsidRPr="00880275">
        <w:t xml:space="preserve"> and to integrate human rights considerations across </w:t>
      </w:r>
      <w:proofErr w:type="gramStart"/>
      <w:r w:rsidR="00124F6D" w:rsidRPr="00880275">
        <w:t>all of</w:t>
      </w:r>
      <w:proofErr w:type="gramEnd"/>
      <w:r w:rsidR="00124F6D" w:rsidRPr="00880275">
        <w:t xml:space="preserve"> </w:t>
      </w:r>
      <w:r w:rsidR="00F213E9" w:rsidRPr="00880275">
        <w:t>their</w:t>
      </w:r>
      <w:r w:rsidR="00124F6D" w:rsidRPr="00880275">
        <w:t xml:space="preserve"> training</w:t>
      </w:r>
      <w:r w:rsidRPr="00880275">
        <w:t xml:space="preserve">. This should </w:t>
      </w:r>
      <w:r w:rsidR="00640807" w:rsidRPr="00880275">
        <w:t>target appropriate levels of staff</w:t>
      </w:r>
      <w:r w:rsidR="00332C25" w:rsidRPr="00880275">
        <w:t xml:space="preserve"> with training on</w:t>
      </w:r>
      <w:r w:rsidR="004C5ECF" w:rsidRPr="00880275">
        <w:t xml:space="preserve"> issues including</w:t>
      </w:r>
      <w:r w:rsidR="00332C25" w:rsidRPr="00880275">
        <w:t>:</w:t>
      </w:r>
    </w:p>
    <w:p w14:paraId="06A66935" w14:textId="3A7B9176" w:rsidR="00332C25" w:rsidRPr="00880275" w:rsidRDefault="00F5433B" w:rsidP="00332C25">
      <w:pPr>
        <w:pStyle w:val="Bulletedlist"/>
      </w:pPr>
      <w:r w:rsidRPr="00880275">
        <w:t>r</w:t>
      </w:r>
      <w:r w:rsidR="00332C25" w:rsidRPr="00880275">
        <w:t>ights typically engaged by the decisions and actions taken within the portfolio</w:t>
      </w:r>
    </w:p>
    <w:p w14:paraId="041934ED" w14:textId="1873AE4E" w:rsidR="00332C25" w:rsidRPr="00880275" w:rsidRDefault="00F5433B" w:rsidP="00332C25">
      <w:pPr>
        <w:pStyle w:val="Bulletedlist"/>
      </w:pPr>
      <w:r w:rsidRPr="00880275">
        <w:t>the scope of th</w:t>
      </w:r>
      <w:r w:rsidR="00276654" w:rsidRPr="00880275">
        <w:t>e most relevant</w:t>
      </w:r>
      <w:r w:rsidRPr="00880275">
        <w:t xml:space="preserve"> rights</w:t>
      </w:r>
    </w:p>
    <w:p w14:paraId="1ADF7D1B" w14:textId="48D54C08" w:rsidR="00F5433B" w:rsidRPr="00880275" w:rsidRDefault="00F5433B" w:rsidP="00332C25">
      <w:pPr>
        <w:pStyle w:val="Bulletedlist"/>
      </w:pPr>
      <w:r w:rsidRPr="00880275">
        <w:t>exploration of potential limitations on rights and less restrictive and reasonably available alternatives.</w:t>
      </w:r>
    </w:p>
    <w:p w14:paraId="0B8D66FC" w14:textId="22B97FDC" w:rsidR="0095663A" w:rsidRPr="00880275" w:rsidRDefault="0095663A" w:rsidP="00754FAE">
      <w:pPr>
        <w:pStyle w:val="Numberedparagraph"/>
      </w:pPr>
      <w:r w:rsidRPr="00880275">
        <w:t xml:space="preserve">In addition, the Commission and Human Rights Unit </w:t>
      </w:r>
      <w:r w:rsidR="005F0982" w:rsidRPr="00880275">
        <w:t xml:space="preserve">require sustainable resourcing to </w:t>
      </w:r>
      <w:r w:rsidR="004C5ECF" w:rsidRPr="00880275">
        <w:t>continue the provision of interactive, customised training</w:t>
      </w:r>
      <w:r w:rsidR="007F5B71" w:rsidRPr="00880275">
        <w:t xml:space="preserve"> to </w:t>
      </w:r>
      <w:r w:rsidR="005E1EAC" w:rsidRPr="00880275">
        <w:t>the full range of public entities.</w:t>
      </w:r>
    </w:p>
    <w:p w14:paraId="4C81BF94" w14:textId="1CB29F13" w:rsidR="00433062" w:rsidRPr="00880275" w:rsidRDefault="003A015C" w:rsidP="00754FAE">
      <w:pPr>
        <w:pStyle w:val="Numberedparagraph"/>
      </w:pPr>
      <w:r w:rsidRPr="00880275">
        <w:t xml:space="preserve">Materials to support the legal profession and the judiciary, such as a Human Rights Act </w:t>
      </w:r>
      <w:proofErr w:type="spellStart"/>
      <w:r w:rsidRPr="00880275">
        <w:t>benchbook</w:t>
      </w:r>
      <w:proofErr w:type="spellEnd"/>
      <w:r w:rsidRPr="00880275">
        <w:t xml:space="preserve">, </w:t>
      </w:r>
      <w:proofErr w:type="gramStart"/>
      <w:r w:rsidRPr="00880275">
        <w:t>similar to</w:t>
      </w:r>
      <w:proofErr w:type="gramEnd"/>
      <w:r w:rsidRPr="00880275">
        <w:t xml:space="preserve"> the Judicial College of Victoria’s </w:t>
      </w:r>
      <w:r w:rsidRPr="00880275">
        <w:rPr>
          <w:i/>
          <w:iCs/>
        </w:rPr>
        <w:t>Charter of Human Rights Bench Book</w:t>
      </w:r>
      <w:r w:rsidRPr="00880275">
        <w:t xml:space="preserve"> </w:t>
      </w:r>
      <w:r w:rsidR="00425646" w:rsidRPr="00880275">
        <w:t>would</w:t>
      </w:r>
      <w:r w:rsidR="003D3C85" w:rsidRPr="00880275">
        <w:t xml:space="preserve"> also</w:t>
      </w:r>
      <w:r w:rsidR="00425646" w:rsidRPr="00880275">
        <w:t xml:space="preserve"> </w:t>
      </w:r>
      <w:r w:rsidR="00DC7E7F" w:rsidRPr="00880275">
        <w:t>be invaluable</w:t>
      </w:r>
      <w:r w:rsidRPr="00880275">
        <w:t xml:space="preserve"> in</w:t>
      </w:r>
      <w:r w:rsidR="00DC7E7F" w:rsidRPr="00880275">
        <w:t xml:space="preserve"> supporting lawyers</w:t>
      </w:r>
      <w:r w:rsidR="00340C84" w:rsidRPr="00880275">
        <w:t xml:space="preserve"> as well as</w:t>
      </w:r>
      <w:r w:rsidRPr="00880275" w:rsidDel="00056904">
        <w:t xml:space="preserve"> </w:t>
      </w:r>
      <w:r w:rsidRPr="00880275">
        <w:t>consideration of the Act</w:t>
      </w:r>
      <w:r w:rsidR="00056904" w:rsidRPr="00880275">
        <w:t xml:space="preserve"> by court</w:t>
      </w:r>
      <w:r w:rsidR="00856C31" w:rsidRPr="00880275">
        <w:t>s</w:t>
      </w:r>
      <w:r w:rsidR="00056904" w:rsidRPr="00880275">
        <w:t xml:space="preserve"> and tribunal</w:t>
      </w:r>
      <w:r w:rsidR="00856C31" w:rsidRPr="00880275">
        <w:t>s</w:t>
      </w:r>
      <w:r w:rsidRPr="00880275">
        <w:t>.</w:t>
      </w:r>
      <w:r w:rsidR="00425646" w:rsidRPr="00880275">
        <w:t xml:space="preserve"> </w:t>
      </w:r>
    </w:p>
    <w:p w14:paraId="289F5FAB" w14:textId="6C079D4C" w:rsidR="00433062" w:rsidRPr="00880275" w:rsidRDefault="00433062" w:rsidP="00754FAE">
      <w:pPr>
        <w:pStyle w:val="Heading5"/>
      </w:pPr>
      <w:r w:rsidRPr="00880275">
        <w:t>Recommendation 1.</w:t>
      </w:r>
      <w:r w:rsidR="00EE3ED1" w:rsidRPr="00880275">
        <w:t>10</w:t>
      </w:r>
    </w:p>
    <w:p w14:paraId="246D8877" w14:textId="090DD47F" w:rsidR="00864143" w:rsidRPr="00880275" w:rsidRDefault="007B1F36" w:rsidP="00754FAE">
      <w:pPr>
        <w:pStyle w:val="Heading5"/>
      </w:pPr>
      <w:r w:rsidRPr="00880275">
        <w:t xml:space="preserve">All public entities should </w:t>
      </w:r>
      <w:r w:rsidR="00B93862" w:rsidRPr="00880275">
        <w:t xml:space="preserve">have </w:t>
      </w:r>
      <w:r w:rsidRPr="00880275">
        <w:t xml:space="preserve">adequate resourcing and support to deliver </w:t>
      </w:r>
      <w:proofErr w:type="spellStart"/>
      <w:r w:rsidRPr="00880275">
        <w:t>customised</w:t>
      </w:r>
      <w:proofErr w:type="spellEnd"/>
      <w:r w:rsidRPr="00880275">
        <w:t xml:space="preserve"> human rights training to staff and to integrate human rights considerations across all staff training. Human rights training should be regular, interactive and targeted – focusing on the rights most often engaged by the entity’s decisions and actions.</w:t>
      </w:r>
    </w:p>
    <w:p w14:paraId="6F371538" w14:textId="77777777" w:rsidR="007B1F36" w:rsidRPr="00880275" w:rsidRDefault="007B1F36" w:rsidP="004C0DA1">
      <w:pPr>
        <w:spacing w:after="0"/>
      </w:pPr>
    </w:p>
    <w:p w14:paraId="1B1F42D6" w14:textId="37200AEC" w:rsidR="00AF67AD" w:rsidRPr="00880275" w:rsidRDefault="00AF67AD" w:rsidP="00754FAE">
      <w:pPr>
        <w:pStyle w:val="Heading5"/>
      </w:pPr>
      <w:r w:rsidRPr="00880275">
        <w:lastRenderedPageBreak/>
        <w:t>Recommendation 1.1</w:t>
      </w:r>
      <w:r w:rsidR="00D353E0" w:rsidRPr="00880275">
        <w:t>1</w:t>
      </w:r>
    </w:p>
    <w:p w14:paraId="64FC6468" w14:textId="0B8513C1" w:rsidR="005A7156" w:rsidRPr="00880275" w:rsidRDefault="00750499" w:rsidP="00754FAE">
      <w:pPr>
        <w:pStyle w:val="Heading5"/>
        <w:rPr>
          <w:rFonts w:cstheme="majorBidi"/>
          <w:color w:val="004270"/>
          <w:sz w:val="48"/>
          <w:szCs w:val="48"/>
        </w:rPr>
      </w:pPr>
      <w:r w:rsidRPr="00880275">
        <w:t xml:space="preserve">The State government should, in consultation with the judiciary, provide specific funding to an appropriate body to develop a Queensland Human Rights Act bench book, </w:t>
      </w:r>
      <w:proofErr w:type="gramStart"/>
      <w:r w:rsidRPr="00880275">
        <w:t>similar to</w:t>
      </w:r>
      <w:proofErr w:type="gramEnd"/>
      <w:r w:rsidRPr="00880275">
        <w:t xml:space="preserve"> the Judicial College of Victoria’s </w:t>
      </w:r>
      <w:r w:rsidRPr="00880275">
        <w:rPr>
          <w:i/>
          <w:iCs/>
        </w:rPr>
        <w:t>Charter of Human Rights Bench Book.</w:t>
      </w:r>
      <w:r w:rsidR="005A7156" w:rsidRPr="00880275">
        <w:br w:type="page"/>
      </w:r>
    </w:p>
    <w:p w14:paraId="6CC8D396" w14:textId="19C1FB45" w:rsidR="0074701E" w:rsidRPr="00880275" w:rsidRDefault="4A1B4E22" w:rsidP="001A4BD2">
      <w:pPr>
        <w:pStyle w:val="Heading1"/>
      </w:pPr>
      <w:bookmarkStart w:id="30" w:name="_Toc171346767"/>
      <w:r w:rsidRPr="00880275">
        <w:lastRenderedPageBreak/>
        <w:t>2</w:t>
      </w:r>
      <w:r w:rsidR="00A8623B" w:rsidRPr="00880275">
        <w:t>.</w:t>
      </w:r>
      <w:r w:rsidRPr="00880275">
        <w:t xml:space="preserve"> </w:t>
      </w:r>
      <w:r w:rsidR="001A4BD2" w:rsidRPr="00880275">
        <w:t>Matters referred to in section 95(4)</w:t>
      </w:r>
      <w:bookmarkEnd w:id="30"/>
      <w:r w:rsidR="001A4BD2" w:rsidRPr="00880275">
        <w:t xml:space="preserve"> </w:t>
      </w:r>
    </w:p>
    <w:p w14:paraId="39626A2D" w14:textId="1B6762E6" w:rsidR="00E02FC6" w:rsidRPr="00880275" w:rsidRDefault="00ED4B7D" w:rsidP="00754FAE">
      <w:pPr>
        <w:pStyle w:val="Numberedparagraph"/>
      </w:pPr>
      <w:r w:rsidRPr="00880275">
        <w:t>S</w:t>
      </w:r>
      <w:r w:rsidR="00E02FC6" w:rsidRPr="00880275">
        <w:t xml:space="preserve">ection 95(4) of the Human Rights Act </w:t>
      </w:r>
      <w:r w:rsidR="00F84A5E" w:rsidRPr="00880275">
        <w:t xml:space="preserve">sets out matters this Review must </w:t>
      </w:r>
      <w:r w:rsidR="00F40906" w:rsidRPr="00880275">
        <w:t xml:space="preserve">consider. </w:t>
      </w:r>
    </w:p>
    <w:p w14:paraId="30AC9E58" w14:textId="00AD0288" w:rsidR="001A4BD2" w:rsidRPr="00880275" w:rsidRDefault="366BB72C" w:rsidP="001A4BD2">
      <w:pPr>
        <w:pStyle w:val="Heading2"/>
      </w:pPr>
      <w:bookmarkStart w:id="31" w:name="_Toc171346768"/>
      <w:r w:rsidRPr="00880275">
        <w:t>(</w:t>
      </w:r>
      <w:r w:rsidR="7079713C" w:rsidRPr="00880275">
        <w:t>a</w:t>
      </w:r>
      <w:r w:rsidR="711488A6" w:rsidRPr="00880275">
        <w:t>)</w:t>
      </w:r>
      <w:r w:rsidR="7079713C" w:rsidRPr="00880275">
        <w:t xml:space="preserve"> </w:t>
      </w:r>
      <w:r w:rsidR="001A4BD2" w:rsidRPr="00880275">
        <w:t>Additional human rights</w:t>
      </w:r>
      <w:bookmarkEnd w:id="31"/>
    </w:p>
    <w:p w14:paraId="2B9D7887" w14:textId="48180F06" w:rsidR="00274DB7" w:rsidRPr="00880275" w:rsidRDefault="00D06E36" w:rsidP="00754FAE">
      <w:pPr>
        <w:pStyle w:val="Numberedparagraph"/>
      </w:pPr>
      <w:r w:rsidRPr="00880275">
        <w:t xml:space="preserve">The Commission considers that </w:t>
      </w:r>
      <w:r w:rsidR="0071782A" w:rsidRPr="00880275">
        <w:t xml:space="preserve">the following </w:t>
      </w:r>
      <w:r w:rsidR="007B3910" w:rsidRPr="00880275">
        <w:t xml:space="preserve">additional </w:t>
      </w:r>
      <w:r w:rsidRPr="00880275">
        <w:t xml:space="preserve">rights could be prioritised to enhance protections for individuals </w:t>
      </w:r>
      <w:proofErr w:type="gramStart"/>
      <w:r w:rsidRPr="00880275">
        <w:t>in light of</w:t>
      </w:r>
      <w:proofErr w:type="gramEnd"/>
      <w:r w:rsidRPr="00880275">
        <w:t xml:space="preserve"> current societal issues</w:t>
      </w:r>
      <w:r w:rsidR="00361294" w:rsidRPr="00880275">
        <w:t>.</w:t>
      </w:r>
    </w:p>
    <w:p w14:paraId="5325A05E" w14:textId="39152392" w:rsidR="00D06E36" w:rsidRPr="00880275" w:rsidRDefault="00D06E36" w:rsidP="00754FAE">
      <w:pPr>
        <w:pStyle w:val="Numberedparagraph"/>
      </w:pPr>
      <w:r w:rsidRPr="00880275">
        <w:rPr>
          <w:b/>
          <w:bCs/>
          <w:color w:val="auto"/>
        </w:rPr>
        <w:t xml:space="preserve">The right to an adequate standard of living: </w:t>
      </w:r>
      <w:r w:rsidRPr="00880275">
        <w:t>This includes the right to adequate housing, food, and water</w:t>
      </w:r>
      <w:r w:rsidRPr="00880275" w:rsidDel="005A07FA">
        <w:t>. It</w:t>
      </w:r>
      <w:r w:rsidRPr="00880275">
        <w:t xml:space="preserve"> is connected to protection of existing rights including life, privacy, security of the person, education, equality, and cultural rights, but is also specifically protected under the </w:t>
      </w:r>
      <w:r w:rsidRPr="00880275">
        <w:rPr>
          <w:i/>
          <w:iCs/>
        </w:rPr>
        <w:t>International Covenant on Economic, Social and Cultural Rights</w:t>
      </w:r>
      <w:r w:rsidRPr="00880275">
        <w:t>.</w:t>
      </w:r>
      <w:r w:rsidRPr="00880275">
        <w:rPr>
          <w:rStyle w:val="FootnoteReference"/>
        </w:rPr>
        <w:footnoteReference w:id="42"/>
      </w:r>
    </w:p>
    <w:p w14:paraId="6586215E" w14:textId="7C19AC03" w:rsidR="00D06E36" w:rsidRPr="00880275" w:rsidRDefault="00D06E36" w:rsidP="00754FAE">
      <w:pPr>
        <w:pStyle w:val="Numberedparagraph"/>
      </w:pPr>
      <w:r w:rsidRPr="00880275">
        <w:rPr>
          <w:b/>
          <w:bCs/>
          <w:color w:val="auto"/>
        </w:rPr>
        <w:t>The right to a clean, healthy, and sustainable environment:</w:t>
      </w:r>
      <w:r w:rsidRPr="00880275">
        <w:rPr>
          <w:color w:val="auto"/>
        </w:rPr>
        <w:t xml:space="preserve"> </w:t>
      </w:r>
      <w:r w:rsidRPr="00880275">
        <w:t xml:space="preserve">This </w:t>
      </w:r>
      <w:r w:rsidR="00DE4826" w:rsidRPr="00880275">
        <w:t xml:space="preserve">right </w:t>
      </w:r>
      <w:r w:rsidRPr="00880275">
        <w:t xml:space="preserve">is connected to the protection of existing rights including life, privacy, security of the person, equality, and cultural rights, but has been recognised as a priority for specific protection by the United Nations </w:t>
      </w:r>
      <w:r w:rsidR="00535C3A" w:rsidRPr="00880275">
        <w:t>(</w:t>
      </w:r>
      <w:r w:rsidR="00535C3A" w:rsidRPr="00880275">
        <w:rPr>
          <w:b/>
          <w:bCs/>
        </w:rPr>
        <w:t>UN</w:t>
      </w:r>
      <w:r w:rsidR="00535C3A" w:rsidRPr="00880275">
        <w:t xml:space="preserve">) </w:t>
      </w:r>
      <w:r w:rsidRPr="00880275">
        <w:t xml:space="preserve">General Assembly and is currently being considered for inclusion in the Australian Capital Territory’s </w:t>
      </w:r>
      <w:r w:rsidRPr="00880275">
        <w:rPr>
          <w:i/>
          <w:iCs/>
        </w:rPr>
        <w:t>Human Rights Act</w:t>
      </w:r>
      <w:r w:rsidRPr="00880275">
        <w:t>.</w:t>
      </w:r>
      <w:r w:rsidRPr="00880275">
        <w:rPr>
          <w:rStyle w:val="FootnoteReference"/>
        </w:rPr>
        <w:footnoteReference w:id="43"/>
      </w:r>
    </w:p>
    <w:p w14:paraId="1951CD57" w14:textId="77777777" w:rsidR="00FD3637" w:rsidRPr="00880275" w:rsidRDefault="00FD3637" w:rsidP="00754FAE">
      <w:pPr>
        <w:pStyle w:val="Numberedparagraph"/>
      </w:pPr>
      <w:r w:rsidRPr="00880275">
        <w:t xml:space="preserve">The Australian Human Rights Commission and Commonwealth Parliamentary Joint Committee on Human Rights have recommended that </w:t>
      </w:r>
      <w:proofErr w:type="gramStart"/>
      <w:r w:rsidRPr="00880275">
        <w:t>both of these</w:t>
      </w:r>
      <w:proofErr w:type="gramEnd"/>
      <w:r w:rsidRPr="00880275">
        <w:t xml:space="preserve"> rights be included in a future Australian Human Rights Act.</w:t>
      </w:r>
      <w:r w:rsidRPr="00880275">
        <w:rPr>
          <w:rStyle w:val="FootnoteReference"/>
        </w:rPr>
        <w:footnoteReference w:id="44"/>
      </w:r>
      <w:r w:rsidRPr="00880275">
        <w:t xml:space="preserve"> Challenges related to housing and the environment pose complex policy issues at all levels of government, and further human rights protections may guide and enhance decision-making. </w:t>
      </w:r>
    </w:p>
    <w:p w14:paraId="5EB6AAB3" w14:textId="5398A28B" w:rsidR="00433062" w:rsidRPr="00880275" w:rsidRDefault="00433062" w:rsidP="00754FAE">
      <w:pPr>
        <w:pStyle w:val="Heading5"/>
      </w:pPr>
      <w:r w:rsidRPr="00880275">
        <w:lastRenderedPageBreak/>
        <w:t>Recommendation 2.1</w:t>
      </w:r>
    </w:p>
    <w:p w14:paraId="5E442560" w14:textId="77777777" w:rsidR="00CA0394" w:rsidRPr="00880275" w:rsidRDefault="00CA0394" w:rsidP="00754FAE">
      <w:pPr>
        <w:pStyle w:val="Heading5"/>
      </w:pPr>
      <w:r w:rsidRPr="00880275">
        <w:t>The Commission recommends consideration of the following additional human rights:</w:t>
      </w:r>
    </w:p>
    <w:p w14:paraId="775AC982" w14:textId="40C7DBD9" w:rsidR="00CA0394" w:rsidRPr="00880275" w:rsidRDefault="00CA0394" w:rsidP="00754FAE">
      <w:pPr>
        <w:pStyle w:val="Heading5"/>
        <w:numPr>
          <w:ilvl w:val="0"/>
          <w:numId w:val="8"/>
        </w:numPr>
      </w:pPr>
      <w:r w:rsidRPr="00880275">
        <w:t>the right to an adequate standard of living</w:t>
      </w:r>
    </w:p>
    <w:p w14:paraId="70F1872B" w14:textId="6AAEC9FC" w:rsidR="00CA0394" w:rsidRPr="00880275" w:rsidRDefault="00CA0394" w:rsidP="00754FAE">
      <w:pPr>
        <w:pStyle w:val="Heading5"/>
        <w:numPr>
          <w:ilvl w:val="0"/>
          <w:numId w:val="8"/>
        </w:numPr>
      </w:pPr>
      <w:r w:rsidRPr="00880275">
        <w:t>the right to a clean, healthy, and sustainable environment.</w:t>
      </w:r>
    </w:p>
    <w:p w14:paraId="57EEA780" w14:textId="07E95A42" w:rsidR="001A4BD2" w:rsidRPr="00880275" w:rsidRDefault="2324F640" w:rsidP="001A4BD2">
      <w:pPr>
        <w:pStyle w:val="Heading2"/>
      </w:pPr>
      <w:bookmarkStart w:id="32" w:name="_Toc171346769"/>
      <w:r w:rsidRPr="00880275">
        <w:t>(</w:t>
      </w:r>
      <w:r w:rsidR="7CAB7B89" w:rsidRPr="00880275">
        <w:t>b</w:t>
      </w:r>
      <w:r w:rsidR="221E2B0A" w:rsidRPr="00880275">
        <w:t>)</w:t>
      </w:r>
      <w:r w:rsidR="7CAB7B89" w:rsidRPr="00880275">
        <w:t xml:space="preserve"> </w:t>
      </w:r>
      <w:r w:rsidR="001A4BD2" w:rsidRPr="00880275">
        <w:t>Remedies</w:t>
      </w:r>
      <w:bookmarkEnd w:id="32"/>
    </w:p>
    <w:p w14:paraId="1D74511D" w14:textId="58395E97" w:rsidR="002C778F" w:rsidRPr="00880275" w:rsidRDefault="002C778F" w:rsidP="00754FAE">
      <w:pPr>
        <w:pStyle w:val="Numberedparagraph"/>
      </w:pPr>
      <w:r w:rsidRPr="00880275">
        <w:t xml:space="preserve">This section of the submission considers both enforcement and remedies for </w:t>
      </w:r>
      <w:r w:rsidR="001550C0" w:rsidRPr="00880275">
        <w:t xml:space="preserve">unjustified </w:t>
      </w:r>
      <w:r w:rsidR="00CE743B" w:rsidRPr="00880275">
        <w:t>limits on</w:t>
      </w:r>
      <w:r w:rsidR="00C763DE" w:rsidRPr="00880275">
        <w:t xml:space="preserve"> </w:t>
      </w:r>
      <w:r w:rsidRPr="00880275">
        <w:t>human rights</w:t>
      </w:r>
      <w:r w:rsidR="00791A3B" w:rsidRPr="00880275">
        <w:t>.</w:t>
      </w:r>
    </w:p>
    <w:p w14:paraId="6048C6B7" w14:textId="57839F0A" w:rsidR="001F49DF" w:rsidRPr="00880275" w:rsidRDefault="001F49DF" w:rsidP="00754FAE">
      <w:pPr>
        <w:pStyle w:val="Numberedparagraph"/>
      </w:pPr>
      <w:r w:rsidRPr="00880275">
        <w:t>An objective of the</w:t>
      </w:r>
      <w:r w:rsidR="00E57033" w:rsidRPr="00880275">
        <w:t xml:space="preserve"> Human Rights</w:t>
      </w:r>
      <w:r w:rsidRPr="00880275">
        <w:t xml:space="preserve"> Act is to protect and promote human rights. However, the Act restricts how people can complain about limitations on human rights and what they can achieve from the process. Complainants must either bring complaints to the Commission to resolve through conciliation or add the complaint to another type of legal action before the courts (a ‘piggy-back’ </w:t>
      </w:r>
      <w:r w:rsidR="0025729E" w:rsidRPr="00880275">
        <w:t>action</w:t>
      </w:r>
      <w:r w:rsidRPr="00880275">
        <w:t xml:space="preserve">). However, there is no way to access the courts directly, or solely for a human rights complaint. Even where a court </w:t>
      </w:r>
      <w:r w:rsidRPr="00880275" w:rsidDel="003D0832">
        <w:t xml:space="preserve">can </w:t>
      </w:r>
      <w:r w:rsidRPr="00880275">
        <w:t xml:space="preserve">consider human </w:t>
      </w:r>
      <w:r w:rsidRPr="00880275" w:rsidDel="00EC7472">
        <w:t xml:space="preserve">rights and finds a </w:t>
      </w:r>
      <w:r w:rsidRPr="00880275">
        <w:t>limitation on human rights</w:t>
      </w:r>
      <w:r w:rsidRPr="00880275" w:rsidDel="00EC7472">
        <w:t xml:space="preserve">, it cannot order compensation. </w:t>
      </w:r>
    </w:p>
    <w:p w14:paraId="22B9965C" w14:textId="2A311813" w:rsidR="00065093" w:rsidRPr="00880275" w:rsidRDefault="00065093" w:rsidP="00754FAE">
      <w:pPr>
        <w:pStyle w:val="Numberedparagraph"/>
      </w:pPr>
      <w:r w:rsidRPr="00880275">
        <w:t>Limiting access to effective judicial remedies is a problem because:</w:t>
      </w:r>
    </w:p>
    <w:p w14:paraId="44CA029E" w14:textId="3378E372" w:rsidR="00065093" w:rsidRPr="00880275" w:rsidRDefault="00065093" w:rsidP="00754FAE">
      <w:pPr>
        <w:pStyle w:val="Numberedparagraph"/>
        <w:numPr>
          <w:ilvl w:val="1"/>
          <w:numId w:val="12"/>
        </w:numPr>
      </w:pPr>
      <w:r w:rsidRPr="00880275">
        <w:t xml:space="preserve">It sends ‘mixed messages to the community’ about the importance of human rights and the seriousness that </w:t>
      </w:r>
      <w:r w:rsidR="28E2C28E" w:rsidRPr="00880275">
        <w:t xml:space="preserve">the </w:t>
      </w:r>
      <w:r w:rsidRPr="00880275">
        <w:t>government assigns to them.</w:t>
      </w:r>
      <w:r w:rsidR="003707FB" w:rsidRPr="00880275">
        <w:rPr>
          <w:rStyle w:val="FootnoteReference"/>
          <w:rFonts w:eastAsia="Arial Nova"/>
        </w:rPr>
        <w:footnoteReference w:id="45"/>
      </w:r>
      <w:r w:rsidRPr="00880275">
        <w:t xml:space="preserve"> </w:t>
      </w:r>
    </w:p>
    <w:p w14:paraId="14D32DE9" w14:textId="77777777" w:rsidR="00065093" w:rsidRPr="00880275" w:rsidRDefault="00065093" w:rsidP="00754FAE">
      <w:pPr>
        <w:pStyle w:val="Numberedparagraph"/>
        <w:numPr>
          <w:ilvl w:val="1"/>
          <w:numId w:val="12"/>
        </w:numPr>
      </w:pPr>
      <w:r w:rsidRPr="00880275">
        <w:t>It does not give public entities any incentive to treat complaints seriously and resolve them through conciliation.</w:t>
      </w:r>
    </w:p>
    <w:p w14:paraId="0494F434" w14:textId="77777777" w:rsidR="00065093" w:rsidRPr="00880275" w:rsidRDefault="00065093" w:rsidP="00754FAE">
      <w:pPr>
        <w:pStyle w:val="Numberedparagraph"/>
        <w:numPr>
          <w:ilvl w:val="1"/>
          <w:numId w:val="12"/>
        </w:numPr>
      </w:pPr>
      <w:r w:rsidRPr="00880275">
        <w:t>People may be discouraged from making complaints or left dissatisfied with the process.</w:t>
      </w:r>
    </w:p>
    <w:p w14:paraId="616916FA" w14:textId="77777777" w:rsidR="00065093" w:rsidRPr="00880275" w:rsidRDefault="00065093" w:rsidP="00754FAE">
      <w:pPr>
        <w:pStyle w:val="Numberedparagraph"/>
        <w:numPr>
          <w:ilvl w:val="1"/>
          <w:numId w:val="12"/>
        </w:numPr>
      </w:pPr>
      <w:r w:rsidRPr="00880275">
        <w:t>Some</w:t>
      </w:r>
      <w:r w:rsidRPr="00880275" w:rsidDel="006B1D9F">
        <w:t xml:space="preserve"> </w:t>
      </w:r>
      <w:r w:rsidRPr="00880275">
        <w:t>human rights complaints, such as those involving power imbalances, allegations of abuse of power, or imminent harm, may not be suitable for conciliation.</w:t>
      </w:r>
    </w:p>
    <w:p w14:paraId="717F76AD" w14:textId="77777777" w:rsidR="00065093" w:rsidRPr="00880275" w:rsidRDefault="00065093" w:rsidP="00754FAE">
      <w:pPr>
        <w:pStyle w:val="Numberedparagraph"/>
        <w:numPr>
          <w:ilvl w:val="1"/>
          <w:numId w:val="12"/>
        </w:numPr>
      </w:pPr>
      <w:r w:rsidRPr="00880275">
        <w:t>The requirement to ‘piggy-back’</w:t>
      </w:r>
      <w:r w:rsidRPr="00880275" w:rsidDel="00EA2E76">
        <w:t xml:space="preserve"> </w:t>
      </w:r>
      <w:r w:rsidRPr="00880275">
        <w:t>human rights complaints on other actions (such as judicial review) leads to complicated legal arguments and unnecessary proceedings.</w:t>
      </w:r>
      <w:r w:rsidR="003C7DF5" w:rsidRPr="00880275">
        <w:rPr>
          <w:rStyle w:val="FootnoteReference"/>
          <w:rFonts w:eastAsia="Arial Nova"/>
          <w:szCs w:val="22"/>
        </w:rPr>
        <w:footnoteReference w:id="46"/>
      </w:r>
      <w:r w:rsidRPr="00880275">
        <w:t xml:space="preserve"> </w:t>
      </w:r>
    </w:p>
    <w:p w14:paraId="70130F4C" w14:textId="779D8836" w:rsidR="00065093" w:rsidRPr="00880275" w:rsidRDefault="00065093" w:rsidP="00754FAE">
      <w:pPr>
        <w:pStyle w:val="Numberedparagraph"/>
        <w:numPr>
          <w:ilvl w:val="1"/>
          <w:numId w:val="12"/>
        </w:numPr>
      </w:pPr>
      <w:r w:rsidRPr="00880275">
        <w:lastRenderedPageBreak/>
        <w:t>For certain limitations on human rights, enforceable judicial remedies, including compensation, are</w:t>
      </w:r>
      <w:r w:rsidRPr="00880275">
        <w:rPr>
          <w:i/>
        </w:rPr>
        <w:t xml:space="preserve"> required </w:t>
      </w:r>
      <w:r w:rsidRPr="00880275">
        <w:t>by Australia’s international treaty obligations.</w:t>
      </w:r>
      <w:r w:rsidRPr="00880275">
        <w:rPr>
          <w:rStyle w:val="FootnoteReference"/>
          <w:rFonts w:eastAsia="Arial Nova"/>
        </w:rPr>
        <w:footnoteReference w:id="47"/>
      </w:r>
    </w:p>
    <w:p w14:paraId="08402916" w14:textId="1D4E21D2" w:rsidR="00230999" w:rsidRPr="00880275" w:rsidRDefault="00E02E0F" w:rsidP="00FE28F0">
      <w:pPr>
        <w:pStyle w:val="Heading3"/>
      </w:pPr>
      <w:bookmarkStart w:id="33" w:name="_Toc171346770"/>
      <w:r w:rsidRPr="00880275">
        <w:t>E</w:t>
      </w:r>
      <w:r w:rsidR="00FE28F0" w:rsidRPr="00880275">
        <w:t>nforcement of human rights complaints</w:t>
      </w:r>
      <w:bookmarkEnd w:id="33"/>
    </w:p>
    <w:p w14:paraId="0C315663" w14:textId="76B3A026" w:rsidR="001D26B9" w:rsidRPr="00880275" w:rsidRDefault="00175F26" w:rsidP="00754FAE">
      <w:pPr>
        <w:pStyle w:val="Numberedparagraph"/>
      </w:pPr>
      <w:r w:rsidRPr="00880275">
        <w:t>C</w:t>
      </w:r>
      <w:r w:rsidR="004876DC" w:rsidRPr="00880275">
        <w:t>omplaints received by the Commission under the Human Rights Act</w:t>
      </w:r>
      <w:r w:rsidR="004876DC" w:rsidRPr="00880275">
        <w:rPr>
          <w:i/>
          <w:iCs/>
        </w:rPr>
        <w:t xml:space="preserve"> </w:t>
      </w:r>
      <w:r w:rsidR="005542A6" w:rsidRPr="00880275">
        <w:t>can</w:t>
      </w:r>
      <w:r w:rsidR="005542A6" w:rsidRPr="00880275">
        <w:rPr>
          <w:i/>
          <w:iCs/>
        </w:rPr>
        <w:t xml:space="preserve"> </w:t>
      </w:r>
      <w:r w:rsidR="005542A6" w:rsidRPr="00880275">
        <w:t>only be resolved by agreement or</w:t>
      </w:r>
      <w:r w:rsidR="001B6AD6" w:rsidRPr="00880275">
        <w:t>,</w:t>
      </w:r>
      <w:r w:rsidR="005542A6" w:rsidRPr="00880275">
        <w:t xml:space="preserve"> </w:t>
      </w:r>
      <w:r w:rsidR="00F94C9B" w:rsidRPr="00880275">
        <w:t>in some cases</w:t>
      </w:r>
      <w:r w:rsidR="001B6AD6" w:rsidRPr="00880275">
        <w:t>,</w:t>
      </w:r>
      <w:r w:rsidR="00F94C9B" w:rsidRPr="00880275">
        <w:t xml:space="preserve"> </w:t>
      </w:r>
      <w:r w:rsidR="005542A6" w:rsidRPr="00880275">
        <w:t xml:space="preserve">be the subject of a report </w:t>
      </w:r>
      <w:r w:rsidR="0019427A" w:rsidRPr="00880275">
        <w:t xml:space="preserve">containing </w:t>
      </w:r>
      <w:r w:rsidR="00A90F05" w:rsidRPr="00880275">
        <w:t xml:space="preserve">the Commissioner’s recommendations for the public entity. </w:t>
      </w:r>
      <w:r w:rsidR="00CE2AC8" w:rsidRPr="00880275">
        <w:t>Unlike complaints made under the Anti-Discrimination Act, h</w:t>
      </w:r>
      <w:r w:rsidR="00A90F05" w:rsidRPr="00880275">
        <w:t xml:space="preserve">uman rights complaints </w:t>
      </w:r>
      <w:r w:rsidR="00AA496D" w:rsidRPr="00880275">
        <w:t xml:space="preserve">are unable to be referred on to a court or tribunal for determination. </w:t>
      </w:r>
      <w:r w:rsidR="00641198" w:rsidRPr="00880275">
        <w:t>Not all matters are suitable for dispute resolution</w:t>
      </w:r>
      <w:r w:rsidR="006B23E1" w:rsidRPr="00880275">
        <w:t xml:space="preserve"> leading to a non-binding outcome</w:t>
      </w:r>
      <w:r w:rsidR="00641198" w:rsidRPr="00880275">
        <w:t xml:space="preserve">, particularly where there are factual disputes about serious allegations. </w:t>
      </w:r>
      <w:r w:rsidR="00A90F05" w:rsidRPr="00880275">
        <w:t xml:space="preserve">The following case </w:t>
      </w:r>
      <w:r w:rsidR="00CE2AC8" w:rsidRPr="00880275">
        <w:t xml:space="preserve">studies are examples of unresolved human rights complaints </w:t>
      </w:r>
      <w:r w:rsidR="004C46E0" w:rsidRPr="00880275">
        <w:t>that may have achieved a different outcome had referral to a tribunal been an option for the complainant.</w:t>
      </w:r>
    </w:p>
    <w:p w14:paraId="2513A39E" w14:textId="7FD22EDD" w:rsidR="004876DC" w:rsidRPr="00880275" w:rsidRDefault="004876DC" w:rsidP="00754FAE">
      <w:pPr>
        <w:pStyle w:val="Casestudyorexample"/>
        <w:rPr>
          <w:b/>
          <w:bCs/>
          <w:color w:val="004270"/>
        </w:rPr>
      </w:pPr>
      <w:r w:rsidRPr="00880275">
        <w:rPr>
          <w:b/>
          <w:bCs/>
          <w:color w:val="004270"/>
        </w:rPr>
        <w:t>Case study</w:t>
      </w:r>
    </w:p>
    <w:p w14:paraId="5BCBDE84" w14:textId="755C0AB5" w:rsidR="001D26B9" w:rsidRPr="00880275" w:rsidRDefault="001D26B9" w:rsidP="00754FAE">
      <w:pPr>
        <w:pStyle w:val="Casestudyorexample"/>
      </w:pPr>
      <w:r w:rsidRPr="00880275">
        <w:t xml:space="preserve">The complainant’s mother made </w:t>
      </w:r>
      <w:r w:rsidR="00563F15" w:rsidRPr="00880275">
        <w:t>a</w:t>
      </w:r>
      <w:r w:rsidRPr="00880275">
        <w:t xml:space="preserve"> complaint on behalf of her teenage daughter, with allegations that she was assaulted by another student while at school. It was also alleged that the school did</w:t>
      </w:r>
      <w:r w:rsidR="00E11052" w:rsidRPr="00880275">
        <w:t xml:space="preserve"> not</w:t>
      </w:r>
      <w:r w:rsidRPr="00880275">
        <w:t xml:space="preserve"> promptly notify the mother of the incident, for which </w:t>
      </w:r>
      <w:r w:rsidR="009210D1" w:rsidRPr="00880275">
        <w:t xml:space="preserve">the student </w:t>
      </w:r>
      <w:r w:rsidRPr="00880275">
        <w:t xml:space="preserve">required testing at hospital for spinal injury and concussion. The complainant’s mental health deteriorated after the incident. The complaint was accepted under sections 26 (protection of families and children), section 29 (right to liberty and security), section 36 (right to education). There appeared to be little dispute in relation to the facts. Had this been taken to Tribunal, there would have been a reasonable chance of remedy and the opportunity to address a broader systemic issue around </w:t>
      </w:r>
      <w:r w:rsidR="00B671A2" w:rsidRPr="00880275">
        <w:t>the child’s</w:t>
      </w:r>
      <w:r w:rsidRPr="00880275">
        <w:t xml:space="preserve"> safety at school. </w:t>
      </w:r>
    </w:p>
    <w:p w14:paraId="136C5B37" w14:textId="77777777" w:rsidR="002209B1" w:rsidRPr="00880275" w:rsidRDefault="002209B1" w:rsidP="00754FAE">
      <w:pPr>
        <w:pStyle w:val="Numberedparagraph"/>
        <w:numPr>
          <w:ilvl w:val="0"/>
          <w:numId w:val="0"/>
        </w:numPr>
        <w:ind w:left="1134"/>
      </w:pPr>
    </w:p>
    <w:p w14:paraId="372463E4" w14:textId="0990CF46" w:rsidR="001D26B9" w:rsidRPr="00880275" w:rsidRDefault="001D26B9" w:rsidP="00754FAE">
      <w:pPr>
        <w:pStyle w:val="Casestudyorexample"/>
        <w:rPr>
          <w:b/>
          <w:bCs/>
          <w:color w:val="004270"/>
        </w:rPr>
      </w:pPr>
      <w:r w:rsidRPr="00880275">
        <w:rPr>
          <w:b/>
          <w:bCs/>
          <w:color w:val="004270"/>
        </w:rPr>
        <w:t>Case study</w:t>
      </w:r>
    </w:p>
    <w:p w14:paraId="0A18F7ED" w14:textId="3EF39918" w:rsidR="001D26B9" w:rsidRPr="00880275" w:rsidRDefault="00B6661B" w:rsidP="00754FAE">
      <w:pPr>
        <w:pStyle w:val="Casestudyorexample"/>
      </w:pPr>
      <w:r w:rsidRPr="00880275">
        <w:t xml:space="preserve">The complainant </w:t>
      </w:r>
      <w:r w:rsidR="002F5282" w:rsidRPr="00880275">
        <w:t xml:space="preserve">had a </w:t>
      </w:r>
      <w:r w:rsidR="004A0EB0" w:rsidRPr="00880275">
        <w:t>significant</w:t>
      </w:r>
      <w:r w:rsidR="002F5282" w:rsidRPr="00880275">
        <w:t xml:space="preserve"> disability</w:t>
      </w:r>
      <w:r w:rsidR="006D3B8A" w:rsidRPr="00880275">
        <w:t xml:space="preserve"> and had high care needs</w:t>
      </w:r>
      <w:r w:rsidR="002F5282" w:rsidRPr="00880275">
        <w:t xml:space="preserve">. His mother made a complaint </w:t>
      </w:r>
      <w:r w:rsidR="00DD3D35" w:rsidRPr="00880275">
        <w:t xml:space="preserve">on his behalf </w:t>
      </w:r>
      <w:r w:rsidR="002F5282" w:rsidRPr="00880275">
        <w:t xml:space="preserve">about </w:t>
      </w:r>
      <w:r w:rsidR="00185362" w:rsidRPr="00880275">
        <w:t>a</w:t>
      </w:r>
      <w:r w:rsidR="002F5282" w:rsidRPr="00880275">
        <w:t xml:space="preserve"> </w:t>
      </w:r>
      <w:r w:rsidR="00DD3D35" w:rsidRPr="00880275">
        <w:t>supported independent living</w:t>
      </w:r>
      <w:r w:rsidR="002F5282" w:rsidRPr="00880275">
        <w:t xml:space="preserve"> facility</w:t>
      </w:r>
      <w:r w:rsidR="0027373D" w:rsidRPr="00880275">
        <w:t xml:space="preserve"> where he had lived for 3 months prior to making a complaint</w:t>
      </w:r>
      <w:r w:rsidR="00DD3D35" w:rsidRPr="00880275">
        <w:t>. The allegations included that the complainant had been severely neglected, had only been fed</w:t>
      </w:r>
      <w:r w:rsidR="002F5282" w:rsidRPr="00880275">
        <w:t xml:space="preserve"> </w:t>
      </w:r>
      <w:r w:rsidR="0027373D" w:rsidRPr="00880275">
        <w:t xml:space="preserve">junk food leading to 16 kg weight gain and </w:t>
      </w:r>
      <w:r w:rsidR="00682296" w:rsidRPr="00880275">
        <w:t>poor bowel health</w:t>
      </w:r>
      <w:r w:rsidR="0027373D" w:rsidRPr="00880275">
        <w:t xml:space="preserve">, </w:t>
      </w:r>
      <w:r w:rsidR="00682296" w:rsidRPr="00880275">
        <w:t>that he</w:t>
      </w:r>
      <w:r w:rsidR="0027373D" w:rsidRPr="00880275">
        <w:t xml:space="preserve"> had insufficient help with showering or toileting and did not have access to a toothbrush which had caused bleeding gums.</w:t>
      </w:r>
      <w:r w:rsidR="0011747F" w:rsidRPr="00880275">
        <w:t xml:space="preserve"> On visiting him one day, his mother found that </w:t>
      </w:r>
      <w:r w:rsidR="009F693A" w:rsidRPr="00880275">
        <w:t xml:space="preserve">the complainant had a bad nappy rash and there </w:t>
      </w:r>
      <w:r w:rsidR="006561CC" w:rsidRPr="00880275">
        <w:t>were</w:t>
      </w:r>
      <w:r w:rsidR="009F693A" w:rsidRPr="00880275">
        <w:t xml:space="preserve"> </w:t>
      </w:r>
      <w:proofErr w:type="spellStart"/>
      <w:r w:rsidR="009F693A" w:rsidRPr="00880275">
        <w:t>faeces</w:t>
      </w:r>
      <w:proofErr w:type="spellEnd"/>
      <w:r w:rsidR="009F693A" w:rsidRPr="00880275">
        <w:t xml:space="preserve"> in his bed. </w:t>
      </w:r>
      <w:r w:rsidR="00E42771" w:rsidRPr="00880275">
        <w:t>She</w:t>
      </w:r>
      <w:r w:rsidR="006561CC" w:rsidRPr="00880275">
        <w:t xml:space="preserve"> also alleged that </w:t>
      </w:r>
      <w:r w:rsidR="00311E3E" w:rsidRPr="00880275">
        <w:t xml:space="preserve">he had been punched in the head by a support worker. </w:t>
      </w:r>
      <w:r w:rsidR="00516666" w:rsidRPr="00880275">
        <w:t xml:space="preserve">The complaint was accepted under section 17 </w:t>
      </w:r>
      <w:r w:rsidR="00516666" w:rsidRPr="00880275">
        <w:lastRenderedPageBreak/>
        <w:t xml:space="preserve">(protection from torture and cruel, inhuman or degrading treatment). </w:t>
      </w:r>
      <w:r w:rsidR="00B11002" w:rsidRPr="00880275">
        <w:t xml:space="preserve">While an agreement was made between the parties to improve the care of the complainant, </w:t>
      </w:r>
      <w:r w:rsidR="0037028B" w:rsidRPr="00880275">
        <w:t xml:space="preserve">the complainant’s mother </w:t>
      </w:r>
      <w:r w:rsidR="000B0157" w:rsidRPr="00880275">
        <w:t xml:space="preserve">later </w:t>
      </w:r>
      <w:r w:rsidR="0037028B" w:rsidRPr="00880275">
        <w:t xml:space="preserve">advised that </w:t>
      </w:r>
      <w:r w:rsidR="000B0157" w:rsidRPr="00880275">
        <w:t xml:space="preserve">it had not been complied with. </w:t>
      </w:r>
      <w:r w:rsidR="002C3CA8" w:rsidRPr="00880275">
        <w:t>The serious allegation of</w:t>
      </w:r>
      <w:r w:rsidR="00133053" w:rsidRPr="00880275">
        <w:t xml:space="preserve"> a physical</w:t>
      </w:r>
      <w:r w:rsidR="002C3CA8" w:rsidRPr="00880275">
        <w:t xml:space="preserve"> assault could not reasonably be dealt with during conciliation, and the </w:t>
      </w:r>
      <w:r w:rsidR="00DE5AFF" w:rsidRPr="00880275">
        <w:t>complainant’s mother</w:t>
      </w:r>
      <w:r w:rsidR="00133053" w:rsidRPr="00880275">
        <w:t xml:space="preserve"> was referred to police.</w:t>
      </w:r>
      <w:r w:rsidR="000B0157" w:rsidRPr="00880275">
        <w:t xml:space="preserve"> </w:t>
      </w:r>
      <w:r w:rsidR="00133053" w:rsidRPr="00880275">
        <w:t>When the agreement was not followed, t</w:t>
      </w:r>
      <w:r w:rsidR="002C3CA8" w:rsidRPr="00880275">
        <w:t xml:space="preserve">he only option was for the complainant’s mother to bring </w:t>
      </w:r>
      <w:r w:rsidR="00641198" w:rsidRPr="00880275">
        <w:t xml:space="preserve">yet </w:t>
      </w:r>
      <w:r w:rsidR="002C3CA8" w:rsidRPr="00880275">
        <w:t xml:space="preserve">another complaint. </w:t>
      </w:r>
    </w:p>
    <w:p w14:paraId="27F2D777" w14:textId="77777777" w:rsidR="00C677FA" w:rsidRPr="00880275" w:rsidRDefault="00C677FA" w:rsidP="00754FAE">
      <w:pPr>
        <w:pStyle w:val="Numberedparagraph"/>
        <w:numPr>
          <w:ilvl w:val="0"/>
          <w:numId w:val="0"/>
        </w:numPr>
        <w:ind w:left="567"/>
      </w:pPr>
    </w:p>
    <w:p w14:paraId="79A3643C" w14:textId="611BB59B" w:rsidR="00FC1435" w:rsidRPr="00880275" w:rsidRDefault="00E278FB" w:rsidP="00754FAE">
      <w:pPr>
        <w:pStyle w:val="Numberedparagraph"/>
      </w:pPr>
      <w:r w:rsidRPr="00880275">
        <w:t>The Commission’s review of the Anti-Discrimination Act</w:t>
      </w:r>
      <w:r w:rsidR="00A50D4B" w:rsidRPr="00880275">
        <w:rPr>
          <w:i/>
          <w:iCs/>
        </w:rPr>
        <w:t xml:space="preserve"> </w:t>
      </w:r>
      <w:r w:rsidRPr="00880275">
        <w:t xml:space="preserve">considered whether the Commission’s </w:t>
      </w:r>
      <w:r w:rsidR="000B0462" w:rsidRPr="00880275">
        <w:t>role in accepting and referring complaints was appropriate, or whether a direct right of access to the tribunal should be allowed</w:t>
      </w:r>
      <w:r w:rsidR="0069271D" w:rsidRPr="00880275">
        <w:t>.</w:t>
      </w:r>
      <w:r w:rsidR="009C5CC0" w:rsidRPr="00880275">
        <w:rPr>
          <w:rStyle w:val="FootnoteReference"/>
        </w:rPr>
        <w:footnoteReference w:id="48"/>
      </w:r>
      <w:r w:rsidR="0069271D" w:rsidRPr="00880275">
        <w:t xml:space="preserve"> </w:t>
      </w:r>
      <w:r w:rsidR="00A93FC0" w:rsidRPr="00880275">
        <w:t xml:space="preserve">While disadvantages </w:t>
      </w:r>
      <w:r w:rsidR="00FE14EA" w:rsidRPr="00880275">
        <w:t xml:space="preserve">of the current process </w:t>
      </w:r>
      <w:r w:rsidR="00A624D1" w:rsidRPr="00880275">
        <w:t xml:space="preserve">were </w:t>
      </w:r>
      <w:r w:rsidR="00FE14EA" w:rsidRPr="00880275">
        <w:t xml:space="preserve">identified, ultimately the </w:t>
      </w:r>
      <w:r w:rsidR="00E80ED6" w:rsidRPr="00880275">
        <w:t>R</w:t>
      </w:r>
      <w:r w:rsidR="00FE14EA" w:rsidRPr="00880275">
        <w:t>eview’s position was that complaints under the Anti-Discrimination Act</w:t>
      </w:r>
      <w:r w:rsidR="00FE14EA" w:rsidRPr="00880275">
        <w:rPr>
          <w:i/>
          <w:iCs/>
        </w:rPr>
        <w:t xml:space="preserve"> </w:t>
      </w:r>
      <w:r w:rsidR="00F1116C" w:rsidRPr="00880275">
        <w:t xml:space="preserve">should </w:t>
      </w:r>
      <w:r w:rsidR="00FE14EA" w:rsidRPr="00880275">
        <w:t>continue to pass through the Commission</w:t>
      </w:r>
      <w:r w:rsidR="00DC7369" w:rsidRPr="00880275">
        <w:t xml:space="preserve">’s </w:t>
      </w:r>
      <w:r w:rsidR="00427CA7" w:rsidRPr="00880275">
        <w:t>filtering role and dispute resolution process</w:t>
      </w:r>
      <w:r w:rsidR="00FE14EA" w:rsidRPr="00880275">
        <w:t>.</w:t>
      </w:r>
    </w:p>
    <w:p w14:paraId="2B4DCBD4" w14:textId="47395813" w:rsidR="00EC2C96" w:rsidRPr="00880275" w:rsidRDefault="00427CA7" w:rsidP="00754FAE">
      <w:pPr>
        <w:pStyle w:val="Numberedparagraph"/>
      </w:pPr>
      <w:r w:rsidRPr="00880275">
        <w:t>The Commission submits that unresolved human rights complaints</w:t>
      </w:r>
      <w:r w:rsidR="00426E9B" w:rsidRPr="00880275">
        <w:t>, like</w:t>
      </w:r>
      <w:r w:rsidR="00EC2C96" w:rsidRPr="00880275">
        <w:t xml:space="preserve"> complaints under the </w:t>
      </w:r>
      <w:r w:rsidR="00980215" w:rsidRPr="00880275">
        <w:rPr>
          <w:iCs/>
        </w:rPr>
        <w:t>Anti-Discrimination Act</w:t>
      </w:r>
      <w:r w:rsidR="00426E9B" w:rsidRPr="00880275">
        <w:t>,</w:t>
      </w:r>
      <w:r w:rsidRPr="00880275">
        <w:t xml:space="preserve"> </w:t>
      </w:r>
      <w:r w:rsidR="004F1F8E" w:rsidRPr="00880275">
        <w:t xml:space="preserve">should </w:t>
      </w:r>
      <w:r w:rsidRPr="00880275">
        <w:t>be able to be referred to a tribunal</w:t>
      </w:r>
      <w:r w:rsidR="00026D7B" w:rsidRPr="00880275">
        <w:t xml:space="preserve">. </w:t>
      </w:r>
      <w:r w:rsidR="00865E79" w:rsidRPr="00880275">
        <w:t xml:space="preserve">Processes under both Acts should align, as far as possible, to </w:t>
      </w:r>
      <w:r w:rsidR="00DE5DE2" w:rsidRPr="00880275">
        <w:t>reduce complexity and aid efficiency.</w:t>
      </w:r>
      <w:r w:rsidR="00005B3C" w:rsidRPr="00880275">
        <w:t xml:space="preserve"> This includes matters such as time limits, </w:t>
      </w:r>
      <w:r w:rsidR="00F936F9" w:rsidRPr="00880275">
        <w:t>ways a complaint can be made</w:t>
      </w:r>
      <w:r w:rsidR="00AC47D3" w:rsidRPr="00880275">
        <w:t>, and who can make a complaint</w:t>
      </w:r>
      <w:r w:rsidR="008B14FF" w:rsidRPr="00880275">
        <w:t>.</w:t>
      </w:r>
    </w:p>
    <w:p w14:paraId="3301F944" w14:textId="57CB1C65" w:rsidR="00D27235" w:rsidRPr="00880275" w:rsidRDefault="00C17D5B" w:rsidP="00754FAE">
      <w:pPr>
        <w:pStyle w:val="Numberedparagraph"/>
      </w:pPr>
      <w:r w:rsidRPr="00880275">
        <w:t xml:space="preserve">An argument against </w:t>
      </w:r>
      <w:r w:rsidR="00AA651F" w:rsidRPr="00880275">
        <w:t>making</w:t>
      </w:r>
      <w:r w:rsidR="002A12B7" w:rsidRPr="00880275">
        <w:t xml:space="preserve"> human rights</w:t>
      </w:r>
      <w:r w:rsidR="00AA651F" w:rsidRPr="00880275">
        <w:t xml:space="preserve"> </w:t>
      </w:r>
      <w:r w:rsidRPr="00880275">
        <w:t>complaints</w:t>
      </w:r>
      <w:r w:rsidR="002A12B7" w:rsidRPr="00880275">
        <w:t xml:space="preserve"> </w:t>
      </w:r>
      <w:r w:rsidR="00AA651F" w:rsidRPr="00880275">
        <w:t xml:space="preserve">enforceable </w:t>
      </w:r>
      <w:r w:rsidR="0030097A" w:rsidRPr="00880275">
        <w:t xml:space="preserve">in this way </w:t>
      </w:r>
      <w:r w:rsidR="00AA651F" w:rsidRPr="00880275">
        <w:t xml:space="preserve">is that it </w:t>
      </w:r>
      <w:r w:rsidR="00A75DA9" w:rsidRPr="00880275">
        <w:t xml:space="preserve">may </w:t>
      </w:r>
      <w:r w:rsidR="00313DAB" w:rsidRPr="00880275">
        <w:t xml:space="preserve">reduce </w:t>
      </w:r>
      <w:r w:rsidR="00E65507" w:rsidRPr="00880275">
        <w:t xml:space="preserve">public entity </w:t>
      </w:r>
      <w:r w:rsidR="00313DAB" w:rsidRPr="00880275">
        <w:t>willingness to resolve matter</w:t>
      </w:r>
      <w:r w:rsidR="00E65507" w:rsidRPr="00880275">
        <w:t>s through early intervention or conciliation</w:t>
      </w:r>
      <w:r w:rsidR="00313DAB" w:rsidRPr="00880275">
        <w:t xml:space="preserve">. However, </w:t>
      </w:r>
      <w:r w:rsidR="00E65507" w:rsidRPr="00880275">
        <w:t>resolution rates of human rights complaints (</w:t>
      </w:r>
      <w:r w:rsidR="004D1D79" w:rsidRPr="00880275">
        <w:t>3</w:t>
      </w:r>
      <w:r w:rsidR="009449D4" w:rsidRPr="00880275">
        <w:t>3</w:t>
      </w:r>
      <w:r w:rsidR="0018128A" w:rsidRPr="00880275">
        <w:t xml:space="preserve">%) and anti-discrimination complaints </w:t>
      </w:r>
      <w:r w:rsidR="00D5019A" w:rsidRPr="00880275">
        <w:t xml:space="preserve">against </w:t>
      </w:r>
      <w:r w:rsidR="0018128A" w:rsidRPr="00880275">
        <w:t>public entities</w:t>
      </w:r>
      <w:r w:rsidR="00267369" w:rsidRPr="00880275">
        <w:t xml:space="preserve"> in which </w:t>
      </w:r>
      <w:r w:rsidR="005F6128" w:rsidRPr="00880275">
        <w:t xml:space="preserve">human rights are </w:t>
      </w:r>
      <w:proofErr w:type="gramStart"/>
      <w:r w:rsidR="005F6128" w:rsidRPr="00880275">
        <w:t>piggy</w:t>
      </w:r>
      <w:r w:rsidR="008E3199" w:rsidRPr="00880275">
        <w:t>-</w:t>
      </w:r>
      <w:r w:rsidR="005F6128" w:rsidRPr="00880275">
        <w:t>backed</w:t>
      </w:r>
      <w:proofErr w:type="gramEnd"/>
      <w:r w:rsidR="0018128A" w:rsidRPr="00880275">
        <w:t xml:space="preserve"> (</w:t>
      </w:r>
      <w:r w:rsidR="000D61B5" w:rsidRPr="00880275">
        <w:t>27</w:t>
      </w:r>
      <w:r w:rsidR="0018128A" w:rsidRPr="00880275">
        <w:t>%)</w:t>
      </w:r>
      <w:r w:rsidR="005F6128" w:rsidRPr="00880275">
        <w:t xml:space="preserve">, sit well below resolution rates for </w:t>
      </w:r>
      <w:r w:rsidR="0018128A" w:rsidRPr="00880275">
        <w:t xml:space="preserve">anti-discrimination complaints </w:t>
      </w:r>
      <w:r w:rsidR="00267369" w:rsidRPr="00880275">
        <w:t xml:space="preserve">overall </w:t>
      </w:r>
      <w:r w:rsidR="0018128A" w:rsidRPr="00880275">
        <w:t>(</w:t>
      </w:r>
      <w:r w:rsidR="00267369" w:rsidRPr="00880275">
        <w:t>4</w:t>
      </w:r>
      <w:r w:rsidR="00D83977" w:rsidRPr="00880275">
        <w:t>2</w:t>
      </w:r>
      <w:r w:rsidR="0018128A" w:rsidRPr="00880275">
        <w:t>%).</w:t>
      </w:r>
      <w:r w:rsidR="009449D4" w:rsidRPr="00880275">
        <w:rPr>
          <w:rStyle w:val="FootnoteReference"/>
          <w:rFonts w:eastAsia="Arial"/>
        </w:rPr>
        <w:footnoteReference w:id="49"/>
      </w:r>
      <w:r w:rsidR="0018128A" w:rsidRPr="00880275">
        <w:t xml:space="preserve"> </w:t>
      </w:r>
      <w:r w:rsidR="00700A38" w:rsidRPr="00880275">
        <w:t xml:space="preserve">For </w:t>
      </w:r>
      <w:r w:rsidR="00C736D6" w:rsidRPr="00880275">
        <w:t xml:space="preserve">Commission complaint processes to become more effective </w:t>
      </w:r>
      <w:r w:rsidR="003C6216" w:rsidRPr="00880275">
        <w:t xml:space="preserve">without an enforcement mechanism, </w:t>
      </w:r>
      <w:r w:rsidR="00372235" w:rsidRPr="00880275">
        <w:t xml:space="preserve">work </w:t>
      </w:r>
      <w:r w:rsidR="00E945BB" w:rsidRPr="00880275">
        <w:t xml:space="preserve">is </w:t>
      </w:r>
      <w:r w:rsidR="00372235" w:rsidRPr="00880275">
        <w:t>need</w:t>
      </w:r>
      <w:r w:rsidR="00E945BB" w:rsidRPr="00880275">
        <w:t>ed</w:t>
      </w:r>
      <w:r w:rsidR="00372235" w:rsidRPr="00880275">
        <w:t xml:space="preserve"> </w:t>
      </w:r>
      <w:r w:rsidR="003A7E70" w:rsidRPr="00880275">
        <w:t xml:space="preserve">to build </w:t>
      </w:r>
      <w:r w:rsidR="00F57CC7" w:rsidRPr="00880275">
        <w:t xml:space="preserve">a culture of </w:t>
      </w:r>
      <w:r w:rsidR="00372235" w:rsidRPr="00880275">
        <w:t xml:space="preserve">human rights in public entities and their approach to complaint processes. This is explored further in the section on </w:t>
      </w:r>
      <w:r w:rsidR="006E6249" w:rsidRPr="00880275">
        <w:rPr>
          <w:b/>
          <w:bCs/>
        </w:rPr>
        <w:t>C</w:t>
      </w:r>
      <w:r w:rsidR="00372235" w:rsidRPr="00880275">
        <w:rPr>
          <w:b/>
          <w:bCs/>
        </w:rPr>
        <w:t>omplaint</w:t>
      </w:r>
      <w:r w:rsidR="00BC19CC" w:rsidRPr="00880275">
        <w:rPr>
          <w:b/>
          <w:bCs/>
        </w:rPr>
        <w:t>s</w:t>
      </w:r>
      <w:r w:rsidR="00372235" w:rsidRPr="00880275">
        <w:rPr>
          <w:b/>
          <w:bCs/>
        </w:rPr>
        <w:t xml:space="preserve"> and dispute resolution</w:t>
      </w:r>
      <w:r w:rsidR="00372235" w:rsidRPr="00880275">
        <w:t xml:space="preserve"> below. </w:t>
      </w:r>
    </w:p>
    <w:p w14:paraId="4F522BCE" w14:textId="29DA3486" w:rsidR="00F57CC7" w:rsidRPr="00880275" w:rsidRDefault="00F57CC7" w:rsidP="00754FAE">
      <w:pPr>
        <w:pStyle w:val="Heading5"/>
      </w:pPr>
      <w:r w:rsidRPr="00880275">
        <w:lastRenderedPageBreak/>
        <w:t xml:space="preserve">Recommendation </w:t>
      </w:r>
      <w:r w:rsidR="00F12F3A" w:rsidRPr="00880275">
        <w:t>2.2</w:t>
      </w:r>
    </w:p>
    <w:p w14:paraId="6481EE41" w14:textId="1C5C7959" w:rsidR="00496062" w:rsidRPr="00880275" w:rsidRDefault="00496062" w:rsidP="00754FAE">
      <w:pPr>
        <w:pStyle w:val="Heading5"/>
      </w:pPr>
      <w:r w:rsidRPr="00880275">
        <w:t xml:space="preserve">The Human Rights Act should be amended to allow the Commission to refer unresolved human rights complaints, and complaints that are otherwise unsuited to the Commission’s </w:t>
      </w:r>
      <w:r w:rsidR="00EB3BFD" w:rsidRPr="00880275">
        <w:t>dispute</w:t>
      </w:r>
      <w:r w:rsidRPr="00880275">
        <w:t xml:space="preserve"> resolution process, to a tribunal for determination.</w:t>
      </w:r>
    </w:p>
    <w:p w14:paraId="1E982205" w14:textId="708CCC2E" w:rsidR="00606050" w:rsidRPr="00880275" w:rsidRDefault="001532A6" w:rsidP="00BF0181">
      <w:pPr>
        <w:pStyle w:val="Heading3"/>
      </w:pPr>
      <w:bookmarkStart w:id="34" w:name="_Toc171346771"/>
      <w:r w:rsidRPr="00880275">
        <w:t>Standalone pathway</w:t>
      </w:r>
      <w:r w:rsidR="00606050" w:rsidRPr="00880275">
        <w:t xml:space="preserve"> to the courts</w:t>
      </w:r>
      <w:bookmarkEnd w:id="34"/>
    </w:p>
    <w:p w14:paraId="5E2AB70C" w14:textId="00857B18" w:rsidR="00B808D0" w:rsidRPr="00880275" w:rsidRDefault="00B808D0" w:rsidP="00754FAE">
      <w:pPr>
        <w:pStyle w:val="Numberedparagraph"/>
      </w:pPr>
      <w:r w:rsidRPr="00880275">
        <w:t xml:space="preserve">While piggy-back claims allow </w:t>
      </w:r>
      <w:r w:rsidR="00987240" w:rsidRPr="00880275">
        <w:t>some</w:t>
      </w:r>
      <w:r w:rsidRPr="00880275">
        <w:t xml:space="preserve"> human rights </w:t>
      </w:r>
      <w:r w:rsidR="0039085C" w:rsidRPr="00880275">
        <w:t xml:space="preserve">issues to be ventilated before the courts, there are drawbacks to piggy-back claims such as </w:t>
      </w:r>
      <w:r w:rsidR="00DD4389" w:rsidRPr="00880275">
        <w:t xml:space="preserve">spending </w:t>
      </w:r>
      <w:r w:rsidR="00AC1463" w:rsidRPr="00880275">
        <w:t xml:space="preserve">significant </w:t>
      </w:r>
      <w:r w:rsidR="00DD4389" w:rsidRPr="00880275">
        <w:t xml:space="preserve">court time in determining </w:t>
      </w:r>
      <w:r w:rsidR="00E96404" w:rsidRPr="00880275">
        <w:t>whether legal tests under section 59 of the Human Rights Act have been fulfilled to allow a person to piggy-back human rights</w:t>
      </w:r>
      <w:r w:rsidR="00DD4389" w:rsidRPr="00880275">
        <w:t xml:space="preserve">. </w:t>
      </w:r>
      <w:r w:rsidR="004160BF" w:rsidRPr="00880275">
        <w:t xml:space="preserve">Another </w:t>
      </w:r>
      <w:r w:rsidR="007173DF" w:rsidRPr="00880275">
        <w:t>example</w:t>
      </w:r>
      <w:r w:rsidR="00CE1F94" w:rsidRPr="00880275">
        <w:t xml:space="preserve"> is where a</w:t>
      </w:r>
      <w:r w:rsidR="00125E67" w:rsidRPr="00880275">
        <w:t xml:space="preserve"> </w:t>
      </w:r>
      <w:r w:rsidR="00CE1F94" w:rsidRPr="00880275">
        <w:t xml:space="preserve">decision is challenged </w:t>
      </w:r>
      <w:r w:rsidR="00814B4E" w:rsidRPr="00880275">
        <w:t xml:space="preserve">on the basis </w:t>
      </w:r>
      <w:r w:rsidR="00C366C6" w:rsidRPr="00880275">
        <w:t xml:space="preserve">that </w:t>
      </w:r>
      <w:r w:rsidR="00CE1F94" w:rsidRPr="00880275">
        <w:t>there are ways of achieving the decision’s purpose that are less restrictive of human rights</w:t>
      </w:r>
      <w:r w:rsidR="00F3620D" w:rsidRPr="00880275">
        <w:t xml:space="preserve"> open to th</w:t>
      </w:r>
      <w:r w:rsidR="00053D10" w:rsidRPr="00880275">
        <w:t xml:space="preserve">e </w:t>
      </w:r>
      <w:proofErr w:type="gramStart"/>
      <w:r w:rsidR="00053D10" w:rsidRPr="00880275">
        <w:t>respondent</w:t>
      </w:r>
      <w:r w:rsidR="004E2896" w:rsidRPr="00880275">
        <w:t xml:space="preserve"> as a whole</w:t>
      </w:r>
      <w:r w:rsidR="00CE1F94" w:rsidRPr="00880275">
        <w:t>, but</w:t>
      </w:r>
      <w:proofErr w:type="gramEnd"/>
      <w:r w:rsidR="00CE1F94" w:rsidRPr="00880275">
        <w:t xml:space="preserve"> those options are not within the authority or power of the </w:t>
      </w:r>
      <w:r w:rsidR="00053D10" w:rsidRPr="00880275">
        <w:t xml:space="preserve">particular </w:t>
      </w:r>
      <w:r w:rsidR="00CE1F94" w:rsidRPr="00880275">
        <w:t>decision-maker.</w:t>
      </w:r>
      <w:r w:rsidR="00053D10" w:rsidRPr="00880275">
        <w:rPr>
          <w:rStyle w:val="FootnoteReference"/>
        </w:rPr>
        <w:footnoteReference w:id="50"/>
      </w:r>
      <w:r w:rsidR="00CE1F94" w:rsidRPr="00880275">
        <w:t xml:space="preserve"> </w:t>
      </w:r>
    </w:p>
    <w:p w14:paraId="5969B6C7" w14:textId="6C5706A1" w:rsidR="00967851" w:rsidRPr="00880275" w:rsidRDefault="006B305D" w:rsidP="00754FAE">
      <w:pPr>
        <w:pStyle w:val="Numberedparagraph"/>
      </w:pPr>
      <w:r w:rsidRPr="00880275">
        <w:t xml:space="preserve">Determination of human rights issues by courts is beneficial because of the </w:t>
      </w:r>
      <w:r w:rsidR="00AF21D2" w:rsidRPr="00880275">
        <w:t>authority</w:t>
      </w:r>
      <w:r w:rsidR="009E525D" w:rsidRPr="00880275">
        <w:t xml:space="preserve"> and influence the courts have.</w:t>
      </w:r>
      <w:r w:rsidR="00E00E7D" w:rsidRPr="00880275">
        <w:t xml:space="preserve"> </w:t>
      </w:r>
      <w:r w:rsidR="00792A04" w:rsidRPr="00880275">
        <w:t>E</w:t>
      </w:r>
      <w:r w:rsidR="00967851" w:rsidRPr="00880275">
        <w:t>nforcement of rights by a court</w:t>
      </w:r>
      <w:r w:rsidR="00F2227E" w:rsidRPr="00880275">
        <w:t xml:space="preserve"> </w:t>
      </w:r>
      <w:r w:rsidR="006F5247" w:rsidRPr="00880275">
        <w:t xml:space="preserve">can result in </w:t>
      </w:r>
      <w:r w:rsidR="00424479" w:rsidRPr="00880275">
        <w:t xml:space="preserve">a </w:t>
      </w:r>
      <w:r w:rsidR="006F5247" w:rsidRPr="00880275">
        <w:t xml:space="preserve">favourable </w:t>
      </w:r>
      <w:r w:rsidR="00967851" w:rsidRPr="00880275">
        <w:t>costs order</w:t>
      </w:r>
      <w:r w:rsidR="00AA7364" w:rsidRPr="00880275">
        <w:t xml:space="preserve">, which may increase accessibility to legal representation through </w:t>
      </w:r>
      <w:r w:rsidR="00967851" w:rsidRPr="00880275">
        <w:t>‘no win no fee’ arrangements or through litigation funding.  The potential for</w:t>
      </w:r>
      <w:r w:rsidR="00C32C0B" w:rsidRPr="00880275" w:rsidDel="00EE0363">
        <w:t xml:space="preserve"> </w:t>
      </w:r>
      <w:r w:rsidR="00EE0363" w:rsidRPr="00880275">
        <w:t xml:space="preserve">standalone </w:t>
      </w:r>
      <w:r w:rsidR="00C32C0B" w:rsidRPr="00880275">
        <w:t xml:space="preserve">causes of action </w:t>
      </w:r>
      <w:r w:rsidR="00EB2879" w:rsidRPr="00880275">
        <w:t xml:space="preserve">in the courts </w:t>
      </w:r>
      <w:r w:rsidR="008547E8" w:rsidRPr="00880275">
        <w:t xml:space="preserve">may </w:t>
      </w:r>
      <w:r w:rsidR="00967851" w:rsidRPr="00880275">
        <w:t xml:space="preserve">also drive accountability and change in the public sector in </w:t>
      </w:r>
      <w:r w:rsidR="00A5583A" w:rsidRPr="00880275">
        <w:t>a way not currently achieved through piggy-back claims</w:t>
      </w:r>
      <w:r w:rsidR="00967851" w:rsidRPr="00880275">
        <w:t xml:space="preserve">. </w:t>
      </w:r>
    </w:p>
    <w:p w14:paraId="31FD93CF" w14:textId="006560F9" w:rsidR="00983635" w:rsidRPr="00880275" w:rsidRDefault="00104ACC" w:rsidP="00754FAE">
      <w:pPr>
        <w:pStyle w:val="Numberedparagraph"/>
      </w:pPr>
      <w:r w:rsidRPr="00880275">
        <w:t xml:space="preserve">The </w:t>
      </w:r>
      <w:r w:rsidRPr="00880275">
        <w:rPr>
          <w:i/>
          <w:iCs/>
        </w:rPr>
        <w:t>Human Rights Act 2004</w:t>
      </w:r>
      <w:r w:rsidRPr="00880275">
        <w:t xml:space="preserve"> (ACT) </w:t>
      </w:r>
      <w:r w:rsidR="00AD214C" w:rsidRPr="00880275">
        <w:t>allows a person to start proceedings in the Supreme Court against a public authority</w:t>
      </w:r>
      <w:r w:rsidR="004F61EE" w:rsidRPr="00880275">
        <w:t xml:space="preserve"> for a contravention of the Act.</w:t>
      </w:r>
      <w:r w:rsidR="004F61EE" w:rsidRPr="00880275">
        <w:rPr>
          <w:rStyle w:val="FootnoteReference"/>
        </w:rPr>
        <w:t xml:space="preserve"> </w:t>
      </w:r>
      <w:r w:rsidR="004F61EE" w:rsidRPr="00880275">
        <w:rPr>
          <w:rStyle w:val="FootnoteReference"/>
        </w:rPr>
        <w:footnoteReference w:id="51"/>
      </w:r>
      <w:r w:rsidR="006E7700" w:rsidRPr="00880275">
        <w:rPr>
          <w:rStyle w:val="FootnoteReference"/>
        </w:rPr>
        <w:t xml:space="preserve"> </w:t>
      </w:r>
      <w:r w:rsidR="004F61EE" w:rsidRPr="00880275">
        <w:t xml:space="preserve"> </w:t>
      </w:r>
      <w:r w:rsidR="006E7700" w:rsidRPr="00880275">
        <w:t>Th</w:t>
      </w:r>
      <w:r w:rsidR="00952D6C" w:rsidRPr="00880275">
        <w:t>e</w:t>
      </w:r>
      <w:r w:rsidR="00EC441D" w:rsidRPr="00880275">
        <w:t xml:space="preserve"> </w:t>
      </w:r>
      <w:r w:rsidR="006E7700" w:rsidRPr="00880275">
        <w:t xml:space="preserve">provision </w:t>
      </w:r>
      <w:r w:rsidR="00A00419" w:rsidRPr="00880275">
        <w:t xml:space="preserve">was inserted </w:t>
      </w:r>
      <w:r w:rsidR="006E7700" w:rsidRPr="00880275">
        <w:t xml:space="preserve">in 2009 </w:t>
      </w:r>
      <w:r w:rsidR="001E716B" w:rsidRPr="00880275">
        <w:t xml:space="preserve">in the </w:t>
      </w:r>
      <w:r w:rsidR="00A00419" w:rsidRPr="00880275">
        <w:t xml:space="preserve">hope it would stimulate renewed interest in the </w:t>
      </w:r>
      <w:r w:rsidR="00A00419" w:rsidRPr="00880275">
        <w:rPr>
          <w:i/>
          <w:iCs/>
        </w:rPr>
        <w:t>Human Rights Act 2004</w:t>
      </w:r>
      <w:r w:rsidR="00A00419" w:rsidRPr="00880275">
        <w:t xml:space="preserve"> (ACT) </w:t>
      </w:r>
      <w:r w:rsidR="00C97FAF" w:rsidRPr="00880275">
        <w:t xml:space="preserve">amongst the legal </w:t>
      </w:r>
      <w:r w:rsidR="00BD0E8D" w:rsidRPr="00880275">
        <w:t>profession</w:t>
      </w:r>
      <w:r w:rsidR="000E302F" w:rsidRPr="00880275">
        <w:t>.</w:t>
      </w:r>
      <w:r w:rsidR="00BD0E8D" w:rsidRPr="00880275">
        <w:t xml:space="preserve"> </w:t>
      </w:r>
      <w:r w:rsidR="000E302F" w:rsidRPr="00880275">
        <w:t>H</w:t>
      </w:r>
      <w:r w:rsidR="00BD0E8D" w:rsidRPr="00880275">
        <w:t xml:space="preserve">owever, </w:t>
      </w:r>
      <w:r w:rsidR="00015423" w:rsidRPr="00880275">
        <w:t xml:space="preserve">the provision </w:t>
      </w:r>
      <w:r w:rsidR="00F03879" w:rsidRPr="00880275">
        <w:t xml:space="preserve">has been observed </w:t>
      </w:r>
      <w:r w:rsidR="002917B8" w:rsidRPr="00880275">
        <w:t xml:space="preserve">as being </w:t>
      </w:r>
      <w:r w:rsidR="00015423" w:rsidRPr="00880275">
        <w:t>under-ut</w:t>
      </w:r>
      <w:r w:rsidR="005427F6" w:rsidRPr="00880275">
        <w:t>i</w:t>
      </w:r>
      <w:r w:rsidR="00015423" w:rsidRPr="00880275">
        <w:t>lised.</w:t>
      </w:r>
      <w:r w:rsidR="002917B8" w:rsidRPr="00880275">
        <w:rPr>
          <w:rStyle w:val="FootnoteReference"/>
        </w:rPr>
        <w:footnoteReference w:id="52"/>
      </w:r>
      <w:r w:rsidR="00015423" w:rsidRPr="00880275">
        <w:t xml:space="preserve"> </w:t>
      </w:r>
      <w:r w:rsidR="005F4EB0" w:rsidRPr="00880275">
        <w:t xml:space="preserve">This may be because court processes are inaccessible </w:t>
      </w:r>
      <w:r w:rsidR="00FF030C" w:rsidRPr="00880275">
        <w:t xml:space="preserve">to </w:t>
      </w:r>
      <w:proofErr w:type="gramStart"/>
      <w:r w:rsidR="0034595B" w:rsidRPr="00880275">
        <w:t>the vast majority of</w:t>
      </w:r>
      <w:proofErr w:type="gramEnd"/>
      <w:r w:rsidR="0034595B" w:rsidRPr="00880275">
        <w:t xml:space="preserve"> people in the community</w:t>
      </w:r>
      <w:r w:rsidR="009252CF" w:rsidRPr="00880275">
        <w:t xml:space="preserve">, and the risk of an adverse </w:t>
      </w:r>
      <w:r w:rsidR="00CF2DB9" w:rsidRPr="00880275">
        <w:t>cost order</w:t>
      </w:r>
      <w:r w:rsidR="00A66846" w:rsidRPr="00880275">
        <w:t>.</w:t>
      </w:r>
      <w:r w:rsidR="00A413F4" w:rsidRPr="00880275">
        <w:t xml:space="preserve"> </w:t>
      </w:r>
      <w:r w:rsidR="002917B8" w:rsidRPr="00880275">
        <w:t xml:space="preserve">The </w:t>
      </w:r>
      <w:r w:rsidR="00A413F4" w:rsidRPr="00880275">
        <w:t xml:space="preserve">ACT has recently </w:t>
      </w:r>
      <w:r w:rsidR="00BC3674" w:rsidRPr="00880275">
        <w:t xml:space="preserve">implemented </w:t>
      </w:r>
      <w:proofErr w:type="gramStart"/>
      <w:r w:rsidR="00BC3674" w:rsidRPr="00880275">
        <w:t>a complaints</w:t>
      </w:r>
      <w:proofErr w:type="gramEnd"/>
      <w:r w:rsidR="00BC3674" w:rsidRPr="00880275">
        <w:t xml:space="preserve"> process similar to the Queensland Human Rights Act</w:t>
      </w:r>
      <w:r w:rsidR="006C1A2A" w:rsidRPr="00880275">
        <w:t xml:space="preserve"> in order to improve accessible rights protection in individual cases.</w:t>
      </w:r>
      <w:r w:rsidR="00804D1D" w:rsidRPr="00880275">
        <w:rPr>
          <w:rStyle w:val="FootnoteReference"/>
        </w:rPr>
        <w:footnoteReference w:id="53"/>
      </w:r>
      <w:r w:rsidR="006C1A2A" w:rsidRPr="00880275">
        <w:t xml:space="preserve"> </w:t>
      </w:r>
      <w:r w:rsidR="00BC3674" w:rsidRPr="00880275">
        <w:t xml:space="preserve"> </w:t>
      </w:r>
    </w:p>
    <w:p w14:paraId="1AA72863" w14:textId="40DEC4CB" w:rsidR="00C65305" w:rsidRPr="00880275" w:rsidRDefault="00670555" w:rsidP="00754FAE">
      <w:pPr>
        <w:pStyle w:val="Numberedparagraph"/>
      </w:pPr>
      <w:r w:rsidRPr="00880275">
        <w:t>Despite the ACT’s experience, the Commission recommends amendment to the Human Rights Act to allow</w:t>
      </w:r>
      <w:r w:rsidR="009B3A01" w:rsidRPr="00880275">
        <w:t xml:space="preserve"> </w:t>
      </w:r>
      <w:r w:rsidR="002B0DA1" w:rsidRPr="00880275">
        <w:t>a pathway to the courts</w:t>
      </w:r>
      <w:r w:rsidR="00205A46" w:rsidRPr="00880275">
        <w:t xml:space="preserve"> for standalone human rights claims</w:t>
      </w:r>
      <w:r w:rsidRPr="00880275">
        <w:t>, in addition to piggy</w:t>
      </w:r>
      <w:r w:rsidR="008E3199" w:rsidRPr="00880275">
        <w:t>-</w:t>
      </w:r>
      <w:r w:rsidRPr="00880275">
        <w:t xml:space="preserve">back claims, to overcome limitations to </w:t>
      </w:r>
      <w:r w:rsidRPr="00880275">
        <w:lastRenderedPageBreak/>
        <w:t>piggy</w:t>
      </w:r>
      <w:r w:rsidR="008E3199" w:rsidRPr="00880275">
        <w:t>-</w:t>
      </w:r>
      <w:r w:rsidRPr="00880275">
        <w:t xml:space="preserve">back claims identified. </w:t>
      </w:r>
      <w:r w:rsidR="00774FB9" w:rsidRPr="00880275">
        <w:rPr>
          <w:rFonts w:eastAsia="Arial Nova"/>
        </w:rPr>
        <w:t xml:space="preserve">This may </w:t>
      </w:r>
      <w:r w:rsidR="004B1B0D" w:rsidRPr="00880275">
        <w:rPr>
          <w:rFonts w:eastAsia="Arial Nova"/>
        </w:rPr>
        <w:t>be instigated</w:t>
      </w:r>
      <w:r w:rsidR="00EE1255" w:rsidRPr="00880275">
        <w:rPr>
          <w:rFonts w:eastAsia="Arial Nova"/>
        </w:rPr>
        <w:t xml:space="preserve"> </w:t>
      </w:r>
      <w:r w:rsidR="00774FB9" w:rsidRPr="00880275">
        <w:rPr>
          <w:rFonts w:eastAsia="Arial Nova"/>
        </w:rPr>
        <w:t>through referral of a complaint from the Commission or through direct access</w:t>
      </w:r>
      <w:r w:rsidR="00ED7D23" w:rsidRPr="00880275">
        <w:rPr>
          <w:rFonts w:eastAsia="Arial Nova"/>
        </w:rPr>
        <w:t xml:space="preserve"> to the courts.</w:t>
      </w:r>
    </w:p>
    <w:p w14:paraId="15EE4AC3" w14:textId="77777777" w:rsidR="00D03D2C" w:rsidRPr="00880275" w:rsidRDefault="00D03D2C" w:rsidP="00754FAE">
      <w:pPr>
        <w:pStyle w:val="Heading5"/>
      </w:pPr>
      <w:r w:rsidRPr="00880275">
        <w:t>Recommendation 2.3</w:t>
      </w:r>
    </w:p>
    <w:p w14:paraId="26661981" w14:textId="77777777" w:rsidR="00DA4F1C" w:rsidRPr="00880275" w:rsidRDefault="00DA4F1C" w:rsidP="00754FAE">
      <w:pPr>
        <w:pStyle w:val="Heading5"/>
      </w:pPr>
      <w:r w:rsidRPr="00880275">
        <w:t>The Human Rights Act should be amended to allow a pathway to the courts for standalone human rights claims, in addition to piggy-back claims.</w:t>
      </w:r>
    </w:p>
    <w:p w14:paraId="337813AC" w14:textId="2DC62AD6" w:rsidR="000A3B18" w:rsidRPr="00880275" w:rsidRDefault="00BF0181" w:rsidP="00E27E56">
      <w:pPr>
        <w:pStyle w:val="Heading3"/>
      </w:pPr>
      <w:bookmarkStart w:id="35" w:name="_Toc171346772"/>
      <w:r w:rsidRPr="00880275">
        <w:t>Discretion to order a range of remedies, including damages</w:t>
      </w:r>
      <w:bookmarkEnd w:id="35"/>
    </w:p>
    <w:p w14:paraId="62AE3718" w14:textId="071435A8" w:rsidR="00B22996" w:rsidRPr="00880275" w:rsidRDefault="00D72BAB" w:rsidP="00754FAE">
      <w:pPr>
        <w:pStyle w:val="Numberedparagraph"/>
      </w:pPr>
      <w:r w:rsidRPr="00880275">
        <w:t xml:space="preserve">Under section 59(3) of the Human Rights Act, a person is not entitled to damages </w:t>
      </w:r>
      <w:r w:rsidR="00BF4C00" w:rsidRPr="00880275">
        <w:t xml:space="preserve">on the grounds of a successful </w:t>
      </w:r>
      <w:r w:rsidR="007B15F4" w:rsidRPr="00880275">
        <w:t>piggy</w:t>
      </w:r>
      <w:r w:rsidR="00A260DB" w:rsidRPr="00880275">
        <w:t>-</w:t>
      </w:r>
      <w:r w:rsidR="007B15F4" w:rsidRPr="00880275">
        <w:t>back claim.</w:t>
      </w:r>
    </w:p>
    <w:p w14:paraId="26BFB4B9" w14:textId="2109A68C" w:rsidR="00A90283" w:rsidRPr="00880275" w:rsidRDefault="0023458D" w:rsidP="00754FAE">
      <w:pPr>
        <w:pStyle w:val="Numberedparagraph"/>
      </w:pPr>
      <w:r w:rsidRPr="00880275">
        <w:t>In relation to a future Australian Human Rights Act, t</w:t>
      </w:r>
      <w:r w:rsidR="005C1FA1" w:rsidRPr="00880275">
        <w:t xml:space="preserve">he </w:t>
      </w:r>
      <w:r w:rsidR="00D22050" w:rsidRPr="00880275">
        <w:t>Parliamentary Joint Committee on Human Rights</w:t>
      </w:r>
      <w:r w:rsidR="005C1FA1" w:rsidRPr="00880275">
        <w:t xml:space="preserve"> recommended:</w:t>
      </w:r>
    </w:p>
    <w:p w14:paraId="747A516B" w14:textId="4F3A9D6D" w:rsidR="005C1FA1" w:rsidRPr="00880275" w:rsidRDefault="00995266" w:rsidP="00754FAE">
      <w:pPr>
        <w:pStyle w:val="Numberedparagraph"/>
        <w:numPr>
          <w:ilvl w:val="0"/>
          <w:numId w:val="0"/>
        </w:numPr>
        <w:ind w:left="907"/>
        <w:rPr>
          <w:rStyle w:val="Emphasis"/>
        </w:rPr>
      </w:pPr>
      <w:r w:rsidRPr="00880275">
        <w:rPr>
          <w:rStyle w:val="Emphasis"/>
          <w:i w:val="0"/>
          <w:sz w:val="20"/>
          <w:szCs w:val="20"/>
        </w:rPr>
        <w:t xml:space="preserve">A court should have the discretion to order a range of remedies under a HRA, including injunctions, orders requiring action, monetary damages and the setting aside of administrative decisions. The committee considers that the availability of damages should be subject to clear guidance. Further, flexibility as to remedies will be crucial to the effective operation of </w:t>
      </w:r>
      <w:proofErr w:type="gramStart"/>
      <w:r w:rsidRPr="00880275">
        <w:rPr>
          <w:rStyle w:val="Emphasis"/>
          <w:i w:val="0"/>
          <w:sz w:val="20"/>
          <w:szCs w:val="20"/>
        </w:rPr>
        <w:t>a</w:t>
      </w:r>
      <w:proofErr w:type="gramEnd"/>
      <w:r w:rsidRPr="00880275">
        <w:rPr>
          <w:rStyle w:val="Emphasis"/>
          <w:i w:val="0"/>
          <w:sz w:val="20"/>
          <w:szCs w:val="20"/>
        </w:rPr>
        <w:t xml:space="preserve"> HRA. In this respect, consideration should be given to the availability to provide for remedies to address systemic human rights issues (such as, inquiries or class </w:t>
      </w:r>
      <w:proofErr w:type="gramStart"/>
      <w:r w:rsidRPr="00880275">
        <w:rPr>
          <w:rStyle w:val="Emphasis"/>
          <w:i w:val="0"/>
          <w:sz w:val="20"/>
          <w:szCs w:val="20"/>
        </w:rPr>
        <w:t>actions)</w:t>
      </w:r>
      <w:r w:rsidR="0023458D" w:rsidRPr="00880275">
        <w:rPr>
          <w:rStyle w:val="Emphasis"/>
          <w:i w:val="0"/>
          <w:sz w:val="20"/>
          <w:szCs w:val="20"/>
        </w:rPr>
        <w:t>…</w:t>
      </w:r>
      <w:proofErr w:type="gramEnd"/>
      <w:r w:rsidR="00FA6227" w:rsidRPr="00880275">
        <w:rPr>
          <w:rStyle w:val="Emphasis"/>
          <w:i w:val="0"/>
          <w:sz w:val="20"/>
          <w:szCs w:val="20"/>
        </w:rPr>
        <w:t>.</w:t>
      </w:r>
      <w:r w:rsidR="00084E46" w:rsidRPr="00880275">
        <w:rPr>
          <w:rStyle w:val="FootnoteReference"/>
          <w:i/>
          <w:iCs/>
        </w:rPr>
        <w:footnoteReference w:id="54"/>
      </w:r>
    </w:p>
    <w:p w14:paraId="185C6683" w14:textId="2B55122D" w:rsidR="00E02E0F" w:rsidRPr="00880275" w:rsidRDefault="009B1F45" w:rsidP="00754FAE">
      <w:pPr>
        <w:pStyle w:val="Numberedparagraph"/>
        <w:rPr>
          <w:shd w:val="clear" w:color="auto" w:fill="FFFFFF"/>
        </w:rPr>
      </w:pPr>
      <w:r w:rsidRPr="00880275">
        <w:rPr>
          <w:shd w:val="clear" w:color="auto" w:fill="FFFFFF"/>
        </w:rPr>
        <w:t xml:space="preserve">The Commission </w:t>
      </w:r>
      <w:r w:rsidR="004622B6" w:rsidRPr="00880275">
        <w:rPr>
          <w:shd w:val="clear" w:color="auto" w:fill="FFFFFF"/>
        </w:rPr>
        <w:t>supports court</w:t>
      </w:r>
      <w:r w:rsidR="00C011AA" w:rsidRPr="00880275">
        <w:rPr>
          <w:shd w:val="clear" w:color="auto" w:fill="FFFFFF"/>
        </w:rPr>
        <w:t>s</w:t>
      </w:r>
      <w:r w:rsidR="004622B6" w:rsidRPr="00880275">
        <w:rPr>
          <w:shd w:val="clear" w:color="auto" w:fill="FFFFFF"/>
        </w:rPr>
        <w:t xml:space="preserve"> and tribunal</w:t>
      </w:r>
      <w:r w:rsidR="00C011AA" w:rsidRPr="00880275">
        <w:rPr>
          <w:shd w:val="clear" w:color="auto" w:fill="FFFFFF"/>
        </w:rPr>
        <w:t>s</w:t>
      </w:r>
      <w:r w:rsidR="004622B6" w:rsidRPr="00880275">
        <w:rPr>
          <w:shd w:val="clear" w:color="auto" w:fill="FFFFFF"/>
        </w:rPr>
        <w:t xml:space="preserve"> </w:t>
      </w:r>
      <w:r w:rsidR="00C011AA" w:rsidRPr="00880275">
        <w:rPr>
          <w:shd w:val="clear" w:color="auto" w:fill="FFFFFF"/>
        </w:rPr>
        <w:t xml:space="preserve">having </w:t>
      </w:r>
      <w:r w:rsidR="004622B6" w:rsidRPr="00880275">
        <w:rPr>
          <w:shd w:val="clear" w:color="auto" w:fill="FFFFFF"/>
        </w:rPr>
        <w:t xml:space="preserve">discretion to order </w:t>
      </w:r>
      <w:r w:rsidR="00883D32" w:rsidRPr="00880275">
        <w:rPr>
          <w:shd w:val="clear" w:color="auto" w:fill="FFFFFF"/>
        </w:rPr>
        <w:t>the full</w:t>
      </w:r>
      <w:r w:rsidR="004622B6" w:rsidRPr="00880275">
        <w:rPr>
          <w:shd w:val="clear" w:color="auto" w:fill="FFFFFF"/>
        </w:rPr>
        <w:t xml:space="preserve"> range of remedies</w:t>
      </w:r>
      <w:r w:rsidR="00883D32" w:rsidRPr="00880275">
        <w:rPr>
          <w:shd w:val="clear" w:color="auto" w:fill="FFFFFF"/>
        </w:rPr>
        <w:t xml:space="preserve"> within their power</w:t>
      </w:r>
      <w:r w:rsidR="004622B6" w:rsidRPr="00880275">
        <w:rPr>
          <w:shd w:val="clear" w:color="auto" w:fill="FFFFFF"/>
        </w:rPr>
        <w:t xml:space="preserve">, including damages </w:t>
      </w:r>
      <w:r w:rsidR="00C011AA" w:rsidRPr="00880275">
        <w:rPr>
          <w:shd w:val="clear" w:color="auto" w:fill="FFFFFF"/>
        </w:rPr>
        <w:t xml:space="preserve">in </w:t>
      </w:r>
      <w:r w:rsidRPr="00880275">
        <w:rPr>
          <w:shd w:val="clear" w:color="auto" w:fill="FFFFFF"/>
        </w:rPr>
        <w:t>piggy</w:t>
      </w:r>
      <w:r w:rsidR="0040235C" w:rsidRPr="00880275">
        <w:rPr>
          <w:shd w:val="clear" w:color="auto" w:fill="FFFFFF"/>
        </w:rPr>
        <w:t>-</w:t>
      </w:r>
      <w:r w:rsidRPr="00880275">
        <w:rPr>
          <w:shd w:val="clear" w:color="auto" w:fill="FFFFFF"/>
        </w:rPr>
        <w:t xml:space="preserve">back claims </w:t>
      </w:r>
      <w:r w:rsidR="004622B6" w:rsidRPr="00880275">
        <w:rPr>
          <w:shd w:val="clear" w:color="auto" w:fill="FFFFFF"/>
        </w:rPr>
        <w:t xml:space="preserve">and any </w:t>
      </w:r>
      <w:r w:rsidR="00BF24E2" w:rsidRPr="00880275">
        <w:rPr>
          <w:shd w:val="clear" w:color="auto" w:fill="FFFFFF"/>
        </w:rPr>
        <w:t>standalone</w:t>
      </w:r>
      <w:r w:rsidRPr="00880275">
        <w:rPr>
          <w:shd w:val="clear" w:color="auto" w:fill="FFFFFF"/>
        </w:rPr>
        <w:t xml:space="preserve"> causes of action</w:t>
      </w:r>
      <w:r w:rsidR="004622B6" w:rsidRPr="00880275">
        <w:rPr>
          <w:shd w:val="clear" w:color="auto" w:fill="FFFFFF"/>
        </w:rPr>
        <w:t xml:space="preserve"> made available </w:t>
      </w:r>
      <w:r w:rsidR="00AC5212" w:rsidRPr="00880275">
        <w:rPr>
          <w:shd w:val="clear" w:color="auto" w:fill="FFFFFF"/>
        </w:rPr>
        <w:t xml:space="preserve">to people seeking to enforce their human rights </w:t>
      </w:r>
      <w:r w:rsidR="003A48B0" w:rsidRPr="00880275">
        <w:rPr>
          <w:shd w:val="clear" w:color="auto" w:fill="FFFFFF"/>
        </w:rPr>
        <w:t>through litigation.</w:t>
      </w:r>
      <w:r w:rsidRPr="00880275">
        <w:rPr>
          <w:shd w:val="clear" w:color="auto" w:fill="FFFFFF"/>
        </w:rPr>
        <w:t xml:space="preserve"> </w:t>
      </w:r>
    </w:p>
    <w:p w14:paraId="1E57D8BE" w14:textId="05A500A3" w:rsidR="00997B61" w:rsidRPr="00880275" w:rsidRDefault="00997B61" w:rsidP="00754FAE">
      <w:pPr>
        <w:pStyle w:val="Heading5"/>
      </w:pPr>
      <w:r w:rsidRPr="00880275">
        <w:t>Recommendation 2.4</w:t>
      </w:r>
    </w:p>
    <w:p w14:paraId="56C018D1" w14:textId="77777777" w:rsidR="00B429AC" w:rsidRPr="00880275" w:rsidRDefault="00B429AC" w:rsidP="00754FAE">
      <w:pPr>
        <w:pStyle w:val="Heading5"/>
      </w:pPr>
      <w:r w:rsidRPr="00880275">
        <w:t>The Human Rights Act should be amended to allow courts and tribunals considering human rights claims, either as a piggy-back or as a standalone cause of action, to order the full range of remedies within their power, including damages.</w:t>
      </w:r>
    </w:p>
    <w:p w14:paraId="31BC2FED" w14:textId="4A130553" w:rsidR="000E7EA6" w:rsidRPr="00880275" w:rsidRDefault="004671C0" w:rsidP="000E7EA6">
      <w:pPr>
        <w:pStyle w:val="Heading3"/>
      </w:pPr>
      <w:bookmarkStart w:id="36" w:name="_Toc171346773"/>
      <w:r w:rsidRPr="00880275">
        <w:t>Fund l</w:t>
      </w:r>
      <w:r w:rsidR="000E7EA6" w:rsidRPr="00880275">
        <w:t>egal advocacy</w:t>
      </w:r>
      <w:bookmarkEnd w:id="36"/>
    </w:p>
    <w:p w14:paraId="1B8756DD" w14:textId="323A02D8" w:rsidR="000E7EA6" w:rsidRPr="00880275" w:rsidRDefault="0021252C" w:rsidP="00754FAE">
      <w:pPr>
        <w:pStyle w:val="Numberedparagraph"/>
      </w:pPr>
      <w:r w:rsidRPr="00880275">
        <w:t xml:space="preserve">For </w:t>
      </w:r>
      <w:r w:rsidR="007C5637" w:rsidRPr="00880275">
        <w:t xml:space="preserve">new and existing </w:t>
      </w:r>
      <w:r w:rsidRPr="00880275">
        <w:t xml:space="preserve">complaint mechanisms to be effective, </w:t>
      </w:r>
      <w:r w:rsidR="007C5637" w:rsidRPr="00880275">
        <w:t xml:space="preserve">free and </w:t>
      </w:r>
      <w:proofErr w:type="gramStart"/>
      <w:r w:rsidR="007C5637" w:rsidRPr="00880275">
        <w:t>low cost</w:t>
      </w:r>
      <w:proofErr w:type="gramEnd"/>
      <w:r w:rsidR="007C5637" w:rsidRPr="00880275">
        <w:t xml:space="preserve"> </w:t>
      </w:r>
      <w:r w:rsidR="000E7EA6" w:rsidRPr="00880275">
        <w:t xml:space="preserve">legal assistance providers such as Legal Aid </w:t>
      </w:r>
      <w:r w:rsidR="007C5637" w:rsidRPr="00880275">
        <w:t>Queensland</w:t>
      </w:r>
      <w:r w:rsidR="00583557" w:rsidRPr="00880275">
        <w:t>, Aboriginal and Torres Strait Islander Legal Service</w:t>
      </w:r>
      <w:r w:rsidR="005E1FD9" w:rsidRPr="00880275">
        <w:t>s,</w:t>
      </w:r>
      <w:r w:rsidR="007C5637" w:rsidRPr="00880275">
        <w:t xml:space="preserve"> </w:t>
      </w:r>
      <w:r w:rsidR="000E7EA6" w:rsidRPr="00880275">
        <w:t xml:space="preserve">and community legal centres must </w:t>
      </w:r>
      <w:r w:rsidR="003B3DC2" w:rsidRPr="00880275">
        <w:t xml:space="preserve">have </w:t>
      </w:r>
      <w:r w:rsidR="000129DA" w:rsidRPr="00880275">
        <w:t>adequate, ongoing</w:t>
      </w:r>
      <w:r w:rsidR="005E1FD9" w:rsidRPr="00880275">
        <w:t>,</w:t>
      </w:r>
      <w:r w:rsidR="000129DA" w:rsidRPr="00880275">
        <w:t xml:space="preserve"> and stable </w:t>
      </w:r>
      <w:r w:rsidR="00AF60C9" w:rsidRPr="00880275">
        <w:t xml:space="preserve">funding </w:t>
      </w:r>
      <w:r w:rsidR="000E7EA6" w:rsidRPr="00880275">
        <w:t xml:space="preserve">to advise and </w:t>
      </w:r>
      <w:r w:rsidR="00871F76" w:rsidRPr="00880275">
        <w:t>represent people seeking to enforce their human rights.</w:t>
      </w:r>
      <w:r w:rsidR="0088426F" w:rsidRPr="00880275">
        <w:t xml:space="preserve"> </w:t>
      </w:r>
      <w:r w:rsidR="00996B80" w:rsidRPr="00880275">
        <w:t xml:space="preserve">This includes funding to build </w:t>
      </w:r>
      <w:r w:rsidR="00905F6D" w:rsidRPr="00880275">
        <w:t xml:space="preserve">and maintain </w:t>
      </w:r>
      <w:r w:rsidR="00434C57" w:rsidRPr="00880275">
        <w:t>expertise in the sec</w:t>
      </w:r>
      <w:r w:rsidR="00905F6D" w:rsidRPr="00880275">
        <w:t xml:space="preserve">tor </w:t>
      </w:r>
      <w:r w:rsidR="00996B80" w:rsidRPr="00880275">
        <w:t>to</w:t>
      </w:r>
      <w:r w:rsidR="00905F6D" w:rsidRPr="00880275">
        <w:t xml:space="preserve"> apply human rights in </w:t>
      </w:r>
      <w:r w:rsidR="00CB64C7" w:rsidRPr="00880275">
        <w:t>all</w:t>
      </w:r>
      <w:r w:rsidR="005E0562" w:rsidRPr="00880275">
        <w:t xml:space="preserve"> </w:t>
      </w:r>
      <w:r w:rsidR="00905F6D" w:rsidRPr="00880275">
        <w:t xml:space="preserve">areas of </w:t>
      </w:r>
      <w:r w:rsidR="00CB64C7" w:rsidRPr="00880275">
        <w:t>practice</w:t>
      </w:r>
      <w:r w:rsidR="00996B80" w:rsidRPr="00880275">
        <w:t xml:space="preserve">. </w:t>
      </w:r>
    </w:p>
    <w:p w14:paraId="219332E0" w14:textId="7DF4AEB6" w:rsidR="00964DA9" w:rsidRPr="00880275" w:rsidRDefault="0086239C" w:rsidP="00754FAE">
      <w:pPr>
        <w:pStyle w:val="Numberedparagraph"/>
      </w:pPr>
      <w:r w:rsidRPr="00880275">
        <w:t>T</w:t>
      </w:r>
      <w:r w:rsidR="0029720E" w:rsidRPr="00880275">
        <w:t>he Commission has observed that p</w:t>
      </w:r>
      <w:r w:rsidR="001F600D" w:rsidRPr="00880275">
        <w:t xml:space="preserve">eople making </w:t>
      </w:r>
      <w:r w:rsidR="00F811A1" w:rsidRPr="00880275">
        <w:t xml:space="preserve">human rights </w:t>
      </w:r>
      <w:r w:rsidR="001F600D" w:rsidRPr="00880275">
        <w:t xml:space="preserve">complaints are much less likely to have legal representation during conciliation than those </w:t>
      </w:r>
      <w:r w:rsidR="001F600D" w:rsidRPr="00880275">
        <w:lastRenderedPageBreak/>
        <w:t xml:space="preserve">bringing complaints under the </w:t>
      </w:r>
      <w:r w:rsidR="001F600D" w:rsidRPr="00880275">
        <w:rPr>
          <w:iCs/>
        </w:rPr>
        <w:t>Anti-Discrimination Act</w:t>
      </w:r>
      <w:r w:rsidR="006E362A" w:rsidRPr="00880275">
        <w:rPr>
          <w:i/>
        </w:rPr>
        <w:t xml:space="preserve"> </w:t>
      </w:r>
      <w:r w:rsidR="001F600D" w:rsidRPr="00880275">
        <w:t>(11% compared to 28%).</w:t>
      </w:r>
      <w:r w:rsidR="001F600D" w:rsidRPr="00880275">
        <w:rPr>
          <w:rStyle w:val="FootnoteReference"/>
          <w:rFonts w:eastAsia="Arial"/>
        </w:rPr>
        <w:footnoteReference w:id="55"/>
      </w:r>
      <w:r w:rsidR="001E0258" w:rsidRPr="00880275">
        <w:t xml:space="preserve"> </w:t>
      </w:r>
      <w:r w:rsidR="001322A3" w:rsidRPr="00880275">
        <w:t xml:space="preserve">Legal assistance for complainants </w:t>
      </w:r>
      <w:r w:rsidR="00964DA9" w:rsidRPr="00880275">
        <w:t xml:space="preserve">could </w:t>
      </w:r>
      <w:r w:rsidR="0024639E" w:rsidRPr="00880275">
        <w:t xml:space="preserve">maximise </w:t>
      </w:r>
      <w:r w:rsidR="00964DA9" w:rsidRPr="00880275">
        <w:t xml:space="preserve">the benefits of the internal complaint process, address power imbalances that arise when an individual is unrepresented, </w:t>
      </w:r>
      <w:r w:rsidR="0024639E" w:rsidRPr="00880275">
        <w:t xml:space="preserve">divert frivolous and vexatious complaints, </w:t>
      </w:r>
      <w:r w:rsidR="00964DA9" w:rsidRPr="00880275">
        <w:t xml:space="preserve">and </w:t>
      </w:r>
      <w:r w:rsidR="00FE4EC9" w:rsidRPr="00880275">
        <w:t>increase</w:t>
      </w:r>
      <w:r w:rsidR="00964DA9" w:rsidRPr="00880275">
        <w:t xml:space="preserve"> the chance of a positive outcome.</w:t>
      </w:r>
    </w:p>
    <w:p w14:paraId="47A41101" w14:textId="24735355" w:rsidR="007C451B" w:rsidRPr="00880275" w:rsidRDefault="007C451B" w:rsidP="00754FAE">
      <w:pPr>
        <w:pStyle w:val="Numberedparagraph"/>
        <w:rPr>
          <w:rFonts w:eastAsia="Arial"/>
        </w:rPr>
      </w:pPr>
      <w:r w:rsidRPr="00880275">
        <w:t>The Commission’s 2022-23 annual report on the operation of the Act highlighted a significant increase in consideration of the Human Rights Act by courts and tribunals. However, some cases have lacked any reference to the Act where human rights limitations were clearly at issue.</w:t>
      </w:r>
      <w:r w:rsidRPr="00880275">
        <w:rPr>
          <w:vertAlign w:val="superscript"/>
        </w:rPr>
        <w:footnoteReference w:id="56"/>
      </w:r>
      <w:r w:rsidRPr="00880275">
        <w:t xml:space="preserve"> Courts and tribunals may be limited in their consideration of human rights when parties do not raise the Act. Raising awareness among legal advocates and self-represented parties about the Act and how it applies to specific areas of law may help address this issue.</w:t>
      </w:r>
    </w:p>
    <w:p w14:paraId="62327FAE" w14:textId="173535EE" w:rsidR="00A067E3" w:rsidRPr="00880275" w:rsidRDefault="00A067E3" w:rsidP="00754FAE">
      <w:pPr>
        <w:pStyle w:val="Heading5"/>
      </w:pPr>
      <w:r w:rsidRPr="00880275">
        <w:t>Recommendation 2.5</w:t>
      </w:r>
    </w:p>
    <w:p w14:paraId="7C21BA18" w14:textId="77777777" w:rsidR="001E5FF2" w:rsidRPr="00880275" w:rsidRDefault="001E5FF2" w:rsidP="00754FAE">
      <w:pPr>
        <w:pStyle w:val="Heading5"/>
      </w:pPr>
      <w:r w:rsidRPr="00880275">
        <w:t xml:space="preserve">The State government should provide appropriate levels of long-term funding for legal assistance and representation in human rights complaints and legal proceedings to address power imbalances and improve access to justice. </w:t>
      </w:r>
    </w:p>
    <w:p w14:paraId="2794DC1B" w14:textId="53BC5BFC" w:rsidR="00DA24A6" w:rsidRPr="00880275" w:rsidRDefault="29710CFE" w:rsidP="00DA24A6">
      <w:pPr>
        <w:pStyle w:val="Heading2"/>
      </w:pPr>
      <w:bookmarkStart w:id="37" w:name="_Toc171346774"/>
      <w:r w:rsidRPr="00880275">
        <w:t>(c)</w:t>
      </w:r>
      <w:r w:rsidR="3FF54980" w:rsidRPr="00880275">
        <w:t xml:space="preserve"> </w:t>
      </w:r>
      <w:r w:rsidR="00DA24A6" w:rsidRPr="00880275">
        <w:t>Amendments to Corrective Services Act 2006 and the Youth Justice Act 1992</w:t>
      </w:r>
      <w:bookmarkEnd w:id="37"/>
    </w:p>
    <w:p w14:paraId="5CABBD66" w14:textId="4A3CB6FB" w:rsidR="003A26DA" w:rsidRPr="00880275" w:rsidRDefault="007615B7" w:rsidP="00754FAE">
      <w:pPr>
        <w:pStyle w:val="Numberedparagraph"/>
      </w:pPr>
      <w:r w:rsidRPr="00880275">
        <w:t xml:space="preserve">The Human Rights Act inserted section 5A of the </w:t>
      </w:r>
      <w:r w:rsidRPr="00880275">
        <w:rPr>
          <w:i/>
          <w:iCs/>
        </w:rPr>
        <w:t>Corrective Services Act</w:t>
      </w:r>
      <w:r w:rsidR="00056D20" w:rsidRPr="00880275">
        <w:rPr>
          <w:i/>
          <w:iCs/>
        </w:rPr>
        <w:t> </w:t>
      </w:r>
      <w:r w:rsidRPr="00880275">
        <w:rPr>
          <w:i/>
          <w:iCs/>
        </w:rPr>
        <w:t>2006</w:t>
      </w:r>
      <w:r w:rsidRPr="00880275">
        <w:t xml:space="preserve"> to clarify the </w:t>
      </w:r>
      <w:r w:rsidR="000E5588" w:rsidRPr="00880275">
        <w:t xml:space="preserve">application </w:t>
      </w:r>
      <w:r w:rsidR="006050DC" w:rsidRPr="00880275">
        <w:t xml:space="preserve">of </w:t>
      </w:r>
      <w:r w:rsidR="00352A07" w:rsidRPr="00880275">
        <w:t xml:space="preserve">section 30 of </w:t>
      </w:r>
      <w:r w:rsidR="006050DC" w:rsidRPr="00880275">
        <w:t xml:space="preserve">the </w:t>
      </w:r>
      <w:r w:rsidR="0028037E" w:rsidRPr="00880275">
        <w:t>Human Rights Act</w:t>
      </w:r>
      <w:r w:rsidR="00292D32" w:rsidRPr="00880275">
        <w:t xml:space="preserve"> </w:t>
      </w:r>
      <w:r w:rsidR="00352A07" w:rsidRPr="00880275">
        <w:t>(</w:t>
      </w:r>
      <w:r w:rsidR="00462F3C" w:rsidRPr="00880275">
        <w:t>humane treatment when deprived of liberty)</w:t>
      </w:r>
      <w:r w:rsidR="00F25C6E" w:rsidRPr="00880275">
        <w:t xml:space="preserve"> </w:t>
      </w:r>
      <w:r w:rsidR="00292D32" w:rsidRPr="00880275">
        <w:t>to decisions regarding admission of prisoners to corrective services facilit</w:t>
      </w:r>
      <w:r w:rsidR="000E5588" w:rsidRPr="00880275">
        <w:t>ies</w:t>
      </w:r>
      <w:r w:rsidR="00292D32" w:rsidRPr="00880275">
        <w:t xml:space="preserve">, and </w:t>
      </w:r>
      <w:r w:rsidR="00740302" w:rsidRPr="00880275">
        <w:t xml:space="preserve">decisions regarding </w:t>
      </w:r>
      <w:r w:rsidR="007A32A1" w:rsidRPr="00880275">
        <w:t xml:space="preserve">managing prisoners </w:t>
      </w:r>
      <w:r w:rsidR="009438ED" w:rsidRPr="00880275">
        <w:t xml:space="preserve">where </w:t>
      </w:r>
      <w:r w:rsidR="007D26D0" w:rsidRPr="00880275">
        <w:t>single cell accommodation is not practicable</w:t>
      </w:r>
      <w:r w:rsidR="0028037E" w:rsidRPr="00880275">
        <w:t xml:space="preserve">. </w:t>
      </w:r>
      <w:r w:rsidR="00E5036D" w:rsidRPr="00880275">
        <w:t>T</w:t>
      </w:r>
      <w:r w:rsidR="00F04B1A" w:rsidRPr="00880275">
        <w:t xml:space="preserve">o remove any doubt, </w:t>
      </w:r>
      <w:r w:rsidR="0037450B" w:rsidRPr="00880275">
        <w:t xml:space="preserve">it </w:t>
      </w:r>
      <w:r w:rsidR="00C132BA" w:rsidRPr="00880275">
        <w:t xml:space="preserve">was declared that </w:t>
      </w:r>
      <w:r w:rsidR="00AD55A7" w:rsidRPr="00880275">
        <w:t xml:space="preserve">obligations under section 58 </w:t>
      </w:r>
      <w:r w:rsidR="000C2C2B" w:rsidRPr="00880275">
        <w:t xml:space="preserve">of the Human Rights Act </w:t>
      </w:r>
      <w:r w:rsidR="00AD55A7" w:rsidRPr="00880275">
        <w:t xml:space="preserve">were not contravened only because </w:t>
      </w:r>
      <w:r w:rsidR="00E5036D" w:rsidRPr="00880275">
        <w:t xml:space="preserve">the decision maker’s consideration </w:t>
      </w:r>
      <w:proofErr w:type="gramStart"/>
      <w:r w:rsidR="00E5036D" w:rsidRPr="00880275">
        <w:t>takes into account</w:t>
      </w:r>
      <w:proofErr w:type="gramEnd"/>
      <w:r w:rsidR="00E5036D" w:rsidRPr="00880275">
        <w:t xml:space="preserve"> the security and good management of corrective services facilities</w:t>
      </w:r>
      <w:r w:rsidR="000042B4" w:rsidRPr="00880275">
        <w:t>,</w:t>
      </w:r>
      <w:r w:rsidR="00E5036D" w:rsidRPr="00880275">
        <w:t xml:space="preserve"> or the safe custody and welfare of the prisoners.</w:t>
      </w:r>
    </w:p>
    <w:p w14:paraId="768EE767" w14:textId="6734A427" w:rsidR="00E5036D" w:rsidRPr="00880275" w:rsidRDefault="00E5036D" w:rsidP="00754FAE">
      <w:pPr>
        <w:pStyle w:val="Numberedparagraph"/>
      </w:pPr>
      <w:r w:rsidRPr="00880275">
        <w:t xml:space="preserve">In the Commission’s view, section 5A </w:t>
      </w:r>
      <w:r w:rsidR="002E057A" w:rsidRPr="00880275">
        <w:t xml:space="preserve">of the </w:t>
      </w:r>
      <w:r w:rsidR="002E057A" w:rsidRPr="00880275">
        <w:rPr>
          <w:i/>
          <w:iCs/>
        </w:rPr>
        <w:t>Corrective Services Act 2006</w:t>
      </w:r>
      <w:r w:rsidR="002E057A" w:rsidRPr="00880275">
        <w:t xml:space="preserve"> </w:t>
      </w:r>
      <w:r w:rsidRPr="00880275">
        <w:t xml:space="preserve">does not </w:t>
      </w:r>
      <w:r w:rsidR="00E05430" w:rsidRPr="00880275">
        <w:t xml:space="preserve">provide any </w:t>
      </w:r>
      <w:r w:rsidR="002E057A" w:rsidRPr="00880275">
        <w:t>clarity or benefit.</w:t>
      </w:r>
      <w:r w:rsidR="002E057A" w:rsidRPr="00880275">
        <w:rPr>
          <w:b/>
          <w:bCs/>
        </w:rPr>
        <w:t xml:space="preserve"> </w:t>
      </w:r>
      <w:r w:rsidR="002B7F55" w:rsidRPr="00880275">
        <w:t xml:space="preserve">Decision-makers are still </w:t>
      </w:r>
      <w:r w:rsidR="00B16EB2" w:rsidRPr="00880275">
        <w:t>require</w:t>
      </w:r>
      <w:r w:rsidR="002B7F55" w:rsidRPr="00880275">
        <w:t>d</w:t>
      </w:r>
      <w:r w:rsidR="00B16EB2" w:rsidRPr="00880275">
        <w:t xml:space="preserve"> to </w:t>
      </w:r>
      <w:proofErr w:type="gramStart"/>
      <w:r w:rsidR="00B16EB2" w:rsidRPr="00880275">
        <w:t>give proper consideration to</w:t>
      </w:r>
      <w:proofErr w:type="gramEnd"/>
      <w:r w:rsidR="00B16EB2" w:rsidRPr="00880275">
        <w:t xml:space="preserve"> human rights, </w:t>
      </w:r>
      <w:r w:rsidR="002B7F55" w:rsidRPr="00880275">
        <w:t xml:space="preserve">and to weigh </w:t>
      </w:r>
      <w:r w:rsidR="00B16EB2" w:rsidRPr="00880275">
        <w:t xml:space="preserve">the purpose of the limitation against </w:t>
      </w:r>
      <w:r w:rsidR="005C5F6F" w:rsidRPr="00880275">
        <w:t xml:space="preserve">the </w:t>
      </w:r>
      <w:r w:rsidR="002E4C70" w:rsidRPr="00880275">
        <w:t xml:space="preserve">nature and extent of the limitation </w:t>
      </w:r>
      <w:r w:rsidR="004550CF" w:rsidRPr="00880275">
        <w:t xml:space="preserve">of </w:t>
      </w:r>
      <w:r w:rsidR="002E4C70" w:rsidRPr="00880275">
        <w:t xml:space="preserve">rights. </w:t>
      </w:r>
      <w:proofErr w:type="gramStart"/>
      <w:r w:rsidR="003D6A24" w:rsidRPr="00880275">
        <w:t>Taking into account</w:t>
      </w:r>
      <w:proofErr w:type="gramEnd"/>
      <w:r w:rsidR="003D6A24" w:rsidRPr="00880275">
        <w:t xml:space="preserve"> the security and good management of corrective service facilities and/or the safe custody and welfare of all prisoners</w:t>
      </w:r>
      <w:r w:rsidR="00FD1FDA" w:rsidRPr="00880275">
        <w:t xml:space="preserve"> would not</w:t>
      </w:r>
      <w:r w:rsidR="00884E05" w:rsidRPr="00880275">
        <w:t>, by itself,</w:t>
      </w:r>
      <w:r w:rsidR="00C26297" w:rsidRPr="00880275">
        <w:t xml:space="preserve"> render the decision </w:t>
      </w:r>
      <w:r w:rsidR="00884E05" w:rsidRPr="00880275">
        <w:t xml:space="preserve">incompatible with human rights. The Commission submits </w:t>
      </w:r>
      <w:r w:rsidR="009C6AA9" w:rsidRPr="00880275">
        <w:t xml:space="preserve">that </w:t>
      </w:r>
      <w:r w:rsidR="009C6AA9" w:rsidRPr="00880275">
        <w:lastRenderedPageBreak/>
        <w:t xml:space="preserve">section 5A of the </w:t>
      </w:r>
      <w:r w:rsidR="009C6AA9" w:rsidRPr="00880275">
        <w:rPr>
          <w:i/>
        </w:rPr>
        <w:t>Corrective Services Act 2006</w:t>
      </w:r>
      <w:r w:rsidR="009C6AA9" w:rsidRPr="00880275">
        <w:t xml:space="preserve"> does not make a </w:t>
      </w:r>
      <w:r w:rsidR="006C5AC7" w:rsidRPr="00880275">
        <w:t>difference to decision</w:t>
      </w:r>
      <w:r w:rsidR="00D230BB" w:rsidRPr="00880275">
        <w:t>-</w:t>
      </w:r>
      <w:r w:rsidR="006C5AC7" w:rsidRPr="00880275">
        <w:t>making under that Act and is not necessary.</w:t>
      </w:r>
    </w:p>
    <w:p w14:paraId="2B6FDC2C" w14:textId="38F5105B" w:rsidR="006C5AC7" w:rsidRPr="00880275" w:rsidRDefault="00F504F1" w:rsidP="00754FAE">
      <w:pPr>
        <w:pStyle w:val="Numberedparagraph"/>
      </w:pPr>
      <w:r w:rsidRPr="00880275">
        <w:t xml:space="preserve">The Human Rights Act inserted similar </w:t>
      </w:r>
      <w:r w:rsidR="00C845E7" w:rsidRPr="00880275">
        <w:t>sub-</w:t>
      </w:r>
      <w:r w:rsidRPr="00880275">
        <w:t>provision</w:t>
      </w:r>
      <w:r w:rsidR="00C845E7" w:rsidRPr="00880275">
        <w:t>s</w:t>
      </w:r>
      <w:r w:rsidRPr="00880275">
        <w:t xml:space="preserve"> into </w:t>
      </w:r>
      <w:r w:rsidR="00C845E7" w:rsidRPr="00880275">
        <w:t xml:space="preserve">sections 263(7) and (8) of the </w:t>
      </w:r>
      <w:r w:rsidR="006C2232" w:rsidRPr="00880275">
        <w:rPr>
          <w:i/>
          <w:iCs/>
        </w:rPr>
        <w:t>Youth Justice Act 1992</w:t>
      </w:r>
      <w:r w:rsidR="0046390F" w:rsidRPr="00880275">
        <w:t xml:space="preserve"> in relation to </w:t>
      </w:r>
      <w:r w:rsidR="00D20F78" w:rsidRPr="00880275">
        <w:t xml:space="preserve">a child </w:t>
      </w:r>
      <w:r w:rsidR="009C74A1" w:rsidRPr="00880275">
        <w:t xml:space="preserve">held on remand in a detention centre, and the segregation of that child from a child detained on sentence. Again, the </w:t>
      </w:r>
      <w:r w:rsidR="00576DC7" w:rsidRPr="00880275">
        <w:t>Comm</w:t>
      </w:r>
      <w:r w:rsidR="00C555E9" w:rsidRPr="00880275">
        <w:t xml:space="preserve">ission does not </w:t>
      </w:r>
      <w:r w:rsidR="008649E4" w:rsidRPr="00880275">
        <w:t xml:space="preserve">consider </w:t>
      </w:r>
      <w:r w:rsidR="00C845E7" w:rsidRPr="00880275">
        <w:t>sub</w:t>
      </w:r>
      <w:r w:rsidR="00953EB2" w:rsidRPr="00880275">
        <w:t>section 263</w:t>
      </w:r>
      <w:r w:rsidR="00C845E7" w:rsidRPr="00880275">
        <w:t>(7) and (8)</w:t>
      </w:r>
      <w:r w:rsidR="00953EB2" w:rsidRPr="00880275">
        <w:t xml:space="preserve"> provides any benefit</w:t>
      </w:r>
      <w:r w:rsidR="005F2BDF" w:rsidRPr="00880275">
        <w:t xml:space="preserve"> or clarity to the operation </w:t>
      </w:r>
      <w:r w:rsidR="00C845E7" w:rsidRPr="00880275">
        <w:t xml:space="preserve">of the </w:t>
      </w:r>
      <w:r w:rsidR="00C845E7" w:rsidRPr="00880275">
        <w:rPr>
          <w:i/>
        </w:rPr>
        <w:t xml:space="preserve">Youth Justice Act </w:t>
      </w:r>
      <w:r w:rsidR="00192EF8" w:rsidRPr="00880275">
        <w:rPr>
          <w:i/>
        </w:rPr>
        <w:t>1992</w:t>
      </w:r>
      <w:r w:rsidR="00192EF8" w:rsidRPr="00880275">
        <w:t xml:space="preserve"> in relation to the Human Rights Act and can be omitted. </w:t>
      </w:r>
    </w:p>
    <w:p w14:paraId="1EFA66A6" w14:textId="40448947" w:rsidR="00A067E3" w:rsidRPr="00880275" w:rsidRDefault="002C2549" w:rsidP="00754FAE">
      <w:pPr>
        <w:pStyle w:val="Heading5"/>
      </w:pPr>
      <w:r w:rsidRPr="00880275">
        <w:t>Recommendation 2.6</w:t>
      </w:r>
    </w:p>
    <w:p w14:paraId="0276C733" w14:textId="6399BF1A" w:rsidR="002C2549" w:rsidRPr="00880275" w:rsidRDefault="002C2549" w:rsidP="00754FAE">
      <w:pPr>
        <w:pStyle w:val="Heading5"/>
      </w:pPr>
      <w:r w:rsidRPr="00880275">
        <w:t xml:space="preserve">Amendments made by the Human Rights Act to the </w:t>
      </w:r>
      <w:r w:rsidRPr="00880275">
        <w:rPr>
          <w:i/>
        </w:rPr>
        <w:t>Corrective Services Act</w:t>
      </w:r>
      <w:r w:rsidR="0058719D" w:rsidRPr="00880275">
        <w:rPr>
          <w:i/>
        </w:rPr>
        <w:t> </w:t>
      </w:r>
      <w:r w:rsidRPr="00880275">
        <w:rPr>
          <w:i/>
        </w:rPr>
        <w:t>2006</w:t>
      </w:r>
      <w:r w:rsidR="00810CFD" w:rsidRPr="00880275">
        <w:t> </w:t>
      </w:r>
      <w:r w:rsidR="00D230BB" w:rsidRPr="00880275">
        <w:t xml:space="preserve">(Qld) </w:t>
      </w:r>
      <w:r w:rsidRPr="00880275">
        <w:t xml:space="preserve">and the </w:t>
      </w:r>
      <w:r w:rsidRPr="00880275">
        <w:rPr>
          <w:i/>
        </w:rPr>
        <w:t>Youth Justice Act 1992</w:t>
      </w:r>
      <w:r w:rsidRPr="00880275">
        <w:t xml:space="preserve"> </w:t>
      </w:r>
      <w:r w:rsidR="00D230BB" w:rsidRPr="00880275">
        <w:t>(Qld)</w:t>
      </w:r>
      <w:r w:rsidR="00810CFD" w:rsidRPr="00880275">
        <w:t xml:space="preserve"> </w:t>
      </w:r>
      <w:r w:rsidRPr="00880275">
        <w:t>should be repealed.</w:t>
      </w:r>
    </w:p>
    <w:p w14:paraId="02EA6AD8" w14:textId="1E807FC5" w:rsidR="00C1158B" w:rsidRPr="00880275" w:rsidRDefault="00C1158B">
      <w:pPr>
        <w:spacing w:after="0"/>
        <w:rPr>
          <w:rFonts w:eastAsiaTheme="majorEastAsia" w:cstheme="majorBidi"/>
          <w:color w:val="004270"/>
          <w:sz w:val="48"/>
          <w:szCs w:val="48"/>
        </w:rPr>
      </w:pPr>
      <w:r w:rsidRPr="00880275">
        <w:br w:type="page"/>
      </w:r>
    </w:p>
    <w:p w14:paraId="375061BF" w14:textId="761180E9" w:rsidR="00DA24A6" w:rsidRPr="00880275" w:rsidRDefault="23B672F3" w:rsidP="00DA24A6">
      <w:pPr>
        <w:pStyle w:val="Heading1"/>
      </w:pPr>
      <w:bookmarkStart w:id="38" w:name="_Toc171346775"/>
      <w:r w:rsidRPr="00880275">
        <w:lastRenderedPageBreak/>
        <w:t>3</w:t>
      </w:r>
      <w:r w:rsidR="00D230BB" w:rsidRPr="00880275">
        <w:t>.</w:t>
      </w:r>
      <w:r w:rsidRPr="00880275">
        <w:t xml:space="preserve"> </w:t>
      </w:r>
      <w:r w:rsidR="00DA24A6" w:rsidRPr="00880275">
        <w:t xml:space="preserve">Effectiveness of the </w:t>
      </w:r>
      <w:r w:rsidR="00881F90" w:rsidRPr="00880275">
        <w:t>Act</w:t>
      </w:r>
      <w:bookmarkEnd w:id="38"/>
    </w:p>
    <w:p w14:paraId="13413D72" w14:textId="4143B47E" w:rsidR="001B5048" w:rsidRPr="00880275" w:rsidRDefault="00623DCF" w:rsidP="00754FAE">
      <w:pPr>
        <w:pStyle w:val="Numberedparagraph"/>
      </w:pPr>
      <w:r w:rsidRPr="00880275">
        <w:t xml:space="preserve">While the terms of reference specifically refer to the effectiveness of the </w:t>
      </w:r>
      <w:r w:rsidRPr="00880275">
        <w:rPr>
          <w:i/>
          <w:iCs/>
        </w:rPr>
        <w:t>provisions</w:t>
      </w:r>
      <w:r w:rsidR="008408AD" w:rsidRPr="00880275">
        <w:t xml:space="preserve"> of the </w:t>
      </w:r>
      <w:r w:rsidR="00881F90" w:rsidRPr="00880275">
        <w:t>Human Rights Act</w:t>
      </w:r>
      <w:r w:rsidR="008408AD" w:rsidRPr="00880275">
        <w:t>, this submission also comments on how implementation of the provisions could be improved.</w:t>
      </w:r>
    </w:p>
    <w:p w14:paraId="40A92623" w14:textId="58203D9F" w:rsidR="00DA24A6" w:rsidRPr="00880275" w:rsidRDefault="215BA7AA" w:rsidP="00233BB7">
      <w:pPr>
        <w:pStyle w:val="Heading2"/>
      </w:pPr>
      <w:bookmarkStart w:id="39" w:name="_Toc171346776"/>
      <w:r w:rsidRPr="00880275">
        <w:t xml:space="preserve">(a) </w:t>
      </w:r>
      <w:r w:rsidR="00A50AF9" w:rsidRPr="00880275">
        <w:t>Existing protected rights</w:t>
      </w:r>
      <w:bookmarkEnd w:id="39"/>
    </w:p>
    <w:p w14:paraId="5D579B27" w14:textId="708AF133" w:rsidR="00785532" w:rsidRPr="00880275" w:rsidRDefault="00785532" w:rsidP="00EB1E51">
      <w:pPr>
        <w:pStyle w:val="Heading3"/>
      </w:pPr>
      <w:bookmarkStart w:id="40" w:name="_Toc167900363"/>
      <w:bookmarkStart w:id="41" w:name="_Toc171346777"/>
      <w:r w:rsidRPr="00880275">
        <w:t>Recognise absolute rights</w:t>
      </w:r>
      <w:bookmarkEnd w:id="41"/>
    </w:p>
    <w:p w14:paraId="12F01EAE" w14:textId="2D5B1C7D" w:rsidR="00CC1758" w:rsidRPr="00880275" w:rsidRDefault="00CC1758" w:rsidP="00754FAE">
      <w:pPr>
        <w:pStyle w:val="Numberedparagraph"/>
      </w:pPr>
      <w:r w:rsidRPr="00880275">
        <w:t xml:space="preserve">Under international human rights treaties that Australia has ratified, certain human rights are absolute, which means that limitations on those rights are never justified. Under the </w:t>
      </w:r>
      <w:r w:rsidR="00480109" w:rsidRPr="00880275">
        <w:rPr>
          <w:i/>
        </w:rPr>
        <w:t>International Coven</w:t>
      </w:r>
      <w:r w:rsidR="00C81A94" w:rsidRPr="00880275">
        <w:rPr>
          <w:i/>
        </w:rPr>
        <w:t xml:space="preserve">ant </w:t>
      </w:r>
      <w:r w:rsidR="00B02AB4" w:rsidRPr="00880275">
        <w:rPr>
          <w:i/>
        </w:rPr>
        <w:t>on Civil and Political Rights</w:t>
      </w:r>
      <w:r w:rsidR="00B02AB4" w:rsidRPr="00880275">
        <w:t xml:space="preserve"> (</w:t>
      </w:r>
      <w:r w:rsidRPr="00880275">
        <w:t>ICCPR</w:t>
      </w:r>
      <w:r w:rsidR="00B02AB4" w:rsidRPr="00880275">
        <w:t>)</w:t>
      </w:r>
      <w:r w:rsidRPr="00880275">
        <w:t xml:space="preserve">, these </w:t>
      </w:r>
      <w:r w:rsidR="00534742" w:rsidRPr="00880275">
        <w:t xml:space="preserve">absolute rights </w:t>
      </w:r>
      <w:r w:rsidRPr="00880275">
        <w:t>include freedom from torture and other cruel, inhuman or degrading treatment or punishment (art 7), freedom from forced work (art 8(1) and (2)), freedom from imprisonment for inability to fulfil a contractual obligation (art 11), prohibition against the retrospective operation of criminal laws (art 15), right to recognition before the law (art 16), freedom to have or adopt a religion or belief (but not to manifest that religion or belief) (art 18(1) and (2)), and freedom of opinion (art 19(1)).</w:t>
      </w:r>
    </w:p>
    <w:p w14:paraId="465BA658" w14:textId="1F1A9FE4" w:rsidR="00CC1758" w:rsidRPr="00880275" w:rsidRDefault="00CC1758" w:rsidP="00754FAE">
      <w:pPr>
        <w:pStyle w:val="Numberedparagraph"/>
        <w:rPr>
          <w:szCs w:val="22"/>
        </w:rPr>
      </w:pPr>
      <w:r w:rsidRPr="00880275">
        <w:t xml:space="preserve">However, this is not </w:t>
      </w:r>
      <w:r w:rsidR="00E71D06" w:rsidRPr="00880275">
        <w:t>made explicit in</w:t>
      </w:r>
      <w:r w:rsidRPr="00880275">
        <w:t xml:space="preserve"> the Human Rights Act</w:t>
      </w:r>
      <w:r w:rsidR="006C5100" w:rsidRPr="00880275">
        <w:t>,</w:t>
      </w:r>
      <w:r w:rsidRPr="00880275">
        <w:t xml:space="preserve"> which allows rights to be limited, provided the limitation is reasonable and justifiable. This poses a threat to protection of fundamental rights that Australia has committed to uphold and creates unnecessary divergence between Queensland’s law and law in comparable jurisdictions. Section 13 of the Act should be amended to clarify that absolute rights must not be subject to limitation. </w:t>
      </w:r>
    </w:p>
    <w:p w14:paraId="42FDEE6D" w14:textId="10DF1D91" w:rsidR="00D2655D" w:rsidRPr="00880275" w:rsidRDefault="00D2655D" w:rsidP="00754FAE">
      <w:pPr>
        <w:pStyle w:val="Numberedparagraph"/>
        <w:rPr>
          <w:szCs w:val="22"/>
        </w:rPr>
      </w:pPr>
      <w:r w:rsidRPr="00880275">
        <w:t>Th</w:t>
      </w:r>
      <w:r w:rsidR="006D674C" w:rsidRPr="00880275">
        <w:t xml:space="preserve">is is consistent with the </w:t>
      </w:r>
      <w:r w:rsidRPr="00880275">
        <w:t>P</w:t>
      </w:r>
      <w:r w:rsidR="007E1BEF" w:rsidRPr="00880275">
        <w:t xml:space="preserve">arliamentary </w:t>
      </w:r>
      <w:r w:rsidRPr="00880275">
        <w:t>J</w:t>
      </w:r>
      <w:r w:rsidR="0042049E" w:rsidRPr="00880275">
        <w:t xml:space="preserve">oint </w:t>
      </w:r>
      <w:r w:rsidRPr="00880275">
        <w:t>C</w:t>
      </w:r>
      <w:r w:rsidR="0042049E" w:rsidRPr="00880275">
        <w:t xml:space="preserve">ommittee </w:t>
      </w:r>
      <w:r w:rsidR="00E74830" w:rsidRPr="00880275">
        <w:t xml:space="preserve">on </w:t>
      </w:r>
      <w:r w:rsidRPr="00880275">
        <w:t>H</w:t>
      </w:r>
      <w:r w:rsidR="00E74830" w:rsidRPr="00880275">
        <w:t xml:space="preserve">uman </w:t>
      </w:r>
      <w:r w:rsidRPr="00880275">
        <w:t>R</w:t>
      </w:r>
      <w:r w:rsidR="00E74830" w:rsidRPr="00880275">
        <w:t>ights’</w:t>
      </w:r>
      <w:r w:rsidRPr="00880275">
        <w:t xml:space="preserve"> </w:t>
      </w:r>
      <w:r w:rsidR="006D674C" w:rsidRPr="00880275">
        <w:t>recommendations</w:t>
      </w:r>
      <w:r w:rsidR="00372505" w:rsidRPr="00880275">
        <w:t xml:space="preserve"> that </w:t>
      </w:r>
      <w:r w:rsidR="00597C01" w:rsidRPr="00880275">
        <w:t>a</w:t>
      </w:r>
      <w:r w:rsidR="00561414" w:rsidRPr="00880275">
        <w:t xml:space="preserve"> federal human rights </w:t>
      </w:r>
      <w:r w:rsidR="009B7BC1" w:rsidRPr="00880275">
        <w:t>A</w:t>
      </w:r>
      <w:r w:rsidR="00561414" w:rsidRPr="00880275">
        <w:t>ct include a</w:t>
      </w:r>
      <w:r w:rsidR="00597C01" w:rsidRPr="00880275">
        <w:t xml:space="preserve"> general limitation </w:t>
      </w:r>
      <w:proofErr w:type="gramStart"/>
      <w:r w:rsidR="00597C01" w:rsidRPr="00880275">
        <w:t>clause</w:t>
      </w:r>
      <w:r w:rsidR="00561414" w:rsidRPr="00880275">
        <w:t>, but</w:t>
      </w:r>
      <w:proofErr w:type="gramEnd"/>
      <w:r w:rsidR="00561414" w:rsidRPr="00880275">
        <w:t xml:space="preserve"> excludes </w:t>
      </w:r>
      <w:r w:rsidR="00217355" w:rsidRPr="00880275">
        <w:t xml:space="preserve">rights (and aspects of rights) </w:t>
      </w:r>
      <w:r w:rsidR="004B4E36" w:rsidRPr="00880275">
        <w:t>that</w:t>
      </w:r>
      <w:r w:rsidR="00217355" w:rsidRPr="00880275">
        <w:t xml:space="preserve"> are absolute and may never</w:t>
      </w:r>
      <w:r w:rsidR="00A36F74" w:rsidRPr="00880275">
        <w:t xml:space="preserve"> be limited</w:t>
      </w:r>
      <w:r w:rsidR="00B0017F" w:rsidRPr="00880275">
        <w:t>.</w:t>
      </w:r>
      <w:r w:rsidR="006D674C" w:rsidRPr="00880275">
        <w:rPr>
          <w:rStyle w:val="FootnoteReference"/>
          <w:rFonts w:eastAsia="Arial"/>
        </w:rPr>
        <w:footnoteReference w:id="57"/>
      </w:r>
      <w:r w:rsidR="00B0017F" w:rsidRPr="00880275">
        <w:t xml:space="preserve"> </w:t>
      </w:r>
      <w:r w:rsidR="00217355" w:rsidRPr="00880275">
        <w:t xml:space="preserve"> </w:t>
      </w:r>
    </w:p>
    <w:p w14:paraId="048BB15C" w14:textId="1BFE5304" w:rsidR="002574D9" w:rsidRPr="00880275" w:rsidRDefault="00062427" w:rsidP="00754FAE">
      <w:pPr>
        <w:pStyle w:val="Heading5"/>
      </w:pPr>
      <w:r w:rsidRPr="00880275">
        <w:t>Recommendation 3.1</w:t>
      </w:r>
    </w:p>
    <w:p w14:paraId="3C9BE63A" w14:textId="77777777" w:rsidR="00C43849" w:rsidRPr="00880275" w:rsidRDefault="00C43849" w:rsidP="00754FAE">
      <w:pPr>
        <w:pStyle w:val="Heading5"/>
      </w:pPr>
      <w:r w:rsidRPr="00880275">
        <w:t>Section 13 of the Human Rights Act should be amended to clarify that limitations to absolute rights cannot be justified.</w:t>
      </w:r>
    </w:p>
    <w:p w14:paraId="6CD80447" w14:textId="2C93C93D" w:rsidR="000D05DA" w:rsidRPr="00880275" w:rsidRDefault="000D05DA" w:rsidP="00EE5C93">
      <w:pPr>
        <w:pStyle w:val="Heading3"/>
      </w:pPr>
      <w:bookmarkStart w:id="42" w:name="_Toc171346778"/>
      <w:r w:rsidRPr="00880275">
        <w:t xml:space="preserve">Meaning </w:t>
      </w:r>
      <w:r w:rsidR="3E16EC2F" w:rsidRPr="00880275">
        <w:t xml:space="preserve">of </w:t>
      </w:r>
      <w:r w:rsidRPr="00880275">
        <w:t>discrimination</w:t>
      </w:r>
      <w:bookmarkEnd w:id="42"/>
      <w:r w:rsidRPr="00880275">
        <w:t xml:space="preserve"> </w:t>
      </w:r>
    </w:p>
    <w:p w14:paraId="4AD01114" w14:textId="2278079E" w:rsidR="00460E7A" w:rsidRPr="00880275" w:rsidRDefault="0019599A" w:rsidP="00754FAE">
      <w:pPr>
        <w:pStyle w:val="Numberedparagraph"/>
      </w:pPr>
      <w:r w:rsidRPr="00880275">
        <w:t xml:space="preserve">The </w:t>
      </w:r>
      <w:r w:rsidR="009E0B8B" w:rsidRPr="00880275">
        <w:t xml:space="preserve">term ‘discrimination’ appears in </w:t>
      </w:r>
      <w:proofErr w:type="gramStart"/>
      <w:r w:rsidR="009E0B8B" w:rsidRPr="00880275">
        <w:t>a number of</w:t>
      </w:r>
      <w:proofErr w:type="gramEnd"/>
      <w:r w:rsidR="009E0B8B" w:rsidRPr="00880275">
        <w:t xml:space="preserve"> human rights protected under the Human Rights Act</w:t>
      </w:r>
      <w:r w:rsidR="008826AF" w:rsidRPr="00880275">
        <w:t>:</w:t>
      </w:r>
    </w:p>
    <w:p w14:paraId="16775E11" w14:textId="77777777" w:rsidR="00D656E8" w:rsidRPr="00880275" w:rsidRDefault="00D656E8" w:rsidP="00964947">
      <w:pPr>
        <w:numPr>
          <w:ilvl w:val="0"/>
          <w:numId w:val="5"/>
        </w:numPr>
        <w:spacing w:before="120" w:line="276" w:lineRule="auto"/>
        <w:rPr>
          <w:shd w:val="clear" w:color="auto" w:fill="FFFFFF"/>
        </w:rPr>
      </w:pPr>
      <w:r w:rsidRPr="00880275">
        <w:rPr>
          <w:rFonts w:eastAsia="Times New Roman" w:cs="Arial"/>
          <w:color w:val="auto"/>
          <w:szCs w:val="22"/>
          <w:shd w:val="clear" w:color="auto" w:fill="FFFFFF"/>
        </w:rPr>
        <w:t>Recognition</w:t>
      </w:r>
      <w:r w:rsidRPr="00880275">
        <w:rPr>
          <w:shd w:val="clear" w:color="auto" w:fill="FFFFFF"/>
        </w:rPr>
        <w:t xml:space="preserve"> and equality before the law (section 15)</w:t>
      </w:r>
    </w:p>
    <w:p w14:paraId="42532249" w14:textId="77777777" w:rsidR="00AF19FE" w:rsidRPr="00880275" w:rsidRDefault="00AF19FE" w:rsidP="00964947">
      <w:pPr>
        <w:numPr>
          <w:ilvl w:val="0"/>
          <w:numId w:val="5"/>
        </w:numPr>
        <w:spacing w:before="120" w:line="276" w:lineRule="auto"/>
        <w:rPr>
          <w:rFonts w:eastAsia="Times New Roman" w:cs="Arial"/>
          <w:color w:val="auto"/>
          <w:szCs w:val="22"/>
          <w:shd w:val="clear" w:color="auto" w:fill="FFFFFF"/>
        </w:rPr>
      </w:pPr>
      <w:r w:rsidRPr="00880275">
        <w:rPr>
          <w:rFonts w:eastAsia="Times New Roman" w:cs="Arial"/>
          <w:color w:val="auto"/>
          <w:szCs w:val="22"/>
          <w:shd w:val="clear" w:color="auto" w:fill="FFFFFF"/>
        </w:rPr>
        <w:lastRenderedPageBreak/>
        <w:t>Taking part in public life (section 23)</w:t>
      </w:r>
    </w:p>
    <w:p w14:paraId="5A6D7ED0" w14:textId="77777777" w:rsidR="00A35055" w:rsidRPr="00880275" w:rsidRDefault="00A35055" w:rsidP="00964947">
      <w:pPr>
        <w:numPr>
          <w:ilvl w:val="0"/>
          <w:numId w:val="5"/>
        </w:numPr>
        <w:spacing w:before="120" w:line="276" w:lineRule="auto"/>
        <w:rPr>
          <w:rFonts w:eastAsia="Times New Roman" w:cs="Arial"/>
          <w:color w:val="auto"/>
          <w:szCs w:val="22"/>
          <w:shd w:val="clear" w:color="auto" w:fill="FFFFFF"/>
        </w:rPr>
      </w:pPr>
      <w:r w:rsidRPr="00880275">
        <w:rPr>
          <w:rFonts w:eastAsia="Times New Roman" w:cs="Arial"/>
          <w:color w:val="auto"/>
          <w:szCs w:val="22"/>
          <w:shd w:val="clear" w:color="auto" w:fill="FFFFFF"/>
        </w:rPr>
        <w:t>Protection of families and children (section 26)</w:t>
      </w:r>
    </w:p>
    <w:p w14:paraId="62C49083" w14:textId="77777777" w:rsidR="00A644C0" w:rsidRPr="00880275" w:rsidRDefault="00A644C0" w:rsidP="00964947">
      <w:pPr>
        <w:numPr>
          <w:ilvl w:val="0"/>
          <w:numId w:val="5"/>
        </w:numPr>
        <w:spacing w:before="120" w:line="276" w:lineRule="auto"/>
        <w:rPr>
          <w:rFonts w:eastAsia="Times New Roman" w:cs="Arial"/>
          <w:color w:val="auto"/>
          <w:szCs w:val="22"/>
          <w:shd w:val="clear" w:color="auto" w:fill="FFFFFF"/>
        </w:rPr>
      </w:pPr>
      <w:r w:rsidRPr="00880275">
        <w:rPr>
          <w:rFonts w:eastAsia="Times New Roman" w:cs="Arial"/>
          <w:color w:val="auto"/>
          <w:szCs w:val="22"/>
          <w:shd w:val="clear" w:color="auto" w:fill="FFFFFF"/>
        </w:rPr>
        <w:t xml:space="preserve">Rights in criminal proceedings (section 32) </w:t>
      </w:r>
    </w:p>
    <w:p w14:paraId="79E66787" w14:textId="360D4C6A" w:rsidR="008826AF" w:rsidRPr="00880275" w:rsidRDefault="00B14712" w:rsidP="00964947">
      <w:pPr>
        <w:numPr>
          <w:ilvl w:val="0"/>
          <w:numId w:val="5"/>
        </w:numPr>
        <w:spacing w:before="120" w:line="276" w:lineRule="auto"/>
        <w:rPr>
          <w:szCs w:val="22"/>
        </w:rPr>
      </w:pPr>
      <w:r w:rsidRPr="00880275">
        <w:rPr>
          <w:rFonts w:eastAsia="Times New Roman" w:cs="Arial"/>
          <w:color w:val="auto"/>
          <w:szCs w:val="22"/>
          <w:shd w:val="clear" w:color="auto" w:fill="FFFFFF"/>
        </w:rPr>
        <w:t>Right to health services (section 37)</w:t>
      </w:r>
      <w:r w:rsidR="00FB05E9" w:rsidRPr="00880275">
        <w:rPr>
          <w:rFonts w:eastAsia="Times New Roman" w:cs="Arial"/>
          <w:color w:val="auto"/>
          <w:szCs w:val="22"/>
          <w:shd w:val="clear" w:color="auto" w:fill="FFFFFF"/>
        </w:rPr>
        <w:t>.</w:t>
      </w:r>
    </w:p>
    <w:p w14:paraId="2E98FFB1" w14:textId="77777777" w:rsidR="00C9294A" w:rsidRPr="00880275" w:rsidRDefault="00082827" w:rsidP="00754FAE">
      <w:pPr>
        <w:pStyle w:val="Numberedparagraph"/>
      </w:pPr>
      <w:r w:rsidRPr="00880275">
        <w:t xml:space="preserve">‘Discrimination’ is defined in Schedule 1 of the Human Rights Act as </w:t>
      </w:r>
    </w:p>
    <w:p w14:paraId="5BA17426" w14:textId="41B9FC56" w:rsidR="008826AF" w:rsidRPr="00880275" w:rsidRDefault="00C9294A" w:rsidP="00754FAE">
      <w:pPr>
        <w:pStyle w:val="Numberedparagraph"/>
        <w:numPr>
          <w:ilvl w:val="0"/>
          <w:numId w:val="0"/>
        </w:numPr>
        <w:ind w:left="924"/>
      </w:pPr>
      <w:r w:rsidRPr="00880275">
        <w:rPr>
          <w:b/>
          <w:i/>
        </w:rPr>
        <w:t>discrimination</w:t>
      </w:r>
      <w:r w:rsidRPr="00880275">
        <w:t xml:space="preserve">, </w:t>
      </w:r>
      <w:r w:rsidR="009E580E" w:rsidRPr="00880275">
        <w:t xml:space="preserve">in relation to a person, </w:t>
      </w:r>
      <w:r w:rsidR="009E580E" w:rsidRPr="00880275">
        <w:rPr>
          <w:u w:val="single"/>
        </w:rPr>
        <w:t>includes</w:t>
      </w:r>
      <w:r w:rsidR="009E580E" w:rsidRPr="00880275">
        <w:t xml:space="preserve"> direct </w:t>
      </w:r>
      <w:r w:rsidRPr="00880275">
        <w:t xml:space="preserve">discrimination or indirect discrimination, within the meaning of the </w:t>
      </w:r>
      <w:r w:rsidRPr="00880275">
        <w:rPr>
          <w:i/>
        </w:rPr>
        <w:t>Anti-Discrimination Act 1991</w:t>
      </w:r>
      <w:r w:rsidRPr="00880275">
        <w:t xml:space="preserve">, </w:t>
      </w:r>
      <w:proofErr w:type="gramStart"/>
      <w:r w:rsidRPr="00880275">
        <w:t>on the basis of</w:t>
      </w:r>
      <w:proofErr w:type="gramEnd"/>
      <w:r w:rsidRPr="00880275">
        <w:t xml:space="preserve"> an attribute stated in section 7 of that Act</w:t>
      </w:r>
      <w:r w:rsidR="00FB05E9" w:rsidRPr="00880275">
        <w:t>; (underlining added)</w:t>
      </w:r>
    </w:p>
    <w:p w14:paraId="548A6641" w14:textId="5C579A37" w:rsidR="00C9294A" w:rsidRPr="00880275" w:rsidRDefault="00F365CB" w:rsidP="00754FAE">
      <w:pPr>
        <w:pStyle w:val="Numberedparagraph"/>
      </w:pPr>
      <w:r w:rsidRPr="00880275">
        <w:t xml:space="preserve">This appears to be more expansive than the definition under the Victorian </w:t>
      </w:r>
      <w:r w:rsidRPr="00880275">
        <w:rPr>
          <w:i/>
          <w:iCs/>
        </w:rPr>
        <w:t>Charter of Human Rights and Responsibilities Act 2006</w:t>
      </w:r>
      <w:r w:rsidR="00FB05E9" w:rsidRPr="00880275">
        <w:t xml:space="preserve"> (Vic)</w:t>
      </w:r>
      <w:r w:rsidR="00BC0CFA" w:rsidRPr="00880275">
        <w:t>:</w:t>
      </w:r>
      <w:r w:rsidRPr="00880275">
        <w:t xml:space="preserve"> </w:t>
      </w:r>
    </w:p>
    <w:p w14:paraId="22ECA5FF" w14:textId="3E0A2517" w:rsidR="00F365CB" w:rsidRPr="00880275" w:rsidRDefault="00996188" w:rsidP="00754FAE">
      <w:pPr>
        <w:pStyle w:val="Numberedparagraph"/>
        <w:numPr>
          <w:ilvl w:val="0"/>
          <w:numId w:val="0"/>
        </w:numPr>
        <w:ind w:left="924"/>
      </w:pPr>
      <w:r w:rsidRPr="00880275">
        <w:rPr>
          <w:b/>
          <w:i/>
        </w:rPr>
        <w:t>d</w:t>
      </w:r>
      <w:r w:rsidR="00F365CB" w:rsidRPr="00880275">
        <w:rPr>
          <w:b/>
          <w:i/>
        </w:rPr>
        <w:t>iscrimination</w:t>
      </w:r>
      <w:r w:rsidR="00F365CB" w:rsidRPr="00880275">
        <w:t xml:space="preserve">, in relation to a person, </w:t>
      </w:r>
      <w:r w:rsidR="00F365CB" w:rsidRPr="00880275">
        <w:rPr>
          <w:u w:val="single"/>
        </w:rPr>
        <w:t>means</w:t>
      </w:r>
      <w:r w:rsidR="00F365CB" w:rsidRPr="00880275">
        <w:t xml:space="preserve"> discrimination (within the meaning of the </w:t>
      </w:r>
      <w:r w:rsidR="00F365CB" w:rsidRPr="00880275">
        <w:rPr>
          <w:b/>
        </w:rPr>
        <w:t>Equal Opportunity Act 2010</w:t>
      </w:r>
      <w:r w:rsidR="00F365CB" w:rsidRPr="00880275">
        <w:t xml:space="preserve">) </w:t>
      </w:r>
      <w:proofErr w:type="gramStart"/>
      <w:r w:rsidR="00F365CB" w:rsidRPr="00880275">
        <w:t>on the basis of</w:t>
      </w:r>
      <w:proofErr w:type="gramEnd"/>
      <w:r w:rsidR="00F365CB" w:rsidRPr="00880275">
        <w:t xml:space="preserve"> an attribute </w:t>
      </w:r>
      <w:r w:rsidRPr="00880275">
        <w:t>set out in section 6 of that Act;’</w:t>
      </w:r>
      <w:r w:rsidR="00BC0CFA" w:rsidRPr="00880275">
        <w:t xml:space="preserve"> (underlining added)</w:t>
      </w:r>
    </w:p>
    <w:p w14:paraId="75B1C463" w14:textId="7C56631B" w:rsidR="00BC0CFA" w:rsidRPr="00880275" w:rsidRDefault="00F310FC" w:rsidP="00754FAE">
      <w:pPr>
        <w:pStyle w:val="Numberedparagraph"/>
      </w:pPr>
      <w:r w:rsidRPr="00880275">
        <w:t>Discrimination is not defined in</w:t>
      </w:r>
      <w:r w:rsidR="007A64DC" w:rsidRPr="00880275">
        <w:t xml:space="preserve"> the</w:t>
      </w:r>
      <w:r w:rsidRPr="00880275">
        <w:t xml:space="preserve"> ACT’s </w:t>
      </w:r>
      <w:r w:rsidRPr="00880275">
        <w:rPr>
          <w:i/>
          <w:iCs/>
        </w:rPr>
        <w:t>Human Rights Act 2004</w:t>
      </w:r>
      <w:r w:rsidRPr="00880275">
        <w:t xml:space="preserve">, although </w:t>
      </w:r>
      <w:r w:rsidR="00096256" w:rsidRPr="00880275">
        <w:t xml:space="preserve">examples of discrimination </w:t>
      </w:r>
      <w:r w:rsidR="0000278C" w:rsidRPr="00880275">
        <w:t xml:space="preserve">are given </w:t>
      </w:r>
      <w:r w:rsidR="00603D70" w:rsidRPr="00880275">
        <w:t xml:space="preserve">in </w:t>
      </w:r>
      <w:r w:rsidR="00BF38F7" w:rsidRPr="00880275">
        <w:t xml:space="preserve">legislative </w:t>
      </w:r>
      <w:r w:rsidR="00603D70" w:rsidRPr="00880275">
        <w:t xml:space="preserve">notes almost each time the term appears. </w:t>
      </w:r>
    </w:p>
    <w:p w14:paraId="4235522E" w14:textId="23BA67CA" w:rsidR="00BF38F7" w:rsidRPr="00880275" w:rsidRDefault="004D6D20" w:rsidP="00754FAE">
      <w:pPr>
        <w:pStyle w:val="Numberedparagraph"/>
      </w:pPr>
      <w:r w:rsidRPr="00880275">
        <w:t xml:space="preserve">Supreme Court </w:t>
      </w:r>
      <w:r w:rsidR="00BF38F7" w:rsidRPr="00880275">
        <w:t>consideration of the term in Queensland has resulted in two different approaches.</w:t>
      </w:r>
    </w:p>
    <w:p w14:paraId="4FA852EC" w14:textId="5C28BA91" w:rsidR="00BF38F7" w:rsidRPr="00880275" w:rsidRDefault="00433538" w:rsidP="00754FAE">
      <w:pPr>
        <w:pStyle w:val="Numberedparagraph"/>
      </w:pPr>
      <w:r w:rsidRPr="00880275">
        <w:t xml:space="preserve">In </w:t>
      </w:r>
      <w:r w:rsidR="006B1E8F" w:rsidRPr="00880275">
        <w:rPr>
          <w:i/>
          <w:iCs/>
        </w:rPr>
        <w:t>Austin BMI Pty Ltd v Deputy Premier</w:t>
      </w:r>
      <w:r w:rsidR="006B1E8F" w:rsidRPr="00880275">
        <w:t xml:space="preserve"> [2023] QSC 95</w:t>
      </w:r>
      <w:r w:rsidR="008A1A88" w:rsidRPr="00880275">
        <w:t xml:space="preserve"> (5 May 2023)</w:t>
      </w:r>
      <w:r w:rsidR="004D6D20" w:rsidRPr="00880275">
        <w:t xml:space="preserve">, the court considered the term ‘without discrimination’ </w:t>
      </w:r>
      <w:r w:rsidR="00DB3C53" w:rsidRPr="00880275">
        <w:t xml:space="preserve">as it appears in the right to take part in public life. </w:t>
      </w:r>
      <w:r w:rsidR="00BA3DB8" w:rsidRPr="00880275">
        <w:t xml:space="preserve">The court observed that the definition was inclusive, consistent with the ACT equivalent, but in </w:t>
      </w:r>
      <w:r w:rsidR="00095C44" w:rsidRPr="00880275">
        <w:t>c</w:t>
      </w:r>
      <w:r w:rsidR="38821EFC" w:rsidRPr="00880275">
        <w:t xml:space="preserve">ontrast </w:t>
      </w:r>
      <w:r w:rsidR="00BA3DB8" w:rsidRPr="00880275">
        <w:t xml:space="preserve">to the </w:t>
      </w:r>
      <w:r w:rsidR="000953D2" w:rsidRPr="00880275">
        <w:t>exhaustive</w:t>
      </w:r>
      <w:r w:rsidR="00BA3DB8" w:rsidRPr="00880275">
        <w:t xml:space="preserve"> definitions of Victoria and New Zealand. </w:t>
      </w:r>
      <w:r w:rsidR="00D74ABE" w:rsidRPr="00880275">
        <w:t>The court said:</w:t>
      </w:r>
    </w:p>
    <w:p w14:paraId="62BCE5FD" w14:textId="1A8E68D0" w:rsidR="00D74ABE" w:rsidRPr="00880275" w:rsidRDefault="00AB4D28" w:rsidP="00754FAE">
      <w:pPr>
        <w:pStyle w:val="Numberedparagraph"/>
        <w:numPr>
          <w:ilvl w:val="0"/>
          <w:numId w:val="0"/>
        </w:numPr>
        <w:ind w:left="924"/>
        <w:rPr>
          <w:shd w:val="clear" w:color="auto" w:fill="FFFFFF"/>
        </w:rPr>
      </w:pPr>
      <w:r w:rsidRPr="00880275">
        <w:rPr>
          <w:shd w:val="clear" w:color="auto" w:fill="FFFFFF"/>
        </w:rPr>
        <w:t>[318] …</w:t>
      </w:r>
      <w:r w:rsidR="00FB675B" w:rsidRPr="00880275">
        <w:rPr>
          <w:shd w:val="clear" w:color="auto" w:fill="FFFFFF"/>
        </w:rPr>
        <w:t>The legislature, in choosing to tie the definition of ‘discrimination’ to the definition in the </w:t>
      </w:r>
      <w:r w:rsidR="00FB675B" w:rsidRPr="00880275">
        <w:rPr>
          <w:rStyle w:val="Emphasis"/>
          <w:color w:val="333333"/>
          <w:szCs w:val="22"/>
          <w:shd w:val="clear" w:color="auto" w:fill="FFFFFF"/>
        </w:rPr>
        <w:t>Anti-Discrimination Act 1991</w:t>
      </w:r>
      <w:r w:rsidR="00FB675B" w:rsidRPr="00880275">
        <w:rPr>
          <w:shd w:val="clear" w:color="auto" w:fill="FFFFFF"/>
        </w:rPr>
        <w:t xml:space="preserve"> in a non-exclusory way, must be taken to have left the door open for an </w:t>
      </w:r>
      <w:proofErr w:type="gramStart"/>
      <w:r w:rsidR="00FB675B" w:rsidRPr="00880275">
        <w:rPr>
          <w:shd w:val="clear" w:color="auto" w:fill="FFFFFF"/>
        </w:rPr>
        <w:t>analogous grounds of discrimination</w:t>
      </w:r>
      <w:proofErr w:type="gramEnd"/>
      <w:r w:rsidR="00FB675B" w:rsidRPr="00880275">
        <w:rPr>
          <w:shd w:val="clear" w:color="auto" w:fill="FFFFFF"/>
        </w:rPr>
        <w:t>. In other words, in linking the definition of ‘discrimination’ to the definition of the same concept in the </w:t>
      </w:r>
      <w:r w:rsidR="00FB675B" w:rsidRPr="00880275">
        <w:rPr>
          <w:rStyle w:val="Emphasis"/>
          <w:color w:val="333333"/>
          <w:szCs w:val="22"/>
          <w:shd w:val="clear" w:color="auto" w:fill="FFFFFF"/>
        </w:rPr>
        <w:t>Anti-Discrimination Act,</w:t>
      </w:r>
      <w:r w:rsidR="00FB675B" w:rsidRPr="00880275">
        <w:rPr>
          <w:shd w:val="clear" w:color="auto" w:fill="FFFFFF"/>
        </w:rPr>
        <w:t> but not directly adopting that definition, it is reasonable to infer that Parliament intended for the definition to be read as allowing an analogous ground of discrimination.</w:t>
      </w:r>
    </w:p>
    <w:p w14:paraId="38B1171B" w14:textId="29588413" w:rsidR="00AB4D28" w:rsidRPr="00880275" w:rsidRDefault="00AB4D28" w:rsidP="00754FAE">
      <w:pPr>
        <w:pStyle w:val="Numberedparagraph"/>
      </w:pPr>
      <w:r w:rsidRPr="00880275">
        <w:t xml:space="preserve">In relation </w:t>
      </w:r>
      <w:r w:rsidR="00DE169C" w:rsidRPr="00880275">
        <w:t>to the boundaries o</w:t>
      </w:r>
      <w:r w:rsidR="00A0623E" w:rsidRPr="00880275">
        <w:t xml:space="preserve">f the </w:t>
      </w:r>
      <w:r w:rsidR="00492CF0" w:rsidRPr="00880275">
        <w:t>definition, the court said:</w:t>
      </w:r>
      <w:r w:rsidR="00F957ED" w:rsidRPr="00880275">
        <w:t xml:space="preserve"> ‘it would be difficult to argue that Parliament contemplated that ‘discrimination’ merely required differential treatment. Even in common usage the concept of discrimination involves making a distinction, as in to discriminate against a minority</w:t>
      </w:r>
      <w:r w:rsidR="00182FC1" w:rsidRPr="00880275">
        <w:t>.’</w:t>
      </w:r>
      <w:r w:rsidR="00F12587" w:rsidRPr="00880275">
        <w:rPr>
          <w:rStyle w:val="FootnoteReference"/>
        </w:rPr>
        <w:footnoteReference w:id="58"/>
      </w:r>
      <w:r w:rsidR="009F5FA5" w:rsidRPr="00880275">
        <w:t xml:space="preserve"> In that case, </w:t>
      </w:r>
      <w:r w:rsidR="002B4CB8" w:rsidRPr="00880275">
        <w:t xml:space="preserve">there was no evidence of any discrimination </w:t>
      </w:r>
      <w:proofErr w:type="gramStart"/>
      <w:r w:rsidR="002B4CB8" w:rsidRPr="00880275">
        <w:t xml:space="preserve">on the </w:t>
      </w:r>
      <w:r w:rsidR="002B4CB8" w:rsidRPr="00880275">
        <w:lastRenderedPageBreak/>
        <w:t>basis of</w:t>
      </w:r>
      <w:proofErr w:type="gramEnd"/>
      <w:r w:rsidR="002B4CB8" w:rsidRPr="00880275">
        <w:t xml:space="preserve"> an </w:t>
      </w:r>
      <w:r w:rsidR="009F5FA5" w:rsidRPr="00880275">
        <w:t>attribute</w:t>
      </w:r>
      <w:r w:rsidR="002B4CB8" w:rsidRPr="00880275">
        <w:t xml:space="preserve"> under the </w:t>
      </w:r>
      <w:r w:rsidR="002B4CB8" w:rsidRPr="00880275">
        <w:rPr>
          <w:iCs/>
        </w:rPr>
        <w:t>Anti-Discrimination Act</w:t>
      </w:r>
      <w:r w:rsidR="009F5FA5" w:rsidRPr="00880275">
        <w:t xml:space="preserve">, </w:t>
      </w:r>
      <w:r w:rsidR="002B4CB8" w:rsidRPr="00880275">
        <w:t>or an analogous attribute,</w:t>
      </w:r>
      <w:r w:rsidR="00C273B7" w:rsidRPr="00880275">
        <w:t xml:space="preserve"> and therefore the right was not engaged. </w:t>
      </w:r>
    </w:p>
    <w:p w14:paraId="43EE02C9" w14:textId="52B7ED4A" w:rsidR="00991855" w:rsidRPr="00880275" w:rsidRDefault="00301E94" w:rsidP="00754FAE">
      <w:pPr>
        <w:pStyle w:val="Numberedparagraph"/>
      </w:pPr>
      <w:r w:rsidRPr="00880275">
        <w:t xml:space="preserve">On </w:t>
      </w:r>
      <w:r w:rsidR="00D82F23" w:rsidRPr="00880275">
        <w:t xml:space="preserve">27 February 2024, the Supreme Court delivered its decision on challenges to </w:t>
      </w:r>
      <w:r w:rsidR="000105DB" w:rsidRPr="00880275">
        <w:t xml:space="preserve">mandatory COVID-19 vaccine requirements </w:t>
      </w:r>
      <w:r w:rsidR="00C33427" w:rsidRPr="00880275">
        <w:t xml:space="preserve">in </w:t>
      </w:r>
      <w:r w:rsidR="00F77529" w:rsidRPr="00880275">
        <w:rPr>
          <w:i/>
          <w:iCs/>
        </w:rPr>
        <w:t xml:space="preserve">Johnston v </w:t>
      </w:r>
      <w:r w:rsidR="002C46A9" w:rsidRPr="00880275">
        <w:rPr>
          <w:i/>
          <w:iCs/>
        </w:rPr>
        <w:t xml:space="preserve">Commissioner </w:t>
      </w:r>
      <w:r w:rsidR="00786D7C" w:rsidRPr="00880275">
        <w:rPr>
          <w:i/>
          <w:iCs/>
        </w:rPr>
        <w:t>of</w:t>
      </w:r>
      <w:r w:rsidR="00972302" w:rsidRPr="00880275">
        <w:rPr>
          <w:i/>
          <w:iCs/>
        </w:rPr>
        <w:t xml:space="preserve"> Police </w:t>
      </w:r>
      <w:r w:rsidR="00C33427" w:rsidRPr="00880275">
        <w:t xml:space="preserve">[2024] QSC </w:t>
      </w:r>
      <w:r w:rsidR="002C46A9" w:rsidRPr="00880275">
        <w:t>2</w:t>
      </w:r>
      <w:r w:rsidR="00C33427" w:rsidRPr="00880275">
        <w:t>.</w:t>
      </w:r>
      <w:r w:rsidR="00D40132" w:rsidRPr="00880275">
        <w:t xml:space="preserve"> The applicants </w:t>
      </w:r>
      <w:r w:rsidR="00DF48FB" w:rsidRPr="00880275">
        <w:t>argued that discrimination on the grounds ‘conscientious belief’</w:t>
      </w:r>
      <w:r w:rsidR="007641D2" w:rsidRPr="00880275">
        <w:t>, although not a</w:t>
      </w:r>
      <w:r w:rsidR="0050566E" w:rsidRPr="00880275">
        <w:t>n</w:t>
      </w:r>
      <w:r w:rsidR="007641D2" w:rsidRPr="00880275">
        <w:t xml:space="preserve"> attribute </w:t>
      </w:r>
      <w:r w:rsidR="0050566E" w:rsidRPr="00880275">
        <w:t xml:space="preserve">listed in </w:t>
      </w:r>
      <w:r w:rsidR="00484EC9" w:rsidRPr="00880275">
        <w:t xml:space="preserve">section 7 of </w:t>
      </w:r>
      <w:r w:rsidR="007641D2" w:rsidRPr="00880275">
        <w:t>the Anti-Discrimination Act</w:t>
      </w:r>
      <w:r w:rsidR="007641D2" w:rsidRPr="00880275">
        <w:rPr>
          <w:i/>
          <w:iCs/>
        </w:rPr>
        <w:t>,</w:t>
      </w:r>
      <w:r w:rsidR="00DF48FB" w:rsidRPr="00880275">
        <w:t xml:space="preserve"> was </w:t>
      </w:r>
      <w:r w:rsidR="007641D2" w:rsidRPr="00880275">
        <w:t xml:space="preserve">within the meaning of discrimination as it appeared in the </w:t>
      </w:r>
      <w:r w:rsidR="00DF48FB" w:rsidRPr="00880275">
        <w:t xml:space="preserve">right to recognition and equality </w:t>
      </w:r>
      <w:r w:rsidR="000A6BDB" w:rsidRPr="00880275">
        <w:t xml:space="preserve">before the law </w:t>
      </w:r>
      <w:r w:rsidR="00DF48FB" w:rsidRPr="00880275">
        <w:t xml:space="preserve">in section 15 of the Human Rights Act. </w:t>
      </w:r>
      <w:r w:rsidR="005956F3" w:rsidRPr="00880275">
        <w:rPr>
          <w:rFonts w:eastAsia="Arial"/>
          <w:szCs w:val="22"/>
        </w:rPr>
        <w:t xml:space="preserve">The court disagreed. While acknowledging that the </w:t>
      </w:r>
      <w:proofErr w:type="gramStart"/>
      <w:r w:rsidR="005956F3" w:rsidRPr="00880275">
        <w:rPr>
          <w:rFonts w:eastAsia="Arial"/>
          <w:szCs w:val="22"/>
        </w:rPr>
        <w:t>word  ‘</w:t>
      </w:r>
      <w:proofErr w:type="gramEnd"/>
      <w:r w:rsidR="005956F3" w:rsidRPr="00880275">
        <w:rPr>
          <w:rFonts w:eastAsia="Arial"/>
          <w:szCs w:val="22"/>
        </w:rPr>
        <w:t>includes’ is usually non-exhaustive, it can also be construed as being equivalent to ‘means and includes’, which was</w:t>
      </w:r>
      <w:r w:rsidR="005B0587" w:rsidRPr="00880275">
        <w:rPr>
          <w:rFonts w:eastAsia="Arial"/>
          <w:szCs w:val="22"/>
        </w:rPr>
        <w:t xml:space="preserve"> the case </w:t>
      </w:r>
      <w:r w:rsidR="00D612BF" w:rsidRPr="00880275">
        <w:rPr>
          <w:rFonts w:eastAsia="Arial"/>
          <w:szCs w:val="22"/>
        </w:rPr>
        <w:t xml:space="preserve">here. </w:t>
      </w:r>
      <w:r w:rsidR="00AD7A11" w:rsidRPr="00880275">
        <w:rPr>
          <w:rFonts w:eastAsia="Arial"/>
          <w:szCs w:val="22"/>
        </w:rPr>
        <w:t xml:space="preserve">Discrimination </w:t>
      </w:r>
      <w:proofErr w:type="gramStart"/>
      <w:r w:rsidR="00AD7A11" w:rsidRPr="00880275">
        <w:rPr>
          <w:rFonts w:eastAsia="Arial"/>
          <w:szCs w:val="22"/>
        </w:rPr>
        <w:t>on the basis of</w:t>
      </w:r>
      <w:proofErr w:type="gramEnd"/>
      <w:r w:rsidR="00AD7A11" w:rsidRPr="00880275">
        <w:rPr>
          <w:rFonts w:eastAsia="Arial"/>
          <w:szCs w:val="22"/>
        </w:rPr>
        <w:t xml:space="preserve"> </w:t>
      </w:r>
      <w:r w:rsidR="00794ACD" w:rsidRPr="00880275">
        <w:rPr>
          <w:rFonts w:eastAsia="Arial"/>
          <w:szCs w:val="22"/>
        </w:rPr>
        <w:t>‘</w:t>
      </w:r>
      <w:r w:rsidR="00AD7A11" w:rsidRPr="00880275">
        <w:rPr>
          <w:rFonts w:eastAsia="Arial"/>
          <w:szCs w:val="22"/>
        </w:rPr>
        <w:t>c</w:t>
      </w:r>
      <w:r w:rsidR="00794ACD" w:rsidRPr="00880275">
        <w:rPr>
          <w:rFonts w:eastAsia="Arial"/>
          <w:szCs w:val="22"/>
        </w:rPr>
        <w:t xml:space="preserve">onscientious belief’ </w:t>
      </w:r>
      <w:r w:rsidR="00AD7A11" w:rsidRPr="00880275">
        <w:rPr>
          <w:rFonts w:eastAsia="Arial"/>
          <w:szCs w:val="22"/>
        </w:rPr>
        <w:t xml:space="preserve">was therefore not protected by section 15 of the Human Rights </w:t>
      </w:r>
      <w:r w:rsidR="0012679E" w:rsidRPr="00880275">
        <w:rPr>
          <w:rFonts w:eastAsia="Arial"/>
          <w:szCs w:val="22"/>
        </w:rPr>
        <w:t>Act</w:t>
      </w:r>
      <w:r w:rsidR="00AD7A11" w:rsidRPr="00880275">
        <w:rPr>
          <w:rFonts w:eastAsia="Arial"/>
          <w:szCs w:val="22"/>
        </w:rPr>
        <w:t>.</w:t>
      </w:r>
      <w:r w:rsidR="00EC7A78" w:rsidRPr="00880275">
        <w:rPr>
          <w:rStyle w:val="FootnoteReference"/>
          <w:rFonts w:eastAsia="Arial"/>
          <w:szCs w:val="22"/>
        </w:rPr>
        <w:footnoteReference w:id="59"/>
      </w:r>
      <w:r w:rsidR="00AD7A11" w:rsidRPr="00880275">
        <w:rPr>
          <w:rFonts w:eastAsia="Arial"/>
          <w:szCs w:val="22"/>
        </w:rPr>
        <w:t xml:space="preserve"> </w:t>
      </w:r>
    </w:p>
    <w:p w14:paraId="51643765" w14:textId="5204F233" w:rsidR="00AC0710" w:rsidRPr="00880275" w:rsidRDefault="002C1AC7" w:rsidP="00754FAE">
      <w:pPr>
        <w:pStyle w:val="Heading5"/>
      </w:pPr>
      <w:r w:rsidRPr="00880275">
        <w:t>Recommendation 3.2</w:t>
      </w:r>
    </w:p>
    <w:p w14:paraId="30D76B43" w14:textId="77777777" w:rsidR="00F5091A" w:rsidRPr="00880275" w:rsidRDefault="00F5091A" w:rsidP="00754FAE">
      <w:pPr>
        <w:pStyle w:val="Heading5"/>
      </w:pPr>
      <w:r w:rsidRPr="00880275">
        <w:t xml:space="preserve">The definition of ‘discrimination’ in the Human Rights Act should be amended to clarify that it includes discrimination </w:t>
      </w:r>
      <w:proofErr w:type="gramStart"/>
      <w:r w:rsidRPr="00880275">
        <w:t>on the basis of</w:t>
      </w:r>
      <w:proofErr w:type="gramEnd"/>
      <w:r w:rsidRPr="00880275">
        <w:t xml:space="preserve"> attributes listed under section 7 of the </w:t>
      </w:r>
      <w:r w:rsidRPr="00880275">
        <w:rPr>
          <w:i/>
        </w:rPr>
        <w:t>Anti-Discrimination Act 1991</w:t>
      </w:r>
      <w:r w:rsidRPr="00880275">
        <w:t xml:space="preserve"> (Qld) and analogous grounds of discrimination. </w:t>
      </w:r>
    </w:p>
    <w:p w14:paraId="77CA2B1E" w14:textId="45322C39" w:rsidR="00EE5E0E" w:rsidRPr="00880275" w:rsidRDefault="00CD7F0A" w:rsidP="00EE5C93">
      <w:pPr>
        <w:pStyle w:val="Heading3"/>
      </w:pPr>
      <w:bookmarkStart w:id="43" w:name="_Toc171346779"/>
      <w:r w:rsidRPr="00880275">
        <w:t>S</w:t>
      </w:r>
      <w:r w:rsidR="00EE5E0E" w:rsidRPr="00880275">
        <w:t>ecurity of the person</w:t>
      </w:r>
      <w:bookmarkEnd w:id="43"/>
    </w:p>
    <w:p w14:paraId="44852A1F" w14:textId="77777777" w:rsidR="005E2576" w:rsidRPr="00880275" w:rsidRDefault="00C92B0E" w:rsidP="00754FAE">
      <w:pPr>
        <w:pStyle w:val="Numberedparagraph"/>
      </w:pPr>
      <w:r w:rsidRPr="00880275">
        <w:t>Section 29</w:t>
      </w:r>
      <w:r w:rsidR="00CE26D7" w:rsidRPr="00880275">
        <w:t>(1)</w:t>
      </w:r>
      <w:r w:rsidRPr="00880275">
        <w:t xml:space="preserve"> of the Human Rights Act </w:t>
      </w:r>
      <w:r w:rsidR="00CE26D7" w:rsidRPr="00880275">
        <w:t>provides that ‘Every person has the right to liberty and security’.</w:t>
      </w:r>
      <w:r w:rsidR="005E2576" w:rsidRPr="00880275">
        <w:t xml:space="preserve"> </w:t>
      </w:r>
    </w:p>
    <w:p w14:paraId="49E6FE61" w14:textId="3DC4DDFE" w:rsidR="00CE26D7" w:rsidRPr="00880275" w:rsidRDefault="000851D9" w:rsidP="00754FAE">
      <w:pPr>
        <w:pStyle w:val="Numberedparagraph"/>
      </w:pPr>
      <w:r w:rsidRPr="00880275">
        <w:t xml:space="preserve">The scope of the right to </w:t>
      </w:r>
      <w:r w:rsidR="0062282F" w:rsidRPr="00880275">
        <w:t>‘security’</w:t>
      </w:r>
      <w:r w:rsidR="00D01011" w:rsidRPr="00880275">
        <w:t xml:space="preserve">, separate to the right to liberty, remains unclear in </w:t>
      </w:r>
      <w:r w:rsidR="00F87AA3" w:rsidRPr="00880275">
        <w:t>Australia</w:t>
      </w:r>
      <w:r w:rsidR="00B86EBF" w:rsidRPr="00880275">
        <w:t xml:space="preserve">. </w:t>
      </w:r>
    </w:p>
    <w:p w14:paraId="011253B5" w14:textId="50EAF643" w:rsidR="008D4E5B" w:rsidRPr="00880275" w:rsidRDefault="008265EA" w:rsidP="00754FAE">
      <w:pPr>
        <w:pStyle w:val="Numberedparagraph"/>
      </w:pPr>
      <w:r w:rsidRPr="00880275">
        <w:t xml:space="preserve">The right was considered recently in Queensland in </w:t>
      </w:r>
      <w:r w:rsidRPr="00880275">
        <w:rPr>
          <w:i/>
          <w:iCs/>
        </w:rPr>
        <w:t xml:space="preserve">Johnston v Commissioner of Police </w:t>
      </w:r>
      <w:r w:rsidRPr="00880275">
        <w:t>[2024] QSC 2</w:t>
      </w:r>
      <w:r w:rsidR="000B5BFB" w:rsidRPr="00880275">
        <w:t xml:space="preserve">. </w:t>
      </w:r>
      <w:r w:rsidR="001333CC" w:rsidRPr="00880275">
        <w:t xml:space="preserve">Johnston </w:t>
      </w:r>
      <w:r w:rsidR="00241DDF" w:rsidRPr="00880275">
        <w:t xml:space="preserve">submitted that directions requiring mandatory vaccination deprived the applicants </w:t>
      </w:r>
      <w:r w:rsidR="009772F2" w:rsidRPr="00880275">
        <w:t xml:space="preserve">of the right to be free from injury, engaging their rights to security. The Court </w:t>
      </w:r>
      <w:r w:rsidR="003B314D" w:rsidRPr="00880275">
        <w:t xml:space="preserve">found the right was </w:t>
      </w:r>
      <w:r w:rsidR="00B00C6F" w:rsidRPr="00880275">
        <w:t xml:space="preserve">not </w:t>
      </w:r>
      <w:r w:rsidR="003B314D" w:rsidRPr="00880275">
        <w:t xml:space="preserve">engaged, </w:t>
      </w:r>
      <w:r w:rsidR="00C40703" w:rsidRPr="00880275">
        <w:t xml:space="preserve">approaching </w:t>
      </w:r>
      <w:r w:rsidR="00982D8E" w:rsidRPr="00880275">
        <w:t xml:space="preserve">it as a </w:t>
      </w:r>
      <w:r w:rsidR="00424D5D" w:rsidRPr="00880275">
        <w:t xml:space="preserve">single right </w:t>
      </w:r>
      <w:r w:rsidR="00245F5D" w:rsidRPr="00880275">
        <w:t xml:space="preserve">to </w:t>
      </w:r>
      <w:r w:rsidR="00771492" w:rsidRPr="00880275">
        <w:t>‘liberty and security’</w:t>
      </w:r>
      <w:r w:rsidR="006B444A" w:rsidRPr="00880275">
        <w:t xml:space="preserve"> </w:t>
      </w:r>
      <w:r w:rsidR="00424D5D" w:rsidRPr="00880275">
        <w:t xml:space="preserve">as </w:t>
      </w:r>
      <w:r w:rsidR="00411808" w:rsidRPr="00880275">
        <w:t xml:space="preserve">Justice Bell did in </w:t>
      </w:r>
      <w:r w:rsidR="00411808" w:rsidRPr="00880275">
        <w:rPr>
          <w:i/>
          <w:iCs/>
        </w:rPr>
        <w:t>Re Kracke</w:t>
      </w:r>
      <w:r w:rsidR="00411808" w:rsidRPr="00880275">
        <w:t xml:space="preserve"> (2009</w:t>
      </w:r>
      <w:r w:rsidR="006E775B" w:rsidRPr="00880275">
        <w:t>)</w:t>
      </w:r>
      <w:r w:rsidR="00411808" w:rsidRPr="00880275">
        <w:t xml:space="preserve"> 29 VAR 1: </w:t>
      </w:r>
    </w:p>
    <w:p w14:paraId="7AAA647E" w14:textId="77777777" w:rsidR="008D2866" w:rsidRPr="00880275" w:rsidRDefault="008D2866" w:rsidP="00754FAE">
      <w:pPr>
        <w:pStyle w:val="Numberedparagraph"/>
        <w:numPr>
          <w:ilvl w:val="0"/>
          <w:numId w:val="0"/>
        </w:numPr>
        <w:ind w:left="924"/>
      </w:pPr>
      <w:r w:rsidRPr="00880275">
        <w:t>[664] The purpose of the right to liberty and security is to protect people from unlawful and arbitrary interference with their physical liberty, that is, deprivation of liberty in the classic sense. It is directed at all deprivations of liberty, but not mere restrictions on freedom of movement. It encompasses deprivations in criminal cases but also in cases of vagrancy, drug addiction, entry control, mental illness etc. The difference between a deprivation of liberty and a restriction on freedom movement is one of degree or intensity, not one of nature and substance.</w:t>
      </w:r>
    </w:p>
    <w:p w14:paraId="75DE269D" w14:textId="35093FCE" w:rsidR="008D2866" w:rsidRPr="00880275" w:rsidRDefault="008D2866" w:rsidP="00754FAE">
      <w:pPr>
        <w:pStyle w:val="Numberedparagraph"/>
        <w:numPr>
          <w:ilvl w:val="0"/>
          <w:numId w:val="0"/>
        </w:numPr>
        <w:ind w:left="924"/>
      </w:pPr>
      <w:r w:rsidRPr="00880275">
        <w:lastRenderedPageBreak/>
        <w:t>[665] The fundamental value which the right to liberty and security expresses is freedom, which is a prerequisite for individual and social actuation and for equal and effective participation in democracy</w:t>
      </w:r>
      <w:r w:rsidR="00657924" w:rsidRPr="00880275">
        <w:t>.</w:t>
      </w:r>
    </w:p>
    <w:p w14:paraId="6DC5488C" w14:textId="252F7565" w:rsidR="00657924" w:rsidRPr="00880275" w:rsidRDefault="006E775B" w:rsidP="00754FAE">
      <w:pPr>
        <w:pStyle w:val="Numberedparagraph"/>
      </w:pPr>
      <w:r w:rsidRPr="00880275">
        <w:t xml:space="preserve">Internationally, </w:t>
      </w:r>
      <w:r w:rsidR="002F73B8" w:rsidRPr="00880275">
        <w:t>the right to security is recognised separately to liberty</w:t>
      </w:r>
      <w:r w:rsidR="00C23F90" w:rsidRPr="00880275">
        <w:t xml:space="preserve"> and regardless of whether</w:t>
      </w:r>
      <w:r w:rsidR="00241168" w:rsidRPr="00880275">
        <w:t xml:space="preserve"> the person has been deprived of their</w:t>
      </w:r>
      <w:r w:rsidR="00C23F90" w:rsidRPr="00880275">
        <w:t xml:space="preserve"> liberty</w:t>
      </w:r>
      <w:r w:rsidR="00241168" w:rsidRPr="00880275">
        <w:t xml:space="preserve">. </w:t>
      </w:r>
      <w:r w:rsidR="00A06055" w:rsidRPr="00880275">
        <w:t xml:space="preserve"> The General Comment to Article 9 of the </w:t>
      </w:r>
      <w:r w:rsidR="00306AE3" w:rsidRPr="00880275">
        <w:rPr>
          <w:i/>
        </w:rPr>
        <w:t xml:space="preserve">International Covenant </w:t>
      </w:r>
      <w:r w:rsidR="006B04C0" w:rsidRPr="00880275">
        <w:rPr>
          <w:i/>
        </w:rPr>
        <w:t xml:space="preserve">on </w:t>
      </w:r>
      <w:r w:rsidR="00306AE3" w:rsidRPr="00880275">
        <w:rPr>
          <w:i/>
        </w:rPr>
        <w:t xml:space="preserve">Civil and </w:t>
      </w:r>
      <w:r w:rsidR="00D3395D" w:rsidRPr="00880275">
        <w:rPr>
          <w:i/>
        </w:rPr>
        <w:t xml:space="preserve">Political </w:t>
      </w:r>
      <w:r w:rsidR="00306AE3" w:rsidRPr="00880275">
        <w:rPr>
          <w:i/>
        </w:rPr>
        <w:t>Rights</w:t>
      </w:r>
      <w:r w:rsidR="00A06055" w:rsidRPr="00880275">
        <w:t xml:space="preserve">, upon which section 29 of the Human </w:t>
      </w:r>
      <w:r w:rsidR="001C6096" w:rsidRPr="00880275">
        <w:t>R</w:t>
      </w:r>
      <w:r w:rsidR="00A06055" w:rsidRPr="00880275">
        <w:t xml:space="preserve">ights Act is based, </w:t>
      </w:r>
      <w:r w:rsidR="00A370CA" w:rsidRPr="00880275">
        <w:t xml:space="preserve">states that the right to security protects individuals against ‘intentional infliction of bodily or mental injury’ </w:t>
      </w:r>
      <w:r w:rsidR="00576D69" w:rsidRPr="00880275">
        <w:t xml:space="preserve">and obliges State parties to </w:t>
      </w:r>
      <w:r w:rsidR="00F11CB3" w:rsidRPr="00880275">
        <w:t>protect individuals from foreseeable threats to life or bodily integrity</w:t>
      </w:r>
      <w:r w:rsidR="0049693E" w:rsidRPr="00880275">
        <w:t xml:space="preserve">. </w:t>
      </w:r>
      <w:r w:rsidR="008B6362" w:rsidRPr="00880275">
        <w:t>This includes</w:t>
      </w:r>
      <w:r w:rsidR="00F3092F" w:rsidRPr="00880275">
        <w:t xml:space="preserve"> for example</w:t>
      </w:r>
      <w:r w:rsidR="001C6096" w:rsidRPr="00880275">
        <w:t xml:space="preserve"> responding appropriately to:</w:t>
      </w:r>
    </w:p>
    <w:p w14:paraId="40668AE5" w14:textId="73CA27A0" w:rsidR="008B6362" w:rsidRPr="00880275" w:rsidRDefault="00287153" w:rsidP="00754FAE">
      <w:pPr>
        <w:pStyle w:val="Numberedparagraph"/>
        <w:numPr>
          <w:ilvl w:val="0"/>
          <w:numId w:val="0"/>
        </w:numPr>
        <w:ind w:left="907"/>
      </w:pPr>
      <w:r w:rsidRPr="00880275">
        <w:t xml:space="preserve">patterns of violence against categories of victims such as intimidation of human rights defenders and journalists, retaliation against witnesses, violence against women, including domestic violence, the hazing of conscripts in the armed forces, violence against children, violence against persons </w:t>
      </w:r>
      <w:proofErr w:type="gramStart"/>
      <w:r w:rsidRPr="00880275">
        <w:t>on the basis of</w:t>
      </w:r>
      <w:proofErr w:type="gramEnd"/>
      <w:r w:rsidRPr="00880275">
        <w:t xml:space="preserve"> their sexual orientation or gender identity, and violence against persons with disabilities.</w:t>
      </w:r>
      <w:r w:rsidR="00C46119" w:rsidRPr="00880275">
        <w:rPr>
          <w:rStyle w:val="FootnoteReference"/>
          <w:sz w:val="20"/>
          <w:szCs w:val="20"/>
        </w:rPr>
        <w:footnoteReference w:id="60"/>
      </w:r>
    </w:p>
    <w:p w14:paraId="2130D9EE" w14:textId="6E8F3C72" w:rsidR="005D4D77" w:rsidRPr="00880275" w:rsidRDefault="005D4D77" w:rsidP="00754FAE">
      <w:pPr>
        <w:pStyle w:val="Numberedparagraph"/>
      </w:pPr>
      <w:r w:rsidRPr="00880275">
        <w:t xml:space="preserve">While </w:t>
      </w:r>
      <w:r w:rsidR="00B55385" w:rsidRPr="00880275">
        <w:t xml:space="preserve">the right to security </w:t>
      </w:r>
      <w:r w:rsidRPr="00880275">
        <w:t xml:space="preserve">may overlap with existing protections </w:t>
      </w:r>
      <w:r w:rsidR="00B55385" w:rsidRPr="00880275">
        <w:t>under the Human Rights Act, such as the right to life and the right to privacy,</w:t>
      </w:r>
      <w:r w:rsidR="002D1F69" w:rsidRPr="00880275">
        <w:t xml:space="preserve"> there is value in its separate and distinct protection</w:t>
      </w:r>
      <w:r w:rsidR="009C6295" w:rsidRPr="00880275">
        <w:t>,</w:t>
      </w:r>
      <w:r w:rsidR="001C4FCA" w:rsidRPr="00880275">
        <w:t xml:space="preserve"> including that it imposes </w:t>
      </w:r>
      <w:r w:rsidR="009C6295" w:rsidRPr="00880275">
        <w:t xml:space="preserve">positive obligations on government and </w:t>
      </w:r>
      <w:r w:rsidR="00670B48" w:rsidRPr="00880275">
        <w:t>does not require</w:t>
      </w:r>
      <w:r w:rsidR="00C97390" w:rsidRPr="00880275">
        <w:t xml:space="preserve"> demonstration of ‘arbitrariness’ as required by some other rights</w:t>
      </w:r>
      <w:r w:rsidR="00670B48" w:rsidRPr="00880275">
        <w:t>.</w:t>
      </w:r>
      <w:r w:rsidR="00246CB1" w:rsidRPr="00880275">
        <w:t xml:space="preserve"> </w:t>
      </w:r>
      <w:r w:rsidR="00B47FD5" w:rsidRPr="00880275">
        <w:t xml:space="preserve">Separate recognition of the right to security </w:t>
      </w:r>
      <w:r w:rsidR="00246CB1" w:rsidRPr="00880275">
        <w:t xml:space="preserve">is </w:t>
      </w:r>
      <w:r w:rsidR="00B47FD5" w:rsidRPr="00880275">
        <w:t xml:space="preserve">also </w:t>
      </w:r>
      <w:r w:rsidR="00246CB1" w:rsidRPr="00880275">
        <w:t xml:space="preserve">relevant to strengthening victims’ rights which is </w:t>
      </w:r>
      <w:r w:rsidR="00B47FD5" w:rsidRPr="00880275">
        <w:t xml:space="preserve">discussed </w:t>
      </w:r>
      <w:r w:rsidR="00246CB1" w:rsidRPr="00880275">
        <w:t>below.</w:t>
      </w:r>
    </w:p>
    <w:p w14:paraId="409B9B41" w14:textId="501D787E" w:rsidR="006D387B" w:rsidRPr="00880275" w:rsidRDefault="006D387B" w:rsidP="00754FAE">
      <w:pPr>
        <w:pStyle w:val="Heading5"/>
      </w:pPr>
      <w:r w:rsidRPr="00880275">
        <w:t>Recommendation 3.3</w:t>
      </w:r>
    </w:p>
    <w:p w14:paraId="35423E98" w14:textId="77777777" w:rsidR="00C45A8B" w:rsidRPr="00880275" w:rsidRDefault="00C45A8B" w:rsidP="00754FAE">
      <w:pPr>
        <w:pStyle w:val="Heading5"/>
      </w:pPr>
      <w:r w:rsidRPr="00880275">
        <w:t xml:space="preserve">The Human Rights Act should be amended to clarify that the right to security is distinct from the right to liberty. This could be achieved through an interpretive note, or alternatively, each right could be given its own section. </w:t>
      </w:r>
    </w:p>
    <w:p w14:paraId="58A916B9" w14:textId="4DE3BFCF" w:rsidR="0014722C" w:rsidRPr="00880275" w:rsidRDefault="0014722C" w:rsidP="00233BB7">
      <w:pPr>
        <w:pStyle w:val="Heading3"/>
        <w:rPr>
          <w:rFonts w:eastAsia="Arial" w:cs="Arial"/>
        </w:rPr>
      </w:pPr>
      <w:bookmarkStart w:id="44" w:name="_Toc171346780"/>
      <w:r w:rsidRPr="00880275">
        <w:t>Full free and informed consent to medical treatment</w:t>
      </w:r>
      <w:bookmarkEnd w:id="40"/>
      <w:bookmarkEnd w:id="44"/>
    </w:p>
    <w:p w14:paraId="69D9AA4B" w14:textId="77777777" w:rsidR="0014722C" w:rsidRPr="00880275" w:rsidRDefault="0014722C" w:rsidP="00754FAE">
      <w:pPr>
        <w:pStyle w:val="Numberedparagraph"/>
      </w:pPr>
      <w:r w:rsidRPr="00880275">
        <w:t xml:space="preserve">Section 17(c) of the Human Rights Act recognises a person’s right not to be subjected to medical or scientific experimentation or treatment without a person’s full, free and informed consent. It is listed within the right to protection from torture and cruel, inhuman or degrading treatment. </w:t>
      </w:r>
    </w:p>
    <w:p w14:paraId="3062B073" w14:textId="4A93DAB8" w:rsidR="0014722C" w:rsidRPr="00880275" w:rsidRDefault="0014722C" w:rsidP="00754FAE">
      <w:pPr>
        <w:pStyle w:val="Numberedparagraph"/>
      </w:pPr>
      <w:r w:rsidRPr="00880275">
        <w:t xml:space="preserve">Section 17 is drawn from Article 7 of the </w:t>
      </w:r>
      <w:r w:rsidRPr="00880275">
        <w:rPr>
          <w:i/>
        </w:rPr>
        <w:t>International Covenant o</w:t>
      </w:r>
      <w:r w:rsidR="00710C3A" w:rsidRPr="00880275">
        <w:rPr>
          <w:i/>
        </w:rPr>
        <w:t>n</w:t>
      </w:r>
      <w:r w:rsidRPr="00880275">
        <w:rPr>
          <w:i/>
        </w:rPr>
        <w:t xml:space="preserve"> Civil and Political Rights</w:t>
      </w:r>
      <w:r w:rsidRPr="00880275">
        <w:t xml:space="preserve">, which specifically prohibits medical or scientific </w:t>
      </w:r>
      <w:r w:rsidRPr="00880275">
        <w:rPr>
          <w:i/>
        </w:rPr>
        <w:t>experimentation</w:t>
      </w:r>
      <w:r w:rsidRPr="00880275">
        <w:t xml:space="preserve"> without free </w:t>
      </w:r>
      <w:proofErr w:type="gramStart"/>
      <w:r w:rsidRPr="00880275">
        <w:t>consent, but</w:t>
      </w:r>
      <w:proofErr w:type="gramEnd"/>
      <w:r w:rsidRPr="00880275">
        <w:t xml:space="preserve"> does not refer to </w:t>
      </w:r>
      <w:r w:rsidRPr="00880275">
        <w:rPr>
          <w:i/>
        </w:rPr>
        <w:t>treatment</w:t>
      </w:r>
      <w:r w:rsidRPr="00880275">
        <w:t>. Article 7 is an absolute right and cannot be limited.</w:t>
      </w:r>
      <w:r w:rsidR="00F66CB2" w:rsidRPr="00880275">
        <w:t xml:space="preserve"> </w:t>
      </w:r>
    </w:p>
    <w:p w14:paraId="6DBEAD6D" w14:textId="137C8AD7" w:rsidR="003A26DA" w:rsidRPr="00880275" w:rsidRDefault="004E4D12" w:rsidP="00754FAE">
      <w:pPr>
        <w:pStyle w:val="Numberedparagraph"/>
      </w:pPr>
      <w:r w:rsidRPr="00880275">
        <w:lastRenderedPageBreak/>
        <w:t>People are more likely to associate a</w:t>
      </w:r>
      <w:r w:rsidR="0014722C" w:rsidRPr="00880275">
        <w:t xml:space="preserve"> prohibition against scientific or medical </w:t>
      </w:r>
      <w:r w:rsidR="0014722C" w:rsidRPr="00880275">
        <w:rPr>
          <w:i/>
        </w:rPr>
        <w:t>treatment</w:t>
      </w:r>
      <w:r w:rsidR="0014722C" w:rsidRPr="00880275">
        <w:t xml:space="preserve"> without full, free and informed consent </w:t>
      </w:r>
      <w:r w:rsidRPr="00880275">
        <w:t xml:space="preserve">with </w:t>
      </w:r>
      <w:r w:rsidR="0014722C" w:rsidRPr="00880275">
        <w:t>the right to privacy</w:t>
      </w:r>
      <w:r w:rsidR="0014722C" w:rsidRPr="00880275">
        <w:rPr>
          <w:rStyle w:val="FootnoteReference"/>
          <w:rFonts w:eastAsia="Arial"/>
        </w:rPr>
        <w:footnoteReference w:id="61"/>
      </w:r>
      <w:r w:rsidR="0014722C" w:rsidRPr="00880275">
        <w:t xml:space="preserve"> (which deals with mental and bodily integrity and decisional autonomy), or the right to health services.</w:t>
      </w:r>
      <w:r w:rsidR="0014722C" w:rsidRPr="00880275">
        <w:rPr>
          <w:rStyle w:val="FootnoteReference"/>
          <w:rFonts w:eastAsia="Arial"/>
        </w:rPr>
        <w:footnoteReference w:id="62"/>
      </w:r>
      <w:r w:rsidR="0014722C" w:rsidRPr="00880275">
        <w:t xml:space="preserve"> Moving the right to either of these two sections would assist readability and interpretation of the right.</w:t>
      </w:r>
    </w:p>
    <w:p w14:paraId="558738F6" w14:textId="491816A1" w:rsidR="00CF086E" w:rsidRPr="00880275" w:rsidRDefault="00CF086E" w:rsidP="00754FAE">
      <w:pPr>
        <w:pStyle w:val="Heading5"/>
      </w:pPr>
      <w:r w:rsidRPr="00880275">
        <w:t>Recommendation 3.4</w:t>
      </w:r>
    </w:p>
    <w:p w14:paraId="21DF35A1" w14:textId="7E8454D3" w:rsidR="00BB2206" w:rsidRPr="00880275" w:rsidRDefault="00BB2206" w:rsidP="00754FAE">
      <w:pPr>
        <w:pStyle w:val="Heading5"/>
      </w:pPr>
      <w:r w:rsidRPr="00880275">
        <w:t xml:space="preserve">The Human Rights Act should be amended so that the right not to be subjected to medical or scientific treatment without a person’s full, free and informed consent is set out alongside the right to privacy or the right to health services (and not within section 17 on the right to protection from torture </w:t>
      </w:r>
      <w:r w:rsidR="004D26F4" w:rsidRPr="00880275">
        <w:t>and</w:t>
      </w:r>
      <w:r w:rsidRPr="00880275">
        <w:t xml:space="preserve"> cruel, inhuman or degrading treatment). </w:t>
      </w:r>
    </w:p>
    <w:p w14:paraId="647CE15A" w14:textId="0A600CFE" w:rsidR="00A50AF9" w:rsidRPr="00880275" w:rsidRDefault="191F8C45" w:rsidP="00A50AF9">
      <w:pPr>
        <w:pStyle w:val="Heading2"/>
      </w:pPr>
      <w:bookmarkStart w:id="45" w:name="_Toc171346781"/>
      <w:r w:rsidRPr="00880275">
        <w:t xml:space="preserve">(b) </w:t>
      </w:r>
      <w:r w:rsidR="00A50AF9" w:rsidRPr="00880275">
        <w:t>Scrutiny of legislation and regulation by Parliament</w:t>
      </w:r>
      <w:bookmarkEnd w:id="45"/>
    </w:p>
    <w:p w14:paraId="04295480" w14:textId="30587723" w:rsidR="00AB014B" w:rsidRPr="00880275" w:rsidRDefault="00AB014B" w:rsidP="00754FAE">
      <w:pPr>
        <w:pStyle w:val="Numberedparagraph"/>
        <w:rPr>
          <w:color w:val="auto"/>
        </w:rPr>
      </w:pPr>
      <w:r w:rsidRPr="00880275">
        <w:t xml:space="preserve">Under the </w:t>
      </w:r>
      <w:r w:rsidR="00881F90" w:rsidRPr="00880275">
        <w:t>Human Rights Act</w:t>
      </w:r>
      <w:r w:rsidRPr="00880275">
        <w:t xml:space="preserve">, parliament must consider </w:t>
      </w:r>
      <w:r w:rsidR="005954EB" w:rsidRPr="00880275">
        <w:t>the compatibility of</w:t>
      </w:r>
      <w:r w:rsidRPr="00880275">
        <w:t xml:space="preserve"> proposed legislation </w:t>
      </w:r>
      <w:r w:rsidR="00197F09" w:rsidRPr="00880275">
        <w:t>with human rights</w:t>
      </w:r>
      <w:r w:rsidRPr="00880275">
        <w:t xml:space="preserve">. This occurs through the </w:t>
      </w:r>
      <w:r w:rsidR="00197F09" w:rsidRPr="00880275">
        <w:t xml:space="preserve">preparation and </w:t>
      </w:r>
      <w:r w:rsidRPr="00880275">
        <w:t xml:space="preserve">tabling of statements of compatibility </w:t>
      </w:r>
      <w:r w:rsidR="00CC4523" w:rsidRPr="00880275">
        <w:t xml:space="preserve">(for </w:t>
      </w:r>
      <w:r w:rsidR="00BB7CFD" w:rsidRPr="00880275">
        <w:t>B</w:t>
      </w:r>
      <w:r w:rsidR="00CC4523" w:rsidRPr="00880275">
        <w:t xml:space="preserve">ills) </w:t>
      </w:r>
      <w:r w:rsidRPr="00880275">
        <w:t>and human rights certificates</w:t>
      </w:r>
      <w:r w:rsidR="00CC4523" w:rsidRPr="00880275">
        <w:t xml:space="preserve"> (for subordinate legislation)</w:t>
      </w:r>
      <w:r w:rsidRPr="00880275">
        <w:t xml:space="preserve">, </w:t>
      </w:r>
      <w:r w:rsidR="00BB7F62" w:rsidRPr="00880275">
        <w:t xml:space="preserve">parliamentary </w:t>
      </w:r>
      <w:r w:rsidRPr="00880275">
        <w:t xml:space="preserve">committee </w:t>
      </w:r>
      <w:r w:rsidR="00BB7F62" w:rsidRPr="00880275">
        <w:t>scrutiny</w:t>
      </w:r>
      <w:r w:rsidRPr="00880275">
        <w:t xml:space="preserve">, and parliamentary debate. </w:t>
      </w:r>
      <w:r w:rsidRPr="00880275">
        <w:rPr>
          <w:rFonts w:eastAsia="Arial"/>
        </w:rPr>
        <w:t>Once a law is passed, any future</w:t>
      </w:r>
      <w:r w:rsidR="00B95355" w:rsidRPr="00880275">
        <w:rPr>
          <w:rFonts w:eastAsia="Arial"/>
        </w:rPr>
        <w:t xml:space="preserve"> assessment of compatibility with human rights </w:t>
      </w:r>
      <w:r w:rsidRPr="00880275">
        <w:rPr>
          <w:rFonts w:eastAsia="Arial"/>
        </w:rPr>
        <w:t>will generally only arise if raised in litigation.</w:t>
      </w:r>
    </w:p>
    <w:p w14:paraId="33F09A6E" w14:textId="3B579D23" w:rsidR="00CA6D02" w:rsidRPr="00880275" w:rsidRDefault="00CA6D02" w:rsidP="00C16A78">
      <w:pPr>
        <w:pStyle w:val="Heading3"/>
        <w:rPr>
          <w:rFonts w:eastAsiaTheme="minorEastAsia"/>
          <w:color w:val="auto"/>
          <w:lang w:val="en-US"/>
        </w:rPr>
      </w:pPr>
      <w:bookmarkStart w:id="46" w:name="_Toc171346782"/>
      <w:r w:rsidRPr="00880275">
        <w:rPr>
          <w:lang w:val="en-US"/>
        </w:rPr>
        <w:t xml:space="preserve">Measuring </w:t>
      </w:r>
      <w:r w:rsidR="00C16A78" w:rsidRPr="00880275">
        <w:rPr>
          <w:lang w:val="en-US"/>
        </w:rPr>
        <w:t>the development of a human rights culture within Parliament</w:t>
      </w:r>
      <w:bookmarkEnd w:id="46"/>
    </w:p>
    <w:p w14:paraId="297C3070" w14:textId="25ECBCBA" w:rsidR="00CA6D02" w:rsidRPr="00880275" w:rsidRDefault="00CA6D02" w:rsidP="00754FAE">
      <w:pPr>
        <w:pStyle w:val="Numberedparagraph"/>
      </w:pPr>
      <w:r w:rsidRPr="00880275">
        <w:t xml:space="preserve">Drawing on the work of academics and the ACT and Victorian Human Rights Commissions, the Commission </w:t>
      </w:r>
      <w:r w:rsidR="00B96008" w:rsidRPr="00880275">
        <w:t xml:space="preserve">in its second annual report </w:t>
      </w:r>
      <w:r w:rsidRPr="00880275">
        <w:t>developed a set of</w:t>
      </w:r>
      <w:r w:rsidR="006120E5" w:rsidRPr="00880275">
        <w:t xml:space="preserve"> 9</w:t>
      </w:r>
      <w:r w:rsidRPr="00880275">
        <w:t xml:space="preserve"> indicators to gauge the development of a human rights culture within the parliament</w:t>
      </w:r>
      <w:r w:rsidR="009B4263" w:rsidRPr="00880275">
        <w:t>:</w:t>
      </w:r>
      <w:r w:rsidRPr="00880275">
        <w:rPr>
          <w:rStyle w:val="FootnoteReference"/>
          <w:rFonts w:eastAsia="Calibri"/>
        </w:rPr>
        <w:footnoteReference w:id="63"/>
      </w:r>
      <w:r w:rsidRPr="00880275">
        <w:t xml:space="preserve"> </w:t>
      </w:r>
    </w:p>
    <w:p w14:paraId="095A0D0E" w14:textId="5ED8CE0D" w:rsidR="00CB4D0D" w:rsidRPr="00880275" w:rsidRDefault="00CB4D0D" w:rsidP="00754FAE">
      <w:pPr>
        <w:pStyle w:val="Numberedparagraph"/>
        <w:numPr>
          <w:ilvl w:val="0"/>
          <w:numId w:val="0"/>
        </w:numPr>
      </w:pPr>
    </w:p>
    <w:p w14:paraId="5AB14B6F" w14:textId="77777777" w:rsidR="00346A96" w:rsidRPr="00880275" w:rsidRDefault="00346A96" w:rsidP="00754FAE">
      <w:pPr>
        <w:pStyle w:val="Numberedparagraph"/>
        <w:numPr>
          <w:ilvl w:val="0"/>
          <w:numId w:val="0"/>
        </w:numPr>
      </w:pPr>
    </w:p>
    <w:p w14:paraId="3CDB41D3" w14:textId="77777777" w:rsidR="00B97328" w:rsidRPr="00880275" w:rsidRDefault="00B97328" w:rsidP="00754FAE">
      <w:pPr>
        <w:pStyle w:val="Numberedparagraph"/>
        <w:numPr>
          <w:ilvl w:val="0"/>
          <w:numId w:val="0"/>
        </w:numPr>
      </w:pPr>
    </w:p>
    <w:p w14:paraId="1B94FC00" w14:textId="1B8E4AE0" w:rsidR="00ED63B6" w:rsidRPr="00880275" w:rsidRDefault="009A659C" w:rsidP="00754FAE">
      <w:pPr>
        <w:pStyle w:val="Numberedparagraph"/>
        <w:numPr>
          <w:ilvl w:val="0"/>
          <w:numId w:val="0"/>
        </w:numPr>
      </w:pPr>
      <w:r w:rsidRPr="00880275">
        <w:rPr>
          <w:noProof/>
          <w:lang w:eastAsia="en-AU"/>
        </w:rPr>
        <w:lastRenderedPageBreak/>
        <w:drawing>
          <wp:anchor distT="0" distB="0" distL="114300" distR="114300" simplePos="0" relativeHeight="251658240" behindDoc="0" locked="0" layoutInCell="1" allowOverlap="1" wp14:anchorId="17330C7E" wp14:editId="472C972F">
            <wp:simplePos x="0" y="0"/>
            <wp:positionH relativeFrom="margin">
              <wp:align>left</wp:align>
            </wp:positionH>
            <wp:positionV relativeFrom="paragraph">
              <wp:posOffset>3175</wp:posOffset>
            </wp:positionV>
            <wp:extent cx="3517265" cy="7640320"/>
            <wp:effectExtent l="0" t="0" r="6985" b="0"/>
            <wp:wrapTopAndBottom/>
            <wp:docPr id="1875766938" name="Picture 1875766938" descr="Figure 2: Indicators of parliamentary human rights culture diagram &#10;&#10;This diagram shows the parliamentary indicators mapped against the usual processes a Bill follows, in the following order: &#10;- Bill introduced to Parliament&#10;- Indicator 1: Override Declarations &#10;- Indicator 2: Referrals to Committee &#10;- Referred to Committee &#10;- Indicator 3: Incompatibility acknowledged by introducing member &#10;- Indicator 4: Committee examination of incompatibility &#10;- Indicator 5: Critique of Statements of Compatibility&#10;- Indicator 6: Additional information received by Committee &#10;- Committee reports back to Parliament &#10;- Indicator 7: Committee recommendations about human rights &#10;- Indicator 8: Introducing member responded to report by providing further information &#10;- Indicator 9: Bill amended as a result of report &#10;- Bill finali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766938" name="Picture 1875766938" descr="Figure 2: Indicators of parliamentary human rights culture diagram &#10;&#10;This diagram shows the parliamentary indicators mapped against the usual processes a Bill follows, in the following order: &#10;- Bill introduced to Parliament&#10;- Indicator 1: Override Declarations &#10;- Indicator 2: Referrals to Committee &#10;- Referred to Committee &#10;- Indicator 3: Incompatibility acknowledged by introducing member &#10;- Indicator 4: Committee examination of incompatibility &#10;- Indicator 5: Critique of Statements of Compatibility&#10;- Indicator 6: Additional information received by Committee &#10;- Committee reports back to Parliament &#10;- Indicator 7: Committee recommendations about human rights &#10;- Indicator 8: Introducing member responded to report by providing further information &#10;- Indicator 9: Bill amended as a result of report &#10;- Bill finalised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17265" cy="7640320"/>
                    </a:xfrm>
                    <a:prstGeom prst="rect">
                      <a:avLst/>
                    </a:prstGeom>
                  </pic:spPr>
                </pic:pic>
              </a:graphicData>
            </a:graphic>
            <wp14:sizeRelH relativeFrom="page">
              <wp14:pctWidth>0</wp14:pctWidth>
            </wp14:sizeRelH>
            <wp14:sizeRelV relativeFrom="page">
              <wp14:pctHeight>0</wp14:pctHeight>
            </wp14:sizeRelV>
          </wp:anchor>
        </w:drawing>
      </w:r>
    </w:p>
    <w:p w14:paraId="2206E009" w14:textId="7DE01811" w:rsidR="00287A15" w:rsidRPr="00880275" w:rsidRDefault="00287A15" w:rsidP="00754FAE">
      <w:pPr>
        <w:pStyle w:val="Numberedparagraph"/>
      </w:pPr>
      <w:r w:rsidRPr="00880275">
        <w:t xml:space="preserve">These indicators explore the extent to which legislation is assessed for human rights compatibility, the adequacy of statements of compatibility, and how this is handled through the parliamentary process. The indicators do not judge whether a Bill is compatible or not. Rather, they capture how concerns about human rights compatibility are raised through the scrutiny processes used in </w:t>
      </w:r>
      <w:r w:rsidRPr="00880275">
        <w:lastRenderedPageBreak/>
        <w:t>Queensland, and if such concerns are robustly debated in the parliament.</w:t>
      </w:r>
      <w:r w:rsidR="00C95F7B" w:rsidRPr="00880275">
        <w:t xml:space="preserve"> The indicators do not </w:t>
      </w:r>
      <w:r w:rsidR="003A2903" w:rsidRPr="00880275">
        <w:t xml:space="preserve">look </w:t>
      </w:r>
      <w:r w:rsidR="00C95F7B" w:rsidRPr="00880275">
        <w:t xml:space="preserve">at </w:t>
      </w:r>
      <w:r w:rsidR="00B249D6" w:rsidRPr="00880275">
        <w:t>p</w:t>
      </w:r>
      <w:r w:rsidR="00C95F7B" w:rsidRPr="00880275">
        <w:t xml:space="preserve">arliamentary debate </w:t>
      </w:r>
      <w:r w:rsidR="003A2903" w:rsidRPr="00880275">
        <w:t xml:space="preserve">as an indicator of human rights culture, </w:t>
      </w:r>
      <w:r w:rsidR="00C95F7B" w:rsidRPr="00880275">
        <w:t xml:space="preserve">or </w:t>
      </w:r>
      <w:r w:rsidR="003A2903" w:rsidRPr="00880275">
        <w:t xml:space="preserve">processes for the </w:t>
      </w:r>
      <w:r w:rsidR="007015C0" w:rsidRPr="00880275">
        <w:t>scrutiny of subordinate legislation.</w:t>
      </w:r>
    </w:p>
    <w:p w14:paraId="31AD8D47" w14:textId="622C8B75" w:rsidR="008B5302" w:rsidRPr="00880275" w:rsidRDefault="00B11338" w:rsidP="00754FAE">
      <w:pPr>
        <w:pStyle w:val="Numberedparagraph"/>
      </w:pPr>
      <w:r w:rsidRPr="00880275">
        <w:t xml:space="preserve">The Commission’s observations of </w:t>
      </w:r>
      <w:r w:rsidR="001F769B" w:rsidRPr="00880275">
        <w:t>Queensland’s Parliament against these indicators are set out in the second, third</w:t>
      </w:r>
      <w:r w:rsidR="00B249D6" w:rsidRPr="00880275">
        <w:t>,</w:t>
      </w:r>
      <w:r w:rsidR="001F769B" w:rsidRPr="00880275">
        <w:t xml:space="preserve"> and fourth annual reports on the operation of the Human Rights Act.</w:t>
      </w:r>
      <w:r w:rsidR="008B5302" w:rsidRPr="00880275">
        <w:t xml:space="preserve"> In the most recent annual report, the Commission notes more amendments being made to Bills to address human rights concerns raised through the scrutiny process, </w:t>
      </w:r>
      <w:r w:rsidR="000A305A" w:rsidRPr="00880275">
        <w:t xml:space="preserve">and </w:t>
      </w:r>
      <w:r w:rsidR="001764F0" w:rsidRPr="00880275">
        <w:t>parliamentary c</w:t>
      </w:r>
      <w:r w:rsidR="000A305A" w:rsidRPr="00880275">
        <w:t>ommittees making more recommendations to improve Bills and statements of compatibility based on human rights considerations. Unfortunately, these</w:t>
      </w:r>
      <w:r w:rsidR="717D17CF" w:rsidRPr="00880275">
        <w:t xml:space="preserve"> positive</w:t>
      </w:r>
      <w:r w:rsidR="000A305A" w:rsidRPr="00880275">
        <w:t xml:space="preserve"> developments </w:t>
      </w:r>
      <w:r w:rsidR="00E00CE9" w:rsidRPr="00880275">
        <w:t>have been</w:t>
      </w:r>
      <w:r w:rsidR="000A305A" w:rsidRPr="00880275">
        <w:t xml:space="preserve"> offset by </w:t>
      </w:r>
      <w:r w:rsidR="001764F0" w:rsidRPr="00880275">
        <w:t xml:space="preserve">the passing of </w:t>
      </w:r>
      <w:r w:rsidR="00D5325A" w:rsidRPr="00880275">
        <w:t xml:space="preserve">the first </w:t>
      </w:r>
      <w:r w:rsidR="001764F0" w:rsidRPr="00880275">
        <w:t>override declarations</w:t>
      </w:r>
      <w:r w:rsidR="00D5325A" w:rsidRPr="00880275">
        <w:t xml:space="preserve"> under the Human Rights Act</w:t>
      </w:r>
      <w:r w:rsidR="001764F0" w:rsidRPr="00880275">
        <w:t>.</w:t>
      </w:r>
      <w:r w:rsidR="00D5325A" w:rsidRPr="00880275">
        <w:rPr>
          <w:rStyle w:val="FootnoteReference"/>
        </w:rPr>
        <w:footnoteReference w:id="64"/>
      </w:r>
      <w:r w:rsidR="001764F0" w:rsidRPr="00880275">
        <w:t xml:space="preserve"> </w:t>
      </w:r>
    </w:p>
    <w:p w14:paraId="202DDEA0" w14:textId="0C9AE516" w:rsidR="00376873" w:rsidRPr="00880275" w:rsidRDefault="00B620B7" w:rsidP="00376873">
      <w:pPr>
        <w:pStyle w:val="Heading3"/>
        <w:rPr>
          <w:lang w:val="en-US" w:eastAsia="en-AU"/>
        </w:rPr>
      </w:pPr>
      <w:bookmarkStart w:id="47" w:name="_Toc171346783"/>
      <w:r w:rsidRPr="00880275">
        <w:rPr>
          <w:lang w:val="en-US" w:eastAsia="en-AU"/>
        </w:rPr>
        <w:t>Remove o</w:t>
      </w:r>
      <w:r w:rsidR="00376873" w:rsidRPr="00880275">
        <w:rPr>
          <w:lang w:val="en-US" w:eastAsia="en-AU"/>
        </w:rPr>
        <w:t>verride declarations</w:t>
      </w:r>
      <w:bookmarkEnd w:id="47"/>
    </w:p>
    <w:p w14:paraId="612D244F" w14:textId="5FC781E4" w:rsidR="00E406F8" w:rsidRPr="00880275" w:rsidRDefault="00E406F8" w:rsidP="00754FAE">
      <w:pPr>
        <w:pStyle w:val="Numberedparagraph"/>
      </w:pPr>
      <w:r w:rsidRPr="00880275">
        <w:t xml:space="preserve">Section 43 allows parliament to override the Human Rights Act by including a declaration with a Bill that the Act, or a provision of the Act, has effect despite being incompatible with one or more human rights. </w:t>
      </w:r>
    </w:p>
    <w:p w14:paraId="2AF33861" w14:textId="77777777" w:rsidR="0013320D" w:rsidRPr="00880275" w:rsidRDefault="00E406F8" w:rsidP="00754FAE">
      <w:pPr>
        <w:pStyle w:val="Numberedparagraph"/>
      </w:pPr>
      <w:r w:rsidRPr="00880275">
        <w:t>The override provision undermines the effectiveness of the Act because:</w:t>
      </w:r>
    </w:p>
    <w:p w14:paraId="7AF9DCB4" w14:textId="77777777" w:rsidR="0013320D" w:rsidRPr="00880275" w:rsidRDefault="00E406F8" w:rsidP="003823EA">
      <w:pPr>
        <w:pStyle w:val="Bulletedlist"/>
      </w:pPr>
      <w:r w:rsidRPr="00880275">
        <w:t xml:space="preserve">It establishes a clear pathway for the government to remove human rights protections </w:t>
      </w:r>
      <w:proofErr w:type="gramStart"/>
      <w:r w:rsidRPr="00880275">
        <w:t>as a result of</w:t>
      </w:r>
      <w:proofErr w:type="gramEnd"/>
      <w:r w:rsidRPr="00880275">
        <w:t xml:space="preserve"> a public controversy – precisely when they are most needed.</w:t>
      </w:r>
    </w:p>
    <w:p w14:paraId="34868631" w14:textId="1B43B314" w:rsidR="0013320D" w:rsidRPr="00880275" w:rsidRDefault="00E406F8" w:rsidP="003823EA">
      <w:pPr>
        <w:pStyle w:val="Bulletedlist"/>
      </w:pPr>
      <w:r w:rsidRPr="00880275">
        <w:t>Override declarations can be, and have been</w:t>
      </w:r>
      <w:r w:rsidR="00D1347D" w:rsidRPr="00880275">
        <w:t>,</w:t>
      </w:r>
      <w:r w:rsidRPr="00880275">
        <w:t xml:space="preserve"> made that don’t comply with the original intention that they be used only in exceptional circumstances (examples given in the Act include war, a state of emergency, an exceptional </w:t>
      </w:r>
      <w:proofErr w:type="gramStart"/>
      <w:r w:rsidRPr="00880275">
        <w:t>crisis situation</w:t>
      </w:r>
      <w:proofErr w:type="gramEnd"/>
      <w:r w:rsidRPr="00880275">
        <w:t xml:space="preserve"> constituting a threat to public safety, health, or order).</w:t>
      </w:r>
      <w:r w:rsidR="000F47D9" w:rsidRPr="00880275">
        <w:rPr>
          <w:rStyle w:val="FootnoteReference"/>
          <w:rFonts w:eastAsia="Times New Roman"/>
        </w:rPr>
        <w:footnoteReference w:id="65"/>
      </w:r>
    </w:p>
    <w:p w14:paraId="30FB3AA6" w14:textId="29AB87D4" w:rsidR="00E406F8" w:rsidRPr="00880275" w:rsidRDefault="00E406F8" w:rsidP="003823EA">
      <w:pPr>
        <w:pStyle w:val="Bulletedlist"/>
      </w:pPr>
      <w:r w:rsidRPr="00880275">
        <w:t>Override declarations disrupt the dialogue with the courts by ‘preventing courts from commenting on the scope of protected rights, the justifiability of any limitation on rights, the interpretation of the law compatibly with the rights in the [Act] and the need for a declaration on inconsistent interpretation’.</w:t>
      </w:r>
      <w:r w:rsidRPr="00880275">
        <w:rPr>
          <w:vertAlign w:val="superscript"/>
        </w:rPr>
        <w:footnoteReference w:id="66"/>
      </w:r>
    </w:p>
    <w:p w14:paraId="23F7BF82" w14:textId="7A8FC644" w:rsidR="008564FD" w:rsidRPr="00880275" w:rsidRDefault="000F6248" w:rsidP="00754FAE">
      <w:pPr>
        <w:pStyle w:val="Numberedparagraph"/>
      </w:pPr>
      <w:bookmarkStart w:id="48" w:name="_Hlk171324966"/>
      <w:r w:rsidRPr="00880275">
        <w:t xml:space="preserve">The Queensland Parliament has </w:t>
      </w:r>
      <w:r w:rsidR="00753B1B" w:rsidRPr="00880275">
        <w:t xml:space="preserve">used the provision in two sets of youth justice reforms, resulting in override declarations in six provisions of the </w:t>
      </w:r>
      <w:r w:rsidR="00753B1B" w:rsidRPr="00880275">
        <w:rPr>
          <w:i/>
        </w:rPr>
        <w:t>Youth Justice Act 1992</w:t>
      </w:r>
      <w:r w:rsidR="00753B1B" w:rsidRPr="00880275">
        <w:t xml:space="preserve"> and one </w:t>
      </w:r>
      <w:r w:rsidR="004E3C6F" w:rsidRPr="00880275">
        <w:t xml:space="preserve">provision </w:t>
      </w:r>
      <w:r w:rsidR="00753B1B" w:rsidRPr="00880275">
        <w:t xml:space="preserve">in </w:t>
      </w:r>
      <w:r w:rsidR="00D94134" w:rsidRPr="00880275">
        <w:t xml:space="preserve">each of the </w:t>
      </w:r>
      <w:r w:rsidR="00D94134" w:rsidRPr="00880275">
        <w:rPr>
          <w:i/>
        </w:rPr>
        <w:t xml:space="preserve">Bail Act 1980 </w:t>
      </w:r>
      <w:r w:rsidR="00D94134" w:rsidRPr="00880275">
        <w:t xml:space="preserve">and </w:t>
      </w:r>
      <w:r w:rsidR="00753B1B" w:rsidRPr="00880275">
        <w:rPr>
          <w:i/>
          <w:iCs/>
        </w:rPr>
        <w:t xml:space="preserve">Police Powers </w:t>
      </w:r>
      <w:r w:rsidR="00753B1B" w:rsidRPr="00880275">
        <w:rPr>
          <w:i/>
          <w:iCs/>
        </w:rPr>
        <w:lastRenderedPageBreak/>
        <w:t>and Responsibilities Act 2000</w:t>
      </w:r>
      <w:r w:rsidRPr="00880275">
        <w:t>.</w:t>
      </w:r>
      <w:r w:rsidRPr="00880275">
        <w:rPr>
          <w:rStyle w:val="FootnoteReference"/>
        </w:rPr>
        <w:footnoteReference w:id="67"/>
      </w:r>
      <w:r w:rsidRPr="00880275">
        <w:t xml:space="preserve"> </w:t>
      </w:r>
      <w:r w:rsidR="00293950" w:rsidRPr="00880275">
        <w:t xml:space="preserve">In the Commission’s view, </w:t>
      </w:r>
      <w:r w:rsidRPr="00880275">
        <w:t xml:space="preserve">in both cases, </w:t>
      </w:r>
      <w:r w:rsidR="006A4ED0" w:rsidRPr="00880275">
        <w:t xml:space="preserve">there was insufficient evidence to demonstrate the existence </w:t>
      </w:r>
      <w:r w:rsidR="007E24F9" w:rsidRPr="00880275">
        <w:t>of an emergency to support the making of an override declaration.</w:t>
      </w:r>
      <w:r w:rsidR="00E377E0" w:rsidRPr="00880275">
        <w:rPr>
          <w:rStyle w:val="FootnoteReference"/>
        </w:rPr>
        <w:footnoteReference w:id="68"/>
      </w:r>
      <w:r w:rsidR="00E377E0" w:rsidRPr="00880275">
        <w:t xml:space="preserve"> </w:t>
      </w:r>
      <w:r w:rsidR="0091040C" w:rsidRPr="00880275">
        <w:t xml:space="preserve">The declarations mean </w:t>
      </w:r>
      <w:r w:rsidR="00D42AFB" w:rsidRPr="00880275">
        <w:t xml:space="preserve">that all rights, </w:t>
      </w:r>
      <w:r w:rsidR="00C50224" w:rsidRPr="00880275">
        <w:t xml:space="preserve">even absolute rights such as the </w:t>
      </w:r>
      <w:r w:rsidR="00A141F1" w:rsidRPr="00880275">
        <w:t xml:space="preserve">right against </w:t>
      </w:r>
      <w:r w:rsidR="0091040C" w:rsidRPr="00880275">
        <w:t>protection from torture and cruel, inhuman or degrading treatment</w:t>
      </w:r>
      <w:r w:rsidR="00D42AFB" w:rsidRPr="00880275">
        <w:t>,</w:t>
      </w:r>
      <w:r w:rsidR="0091040C" w:rsidRPr="00880275">
        <w:t xml:space="preserve"> </w:t>
      </w:r>
      <w:r w:rsidR="00D42AFB" w:rsidRPr="00880275">
        <w:t>were overridden</w:t>
      </w:r>
      <w:r w:rsidR="00A141F1" w:rsidRPr="00880275">
        <w:t xml:space="preserve"> in relation to children</w:t>
      </w:r>
      <w:r w:rsidR="00D42AFB" w:rsidRPr="00880275">
        <w:t>.</w:t>
      </w:r>
      <w:r w:rsidR="00D06149" w:rsidRPr="00880275">
        <w:t xml:space="preserve"> </w:t>
      </w:r>
      <w:r w:rsidR="00AE7FDD" w:rsidRPr="00880275">
        <w:t xml:space="preserve">Instead of </w:t>
      </w:r>
      <w:r w:rsidR="00D00EC9" w:rsidRPr="00880275">
        <w:t xml:space="preserve">using human rights to maintain </w:t>
      </w:r>
      <w:r w:rsidR="0094178B" w:rsidRPr="00880275">
        <w:t xml:space="preserve">protections for children </w:t>
      </w:r>
      <w:r w:rsidR="00B850C6" w:rsidRPr="00880275">
        <w:t xml:space="preserve">in the face of heightened public anxiety, the government </w:t>
      </w:r>
      <w:r w:rsidR="00127CF2" w:rsidRPr="00880275">
        <w:t xml:space="preserve">removed </w:t>
      </w:r>
      <w:r w:rsidR="00BC1022" w:rsidRPr="00880275">
        <w:t xml:space="preserve">human rights </w:t>
      </w:r>
      <w:r w:rsidR="00127CF2" w:rsidRPr="00880275">
        <w:t xml:space="preserve">safeguards for children </w:t>
      </w:r>
      <w:r w:rsidR="008327E4" w:rsidRPr="00880275">
        <w:t>in relation to those provisions subject to the override.</w:t>
      </w:r>
      <w:r w:rsidR="27AD58C0" w:rsidRPr="00880275">
        <w:t xml:space="preserve">  A practical consequence of these declarations is the inabil</w:t>
      </w:r>
      <w:r w:rsidR="2B900DE8" w:rsidRPr="00880275">
        <w:t xml:space="preserve">ity of </w:t>
      </w:r>
      <w:r w:rsidR="63B83263" w:rsidRPr="00880275">
        <w:t xml:space="preserve">certain </w:t>
      </w:r>
      <w:r w:rsidR="2B900DE8" w:rsidRPr="00880275">
        <w:t xml:space="preserve">children in </w:t>
      </w:r>
      <w:r w:rsidR="6FBFB895" w:rsidRPr="00880275">
        <w:t xml:space="preserve">the </w:t>
      </w:r>
      <w:proofErr w:type="gramStart"/>
      <w:r w:rsidR="6FBFB895" w:rsidRPr="00880275">
        <w:t>State‘</w:t>
      </w:r>
      <w:proofErr w:type="gramEnd"/>
      <w:r w:rsidR="6FBFB895" w:rsidRPr="00880275">
        <w:t>s custody</w:t>
      </w:r>
      <w:r w:rsidR="2B900DE8" w:rsidRPr="00880275">
        <w:t xml:space="preserve"> to avail themselves of remedies under the Act</w:t>
      </w:r>
      <w:r w:rsidR="2043ADA8" w:rsidRPr="00880275">
        <w:t>,</w:t>
      </w:r>
      <w:r w:rsidR="2B900DE8" w:rsidRPr="00880275">
        <w:t xml:space="preserve"> including the complaint mechanism</w:t>
      </w:r>
      <w:r w:rsidR="629DE153" w:rsidRPr="00880275">
        <w:t>.</w:t>
      </w:r>
    </w:p>
    <w:bookmarkEnd w:id="48"/>
    <w:p w14:paraId="0CA00B87" w14:textId="7129B0CB" w:rsidR="003F2B4F" w:rsidRPr="00880275" w:rsidRDefault="00DC133D" w:rsidP="00754FAE">
      <w:pPr>
        <w:pStyle w:val="Numberedparagraph"/>
      </w:pPr>
      <w:r w:rsidRPr="00880275">
        <w:t xml:space="preserve">In contrast, Queensland was able to respond to the COVID-19 pandemic, including by imposing significant restrictions on people’s freedom of movement and right to liberty, without resorting to the use of an override declaration. The government </w:t>
      </w:r>
      <w:r w:rsidR="003F2B4F" w:rsidRPr="00880275">
        <w:t xml:space="preserve">justified </w:t>
      </w:r>
      <w:r w:rsidRPr="00880275">
        <w:t xml:space="preserve">such measures as necessary to fulfil its obligations under the right to life. </w:t>
      </w:r>
      <w:r w:rsidR="003F2B4F" w:rsidRPr="00880275">
        <w:t xml:space="preserve">As a result, safeguards under the Human Rights Act continued to apply to public entities performing functions under that legislation, such as the police. </w:t>
      </w:r>
    </w:p>
    <w:p w14:paraId="44F806E1" w14:textId="2C651B8F" w:rsidR="007955A7" w:rsidRPr="00880275" w:rsidRDefault="00E406F8" w:rsidP="00754FAE">
      <w:pPr>
        <w:pStyle w:val="Numberedparagraph"/>
      </w:pPr>
      <w:r w:rsidRPr="00880275">
        <w:t xml:space="preserve">The override provision is unnecessary because the Act does not allow courts to declare laws invalid if they are incompatible with human rights. Even without the override provision, parliament can make non-human rights compliant laws that will be enforceable. Transparency and accountability about parliament’s decisions to do so can be provided through the </w:t>
      </w:r>
      <w:r w:rsidR="0002104A" w:rsidRPr="00880275">
        <w:t>s</w:t>
      </w:r>
      <w:r w:rsidRPr="00880275">
        <w:t xml:space="preserve">tatement of </w:t>
      </w:r>
      <w:r w:rsidR="0002104A" w:rsidRPr="00880275">
        <w:t>c</w:t>
      </w:r>
      <w:r w:rsidRPr="00880275">
        <w:t>ompatibility.</w:t>
      </w:r>
      <w:r w:rsidR="007955A7" w:rsidRPr="00880275">
        <w:t xml:space="preserve"> Such statements are ‘just as transparent and public as the override process’</w:t>
      </w:r>
      <w:r w:rsidR="007955A7" w:rsidRPr="00880275">
        <w:rPr>
          <w:szCs w:val="22"/>
        </w:rPr>
        <w:t xml:space="preserve"> </w:t>
      </w:r>
      <w:r w:rsidR="007955A7" w:rsidRPr="00880275">
        <w:t>but ‘preferable, because it keeps the courts involved in the human rights dialogue’</w:t>
      </w:r>
      <w:r w:rsidR="007955A7" w:rsidRPr="00880275">
        <w:rPr>
          <w:szCs w:val="22"/>
        </w:rPr>
        <w:t xml:space="preserve"> </w:t>
      </w:r>
      <w:r w:rsidR="007955A7" w:rsidRPr="00880275">
        <w:t>without compromising parliamentary sovereignty</w:t>
      </w:r>
      <w:r w:rsidR="007955A7" w:rsidRPr="00880275">
        <w:rPr>
          <w:szCs w:val="22"/>
        </w:rPr>
        <w:t>.</w:t>
      </w:r>
      <w:r w:rsidR="007955A7" w:rsidRPr="00880275">
        <w:rPr>
          <w:rStyle w:val="FootnoteReference"/>
        </w:rPr>
        <w:footnoteReference w:id="69"/>
      </w:r>
    </w:p>
    <w:p w14:paraId="42CF4325" w14:textId="3B785AA3" w:rsidR="00E406F8" w:rsidRPr="00880275" w:rsidRDefault="00E406F8" w:rsidP="00754FAE">
      <w:pPr>
        <w:pStyle w:val="Numberedparagraph"/>
      </w:pPr>
      <w:r w:rsidRPr="00880275">
        <w:t xml:space="preserve">The override provision </w:t>
      </w:r>
      <w:r w:rsidR="0002104A" w:rsidRPr="00880275">
        <w:t>serves no</w:t>
      </w:r>
      <w:r w:rsidRPr="00880275">
        <w:t xml:space="preserve"> purpose other than undermining the objects of the Act and should be repealed.</w:t>
      </w:r>
    </w:p>
    <w:p w14:paraId="6E71DE0C" w14:textId="070A344E" w:rsidR="00376873" w:rsidRPr="00880275" w:rsidRDefault="009C090D" w:rsidP="00754FAE">
      <w:pPr>
        <w:pStyle w:val="Numberedparagraph"/>
      </w:pPr>
      <w:r w:rsidRPr="00880275">
        <w:t xml:space="preserve">At the least, given the purpose of override declarations is to respond to </w:t>
      </w:r>
      <w:r w:rsidR="00A423C5" w:rsidRPr="00880275">
        <w:t xml:space="preserve">exceptional or emergency circumstances, the default expiry date of an </w:t>
      </w:r>
      <w:r w:rsidR="00A423C5" w:rsidRPr="00880275">
        <w:lastRenderedPageBreak/>
        <w:t xml:space="preserve">override declaration set out in section 45(2) of the Human Rights Act should be reduced from 5 </w:t>
      </w:r>
      <w:r w:rsidR="00E94325" w:rsidRPr="00880275">
        <w:t xml:space="preserve">years </w:t>
      </w:r>
      <w:r w:rsidR="00A423C5" w:rsidRPr="00880275">
        <w:t>to 1 year.</w:t>
      </w:r>
      <w:r w:rsidR="006767B9" w:rsidRPr="00880275">
        <w:t xml:space="preserve"> </w:t>
      </w:r>
    </w:p>
    <w:p w14:paraId="6011612D" w14:textId="5645884B" w:rsidR="002E46C7" w:rsidRPr="00880275" w:rsidRDefault="002E46C7" w:rsidP="00754FAE">
      <w:pPr>
        <w:pStyle w:val="Heading5"/>
      </w:pPr>
      <w:r w:rsidRPr="00880275">
        <w:t>Recommendation 3.5</w:t>
      </w:r>
    </w:p>
    <w:p w14:paraId="44EE9374" w14:textId="5825E729" w:rsidR="00B10F74" w:rsidRPr="00880275" w:rsidRDefault="00B10F74" w:rsidP="00754FAE">
      <w:pPr>
        <w:pStyle w:val="Heading5"/>
      </w:pPr>
      <w:r w:rsidRPr="00880275">
        <w:t>Sections 43 to 47 of the Human Rights Act, conc</w:t>
      </w:r>
      <w:r w:rsidR="002A672B" w:rsidRPr="00880275">
        <w:t>er</w:t>
      </w:r>
      <w:r w:rsidRPr="00880275">
        <w:t>ning Parliament’s power to override the Human Rights Act, should be repealed. At a minimum, the default expiry date of an override declaration set out in section 45(2) of the Act should be reduced from 5 years to 1 year.</w:t>
      </w:r>
    </w:p>
    <w:p w14:paraId="282D5B89" w14:textId="370138D8" w:rsidR="00525798" w:rsidRPr="00880275" w:rsidRDefault="00F25FA4" w:rsidP="00F74EEA">
      <w:pPr>
        <w:pStyle w:val="Heading3"/>
        <w:rPr>
          <w:color w:val="auto"/>
          <w:lang w:val="en-US"/>
        </w:rPr>
      </w:pPr>
      <w:bookmarkStart w:id="49" w:name="_Toc171346784"/>
      <w:r w:rsidRPr="00880275">
        <w:rPr>
          <w:lang w:val="en-US"/>
        </w:rPr>
        <w:t>Ensure scrutiny of Bills by p</w:t>
      </w:r>
      <w:r w:rsidR="00525798" w:rsidRPr="00880275">
        <w:rPr>
          <w:lang w:val="en-US"/>
        </w:rPr>
        <w:t>arliamentary committees</w:t>
      </w:r>
      <w:bookmarkEnd w:id="49"/>
    </w:p>
    <w:p w14:paraId="16954ACF" w14:textId="7E4EB60E" w:rsidR="00E6412C" w:rsidRPr="00880275" w:rsidRDefault="00E6412C" w:rsidP="00754FAE">
      <w:pPr>
        <w:pStyle w:val="Numberedparagraph"/>
      </w:pPr>
      <w:r w:rsidRPr="00880275">
        <w:t xml:space="preserve">Given Queensland’s </w:t>
      </w:r>
      <w:r w:rsidR="00796C75" w:rsidRPr="00880275">
        <w:t>unicameral parliamentary system</w:t>
      </w:r>
      <w:r w:rsidR="008A3138" w:rsidRPr="00880275">
        <w:t xml:space="preserve">, </w:t>
      </w:r>
      <w:r w:rsidR="003559D8" w:rsidRPr="00880275">
        <w:t>the referral of Bills to parliamentary committees for scrutiny</w:t>
      </w:r>
      <w:r w:rsidR="00262069" w:rsidRPr="00880275">
        <w:t>, including human rights compatibility,</w:t>
      </w:r>
      <w:r w:rsidR="004421A1" w:rsidRPr="00880275">
        <w:t xml:space="preserve"> is </w:t>
      </w:r>
      <w:r w:rsidR="001E07FC" w:rsidRPr="00880275">
        <w:t xml:space="preserve">critical </w:t>
      </w:r>
      <w:r w:rsidR="004B3C77" w:rsidRPr="00880275">
        <w:t xml:space="preserve">to </w:t>
      </w:r>
      <w:r w:rsidR="004421A1" w:rsidRPr="00880275">
        <w:t xml:space="preserve">accountability and transparency </w:t>
      </w:r>
      <w:r w:rsidR="001E07FC" w:rsidRPr="00880275">
        <w:t xml:space="preserve">of the legislative process. </w:t>
      </w:r>
    </w:p>
    <w:p w14:paraId="51A15F65" w14:textId="1C9BF146" w:rsidR="00E17621" w:rsidRPr="00880275" w:rsidRDefault="00E17621" w:rsidP="00754FAE">
      <w:pPr>
        <w:pStyle w:val="Numberedparagraph"/>
      </w:pPr>
      <w:r w:rsidRPr="00880275">
        <w:t xml:space="preserve">The Commission is </w:t>
      </w:r>
      <w:r w:rsidR="00E23595" w:rsidRPr="00880275">
        <w:t xml:space="preserve">therefore </w:t>
      </w:r>
      <w:r w:rsidRPr="00880275">
        <w:t>concerned about the practice of last-minute amendments to unrelated Bills to bypass the parliamentary committee processes altogether. For example, a community sector long service leave Bill was amended after the Committee stage to include changes to youth justice bail and COVID-19 quarantine.</w:t>
      </w:r>
      <w:r w:rsidRPr="00880275">
        <w:rPr>
          <w:vertAlign w:val="superscript"/>
        </w:rPr>
        <w:footnoteReference w:id="70"/>
      </w:r>
    </w:p>
    <w:p w14:paraId="1F5D3953" w14:textId="486E864E" w:rsidR="00AA01FA" w:rsidRPr="00880275" w:rsidRDefault="00AA01FA" w:rsidP="00754FAE">
      <w:pPr>
        <w:pStyle w:val="Numberedparagraph"/>
        <w:rPr>
          <w:b/>
          <w:bCs/>
        </w:rPr>
      </w:pPr>
      <w:r w:rsidRPr="00880275">
        <w:t xml:space="preserve">One way to discourage last-minute amendments on issues that are not related to the purpose of the Bill would be to ensure that all major amendments are </w:t>
      </w:r>
      <w:proofErr w:type="gramStart"/>
      <w:r w:rsidRPr="00880275">
        <w:t>referred back</w:t>
      </w:r>
      <w:proofErr w:type="gramEnd"/>
      <w:r w:rsidRPr="00880275">
        <w:t xml:space="preserve"> to the relevant committee for additional scrutiny.</w:t>
      </w:r>
    </w:p>
    <w:p w14:paraId="307727FE" w14:textId="35F99F34" w:rsidR="005E1259" w:rsidRPr="00880275" w:rsidRDefault="005E1259" w:rsidP="00754FAE">
      <w:pPr>
        <w:pStyle w:val="Heading5"/>
      </w:pPr>
      <w:r w:rsidRPr="00880275">
        <w:t>Recommendation 3.6</w:t>
      </w:r>
    </w:p>
    <w:p w14:paraId="542A9658" w14:textId="77777777" w:rsidR="004E06FF" w:rsidRPr="00880275" w:rsidRDefault="004E06FF" w:rsidP="00754FAE">
      <w:pPr>
        <w:pStyle w:val="Heading5"/>
      </w:pPr>
      <w:r w:rsidRPr="00880275">
        <w:t>The Human Rights Act should be amended to require all major amendments to Bills with potential human rights impacts to be referred to the relevant portfolio committee (or designated members of it) for scrutiny.</w:t>
      </w:r>
    </w:p>
    <w:p w14:paraId="03E0A07D" w14:textId="2F9A7942" w:rsidR="00D12BDE" w:rsidRPr="00880275" w:rsidRDefault="00622A42" w:rsidP="00D12BDE">
      <w:pPr>
        <w:pStyle w:val="Heading3"/>
      </w:pPr>
      <w:bookmarkStart w:id="50" w:name="_Toc171346785"/>
      <w:r w:rsidRPr="00880275">
        <w:t xml:space="preserve">Amendments </w:t>
      </w:r>
      <w:r w:rsidR="000A7DD5" w:rsidRPr="00880275">
        <w:t>to statements of compatibility</w:t>
      </w:r>
      <w:bookmarkEnd w:id="50"/>
    </w:p>
    <w:p w14:paraId="00960EF9" w14:textId="523A9298" w:rsidR="008527B2" w:rsidRPr="00880275" w:rsidRDefault="00193516" w:rsidP="00754FAE">
      <w:pPr>
        <w:pStyle w:val="Numberedparagraph"/>
      </w:pPr>
      <w:r w:rsidRPr="00880275">
        <w:t xml:space="preserve">The Human Rights Act requires </w:t>
      </w:r>
      <w:r w:rsidR="00122546" w:rsidRPr="00880275">
        <w:t>introduced</w:t>
      </w:r>
      <w:r w:rsidR="006D5EB1" w:rsidRPr="00880275">
        <w:t xml:space="preserve"> </w:t>
      </w:r>
      <w:r w:rsidR="00122546" w:rsidRPr="00880275">
        <w:t xml:space="preserve">bills to be accompanied by </w:t>
      </w:r>
      <w:r w:rsidR="006D5EB1" w:rsidRPr="00880275">
        <w:t xml:space="preserve">a </w:t>
      </w:r>
      <w:r w:rsidR="000E05D6" w:rsidRPr="00880275">
        <w:t xml:space="preserve">statement of compatibility, stating </w:t>
      </w:r>
      <w:r w:rsidR="006D5EB1" w:rsidRPr="00880275">
        <w:t xml:space="preserve">whether the </w:t>
      </w:r>
      <w:r w:rsidR="00D616EC" w:rsidRPr="00880275">
        <w:t>b</w:t>
      </w:r>
      <w:r w:rsidR="006D5EB1" w:rsidRPr="00880275">
        <w:t>ill is compatible with human rights, and the nature and extent of any incompatibility.</w:t>
      </w:r>
      <w:r w:rsidR="000E05D6" w:rsidRPr="00880275">
        <w:rPr>
          <w:rStyle w:val="FootnoteReference"/>
        </w:rPr>
        <w:footnoteReference w:id="71"/>
      </w:r>
      <w:r w:rsidR="000E05D6" w:rsidRPr="00880275">
        <w:t xml:space="preserve"> </w:t>
      </w:r>
      <w:r w:rsidR="008527B2" w:rsidRPr="00880275">
        <w:t>Explanatory notes and statements of compatibility</w:t>
      </w:r>
      <w:r w:rsidR="001F469B" w:rsidRPr="00880275">
        <w:t xml:space="preserve"> </w:t>
      </w:r>
      <w:r w:rsidR="00CD6E9D" w:rsidRPr="00880275">
        <w:t xml:space="preserve">aid the interpretation and understanding of </w:t>
      </w:r>
      <w:r w:rsidR="000C7A2C" w:rsidRPr="00880275">
        <w:t>legislation</w:t>
      </w:r>
      <w:r w:rsidR="00B60C29" w:rsidRPr="00880275">
        <w:t>.</w:t>
      </w:r>
      <w:r w:rsidR="00CD6E9D" w:rsidRPr="00880275">
        <w:rPr>
          <w:rStyle w:val="FootnoteReference"/>
        </w:rPr>
        <w:footnoteReference w:id="72"/>
      </w:r>
      <w:r w:rsidR="003B4BC6" w:rsidRPr="00880275">
        <w:t xml:space="preserve"> They </w:t>
      </w:r>
      <w:r w:rsidR="00081290" w:rsidRPr="00880275">
        <w:t>are published</w:t>
      </w:r>
      <w:r w:rsidR="00413BD9" w:rsidRPr="00880275">
        <w:t xml:space="preserve"> on the Office of the Queensland Parliamentary Counsel’s website</w:t>
      </w:r>
      <w:r w:rsidR="00081290" w:rsidRPr="00880275">
        <w:t xml:space="preserve"> </w:t>
      </w:r>
      <w:r w:rsidR="004D7E7F" w:rsidRPr="00880275">
        <w:t xml:space="preserve">under the law’s legislative </w:t>
      </w:r>
      <w:r w:rsidR="008C0454" w:rsidRPr="00880275">
        <w:t>histor</w:t>
      </w:r>
      <w:r w:rsidR="00E40210" w:rsidRPr="00880275">
        <w:t>y.</w:t>
      </w:r>
    </w:p>
    <w:p w14:paraId="266F7FF2" w14:textId="5F022683" w:rsidR="00743B4A" w:rsidRPr="00880275" w:rsidRDefault="001A5E89" w:rsidP="00754FAE">
      <w:pPr>
        <w:pStyle w:val="Numberedparagraph"/>
      </w:pPr>
      <w:r w:rsidRPr="00880275">
        <w:lastRenderedPageBreak/>
        <w:t>Several committee reports have discussed deficiencies in statements of compatibility or raised other concerns about limitations on human rights</w:t>
      </w:r>
      <w:r w:rsidR="00B4576B" w:rsidRPr="00880275">
        <w:t>.</w:t>
      </w:r>
      <w:r w:rsidR="00E521DE" w:rsidRPr="00880275">
        <w:rPr>
          <w:vertAlign w:val="superscript"/>
        </w:rPr>
        <w:footnoteReference w:id="73"/>
      </w:r>
      <w:r w:rsidR="00F16039" w:rsidRPr="00880275">
        <w:t xml:space="preserve"> </w:t>
      </w:r>
      <w:r w:rsidR="004102E3" w:rsidRPr="00880275">
        <w:t>While</w:t>
      </w:r>
      <w:r w:rsidR="00F16039" w:rsidRPr="00880275">
        <w:t xml:space="preserve"> government </w:t>
      </w:r>
      <w:r w:rsidR="004102E3" w:rsidRPr="00880275">
        <w:t xml:space="preserve">may </w:t>
      </w:r>
      <w:r w:rsidR="00F16039" w:rsidRPr="00880275">
        <w:t>provide further information to explain and justify a limitation</w:t>
      </w:r>
      <w:r w:rsidR="004102E3" w:rsidRPr="00880275">
        <w:t xml:space="preserve">, this </w:t>
      </w:r>
      <w:r w:rsidR="00090AB5" w:rsidRPr="00880275">
        <w:t xml:space="preserve">has </w:t>
      </w:r>
      <w:r w:rsidR="004102E3" w:rsidRPr="00880275">
        <w:t>not led to amendments to statements of compatibility</w:t>
      </w:r>
      <w:r w:rsidR="00F16039" w:rsidRPr="00880275">
        <w:t>.</w:t>
      </w:r>
      <w:r w:rsidR="00EF42F7" w:rsidRPr="00880275">
        <w:t xml:space="preserve"> Th</w:t>
      </w:r>
      <w:r w:rsidR="002148F4" w:rsidRPr="00880275">
        <w:t xml:space="preserve">is </w:t>
      </w:r>
      <w:r w:rsidR="009A5DEF" w:rsidRPr="00880275">
        <w:t xml:space="preserve">risks important explanatory </w:t>
      </w:r>
      <w:r w:rsidR="002148F4" w:rsidRPr="00880275">
        <w:t>information</w:t>
      </w:r>
      <w:r w:rsidR="00EF42F7" w:rsidRPr="00880275">
        <w:t xml:space="preserve"> </w:t>
      </w:r>
      <w:r w:rsidR="009A5DEF" w:rsidRPr="00880275">
        <w:t xml:space="preserve">being </w:t>
      </w:r>
      <w:r w:rsidR="00855272" w:rsidRPr="00880275">
        <w:t xml:space="preserve">overlooked by future legislators or people seeking to apply </w:t>
      </w:r>
      <w:r w:rsidR="00F2443F" w:rsidRPr="00880275">
        <w:t>the law.</w:t>
      </w:r>
    </w:p>
    <w:p w14:paraId="3DB1C396" w14:textId="569C3129" w:rsidR="008527B2" w:rsidRPr="00880275" w:rsidRDefault="00743B4A" w:rsidP="00754FAE">
      <w:pPr>
        <w:pStyle w:val="Numberedparagraph"/>
      </w:pPr>
      <w:r w:rsidRPr="00880275">
        <w:t xml:space="preserve">The Commission recommends </w:t>
      </w:r>
      <w:r w:rsidR="00597620" w:rsidRPr="00880275">
        <w:t xml:space="preserve">that </w:t>
      </w:r>
      <w:r w:rsidR="00CB78AF" w:rsidRPr="00880275">
        <w:t>M</w:t>
      </w:r>
      <w:r w:rsidR="00092B3E" w:rsidRPr="00880275">
        <w:t xml:space="preserve">embers of </w:t>
      </w:r>
      <w:r w:rsidR="00CB78AF" w:rsidRPr="00880275">
        <w:t>P</w:t>
      </w:r>
      <w:r w:rsidR="00092B3E" w:rsidRPr="00880275">
        <w:t xml:space="preserve">arliament who introduce </w:t>
      </w:r>
      <w:r w:rsidR="00CB78AF" w:rsidRPr="00880275">
        <w:t>B</w:t>
      </w:r>
      <w:r w:rsidR="00092B3E" w:rsidRPr="00880275">
        <w:t>ills</w:t>
      </w:r>
      <w:r w:rsidR="00597620" w:rsidRPr="00880275">
        <w:t xml:space="preserve"> </w:t>
      </w:r>
      <w:r w:rsidR="002C668E" w:rsidRPr="00880275">
        <w:t xml:space="preserve">be </w:t>
      </w:r>
      <w:r w:rsidR="00D54C38" w:rsidRPr="00880275">
        <w:t>encouraged</w:t>
      </w:r>
      <w:r w:rsidR="002C668E" w:rsidRPr="00880275">
        <w:t xml:space="preserve"> to amend statements of compatibility </w:t>
      </w:r>
      <w:r w:rsidR="009F4BE1" w:rsidRPr="00880275">
        <w:t>to</w:t>
      </w:r>
      <w:r w:rsidR="002B7E62" w:rsidRPr="00880275">
        <w:t xml:space="preserve"> accurately</w:t>
      </w:r>
      <w:r w:rsidR="009F4BE1" w:rsidRPr="00880275">
        <w:t xml:space="preserve"> reflect </w:t>
      </w:r>
      <w:r w:rsidR="00EE19C1" w:rsidRPr="00880275">
        <w:t xml:space="preserve">any changes or clarifications </w:t>
      </w:r>
      <w:r w:rsidR="009F4BE1" w:rsidRPr="00880275">
        <w:t xml:space="preserve">following </w:t>
      </w:r>
      <w:r w:rsidR="00EE19C1" w:rsidRPr="00880275">
        <w:t>committee scrutiny.</w:t>
      </w:r>
      <w:r w:rsidR="005278CF" w:rsidRPr="00880275">
        <w:t xml:space="preserve"> Amendments or addendums should be published as part of the legislation’s history on the Queensland Legislation’s website</w:t>
      </w:r>
      <w:r w:rsidR="00EF42F7" w:rsidRPr="00880275">
        <w:t>.</w:t>
      </w:r>
    </w:p>
    <w:p w14:paraId="5E2498BD" w14:textId="3CFDCFDC" w:rsidR="00DA089A" w:rsidRPr="00880275" w:rsidRDefault="00DA089A" w:rsidP="00754FAE">
      <w:pPr>
        <w:pStyle w:val="Heading5"/>
      </w:pPr>
      <w:r w:rsidRPr="00880275">
        <w:t>Recommendation 3.7</w:t>
      </w:r>
    </w:p>
    <w:p w14:paraId="3CD0BC06" w14:textId="335A2731" w:rsidR="008D2E63" w:rsidRPr="00880275" w:rsidRDefault="008D2E63" w:rsidP="00754FAE">
      <w:pPr>
        <w:pStyle w:val="Heading5"/>
      </w:pPr>
      <w:r w:rsidRPr="00880275">
        <w:t xml:space="preserve">Members of </w:t>
      </w:r>
      <w:r w:rsidR="00CB78AF" w:rsidRPr="00880275">
        <w:t>P</w:t>
      </w:r>
      <w:r w:rsidRPr="00880275">
        <w:t>arliament who introduce Bills should be encouraged to publish amended statements of compatibility to accurately reflect any changes or clarifications following Parliamentary committee scrutiny.</w:t>
      </w:r>
    </w:p>
    <w:p w14:paraId="6F412599" w14:textId="6250476B" w:rsidR="00F062A9" w:rsidRPr="00880275" w:rsidRDefault="00F062A9" w:rsidP="00EE5C93">
      <w:pPr>
        <w:pStyle w:val="Heading3"/>
        <w:rPr>
          <w:lang w:val="en-US" w:eastAsia="en-AU"/>
        </w:rPr>
      </w:pPr>
      <w:bookmarkStart w:id="51" w:name="_Toc171346786"/>
      <w:r w:rsidRPr="00880275">
        <w:rPr>
          <w:lang w:val="en-US" w:eastAsia="en-AU"/>
        </w:rPr>
        <w:t>Subordinate legislation</w:t>
      </w:r>
      <w:bookmarkEnd w:id="51"/>
    </w:p>
    <w:p w14:paraId="7BB8074E" w14:textId="7B529CC1" w:rsidR="00454EEF" w:rsidRPr="00880275" w:rsidRDefault="00934DB9" w:rsidP="00754FAE">
      <w:pPr>
        <w:pStyle w:val="Numberedparagraph"/>
      </w:pPr>
      <w:r w:rsidRPr="00880275">
        <w:t>In some cases</w:t>
      </w:r>
      <w:r w:rsidR="00454EEF" w:rsidRPr="00880275">
        <w:t>,</w:t>
      </w:r>
      <w:r w:rsidRPr="00880275">
        <w:t xml:space="preserve"> whether </w:t>
      </w:r>
      <w:r w:rsidR="00AC0143" w:rsidRPr="00880275">
        <w:t xml:space="preserve">laws are </w:t>
      </w:r>
      <w:r w:rsidRPr="00880275">
        <w:t xml:space="preserve">compatible with human rights will be dependent on the detail contained </w:t>
      </w:r>
      <w:r w:rsidR="00AC0143" w:rsidRPr="00880275">
        <w:t xml:space="preserve">within the regulation. </w:t>
      </w:r>
      <w:r w:rsidR="00552018" w:rsidRPr="00880275">
        <w:t>Under the Human Rights Act, subordinate legislation must be accompanied by a human rights certificate</w:t>
      </w:r>
      <w:r w:rsidR="003E7EF1" w:rsidRPr="00880275">
        <w:t xml:space="preserve"> commenting on the same issues as a </w:t>
      </w:r>
      <w:r w:rsidR="00202AFA" w:rsidRPr="00880275">
        <w:t>statement of compatibility.</w:t>
      </w:r>
      <w:r w:rsidR="00E877EC" w:rsidRPr="00880275">
        <w:t xml:space="preserve"> The portfolio committee examining the subordinate legislation </w:t>
      </w:r>
      <w:r w:rsidR="00E877EC" w:rsidRPr="00880275">
        <w:rPr>
          <w:i/>
          <w:iCs/>
        </w:rPr>
        <w:t>may</w:t>
      </w:r>
      <w:r w:rsidR="00845593" w:rsidRPr="00880275">
        <w:t xml:space="preserve"> consider the human rights certificate.</w:t>
      </w:r>
      <w:r w:rsidR="00C44121" w:rsidRPr="00880275">
        <w:t xml:space="preserve"> Like statements of compatibility, </w:t>
      </w:r>
      <w:r w:rsidR="00320AC0" w:rsidRPr="00880275">
        <w:t xml:space="preserve">human rights certificates are published </w:t>
      </w:r>
      <w:r w:rsidR="00706606" w:rsidRPr="00880275">
        <w:t>on the</w:t>
      </w:r>
      <w:r w:rsidR="00BD2C42" w:rsidRPr="00880275">
        <w:t xml:space="preserve"> Office of the Queensland Parliamentary Counsel’s website</w:t>
      </w:r>
      <w:r w:rsidR="009C24BF" w:rsidRPr="00880275">
        <w:t xml:space="preserve"> with the regulation.</w:t>
      </w:r>
    </w:p>
    <w:p w14:paraId="632A700A" w14:textId="77777777" w:rsidR="003C7FDB" w:rsidRPr="00880275" w:rsidRDefault="001E29D8" w:rsidP="00754FAE">
      <w:pPr>
        <w:pStyle w:val="Numberedparagraph"/>
      </w:pPr>
      <w:r w:rsidRPr="00880275">
        <w:t xml:space="preserve">There has been limited </w:t>
      </w:r>
      <w:r w:rsidR="0092483A" w:rsidRPr="00880275">
        <w:t xml:space="preserve">external analysis </w:t>
      </w:r>
      <w:r w:rsidRPr="00880275">
        <w:t xml:space="preserve">on the quality </w:t>
      </w:r>
      <w:r w:rsidR="003F3266" w:rsidRPr="00880275">
        <w:t>of human rights certificates</w:t>
      </w:r>
      <w:r w:rsidR="0092483A" w:rsidRPr="00880275">
        <w:t xml:space="preserve"> and the effectiveness of parliamentary committee scrutiny of </w:t>
      </w:r>
      <w:r w:rsidR="00246763" w:rsidRPr="00880275">
        <w:t xml:space="preserve">regulation for human rights </w:t>
      </w:r>
      <w:r w:rsidR="009D3E20" w:rsidRPr="00880275">
        <w:t>compatibility</w:t>
      </w:r>
      <w:r w:rsidR="0092483A" w:rsidRPr="00880275">
        <w:t>.</w:t>
      </w:r>
      <w:r w:rsidR="009D3E20" w:rsidRPr="00880275">
        <w:t xml:space="preserve"> </w:t>
      </w:r>
    </w:p>
    <w:p w14:paraId="555BACC9" w14:textId="6F70BCEB" w:rsidR="003C7FDB" w:rsidRPr="00880275" w:rsidRDefault="003C7FDB" w:rsidP="00754FAE">
      <w:pPr>
        <w:pStyle w:val="Heading5"/>
      </w:pPr>
      <w:r w:rsidRPr="00880275">
        <w:lastRenderedPageBreak/>
        <w:t>Recommendation 3.8</w:t>
      </w:r>
    </w:p>
    <w:p w14:paraId="5995BCF1" w14:textId="3E9F57EA" w:rsidR="0033179B" w:rsidRPr="00880275" w:rsidRDefault="003F12ED" w:rsidP="00754FAE">
      <w:pPr>
        <w:pStyle w:val="Heading5"/>
      </w:pPr>
      <w:r w:rsidRPr="00880275">
        <w:t>Human rights certificate processes should be reviewed to better understand their effectiveness and identify any issues for reform.</w:t>
      </w:r>
    </w:p>
    <w:p w14:paraId="2A046F52" w14:textId="3E2DA5DF" w:rsidR="004B495A" w:rsidRPr="00880275" w:rsidRDefault="2656F30A" w:rsidP="004B495A">
      <w:pPr>
        <w:pStyle w:val="Heading2"/>
      </w:pPr>
      <w:bookmarkStart w:id="52" w:name="_Toc171346787"/>
      <w:r w:rsidRPr="00880275">
        <w:t xml:space="preserve">(c) </w:t>
      </w:r>
      <w:r w:rsidR="00A50AF9" w:rsidRPr="00880275">
        <w:t>Court and tribunal proceedings</w:t>
      </w:r>
      <w:bookmarkEnd w:id="52"/>
    </w:p>
    <w:p w14:paraId="4697F27E" w14:textId="77777777" w:rsidR="00411E5C" w:rsidRPr="00880275" w:rsidRDefault="006C70C5" w:rsidP="00754FAE">
      <w:pPr>
        <w:pStyle w:val="Numberedparagraph"/>
      </w:pPr>
      <w:r w:rsidRPr="00880275">
        <w:t xml:space="preserve">The </w:t>
      </w:r>
      <w:r w:rsidR="00881F90" w:rsidRPr="00880275">
        <w:t>Commission</w:t>
      </w:r>
      <w:r w:rsidRPr="00880275">
        <w:t xml:space="preserve"> </w:t>
      </w:r>
      <w:r w:rsidR="00480070" w:rsidRPr="00880275">
        <w:t xml:space="preserve">has </w:t>
      </w:r>
      <w:r w:rsidRPr="00880275">
        <w:t xml:space="preserve">identified approximately 300 cases since commencement of the </w:t>
      </w:r>
      <w:r w:rsidR="00881F90" w:rsidRPr="00880275">
        <w:t>Human Rights Act</w:t>
      </w:r>
      <w:r w:rsidRPr="00880275">
        <w:t xml:space="preserve"> in which courts or tribunals applied the Act, with the annual numbers progressively increasing.</w:t>
      </w:r>
      <w:r w:rsidRPr="00880275">
        <w:rPr>
          <w:rStyle w:val="FootnoteReference"/>
        </w:rPr>
        <w:footnoteReference w:id="74"/>
      </w:r>
      <w:r w:rsidRPr="00880275">
        <w:t xml:space="preserve"> The majority have been in tribunal proceedings, including guardianship matters, discrimination, privacy, blue card reviews, and industrial matters. </w:t>
      </w:r>
    </w:p>
    <w:p w14:paraId="6DF28B11" w14:textId="20675471" w:rsidR="006C70C5" w:rsidRPr="00880275" w:rsidRDefault="00411E5C" w:rsidP="00754FAE">
      <w:pPr>
        <w:pStyle w:val="Numberedparagraph"/>
      </w:pPr>
      <w:r w:rsidRPr="00880275">
        <w:t xml:space="preserve">Statistics and summaries of key cases are provided each year in the Human Rights Act annual reports. </w:t>
      </w:r>
    </w:p>
    <w:p w14:paraId="78060ECB" w14:textId="77777777" w:rsidR="008648C7" w:rsidRPr="00880275" w:rsidRDefault="00865FE3" w:rsidP="00754FAE">
      <w:pPr>
        <w:pStyle w:val="Casestudyorexample"/>
        <w:rPr>
          <w:b/>
          <w:bCs/>
          <w:color w:val="004270"/>
        </w:rPr>
      </w:pPr>
      <w:r w:rsidRPr="00880275">
        <w:rPr>
          <w:b/>
          <w:bCs/>
          <w:color w:val="004270"/>
        </w:rPr>
        <w:t xml:space="preserve">Example of impact </w:t>
      </w:r>
    </w:p>
    <w:p w14:paraId="137B4F73" w14:textId="69157A69" w:rsidR="00865FE3" w:rsidRPr="00880275" w:rsidRDefault="00865FE3" w:rsidP="00754FAE">
      <w:pPr>
        <w:pStyle w:val="Casestudyorexample"/>
      </w:pPr>
      <w:r w:rsidRPr="00880275">
        <w:t>The Land Court of Queensland considered the cultural rights of First Nations witnesses who wished to give evidence ‘on country’ in a mining objections hearing. The Court found that the inconvenience and cost of an ‘on country’ hearing did not justify the limitation on cultural rights that would result if the evidence were confined to witness statements.</w:t>
      </w:r>
      <w:r w:rsidRPr="00880275">
        <w:rPr>
          <w:rStyle w:val="FootnoteReference"/>
          <w:lang w:val="en-GB"/>
        </w:rPr>
        <w:footnoteReference w:id="75"/>
      </w:r>
    </w:p>
    <w:p w14:paraId="2977D88C" w14:textId="5BE3F9F6" w:rsidR="00297A78" w:rsidRPr="00880275" w:rsidRDefault="00297A78" w:rsidP="001B5048">
      <w:pPr>
        <w:pStyle w:val="Heading3"/>
      </w:pPr>
      <w:bookmarkStart w:id="53" w:name="_Toc171346788"/>
      <w:r w:rsidRPr="00880275">
        <w:t>Access to the court and remedies</w:t>
      </w:r>
      <w:bookmarkEnd w:id="53"/>
    </w:p>
    <w:p w14:paraId="664EDB07" w14:textId="5623D947" w:rsidR="00916707" w:rsidRPr="00880275" w:rsidRDefault="007667A0" w:rsidP="00754FAE">
      <w:pPr>
        <w:pStyle w:val="Numberedparagraph"/>
      </w:pPr>
      <w:r w:rsidRPr="00880275">
        <w:t xml:space="preserve">At present, court processes for breaches of human rights can only be accessed </w:t>
      </w:r>
      <w:r w:rsidR="007408DF" w:rsidRPr="00880275">
        <w:t xml:space="preserve">by </w:t>
      </w:r>
      <w:r w:rsidR="000F34D0" w:rsidRPr="00880275">
        <w:t>‘</w:t>
      </w:r>
      <w:r w:rsidR="0070624F" w:rsidRPr="00880275">
        <w:t>piggy</w:t>
      </w:r>
      <w:r w:rsidR="00B17B93" w:rsidRPr="00880275">
        <w:t>-</w:t>
      </w:r>
      <w:r w:rsidR="0070624F" w:rsidRPr="00880275">
        <w:t>backing</w:t>
      </w:r>
      <w:r w:rsidR="000F34D0" w:rsidRPr="00880275">
        <w:t>’</w:t>
      </w:r>
      <w:r w:rsidR="0070624F" w:rsidRPr="00880275">
        <w:t xml:space="preserve"> </w:t>
      </w:r>
      <w:r w:rsidR="0099369A" w:rsidRPr="00880275">
        <w:t xml:space="preserve">on </w:t>
      </w:r>
      <w:r w:rsidR="000F34D0" w:rsidRPr="00880275">
        <w:t>another type of legal action</w:t>
      </w:r>
      <w:r w:rsidRPr="00880275">
        <w:t>.</w:t>
      </w:r>
      <w:r w:rsidR="007408DF" w:rsidRPr="00880275">
        <w:rPr>
          <w:rStyle w:val="FootnoteReference"/>
        </w:rPr>
        <w:footnoteReference w:id="76"/>
      </w:r>
      <w:r w:rsidRPr="00880275">
        <w:t xml:space="preserve"> </w:t>
      </w:r>
      <w:r w:rsidR="00916707" w:rsidRPr="00880275">
        <w:t xml:space="preserve">This submission has already </w:t>
      </w:r>
      <w:r w:rsidR="00B205A3" w:rsidRPr="00880275">
        <w:t xml:space="preserve">detailed reasons why </w:t>
      </w:r>
      <w:r w:rsidR="00D6175A" w:rsidRPr="00880275">
        <w:t xml:space="preserve">this should be supplemented by </w:t>
      </w:r>
      <w:r w:rsidR="001F313C" w:rsidRPr="00880275">
        <w:t>a</w:t>
      </w:r>
      <w:r w:rsidR="001F313C" w:rsidRPr="00880275" w:rsidDel="00EE0363">
        <w:t xml:space="preserve"> </w:t>
      </w:r>
      <w:r w:rsidR="00EE0363" w:rsidRPr="00880275">
        <w:t>stand</w:t>
      </w:r>
      <w:r w:rsidR="00E90640" w:rsidRPr="00880275">
        <w:t>alone</w:t>
      </w:r>
      <w:r w:rsidR="00EE0363" w:rsidRPr="00880275">
        <w:t xml:space="preserve"> </w:t>
      </w:r>
      <w:r w:rsidR="001F313C" w:rsidRPr="00880275">
        <w:t>cause of action to the courts</w:t>
      </w:r>
      <w:r w:rsidRPr="00880275">
        <w:t>, expanded access to remedies</w:t>
      </w:r>
      <w:r w:rsidR="008A62A8" w:rsidRPr="00880275">
        <w:t xml:space="preserve">, and </w:t>
      </w:r>
      <w:r w:rsidR="00D03C5E" w:rsidRPr="00880275">
        <w:t>corresponding</w:t>
      </w:r>
      <w:r w:rsidR="008A62A8" w:rsidRPr="00880275">
        <w:t xml:space="preserve"> resourcing of legal advocacy</w:t>
      </w:r>
      <w:r w:rsidRPr="00880275">
        <w:t xml:space="preserve">. </w:t>
      </w:r>
      <w:r w:rsidR="00401664" w:rsidRPr="00880275">
        <w:t xml:space="preserve">See </w:t>
      </w:r>
      <w:r w:rsidR="00401664" w:rsidRPr="00880275">
        <w:rPr>
          <w:b/>
          <w:bCs/>
        </w:rPr>
        <w:t>Recommendations 2.3 to 2.5</w:t>
      </w:r>
      <w:r w:rsidR="00401664" w:rsidRPr="00880275">
        <w:t xml:space="preserve"> dealing with enhanced access to the courts.</w:t>
      </w:r>
    </w:p>
    <w:p w14:paraId="0633D526" w14:textId="4A8262BB" w:rsidR="006B50A1" w:rsidRPr="00880275" w:rsidRDefault="00B05187" w:rsidP="00C20B7C">
      <w:pPr>
        <w:pStyle w:val="Heading3"/>
      </w:pPr>
      <w:bookmarkStart w:id="54" w:name="_Toc171346789"/>
      <w:r w:rsidRPr="00880275">
        <w:t xml:space="preserve">Development of a Human Rights Act </w:t>
      </w:r>
      <w:proofErr w:type="spellStart"/>
      <w:r w:rsidRPr="00880275">
        <w:t>benchbook</w:t>
      </w:r>
      <w:bookmarkEnd w:id="54"/>
      <w:proofErr w:type="spellEnd"/>
    </w:p>
    <w:p w14:paraId="5E3A7EE5" w14:textId="105876F0" w:rsidR="0000228A" w:rsidRPr="00880275" w:rsidRDefault="00B173B9" w:rsidP="00754FAE">
      <w:pPr>
        <w:pStyle w:val="Numberedparagraph"/>
      </w:pPr>
      <w:r w:rsidRPr="00880275">
        <w:t xml:space="preserve">The Commission </w:t>
      </w:r>
      <w:r w:rsidR="00D00D95" w:rsidRPr="00880275">
        <w:t>calls</w:t>
      </w:r>
      <w:r w:rsidRPr="00880275">
        <w:t xml:space="preserve"> </w:t>
      </w:r>
      <w:r w:rsidR="0058341D" w:rsidRPr="00880275">
        <w:t xml:space="preserve">for </w:t>
      </w:r>
      <w:r w:rsidR="000E54FD" w:rsidRPr="00880275">
        <w:t xml:space="preserve">the development </w:t>
      </w:r>
      <w:r w:rsidR="001E3792" w:rsidRPr="00880275">
        <w:t xml:space="preserve">and maintenance </w:t>
      </w:r>
      <w:r w:rsidR="000E54FD" w:rsidRPr="00880275">
        <w:t xml:space="preserve">of a Human Rights Act </w:t>
      </w:r>
      <w:proofErr w:type="spellStart"/>
      <w:r w:rsidR="000E54FD" w:rsidRPr="00880275">
        <w:t>benchbook</w:t>
      </w:r>
      <w:proofErr w:type="spellEnd"/>
      <w:r w:rsidR="000E54FD" w:rsidRPr="00880275">
        <w:t xml:space="preserve"> </w:t>
      </w:r>
      <w:proofErr w:type="gramStart"/>
      <w:r w:rsidR="0000228A" w:rsidRPr="00880275">
        <w:t>similar to</w:t>
      </w:r>
      <w:proofErr w:type="gramEnd"/>
      <w:r w:rsidR="0000228A" w:rsidRPr="00880275">
        <w:t xml:space="preserve"> in the Judicial College of Victoria’s </w:t>
      </w:r>
      <w:r w:rsidR="0000228A" w:rsidRPr="00880275">
        <w:rPr>
          <w:i/>
          <w:iCs/>
        </w:rPr>
        <w:t>Charter of Human Rights Bench Book</w:t>
      </w:r>
      <w:r w:rsidR="0000228A" w:rsidRPr="00880275">
        <w:t xml:space="preserve"> </w:t>
      </w:r>
      <w:r w:rsidR="00BB423A" w:rsidRPr="00880275">
        <w:t xml:space="preserve">to assist </w:t>
      </w:r>
      <w:r w:rsidR="0000228A" w:rsidRPr="00880275">
        <w:t>consideration of the Act in courts and tribunals</w:t>
      </w:r>
      <w:r w:rsidR="004A3E92" w:rsidRPr="00880275">
        <w:t xml:space="preserve">, as well as </w:t>
      </w:r>
      <w:r w:rsidR="00097B84" w:rsidRPr="00880275">
        <w:t>by</w:t>
      </w:r>
      <w:r w:rsidR="004A3E92" w:rsidRPr="00880275">
        <w:t xml:space="preserve"> legal advocates</w:t>
      </w:r>
      <w:r w:rsidR="0000228A" w:rsidRPr="00880275">
        <w:t>.</w:t>
      </w:r>
      <w:r w:rsidR="00D00D95" w:rsidRPr="00880275">
        <w:t xml:space="preserve"> See </w:t>
      </w:r>
      <w:r w:rsidR="000C101E" w:rsidRPr="00880275">
        <w:rPr>
          <w:b/>
          <w:bCs/>
        </w:rPr>
        <w:t>R</w:t>
      </w:r>
      <w:r w:rsidR="00D00D95" w:rsidRPr="00880275">
        <w:rPr>
          <w:b/>
          <w:bCs/>
        </w:rPr>
        <w:t>ecommendation 1.11</w:t>
      </w:r>
      <w:r w:rsidR="00401664" w:rsidRPr="00880275">
        <w:t>.</w:t>
      </w:r>
    </w:p>
    <w:p w14:paraId="72720D01" w14:textId="116464B0" w:rsidR="006C70C5" w:rsidRPr="00880275" w:rsidRDefault="006C70C5" w:rsidP="006C70C5">
      <w:pPr>
        <w:pStyle w:val="Heading3"/>
      </w:pPr>
      <w:bookmarkStart w:id="55" w:name="_Toc171346790"/>
      <w:r w:rsidRPr="00880275">
        <w:lastRenderedPageBreak/>
        <w:t xml:space="preserve">Role of </w:t>
      </w:r>
      <w:r w:rsidR="00F91A43" w:rsidRPr="00880275">
        <w:t>i</w:t>
      </w:r>
      <w:r w:rsidRPr="00880275">
        <w:t>nterveners</w:t>
      </w:r>
      <w:bookmarkEnd w:id="55"/>
      <w:r w:rsidRPr="00880275">
        <w:t xml:space="preserve"> </w:t>
      </w:r>
    </w:p>
    <w:p w14:paraId="1C69D72D" w14:textId="42262368" w:rsidR="006C70C5" w:rsidRPr="00880275" w:rsidRDefault="006C70C5" w:rsidP="00754FAE">
      <w:pPr>
        <w:pStyle w:val="Numberedparagraph"/>
      </w:pPr>
      <w:r w:rsidRPr="00880275">
        <w:t xml:space="preserve">Under </w:t>
      </w:r>
      <w:r w:rsidR="00576176" w:rsidRPr="00880275">
        <w:t xml:space="preserve">current </w:t>
      </w:r>
      <w:r w:rsidRPr="00880275">
        <w:t xml:space="preserve">sections 50 and 51, the </w:t>
      </w:r>
      <w:r w:rsidR="00881F90" w:rsidRPr="00880275">
        <w:t>Commission</w:t>
      </w:r>
      <w:r w:rsidRPr="00880275">
        <w:t xml:space="preserve"> and the Attorney-General may intervene in legal proceedings.</w:t>
      </w:r>
      <w:r w:rsidRPr="00880275">
        <w:rPr>
          <w:rStyle w:val="FootnoteReference"/>
        </w:rPr>
        <w:footnoteReference w:id="77"/>
      </w:r>
      <w:r w:rsidRPr="00880275">
        <w:t xml:space="preserve"> Since the commencement of the Act, the </w:t>
      </w:r>
      <w:r w:rsidR="00881F90" w:rsidRPr="00880275">
        <w:t>Commission</w:t>
      </w:r>
      <w:r w:rsidRPr="00880275">
        <w:t xml:space="preserve"> and the Attorney-General have intervened in an average of </w:t>
      </w:r>
      <w:r w:rsidR="00050425" w:rsidRPr="00880275">
        <w:t xml:space="preserve">4 </w:t>
      </w:r>
      <w:r w:rsidRPr="00880275">
        <w:t>to</w:t>
      </w:r>
      <w:r w:rsidRPr="00880275" w:rsidDel="00050425">
        <w:t xml:space="preserve"> </w:t>
      </w:r>
      <w:r w:rsidR="00050425" w:rsidRPr="00880275">
        <w:t xml:space="preserve">5 </w:t>
      </w:r>
      <w:r w:rsidRPr="00880275">
        <w:t>matters per year.</w:t>
      </w:r>
      <w:r w:rsidR="00D85A70" w:rsidRPr="00880275">
        <w:rPr>
          <w:rStyle w:val="FootnoteReference"/>
        </w:rPr>
        <w:footnoteReference w:id="78"/>
      </w:r>
      <w:r w:rsidRPr="00880275">
        <w:t xml:space="preserve"> While common, the </w:t>
      </w:r>
      <w:r w:rsidR="00881F90" w:rsidRPr="00880275">
        <w:t>Commission</w:t>
      </w:r>
      <w:r w:rsidRPr="00880275">
        <w:t xml:space="preserve"> and the Attorney-General do not always intervene in the same matters. </w:t>
      </w:r>
    </w:p>
    <w:p w14:paraId="7B4D0C9F" w14:textId="37C54866" w:rsidR="001E5E5B" w:rsidRPr="00880275" w:rsidRDefault="006C70C5" w:rsidP="00754FAE">
      <w:pPr>
        <w:pStyle w:val="Numberedparagraph"/>
      </w:pPr>
      <w:r w:rsidRPr="00880275">
        <w:t xml:space="preserve">The </w:t>
      </w:r>
      <w:r w:rsidR="001B6F81" w:rsidRPr="00880275">
        <w:t xml:space="preserve">Commission </w:t>
      </w:r>
      <w:r w:rsidR="00D04F66" w:rsidRPr="00880275">
        <w:t xml:space="preserve">sees </w:t>
      </w:r>
      <w:r w:rsidR="001B6F81" w:rsidRPr="00880275">
        <w:t xml:space="preserve">its role as intervener </w:t>
      </w:r>
      <w:r w:rsidR="00E044BA" w:rsidRPr="00880275">
        <w:t>as</w:t>
      </w:r>
      <w:r w:rsidR="00D04F66" w:rsidRPr="00880275">
        <w:t xml:space="preserve"> an independent and expert advocate for the Human Rights Act</w:t>
      </w:r>
      <w:r w:rsidR="001475BC" w:rsidRPr="00880275">
        <w:t xml:space="preserve"> and to assist </w:t>
      </w:r>
      <w:r w:rsidRPr="00880275">
        <w:t xml:space="preserve">courts, tribunals, and parties understand the application of </w:t>
      </w:r>
      <w:r w:rsidR="007D5C93" w:rsidRPr="00880275">
        <w:t>human rights</w:t>
      </w:r>
      <w:r w:rsidRPr="00880275">
        <w:t>.</w:t>
      </w:r>
      <w:r w:rsidR="00741931" w:rsidRPr="00880275">
        <w:rPr>
          <w:rStyle w:val="FootnoteReference"/>
        </w:rPr>
        <w:footnoteReference w:id="79"/>
      </w:r>
      <w:r w:rsidRPr="00880275">
        <w:t xml:space="preserve"> Often parties refine their submissions and positions throughout the proceeding having had the benefit of submissions from the </w:t>
      </w:r>
      <w:r w:rsidR="00881F90" w:rsidRPr="00880275">
        <w:t>Commission</w:t>
      </w:r>
      <w:r w:rsidRPr="00880275">
        <w:t xml:space="preserve"> and </w:t>
      </w:r>
      <w:r w:rsidR="34C300D3" w:rsidRPr="00880275">
        <w:t xml:space="preserve">or </w:t>
      </w:r>
      <w:r w:rsidRPr="00880275">
        <w:t xml:space="preserve">Attorney-General. The </w:t>
      </w:r>
      <w:r w:rsidR="00881F90" w:rsidRPr="00880275">
        <w:t>Commission</w:t>
      </w:r>
      <w:r w:rsidRPr="00880275">
        <w:t xml:space="preserve">’s practice is to publish its court submissions whenever possible to </w:t>
      </w:r>
      <w:r w:rsidR="008455DD" w:rsidRPr="00880275">
        <w:t>further promote public discussion and understanding of human rights and the Act in Queensland.</w:t>
      </w:r>
      <w:r w:rsidR="00E2491C" w:rsidRPr="00880275">
        <w:rPr>
          <w:rStyle w:val="FootnoteReference"/>
        </w:rPr>
        <w:footnoteReference w:id="80"/>
      </w:r>
      <w:r w:rsidR="0031333C" w:rsidRPr="00880275">
        <w:t xml:space="preserve"> The Commission is unaware </w:t>
      </w:r>
      <w:r w:rsidR="00DA2E00" w:rsidRPr="00880275">
        <w:t xml:space="preserve">of </w:t>
      </w:r>
      <w:r w:rsidR="00644D95" w:rsidRPr="00880275">
        <w:t xml:space="preserve">any </w:t>
      </w:r>
      <w:r w:rsidR="00DA2E00" w:rsidRPr="00880275">
        <w:t xml:space="preserve">concerns </w:t>
      </w:r>
      <w:r w:rsidR="00790513" w:rsidRPr="00880275">
        <w:t xml:space="preserve">raised regarding its involvement in court proceedings as intervener. </w:t>
      </w:r>
    </w:p>
    <w:p w14:paraId="1192EA92" w14:textId="5BF50E46" w:rsidR="00790513" w:rsidRPr="00880275" w:rsidRDefault="00790513" w:rsidP="00790513">
      <w:pPr>
        <w:pStyle w:val="Heading4"/>
      </w:pPr>
      <w:r w:rsidRPr="00880275">
        <w:t>Access to court materials</w:t>
      </w:r>
    </w:p>
    <w:p w14:paraId="1E7A968C" w14:textId="6EEA0F8F" w:rsidR="00DB4D5C" w:rsidRPr="00880275" w:rsidRDefault="00FD3A80" w:rsidP="00754FAE">
      <w:pPr>
        <w:pStyle w:val="Numberedparagraph"/>
      </w:pPr>
      <w:r w:rsidRPr="00880275">
        <w:t xml:space="preserve">Parties to </w:t>
      </w:r>
      <w:r w:rsidR="00E25698" w:rsidRPr="00880275">
        <w:t>Supreme, District, Land</w:t>
      </w:r>
      <w:r w:rsidR="009D51A6" w:rsidRPr="00880275">
        <w:t>,</w:t>
      </w:r>
      <w:r w:rsidR="00E25698" w:rsidRPr="00880275">
        <w:t xml:space="preserve"> or Land </w:t>
      </w:r>
      <w:r w:rsidR="009D51A6" w:rsidRPr="00880275">
        <w:t>A</w:t>
      </w:r>
      <w:r w:rsidR="00E25698" w:rsidRPr="00880275">
        <w:t xml:space="preserve">ppeal </w:t>
      </w:r>
      <w:r w:rsidR="009D51A6" w:rsidRPr="00880275">
        <w:t>C</w:t>
      </w:r>
      <w:r w:rsidR="00E25698" w:rsidRPr="00880275">
        <w:t xml:space="preserve">ourt proceedings are required to give notice to the Attorney-General and </w:t>
      </w:r>
      <w:r w:rsidR="00E9106E" w:rsidRPr="00880275">
        <w:t>C</w:t>
      </w:r>
      <w:r w:rsidR="00E25698" w:rsidRPr="00880275">
        <w:t xml:space="preserve">ommission </w:t>
      </w:r>
      <w:r w:rsidR="00171BFD" w:rsidRPr="00880275">
        <w:t xml:space="preserve">if a question of law arises </w:t>
      </w:r>
      <w:r w:rsidR="00E9106E" w:rsidRPr="00880275">
        <w:t>that relates to the application of the Human Rights Act, or a question</w:t>
      </w:r>
      <w:r w:rsidR="00A06A79" w:rsidRPr="00880275">
        <w:t xml:space="preserve"> arises in relation to the interpretation of a statutory provision in accordance with the Act. </w:t>
      </w:r>
      <w:r w:rsidR="005463C0" w:rsidRPr="00880275">
        <w:t xml:space="preserve">This does not </w:t>
      </w:r>
      <w:r w:rsidR="00DB4D5C" w:rsidRPr="00880275">
        <w:t xml:space="preserve">prevent matters in other jurisdictions </w:t>
      </w:r>
      <w:r w:rsidR="00C355BC" w:rsidRPr="00880275">
        <w:t xml:space="preserve">from </w:t>
      </w:r>
      <w:r w:rsidR="0048602E" w:rsidRPr="00880275">
        <w:t>being drawn to the Commission and Attorney-General</w:t>
      </w:r>
      <w:r w:rsidR="00C355BC" w:rsidRPr="00880275">
        <w:t>’s attention for possible intervention.</w:t>
      </w:r>
    </w:p>
    <w:p w14:paraId="6B8B4546" w14:textId="0BA65450" w:rsidR="00A06A79" w:rsidRPr="00880275" w:rsidRDefault="00A06A79" w:rsidP="00754FAE">
      <w:pPr>
        <w:pStyle w:val="Numberedparagraph"/>
      </w:pPr>
      <w:r w:rsidRPr="00880275">
        <w:t xml:space="preserve">The </w:t>
      </w:r>
      <w:r w:rsidR="00BD6374" w:rsidRPr="00880275">
        <w:t xml:space="preserve">information in the notice is generally insufficient for the Commission to </w:t>
      </w:r>
      <w:proofErr w:type="gramStart"/>
      <w:r w:rsidR="00BD6374" w:rsidRPr="00880275">
        <w:t>make a decision</w:t>
      </w:r>
      <w:proofErr w:type="gramEnd"/>
      <w:r w:rsidR="00BD6374" w:rsidRPr="00880275">
        <w:t xml:space="preserve"> on whether or not to intervene. </w:t>
      </w:r>
    </w:p>
    <w:p w14:paraId="413796C3" w14:textId="77CB7620" w:rsidR="0097791A" w:rsidRPr="00880275" w:rsidRDefault="0097791A" w:rsidP="00754FAE">
      <w:pPr>
        <w:pStyle w:val="Numberedparagraph"/>
      </w:pPr>
      <w:r w:rsidRPr="00880275">
        <w:t>In most cases, parties are willing to provide the Commission with relevant documentation. Alternatively, court and tribunal files are usually able to be viewed by the Commission (although sometimes an access fee applies).</w:t>
      </w:r>
    </w:p>
    <w:p w14:paraId="1487C35B" w14:textId="2CAEF2FE" w:rsidR="0097791A" w:rsidRPr="00880275" w:rsidRDefault="0097791A" w:rsidP="00754FAE">
      <w:pPr>
        <w:pStyle w:val="Numberedparagraph"/>
      </w:pPr>
      <w:r w:rsidRPr="00880275">
        <w:t xml:space="preserve">However, </w:t>
      </w:r>
      <w:r w:rsidR="008C06D5" w:rsidRPr="00880275">
        <w:t xml:space="preserve">court and tribunal documents </w:t>
      </w:r>
      <w:r w:rsidR="001173D8" w:rsidRPr="00880275">
        <w:t xml:space="preserve">in some types of matters are subject to confidentiality provisions. </w:t>
      </w:r>
      <w:r w:rsidR="00E917E3" w:rsidRPr="00880275">
        <w:t>This includes, f</w:t>
      </w:r>
      <w:r w:rsidR="00391249" w:rsidRPr="00880275">
        <w:t xml:space="preserve">or example, </w:t>
      </w:r>
      <w:r w:rsidR="00C52323" w:rsidRPr="00880275">
        <w:t xml:space="preserve">material in </w:t>
      </w:r>
      <w:r w:rsidR="007451F6" w:rsidRPr="00880275">
        <w:t>mental health, child protection</w:t>
      </w:r>
      <w:r w:rsidR="000D28D4" w:rsidRPr="00880275">
        <w:t>,</w:t>
      </w:r>
      <w:r w:rsidR="007451F6" w:rsidRPr="00880275">
        <w:t xml:space="preserve"> and restrictive practices </w:t>
      </w:r>
      <w:r w:rsidR="00841177" w:rsidRPr="00880275">
        <w:t xml:space="preserve">proceedings. </w:t>
      </w:r>
      <w:r w:rsidR="005463C0" w:rsidRPr="00880275">
        <w:t xml:space="preserve">This can make it complex for advocates </w:t>
      </w:r>
      <w:r w:rsidR="00E32FB5" w:rsidRPr="00880275">
        <w:t xml:space="preserve">who wish to notify the Commission of the </w:t>
      </w:r>
      <w:proofErr w:type="gramStart"/>
      <w:r w:rsidR="00E32FB5" w:rsidRPr="00880275">
        <w:t>proceedings, but</w:t>
      </w:r>
      <w:proofErr w:type="gramEnd"/>
      <w:r w:rsidR="00E32FB5" w:rsidRPr="00880275">
        <w:t xml:space="preserve"> are conscious of their confidentiality obligations under other laws. </w:t>
      </w:r>
      <w:r w:rsidR="000D28D4" w:rsidRPr="00880275">
        <w:t>Also</w:t>
      </w:r>
      <w:r w:rsidR="009D7EA2" w:rsidRPr="00880275">
        <w:t xml:space="preserve">, </w:t>
      </w:r>
      <w:r w:rsidR="00B14B30" w:rsidRPr="00880275">
        <w:t xml:space="preserve">it </w:t>
      </w:r>
      <w:r w:rsidR="00B14B30" w:rsidRPr="00880275">
        <w:lastRenderedPageBreak/>
        <w:t xml:space="preserve">may not be possible for the </w:t>
      </w:r>
      <w:r w:rsidR="009D7EA2" w:rsidRPr="00880275">
        <w:t>Commission to properly consider whether to intervene without access to relevant court material.</w:t>
      </w:r>
      <w:r w:rsidR="00570CC9" w:rsidRPr="00880275">
        <w:t xml:space="preserve"> </w:t>
      </w:r>
      <w:r w:rsidR="00E93A64" w:rsidRPr="00880275">
        <w:t xml:space="preserve">Accessing material </w:t>
      </w:r>
      <w:r w:rsidR="00C802B0" w:rsidRPr="00880275">
        <w:t>may require an order of the court</w:t>
      </w:r>
      <w:r w:rsidR="00C72CA1" w:rsidRPr="00880275">
        <w:t xml:space="preserve"> or tribunal</w:t>
      </w:r>
      <w:r w:rsidR="00570CC9" w:rsidRPr="00880275">
        <w:t xml:space="preserve">, </w:t>
      </w:r>
      <w:r w:rsidR="0081040D" w:rsidRPr="00880275">
        <w:t xml:space="preserve">adding </w:t>
      </w:r>
      <w:r w:rsidR="00E93A64" w:rsidRPr="00880275">
        <w:t>time and cost.</w:t>
      </w:r>
    </w:p>
    <w:p w14:paraId="1CD04131" w14:textId="05C7F67C" w:rsidR="00715ED2" w:rsidRPr="00880275" w:rsidRDefault="00715ED2" w:rsidP="00754FAE">
      <w:pPr>
        <w:pStyle w:val="Numberedparagraph"/>
      </w:pPr>
      <w:r w:rsidRPr="00880275">
        <w:t xml:space="preserve">Consideration should be given to how </w:t>
      </w:r>
      <w:r w:rsidR="00A16E5B" w:rsidRPr="00880275">
        <w:t xml:space="preserve">access to </w:t>
      </w:r>
      <w:r w:rsidR="0025247B" w:rsidRPr="00880275">
        <w:t xml:space="preserve">court and tribunal </w:t>
      </w:r>
      <w:r w:rsidRPr="00880275">
        <w:t xml:space="preserve">proceeding information </w:t>
      </w:r>
      <w:r w:rsidR="004508F5" w:rsidRPr="00880275">
        <w:t xml:space="preserve">can be improved for the </w:t>
      </w:r>
      <w:r w:rsidRPr="00880275">
        <w:t>Commission and Attorney-General</w:t>
      </w:r>
      <w:r w:rsidR="004508F5" w:rsidRPr="00880275">
        <w:t xml:space="preserve"> for the purpose of exercising intervention</w:t>
      </w:r>
      <w:r w:rsidR="00C71858" w:rsidRPr="00880275">
        <w:t xml:space="preserve"> functions</w:t>
      </w:r>
      <w:r w:rsidR="004508F5" w:rsidRPr="00880275">
        <w:t xml:space="preserve">. </w:t>
      </w:r>
    </w:p>
    <w:p w14:paraId="359DC0D9" w14:textId="77777777" w:rsidR="00F25E8E" w:rsidRPr="00880275" w:rsidRDefault="00F25E8E" w:rsidP="00754FAE">
      <w:pPr>
        <w:pStyle w:val="Heading5"/>
      </w:pPr>
      <w:r w:rsidRPr="00880275">
        <w:t>Recommendation 3.9</w:t>
      </w:r>
    </w:p>
    <w:p w14:paraId="4B68103A" w14:textId="77777777" w:rsidR="00C660AB" w:rsidRPr="00880275" w:rsidRDefault="00C660AB" w:rsidP="00754FAE">
      <w:pPr>
        <w:pStyle w:val="Heading5"/>
      </w:pPr>
      <w:r w:rsidRPr="00880275">
        <w:t xml:space="preserve">The Human Rights Act should be amended to facilitate the Commission’s and Attorney-General’s access to (confidential) court and tribunal proceeding information for the purpose of deciding whether to intervene in court or tribunal proceedings. </w:t>
      </w:r>
    </w:p>
    <w:p w14:paraId="5DE462E8" w14:textId="1C859313" w:rsidR="00790513" w:rsidRPr="00880275" w:rsidRDefault="00790513" w:rsidP="00790513">
      <w:pPr>
        <w:pStyle w:val="Heading4"/>
      </w:pPr>
      <w:r w:rsidRPr="00880275">
        <w:t>An amicus curiae role</w:t>
      </w:r>
    </w:p>
    <w:p w14:paraId="14905571" w14:textId="6BEA87D7" w:rsidR="00790513" w:rsidRPr="00880275" w:rsidRDefault="00790513" w:rsidP="00754FAE">
      <w:pPr>
        <w:pStyle w:val="Numberedparagraph"/>
      </w:pPr>
      <w:r w:rsidRPr="00880275">
        <w:t xml:space="preserve">The Commission’s </w:t>
      </w:r>
      <w:r w:rsidR="008D19BC" w:rsidRPr="00880275">
        <w:t xml:space="preserve">resources and </w:t>
      </w:r>
      <w:r w:rsidRPr="00880275">
        <w:t>capacity to intervene in court proceedings is limited.</w:t>
      </w:r>
      <w:r w:rsidR="008D19BC" w:rsidRPr="00880275">
        <w:t xml:space="preserve"> As a result, </w:t>
      </w:r>
      <w:r w:rsidR="00775B8C" w:rsidRPr="00880275">
        <w:t xml:space="preserve">the focus of the Commission’s interventions </w:t>
      </w:r>
      <w:r w:rsidR="000D28D4" w:rsidRPr="00880275">
        <w:t xml:space="preserve">has </w:t>
      </w:r>
      <w:r w:rsidR="00775B8C" w:rsidRPr="00880275">
        <w:t xml:space="preserve">been </w:t>
      </w:r>
      <w:r w:rsidR="00BC166C" w:rsidRPr="00880275">
        <w:t>in the superior courts</w:t>
      </w:r>
      <w:r w:rsidR="00775B8C" w:rsidRPr="00880275">
        <w:t xml:space="preserve">, where there is the potential </w:t>
      </w:r>
      <w:r w:rsidR="00B603B1" w:rsidRPr="00880275">
        <w:t xml:space="preserve">for </w:t>
      </w:r>
      <w:r w:rsidR="00775B8C" w:rsidRPr="00880275">
        <w:t>binding precedent.</w:t>
      </w:r>
      <w:r w:rsidR="00F25BB1" w:rsidRPr="00880275">
        <w:t xml:space="preserve"> </w:t>
      </w:r>
    </w:p>
    <w:p w14:paraId="5963B73F" w14:textId="30E4A71B" w:rsidR="008D19BC" w:rsidRPr="00880275" w:rsidRDefault="00F25BB1" w:rsidP="00754FAE">
      <w:pPr>
        <w:pStyle w:val="Numberedparagraph"/>
      </w:pPr>
      <w:r w:rsidRPr="00880275">
        <w:t xml:space="preserve">However, </w:t>
      </w:r>
      <w:r w:rsidR="000C72FB" w:rsidRPr="00880275">
        <w:t xml:space="preserve">the Commission’s expertise </w:t>
      </w:r>
      <w:r w:rsidR="007821D2" w:rsidRPr="00880275">
        <w:t xml:space="preserve">may </w:t>
      </w:r>
      <w:r w:rsidR="004A4472" w:rsidRPr="00880275">
        <w:t xml:space="preserve">also </w:t>
      </w:r>
      <w:r w:rsidR="008E7A63" w:rsidRPr="00880275">
        <w:t xml:space="preserve">be of assistance to </w:t>
      </w:r>
      <w:r w:rsidR="000C72FB" w:rsidRPr="00880275">
        <w:t>tribunal and lower court matters</w:t>
      </w:r>
      <w:r w:rsidR="000065B6" w:rsidRPr="00880275">
        <w:t xml:space="preserve"> in which human rights issues regularly arise. For example, bail</w:t>
      </w:r>
      <w:r w:rsidR="007D429C" w:rsidRPr="00880275">
        <w:t xml:space="preserve">, </w:t>
      </w:r>
      <w:r w:rsidR="00C722D3" w:rsidRPr="00880275">
        <w:t xml:space="preserve">civil </w:t>
      </w:r>
      <w:r w:rsidR="007D429C" w:rsidRPr="00880275">
        <w:t xml:space="preserve">restrictions on </w:t>
      </w:r>
      <w:r w:rsidR="00816971" w:rsidRPr="00880275">
        <w:t xml:space="preserve">liberty, self-determination, </w:t>
      </w:r>
      <w:r w:rsidR="006F009C" w:rsidRPr="00880275">
        <w:t>matters concerning children</w:t>
      </w:r>
      <w:r w:rsidR="00F617F2" w:rsidRPr="00880275">
        <w:t xml:space="preserve">, </w:t>
      </w:r>
      <w:r w:rsidR="00813449" w:rsidRPr="00880275">
        <w:t>and discrimination</w:t>
      </w:r>
      <w:r w:rsidR="00F617F2" w:rsidRPr="00880275">
        <w:t xml:space="preserve"> are all </w:t>
      </w:r>
      <w:r w:rsidR="00BF3694" w:rsidRPr="00880275">
        <w:t>generally heard by tribunals and lower courts</w:t>
      </w:r>
      <w:r w:rsidR="00976386" w:rsidRPr="00880275">
        <w:t>.</w:t>
      </w:r>
    </w:p>
    <w:p w14:paraId="6F7D4ED9" w14:textId="77777777" w:rsidR="000A6DDB" w:rsidRPr="00880275" w:rsidRDefault="00006FA8" w:rsidP="00754FAE">
      <w:pPr>
        <w:pStyle w:val="Numberedparagraph"/>
      </w:pPr>
      <w:r w:rsidRPr="00880275">
        <w:t xml:space="preserve">To enable the Commission to </w:t>
      </w:r>
      <w:r w:rsidR="002C12B8" w:rsidRPr="00880275">
        <w:t xml:space="preserve">assist </w:t>
      </w:r>
      <w:r w:rsidRPr="00880275">
        <w:t xml:space="preserve">in more matters, </w:t>
      </w:r>
      <w:r w:rsidR="00702454" w:rsidRPr="00880275">
        <w:t xml:space="preserve">one option is </w:t>
      </w:r>
      <w:r w:rsidR="0017413B" w:rsidRPr="00880275">
        <w:t xml:space="preserve">to allow </w:t>
      </w:r>
      <w:r w:rsidR="00184155" w:rsidRPr="00880275">
        <w:t xml:space="preserve">the Commission to be involved in proceedings as </w:t>
      </w:r>
      <w:r w:rsidR="00184155" w:rsidRPr="00880275">
        <w:rPr>
          <w:i/>
        </w:rPr>
        <w:t xml:space="preserve">amicus </w:t>
      </w:r>
      <w:r w:rsidR="00E71FDC" w:rsidRPr="00880275">
        <w:rPr>
          <w:i/>
        </w:rPr>
        <w:t>curiae</w:t>
      </w:r>
      <w:r w:rsidR="00184155" w:rsidRPr="00880275">
        <w:t>. Instead of intervening and becoming a party to proceedings</w:t>
      </w:r>
      <w:r w:rsidR="00E71FDC" w:rsidRPr="00880275">
        <w:t xml:space="preserve"> with all the </w:t>
      </w:r>
      <w:r w:rsidR="00AB14D8" w:rsidRPr="00880275">
        <w:t>rights and responsibilities that entails</w:t>
      </w:r>
      <w:r w:rsidR="00184155" w:rsidRPr="00880275">
        <w:t>,</w:t>
      </w:r>
      <w:r w:rsidR="00AB14D8" w:rsidRPr="00880275">
        <w:t xml:space="preserve"> an </w:t>
      </w:r>
      <w:r w:rsidR="00AB14D8" w:rsidRPr="00880275">
        <w:rPr>
          <w:i/>
        </w:rPr>
        <w:t>amicus curiae’s</w:t>
      </w:r>
      <w:r w:rsidR="00AB14D8" w:rsidRPr="00880275">
        <w:t xml:space="preserve"> role </w:t>
      </w:r>
      <w:r w:rsidR="003B2AA1" w:rsidRPr="00880275">
        <w:t xml:space="preserve">is limited to assisting the court on points of law. </w:t>
      </w:r>
      <w:r w:rsidR="009D19C8" w:rsidRPr="00880275">
        <w:t>This means that the Commission may be able to confine its role to written submissions on specific issues</w:t>
      </w:r>
      <w:r w:rsidR="000A6DDB" w:rsidRPr="00880275">
        <w:t xml:space="preserve">. </w:t>
      </w:r>
    </w:p>
    <w:p w14:paraId="48534B60" w14:textId="49141130" w:rsidR="00353A1F" w:rsidRPr="00880275" w:rsidRDefault="000A6DDB" w:rsidP="00754FAE">
      <w:pPr>
        <w:pStyle w:val="Numberedparagraph"/>
      </w:pPr>
      <w:r w:rsidRPr="00880275">
        <w:t xml:space="preserve">An example of an </w:t>
      </w:r>
      <w:r w:rsidRPr="00880275">
        <w:rPr>
          <w:i/>
        </w:rPr>
        <w:t>amicus curiae</w:t>
      </w:r>
      <w:r w:rsidRPr="00880275">
        <w:t xml:space="preserve"> function is </w:t>
      </w:r>
      <w:r w:rsidR="00F04F3B" w:rsidRPr="00880275">
        <w:t xml:space="preserve">contained in </w:t>
      </w:r>
      <w:r w:rsidR="00353A1F" w:rsidRPr="00880275">
        <w:t xml:space="preserve">section 46PV of the </w:t>
      </w:r>
      <w:r w:rsidR="00353A1F" w:rsidRPr="00880275">
        <w:rPr>
          <w:i/>
          <w:iCs/>
        </w:rPr>
        <w:t>Australian Human Rights Commission Act 1986</w:t>
      </w:r>
      <w:r w:rsidR="00353A1F" w:rsidRPr="00880275">
        <w:t xml:space="preserve"> (</w:t>
      </w:r>
      <w:proofErr w:type="spellStart"/>
      <w:r w:rsidR="00353A1F" w:rsidRPr="00880275">
        <w:t>Cth</w:t>
      </w:r>
      <w:proofErr w:type="spellEnd"/>
      <w:r w:rsidR="00353A1F" w:rsidRPr="00880275">
        <w:t xml:space="preserve">). </w:t>
      </w:r>
      <w:r w:rsidR="009D19C8" w:rsidRPr="00880275">
        <w:t xml:space="preserve"> </w:t>
      </w:r>
      <w:r w:rsidR="00353A1F" w:rsidRPr="00880275">
        <w:t xml:space="preserve">Federal </w:t>
      </w:r>
      <w:r w:rsidR="002A7225" w:rsidRPr="00880275">
        <w:t xml:space="preserve">human rights and discrimination </w:t>
      </w:r>
      <w:r w:rsidR="00353A1F" w:rsidRPr="00880275">
        <w:t xml:space="preserve">Commissioners, with the leave of the court, may assist the Federal Court and the Federal Court and Family Court of Australia as </w:t>
      </w:r>
      <w:r w:rsidR="00353A1F" w:rsidRPr="00880275">
        <w:rPr>
          <w:i/>
        </w:rPr>
        <w:t>amicus curiae</w:t>
      </w:r>
      <w:r w:rsidR="00353A1F" w:rsidRPr="00880275">
        <w:t xml:space="preserve"> in:</w:t>
      </w:r>
    </w:p>
    <w:p w14:paraId="7466D3F1" w14:textId="0784D980" w:rsidR="00BF3694" w:rsidRPr="00880275" w:rsidRDefault="00766239" w:rsidP="00754FAE">
      <w:pPr>
        <w:pStyle w:val="Numberedparagraph"/>
        <w:numPr>
          <w:ilvl w:val="0"/>
          <w:numId w:val="6"/>
        </w:numPr>
      </w:pPr>
      <w:r w:rsidRPr="00880275">
        <w:t>p</w:t>
      </w:r>
      <w:r w:rsidR="00353A1F" w:rsidRPr="00880275">
        <w:t xml:space="preserve">roceedings in which the outcome may </w:t>
      </w:r>
      <w:r w:rsidR="007F52AF" w:rsidRPr="00880275">
        <w:t xml:space="preserve">significantly </w:t>
      </w:r>
      <w:r w:rsidR="00353A1F" w:rsidRPr="00880275">
        <w:t>affect the human rights of persons who are not parties to the proceedings</w:t>
      </w:r>
    </w:p>
    <w:p w14:paraId="02A2CB0A" w14:textId="6AE02DBA" w:rsidR="00353A1F" w:rsidRPr="00880275" w:rsidRDefault="00766239" w:rsidP="00754FAE">
      <w:pPr>
        <w:pStyle w:val="Numberedparagraph"/>
        <w:numPr>
          <w:ilvl w:val="0"/>
          <w:numId w:val="6"/>
        </w:numPr>
      </w:pPr>
      <w:r w:rsidRPr="00880275">
        <w:t>p</w:t>
      </w:r>
      <w:r w:rsidR="00353A1F" w:rsidRPr="00880275">
        <w:t xml:space="preserve">roceedings that have significant implications for the administration of relevant human rights or </w:t>
      </w:r>
      <w:r w:rsidR="006E04E6" w:rsidRPr="00880275">
        <w:t>anti-</w:t>
      </w:r>
      <w:r w:rsidR="00353A1F" w:rsidRPr="00880275">
        <w:t>discrimination legislation</w:t>
      </w:r>
    </w:p>
    <w:p w14:paraId="71B891A4" w14:textId="18F48BF0" w:rsidR="00353A1F" w:rsidRPr="00880275" w:rsidRDefault="00766239" w:rsidP="00754FAE">
      <w:pPr>
        <w:pStyle w:val="Numberedparagraph"/>
        <w:numPr>
          <w:ilvl w:val="0"/>
          <w:numId w:val="6"/>
        </w:numPr>
      </w:pPr>
      <w:r w:rsidRPr="00880275">
        <w:t>p</w:t>
      </w:r>
      <w:r w:rsidR="00353A1F" w:rsidRPr="00880275">
        <w:t xml:space="preserve">roceedings that it would be in the public interest for the Commissioner to assist the court as </w:t>
      </w:r>
      <w:r w:rsidR="00353A1F" w:rsidRPr="00880275">
        <w:rPr>
          <w:i/>
        </w:rPr>
        <w:t>amicus curiae</w:t>
      </w:r>
      <w:r w:rsidR="00353A1F" w:rsidRPr="00880275">
        <w:t xml:space="preserve">. </w:t>
      </w:r>
    </w:p>
    <w:p w14:paraId="6DDF87E2" w14:textId="05C01978" w:rsidR="00643049" w:rsidRPr="00880275" w:rsidRDefault="006C7CCC" w:rsidP="00754FAE">
      <w:pPr>
        <w:pStyle w:val="Numberedparagraph"/>
      </w:pPr>
      <w:r w:rsidRPr="00880275">
        <w:lastRenderedPageBreak/>
        <w:t xml:space="preserve">A similar provision in Queensland would </w:t>
      </w:r>
      <w:r w:rsidR="00652DA4" w:rsidRPr="00880275">
        <w:t xml:space="preserve">further </w:t>
      </w:r>
      <w:r w:rsidRPr="00880275">
        <w:t xml:space="preserve">enable to the Commission to be </w:t>
      </w:r>
      <w:r w:rsidR="00A0172E" w:rsidRPr="00880275">
        <w:t xml:space="preserve">appropriately </w:t>
      </w:r>
      <w:r w:rsidRPr="00880275">
        <w:t xml:space="preserve">involved in a broader range of matters than is currently possibly under existing intervention provisions. </w:t>
      </w:r>
      <w:r w:rsidR="0C03273A" w:rsidRPr="00880275">
        <w:t xml:space="preserve">To be clear, any </w:t>
      </w:r>
      <w:r w:rsidR="0C03273A" w:rsidRPr="00880275">
        <w:rPr>
          <w:i/>
          <w:iCs/>
        </w:rPr>
        <w:t>amicus curiae</w:t>
      </w:r>
      <w:r w:rsidR="0C03273A" w:rsidRPr="00880275">
        <w:t xml:space="preserve"> role should be in addition to the existing intervention </w:t>
      </w:r>
      <w:r w:rsidR="2FA6F69E" w:rsidRPr="00880275">
        <w:t>powers.</w:t>
      </w:r>
    </w:p>
    <w:p w14:paraId="60979F8B" w14:textId="3EC83164" w:rsidR="00A8798D" w:rsidRPr="00880275" w:rsidRDefault="00A8798D" w:rsidP="00754FAE">
      <w:pPr>
        <w:pStyle w:val="Heading5"/>
      </w:pPr>
      <w:r w:rsidRPr="00880275">
        <w:t>Recommendation 3.1</w:t>
      </w:r>
      <w:r w:rsidR="00A12657" w:rsidRPr="00880275">
        <w:t>0</w:t>
      </w:r>
    </w:p>
    <w:p w14:paraId="7674C870" w14:textId="77777777" w:rsidR="000764CA" w:rsidRPr="00880275" w:rsidRDefault="000764CA" w:rsidP="00754FAE">
      <w:pPr>
        <w:pStyle w:val="Heading5"/>
      </w:pPr>
      <w:r w:rsidRPr="00880275">
        <w:t xml:space="preserve">The Human Rights Act should be amended to allow the Commission to act as an </w:t>
      </w:r>
      <w:proofErr w:type="gramStart"/>
      <w:r w:rsidRPr="00880275">
        <w:rPr>
          <w:i/>
          <w:iCs/>
        </w:rPr>
        <w:t>amicus curiae</w:t>
      </w:r>
      <w:proofErr w:type="gramEnd"/>
      <w:r w:rsidRPr="00880275">
        <w:t xml:space="preserve"> in court proceedings raising significant human rights issues, in addition to its existing intervention function. </w:t>
      </w:r>
    </w:p>
    <w:p w14:paraId="1A4C9CF7" w14:textId="7B6896F9" w:rsidR="004B495A" w:rsidRPr="00880275" w:rsidRDefault="6089CD96" w:rsidP="004B495A">
      <w:pPr>
        <w:pStyle w:val="Heading2"/>
      </w:pPr>
      <w:bookmarkStart w:id="56" w:name="_Toc171346791"/>
      <w:r w:rsidRPr="00880275">
        <w:t xml:space="preserve">(d) </w:t>
      </w:r>
      <w:r w:rsidR="004B495A" w:rsidRPr="00880275">
        <w:t>Public entity obligations</w:t>
      </w:r>
      <w:bookmarkEnd w:id="56"/>
    </w:p>
    <w:p w14:paraId="0D3FC45B" w14:textId="77777777" w:rsidR="00CA6C99" w:rsidRPr="00880275" w:rsidRDefault="00CA6C99" w:rsidP="00CA6C99">
      <w:pPr>
        <w:pStyle w:val="Heading3"/>
      </w:pPr>
      <w:bookmarkStart w:id="57" w:name="_Toc171346792"/>
      <w:r w:rsidRPr="00880275">
        <w:t>Include a duty to ensure participation</w:t>
      </w:r>
      <w:bookmarkEnd w:id="57"/>
    </w:p>
    <w:p w14:paraId="625C9C4A" w14:textId="31D502A4" w:rsidR="00CA6C99" w:rsidRPr="00880275" w:rsidRDefault="00CA6C99" w:rsidP="00754FAE">
      <w:pPr>
        <w:pStyle w:val="Numberedparagraph"/>
      </w:pPr>
      <w:r w:rsidRPr="00880275">
        <w:t xml:space="preserve">The federal Parliamentary Joint Committee on Human Rights recommended a national human rights </w:t>
      </w:r>
      <w:r w:rsidR="00766239" w:rsidRPr="00880275">
        <w:t>A</w:t>
      </w:r>
      <w:r w:rsidRPr="00880275">
        <w:t>ct and draft Bill which includes a ‘participation duty’.</w:t>
      </w:r>
      <w:r w:rsidRPr="00880275">
        <w:rPr>
          <w:vertAlign w:val="superscript"/>
        </w:rPr>
        <w:footnoteReference w:id="81"/>
      </w:r>
      <w:r w:rsidRPr="00880275">
        <w:t xml:space="preserve"> Public authorities would be required to ensure participation of First Nations peoples, children, and persons with disability when developing policies or making decisions that directly or disproportionately affect their rights.</w:t>
      </w:r>
      <w:r w:rsidRPr="00880275">
        <w:rPr>
          <w:rStyle w:val="FootnoteReference"/>
        </w:rPr>
        <w:footnoteReference w:id="82"/>
      </w:r>
      <w:r w:rsidRPr="00880275">
        <w:t xml:space="preserve"> Failing to enable participation may indicate a lack of proper consideration to human rights in decision-making, which would be unlawful. </w:t>
      </w:r>
    </w:p>
    <w:p w14:paraId="15E4BCCB" w14:textId="77777777" w:rsidR="00CA6C99" w:rsidRPr="00880275" w:rsidRDefault="00CA6C99" w:rsidP="00754FAE">
      <w:pPr>
        <w:pStyle w:val="Numberedparagraph"/>
      </w:pPr>
      <w:r w:rsidRPr="00880275">
        <w:t>The participation duty is drawn from international human rights instruments and applies differently to each of the groups as defined by those instruments.</w:t>
      </w:r>
    </w:p>
    <w:p w14:paraId="032B7F88" w14:textId="77777777" w:rsidR="00CA6C99" w:rsidRPr="00880275" w:rsidRDefault="00CA6C99" w:rsidP="00754FAE">
      <w:pPr>
        <w:pStyle w:val="Numberedparagraph"/>
      </w:pPr>
      <w:r w:rsidRPr="00880275">
        <w:t>For First Nations peoples, collective participation is necessary for realising rights to self-determination and associated cultural rights.</w:t>
      </w:r>
      <w:r w:rsidRPr="00880275">
        <w:rPr>
          <w:rStyle w:val="FootnoteReference"/>
        </w:rPr>
        <w:footnoteReference w:id="83"/>
      </w:r>
      <w:r w:rsidRPr="00880275">
        <w:t xml:space="preserve"> Truth and treaty processes are examples of implementation of the participation duty for First Nations people. </w:t>
      </w:r>
    </w:p>
    <w:p w14:paraId="36C83855" w14:textId="46EE415C" w:rsidR="00CA6C99" w:rsidRPr="00880275" w:rsidRDefault="00CA6C99" w:rsidP="00754FAE">
      <w:pPr>
        <w:pStyle w:val="Numberedparagraph"/>
      </w:pPr>
      <w:r w:rsidRPr="00880275">
        <w:t>Child participation is necessary for the best interests of the child and the child’s right to be heard.</w:t>
      </w:r>
      <w:r w:rsidRPr="00880275">
        <w:rPr>
          <w:rStyle w:val="FootnoteReference"/>
        </w:rPr>
        <w:footnoteReference w:id="84"/>
      </w:r>
      <w:r w:rsidRPr="00880275">
        <w:t xml:space="preserve"> A decision about a child must </w:t>
      </w:r>
      <w:proofErr w:type="gramStart"/>
      <w:r w:rsidRPr="00880275">
        <w:t>take into account</w:t>
      </w:r>
      <w:proofErr w:type="gramEnd"/>
      <w:r w:rsidRPr="00880275">
        <w:t xml:space="preserve"> and respect the views and wishes of the child. Further, </w:t>
      </w:r>
      <w:proofErr w:type="gramStart"/>
      <w:r w:rsidRPr="00880275">
        <w:t>taking into account</w:t>
      </w:r>
      <w:proofErr w:type="gramEnd"/>
      <w:r w:rsidRPr="00880275">
        <w:t xml:space="preserve"> a child’s views ensures decisions are not solely based on adult assumptions, and can lead to better, more relevant and informed decisions about children.</w:t>
      </w:r>
      <w:r w:rsidRPr="00880275">
        <w:rPr>
          <w:rStyle w:val="FootnoteReference"/>
        </w:rPr>
        <w:footnoteReference w:id="85"/>
      </w:r>
      <w:r w:rsidRPr="00880275">
        <w:t xml:space="preserve"> </w:t>
      </w:r>
    </w:p>
    <w:p w14:paraId="3A25EA00" w14:textId="77777777" w:rsidR="00CA6C99" w:rsidRPr="00880275" w:rsidRDefault="00CA6C99" w:rsidP="00754FAE">
      <w:pPr>
        <w:pStyle w:val="Numberedparagraph"/>
      </w:pPr>
      <w:r w:rsidRPr="00880275">
        <w:lastRenderedPageBreak/>
        <w:t>Participation rights for people with disability stem from the right to equal recognition before the law and the principle of full and effective participation and inclusion in society on an equal basis with others.</w:t>
      </w:r>
      <w:r w:rsidRPr="00880275">
        <w:rPr>
          <w:rStyle w:val="FootnoteReference"/>
        </w:rPr>
        <w:footnoteReference w:id="86"/>
      </w:r>
      <w:r w:rsidRPr="00880275">
        <w:t xml:space="preserve"> As an example, during the pandemic, confusion caused by public health directions that affected essential workers in the disability sector may have been avoided with better and earlier consultation with people with disability.</w:t>
      </w:r>
    </w:p>
    <w:p w14:paraId="5B8ED9AA" w14:textId="77777777" w:rsidR="00CA6C99" w:rsidRPr="00880275" w:rsidRDefault="00CA6C99" w:rsidP="00754FAE">
      <w:pPr>
        <w:pStyle w:val="Numberedparagraph"/>
      </w:pPr>
      <w:r w:rsidRPr="00880275">
        <w:t xml:space="preserve">Queensland’s Human Rights Act does not have an express participation duty. While arguably already protected under the current framework, explicit acknowledgement of a participation duty would provide clarity and standardise requirements for participation at all levels and areas of government. </w:t>
      </w:r>
    </w:p>
    <w:p w14:paraId="12413C88" w14:textId="7509BD5D" w:rsidR="00CA6C99" w:rsidRPr="00880275" w:rsidRDefault="00CA6C99" w:rsidP="00754FAE">
      <w:pPr>
        <w:pStyle w:val="Numberedparagraph"/>
      </w:pPr>
      <w:r w:rsidRPr="00880275">
        <w:t xml:space="preserve">The Commission recommends public entities be under an express duty to ensure participation processes </w:t>
      </w:r>
      <w:r w:rsidR="009649CE" w:rsidRPr="00880275">
        <w:t xml:space="preserve">are in place for </w:t>
      </w:r>
      <w:r w:rsidRPr="00880275">
        <w:t xml:space="preserve">matters that disproportionately affect the rights of First Nations peoples, children and people with disability. To support implementation, the government will need to develop detailed guidance material in consultation with these groups to assist public authorities </w:t>
      </w:r>
      <w:r w:rsidRPr="00880275" w:rsidDel="007F2F60">
        <w:t xml:space="preserve">to </w:t>
      </w:r>
      <w:r w:rsidRPr="00880275">
        <w:t xml:space="preserve">understand their obligations under these duties.  </w:t>
      </w:r>
    </w:p>
    <w:p w14:paraId="160A398D" w14:textId="14A7EF10" w:rsidR="006813D9" w:rsidRPr="00880275" w:rsidRDefault="006813D9" w:rsidP="00754FAE">
      <w:pPr>
        <w:pStyle w:val="Heading5"/>
      </w:pPr>
      <w:r w:rsidRPr="00880275">
        <w:t>Recommendation 3.1</w:t>
      </w:r>
      <w:r w:rsidR="00A12657" w:rsidRPr="00880275">
        <w:t>1</w:t>
      </w:r>
    </w:p>
    <w:p w14:paraId="22818112" w14:textId="77777777" w:rsidR="005F30F6" w:rsidRPr="00880275" w:rsidRDefault="005F30F6" w:rsidP="00754FAE">
      <w:pPr>
        <w:pStyle w:val="Heading5"/>
      </w:pPr>
      <w:r w:rsidRPr="00880275">
        <w:t>The Human Rights Act should be amended so that public entities have an express duty to ensure participation processes are in place for matters that disproportionately affect the rights of First Nations peoples, children and people with disability.</w:t>
      </w:r>
    </w:p>
    <w:p w14:paraId="3A7E2B10" w14:textId="6BFEA15E" w:rsidR="009E27F9" w:rsidRPr="00880275" w:rsidRDefault="005F39D6" w:rsidP="00EE5C93">
      <w:pPr>
        <w:pStyle w:val="Heading3"/>
      </w:pPr>
      <w:bookmarkStart w:id="58" w:name="_Toc171346793"/>
      <w:r w:rsidRPr="00880275">
        <w:t>Remove legislative note concerning non</w:t>
      </w:r>
      <w:r w:rsidR="009E62B1" w:rsidRPr="00880275">
        <w:t>-state schools</w:t>
      </w:r>
      <w:bookmarkEnd w:id="58"/>
      <w:r w:rsidR="009E62B1" w:rsidRPr="00880275">
        <w:t xml:space="preserve"> </w:t>
      </w:r>
    </w:p>
    <w:p w14:paraId="0BAAABC0" w14:textId="57C235B2" w:rsidR="00935978" w:rsidRPr="00880275" w:rsidRDefault="00AC1328" w:rsidP="00754FAE">
      <w:pPr>
        <w:pStyle w:val="Numberedparagraph"/>
      </w:pPr>
      <w:r w:rsidRPr="00880275">
        <w:rPr>
          <w:lang w:bidi="th-TH"/>
        </w:rPr>
        <w:t xml:space="preserve">The definition of public entity includes entities whose functions include </w:t>
      </w:r>
      <w:r w:rsidR="009B6291" w:rsidRPr="00880275">
        <w:rPr>
          <w:lang w:bidi="th-TH"/>
        </w:rPr>
        <w:t>‘</w:t>
      </w:r>
      <w:r w:rsidRPr="00880275">
        <w:rPr>
          <w:lang w:bidi="th-TH"/>
        </w:rPr>
        <w:t xml:space="preserve">functions of a public nature when it is </w:t>
      </w:r>
      <w:r w:rsidR="00A70AD5" w:rsidRPr="00880275">
        <w:rPr>
          <w:lang w:bidi="th-TH"/>
        </w:rPr>
        <w:t xml:space="preserve">performing </w:t>
      </w:r>
      <w:r w:rsidRPr="00880275">
        <w:rPr>
          <w:lang w:bidi="th-TH"/>
        </w:rPr>
        <w:t xml:space="preserve">the functions for the </w:t>
      </w:r>
      <w:r w:rsidR="00A70AD5" w:rsidRPr="00880275">
        <w:rPr>
          <w:lang w:bidi="th-TH"/>
        </w:rPr>
        <w:t xml:space="preserve">State </w:t>
      </w:r>
      <w:r w:rsidRPr="00880275">
        <w:rPr>
          <w:lang w:bidi="th-TH"/>
        </w:rPr>
        <w:t>or a public entity</w:t>
      </w:r>
      <w:r w:rsidR="00EE068C" w:rsidRPr="00880275">
        <w:rPr>
          <w:lang w:bidi="th-TH"/>
        </w:rPr>
        <w:t>’</w:t>
      </w:r>
      <w:r w:rsidRPr="00880275">
        <w:rPr>
          <w:lang w:bidi="th-TH"/>
        </w:rPr>
        <w:t>.</w:t>
      </w:r>
      <w:r w:rsidR="00EE068C" w:rsidRPr="00880275">
        <w:rPr>
          <w:rStyle w:val="FootnoteReference"/>
          <w:lang w:bidi="th-TH"/>
        </w:rPr>
        <w:footnoteReference w:id="87"/>
      </w:r>
      <w:r w:rsidRPr="00880275">
        <w:rPr>
          <w:lang w:bidi="th-TH"/>
        </w:rPr>
        <w:t xml:space="preserve"> </w:t>
      </w:r>
      <w:r w:rsidR="005B4DF0" w:rsidRPr="00880275">
        <w:rPr>
          <w:lang w:bidi="th-TH"/>
        </w:rPr>
        <w:t>B</w:t>
      </w:r>
      <w:r w:rsidR="00DE5A27" w:rsidRPr="00880275">
        <w:rPr>
          <w:lang w:bidi="th-TH"/>
        </w:rPr>
        <w:t>oth the Queensland Human Rights Act</w:t>
      </w:r>
      <w:r w:rsidR="00E31C9C" w:rsidRPr="00880275">
        <w:rPr>
          <w:rStyle w:val="FootnoteReference"/>
        </w:rPr>
        <w:footnoteReference w:id="88"/>
      </w:r>
      <w:r w:rsidR="00DE5A27" w:rsidRPr="00880275">
        <w:rPr>
          <w:lang w:bidi="th-TH"/>
        </w:rPr>
        <w:t xml:space="preserve"> and </w:t>
      </w:r>
      <w:r w:rsidR="003F4D0B" w:rsidRPr="00880275">
        <w:rPr>
          <w:lang w:bidi="th-TH"/>
        </w:rPr>
        <w:t xml:space="preserve">the </w:t>
      </w:r>
      <w:r w:rsidR="00DE5A27" w:rsidRPr="00880275">
        <w:rPr>
          <w:lang w:bidi="th-TH"/>
        </w:rPr>
        <w:t>Victorian Charter</w:t>
      </w:r>
      <w:r w:rsidR="00E31C9C" w:rsidRPr="00880275">
        <w:rPr>
          <w:rStyle w:val="FootnoteReference"/>
        </w:rPr>
        <w:footnoteReference w:id="89"/>
      </w:r>
      <w:r w:rsidR="00DE5A27" w:rsidRPr="00880275">
        <w:rPr>
          <w:lang w:bidi="th-TH"/>
        </w:rPr>
        <w:t xml:space="preserve"> (but not the ACT Human Rights Act) give the example of </w:t>
      </w:r>
      <w:r w:rsidR="00E31C9C" w:rsidRPr="00880275">
        <w:rPr>
          <w:lang w:bidi="th-TH"/>
        </w:rPr>
        <w:t xml:space="preserve">non-state </w:t>
      </w:r>
      <w:r w:rsidR="00DE5A27" w:rsidRPr="00880275">
        <w:rPr>
          <w:lang w:bidi="th-TH"/>
        </w:rPr>
        <w:t>school</w:t>
      </w:r>
      <w:r w:rsidR="002E460F" w:rsidRPr="00880275">
        <w:rPr>
          <w:lang w:bidi="th-TH"/>
        </w:rPr>
        <w:t>s</w:t>
      </w:r>
      <w:r w:rsidR="00DE5A27" w:rsidRPr="00880275">
        <w:rPr>
          <w:lang w:bidi="th-TH"/>
        </w:rPr>
        <w:t xml:space="preserve"> </w:t>
      </w:r>
      <w:r w:rsidR="0002654E" w:rsidRPr="00880275">
        <w:rPr>
          <w:lang w:bidi="th-TH"/>
        </w:rPr>
        <w:t>performing functions of a public nature</w:t>
      </w:r>
      <w:r w:rsidR="00D90B68" w:rsidRPr="00880275">
        <w:rPr>
          <w:lang w:bidi="th-TH"/>
        </w:rPr>
        <w:t>,</w:t>
      </w:r>
      <w:r w:rsidR="0002654E" w:rsidRPr="00880275">
        <w:rPr>
          <w:lang w:bidi="th-TH"/>
        </w:rPr>
        <w:t xml:space="preserve"> but not doing so for or on behalf of the </w:t>
      </w:r>
      <w:r w:rsidR="00D90B68" w:rsidRPr="00880275">
        <w:rPr>
          <w:lang w:bidi="th-TH"/>
        </w:rPr>
        <w:t>S</w:t>
      </w:r>
      <w:r w:rsidR="0002654E" w:rsidRPr="00880275">
        <w:rPr>
          <w:lang w:bidi="th-TH"/>
        </w:rPr>
        <w:t>tate</w:t>
      </w:r>
      <w:r w:rsidR="00DE5A27" w:rsidRPr="00880275">
        <w:rPr>
          <w:lang w:bidi="th-TH"/>
        </w:rPr>
        <w:t xml:space="preserve">. </w:t>
      </w:r>
      <w:r w:rsidR="00712E3B" w:rsidRPr="00880275">
        <w:t>This</w:t>
      </w:r>
      <w:r w:rsidR="007333D2" w:rsidRPr="00880275">
        <w:t xml:space="preserve"> </w:t>
      </w:r>
      <w:r w:rsidR="00B82FAF" w:rsidRPr="00880275">
        <w:t>has meant private schools are largely assumed not to be public entities</w:t>
      </w:r>
      <w:r w:rsidR="00935978" w:rsidRPr="00880275">
        <w:t>.</w:t>
      </w:r>
      <w:r w:rsidR="00B356B3" w:rsidRPr="00880275">
        <w:t xml:space="preserve"> </w:t>
      </w:r>
      <w:r w:rsidR="00935978" w:rsidRPr="00880275">
        <w:t>T</w:t>
      </w:r>
      <w:r w:rsidR="00B356B3" w:rsidRPr="00880275">
        <w:t>here is limited justification provided in explanatory material for this</w:t>
      </w:r>
      <w:r w:rsidR="00B82FAF" w:rsidRPr="00880275">
        <w:t>.</w:t>
      </w:r>
      <w:r w:rsidR="00174D73" w:rsidRPr="00880275">
        <w:t xml:space="preserve"> </w:t>
      </w:r>
    </w:p>
    <w:p w14:paraId="2FDD1DAF" w14:textId="0EEDEF93" w:rsidR="00606BC3" w:rsidRPr="00880275" w:rsidRDefault="005F0425" w:rsidP="00754FAE">
      <w:pPr>
        <w:pStyle w:val="Numberedparagraph"/>
      </w:pPr>
      <w:r w:rsidRPr="00880275">
        <w:t>P</w:t>
      </w:r>
      <w:r w:rsidR="008304F3" w:rsidRPr="00880275">
        <w:t xml:space="preserve">ublic entities </w:t>
      </w:r>
      <w:r w:rsidRPr="00880275">
        <w:t xml:space="preserve">also </w:t>
      </w:r>
      <w:r w:rsidR="008304F3" w:rsidRPr="00880275">
        <w:t xml:space="preserve">include </w:t>
      </w:r>
      <w:r w:rsidR="00732BCA" w:rsidRPr="00880275">
        <w:t>entities established by legislation when the entity is performing functions of a public nature.</w:t>
      </w:r>
      <w:r w:rsidRPr="00880275">
        <w:rPr>
          <w:rStyle w:val="FootnoteReference"/>
        </w:rPr>
        <w:footnoteReference w:id="90"/>
      </w:r>
      <w:r w:rsidR="00732BCA" w:rsidRPr="00880275">
        <w:t xml:space="preserve"> </w:t>
      </w:r>
      <w:r w:rsidR="00054E74" w:rsidRPr="00880275">
        <w:t xml:space="preserve">On </w:t>
      </w:r>
      <w:r w:rsidR="00B26425" w:rsidRPr="00880275">
        <w:t xml:space="preserve">11 September 2020, the </w:t>
      </w:r>
      <w:r w:rsidR="00B26425" w:rsidRPr="00880275">
        <w:rPr>
          <w:i/>
        </w:rPr>
        <w:t>Human Rights Regulation 2000</w:t>
      </w:r>
      <w:r w:rsidR="00B26425" w:rsidRPr="00880275">
        <w:t xml:space="preserve"> (Qld) </w:t>
      </w:r>
      <w:r w:rsidR="00D072A9" w:rsidRPr="00880275">
        <w:t xml:space="preserve">prescribed </w:t>
      </w:r>
      <w:r w:rsidR="00067326" w:rsidRPr="00880275">
        <w:t xml:space="preserve">a </w:t>
      </w:r>
      <w:r w:rsidR="00000366" w:rsidRPr="00880275">
        <w:t xml:space="preserve">grammar school and the board </w:t>
      </w:r>
      <w:r w:rsidR="00642C1D" w:rsidRPr="00880275">
        <w:t xml:space="preserve">of </w:t>
      </w:r>
      <w:r w:rsidR="00000366" w:rsidRPr="00880275">
        <w:t xml:space="preserve">the grammar school under the </w:t>
      </w:r>
      <w:r w:rsidR="00000366" w:rsidRPr="00880275">
        <w:rPr>
          <w:i/>
        </w:rPr>
        <w:t>Grammar Schools Act 20</w:t>
      </w:r>
      <w:r w:rsidR="00FB5014" w:rsidRPr="00880275">
        <w:rPr>
          <w:i/>
        </w:rPr>
        <w:t>16</w:t>
      </w:r>
      <w:r w:rsidR="00FB5014" w:rsidRPr="00880275">
        <w:t xml:space="preserve"> </w:t>
      </w:r>
      <w:r w:rsidR="00D072A9" w:rsidRPr="00880275">
        <w:t xml:space="preserve">not </w:t>
      </w:r>
      <w:r w:rsidR="00744F1B" w:rsidRPr="00880275">
        <w:t>to</w:t>
      </w:r>
      <w:r w:rsidR="00D072A9" w:rsidRPr="00880275">
        <w:t xml:space="preserve"> be public </w:t>
      </w:r>
      <w:r w:rsidR="00D072A9" w:rsidRPr="00880275">
        <w:lastRenderedPageBreak/>
        <w:t>entities.</w:t>
      </w:r>
      <w:r w:rsidR="00F41246" w:rsidRPr="00880275">
        <w:rPr>
          <w:rStyle w:val="FootnoteReference"/>
        </w:rPr>
        <w:footnoteReference w:id="91"/>
      </w:r>
      <w:r w:rsidR="00D072A9" w:rsidRPr="00880275">
        <w:t xml:space="preserve"> </w:t>
      </w:r>
      <w:r w:rsidR="009F385C" w:rsidRPr="00880275">
        <w:t xml:space="preserve">The explanatory note </w:t>
      </w:r>
      <w:r w:rsidR="008F3718" w:rsidRPr="00880275">
        <w:t xml:space="preserve">explains </w:t>
      </w:r>
      <w:r w:rsidR="00755E9B" w:rsidRPr="00880275">
        <w:t xml:space="preserve">the purpose of the regulation is to bring grammar schools in line with other non-state schools who ‘are </w:t>
      </w:r>
      <w:r w:rsidR="008F3718" w:rsidRPr="00880275">
        <w:t>not to be considered public entities</w:t>
      </w:r>
      <w:r w:rsidR="00755E9B" w:rsidRPr="00880275">
        <w:t>’</w:t>
      </w:r>
      <w:r w:rsidR="008F3718" w:rsidRPr="00880275">
        <w:t>.</w:t>
      </w:r>
      <w:r w:rsidR="00C22006" w:rsidRPr="00880275">
        <w:rPr>
          <w:rStyle w:val="FootnoteReference"/>
        </w:rPr>
        <w:footnoteReference w:id="92"/>
      </w:r>
      <w:r w:rsidR="00840D8F" w:rsidRPr="00880275">
        <w:t xml:space="preserve"> The Human Rights Certificate repeats this explanation and states that as non-state schools do not form part of the Queensland public sector, it is not appropriate to bind them to an Act which has a specific purpose to build a culture of human rights in the Queensland public sector.</w:t>
      </w:r>
      <w:r w:rsidR="00986787" w:rsidRPr="00880275">
        <w:rPr>
          <w:rStyle w:val="FootnoteReference"/>
        </w:rPr>
        <w:footnoteReference w:id="93"/>
      </w:r>
      <w:r w:rsidR="00840D8F" w:rsidRPr="00880275">
        <w:t xml:space="preserve"> </w:t>
      </w:r>
    </w:p>
    <w:p w14:paraId="7FAC862C" w14:textId="61E91E34" w:rsidR="008304F3" w:rsidRPr="00880275" w:rsidRDefault="00AE471A" w:rsidP="00754FAE">
      <w:pPr>
        <w:pStyle w:val="Numberedparagraph"/>
      </w:pPr>
      <w:r w:rsidRPr="00880275">
        <w:t xml:space="preserve">This is at odds </w:t>
      </w:r>
      <w:r w:rsidR="00147CC4" w:rsidRPr="00880275">
        <w:t>with the reasons for binding</w:t>
      </w:r>
      <w:r w:rsidR="00606BC3" w:rsidRPr="00880275">
        <w:t xml:space="preserve"> functional public entities </w:t>
      </w:r>
      <w:r w:rsidR="00E11028" w:rsidRPr="00880275">
        <w:t xml:space="preserve">to human rights obligations </w:t>
      </w:r>
      <w:r w:rsidR="00606BC3" w:rsidRPr="00880275">
        <w:t xml:space="preserve">as stated in </w:t>
      </w:r>
      <w:r w:rsidRPr="00880275">
        <w:t xml:space="preserve">the Explanatory Note to the Human Rights Bill </w:t>
      </w:r>
      <w:r w:rsidR="00A86F99" w:rsidRPr="00880275">
        <w:t>2018</w:t>
      </w:r>
      <w:r w:rsidRPr="00880275">
        <w:t>:</w:t>
      </w:r>
    </w:p>
    <w:p w14:paraId="27F5FBBE" w14:textId="36A56CD6" w:rsidR="00AE471A" w:rsidRPr="00880275" w:rsidRDefault="0099159A" w:rsidP="00754FAE">
      <w:pPr>
        <w:pStyle w:val="Numberedparagraph"/>
        <w:numPr>
          <w:ilvl w:val="0"/>
          <w:numId w:val="0"/>
        </w:numPr>
        <w:ind w:left="907"/>
      </w:pPr>
      <w:r w:rsidRPr="00880275">
        <w:t>The inclusion of functional public entities reflects the modern operation of the government, where non-government entities, including non-government organisations, private companies</w:t>
      </w:r>
      <w:r w:rsidR="007F36AA" w:rsidRPr="00880275">
        <w:t xml:space="preserve"> and government owned corporations, are engaged, in various ways, to deliver services to the public on behalf of the government or another public entity. An example of a functional public entity is a private company managing a prison, or a non-government organisation providing a public housing service.</w:t>
      </w:r>
      <w:r w:rsidR="00F36CC6" w:rsidRPr="00880275">
        <w:rPr>
          <w:rStyle w:val="FootnoteReference"/>
          <w:sz w:val="20"/>
          <w:szCs w:val="20"/>
        </w:rPr>
        <w:footnoteReference w:id="94"/>
      </w:r>
    </w:p>
    <w:p w14:paraId="521DF9FE" w14:textId="064EC0CB" w:rsidR="00606BC3" w:rsidRPr="00880275" w:rsidRDefault="004776CD" w:rsidP="00754FAE">
      <w:pPr>
        <w:pStyle w:val="Numberedparagraph"/>
      </w:pPr>
      <w:r w:rsidRPr="00880275">
        <w:t>R</w:t>
      </w:r>
      <w:r w:rsidR="002A60F9" w:rsidRPr="00880275">
        <w:t xml:space="preserve">egistered </w:t>
      </w:r>
      <w:r w:rsidR="00606BC3" w:rsidRPr="00880275">
        <w:t>NDIS service providers, wh</w:t>
      </w:r>
      <w:r w:rsidR="00BA36C2" w:rsidRPr="00880275">
        <w:t>ich</w:t>
      </w:r>
      <w:r w:rsidR="00606BC3" w:rsidRPr="00880275">
        <w:t xml:space="preserve"> are not part of the Queensland public sector, do not receive Queensland state government funding, and are largely regulated by federal law, are</w:t>
      </w:r>
      <w:r w:rsidR="004B07D7" w:rsidRPr="00880275">
        <w:t xml:space="preserve"> functional public entities.</w:t>
      </w:r>
      <w:r w:rsidR="00B76202" w:rsidRPr="00880275">
        <w:rPr>
          <w:rStyle w:val="FootnoteReference"/>
        </w:rPr>
        <w:footnoteReference w:id="95"/>
      </w:r>
      <w:r w:rsidR="004B07D7" w:rsidRPr="00880275">
        <w:t xml:space="preserve"> </w:t>
      </w:r>
      <w:r w:rsidR="00606BC3" w:rsidRPr="00880275">
        <w:t xml:space="preserve"> </w:t>
      </w:r>
    </w:p>
    <w:p w14:paraId="467976EA" w14:textId="4028420C" w:rsidR="00DC4320" w:rsidRPr="00880275" w:rsidRDefault="00D65544" w:rsidP="00754FAE">
      <w:pPr>
        <w:pStyle w:val="Numberedparagraph"/>
      </w:pPr>
      <w:r w:rsidRPr="00880275">
        <w:t xml:space="preserve">The right to </w:t>
      </w:r>
      <w:r w:rsidR="00490CD1" w:rsidRPr="00880275">
        <w:t xml:space="preserve">primary and secondary education is </w:t>
      </w:r>
      <w:r w:rsidR="00FA3C7B" w:rsidRPr="00880275">
        <w:t xml:space="preserve">protected by </w:t>
      </w:r>
      <w:r w:rsidR="00490CD1" w:rsidRPr="00880275">
        <w:t>the Human R</w:t>
      </w:r>
      <w:r w:rsidR="009A3B9B" w:rsidRPr="00880275">
        <w:t>ights Act.</w:t>
      </w:r>
      <w:r w:rsidR="00FA3C7B" w:rsidRPr="00880275">
        <w:rPr>
          <w:rStyle w:val="FootnoteReference"/>
        </w:rPr>
        <w:footnoteReference w:id="96"/>
      </w:r>
      <w:r w:rsidR="009A3B9B" w:rsidRPr="00880275">
        <w:t xml:space="preserve"> </w:t>
      </w:r>
      <w:r w:rsidR="004B1101" w:rsidRPr="00880275">
        <w:t>The Queensland state government is responsible for providing free, high quality education to all children and young people, and for registering and regulating all schools.</w:t>
      </w:r>
      <w:r w:rsidR="004B1101" w:rsidRPr="00880275">
        <w:rPr>
          <w:rStyle w:val="FootnoteReference"/>
        </w:rPr>
        <w:footnoteReference w:id="97"/>
      </w:r>
      <w:r w:rsidR="004B1101" w:rsidRPr="00880275">
        <w:t xml:space="preserve"> </w:t>
      </w:r>
      <w:r w:rsidR="00D51587" w:rsidRPr="00880275">
        <w:t>Non-state schools provide education services to one-third of Queensland’s children.</w:t>
      </w:r>
      <w:r w:rsidR="005F04C2" w:rsidRPr="00880275">
        <w:rPr>
          <w:rStyle w:val="FootnoteReference"/>
        </w:rPr>
        <w:footnoteReference w:id="98"/>
      </w:r>
      <w:r w:rsidR="00D51587" w:rsidRPr="00880275">
        <w:t xml:space="preserve"> </w:t>
      </w:r>
      <w:r w:rsidR="0054674F" w:rsidRPr="00880275">
        <w:t xml:space="preserve">Schools </w:t>
      </w:r>
      <w:r w:rsidR="00BB5189" w:rsidRPr="00880275">
        <w:t xml:space="preserve">and education </w:t>
      </w:r>
      <w:r w:rsidR="0054674F" w:rsidRPr="00880275">
        <w:t xml:space="preserve">are widely regarded as </w:t>
      </w:r>
      <w:r w:rsidR="00AA0094" w:rsidRPr="00880275">
        <w:t>having</w:t>
      </w:r>
      <w:r w:rsidR="0054674F" w:rsidRPr="00880275">
        <w:t xml:space="preserve"> a vital role in child development, health</w:t>
      </w:r>
      <w:r w:rsidR="003B3D31" w:rsidRPr="00880275">
        <w:t>,</w:t>
      </w:r>
      <w:r w:rsidR="0054674F" w:rsidRPr="00880275">
        <w:t xml:space="preserve"> and wellbeing, </w:t>
      </w:r>
      <w:r w:rsidR="00BB5189" w:rsidRPr="00880275">
        <w:t xml:space="preserve">and </w:t>
      </w:r>
      <w:r w:rsidR="006E2361" w:rsidRPr="00880275">
        <w:t>engagement with education is</w:t>
      </w:r>
      <w:r w:rsidR="00AA0094" w:rsidRPr="00880275">
        <w:t xml:space="preserve"> a </w:t>
      </w:r>
      <w:r w:rsidR="00BB5189" w:rsidRPr="00880275">
        <w:t>critical indicator of success</w:t>
      </w:r>
      <w:r w:rsidR="00CD762B" w:rsidRPr="00880275">
        <w:t xml:space="preserve"> in </w:t>
      </w:r>
      <w:r w:rsidR="00FA67D5" w:rsidRPr="00880275">
        <w:t xml:space="preserve">later </w:t>
      </w:r>
      <w:r w:rsidR="00CD762B" w:rsidRPr="00880275">
        <w:t>life</w:t>
      </w:r>
      <w:r w:rsidR="00BB5189" w:rsidRPr="00880275">
        <w:t>.</w:t>
      </w:r>
      <w:r w:rsidR="000F3CCA" w:rsidRPr="00880275">
        <w:t xml:space="preserve"> </w:t>
      </w:r>
      <w:r w:rsidR="00C46574" w:rsidRPr="00880275">
        <w:t xml:space="preserve">Children in </w:t>
      </w:r>
      <w:r w:rsidR="004E62BA" w:rsidRPr="00880275">
        <w:t xml:space="preserve">non-state </w:t>
      </w:r>
      <w:r w:rsidR="00C46574" w:rsidRPr="00880275">
        <w:t xml:space="preserve">schools should enjoy the same rights as children in state schools. </w:t>
      </w:r>
      <w:r w:rsidR="008D4B43" w:rsidRPr="00880275">
        <w:t xml:space="preserve">Non-state schools receive significant amounts of public </w:t>
      </w:r>
      <w:proofErr w:type="gramStart"/>
      <w:r w:rsidR="008D4B43" w:rsidRPr="00880275">
        <w:t>funding</w:t>
      </w:r>
      <w:proofErr w:type="gramEnd"/>
      <w:r w:rsidR="008D4B43" w:rsidRPr="00880275">
        <w:t xml:space="preserve"> and</w:t>
      </w:r>
      <w:r w:rsidR="00A3041D" w:rsidRPr="00880275">
        <w:t>, in the Commission’s view,</w:t>
      </w:r>
      <w:r w:rsidR="008D4B43" w:rsidRPr="00880275">
        <w:t xml:space="preserve"> t</w:t>
      </w:r>
      <w:r w:rsidR="000F3CCA" w:rsidRPr="00880275">
        <w:t xml:space="preserve">here is </w:t>
      </w:r>
      <w:r w:rsidR="00A3041D" w:rsidRPr="00880275">
        <w:t xml:space="preserve">already </w:t>
      </w:r>
      <w:r w:rsidR="000F3CCA" w:rsidRPr="00880275">
        <w:t xml:space="preserve">a community </w:t>
      </w:r>
      <w:r w:rsidR="000F3CCA" w:rsidRPr="00880275">
        <w:lastRenderedPageBreak/>
        <w:t>expectation that non-state schools are subject to the same human rights standards as state schools.</w:t>
      </w:r>
      <w:r w:rsidR="007A3B61" w:rsidRPr="00880275">
        <w:t xml:space="preserve"> </w:t>
      </w:r>
    </w:p>
    <w:p w14:paraId="3FEEA181" w14:textId="637A9BB3" w:rsidR="005E0E9B" w:rsidRPr="00880275" w:rsidRDefault="006D5CCF" w:rsidP="00754FAE">
      <w:pPr>
        <w:pStyle w:val="Numberedparagraph"/>
      </w:pPr>
      <w:r w:rsidRPr="00880275">
        <w:t xml:space="preserve">The legislative note </w:t>
      </w:r>
      <w:r w:rsidR="00F46D75" w:rsidRPr="00880275">
        <w:t xml:space="preserve">in section 9(1)(h) </w:t>
      </w:r>
      <w:r w:rsidRPr="00880275">
        <w:t xml:space="preserve">also has </w:t>
      </w:r>
      <w:r w:rsidR="00C10C14" w:rsidRPr="00880275">
        <w:t xml:space="preserve">implications for </w:t>
      </w:r>
      <w:r w:rsidR="00850BF9" w:rsidRPr="00880275">
        <w:t xml:space="preserve">determining whether </w:t>
      </w:r>
      <w:r w:rsidR="00C10C14" w:rsidRPr="00880275">
        <w:t xml:space="preserve">other entities </w:t>
      </w:r>
      <w:r w:rsidR="00E02B4A" w:rsidRPr="00880275">
        <w:t>are functional public entities.</w:t>
      </w:r>
      <w:r w:rsidR="00B82FAF" w:rsidRPr="00880275">
        <w:t xml:space="preserve"> </w:t>
      </w:r>
      <w:r w:rsidR="00541701" w:rsidRPr="00880275">
        <w:t xml:space="preserve">For example, </w:t>
      </w:r>
      <w:r w:rsidR="00C70A99" w:rsidRPr="00880275">
        <w:t xml:space="preserve">independent </w:t>
      </w:r>
      <w:r w:rsidR="00541701" w:rsidRPr="00880275">
        <w:t>kindergartens</w:t>
      </w:r>
      <w:r w:rsidR="00C70A99" w:rsidRPr="00880275">
        <w:t xml:space="preserve"> and health services who receive public funding may claim that they are not public entities by way of analogy to non-state schools. </w:t>
      </w:r>
    </w:p>
    <w:p w14:paraId="158A225E" w14:textId="407BE2F2" w:rsidR="00C346D8" w:rsidRPr="00880275" w:rsidRDefault="00C346D8" w:rsidP="00754FAE">
      <w:pPr>
        <w:pStyle w:val="Heading5"/>
      </w:pPr>
      <w:r w:rsidRPr="00880275">
        <w:t>Recommendation 3.1</w:t>
      </w:r>
      <w:r w:rsidR="00480A94" w:rsidRPr="00880275">
        <w:t>2</w:t>
      </w:r>
    </w:p>
    <w:p w14:paraId="3886396B" w14:textId="2B182296" w:rsidR="00C346D8" w:rsidRPr="00880275" w:rsidRDefault="00C346D8" w:rsidP="00754FAE">
      <w:pPr>
        <w:pStyle w:val="Heading5"/>
      </w:pPr>
      <w:r w:rsidRPr="00880275">
        <w:t>The legislative note regarding the example of non-state schools under section 9(1)(h) of the Human Rights Act cannot be justified</w:t>
      </w:r>
      <w:r w:rsidR="4B2A4560" w:rsidRPr="00880275">
        <w:t xml:space="preserve"> and </w:t>
      </w:r>
      <w:r w:rsidRPr="00880275">
        <w:t>should be removed.</w:t>
      </w:r>
    </w:p>
    <w:p w14:paraId="132FB651" w14:textId="53CACC38" w:rsidR="004B495A" w:rsidRPr="00880275" w:rsidRDefault="24B91BF6" w:rsidP="00761246">
      <w:pPr>
        <w:pStyle w:val="Heading2"/>
      </w:pPr>
      <w:bookmarkStart w:id="59" w:name="_Toc171346794"/>
      <w:r w:rsidRPr="00880275">
        <w:t xml:space="preserve">(e) </w:t>
      </w:r>
      <w:r w:rsidR="003A26DA" w:rsidRPr="00880275">
        <w:t>Complaints and dispute resolution</w:t>
      </w:r>
      <w:bookmarkEnd w:id="59"/>
    </w:p>
    <w:p w14:paraId="0853F6A6" w14:textId="133A0FDD" w:rsidR="00A76068" w:rsidRPr="00880275" w:rsidRDefault="00A76068" w:rsidP="00A76068">
      <w:pPr>
        <w:pStyle w:val="Heading3"/>
      </w:pPr>
      <w:bookmarkStart w:id="60" w:name="_Toc171346795"/>
      <w:r w:rsidRPr="00880275">
        <w:t>Effectiveness</w:t>
      </w:r>
      <w:bookmarkEnd w:id="60"/>
    </w:p>
    <w:p w14:paraId="5F65173E" w14:textId="6DF2A061" w:rsidR="00A76068" w:rsidRPr="00880275" w:rsidRDefault="00A76068" w:rsidP="00754FAE">
      <w:pPr>
        <w:pStyle w:val="Numberedparagraph"/>
      </w:pPr>
      <w:r w:rsidRPr="00880275">
        <w:rPr>
          <w:rFonts w:eastAsia="Arial"/>
        </w:rPr>
        <w:t xml:space="preserve">Queensland was the first state or territory in Australia to have a dedicated human rights conciliation process. </w:t>
      </w:r>
      <w:r w:rsidRPr="00880275">
        <w:t xml:space="preserve">The Commission attempts to resolve complaints made under the Human Rights Act, including through conciliation. Positive outcomes have included </w:t>
      </w:r>
      <w:r w:rsidR="008E7EFC" w:rsidRPr="00880275">
        <w:t>that</w:t>
      </w:r>
      <w:r w:rsidRPr="00880275">
        <w:t xml:space="preserve"> the public entity changed its decision or approach, provided more explanation for its action or decision, made improvements to systems and processes to address the issue, and acknowledged the complainant’s distress and gave a genuine apology.</w:t>
      </w:r>
    </w:p>
    <w:p w14:paraId="4439922B" w14:textId="51B47CE2" w:rsidR="00A76068" w:rsidRPr="00880275" w:rsidRDefault="00A76068" w:rsidP="00754FAE">
      <w:pPr>
        <w:pStyle w:val="Numberedparagraph"/>
        <w:rPr>
          <w:szCs w:val="22"/>
          <w:u w:val="single"/>
        </w:rPr>
      </w:pPr>
      <w:r w:rsidRPr="00880275">
        <w:t xml:space="preserve">The Commission’s complaint process has delivered positive outcomes across a range of settings including health, housing, education, and council service delivery. </w:t>
      </w:r>
      <w:r w:rsidR="002D170A" w:rsidRPr="00880275">
        <w:t>Human rights case studies are available on the Commission website</w:t>
      </w:r>
      <w:r w:rsidR="00FA3B4F" w:rsidRPr="00880275">
        <w:t>.</w:t>
      </w:r>
      <w:r w:rsidR="00FA3B4F" w:rsidRPr="00880275">
        <w:rPr>
          <w:rStyle w:val="FootnoteReference"/>
        </w:rPr>
        <w:footnoteReference w:id="99"/>
      </w:r>
    </w:p>
    <w:p w14:paraId="506E0873" w14:textId="770C02A6" w:rsidR="00A76068" w:rsidRPr="00880275" w:rsidRDefault="00A76068" w:rsidP="00754FAE">
      <w:pPr>
        <w:pStyle w:val="Casestudyorexample"/>
        <w:rPr>
          <w:b/>
          <w:bCs/>
          <w:color w:val="004270"/>
        </w:rPr>
      </w:pPr>
      <w:r w:rsidRPr="00880275">
        <w:rPr>
          <w:b/>
          <w:bCs/>
          <w:color w:val="004270"/>
        </w:rPr>
        <w:t>Resolved complaint example</w:t>
      </w:r>
    </w:p>
    <w:p w14:paraId="28470350" w14:textId="77777777" w:rsidR="00A76068" w:rsidRPr="00880275" w:rsidRDefault="00A76068" w:rsidP="00754FAE">
      <w:pPr>
        <w:pStyle w:val="Casestudyorexample"/>
      </w:pPr>
      <w:r w:rsidRPr="00880275">
        <w:t xml:space="preserve">Adrian </w:t>
      </w:r>
      <w:proofErr w:type="spellStart"/>
      <w:r w:rsidRPr="00880275">
        <w:t>Burragubba</w:t>
      </w:r>
      <w:proofErr w:type="spellEnd"/>
      <w:r w:rsidRPr="00880275">
        <w:t xml:space="preserve"> and his family were asked by police to leave a pastoral lease area following a trespassing claim by mining company, Adani. The group were exercising their cultural rights on the land. Following conciliation, the Queensland Police Service agreed to issue a public statement of regret acknowledging the embarrassment and hurt their action had caused the family and committed to take cultural rights into account in future.  Media has since reported that police have declined to ask the group to leave on another occasion because of their protected cultural rights under the Act. </w:t>
      </w:r>
    </w:p>
    <w:p w14:paraId="4756DE3E" w14:textId="77777777" w:rsidR="00A76068" w:rsidRPr="00880275" w:rsidRDefault="00A76068" w:rsidP="00A76068"/>
    <w:p w14:paraId="0767C7CA" w14:textId="6FCFB364" w:rsidR="00F7588D" w:rsidRPr="00880275" w:rsidRDefault="00A76068" w:rsidP="00754FAE">
      <w:pPr>
        <w:pStyle w:val="Numberedparagraph"/>
        <w:rPr>
          <w:rFonts w:eastAsia="Arial"/>
        </w:rPr>
      </w:pPr>
      <w:r w:rsidRPr="00880275">
        <w:t>Complaints dealt with under the Human Rights Act have a conciliation success rate of 33% (compared with 42% for the Anti-Discrimination Act).</w:t>
      </w:r>
      <w:r w:rsidRPr="00880275">
        <w:rPr>
          <w:rStyle w:val="FootnoteReference"/>
          <w:rFonts w:eastAsia="Arial"/>
        </w:rPr>
        <w:footnoteReference w:id="100"/>
      </w:r>
      <w:r w:rsidR="00FB3546" w:rsidRPr="00880275">
        <w:t xml:space="preserve"> The most </w:t>
      </w:r>
      <w:r w:rsidR="00FB3546" w:rsidRPr="00880275">
        <w:lastRenderedPageBreak/>
        <w:t xml:space="preserve">common outcomes of complaints that were resolved by the Commission include apologies, reviews or changes to policy, and agreements for individuals or organisations to receive training. </w:t>
      </w:r>
    </w:p>
    <w:p w14:paraId="0A77E330" w14:textId="7A1E5381" w:rsidR="00D75C5E" w:rsidRPr="00880275" w:rsidRDefault="00D75C5E" w:rsidP="00E04CEC">
      <w:pPr>
        <w:pStyle w:val="Heading3"/>
      </w:pPr>
      <w:bookmarkStart w:id="61" w:name="_Toc171346796"/>
      <w:r w:rsidRPr="00880275">
        <w:t xml:space="preserve">Complaint </w:t>
      </w:r>
      <w:r w:rsidR="00E04CEC" w:rsidRPr="00880275">
        <w:t>data and trends</w:t>
      </w:r>
      <w:bookmarkEnd w:id="61"/>
    </w:p>
    <w:p w14:paraId="345354B9" w14:textId="47A5B6C1" w:rsidR="00D75C5E" w:rsidRPr="00880275" w:rsidRDefault="00D75C5E" w:rsidP="00754FAE">
      <w:pPr>
        <w:pStyle w:val="Numberedparagraph"/>
      </w:pPr>
      <w:r w:rsidRPr="00880275">
        <w:t xml:space="preserve">Between 1 January 2020 and </w:t>
      </w:r>
      <w:proofErr w:type="gramStart"/>
      <w:r w:rsidR="00012648" w:rsidRPr="00880275">
        <w:t xml:space="preserve">30 </w:t>
      </w:r>
      <w:r w:rsidRPr="00880275">
        <w:t>June 2023</w:t>
      </w:r>
      <w:proofErr w:type="gramEnd"/>
      <w:r w:rsidRPr="00880275">
        <w:t xml:space="preserve"> the Commission finalised </w:t>
      </w:r>
      <w:r w:rsidR="00683D23" w:rsidRPr="00880275">
        <w:t>1</w:t>
      </w:r>
      <w:r w:rsidR="000D73CF" w:rsidRPr="00880275">
        <w:t>,</w:t>
      </w:r>
      <w:r w:rsidR="00683D23" w:rsidRPr="00880275">
        <w:t>429</w:t>
      </w:r>
      <w:r w:rsidRPr="00880275">
        <w:t xml:space="preserve"> complaints related to the </w:t>
      </w:r>
      <w:r w:rsidR="00881F90" w:rsidRPr="00880275">
        <w:t>Human Rights Act</w:t>
      </w:r>
      <w:r w:rsidRPr="00880275">
        <w:t>. This include</w:t>
      </w:r>
      <w:r w:rsidR="00F466FE" w:rsidRPr="00880275">
        <w:t>d</w:t>
      </w:r>
      <w:r w:rsidRPr="00880275">
        <w:t xml:space="preserve"> </w:t>
      </w:r>
      <w:r w:rsidR="00683D23" w:rsidRPr="00880275">
        <w:t>787</w:t>
      </w:r>
      <w:r w:rsidRPr="00880275">
        <w:t xml:space="preserve"> human rights only complaints and </w:t>
      </w:r>
      <w:r w:rsidR="0066051A" w:rsidRPr="00880275">
        <w:t>642</w:t>
      </w:r>
      <w:r w:rsidRPr="00880275">
        <w:t xml:space="preserve"> ‘piggy-back’ complaints made under the Anti-Discrimination Act. </w:t>
      </w:r>
    </w:p>
    <w:p w14:paraId="7BE5FE17" w14:textId="3B60D771" w:rsidR="00D75C5E" w:rsidRPr="00880275" w:rsidRDefault="00D75C5E" w:rsidP="00754FAE">
      <w:pPr>
        <w:pStyle w:val="Numberedparagraph"/>
      </w:pPr>
      <w:r w:rsidRPr="00880275">
        <w:t xml:space="preserve">Of the </w:t>
      </w:r>
      <w:r w:rsidR="00236C50" w:rsidRPr="00880275">
        <w:t>finalised</w:t>
      </w:r>
      <w:r w:rsidRPr="00880275">
        <w:t xml:space="preserve"> complaints</w:t>
      </w:r>
      <w:r w:rsidR="00F466FE" w:rsidRPr="00880275">
        <w:t>,</w:t>
      </w:r>
      <w:r w:rsidRPr="00880275">
        <w:t xml:space="preserve"> </w:t>
      </w:r>
      <w:r w:rsidR="00236C50" w:rsidRPr="00880275">
        <w:t>594</w:t>
      </w:r>
      <w:r w:rsidRPr="00880275">
        <w:t xml:space="preserve"> complaints were </w:t>
      </w:r>
      <w:r w:rsidR="00236C50" w:rsidRPr="00880275">
        <w:t xml:space="preserve">accepted for resolution.  Of these, 167 were </w:t>
      </w:r>
      <w:r w:rsidR="00881F90" w:rsidRPr="00880275">
        <w:t>Human Rights Act</w:t>
      </w:r>
      <w:r w:rsidRPr="00880275">
        <w:t xml:space="preserve"> only matters, and </w:t>
      </w:r>
      <w:r w:rsidR="000350E9" w:rsidRPr="00880275">
        <w:t>427</w:t>
      </w:r>
      <w:r w:rsidRPr="00880275">
        <w:t xml:space="preserve"> were piggy</w:t>
      </w:r>
      <w:r w:rsidR="002A7EA2" w:rsidRPr="00880275">
        <w:t>-</w:t>
      </w:r>
      <w:r w:rsidRPr="00880275">
        <w:t xml:space="preserve">back complaints. </w:t>
      </w:r>
    </w:p>
    <w:p w14:paraId="4151C419" w14:textId="7DD9A694" w:rsidR="00D75C5E" w:rsidRPr="00880275" w:rsidRDefault="00D75C5E" w:rsidP="00754FAE">
      <w:pPr>
        <w:pStyle w:val="Numberedparagraph"/>
      </w:pPr>
      <w:r w:rsidRPr="00880275">
        <w:t>The Commission recorded 9</w:t>
      </w:r>
      <w:r w:rsidR="00757306" w:rsidRPr="00880275">
        <w:t>7</w:t>
      </w:r>
      <w:r w:rsidRPr="00880275">
        <w:t xml:space="preserve"> complaints made by Aboriginal </w:t>
      </w:r>
      <w:r w:rsidR="00670E70" w:rsidRPr="00880275">
        <w:t xml:space="preserve">people </w:t>
      </w:r>
      <w:r w:rsidRPr="00880275">
        <w:t xml:space="preserve">and Torres Strait Islander people </w:t>
      </w:r>
      <w:r w:rsidR="00A3293E" w:rsidRPr="00880275">
        <w:t>in</w:t>
      </w:r>
      <w:r w:rsidRPr="00880275">
        <w:t xml:space="preserve"> the </w:t>
      </w:r>
      <w:r w:rsidR="00A3293E" w:rsidRPr="00880275">
        <w:t xml:space="preserve">first 4 years of the </w:t>
      </w:r>
      <w:r w:rsidRPr="00880275">
        <w:t>Act, 5</w:t>
      </w:r>
      <w:r w:rsidR="00757306" w:rsidRPr="00880275">
        <w:t>4</w:t>
      </w:r>
      <w:r w:rsidRPr="00880275">
        <w:t xml:space="preserve"> of which were accepted for resolution by the Commission.</w:t>
      </w:r>
    </w:p>
    <w:p w14:paraId="65637972" w14:textId="644F97B6" w:rsidR="007A10BD" w:rsidRPr="00880275" w:rsidRDefault="00B43A61" w:rsidP="00754FAE">
      <w:pPr>
        <w:pStyle w:val="Numberedparagraph"/>
      </w:pPr>
      <w:r w:rsidRPr="00880275">
        <w:t xml:space="preserve">The complaints data </w:t>
      </w:r>
      <w:r w:rsidR="004651BE" w:rsidRPr="00880275">
        <w:t xml:space="preserve">in this </w:t>
      </w:r>
      <w:r w:rsidR="005D3865" w:rsidRPr="00880275">
        <w:t>time</w:t>
      </w:r>
      <w:r w:rsidRPr="00880275">
        <w:t xml:space="preserve"> </w:t>
      </w:r>
      <w:r w:rsidR="007A10BD" w:rsidRPr="00880275">
        <w:t>was</w:t>
      </w:r>
      <w:r w:rsidR="00213F56" w:rsidRPr="00880275">
        <w:t xml:space="preserve"> significantly</w:t>
      </w:r>
      <w:r w:rsidRPr="00880275">
        <w:t xml:space="preserve"> influenced by the </w:t>
      </w:r>
      <w:r w:rsidR="001379B0" w:rsidRPr="00880275">
        <w:t xml:space="preserve">fact that </w:t>
      </w:r>
      <w:r w:rsidR="00213F56" w:rsidRPr="00880275">
        <w:t xml:space="preserve">approximately 25% of the </w:t>
      </w:r>
      <w:r w:rsidR="007A10BD" w:rsidRPr="00880275">
        <w:t xml:space="preserve">accepted </w:t>
      </w:r>
      <w:r w:rsidR="00FD4C7A" w:rsidRPr="00880275">
        <w:t xml:space="preserve">complaints </w:t>
      </w:r>
      <w:r w:rsidR="00213F56" w:rsidRPr="00880275">
        <w:t>handled</w:t>
      </w:r>
      <w:r w:rsidR="00FD4C7A" w:rsidRPr="00880275">
        <w:t xml:space="preserve"> </w:t>
      </w:r>
      <w:r w:rsidR="001379B0" w:rsidRPr="00880275">
        <w:t>by the Commission</w:t>
      </w:r>
      <w:r w:rsidR="00FD4C7A" w:rsidRPr="00880275">
        <w:t xml:space="preserve"> </w:t>
      </w:r>
      <w:r w:rsidR="00213F56" w:rsidRPr="00880275">
        <w:t xml:space="preserve">were </w:t>
      </w:r>
      <w:r w:rsidR="00FD4C7A" w:rsidRPr="00880275">
        <w:t>relat</w:t>
      </w:r>
      <w:r w:rsidR="001379B0" w:rsidRPr="00880275">
        <w:t>ed</w:t>
      </w:r>
      <w:r w:rsidR="00FD4C7A" w:rsidRPr="00880275">
        <w:t xml:space="preserve"> to the COVID-19 pandemic. </w:t>
      </w:r>
      <w:r w:rsidR="00213F56" w:rsidRPr="00880275">
        <w:t>Out of</w:t>
      </w:r>
      <w:r w:rsidR="0012560F" w:rsidRPr="00880275">
        <w:t xml:space="preserve"> the 594 complaints accepted by the Commission </w:t>
      </w:r>
      <w:r w:rsidR="00213F56" w:rsidRPr="00880275">
        <w:t>over</w:t>
      </w:r>
      <w:r w:rsidR="0012560F" w:rsidRPr="00880275">
        <w:t xml:space="preserve"> the first </w:t>
      </w:r>
      <w:r w:rsidR="00213F56" w:rsidRPr="00880275">
        <w:t>four</w:t>
      </w:r>
      <w:r w:rsidR="0012560F" w:rsidRPr="00880275">
        <w:t xml:space="preserve"> years, 157</w:t>
      </w:r>
      <w:r w:rsidR="005F225F" w:rsidRPr="00880275">
        <w:t xml:space="preserve"> were </w:t>
      </w:r>
      <w:r w:rsidR="00213F56" w:rsidRPr="00880275">
        <w:t xml:space="preserve">related to </w:t>
      </w:r>
      <w:r w:rsidR="005F225F" w:rsidRPr="00880275">
        <w:t>COVID-19</w:t>
      </w:r>
      <w:r w:rsidR="00213F56" w:rsidRPr="00880275">
        <w:t>.</w:t>
      </w:r>
      <w:r w:rsidR="005F225F" w:rsidRPr="00880275">
        <w:t xml:space="preserve"> </w:t>
      </w:r>
      <w:r w:rsidR="00FD4C7A" w:rsidRPr="00880275">
        <w:t xml:space="preserve">These complaints </w:t>
      </w:r>
      <w:r w:rsidR="00213F56" w:rsidRPr="00880275">
        <w:t>covered</w:t>
      </w:r>
      <w:r w:rsidR="00012CC0" w:rsidRPr="00880275">
        <w:t xml:space="preserve"> topics such as</w:t>
      </w:r>
      <w:r w:rsidR="00FD4C7A" w:rsidRPr="00880275">
        <w:t xml:space="preserve"> hotel quarantine, border restrictions, masks</w:t>
      </w:r>
      <w:r w:rsidR="00213F56" w:rsidRPr="00880275">
        <w:t>,</w:t>
      </w:r>
      <w:r w:rsidR="00FD4C7A" w:rsidRPr="00880275">
        <w:t xml:space="preserve"> and </w:t>
      </w:r>
      <w:r w:rsidR="00CE153E" w:rsidRPr="00880275">
        <w:t>vaccinations.</w:t>
      </w:r>
    </w:p>
    <w:p w14:paraId="78DCC3C7" w14:textId="6C251354" w:rsidR="00D75C5E" w:rsidRPr="00880275" w:rsidRDefault="00D75C5E" w:rsidP="007A10BD">
      <w:pPr>
        <w:pStyle w:val="Heading4"/>
      </w:pPr>
      <w:r w:rsidRPr="00880275">
        <w:t>Human rights identified in complaints</w:t>
      </w:r>
    </w:p>
    <w:p w14:paraId="484F9B2F" w14:textId="3EDF1DBF" w:rsidR="00D75C5E" w:rsidRPr="00880275" w:rsidRDefault="00D75C5E" w:rsidP="00754FAE">
      <w:pPr>
        <w:pStyle w:val="Numberedparagraph"/>
      </w:pPr>
      <w:r w:rsidRPr="00880275">
        <w:t xml:space="preserve">The Commission may identify relevant human rights from the information provided in a complaint or the complainant may indicate that they believe a right has been limited. Most complaints contain several allegations and engage more than one human right. </w:t>
      </w:r>
    </w:p>
    <w:p w14:paraId="31013783" w14:textId="56A2A1CC" w:rsidR="00D75C5E" w:rsidRPr="00880275" w:rsidRDefault="00D75C5E" w:rsidP="00754FAE">
      <w:pPr>
        <w:pStyle w:val="Numberedparagraph"/>
        <w:rPr>
          <w:color w:val="004270"/>
        </w:rPr>
      </w:pPr>
      <w:r w:rsidRPr="00880275">
        <w:t xml:space="preserve">Not all allegations of unreasonable limitations of human rights are accepted. An allegation alone is not enough; the complainant must provide sufficient detail about an act or decision that indicates a </w:t>
      </w:r>
      <w:r w:rsidR="00A379D6" w:rsidRPr="00880275">
        <w:t>limitation</w:t>
      </w:r>
      <w:r w:rsidRPr="00880275">
        <w:t xml:space="preserve"> of human rights </w:t>
      </w:r>
      <w:r w:rsidR="00A37C5F" w:rsidRPr="00880275">
        <w:t>may have</w:t>
      </w:r>
      <w:r w:rsidRPr="00880275">
        <w:t xml:space="preserve"> occurred before the complaint is accepted.</w:t>
      </w:r>
    </w:p>
    <w:p w14:paraId="32EDBEB7" w14:textId="70439FCE" w:rsidR="00497BB3" w:rsidRPr="00880275" w:rsidRDefault="00497BB3" w:rsidP="00754FAE">
      <w:pPr>
        <w:pStyle w:val="Numberedparagraph"/>
        <w:rPr>
          <w:color w:val="004270"/>
        </w:rPr>
      </w:pPr>
      <w:r w:rsidRPr="00880275">
        <w:t>The below information relates to complaints finalised in the first 4 years which were human rights only matters (excluding those which also fell under the Anti-Discrimination Act and were dealt with as piggy-back complaints).</w:t>
      </w:r>
    </w:p>
    <w:p w14:paraId="116B72D6" w14:textId="201BDC63" w:rsidR="0078201D" w:rsidRPr="00880275" w:rsidRDefault="0078201D" w:rsidP="00754FAE">
      <w:pPr>
        <w:pStyle w:val="Numberedparagraph"/>
      </w:pPr>
      <w:r w:rsidRPr="00880275">
        <w:t>The most common protected right</w:t>
      </w:r>
      <w:r w:rsidR="00497BB3" w:rsidRPr="00880275">
        <w:t xml:space="preserve"> identified</w:t>
      </w:r>
      <w:r w:rsidRPr="00880275">
        <w:t xml:space="preserve"> in accepted and finalised complaints was privacy and reputation. As the scope of this right is broad, complaints range from those involving personal information and data collection to situations involving social housing.</w:t>
      </w:r>
      <w:r w:rsidRPr="00880275">
        <w:rPr>
          <w:shd w:val="clear" w:color="auto" w:fill="FFFFFF"/>
        </w:rPr>
        <w:t xml:space="preserve"> </w:t>
      </w:r>
    </w:p>
    <w:p w14:paraId="1BEF18E8" w14:textId="0FC500D9" w:rsidR="00D75C5E" w:rsidRPr="00880275" w:rsidRDefault="00D75C5E" w:rsidP="00754FAE">
      <w:pPr>
        <w:pStyle w:val="Numberedparagraph"/>
      </w:pPr>
      <w:r w:rsidRPr="00880275">
        <w:lastRenderedPageBreak/>
        <w:t xml:space="preserve">The </w:t>
      </w:r>
      <w:r w:rsidR="0078201D" w:rsidRPr="00880275">
        <w:t>second</w:t>
      </w:r>
      <w:r w:rsidRPr="00880275">
        <w:t xml:space="preserve"> most </w:t>
      </w:r>
      <w:r w:rsidR="00497BB3" w:rsidRPr="00880275">
        <w:t>common</w:t>
      </w:r>
      <w:r w:rsidRPr="00880275">
        <w:t xml:space="preserve"> right</w:t>
      </w:r>
      <w:r w:rsidR="00497BB3" w:rsidRPr="00880275">
        <w:t xml:space="preserve"> </w:t>
      </w:r>
      <w:r w:rsidR="00110BD2" w:rsidRPr="00880275">
        <w:t>was</w:t>
      </w:r>
      <w:r w:rsidRPr="00880275">
        <w:t xml:space="preserve"> humane treatment when deprived of liberty.  The restrictions put in place in Queensland during COVID-19, including the requirement to quarantine in hotels, </w:t>
      </w:r>
      <w:r w:rsidR="00140263" w:rsidRPr="00880275">
        <w:t>was</w:t>
      </w:r>
      <w:r w:rsidRPr="00880275">
        <w:t xml:space="preserve"> one reason for the prevalence of these rights. Humane treatment when deprived of liberty is also a right commonly cited in complaints from prisoners. </w:t>
      </w:r>
    </w:p>
    <w:p w14:paraId="095587D6" w14:textId="0BC6060D" w:rsidR="0079001D" w:rsidRPr="00880275" w:rsidRDefault="0079001D" w:rsidP="00754FAE">
      <w:pPr>
        <w:pStyle w:val="Numberedparagraph"/>
      </w:pPr>
      <w:r w:rsidRPr="00880275">
        <w:t xml:space="preserve">The right to freedom of movement was the third most common right identified in complaints. Again, </w:t>
      </w:r>
      <w:r w:rsidR="00B654B2" w:rsidRPr="00880275">
        <w:t xml:space="preserve">the prevalence of this right </w:t>
      </w:r>
      <w:r w:rsidR="00720A9E" w:rsidRPr="00880275">
        <w:t>may</w:t>
      </w:r>
      <w:r w:rsidR="00B654B2" w:rsidRPr="00880275">
        <w:t xml:space="preserve"> have been</w:t>
      </w:r>
      <w:r w:rsidRPr="00880275">
        <w:t xml:space="preserve"> influenced by </w:t>
      </w:r>
      <w:r w:rsidR="00B654B2" w:rsidRPr="00880275">
        <w:t>restrictions on movement during COVID-19.</w:t>
      </w:r>
    </w:p>
    <w:p w14:paraId="3E9B3873" w14:textId="31902F11" w:rsidR="00D75C5E" w:rsidRPr="00880275" w:rsidRDefault="00D75C5E" w:rsidP="00D75C5E">
      <w:pPr>
        <w:pStyle w:val="Caption"/>
      </w:pPr>
      <w:r w:rsidRPr="00880275">
        <w:t xml:space="preserve">Figure </w:t>
      </w:r>
      <w:r w:rsidR="00207FD5" w:rsidRPr="00880275">
        <w:fldChar w:fldCharType="begin"/>
      </w:r>
      <w:r w:rsidR="00207FD5" w:rsidRPr="00880275">
        <w:instrText xml:space="preserve"> SEQ Figure \* ARABIC </w:instrText>
      </w:r>
      <w:r w:rsidR="00207FD5" w:rsidRPr="00880275">
        <w:fldChar w:fldCharType="separate"/>
      </w:r>
      <w:r w:rsidR="00BF3C68">
        <w:rPr>
          <w:noProof/>
        </w:rPr>
        <w:t>6</w:t>
      </w:r>
      <w:r w:rsidR="00207FD5" w:rsidRPr="00880275">
        <w:fldChar w:fldCharType="end"/>
      </w:r>
      <w:r w:rsidR="00207FD5" w:rsidRPr="00880275">
        <w:t>:</w:t>
      </w:r>
      <w:r w:rsidRPr="00880275">
        <w:t xml:space="preserve"> </w:t>
      </w:r>
      <w:r w:rsidRPr="00880275">
        <w:rPr>
          <w:noProof/>
          <w:lang w:eastAsia="en-AU"/>
        </w:rPr>
        <w:t xml:space="preserve">Human rights identified in accepted and finalised complaints </w:t>
      </w:r>
      <w:r w:rsidR="00E52438" w:rsidRPr="00880275">
        <w:rPr>
          <w:noProof/>
          <w:lang w:eastAsia="en-AU"/>
        </w:rPr>
        <w:t>– human rights only complaints</w:t>
      </w:r>
      <w:r w:rsidRPr="00880275">
        <w:rPr>
          <w:noProof/>
          <w:lang w:eastAsia="en-AU"/>
        </w:rPr>
        <w:t xml:space="preserve"> (note: complaints may identify more than one right) </w:t>
      </w:r>
      <w:r w:rsidR="00EB50FB" w:rsidRPr="00880275">
        <w:rPr>
          <w:noProof/>
          <w:lang w:eastAsia="en-AU"/>
        </w:rPr>
        <w:t>– first 4 financial years</w:t>
      </w:r>
    </w:p>
    <w:tbl>
      <w:tblPr>
        <w:tblStyle w:val="TableGrid"/>
        <w:tblW w:w="8505" w:type="dxa"/>
        <w:tblBorders>
          <w:top w:val="single" w:sz="8" w:space="0" w:color="004270"/>
          <w:left w:val="none" w:sz="0" w:space="0" w:color="auto"/>
          <w:bottom w:val="single" w:sz="8" w:space="0" w:color="004270"/>
          <w:right w:val="none" w:sz="0" w:space="0" w:color="auto"/>
          <w:insideH w:val="single" w:sz="8" w:space="0" w:color="004270"/>
          <w:insideV w:val="none" w:sz="0" w:space="0" w:color="auto"/>
        </w:tblBorders>
        <w:tblLook w:val="04A0" w:firstRow="1" w:lastRow="0" w:firstColumn="1" w:lastColumn="0" w:noHBand="0" w:noVBand="1"/>
      </w:tblPr>
      <w:tblGrid>
        <w:gridCol w:w="5529"/>
        <w:gridCol w:w="2976"/>
      </w:tblGrid>
      <w:tr w:rsidR="00D75C5E" w:rsidRPr="00880275" w14:paraId="34AE7D8D" w14:textId="77777777" w:rsidTr="00EA6ED2">
        <w:tc>
          <w:tcPr>
            <w:tcW w:w="5529" w:type="dxa"/>
          </w:tcPr>
          <w:p w14:paraId="400727A2" w14:textId="77777777" w:rsidR="000A2A67" w:rsidRPr="00880275" w:rsidRDefault="000A2A67" w:rsidP="00D87DF9">
            <w:pPr>
              <w:pStyle w:val="Tableheading"/>
              <w:rPr>
                <w:color w:val="004270"/>
              </w:rPr>
            </w:pPr>
          </w:p>
          <w:p w14:paraId="56825166" w14:textId="73FB0A17" w:rsidR="00D75C5E" w:rsidRPr="00880275" w:rsidRDefault="00D87DF9" w:rsidP="00D87DF9">
            <w:pPr>
              <w:pStyle w:val="Tableheading"/>
              <w:rPr>
                <w:color w:val="004270"/>
              </w:rPr>
            </w:pPr>
            <w:r w:rsidRPr="00880275">
              <w:rPr>
                <w:color w:val="004270"/>
              </w:rPr>
              <w:t xml:space="preserve">Human </w:t>
            </w:r>
            <w:r w:rsidR="008648C7" w:rsidRPr="00880275">
              <w:rPr>
                <w:noProof/>
                <w:color w:val="004270"/>
              </w:rPr>
              <w:t>r</w:t>
            </w:r>
            <w:r w:rsidRPr="00880275">
              <w:rPr>
                <w:noProof/>
                <w:color w:val="004270"/>
              </w:rPr>
              <w:t>ight</w:t>
            </w:r>
          </w:p>
        </w:tc>
        <w:tc>
          <w:tcPr>
            <w:tcW w:w="2976" w:type="dxa"/>
          </w:tcPr>
          <w:p w14:paraId="60799DFB" w14:textId="14FBFE32" w:rsidR="00D75C5E" w:rsidRPr="00880275" w:rsidRDefault="00135AA1" w:rsidP="00135AA1">
            <w:pPr>
              <w:pStyle w:val="Tableheading"/>
              <w:rPr>
                <w:color w:val="004270"/>
              </w:rPr>
            </w:pPr>
            <w:r w:rsidRPr="00880275">
              <w:rPr>
                <w:color w:val="004270"/>
              </w:rPr>
              <w:t>Number of complaints which identified this right</w:t>
            </w:r>
          </w:p>
        </w:tc>
      </w:tr>
      <w:tr w:rsidR="00D87DF9" w:rsidRPr="00880275" w14:paraId="7D0A413D" w14:textId="77777777" w:rsidTr="00EA6ED2">
        <w:tc>
          <w:tcPr>
            <w:tcW w:w="5529" w:type="dxa"/>
          </w:tcPr>
          <w:p w14:paraId="4B3451E0" w14:textId="3A264F89" w:rsidR="00D87DF9" w:rsidRPr="00880275" w:rsidRDefault="00D87DF9">
            <w:pPr>
              <w:pStyle w:val="Tabletext"/>
              <w:rPr>
                <w:rFonts w:cs="Arial"/>
                <w:noProof/>
              </w:rPr>
            </w:pPr>
            <w:r w:rsidRPr="00880275">
              <w:rPr>
                <w:rFonts w:cs="Arial"/>
                <w:noProof/>
              </w:rPr>
              <w:t>Privacy and reputation</w:t>
            </w:r>
          </w:p>
        </w:tc>
        <w:tc>
          <w:tcPr>
            <w:tcW w:w="2976" w:type="dxa"/>
          </w:tcPr>
          <w:p w14:paraId="3135EE78" w14:textId="4CB18388" w:rsidR="00D87DF9" w:rsidRPr="00880275" w:rsidRDefault="00D87DF9">
            <w:pPr>
              <w:pStyle w:val="Tabletext"/>
              <w:rPr>
                <w:rFonts w:cs="Arial"/>
                <w:noProof/>
              </w:rPr>
            </w:pPr>
            <w:r w:rsidRPr="00880275">
              <w:rPr>
                <w:rFonts w:cs="Arial"/>
                <w:noProof/>
              </w:rPr>
              <w:t>70</w:t>
            </w:r>
          </w:p>
        </w:tc>
      </w:tr>
      <w:tr w:rsidR="00D75C5E" w:rsidRPr="00880275" w14:paraId="11B61507" w14:textId="77777777" w:rsidTr="00EA6ED2">
        <w:tc>
          <w:tcPr>
            <w:tcW w:w="5529" w:type="dxa"/>
          </w:tcPr>
          <w:p w14:paraId="25135C1F" w14:textId="1A65FED2" w:rsidR="00D75C5E" w:rsidRPr="00880275" w:rsidRDefault="004F4F0F">
            <w:pPr>
              <w:pStyle w:val="Tabletext"/>
              <w:rPr>
                <w:noProof/>
              </w:rPr>
            </w:pPr>
            <w:r w:rsidRPr="00880275">
              <w:rPr>
                <w:noProof/>
              </w:rPr>
              <w:t>Humane treatment when deprived of liberty</w:t>
            </w:r>
          </w:p>
        </w:tc>
        <w:tc>
          <w:tcPr>
            <w:tcW w:w="2976" w:type="dxa"/>
          </w:tcPr>
          <w:p w14:paraId="72C1D931" w14:textId="1154D354" w:rsidR="00D75C5E" w:rsidRPr="00880275" w:rsidRDefault="004F4F0F">
            <w:pPr>
              <w:pStyle w:val="Tabletext"/>
              <w:rPr>
                <w:noProof/>
              </w:rPr>
            </w:pPr>
            <w:r w:rsidRPr="00880275">
              <w:rPr>
                <w:noProof/>
              </w:rPr>
              <w:t>69</w:t>
            </w:r>
          </w:p>
        </w:tc>
      </w:tr>
      <w:tr w:rsidR="00D75C5E" w:rsidRPr="00880275" w14:paraId="749A0D9F" w14:textId="77777777" w:rsidTr="00EA6ED2">
        <w:tc>
          <w:tcPr>
            <w:tcW w:w="5529" w:type="dxa"/>
          </w:tcPr>
          <w:p w14:paraId="11517A7F" w14:textId="5448DEB5" w:rsidR="00D75C5E" w:rsidRPr="00880275" w:rsidRDefault="00015731">
            <w:pPr>
              <w:pStyle w:val="Tabletext"/>
              <w:rPr>
                <w:noProof/>
              </w:rPr>
            </w:pPr>
            <w:r w:rsidRPr="00880275">
              <w:rPr>
                <w:rFonts w:eastAsia="Times New Roman" w:cs="Arial"/>
                <w:lang w:eastAsia="zh-CN" w:bidi="th-TH"/>
              </w:rPr>
              <w:t>Freedom of movement</w:t>
            </w:r>
          </w:p>
        </w:tc>
        <w:tc>
          <w:tcPr>
            <w:tcW w:w="2976" w:type="dxa"/>
          </w:tcPr>
          <w:p w14:paraId="7DD52284" w14:textId="34DF4A4A" w:rsidR="00D75C5E" w:rsidRPr="00880275" w:rsidRDefault="00015731">
            <w:pPr>
              <w:pStyle w:val="Tabletext"/>
              <w:rPr>
                <w:noProof/>
              </w:rPr>
            </w:pPr>
            <w:r w:rsidRPr="00880275">
              <w:rPr>
                <w:noProof/>
              </w:rPr>
              <w:t>48</w:t>
            </w:r>
          </w:p>
        </w:tc>
      </w:tr>
      <w:tr w:rsidR="00D75C5E" w:rsidRPr="00880275" w14:paraId="75729895" w14:textId="77777777" w:rsidTr="00EA6ED2">
        <w:tc>
          <w:tcPr>
            <w:tcW w:w="5529" w:type="dxa"/>
          </w:tcPr>
          <w:p w14:paraId="55098DB6" w14:textId="62F1B888" w:rsidR="00D75C5E" w:rsidRPr="00880275" w:rsidRDefault="00015731">
            <w:pPr>
              <w:pStyle w:val="Tabletext"/>
              <w:rPr>
                <w:noProof/>
              </w:rPr>
            </w:pPr>
            <w:r w:rsidRPr="00880275">
              <w:rPr>
                <w:rFonts w:eastAsia="Times New Roman" w:cs="Arial"/>
                <w:lang w:eastAsia="zh-CN" w:bidi="th-TH"/>
              </w:rPr>
              <w:t>Recognition and equality before the law</w:t>
            </w:r>
          </w:p>
        </w:tc>
        <w:tc>
          <w:tcPr>
            <w:tcW w:w="2976" w:type="dxa"/>
          </w:tcPr>
          <w:p w14:paraId="6A8E702F" w14:textId="0380512F" w:rsidR="00D75C5E" w:rsidRPr="00880275" w:rsidRDefault="0035074C">
            <w:pPr>
              <w:pStyle w:val="Tabletext"/>
              <w:rPr>
                <w:noProof/>
              </w:rPr>
            </w:pPr>
            <w:r w:rsidRPr="00880275">
              <w:rPr>
                <w:noProof/>
              </w:rPr>
              <w:t>47</w:t>
            </w:r>
          </w:p>
        </w:tc>
      </w:tr>
      <w:tr w:rsidR="00D75C5E" w:rsidRPr="00880275" w14:paraId="7C3D2DF9" w14:textId="77777777" w:rsidTr="00EA6ED2">
        <w:tc>
          <w:tcPr>
            <w:tcW w:w="5529" w:type="dxa"/>
          </w:tcPr>
          <w:p w14:paraId="48548058" w14:textId="63FC430F" w:rsidR="00D75C5E" w:rsidRPr="00880275" w:rsidRDefault="00015731" w:rsidP="00015731">
            <w:pPr>
              <w:spacing w:after="0"/>
              <w:rPr>
                <w:rFonts w:cs="Arial"/>
                <w:color w:val="auto"/>
                <w:szCs w:val="22"/>
                <w:lang w:eastAsia="zh-CN" w:bidi="th-TH"/>
              </w:rPr>
            </w:pPr>
            <w:r w:rsidRPr="00880275">
              <w:rPr>
                <w:rFonts w:cs="Arial"/>
                <w:color w:val="auto"/>
                <w:szCs w:val="22"/>
                <w:lang w:eastAsia="zh-CN" w:bidi="th-TH"/>
              </w:rPr>
              <w:t>Protection of families and children</w:t>
            </w:r>
          </w:p>
        </w:tc>
        <w:tc>
          <w:tcPr>
            <w:tcW w:w="2976" w:type="dxa"/>
          </w:tcPr>
          <w:p w14:paraId="6CCC7F51" w14:textId="12C6FD02" w:rsidR="00D75C5E" w:rsidRPr="00880275" w:rsidRDefault="0035074C">
            <w:pPr>
              <w:pStyle w:val="Tabletext"/>
              <w:rPr>
                <w:noProof/>
              </w:rPr>
            </w:pPr>
            <w:r w:rsidRPr="00880275">
              <w:rPr>
                <w:noProof/>
              </w:rPr>
              <w:t>38</w:t>
            </w:r>
          </w:p>
        </w:tc>
      </w:tr>
      <w:tr w:rsidR="00D75C5E" w:rsidRPr="00880275" w14:paraId="04BD05B1" w14:textId="77777777" w:rsidTr="00EA6ED2">
        <w:tc>
          <w:tcPr>
            <w:tcW w:w="5529" w:type="dxa"/>
          </w:tcPr>
          <w:p w14:paraId="5219AADB" w14:textId="07EBA16D" w:rsidR="00D75C5E" w:rsidRPr="00880275" w:rsidRDefault="00015731">
            <w:pPr>
              <w:pStyle w:val="Tabletext"/>
              <w:rPr>
                <w:noProof/>
              </w:rPr>
            </w:pPr>
            <w:r w:rsidRPr="00880275">
              <w:rPr>
                <w:rFonts w:eastAsia="Times New Roman" w:cs="Arial"/>
                <w:lang w:eastAsia="zh-CN" w:bidi="th-TH"/>
              </w:rPr>
              <w:t>Protection from torture &amp; cruel, inhuman or degrading treatment</w:t>
            </w:r>
          </w:p>
        </w:tc>
        <w:tc>
          <w:tcPr>
            <w:tcW w:w="2976" w:type="dxa"/>
          </w:tcPr>
          <w:p w14:paraId="3DBC8813" w14:textId="47B44AF1" w:rsidR="00D75C5E" w:rsidRPr="00880275" w:rsidRDefault="0035074C">
            <w:pPr>
              <w:pStyle w:val="Tabletext"/>
              <w:rPr>
                <w:noProof/>
              </w:rPr>
            </w:pPr>
            <w:r w:rsidRPr="00880275">
              <w:rPr>
                <w:noProof/>
              </w:rPr>
              <w:t>33</w:t>
            </w:r>
          </w:p>
        </w:tc>
      </w:tr>
      <w:tr w:rsidR="00D75C5E" w:rsidRPr="00880275" w14:paraId="7E992855" w14:textId="77777777" w:rsidTr="00EA6ED2">
        <w:tc>
          <w:tcPr>
            <w:tcW w:w="5529" w:type="dxa"/>
          </w:tcPr>
          <w:p w14:paraId="62900109" w14:textId="58C93C2E" w:rsidR="00D75C5E" w:rsidRPr="00880275" w:rsidRDefault="00015731">
            <w:pPr>
              <w:pStyle w:val="Tabletext"/>
              <w:rPr>
                <w:noProof/>
              </w:rPr>
            </w:pPr>
            <w:r w:rsidRPr="00880275">
              <w:rPr>
                <w:rFonts w:eastAsia="Times New Roman" w:cs="Arial"/>
                <w:lang w:eastAsia="zh-CN" w:bidi="th-TH"/>
              </w:rPr>
              <w:t>Right to health services</w:t>
            </w:r>
          </w:p>
        </w:tc>
        <w:tc>
          <w:tcPr>
            <w:tcW w:w="2976" w:type="dxa"/>
          </w:tcPr>
          <w:p w14:paraId="498496C7" w14:textId="014E04BF" w:rsidR="00D75C5E" w:rsidRPr="00880275" w:rsidRDefault="00B53420">
            <w:pPr>
              <w:pStyle w:val="Tabletext"/>
              <w:rPr>
                <w:noProof/>
              </w:rPr>
            </w:pPr>
            <w:r w:rsidRPr="00880275">
              <w:rPr>
                <w:noProof/>
              </w:rPr>
              <w:t>26</w:t>
            </w:r>
          </w:p>
        </w:tc>
      </w:tr>
      <w:tr w:rsidR="00D75C5E" w:rsidRPr="00880275" w14:paraId="7AF9D923" w14:textId="77777777" w:rsidTr="00EA6ED2">
        <w:tc>
          <w:tcPr>
            <w:tcW w:w="5529" w:type="dxa"/>
          </w:tcPr>
          <w:p w14:paraId="54AD2F20" w14:textId="54CF48AF" w:rsidR="00D75C5E" w:rsidRPr="00880275" w:rsidRDefault="00015731">
            <w:pPr>
              <w:pStyle w:val="Tabletext"/>
              <w:rPr>
                <w:noProof/>
              </w:rPr>
            </w:pPr>
            <w:r w:rsidRPr="00880275">
              <w:rPr>
                <w:rFonts w:eastAsia="Times New Roman" w:cs="Arial"/>
                <w:lang w:eastAsia="zh-CN" w:bidi="th-TH"/>
              </w:rPr>
              <w:t>Right to liberty and security of person</w:t>
            </w:r>
          </w:p>
        </w:tc>
        <w:tc>
          <w:tcPr>
            <w:tcW w:w="2976" w:type="dxa"/>
          </w:tcPr>
          <w:p w14:paraId="12F5CE59" w14:textId="2F2A613A" w:rsidR="00D75C5E" w:rsidRPr="00880275" w:rsidRDefault="00B53420">
            <w:pPr>
              <w:pStyle w:val="Tabletext"/>
              <w:rPr>
                <w:noProof/>
              </w:rPr>
            </w:pPr>
            <w:r w:rsidRPr="00880275">
              <w:rPr>
                <w:noProof/>
              </w:rPr>
              <w:t>16</w:t>
            </w:r>
          </w:p>
        </w:tc>
      </w:tr>
      <w:tr w:rsidR="00D75C5E" w:rsidRPr="00880275" w14:paraId="7A005077" w14:textId="77777777" w:rsidTr="00EA6ED2">
        <w:tc>
          <w:tcPr>
            <w:tcW w:w="5529" w:type="dxa"/>
          </w:tcPr>
          <w:p w14:paraId="5E0C0561" w14:textId="3C3D9872" w:rsidR="00D75C5E" w:rsidRPr="00880275" w:rsidRDefault="00015731">
            <w:pPr>
              <w:pStyle w:val="Tabletext"/>
              <w:rPr>
                <w:noProof/>
              </w:rPr>
            </w:pPr>
            <w:r w:rsidRPr="00880275">
              <w:rPr>
                <w:rFonts w:eastAsia="Times New Roman" w:cs="Arial"/>
                <w:lang w:eastAsia="zh-CN" w:bidi="th-TH"/>
              </w:rPr>
              <w:t>Freedom of expression</w:t>
            </w:r>
          </w:p>
        </w:tc>
        <w:tc>
          <w:tcPr>
            <w:tcW w:w="2976" w:type="dxa"/>
          </w:tcPr>
          <w:p w14:paraId="0E374936" w14:textId="722A7F89" w:rsidR="00D75C5E" w:rsidRPr="00880275" w:rsidRDefault="00B53420">
            <w:pPr>
              <w:pStyle w:val="Tabletext"/>
              <w:rPr>
                <w:noProof/>
              </w:rPr>
            </w:pPr>
            <w:r w:rsidRPr="00880275">
              <w:rPr>
                <w:noProof/>
              </w:rPr>
              <w:t>12</w:t>
            </w:r>
          </w:p>
        </w:tc>
      </w:tr>
      <w:tr w:rsidR="00D75C5E" w:rsidRPr="00880275" w14:paraId="2B09FD08" w14:textId="77777777" w:rsidTr="00EA6ED2">
        <w:tc>
          <w:tcPr>
            <w:tcW w:w="5529" w:type="dxa"/>
          </w:tcPr>
          <w:p w14:paraId="791BD9BE" w14:textId="41D00412" w:rsidR="00D75C5E" w:rsidRPr="00880275" w:rsidRDefault="00015731">
            <w:pPr>
              <w:pStyle w:val="Tabletext"/>
              <w:rPr>
                <w:noProof/>
              </w:rPr>
            </w:pPr>
            <w:r w:rsidRPr="00880275">
              <w:rPr>
                <w:rFonts w:eastAsia="Times New Roman" w:cs="Arial"/>
                <w:lang w:eastAsia="zh-CN" w:bidi="th-TH"/>
              </w:rPr>
              <w:t>Right to education</w:t>
            </w:r>
          </w:p>
        </w:tc>
        <w:tc>
          <w:tcPr>
            <w:tcW w:w="2976" w:type="dxa"/>
          </w:tcPr>
          <w:p w14:paraId="3C7D393F" w14:textId="2628A5F4" w:rsidR="00D75C5E" w:rsidRPr="00880275" w:rsidRDefault="00B53420">
            <w:pPr>
              <w:pStyle w:val="Tabletext"/>
              <w:rPr>
                <w:noProof/>
              </w:rPr>
            </w:pPr>
            <w:r w:rsidRPr="00880275">
              <w:rPr>
                <w:noProof/>
              </w:rPr>
              <w:t>12</w:t>
            </w:r>
          </w:p>
        </w:tc>
      </w:tr>
      <w:tr w:rsidR="00D75C5E" w:rsidRPr="00880275" w14:paraId="04BB42F0" w14:textId="77777777" w:rsidTr="00EA6ED2">
        <w:tc>
          <w:tcPr>
            <w:tcW w:w="5529" w:type="dxa"/>
          </w:tcPr>
          <w:p w14:paraId="393CD8E6" w14:textId="0B42A7A4" w:rsidR="00D75C5E" w:rsidRPr="00880275" w:rsidRDefault="00015731">
            <w:pPr>
              <w:pStyle w:val="Tabletext"/>
              <w:rPr>
                <w:noProof/>
              </w:rPr>
            </w:pPr>
            <w:r w:rsidRPr="00880275">
              <w:rPr>
                <w:rFonts w:eastAsia="Times New Roman" w:cs="Arial"/>
                <w:lang w:eastAsia="zh-CN" w:bidi="th-TH"/>
              </w:rPr>
              <w:t>Property rights</w:t>
            </w:r>
          </w:p>
        </w:tc>
        <w:tc>
          <w:tcPr>
            <w:tcW w:w="2976" w:type="dxa"/>
          </w:tcPr>
          <w:p w14:paraId="6E59C3D9" w14:textId="2E3574B4" w:rsidR="00D75C5E" w:rsidRPr="00880275" w:rsidRDefault="00B53420">
            <w:pPr>
              <w:pStyle w:val="Tabletext"/>
              <w:rPr>
                <w:noProof/>
              </w:rPr>
            </w:pPr>
            <w:r w:rsidRPr="00880275">
              <w:rPr>
                <w:noProof/>
              </w:rPr>
              <w:t>8</w:t>
            </w:r>
          </w:p>
        </w:tc>
      </w:tr>
      <w:tr w:rsidR="00D75C5E" w:rsidRPr="00880275" w14:paraId="444B1BD9" w14:textId="77777777" w:rsidTr="00EA6ED2">
        <w:tc>
          <w:tcPr>
            <w:tcW w:w="5529" w:type="dxa"/>
          </w:tcPr>
          <w:p w14:paraId="1F03A245" w14:textId="42B39E45" w:rsidR="00D75C5E" w:rsidRPr="00880275" w:rsidRDefault="00015731">
            <w:pPr>
              <w:pStyle w:val="Tabletext"/>
              <w:rPr>
                <w:noProof/>
              </w:rPr>
            </w:pPr>
            <w:r w:rsidRPr="00880275">
              <w:rPr>
                <w:rFonts w:eastAsia="Times New Roman" w:cs="Arial"/>
                <w:lang w:eastAsia="zh-CN" w:bidi="th-TH"/>
              </w:rPr>
              <w:t>Cultural rights—Aboriginal peoples and Torres Strait Islander</w:t>
            </w:r>
            <w:r w:rsidR="002A5242" w:rsidRPr="00880275">
              <w:rPr>
                <w:rFonts w:eastAsia="Times New Roman" w:cs="Arial"/>
                <w:lang w:eastAsia="zh-CN" w:bidi="th-TH"/>
              </w:rPr>
              <w:t xml:space="preserve"> Peoples</w:t>
            </w:r>
          </w:p>
        </w:tc>
        <w:tc>
          <w:tcPr>
            <w:tcW w:w="2976" w:type="dxa"/>
          </w:tcPr>
          <w:p w14:paraId="6974E391" w14:textId="03A56003" w:rsidR="00D75C5E" w:rsidRPr="00880275" w:rsidRDefault="00D87DF9">
            <w:pPr>
              <w:pStyle w:val="Tabletext"/>
              <w:rPr>
                <w:noProof/>
              </w:rPr>
            </w:pPr>
            <w:r w:rsidRPr="00880275">
              <w:rPr>
                <w:rFonts w:cs="Arial"/>
                <w:noProof/>
              </w:rPr>
              <w:t>7</w:t>
            </w:r>
          </w:p>
        </w:tc>
      </w:tr>
      <w:tr w:rsidR="00D75C5E" w:rsidRPr="00880275" w14:paraId="496BE162" w14:textId="77777777" w:rsidTr="00EA6ED2">
        <w:tc>
          <w:tcPr>
            <w:tcW w:w="5529" w:type="dxa"/>
          </w:tcPr>
          <w:p w14:paraId="10783C6F" w14:textId="7E2FC2EA" w:rsidR="00D75C5E" w:rsidRPr="00880275" w:rsidRDefault="00015731">
            <w:pPr>
              <w:pStyle w:val="Tabletext"/>
              <w:rPr>
                <w:noProof/>
              </w:rPr>
            </w:pPr>
            <w:r w:rsidRPr="00880275">
              <w:rPr>
                <w:rFonts w:eastAsia="Times New Roman" w:cs="Arial"/>
                <w:lang w:eastAsia="zh-CN" w:bidi="th-TH"/>
              </w:rPr>
              <w:t>Right to life</w:t>
            </w:r>
          </w:p>
        </w:tc>
        <w:tc>
          <w:tcPr>
            <w:tcW w:w="2976" w:type="dxa"/>
          </w:tcPr>
          <w:p w14:paraId="6FB337AD" w14:textId="3208AEFD" w:rsidR="00D75C5E" w:rsidRPr="00880275" w:rsidRDefault="00D87DF9">
            <w:pPr>
              <w:pStyle w:val="Tabletext"/>
              <w:rPr>
                <w:noProof/>
              </w:rPr>
            </w:pPr>
            <w:r w:rsidRPr="00880275">
              <w:rPr>
                <w:rFonts w:cs="Arial"/>
                <w:noProof/>
              </w:rPr>
              <w:t>7</w:t>
            </w:r>
          </w:p>
        </w:tc>
      </w:tr>
      <w:tr w:rsidR="00D75C5E" w:rsidRPr="00880275" w14:paraId="284EDD97" w14:textId="77777777" w:rsidTr="00EA6ED2">
        <w:tc>
          <w:tcPr>
            <w:tcW w:w="5529" w:type="dxa"/>
          </w:tcPr>
          <w:p w14:paraId="4AB2380E" w14:textId="4A0DFD97" w:rsidR="00D75C5E" w:rsidRPr="00880275" w:rsidRDefault="00015731">
            <w:pPr>
              <w:pStyle w:val="Tabletext"/>
              <w:rPr>
                <w:noProof/>
              </w:rPr>
            </w:pPr>
            <w:r w:rsidRPr="00880275">
              <w:rPr>
                <w:rFonts w:eastAsia="Times New Roman" w:cs="Arial"/>
                <w:lang w:eastAsia="zh-CN" w:bidi="th-TH"/>
              </w:rPr>
              <w:t>Fair hearing</w:t>
            </w:r>
          </w:p>
        </w:tc>
        <w:tc>
          <w:tcPr>
            <w:tcW w:w="2976" w:type="dxa"/>
          </w:tcPr>
          <w:p w14:paraId="321D478E" w14:textId="30BA9898" w:rsidR="00D75C5E" w:rsidRPr="00880275" w:rsidRDefault="00D87DF9">
            <w:pPr>
              <w:pStyle w:val="Tabletext"/>
              <w:rPr>
                <w:noProof/>
              </w:rPr>
            </w:pPr>
            <w:r w:rsidRPr="00880275">
              <w:rPr>
                <w:rFonts w:cs="Arial"/>
                <w:noProof/>
              </w:rPr>
              <w:t>2</w:t>
            </w:r>
          </w:p>
        </w:tc>
      </w:tr>
      <w:tr w:rsidR="00D75C5E" w:rsidRPr="00880275" w14:paraId="353DF9A8" w14:textId="77777777" w:rsidTr="00EA6ED2">
        <w:tc>
          <w:tcPr>
            <w:tcW w:w="5529" w:type="dxa"/>
          </w:tcPr>
          <w:p w14:paraId="7497BCE0" w14:textId="4BAE9954" w:rsidR="00D75C5E" w:rsidRPr="00880275" w:rsidRDefault="00015731">
            <w:pPr>
              <w:pStyle w:val="Tabletext"/>
              <w:rPr>
                <w:noProof/>
              </w:rPr>
            </w:pPr>
            <w:r w:rsidRPr="00880275">
              <w:rPr>
                <w:rFonts w:eastAsia="Times New Roman" w:cs="Arial"/>
                <w:lang w:eastAsia="zh-CN" w:bidi="th-TH"/>
              </w:rPr>
              <w:t>Cultural rights—generally</w:t>
            </w:r>
          </w:p>
        </w:tc>
        <w:tc>
          <w:tcPr>
            <w:tcW w:w="2976" w:type="dxa"/>
          </w:tcPr>
          <w:p w14:paraId="7C35C11A" w14:textId="505CDFDF" w:rsidR="00D75C5E" w:rsidRPr="00880275" w:rsidRDefault="00D87DF9">
            <w:pPr>
              <w:pStyle w:val="Tabletext"/>
              <w:rPr>
                <w:noProof/>
              </w:rPr>
            </w:pPr>
            <w:r w:rsidRPr="00880275">
              <w:rPr>
                <w:rFonts w:cs="Arial"/>
                <w:noProof/>
              </w:rPr>
              <w:t>1</w:t>
            </w:r>
          </w:p>
        </w:tc>
      </w:tr>
      <w:tr w:rsidR="00D75C5E" w:rsidRPr="00880275" w14:paraId="2BC7CA67" w14:textId="77777777" w:rsidTr="00EA6ED2">
        <w:tc>
          <w:tcPr>
            <w:tcW w:w="5529" w:type="dxa"/>
          </w:tcPr>
          <w:p w14:paraId="259F7B93" w14:textId="3FAFAF4B" w:rsidR="00D75C5E" w:rsidRPr="00880275" w:rsidRDefault="00015731">
            <w:pPr>
              <w:pStyle w:val="Tabletext"/>
              <w:rPr>
                <w:noProof/>
              </w:rPr>
            </w:pPr>
            <w:r w:rsidRPr="00880275">
              <w:rPr>
                <w:rFonts w:eastAsia="Times New Roman" w:cs="Arial"/>
                <w:lang w:eastAsia="zh-CN" w:bidi="th-TH"/>
              </w:rPr>
              <w:t>Freedom of thought, conscience, religion and belief</w:t>
            </w:r>
          </w:p>
        </w:tc>
        <w:tc>
          <w:tcPr>
            <w:tcW w:w="2976" w:type="dxa"/>
          </w:tcPr>
          <w:p w14:paraId="72546C33" w14:textId="6ADDD624" w:rsidR="00D75C5E" w:rsidRPr="00880275" w:rsidRDefault="00D87DF9">
            <w:pPr>
              <w:pStyle w:val="Tabletext"/>
              <w:rPr>
                <w:noProof/>
              </w:rPr>
            </w:pPr>
            <w:r w:rsidRPr="00880275">
              <w:rPr>
                <w:rFonts w:cs="Arial"/>
                <w:noProof/>
              </w:rPr>
              <w:t>1</w:t>
            </w:r>
          </w:p>
        </w:tc>
      </w:tr>
      <w:tr w:rsidR="00D75C5E" w:rsidRPr="00880275" w14:paraId="6E38C4B7" w14:textId="77777777" w:rsidTr="00EA6ED2">
        <w:tc>
          <w:tcPr>
            <w:tcW w:w="5529" w:type="dxa"/>
          </w:tcPr>
          <w:p w14:paraId="2AAC9E39" w14:textId="6F224EDD" w:rsidR="00D75C5E" w:rsidRPr="00880275" w:rsidRDefault="00015731">
            <w:pPr>
              <w:pStyle w:val="Tabletext"/>
              <w:rPr>
                <w:noProof/>
              </w:rPr>
            </w:pPr>
            <w:r w:rsidRPr="00880275">
              <w:rPr>
                <w:rFonts w:eastAsia="Times New Roman" w:cs="Arial"/>
                <w:lang w:eastAsia="zh-CN" w:bidi="th-TH"/>
              </w:rPr>
              <w:t>Peaceful assembly and freedom of association</w:t>
            </w:r>
          </w:p>
        </w:tc>
        <w:tc>
          <w:tcPr>
            <w:tcW w:w="2976" w:type="dxa"/>
          </w:tcPr>
          <w:p w14:paraId="3B3EAB27" w14:textId="4BE25025" w:rsidR="00D75C5E" w:rsidRPr="00880275" w:rsidRDefault="00D87DF9">
            <w:pPr>
              <w:pStyle w:val="Tabletext"/>
              <w:rPr>
                <w:noProof/>
              </w:rPr>
            </w:pPr>
            <w:r w:rsidRPr="00880275">
              <w:rPr>
                <w:rFonts w:cs="Arial"/>
                <w:noProof/>
              </w:rPr>
              <w:t>1</w:t>
            </w:r>
          </w:p>
        </w:tc>
      </w:tr>
      <w:tr w:rsidR="00D75C5E" w:rsidRPr="00880275" w14:paraId="205B3F21" w14:textId="77777777" w:rsidTr="00EA6ED2">
        <w:tc>
          <w:tcPr>
            <w:tcW w:w="5529" w:type="dxa"/>
          </w:tcPr>
          <w:p w14:paraId="12DFA09C" w14:textId="27ADAB42" w:rsidR="00D75C5E" w:rsidRPr="00880275" w:rsidRDefault="00015731">
            <w:pPr>
              <w:pStyle w:val="Tabletext"/>
              <w:rPr>
                <w:noProof/>
              </w:rPr>
            </w:pPr>
            <w:r w:rsidRPr="00880275">
              <w:rPr>
                <w:rFonts w:eastAsia="Times New Roman" w:cs="Arial"/>
                <w:lang w:eastAsia="zh-CN" w:bidi="th-TH"/>
              </w:rPr>
              <w:t>Protection of Children in the criminal process</w:t>
            </w:r>
          </w:p>
        </w:tc>
        <w:tc>
          <w:tcPr>
            <w:tcW w:w="2976" w:type="dxa"/>
          </w:tcPr>
          <w:p w14:paraId="28214B87" w14:textId="43505CBE" w:rsidR="00D75C5E" w:rsidRPr="00880275" w:rsidRDefault="00D87DF9">
            <w:pPr>
              <w:pStyle w:val="Tabletext"/>
              <w:rPr>
                <w:noProof/>
              </w:rPr>
            </w:pPr>
            <w:r w:rsidRPr="00880275">
              <w:rPr>
                <w:rFonts w:cs="Arial"/>
                <w:noProof/>
              </w:rPr>
              <w:t>1</w:t>
            </w:r>
          </w:p>
        </w:tc>
      </w:tr>
      <w:tr w:rsidR="00D75C5E" w:rsidRPr="00880275" w14:paraId="7B31A6D8" w14:textId="77777777" w:rsidTr="00EA6ED2">
        <w:tc>
          <w:tcPr>
            <w:tcW w:w="5529" w:type="dxa"/>
          </w:tcPr>
          <w:p w14:paraId="67919A98" w14:textId="22FFF805" w:rsidR="00D75C5E" w:rsidRPr="00880275" w:rsidRDefault="00015731">
            <w:pPr>
              <w:pStyle w:val="Tabletext"/>
              <w:rPr>
                <w:noProof/>
              </w:rPr>
            </w:pPr>
            <w:r w:rsidRPr="00880275">
              <w:rPr>
                <w:rFonts w:eastAsia="Times New Roman" w:cs="Arial"/>
                <w:lang w:eastAsia="zh-CN" w:bidi="th-TH"/>
              </w:rPr>
              <w:t>Rights in criminal proceedings</w:t>
            </w:r>
          </w:p>
        </w:tc>
        <w:tc>
          <w:tcPr>
            <w:tcW w:w="2976" w:type="dxa"/>
          </w:tcPr>
          <w:p w14:paraId="57E4AF9B" w14:textId="39B9B916" w:rsidR="00D75C5E" w:rsidRPr="00880275" w:rsidRDefault="00D87DF9">
            <w:pPr>
              <w:pStyle w:val="Tabletext"/>
              <w:rPr>
                <w:noProof/>
              </w:rPr>
            </w:pPr>
            <w:r w:rsidRPr="00880275">
              <w:rPr>
                <w:rFonts w:cs="Arial"/>
                <w:noProof/>
              </w:rPr>
              <w:t>1</w:t>
            </w:r>
          </w:p>
        </w:tc>
      </w:tr>
      <w:tr w:rsidR="00D75C5E" w:rsidRPr="00880275" w14:paraId="07E1AE47" w14:textId="77777777" w:rsidTr="00EA6ED2">
        <w:tc>
          <w:tcPr>
            <w:tcW w:w="5529" w:type="dxa"/>
          </w:tcPr>
          <w:p w14:paraId="3ADAAEFF" w14:textId="273C0559" w:rsidR="00D75C5E" w:rsidRPr="00880275" w:rsidRDefault="00015731">
            <w:pPr>
              <w:pStyle w:val="Tabletext"/>
              <w:rPr>
                <w:rFonts w:cs="Arial"/>
                <w:b/>
              </w:rPr>
            </w:pPr>
            <w:r w:rsidRPr="00880275">
              <w:rPr>
                <w:rFonts w:eastAsia="Times New Roman" w:cs="Arial"/>
                <w:lang w:eastAsia="zh-CN" w:bidi="th-TH"/>
              </w:rPr>
              <w:t>Taking part in public life</w:t>
            </w:r>
          </w:p>
        </w:tc>
        <w:tc>
          <w:tcPr>
            <w:tcW w:w="2976" w:type="dxa"/>
          </w:tcPr>
          <w:p w14:paraId="7278304B" w14:textId="43E53222" w:rsidR="00D75C5E" w:rsidRPr="00880275" w:rsidRDefault="00D87DF9">
            <w:pPr>
              <w:pStyle w:val="Tabletext"/>
              <w:rPr>
                <w:rFonts w:cs="Arial"/>
              </w:rPr>
            </w:pPr>
            <w:r w:rsidRPr="00880275">
              <w:rPr>
                <w:rFonts w:cs="Arial"/>
                <w:noProof/>
              </w:rPr>
              <w:t>1</w:t>
            </w:r>
          </w:p>
        </w:tc>
      </w:tr>
    </w:tbl>
    <w:p w14:paraId="2571AA6D" w14:textId="77777777" w:rsidR="00903C62" w:rsidRPr="00880275" w:rsidRDefault="00903C62" w:rsidP="003707E7">
      <w:pPr>
        <w:rPr>
          <w:noProof/>
        </w:rPr>
      </w:pPr>
    </w:p>
    <w:p w14:paraId="77E7852C" w14:textId="2CAFBED6" w:rsidR="00D75C5E" w:rsidRPr="00880275" w:rsidRDefault="00D75C5E" w:rsidP="00903C62">
      <w:pPr>
        <w:pStyle w:val="Heading4"/>
        <w:rPr>
          <w:noProof/>
        </w:rPr>
      </w:pPr>
      <w:r w:rsidRPr="00880275">
        <w:rPr>
          <w:noProof/>
        </w:rPr>
        <w:lastRenderedPageBreak/>
        <w:t xml:space="preserve">Most common sectors for </w:t>
      </w:r>
      <w:r w:rsidR="00595607" w:rsidRPr="00880275">
        <w:rPr>
          <w:noProof/>
        </w:rPr>
        <w:t xml:space="preserve">accepted </w:t>
      </w:r>
      <w:r w:rsidRPr="00880275">
        <w:rPr>
          <w:noProof/>
        </w:rPr>
        <w:t>complaints</w:t>
      </w:r>
    </w:p>
    <w:p w14:paraId="0B70C439" w14:textId="45EE1C69" w:rsidR="009A672C" w:rsidRPr="00880275" w:rsidRDefault="00D75C5E" w:rsidP="00754FAE">
      <w:pPr>
        <w:pStyle w:val="Numberedparagraph"/>
      </w:pPr>
      <w:r w:rsidRPr="00880275">
        <w:t xml:space="preserve">Figure </w:t>
      </w:r>
      <w:r w:rsidR="009A672C" w:rsidRPr="00880275">
        <w:t xml:space="preserve">7 sets out human rights accepted and finalised by sector. </w:t>
      </w:r>
      <w:r w:rsidR="003D42CD" w:rsidRPr="00880275">
        <w:t>Again, t</w:t>
      </w:r>
      <w:r w:rsidR="009A672C" w:rsidRPr="00880275">
        <w:t>he high repre</w:t>
      </w:r>
      <w:r w:rsidR="003D42CD" w:rsidRPr="00880275">
        <w:t>sentation of health, corrections</w:t>
      </w:r>
      <w:r w:rsidR="00FB16CA" w:rsidRPr="00880275">
        <w:t>,</w:t>
      </w:r>
      <w:r w:rsidR="003D42CD" w:rsidRPr="00880275">
        <w:t xml:space="preserve"> and police </w:t>
      </w:r>
      <w:r w:rsidR="00913708" w:rsidRPr="00880275">
        <w:t>is</w:t>
      </w:r>
      <w:r w:rsidR="00C00400" w:rsidRPr="00880275">
        <w:t xml:space="preserve"> </w:t>
      </w:r>
      <w:r w:rsidR="003D42CD" w:rsidRPr="00880275">
        <w:t xml:space="preserve">likely </w:t>
      </w:r>
      <w:r w:rsidR="00913708" w:rsidRPr="00880275">
        <w:t xml:space="preserve">to have </w:t>
      </w:r>
      <w:r w:rsidR="00C00400" w:rsidRPr="00880275">
        <w:t xml:space="preserve">been </w:t>
      </w:r>
      <w:r w:rsidR="00913708" w:rsidRPr="00880275">
        <w:t>affected</w:t>
      </w:r>
      <w:r w:rsidR="00506F10" w:rsidRPr="00880275">
        <w:t xml:space="preserve"> by large </w:t>
      </w:r>
      <w:r w:rsidR="00ED18B1" w:rsidRPr="00880275">
        <w:t xml:space="preserve">proportions </w:t>
      </w:r>
      <w:r w:rsidR="00506F10" w:rsidRPr="00880275">
        <w:t>of complaints relating to COVID-19.</w:t>
      </w:r>
    </w:p>
    <w:p w14:paraId="39388AC5" w14:textId="77777777" w:rsidR="00B97328" w:rsidRPr="00880275" w:rsidRDefault="00B97328" w:rsidP="00292BC3">
      <w:pPr>
        <w:pStyle w:val="Caption"/>
      </w:pPr>
    </w:p>
    <w:p w14:paraId="27B4BD02" w14:textId="6A81A7A0" w:rsidR="00D75C5E" w:rsidRPr="00880275" w:rsidRDefault="00921228" w:rsidP="00292BC3">
      <w:pPr>
        <w:pStyle w:val="Caption"/>
      </w:pPr>
      <w:r w:rsidRPr="00880275">
        <w:t xml:space="preserve">Figure </w:t>
      </w:r>
      <w:r w:rsidRPr="00880275">
        <w:fldChar w:fldCharType="begin"/>
      </w:r>
      <w:r w:rsidRPr="00880275">
        <w:instrText xml:space="preserve"> SEQ Figure \* ARABIC </w:instrText>
      </w:r>
      <w:r w:rsidRPr="00880275">
        <w:fldChar w:fldCharType="separate"/>
      </w:r>
      <w:r w:rsidR="00BF3C68">
        <w:rPr>
          <w:noProof/>
        </w:rPr>
        <w:t>7</w:t>
      </w:r>
      <w:r w:rsidRPr="00880275">
        <w:fldChar w:fldCharType="end"/>
      </w:r>
      <w:r w:rsidRPr="00880275">
        <w:t>:</w:t>
      </w:r>
      <w:r w:rsidR="00D75C5E" w:rsidRPr="00880275">
        <w:t xml:space="preserve"> </w:t>
      </w:r>
      <w:r w:rsidR="00D75C5E" w:rsidRPr="00880275">
        <w:rPr>
          <w:noProof/>
          <w:lang w:eastAsia="en-AU"/>
        </w:rPr>
        <w:t xml:space="preserve">Complaints finalised by sector for </w:t>
      </w:r>
      <w:r w:rsidR="00EB50FB" w:rsidRPr="00880275">
        <w:rPr>
          <w:noProof/>
          <w:lang w:eastAsia="en-AU"/>
        </w:rPr>
        <w:t xml:space="preserve">human rights only complaints </w:t>
      </w:r>
      <w:r w:rsidR="007A6E8E" w:rsidRPr="00880275">
        <w:rPr>
          <w:noProof/>
          <w:lang w:eastAsia="en-AU"/>
        </w:rPr>
        <w:t>accepted for dispute resolution</w:t>
      </w:r>
      <w:r w:rsidR="00EB50FB" w:rsidRPr="00880275">
        <w:rPr>
          <w:noProof/>
          <w:lang w:eastAsia="en-AU"/>
        </w:rPr>
        <w:t xml:space="preserve"> - first 4 financial years</w:t>
      </w:r>
      <w:r w:rsidR="007A6E8E" w:rsidRPr="00880275">
        <w:rPr>
          <w:noProof/>
          <w:lang w:eastAsia="en-AU"/>
        </w:rPr>
        <w:t xml:space="preserve"> (note: complaints may be about more than one sector)</w:t>
      </w:r>
    </w:p>
    <w:tbl>
      <w:tblPr>
        <w:tblW w:w="5000" w:type="pct"/>
        <w:tblBorders>
          <w:top w:val="single" w:sz="8" w:space="0" w:color="004270"/>
          <w:bottom w:val="single" w:sz="8" w:space="0" w:color="004270"/>
          <w:insideH w:val="single" w:sz="8" w:space="0" w:color="004270"/>
        </w:tblBorders>
        <w:tblLook w:val="06A0" w:firstRow="1" w:lastRow="0" w:firstColumn="1" w:lastColumn="0" w:noHBand="1" w:noVBand="1"/>
      </w:tblPr>
      <w:tblGrid>
        <w:gridCol w:w="5245"/>
        <w:gridCol w:w="3253"/>
      </w:tblGrid>
      <w:tr w:rsidR="00D75C5E" w:rsidRPr="00880275" w14:paraId="416D99A7" w14:textId="77777777" w:rsidTr="00017A9F">
        <w:trPr>
          <w:trHeight w:val="300"/>
        </w:trPr>
        <w:tc>
          <w:tcPr>
            <w:tcW w:w="3086" w:type="pct"/>
            <w:tcMar>
              <w:top w:w="15" w:type="dxa"/>
              <w:left w:w="15" w:type="dxa"/>
              <w:right w:w="15" w:type="dxa"/>
            </w:tcMar>
            <w:vAlign w:val="center"/>
          </w:tcPr>
          <w:p w14:paraId="4FB49E4A" w14:textId="68A850F7" w:rsidR="00D75C5E" w:rsidRPr="00880275" w:rsidRDefault="00170C93" w:rsidP="000A2A67">
            <w:pPr>
              <w:pStyle w:val="Tableheading"/>
              <w:rPr>
                <w:color w:val="004270"/>
              </w:rPr>
            </w:pPr>
            <w:r w:rsidRPr="00880275">
              <w:rPr>
                <w:color w:val="004270"/>
              </w:rPr>
              <w:t>Sector</w:t>
            </w:r>
          </w:p>
        </w:tc>
        <w:tc>
          <w:tcPr>
            <w:tcW w:w="1914" w:type="pct"/>
            <w:tcMar>
              <w:top w:w="15" w:type="dxa"/>
              <w:left w:w="15" w:type="dxa"/>
              <w:right w:w="15" w:type="dxa"/>
            </w:tcMar>
            <w:vAlign w:val="center"/>
          </w:tcPr>
          <w:p w14:paraId="5F29682E" w14:textId="277CDB85" w:rsidR="00D75C5E" w:rsidRPr="00880275" w:rsidRDefault="000A2A67" w:rsidP="000A2A67">
            <w:pPr>
              <w:pStyle w:val="Tableheading"/>
              <w:rPr>
                <w:color w:val="004270"/>
              </w:rPr>
            </w:pPr>
            <w:r w:rsidRPr="00880275">
              <w:rPr>
                <w:color w:val="004270"/>
              </w:rPr>
              <w:t>Finalised accepted complaints</w:t>
            </w:r>
          </w:p>
        </w:tc>
      </w:tr>
      <w:tr w:rsidR="004F7D01" w:rsidRPr="00880275" w14:paraId="145A74F8" w14:textId="77777777" w:rsidTr="00017A9F">
        <w:trPr>
          <w:trHeight w:val="300"/>
        </w:trPr>
        <w:tc>
          <w:tcPr>
            <w:tcW w:w="3086" w:type="pct"/>
            <w:tcMar>
              <w:top w:w="15" w:type="dxa"/>
              <w:left w:w="15" w:type="dxa"/>
              <w:right w:w="15" w:type="dxa"/>
            </w:tcMar>
            <w:vAlign w:val="bottom"/>
          </w:tcPr>
          <w:p w14:paraId="08F2D8EF" w14:textId="5664E5F7" w:rsidR="004F7D01" w:rsidRPr="00880275" w:rsidRDefault="004F7D01">
            <w:pPr>
              <w:pStyle w:val="Tabletext"/>
            </w:pPr>
            <w:r w:rsidRPr="00880275">
              <w:t>Health</w:t>
            </w:r>
          </w:p>
        </w:tc>
        <w:tc>
          <w:tcPr>
            <w:tcW w:w="1914" w:type="pct"/>
            <w:tcMar>
              <w:top w:w="15" w:type="dxa"/>
              <w:left w:w="15" w:type="dxa"/>
              <w:right w:w="15" w:type="dxa"/>
            </w:tcMar>
            <w:vAlign w:val="bottom"/>
          </w:tcPr>
          <w:p w14:paraId="67790DAE" w14:textId="1FE98F1F" w:rsidR="004F7D01" w:rsidRPr="00880275" w:rsidRDefault="004F7D01">
            <w:pPr>
              <w:pStyle w:val="Tabletext"/>
            </w:pPr>
            <w:r w:rsidRPr="00880275">
              <w:t>258</w:t>
            </w:r>
          </w:p>
        </w:tc>
      </w:tr>
      <w:tr w:rsidR="00D75C5E" w:rsidRPr="00880275" w14:paraId="0D52B44E" w14:textId="77777777" w:rsidTr="00017A9F">
        <w:trPr>
          <w:trHeight w:val="300"/>
        </w:trPr>
        <w:tc>
          <w:tcPr>
            <w:tcW w:w="3086" w:type="pct"/>
            <w:tcMar>
              <w:top w:w="15" w:type="dxa"/>
              <w:left w:w="15" w:type="dxa"/>
              <w:right w:w="15" w:type="dxa"/>
            </w:tcMar>
            <w:vAlign w:val="bottom"/>
          </w:tcPr>
          <w:p w14:paraId="24AC7476" w14:textId="748AB6DD" w:rsidR="00D75C5E" w:rsidRPr="00880275" w:rsidRDefault="00F426C9">
            <w:pPr>
              <w:pStyle w:val="Tabletext"/>
            </w:pPr>
            <w:r w:rsidRPr="00880275">
              <w:t>Corrections</w:t>
            </w:r>
          </w:p>
        </w:tc>
        <w:tc>
          <w:tcPr>
            <w:tcW w:w="1914" w:type="pct"/>
            <w:tcMar>
              <w:top w:w="15" w:type="dxa"/>
              <w:left w:w="15" w:type="dxa"/>
              <w:right w:w="15" w:type="dxa"/>
            </w:tcMar>
            <w:vAlign w:val="bottom"/>
          </w:tcPr>
          <w:p w14:paraId="06FC8FB6" w14:textId="768B3795" w:rsidR="00D75C5E" w:rsidRPr="00880275" w:rsidRDefault="008A3C50">
            <w:pPr>
              <w:pStyle w:val="Tabletext"/>
            </w:pPr>
            <w:r w:rsidRPr="00880275">
              <w:t>125</w:t>
            </w:r>
          </w:p>
        </w:tc>
      </w:tr>
      <w:tr w:rsidR="00D75C5E" w:rsidRPr="00880275" w14:paraId="0C7D7A26" w14:textId="77777777" w:rsidTr="00017A9F">
        <w:trPr>
          <w:trHeight w:val="300"/>
        </w:trPr>
        <w:tc>
          <w:tcPr>
            <w:tcW w:w="3086" w:type="pct"/>
            <w:tcMar>
              <w:top w:w="15" w:type="dxa"/>
              <w:left w:w="15" w:type="dxa"/>
              <w:right w:w="15" w:type="dxa"/>
            </w:tcMar>
            <w:vAlign w:val="bottom"/>
          </w:tcPr>
          <w:p w14:paraId="38DBC4AA" w14:textId="506D8E38" w:rsidR="00D75C5E" w:rsidRPr="00880275" w:rsidRDefault="00F006A9">
            <w:pPr>
              <w:pStyle w:val="Tabletext"/>
            </w:pPr>
            <w:r w:rsidRPr="00880275">
              <w:t>Police</w:t>
            </w:r>
          </w:p>
        </w:tc>
        <w:tc>
          <w:tcPr>
            <w:tcW w:w="1914" w:type="pct"/>
            <w:tcMar>
              <w:top w:w="15" w:type="dxa"/>
              <w:left w:w="15" w:type="dxa"/>
              <w:right w:w="15" w:type="dxa"/>
            </w:tcMar>
            <w:vAlign w:val="bottom"/>
          </w:tcPr>
          <w:p w14:paraId="62148DAA" w14:textId="13724DA5" w:rsidR="00D75C5E" w:rsidRPr="00880275" w:rsidRDefault="004F7D01">
            <w:pPr>
              <w:pStyle w:val="Tabletext"/>
            </w:pPr>
            <w:r w:rsidRPr="00880275">
              <w:t>118</w:t>
            </w:r>
          </w:p>
        </w:tc>
      </w:tr>
      <w:tr w:rsidR="00D75C5E" w:rsidRPr="00880275" w14:paraId="3E0E62B3" w14:textId="77777777" w:rsidTr="00017A9F">
        <w:trPr>
          <w:trHeight w:val="300"/>
        </w:trPr>
        <w:tc>
          <w:tcPr>
            <w:tcW w:w="3086" w:type="pct"/>
            <w:tcMar>
              <w:top w:w="15" w:type="dxa"/>
              <w:left w:w="15" w:type="dxa"/>
              <w:right w:w="15" w:type="dxa"/>
            </w:tcMar>
            <w:vAlign w:val="bottom"/>
          </w:tcPr>
          <w:p w14:paraId="44C3CA03" w14:textId="570031DE" w:rsidR="00D75C5E" w:rsidRPr="00880275" w:rsidRDefault="00F006A9">
            <w:pPr>
              <w:pStyle w:val="Tabletext"/>
            </w:pPr>
            <w:r w:rsidRPr="00880275">
              <w:t>Other</w:t>
            </w:r>
          </w:p>
        </w:tc>
        <w:tc>
          <w:tcPr>
            <w:tcW w:w="1914" w:type="pct"/>
            <w:tcMar>
              <w:top w:w="15" w:type="dxa"/>
              <w:left w:w="15" w:type="dxa"/>
              <w:right w:w="15" w:type="dxa"/>
            </w:tcMar>
            <w:vAlign w:val="bottom"/>
          </w:tcPr>
          <w:p w14:paraId="2629B680" w14:textId="08BA17E6" w:rsidR="00D75C5E" w:rsidRPr="00880275" w:rsidRDefault="004F7D01">
            <w:pPr>
              <w:pStyle w:val="Tabletext"/>
            </w:pPr>
            <w:r w:rsidRPr="00880275">
              <w:t>95</w:t>
            </w:r>
          </w:p>
        </w:tc>
      </w:tr>
      <w:tr w:rsidR="00D75C5E" w:rsidRPr="00880275" w14:paraId="5CDC4D16" w14:textId="77777777" w:rsidTr="00017A9F">
        <w:trPr>
          <w:trHeight w:val="300"/>
        </w:trPr>
        <w:tc>
          <w:tcPr>
            <w:tcW w:w="3086" w:type="pct"/>
            <w:tcMar>
              <w:top w:w="15" w:type="dxa"/>
              <w:left w:w="15" w:type="dxa"/>
              <w:right w:w="15" w:type="dxa"/>
            </w:tcMar>
            <w:vAlign w:val="bottom"/>
          </w:tcPr>
          <w:p w14:paraId="48ED3ABA" w14:textId="660D5325" w:rsidR="00D75C5E" w:rsidRPr="00880275" w:rsidRDefault="00F006A9">
            <w:pPr>
              <w:pStyle w:val="Tabletext"/>
            </w:pPr>
            <w:r w:rsidRPr="00880275">
              <w:t>Public sector worker</w:t>
            </w:r>
          </w:p>
        </w:tc>
        <w:tc>
          <w:tcPr>
            <w:tcW w:w="1914" w:type="pct"/>
            <w:tcMar>
              <w:top w:w="15" w:type="dxa"/>
              <w:left w:w="15" w:type="dxa"/>
              <w:right w:w="15" w:type="dxa"/>
            </w:tcMar>
            <w:vAlign w:val="bottom"/>
          </w:tcPr>
          <w:p w14:paraId="4FF2D945" w14:textId="4BF0DA20" w:rsidR="00D75C5E" w:rsidRPr="00880275" w:rsidRDefault="004F7D01">
            <w:pPr>
              <w:pStyle w:val="Tabletext"/>
            </w:pPr>
            <w:r w:rsidRPr="00880275">
              <w:t>45</w:t>
            </w:r>
          </w:p>
        </w:tc>
      </w:tr>
      <w:tr w:rsidR="00D75C5E" w:rsidRPr="00880275" w14:paraId="0B5A1214" w14:textId="77777777" w:rsidTr="00017A9F">
        <w:trPr>
          <w:trHeight w:val="300"/>
        </w:trPr>
        <w:tc>
          <w:tcPr>
            <w:tcW w:w="3086" w:type="pct"/>
            <w:tcMar>
              <w:top w:w="15" w:type="dxa"/>
              <w:left w:w="15" w:type="dxa"/>
              <w:right w:w="15" w:type="dxa"/>
            </w:tcMar>
            <w:vAlign w:val="bottom"/>
          </w:tcPr>
          <w:p w14:paraId="0A86322B" w14:textId="755A5847" w:rsidR="00D75C5E" w:rsidRPr="00880275" w:rsidRDefault="00F006A9">
            <w:pPr>
              <w:pStyle w:val="Tabletext"/>
            </w:pPr>
            <w:r w:rsidRPr="00880275">
              <w:t>Local government</w:t>
            </w:r>
          </w:p>
        </w:tc>
        <w:tc>
          <w:tcPr>
            <w:tcW w:w="1914" w:type="pct"/>
            <w:tcMar>
              <w:top w:w="15" w:type="dxa"/>
              <w:left w:w="15" w:type="dxa"/>
              <w:right w:w="15" w:type="dxa"/>
            </w:tcMar>
            <w:vAlign w:val="bottom"/>
          </w:tcPr>
          <w:p w14:paraId="593F41AF" w14:textId="0B2014D8" w:rsidR="00D75C5E" w:rsidRPr="00880275" w:rsidRDefault="004F7D01">
            <w:pPr>
              <w:pStyle w:val="Tabletext"/>
            </w:pPr>
            <w:r w:rsidRPr="00880275">
              <w:t>41</w:t>
            </w:r>
          </w:p>
        </w:tc>
      </w:tr>
      <w:tr w:rsidR="00D75C5E" w:rsidRPr="00880275" w14:paraId="4E595672" w14:textId="77777777" w:rsidTr="00017A9F">
        <w:trPr>
          <w:trHeight w:val="300"/>
        </w:trPr>
        <w:tc>
          <w:tcPr>
            <w:tcW w:w="3086" w:type="pct"/>
            <w:tcMar>
              <w:top w:w="15" w:type="dxa"/>
              <w:left w:w="15" w:type="dxa"/>
              <w:right w:w="15" w:type="dxa"/>
            </w:tcMar>
            <w:vAlign w:val="bottom"/>
          </w:tcPr>
          <w:p w14:paraId="19743AF2" w14:textId="4550C230" w:rsidR="00D75C5E" w:rsidRPr="00880275" w:rsidRDefault="00F006A9">
            <w:pPr>
              <w:pStyle w:val="Tabletext"/>
            </w:pPr>
            <w:r w:rsidRPr="00880275">
              <w:t>Court services</w:t>
            </w:r>
          </w:p>
        </w:tc>
        <w:tc>
          <w:tcPr>
            <w:tcW w:w="1914" w:type="pct"/>
            <w:tcMar>
              <w:top w:w="15" w:type="dxa"/>
              <w:left w:w="15" w:type="dxa"/>
              <w:right w:w="15" w:type="dxa"/>
            </w:tcMar>
            <w:vAlign w:val="bottom"/>
          </w:tcPr>
          <w:p w14:paraId="1B0619CD" w14:textId="1A5717E2" w:rsidR="00D75C5E" w:rsidRPr="00880275" w:rsidRDefault="004F7D01">
            <w:pPr>
              <w:pStyle w:val="Tabletext"/>
            </w:pPr>
            <w:r w:rsidRPr="00880275">
              <w:t>38</w:t>
            </w:r>
          </w:p>
        </w:tc>
      </w:tr>
      <w:tr w:rsidR="00D75C5E" w:rsidRPr="00880275" w14:paraId="12BF94D7" w14:textId="77777777" w:rsidTr="00017A9F">
        <w:trPr>
          <w:trHeight w:val="300"/>
        </w:trPr>
        <w:tc>
          <w:tcPr>
            <w:tcW w:w="3086" w:type="pct"/>
            <w:tcMar>
              <w:top w:w="15" w:type="dxa"/>
              <w:left w:w="15" w:type="dxa"/>
              <w:right w:w="15" w:type="dxa"/>
            </w:tcMar>
            <w:vAlign w:val="bottom"/>
          </w:tcPr>
          <w:p w14:paraId="545626F5" w14:textId="0C1FAD33" w:rsidR="00D75C5E" w:rsidRPr="00880275" w:rsidRDefault="00F006A9">
            <w:pPr>
              <w:pStyle w:val="Tabletext"/>
            </w:pPr>
            <w:r w:rsidRPr="00880275">
              <w:t>Education</w:t>
            </w:r>
          </w:p>
        </w:tc>
        <w:tc>
          <w:tcPr>
            <w:tcW w:w="1914" w:type="pct"/>
            <w:tcMar>
              <w:top w:w="15" w:type="dxa"/>
              <w:left w:w="15" w:type="dxa"/>
              <w:right w:w="15" w:type="dxa"/>
            </w:tcMar>
            <w:vAlign w:val="bottom"/>
          </w:tcPr>
          <w:p w14:paraId="08217327" w14:textId="654ECCB9" w:rsidR="00D75C5E" w:rsidRPr="00880275" w:rsidRDefault="004F7D01">
            <w:pPr>
              <w:pStyle w:val="Tabletext"/>
            </w:pPr>
            <w:r w:rsidRPr="00880275">
              <w:t>37</w:t>
            </w:r>
          </w:p>
        </w:tc>
      </w:tr>
      <w:tr w:rsidR="00D75C5E" w:rsidRPr="00880275" w14:paraId="45543532" w14:textId="77777777" w:rsidTr="00017A9F">
        <w:trPr>
          <w:trHeight w:val="300"/>
        </w:trPr>
        <w:tc>
          <w:tcPr>
            <w:tcW w:w="3086" w:type="pct"/>
            <w:tcMar>
              <w:top w:w="15" w:type="dxa"/>
              <w:left w:w="15" w:type="dxa"/>
              <w:right w:w="15" w:type="dxa"/>
            </w:tcMar>
            <w:vAlign w:val="bottom"/>
          </w:tcPr>
          <w:p w14:paraId="5ABDBCC4" w14:textId="187D2E81" w:rsidR="00D75C5E" w:rsidRPr="00880275" w:rsidRDefault="00F006A9">
            <w:pPr>
              <w:pStyle w:val="Tabletext"/>
            </w:pPr>
            <w:r w:rsidRPr="00880275">
              <w:t>Child Safety</w:t>
            </w:r>
          </w:p>
        </w:tc>
        <w:tc>
          <w:tcPr>
            <w:tcW w:w="1914" w:type="pct"/>
            <w:tcMar>
              <w:top w:w="15" w:type="dxa"/>
              <w:left w:w="15" w:type="dxa"/>
              <w:right w:w="15" w:type="dxa"/>
            </w:tcMar>
            <w:vAlign w:val="bottom"/>
          </w:tcPr>
          <w:p w14:paraId="3BFFA20A" w14:textId="30A37875" w:rsidR="00D75C5E" w:rsidRPr="00880275" w:rsidRDefault="004F7D01">
            <w:pPr>
              <w:pStyle w:val="Tabletext"/>
            </w:pPr>
            <w:r w:rsidRPr="00880275">
              <w:t>30</w:t>
            </w:r>
          </w:p>
        </w:tc>
      </w:tr>
      <w:tr w:rsidR="00D75C5E" w:rsidRPr="00880275" w14:paraId="16F57219" w14:textId="77777777" w:rsidTr="00017A9F">
        <w:trPr>
          <w:trHeight w:val="300"/>
        </w:trPr>
        <w:tc>
          <w:tcPr>
            <w:tcW w:w="3086" w:type="pct"/>
            <w:tcMar>
              <w:top w:w="15" w:type="dxa"/>
              <w:left w:w="15" w:type="dxa"/>
              <w:right w:w="15" w:type="dxa"/>
            </w:tcMar>
            <w:vAlign w:val="bottom"/>
          </w:tcPr>
          <w:p w14:paraId="4A89AB49" w14:textId="4DC576A5" w:rsidR="00D75C5E" w:rsidRPr="00880275" w:rsidRDefault="00F006A9">
            <w:pPr>
              <w:pStyle w:val="Tabletext"/>
            </w:pPr>
            <w:r w:rsidRPr="00880275">
              <w:t>Accommodation and housing</w:t>
            </w:r>
          </w:p>
        </w:tc>
        <w:tc>
          <w:tcPr>
            <w:tcW w:w="1914" w:type="pct"/>
            <w:tcMar>
              <w:top w:w="15" w:type="dxa"/>
              <w:left w:w="15" w:type="dxa"/>
              <w:right w:w="15" w:type="dxa"/>
            </w:tcMar>
            <w:vAlign w:val="bottom"/>
          </w:tcPr>
          <w:p w14:paraId="1E7CED7B" w14:textId="32323297" w:rsidR="00D75C5E" w:rsidRPr="00880275" w:rsidRDefault="004F7D01">
            <w:pPr>
              <w:pStyle w:val="Tabletext"/>
            </w:pPr>
            <w:r w:rsidRPr="00880275">
              <w:t>17</w:t>
            </w:r>
          </w:p>
        </w:tc>
      </w:tr>
      <w:tr w:rsidR="00D75C5E" w:rsidRPr="00880275" w14:paraId="21E1DABA" w14:textId="77777777" w:rsidTr="00017A9F">
        <w:trPr>
          <w:trHeight w:val="300"/>
        </w:trPr>
        <w:tc>
          <w:tcPr>
            <w:tcW w:w="3086" w:type="pct"/>
            <w:tcMar>
              <w:top w:w="15" w:type="dxa"/>
              <w:left w:w="15" w:type="dxa"/>
              <w:right w:w="15" w:type="dxa"/>
            </w:tcMar>
            <w:vAlign w:val="bottom"/>
          </w:tcPr>
          <w:p w14:paraId="6126E58C" w14:textId="44282008" w:rsidR="00D75C5E" w:rsidRPr="00880275" w:rsidRDefault="008A3C50">
            <w:pPr>
              <w:pStyle w:val="Tabletext"/>
            </w:pPr>
            <w:r w:rsidRPr="00880275">
              <w:t>Disability Services</w:t>
            </w:r>
          </w:p>
        </w:tc>
        <w:tc>
          <w:tcPr>
            <w:tcW w:w="1914" w:type="pct"/>
            <w:tcMar>
              <w:top w:w="15" w:type="dxa"/>
              <w:left w:w="15" w:type="dxa"/>
              <w:right w:w="15" w:type="dxa"/>
            </w:tcMar>
            <w:vAlign w:val="bottom"/>
          </w:tcPr>
          <w:p w14:paraId="2C411C1A" w14:textId="20A49E7D" w:rsidR="00D75C5E" w:rsidRPr="00880275" w:rsidRDefault="004F7D01">
            <w:pPr>
              <w:pStyle w:val="Tabletext"/>
            </w:pPr>
            <w:r w:rsidRPr="00880275">
              <w:t>9</w:t>
            </w:r>
          </w:p>
        </w:tc>
      </w:tr>
      <w:tr w:rsidR="008A3C50" w:rsidRPr="00880275" w14:paraId="1D5138EE" w14:textId="77777777" w:rsidTr="00017A9F">
        <w:trPr>
          <w:trHeight w:val="300"/>
        </w:trPr>
        <w:tc>
          <w:tcPr>
            <w:tcW w:w="3086" w:type="pct"/>
            <w:tcMar>
              <w:top w:w="15" w:type="dxa"/>
              <w:left w:w="15" w:type="dxa"/>
              <w:right w:w="15" w:type="dxa"/>
            </w:tcMar>
            <w:vAlign w:val="bottom"/>
          </w:tcPr>
          <w:p w14:paraId="52429A8F" w14:textId="76D21AA3" w:rsidR="008A3C50" w:rsidRPr="00880275" w:rsidRDefault="008A3C50">
            <w:pPr>
              <w:pStyle w:val="Tabletext"/>
            </w:pPr>
            <w:r w:rsidRPr="00880275">
              <w:t>Transport</w:t>
            </w:r>
          </w:p>
        </w:tc>
        <w:tc>
          <w:tcPr>
            <w:tcW w:w="1914" w:type="pct"/>
            <w:tcMar>
              <w:top w:w="15" w:type="dxa"/>
              <w:left w:w="15" w:type="dxa"/>
              <w:right w:w="15" w:type="dxa"/>
            </w:tcMar>
            <w:vAlign w:val="bottom"/>
          </w:tcPr>
          <w:p w14:paraId="60303F1C" w14:textId="6D4D88B9" w:rsidR="008A3C50" w:rsidRPr="00880275" w:rsidRDefault="004F7D01">
            <w:pPr>
              <w:pStyle w:val="Tabletext"/>
            </w:pPr>
            <w:r w:rsidRPr="00880275">
              <w:t>6</w:t>
            </w:r>
          </w:p>
        </w:tc>
      </w:tr>
    </w:tbl>
    <w:p w14:paraId="7090DCB9" w14:textId="77777777" w:rsidR="00D75C5E" w:rsidRPr="00880275" w:rsidRDefault="00D75C5E" w:rsidP="00D75C5E"/>
    <w:p w14:paraId="0070862B" w14:textId="0051BA7C" w:rsidR="00D75C5E" w:rsidRPr="00880275" w:rsidRDefault="00EF6726" w:rsidP="007A6E8E">
      <w:pPr>
        <w:pStyle w:val="Heading4"/>
      </w:pPr>
      <w:r w:rsidRPr="00880275">
        <w:t>Legal representation</w:t>
      </w:r>
    </w:p>
    <w:p w14:paraId="49363EE8" w14:textId="0817357B" w:rsidR="00D75C5E" w:rsidRPr="00880275" w:rsidRDefault="00FB3546" w:rsidP="00754FAE">
      <w:pPr>
        <w:pStyle w:val="Numberedparagraph"/>
      </w:pPr>
      <w:r w:rsidRPr="00880275">
        <w:t>The Commission has observed that p</w:t>
      </w:r>
      <w:r w:rsidR="00EF6726" w:rsidRPr="00880275">
        <w:t xml:space="preserve">eople making complaints </w:t>
      </w:r>
      <w:r w:rsidR="00956215" w:rsidRPr="00880275">
        <w:t xml:space="preserve">about human rights </w:t>
      </w:r>
      <w:r w:rsidR="00EF6726" w:rsidRPr="00880275">
        <w:t>are much less likely to have legal representation during conciliation than those bringing complaints under the Anti-Discrimination Act (11% compared to 28%). This can create power imbalances</w:t>
      </w:r>
      <w:r w:rsidR="005C3660" w:rsidRPr="00880275">
        <w:t xml:space="preserve">, as public entities </w:t>
      </w:r>
      <w:r w:rsidR="00B62775" w:rsidRPr="00880275">
        <w:t>have legal representation in almost every case</w:t>
      </w:r>
      <w:r w:rsidR="00EF6726" w:rsidRPr="00880275">
        <w:t>.</w:t>
      </w:r>
      <w:r w:rsidR="00E64C85" w:rsidRPr="00880275">
        <w:rPr>
          <w:rStyle w:val="FootnoteReference"/>
        </w:rPr>
        <w:footnoteReference w:id="101"/>
      </w:r>
      <w:r w:rsidR="00D47156" w:rsidRPr="00880275">
        <w:t xml:space="preserve"> </w:t>
      </w:r>
    </w:p>
    <w:p w14:paraId="2154EF1F" w14:textId="77777777" w:rsidR="00D75C5E" w:rsidRPr="00880275" w:rsidRDefault="00D75C5E" w:rsidP="001214FE">
      <w:pPr>
        <w:pStyle w:val="Heading4"/>
        <w:rPr>
          <w:rFonts w:cs="Arial"/>
          <w:i/>
        </w:rPr>
      </w:pPr>
      <w:r w:rsidRPr="00880275">
        <w:t>Unresolved complaints with recommendations</w:t>
      </w:r>
    </w:p>
    <w:p w14:paraId="52664A3C" w14:textId="77777777" w:rsidR="00D75C5E" w:rsidRPr="00880275" w:rsidRDefault="00D75C5E" w:rsidP="00754FAE">
      <w:pPr>
        <w:pStyle w:val="Numberedparagraph"/>
      </w:pPr>
      <w:r w:rsidRPr="00880275">
        <w:t xml:space="preserve">Where the Commission considers a complaint has not been resolved by conciliation or otherwise, the Commissioner must give the parties a report </w:t>
      </w:r>
      <w:r w:rsidRPr="00880275">
        <w:lastRenderedPageBreak/>
        <w:t>which includes the substance of the complaint and the actions taken to try to resolve the complaint.</w:t>
      </w:r>
      <w:r w:rsidRPr="00880275">
        <w:rPr>
          <w:rStyle w:val="FootnoteReference"/>
        </w:rPr>
        <w:footnoteReference w:id="102"/>
      </w:r>
    </w:p>
    <w:p w14:paraId="0FFA255C" w14:textId="11DFF38A" w:rsidR="00D75C5E" w:rsidRPr="00880275" w:rsidRDefault="00D75C5E" w:rsidP="00754FAE">
      <w:pPr>
        <w:pStyle w:val="Numberedparagraph"/>
      </w:pPr>
      <w:r w:rsidRPr="00880275">
        <w:t xml:space="preserve">The Commission has the discretion to include details of actions that the </w:t>
      </w:r>
      <w:r w:rsidR="00C60767" w:rsidRPr="00880275">
        <w:t>C</w:t>
      </w:r>
      <w:r w:rsidRPr="00880275">
        <w:t>ommissioner considers the respondent should take to ensure its acts and decisions are compatible with human rights.</w:t>
      </w:r>
      <w:r w:rsidRPr="00880275">
        <w:rPr>
          <w:rStyle w:val="FootnoteReference"/>
        </w:rPr>
        <w:footnoteReference w:id="103"/>
      </w:r>
      <w:r w:rsidRPr="00880275">
        <w:t xml:space="preserve"> </w:t>
      </w:r>
      <w:r w:rsidR="00302E7B" w:rsidRPr="00880275">
        <w:t>The Commission has produced a guideline in relation to making reports with recommendations.</w:t>
      </w:r>
      <w:r w:rsidR="00302E7B" w:rsidRPr="00880275">
        <w:rPr>
          <w:rStyle w:val="FootnoteReference"/>
        </w:rPr>
        <w:footnoteReference w:id="104"/>
      </w:r>
      <w:r w:rsidR="00302E7B" w:rsidRPr="00880275">
        <w:t xml:space="preserve"> </w:t>
      </w:r>
      <w:r w:rsidRPr="00880275">
        <w:t xml:space="preserve">Summaries of reports with recommendations </w:t>
      </w:r>
      <w:r w:rsidR="00D97674" w:rsidRPr="00880275">
        <w:t>are available on the Commission’s website.</w:t>
      </w:r>
      <w:r w:rsidR="008971B6" w:rsidRPr="00880275">
        <w:rPr>
          <w:rStyle w:val="FootnoteReference"/>
        </w:rPr>
        <w:footnoteReference w:id="105"/>
      </w:r>
    </w:p>
    <w:p w14:paraId="353C0214" w14:textId="40BC3997" w:rsidR="00291A24" w:rsidRPr="00880275" w:rsidRDefault="00BA746E" w:rsidP="00BA746E">
      <w:pPr>
        <w:pStyle w:val="Heading3"/>
      </w:pPr>
      <w:bookmarkStart w:id="62" w:name="_Toc171346797"/>
      <w:r w:rsidRPr="00880275">
        <w:t>Areas for improvement</w:t>
      </w:r>
      <w:bookmarkEnd w:id="62"/>
    </w:p>
    <w:p w14:paraId="7716CAAA" w14:textId="076E1B53" w:rsidR="00F7588D" w:rsidRPr="00880275" w:rsidRDefault="00F7588D" w:rsidP="00754FAE">
      <w:pPr>
        <w:pStyle w:val="Numberedparagraph"/>
      </w:pPr>
      <w:r w:rsidRPr="00880275">
        <w:t xml:space="preserve">This section </w:t>
      </w:r>
      <w:r w:rsidR="008971B6" w:rsidRPr="00880275">
        <w:t>suggests improvements to</w:t>
      </w:r>
      <w:r w:rsidRPr="00880275">
        <w:t xml:space="preserve"> the current complaints process. </w:t>
      </w:r>
      <w:r w:rsidR="006C1FA0" w:rsidRPr="00880275">
        <w:t>A key recommendation that human rights complaint</w:t>
      </w:r>
      <w:r w:rsidR="006F4C86" w:rsidRPr="00880275">
        <w:t>s</w:t>
      </w:r>
      <w:r w:rsidRPr="00880275">
        <w:t xml:space="preserve"> to the </w:t>
      </w:r>
      <w:r w:rsidR="00EF18F5" w:rsidRPr="00880275">
        <w:t xml:space="preserve">Commission </w:t>
      </w:r>
      <w:r w:rsidR="006C1FA0" w:rsidRPr="00880275">
        <w:t xml:space="preserve">be </w:t>
      </w:r>
      <w:r w:rsidR="00EF18F5" w:rsidRPr="00880275">
        <w:t>enforceable</w:t>
      </w:r>
      <w:r w:rsidRPr="00880275">
        <w:t xml:space="preserve"> has been dealt with in </w:t>
      </w:r>
      <w:r w:rsidR="006F4C86" w:rsidRPr="00880275">
        <w:t xml:space="preserve">the </w:t>
      </w:r>
      <w:r w:rsidRPr="00880275">
        <w:rPr>
          <w:b/>
          <w:bCs/>
        </w:rPr>
        <w:t>Remedies</w:t>
      </w:r>
      <w:r w:rsidRPr="00880275">
        <w:t xml:space="preserve"> section above.</w:t>
      </w:r>
    </w:p>
    <w:p w14:paraId="37D782D2" w14:textId="47A4FE89" w:rsidR="00D27999" w:rsidRPr="00880275" w:rsidRDefault="00D27999" w:rsidP="00D27999">
      <w:pPr>
        <w:pStyle w:val="Heading4"/>
      </w:pPr>
      <w:r w:rsidRPr="00880275">
        <w:t xml:space="preserve">Protect people making complaints from victimisation </w:t>
      </w:r>
    </w:p>
    <w:p w14:paraId="334048D2" w14:textId="77777777" w:rsidR="00D27999" w:rsidRPr="00880275" w:rsidRDefault="00D27999" w:rsidP="00D27999"/>
    <w:p w14:paraId="39BE34F5" w14:textId="77777777" w:rsidR="00A11F64" w:rsidRPr="00880275" w:rsidRDefault="00A11F64" w:rsidP="00754FAE">
      <w:pPr>
        <w:pStyle w:val="Numberedparagraph"/>
      </w:pPr>
      <w:r w:rsidRPr="00880275">
        <w:t>Both federal and state discrimination laws make victimisation unlawful.</w:t>
      </w:r>
      <w:r w:rsidRPr="00880275">
        <w:rPr>
          <w:rStyle w:val="FootnoteReference"/>
          <w:rFonts w:eastAsia="Arial"/>
        </w:rPr>
        <w:footnoteReference w:id="106"/>
      </w:r>
      <w:r w:rsidRPr="00880275">
        <w:t xml:space="preserve"> These provisions protect people who assert their rights, and people who assist them to do so, from being treated badly as a result. This protection can apply even if the original claim is not proved. </w:t>
      </w:r>
    </w:p>
    <w:p w14:paraId="7C1E8416" w14:textId="66B45734" w:rsidR="00A11F64" w:rsidRPr="00880275" w:rsidRDefault="00A11F64" w:rsidP="00754FAE">
      <w:pPr>
        <w:pStyle w:val="Numberedparagraph"/>
      </w:pPr>
      <w:r w:rsidRPr="00880275">
        <w:t>There is no similar protection for persons asserting their rights under the Human Rights Act. The lack of protection from victimisation may deter people from using the Act if they feel they are at significant risk, such as a public housing tenant who risks being evicted.</w:t>
      </w:r>
    </w:p>
    <w:p w14:paraId="14AACDFE" w14:textId="648919FD" w:rsidR="006612D8" w:rsidRPr="00880275" w:rsidRDefault="006612D8" w:rsidP="00754FAE">
      <w:pPr>
        <w:pStyle w:val="Heading5"/>
      </w:pPr>
      <w:r w:rsidRPr="00880275">
        <w:t>Recommendation 3.1</w:t>
      </w:r>
      <w:r w:rsidR="00480A94" w:rsidRPr="00880275">
        <w:t>3</w:t>
      </w:r>
    </w:p>
    <w:p w14:paraId="1F1F7592" w14:textId="7D93E9AC" w:rsidR="00470064" w:rsidRPr="00880275" w:rsidRDefault="00470064" w:rsidP="00754FAE">
      <w:pPr>
        <w:pStyle w:val="Heading5"/>
      </w:pPr>
      <w:r w:rsidRPr="00880275">
        <w:t xml:space="preserve">The </w:t>
      </w:r>
      <w:r w:rsidR="006612D8" w:rsidRPr="00880275">
        <w:t>Human Rights</w:t>
      </w:r>
      <w:r w:rsidRPr="00880275">
        <w:t xml:space="preserve"> Act should be amended to include a prohibition against </w:t>
      </w:r>
      <w:proofErr w:type="spellStart"/>
      <w:r w:rsidRPr="00880275">
        <w:t>victimisation</w:t>
      </w:r>
      <w:proofErr w:type="spellEnd"/>
      <w:r w:rsidRPr="00880275">
        <w:t xml:space="preserve">, </w:t>
      </w:r>
      <w:r w:rsidR="00183750" w:rsidRPr="00880275">
        <w:t>based on section 129 of</w:t>
      </w:r>
      <w:r w:rsidRPr="00880275">
        <w:t xml:space="preserve"> the </w:t>
      </w:r>
      <w:r w:rsidRPr="00880275">
        <w:rPr>
          <w:i/>
        </w:rPr>
        <w:t>Anti-Discrimination Act</w:t>
      </w:r>
      <w:r w:rsidR="006612D8" w:rsidRPr="00880275">
        <w:rPr>
          <w:i/>
        </w:rPr>
        <w:t xml:space="preserve"> 1991</w:t>
      </w:r>
      <w:r w:rsidR="006612D8" w:rsidRPr="00880275">
        <w:t xml:space="preserve"> (Qld)</w:t>
      </w:r>
      <w:r w:rsidRPr="00880275">
        <w:t>.</w:t>
      </w:r>
    </w:p>
    <w:p w14:paraId="199A263E" w14:textId="77777777" w:rsidR="007A3003" w:rsidRPr="00880275" w:rsidRDefault="007A3003" w:rsidP="007A3003">
      <w:pPr>
        <w:pStyle w:val="Heading4"/>
      </w:pPr>
      <w:r w:rsidRPr="00880275">
        <w:t>Improve reporting of complaint numbers</w:t>
      </w:r>
    </w:p>
    <w:p w14:paraId="031EBE16" w14:textId="77777777" w:rsidR="00DE127A" w:rsidRPr="00880275" w:rsidRDefault="007A3003" w:rsidP="00754FAE">
      <w:pPr>
        <w:pStyle w:val="Numberedparagraph"/>
        <w:rPr>
          <w:rFonts w:eastAsia="Arial Nova"/>
          <w:szCs w:val="22"/>
        </w:rPr>
      </w:pPr>
      <w:r w:rsidRPr="00880275">
        <w:t xml:space="preserve">A public sector that values human rights should seek to resolve human rights complaints as soon as they are brought to the public sector’s attention. </w:t>
      </w:r>
      <w:r w:rsidR="00DE127A" w:rsidRPr="00880275">
        <w:rPr>
          <w:rFonts w:eastAsia="Arial"/>
        </w:rPr>
        <w:t xml:space="preserve">When complaints are addressed early, the chances of successful resolution are </w:t>
      </w:r>
      <w:r w:rsidR="00DE127A" w:rsidRPr="00880275">
        <w:rPr>
          <w:rFonts w:eastAsia="Arial"/>
        </w:rPr>
        <w:lastRenderedPageBreak/>
        <w:t xml:space="preserve">maximised. </w:t>
      </w:r>
      <w:r w:rsidR="00DE127A" w:rsidRPr="00880275">
        <w:t>Early resolution of complaints means that parties avoid the investment of time and resources required by complaint processes to external complaints agencies or proceedings in courts and tribunals.</w:t>
      </w:r>
    </w:p>
    <w:p w14:paraId="7B23E784" w14:textId="77777777" w:rsidR="007A3003" w:rsidRPr="00880275" w:rsidRDefault="007A3003" w:rsidP="00754FAE">
      <w:pPr>
        <w:pStyle w:val="Numberedparagraph"/>
      </w:pPr>
      <w:r w:rsidRPr="00880275">
        <w:t xml:space="preserve">Section 97 of the Human Rights Act requires public entities to prepare an annual report on the details of human rights complaints received. The Commission then reports on how selected public entities have applied this obligation in its annual report on the operation of the Human Rights Act. </w:t>
      </w:r>
    </w:p>
    <w:p w14:paraId="2B75BE9F" w14:textId="2411F4CC" w:rsidR="007A3003" w:rsidRPr="00880275" w:rsidRDefault="007A3003" w:rsidP="00754FAE">
      <w:pPr>
        <w:pStyle w:val="Numberedparagraph"/>
      </w:pPr>
      <w:r w:rsidRPr="00880275">
        <w:t>There is little consistency in how public entities report on complaints they have received. Some reports provide comprehensive information about the type and nature of complaints and their outcomes, and others contain scant information. While the Commission endorses the need to protect the privacy of complainants and others, the Commission observes that the legislative requirement to provide ‘details’ implies a level of particularisation is required that is lacking in some reports by public entities. Information in reports can be de-identified to protect the privacy of individuals while giving useful and detailed account</w:t>
      </w:r>
      <w:r w:rsidR="00F943D7" w:rsidRPr="00880275">
        <w:t>s</w:t>
      </w:r>
      <w:r w:rsidRPr="00880275">
        <w:t xml:space="preserve"> of the complaint</w:t>
      </w:r>
      <w:r w:rsidR="00F943D7" w:rsidRPr="00880275">
        <w:t>s</w:t>
      </w:r>
      <w:r w:rsidRPr="00880275">
        <w:t xml:space="preserve">. </w:t>
      </w:r>
    </w:p>
    <w:p w14:paraId="4E0464C1" w14:textId="2BD8F519" w:rsidR="007A3003" w:rsidRPr="00880275" w:rsidRDefault="007A3003" w:rsidP="00754FAE">
      <w:pPr>
        <w:pStyle w:val="Numberedparagraph"/>
      </w:pPr>
      <w:r w:rsidRPr="00880275">
        <w:t>Information provided by some public entities suggests that agencies are not identifying all human rights complaints and reporting them in their annual reports. An indication of this is given when large departments identify a very small number of complaints as human rights complaints</w:t>
      </w:r>
      <w:r w:rsidR="00502DF9" w:rsidRPr="00880275">
        <w:t>. I</w:t>
      </w:r>
      <w:r w:rsidRPr="00880275">
        <w:t xml:space="preserve">n some agencies the complaints identified </w:t>
      </w:r>
      <w:r w:rsidR="00AE5B1B" w:rsidRPr="00880275">
        <w:t>were</w:t>
      </w:r>
      <w:r w:rsidRPr="00880275">
        <w:t xml:space="preserve"> significantly reduced since the previous year, with no explanation given.</w:t>
      </w:r>
      <w:r w:rsidR="009B4356" w:rsidRPr="00880275">
        <w:t xml:space="preserve"> </w:t>
      </w:r>
      <w:r w:rsidR="00D05671" w:rsidRPr="00880275">
        <w:rPr>
          <w:rFonts w:eastAsia="Arial"/>
        </w:rPr>
        <w:t>The Commission understands that some departments will not deal with a complaint as a human rights complaint unless the complainant refers specifically to the Human Rights Act in raising their concern.</w:t>
      </w:r>
    </w:p>
    <w:p w14:paraId="754429E4" w14:textId="0C11BEA0" w:rsidR="00542B68" w:rsidRPr="00880275" w:rsidRDefault="00542B68" w:rsidP="00754FAE">
      <w:pPr>
        <w:pStyle w:val="Numberedparagraph"/>
      </w:pPr>
      <w:r w:rsidRPr="00880275">
        <w:t>The lack of accurate internal complaints data also hampers</w:t>
      </w:r>
      <w:r w:rsidR="001D2A7A" w:rsidRPr="00880275">
        <w:t xml:space="preserve"> the ability to </w:t>
      </w:r>
      <w:r w:rsidR="008141C0" w:rsidRPr="00880275">
        <w:t xml:space="preserve">identify and address systemic issues, and properly evaluate progress and effectiveness of the Human Rights Act. </w:t>
      </w:r>
    </w:p>
    <w:p w14:paraId="306952F1" w14:textId="5E46BEB1" w:rsidR="00855C91" w:rsidRPr="00880275" w:rsidRDefault="00855C91" w:rsidP="00754FAE">
      <w:pPr>
        <w:pStyle w:val="Numberedparagraph"/>
      </w:pPr>
      <w:r w:rsidRPr="00880275">
        <w:t xml:space="preserve">More work could be done centrally, for example by the Department of Justice and Attorney-General’s Human Rights Unit, to identify the difficulties departments have in identifying internal complaints as human </w:t>
      </w:r>
      <w:proofErr w:type="gramStart"/>
      <w:r w:rsidRPr="00880275">
        <w:t>rights complaints, and</w:t>
      </w:r>
      <w:proofErr w:type="gramEnd"/>
      <w:r w:rsidRPr="00880275">
        <w:t xml:space="preserve"> assist in building capacity to identify human rights complaints consistently across government.</w:t>
      </w:r>
    </w:p>
    <w:p w14:paraId="0974857C" w14:textId="7DEC6BE8" w:rsidR="00787DDE" w:rsidRPr="00880275" w:rsidRDefault="00787DDE" w:rsidP="00754FAE">
      <w:pPr>
        <w:pStyle w:val="Heading5"/>
      </w:pPr>
      <w:r w:rsidRPr="00880275">
        <w:t>Recommendation 3.1</w:t>
      </w:r>
      <w:r w:rsidR="00480A94" w:rsidRPr="00880275">
        <w:t>4</w:t>
      </w:r>
    </w:p>
    <w:p w14:paraId="244CE87D" w14:textId="7961E4F5" w:rsidR="00CF1BF4" w:rsidRPr="00880275" w:rsidRDefault="00CF1BF4" w:rsidP="00754FAE">
      <w:pPr>
        <w:pStyle w:val="Heading5"/>
      </w:pPr>
      <w:r w:rsidRPr="00880275">
        <w:t>All public entities (assisted by the Human Rights Unit of the Department of Justice and Attorney</w:t>
      </w:r>
      <w:r w:rsidR="00F20431" w:rsidRPr="00880275">
        <w:t>-</w:t>
      </w:r>
      <w:r w:rsidRPr="00880275">
        <w:t>General and the Commission) should improve their ability to consistently identify</w:t>
      </w:r>
      <w:r w:rsidR="00225530" w:rsidRPr="00880275">
        <w:t>, record</w:t>
      </w:r>
      <w:r w:rsidRPr="00880275">
        <w:t xml:space="preserve"> and respond to human rights complaints. </w:t>
      </w:r>
    </w:p>
    <w:p w14:paraId="212CD131" w14:textId="4426EC88" w:rsidR="00BA746E" w:rsidRPr="00880275" w:rsidRDefault="00BA746E" w:rsidP="00BA746E">
      <w:pPr>
        <w:pStyle w:val="Heading4"/>
      </w:pPr>
      <w:r w:rsidRPr="00880275">
        <w:t>Remove requirements for an internal complaint</w:t>
      </w:r>
    </w:p>
    <w:p w14:paraId="41A3BB12" w14:textId="77777777" w:rsidR="00A11F64" w:rsidRPr="00880275" w:rsidRDefault="00A11F64" w:rsidP="00A11F64"/>
    <w:p w14:paraId="411C1A9A" w14:textId="3A502FC5" w:rsidR="00277624" w:rsidRPr="00880275" w:rsidRDefault="00277624" w:rsidP="00754FAE">
      <w:pPr>
        <w:pStyle w:val="Numberedparagraph"/>
      </w:pPr>
      <w:r w:rsidRPr="00880275">
        <w:t xml:space="preserve">The Human Rights Act allows a person to make a human rights complaint to the Commission only after first making a complaint to the public entity about </w:t>
      </w:r>
      <w:r w:rsidRPr="00880275">
        <w:lastRenderedPageBreak/>
        <w:t xml:space="preserve">the alleged contravention, and at least 45 business days have elapsed since making that complaint </w:t>
      </w:r>
      <w:r w:rsidR="00E30960" w:rsidRPr="00880275">
        <w:t>–</w:t>
      </w:r>
      <w:r w:rsidRPr="00880275">
        <w:t xml:space="preserve"> the intention being to encourage direct resolution of complaints at the earliest possible stage. While there are some promising signs of the present model achieving these goals, the Commission believes the process could be improved. </w:t>
      </w:r>
    </w:p>
    <w:p w14:paraId="2804422E" w14:textId="5A4AE61A" w:rsidR="00734D71" w:rsidRPr="00880275" w:rsidRDefault="00DC110D" w:rsidP="00754FAE">
      <w:pPr>
        <w:pStyle w:val="Numberedparagraph"/>
      </w:pPr>
      <w:r w:rsidRPr="00880275">
        <w:t>As</w:t>
      </w:r>
      <w:r w:rsidR="0014089C" w:rsidRPr="00880275">
        <w:t xml:space="preserve"> agencies </w:t>
      </w:r>
      <w:r w:rsidRPr="00880275">
        <w:t>appear</w:t>
      </w:r>
      <w:r w:rsidR="0014089C" w:rsidRPr="00880275">
        <w:t xml:space="preserve"> to </w:t>
      </w:r>
      <w:r w:rsidRPr="00880275">
        <w:t>have</w:t>
      </w:r>
      <w:r w:rsidR="0014089C" w:rsidRPr="00880275">
        <w:t xml:space="preserve"> difficulty identifying complaints as human rights complaints, i</w:t>
      </w:r>
      <w:r w:rsidR="000067FB" w:rsidRPr="00880275">
        <w:t>t is questionable whether the requirement to lodge an internal complaint and wait 45 business days before escalating to the Commission is either efficient or effective.</w:t>
      </w:r>
      <w:r w:rsidR="000067FB" w:rsidRPr="00880275">
        <w:rPr>
          <w:rStyle w:val="FootnoteReference"/>
          <w:rFonts w:eastAsia="Arial"/>
        </w:rPr>
        <w:footnoteReference w:id="107"/>
      </w:r>
      <w:r w:rsidR="000067FB" w:rsidRPr="00880275">
        <w:t xml:space="preserve"> </w:t>
      </w:r>
    </w:p>
    <w:p w14:paraId="1763FAD2" w14:textId="3221CC9D" w:rsidR="00D27999" w:rsidRPr="00880275" w:rsidRDefault="00734D71" w:rsidP="00754FAE">
      <w:pPr>
        <w:pStyle w:val="Numberedparagraph"/>
      </w:pPr>
      <w:r w:rsidRPr="00880275">
        <w:t>The Commission’s</w:t>
      </w:r>
      <w:r w:rsidR="000067FB" w:rsidRPr="00880275">
        <w:t xml:space="preserve"> experience is that complainants are often disheartened when inform</w:t>
      </w:r>
      <w:r w:rsidR="00831C2D" w:rsidRPr="00880275">
        <w:t>ed</w:t>
      </w:r>
      <w:r w:rsidR="000067FB" w:rsidRPr="00880275">
        <w:t xml:space="preserve"> about this additional requirement and do not pursue their complaint – and people who are the most vulnerable are least likely to return. At a</w:t>
      </w:r>
      <w:r w:rsidR="00D27999" w:rsidRPr="00880275">
        <w:t xml:space="preserve"> minimum, a better process is required to ensure that public entities identify and treat complaints as human rights complaints, including when the Commission has referred a complainant back to a public entity to complete the internal complaint process first. </w:t>
      </w:r>
    </w:p>
    <w:p w14:paraId="07C4CE63" w14:textId="69583EE9" w:rsidR="00BA746E" w:rsidRPr="00880275" w:rsidRDefault="00D27999" w:rsidP="00754FAE">
      <w:pPr>
        <w:pStyle w:val="Numberedparagraph"/>
      </w:pPr>
      <w:r w:rsidRPr="00880275">
        <w:t xml:space="preserve">Removing the requirement for a mandatory internal complaint as the first step may reduce red tape and prevent complainants from being deterred from making </w:t>
      </w:r>
      <w:proofErr w:type="gramStart"/>
      <w:r w:rsidRPr="00880275">
        <w:t>complaints, or</w:t>
      </w:r>
      <w:proofErr w:type="gramEnd"/>
      <w:r w:rsidRPr="00880275">
        <w:t xml:space="preserve"> endure ongoing limitations on their human rights as months elapse before their matter is dealt with by the Commission.</w:t>
      </w:r>
      <w:r w:rsidR="000D4654" w:rsidRPr="00880275">
        <w:t xml:space="preserve"> </w:t>
      </w:r>
      <w:r w:rsidR="003E748A" w:rsidRPr="00880275">
        <w:t xml:space="preserve">This will be complemented by the Commission’s move towards dispute resolution processes that are </w:t>
      </w:r>
      <w:r w:rsidR="22CF506E" w:rsidRPr="00880275">
        <w:t>m</w:t>
      </w:r>
      <w:r w:rsidR="4C18E031" w:rsidRPr="00880275">
        <w:t>ore</w:t>
      </w:r>
      <w:r w:rsidR="003E748A" w:rsidRPr="00880275">
        <w:t xml:space="preserve"> flexible and focused on early intervention. </w:t>
      </w:r>
    </w:p>
    <w:p w14:paraId="04DA83F5" w14:textId="0EAC5B67" w:rsidR="006804F4" w:rsidRPr="00880275" w:rsidRDefault="006804F4" w:rsidP="00754FAE">
      <w:pPr>
        <w:pStyle w:val="Heading5"/>
      </w:pPr>
      <w:r w:rsidRPr="00880275">
        <w:t>Recommendation 3.1</w:t>
      </w:r>
      <w:r w:rsidR="00480A94" w:rsidRPr="00880275">
        <w:t>5</w:t>
      </w:r>
    </w:p>
    <w:p w14:paraId="08DC2743" w14:textId="77777777" w:rsidR="00CF6605" w:rsidRPr="00880275" w:rsidRDefault="00CF6605" w:rsidP="00754FAE">
      <w:pPr>
        <w:pStyle w:val="Heading5"/>
      </w:pPr>
      <w:r w:rsidRPr="00880275">
        <w:t>Section 65 of the Human Rights Act, which requires a complaint about an alleged contravention of the Act to be made to the relevant public entity prior to any complaint to the Commission, should be repealed. At a minimum, section 65 should be amended to reduce the required period after making an internal complaint from 45 business days to 30 business days.</w:t>
      </w:r>
    </w:p>
    <w:p w14:paraId="20827DC0" w14:textId="39B8FD5A" w:rsidR="00BB162C" w:rsidRPr="00880275" w:rsidRDefault="00E411E1" w:rsidP="001214FE">
      <w:pPr>
        <w:pStyle w:val="Heading4"/>
      </w:pPr>
      <w:r w:rsidRPr="00880275">
        <w:t>Improving attitudes to Commission dispute resolution processes</w:t>
      </w:r>
    </w:p>
    <w:p w14:paraId="336E698B" w14:textId="77777777" w:rsidR="001C4806" w:rsidRPr="00880275" w:rsidRDefault="001C4806" w:rsidP="00754FAE">
      <w:pPr>
        <w:pStyle w:val="Numberedparagraph"/>
      </w:pPr>
      <w:r w:rsidRPr="00880275">
        <w:t>Commission complaint processes can be effective without an enforcement mechanism, but only where respondent parties come prepared and ready to consider whether human rights have been limited and explore innovative and flexible solutions. Unfortunately, in the Commission’s experience, some public entities take a legalistic and adversarial approach to dispute resolution, possibly driven by a lack of legal consequence if the matter cannot be resolved. This does not achieve the goals of the Act’s dialogue model to build a culture in the Queensland public sector that respects and promotes human rights</w:t>
      </w:r>
    </w:p>
    <w:p w14:paraId="169020B5" w14:textId="5BC5751F" w:rsidR="00B5036A" w:rsidRPr="00880275" w:rsidRDefault="00573A2F" w:rsidP="00754FAE">
      <w:pPr>
        <w:pStyle w:val="Numberedparagraph"/>
      </w:pPr>
      <w:r w:rsidRPr="00880275">
        <w:lastRenderedPageBreak/>
        <w:t xml:space="preserve">Ideally, </w:t>
      </w:r>
      <w:r w:rsidR="00EC183F" w:rsidRPr="00880275">
        <w:t xml:space="preserve">the Commission’s complaint process </w:t>
      </w:r>
      <w:r w:rsidRPr="00880275">
        <w:t xml:space="preserve">should be approached as an opportunity to </w:t>
      </w:r>
      <w:r w:rsidR="00B3630A" w:rsidRPr="00880275">
        <w:t>solve problems</w:t>
      </w:r>
      <w:r w:rsidRPr="00880275">
        <w:t xml:space="preserve">, </w:t>
      </w:r>
      <w:r w:rsidR="00504421" w:rsidRPr="00880275">
        <w:t>sometimes at a systemic level</w:t>
      </w:r>
      <w:r w:rsidRPr="00880275">
        <w:t xml:space="preserve">, without costly or legalistic court proceedings. </w:t>
      </w:r>
      <w:r w:rsidR="005D6BD4" w:rsidRPr="00880275">
        <w:t>In the early stages of the COVID-19 pandemic, Queensland Health adopted a conciliatory and non-legalistic approach to resolution. Their decision to bring subject matter experts to conciliation conferences led to positive outcomes, particularly in hotel quarantine complaints. Queensland Health representatives explored solutions and genuinely engaged in the complaints process, which sometimes produced opportunities to identify and implement system improvements to avoid similar issues in the future.</w:t>
      </w:r>
    </w:p>
    <w:p w14:paraId="2C9E5970" w14:textId="5DF41D53" w:rsidR="005867EB" w:rsidRPr="00880275" w:rsidRDefault="005867EB" w:rsidP="00754FAE">
      <w:pPr>
        <w:pStyle w:val="Numberedparagraph"/>
      </w:pPr>
      <w:r w:rsidRPr="00880275">
        <w:t xml:space="preserve">Options to address this </w:t>
      </w:r>
      <w:r w:rsidR="003D3716" w:rsidRPr="00880275">
        <w:t xml:space="preserve">issue </w:t>
      </w:r>
      <w:r w:rsidRPr="00880275">
        <w:t>may include:</w:t>
      </w:r>
    </w:p>
    <w:p w14:paraId="7B0A0A7F" w14:textId="22756660" w:rsidR="005867EB" w:rsidRPr="00880275" w:rsidRDefault="005867EB" w:rsidP="00754FAE">
      <w:pPr>
        <w:pStyle w:val="Numberedparagraph"/>
        <w:numPr>
          <w:ilvl w:val="0"/>
          <w:numId w:val="2"/>
        </w:numPr>
      </w:pPr>
      <w:r w:rsidRPr="00880275">
        <w:t xml:space="preserve">The Commission </w:t>
      </w:r>
      <w:r w:rsidR="0038173A" w:rsidRPr="00880275">
        <w:t xml:space="preserve">further </w:t>
      </w:r>
      <w:r w:rsidRPr="00880275">
        <w:t>limiting the</w:t>
      </w:r>
      <w:r w:rsidR="003D3716" w:rsidRPr="00880275">
        <w:t xml:space="preserve"> </w:t>
      </w:r>
      <w:r w:rsidR="005A282C" w:rsidRPr="00880275">
        <w:t>attendance and/or</w:t>
      </w:r>
      <w:r w:rsidR="003D3716" w:rsidRPr="00880275">
        <w:t xml:space="preserve"> </w:t>
      </w:r>
      <w:r w:rsidR="009B1640" w:rsidRPr="00880275">
        <w:t>role of lawyers in conciliation – while ensuring natural justice for respondents</w:t>
      </w:r>
      <w:r w:rsidR="005A282C" w:rsidRPr="00880275">
        <w:t>.</w:t>
      </w:r>
    </w:p>
    <w:p w14:paraId="08CAB5CA" w14:textId="38C59BB7" w:rsidR="009B1640" w:rsidRPr="00880275" w:rsidRDefault="009B1640" w:rsidP="00754FAE">
      <w:pPr>
        <w:pStyle w:val="Numberedparagraph"/>
        <w:numPr>
          <w:ilvl w:val="0"/>
          <w:numId w:val="2"/>
        </w:numPr>
      </w:pPr>
      <w:r w:rsidRPr="00880275">
        <w:t xml:space="preserve">Provision of training to lawyers on the benefits of alternative dispute resolution and how to effectively represent a client in </w:t>
      </w:r>
      <w:r w:rsidR="00F65A86" w:rsidRPr="00880275">
        <w:t>a non-adversarial manner, particularly where a complainant is unrepresented</w:t>
      </w:r>
      <w:r w:rsidR="005A282C" w:rsidRPr="00880275">
        <w:t>.</w:t>
      </w:r>
    </w:p>
    <w:p w14:paraId="516D974D" w14:textId="0E041760" w:rsidR="005A282C" w:rsidRPr="00880275" w:rsidRDefault="005A282C" w:rsidP="00754FAE">
      <w:pPr>
        <w:pStyle w:val="Numberedparagraph"/>
        <w:numPr>
          <w:ilvl w:val="0"/>
          <w:numId w:val="2"/>
        </w:numPr>
      </w:pPr>
      <w:r w:rsidRPr="00880275">
        <w:t>Dedicated funding for community legal centres, ATSILS</w:t>
      </w:r>
      <w:r w:rsidR="002225F9" w:rsidRPr="00880275">
        <w:t>,</w:t>
      </w:r>
      <w:r w:rsidRPr="00880275">
        <w:t xml:space="preserve"> and Legal Aid Queensland to level the playing field between complainants and respondents.</w:t>
      </w:r>
    </w:p>
    <w:p w14:paraId="1C20ACD7" w14:textId="54816E9B" w:rsidR="00F65A86" w:rsidRPr="00880275" w:rsidRDefault="00F937F4" w:rsidP="00754FAE">
      <w:pPr>
        <w:pStyle w:val="Numberedparagraph"/>
        <w:numPr>
          <w:ilvl w:val="0"/>
          <w:numId w:val="2"/>
        </w:numPr>
      </w:pPr>
      <w:r w:rsidRPr="00880275">
        <w:t xml:space="preserve">Changes to the Act to embed </w:t>
      </w:r>
      <w:r w:rsidR="00AE72F1" w:rsidRPr="00880275">
        <w:t>dispute resolution principles to clarify the role and purpose of conciliation within the ‘dialogue’ model</w:t>
      </w:r>
      <w:r w:rsidRPr="00880275">
        <w:t>.</w:t>
      </w:r>
    </w:p>
    <w:p w14:paraId="70446181" w14:textId="0E7989B1" w:rsidR="00AE72F1" w:rsidRPr="00880275" w:rsidRDefault="00AE72F1" w:rsidP="00754FAE">
      <w:pPr>
        <w:pStyle w:val="Numberedparagraph"/>
      </w:pPr>
      <w:r w:rsidRPr="00880275">
        <w:t xml:space="preserve">The Commission’s review of anti-discrimination legislation, </w:t>
      </w:r>
      <w:r w:rsidRPr="00880275">
        <w:rPr>
          <w:i/>
          <w:iCs/>
        </w:rPr>
        <w:t>Building Belonging</w:t>
      </w:r>
      <w:r w:rsidRPr="00880275">
        <w:t>, recommended the inclusion of dispute resolution principles, which could also be embedded in the Human Rights Act.</w:t>
      </w:r>
    </w:p>
    <w:p w14:paraId="0427BE19" w14:textId="6752EC6A" w:rsidR="00EC183F" w:rsidRPr="00880275" w:rsidRDefault="00EC183F" w:rsidP="00754FAE">
      <w:pPr>
        <w:pStyle w:val="Numberedparagraph"/>
      </w:pPr>
      <w:r w:rsidRPr="00880275">
        <w:t>Power imbalances also arise because of the low representation rate for complainants, as discussed above</w:t>
      </w:r>
      <w:r w:rsidRPr="00880275">
        <w:rPr>
          <w:i/>
          <w:iCs/>
        </w:rPr>
        <w:t xml:space="preserve">. </w:t>
      </w:r>
      <w:r w:rsidRPr="00880275">
        <w:t>The Commission has already made recommendations for adequate funding for the legal assistance sector as a means of ensuring the effectiveness of complaints and enforcement mechanisms under the Human Rights Act</w:t>
      </w:r>
      <w:r w:rsidR="00B26BFD" w:rsidRPr="00880275">
        <w:t xml:space="preserve"> (</w:t>
      </w:r>
      <w:r w:rsidR="00B26BFD" w:rsidRPr="00880275">
        <w:rPr>
          <w:b/>
          <w:bCs/>
        </w:rPr>
        <w:t xml:space="preserve">Recommendation </w:t>
      </w:r>
      <w:r w:rsidR="005021BF" w:rsidRPr="00880275">
        <w:rPr>
          <w:b/>
          <w:bCs/>
        </w:rPr>
        <w:t>2.5</w:t>
      </w:r>
      <w:r w:rsidR="005021BF" w:rsidRPr="00880275">
        <w:t>).</w:t>
      </w:r>
    </w:p>
    <w:p w14:paraId="77CE61BF" w14:textId="23CE53D4" w:rsidR="005C53B0" w:rsidRPr="00880275" w:rsidRDefault="005C53B0" w:rsidP="00754FAE">
      <w:pPr>
        <w:pStyle w:val="Heading5"/>
      </w:pPr>
      <w:r w:rsidRPr="00880275">
        <w:lastRenderedPageBreak/>
        <w:t>Recommendation</w:t>
      </w:r>
      <w:r w:rsidR="00624770" w:rsidRPr="00880275">
        <w:t xml:space="preserve"> 3.1</w:t>
      </w:r>
      <w:r w:rsidR="00480A94" w:rsidRPr="00880275">
        <w:t>6</w:t>
      </w:r>
    </w:p>
    <w:p w14:paraId="1BC067BD" w14:textId="1A58151F" w:rsidR="00BC26BB" w:rsidRPr="00880275" w:rsidRDefault="00BC26BB" w:rsidP="00754FAE">
      <w:pPr>
        <w:pStyle w:val="Heading5"/>
      </w:pPr>
      <w:r w:rsidRPr="00880275">
        <w:t xml:space="preserve">To strengthen the effectiveness of the Commission’s human rights complaints process, principles of dispute resolution should be </w:t>
      </w:r>
      <w:r w:rsidR="00A06098" w:rsidRPr="00880275">
        <w:t>incorporated</w:t>
      </w:r>
      <w:r w:rsidRPr="00880275">
        <w:t xml:space="preserve"> in the Human Rights Act. These principles should include:</w:t>
      </w:r>
    </w:p>
    <w:p w14:paraId="3F5875EF" w14:textId="77777777" w:rsidR="00BC26BB" w:rsidRPr="00880275" w:rsidRDefault="00BC26BB" w:rsidP="00754FAE">
      <w:pPr>
        <w:pStyle w:val="Heading5"/>
        <w:numPr>
          <w:ilvl w:val="0"/>
          <w:numId w:val="9"/>
        </w:numPr>
      </w:pPr>
      <w:r w:rsidRPr="00880275">
        <w:t xml:space="preserve">Dispute resolution should be provided as early as possible.   </w:t>
      </w:r>
    </w:p>
    <w:p w14:paraId="3FB1151C" w14:textId="77777777" w:rsidR="00BC26BB" w:rsidRPr="00880275" w:rsidRDefault="00BC26BB" w:rsidP="00754FAE">
      <w:pPr>
        <w:pStyle w:val="Heading5"/>
        <w:numPr>
          <w:ilvl w:val="0"/>
          <w:numId w:val="9"/>
        </w:numPr>
      </w:pPr>
      <w:r w:rsidRPr="00880275">
        <w:t xml:space="preserve">The type of dispute resolution offered should be appropriate to the nature of the complaint. </w:t>
      </w:r>
    </w:p>
    <w:p w14:paraId="0783B15C" w14:textId="45F3DEED" w:rsidR="00BC26BB" w:rsidRPr="00880275" w:rsidRDefault="00BC26BB" w:rsidP="00754FAE">
      <w:pPr>
        <w:pStyle w:val="Heading5"/>
        <w:numPr>
          <w:ilvl w:val="0"/>
          <w:numId w:val="9"/>
        </w:numPr>
      </w:pPr>
      <w:r w:rsidRPr="00880275">
        <w:t>The dispute resolution process should be fair to all parties</w:t>
      </w:r>
      <w:r w:rsidR="00EA6ED2" w:rsidRPr="00880275">
        <w:t>.</w:t>
      </w:r>
      <w:r w:rsidRPr="00880275">
        <w:t xml:space="preserve"> </w:t>
      </w:r>
    </w:p>
    <w:p w14:paraId="6237D642" w14:textId="20DDA17D" w:rsidR="00BC26BB" w:rsidRPr="00880275" w:rsidRDefault="00BC26BB" w:rsidP="00754FAE">
      <w:pPr>
        <w:pStyle w:val="Heading5"/>
        <w:numPr>
          <w:ilvl w:val="0"/>
          <w:numId w:val="9"/>
        </w:numPr>
      </w:pPr>
      <w:r w:rsidRPr="00880275">
        <w:t>Dispute resolution should be consistent with the objectives of the Act.</w:t>
      </w:r>
    </w:p>
    <w:p w14:paraId="65F24EA8" w14:textId="77777777" w:rsidR="00BC26BB" w:rsidRPr="00880275" w:rsidRDefault="00BC26BB" w:rsidP="00BC26BB"/>
    <w:p w14:paraId="50D29EE2" w14:textId="3263C303" w:rsidR="00F062DE" w:rsidRPr="00880275" w:rsidRDefault="00F062DE" w:rsidP="009C4D55">
      <w:pPr>
        <w:pStyle w:val="Heading4"/>
      </w:pPr>
      <w:r w:rsidRPr="00880275">
        <w:t>Allow more flexibility in how complaints can be made</w:t>
      </w:r>
      <w:r w:rsidR="002C00DA" w:rsidRPr="00880275">
        <w:t xml:space="preserve"> and dealt with</w:t>
      </w:r>
    </w:p>
    <w:p w14:paraId="119D0D3E" w14:textId="77777777" w:rsidR="00351FE9" w:rsidRPr="00880275" w:rsidRDefault="009B4833" w:rsidP="00754FAE">
      <w:pPr>
        <w:pStyle w:val="Numberedparagraph"/>
        <w:rPr>
          <w:rFonts w:eastAsia="Arial"/>
          <w:szCs w:val="22"/>
        </w:rPr>
      </w:pPr>
      <w:r w:rsidRPr="00880275">
        <w:t>The Human Rights Act has more flexible complaint handling functions than the Anti</w:t>
      </w:r>
      <w:r w:rsidR="00E46B6C" w:rsidRPr="00880275">
        <w:t>-</w:t>
      </w:r>
      <w:r w:rsidRPr="00880275">
        <w:t xml:space="preserve">Discrimination Act, but further enhancements could be made. </w:t>
      </w:r>
    </w:p>
    <w:p w14:paraId="06A84228" w14:textId="49CE7CF8" w:rsidR="00CE36E2" w:rsidRPr="00880275" w:rsidRDefault="003923D5" w:rsidP="00754FAE">
      <w:pPr>
        <w:pStyle w:val="Numberedparagraph"/>
      </w:pPr>
      <w:r w:rsidRPr="00880275">
        <w:t xml:space="preserve">The Commission recommends the Human Rights Act is amended to </w:t>
      </w:r>
      <w:r w:rsidR="00D97EF6" w:rsidRPr="00880275">
        <w:t xml:space="preserve">clarify that </w:t>
      </w:r>
      <w:r w:rsidR="00905B63" w:rsidRPr="00880275">
        <w:t>verbal complaints can be accepted and transcribed by the Commission</w:t>
      </w:r>
      <w:r w:rsidR="00D97EF6" w:rsidRPr="00880275">
        <w:t>.</w:t>
      </w:r>
      <w:r w:rsidR="00D97EF6" w:rsidRPr="00880275">
        <w:rPr>
          <w:b/>
        </w:rPr>
        <w:t xml:space="preserve"> </w:t>
      </w:r>
      <w:r w:rsidR="00D97EF6" w:rsidRPr="00880275">
        <w:t xml:space="preserve">This </w:t>
      </w:r>
      <w:r w:rsidR="00905B63" w:rsidRPr="00880275">
        <w:t>would improve access to justice for people with low literacy, culturally and linguistically diverse complainants and Aboriginal and Torres Strait Islander complainants.</w:t>
      </w:r>
      <w:r w:rsidR="008E7DA9" w:rsidRPr="00880275">
        <w:t xml:space="preserve"> </w:t>
      </w:r>
    </w:p>
    <w:p w14:paraId="054B445F" w14:textId="668CF4CF" w:rsidR="006A7ED8" w:rsidRPr="00880275" w:rsidRDefault="006A7ED8" w:rsidP="00754FAE">
      <w:pPr>
        <w:pStyle w:val="Numberedparagraph"/>
      </w:pPr>
      <w:r w:rsidRPr="00880275">
        <w:t xml:space="preserve">The </w:t>
      </w:r>
      <w:r w:rsidR="00F73A09" w:rsidRPr="00880275">
        <w:t xml:space="preserve">Commission has broad discretion to refuse to deal or continue to deal with a human rights complaint under section 70(1) of the Human Rights Act. This includes </w:t>
      </w:r>
    </w:p>
    <w:p w14:paraId="063790B9" w14:textId="79C107D3" w:rsidR="00F73A09" w:rsidRPr="00880275" w:rsidRDefault="00AA645B" w:rsidP="004A5C1D">
      <w:pPr>
        <w:pStyle w:val="Bulletedlist"/>
      </w:pPr>
      <w:r w:rsidRPr="00880275">
        <w:t>w</w:t>
      </w:r>
      <w:r w:rsidR="00F73A09" w:rsidRPr="00880275">
        <w:t xml:space="preserve">here the </w:t>
      </w:r>
      <w:r w:rsidR="74712C1F" w:rsidRPr="00880275">
        <w:t>C</w:t>
      </w:r>
      <w:r w:rsidR="00F73A09" w:rsidRPr="00880275">
        <w:t>ommissioner considers there is a more appropriate course of action available under another law to deal with the subject of the complaint; or</w:t>
      </w:r>
    </w:p>
    <w:p w14:paraId="494C6C2F" w14:textId="7D561157" w:rsidR="00F73A09" w:rsidRPr="00880275" w:rsidRDefault="00AA645B" w:rsidP="004A5C1D">
      <w:pPr>
        <w:pStyle w:val="Bulletedlist"/>
      </w:pPr>
      <w:r w:rsidRPr="00880275">
        <w:t>t</w:t>
      </w:r>
      <w:r w:rsidR="00F73A09" w:rsidRPr="00880275">
        <w:t xml:space="preserve">he </w:t>
      </w:r>
      <w:r w:rsidR="642F5BE7" w:rsidRPr="00880275">
        <w:t>C</w:t>
      </w:r>
      <w:r w:rsidR="00F73A09" w:rsidRPr="00880275">
        <w:t>ommissioner considers the subject of the complaint has been appropriately dealt with by another entity.</w:t>
      </w:r>
    </w:p>
    <w:p w14:paraId="76EBF3B8" w14:textId="7AC6077B" w:rsidR="00A221D9" w:rsidRPr="00880275" w:rsidRDefault="00922863" w:rsidP="00754FAE">
      <w:pPr>
        <w:pStyle w:val="Numberedparagraph"/>
      </w:pPr>
      <w:r w:rsidRPr="00880275">
        <w:t xml:space="preserve">The purpose of these provisions appears to be to reduce duplication of effort and increase efficiency in dealing with complaints, particularly for people who </w:t>
      </w:r>
      <w:r w:rsidR="00DA2AB2" w:rsidRPr="00880275">
        <w:t xml:space="preserve">access </w:t>
      </w:r>
      <w:r w:rsidRPr="00880275">
        <w:t>multiple pathways</w:t>
      </w:r>
      <w:r w:rsidR="00DA2AB2" w:rsidRPr="00880275">
        <w:t xml:space="preserve"> to try and resolve their complaint</w:t>
      </w:r>
      <w:r w:rsidRPr="00880275">
        <w:t xml:space="preserve">. </w:t>
      </w:r>
      <w:r w:rsidR="00A221D9" w:rsidRPr="00880275">
        <w:t xml:space="preserve">There have been some </w:t>
      </w:r>
      <w:r w:rsidR="00A1046B" w:rsidRPr="00880275">
        <w:t xml:space="preserve">difficulties in explaining these provisions to </w:t>
      </w:r>
      <w:r w:rsidR="009036FC" w:rsidRPr="00880275">
        <w:t>complainants</w:t>
      </w:r>
      <w:r w:rsidR="00A221D9" w:rsidRPr="00880275">
        <w:t xml:space="preserve">, for example, where the </w:t>
      </w:r>
      <w:r w:rsidR="00A21B2D" w:rsidRPr="00880275">
        <w:t>C</w:t>
      </w:r>
      <w:r w:rsidR="00A221D9" w:rsidRPr="00880275">
        <w:t>ommissioner considers there is a more appropriate course of action available, but the deadline pursing that course of action has passed</w:t>
      </w:r>
      <w:r w:rsidR="00A21B2D" w:rsidRPr="00880275">
        <w:t>,</w:t>
      </w:r>
      <w:r w:rsidR="002C5E6B" w:rsidRPr="00880275">
        <w:rPr>
          <w:rStyle w:val="FootnoteReference"/>
        </w:rPr>
        <w:footnoteReference w:id="108"/>
      </w:r>
      <w:r w:rsidR="00A221D9" w:rsidRPr="00880275">
        <w:t xml:space="preserve"> or where the </w:t>
      </w:r>
      <w:r w:rsidR="00A21B2D" w:rsidRPr="00880275">
        <w:t>C</w:t>
      </w:r>
      <w:r w:rsidR="00A221D9" w:rsidRPr="00880275">
        <w:t>ommissioner considers the subject of the complaint has been appropriately dealt with by the respondent entity, and whether th</w:t>
      </w:r>
      <w:r w:rsidR="00335E29" w:rsidRPr="00880275">
        <w:t xml:space="preserve">is constitutes </w:t>
      </w:r>
      <w:r w:rsidR="00335E29" w:rsidRPr="00880275">
        <w:lastRenderedPageBreak/>
        <w:t xml:space="preserve">‘another entity’. </w:t>
      </w:r>
      <w:r w:rsidR="00401AA7" w:rsidRPr="00880275">
        <w:t xml:space="preserve">A further </w:t>
      </w:r>
      <w:r w:rsidR="00445116" w:rsidRPr="00880275">
        <w:t>issue has been where the subject matter of the complaint has been dealt with by another entity, but that other entity did not deal with allegations regarding human rights</w:t>
      </w:r>
      <w:r w:rsidR="00140445" w:rsidRPr="00880275">
        <w:t>.</w:t>
      </w:r>
    </w:p>
    <w:p w14:paraId="440067CA" w14:textId="071B2A6D" w:rsidR="000727B1" w:rsidRPr="00880275" w:rsidRDefault="00F53C0E" w:rsidP="00754FAE">
      <w:pPr>
        <w:pStyle w:val="Numberedparagraph"/>
      </w:pPr>
      <w:r w:rsidRPr="00880275">
        <w:t xml:space="preserve">Consideration should be given to </w:t>
      </w:r>
      <w:r w:rsidR="006555C8" w:rsidRPr="00880275">
        <w:t>amending</w:t>
      </w:r>
      <w:r w:rsidR="00D101E0" w:rsidRPr="00880275">
        <w:t xml:space="preserve"> the Act or</w:t>
      </w:r>
      <w:r w:rsidR="00533381" w:rsidRPr="00880275">
        <w:t xml:space="preserve"> providing</w:t>
      </w:r>
      <w:r w:rsidR="00D101E0" w:rsidRPr="00880275">
        <w:t xml:space="preserve"> </w:t>
      </w:r>
      <w:r w:rsidRPr="00880275">
        <w:t xml:space="preserve">legislative guidance </w:t>
      </w:r>
      <w:r w:rsidR="00291156" w:rsidRPr="00880275">
        <w:t xml:space="preserve">on the application of section 70(1)(a) and (b) to </w:t>
      </w:r>
      <w:r w:rsidR="003F4D69" w:rsidRPr="00880275">
        <w:t xml:space="preserve">address </w:t>
      </w:r>
      <w:r w:rsidR="00291156" w:rsidRPr="00880275">
        <w:t>the issues set out above.</w:t>
      </w:r>
    </w:p>
    <w:p w14:paraId="7BCDDDE6" w14:textId="754FD19B" w:rsidR="003F3978" w:rsidRPr="00880275" w:rsidRDefault="00A27843" w:rsidP="00754FAE">
      <w:pPr>
        <w:pStyle w:val="Numberedparagraph"/>
      </w:pPr>
      <w:r w:rsidRPr="00880275">
        <w:t>Additionally, i</w:t>
      </w:r>
      <w:r w:rsidR="003F3978" w:rsidRPr="00880275">
        <w:t xml:space="preserve">f the Commission’s human rights complaint process is to remain unenforceable, the Commission recommends expressly setting out the </w:t>
      </w:r>
      <w:r w:rsidR="00A21B2D" w:rsidRPr="00880275">
        <w:t>C</w:t>
      </w:r>
      <w:r w:rsidR="003F3978" w:rsidRPr="00880275">
        <w:t>ommissioner’s discretion to refuse to deal with a complaint on the basis that there is no utility in dealing with the complaint using the processes available under the Human Rights Act as this is unlikely to achieve a satisfactory result.</w:t>
      </w:r>
      <w:r w:rsidR="003F3978" w:rsidRPr="00880275">
        <w:rPr>
          <w:rStyle w:val="FootnoteReference"/>
        </w:rPr>
        <w:footnoteReference w:id="109"/>
      </w:r>
    </w:p>
    <w:p w14:paraId="03BC32D2" w14:textId="5C618049" w:rsidR="00A27843" w:rsidRPr="00880275" w:rsidRDefault="00A27843" w:rsidP="00754FAE">
      <w:pPr>
        <w:pStyle w:val="Heading5"/>
      </w:pPr>
      <w:r w:rsidRPr="00880275">
        <w:t>Recommendation</w:t>
      </w:r>
      <w:r w:rsidR="001E6CFF" w:rsidRPr="00880275">
        <w:t xml:space="preserve"> 3.1</w:t>
      </w:r>
      <w:r w:rsidR="00480A94" w:rsidRPr="00880275">
        <w:t>7</w:t>
      </w:r>
    </w:p>
    <w:p w14:paraId="6DCE1B3D" w14:textId="493FE8B2" w:rsidR="00230DD2" w:rsidRPr="00880275" w:rsidRDefault="00230DD2" w:rsidP="00754FAE">
      <w:pPr>
        <w:pStyle w:val="Heading5"/>
      </w:pPr>
      <w:r w:rsidRPr="00880275">
        <w:t>The Human Rights Act should be amended to clarify that verbal complaints can be accepted and transcribed by the Commission.</w:t>
      </w:r>
    </w:p>
    <w:p w14:paraId="60D6FD16" w14:textId="77777777" w:rsidR="001214FE" w:rsidRPr="00880275" w:rsidRDefault="001214FE" w:rsidP="001214FE"/>
    <w:p w14:paraId="43CC057C" w14:textId="4E2BE48E" w:rsidR="00577181" w:rsidRPr="00880275" w:rsidRDefault="00577181" w:rsidP="00754FAE">
      <w:pPr>
        <w:pStyle w:val="Heading5"/>
      </w:pPr>
      <w:r w:rsidRPr="00880275">
        <w:t>Recommendation 3.1</w:t>
      </w:r>
      <w:r w:rsidR="00480A94" w:rsidRPr="00880275">
        <w:t>8</w:t>
      </w:r>
    </w:p>
    <w:p w14:paraId="2942EC2D" w14:textId="6EDEBC85" w:rsidR="001E6CFF" w:rsidRPr="00880275" w:rsidRDefault="007B33D5" w:rsidP="00754FAE">
      <w:pPr>
        <w:pStyle w:val="Heading5"/>
      </w:pPr>
      <w:r w:rsidRPr="00880275">
        <w:t xml:space="preserve">The Commission’s discretion to refuse to deal or continue </w:t>
      </w:r>
      <w:r w:rsidR="00407451" w:rsidRPr="00880275">
        <w:t>to deal with a complaint under section 70(1) of the Human Rights Act should be reviewed to consider whether:</w:t>
      </w:r>
    </w:p>
    <w:p w14:paraId="00A21B06" w14:textId="334DD4F1" w:rsidR="00407451" w:rsidRPr="00880275" w:rsidRDefault="0009007A" w:rsidP="00754FAE">
      <w:pPr>
        <w:pStyle w:val="Heading5"/>
        <w:numPr>
          <w:ilvl w:val="0"/>
          <w:numId w:val="10"/>
        </w:numPr>
      </w:pPr>
      <w:r w:rsidRPr="00880275">
        <w:t>t</w:t>
      </w:r>
      <w:r w:rsidR="00163D25" w:rsidRPr="00880275">
        <w:t>he scope of the discretion in s</w:t>
      </w:r>
      <w:r w:rsidR="00407451" w:rsidRPr="00880275">
        <w:t xml:space="preserve">ections 70(1)(a) and (b) should be </w:t>
      </w:r>
      <w:r w:rsidR="00541BD0" w:rsidRPr="00880275">
        <w:t xml:space="preserve">clarified by way of legislative amendment or </w:t>
      </w:r>
      <w:r w:rsidR="00163D25" w:rsidRPr="00880275">
        <w:t>explanatory guidance</w:t>
      </w:r>
    </w:p>
    <w:p w14:paraId="77EEA533" w14:textId="66D69107" w:rsidR="00C16E83" w:rsidRPr="00880275" w:rsidRDefault="00163D25" w:rsidP="00754FAE">
      <w:pPr>
        <w:pStyle w:val="Heading5"/>
        <w:numPr>
          <w:ilvl w:val="0"/>
          <w:numId w:val="10"/>
        </w:numPr>
      </w:pPr>
      <w:r w:rsidRPr="00880275">
        <w:t>i</w:t>
      </w:r>
      <w:r w:rsidR="00C16E83" w:rsidRPr="00880275">
        <w:t xml:space="preserve">f the Commission’s human rights complaints process is to remain unenforceable, the Human Rights Act should be amended to </w:t>
      </w:r>
      <w:r w:rsidRPr="00880275">
        <w:t xml:space="preserve">expressly </w:t>
      </w:r>
      <w:r w:rsidR="00C16E83" w:rsidRPr="00880275">
        <w:t xml:space="preserve">identify </w:t>
      </w:r>
      <w:r w:rsidR="002117C2" w:rsidRPr="00880275">
        <w:t xml:space="preserve">the Commission’s discretion to refuse to deal with a complaint if </w:t>
      </w:r>
      <w:r w:rsidR="000412FA" w:rsidRPr="00880275">
        <w:t xml:space="preserve">the Commissioner considers </w:t>
      </w:r>
      <w:r w:rsidR="002117C2" w:rsidRPr="00880275">
        <w:t>there is no utility in dealing with the complaint</w:t>
      </w:r>
      <w:r w:rsidR="008C5919" w:rsidRPr="00880275">
        <w:t>,</w:t>
      </w:r>
      <w:r w:rsidR="00392773" w:rsidRPr="00880275">
        <w:t xml:space="preserve"> </w:t>
      </w:r>
      <w:r w:rsidR="008C5919" w:rsidRPr="00880275">
        <w:t xml:space="preserve">because the </w:t>
      </w:r>
      <w:r w:rsidR="005E58FF" w:rsidRPr="00880275">
        <w:t xml:space="preserve">processes available under the Human Rights Act </w:t>
      </w:r>
      <w:r w:rsidR="008D26D4" w:rsidRPr="00880275">
        <w:t xml:space="preserve">are unlikely to achieve a satisfactory result. </w:t>
      </w:r>
      <w:r w:rsidR="002117C2" w:rsidRPr="00880275">
        <w:t xml:space="preserve"> </w:t>
      </w:r>
    </w:p>
    <w:p w14:paraId="0F31CCF5" w14:textId="60814042" w:rsidR="00DC575F" w:rsidRPr="00880275" w:rsidRDefault="00DC575F">
      <w:pPr>
        <w:spacing w:after="0"/>
        <w:rPr>
          <w:rFonts w:eastAsiaTheme="majorEastAsia" w:cstheme="majorBidi"/>
          <w:color w:val="004270"/>
          <w:sz w:val="48"/>
          <w:szCs w:val="48"/>
        </w:rPr>
      </w:pPr>
      <w:bookmarkStart w:id="63" w:name="_Toc169932260"/>
      <w:r w:rsidRPr="00880275">
        <w:br w:type="page"/>
      </w:r>
    </w:p>
    <w:p w14:paraId="71EBFF40" w14:textId="1822EEDA" w:rsidR="00380275" w:rsidRPr="00880275" w:rsidRDefault="00380275" w:rsidP="00380275">
      <w:pPr>
        <w:pStyle w:val="Heading1"/>
      </w:pPr>
      <w:bookmarkStart w:id="64" w:name="_Toc171346798"/>
      <w:r w:rsidRPr="00880275">
        <w:lastRenderedPageBreak/>
        <w:t>4</w:t>
      </w:r>
      <w:r w:rsidR="00DC575F" w:rsidRPr="00880275">
        <w:t>.</w:t>
      </w:r>
      <w:r w:rsidRPr="00880275">
        <w:t xml:space="preserve"> Victims’ rights</w:t>
      </w:r>
      <w:bookmarkEnd w:id="63"/>
      <w:bookmarkEnd w:id="64"/>
    </w:p>
    <w:p w14:paraId="1D237B40" w14:textId="69163F75" w:rsidR="00380275" w:rsidRPr="00880275" w:rsidRDefault="00380275" w:rsidP="00754FAE">
      <w:pPr>
        <w:pStyle w:val="Numberedparagraph"/>
      </w:pPr>
      <w:r w:rsidRPr="00880275">
        <w:t xml:space="preserve">Promoting and protecting the human rights of victim-survivors of violent crime is a key concern for the Commission. </w:t>
      </w:r>
    </w:p>
    <w:p w14:paraId="5EC60117" w14:textId="55F8CDBF" w:rsidR="00380275" w:rsidRPr="00880275" w:rsidRDefault="00380275" w:rsidP="00754FAE">
      <w:pPr>
        <w:pStyle w:val="Numberedparagraph"/>
      </w:pPr>
      <w:r w:rsidRPr="00880275">
        <w:t xml:space="preserve">The Commission considers that the most appropriate way to do so within the context of the Human Rights Act is by strengthening and clarifying existing human rights protections for victims within the Act. </w:t>
      </w:r>
      <w:proofErr w:type="gramStart"/>
      <w:r w:rsidRPr="00880275">
        <w:t>Key ways</w:t>
      </w:r>
      <w:proofErr w:type="gramEnd"/>
      <w:r w:rsidRPr="00880275">
        <w:t xml:space="preserve"> in which the Commission suggests this could be done include:</w:t>
      </w:r>
    </w:p>
    <w:p w14:paraId="72ADE44D" w14:textId="44ED82C5" w:rsidR="00380275" w:rsidRPr="00880275" w:rsidRDefault="00380275" w:rsidP="00380275">
      <w:pPr>
        <w:pStyle w:val="Bulletedlist"/>
        <w:rPr>
          <w:rFonts w:eastAsia="Arial"/>
          <w:szCs w:val="22"/>
        </w:rPr>
      </w:pPr>
      <w:r w:rsidRPr="00880275">
        <w:rPr>
          <w:rFonts w:eastAsia="Arial"/>
          <w:szCs w:val="22"/>
        </w:rPr>
        <w:t>clarifying the full scope of the right to security of the person</w:t>
      </w:r>
    </w:p>
    <w:p w14:paraId="5FAA9BA8" w14:textId="0A154763" w:rsidR="00380275" w:rsidRPr="00880275" w:rsidRDefault="00380275" w:rsidP="00380275">
      <w:pPr>
        <w:pStyle w:val="Bulletedlist"/>
        <w:rPr>
          <w:rFonts w:eastAsia="Arial"/>
          <w:szCs w:val="22"/>
        </w:rPr>
      </w:pPr>
      <w:r w:rsidRPr="00880275">
        <w:rPr>
          <w:rFonts w:eastAsia="Arial"/>
          <w:szCs w:val="22"/>
        </w:rPr>
        <w:t>clarifying the positive duties to prevent and respond to violent crime inherent in existing rights</w:t>
      </w:r>
    </w:p>
    <w:p w14:paraId="13651F4F" w14:textId="56DD1F75" w:rsidR="00380275" w:rsidRPr="00880275" w:rsidRDefault="00380275" w:rsidP="00380275">
      <w:pPr>
        <w:pStyle w:val="Bulletedlist"/>
        <w:rPr>
          <w:rFonts w:eastAsia="Arial"/>
          <w:szCs w:val="22"/>
        </w:rPr>
      </w:pPr>
      <w:r w:rsidRPr="00880275">
        <w:rPr>
          <w:rFonts w:eastAsia="Arial"/>
          <w:szCs w:val="22"/>
        </w:rPr>
        <w:t xml:space="preserve">making a minor change to the right to a fair hearing so that it explicitly recognises the triangulation of </w:t>
      </w:r>
      <w:r w:rsidR="005E0B01" w:rsidRPr="00880275">
        <w:rPr>
          <w:rFonts w:eastAsia="Arial"/>
          <w:szCs w:val="22"/>
        </w:rPr>
        <w:t>interests</w:t>
      </w:r>
      <w:r w:rsidRPr="00880275">
        <w:rPr>
          <w:rFonts w:eastAsia="Arial"/>
          <w:szCs w:val="22"/>
        </w:rPr>
        <w:t xml:space="preserve"> of the accused, victim and their families, and public.</w:t>
      </w:r>
    </w:p>
    <w:p w14:paraId="7869620F" w14:textId="1FFA7267" w:rsidR="00380275" w:rsidRPr="00880275" w:rsidRDefault="00380275" w:rsidP="00754FAE">
      <w:pPr>
        <w:pStyle w:val="Numberedparagraph"/>
      </w:pPr>
      <w:r w:rsidRPr="00880275">
        <w:t xml:space="preserve">This would maintain consistency of the Act with international human rights treaties to which Australia is a party and with other Australian human rights jurisdictions while providing the grounding for a strong, detailed, and more flexible </w:t>
      </w:r>
      <w:r w:rsidRPr="00880275">
        <w:rPr>
          <w:i/>
        </w:rPr>
        <w:t xml:space="preserve">Charter of Victims’ Rights </w:t>
      </w:r>
      <w:r w:rsidRPr="00880275">
        <w:t>(‘Victims Charter’), overseen by the independent Victims’ Commissioner. Enforceability of more specific rights held by victim-survivors under the Victims Charter should be addressed in the legislation establishing the Charter.</w:t>
      </w:r>
    </w:p>
    <w:p w14:paraId="7A5E23BE" w14:textId="3680A1AB" w:rsidR="00380275" w:rsidRPr="00880275" w:rsidRDefault="00380275" w:rsidP="00380275">
      <w:pPr>
        <w:pStyle w:val="Heading3"/>
        <w:rPr>
          <w:rFonts w:eastAsia="Arial" w:cs="Arial"/>
        </w:rPr>
      </w:pPr>
      <w:bookmarkStart w:id="65" w:name="_Toc169932261"/>
      <w:bookmarkStart w:id="66" w:name="_Toc171346799"/>
      <w:r w:rsidRPr="00880275">
        <w:rPr>
          <w:rFonts w:eastAsia="Arial" w:cs="Arial"/>
        </w:rPr>
        <w:t>Background</w:t>
      </w:r>
      <w:bookmarkEnd w:id="65"/>
      <w:bookmarkEnd w:id="66"/>
    </w:p>
    <w:p w14:paraId="19896076" w14:textId="41DDA8B0" w:rsidR="00380275" w:rsidRPr="00880275" w:rsidRDefault="00380275" w:rsidP="00754FAE">
      <w:pPr>
        <w:pStyle w:val="Numberedparagraph"/>
      </w:pPr>
      <w:r w:rsidRPr="00880275">
        <w:t>Recent reviews, including the Women’s Safety and Justice Taskforce, the Inquiry into Police Service responses to domestic and family violence, and the Parliamentary Inquiry into Support for Victims of Crime have highlighted deficiencies in the systems for protecting the human rights of victim-survivors of violent crime in Queensland.</w:t>
      </w:r>
      <w:r w:rsidRPr="00880275">
        <w:rPr>
          <w:vertAlign w:val="superscript"/>
        </w:rPr>
        <w:footnoteReference w:id="110"/>
      </w:r>
      <w:r w:rsidRPr="00880275">
        <w:t xml:space="preserve"> These include significant barriers to reporting crimes, including as a result of previous negative interactions with police or a lack of trust in their willingness to investigate or otherwise respond to alleged crimes or threats of violence.</w:t>
      </w:r>
    </w:p>
    <w:p w14:paraId="2C7CD937" w14:textId="0CEACB34" w:rsidR="00380275" w:rsidRPr="00880275" w:rsidRDefault="00380275" w:rsidP="00754FAE">
      <w:pPr>
        <w:pStyle w:val="Numberedparagraph"/>
      </w:pPr>
      <w:r w:rsidRPr="00880275">
        <w:t xml:space="preserve">The </w:t>
      </w:r>
      <w:r w:rsidR="00881F90" w:rsidRPr="00880275">
        <w:t>Commission</w:t>
      </w:r>
      <w:r w:rsidRPr="00880275">
        <w:t xml:space="preserve"> strongly supports steps taken to improve justice system responses to victim-survivors of crime and to promote and protect their rights. </w:t>
      </w:r>
      <w:proofErr w:type="gramStart"/>
      <w:r w:rsidRPr="00880275">
        <w:t>In particular, it</w:t>
      </w:r>
      <w:proofErr w:type="gramEnd"/>
      <w:r w:rsidRPr="00880275">
        <w:t xml:space="preserve"> welcomes the recent establishment of a permanent Victims’ Commissioner whose functions include advancing systemic issues for victim-survivors, facilitating collaboration between relevant agencies, and dealing with complaints about alleged contraventions of the Victims Charter.</w:t>
      </w:r>
    </w:p>
    <w:p w14:paraId="48C474E1" w14:textId="2DED26D6" w:rsidR="00380275" w:rsidRPr="00880275" w:rsidRDefault="00380275" w:rsidP="00380275">
      <w:pPr>
        <w:pStyle w:val="Heading3"/>
      </w:pPr>
      <w:bookmarkStart w:id="67" w:name="_Toc169932262"/>
      <w:bookmarkStart w:id="68" w:name="_Toc171346800"/>
      <w:r w:rsidRPr="00880275">
        <w:rPr>
          <w:rFonts w:eastAsia="Arial" w:cs="Arial"/>
        </w:rPr>
        <w:lastRenderedPageBreak/>
        <w:t>Existing protections</w:t>
      </w:r>
      <w:bookmarkEnd w:id="67"/>
      <w:bookmarkEnd w:id="68"/>
      <w:r w:rsidRPr="00880275">
        <w:rPr>
          <w:rFonts w:eastAsia="Arial" w:cs="Arial"/>
        </w:rPr>
        <w:t xml:space="preserve"> </w:t>
      </w:r>
    </w:p>
    <w:p w14:paraId="726B3C1C" w14:textId="55060DD3" w:rsidR="00380275" w:rsidRPr="00880275" w:rsidRDefault="00380275" w:rsidP="00754FAE">
      <w:pPr>
        <w:pStyle w:val="Numberedparagraph"/>
      </w:pPr>
      <w:r w:rsidRPr="00880275">
        <w:t xml:space="preserve">Victims of crime should </w:t>
      </w:r>
      <w:r w:rsidR="008C6B27" w:rsidRPr="00880275">
        <w:t>have</w:t>
      </w:r>
      <w:r w:rsidRPr="00880275">
        <w:t xml:space="preserve"> effective protection of their human rights, like any other Queenslander. People engage with many different government entities when they become a victim of crime. This can include the Queensland Police Service, Queensland Corrective Services, the Department of Justice and Attorney-General </w:t>
      </w:r>
      <w:r w:rsidR="00C03C44" w:rsidRPr="00880275">
        <w:t>(</w:t>
      </w:r>
      <w:r w:rsidRPr="00880275">
        <w:t>particularly Victim Assist Queensland</w:t>
      </w:r>
      <w:r w:rsidR="00C03C44" w:rsidRPr="00880275">
        <w:t>)</w:t>
      </w:r>
      <w:r w:rsidRPr="00880275">
        <w:t>, and the Director of Public Prosecutions. These entities may make referrals, including to non-government entities, for support that is outside the scope and expertise of the government entities. They may also be involved in court processes. Each of these public entities and the courts have responsibilities under the Human Rights Act.</w:t>
      </w:r>
      <w:r w:rsidRPr="00880275">
        <w:rPr>
          <w:rStyle w:val="FootnoteReference"/>
        </w:rPr>
        <w:footnoteReference w:id="111"/>
      </w:r>
    </w:p>
    <w:p w14:paraId="306B7183" w14:textId="50044EEA" w:rsidR="00380275" w:rsidRPr="00880275" w:rsidRDefault="00380275" w:rsidP="00754FAE">
      <w:pPr>
        <w:pStyle w:val="Numberedparagraph"/>
      </w:pPr>
      <w:r w:rsidRPr="00880275">
        <w:t xml:space="preserve">A significant number of existing human rights recognised in the Act should, if properly understood, operate to protect the rights and interests of victims in these interactions. These include:   </w:t>
      </w:r>
    </w:p>
    <w:p w14:paraId="461010C5" w14:textId="6BFA340C" w:rsidR="00380275" w:rsidRPr="00880275" w:rsidRDefault="004A4CFC" w:rsidP="00A91471">
      <w:pPr>
        <w:pStyle w:val="Bulletedlist"/>
      </w:pPr>
      <w:r w:rsidRPr="00880275">
        <w:t>r</w:t>
      </w:r>
      <w:r w:rsidR="00380275" w:rsidRPr="00880275">
        <w:t>ight to equality and non-discrimination, including the right to enjoy human rights without discrimination and the right to equality before the law (section 15)</w:t>
      </w:r>
    </w:p>
    <w:p w14:paraId="521D5DF7" w14:textId="78AB919D" w:rsidR="00380275" w:rsidRPr="00880275" w:rsidRDefault="004A4CFC" w:rsidP="00A91471">
      <w:pPr>
        <w:pStyle w:val="Bulletedlist"/>
        <w:rPr>
          <w:rFonts w:eastAsia="Arial"/>
          <w:szCs w:val="22"/>
        </w:rPr>
      </w:pPr>
      <w:r w:rsidRPr="00880275">
        <w:rPr>
          <w:rFonts w:eastAsia="Arial"/>
          <w:szCs w:val="22"/>
        </w:rPr>
        <w:t>r</w:t>
      </w:r>
      <w:r w:rsidR="00380275" w:rsidRPr="00880275">
        <w:rPr>
          <w:rFonts w:eastAsia="Arial"/>
          <w:szCs w:val="22"/>
        </w:rPr>
        <w:t xml:space="preserve">ight to life (section 16) </w:t>
      </w:r>
    </w:p>
    <w:p w14:paraId="5377DF2B" w14:textId="68FE2B8B" w:rsidR="00934307" w:rsidRPr="00880275" w:rsidRDefault="004A4CFC" w:rsidP="00A91471">
      <w:pPr>
        <w:pStyle w:val="Bulletedlist"/>
        <w:rPr>
          <w:rFonts w:eastAsia="Arial"/>
          <w:szCs w:val="22"/>
        </w:rPr>
      </w:pPr>
      <w:r w:rsidRPr="00880275">
        <w:rPr>
          <w:rFonts w:eastAsia="Arial"/>
          <w:szCs w:val="22"/>
        </w:rPr>
        <w:t>r</w:t>
      </w:r>
      <w:r w:rsidR="00934307" w:rsidRPr="00880275">
        <w:rPr>
          <w:rFonts w:eastAsia="Arial"/>
          <w:szCs w:val="22"/>
        </w:rPr>
        <w:t xml:space="preserve">ight to protection from torture and cruel, inhuman or degrading treatment (section 17) </w:t>
      </w:r>
      <w:r w:rsidR="00380275" w:rsidRPr="00880275">
        <w:rPr>
          <w:rFonts w:eastAsia="Arial"/>
          <w:szCs w:val="22"/>
        </w:rPr>
        <w:t xml:space="preserve"> </w:t>
      </w:r>
    </w:p>
    <w:p w14:paraId="2660A5A7" w14:textId="79D968E8" w:rsidR="00934307" w:rsidRPr="00880275" w:rsidRDefault="004A4CFC" w:rsidP="00A91471">
      <w:pPr>
        <w:pStyle w:val="Bulletedlist"/>
        <w:rPr>
          <w:rFonts w:eastAsia="Arial"/>
          <w:szCs w:val="22"/>
        </w:rPr>
      </w:pPr>
      <w:r w:rsidRPr="00880275">
        <w:rPr>
          <w:rFonts w:eastAsia="Arial"/>
          <w:szCs w:val="22"/>
        </w:rPr>
        <w:t>f</w:t>
      </w:r>
      <w:r w:rsidR="00934307" w:rsidRPr="00880275">
        <w:rPr>
          <w:rFonts w:eastAsia="Arial"/>
          <w:szCs w:val="22"/>
        </w:rPr>
        <w:t>reedom of expression (section 21)</w:t>
      </w:r>
    </w:p>
    <w:p w14:paraId="2E587E7C" w14:textId="249A7E53" w:rsidR="00934307" w:rsidRPr="00880275" w:rsidRDefault="004A4CFC" w:rsidP="00A91471">
      <w:pPr>
        <w:pStyle w:val="Bulletedlist"/>
        <w:rPr>
          <w:rFonts w:eastAsia="Arial"/>
          <w:szCs w:val="22"/>
        </w:rPr>
      </w:pPr>
      <w:r w:rsidRPr="00880275">
        <w:rPr>
          <w:rFonts w:eastAsia="Arial"/>
          <w:szCs w:val="22"/>
        </w:rPr>
        <w:t>p</w:t>
      </w:r>
      <w:r w:rsidR="00934307" w:rsidRPr="00880275">
        <w:rPr>
          <w:rFonts w:eastAsia="Arial"/>
          <w:szCs w:val="22"/>
        </w:rPr>
        <w:t xml:space="preserve">rivacy and reputation (section 25) </w:t>
      </w:r>
    </w:p>
    <w:p w14:paraId="5C146F50" w14:textId="55ECFB4F" w:rsidR="00934307" w:rsidRPr="00880275" w:rsidRDefault="004A4CFC" w:rsidP="00A91471">
      <w:pPr>
        <w:pStyle w:val="Bulletedlist"/>
        <w:rPr>
          <w:rFonts w:eastAsia="Arial"/>
          <w:szCs w:val="22"/>
        </w:rPr>
      </w:pPr>
      <w:r w:rsidRPr="00880275">
        <w:rPr>
          <w:rFonts w:eastAsia="Arial"/>
          <w:szCs w:val="22"/>
        </w:rPr>
        <w:t>p</w:t>
      </w:r>
      <w:r w:rsidR="00934307" w:rsidRPr="00880275">
        <w:rPr>
          <w:rFonts w:eastAsia="Arial"/>
          <w:szCs w:val="22"/>
        </w:rPr>
        <w:t>rotection of families and children (section 26)</w:t>
      </w:r>
    </w:p>
    <w:p w14:paraId="23A305AF" w14:textId="7F71F8A3" w:rsidR="00934307" w:rsidRPr="00880275" w:rsidRDefault="004A4CFC" w:rsidP="00A91471">
      <w:pPr>
        <w:pStyle w:val="Bulletedlist"/>
        <w:rPr>
          <w:rFonts w:eastAsia="Arial"/>
          <w:szCs w:val="22"/>
        </w:rPr>
      </w:pPr>
      <w:r w:rsidRPr="00880275">
        <w:rPr>
          <w:rFonts w:eastAsia="Arial"/>
          <w:szCs w:val="22"/>
        </w:rPr>
        <w:t>c</w:t>
      </w:r>
      <w:r w:rsidR="00934307" w:rsidRPr="00880275">
        <w:rPr>
          <w:rFonts w:eastAsia="Arial"/>
          <w:szCs w:val="22"/>
        </w:rPr>
        <w:t>ultural rights (generally – section 27, Aboriginal and Torres Strait Islander peoples – section 28)</w:t>
      </w:r>
    </w:p>
    <w:p w14:paraId="74A4AE71" w14:textId="0BA7073E" w:rsidR="00934307" w:rsidRPr="00880275" w:rsidRDefault="004A4CFC" w:rsidP="00A91471">
      <w:pPr>
        <w:pStyle w:val="Bulletedlist"/>
        <w:rPr>
          <w:rFonts w:eastAsia="Arial"/>
        </w:rPr>
      </w:pPr>
      <w:r w:rsidRPr="00880275">
        <w:rPr>
          <w:rFonts w:eastAsia="Arial"/>
          <w:szCs w:val="22"/>
        </w:rPr>
        <w:t>r</w:t>
      </w:r>
      <w:r w:rsidR="00934307" w:rsidRPr="00880275">
        <w:rPr>
          <w:rFonts w:eastAsia="Arial"/>
          <w:szCs w:val="22"/>
        </w:rPr>
        <w:t>ight to liberty and security of the person (section 29</w:t>
      </w:r>
      <w:r w:rsidR="00934307" w:rsidRPr="00880275">
        <w:t>).</w:t>
      </w:r>
      <w:r w:rsidR="00934307" w:rsidRPr="00880275">
        <w:rPr>
          <w:rStyle w:val="FootnoteReference"/>
        </w:rPr>
        <w:footnoteReference w:id="112"/>
      </w:r>
    </w:p>
    <w:p w14:paraId="1ED24BE3" w14:textId="77777777" w:rsidR="00934307" w:rsidRPr="00880275" w:rsidRDefault="00934307" w:rsidP="00754FAE">
      <w:pPr>
        <w:pStyle w:val="Numberedparagraph"/>
      </w:pPr>
      <w:r w:rsidRPr="00880275">
        <w:t xml:space="preserve">Some of these rights require public entities to take positive action to protect people from violence committed by other individuals, and to respond to those crimes appropriately when they occur. </w:t>
      </w:r>
      <w:r w:rsidR="00380275" w:rsidRPr="00880275">
        <w:t>For example, where a person is a victim of domestic violence and it becomes clear that their life is in danger as a result of ongoing threats or violence, the police must take adequate steps to protect that life, and a failure to do so may be an unjustifiable limitation on the right to life.</w:t>
      </w:r>
      <w:r w:rsidR="00380275" w:rsidRPr="00880275">
        <w:rPr>
          <w:rStyle w:val="FootnoteReference"/>
        </w:rPr>
        <w:footnoteReference w:id="113"/>
      </w:r>
      <w:r w:rsidR="00380275" w:rsidRPr="00880275">
        <w:t xml:space="preserve"> Similarly, if an individual has a domestic violence order that is being repeatedly breached by a perpetrator, but when they call to report this, </w:t>
      </w:r>
      <w:r w:rsidR="00380275" w:rsidRPr="00880275">
        <w:lastRenderedPageBreak/>
        <w:t>no action is taken by police, this may unjustifiably limit the right to freedom from torture and cruel, inhuman or degrading treatment.</w:t>
      </w:r>
      <w:r w:rsidR="00380275" w:rsidRPr="00880275">
        <w:rPr>
          <w:rStyle w:val="FootnoteReference"/>
        </w:rPr>
        <w:footnoteReference w:id="114"/>
      </w:r>
      <w:r w:rsidR="00380275" w:rsidRPr="00880275">
        <w:t xml:space="preserve"> </w:t>
      </w:r>
    </w:p>
    <w:p w14:paraId="04B61045" w14:textId="33F1A8F1" w:rsidR="00380275" w:rsidRPr="00880275" w:rsidRDefault="00380275" w:rsidP="00754FAE">
      <w:pPr>
        <w:pStyle w:val="Numberedparagraph"/>
      </w:pPr>
      <w:r w:rsidRPr="00880275">
        <w:t>Other human rights guide the way that victims should be treated in police investigations and court proceedings.</w:t>
      </w:r>
      <w:r w:rsidRPr="00880275">
        <w:rPr>
          <w:rStyle w:val="FootnoteReference"/>
        </w:rPr>
        <w:footnoteReference w:id="115"/>
      </w:r>
      <w:r w:rsidRPr="00880275">
        <w:t xml:space="preserve"> Freedom of expression includes the right to seek out and receive information, and the right to privacy and reputation protects against unlawful or arbitrary interference with a person’s family, home, or personal information. Rights to non-discrimination and equality before the law, protection of families and children, and cultural rights may require special considerations </w:t>
      </w:r>
      <w:r w:rsidR="004849D2" w:rsidRPr="00880275">
        <w:t>when</w:t>
      </w:r>
      <w:r w:rsidRPr="00880275">
        <w:t xml:space="preserve"> interact</w:t>
      </w:r>
      <w:r w:rsidR="004849D2" w:rsidRPr="00880275">
        <w:t>ing</w:t>
      </w:r>
      <w:r w:rsidRPr="00880275">
        <w:t xml:space="preserve"> with victims. This might include, for example, that services provided are culturally safe, that interpreters are provided if required, or that the best interests of a child are considered in determining whether, and if so how, the</w:t>
      </w:r>
      <w:r w:rsidR="00FB2EF0" w:rsidRPr="00880275">
        <w:t xml:space="preserve"> child</w:t>
      </w:r>
      <w:r w:rsidRPr="00880275">
        <w:t xml:space="preserve"> give</w:t>
      </w:r>
      <w:r w:rsidR="00FB2EF0" w:rsidRPr="00880275">
        <w:t>s</w:t>
      </w:r>
      <w:r w:rsidRPr="00880275">
        <w:t xml:space="preserve"> evidence in court proceedings. </w:t>
      </w:r>
    </w:p>
    <w:p w14:paraId="579AE182" w14:textId="5229DC5D" w:rsidR="00380275" w:rsidRPr="00880275" w:rsidRDefault="00380275" w:rsidP="00754FAE">
      <w:pPr>
        <w:pStyle w:val="Numberedparagraph"/>
      </w:pPr>
      <w:r w:rsidRPr="00880275">
        <w:t xml:space="preserve">Victims, to the greatest possible extent, should not be retraumatised by criminal justice processes. This may mean ensuring the victim has adequate support or </w:t>
      </w:r>
      <w:r w:rsidR="00D83A3E" w:rsidRPr="00880275">
        <w:t>that</w:t>
      </w:r>
      <w:r w:rsidRPr="00880275">
        <w:t xml:space="preserve"> reasonable adjustments</w:t>
      </w:r>
      <w:r w:rsidR="00D83A3E" w:rsidRPr="00880275">
        <w:t xml:space="preserve"> are </w:t>
      </w:r>
      <w:r w:rsidR="008E30D2" w:rsidRPr="00880275">
        <w:t>made</w:t>
      </w:r>
      <w:r w:rsidRPr="00880275">
        <w:t xml:space="preserve">. Failure to do so without reasonable justification may amount to a contravention of the rights to equality, the prohibition against torture, cruel, inhuman and degrading treatment, and to privacy. </w:t>
      </w:r>
    </w:p>
    <w:p w14:paraId="6BCA2C23" w14:textId="5514C899" w:rsidR="00380275" w:rsidRPr="00880275" w:rsidRDefault="00CE2393" w:rsidP="00754FAE">
      <w:pPr>
        <w:pStyle w:val="Numberedparagraph"/>
      </w:pPr>
      <w:r w:rsidRPr="00880275">
        <w:t>This means that</w:t>
      </w:r>
      <w:r w:rsidR="00380275" w:rsidRPr="00880275">
        <w:t xml:space="preserve">, in addition to specific protections under the Victims Charter, victims of violent crime may raise human rights concerns in relation to their treatment directly with public entities, through the </w:t>
      </w:r>
      <w:r w:rsidR="00881F90" w:rsidRPr="00880275">
        <w:t>Commission</w:t>
      </w:r>
      <w:r w:rsidR="00380275" w:rsidRPr="00880275">
        <w:t>’s complaints process, and/or through the courts.</w:t>
      </w:r>
      <w:r w:rsidR="00380275" w:rsidRPr="00880275">
        <w:rPr>
          <w:rStyle w:val="FootnoteReference"/>
        </w:rPr>
        <w:footnoteReference w:id="116"/>
      </w:r>
      <w:r w:rsidR="00380275" w:rsidRPr="00880275">
        <w:t xml:space="preserve"> </w:t>
      </w:r>
    </w:p>
    <w:p w14:paraId="71C73E8D" w14:textId="69082DA1" w:rsidR="0009007A" w:rsidRPr="00880275" w:rsidRDefault="0009007A" w:rsidP="00754FAE">
      <w:pPr>
        <w:pStyle w:val="Casestudyorexample"/>
        <w:rPr>
          <w:b/>
          <w:bCs/>
          <w:color w:val="004270"/>
        </w:rPr>
      </w:pPr>
      <w:r w:rsidRPr="00880275">
        <w:rPr>
          <w:b/>
          <w:bCs/>
          <w:color w:val="004270"/>
        </w:rPr>
        <w:lastRenderedPageBreak/>
        <w:t>Case study: Commission recommendations to QPS after complaint by victim of crime</w:t>
      </w:r>
    </w:p>
    <w:p w14:paraId="03B79393" w14:textId="044CCC45" w:rsidR="0009007A" w:rsidRPr="00880275" w:rsidRDefault="0009007A" w:rsidP="00754FAE">
      <w:pPr>
        <w:pStyle w:val="Casestudyorexample"/>
      </w:pPr>
      <w:r w:rsidRPr="00880275">
        <w:t>The Commission received a complaint from a person who had made numerous reports to the Queensland Police Service (QPS</w:t>
      </w:r>
      <w:r w:rsidR="00517DA1" w:rsidRPr="00880275">
        <w:t xml:space="preserve">) </w:t>
      </w:r>
      <w:r w:rsidRPr="00880275">
        <w:t xml:space="preserve">about her </w:t>
      </w:r>
      <w:proofErr w:type="spellStart"/>
      <w:r w:rsidRPr="00880275">
        <w:t>neighbour’s</w:t>
      </w:r>
      <w:proofErr w:type="spellEnd"/>
      <w:r w:rsidRPr="00880275">
        <w:t xml:space="preserve"> actions. The complaint included allegations that QPS failed to update the complainant on the progress of investigations and ignored her requests for information and assistance. The complaint was accepted as alleging limitation on the rights to freedom of expression, right to privacy, and right to liberty and security under the </w:t>
      </w:r>
      <w:r w:rsidRPr="00880275">
        <w:rPr>
          <w:i/>
        </w:rPr>
        <w:t>Human Rights Act 2019.</w:t>
      </w:r>
      <w:r w:rsidRPr="00880275">
        <w:t xml:space="preserve"> </w:t>
      </w:r>
    </w:p>
    <w:p w14:paraId="34A514B1" w14:textId="30F4E8CE" w:rsidR="0009007A" w:rsidRPr="00880275" w:rsidRDefault="0009007A" w:rsidP="00754FAE">
      <w:pPr>
        <w:pStyle w:val="Casestudyorexample"/>
      </w:pPr>
      <w:r w:rsidRPr="00880275">
        <w:t>Following an unsuccessful conciliation process, the Commissioner exercised his discretion to make recommendations to QPS to ensure their acts and decisions are compatible with human rights.</w:t>
      </w:r>
      <w:r w:rsidRPr="00880275">
        <w:rPr>
          <w:rStyle w:val="FootnoteReference"/>
        </w:rPr>
        <w:footnoteReference w:id="117"/>
      </w:r>
      <w:r w:rsidRPr="00880275">
        <w:t xml:space="preserve"> These included that QPS should review </w:t>
      </w:r>
      <w:r w:rsidR="001F3EB8" w:rsidRPr="00880275">
        <w:t>its</w:t>
      </w:r>
      <w:r w:rsidRPr="00880275">
        <w:t xml:space="preserve"> policies, procedures</w:t>
      </w:r>
      <w:r w:rsidR="00517DA1" w:rsidRPr="00880275">
        <w:t>,</w:t>
      </w:r>
      <w:r w:rsidRPr="00880275">
        <w:t xml:space="preserve"> and training to ensure that:</w:t>
      </w:r>
    </w:p>
    <w:p w14:paraId="3C179D2C" w14:textId="77777777" w:rsidR="0009007A" w:rsidRPr="00880275" w:rsidRDefault="0009007A" w:rsidP="00754FAE">
      <w:pPr>
        <w:pStyle w:val="Casestudyorexample"/>
        <w:numPr>
          <w:ilvl w:val="0"/>
          <w:numId w:val="7"/>
        </w:numPr>
      </w:pPr>
      <w:r w:rsidRPr="00880275">
        <w:t xml:space="preserve">Further guidance is provided to QPS officers in the application of the Victims Charter with respect to the privacy rights of the accused under both information privacy legislation and the </w:t>
      </w:r>
      <w:r w:rsidRPr="00880275">
        <w:rPr>
          <w:i/>
          <w:iCs/>
        </w:rPr>
        <w:t>Human Rights Act 2019</w:t>
      </w:r>
      <w:r w:rsidRPr="00880275">
        <w:t>.</w:t>
      </w:r>
    </w:p>
    <w:p w14:paraId="70F576C6" w14:textId="77777777" w:rsidR="0009007A" w:rsidRPr="00880275" w:rsidRDefault="0009007A" w:rsidP="00754FAE">
      <w:pPr>
        <w:pStyle w:val="Casestudyorexample"/>
        <w:numPr>
          <w:ilvl w:val="0"/>
          <w:numId w:val="7"/>
        </w:numPr>
      </w:pPr>
      <w:r w:rsidRPr="00880275">
        <w:t>Victims making a police report are made aware of their rights in the Victims Charter.</w:t>
      </w:r>
    </w:p>
    <w:p w14:paraId="13DA8950" w14:textId="77777777" w:rsidR="0009007A" w:rsidRPr="00880275" w:rsidRDefault="0009007A" w:rsidP="00754FAE">
      <w:pPr>
        <w:pStyle w:val="Casestudyorexample"/>
        <w:numPr>
          <w:ilvl w:val="0"/>
          <w:numId w:val="7"/>
        </w:numPr>
      </w:pPr>
      <w:r w:rsidRPr="00880275">
        <w:t>QPS officers are made aware of their obligations under the Victims Charter.</w:t>
      </w:r>
    </w:p>
    <w:p w14:paraId="13EB494C" w14:textId="41D26D72" w:rsidR="0009007A" w:rsidRPr="00880275" w:rsidRDefault="0009007A" w:rsidP="00754FAE">
      <w:pPr>
        <w:pStyle w:val="Casestudyorexample"/>
        <w:numPr>
          <w:ilvl w:val="0"/>
          <w:numId w:val="7"/>
        </w:numPr>
      </w:pPr>
      <w:r w:rsidRPr="00880275">
        <w:t xml:space="preserve">Victims who raise concerns about their interactions with police are referred to the process to make a complaint about QPS conduct as provided for by the </w:t>
      </w:r>
      <w:r w:rsidRPr="00880275">
        <w:rPr>
          <w:i/>
          <w:iCs/>
        </w:rPr>
        <w:t>Victims of Crime Assistance Act 2009,</w:t>
      </w:r>
      <w:r w:rsidRPr="00880275">
        <w:t xml:space="preserve"> and the right to make a complaint under the </w:t>
      </w:r>
      <w:r w:rsidRPr="00880275">
        <w:rPr>
          <w:i/>
          <w:iCs/>
        </w:rPr>
        <w:t>Human Rights Act 2019</w:t>
      </w:r>
      <w:r w:rsidRPr="00880275">
        <w:t>.</w:t>
      </w:r>
    </w:p>
    <w:p w14:paraId="51A4295B" w14:textId="77777777" w:rsidR="0052736C" w:rsidRPr="00880275" w:rsidRDefault="0052736C" w:rsidP="00754FAE">
      <w:pPr>
        <w:pStyle w:val="Numberedparagraph"/>
        <w:numPr>
          <w:ilvl w:val="0"/>
          <w:numId w:val="0"/>
        </w:numPr>
        <w:ind w:left="567"/>
      </w:pPr>
      <w:bookmarkStart w:id="69" w:name="_Toc167956079"/>
      <w:bookmarkStart w:id="70" w:name="_Toc167958074"/>
      <w:bookmarkStart w:id="71" w:name="_Toc168041933"/>
      <w:bookmarkStart w:id="72" w:name="_Toc169932263"/>
    </w:p>
    <w:p w14:paraId="64E7A553" w14:textId="577306C4" w:rsidR="007C6F21" w:rsidRPr="00880275" w:rsidRDefault="007C6F21" w:rsidP="00754FAE">
      <w:pPr>
        <w:pStyle w:val="Numberedparagraph"/>
      </w:pPr>
      <w:r w:rsidRPr="00880275">
        <w:t>However, the Commission considers that there are 3 ways in which the rights of victims of violent crime already contained within the Human Rights Act could be strengthened by being made more visible and effective within the Act</w:t>
      </w:r>
      <w:r w:rsidR="006749DC" w:rsidRPr="00880275">
        <w:t xml:space="preserve">: giving the right to security of the person its full effect, making operational duties </w:t>
      </w:r>
      <w:r w:rsidR="001F317C" w:rsidRPr="00880275">
        <w:t>inherent in certain rights clearer, and</w:t>
      </w:r>
      <w:r w:rsidR="00CD15E2" w:rsidRPr="00880275">
        <w:t xml:space="preserve"> better</w:t>
      </w:r>
      <w:r w:rsidR="001F317C" w:rsidRPr="00880275">
        <w:t xml:space="preserve"> recognising the interests of victims and the public in criminal trials. Each of these is discussed below.</w:t>
      </w:r>
    </w:p>
    <w:p w14:paraId="428865A3" w14:textId="1B47C329" w:rsidR="00934307" w:rsidRPr="00880275" w:rsidRDefault="00934307" w:rsidP="00934307">
      <w:pPr>
        <w:pStyle w:val="Heading3"/>
      </w:pPr>
      <w:bookmarkStart w:id="73" w:name="_Toc171346801"/>
      <w:r w:rsidRPr="00880275">
        <w:t xml:space="preserve">The right to security of the person </w:t>
      </w:r>
      <w:bookmarkEnd w:id="69"/>
      <w:r w:rsidRPr="00880275">
        <w:t xml:space="preserve">should be </w:t>
      </w:r>
      <w:bookmarkEnd w:id="70"/>
      <w:r w:rsidRPr="00880275">
        <w:t>given its full effect</w:t>
      </w:r>
      <w:bookmarkEnd w:id="71"/>
      <w:bookmarkEnd w:id="72"/>
      <w:bookmarkEnd w:id="73"/>
      <w:r w:rsidRPr="00880275">
        <w:t xml:space="preserve"> </w:t>
      </w:r>
    </w:p>
    <w:p w14:paraId="05AFE374" w14:textId="7E436385" w:rsidR="00934307" w:rsidRPr="00880275" w:rsidRDefault="000F7D11" w:rsidP="00754FAE">
      <w:pPr>
        <w:pStyle w:val="Numberedparagraph"/>
      </w:pPr>
      <w:r w:rsidRPr="00880275">
        <w:t xml:space="preserve">As discussed above, </w:t>
      </w:r>
      <w:r w:rsidR="00AC7B25" w:rsidRPr="00880275">
        <w:t>internationally, the</w:t>
      </w:r>
      <w:r w:rsidR="00934307" w:rsidRPr="00880275">
        <w:t xml:space="preserve"> right to security</w:t>
      </w:r>
      <w:r w:rsidR="00AC7B25" w:rsidRPr="00880275">
        <w:t xml:space="preserve"> of the person</w:t>
      </w:r>
      <w:r w:rsidR="00934307" w:rsidRPr="00880275">
        <w:t xml:space="preserve"> ‘protects individuals against intentional infliction of bodily or mental injury, regardless of whether the victim is detained or non-detained’.</w:t>
      </w:r>
      <w:r w:rsidR="00934307" w:rsidRPr="00880275">
        <w:rPr>
          <w:rStyle w:val="FootnoteReference"/>
        </w:rPr>
        <w:footnoteReference w:id="118"/>
      </w:r>
      <w:r w:rsidR="000235A6" w:rsidRPr="00880275">
        <w:t xml:space="preserve"> The right to </w:t>
      </w:r>
      <w:r w:rsidR="000235A6" w:rsidRPr="00880275">
        <w:lastRenderedPageBreak/>
        <w:t>security of the person, as recognised internationally, is particularly relevant to the obligations public entities hold to protect people at risk from violent crime.</w:t>
      </w:r>
      <w:r w:rsidR="000235A6" w:rsidRPr="00880275">
        <w:rPr>
          <w:vertAlign w:val="superscript"/>
        </w:rPr>
        <w:footnoteReference w:id="119"/>
      </w:r>
    </w:p>
    <w:p w14:paraId="47B58652" w14:textId="66118DD8" w:rsidR="00934307" w:rsidRPr="00880275" w:rsidRDefault="00934307" w:rsidP="00754FAE">
      <w:pPr>
        <w:pStyle w:val="Numberedparagraph"/>
      </w:pPr>
      <w:r w:rsidRPr="00880275">
        <w:t>In recent judgments, Queensland courts have focused on the operation of the section in relation to physical liberty only, potentially limiting the scope of protection of the right to security of the person.</w:t>
      </w:r>
      <w:r w:rsidRPr="00880275">
        <w:rPr>
          <w:rStyle w:val="FootnoteReference"/>
        </w:rPr>
        <w:footnoteReference w:id="120"/>
      </w:r>
      <w:r w:rsidRPr="00880275">
        <w:t xml:space="preserve"> </w:t>
      </w:r>
    </w:p>
    <w:p w14:paraId="19EEE5F0" w14:textId="471163DE" w:rsidR="00934307" w:rsidRPr="00880275" w:rsidRDefault="00BD3CAB" w:rsidP="00754FAE">
      <w:pPr>
        <w:pStyle w:val="Numberedparagraph"/>
      </w:pPr>
      <w:r w:rsidRPr="00880275">
        <w:t xml:space="preserve">As already recommended by </w:t>
      </w:r>
      <w:r w:rsidRPr="00880275">
        <w:rPr>
          <w:b/>
          <w:bCs/>
        </w:rPr>
        <w:t>Recommendation 3.3</w:t>
      </w:r>
      <w:r w:rsidRPr="00880275">
        <w:t xml:space="preserve">, </w:t>
      </w:r>
      <w:r w:rsidR="00725CBE" w:rsidRPr="00880275">
        <w:t>protection of the rights of victims of violent crime would be</w:t>
      </w:r>
      <w:r w:rsidR="00934307" w:rsidRPr="00880275">
        <w:t xml:space="preserve"> Act </w:t>
      </w:r>
      <w:r w:rsidR="00725CBE" w:rsidRPr="00880275">
        <w:t xml:space="preserve">would be </w:t>
      </w:r>
      <w:r w:rsidR="00934307" w:rsidRPr="00880275">
        <w:t>strengthened by including an interpretive note to make it clear that the rights to liberty and security are two separate rights. Alternatively, each right could be given its own section to ensure equal recognition of the right to liberty and the right to security of person, and not one conflated right.</w:t>
      </w:r>
    </w:p>
    <w:p w14:paraId="7CF7DC1C" w14:textId="1045A054" w:rsidR="00380275" w:rsidRPr="00880275" w:rsidRDefault="00380275" w:rsidP="00380275">
      <w:pPr>
        <w:pStyle w:val="Heading3"/>
      </w:pPr>
      <w:bookmarkStart w:id="74" w:name="_Toc169932264"/>
      <w:bookmarkStart w:id="75" w:name="_Toc168041934"/>
      <w:bookmarkStart w:id="76" w:name="_Toc171346802"/>
      <w:r w:rsidRPr="00880275">
        <w:t xml:space="preserve">Operational duties </w:t>
      </w:r>
      <w:r w:rsidR="004704FF" w:rsidRPr="00880275">
        <w:t>sh</w:t>
      </w:r>
      <w:r w:rsidRPr="00880275">
        <w:t>ould be made clearer</w:t>
      </w:r>
      <w:bookmarkEnd w:id="74"/>
      <w:bookmarkEnd w:id="76"/>
    </w:p>
    <w:p w14:paraId="4BC419A7" w14:textId="1B5F5A8E" w:rsidR="00380275" w:rsidRPr="00880275" w:rsidRDefault="00380275" w:rsidP="00754FAE">
      <w:pPr>
        <w:pStyle w:val="Numberedparagraph"/>
      </w:pPr>
      <w:r w:rsidRPr="00880275">
        <w:t xml:space="preserve">Under the ICCPR and other human rights treaties, relevant public entities must take positive steps to prevent and respond to violent crime </w:t>
      </w:r>
      <w:proofErr w:type="gramStart"/>
      <w:r w:rsidRPr="00880275">
        <w:t>in order to</w:t>
      </w:r>
      <w:proofErr w:type="gramEnd"/>
      <w:r w:rsidRPr="00880275">
        <w:t xml:space="preserve"> effectively protect life, the right to freedom from torture and cruel, inhuman or degrading treatment, and the right to security of the person. This includes requiring police to take steps to protect specific individuals in circumstances when they are aware of a serious and specific threat of violence. It also requires police to carry out an effective investigation into complaints of serious violence with effective participation by victim-survivors or the families of deceased victims. This is inherent in the rights themselves (and not simply or even necessarily an aspect of the right to a remedy), because without an effective investigation, the conduct complained of may continue, amounting to a form of public entity complicity.</w:t>
      </w:r>
      <w:r w:rsidRPr="00880275">
        <w:rPr>
          <w:rStyle w:val="FootnoteReference"/>
        </w:rPr>
        <w:footnoteReference w:id="121"/>
      </w:r>
    </w:p>
    <w:p w14:paraId="3D1902B2" w14:textId="77777777" w:rsidR="00380275" w:rsidRPr="00880275" w:rsidRDefault="00380275" w:rsidP="00754FAE">
      <w:pPr>
        <w:pStyle w:val="Numberedparagraph"/>
      </w:pPr>
      <w:r w:rsidRPr="00880275">
        <w:lastRenderedPageBreak/>
        <w:t>In some jurisdictions, clear elaboration of authorities’ positive duties to take steps in specific cases (operational duties) has been a powerful way to improve responses for victim-survivors of rape, family violence, and other violent crime, and to ensure accountability where serious failures of the criminal justice system’s response occur.</w:t>
      </w:r>
      <w:r w:rsidRPr="00880275">
        <w:rPr>
          <w:rStyle w:val="FootnoteReference"/>
        </w:rPr>
        <w:footnoteReference w:id="122"/>
      </w:r>
      <w:r w:rsidRPr="00880275">
        <w:t xml:space="preserve"> The relevant principles have been defined and elaborated in such a way as not to provide an inappropriate burden on public entities. They also provide a clear human rights grounding for recognition and promotion of victims’ rights in investigations in documents such as the </w:t>
      </w:r>
      <w:r w:rsidRPr="00880275">
        <w:rPr>
          <w:iCs/>
        </w:rPr>
        <w:t>Victims Charter.</w:t>
      </w:r>
    </w:p>
    <w:bookmarkEnd w:id="75"/>
    <w:p w14:paraId="5A80F51A" w14:textId="77777777" w:rsidR="00D37892" w:rsidRPr="00880275" w:rsidRDefault="00D37892" w:rsidP="00754FAE">
      <w:pPr>
        <w:pStyle w:val="Casestudyorexample"/>
        <w:rPr>
          <w:b/>
          <w:bCs/>
          <w:color w:val="004270"/>
        </w:rPr>
      </w:pPr>
      <w:r w:rsidRPr="00880275">
        <w:rPr>
          <w:b/>
          <w:bCs/>
          <w:color w:val="004270"/>
        </w:rPr>
        <w:t>Duty to conduct an effective investigation into rape allegations</w:t>
      </w:r>
    </w:p>
    <w:p w14:paraId="2047CE00" w14:textId="1CD54FD7" w:rsidR="00D37892" w:rsidRPr="00880275" w:rsidRDefault="00D37892" w:rsidP="00754FAE">
      <w:pPr>
        <w:pStyle w:val="Casestudyorexample"/>
      </w:pPr>
      <w:r w:rsidRPr="00880275">
        <w:t xml:space="preserve">In </w:t>
      </w:r>
      <w:r w:rsidRPr="00880275">
        <w:rPr>
          <w:i/>
          <w:iCs/>
        </w:rPr>
        <w:t>Commissioner of Police of the Metropolis v DSD</w:t>
      </w:r>
      <w:r w:rsidRPr="00880275">
        <w:t xml:space="preserve"> [2018] UKSC 11, the U</w:t>
      </w:r>
      <w:r w:rsidR="00734014" w:rsidRPr="00880275">
        <w:t>nited Kingdom</w:t>
      </w:r>
      <w:r w:rsidR="00F273C0" w:rsidRPr="00880275">
        <w:t xml:space="preserve"> (</w:t>
      </w:r>
      <w:r w:rsidR="00F273C0" w:rsidRPr="00880275">
        <w:rPr>
          <w:b/>
          <w:bCs/>
        </w:rPr>
        <w:t>UK</w:t>
      </w:r>
      <w:r w:rsidR="00F273C0" w:rsidRPr="00880275">
        <w:t>)</w:t>
      </w:r>
      <w:r w:rsidRPr="00880275">
        <w:t xml:space="preserve"> Supreme Court held that significant failures in a police investigation into crimes involving serious violence to persons by a private individual, including sexual assault, are unlawful under the </w:t>
      </w:r>
      <w:r w:rsidR="00F273C0" w:rsidRPr="00880275">
        <w:t>UK’s</w:t>
      </w:r>
      <w:r w:rsidRPr="00880275">
        <w:t xml:space="preserve"> </w:t>
      </w:r>
      <w:r w:rsidRPr="00880275">
        <w:rPr>
          <w:i/>
          <w:iCs/>
        </w:rPr>
        <w:t>Human Rights Act 1998</w:t>
      </w:r>
      <w:r w:rsidRPr="00880275">
        <w:t xml:space="preserve">. </w:t>
      </w:r>
    </w:p>
    <w:p w14:paraId="7DB68A85" w14:textId="77777777" w:rsidR="00D37892" w:rsidRPr="00880275" w:rsidRDefault="00D37892" w:rsidP="00754FAE">
      <w:pPr>
        <w:pStyle w:val="Casestudyorexample"/>
      </w:pPr>
      <w:r w:rsidRPr="00880275">
        <w:t xml:space="preserve">The case involved failures by the Metropolitan Police to properly investigate claims of sexual assault against John Worboys, a London taxi driver who was eventually convicted of attacks on 16 women, despite multiple victims reporting similar incidents over several years.  </w:t>
      </w:r>
    </w:p>
    <w:p w14:paraId="5EED1D2E" w14:textId="7AFB095F" w:rsidR="00D37892" w:rsidRPr="00880275" w:rsidRDefault="00D37892" w:rsidP="00754FAE">
      <w:pPr>
        <w:pStyle w:val="Casestudyorexample"/>
      </w:pPr>
      <w:r w:rsidRPr="00880275">
        <w:t xml:space="preserve">The Court affirmed that the right to freedom from torture and cruel, inhuman or degrading treatment (‘other ill-treatment’) imposes on police an operational duty to conduct a proper investigation into allegations of serious violence, including when committed by private individuals. Lord Kerr, giving the main judgment, </w:t>
      </w:r>
      <w:proofErr w:type="spellStart"/>
      <w:r w:rsidRPr="00880275">
        <w:t>emphasised</w:t>
      </w:r>
      <w:proofErr w:type="spellEnd"/>
      <w:r w:rsidRPr="00880275">
        <w:t xml:space="preserve"> that, </w:t>
      </w:r>
      <w:proofErr w:type="gramStart"/>
      <w:r w:rsidRPr="00880275">
        <w:t>in order to</w:t>
      </w:r>
      <w:proofErr w:type="gramEnd"/>
      <w:r w:rsidRPr="00880275">
        <w:t xml:space="preserve"> be an effective deterrent, laws that prohibit conduct that would breach the prohibition of torture and other ill-treatment (such as laws prohibiting rape and sexual assault) must be rigorously enforced and complaints of such conduct must be properly investigated.</w:t>
      </w:r>
      <w:r w:rsidRPr="00880275">
        <w:rPr>
          <w:rStyle w:val="FootnoteReference"/>
        </w:rPr>
        <w:footnoteReference w:id="123"/>
      </w:r>
    </w:p>
    <w:p w14:paraId="4060BEB5" w14:textId="5D3A5949" w:rsidR="00D37892" w:rsidRPr="00880275" w:rsidRDefault="00D37892" w:rsidP="00754FAE">
      <w:pPr>
        <w:pStyle w:val="Casestudyorexample"/>
      </w:pPr>
      <w:r w:rsidRPr="00880275">
        <w:t xml:space="preserve">Lord Kerr </w:t>
      </w:r>
      <w:proofErr w:type="spellStart"/>
      <w:r w:rsidRPr="00880275">
        <w:t>recognised</w:t>
      </w:r>
      <w:proofErr w:type="spellEnd"/>
      <w:r w:rsidRPr="00880275">
        <w:t xml:space="preserve"> that ‘law enforcement and the investigation of crime involve a complex series of judgments and discretionary decisions’, and that only ‘obvious and significant shortcomings in the conduct of the police and prosecutorial investigation will give rise to the possibility of a claim’.</w:t>
      </w:r>
      <w:r w:rsidRPr="00880275">
        <w:rPr>
          <w:rStyle w:val="FootnoteReference"/>
        </w:rPr>
        <w:footnoteReference w:id="124"/>
      </w:r>
      <w:r w:rsidRPr="00880275">
        <w:t xml:space="preserve"> In his view, rather than opening the floodgates to litigation, there was ‘no reason to suppose that the existence of a right under </w:t>
      </w:r>
      <w:r w:rsidR="00BB093B" w:rsidRPr="00880275">
        <w:t>[the prohibition of torture and other ill-treatment]</w:t>
      </w:r>
      <w:r w:rsidRPr="00880275">
        <w:t xml:space="preserve"> to call to account egregious errors on the part of the police in the investigation of serious crime would do other than act as an incentive to avoid </w:t>
      </w:r>
      <w:r w:rsidRPr="00880275">
        <w:lastRenderedPageBreak/>
        <w:t>those errors and to deter, indeed eliminate, the making of such grievous mistakes’.</w:t>
      </w:r>
      <w:r w:rsidRPr="00880275">
        <w:rPr>
          <w:rStyle w:val="FootnoteReference"/>
        </w:rPr>
        <w:footnoteReference w:id="125"/>
      </w:r>
    </w:p>
    <w:p w14:paraId="647A5C82" w14:textId="77777777" w:rsidR="009D3D25" w:rsidRPr="00880275" w:rsidRDefault="009D3D25" w:rsidP="00754FAE">
      <w:pPr>
        <w:pStyle w:val="Numberedparagraph"/>
        <w:numPr>
          <w:ilvl w:val="0"/>
          <w:numId w:val="0"/>
        </w:numPr>
        <w:ind w:left="567"/>
      </w:pPr>
    </w:p>
    <w:p w14:paraId="3E865189" w14:textId="2DDF2425" w:rsidR="00380275" w:rsidRPr="00880275" w:rsidRDefault="00380275" w:rsidP="00754FAE">
      <w:pPr>
        <w:pStyle w:val="Numberedparagraph"/>
      </w:pPr>
      <w:r w:rsidRPr="00880275">
        <w:t>Judicial interpretation of the Human Rights Act in Queensland has recognised positive duties owed by public entities to take positive steps in relation to the protection of rights under the Act, including operational duties.</w:t>
      </w:r>
      <w:r w:rsidRPr="00880275">
        <w:rPr>
          <w:rStyle w:val="FootnoteReference"/>
        </w:rPr>
        <w:footnoteReference w:id="126"/>
      </w:r>
      <w:r w:rsidRPr="00880275">
        <w:t xml:space="preserve"> The definition of ‘act’ (relevant to determining whether or not conduct of a public entity is unlawful under section 58) also explicitly includes ‘a failure … to act’.</w:t>
      </w:r>
      <w:r w:rsidRPr="00880275">
        <w:rPr>
          <w:rStyle w:val="FootnoteReference"/>
        </w:rPr>
        <w:footnoteReference w:id="127"/>
      </w:r>
      <w:r w:rsidRPr="00880275">
        <w:t xml:space="preserve"> However some earlier jurisprudence from Victoria may make it difficult for the full scope of obligations on public entities recognised in international human rights law and comparative jurisdictions to be applied in Queensland, including the right to an effective investigation inherent in certain rights.</w:t>
      </w:r>
      <w:r w:rsidRPr="00880275">
        <w:rPr>
          <w:rStyle w:val="FootnoteReference"/>
        </w:rPr>
        <w:footnoteReference w:id="128"/>
      </w:r>
    </w:p>
    <w:p w14:paraId="1ABD4E3F" w14:textId="5BED7880" w:rsidR="00380275" w:rsidRPr="00880275" w:rsidRDefault="00380275" w:rsidP="00754FAE">
      <w:pPr>
        <w:pStyle w:val="Numberedparagraph"/>
      </w:pPr>
      <w:r w:rsidRPr="00880275">
        <w:t>There has been significant clarification at the international level and in comparative jurisdictions of the link between positive duties to prevent and respond to crime and enjoyment of rights to life, freedom from torture and cruel, inhuman and degrading treatment, and security of the person in the past ten years, including by the UN Human Rights Committee, the European Court of Human Rights, and the UK Supreme Court.</w:t>
      </w:r>
      <w:r w:rsidRPr="00880275">
        <w:rPr>
          <w:rStyle w:val="FootnoteReference"/>
        </w:rPr>
        <w:footnoteReference w:id="129"/>
      </w:r>
      <w:r w:rsidRPr="00880275">
        <w:t xml:space="preserve">  In light of this, there may be scope to make the operational duties imposed by these rights on particular public entities, including duties to respond to real and immediate threats of violence towards an identified individual, and the duty of appropriate bodies to undertake an effective investigation into complaints of serious personal violence, even clearer. One way to do this could be through an interpretive note to section 8</w:t>
      </w:r>
      <w:r w:rsidR="00D01217" w:rsidRPr="00880275">
        <w:t xml:space="preserve"> of the Human Rights Act</w:t>
      </w:r>
      <w:r w:rsidRPr="00880275">
        <w:t xml:space="preserve"> (Meaning of compatible with human rights).</w:t>
      </w:r>
    </w:p>
    <w:p w14:paraId="58CF9454" w14:textId="149BB731" w:rsidR="00892BE8" w:rsidRPr="00880275" w:rsidRDefault="00892BE8" w:rsidP="00754FAE">
      <w:pPr>
        <w:pStyle w:val="Heading5"/>
      </w:pPr>
      <w:r w:rsidRPr="00880275">
        <w:lastRenderedPageBreak/>
        <w:t xml:space="preserve">Recommendation </w:t>
      </w:r>
      <w:r w:rsidR="000263A3" w:rsidRPr="00880275">
        <w:t>4.</w:t>
      </w:r>
      <w:r w:rsidR="00F106BC" w:rsidRPr="00880275">
        <w:t>1</w:t>
      </w:r>
    </w:p>
    <w:p w14:paraId="7EAF9BF8" w14:textId="74B80252" w:rsidR="005C4AFC" w:rsidRPr="00880275" w:rsidRDefault="005C4AFC" w:rsidP="00754FAE">
      <w:pPr>
        <w:pStyle w:val="Heading5"/>
      </w:pPr>
      <w:bookmarkStart w:id="77" w:name="_Toc169932265"/>
      <w:r w:rsidRPr="00880275">
        <w:t>The Human Rights Act should be amended to insert legislative guidance clarifying that in some circumstances acting compatib</w:t>
      </w:r>
      <w:r w:rsidR="001C5A08" w:rsidRPr="00880275">
        <w:t>ly</w:t>
      </w:r>
      <w:r w:rsidRPr="00880275">
        <w:t xml:space="preserve"> with human rights will require relevant public entities to take positive steps to prevent and respond to risks and allegations of harm.</w:t>
      </w:r>
    </w:p>
    <w:p w14:paraId="5CDCDCEE" w14:textId="5DA0D8F2" w:rsidR="00380275" w:rsidRPr="00880275" w:rsidRDefault="00380275" w:rsidP="00380275">
      <w:pPr>
        <w:pStyle w:val="Heading3"/>
      </w:pPr>
      <w:bookmarkStart w:id="78" w:name="_Toc171346803"/>
      <w:r w:rsidRPr="00880275">
        <w:rPr>
          <w:rFonts w:eastAsia="Arial" w:cs="Arial"/>
        </w:rPr>
        <w:t xml:space="preserve">Recognise victim and public interests in </w:t>
      </w:r>
      <w:bookmarkEnd w:id="77"/>
      <w:r w:rsidRPr="00880275">
        <w:rPr>
          <w:rFonts w:eastAsia="Arial" w:cs="Arial"/>
        </w:rPr>
        <w:t>criminal trials</w:t>
      </w:r>
      <w:bookmarkEnd w:id="78"/>
      <w:r w:rsidRPr="00880275">
        <w:rPr>
          <w:rFonts w:eastAsia="Arial" w:cs="Arial"/>
        </w:rPr>
        <w:t xml:space="preserve"> </w:t>
      </w:r>
    </w:p>
    <w:p w14:paraId="04DA911F" w14:textId="02CBE577" w:rsidR="00380275" w:rsidRPr="00880275" w:rsidRDefault="00380275" w:rsidP="00754FAE">
      <w:pPr>
        <w:pStyle w:val="Numberedparagraph"/>
      </w:pPr>
      <w:r w:rsidRPr="00880275">
        <w:t>Currently, section 31(1) of the Human Rights Act provides that a person charged with a criminal offence or a party to a civil proceeding has the right to a competent, independent and impartial court or tribunal after a fair and public hearing.</w:t>
      </w:r>
    </w:p>
    <w:p w14:paraId="0FD1D16E" w14:textId="397E2A3E" w:rsidR="00380275" w:rsidRPr="00880275" w:rsidRDefault="00380275" w:rsidP="00754FAE">
      <w:pPr>
        <w:pStyle w:val="Numberedparagraph"/>
      </w:pPr>
      <w:r w:rsidRPr="00880275">
        <w:t xml:space="preserve">In contrast, the equivalent right under section 21 of the </w:t>
      </w:r>
      <w:r w:rsidRPr="00880275">
        <w:rPr>
          <w:i/>
        </w:rPr>
        <w:t xml:space="preserve">Human Rights Act 2004 </w:t>
      </w:r>
      <w:r w:rsidRPr="00880275">
        <w:t xml:space="preserve">(ACT) states that </w:t>
      </w:r>
      <w:r w:rsidRPr="00880275">
        <w:rPr>
          <w:i/>
        </w:rPr>
        <w:t xml:space="preserve">everyone </w:t>
      </w:r>
      <w:r w:rsidRPr="00880275">
        <w:t>has the right to have criminal charges, and rights and obligations recognised by law, decided by a competent, independent and impartial court or tribunal after a fair and public hearing.</w:t>
      </w:r>
    </w:p>
    <w:p w14:paraId="1023BF79" w14:textId="1FD03484" w:rsidR="00380275" w:rsidRPr="00880275" w:rsidRDefault="00380275" w:rsidP="00754FAE">
      <w:pPr>
        <w:pStyle w:val="Numberedparagraph"/>
      </w:pPr>
      <w:r w:rsidRPr="00880275">
        <w:t xml:space="preserve">The ACT Supreme Court considered the relevance of this section to victims’ rights within criminal proceedings in the case of </w:t>
      </w:r>
      <w:r w:rsidRPr="00880275">
        <w:rPr>
          <w:i/>
        </w:rPr>
        <w:t>R v QX</w:t>
      </w:r>
      <w:r w:rsidRPr="00880275">
        <w:rPr>
          <w:i/>
          <w:iCs/>
        </w:rPr>
        <w:t xml:space="preserve"> (No 2) </w:t>
      </w:r>
      <w:r w:rsidRPr="00880275">
        <w:t>[2021] ACTSC 244. It affirmed, referring in part to UK jurisprudence on the right to a fair trial, that a fair trial involves a ‘triangulation of interests’, taking into account the position of the accused, the victim and his or her family, and the public.</w:t>
      </w:r>
      <w:r w:rsidRPr="00880275">
        <w:rPr>
          <w:rStyle w:val="FootnoteReference"/>
        </w:rPr>
        <w:footnoteReference w:id="130"/>
      </w:r>
      <w:r w:rsidRPr="00880275">
        <w:t xml:space="preserve"> It also acknowledged the close relationship between the right to a fair hearing and the right to equality, noting that particular rules and practices to support vulnerable victims or witnesses can ensure that they are treated fairly. The </w:t>
      </w:r>
      <w:r w:rsidR="00FE1BF2" w:rsidRPr="00880275">
        <w:t>c</w:t>
      </w:r>
      <w:r w:rsidRPr="00880275">
        <w:t>ourt confirmed that the appointment of an intermediary, in and of itself, does not engage an accused’s right to a fair hearing or their right to examine witnesses on the same terms as the prosecution.</w:t>
      </w:r>
    </w:p>
    <w:p w14:paraId="34D72846" w14:textId="5529F7C5" w:rsidR="00380275" w:rsidRPr="00880275" w:rsidRDefault="00380275" w:rsidP="00754FAE">
      <w:pPr>
        <w:pStyle w:val="Numberedparagraph"/>
      </w:pPr>
      <w:r w:rsidRPr="00880275">
        <w:t>This jurisprudence, and in particular the recognition of a triangulation of interests in criminal trials between the accused, a victim and their family, and the public, is already relevant to interpretation of the scope of the right to a fair hearing, and any justified limitations on it, as currently expressed in the Queensland Human Rights Act.</w:t>
      </w:r>
      <w:r w:rsidRPr="00880275">
        <w:rPr>
          <w:rStyle w:val="FootnoteReference"/>
        </w:rPr>
        <w:footnoteReference w:id="131"/>
      </w:r>
      <w:r w:rsidRPr="00880275">
        <w:t xml:space="preserve"> However, the Independent Reviewer </w:t>
      </w:r>
      <w:r w:rsidR="00B85F89" w:rsidRPr="00880275">
        <w:t>could</w:t>
      </w:r>
      <w:r w:rsidRPr="00880275">
        <w:t xml:space="preserve"> consider whether there is benefit in making the interests of victims and their families and the public more explicit by a</w:t>
      </w:r>
      <w:r w:rsidR="72F2F385" w:rsidRPr="00880275">
        <w:t>n</w:t>
      </w:r>
      <w:r w:rsidR="002A21EA" w:rsidRPr="00880275">
        <w:t xml:space="preserve"> </w:t>
      </w:r>
      <w:r w:rsidRPr="00880275">
        <w:t xml:space="preserve">amendment to the wording of the right to a fair hearing as it relates to criminal trials (similar to that in section 21 of the </w:t>
      </w:r>
      <w:r w:rsidRPr="00880275">
        <w:rPr>
          <w:i/>
          <w:iCs/>
        </w:rPr>
        <w:t xml:space="preserve">Human Rights Act 2004 </w:t>
      </w:r>
      <w:r w:rsidRPr="00880275">
        <w:t>(ACT)).</w:t>
      </w:r>
    </w:p>
    <w:p w14:paraId="3D30E7E3" w14:textId="355A84C4" w:rsidR="00380275" w:rsidRPr="00880275" w:rsidRDefault="00380275" w:rsidP="00754FAE">
      <w:pPr>
        <w:pStyle w:val="Numberedparagraph"/>
      </w:pPr>
      <w:r w:rsidRPr="00880275">
        <w:t xml:space="preserve">Alternatively, </w:t>
      </w:r>
      <w:r w:rsidR="00C902C1" w:rsidRPr="00880275">
        <w:t>the Independent Reviewer may consider</w:t>
      </w:r>
      <w:r w:rsidR="001F27CF" w:rsidRPr="00880275">
        <w:t xml:space="preserve"> recommending</w:t>
      </w:r>
      <w:r w:rsidR="00C902C1" w:rsidRPr="00880275">
        <w:t xml:space="preserve"> inclusion of </w:t>
      </w:r>
      <w:r w:rsidR="00C8053A" w:rsidRPr="00880275">
        <w:t>certain specific minimum guarantees for victims</w:t>
      </w:r>
      <w:r w:rsidR="0088786A" w:rsidRPr="00880275">
        <w:t xml:space="preserve"> in the Human Rights Act</w:t>
      </w:r>
      <w:r w:rsidR="00C8053A" w:rsidRPr="00880275">
        <w:t>.</w:t>
      </w:r>
      <w:r w:rsidR="00C902C1" w:rsidRPr="00880275">
        <w:t xml:space="preserve"> </w:t>
      </w:r>
      <w:r w:rsidR="0088786A" w:rsidRPr="00880275">
        <w:t>For example</w:t>
      </w:r>
      <w:r w:rsidRPr="00880275">
        <w:t xml:space="preserve">, the Victorian Law Reform Commission’s 2016 Report </w:t>
      </w:r>
      <w:r w:rsidRPr="00880275">
        <w:lastRenderedPageBreak/>
        <w:t xml:space="preserve">on the Role of Victims of Crime in the Criminal Trial Process recommended that the Victorian </w:t>
      </w:r>
      <w:r w:rsidRPr="00880275">
        <w:rPr>
          <w:i/>
        </w:rPr>
        <w:t xml:space="preserve">Charter of Human Rights and Responsibilities </w:t>
      </w:r>
      <w:r w:rsidRPr="00880275">
        <w:rPr>
          <w:i/>
          <w:iCs/>
        </w:rPr>
        <w:t>Act 2006</w:t>
      </w:r>
      <w:r w:rsidRPr="00880275">
        <w:t xml:space="preserve"> be amended to include a right for a victim of a criminal offence to have minimum guarantees including to be acknowledged as a participant with an interest in the proceedings, to be treated with respect at all times and to be protected from unnecessary trauma, intimidation and distress when giving evidence.</w:t>
      </w:r>
      <w:r w:rsidRPr="00880275">
        <w:rPr>
          <w:rStyle w:val="FootnoteReference"/>
        </w:rPr>
        <w:footnoteReference w:id="132"/>
      </w:r>
      <w:r w:rsidRPr="00880275">
        <w:t xml:space="preserve"> This may be a more straightforward and easily understood way to recognise and uphold the interests that victims have in criminal proceedings.  </w:t>
      </w:r>
    </w:p>
    <w:p w14:paraId="7C6CB08F" w14:textId="1B16C42C" w:rsidR="008E152E" w:rsidRPr="00880275" w:rsidRDefault="008E152E" w:rsidP="00754FAE">
      <w:pPr>
        <w:pStyle w:val="Heading5"/>
      </w:pPr>
      <w:r w:rsidRPr="00880275">
        <w:t>Recommendation 4.</w:t>
      </w:r>
      <w:r w:rsidR="00F106BC" w:rsidRPr="00880275">
        <w:t>2</w:t>
      </w:r>
    </w:p>
    <w:p w14:paraId="79B56824" w14:textId="1ADC86BD" w:rsidR="008E152E" w:rsidRPr="00880275" w:rsidRDefault="006639BF" w:rsidP="00754FAE">
      <w:pPr>
        <w:pStyle w:val="Heading5"/>
      </w:pPr>
      <w:r w:rsidRPr="00880275">
        <w:t xml:space="preserve">The Human Rights Act </w:t>
      </w:r>
      <w:r w:rsidR="004D0D45" w:rsidRPr="00880275">
        <w:t>c</w:t>
      </w:r>
      <w:r w:rsidRPr="00880275">
        <w:t xml:space="preserve">ould be amended to more explicitly </w:t>
      </w:r>
      <w:proofErr w:type="spellStart"/>
      <w:r w:rsidRPr="00880275">
        <w:t>recognise</w:t>
      </w:r>
      <w:proofErr w:type="spellEnd"/>
      <w:r w:rsidRPr="00880275">
        <w:t xml:space="preserve"> victim and public interest rights in criminal trials, for example</w:t>
      </w:r>
      <w:r w:rsidR="00F472E3" w:rsidRPr="00880275">
        <w:t xml:space="preserve"> by</w:t>
      </w:r>
      <w:r w:rsidRPr="00880275">
        <w:t>:</w:t>
      </w:r>
    </w:p>
    <w:p w14:paraId="2C604B11" w14:textId="1084CEC8" w:rsidR="006639BF" w:rsidRPr="00880275" w:rsidRDefault="006639BF" w:rsidP="00754FAE">
      <w:pPr>
        <w:pStyle w:val="Heading5"/>
        <w:numPr>
          <w:ilvl w:val="0"/>
          <w:numId w:val="11"/>
        </w:numPr>
      </w:pPr>
      <w:r w:rsidRPr="00880275">
        <w:t xml:space="preserve">amending section </w:t>
      </w:r>
      <w:r w:rsidR="00132E05" w:rsidRPr="00880275">
        <w:t>31</w:t>
      </w:r>
      <w:r w:rsidR="00505614" w:rsidRPr="00880275">
        <w:t>(1)</w:t>
      </w:r>
      <w:r w:rsidR="00132E05" w:rsidRPr="00880275">
        <w:t xml:space="preserve"> of the Human Rights Act </w:t>
      </w:r>
      <w:r w:rsidR="00AD09C3" w:rsidRPr="00880275">
        <w:t xml:space="preserve">to </w:t>
      </w:r>
      <w:proofErr w:type="spellStart"/>
      <w:r w:rsidR="00AD09C3" w:rsidRPr="00880275">
        <w:t>recognise</w:t>
      </w:r>
      <w:proofErr w:type="spellEnd"/>
      <w:r w:rsidR="00AD09C3" w:rsidRPr="00880275">
        <w:t xml:space="preserve"> that ‘everyone</w:t>
      </w:r>
      <w:r w:rsidR="00514738" w:rsidRPr="00880275">
        <w:t xml:space="preserve">’ has rights to a fair </w:t>
      </w:r>
      <w:r w:rsidR="006D6EA6" w:rsidRPr="00880275">
        <w:t>hearing</w:t>
      </w:r>
      <w:r w:rsidR="00514738" w:rsidRPr="00880275">
        <w:t xml:space="preserve"> in criminal proceedings</w:t>
      </w:r>
    </w:p>
    <w:p w14:paraId="398659C7" w14:textId="1E0039A3" w:rsidR="004418EC" w:rsidRPr="00880275" w:rsidRDefault="006D6EA6" w:rsidP="00754FAE">
      <w:pPr>
        <w:pStyle w:val="Heading5"/>
        <w:numPr>
          <w:ilvl w:val="0"/>
          <w:numId w:val="11"/>
        </w:numPr>
      </w:pPr>
      <w:r w:rsidRPr="00880275">
        <w:t>inclu</w:t>
      </w:r>
      <w:r w:rsidR="00D8675C" w:rsidRPr="00880275">
        <w:t>ding a</w:t>
      </w:r>
      <w:r w:rsidRPr="00880275">
        <w:t xml:space="preserve"> right for a victim of a criminal offence to have certain specific minimum guarantees, including</w:t>
      </w:r>
      <w:r w:rsidR="00D8675C" w:rsidRPr="00880275">
        <w:t>:</w:t>
      </w:r>
      <w:r w:rsidRPr="00880275">
        <w:t xml:space="preserve"> to be acknowledged as a participant with an interest in the proceedings</w:t>
      </w:r>
      <w:r w:rsidR="003158DC" w:rsidRPr="00880275">
        <w:t>;</w:t>
      </w:r>
      <w:r w:rsidRPr="00880275">
        <w:t xml:space="preserve"> to be </w:t>
      </w:r>
      <w:proofErr w:type="gramStart"/>
      <w:r w:rsidRPr="00880275">
        <w:t>treated with respect at all times</w:t>
      </w:r>
      <w:proofErr w:type="gramEnd"/>
      <w:r w:rsidR="00D8675C" w:rsidRPr="00880275">
        <w:t>;</w:t>
      </w:r>
      <w:r w:rsidRPr="00880275">
        <w:t xml:space="preserve"> and to be protected from unnecessary trauma, intimidation</w:t>
      </w:r>
      <w:r w:rsidR="00D8675C" w:rsidRPr="00880275">
        <w:t>,</w:t>
      </w:r>
      <w:r w:rsidRPr="00880275">
        <w:t xml:space="preserve"> and distress when giving evidence.</w:t>
      </w:r>
    </w:p>
    <w:sectPr w:rsidR="004418EC" w:rsidRPr="00880275" w:rsidSect="00CB0BBF">
      <w:headerReference w:type="default" r:id="rId16"/>
      <w:headerReference w:type="first" r:id="rId17"/>
      <w:footerReference w:type="first" r:id="rId18"/>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812ED" w14:textId="77777777" w:rsidR="00537A21" w:rsidRDefault="00537A21" w:rsidP="0034134D">
      <w:r>
        <w:separator/>
      </w:r>
    </w:p>
  </w:endnote>
  <w:endnote w:type="continuationSeparator" w:id="0">
    <w:p w14:paraId="2BBDAEA2" w14:textId="77777777" w:rsidR="00537A21" w:rsidRDefault="00537A21" w:rsidP="0034134D">
      <w:r>
        <w:continuationSeparator/>
      </w:r>
    </w:p>
  </w:endnote>
  <w:endnote w:type="continuationNotice" w:id="1">
    <w:p w14:paraId="29526951" w14:textId="77777777" w:rsidR="00537A21" w:rsidRDefault="00537A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65BD6" w14:textId="7777777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6CE808B5" wp14:editId="1CA2FCDF">
          <wp:extent cx="5463606" cy="480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5517B">
      <w:rPr>
        <w:rFonts w:cs="Arial"/>
        <w:noProof/>
        <w:color w:val="404040" w:themeColor="text1" w:themeTint="BF"/>
        <w:sz w:val="16"/>
        <w:szCs w:val="20"/>
      </w:rPr>
      <w:t>3</w:t>
    </w:r>
    <w:r w:rsidR="006D0CD6" w:rsidRPr="00260847">
      <w:rPr>
        <w:rFonts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42944CE0" w14:paraId="08BF3601" w14:textId="77777777" w:rsidTr="42944CE0">
      <w:trPr>
        <w:trHeight w:val="300"/>
      </w:trPr>
      <w:tc>
        <w:tcPr>
          <w:tcW w:w="2765" w:type="dxa"/>
        </w:tcPr>
        <w:p w14:paraId="387F9EB7" w14:textId="1A93DC55" w:rsidR="42944CE0" w:rsidRDefault="42944CE0" w:rsidP="42944CE0">
          <w:pPr>
            <w:pStyle w:val="Header"/>
            <w:ind w:left="-115"/>
          </w:pPr>
        </w:p>
      </w:tc>
      <w:tc>
        <w:tcPr>
          <w:tcW w:w="2765" w:type="dxa"/>
        </w:tcPr>
        <w:p w14:paraId="676390F2" w14:textId="375ED8AA" w:rsidR="42944CE0" w:rsidRDefault="42944CE0" w:rsidP="42944CE0">
          <w:pPr>
            <w:pStyle w:val="Header"/>
            <w:jc w:val="center"/>
          </w:pPr>
        </w:p>
      </w:tc>
      <w:tc>
        <w:tcPr>
          <w:tcW w:w="2765" w:type="dxa"/>
        </w:tcPr>
        <w:p w14:paraId="417FD533" w14:textId="06980651" w:rsidR="42944CE0" w:rsidRDefault="42944CE0" w:rsidP="42944CE0">
          <w:pPr>
            <w:pStyle w:val="Header"/>
            <w:ind w:right="-115"/>
            <w:jc w:val="right"/>
          </w:pPr>
        </w:p>
      </w:tc>
    </w:tr>
  </w:tbl>
  <w:p w14:paraId="6CBEC197" w14:textId="6E480647" w:rsidR="00CD291F" w:rsidRDefault="00CD2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8BA29" w14:textId="77777777" w:rsidR="007C510E" w:rsidRDefault="007C510E" w:rsidP="000731D3">
    <w:pPr>
      <w:pStyle w:val="Footer"/>
      <w:pBdr>
        <w:top w:val="single" w:sz="4" w:space="1" w:color="auto"/>
      </w:pBdr>
      <w:jc w:val="right"/>
      <w:rPr>
        <w:rFonts w:cs="Arial"/>
        <w:sz w:val="20"/>
        <w:szCs w:val="20"/>
      </w:rPr>
    </w:pPr>
  </w:p>
  <w:p w14:paraId="6AEAA017" w14:textId="77777777" w:rsidR="007C510E" w:rsidRPr="004A2375" w:rsidRDefault="007C510E" w:rsidP="00E7746A">
    <w:pPr>
      <w:pStyle w:val="Footer"/>
      <w:tabs>
        <w:tab w:val="left" w:pos="1905"/>
        <w:tab w:val="right" w:pos="8498"/>
      </w:tabs>
      <w:rPr>
        <w:rFonts w:cs="Arial"/>
        <w:sz w:val="20"/>
        <w:szCs w:val="20"/>
      </w:rPr>
    </w:pPr>
    <w:r>
      <w:rPr>
        <w:rFonts w:cs="Arial"/>
        <w:sz w:val="20"/>
        <w:szCs w:val="20"/>
      </w:rPr>
      <w:tab/>
    </w:r>
    <w:r>
      <w:rPr>
        <w:rFonts w:cs="Arial"/>
        <w:sz w:val="20"/>
        <w:szCs w:val="20"/>
      </w:rPr>
      <w:tab/>
    </w:r>
    <w:r>
      <w:rPr>
        <w:rFonts w:cs="Arial"/>
        <w:sz w:val="20"/>
        <w:szCs w:val="20"/>
      </w:rPr>
      <w:tab/>
    </w:r>
    <w:r w:rsidRPr="004A2375">
      <w:rPr>
        <w:rFonts w:cs="Arial"/>
        <w:sz w:val="20"/>
        <w:szCs w:val="20"/>
      </w:rPr>
      <w:t xml:space="preserve">Page | </w:t>
    </w:r>
    <w:r w:rsidRPr="004A2375">
      <w:rPr>
        <w:rFonts w:cs="Arial"/>
        <w:sz w:val="20"/>
        <w:szCs w:val="20"/>
      </w:rPr>
      <w:fldChar w:fldCharType="begin"/>
    </w:r>
    <w:r w:rsidRPr="004A2375">
      <w:rPr>
        <w:rFonts w:cs="Arial"/>
        <w:sz w:val="20"/>
        <w:szCs w:val="20"/>
      </w:rPr>
      <w:instrText xml:space="preserve"> PAGE   \* MERGEFORMAT </w:instrText>
    </w:r>
    <w:r w:rsidRPr="004A2375">
      <w:rPr>
        <w:rFonts w:cs="Arial"/>
        <w:sz w:val="20"/>
        <w:szCs w:val="20"/>
      </w:rPr>
      <w:fldChar w:fldCharType="separate"/>
    </w:r>
    <w:r w:rsidR="00CB0BBF">
      <w:rPr>
        <w:rFonts w:cs="Arial"/>
        <w:noProof/>
        <w:sz w:val="20"/>
        <w:szCs w:val="20"/>
      </w:rPr>
      <w:t>3</w:t>
    </w:r>
    <w:r w:rsidRPr="004A2375">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AE6DF" w14:textId="77777777" w:rsidR="00537A21" w:rsidRDefault="00537A21" w:rsidP="0034134D">
      <w:r>
        <w:separator/>
      </w:r>
    </w:p>
  </w:footnote>
  <w:footnote w:type="continuationSeparator" w:id="0">
    <w:p w14:paraId="6DADE2BE" w14:textId="77777777" w:rsidR="00537A21" w:rsidRDefault="00537A21" w:rsidP="0034134D">
      <w:r>
        <w:continuationSeparator/>
      </w:r>
    </w:p>
  </w:footnote>
  <w:footnote w:type="continuationNotice" w:id="1">
    <w:p w14:paraId="3AE79C21" w14:textId="77777777" w:rsidR="00537A21" w:rsidRDefault="00537A21">
      <w:pPr>
        <w:spacing w:after="0"/>
      </w:pPr>
    </w:p>
  </w:footnote>
  <w:footnote w:id="2">
    <w:p w14:paraId="6122A02B" w14:textId="0236B1DA" w:rsidR="00643524" w:rsidRPr="00643524" w:rsidRDefault="00643524">
      <w:pPr>
        <w:pStyle w:val="FootnoteText"/>
        <w:rPr>
          <w:lang w:val="en-GB"/>
        </w:rPr>
      </w:pPr>
      <w:r>
        <w:rPr>
          <w:rStyle w:val="FootnoteReference"/>
        </w:rPr>
        <w:footnoteRef/>
      </w:r>
      <w:r>
        <w:t xml:space="preserve"> </w:t>
      </w:r>
      <w:r w:rsidR="00607E11">
        <w:rPr>
          <w:lang w:val="en-GB"/>
        </w:rPr>
        <w:t>Explanatory Notes</w:t>
      </w:r>
      <w:r w:rsidR="002C540C">
        <w:rPr>
          <w:lang w:val="en-GB"/>
        </w:rPr>
        <w:t>,</w:t>
      </w:r>
      <w:r w:rsidR="00607E11">
        <w:rPr>
          <w:lang w:val="en-GB"/>
        </w:rPr>
        <w:t xml:space="preserve"> </w:t>
      </w:r>
      <w:r w:rsidR="00607E11">
        <w:t xml:space="preserve">Human Rights Bill 2018 </w:t>
      </w:r>
      <w:r w:rsidR="00B8425C">
        <w:t>(</w:t>
      </w:r>
      <w:r w:rsidR="00FA51A0">
        <w:t xml:space="preserve">Qld) </w:t>
      </w:r>
      <w:r>
        <w:rPr>
          <w:lang w:val="en-GB"/>
        </w:rPr>
        <w:t>7.</w:t>
      </w:r>
    </w:p>
  </w:footnote>
  <w:footnote w:id="3">
    <w:p w14:paraId="44720624" w14:textId="556EB52F" w:rsidR="00AA2965" w:rsidRPr="00C864CC" w:rsidRDefault="00AA2965" w:rsidP="00AA2965">
      <w:pPr>
        <w:rPr>
          <w:sz w:val="20"/>
          <w:szCs w:val="20"/>
        </w:rPr>
      </w:pPr>
      <w:r w:rsidRPr="00C864CC">
        <w:rPr>
          <w:sz w:val="20"/>
          <w:szCs w:val="20"/>
          <w:vertAlign w:val="superscript"/>
        </w:rPr>
        <w:footnoteRef/>
      </w:r>
      <w:r w:rsidRPr="00C864CC">
        <w:rPr>
          <w:sz w:val="20"/>
          <w:szCs w:val="20"/>
        </w:rPr>
        <w:t xml:space="preserve"> </w:t>
      </w:r>
      <w:r w:rsidR="00D1068B" w:rsidRPr="001E39EC">
        <w:rPr>
          <w:i/>
          <w:sz w:val="20"/>
          <w:szCs w:val="20"/>
        </w:rPr>
        <w:t>Terms of Refer</w:t>
      </w:r>
      <w:r w:rsidR="00A97180" w:rsidRPr="001E39EC">
        <w:rPr>
          <w:i/>
          <w:sz w:val="20"/>
          <w:szCs w:val="20"/>
        </w:rPr>
        <w:t xml:space="preserve">ence: First Independent </w:t>
      </w:r>
      <w:r w:rsidR="00BA7487" w:rsidRPr="001E39EC">
        <w:rPr>
          <w:i/>
          <w:sz w:val="20"/>
          <w:szCs w:val="20"/>
        </w:rPr>
        <w:t>Review of the Human Rights Act 2019 (Qld)</w:t>
      </w:r>
      <w:r w:rsidR="004A0E4E">
        <w:rPr>
          <w:sz w:val="20"/>
          <w:szCs w:val="20"/>
        </w:rPr>
        <w:t xml:space="preserve"> </w:t>
      </w:r>
      <w:r w:rsidR="002D6E1E">
        <w:rPr>
          <w:sz w:val="20"/>
          <w:szCs w:val="20"/>
        </w:rPr>
        <w:t>(</w:t>
      </w:r>
      <w:r w:rsidR="00946D64">
        <w:rPr>
          <w:sz w:val="20"/>
          <w:szCs w:val="20"/>
        </w:rPr>
        <w:t>8 April 2024</w:t>
      </w:r>
      <w:r w:rsidR="002D6E1E">
        <w:rPr>
          <w:sz w:val="20"/>
          <w:szCs w:val="20"/>
        </w:rPr>
        <w:t>)</w:t>
      </w:r>
      <w:r w:rsidR="00946D64">
        <w:rPr>
          <w:sz w:val="20"/>
          <w:szCs w:val="20"/>
        </w:rPr>
        <w:t xml:space="preserve"> </w:t>
      </w:r>
      <w:r w:rsidRPr="001E39EC">
        <w:rPr>
          <w:sz w:val="20"/>
          <w:szCs w:val="20"/>
        </w:rPr>
        <w:t>7</w:t>
      </w:r>
      <w:r w:rsidR="00B04F9F">
        <w:rPr>
          <w:sz w:val="20"/>
          <w:szCs w:val="20"/>
        </w:rPr>
        <w:t>.</w:t>
      </w:r>
    </w:p>
  </w:footnote>
  <w:footnote w:id="4">
    <w:p w14:paraId="41D7CD1E" w14:textId="3C6B2813" w:rsidR="00784AB5" w:rsidRPr="00784AB5" w:rsidRDefault="00784AB5">
      <w:pPr>
        <w:pStyle w:val="FootnoteText"/>
        <w:rPr>
          <w:lang w:val="en-GB"/>
        </w:rPr>
      </w:pPr>
      <w:r>
        <w:rPr>
          <w:rStyle w:val="FootnoteReference"/>
        </w:rPr>
        <w:footnoteRef/>
      </w:r>
      <w:r>
        <w:t xml:space="preserve"> </w:t>
      </w:r>
      <w:r w:rsidR="009E04D7" w:rsidRPr="009E04D7">
        <w:rPr>
          <w:i/>
          <w:iCs/>
          <w:lang w:val="en-GB"/>
        </w:rPr>
        <w:t>Human Rights Act 2019</w:t>
      </w:r>
      <w:r w:rsidR="00E15C23">
        <w:rPr>
          <w:lang w:val="en-GB"/>
        </w:rPr>
        <w:t xml:space="preserve"> (Qld) s 91</w:t>
      </w:r>
      <w:r w:rsidR="009E04D7">
        <w:rPr>
          <w:lang w:val="en-GB"/>
        </w:rPr>
        <w:t>.</w:t>
      </w:r>
      <w:r w:rsidR="001B5A3C">
        <w:rPr>
          <w:lang w:val="en-GB"/>
        </w:rPr>
        <w:t xml:space="preserve"> This is separate to </w:t>
      </w:r>
      <w:r w:rsidR="00316D64">
        <w:rPr>
          <w:lang w:val="en-GB"/>
        </w:rPr>
        <w:t xml:space="preserve">the annual report required under the </w:t>
      </w:r>
      <w:r w:rsidR="00316D64" w:rsidRPr="00316D64">
        <w:rPr>
          <w:i/>
          <w:iCs/>
          <w:lang w:val="en-GB"/>
        </w:rPr>
        <w:t>Financial Accountability Act 2009</w:t>
      </w:r>
      <w:r w:rsidR="00281815">
        <w:rPr>
          <w:lang w:val="en-GB"/>
        </w:rPr>
        <w:t xml:space="preserve"> (Qld)</w:t>
      </w:r>
      <w:r w:rsidR="00316D64">
        <w:rPr>
          <w:lang w:val="en-GB"/>
        </w:rPr>
        <w:t xml:space="preserve">. </w:t>
      </w:r>
    </w:p>
  </w:footnote>
  <w:footnote w:id="5">
    <w:p w14:paraId="28CA5384" w14:textId="2CAEA7DA" w:rsidR="005C560E" w:rsidRDefault="005C560E" w:rsidP="005C560E">
      <w:pPr>
        <w:pStyle w:val="FootnoteText"/>
        <w:rPr>
          <w:lang w:val="en-US"/>
        </w:rPr>
      </w:pPr>
      <w:r>
        <w:rPr>
          <w:rStyle w:val="FootnoteReference"/>
        </w:rPr>
        <w:footnoteRef/>
      </w:r>
      <w:r>
        <w:t xml:space="preserve"> </w:t>
      </w:r>
      <w:r w:rsidR="002D53DD">
        <w:t xml:space="preserve">Queensland Human Rights Commission, ‘Human Rights Act annual reports’, </w:t>
      </w:r>
      <w:r w:rsidR="002D53DD" w:rsidRPr="009A4908">
        <w:rPr>
          <w:i/>
        </w:rPr>
        <w:t>Reports</w:t>
      </w:r>
      <w:r w:rsidR="002D53DD">
        <w:t xml:space="preserve"> (Web Page, 30 November 2023) &lt;</w:t>
      </w:r>
      <w:r>
        <w:rPr>
          <w:lang w:val="en-US"/>
        </w:rPr>
        <w:t>https://www.qhrc.qld.gov.au/resources/reports</w:t>
      </w:r>
      <w:r w:rsidR="002D53DD">
        <w:rPr>
          <w:lang w:val="en-US"/>
        </w:rPr>
        <w:t>&gt;</w:t>
      </w:r>
      <w:r>
        <w:rPr>
          <w:lang w:val="en-US"/>
        </w:rPr>
        <w:t>.</w:t>
      </w:r>
    </w:p>
  </w:footnote>
  <w:footnote w:id="6">
    <w:p w14:paraId="078FAED3" w14:textId="5634505F" w:rsidR="00AB7C34" w:rsidRPr="00AB7C34" w:rsidRDefault="00AB7C34">
      <w:pPr>
        <w:pStyle w:val="FootnoteText"/>
        <w:rPr>
          <w:lang w:val="en-GB"/>
        </w:rPr>
      </w:pPr>
      <w:r>
        <w:rPr>
          <w:rStyle w:val="FootnoteReference"/>
        </w:rPr>
        <w:footnoteRef/>
      </w:r>
      <w:r>
        <w:t xml:space="preserve"> </w:t>
      </w:r>
      <w:r w:rsidR="00395489">
        <w:t xml:space="preserve">Queensland Government, </w:t>
      </w:r>
      <w:r w:rsidRPr="009A4908">
        <w:rPr>
          <w:i/>
        </w:rPr>
        <w:t xml:space="preserve">Working for Queensland </w:t>
      </w:r>
      <w:r w:rsidRPr="00F0476A">
        <w:t>survey</w:t>
      </w:r>
      <w:r w:rsidR="00F0476A" w:rsidRPr="00F0476A">
        <w:t xml:space="preserve"> </w:t>
      </w:r>
      <w:r w:rsidR="00F0476A" w:rsidRPr="009A4908">
        <w:t>(</w:t>
      </w:r>
      <w:r w:rsidR="00F0476A" w:rsidRPr="00F0476A">
        <w:t>Highlights Report – Queensland public sector</w:t>
      </w:r>
      <w:r w:rsidR="00F0476A">
        <w:t>,</w:t>
      </w:r>
      <w:r>
        <w:t xml:space="preserve"> 2021</w:t>
      </w:r>
      <w:r w:rsidR="00F0476A">
        <w:t xml:space="preserve">, 15). </w:t>
      </w:r>
    </w:p>
  </w:footnote>
  <w:footnote w:id="7">
    <w:p w14:paraId="2F7A133D" w14:textId="42E62BB3" w:rsidR="00AB7C34" w:rsidRPr="00AB7C34" w:rsidRDefault="00AB7C34">
      <w:pPr>
        <w:pStyle w:val="FootnoteText"/>
        <w:rPr>
          <w:lang w:val="en-GB"/>
        </w:rPr>
      </w:pPr>
      <w:r>
        <w:rPr>
          <w:rStyle w:val="FootnoteReference"/>
        </w:rPr>
        <w:footnoteRef/>
      </w:r>
      <w:r>
        <w:t xml:space="preserve"> </w:t>
      </w:r>
      <w:r w:rsidR="00F0476A">
        <w:t xml:space="preserve">Queensland Government, </w:t>
      </w:r>
      <w:r w:rsidR="00F0476A" w:rsidRPr="00B0362A">
        <w:rPr>
          <w:i/>
          <w:iCs/>
        </w:rPr>
        <w:t xml:space="preserve">Working for Queensland </w:t>
      </w:r>
      <w:r w:rsidR="00F0476A" w:rsidRPr="00F0476A">
        <w:t xml:space="preserve">survey </w:t>
      </w:r>
      <w:r w:rsidR="00F0476A" w:rsidRPr="00B0362A">
        <w:t>(</w:t>
      </w:r>
      <w:r w:rsidR="00F0476A" w:rsidRPr="00F0476A">
        <w:t>Highlights Report – Queensland public sector</w:t>
      </w:r>
      <w:r w:rsidR="00F0476A">
        <w:t xml:space="preserve">, 2022, 7). </w:t>
      </w:r>
    </w:p>
  </w:footnote>
  <w:footnote w:id="8">
    <w:p w14:paraId="14C9CC4F" w14:textId="13274C05" w:rsidR="00AB7C34" w:rsidRPr="00AB7C34" w:rsidRDefault="00AB7C34">
      <w:pPr>
        <w:pStyle w:val="FootnoteText"/>
        <w:rPr>
          <w:lang w:val="en-GB"/>
        </w:rPr>
      </w:pPr>
      <w:r>
        <w:rPr>
          <w:rStyle w:val="FootnoteReference"/>
        </w:rPr>
        <w:footnoteRef/>
      </w:r>
      <w:r>
        <w:t xml:space="preserve"> </w:t>
      </w:r>
      <w:r w:rsidR="00F0476A">
        <w:t xml:space="preserve">Queensland Government, </w:t>
      </w:r>
      <w:r w:rsidR="00F0476A" w:rsidRPr="00B0362A">
        <w:rPr>
          <w:i/>
          <w:iCs/>
        </w:rPr>
        <w:t xml:space="preserve">Working for Queensland </w:t>
      </w:r>
      <w:r w:rsidR="00F0476A" w:rsidRPr="00F0476A">
        <w:t xml:space="preserve">survey </w:t>
      </w:r>
      <w:r w:rsidR="00F0476A" w:rsidRPr="00B0362A">
        <w:t>(</w:t>
      </w:r>
      <w:r w:rsidR="00F0476A" w:rsidRPr="00F0476A">
        <w:t>Highlights Report – Queensland public sector</w:t>
      </w:r>
      <w:r w:rsidR="00F0476A">
        <w:t xml:space="preserve">, 2023, 7). </w:t>
      </w:r>
    </w:p>
  </w:footnote>
  <w:footnote w:id="9">
    <w:p w14:paraId="379D3842" w14:textId="38658DDB" w:rsidR="008F08D9" w:rsidRPr="008F08D9" w:rsidRDefault="008F08D9">
      <w:pPr>
        <w:pStyle w:val="FootnoteText"/>
        <w:rPr>
          <w:lang w:val="en-GB"/>
        </w:rPr>
      </w:pPr>
      <w:r>
        <w:rPr>
          <w:rStyle w:val="FootnoteReference"/>
        </w:rPr>
        <w:footnoteRef/>
      </w:r>
      <w:r>
        <w:t xml:space="preserve"> </w:t>
      </w:r>
      <w:r>
        <w:rPr>
          <w:lang w:val="en-GB"/>
        </w:rPr>
        <w:t xml:space="preserve">Taken from Queensland Human Rights Commission, </w:t>
      </w:r>
      <w:r w:rsidRPr="008F08D9">
        <w:rPr>
          <w:i/>
          <w:iCs/>
          <w:lang w:val="en-GB"/>
        </w:rPr>
        <w:t>Annual Report 20</w:t>
      </w:r>
      <w:r>
        <w:rPr>
          <w:i/>
          <w:iCs/>
          <w:lang w:val="en-GB"/>
        </w:rPr>
        <w:t xml:space="preserve">18-19, </w:t>
      </w:r>
      <w:r w:rsidRPr="008F08D9">
        <w:rPr>
          <w:i/>
          <w:iCs/>
          <w:lang w:val="en-GB"/>
        </w:rPr>
        <w:t>Annual Report 20</w:t>
      </w:r>
      <w:r>
        <w:rPr>
          <w:i/>
          <w:iCs/>
          <w:lang w:val="en-GB"/>
        </w:rPr>
        <w:t>19-20</w:t>
      </w:r>
      <w:r>
        <w:rPr>
          <w:lang w:val="en-GB"/>
        </w:rPr>
        <w:t xml:space="preserve">, </w:t>
      </w:r>
      <w:r w:rsidRPr="008F08D9">
        <w:rPr>
          <w:i/>
          <w:iCs/>
          <w:lang w:val="en-GB"/>
        </w:rPr>
        <w:t>Annual Report 20</w:t>
      </w:r>
      <w:r>
        <w:rPr>
          <w:i/>
          <w:iCs/>
          <w:lang w:val="en-GB"/>
        </w:rPr>
        <w:t xml:space="preserve">20-21, </w:t>
      </w:r>
      <w:r w:rsidRPr="008F08D9">
        <w:rPr>
          <w:i/>
          <w:iCs/>
          <w:lang w:val="en-GB"/>
        </w:rPr>
        <w:t>Annual Report 20</w:t>
      </w:r>
      <w:r>
        <w:rPr>
          <w:i/>
          <w:iCs/>
          <w:lang w:val="en-GB"/>
        </w:rPr>
        <w:t xml:space="preserve">21-2022, </w:t>
      </w:r>
      <w:r w:rsidRPr="008F08D9">
        <w:rPr>
          <w:i/>
          <w:iCs/>
          <w:lang w:val="en-GB"/>
        </w:rPr>
        <w:t>Annual Report 20</w:t>
      </w:r>
      <w:r>
        <w:rPr>
          <w:i/>
          <w:iCs/>
          <w:lang w:val="en-GB"/>
        </w:rPr>
        <w:t xml:space="preserve">22-23. </w:t>
      </w:r>
      <w:r>
        <w:rPr>
          <w:lang w:val="en-GB"/>
        </w:rPr>
        <w:t xml:space="preserve"> </w:t>
      </w:r>
    </w:p>
  </w:footnote>
  <w:footnote w:id="10">
    <w:p w14:paraId="44774A67" w14:textId="5F76FD1F" w:rsidR="00185479" w:rsidRPr="00C864CC" w:rsidRDefault="00185479">
      <w:pPr>
        <w:pStyle w:val="FootnoteText"/>
        <w:rPr>
          <w:lang w:val="en-US"/>
        </w:rPr>
      </w:pPr>
      <w:r>
        <w:rPr>
          <w:rStyle w:val="FootnoteReference"/>
        </w:rPr>
        <w:footnoteRef/>
      </w:r>
      <w:r>
        <w:t xml:space="preserve"> </w:t>
      </w:r>
      <w:r>
        <w:rPr>
          <w:lang w:val="en-US"/>
        </w:rPr>
        <w:t xml:space="preserve">Queensland Human Rights Commission, </w:t>
      </w:r>
      <w:r w:rsidRPr="00C864CC">
        <w:rPr>
          <w:i/>
          <w:lang w:val="en-US"/>
        </w:rPr>
        <w:t>Progress and Pitfalls</w:t>
      </w:r>
      <w:r>
        <w:rPr>
          <w:lang w:val="en-US"/>
        </w:rPr>
        <w:t xml:space="preserve"> (Fourth annual </w:t>
      </w:r>
      <w:r w:rsidR="002F2E0A">
        <w:rPr>
          <w:lang w:val="en-US"/>
        </w:rPr>
        <w:t>r</w:t>
      </w:r>
      <w:r>
        <w:rPr>
          <w:lang w:val="en-US"/>
        </w:rPr>
        <w:t xml:space="preserve">eport on the operation of Queensland’s </w:t>
      </w:r>
      <w:r w:rsidRPr="00C864CC">
        <w:rPr>
          <w:i/>
          <w:lang w:val="en-US"/>
        </w:rPr>
        <w:t>Human Rights Act 2019</w:t>
      </w:r>
      <w:r>
        <w:rPr>
          <w:lang w:val="en-US"/>
        </w:rPr>
        <w:t>,</w:t>
      </w:r>
      <w:r w:rsidR="002F2E0A">
        <w:rPr>
          <w:lang w:val="en-US"/>
        </w:rPr>
        <w:t xml:space="preserve"> 2022–23, 2023).</w:t>
      </w:r>
      <w:r>
        <w:rPr>
          <w:lang w:val="en-US"/>
        </w:rPr>
        <w:t xml:space="preserve"> </w:t>
      </w:r>
    </w:p>
  </w:footnote>
  <w:footnote w:id="11">
    <w:p w14:paraId="2D061CC6" w14:textId="37968570" w:rsidR="00AC278F" w:rsidRPr="00AC278F" w:rsidRDefault="00AC278F">
      <w:pPr>
        <w:pStyle w:val="FootnoteText"/>
        <w:rPr>
          <w:lang w:val="en-GB"/>
        </w:rPr>
      </w:pPr>
      <w:r>
        <w:rPr>
          <w:rStyle w:val="FootnoteReference"/>
        </w:rPr>
        <w:footnoteRef/>
      </w:r>
      <w:r>
        <w:t xml:space="preserve"> </w:t>
      </w:r>
      <w:r w:rsidR="00E80C9A" w:rsidRPr="00E80C9A">
        <w:rPr>
          <w:i/>
          <w:iCs/>
        </w:rPr>
        <w:t>Human Rights Act 2019</w:t>
      </w:r>
      <w:r w:rsidR="00E80C9A">
        <w:t xml:space="preserve"> (Qld) </w:t>
      </w:r>
      <w:r w:rsidR="00E80C9A">
        <w:rPr>
          <w:lang w:val="en-GB"/>
        </w:rPr>
        <w:t>s 92.</w:t>
      </w:r>
    </w:p>
  </w:footnote>
  <w:footnote w:id="12">
    <w:p w14:paraId="282770E2" w14:textId="77777777" w:rsidR="0044781C" w:rsidRDefault="0044781C" w:rsidP="0044781C">
      <w:pPr>
        <w:pStyle w:val="FootnoteText"/>
        <w:rPr>
          <w:rFonts w:eastAsiaTheme="minorHAnsi"/>
        </w:rPr>
      </w:pPr>
      <w:r>
        <w:rPr>
          <w:rStyle w:val="FootnoteReference"/>
        </w:rPr>
        <w:footnoteRef/>
      </w:r>
      <w:r>
        <w:t xml:space="preserve"> Tamara Walsh, ‘Social Housing, Homelessness and Human Rights’ (2022) 45(2) </w:t>
      </w:r>
      <w:r>
        <w:rPr>
          <w:i/>
        </w:rPr>
        <w:t>UNSW Law Journal</w:t>
      </w:r>
      <w:r>
        <w:t xml:space="preserve"> 688.</w:t>
      </w:r>
    </w:p>
  </w:footnote>
  <w:footnote w:id="13">
    <w:p w14:paraId="1233EAE6" w14:textId="0A913CD7" w:rsidR="00BF5A4E" w:rsidRPr="00BF5A4E" w:rsidRDefault="00BF5A4E">
      <w:pPr>
        <w:pStyle w:val="FootnoteText"/>
        <w:rPr>
          <w:lang w:val="en-GB"/>
        </w:rPr>
      </w:pPr>
      <w:r>
        <w:rPr>
          <w:rStyle w:val="FootnoteReference"/>
        </w:rPr>
        <w:footnoteRef/>
      </w:r>
      <w:r>
        <w:t xml:space="preserve"> </w:t>
      </w:r>
      <w:r w:rsidR="00F10197">
        <w:t>See for example,</w:t>
      </w:r>
      <w:r>
        <w:t xml:space="preserve"> </w:t>
      </w:r>
      <w:r w:rsidR="009E4CD8">
        <w:t xml:space="preserve">Queensland Human Rights Commission, </w:t>
      </w:r>
      <w:r w:rsidR="007100EE" w:rsidRPr="000A6314">
        <w:rPr>
          <w:i/>
        </w:rPr>
        <w:t>Shifting the focus</w:t>
      </w:r>
      <w:r w:rsidR="007100EE">
        <w:t xml:space="preserve"> </w:t>
      </w:r>
      <w:r w:rsidR="007100EE">
        <w:rPr>
          <w:lang w:val="en-US"/>
        </w:rPr>
        <w:t>(</w:t>
      </w:r>
      <w:r w:rsidR="00372781">
        <w:rPr>
          <w:lang w:val="en-US"/>
        </w:rPr>
        <w:t>Third</w:t>
      </w:r>
      <w:r w:rsidR="007100EE">
        <w:rPr>
          <w:lang w:val="en-US"/>
        </w:rPr>
        <w:t xml:space="preserve"> annual report on the operation of Queensland’s </w:t>
      </w:r>
      <w:r w:rsidR="007100EE" w:rsidRPr="00B0362A">
        <w:rPr>
          <w:i/>
          <w:iCs/>
          <w:lang w:val="en-US"/>
        </w:rPr>
        <w:t>Human Rights Act 2019</w:t>
      </w:r>
      <w:r w:rsidR="007100EE">
        <w:rPr>
          <w:lang w:val="en-US"/>
        </w:rPr>
        <w:t>, 202</w:t>
      </w:r>
      <w:r w:rsidR="00372781">
        <w:rPr>
          <w:lang w:val="en-US"/>
        </w:rPr>
        <w:t>1</w:t>
      </w:r>
      <w:r w:rsidR="007100EE">
        <w:rPr>
          <w:lang w:val="en-US"/>
        </w:rPr>
        <w:t>–2</w:t>
      </w:r>
      <w:r w:rsidR="00372781">
        <w:rPr>
          <w:lang w:val="en-US"/>
        </w:rPr>
        <w:t>2</w:t>
      </w:r>
      <w:r w:rsidR="007100EE">
        <w:rPr>
          <w:lang w:val="en-US"/>
        </w:rPr>
        <w:t>, 202</w:t>
      </w:r>
      <w:r w:rsidR="00372781">
        <w:rPr>
          <w:lang w:val="en-US"/>
        </w:rPr>
        <w:t>2</w:t>
      </w:r>
      <w:r w:rsidR="007100EE">
        <w:rPr>
          <w:lang w:val="en-US"/>
        </w:rPr>
        <w:t>)</w:t>
      </w:r>
      <w:r w:rsidR="009E4CD8">
        <w:t xml:space="preserve"> </w:t>
      </w:r>
      <w:r w:rsidR="00EE3340">
        <w:rPr>
          <w:lang w:val="en-GB"/>
        </w:rPr>
        <w:t>104-105</w:t>
      </w:r>
      <w:r w:rsidR="009E4CD8">
        <w:rPr>
          <w:lang w:val="en-GB"/>
        </w:rPr>
        <w:t>.</w:t>
      </w:r>
    </w:p>
  </w:footnote>
  <w:footnote w:id="14">
    <w:p w14:paraId="0C224FD1" w14:textId="77777777" w:rsidR="0044781C" w:rsidRDefault="0044781C" w:rsidP="0044781C">
      <w:pPr>
        <w:pStyle w:val="FootnoteText"/>
      </w:pPr>
      <w:r>
        <w:rPr>
          <w:rStyle w:val="FootnoteReference"/>
        </w:rPr>
        <w:footnoteRef/>
      </w:r>
      <w:r>
        <w:t xml:space="preserve"> Tamara Walsh, ‘Social Housing, Homelessness and Human Rights’ (2022) 45(2) </w:t>
      </w:r>
      <w:r>
        <w:rPr>
          <w:i/>
          <w:iCs/>
        </w:rPr>
        <w:t>UNSW Law Journal</w:t>
      </w:r>
      <w:r>
        <w:t xml:space="preserve"> 709.</w:t>
      </w:r>
    </w:p>
  </w:footnote>
  <w:footnote w:id="15">
    <w:p w14:paraId="61A5D02B" w14:textId="77777777" w:rsidR="005D3C5A" w:rsidRDefault="005D3C5A" w:rsidP="005D3C5A">
      <w:pPr>
        <w:pStyle w:val="FootnoteText"/>
        <w:rPr>
          <w:sz w:val="16"/>
          <w:szCs w:val="20"/>
          <w:lang w:val="en-GB"/>
        </w:rPr>
      </w:pPr>
      <w:r>
        <w:rPr>
          <w:rStyle w:val="FootnoteReference"/>
        </w:rPr>
        <w:footnoteRef/>
      </w:r>
      <w:r>
        <w:t xml:space="preserve"> </w:t>
      </w:r>
      <w:r>
        <w:rPr>
          <w:lang w:val="en-GB"/>
        </w:rPr>
        <w:t xml:space="preserve">Queensland Council of Social Service, </w:t>
      </w:r>
      <w:r>
        <w:rPr>
          <w:i/>
          <w:lang w:val="en-GB"/>
        </w:rPr>
        <w:t xml:space="preserve">Annual report – Being in </w:t>
      </w:r>
      <w:r>
        <w:rPr>
          <w:i/>
          <w:iCs/>
          <w:lang w:val="en-GB"/>
        </w:rPr>
        <w:t>service</w:t>
      </w:r>
      <w:r>
        <w:rPr>
          <w:lang w:val="en-GB"/>
        </w:rPr>
        <w:t xml:space="preserve"> (2022-23). </w:t>
      </w:r>
    </w:p>
  </w:footnote>
  <w:footnote w:id="16">
    <w:p w14:paraId="11424D65" w14:textId="77777777" w:rsidR="00CA6360" w:rsidRPr="008F08D9" w:rsidRDefault="00CA6360" w:rsidP="00CA6360">
      <w:pPr>
        <w:pStyle w:val="FootnoteText"/>
        <w:rPr>
          <w:lang w:val="en-GB"/>
        </w:rPr>
      </w:pPr>
      <w:r>
        <w:rPr>
          <w:rStyle w:val="FootnoteReference"/>
        </w:rPr>
        <w:footnoteRef/>
      </w:r>
      <w:r>
        <w:t xml:space="preserve"> </w:t>
      </w:r>
      <w:r>
        <w:rPr>
          <w:lang w:val="en-GB"/>
        </w:rPr>
        <w:t xml:space="preserve">Taken from Queensland Human Rights Commission, </w:t>
      </w:r>
      <w:r w:rsidRPr="008F08D9">
        <w:rPr>
          <w:i/>
          <w:iCs/>
          <w:lang w:val="en-GB"/>
        </w:rPr>
        <w:t>Annual Report 20</w:t>
      </w:r>
      <w:r>
        <w:rPr>
          <w:i/>
          <w:iCs/>
          <w:lang w:val="en-GB"/>
        </w:rPr>
        <w:t xml:space="preserve">18-19, </w:t>
      </w:r>
      <w:r w:rsidRPr="008F08D9">
        <w:rPr>
          <w:i/>
          <w:iCs/>
          <w:lang w:val="en-GB"/>
        </w:rPr>
        <w:t>Annual Report 20</w:t>
      </w:r>
      <w:r>
        <w:rPr>
          <w:i/>
          <w:iCs/>
          <w:lang w:val="en-GB"/>
        </w:rPr>
        <w:t>19-20</w:t>
      </w:r>
      <w:r>
        <w:rPr>
          <w:lang w:val="en-GB"/>
        </w:rPr>
        <w:t xml:space="preserve">, </w:t>
      </w:r>
      <w:r w:rsidRPr="008F08D9">
        <w:rPr>
          <w:i/>
          <w:iCs/>
          <w:lang w:val="en-GB"/>
        </w:rPr>
        <w:t>Annual Report 20</w:t>
      </w:r>
      <w:r>
        <w:rPr>
          <w:i/>
          <w:iCs/>
          <w:lang w:val="en-GB"/>
        </w:rPr>
        <w:t xml:space="preserve">20-21, </w:t>
      </w:r>
      <w:r w:rsidRPr="008F08D9">
        <w:rPr>
          <w:i/>
          <w:iCs/>
          <w:lang w:val="en-GB"/>
        </w:rPr>
        <w:t>Annual Report 20</w:t>
      </w:r>
      <w:r>
        <w:rPr>
          <w:i/>
          <w:iCs/>
          <w:lang w:val="en-GB"/>
        </w:rPr>
        <w:t xml:space="preserve">21-2022, </w:t>
      </w:r>
      <w:r w:rsidRPr="008F08D9">
        <w:rPr>
          <w:i/>
          <w:iCs/>
          <w:lang w:val="en-GB"/>
        </w:rPr>
        <w:t>Annual Report 20</w:t>
      </w:r>
      <w:r>
        <w:rPr>
          <w:i/>
          <w:iCs/>
          <w:lang w:val="en-GB"/>
        </w:rPr>
        <w:t xml:space="preserve">22-23. </w:t>
      </w:r>
      <w:r>
        <w:rPr>
          <w:lang w:val="en-GB"/>
        </w:rPr>
        <w:t xml:space="preserve"> </w:t>
      </w:r>
    </w:p>
  </w:footnote>
  <w:footnote w:id="17">
    <w:p w14:paraId="48DE64F4" w14:textId="759DC143" w:rsidR="00A50D9E" w:rsidRPr="00A84AF0" w:rsidRDefault="00A50D9E">
      <w:pPr>
        <w:pStyle w:val="FootnoteText"/>
        <w:rPr>
          <w:lang w:val="en-GB"/>
        </w:rPr>
      </w:pPr>
      <w:r>
        <w:rPr>
          <w:rStyle w:val="FootnoteReference"/>
        </w:rPr>
        <w:footnoteRef/>
      </w:r>
      <w:r>
        <w:t xml:space="preserve"> </w:t>
      </w:r>
      <w:r>
        <w:rPr>
          <w:lang w:val="en-GB"/>
        </w:rPr>
        <w:t xml:space="preserve">Identified by modules that have ‘Human Rights Act’ in the title. </w:t>
      </w:r>
      <w:r w:rsidR="000B5A84">
        <w:rPr>
          <w:lang w:val="en-GB"/>
        </w:rPr>
        <w:t xml:space="preserve">These are delivered to </w:t>
      </w:r>
      <w:r w:rsidR="00D34CD9">
        <w:rPr>
          <w:lang w:val="en-GB"/>
        </w:rPr>
        <w:t xml:space="preserve">the </w:t>
      </w:r>
      <w:r w:rsidR="000B5A84">
        <w:rPr>
          <w:lang w:val="en-GB"/>
        </w:rPr>
        <w:t>public</w:t>
      </w:r>
      <w:r w:rsidR="007E18D8">
        <w:rPr>
          <w:lang w:val="en-GB"/>
        </w:rPr>
        <w:t xml:space="preserve"> </w:t>
      </w:r>
      <w:r w:rsidR="00D34CD9">
        <w:rPr>
          <w:lang w:val="en-GB"/>
        </w:rPr>
        <w:t xml:space="preserve">sector, not for profits and </w:t>
      </w:r>
      <w:r w:rsidR="007E18D8">
        <w:rPr>
          <w:lang w:val="en-GB"/>
        </w:rPr>
        <w:t xml:space="preserve">human rights advocates. </w:t>
      </w:r>
      <w:r>
        <w:rPr>
          <w:lang w:val="en-GB"/>
        </w:rPr>
        <w:t xml:space="preserve"> Other sessions, such as tailored training, may include Human Rights Act content.</w:t>
      </w:r>
    </w:p>
  </w:footnote>
  <w:footnote w:id="18">
    <w:p w14:paraId="3934926B" w14:textId="22FE66C5" w:rsidR="00A50D9E" w:rsidRPr="008F08D9" w:rsidRDefault="00A50D9E" w:rsidP="00A50D9E">
      <w:pPr>
        <w:pStyle w:val="FootnoteText"/>
        <w:rPr>
          <w:lang w:val="en-GB"/>
        </w:rPr>
      </w:pPr>
      <w:r>
        <w:rPr>
          <w:rStyle w:val="FootnoteReference"/>
        </w:rPr>
        <w:footnoteRef/>
      </w:r>
      <w:r>
        <w:t xml:space="preserve"> </w:t>
      </w:r>
      <w:r>
        <w:rPr>
          <w:lang w:val="en-GB"/>
        </w:rPr>
        <w:t xml:space="preserve">Taken from Queensland Human Rights Commission, </w:t>
      </w:r>
      <w:r w:rsidRPr="008F08D9">
        <w:rPr>
          <w:i/>
          <w:iCs/>
          <w:lang w:val="en-GB"/>
        </w:rPr>
        <w:t>Annual Report 20</w:t>
      </w:r>
      <w:r>
        <w:rPr>
          <w:i/>
          <w:iCs/>
          <w:lang w:val="en-GB"/>
        </w:rPr>
        <w:t>19-20</w:t>
      </w:r>
      <w:r>
        <w:rPr>
          <w:lang w:val="en-GB"/>
        </w:rPr>
        <w:t xml:space="preserve">, </w:t>
      </w:r>
      <w:r w:rsidRPr="008F08D9">
        <w:rPr>
          <w:i/>
          <w:iCs/>
          <w:lang w:val="en-GB"/>
        </w:rPr>
        <w:t>Annual Report 20</w:t>
      </w:r>
      <w:r>
        <w:rPr>
          <w:i/>
          <w:iCs/>
          <w:lang w:val="en-GB"/>
        </w:rPr>
        <w:t xml:space="preserve">20-21, </w:t>
      </w:r>
      <w:r w:rsidRPr="008F08D9">
        <w:rPr>
          <w:i/>
          <w:iCs/>
          <w:lang w:val="en-GB"/>
        </w:rPr>
        <w:t>Annual Report 20</w:t>
      </w:r>
      <w:r>
        <w:rPr>
          <w:i/>
          <w:iCs/>
          <w:lang w:val="en-GB"/>
        </w:rPr>
        <w:t xml:space="preserve">21-2022, </w:t>
      </w:r>
      <w:r w:rsidRPr="008F08D9">
        <w:rPr>
          <w:i/>
          <w:iCs/>
          <w:lang w:val="en-GB"/>
        </w:rPr>
        <w:t>Annual Report 20</w:t>
      </w:r>
      <w:r>
        <w:rPr>
          <w:i/>
          <w:iCs/>
          <w:lang w:val="en-GB"/>
        </w:rPr>
        <w:t xml:space="preserve">22-23. </w:t>
      </w:r>
      <w:r>
        <w:rPr>
          <w:lang w:val="en-GB"/>
        </w:rPr>
        <w:t xml:space="preserve"> </w:t>
      </w:r>
    </w:p>
  </w:footnote>
  <w:footnote w:id="19">
    <w:p w14:paraId="0C299C6D" w14:textId="77777777" w:rsidR="00E367F2" w:rsidRPr="009850A0" w:rsidRDefault="00E367F2" w:rsidP="00E367F2">
      <w:pPr>
        <w:pStyle w:val="FootnoteText"/>
        <w:rPr>
          <w:lang w:val="en-GB"/>
        </w:rPr>
      </w:pPr>
      <w:r>
        <w:rPr>
          <w:rStyle w:val="FootnoteReference"/>
        </w:rPr>
        <w:footnoteRef/>
      </w:r>
      <w:r>
        <w:t xml:space="preserve"> Queensland Human Rights Commission, </w:t>
      </w:r>
      <w:r w:rsidRPr="009850A0">
        <w:rPr>
          <w:i/>
          <w:iCs/>
          <w:lang w:val="en-GB"/>
        </w:rPr>
        <w:t>Annual report 2019-20</w:t>
      </w:r>
      <w:r>
        <w:rPr>
          <w:lang w:val="en-GB"/>
        </w:rPr>
        <w:t xml:space="preserve"> 16-17.</w:t>
      </w:r>
    </w:p>
  </w:footnote>
  <w:footnote w:id="20">
    <w:p w14:paraId="3362C70F" w14:textId="77777777" w:rsidR="00E367F2" w:rsidRPr="00FD37E8" w:rsidRDefault="00E367F2" w:rsidP="00E367F2">
      <w:pPr>
        <w:pStyle w:val="FootnoteText"/>
        <w:rPr>
          <w:lang w:val="en-GB"/>
        </w:rPr>
      </w:pPr>
      <w:r>
        <w:rPr>
          <w:rStyle w:val="FootnoteReference"/>
        </w:rPr>
        <w:footnoteRef/>
      </w:r>
      <w:r>
        <w:t xml:space="preserve"> Queensland Human Rights Commission, </w:t>
      </w:r>
      <w:r w:rsidRPr="009850A0">
        <w:rPr>
          <w:i/>
          <w:iCs/>
          <w:lang w:val="en-GB"/>
        </w:rPr>
        <w:t>Annual report 20</w:t>
      </w:r>
      <w:r>
        <w:rPr>
          <w:i/>
          <w:iCs/>
          <w:lang w:val="en-GB"/>
        </w:rPr>
        <w:t>20</w:t>
      </w:r>
      <w:r w:rsidRPr="009850A0">
        <w:rPr>
          <w:i/>
          <w:iCs/>
          <w:lang w:val="en-GB"/>
        </w:rPr>
        <w:t>-2</w:t>
      </w:r>
      <w:r>
        <w:rPr>
          <w:i/>
          <w:iCs/>
          <w:lang w:val="en-GB"/>
        </w:rPr>
        <w:t>1</w:t>
      </w:r>
      <w:r>
        <w:rPr>
          <w:lang w:val="en-GB"/>
        </w:rPr>
        <w:t xml:space="preserve"> 17.</w:t>
      </w:r>
    </w:p>
  </w:footnote>
  <w:footnote w:id="21">
    <w:p w14:paraId="2B1FB0BF" w14:textId="576333E4" w:rsidR="00644481" w:rsidRPr="00644481" w:rsidRDefault="00644481">
      <w:pPr>
        <w:pStyle w:val="FootnoteText"/>
        <w:rPr>
          <w:lang w:val="en-GB"/>
        </w:rPr>
      </w:pPr>
      <w:r>
        <w:rPr>
          <w:rStyle w:val="FootnoteReference"/>
        </w:rPr>
        <w:footnoteRef/>
      </w:r>
      <w:r>
        <w:t xml:space="preserve"> Queensland Human Rights Commission, </w:t>
      </w:r>
      <w:r w:rsidRPr="009850A0">
        <w:rPr>
          <w:i/>
          <w:iCs/>
          <w:lang w:val="en-GB"/>
        </w:rPr>
        <w:t>Annual report 20</w:t>
      </w:r>
      <w:r>
        <w:rPr>
          <w:i/>
          <w:iCs/>
          <w:lang w:val="en-GB"/>
        </w:rPr>
        <w:t>21</w:t>
      </w:r>
      <w:r w:rsidRPr="009850A0">
        <w:rPr>
          <w:i/>
          <w:iCs/>
          <w:lang w:val="en-GB"/>
        </w:rPr>
        <w:t>-2</w:t>
      </w:r>
      <w:r>
        <w:rPr>
          <w:i/>
          <w:iCs/>
          <w:lang w:val="en-GB"/>
        </w:rPr>
        <w:t>2</w:t>
      </w:r>
      <w:r>
        <w:rPr>
          <w:lang w:val="en-GB"/>
        </w:rPr>
        <w:t xml:space="preserve"> </w:t>
      </w:r>
      <w:r w:rsidR="004C3D02">
        <w:rPr>
          <w:lang w:val="en-GB"/>
        </w:rPr>
        <w:t>50</w:t>
      </w:r>
      <w:r>
        <w:rPr>
          <w:lang w:val="en-GB"/>
        </w:rPr>
        <w:t>.</w:t>
      </w:r>
    </w:p>
  </w:footnote>
  <w:footnote w:id="22">
    <w:p w14:paraId="06B4206D" w14:textId="60B4032C" w:rsidR="004176A9" w:rsidRPr="004176A9" w:rsidRDefault="004176A9">
      <w:pPr>
        <w:pStyle w:val="FootnoteText"/>
        <w:rPr>
          <w:lang w:val="en-GB"/>
        </w:rPr>
      </w:pPr>
      <w:r>
        <w:rPr>
          <w:rStyle w:val="FootnoteReference"/>
        </w:rPr>
        <w:footnoteRef/>
      </w:r>
      <w:r>
        <w:t xml:space="preserve"> Queensland Human Rights Commission, </w:t>
      </w:r>
      <w:r w:rsidRPr="009850A0">
        <w:rPr>
          <w:i/>
          <w:iCs/>
          <w:lang w:val="en-GB"/>
        </w:rPr>
        <w:t>Annual report 20</w:t>
      </w:r>
      <w:r>
        <w:rPr>
          <w:i/>
          <w:iCs/>
          <w:lang w:val="en-GB"/>
        </w:rPr>
        <w:t>22</w:t>
      </w:r>
      <w:r w:rsidRPr="009850A0">
        <w:rPr>
          <w:i/>
          <w:iCs/>
          <w:lang w:val="en-GB"/>
        </w:rPr>
        <w:t>-2</w:t>
      </w:r>
      <w:r>
        <w:rPr>
          <w:i/>
          <w:iCs/>
          <w:lang w:val="en-GB"/>
        </w:rPr>
        <w:t>3</w:t>
      </w:r>
      <w:r>
        <w:rPr>
          <w:lang w:val="en-GB"/>
        </w:rPr>
        <w:t xml:space="preserve"> </w:t>
      </w:r>
      <w:r w:rsidR="003A7772">
        <w:rPr>
          <w:lang w:val="en-GB"/>
        </w:rPr>
        <w:t>54-55</w:t>
      </w:r>
      <w:r>
        <w:rPr>
          <w:lang w:val="en-GB"/>
        </w:rPr>
        <w:t>.</w:t>
      </w:r>
    </w:p>
  </w:footnote>
  <w:footnote w:id="23">
    <w:p w14:paraId="25DDE50F" w14:textId="2D1CE7BC" w:rsidR="00343D7B" w:rsidRPr="00343D7B" w:rsidRDefault="00343D7B">
      <w:pPr>
        <w:pStyle w:val="FootnoteText"/>
        <w:rPr>
          <w:lang w:val="en-GB"/>
        </w:rPr>
      </w:pPr>
      <w:r>
        <w:rPr>
          <w:rStyle w:val="FootnoteReference"/>
        </w:rPr>
        <w:footnoteRef/>
      </w:r>
      <w:r>
        <w:t xml:space="preserve"> </w:t>
      </w:r>
      <w:r>
        <w:rPr>
          <w:lang w:val="en-US"/>
        </w:rPr>
        <w:t>Queensland Human Rights Commission, ‘Human rights and discrimination: a guide for our mob’ (Web Page, 29 April 2024) &lt;</w:t>
      </w:r>
      <w:r w:rsidRPr="00A27D60">
        <w:t xml:space="preserve"> </w:t>
      </w:r>
      <w:r w:rsidRPr="00A27D60">
        <w:rPr>
          <w:lang w:val="en-US"/>
        </w:rPr>
        <w:t>https://www.qhrc.qld.gov.au/your-rights/for-aboriginal-and-torres-strait-islander-people/a-guide-for-our-mob</w:t>
      </w:r>
      <w:r>
        <w:rPr>
          <w:lang w:val="en-US"/>
        </w:rPr>
        <w:t>&gt;.</w:t>
      </w:r>
    </w:p>
  </w:footnote>
  <w:footnote w:id="24">
    <w:p w14:paraId="32F67687" w14:textId="4E1B67D9" w:rsidR="00504E7F" w:rsidRPr="00C864CC" w:rsidRDefault="00504E7F">
      <w:pPr>
        <w:pStyle w:val="FootnoteText"/>
        <w:rPr>
          <w:lang w:val="en-US"/>
        </w:rPr>
      </w:pPr>
      <w:r>
        <w:rPr>
          <w:rStyle w:val="FootnoteReference"/>
        </w:rPr>
        <w:footnoteRef/>
      </w:r>
      <w:r>
        <w:t xml:space="preserve"> </w:t>
      </w:r>
      <w:r w:rsidR="000E654B">
        <w:rPr>
          <w:lang w:val="en-US"/>
        </w:rPr>
        <w:t>Queensland Human Rights Commission</w:t>
      </w:r>
      <w:r w:rsidR="0021076A">
        <w:rPr>
          <w:lang w:val="en-US"/>
        </w:rPr>
        <w:t xml:space="preserve">, </w:t>
      </w:r>
      <w:r w:rsidR="00205F36" w:rsidRPr="00C864CC">
        <w:rPr>
          <w:i/>
          <w:iCs/>
          <w:lang w:val="en-US"/>
        </w:rPr>
        <w:t>Human rights in prison</w:t>
      </w:r>
      <w:r w:rsidR="003D5607">
        <w:rPr>
          <w:lang w:val="en-US"/>
        </w:rPr>
        <w:t xml:space="preserve"> (Web Page</w:t>
      </w:r>
      <w:r w:rsidR="007B799F">
        <w:rPr>
          <w:lang w:val="en-US"/>
        </w:rPr>
        <w:t xml:space="preserve">, </w:t>
      </w:r>
      <w:r w:rsidR="00BA730C">
        <w:rPr>
          <w:lang w:val="en-US"/>
        </w:rPr>
        <w:t xml:space="preserve">2 April </w:t>
      </w:r>
      <w:r w:rsidR="006E5AF9">
        <w:rPr>
          <w:lang w:val="en-US"/>
        </w:rPr>
        <w:t>2020</w:t>
      </w:r>
      <w:r w:rsidR="003D5607">
        <w:rPr>
          <w:lang w:val="en-US"/>
        </w:rPr>
        <w:t>)</w:t>
      </w:r>
      <w:r w:rsidR="000E654B">
        <w:rPr>
          <w:lang w:val="en-US"/>
        </w:rPr>
        <w:t xml:space="preserve"> </w:t>
      </w:r>
      <w:r w:rsidR="00F765F0">
        <w:rPr>
          <w:lang w:val="en-US"/>
        </w:rPr>
        <w:t>&lt;</w:t>
      </w:r>
      <w:r w:rsidR="006D1DBF" w:rsidRPr="006D1DBF">
        <w:t xml:space="preserve"> </w:t>
      </w:r>
      <w:r w:rsidR="006D1DBF" w:rsidRPr="006D1DBF">
        <w:rPr>
          <w:lang w:val="en-US"/>
        </w:rPr>
        <w:t>https://www.qhrc.qld.gov.au/your-rights/prison-or-detention/guide-to-human-rights-and-discrimination-for-people-in-prison</w:t>
      </w:r>
      <w:r w:rsidR="006D1DBF">
        <w:rPr>
          <w:lang w:val="en-US"/>
        </w:rPr>
        <w:t>&gt;.</w:t>
      </w:r>
    </w:p>
  </w:footnote>
  <w:footnote w:id="25">
    <w:p w14:paraId="4682DC57" w14:textId="74A9C20D" w:rsidR="00B162ED" w:rsidRPr="00C864CC" w:rsidRDefault="00B162ED">
      <w:pPr>
        <w:pStyle w:val="FootnoteText"/>
        <w:rPr>
          <w:lang w:val="en-US"/>
        </w:rPr>
      </w:pPr>
      <w:r>
        <w:rPr>
          <w:rStyle w:val="FootnoteReference"/>
        </w:rPr>
        <w:footnoteRef/>
      </w:r>
      <w:r>
        <w:t xml:space="preserve"> </w:t>
      </w:r>
      <w:r>
        <w:rPr>
          <w:lang w:val="en-US"/>
        </w:rPr>
        <w:t>Queensland Human Rights Commission,</w:t>
      </w:r>
      <w:r w:rsidR="008C643B">
        <w:rPr>
          <w:lang w:val="en-US"/>
        </w:rPr>
        <w:t xml:space="preserve"> </w:t>
      </w:r>
      <w:r w:rsidR="008C643B" w:rsidRPr="00C864CC">
        <w:rPr>
          <w:i/>
          <w:iCs/>
          <w:lang w:val="en-US"/>
        </w:rPr>
        <w:t>Hu</w:t>
      </w:r>
      <w:r w:rsidR="00123581" w:rsidRPr="00C864CC">
        <w:rPr>
          <w:i/>
          <w:iCs/>
          <w:lang w:val="en-US"/>
        </w:rPr>
        <w:t>m</w:t>
      </w:r>
      <w:r w:rsidR="008C643B" w:rsidRPr="00C864CC">
        <w:rPr>
          <w:i/>
          <w:iCs/>
          <w:lang w:val="en-US"/>
        </w:rPr>
        <w:t>a</w:t>
      </w:r>
      <w:r w:rsidR="00123581" w:rsidRPr="00C864CC">
        <w:rPr>
          <w:i/>
          <w:iCs/>
          <w:lang w:val="en-US"/>
        </w:rPr>
        <w:t>n</w:t>
      </w:r>
      <w:r w:rsidR="008C643B" w:rsidRPr="00C864CC">
        <w:rPr>
          <w:i/>
          <w:iCs/>
          <w:lang w:val="en-US"/>
        </w:rPr>
        <w:t xml:space="preserve"> rights in youth detention</w:t>
      </w:r>
      <w:r w:rsidR="0028790E">
        <w:rPr>
          <w:lang w:val="en-US"/>
        </w:rPr>
        <w:t xml:space="preserve"> (Web </w:t>
      </w:r>
      <w:r w:rsidR="0039777D">
        <w:rPr>
          <w:lang w:val="en-US"/>
        </w:rPr>
        <w:t>P</w:t>
      </w:r>
      <w:r w:rsidR="0028790E">
        <w:rPr>
          <w:lang w:val="en-US"/>
        </w:rPr>
        <w:t xml:space="preserve">age, </w:t>
      </w:r>
      <w:r w:rsidR="00123581">
        <w:rPr>
          <w:lang w:val="en-US"/>
        </w:rPr>
        <w:t>19 January 2021) &lt;</w:t>
      </w:r>
      <w:r w:rsidR="00357F6C" w:rsidRPr="00357F6C">
        <w:t xml:space="preserve"> </w:t>
      </w:r>
      <w:r w:rsidR="00357F6C" w:rsidRPr="00357F6C">
        <w:rPr>
          <w:lang w:val="en-US"/>
        </w:rPr>
        <w:t>https://www.qhrc.qld.gov.au/your-rights/prison-or-detention/human-rights-in-youth-detention</w:t>
      </w:r>
      <w:r w:rsidR="00484A6D">
        <w:rPr>
          <w:lang w:val="en-US"/>
        </w:rPr>
        <w:t>&gt;</w:t>
      </w:r>
      <w:r w:rsidR="00AA66EC">
        <w:rPr>
          <w:lang w:val="en-US"/>
        </w:rPr>
        <w:t>.</w:t>
      </w:r>
    </w:p>
  </w:footnote>
  <w:footnote w:id="26">
    <w:p w14:paraId="5E8899B3" w14:textId="77777777" w:rsidR="002C5FEE" w:rsidRPr="00C864CC" w:rsidRDefault="002C5FEE" w:rsidP="002C5FEE">
      <w:pPr>
        <w:pStyle w:val="FootnoteText"/>
        <w:rPr>
          <w:lang w:val="en-US"/>
        </w:rPr>
      </w:pPr>
      <w:r>
        <w:rPr>
          <w:rStyle w:val="FootnoteReference"/>
        </w:rPr>
        <w:footnoteRef/>
      </w:r>
      <w:r>
        <w:t xml:space="preserve"> </w:t>
      </w:r>
      <w:r>
        <w:rPr>
          <w:lang w:val="en-US"/>
        </w:rPr>
        <w:t>Queensland Human Rights Commission, For public entities (Web Page, 27 April 2022) &lt;</w:t>
      </w:r>
      <w:r w:rsidRPr="00506F1F">
        <w:t xml:space="preserve"> </w:t>
      </w:r>
      <w:r w:rsidRPr="00506F1F">
        <w:rPr>
          <w:lang w:val="en-US"/>
        </w:rPr>
        <w:t>https://www.qhrc.qld.gov.au/your-responsibilities/for-public-entities</w:t>
      </w:r>
      <w:r>
        <w:rPr>
          <w:lang w:val="en-US"/>
        </w:rPr>
        <w:t>&gt;.</w:t>
      </w:r>
    </w:p>
  </w:footnote>
  <w:footnote w:id="27">
    <w:p w14:paraId="687B61B7" w14:textId="77777777" w:rsidR="00FF5D8A" w:rsidRDefault="00FF5D8A" w:rsidP="00FF5D8A">
      <w:pPr>
        <w:pStyle w:val="FootnoteText"/>
      </w:pPr>
      <w:r>
        <w:rPr>
          <w:rStyle w:val="FootnoteReference"/>
        </w:rPr>
        <w:footnoteRef/>
      </w:r>
      <w:r>
        <w:t xml:space="preserve"> Queensland Council of Social Service, ‘Human Rights, Housing and Homelessness – About the project’ (Web page) &lt;https://www.qcoss.org.au/project/human-rights-housing-and-homelessness/&gt;.</w:t>
      </w:r>
    </w:p>
  </w:footnote>
  <w:footnote w:id="28">
    <w:p w14:paraId="41B980F7" w14:textId="77777777" w:rsidR="00F158DD" w:rsidRDefault="00F158DD" w:rsidP="00F158DD">
      <w:pPr>
        <w:pStyle w:val="FootnoteText"/>
        <w:rPr>
          <w:lang w:val="en-US"/>
        </w:rPr>
      </w:pPr>
      <w:r>
        <w:rPr>
          <w:rStyle w:val="FootnoteReference"/>
          <w:color w:val="auto"/>
        </w:rPr>
        <w:footnoteRef/>
      </w:r>
      <w:r>
        <w:rPr>
          <w:color w:val="auto"/>
        </w:rPr>
        <w:t xml:space="preserve"> Women’s Safety and </w:t>
      </w:r>
      <w:r>
        <w:t xml:space="preserve">Justice Taskforce, </w:t>
      </w:r>
      <w:r>
        <w:rPr>
          <w:i/>
          <w:iCs/>
        </w:rPr>
        <w:t>Hear Her Voice</w:t>
      </w:r>
      <w:r>
        <w:t xml:space="preserve"> (Report 2, 2022) vol 1, rec 137. </w:t>
      </w:r>
    </w:p>
  </w:footnote>
  <w:footnote w:id="29">
    <w:p w14:paraId="2D06FAAF" w14:textId="7969FAA4" w:rsidR="008D2ED1" w:rsidRPr="00934006" w:rsidRDefault="008D2ED1" w:rsidP="008D2ED1">
      <w:pPr>
        <w:pStyle w:val="FootnoteText"/>
        <w:rPr>
          <w:lang w:val="en-GB"/>
        </w:rPr>
      </w:pPr>
      <w:r>
        <w:rPr>
          <w:rStyle w:val="FootnoteReference"/>
        </w:rPr>
        <w:footnoteRef/>
      </w:r>
      <w:r>
        <w:t xml:space="preserve"> </w:t>
      </w:r>
      <w:r w:rsidRPr="00CC2F4D">
        <w:t>Parliamentary Joint Committee on Human Rights</w:t>
      </w:r>
      <w:r>
        <w:t xml:space="preserve">, Parliament of Australia, </w:t>
      </w:r>
      <w:r w:rsidRPr="0001019A">
        <w:rPr>
          <w:i/>
          <w:iCs/>
        </w:rPr>
        <w:t>Inquiry into Australia's Human Rights Framework</w:t>
      </w:r>
      <w:r w:rsidRPr="00CC2F4D">
        <w:rPr>
          <w:lang w:val="en-GB"/>
        </w:rPr>
        <w:t xml:space="preserve"> </w:t>
      </w:r>
      <w:r>
        <w:rPr>
          <w:lang w:val="en-GB"/>
        </w:rPr>
        <w:t>(Report, May 2024) xxvii, Recommendation 15</w:t>
      </w:r>
      <w:r w:rsidR="00D4171D">
        <w:rPr>
          <w:lang w:val="en-GB"/>
        </w:rPr>
        <w:t>.</w:t>
      </w:r>
    </w:p>
  </w:footnote>
  <w:footnote w:id="30">
    <w:p w14:paraId="04956A9C" w14:textId="6E623844" w:rsidR="00F158DD" w:rsidRPr="00873813" w:rsidRDefault="00F158DD" w:rsidP="00F158DD">
      <w:pPr>
        <w:pStyle w:val="FootnoteText"/>
        <w:rPr>
          <w:lang w:val="en-GB"/>
        </w:rPr>
      </w:pPr>
      <w:r>
        <w:rPr>
          <w:rStyle w:val="FootnoteReference"/>
        </w:rPr>
        <w:footnoteRef/>
      </w:r>
      <w:r>
        <w:t xml:space="preserve"> </w:t>
      </w:r>
      <w:r>
        <w:rPr>
          <w:lang w:val="en-GB"/>
        </w:rPr>
        <w:t>Section 98 is the information request power</w:t>
      </w:r>
      <w:r w:rsidR="00CC2F4D">
        <w:rPr>
          <w:lang w:val="en-GB"/>
        </w:rPr>
        <w:t>,</w:t>
      </w:r>
      <w:r>
        <w:rPr>
          <w:lang w:val="en-GB"/>
        </w:rPr>
        <w:t xml:space="preserve"> but it is only linked to the making of a report.</w:t>
      </w:r>
    </w:p>
  </w:footnote>
  <w:footnote w:id="31">
    <w:p w14:paraId="40F4350F" w14:textId="3F807318" w:rsidR="00865329" w:rsidRPr="00865329" w:rsidRDefault="00865329">
      <w:pPr>
        <w:pStyle w:val="FootnoteText"/>
        <w:rPr>
          <w:lang w:val="en-GB"/>
        </w:rPr>
      </w:pPr>
      <w:r>
        <w:rPr>
          <w:rStyle w:val="FootnoteReference"/>
        </w:rPr>
        <w:footnoteRef/>
      </w:r>
      <w:r>
        <w:t xml:space="preserve"> </w:t>
      </w:r>
      <w:r>
        <w:rPr>
          <w:lang w:val="en-GB"/>
        </w:rPr>
        <w:t>Explanatory Notes, Human Rights Bill 2018</w:t>
      </w:r>
      <w:r w:rsidR="004259F7">
        <w:rPr>
          <w:lang w:val="en-GB"/>
        </w:rPr>
        <w:t xml:space="preserve"> (Qld)</w:t>
      </w:r>
      <w:r>
        <w:rPr>
          <w:lang w:val="en-GB"/>
        </w:rPr>
        <w:t xml:space="preserve"> </w:t>
      </w:r>
      <w:r w:rsidR="00BD4903">
        <w:rPr>
          <w:lang w:val="en-GB"/>
        </w:rPr>
        <w:t>44.</w:t>
      </w:r>
    </w:p>
  </w:footnote>
  <w:footnote w:id="32">
    <w:p w14:paraId="701ED473" w14:textId="4123A545" w:rsidR="008C6B1F" w:rsidRPr="008C6B1F" w:rsidRDefault="008C6B1F">
      <w:pPr>
        <w:pStyle w:val="FootnoteText"/>
        <w:rPr>
          <w:lang w:val="en-GB"/>
        </w:rPr>
      </w:pPr>
      <w:r>
        <w:rPr>
          <w:rStyle w:val="FootnoteReference"/>
        </w:rPr>
        <w:footnoteRef/>
      </w:r>
      <w:r>
        <w:t xml:space="preserve"> </w:t>
      </w:r>
      <w:r w:rsidR="00C830A6">
        <w:rPr>
          <w:lang w:val="en-US"/>
        </w:rPr>
        <w:t>Queensland Human Rights Commission, ‘</w:t>
      </w:r>
      <w:r w:rsidR="008667B8" w:rsidRPr="008667B8">
        <w:rPr>
          <w:lang w:val="en-US"/>
        </w:rPr>
        <w:t>Reports on unresolved human</w:t>
      </w:r>
      <w:r w:rsidR="00C830A6">
        <w:rPr>
          <w:lang w:val="en-US"/>
        </w:rPr>
        <w:t xml:space="preserve"> rights </w:t>
      </w:r>
      <w:r w:rsidR="008667B8" w:rsidRPr="008667B8">
        <w:rPr>
          <w:lang w:val="en-US"/>
        </w:rPr>
        <w:t>complaints</w:t>
      </w:r>
      <w:r w:rsidR="00C830A6">
        <w:rPr>
          <w:lang w:val="en-US"/>
        </w:rPr>
        <w:t xml:space="preserve">’ (Web Page, </w:t>
      </w:r>
      <w:r w:rsidR="00510B87">
        <w:rPr>
          <w:lang w:val="en-US"/>
        </w:rPr>
        <w:t xml:space="preserve">15 </w:t>
      </w:r>
      <w:r w:rsidR="005E7F87">
        <w:rPr>
          <w:lang w:val="en-US"/>
        </w:rPr>
        <w:t>October</w:t>
      </w:r>
      <w:r w:rsidR="00C830A6">
        <w:rPr>
          <w:lang w:val="en-US"/>
        </w:rPr>
        <w:t xml:space="preserve"> 202</w:t>
      </w:r>
      <w:r w:rsidR="005E7F87">
        <w:rPr>
          <w:lang w:val="en-US"/>
        </w:rPr>
        <w:t>0</w:t>
      </w:r>
      <w:proofErr w:type="gramStart"/>
      <w:r w:rsidR="00C830A6">
        <w:rPr>
          <w:lang w:val="en-US"/>
        </w:rPr>
        <w:t>).</w:t>
      </w:r>
      <w:r w:rsidR="00AB289C">
        <w:rPr>
          <w:lang w:val="en-US"/>
        </w:rPr>
        <w:t>&lt;</w:t>
      </w:r>
      <w:proofErr w:type="gramEnd"/>
      <w:r w:rsidR="00D87AD8" w:rsidRPr="00D87AD8">
        <w:t>https://www.qhrc.qld.gov.au/resources/legal-information/reports-on-unresolved-human-rights-complaints</w:t>
      </w:r>
      <w:r w:rsidR="00AB289C">
        <w:t>&gt;</w:t>
      </w:r>
      <w:r w:rsidR="003F210F">
        <w:t>.</w:t>
      </w:r>
    </w:p>
  </w:footnote>
  <w:footnote w:id="33">
    <w:p w14:paraId="1B3213E2" w14:textId="21A439B6" w:rsidR="00525E73" w:rsidRDefault="00525E73">
      <w:pPr>
        <w:pStyle w:val="FootnoteText"/>
      </w:pPr>
      <w:r>
        <w:rPr>
          <w:rStyle w:val="FootnoteReference"/>
        </w:rPr>
        <w:footnoteRef/>
      </w:r>
      <w:r>
        <w:t xml:space="preserve"> </w:t>
      </w:r>
      <w:r w:rsidR="00DA7059" w:rsidRPr="00DA7059">
        <w:t xml:space="preserve">Ombudsman South Australia, </w:t>
      </w:r>
      <w:r w:rsidR="00DA7059" w:rsidRPr="00DA7059">
        <w:rPr>
          <w:i/>
          <w:iCs/>
        </w:rPr>
        <w:t>Annual Report 2020-2021</w:t>
      </w:r>
      <w:r w:rsidR="00DA7059" w:rsidRPr="00DA7059">
        <w:t xml:space="preserve"> (Annual report, 6 October 2021) </w:t>
      </w:r>
      <w:r w:rsidR="00E2270E">
        <w:t>30-</w:t>
      </w:r>
      <w:r w:rsidR="00DA7059" w:rsidRPr="00DA7059">
        <w:t>31.</w:t>
      </w:r>
    </w:p>
  </w:footnote>
  <w:footnote w:id="34">
    <w:p w14:paraId="44FE3D91" w14:textId="656455D5" w:rsidR="00AA47D7" w:rsidRPr="00251556" w:rsidRDefault="00AA47D7">
      <w:pPr>
        <w:pStyle w:val="FootnoteText"/>
        <w:rPr>
          <w:lang w:val="en-GB"/>
        </w:rPr>
      </w:pPr>
      <w:r w:rsidRPr="00251556">
        <w:rPr>
          <w:rStyle w:val="FootnoteReference"/>
        </w:rPr>
        <w:footnoteRef/>
      </w:r>
      <w:r w:rsidRPr="00251556">
        <w:t xml:space="preserve"> </w:t>
      </w:r>
      <w:r w:rsidRPr="00251556">
        <w:rPr>
          <w:lang w:val="en-GB"/>
        </w:rPr>
        <w:t>See for example, Terms of Reference</w:t>
      </w:r>
      <w:r>
        <w:rPr>
          <w:lang w:val="en-GB"/>
        </w:rPr>
        <w:t xml:space="preserve"> </w:t>
      </w:r>
      <w:r w:rsidR="00251556">
        <w:rPr>
          <w:rFonts w:cs="Arial"/>
          <w:lang w:val="en-GB"/>
        </w:rPr>
        <w:t>–</w:t>
      </w:r>
      <w:r w:rsidR="006522C8" w:rsidRPr="00251556">
        <w:t>Taskforce on Coercive Control and Women’s Experience in the Criminal Justice System</w:t>
      </w:r>
      <w:r w:rsidR="00E66936" w:rsidRPr="00251556">
        <w:t xml:space="preserve"> (1 April 2021)</w:t>
      </w:r>
      <w:r w:rsidR="008F7AE9" w:rsidRPr="00251556">
        <w:t>.</w:t>
      </w:r>
    </w:p>
  </w:footnote>
  <w:footnote w:id="35">
    <w:p w14:paraId="1D4C62EE" w14:textId="1543F789" w:rsidR="00C1170F" w:rsidRPr="005A5DC6" w:rsidRDefault="00C1170F">
      <w:pPr>
        <w:pStyle w:val="FootnoteText"/>
      </w:pPr>
      <w:r w:rsidRPr="00251556">
        <w:rPr>
          <w:rStyle w:val="FootnoteReference"/>
        </w:rPr>
        <w:footnoteRef/>
      </w:r>
      <w:r w:rsidRPr="00251556">
        <w:t xml:space="preserve"> </w:t>
      </w:r>
      <w:r w:rsidRPr="00251556">
        <w:rPr>
          <w:lang w:val="en-GB"/>
        </w:rPr>
        <w:t xml:space="preserve">See for example, </w:t>
      </w:r>
      <w:r w:rsidR="003D682B" w:rsidRPr="00251556">
        <w:rPr>
          <w:lang w:val="en-GB"/>
        </w:rPr>
        <w:t xml:space="preserve">Terms of Reference </w:t>
      </w:r>
      <w:r w:rsidR="00251556">
        <w:rPr>
          <w:rFonts w:cs="Arial"/>
          <w:lang w:val="en-GB"/>
        </w:rPr>
        <w:t>–</w:t>
      </w:r>
      <w:r w:rsidR="003D682B" w:rsidRPr="00251556">
        <w:rPr>
          <w:lang w:val="en-GB"/>
        </w:rPr>
        <w:t xml:space="preserve"> </w:t>
      </w:r>
      <w:r w:rsidR="000A0820" w:rsidRPr="00251556">
        <w:t xml:space="preserve">Queensland’s laws relating to the regulatory framework for the sex work industry </w:t>
      </w:r>
      <w:r w:rsidR="00DC66C3" w:rsidRPr="00251556">
        <w:t>(24 August 2021)</w:t>
      </w:r>
      <w:r w:rsidR="00F24227" w:rsidRPr="00251556">
        <w:t>;</w:t>
      </w:r>
      <w:r w:rsidRPr="00251556">
        <w:t xml:space="preserve"> </w:t>
      </w:r>
      <w:r w:rsidR="00617C59" w:rsidRPr="00251556">
        <w:t xml:space="preserve">Terms of reference - </w:t>
      </w:r>
      <w:r w:rsidR="005A5DC6" w:rsidRPr="00251556">
        <w:t>Queensland Human Rights Commission review of the Anti-Discrimination Act 1991 (Qld)</w:t>
      </w:r>
      <w:r w:rsidR="00817EA9" w:rsidRPr="00251556">
        <w:t xml:space="preserve"> (May 2021</w:t>
      </w:r>
      <w:r w:rsidR="005A5DC6" w:rsidRPr="00251556">
        <w:t>).</w:t>
      </w:r>
    </w:p>
  </w:footnote>
  <w:footnote w:id="36">
    <w:p w14:paraId="6175C755" w14:textId="60332453" w:rsidR="00366809" w:rsidRPr="00366809" w:rsidRDefault="00366809">
      <w:pPr>
        <w:pStyle w:val="FootnoteText"/>
        <w:rPr>
          <w:lang w:val="en-GB"/>
        </w:rPr>
      </w:pPr>
      <w:r>
        <w:rPr>
          <w:rStyle w:val="FootnoteReference"/>
        </w:rPr>
        <w:footnoteRef/>
      </w:r>
      <w:r>
        <w:t xml:space="preserve"> </w:t>
      </w:r>
      <w:r>
        <w:rPr>
          <w:lang w:val="en-GB"/>
        </w:rPr>
        <w:t>See</w:t>
      </w:r>
      <w:r w:rsidR="00817EA9">
        <w:rPr>
          <w:lang w:val="en-GB"/>
        </w:rPr>
        <w:t xml:space="preserve"> Queensland Human Rights Commission, </w:t>
      </w:r>
      <w:r w:rsidR="0089112C" w:rsidRPr="00C864CC">
        <w:rPr>
          <w:i/>
          <w:iCs/>
          <w:lang w:val="en-GB"/>
        </w:rPr>
        <w:t>Submissions</w:t>
      </w:r>
      <w:r w:rsidR="0089112C">
        <w:rPr>
          <w:lang w:val="en-GB"/>
        </w:rPr>
        <w:t xml:space="preserve"> (Web Page, </w:t>
      </w:r>
      <w:r w:rsidR="00962D3E">
        <w:rPr>
          <w:lang w:val="en-GB"/>
        </w:rPr>
        <w:t>6 June 2024) &lt;</w:t>
      </w:r>
      <w:r w:rsidR="006C2992" w:rsidRPr="006C2992">
        <w:rPr>
          <w:lang w:val="en-GB"/>
        </w:rPr>
        <w:t>https://www.qhrc.qld.gov.au/resources/submissions</w:t>
      </w:r>
      <w:r w:rsidR="006C2992">
        <w:rPr>
          <w:lang w:val="en-GB"/>
        </w:rPr>
        <w:t>&gt;.</w:t>
      </w:r>
    </w:p>
  </w:footnote>
  <w:footnote w:id="37">
    <w:p w14:paraId="64488974" w14:textId="293795FB" w:rsidR="0038085C" w:rsidRDefault="0038085C" w:rsidP="0038085C">
      <w:pPr>
        <w:pStyle w:val="FootnoteText"/>
      </w:pPr>
      <w:r>
        <w:rPr>
          <w:rStyle w:val="FootnoteReference"/>
          <w:rFonts w:cs="Cordia New"/>
          <w:lang w:bidi="th-TH"/>
        </w:rPr>
        <w:footnoteRef/>
      </w:r>
      <w:r>
        <w:rPr>
          <w:lang w:bidi="th-TH"/>
        </w:rPr>
        <w:t xml:space="preserve"> </w:t>
      </w:r>
      <w:r>
        <w:rPr>
          <w:lang w:val="en-GB" w:bidi="th-TH"/>
        </w:rPr>
        <w:t>Noting that</w:t>
      </w:r>
      <w:r w:rsidR="006C2992">
        <w:rPr>
          <w:lang w:val="en-GB" w:bidi="th-TH"/>
        </w:rPr>
        <w:t>,</w:t>
      </w:r>
      <w:r>
        <w:rPr>
          <w:lang w:val="en-GB" w:bidi="th-TH"/>
        </w:rPr>
        <w:t xml:space="preserve"> to some extent, this occurred because the Act commenced around the start of the COVID-19 pandemic, which also led to an increase in complaints. In the financial years 2020-21, 2021-22, 2022-23, 28% of complaints were COVID-19 related.</w:t>
      </w:r>
    </w:p>
  </w:footnote>
  <w:footnote w:id="38">
    <w:p w14:paraId="350D1F86" w14:textId="6DF9E1A9" w:rsidR="00F761D1" w:rsidRDefault="00F761D1" w:rsidP="00F761D1">
      <w:pPr>
        <w:pStyle w:val="FootnoteText"/>
        <w:rPr>
          <w:rFonts w:cs="Arial"/>
          <w:lang w:val="en-US"/>
        </w:rPr>
      </w:pPr>
      <w:r>
        <w:rPr>
          <w:rStyle w:val="FootnoteReference"/>
        </w:rPr>
        <w:footnoteRef/>
      </w:r>
      <w:r>
        <w:rPr>
          <w:rFonts w:cs="Arial"/>
        </w:rPr>
        <w:t xml:space="preserve"> </w:t>
      </w:r>
      <w:r>
        <w:rPr>
          <w:rFonts w:cs="Arial"/>
          <w:lang w:val="en-US"/>
        </w:rPr>
        <w:t xml:space="preserve">The information in this section was contributed by the Department of Justice and Attorney-General’s Human Rights Unit and originally appeared in our 2019-20 </w:t>
      </w:r>
      <w:r w:rsidR="00881F90">
        <w:rPr>
          <w:rFonts w:cs="Arial"/>
          <w:lang w:val="en-US"/>
        </w:rPr>
        <w:t>Human Rights Act</w:t>
      </w:r>
      <w:r>
        <w:rPr>
          <w:rFonts w:cs="Arial"/>
          <w:lang w:val="en-US"/>
        </w:rPr>
        <w:t xml:space="preserve"> Annual Report.</w:t>
      </w:r>
    </w:p>
  </w:footnote>
  <w:footnote w:id="39">
    <w:p w14:paraId="19483C81" w14:textId="5C8E8CF1" w:rsidR="00062EB7" w:rsidRPr="00062EB7" w:rsidRDefault="00062EB7">
      <w:pPr>
        <w:pStyle w:val="FootnoteText"/>
        <w:rPr>
          <w:lang w:val="en-GB"/>
        </w:rPr>
      </w:pPr>
      <w:r>
        <w:rPr>
          <w:rStyle w:val="FootnoteReference"/>
        </w:rPr>
        <w:footnoteRef/>
      </w:r>
      <w:r>
        <w:t xml:space="preserve"> </w:t>
      </w:r>
      <w:r w:rsidR="00205C57">
        <w:t xml:space="preserve">Queensland Government, </w:t>
      </w:r>
      <w:r w:rsidR="002828C1">
        <w:t xml:space="preserve">Human rights (Web Page, </w:t>
      </w:r>
      <w:r w:rsidR="00A6140B">
        <w:t>26 May 2024)</w:t>
      </w:r>
      <w:r w:rsidR="00310D9E">
        <w:t xml:space="preserve"> &lt;</w:t>
      </w:r>
      <w:r w:rsidR="00A6140B">
        <w:t xml:space="preserve"> </w:t>
      </w:r>
      <w:r w:rsidR="00310D9E" w:rsidRPr="00310D9E">
        <w:t>https://www.forgov.qld.gov.au/service-delivery-and-community-support/deliver-public-services/comply-with-the-human-rights-act</w:t>
      </w:r>
      <w:r w:rsidR="00310D9E">
        <w:t>&gt;.</w:t>
      </w:r>
    </w:p>
  </w:footnote>
  <w:footnote w:id="40">
    <w:p w14:paraId="6F4CCD0E" w14:textId="77777777" w:rsidR="001B149F" w:rsidRPr="002A524F" w:rsidRDefault="001B149F" w:rsidP="001B149F">
      <w:pPr>
        <w:pStyle w:val="FootnoteText"/>
      </w:pPr>
      <w:r>
        <w:rPr>
          <w:rStyle w:val="FootnoteReference"/>
        </w:rPr>
        <w:footnoteRef/>
      </w:r>
      <w:r>
        <w:t xml:space="preserve"> A community survey found that 92% of people surveyed considered it vital, and 85% thought </w:t>
      </w:r>
      <w:r w:rsidRPr="00E324AF">
        <w:t>human rights were</w:t>
      </w:r>
      <w:r>
        <w:t xml:space="preserve"> personally relevant. See</w:t>
      </w:r>
      <w:r w:rsidRPr="00E324AF">
        <w:t xml:space="preserve">: Queensland Human Rights Commission, 2022-2023 Annual report on the operation of the </w:t>
      </w:r>
      <w:r w:rsidRPr="00E324AF">
        <w:rPr>
          <w:i/>
          <w:iCs/>
        </w:rPr>
        <w:t>Human Rights Act 2019</w:t>
      </w:r>
      <w:r w:rsidRPr="00E324AF">
        <w:t>, 125.</w:t>
      </w:r>
    </w:p>
  </w:footnote>
  <w:footnote w:id="41">
    <w:p w14:paraId="70637849" w14:textId="77777777" w:rsidR="001B149F" w:rsidRPr="00955B5E" w:rsidRDefault="001B149F" w:rsidP="001B149F">
      <w:pPr>
        <w:pStyle w:val="FootnoteText"/>
      </w:pPr>
      <w:r>
        <w:rPr>
          <w:rStyle w:val="FootnoteReference"/>
        </w:rPr>
        <w:footnoteRef/>
      </w:r>
      <w:r>
        <w:t xml:space="preserve"> The survey identified an increase from 43% awareness of the Act in 2021 to 69% in 2023.</w:t>
      </w:r>
    </w:p>
  </w:footnote>
  <w:footnote w:id="42">
    <w:p w14:paraId="5477DA27" w14:textId="162BBE7B" w:rsidR="00D06E36" w:rsidRPr="003477E0" w:rsidRDefault="00D06E36" w:rsidP="00D06E36">
      <w:pPr>
        <w:pStyle w:val="FootnoteText"/>
      </w:pPr>
      <w:r w:rsidRPr="00C864CC">
        <w:rPr>
          <w:rStyle w:val="FootnoteReference"/>
          <w:i/>
        </w:rPr>
        <w:footnoteRef/>
      </w:r>
      <w:r w:rsidRPr="00C864CC">
        <w:rPr>
          <w:i/>
        </w:rPr>
        <w:t xml:space="preserve"> International Covenant on Economic, Social and Cultural Rights</w:t>
      </w:r>
      <w:r>
        <w:t xml:space="preserve">, art 11. See also Committee on Economic, Social and Cultural Rights, </w:t>
      </w:r>
      <w:r w:rsidRPr="00884A75">
        <w:rPr>
          <w:i/>
          <w:iCs/>
        </w:rPr>
        <w:t>The right to water (arts. 11 and 12 of the International Covenant on Economic, Social and Cultural Rights</w:t>
      </w:r>
      <w:r>
        <w:rPr>
          <w:i/>
          <w:iCs/>
        </w:rPr>
        <w:t>)</w:t>
      </w:r>
      <w:r>
        <w:t xml:space="preserve"> (E/C.12/2002/11, 2002) [3].</w:t>
      </w:r>
    </w:p>
  </w:footnote>
  <w:footnote w:id="43">
    <w:p w14:paraId="14F8E296" w14:textId="77777777" w:rsidR="00D06E36" w:rsidRPr="00DE0407" w:rsidRDefault="00D06E36" w:rsidP="00D06E36">
      <w:pPr>
        <w:pStyle w:val="FootnoteText"/>
      </w:pPr>
      <w:r>
        <w:rPr>
          <w:rStyle w:val="FootnoteReference"/>
        </w:rPr>
        <w:footnoteRef/>
      </w:r>
      <w:r>
        <w:t xml:space="preserve"> See </w:t>
      </w:r>
      <w:r w:rsidRPr="00AE5F38">
        <w:t xml:space="preserve">UN General Assembly, The human right to a clean, healthy and sustainable environment, UNGA </w:t>
      </w:r>
      <w:proofErr w:type="spellStart"/>
      <w:r w:rsidRPr="00AE5F38">
        <w:t>Res.A</w:t>
      </w:r>
      <w:proofErr w:type="spellEnd"/>
      <w:r w:rsidRPr="00AE5F38">
        <w:t>/RES/76/300 (2022), p. 3. See also, UN Human Rights Council</w:t>
      </w:r>
      <w:r w:rsidRPr="00AE5F38">
        <w:rPr>
          <w:i/>
          <w:iCs/>
        </w:rPr>
        <w:t>, Report of the Special Rapporteur on the issue of human rights obligations relating to the enjoyment of a safe, clean, healthy and sustainable</w:t>
      </w:r>
      <w:r>
        <w:rPr>
          <w:i/>
          <w:iCs/>
        </w:rPr>
        <w:t xml:space="preserve"> </w:t>
      </w:r>
      <w:r w:rsidRPr="00AE5F38">
        <w:rPr>
          <w:i/>
          <w:iCs/>
        </w:rPr>
        <w:t>environment</w:t>
      </w:r>
      <w:r w:rsidRPr="00AE5F38">
        <w:t xml:space="preserve"> </w:t>
      </w:r>
      <w:r>
        <w:t>(</w:t>
      </w:r>
      <w:r w:rsidRPr="00AE5F38">
        <w:t>A/HRC/43/53</w:t>
      </w:r>
      <w:r>
        <w:t xml:space="preserve">, </w:t>
      </w:r>
      <w:r w:rsidRPr="00AE5F38">
        <w:t>2019).</w:t>
      </w:r>
      <w:r>
        <w:t xml:space="preserve"> In relation to the ACT’s Human Rights Act, see, </w:t>
      </w:r>
      <w:r w:rsidRPr="00E360C8">
        <w:t>Human Rights (Healthy Environment) Amendment Bill</w:t>
      </w:r>
      <w:r>
        <w:t xml:space="preserve"> </w:t>
      </w:r>
      <w:r w:rsidRPr="00E360C8">
        <w:t>2023 (ACT)</w:t>
      </w:r>
      <w:r>
        <w:t>.</w:t>
      </w:r>
    </w:p>
  </w:footnote>
  <w:footnote w:id="44">
    <w:p w14:paraId="723F4AE9" w14:textId="471B2CF3" w:rsidR="00FD3637" w:rsidRPr="002B3885" w:rsidRDefault="00FD3637" w:rsidP="00FD3637">
      <w:pPr>
        <w:pStyle w:val="FootnoteText"/>
      </w:pPr>
      <w:r>
        <w:rPr>
          <w:rStyle w:val="FootnoteReference"/>
        </w:rPr>
        <w:footnoteRef/>
      </w:r>
      <w:r>
        <w:t xml:space="preserve"> </w:t>
      </w:r>
      <w:r w:rsidRPr="3F59AE15">
        <w:rPr>
          <w:rFonts w:eastAsia="Arial" w:cs="Arial"/>
        </w:rPr>
        <w:t>Parliamentary Joint Committee</w:t>
      </w:r>
      <w:r w:rsidRPr="3F59AE15">
        <w:rPr>
          <w:rFonts w:eastAsia="Arial" w:cs="Arial"/>
          <w:i/>
          <w:iCs/>
        </w:rPr>
        <w:t xml:space="preserve"> </w:t>
      </w:r>
      <w:r w:rsidRPr="3F59AE15">
        <w:rPr>
          <w:rFonts w:eastAsia="Arial" w:cs="Arial"/>
        </w:rPr>
        <w:t>on Human Rights, Parliament of Australia,</w:t>
      </w:r>
      <w:r w:rsidRPr="3F59AE15">
        <w:rPr>
          <w:rFonts w:eastAsia="Arial" w:cs="Arial"/>
          <w:i/>
          <w:iCs/>
        </w:rPr>
        <w:t xml:space="preserve"> Inquiry into Australia's Human Rights Framework</w:t>
      </w:r>
      <w:r w:rsidRPr="3F59AE15">
        <w:rPr>
          <w:rFonts w:eastAsia="Arial" w:cs="Arial"/>
        </w:rPr>
        <w:t xml:space="preserve"> (</w:t>
      </w:r>
      <w:r>
        <w:rPr>
          <w:rFonts w:eastAsia="Arial" w:cs="Arial"/>
        </w:rPr>
        <w:t xml:space="preserve">Report, </w:t>
      </w:r>
      <w:r w:rsidRPr="3F59AE15">
        <w:rPr>
          <w:rFonts w:eastAsia="Arial" w:cs="Arial"/>
        </w:rPr>
        <w:t>2024</w:t>
      </w:r>
      <w:r w:rsidRPr="75229548">
        <w:rPr>
          <w:rFonts w:eastAsia="Arial" w:cs="Arial"/>
        </w:rPr>
        <w:t xml:space="preserve">), </w:t>
      </w:r>
      <w:r w:rsidR="004B34EA">
        <w:rPr>
          <w:rFonts w:eastAsia="Arial" w:cs="Arial"/>
        </w:rPr>
        <w:t>[9.16]</w:t>
      </w:r>
      <w:proofErr w:type="gramStart"/>
      <w:r w:rsidR="003428FC">
        <w:rPr>
          <w:rFonts w:eastAsia="Arial" w:cs="Arial"/>
        </w:rPr>
        <w:t>–</w:t>
      </w:r>
      <w:r w:rsidR="004B34EA">
        <w:rPr>
          <w:rFonts w:eastAsia="Arial" w:cs="Arial"/>
        </w:rPr>
        <w:t>[</w:t>
      </w:r>
      <w:proofErr w:type="gramEnd"/>
      <w:r w:rsidR="004B34EA">
        <w:rPr>
          <w:rFonts w:eastAsia="Arial" w:cs="Arial"/>
        </w:rPr>
        <w:t>9.17]</w:t>
      </w:r>
      <w:r w:rsidR="00A54790">
        <w:rPr>
          <w:rFonts w:eastAsia="Arial" w:cs="Arial"/>
        </w:rPr>
        <w:t xml:space="preserve"> and</w:t>
      </w:r>
      <w:r w:rsidRPr="75229548">
        <w:rPr>
          <w:rFonts w:eastAsia="Arial" w:cs="Arial"/>
        </w:rPr>
        <w:t xml:space="preserve"> Appendix </w:t>
      </w:r>
      <w:r w:rsidRPr="0EC5EE82">
        <w:rPr>
          <w:rFonts w:eastAsia="Arial" w:cs="Arial"/>
        </w:rPr>
        <w:t xml:space="preserve">5: </w:t>
      </w:r>
      <w:r>
        <w:t xml:space="preserve">Example Human Rights Bill 2024 cl </w:t>
      </w:r>
      <w:r w:rsidR="007622D1">
        <w:t>39</w:t>
      </w:r>
      <w:r w:rsidR="00AC6DD4">
        <w:t xml:space="preserve"> and 40</w:t>
      </w:r>
      <w:r>
        <w:t>.</w:t>
      </w:r>
    </w:p>
  </w:footnote>
  <w:footnote w:id="45">
    <w:p w14:paraId="1BD02E17" w14:textId="77777777" w:rsidR="003707FB" w:rsidRPr="00436218" w:rsidRDefault="003707FB" w:rsidP="003707FB">
      <w:pPr>
        <w:pStyle w:val="FootnoteText"/>
        <w:rPr>
          <w:iCs/>
        </w:rPr>
      </w:pPr>
      <w:r>
        <w:rPr>
          <w:rStyle w:val="FootnoteReference"/>
        </w:rPr>
        <w:footnoteRef/>
      </w:r>
      <w:r>
        <w:t xml:space="preserve"> </w:t>
      </w:r>
      <w:r w:rsidRPr="00DF72A2">
        <w:t xml:space="preserve">Michael Brett Young, </w:t>
      </w:r>
      <w:r w:rsidRPr="00071B52">
        <w:rPr>
          <w:i/>
          <w:iCs/>
        </w:rPr>
        <w:t>From Commitment to Culture: the 2015 Review of the Charter of Human Rights and Responsibilities Act 2006</w:t>
      </w:r>
      <w:r w:rsidRPr="00DF72A2">
        <w:t xml:space="preserve"> (</w:t>
      </w:r>
      <w:r>
        <w:t xml:space="preserve">Report, September </w:t>
      </w:r>
      <w:r w:rsidRPr="00DF72A2">
        <w:t>2015) 127</w:t>
      </w:r>
      <w:r>
        <w:t xml:space="preserve">, quoted in Australian Human Rights Commission, </w:t>
      </w:r>
      <w:r>
        <w:rPr>
          <w:i/>
          <w:iCs/>
        </w:rPr>
        <w:t>A Human Rights Act for Australia</w:t>
      </w:r>
      <w:r>
        <w:rPr>
          <w:iCs/>
        </w:rPr>
        <w:t xml:space="preserve"> (Position Paper, December 2022) 342.</w:t>
      </w:r>
    </w:p>
  </w:footnote>
  <w:footnote w:id="46">
    <w:p w14:paraId="3B21101C" w14:textId="09CA1E4D" w:rsidR="003C7DF5" w:rsidRPr="003C7DF5" w:rsidRDefault="003C7DF5">
      <w:pPr>
        <w:pStyle w:val="FootnoteText"/>
        <w:rPr>
          <w:lang w:val="en-GB"/>
        </w:rPr>
      </w:pPr>
      <w:r>
        <w:rPr>
          <w:rStyle w:val="FootnoteReference"/>
        </w:rPr>
        <w:footnoteRef/>
      </w:r>
      <w:r>
        <w:t xml:space="preserve"> </w:t>
      </w:r>
      <w:r w:rsidR="00C8461F" w:rsidRPr="00314374">
        <w:rPr>
          <w:lang w:val="en-GB"/>
        </w:rPr>
        <w:t>Fo</w:t>
      </w:r>
      <w:r w:rsidR="00505F60" w:rsidRPr="00314374">
        <w:rPr>
          <w:lang w:val="en-GB"/>
        </w:rPr>
        <w:t>r</w:t>
      </w:r>
      <w:r w:rsidR="00C8461F" w:rsidRPr="00314374">
        <w:rPr>
          <w:lang w:val="en-GB"/>
        </w:rPr>
        <w:t xml:space="preserve"> example</w:t>
      </w:r>
      <w:r w:rsidRPr="00314374">
        <w:rPr>
          <w:lang w:val="en-GB"/>
        </w:rPr>
        <w:t xml:space="preserve">, </w:t>
      </w:r>
      <w:r w:rsidR="00505F60" w:rsidRPr="00314374">
        <w:rPr>
          <w:lang w:val="en-GB"/>
        </w:rPr>
        <w:t>establishing</w:t>
      </w:r>
      <w:r w:rsidRPr="00314374">
        <w:rPr>
          <w:lang w:val="en-GB"/>
        </w:rPr>
        <w:t xml:space="preserve"> </w:t>
      </w:r>
      <w:r w:rsidR="00A1364F" w:rsidRPr="00314374">
        <w:rPr>
          <w:lang w:val="en-GB"/>
        </w:rPr>
        <w:t xml:space="preserve">standing where the primary action </w:t>
      </w:r>
      <w:r w:rsidR="00652C02" w:rsidRPr="00314374">
        <w:rPr>
          <w:lang w:val="en-GB"/>
        </w:rPr>
        <w:t>is found not to be judicially reviewable</w:t>
      </w:r>
      <w:r w:rsidR="00505F60" w:rsidRPr="00314374">
        <w:rPr>
          <w:lang w:val="en-GB"/>
        </w:rPr>
        <w:t>,</w:t>
      </w:r>
      <w:r w:rsidR="00FB318F" w:rsidRPr="00314374">
        <w:rPr>
          <w:lang w:val="en-GB"/>
        </w:rPr>
        <w:t xml:space="preserve"> as was the case in </w:t>
      </w:r>
      <w:r w:rsidR="00505F60" w:rsidRPr="00314374">
        <w:rPr>
          <w:i/>
          <w:iCs/>
        </w:rPr>
        <w:t>Berih v State of Victoria (No 2)</w:t>
      </w:r>
      <w:r w:rsidR="00505F60" w:rsidRPr="00314374">
        <w:t xml:space="preserve"> [2024] VSC 230</w:t>
      </w:r>
      <w:r w:rsidR="00720405" w:rsidRPr="00314374">
        <w:t xml:space="preserve">. See also </w:t>
      </w:r>
      <w:r w:rsidR="00505F60" w:rsidRPr="00314374">
        <w:rPr>
          <w:i/>
          <w:iCs/>
        </w:rPr>
        <w:t>Johnston v Carroll</w:t>
      </w:r>
      <w:r w:rsidR="00505F60" w:rsidRPr="00314374">
        <w:t xml:space="preserve"> [2024] QSC 6</w:t>
      </w:r>
      <w:r w:rsidR="006602BB" w:rsidRPr="00314374">
        <w:t xml:space="preserve"> </w:t>
      </w:r>
      <w:r w:rsidR="00ED45E9" w:rsidRPr="00314374">
        <w:t xml:space="preserve">which was dismissed </w:t>
      </w:r>
      <w:r w:rsidR="006D6583" w:rsidRPr="00314374">
        <w:t>and is currently under appeal.</w:t>
      </w:r>
      <w:r w:rsidR="006D6583">
        <w:t xml:space="preserve"> </w:t>
      </w:r>
    </w:p>
  </w:footnote>
  <w:footnote w:id="47">
    <w:p w14:paraId="4F3D4F5A" w14:textId="3E102F57" w:rsidR="00065093" w:rsidRPr="00E37E4E" w:rsidRDefault="00065093" w:rsidP="00065093">
      <w:pPr>
        <w:pStyle w:val="FootnoteText"/>
      </w:pPr>
      <w:r>
        <w:rPr>
          <w:rStyle w:val="FootnoteReference"/>
        </w:rPr>
        <w:footnoteRef/>
      </w:r>
      <w:r>
        <w:t xml:space="preserve"> See UN Human Rights Committee, </w:t>
      </w:r>
      <w:r w:rsidRPr="00272DF9">
        <w:rPr>
          <w:i/>
          <w:iCs/>
        </w:rPr>
        <w:t>General Comment No 31: The nature of the general legal obligation imposed on States Parties to the Covenant</w:t>
      </w:r>
      <w:r>
        <w:rPr>
          <w:i/>
          <w:iCs/>
        </w:rPr>
        <w:t xml:space="preserve"> </w:t>
      </w:r>
      <w:r>
        <w:t>(</w:t>
      </w:r>
      <w:r w:rsidRPr="00B258EC">
        <w:t>CCPR/C/21/Rev.1/Add. 13</w:t>
      </w:r>
      <w:r>
        <w:t>, 26 May 2004) [15]</w:t>
      </w:r>
      <w:proofErr w:type="gramStart"/>
      <w:r w:rsidR="005E0ADF">
        <w:t>–</w:t>
      </w:r>
      <w:r>
        <w:t>[</w:t>
      </w:r>
      <w:proofErr w:type="gramEnd"/>
      <w:r>
        <w:t xml:space="preserve">18]; UN Committee Against Torture, </w:t>
      </w:r>
      <w:r w:rsidRPr="00272DF9">
        <w:rPr>
          <w:i/>
          <w:iCs/>
        </w:rPr>
        <w:t>General Comment No. 3 on the implementation of article 14 by States parties</w:t>
      </w:r>
      <w:r>
        <w:t xml:space="preserve"> (CAT/C/GC /3, 13 December 2012) [20].</w:t>
      </w:r>
    </w:p>
  </w:footnote>
  <w:footnote w:id="48">
    <w:p w14:paraId="10D8F939" w14:textId="5337D8B9" w:rsidR="009C5CC0" w:rsidRPr="009C5CC0" w:rsidRDefault="009C5CC0">
      <w:pPr>
        <w:pStyle w:val="FootnoteText"/>
        <w:rPr>
          <w:lang w:val="en-GB"/>
        </w:rPr>
      </w:pPr>
      <w:r>
        <w:rPr>
          <w:rStyle w:val="FootnoteReference"/>
        </w:rPr>
        <w:footnoteRef/>
      </w:r>
      <w:r>
        <w:t xml:space="preserve"> </w:t>
      </w:r>
      <w:r w:rsidR="00BB2D70">
        <w:t xml:space="preserve">Queensland Human Rights Commission, </w:t>
      </w:r>
      <w:r w:rsidR="00056FCB" w:rsidRPr="00C864CC">
        <w:rPr>
          <w:i/>
          <w:iCs/>
        </w:rPr>
        <w:t>Building belonging</w:t>
      </w:r>
      <w:r w:rsidR="00C1545E" w:rsidRPr="00C864CC">
        <w:rPr>
          <w:i/>
          <w:iCs/>
        </w:rPr>
        <w:t>: Review of Queensland’s Anti-Discrimination Act 1991</w:t>
      </w:r>
      <w:r w:rsidR="002B5690">
        <w:t xml:space="preserve"> (</w:t>
      </w:r>
      <w:r w:rsidR="006B1746">
        <w:t>Report, July 2022)</w:t>
      </w:r>
      <w:r>
        <w:rPr>
          <w:lang w:val="en-GB"/>
        </w:rPr>
        <w:t xml:space="preserve"> 1</w:t>
      </w:r>
      <w:r w:rsidR="0039352C">
        <w:rPr>
          <w:lang w:val="en-GB"/>
        </w:rPr>
        <w:t>62-</w:t>
      </w:r>
      <w:r w:rsidR="00592E4D">
        <w:rPr>
          <w:lang w:val="en-GB"/>
        </w:rPr>
        <w:t>164</w:t>
      </w:r>
      <w:r w:rsidR="00F14B57">
        <w:rPr>
          <w:lang w:val="en-GB"/>
        </w:rPr>
        <w:t>.</w:t>
      </w:r>
    </w:p>
  </w:footnote>
  <w:footnote w:id="49">
    <w:p w14:paraId="0F6A2265" w14:textId="3EA3B1ED" w:rsidR="009449D4" w:rsidRPr="00EB2930" w:rsidRDefault="009449D4" w:rsidP="009449D4">
      <w:pPr>
        <w:pStyle w:val="FootnoteText"/>
      </w:pPr>
      <w:r>
        <w:rPr>
          <w:rStyle w:val="FootnoteReference"/>
        </w:rPr>
        <w:footnoteRef/>
      </w:r>
      <w:r>
        <w:t xml:space="preserve"> Based on figures drawn from the Commission’s complaint management database based on the average resolution rate over the first 4 years of operation of the Act. </w:t>
      </w:r>
    </w:p>
  </w:footnote>
  <w:footnote w:id="50">
    <w:p w14:paraId="58019EED" w14:textId="383F1969" w:rsidR="00053D10" w:rsidRPr="00053D10" w:rsidRDefault="00053D10">
      <w:pPr>
        <w:pStyle w:val="FootnoteText"/>
        <w:rPr>
          <w:lang w:val="en-GB"/>
        </w:rPr>
      </w:pPr>
      <w:r>
        <w:rPr>
          <w:rStyle w:val="FootnoteReference"/>
        </w:rPr>
        <w:footnoteRef/>
      </w:r>
      <w:r>
        <w:t xml:space="preserve"> </w:t>
      </w:r>
      <w:r w:rsidRPr="00053D10">
        <w:rPr>
          <w:i/>
          <w:iCs/>
          <w:lang w:val="en-GB"/>
        </w:rPr>
        <w:t>Owen-D’Arcy v Chief Executive, Queensland Corrective Services</w:t>
      </w:r>
      <w:r>
        <w:rPr>
          <w:lang w:val="en-GB"/>
        </w:rPr>
        <w:t xml:space="preserve"> [2021] QSC 273 [7]</w:t>
      </w:r>
      <w:proofErr w:type="gramStart"/>
      <w:r w:rsidR="00267FDC">
        <w:rPr>
          <w:lang w:val="en-GB"/>
        </w:rPr>
        <w:t>–[</w:t>
      </w:r>
      <w:proofErr w:type="gramEnd"/>
      <w:r w:rsidR="00267FDC">
        <w:rPr>
          <w:lang w:val="en-GB"/>
        </w:rPr>
        <w:t>14]</w:t>
      </w:r>
      <w:r w:rsidR="009E1219">
        <w:rPr>
          <w:lang w:val="en-GB"/>
        </w:rPr>
        <w:t>, [187]-[189]</w:t>
      </w:r>
      <w:r w:rsidR="00267FDC">
        <w:rPr>
          <w:lang w:val="en-GB"/>
        </w:rPr>
        <w:t>.</w:t>
      </w:r>
    </w:p>
  </w:footnote>
  <w:footnote w:id="51">
    <w:p w14:paraId="525908F9" w14:textId="67BEAA3B" w:rsidR="004F61EE" w:rsidRPr="007C1AA5" w:rsidRDefault="004F61EE" w:rsidP="004F61EE">
      <w:pPr>
        <w:pStyle w:val="FootnoteText"/>
        <w:rPr>
          <w:lang w:val="en-GB"/>
        </w:rPr>
      </w:pPr>
      <w:r>
        <w:rPr>
          <w:rStyle w:val="FootnoteReference"/>
        </w:rPr>
        <w:footnoteRef/>
      </w:r>
      <w:r>
        <w:t xml:space="preserve"> </w:t>
      </w:r>
      <w:r w:rsidRPr="007C1AA5">
        <w:rPr>
          <w:i/>
          <w:iCs/>
        </w:rPr>
        <w:t>Human Rights Act 2004</w:t>
      </w:r>
      <w:r>
        <w:t xml:space="preserve"> (ACT) </w:t>
      </w:r>
      <w:r w:rsidR="00CA2CF8">
        <w:rPr>
          <w:lang w:val="en-GB"/>
        </w:rPr>
        <w:t>s</w:t>
      </w:r>
      <w:r>
        <w:rPr>
          <w:lang w:val="en-GB"/>
        </w:rPr>
        <w:t xml:space="preserve"> 40C(2)(a). </w:t>
      </w:r>
    </w:p>
  </w:footnote>
  <w:footnote w:id="52">
    <w:p w14:paraId="3469485E" w14:textId="3E08B5D4" w:rsidR="002917B8" w:rsidRPr="006C1A2A" w:rsidRDefault="002917B8" w:rsidP="002917B8">
      <w:pPr>
        <w:pStyle w:val="FootnoteText"/>
        <w:rPr>
          <w:lang w:val="en-GB"/>
        </w:rPr>
      </w:pPr>
      <w:r>
        <w:rPr>
          <w:rStyle w:val="FootnoteReference"/>
        </w:rPr>
        <w:footnoteRef/>
      </w:r>
      <w:r>
        <w:t xml:space="preserve"> </w:t>
      </w:r>
      <w:r w:rsidRPr="003530FB">
        <w:t xml:space="preserve">Helen </w:t>
      </w:r>
      <w:proofErr w:type="spellStart"/>
      <w:r w:rsidRPr="003530FB">
        <w:t>Watchirs</w:t>
      </w:r>
      <w:proofErr w:type="spellEnd"/>
      <w:r w:rsidRPr="003530FB">
        <w:t xml:space="preserve">, Sean Costello and Renuka </w:t>
      </w:r>
      <w:proofErr w:type="spellStart"/>
      <w:r w:rsidRPr="003530FB">
        <w:t>Thilagaratnam</w:t>
      </w:r>
      <w:proofErr w:type="spellEnd"/>
      <w:r w:rsidRPr="003530FB">
        <w:t xml:space="preserve"> “Human Rights Scrutiny under the Human Rights Act 2004 (AC) in Julia Debeljak and Laura Grenfell (eds) </w:t>
      </w:r>
      <w:r w:rsidRPr="003530FB">
        <w:rPr>
          <w:i/>
          <w:iCs/>
        </w:rPr>
        <w:t>Law Making and Human Rights</w:t>
      </w:r>
      <w:r w:rsidRPr="003530FB">
        <w:t xml:space="preserve"> (2020) </w:t>
      </w:r>
      <w:r>
        <w:rPr>
          <w:lang w:val="en-GB"/>
        </w:rPr>
        <w:t>193.</w:t>
      </w:r>
    </w:p>
  </w:footnote>
  <w:footnote w:id="53">
    <w:p w14:paraId="16D75853" w14:textId="0F3F60CE" w:rsidR="00804D1D" w:rsidRPr="00804D1D" w:rsidRDefault="00804D1D">
      <w:pPr>
        <w:pStyle w:val="FootnoteText"/>
        <w:rPr>
          <w:lang w:val="en-GB"/>
        </w:rPr>
      </w:pPr>
      <w:r>
        <w:rPr>
          <w:rStyle w:val="FootnoteReference"/>
        </w:rPr>
        <w:footnoteRef/>
      </w:r>
      <w:r>
        <w:t xml:space="preserve"> </w:t>
      </w:r>
      <w:r w:rsidRPr="00804D1D">
        <w:rPr>
          <w:i/>
          <w:iCs/>
          <w:lang w:val="en-GB"/>
        </w:rPr>
        <w:t>Human Rights Commission Act 2005</w:t>
      </w:r>
      <w:r>
        <w:rPr>
          <w:lang w:val="en-GB"/>
        </w:rPr>
        <w:t xml:space="preserve"> (ACT) s 41D.</w:t>
      </w:r>
    </w:p>
  </w:footnote>
  <w:footnote w:id="54">
    <w:p w14:paraId="6DCD2F09" w14:textId="70FFC4AA" w:rsidR="00084E46" w:rsidRPr="00084E46" w:rsidRDefault="00084E46">
      <w:pPr>
        <w:pStyle w:val="FootnoteText"/>
        <w:rPr>
          <w:lang w:val="en-GB"/>
        </w:rPr>
      </w:pPr>
      <w:r>
        <w:rPr>
          <w:rStyle w:val="FootnoteReference"/>
        </w:rPr>
        <w:footnoteRef/>
      </w:r>
      <w:r>
        <w:t xml:space="preserve"> </w:t>
      </w:r>
      <w:r w:rsidR="00F813E6">
        <w:t>Parliamentary Joint Committee on Human Rights</w:t>
      </w:r>
      <w:r w:rsidR="00D8663E">
        <w:t xml:space="preserve">, Parliament of Australia, </w:t>
      </w:r>
      <w:r w:rsidR="00D86D94" w:rsidRPr="00C864CC">
        <w:rPr>
          <w:i/>
          <w:iCs/>
        </w:rPr>
        <w:t>Inquiry into Australia’s Human Rights Framework</w:t>
      </w:r>
      <w:r w:rsidR="00D86D94">
        <w:t xml:space="preserve"> (Report, </w:t>
      </w:r>
      <w:r w:rsidR="00CB5705">
        <w:t>May 2024) 310 [9.40].</w:t>
      </w:r>
    </w:p>
  </w:footnote>
  <w:footnote w:id="55">
    <w:p w14:paraId="09B321EC" w14:textId="77777777" w:rsidR="001F600D" w:rsidRPr="00724F07" w:rsidRDefault="001F600D" w:rsidP="001F600D">
      <w:pPr>
        <w:pStyle w:val="FootnoteText"/>
      </w:pPr>
      <w:r>
        <w:rPr>
          <w:rStyle w:val="FootnoteReference"/>
        </w:rPr>
        <w:footnoteRef/>
      </w:r>
      <w:r>
        <w:t xml:space="preserve"> Based on figures drawn from</w:t>
      </w:r>
      <w:r w:rsidRPr="00617A13">
        <w:t xml:space="preserve"> </w:t>
      </w:r>
      <w:r>
        <w:t xml:space="preserve">the Commission’s complaint management database. The </w:t>
      </w:r>
      <w:r w:rsidRPr="00617A13">
        <w:t>data relates to complaints accepted and finalised between 1 July 2019 and 30 June 2023</w:t>
      </w:r>
      <w:r>
        <w:t>, as complainant representation has not been recorded for the full 4-year period.</w:t>
      </w:r>
    </w:p>
  </w:footnote>
  <w:footnote w:id="56">
    <w:p w14:paraId="7750B1BA" w14:textId="77777777" w:rsidR="007C451B" w:rsidRDefault="007C451B" w:rsidP="007C451B">
      <w:pPr>
        <w:pStyle w:val="FootnoteText"/>
        <w:rPr>
          <w:rFonts w:ascii="Roboto" w:eastAsia="Roboto" w:hAnsi="Roboto" w:cs="Roboto"/>
          <w:color w:val="111111"/>
          <w:sz w:val="24"/>
        </w:rPr>
      </w:pPr>
      <w:r w:rsidRPr="2030EA97">
        <w:rPr>
          <w:rStyle w:val="FootnoteReference"/>
        </w:rPr>
        <w:footnoteRef/>
      </w:r>
      <w:r>
        <w:t xml:space="preserve"> </w:t>
      </w:r>
      <w:r w:rsidRPr="00A75673">
        <w:rPr>
          <w:lang w:val="en-GB"/>
        </w:rPr>
        <w:t xml:space="preserve">See for example: </w:t>
      </w:r>
      <w:r w:rsidRPr="00A75673">
        <w:rPr>
          <w:i/>
          <w:lang w:val="en-GB"/>
        </w:rPr>
        <w:t>Re A</w:t>
      </w:r>
      <w:r w:rsidRPr="00A75673">
        <w:rPr>
          <w:lang w:val="en-GB"/>
        </w:rPr>
        <w:t xml:space="preserve"> [2022] QSC 159</w:t>
      </w:r>
      <w:r>
        <w:rPr>
          <w:lang w:val="en-GB"/>
        </w:rPr>
        <w:t>;</w:t>
      </w:r>
      <w:r w:rsidRPr="00A75673">
        <w:rPr>
          <w:lang w:val="en-GB"/>
        </w:rPr>
        <w:t xml:space="preserve"> </w:t>
      </w:r>
      <w:r w:rsidRPr="00167D34">
        <w:rPr>
          <w:i/>
          <w:iCs/>
          <w:lang w:val="en-GB"/>
        </w:rPr>
        <w:t>An</w:t>
      </w:r>
      <w:r w:rsidRPr="00167D34">
        <w:rPr>
          <w:i/>
          <w:lang w:val="en-GB"/>
        </w:rPr>
        <w:t xml:space="preserve"> application about matters concerning CM</w:t>
      </w:r>
      <w:r w:rsidRPr="00A75673">
        <w:rPr>
          <w:lang w:val="en-GB"/>
        </w:rPr>
        <w:t xml:space="preserve"> [2022] QCAT 263.</w:t>
      </w:r>
    </w:p>
  </w:footnote>
  <w:footnote w:id="57">
    <w:p w14:paraId="51F3E05C" w14:textId="256F0825" w:rsidR="006D674C" w:rsidRPr="006D674C" w:rsidRDefault="006D674C">
      <w:pPr>
        <w:pStyle w:val="FootnoteText"/>
        <w:rPr>
          <w:lang w:val="en-GB"/>
        </w:rPr>
      </w:pPr>
      <w:r>
        <w:rPr>
          <w:rStyle w:val="FootnoteReference"/>
        </w:rPr>
        <w:footnoteRef/>
      </w:r>
      <w:r w:rsidR="00EC0B18">
        <w:t xml:space="preserve"> Parliamentary Joint Committee on Human Rights, Parliament of Australia, </w:t>
      </w:r>
      <w:r w:rsidR="00EC0B18" w:rsidRPr="003A3B84">
        <w:rPr>
          <w:i/>
          <w:iCs/>
        </w:rPr>
        <w:t>Inquiry into Australia’s Human Rights Framework</w:t>
      </w:r>
      <w:r w:rsidR="00EC0B18">
        <w:t xml:space="preserve"> (Report, May 2024)</w:t>
      </w:r>
      <w:r w:rsidR="003F7908">
        <w:t xml:space="preserve"> 308</w:t>
      </w:r>
      <w:r>
        <w:t xml:space="preserve"> [</w:t>
      </w:r>
      <w:r>
        <w:rPr>
          <w:lang w:val="en-GB"/>
        </w:rPr>
        <w:t>9.33]</w:t>
      </w:r>
      <w:r w:rsidR="004B4E36">
        <w:rPr>
          <w:lang w:val="en-GB"/>
        </w:rPr>
        <w:t xml:space="preserve">, </w:t>
      </w:r>
      <w:r w:rsidR="00CB2A70">
        <w:rPr>
          <w:lang w:val="en-GB"/>
        </w:rPr>
        <w:t xml:space="preserve">and see </w:t>
      </w:r>
      <w:r w:rsidR="004B4E36">
        <w:rPr>
          <w:lang w:val="en-GB"/>
        </w:rPr>
        <w:t>Appendix 5</w:t>
      </w:r>
      <w:r w:rsidR="00EC7970">
        <w:rPr>
          <w:lang w:val="en-GB"/>
        </w:rPr>
        <w:t xml:space="preserve"> ‘Example Human Rights Bill’, s</w:t>
      </w:r>
      <w:r w:rsidR="007C3497">
        <w:rPr>
          <w:lang w:val="en-GB"/>
        </w:rPr>
        <w:t>ection 12(4).</w:t>
      </w:r>
    </w:p>
  </w:footnote>
  <w:footnote w:id="58">
    <w:p w14:paraId="522C6550" w14:textId="67906F9C" w:rsidR="00F12587" w:rsidRPr="00F12587" w:rsidRDefault="00F12587">
      <w:pPr>
        <w:pStyle w:val="FootnoteText"/>
        <w:rPr>
          <w:lang w:val="en-GB"/>
        </w:rPr>
      </w:pPr>
      <w:r>
        <w:rPr>
          <w:rStyle w:val="FootnoteReference"/>
        </w:rPr>
        <w:footnoteRef/>
      </w:r>
      <w:r>
        <w:t xml:space="preserve"> </w:t>
      </w:r>
      <w:r w:rsidR="00C150E3" w:rsidRPr="006B1E8F">
        <w:rPr>
          <w:i/>
          <w:iCs/>
        </w:rPr>
        <w:t>Austin BMI Pty Ltd v Deputy Premier</w:t>
      </w:r>
      <w:r w:rsidR="00C150E3">
        <w:t xml:space="preserve"> [2023] QSC 95 </w:t>
      </w:r>
      <w:r>
        <w:rPr>
          <w:lang w:val="en-GB"/>
        </w:rPr>
        <w:t>[3</w:t>
      </w:r>
      <w:r w:rsidR="000E3465">
        <w:rPr>
          <w:lang w:val="en-GB"/>
        </w:rPr>
        <w:t>19]</w:t>
      </w:r>
      <w:r w:rsidR="004A125F">
        <w:rPr>
          <w:lang w:val="en-GB"/>
        </w:rPr>
        <w:t>.</w:t>
      </w:r>
    </w:p>
  </w:footnote>
  <w:footnote w:id="59">
    <w:p w14:paraId="532C2BBD" w14:textId="6E152F9F" w:rsidR="00EC7A78" w:rsidRPr="00EC7A78" w:rsidRDefault="00EC7A78">
      <w:pPr>
        <w:pStyle w:val="FootnoteText"/>
        <w:rPr>
          <w:lang w:val="en-GB"/>
        </w:rPr>
      </w:pPr>
      <w:r>
        <w:rPr>
          <w:rStyle w:val="FootnoteReference"/>
        </w:rPr>
        <w:footnoteRef/>
      </w:r>
      <w:r w:rsidR="00B6796D">
        <w:t xml:space="preserve"> </w:t>
      </w:r>
      <w:r w:rsidR="00B6796D" w:rsidRPr="00C33427">
        <w:rPr>
          <w:i/>
          <w:iCs/>
        </w:rPr>
        <w:t xml:space="preserve">Johnston v </w:t>
      </w:r>
      <w:r w:rsidR="00B6796D">
        <w:rPr>
          <w:i/>
          <w:iCs/>
        </w:rPr>
        <w:t xml:space="preserve">Commissioner of Police </w:t>
      </w:r>
      <w:r w:rsidR="00B6796D">
        <w:t>[2024] QSC 2</w:t>
      </w:r>
      <w:r>
        <w:t xml:space="preserve"> </w:t>
      </w:r>
      <w:r w:rsidR="007513CB">
        <w:rPr>
          <w:lang w:val="en-GB"/>
        </w:rPr>
        <w:t>[294]-[298]</w:t>
      </w:r>
      <w:r w:rsidR="00B6796D">
        <w:rPr>
          <w:lang w:val="en-GB"/>
        </w:rPr>
        <w:t>.</w:t>
      </w:r>
    </w:p>
  </w:footnote>
  <w:footnote w:id="60">
    <w:p w14:paraId="2D5F1811" w14:textId="4500E0BE" w:rsidR="00C46119" w:rsidRPr="00C46119" w:rsidRDefault="00C46119">
      <w:pPr>
        <w:pStyle w:val="FootnoteText"/>
        <w:rPr>
          <w:lang w:val="en-GB"/>
        </w:rPr>
      </w:pPr>
      <w:r>
        <w:rPr>
          <w:rStyle w:val="FootnoteReference"/>
        </w:rPr>
        <w:footnoteRef/>
      </w:r>
      <w:r>
        <w:t xml:space="preserve"> </w:t>
      </w:r>
      <w:r w:rsidR="007C51F5">
        <w:t xml:space="preserve">United Nations Human Rights Committee, </w:t>
      </w:r>
      <w:r w:rsidR="007C51F5" w:rsidRPr="00C864CC">
        <w:rPr>
          <w:i/>
          <w:iCs/>
        </w:rPr>
        <w:t>General Comment No 35</w:t>
      </w:r>
      <w:r w:rsidR="00735B0A" w:rsidRPr="00C864CC">
        <w:rPr>
          <w:i/>
          <w:iCs/>
        </w:rPr>
        <w:t>: Article 9 (Liberty and security of person)</w:t>
      </w:r>
      <w:r w:rsidR="005204B8" w:rsidRPr="00C864CC">
        <w:rPr>
          <w:i/>
          <w:iCs/>
        </w:rPr>
        <w:t xml:space="preserve"> </w:t>
      </w:r>
      <w:r w:rsidR="005204B8">
        <w:t>UN Doc CCPR/C/GC/35 (16 December 2014)</w:t>
      </w:r>
      <w:r w:rsidR="007C51F5">
        <w:t xml:space="preserve"> </w:t>
      </w:r>
      <w:r w:rsidR="00200A02">
        <w:t>[</w:t>
      </w:r>
      <w:r w:rsidR="002B1A0B">
        <w:t>9].</w:t>
      </w:r>
    </w:p>
  </w:footnote>
  <w:footnote w:id="61">
    <w:p w14:paraId="3978E678" w14:textId="296C4C16" w:rsidR="0014722C" w:rsidRDefault="0014722C" w:rsidP="0014722C">
      <w:pPr>
        <w:pStyle w:val="FootnoteText"/>
      </w:pPr>
      <w:r>
        <w:rPr>
          <w:rStyle w:val="FootnoteReference"/>
        </w:rPr>
        <w:footnoteRef/>
      </w:r>
      <w:r w:rsidR="002C19D8">
        <w:t xml:space="preserve"> </w:t>
      </w:r>
      <w:r w:rsidR="002C19D8" w:rsidRPr="002C19D8">
        <w:rPr>
          <w:i/>
          <w:iCs/>
        </w:rPr>
        <w:t>Human Rights Act 2019</w:t>
      </w:r>
      <w:r w:rsidR="002C19D8">
        <w:t xml:space="preserve"> (Qld) s</w:t>
      </w:r>
      <w:r>
        <w:t xml:space="preserve"> 25</w:t>
      </w:r>
      <w:r w:rsidR="002C19D8">
        <w:t>.</w:t>
      </w:r>
    </w:p>
  </w:footnote>
  <w:footnote w:id="62">
    <w:p w14:paraId="6E2E6A79" w14:textId="43314EC6" w:rsidR="0014722C" w:rsidRDefault="0014722C" w:rsidP="0014722C">
      <w:pPr>
        <w:pStyle w:val="FootnoteText"/>
      </w:pPr>
      <w:r>
        <w:rPr>
          <w:rStyle w:val="FootnoteReference"/>
        </w:rPr>
        <w:footnoteRef/>
      </w:r>
      <w:r>
        <w:t xml:space="preserve"> </w:t>
      </w:r>
      <w:r w:rsidR="002C19D8" w:rsidRPr="002C19D8">
        <w:rPr>
          <w:i/>
          <w:iCs/>
        </w:rPr>
        <w:t>Human Rights Act 2019</w:t>
      </w:r>
      <w:r w:rsidR="002C19D8">
        <w:t xml:space="preserve"> (Qld) s</w:t>
      </w:r>
      <w:r>
        <w:t xml:space="preserve"> 37</w:t>
      </w:r>
      <w:r w:rsidR="002C19D8">
        <w:t>.</w:t>
      </w:r>
    </w:p>
  </w:footnote>
  <w:footnote w:id="63">
    <w:p w14:paraId="0EAB2873" w14:textId="77777777" w:rsidR="00CA6D02" w:rsidRDefault="00CA6D02" w:rsidP="00CA6D02">
      <w:pPr>
        <w:pStyle w:val="FootnoteText"/>
      </w:pPr>
      <w:r>
        <w:rPr>
          <w:rStyle w:val="FootnoteReference"/>
        </w:rPr>
        <w:footnoteRef/>
      </w:r>
      <w:r>
        <w:t xml:space="preserve"> For more information on how these indicators were developed, see Queensland Human Rights Commission, </w:t>
      </w:r>
      <w:r>
        <w:rPr>
          <w:i/>
        </w:rPr>
        <w:t>Balancing Life and Liberty</w:t>
      </w:r>
      <w:r>
        <w:rPr>
          <w:i/>
          <w:iCs/>
        </w:rPr>
        <w:t xml:space="preserve">: The second annual report on the operation of </w:t>
      </w:r>
      <w:r>
        <w:rPr>
          <w:i/>
        </w:rPr>
        <w:t>Queensland’s</w:t>
      </w:r>
      <w:r>
        <w:rPr>
          <w:i/>
          <w:iCs/>
        </w:rPr>
        <w:t xml:space="preserve"> Human Rights Act 2019</w:t>
      </w:r>
      <w:r>
        <w:t xml:space="preserve"> (Report 2020–21) 30-32.</w:t>
      </w:r>
    </w:p>
  </w:footnote>
  <w:footnote w:id="64">
    <w:p w14:paraId="3D59F531" w14:textId="33C38396" w:rsidR="00D5325A" w:rsidRPr="00D5325A" w:rsidRDefault="00D5325A">
      <w:pPr>
        <w:pStyle w:val="FootnoteText"/>
        <w:rPr>
          <w:lang w:val="en-GB"/>
        </w:rPr>
      </w:pPr>
      <w:r>
        <w:rPr>
          <w:rStyle w:val="FootnoteReference"/>
        </w:rPr>
        <w:footnoteRef/>
      </w:r>
      <w:r>
        <w:t xml:space="preserve"> </w:t>
      </w:r>
      <w:r w:rsidR="004C1B5E" w:rsidRPr="004C1B5E">
        <w:t xml:space="preserve">Queensland Human Rights Commission, </w:t>
      </w:r>
      <w:r w:rsidR="004C1B5E" w:rsidRPr="004C1B5E">
        <w:rPr>
          <w:i/>
          <w:iCs/>
        </w:rPr>
        <w:t>Progress and Pitfalls</w:t>
      </w:r>
      <w:r w:rsidR="004C1B5E" w:rsidRPr="004C1B5E">
        <w:t xml:space="preserve"> (Fourth annual report on the operation of Queensland’s Human Rights Act 2019, 2022–23, 2023)</w:t>
      </w:r>
      <w:r>
        <w:rPr>
          <w:lang w:val="en-GB"/>
        </w:rPr>
        <w:t xml:space="preserve"> 45-46.</w:t>
      </w:r>
    </w:p>
  </w:footnote>
  <w:footnote w:id="65">
    <w:p w14:paraId="125B9372" w14:textId="4821EABE" w:rsidR="000F47D9" w:rsidRPr="000F47D9" w:rsidRDefault="000F47D9">
      <w:pPr>
        <w:pStyle w:val="FootnoteText"/>
        <w:rPr>
          <w:lang w:val="en-GB"/>
        </w:rPr>
      </w:pPr>
      <w:r>
        <w:rPr>
          <w:rStyle w:val="FootnoteReference"/>
        </w:rPr>
        <w:footnoteRef/>
      </w:r>
      <w:r>
        <w:t xml:space="preserve"> </w:t>
      </w:r>
      <w:r w:rsidRPr="000F47D9">
        <w:t>Article 4 of the International Covenant on Civil and Political Rights provides context for how the relevant provisions should operate. This article provides that a state party may only act incompatibly with human rights ‘in times of public emergency which threatens the life of the nation and the existence of which is officially proclaimed.’</w:t>
      </w:r>
    </w:p>
  </w:footnote>
  <w:footnote w:id="66">
    <w:p w14:paraId="244FB876" w14:textId="77777777" w:rsidR="00E406F8" w:rsidRDefault="00E406F8" w:rsidP="00E406F8">
      <w:pPr>
        <w:pStyle w:val="FootnoteText"/>
      </w:pPr>
      <w:r>
        <w:rPr>
          <w:rStyle w:val="FootnoteReference"/>
        </w:rPr>
        <w:footnoteRef/>
      </w:r>
      <w:r>
        <w:t xml:space="preserve"> </w:t>
      </w:r>
      <w:r w:rsidRPr="00DF72A2">
        <w:t xml:space="preserve">Michael Brett Young, </w:t>
      </w:r>
      <w:r w:rsidRPr="00E349FE">
        <w:rPr>
          <w:i/>
          <w:iCs/>
        </w:rPr>
        <w:t>From Commitment to Culture: the 2015 Review of the Charter of Human Rights and Responsibilities Act 2006</w:t>
      </w:r>
      <w:r w:rsidRPr="00DF72A2">
        <w:t xml:space="preserve"> (</w:t>
      </w:r>
      <w:r>
        <w:t xml:space="preserve">Report, September </w:t>
      </w:r>
      <w:r w:rsidRPr="00DF72A2">
        <w:t xml:space="preserve">2015) </w:t>
      </w:r>
      <w:r>
        <w:t>199.</w:t>
      </w:r>
    </w:p>
  </w:footnote>
  <w:footnote w:id="67">
    <w:p w14:paraId="32D6AD3E" w14:textId="55906DD3" w:rsidR="000F6248" w:rsidRPr="003472E4" w:rsidRDefault="000F6248" w:rsidP="000F6248">
      <w:pPr>
        <w:pStyle w:val="FootnoteText"/>
        <w:rPr>
          <w:lang w:val="en-GB"/>
        </w:rPr>
      </w:pPr>
      <w:r>
        <w:rPr>
          <w:rStyle w:val="FootnoteReference"/>
        </w:rPr>
        <w:footnoteRef/>
      </w:r>
      <w:r>
        <w:t xml:space="preserve"> </w:t>
      </w:r>
      <w:r w:rsidRPr="00182158">
        <w:rPr>
          <w:i/>
          <w:iCs/>
        </w:rPr>
        <w:t>Strengthening Community Safety Act 2023</w:t>
      </w:r>
      <w:r w:rsidR="00B67366">
        <w:t xml:space="preserve"> (Qld), </w:t>
      </w:r>
      <w:r w:rsidR="00CD32C2">
        <w:t>s 5</w:t>
      </w:r>
      <w:r w:rsidR="00005D9F">
        <w:t>(3)</w:t>
      </w:r>
      <w:r w:rsidR="00751A5A">
        <w:t xml:space="preserve"> (amending the </w:t>
      </w:r>
      <w:r w:rsidR="00751A5A">
        <w:rPr>
          <w:i/>
          <w:iCs/>
        </w:rPr>
        <w:t>Bail Act 1980</w:t>
      </w:r>
      <w:r w:rsidR="00751A5A">
        <w:t xml:space="preserve"> (Qld)</w:t>
      </w:r>
      <w:r w:rsidR="00DA12B6">
        <w:t>)</w:t>
      </w:r>
      <w:r w:rsidR="00751A5A">
        <w:t>, ss </w:t>
      </w:r>
      <w:r w:rsidR="00DA17B5">
        <w:t>21</w:t>
      </w:r>
      <w:r w:rsidR="00AC326A">
        <w:t>, 28</w:t>
      </w:r>
      <w:r w:rsidR="00787497">
        <w:t xml:space="preserve"> (amending the </w:t>
      </w:r>
      <w:r w:rsidR="00787497">
        <w:rPr>
          <w:i/>
          <w:iCs/>
        </w:rPr>
        <w:t>Youth Justice Act 1992</w:t>
      </w:r>
      <w:r w:rsidR="00787497">
        <w:t xml:space="preserve"> (Qld))</w:t>
      </w:r>
      <w:r w:rsidR="00B67366">
        <w:t xml:space="preserve">; </w:t>
      </w:r>
      <w:r w:rsidR="00182158" w:rsidRPr="00182158">
        <w:rPr>
          <w:rFonts w:eastAsia="Times New Roman" w:cs="Arial"/>
          <w:i/>
          <w:iCs/>
        </w:rPr>
        <w:t xml:space="preserve">Child Protection (Offender Reporting and Offender Prohibition Order) and Other Legislation </w:t>
      </w:r>
      <w:r w:rsidR="00182158">
        <w:rPr>
          <w:rFonts w:eastAsia="Times New Roman" w:cs="Arial"/>
          <w:i/>
          <w:iCs/>
        </w:rPr>
        <w:t>Act 2023</w:t>
      </w:r>
      <w:r w:rsidR="00182158">
        <w:rPr>
          <w:rFonts w:eastAsia="Times New Roman" w:cs="Arial"/>
        </w:rPr>
        <w:t xml:space="preserve"> (Qld), s </w:t>
      </w:r>
      <w:r w:rsidR="001B5721">
        <w:rPr>
          <w:rFonts w:eastAsia="Times New Roman" w:cs="Arial"/>
        </w:rPr>
        <w:t xml:space="preserve">50M (amending </w:t>
      </w:r>
      <w:r w:rsidR="001B5721">
        <w:rPr>
          <w:rFonts w:eastAsia="Times New Roman" w:cs="Arial"/>
          <w:i/>
          <w:iCs/>
        </w:rPr>
        <w:t>Police Powers and Responsibilities Act 2000</w:t>
      </w:r>
      <w:r w:rsidR="001B5721">
        <w:rPr>
          <w:rFonts w:eastAsia="Times New Roman" w:cs="Arial"/>
        </w:rPr>
        <w:t xml:space="preserve"> (Qld)), </w:t>
      </w:r>
      <w:r w:rsidR="008F46E9">
        <w:rPr>
          <w:rFonts w:eastAsia="Times New Roman" w:cs="Arial"/>
        </w:rPr>
        <w:t xml:space="preserve">ss 70, </w:t>
      </w:r>
      <w:r w:rsidR="00A33B01">
        <w:rPr>
          <w:rFonts w:eastAsia="Times New Roman" w:cs="Arial"/>
        </w:rPr>
        <w:t>72,</w:t>
      </w:r>
      <w:r w:rsidR="009B7C6A">
        <w:rPr>
          <w:rFonts w:eastAsia="Times New Roman" w:cs="Arial"/>
        </w:rPr>
        <w:t xml:space="preserve"> 73</w:t>
      </w:r>
      <w:r w:rsidR="00A33B01">
        <w:rPr>
          <w:rFonts w:eastAsia="Times New Roman" w:cs="Arial"/>
        </w:rPr>
        <w:t xml:space="preserve"> </w:t>
      </w:r>
      <w:r w:rsidR="008F46E9">
        <w:rPr>
          <w:rFonts w:eastAsia="Times New Roman" w:cs="Arial"/>
        </w:rPr>
        <w:t xml:space="preserve">(amending </w:t>
      </w:r>
      <w:r w:rsidR="008F46E9">
        <w:rPr>
          <w:rFonts w:eastAsia="Times New Roman" w:cs="Arial"/>
          <w:i/>
          <w:iCs/>
        </w:rPr>
        <w:t>Youth Justice Act 1992</w:t>
      </w:r>
      <w:r w:rsidR="008F46E9">
        <w:rPr>
          <w:rFonts w:eastAsia="Times New Roman" w:cs="Arial"/>
        </w:rPr>
        <w:t xml:space="preserve"> (Qld)).</w:t>
      </w:r>
      <w:r w:rsidR="00210C38">
        <w:rPr>
          <w:rFonts w:eastAsia="Times New Roman" w:cs="Arial"/>
        </w:rPr>
        <w:t xml:space="preserve"> </w:t>
      </w:r>
      <w:r w:rsidR="009E7556" w:rsidRPr="009E7556">
        <w:rPr>
          <w:rFonts w:eastAsia="Times New Roman" w:cs="Arial"/>
        </w:rPr>
        <w:t xml:space="preserve">Additionally, Parliament has overridden the obligations in section 58 of the </w:t>
      </w:r>
      <w:r w:rsidR="009E7556">
        <w:rPr>
          <w:rFonts w:eastAsia="Times New Roman" w:cs="Arial"/>
        </w:rPr>
        <w:t>Human Rights</w:t>
      </w:r>
      <w:r w:rsidR="009E7556" w:rsidRPr="009E7556">
        <w:rPr>
          <w:rFonts w:eastAsia="Times New Roman" w:cs="Arial"/>
        </w:rPr>
        <w:t xml:space="preserve"> Act with respect to acts and decisions relating to a child in a</w:t>
      </w:r>
      <w:r w:rsidR="00034D8E">
        <w:rPr>
          <w:rFonts w:eastAsia="Times New Roman" w:cs="Arial"/>
        </w:rPr>
        <w:t xml:space="preserve"> relevant</w:t>
      </w:r>
      <w:r w:rsidR="009E7556" w:rsidRPr="009E7556">
        <w:rPr>
          <w:rFonts w:eastAsia="Times New Roman" w:cs="Arial"/>
        </w:rPr>
        <w:t xml:space="preserve"> detention centre that may be established</w:t>
      </w:r>
      <w:r w:rsidR="00F46297">
        <w:rPr>
          <w:rFonts w:eastAsia="Times New Roman" w:cs="Arial"/>
        </w:rPr>
        <w:t xml:space="preserve"> by regulation</w:t>
      </w:r>
      <w:r w:rsidR="009E7556" w:rsidRPr="009E7556">
        <w:rPr>
          <w:rFonts w:eastAsia="Times New Roman" w:cs="Arial"/>
        </w:rPr>
        <w:t xml:space="preserve"> from 23 August 2023</w:t>
      </w:r>
      <w:r w:rsidR="009E7556">
        <w:rPr>
          <w:rFonts w:eastAsia="Times New Roman" w:cs="Arial"/>
        </w:rPr>
        <w:t xml:space="preserve">: </w:t>
      </w:r>
      <w:r w:rsidR="00210C38" w:rsidRPr="00182158">
        <w:rPr>
          <w:rFonts w:eastAsia="Times New Roman" w:cs="Arial"/>
          <w:i/>
          <w:iCs/>
        </w:rPr>
        <w:t xml:space="preserve">Child Protection (Offender Reporting and Offender Prohibition Order) and Other Legislation </w:t>
      </w:r>
      <w:r w:rsidR="00210C38">
        <w:rPr>
          <w:rFonts w:eastAsia="Times New Roman" w:cs="Arial"/>
          <w:i/>
          <w:iCs/>
        </w:rPr>
        <w:t>Act 2023</w:t>
      </w:r>
      <w:r w:rsidR="00210C38">
        <w:rPr>
          <w:rFonts w:eastAsia="Times New Roman" w:cs="Arial"/>
        </w:rPr>
        <w:t xml:space="preserve"> (Qld), s 74</w:t>
      </w:r>
      <w:r w:rsidR="003472E4">
        <w:rPr>
          <w:rFonts w:eastAsia="Times New Roman" w:cs="Arial"/>
        </w:rPr>
        <w:t xml:space="preserve"> (amending </w:t>
      </w:r>
      <w:r w:rsidR="003472E4">
        <w:rPr>
          <w:rFonts w:eastAsia="Times New Roman" w:cs="Arial"/>
          <w:i/>
          <w:iCs/>
        </w:rPr>
        <w:t>Youth Justice Act 1992</w:t>
      </w:r>
      <w:r w:rsidR="003472E4">
        <w:rPr>
          <w:rFonts w:eastAsia="Times New Roman" w:cs="Arial"/>
        </w:rPr>
        <w:t xml:space="preserve"> (Qld)).</w:t>
      </w:r>
    </w:p>
  </w:footnote>
  <w:footnote w:id="68">
    <w:p w14:paraId="71F027E0" w14:textId="408FB1A5" w:rsidR="00E377E0" w:rsidRPr="0001054F" w:rsidRDefault="00E377E0">
      <w:pPr>
        <w:pStyle w:val="FootnoteText"/>
        <w:rPr>
          <w:lang w:val="en-GB"/>
        </w:rPr>
      </w:pPr>
      <w:r>
        <w:rPr>
          <w:rStyle w:val="FootnoteReference"/>
        </w:rPr>
        <w:footnoteRef/>
      </w:r>
      <w:r>
        <w:t xml:space="preserve"> </w:t>
      </w:r>
      <w:r w:rsidR="00882846">
        <w:t>See</w:t>
      </w:r>
      <w:r w:rsidR="00C31086">
        <w:t>, eg,</w:t>
      </w:r>
      <w:r w:rsidR="00882846">
        <w:t xml:space="preserve"> </w:t>
      </w:r>
      <w:r w:rsidR="007346B5">
        <w:t>Economics and Governance Committee</w:t>
      </w:r>
      <w:r w:rsidR="0001054F">
        <w:t xml:space="preserve">, Queensland Parliament, </w:t>
      </w:r>
      <w:r w:rsidR="0001054F" w:rsidRPr="0001054F">
        <w:rPr>
          <w:i/>
          <w:iCs/>
        </w:rPr>
        <w:t>Public Hearing—Inquiry into the Strengthening Community Safety Bill 2023</w:t>
      </w:r>
      <w:r w:rsidR="0001054F">
        <w:t>, 28 February 2023</w:t>
      </w:r>
      <w:r w:rsidR="00013967">
        <w:t>, 1–2</w:t>
      </w:r>
      <w:r w:rsidR="00AB0F5C">
        <w:t xml:space="preserve"> (Scott McDougall, Queensland Human Rights Commissioner)</w:t>
      </w:r>
      <w:r w:rsidR="00013967">
        <w:t>.</w:t>
      </w:r>
    </w:p>
  </w:footnote>
  <w:footnote w:id="69">
    <w:p w14:paraId="1F379F8A" w14:textId="77777777" w:rsidR="007955A7" w:rsidRPr="00C5192C" w:rsidRDefault="007955A7" w:rsidP="00DD5B08">
      <w:pPr>
        <w:pStyle w:val="FootnoteText"/>
        <w:spacing w:after="0"/>
        <w:rPr>
          <w:i/>
          <w:iCs/>
        </w:rPr>
      </w:pPr>
      <w:r>
        <w:rPr>
          <w:rStyle w:val="FootnoteReference"/>
        </w:rPr>
        <w:footnoteRef/>
      </w:r>
      <w:r>
        <w:t xml:space="preserve"> Michael Brett Young, </w:t>
      </w:r>
      <w:r w:rsidRPr="00C5192C">
        <w:rPr>
          <w:i/>
          <w:iCs/>
        </w:rPr>
        <w:t>From Commitment to Culture: The 2015 Review of the Charter of</w:t>
      </w:r>
    </w:p>
    <w:p w14:paraId="33F02AC1" w14:textId="77777777" w:rsidR="007955A7" w:rsidRPr="004A5C5B" w:rsidRDefault="007955A7" w:rsidP="007955A7">
      <w:pPr>
        <w:pStyle w:val="FootnoteText"/>
        <w:rPr>
          <w:lang w:val="en-US"/>
        </w:rPr>
      </w:pPr>
      <w:r w:rsidRPr="00C5192C">
        <w:rPr>
          <w:i/>
          <w:iCs/>
        </w:rPr>
        <w:t>Human Rights and Responsibilities Act 2006</w:t>
      </w:r>
      <w:r>
        <w:t xml:space="preserve"> (Report, September 2015) 199.</w:t>
      </w:r>
    </w:p>
  </w:footnote>
  <w:footnote w:id="70">
    <w:p w14:paraId="36D58A19" w14:textId="29EEA2AB" w:rsidR="00E17621" w:rsidRPr="00B01805" w:rsidRDefault="00E17621" w:rsidP="00E17621">
      <w:pPr>
        <w:pStyle w:val="FootnoteText"/>
      </w:pPr>
      <w:r>
        <w:rPr>
          <w:rStyle w:val="FootnoteReference"/>
        </w:rPr>
        <w:footnoteRef/>
      </w:r>
      <w:r>
        <w:t xml:space="preserve"> Community Services Industry (Portable Long Service Leave) Bill 2019</w:t>
      </w:r>
      <w:r w:rsidR="00D27694">
        <w:t xml:space="preserve"> (Qld)</w:t>
      </w:r>
      <w:r>
        <w:t>.</w:t>
      </w:r>
    </w:p>
  </w:footnote>
  <w:footnote w:id="71">
    <w:p w14:paraId="7C3A7714" w14:textId="5C0E942A" w:rsidR="000E05D6" w:rsidRPr="000E05D6" w:rsidRDefault="000E05D6">
      <w:pPr>
        <w:pStyle w:val="FootnoteText"/>
        <w:rPr>
          <w:lang w:val="en-GB"/>
        </w:rPr>
      </w:pPr>
      <w:r>
        <w:rPr>
          <w:rStyle w:val="FootnoteReference"/>
        </w:rPr>
        <w:footnoteRef/>
      </w:r>
      <w:r>
        <w:t xml:space="preserve"> </w:t>
      </w:r>
      <w:r w:rsidR="00DD5B08" w:rsidRPr="00DD5B08">
        <w:rPr>
          <w:i/>
          <w:iCs/>
          <w:lang w:val="en-GB"/>
        </w:rPr>
        <w:t>Human Rights Act 2019</w:t>
      </w:r>
      <w:r w:rsidR="00DD5B08">
        <w:rPr>
          <w:lang w:val="en-GB"/>
        </w:rPr>
        <w:t xml:space="preserve"> (Qld)</w:t>
      </w:r>
      <w:r>
        <w:rPr>
          <w:lang w:val="en-GB"/>
        </w:rPr>
        <w:t xml:space="preserve"> s 38.</w:t>
      </w:r>
    </w:p>
  </w:footnote>
  <w:footnote w:id="72">
    <w:p w14:paraId="775F33C5" w14:textId="741ED9D0" w:rsidR="00CD6E9D" w:rsidRPr="00CD6E9D" w:rsidRDefault="00CD6E9D">
      <w:pPr>
        <w:pStyle w:val="FootnoteText"/>
        <w:rPr>
          <w:lang w:val="en-GB"/>
        </w:rPr>
      </w:pPr>
      <w:r>
        <w:rPr>
          <w:rStyle w:val="FootnoteReference"/>
        </w:rPr>
        <w:footnoteRef/>
      </w:r>
      <w:r>
        <w:t xml:space="preserve"> </w:t>
      </w:r>
      <w:r w:rsidR="00A17782" w:rsidRPr="00A17782">
        <w:rPr>
          <w:i/>
          <w:iCs/>
        </w:rPr>
        <w:t>Acts Interpretation Act 1952</w:t>
      </w:r>
      <w:r w:rsidR="00A17782">
        <w:t xml:space="preserve"> (Qld) </w:t>
      </w:r>
      <w:r w:rsidR="00A17782">
        <w:rPr>
          <w:lang w:val="en-GB"/>
        </w:rPr>
        <w:t>s</w:t>
      </w:r>
      <w:r>
        <w:rPr>
          <w:lang w:val="en-GB"/>
        </w:rPr>
        <w:t xml:space="preserve"> 14B</w:t>
      </w:r>
      <w:r w:rsidR="00A17782">
        <w:rPr>
          <w:lang w:val="en-GB"/>
        </w:rPr>
        <w:t>.</w:t>
      </w:r>
      <w:r>
        <w:rPr>
          <w:lang w:val="en-GB"/>
        </w:rPr>
        <w:t xml:space="preserve"> </w:t>
      </w:r>
    </w:p>
  </w:footnote>
  <w:footnote w:id="73">
    <w:p w14:paraId="1A427D41" w14:textId="77777777" w:rsidR="00E521DE" w:rsidRPr="00C62CC7" w:rsidRDefault="00E521DE" w:rsidP="00E521DE">
      <w:pPr>
        <w:pStyle w:val="FootnoteText"/>
        <w:rPr>
          <w:i/>
          <w:iCs/>
          <w:lang w:val="en-US"/>
        </w:rPr>
      </w:pPr>
      <w:r>
        <w:rPr>
          <w:rStyle w:val="FootnoteReference"/>
        </w:rPr>
        <w:footnoteRef/>
      </w:r>
      <w:r>
        <w:t xml:space="preserve"> </w:t>
      </w:r>
      <w:r>
        <w:rPr>
          <w:lang w:val="en-US"/>
        </w:rPr>
        <w:t xml:space="preserve">See for example </w:t>
      </w:r>
      <w:r>
        <w:t xml:space="preserve">Economics and Governance Committee, </w:t>
      </w:r>
      <w:r>
        <w:rPr>
          <w:i/>
          <w:iCs/>
        </w:rPr>
        <w:t>Inquiry into</w:t>
      </w:r>
      <w:r>
        <w:t xml:space="preserve"> </w:t>
      </w:r>
      <w:r w:rsidRPr="00EA0431">
        <w:rPr>
          <w:i/>
          <w:iCs/>
        </w:rPr>
        <w:t>Brisbane Olympic and Paralympic Games Arrangements Bill 2021</w:t>
      </w:r>
      <w:r>
        <w:t xml:space="preserve"> (Report No 20, November 2021) 57; </w:t>
      </w:r>
      <w:r w:rsidRPr="00A81B3E">
        <w:rPr>
          <w:rFonts w:cs="Arial"/>
        </w:rPr>
        <w:t xml:space="preserve">Legal Affairs and Safety Committee, Queensland Parliament, </w:t>
      </w:r>
      <w:r w:rsidRPr="00A81B3E">
        <w:rPr>
          <w:rFonts w:cs="Arial"/>
          <w:i/>
          <w:iCs/>
        </w:rPr>
        <w:t xml:space="preserve">Inquiry into Police Legislation (Efficiencies and Effectiveness) Amendment Bill 2021 </w:t>
      </w:r>
      <w:r w:rsidRPr="00A81B3E">
        <w:rPr>
          <w:rFonts w:cs="Arial"/>
        </w:rPr>
        <w:t>(Report</w:t>
      </w:r>
      <w:r>
        <w:rPr>
          <w:rFonts w:cs="Arial"/>
        </w:rPr>
        <w:t xml:space="preserve"> No 16</w:t>
      </w:r>
      <w:r w:rsidRPr="00A81B3E">
        <w:rPr>
          <w:rFonts w:cs="Arial"/>
        </w:rPr>
        <w:t>, November 2021)</w:t>
      </w:r>
      <w:r>
        <w:rPr>
          <w:rFonts w:cs="Arial"/>
        </w:rPr>
        <w:t xml:space="preserve"> 39</w:t>
      </w:r>
      <w:r w:rsidRPr="00A81B3E">
        <w:rPr>
          <w:rFonts w:cs="Arial"/>
        </w:rPr>
        <w:t>;</w:t>
      </w:r>
      <w:r>
        <w:rPr>
          <w:lang w:val="en-US"/>
        </w:rPr>
        <w:t xml:space="preserve"> </w:t>
      </w:r>
      <w:r>
        <w:t>Legal Affairs and Safety</w:t>
      </w:r>
      <w:r w:rsidRPr="00954407">
        <w:t xml:space="preserve"> Committee</w:t>
      </w:r>
      <w:r>
        <w:t xml:space="preserve">, Queensland Parliament, </w:t>
      </w:r>
      <w:r w:rsidRPr="0054084A">
        <w:rPr>
          <w:i/>
          <w:iCs/>
        </w:rPr>
        <w:t xml:space="preserve">Police Powers and Responsibilities and Other Legislation Amendment Bill 2021 </w:t>
      </w:r>
      <w:r>
        <w:t xml:space="preserve">(Report No 15, November 2021) 41; </w:t>
      </w:r>
      <w:r w:rsidRPr="00C62CC7">
        <w:rPr>
          <w:lang w:val="en-US"/>
        </w:rPr>
        <w:t>Community Support and Services Committee</w:t>
      </w:r>
      <w:r>
        <w:rPr>
          <w:lang w:val="en-US"/>
        </w:rPr>
        <w:t xml:space="preserve">, Queensland Parliament, </w:t>
      </w:r>
      <w:r>
        <w:rPr>
          <w:i/>
          <w:iCs/>
          <w:lang w:val="en-US"/>
        </w:rPr>
        <w:t xml:space="preserve">Inquiry into </w:t>
      </w:r>
      <w:r w:rsidRPr="00C62CC7">
        <w:rPr>
          <w:i/>
          <w:iCs/>
          <w:lang w:val="en-US"/>
        </w:rPr>
        <w:t>Child Protection Reform and Other Legislation Amendment Bill 2021</w:t>
      </w:r>
      <w:r>
        <w:rPr>
          <w:i/>
          <w:iCs/>
          <w:lang w:val="en-US"/>
        </w:rPr>
        <w:t xml:space="preserve"> </w:t>
      </w:r>
      <w:r>
        <w:rPr>
          <w:lang w:val="en-US"/>
        </w:rPr>
        <w:t>(Report No 12, November 2021) 34</w:t>
      </w:r>
      <w:r w:rsidRPr="00C62CC7">
        <w:rPr>
          <w:i/>
          <w:iCs/>
          <w:lang w:val="en-US"/>
        </w:rPr>
        <w:t xml:space="preserve">. </w:t>
      </w:r>
    </w:p>
  </w:footnote>
  <w:footnote w:id="74">
    <w:p w14:paraId="18E0F2A2" w14:textId="77777777" w:rsidR="006C70C5" w:rsidRDefault="006C70C5" w:rsidP="006C70C5">
      <w:pPr>
        <w:pStyle w:val="FootnoteText"/>
        <w:rPr>
          <w:lang w:val="en-US"/>
        </w:rPr>
      </w:pPr>
      <w:r>
        <w:rPr>
          <w:rStyle w:val="FootnoteReference"/>
        </w:rPr>
        <w:footnoteRef/>
      </w:r>
      <w:r>
        <w:t xml:space="preserve"> </w:t>
      </w:r>
      <w:r>
        <w:rPr>
          <w:lang w:val="en-US"/>
        </w:rPr>
        <w:t xml:space="preserve">To mid-June 2023. </w:t>
      </w:r>
    </w:p>
  </w:footnote>
  <w:footnote w:id="75">
    <w:p w14:paraId="7CA3B7D4" w14:textId="77777777" w:rsidR="00865FE3" w:rsidRDefault="00865FE3" w:rsidP="00865FE3">
      <w:pPr>
        <w:pStyle w:val="FootnoteText"/>
      </w:pPr>
      <w:r>
        <w:rPr>
          <w:rStyle w:val="FootnoteReference"/>
        </w:rPr>
        <w:footnoteRef/>
      </w:r>
      <w:r>
        <w:t xml:space="preserve"> </w:t>
      </w:r>
      <w:r w:rsidRPr="00615618">
        <w:rPr>
          <w:i/>
        </w:rPr>
        <w:t xml:space="preserve">Waratah Coal Pty Ltd v Youth Verdict Ltd &amp; Ors </w:t>
      </w:r>
      <w:r>
        <w:rPr>
          <w:i/>
        </w:rPr>
        <w:t>(No 5)</w:t>
      </w:r>
      <w:r w:rsidRPr="00615618">
        <w:rPr>
          <w:i/>
        </w:rPr>
        <w:t xml:space="preserve"> </w:t>
      </w:r>
      <w:r w:rsidRPr="00327996">
        <w:rPr>
          <w:iCs/>
        </w:rPr>
        <w:t>[2022] QLC 4</w:t>
      </w:r>
      <w:r>
        <w:rPr>
          <w:iCs/>
        </w:rPr>
        <w:t>.</w:t>
      </w:r>
    </w:p>
  </w:footnote>
  <w:footnote w:id="76">
    <w:p w14:paraId="5E7AA4F7" w14:textId="4DBAB350" w:rsidR="007408DF" w:rsidRPr="007408DF" w:rsidRDefault="007408DF">
      <w:pPr>
        <w:pStyle w:val="FootnoteText"/>
        <w:rPr>
          <w:lang w:val="en-GB"/>
        </w:rPr>
      </w:pPr>
      <w:r>
        <w:rPr>
          <w:rStyle w:val="FootnoteReference"/>
        </w:rPr>
        <w:footnoteRef/>
      </w:r>
      <w:r>
        <w:t xml:space="preserve"> </w:t>
      </w:r>
      <w:r w:rsidR="00FB7422" w:rsidRPr="00C864CC">
        <w:rPr>
          <w:i/>
          <w:iCs/>
          <w:lang w:val="en-GB"/>
        </w:rPr>
        <w:t>Human Rights Act 2019</w:t>
      </w:r>
      <w:r w:rsidR="00FB7422">
        <w:rPr>
          <w:lang w:val="en-GB"/>
        </w:rPr>
        <w:t xml:space="preserve"> (Qld) </w:t>
      </w:r>
      <w:r>
        <w:rPr>
          <w:lang w:val="en-GB"/>
        </w:rPr>
        <w:t>s 59.</w:t>
      </w:r>
    </w:p>
  </w:footnote>
  <w:footnote w:id="77">
    <w:p w14:paraId="749D6D17" w14:textId="77777777" w:rsidR="006C70C5" w:rsidRDefault="006C70C5" w:rsidP="006C70C5">
      <w:pPr>
        <w:pStyle w:val="FootnoteText"/>
        <w:rPr>
          <w:lang w:val="en-US"/>
        </w:rPr>
      </w:pPr>
      <w:r>
        <w:rPr>
          <w:rStyle w:val="FootnoteReference"/>
        </w:rPr>
        <w:footnoteRef/>
      </w:r>
      <w:r>
        <w:t xml:space="preserve"> </w:t>
      </w:r>
      <w:r>
        <w:rPr>
          <w:rFonts w:eastAsia="Arial" w:cs="Arial"/>
        </w:rPr>
        <w:t xml:space="preserve">Ruling in the </w:t>
      </w:r>
      <w:r>
        <w:rPr>
          <w:rFonts w:eastAsia="Arial" w:cs="Arial"/>
          <w:i/>
          <w:iCs/>
        </w:rPr>
        <w:t xml:space="preserve">Inquest into the death of Selesa </w:t>
      </w:r>
      <w:proofErr w:type="spellStart"/>
      <w:r>
        <w:rPr>
          <w:rFonts w:eastAsia="Arial" w:cs="Arial"/>
          <w:i/>
          <w:iCs/>
        </w:rPr>
        <w:t>Tafaifa</w:t>
      </w:r>
      <w:proofErr w:type="spellEnd"/>
      <w:r>
        <w:rPr>
          <w:rFonts w:eastAsia="Arial" w:cs="Arial"/>
          <w:i/>
          <w:iCs/>
        </w:rPr>
        <w:t xml:space="preserve"> </w:t>
      </w:r>
      <w:r>
        <w:rPr>
          <w:rFonts w:eastAsia="Arial" w:cs="Arial"/>
        </w:rPr>
        <w:t>(Coroners Court of Queensland, T Ryan, State Coroner, 20 June 2022).</w:t>
      </w:r>
    </w:p>
  </w:footnote>
  <w:footnote w:id="78">
    <w:p w14:paraId="1F283732" w14:textId="0CF3FBD3" w:rsidR="00D85A70" w:rsidRPr="00D85A70" w:rsidRDefault="00D85A70">
      <w:pPr>
        <w:pStyle w:val="FootnoteText"/>
        <w:rPr>
          <w:lang w:val="en-GB"/>
        </w:rPr>
      </w:pPr>
      <w:r>
        <w:rPr>
          <w:rStyle w:val="FootnoteReference"/>
        </w:rPr>
        <w:footnoteRef/>
      </w:r>
      <w:r>
        <w:t xml:space="preserve"> </w:t>
      </w:r>
      <w:r>
        <w:rPr>
          <w:lang w:val="en-GB"/>
        </w:rPr>
        <w:t xml:space="preserve">More information on each of these interventions are documented in the </w:t>
      </w:r>
      <w:r w:rsidR="00E2491C">
        <w:rPr>
          <w:lang w:val="en-GB"/>
        </w:rPr>
        <w:t xml:space="preserve">Commission’s </w:t>
      </w:r>
      <w:r>
        <w:rPr>
          <w:lang w:val="en-GB"/>
        </w:rPr>
        <w:t>Human Rights Act annual report.</w:t>
      </w:r>
    </w:p>
  </w:footnote>
  <w:footnote w:id="79">
    <w:p w14:paraId="36289E74" w14:textId="0D01A0BE" w:rsidR="00741931" w:rsidRPr="00741931" w:rsidRDefault="00741931">
      <w:pPr>
        <w:pStyle w:val="FootnoteText"/>
        <w:rPr>
          <w:lang w:val="en-GB"/>
        </w:rPr>
      </w:pPr>
      <w:r>
        <w:rPr>
          <w:rStyle w:val="FootnoteReference"/>
        </w:rPr>
        <w:footnoteRef/>
      </w:r>
      <w:r>
        <w:t xml:space="preserve"> </w:t>
      </w:r>
      <w:r w:rsidR="00FB7422">
        <w:t xml:space="preserve">Queensland Human Rights Commission, </w:t>
      </w:r>
      <w:r w:rsidR="00353F61" w:rsidRPr="00C864CC">
        <w:rPr>
          <w:i/>
          <w:iCs/>
        </w:rPr>
        <w:t>Intervention guideli</w:t>
      </w:r>
      <w:r w:rsidR="008B7156" w:rsidRPr="00C864CC">
        <w:rPr>
          <w:i/>
          <w:iCs/>
        </w:rPr>
        <w:t>n</w:t>
      </w:r>
      <w:r w:rsidR="00353F61" w:rsidRPr="00C864CC">
        <w:rPr>
          <w:i/>
          <w:iCs/>
        </w:rPr>
        <w:t>es</w:t>
      </w:r>
      <w:r w:rsidR="00353F61">
        <w:t xml:space="preserve"> (Web Page</w:t>
      </w:r>
      <w:r w:rsidR="008B7156">
        <w:t>, 3 February 2020</w:t>
      </w:r>
      <w:r w:rsidR="00353F61">
        <w:t xml:space="preserve">) </w:t>
      </w:r>
      <w:r w:rsidR="00231F44">
        <w:t>&lt;</w:t>
      </w:r>
      <w:r w:rsidR="00231F44" w:rsidRPr="00231F44">
        <w:t xml:space="preserve"> https://www.qhrc.qld.gov.au/resources/legal-information/intervention-guidelines</w:t>
      </w:r>
      <w:r w:rsidR="00231F44">
        <w:t>&gt;.</w:t>
      </w:r>
    </w:p>
  </w:footnote>
  <w:footnote w:id="80">
    <w:p w14:paraId="1E258CF3" w14:textId="5D9C4C56" w:rsidR="00E2491C" w:rsidRPr="00E2491C" w:rsidRDefault="00E2491C">
      <w:pPr>
        <w:pStyle w:val="FootnoteText"/>
        <w:rPr>
          <w:lang w:val="en-GB"/>
        </w:rPr>
      </w:pPr>
      <w:r>
        <w:rPr>
          <w:rStyle w:val="FootnoteReference"/>
        </w:rPr>
        <w:footnoteRef/>
      </w:r>
      <w:r>
        <w:t xml:space="preserve"> </w:t>
      </w:r>
      <w:r w:rsidR="00B12CA4">
        <w:t xml:space="preserve">Queensland Human Rights Commission, </w:t>
      </w:r>
      <w:r w:rsidR="00B12CA4" w:rsidRPr="003A3B84">
        <w:rPr>
          <w:i/>
          <w:iCs/>
        </w:rPr>
        <w:t>Intervention</w:t>
      </w:r>
      <w:r w:rsidR="00B12CA4">
        <w:rPr>
          <w:i/>
          <w:iCs/>
        </w:rPr>
        <w:t>s</w:t>
      </w:r>
      <w:r w:rsidR="00B12CA4">
        <w:t xml:space="preserve"> (Web Page, </w:t>
      </w:r>
      <w:r w:rsidR="0073601E">
        <w:t>18</w:t>
      </w:r>
      <w:r w:rsidR="00B12CA4">
        <w:t xml:space="preserve"> </w:t>
      </w:r>
      <w:r w:rsidR="0073601E">
        <w:t>July</w:t>
      </w:r>
      <w:r w:rsidR="00B12CA4">
        <w:t xml:space="preserve"> 202</w:t>
      </w:r>
      <w:r w:rsidR="0073601E">
        <w:t>3</w:t>
      </w:r>
      <w:r w:rsidR="00B12CA4">
        <w:t>)</w:t>
      </w:r>
      <w:r w:rsidR="00766B70">
        <w:t xml:space="preserve"> &lt;</w:t>
      </w:r>
      <w:r w:rsidR="00B12CA4">
        <w:t xml:space="preserve"> </w:t>
      </w:r>
      <w:r w:rsidR="00766B70" w:rsidRPr="00766B70">
        <w:t>https://www.qhrc.qld.gov.au/resources/legal-information/interventions</w:t>
      </w:r>
      <w:r w:rsidR="00766B70">
        <w:t>&gt;.</w:t>
      </w:r>
    </w:p>
  </w:footnote>
  <w:footnote w:id="81">
    <w:p w14:paraId="6BBBE4DA" w14:textId="77777777" w:rsidR="00CA6C99" w:rsidRDefault="00CA6C99" w:rsidP="00CA6C99">
      <w:pPr>
        <w:pStyle w:val="FootnoteText"/>
        <w:rPr>
          <w:rFonts w:eastAsia="Arial" w:cs="Arial"/>
        </w:rPr>
      </w:pPr>
      <w:r w:rsidRPr="0067222D">
        <w:rPr>
          <w:vertAlign w:val="superscript"/>
        </w:rPr>
        <w:footnoteRef/>
      </w:r>
      <w:r w:rsidRPr="0067222D">
        <w:rPr>
          <w:vertAlign w:val="superscript"/>
        </w:rPr>
        <w:t xml:space="preserve"> </w:t>
      </w:r>
      <w:r w:rsidRPr="3F59AE15">
        <w:rPr>
          <w:rFonts w:eastAsia="Arial" w:cs="Arial"/>
        </w:rPr>
        <w:t>Parliamentary Joint Committee</w:t>
      </w:r>
      <w:r w:rsidRPr="3F59AE15">
        <w:rPr>
          <w:rFonts w:eastAsia="Arial" w:cs="Arial"/>
          <w:i/>
          <w:iCs/>
        </w:rPr>
        <w:t xml:space="preserve"> </w:t>
      </w:r>
      <w:r w:rsidRPr="3F59AE15">
        <w:rPr>
          <w:rFonts w:eastAsia="Arial" w:cs="Arial"/>
        </w:rPr>
        <w:t>on Human Rights, Parliament of Australia,</w:t>
      </w:r>
      <w:r w:rsidRPr="3F59AE15">
        <w:rPr>
          <w:rFonts w:eastAsia="Arial" w:cs="Arial"/>
          <w:i/>
          <w:iCs/>
        </w:rPr>
        <w:t xml:space="preserve"> Inquiry into Australia's Human Rights Framework</w:t>
      </w:r>
      <w:r w:rsidRPr="3F59AE15">
        <w:rPr>
          <w:rFonts w:eastAsia="Arial" w:cs="Arial"/>
        </w:rPr>
        <w:t xml:space="preserve"> (</w:t>
      </w:r>
      <w:r>
        <w:rPr>
          <w:rFonts w:eastAsia="Arial" w:cs="Arial"/>
        </w:rPr>
        <w:t xml:space="preserve">Report, </w:t>
      </w:r>
      <w:r w:rsidRPr="3F59AE15">
        <w:rPr>
          <w:rFonts w:eastAsia="Arial" w:cs="Arial"/>
        </w:rPr>
        <w:t>2024</w:t>
      </w:r>
      <w:r w:rsidRPr="75229548">
        <w:rPr>
          <w:rFonts w:eastAsia="Arial" w:cs="Arial"/>
        </w:rPr>
        <w:t xml:space="preserve">), Appendix </w:t>
      </w:r>
      <w:r w:rsidRPr="0EC5EE82">
        <w:rPr>
          <w:rFonts w:eastAsia="Arial" w:cs="Arial"/>
        </w:rPr>
        <w:t xml:space="preserve">5: </w:t>
      </w:r>
      <w:r>
        <w:t>Example Human Rights Bill 2024 cl 39.</w:t>
      </w:r>
    </w:p>
  </w:footnote>
  <w:footnote w:id="82">
    <w:p w14:paraId="224768EC" w14:textId="77777777" w:rsidR="00CA6C99" w:rsidRDefault="00CA6C99" w:rsidP="00CA6C99">
      <w:pPr>
        <w:pStyle w:val="FootnoteText"/>
      </w:pPr>
      <w:r>
        <w:rPr>
          <w:rStyle w:val="FootnoteReference"/>
          <w:rFonts w:cs="Arial"/>
        </w:rPr>
        <w:footnoteRef/>
      </w:r>
      <w:r>
        <w:rPr>
          <w:rFonts w:cs="Arial"/>
        </w:rPr>
        <w:t xml:space="preserve"> Australian Human Rights Commission, </w:t>
      </w:r>
      <w:r>
        <w:rPr>
          <w:rFonts w:cs="Arial"/>
          <w:i/>
          <w:iCs/>
        </w:rPr>
        <w:t>Free and Equal: A Human Rights Act for Australia</w:t>
      </w:r>
      <w:r>
        <w:rPr>
          <w:rFonts w:cs="Arial"/>
        </w:rPr>
        <w:t xml:space="preserve"> (Position Paper, December 2022) 183‒215.</w:t>
      </w:r>
      <w:r>
        <w:t xml:space="preserve"> </w:t>
      </w:r>
    </w:p>
  </w:footnote>
  <w:footnote w:id="83">
    <w:p w14:paraId="2890E49A" w14:textId="77777777" w:rsidR="00CA6C99" w:rsidRDefault="00CA6C99" w:rsidP="00CA6C99">
      <w:pPr>
        <w:pStyle w:val="FootnoteText"/>
      </w:pPr>
      <w:r>
        <w:rPr>
          <w:rStyle w:val="FootnoteReference"/>
        </w:rPr>
        <w:footnoteRef/>
      </w:r>
      <w:r>
        <w:t xml:space="preserve"> </w:t>
      </w:r>
      <w:r w:rsidRPr="0067222D">
        <w:rPr>
          <w:i/>
        </w:rPr>
        <w:t>United Nations Declaration on the Rights of Indigenous Peoples</w:t>
      </w:r>
      <w:r>
        <w:t xml:space="preserve"> arts 18,19.</w:t>
      </w:r>
    </w:p>
  </w:footnote>
  <w:footnote w:id="84">
    <w:p w14:paraId="599EAAA1" w14:textId="77777777" w:rsidR="00CA6C99" w:rsidRDefault="00CA6C99" w:rsidP="00CA6C99">
      <w:pPr>
        <w:pStyle w:val="FootnoteText"/>
      </w:pPr>
      <w:r>
        <w:rPr>
          <w:rStyle w:val="FootnoteReference"/>
        </w:rPr>
        <w:footnoteRef/>
      </w:r>
      <w:r>
        <w:t xml:space="preserve"> </w:t>
      </w:r>
      <w:r w:rsidRPr="0067222D">
        <w:rPr>
          <w:i/>
        </w:rPr>
        <w:t>United Nations Convention on the Rights of the Child</w:t>
      </w:r>
      <w:r>
        <w:t xml:space="preserve"> arts 3,12.</w:t>
      </w:r>
      <w:r w:rsidDel="002076CE">
        <w:t xml:space="preserve"> </w:t>
      </w:r>
    </w:p>
  </w:footnote>
  <w:footnote w:id="85">
    <w:p w14:paraId="3704D5A7" w14:textId="77777777" w:rsidR="00CA6C99" w:rsidRDefault="00CA6C99" w:rsidP="00CA6C99">
      <w:pPr>
        <w:pStyle w:val="FootnoteText"/>
      </w:pPr>
      <w:r>
        <w:rPr>
          <w:rStyle w:val="FootnoteReference"/>
        </w:rPr>
        <w:footnoteRef/>
      </w:r>
      <w:r>
        <w:t xml:space="preserve"> </w:t>
      </w:r>
      <w:r>
        <w:rPr>
          <w:rFonts w:cs="Arial"/>
        </w:rPr>
        <w:t xml:space="preserve">Australian Human Rights Commission, </w:t>
      </w:r>
      <w:r>
        <w:rPr>
          <w:rFonts w:cs="Arial"/>
          <w:i/>
          <w:iCs/>
        </w:rPr>
        <w:t>Free and Equal: A Human Rights Act for Australia</w:t>
      </w:r>
      <w:r>
        <w:rPr>
          <w:rFonts w:cs="Arial"/>
        </w:rPr>
        <w:t xml:space="preserve"> (Position Paper, December 2022) 198-199.</w:t>
      </w:r>
    </w:p>
  </w:footnote>
  <w:footnote w:id="86">
    <w:p w14:paraId="4F85487A" w14:textId="77777777" w:rsidR="00CA6C99" w:rsidRDefault="00CA6C99" w:rsidP="00CA6C99">
      <w:pPr>
        <w:pStyle w:val="FootnoteText"/>
      </w:pPr>
      <w:r>
        <w:rPr>
          <w:rStyle w:val="FootnoteReference"/>
        </w:rPr>
        <w:footnoteRef/>
      </w:r>
      <w:r>
        <w:t xml:space="preserve"> </w:t>
      </w:r>
      <w:r w:rsidRPr="0067222D">
        <w:rPr>
          <w:i/>
        </w:rPr>
        <w:t>Convention on the Rights of Persons with Disabilities</w:t>
      </w:r>
      <w:r>
        <w:t xml:space="preserve"> arts 4(3),12.</w:t>
      </w:r>
    </w:p>
  </w:footnote>
  <w:footnote w:id="87">
    <w:p w14:paraId="33760BCC" w14:textId="5029690A" w:rsidR="00EE068C" w:rsidRPr="00EE068C" w:rsidRDefault="00EE068C">
      <w:pPr>
        <w:pStyle w:val="FootnoteText"/>
        <w:rPr>
          <w:lang w:val="en-GB"/>
        </w:rPr>
      </w:pPr>
      <w:r>
        <w:rPr>
          <w:rStyle w:val="FootnoteReference"/>
        </w:rPr>
        <w:footnoteRef/>
      </w:r>
      <w:r>
        <w:t xml:space="preserve"> </w:t>
      </w:r>
      <w:r w:rsidR="005757CE" w:rsidRPr="00C864CC">
        <w:rPr>
          <w:i/>
          <w:iCs/>
          <w:lang w:val="en-GB"/>
        </w:rPr>
        <w:t>Human Rights Act</w:t>
      </w:r>
      <w:r w:rsidR="009E01CE" w:rsidRPr="00C864CC">
        <w:rPr>
          <w:i/>
          <w:iCs/>
          <w:lang w:val="en-GB"/>
        </w:rPr>
        <w:t xml:space="preserve"> 2019</w:t>
      </w:r>
      <w:r w:rsidR="009E01CE">
        <w:rPr>
          <w:lang w:val="en-GB"/>
        </w:rPr>
        <w:t xml:space="preserve"> (Qld)</w:t>
      </w:r>
      <w:r w:rsidR="005757CE">
        <w:rPr>
          <w:lang w:val="en-GB"/>
        </w:rPr>
        <w:t xml:space="preserve"> </w:t>
      </w:r>
      <w:r>
        <w:rPr>
          <w:lang w:val="en-GB"/>
        </w:rPr>
        <w:t>s 9(h)</w:t>
      </w:r>
      <w:r w:rsidR="009E01CE">
        <w:rPr>
          <w:lang w:val="en-GB"/>
        </w:rPr>
        <w:t>.</w:t>
      </w:r>
    </w:p>
  </w:footnote>
  <w:footnote w:id="88">
    <w:p w14:paraId="12AB7D46" w14:textId="5FAF90C1" w:rsidR="00E31C9C" w:rsidRPr="00FA2DB6" w:rsidRDefault="00E31C9C" w:rsidP="00E31C9C">
      <w:pPr>
        <w:pStyle w:val="FootnoteText"/>
        <w:rPr>
          <w:lang w:val="en-GB"/>
        </w:rPr>
      </w:pPr>
      <w:r>
        <w:rPr>
          <w:rStyle w:val="FootnoteReference"/>
        </w:rPr>
        <w:footnoteRef/>
      </w:r>
      <w:r>
        <w:t xml:space="preserve"> </w:t>
      </w:r>
      <w:r w:rsidR="009E01CE" w:rsidRPr="003A3B84">
        <w:rPr>
          <w:i/>
          <w:iCs/>
          <w:lang w:val="en-GB"/>
        </w:rPr>
        <w:t>Human Rights Act 2019</w:t>
      </w:r>
      <w:r w:rsidR="009E01CE">
        <w:rPr>
          <w:lang w:val="en-GB"/>
        </w:rPr>
        <w:t xml:space="preserve"> (Qld)</w:t>
      </w:r>
      <w:r>
        <w:rPr>
          <w:lang w:val="en-GB"/>
        </w:rPr>
        <w:t xml:space="preserve"> s 9(h).</w:t>
      </w:r>
    </w:p>
  </w:footnote>
  <w:footnote w:id="89">
    <w:p w14:paraId="32FD25DC" w14:textId="4FA0554F" w:rsidR="00E31C9C" w:rsidRPr="008F6702" w:rsidRDefault="00E31C9C" w:rsidP="00E31C9C">
      <w:pPr>
        <w:pStyle w:val="FootnoteText"/>
        <w:rPr>
          <w:lang w:val="en-GB"/>
        </w:rPr>
      </w:pPr>
      <w:r>
        <w:rPr>
          <w:rStyle w:val="FootnoteReference"/>
        </w:rPr>
        <w:footnoteRef/>
      </w:r>
      <w:r>
        <w:t xml:space="preserve"> </w:t>
      </w:r>
      <w:r w:rsidRPr="00C864CC">
        <w:rPr>
          <w:i/>
          <w:iCs/>
          <w:lang w:val="en-GB"/>
        </w:rPr>
        <w:t xml:space="preserve">Charter </w:t>
      </w:r>
      <w:r w:rsidR="00A40F14" w:rsidRPr="00C864CC">
        <w:rPr>
          <w:i/>
          <w:iCs/>
          <w:lang w:val="en-GB"/>
        </w:rPr>
        <w:t>of Human Rights and Responsibilities Act 2006</w:t>
      </w:r>
      <w:r w:rsidR="00A40F14">
        <w:rPr>
          <w:lang w:val="en-GB"/>
        </w:rPr>
        <w:t xml:space="preserve"> (Vic) </w:t>
      </w:r>
      <w:r>
        <w:rPr>
          <w:lang w:val="en-GB"/>
        </w:rPr>
        <w:t>s 4(1)(c)</w:t>
      </w:r>
      <w:r w:rsidR="00A40F14">
        <w:rPr>
          <w:lang w:val="en-GB"/>
        </w:rPr>
        <w:t>.</w:t>
      </w:r>
    </w:p>
  </w:footnote>
  <w:footnote w:id="90">
    <w:p w14:paraId="54582220" w14:textId="6D511A12" w:rsidR="005F0425" w:rsidRPr="005F0425" w:rsidRDefault="005F0425">
      <w:pPr>
        <w:pStyle w:val="FootnoteText"/>
        <w:rPr>
          <w:lang w:val="en-GB"/>
        </w:rPr>
      </w:pPr>
      <w:r>
        <w:rPr>
          <w:rStyle w:val="FootnoteReference"/>
        </w:rPr>
        <w:footnoteRef/>
      </w:r>
      <w:r>
        <w:t xml:space="preserve"> </w:t>
      </w:r>
      <w:r w:rsidR="00411EFB" w:rsidRPr="003A3B84">
        <w:rPr>
          <w:i/>
          <w:iCs/>
          <w:lang w:val="en-GB"/>
        </w:rPr>
        <w:t>Human Rights Act 2019</w:t>
      </w:r>
      <w:r w:rsidR="00411EFB">
        <w:rPr>
          <w:lang w:val="en-GB"/>
        </w:rPr>
        <w:t xml:space="preserve"> (Qld) </w:t>
      </w:r>
      <w:r>
        <w:rPr>
          <w:lang w:val="en-GB"/>
        </w:rPr>
        <w:t>s 9(1)(</w:t>
      </w:r>
      <w:r w:rsidR="00E30E52">
        <w:rPr>
          <w:lang w:val="en-GB"/>
        </w:rPr>
        <w:t>f)</w:t>
      </w:r>
      <w:r w:rsidR="00411EFB">
        <w:rPr>
          <w:lang w:val="en-GB"/>
        </w:rPr>
        <w:t>.</w:t>
      </w:r>
    </w:p>
  </w:footnote>
  <w:footnote w:id="91">
    <w:p w14:paraId="2B68826F" w14:textId="2FCA3A3C" w:rsidR="00F41246" w:rsidRPr="00F41246" w:rsidRDefault="00F41246">
      <w:pPr>
        <w:pStyle w:val="FootnoteText"/>
        <w:rPr>
          <w:lang w:val="en-GB"/>
        </w:rPr>
      </w:pPr>
      <w:r>
        <w:rPr>
          <w:rStyle w:val="FootnoteReference"/>
        </w:rPr>
        <w:footnoteRef/>
      </w:r>
      <w:r>
        <w:t xml:space="preserve"> </w:t>
      </w:r>
      <w:r w:rsidR="00515FCF" w:rsidRPr="00C864CC">
        <w:rPr>
          <w:i/>
          <w:iCs/>
        </w:rPr>
        <w:t xml:space="preserve">Human Rights </w:t>
      </w:r>
      <w:r w:rsidRPr="00C864CC">
        <w:rPr>
          <w:i/>
          <w:iCs/>
          <w:lang w:val="en-GB"/>
        </w:rPr>
        <w:t>Reg</w:t>
      </w:r>
      <w:r w:rsidR="00515FCF" w:rsidRPr="00C864CC">
        <w:rPr>
          <w:i/>
          <w:iCs/>
          <w:lang w:val="en-GB"/>
        </w:rPr>
        <w:t>ulation 2020</w:t>
      </w:r>
      <w:r w:rsidR="00515FCF">
        <w:rPr>
          <w:lang w:val="en-GB"/>
        </w:rPr>
        <w:t xml:space="preserve"> (Qld)</w:t>
      </w:r>
      <w:r w:rsidR="00971626">
        <w:rPr>
          <w:lang w:val="en-GB"/>
        </w:rPr>
        <w:t xml:space="preserve"> </w:t>
      </w:r>
      <w:r w:rsidR="0023758D">
        <w:rPr>
          <w:lang w:val="en-GB"/>
        </w:rPr>
        <w:t>s</w:t>
      </w:r>
      <w:r>
        <w:rPr>
          <w:lang w:val="en-GB"/>
        </w:rPr>
        <w:t xml:space="preserve"> 2</w:t>
      </w:r>
      <w:r w:rsidR="0023758D">
        <w:rPr>
          <w:lang w:val="en-GB"/>
        </w:rPr>
        <w:t>.</w:t>
      </w:r>
    </w:p>
  </w:footnote>
  <w:footnote w:id="92">
    <w:p w14:paraId="02DE19AE" w14:textId="51010C63" w:rsidR="00C22006" w:rsidRPr="00C22006" w:rsidRDefault="00C22006">
      <w:pPr>
        <w:pStyle w:val="FootnoteText"/>
        <w:rPr>
          <w:lang w:val="en-GB"/>
        </w:rPr>
      </w:pPr>
      <w:r>
        <w:rPr>
          <w:rStyle w:val="FootnoteReference"/>
        </w:rPr>
        <w:footnoteRef/>
      </w:r>
      <w:r>
        <w:t xml:space="preserve"> Explanatory Note</w:t>
      </w:r>
      <w:r w:rsidR="00373DC8">
        <w:t>s</w:t>
      </w:r>
      <w:r w:rsidR="0056756E">
        <w:t xml:space="preserve">, </w:t>
      </w:r>
      <w:r w:rsidRPr="00C864CC">
        <w:rPr>
          <w:i/>
          <w:lang w:val="en-GB"/>
        </w:rPr>
        <w:t>Human Rights Regulation 2020</w:t>
      </w:r>
      <w:r w:rsidR="0056756E">
        <w:rPr>
          <w:lang w:val="en-GB"/>
        </w:rPr>
        <w:t xml:space="preserve"> (Qld)</w:t>
      </w:r>
      <w:r>
        <w:rPr>
          <w:lang w:val="en-GB"/>
        </w:rPr>
        <w:t xml:space="preserve"> 2. </w:t>
      </w:r>
    </w:p>
  </w:footnote>
  <w:footnote w:id="93">
    <w:p w14:paraId="620BD33F" w14:textId="66EE0E59" w:rsidR="00986787" w:rsidRPr="00986787" w:rsidRDefault="00986787">
      <w:pPr>
        <w:pStyle w:val="FootnoteText"/>
        <w:rPr>
          <w:lang w:val="en-GB"/>
        </w:rPr>
      </w:pPr>
      <w:r>
        <w:rPr>
          <w:rStyle w:val="FootnoteReference"/>
        </w:rPr>
        <w:footnoteRef/>
      </w:r>
      <w:r>
        <w:t xml:space="preserve"> </w:t>
      </w:r>
      <w:r>
        <w:rPr>
          <w:lang w:val="en-GB"/>
        </w:rPr>
        <w:t>Human Rights Certificate</w:t>
      </w:r>
      <w:r w:rsidR="0035415C">
        <w:rPr>
          <w:lang w:val="en-GB"/>
        </w:rPr>
        <w:t xml:space="preserve"> to the </w:t>
      </w:r>
      <w:r w:rsidR="0035415C" w:rsidRPr="00C864CC">
        <w:rPr>
          <w:i/>
          <w:lang w:val="en-GB"/>
        </w:rPr>
        <w:t>Human Rights Regulation 2020</w:t>
      </w:r>
      <w:r>
        <w:rPr>
          <w:lang w:val="en-GB"/>
        </w:rPr>
        <w:t xml:space="preserve"> </w:t>
      </w:r>
      <w:r w:rsidR="0072320E">
        <w:rPr>
          <w:lang w:val="en-GB"/>
        </w:rPr>
        <w:t xml:space="preserve">(Qld) </w:t>
      </w:r>
      <w:r>
        <w:rPr>
          <w:lang w:val="en-GB"/>
        </w:rPr>
        <w:t xml:space="preserve">4. </w:t>
      </w:r>
    </w:p>
  </w:footnote>
  <w:footnote w:id="94">
    <w:p w14:paraId="034D1D8B" w14:textId="263A2BF1" w:rsidR="00F36CC6" w:rsidRPr="00C864CC" w:rsidRDefault="00F36CC6">
      <w:pPr>
        <w:pStyle w:val="FootnoteText"/>
        <w:rPr>
          <w:lang w:val="en-US"/>
        </w:rPr>
      </w:pPr>
      <w:r>
        <w:rPr>
          <w:rStyle w:val="FootnoteReference"/>
        </w:rPr>
        <w:footnoteRef/>
      </w:r>
      <w:r>
        <w:t xml:space="preserve"> </w:t>
      </w:r>
      <w:r w:rsidR="00B23378">
        <w:t xml:space="preserve">Explanatory Notes, </w:t>
      </w:r>
      <w:r>
        <w:rPr>
          <w:lang w:val="en-US"/>
        </w:rPr>
        <w:t>Human Rights Bill</w:t>
      </w:r>
      <w:r w:rsidR="00216836">
        <w:rPr>
          <w:lang w:val="en-US"/>
        </w:rPr>
        <w:t xml:space="preserve"> 2018 (Qld) 14</w:t>
      </w:r>
      <w:r w:rsidR="00445670">
        <w:rPr>
          <w:lang w:val="en-US"/>
        </w:rPr>
        <w:t>–15.</w:t>
      </w:r>
    </w:p>
  </w:footnote>
  <w:footnote w:id="95">
    <w:p w14:paraId="6DE8A292" w14:textId="5DE0AD83" w:rsidR="00B76202" w:rsidRPr="00B76202" w:rsidRDefault="00B76202">
      <w:pPr>
        <w:pStyle w:val="FootnoteText"/>
        <w:rPr>
          <w:lang w:val="en-GB"/>
        </w:rPr>
      </w:pPr>
      <w:r>
        <w:rPr>
          <w:rStyle w:val="FootnoteReference"/>
        </w:rPr>
        <w:footnoteRef/>
      </w:r>
      <w:r>
        <w:t xml:space="preserve"> </w:t>
      </w:r>
      <w:r w:rsidR="00641AF5" w:rsidRPr="003A3B84">
        <w:rPr>
          <w:i/>
          <w:iCs/>
          <w:lang w:val="en-GB"/>
        </w:rPr>
        <w:t>Human Rights Act 2019</w:t>
      </w:r>
      <w:r w:rsidR="00641AF5">
        <w:rPr>
          <w:lang w:val="en-GB"/>
        </w:rPr>
        <w:t xml:space="preserve"> (Qld) </w:t>
      </w:r>
      <w:r>
        <w:t>s 9(2).</w:t>
      </w:r>
    </w:p>
  </w:footnote>
  <w:footnote w:id="96">
    <w:p w14:paraId="7907B68D" w14:textId="72B11615" w:rsidR="00FA3C7B" w:rsidRPr="00FA3C7B" w:rsidRDefault="00FA3C7B">
      <w:pPr>
        <w:pStyle w:val="FootnoteText"/>
        <w:rPr>
          <w:lang w:val="en-GB"/>
        </w:rPr>
      </w:pPr>
      <w:r>
        <w:rPr>
          <w:rStyle w:val="FootnoteReference"/>
        </w:rPr>
        <w:footnoteRef/>
      </w:r>
      <w:r>
        <w:t xml:space="preserve"> </w:t>
      </w:r>
      <w:r w:rsidR="00641AF5" w:rsidRPr="003A3B84">
        <w:rPr>
          <w:i/>
          <w:iCs/>
          <w:lang w:val="en-GB"/>
        </w:rPr>
        <w:t>Human Rights Act 2019</w:t>
      </w:r>
      <w:r w:rsidR="00641AF5">
        <w:rPr>
          <w:lang w:val="en-GB"/>
        </w:rPr>
        <w:t xml:space="preserve"> (Qld) </w:t>
      </w:r>
      <w:r w:rsidR="00CF74D7">
        <w:rPr>
          <w:lang w:val="en-GB"/>
        </w:rPr>
        <w:t xml:space="preserve">s </w:t>
      </w:r>
      <w:r>
        <w:rPr>
          <w:lang w:val="en-GB"/>
        </w:rPr>
        <w:t>36</w:t>
      </w:r>
      <w:r w:rsidR="00CF74D7">
        <w:rPr>
          <w:lang w:val="en-GB"/>
        </w:rPr>
        <w:t>.</w:t>
      </w:r>
    </w:p>
  </w:footnote>
  <w:footnote w:id="97">
    <w:p w14:paraId="682048A2" w14:textId="793E8C12" w:rsidR="004B1101" w:rsidRPr="004B1101" w:rsidRDefault="004B1101">
      <w:pPr>
        <w:pStyle w:val="FootnoteText"/>
        <w:rPr>
          <w:lang w:val="en-GB"/>
        </w:rPr>
      </w:pPr>
      <w:r>
        <w:rPr>
          <w:rStyle w:val="FootnoteReference"/>
        </w:rPr>
        <w:footnoteRef/>
      </w:r>
      <w:r>
        <w:t xml:space="preserve"> </w:t>
      </w:r>
      <w:r w:rsidR="00BF7F83" w:rsidRPr="00BF7F83">
        <w:rPr>
          <w:i/>
          <w:iCs/>
        </w:rPr>
        <w:t>Education (General Provision) Act 2006</w:t>
      </w:r>
      <w:r w:rsidR="00BF7F83">
        <w:t xml:space="preserve"> (Qld) s 50;</w:t>
      </w:r>
      <w:r w:rsidR="009968EF" w:rsidRPr="009968EF">
        <w:t xml:space="preserve"> </w:t>
      </w:r>
      <w:r w:rsidR="009968EF">
        <w:t xml:space="preserve">Australian Government Department of Education, </w:t>
      </w:r>
      <w:r w:rsidR="009968EF" w:rsidRPr="00FE0550">
        <w:rPr>
          <w:i/>
          <w:iCs/>
        </w:rPr>
        <w:t>Commonwealth and State Responsibilities for School Funding</w:t>
      </w:r>
      <w:r w:rsidR="009968EF">
        <w:t>, Australian Government Department of Education, Canberra, 2017; Education (Accreditation of Non-State Schools) Act 2017 (Qld); Education (Accreditation of Non-State Schools) Regulation 2017 (Qld).</w:t>
      </w:r>
    </w:p>
  </w:footnote>
  <w:footnote w:id="98">
    <w:p w14:paraId="7BC057A6" w14:textId="0DE29D21" w:rsidR="005F04C2" w:rsidRPr="005F04C2" w:rsidRDefault="005F04C2">
      <w:pPr>
        <w:pStyle w:val="FootnoteText"/>
        <w:rPr>
          <w:lang w:val="en-GB"/>
        </w:rPr>
      </w:pPr>
      <w:r>
        <w:rPr>
          <w:rStyle w:val="FootnoteReference"/>
        </w:rPr>
        <w:footnoteRef/>
      </w:r>
      <w:r>
        <w:t xml:space="preserve"> Department of Education (Qld), </w:t>
      </w:r>
      <w:r>
        <w:rPr>
          <w:i/>
          <w:iCs/>
        </w:rPr>
        <w:t>Queensland Non-State Schools Accreditation Framework Review: Submission Guide</w:t>
      </w:r>
      <w:r>
        <w:t xml:space="preserve"> (2023) 1.</w:t>
      </w:r>
    </w:p>
  </w:footnote>
  <w:footnote w:id="99">
    <w:p w14:paraId="7B07A38C" w14:textId="06D42969" w:rsidR="00FA3B4F" w:rsidRPr="00FA3B4F" w:rsidRDefault="00FA3B4F">
      <w:pPr>
        <w:pStyle w:val="FootnoteText"/>
        <w:rPr>
          <w:lang w:val="en-GB"/>
        </w:rPr>
      </w:pPr>
      <w:r>
        <w:rPr>
          <w:rStyle w:val="FootnoteReference"/>
        </w:rPr>
        <w:footnoteRef/>
      </w:r>
      <w:r>
        <w:t xml:space="preserve"> Queensland Human Rights Commission, </w:t>
      </w:r>
      <w:r w:rsidRPr="00C864CC">
        <w:rPr>
          <w:i/>
          <w:iCs/>
        </w:rPr>
        <w:t>Human rights case studies</w:t>
      </w:r>
      <w:r>
        <w:t xml:space="preserve"> (Web Page, 1 December 2022) &lt;</w:t>
      </w:r>
      <w:r w:rsidRPr="0096373C">
        <w:t>https://www.qhrc.qld.gov.au/resources/case-studies/human-rights-case-studies</w:t>
      </w:r>
      <w:r>
        <w:t>&gt;.</w:t>
      </w:r>
    </w:p>
  </w:footnote>
  <w:footnote w:id="100">
    <w:p w14:paraId="4714A52B" w14:textId="77777777" w:rsidR="00A76068" w:rsidRPr="00EB2930" w:rsidRDefault="00A76068" w:rsidP="00A76068">
      <w:pPr>
        <w:pStyle w:val="FootnoteText"/>
      </w:pPr>
      <w:r>
        <w:rPr>
          <w:rStyle w:val="FootnoteReference"/>
        </w:rPr>
        <w:footnoteRef/>
      </w:r>
      <w:r>
        <w:t xml:space="preserve"> Based on figures drawn from the Commission’s complaint management database based on the average resolution rate over the first 4 years of operation of the Act. Where a complaint is a ‘piggy-backed’, that is where it is dealt with under the Anti-Discrimination Act but contains human rights allegations, the resolution rate is even lower, at 27%.</w:t>
      </w:r>
    </w:p>
  </w:footnote>
  <w:footnote w:id="101">
    <w:p w14:paraId="617244E1" w14:textId="331B172C" w:rsidR="00E64C85" w:rsidRPr="00E64C85" w:rsidRDefault="00E64C85">
      <w:pPr>
        <w:pStyle w:val="FootnoteText"/>
        <w:rPr>
          <w:lang w:val="en-GB"/>
        </w:rPr>
      </w:pPr>
      <w:r>
        <w:rPr>
          <w:rStyle w:val="FootnoteReference"/>
        </w:rPr>
        <w:footnoteRef/>
      </w:r>
      <w:r>
        <w:t xml:space="preserve"> Based on figures drawn from the Commission’s complaint management database. The data relates to complaints accepted and finalised between 1 July 2019 and 30 June 2023, as complainant representation </w:t>
      </w:r>
      <w:r w:rsidR="00FB3546">
        <w:t>was</w:t>
      </w:r>
      <w:r>
        <w:t xml:space="preserve"> not recorded for the full 4-year period.</w:t>
      </w:r>
    </w:p>
  </w:footnote>
  <w:footnote w:id="102">
    <w:p w14:paraId="001B9E0E" w14:textId="620E5FB4" w:rsidR="00D75C5E" w:rsidRPr="00CA1D0A" w:rsidRDefault="00D75C5E" w:rsidP="00D75C5E">
      <w:pPr>
        <w:pStyle w:val="FootnoteText"/>
      </w:pPr>
      <w:r>
        <w:rPr>
          <w:rStyle w:val="FootnoteReference"/>
        </w:rPr>
        <w:footnoteRef/>
      </w:r>
      <w:r>
        <w:t xml:space="preserve"> </w:t>
      </w:r>
      <w:r>
        <w:rPr>
          <w:i/>
        </w:rPr>
        <w:t xml:space="preserve">Human Rights Act 2019 </w:t>
      </w:r>
      <w:r w:rsidR="00CF74D7">
        <w:rPr>
          <w:iCs/>
        </w:rPr>
        <w:t xml:space="preserve">(Qld) </w:t>
      </w:r>
      <w:r>
        <w:t>s 88(1)-(3)</w:t>
      </w:r>
      <w:r w:rsidR="00CF74D7">
        <w:t>.</w:t>
      </w:r>
    </w:p>
  </w:footnote>
  <w:footnote w:id="103">
    <w:p w14:paraId="3E8B1C4F" w14:textId="075F3FF4" w:rsidR="00D75C5E" w:rsidRDefault="00D75C5E" w:rsidP="00D75C5E">
      <w:pPr>
        <w:pStyle w:val="FootnoteText"/>
      </w:pPr>
      <w:r>
        <w:rPr>
          <w:rStyle w:val="FootnoteReference"/>
        </w:rPr>
        <w:footnoteRef/>
      </w:r>
      <w:r>
        <w:t xml:space="preserve"> </w:t>
      </w:r>
      <w:r>
        <w:rPr>
          <w:i/>
        </w:rPr>
        <w:t xml:space="preserve">Human Rights Act 2019 </w:t>
      </w:r>
      <w:r w:rsidR="00CF74D7">
        <w:rPr>
          <w:iCs/>
        </w:rPr>
        <w:t xml:space="preserve">(Qld) </w:t>
      </w:r>
      <w:r>
        <w:t>s 88(4).</w:t>
      </w:r>
    </w:p>
  </w:footnote>
  <w:footnote w:id="104">
    <w:p w14:paraId="5AE8C521" w14:textId="0EA927F5" w:rsidR="00302E7B" w:rsidRPr="00302E7B" w:rsidRDefault="00302E7B">
      <w:pPr>
        <w:pStyle w:val="FootnoteText"/>
      </w:pPr>
      <w:r>
        <w:rPr>
          <w:rStyle w:val="FootnoteReference"/>
        </w:rPr>
        <w:footnoteRef/>
      </w:r>
      <w:r>
        <w:t xml:space="preserve"> </w:t>
      </w:r>
      <w:r w:rsidR="009D6BD2">
        <w:t xml:space="preserve">Queensland Human Rights Commission, </w:t>
      </w:r>
      <w:r w:rsidR="003F2A72">
        <w:t>‘</w:t>
      </w:r>
      <w:r w:rsidR="009D6BD2">
        <w:t>Section 88 report recommen</w:t>
      </w:r>
      <w:r w:rsidR="00C17A20">
        <w:t>dations guideline</w:t>
      </w:r>
      <w:r w:rsidR="003F2A72">
        <w:t>’</w:t>
      </w:r>
      <w:r w:rsidR="00C17A20">
        <w:t xml:space="preserve"> </w:t>
      </w:r>
      <w:r w:rsidR="008D1EA2">
        <w:t>(Guideline,</w:t>
      </w:r>
      <w:r w:rsidR="00C17A20">
        <w:t>11 September 2023</w:t>
      </w:r>
      <w:r w:rsidR="008D1EA2">
        <w:t>)</w:t>
      </w:r>
      <w:r w:rsidR="00EE0537">
        <w:t>.</w:t>
      </w:r>
      <w:r w:rsidR="00C17A20">
        <w:t xml:space="preserve"> </w:t>
      </w:r>
    </w:p>
  </w:footnote>
  <w:footnote w:id="105">
    <w:p w14:paraId="6B116248" w14:textId="0A6E8D17" w:rsidR="008971B6" w:rsidRPr="008971B6" w:rsidRDefault="008971B6">
      <w:pPr>
        <w:pStyle w:val="FootnoteText"/>
      </w:pPr>
      <w:r>
        <w:rPr>
          <w:rStyle w:val="FootnoteReference"/>
        </w:rPr>
        <w:footnoteRef/>
      </w:r>
      <w:r>
        <w:t xml:space="preserve"> </w:t>
      </w:r>
      <w:r w:rsidR="00E13F28">
        <w:t xml:space="preserve">Queensland Human Rights Commission, </w:t>
      </w:r>
      <w:r w:rsidR="00A16735" w:rsidRPr="00C864CC">
        <w:rPr>
          <w:i/>
          <w:iCs/>
        </w:rPr>
        <w:t>Reports on unresolved human rights complaints</w:t>
      </w:r>
      <w:r w:rsidR="00A16735">
        <w:t xml:space="preserve"> (Web Page, </w:t>
      </w:r>
      <w:r w:rsidR="00835E8E">
        <w:t>15 October 2020)</w:t>
      </w:r>
      <w:r w:rsidR="00D06514">
        <w:t xml:space="preserve"> &lt;</w:t>
      </w:r>
      <w:r w:rsidR="00D06514" w:rsidRPr="00D06514">
        <w:t xml:space="preserve"> https://www.qhrc.qld.gov.au/resources/legal-information/reports-on-unresolved-human-rights-complaints</w:t>
      </w:r>
      <w:r w:rsidR="00D06514">
        <w:t>&gt;.</w:t>
      </w:r>
    </w:p>
  </w:footnote>
  <w:footnote w:id="106">
    <w:p w14:paraId="63A8B267" w14:textId="77777777" w:rsidR="00A11F64" w:rsidRDefault="00A11F64" w:rsidP="00A11F64">
      <w:pPr>
        <w:pStyle w:val="FootnoteText"/>
      </w:pPr>
      <w:r w:rsidRPr="5112CF9B">
        <w:rPr>
          <w:rStyle w:val="FootnoteReference"/>
        </w:rPr>
        <w:footnoteRef/>
      </w:r>
      <w:r>
        <w:t xml:space="preserve"> </w:t>
      </w:r>
      <w:r w:rsidRPr="007A163B">
        <w:rPr>
          <w:i/>
        </w:rPr>
        <w:t>Anti-Discrimination Act 1991</w:t>
      </w:r>
      <w:r w:rsidRPr="007A163B">
        <w:t xml:space="preserve"> (Qld) ss 129-131;</w:t>
      </w:r>
      <w:r w:rsidRPr="00DF3B85">
        <w:rPr>
          <w:rFonts w:eastAsia="Arial" w:cs="Arial"/>
          <w:i/>
        </w:rPr>
        <w:t xml:space="preserve"> Disability Discrimination Act 1992</w:t>
      </w:r>
      <w:r w:rsidRPr="00DF3B85">
        <w:rPr>
          <w:rFonts w:eastAsia="Arial" w:cs="Arial"/>
        </w:rPr>
        <w:t xml:space="preserve"> (</w:t>
      </w:r>
      <w:proofErr w:type="spellStart"/>
      <w:r w:rsidRPr="00DF3B85">
        <w:rPr>
          <w:rFonts w:eastAsia="Arial" w:cs="Arial"/>
        </w:rPr>
        <w:t>Cth</w:t>
      </w:r>
      <w:proofErr w:type="spellEnd"/>
      <w:r w:rsidRPr="00DF3B85">
        <w:rPr>
          <w:rFonts w:eastAsia="Arial" w:cs="Arial"/>
        </w:rPr>
        <w:t xml:space="preserve">) s 42; </w:t>
      </w:r>
      <w:r w:rsidRPr="00DF3B85">
        <w:rPr>
          <w:rFonts w:eastAsia="Arial" w:cs="Arial"/>
          <w:i/>
        </w:rPr>
        <w:t>Sex Discrimination Act 1984</w:t>
      </w:r>
      <w:r w:rsidRPr="00DF3B85">
        <w:rPr>
          <w:rFonts w:eastAsia="Arial" w:cs="Arial"/>
        </w:rPr>
        <w:t xml:space="preserve"> (</w:t>
      </w:r>
      <w:proofErr w:type="spellStart"/>
      <w:r w:rsidRPr="00DF3B85">
        <w:rPr>
          <w:rFonts w:eastAsia="Arial" w:cs="Arial"/>
        </w:rPr>
        <w:t>Cth</w:t>
      </w:r>
      <w:proofErr w:type="spellEnd"/>
      <w:r w:rsidRPr="00DF3B85">
        <w:rPr>
          <w:rFonts w:eastAsia="Arial" w:cs="Arial"/>
        </w:rPr>
        <w:t xml:space="preserve">) s 94; </w:t>
      </w:r>
      <w:r w:rsidRPr="00DF3B85">
        <w:rPr>
          <w:rFonts w:eastAsia="Arial" w:cs="Arial"/>
          <w:i/>
        </w:rPr>
        <w:t>Race Discrimination Act 1975</w:t>
      </w:r>
      <w:r w:rsidRPr="00DF3B85">
        <w:rPr>
          <w:rFonts w:eastAsia="Arial" w:cs="Arial"/>
        </w:rPr>
        <w:t xml:space="preserve"> (</w:t>
      </w:r>
      <w:proofErr w:type="spellStart"/>
      <w:r w:rsidRPr="00DF3B85">
        <w:rPr>
          <w:rFonts w:eastAsia="Arial" w:cs="Arial"/>
        </w:rPr>
        <w:t>Cth</w:t>
      </w:r>
      <w:proofErr w:type="spellEnd"/>
      <w:r w:rsidRPr="00DF3B85">
        <w:rPr>
          <w:rFonts w:eastAsia="Arial" w:cs="Arial"/>
        </w:rPr>
        <w:t xml:space="preserve">) s 27(2); </w:t>
      </w:r>
      <w:r w:rsidRPr="00DF3B85">
        <w:rPr>
          <w:rFonts w:eastAsia="Arial" w:cs="Arial"/>
          <w:i/>
        </w:rPr>
        <w:t>Age Discrimination Act 2004</w:t>
      </w:r>
      <w:r w:rsidRPr="00DF3B85">
        <w:rPr>
          <w:rFonts w:eastAsia="Arial" w:cs="Arial"/>
        </w:rPr>
        <w:t xml:space="preserve"> (</w:t>
      </w:r>
      <w:proofErr w:type="spellStart"/>
      <w:r w:rsidRPr="00DF3B85">
        <w:rPr>
          <w:rFonts w:eastAsia="Arial" w:cs="Arial"/>
        </w:rPr>
        <w:t>Cth</w:t>
      </w:r>
      <w:proofErr w:type="spellEnd"/>
      <w:r w:rsidRPr="00DF3B85">
        <w:rPr>
          <w:rFonts w:eastAsia="Arial" w:cs="Arial"/>
        </w:rPr>
        <w:t>) s 51.</w:t>
      </w:r>
      <w:r>
        <w:t xml:space="preserve"> </w:t>
      </w:r>
    </w:p>
  </w:footnote>
  <w:footnote w:id="107">
    <w:p w14:paraId="54D7D8E0" w14:textId="77777777" w:rsidR="000067FB" w:rsidRPr="001B7E2E" w:rsidRDefault="000067FB" w:rsidP="000067FB">
      <w:pPr>
        <w:pStyle w:val="FootnoteText"/>
      </w:pPr>
      <w:r>
        <w:rPr>
          <w:rStyle w:val="FootnoteReference"/>
        </w:rPr>
        <w:footnoteRef/>
      </w:r>
      <w:r>
        <w:t xml:space="preserve"> Section 65 sets out certain requirements that a complainant must satisfy before complaining to the Commission.</w:t>
      </w:r>
    </w:p>
  </w:footnote>
  <w:footnote w:id="108">
    <w:p w14:paraId="1D728CA5" w14:textId="4E276FD7" w:rsidR="002C5E6B" w:rsidRPr="002C5E6B" w:rsidRDefault="002C5E6B" w:rsidP="00902D72">
      <w:pPr>
        <w:pStyle w:val="FootnoteText"/>
        <w:ind w:left="142" w:hanging="142"/>
        <w:rPr>
          <w:lang w:val="en-GB"/>
        </w:rPr>
      </w:pPr>
      <w:r>
        <w:rPr>
          <w:rStyle w:val="FootnoteReference"/>
        </w:rPr>
        <w:footnoteRef/>
      </w:r>
      <w:r>
        <w:t xml:space="preserve"> </w:t>
      </w:r>
      <w:r w:rsidR="00B02D55">
        <w:rPr>
          <w:rFonts w:cs="Arial"/>
        </w:rPr>
        <w:t xml:space="preserve">Authority for </w:t>
      </w:r>
      <w:r w:rsidR="00490E26">
        <w:rPr>
          <w:rFonts w:cs="Arial"/>
        </w:rPr>
        <w:t xml:space="preserve">the </w:t>
      </w:r>
      <w:r w:rsidR="00B02D55">
        <w:rPr>
          <w:rFonts w:cs="Arial"/>
        </w:rPr>
        <w:t xml:space="preserve">proposition </w:t>
      </w:r>
      <w:r w:rsidR="00CF2F39">
        <w:rPr>
          <w:rFonts w:cs="Arial"/>
        </w:rPr>
        <w:t xml:space="preserve">that the complainant’s decision not to exercise rights to a more appropriate course of action within the time limit does not fetter the discretion of the </w:t>
      </w:r>
      <w:r w:rsidR="00221370">
        <w:rPr>
          <w:rFonts w:cs="Arial"/>
        </w:rPr>
        <w:t>C</w:t>
      </w:r>
      <w:r w:rsidR="00CF2F39">
        <w:rPr>
          <w:rFonts w:cs="Arial"/>
        </w:rPr>
        <w:t xml:space="preserve">ommissioner under section 70(1)(a) can </w:t>
      </w:r>
      <w:r w:rsidR="00B02D55">
        <w:rPr>
          <w:rFonts w:cs="Arial"/>
        </w:rPr>
        <w:t xml:space="preserve">be found in the decision of the Supreme Court in </w:t>
      </w:r>
      <w:r w:rsidR="00B02D55">
        <w:rPr>
          <w:rFonts w:cs="Arial"/>
          <w:i/>
          <w:iCs/>
          <w:lang w:val="en-US"/>
        </w:rPr>
        <w:t>Stubberfield v Webster</w:t>
      </w:r>
      <w:r w:rsidR="00B02D55">
        <w:rPr>
          <w:rFonts w:cs="Arial"/>
          <w:lang w:val="en-US"/>
        </w:rPr>
        <w:t xml:space="preserve"> [1995] QSC 182</w:t>
      </w:r>
      <w:r w:rsidR="00CF2F39">
        <w:rPr>
          <w:rFonts w:cs="Arial"/>
          <w:lang w:val="en-US"/>
        </w:rPr>
        <w:t>.</w:t>
      </w:r>
    </w:p>
  </w:footnote>
  <w:footnote w:id="109">
    <w:p w14:paraId="6ECD36EA" w14:textId="77777777" w:rsidR="003F3978" w:rsidRPr="00745B2E" w:rsidRDefault="003F3978" w:rsidP="003F3978">
      <w:pPr>
        <w:pStyle w:val="FootnoteText"/>
        <w:rPr>
          <w:lang w:val="en-GB"/>
        </w:rPr>
      </w:pPr>
      <w:r>
        <w:rPr>
          <w:rStyle w:val="FootnoteReference"/>
        </w:rPr>
        <w:footnoteRef/>
      </w:r>
      <w:r>
        <w:t xml:space="preserve"> </w:t>
      </w:r>
      <w:r>
        <w:rPr>
          <w:rFonts w:cs="Arial"/>
        </w:rPr>
        <w:t xml:space="preserve">The Queensland Supreme Court took a similar approach for similar reasons in deciding whether to dismiss an application for judicial review under section 12(b) of the </w:t>
      </w:r>
      <w:r>
        <w:rPr>
          <w:rFonts w:cs="Arial"/>
          <w:i/>
          <w:iCs/>
        </w:rPr>
        <w:t xml:space="preserve">Judicial Review Act 1991 </w:t>
      </w:r>
      <w:r>
        <w:rPr>
          <w:rFonts w:cs="Arial"/>
        </w:rPr>
        <w:t xml:space="preserve">in </w:t>
      </w:r>
      <w:r>
        <w:rPr>
          <w:rFonts w:cs="Arial"/>
          <w:i/>
          <w:iCs/>
        </w:rPr>
        <w:t xml:space="preserve">Whitely v Stone &amp; Anor </w:t>
      </w:r>
      <w:r>
        <w:rPr>
          <w:rFonts w:cs="Arial"/>
        </w:rPr>
        <w:t>[2021] QSC 31. That section, though worded differently, allows for a similar, albeit broader, discretion than that provided for under section 70 of the HR Act. </w:t>
      </w:r>
    </w:p>
  </w:footnote>
  <w:footnote w:id="110">
    <w:p w14:paraId="73B68743" w14:textId="77777777" w:rsidR="00380275" w:rsidRPr="00BD628B" w:rsidRDefault="00380275" w:rsidP="00380275">
      <w:pPr>
        <w:pStyle w:val="FootnoteText"/>
      </w:pPr>
      <w:r>
        <w:rPr>
          <w:rStyle w:val="FootnoteReference"/>
          <w:rFonts w:cs="Cordia New"/>
        </w:rPr>
        <w:footnoteRef/>
      </w:r>
      <w:r>
        <w:t xml:space="preserve"> </w:t>
      </w:r>
      <w:r w:rsidRPr="002C4871">
        <w:rPr>
          <w:lang w:val="en-US"/>
        </w:rPr>
        <w:t xml:space="preserve">Queensland Women’s Safety and Justice Taskforce reports </w:t>
      </w:r>
      <w:r w:rsidRPr="002C4871">
        <w:rPr>
          <w:i/>
          <w:iCs/>
          <w:lang w:val="en-US"/>
        </w:rPr>
        <w:t>Hear her voice</w:t>
      </w:r>
      <w:r w:rsidRPr="002C4871">
        <w:rPr>
          <w:lang w:val="en-US"/>
        </w:rPr>
        <w:t xml:space="preserve"> (</w:t>
      </w:r>
      <w:r>
        <w:rPr>
          <w:lang w:val="en-US"/>
        </w:rPr>
        <w:t>R</w:t>
      </w:r>
      <w:r w:rsidRPr="002C4871">
        <w:rPr>
          <w:lang w:val="en-US"/>
        </w:rPr>
        <w:t xml:space="preserve">eports 1 to 3, 2021–2022); the Commission of Inquiry into Queensland Police Service responses to domestic and family violence report, </w:t>
      </w:r>
      <w:r w:rsidRPr="002C4871">
        <w:rPr>
          <w:i/>
          <w:iCs/>
          <w:lang w:val="en-US"/>
        </w:rPr>
        <w:t>A Call for Change</w:t>
      </w:r>
      <w:r w:rsidRPr="002C4871">
        <w:rPr>
          <w:lang w:val="en-US"/>
        </w:rPr>
        <w:t xml:space="preserve"> (2022)</w:t>
      </w:r>
      <w:r>
        <w:rPr>
          <w:lang w:val="en-US"/>
        </w:rPr>
        <w:t xml:space="preserve">; </w:t>
      </w:r>
      <w:r>
        <w:t xml:space="preserve">Legal Affairs and Safety Committee, </w:t>
      </w:r>
      <w:r>
        <w:rPr>
          <w:i/>
          <w:iCs/>
        </w:rPr>
        <w:t>Inquiry into support provided to victims of crime</w:t>
      </w:r>
      <w:r>
        <w:t xml:space="preserve"> (Report No 48, 57</w:t>
      </w:r>
      <w:r w:rsidRPr="00BD628B">
        <w:rPr>
          <w:vertAlign w:val="superscript"/>
        </w:rPr>
        <w:t>th</w:t>
      </w:r>
      <w:r>
        <w:t xml:space="preserve"> Parliament, May 2023).</w:t>
      </w:r>
    </w:p>
  </w:footnote>
  <w:footnote w:id="111">
    <w:p w14:paraId="3C70188A" w14:textId="77777777" w:rsidR="00380275" w:rsidRPr="00AA2041" w:rsidRDefault="00380275" w:rsidP="00380275">
      <w:pPr>
        <w:pStyle w:val="FootnoteText"/>
        <w:rPr>
          <w:lang w:val="en-GB"/>
        </w:rPr>
      </w:pPr>
      <w:r>
        <w:rPr>
          <w:rStyle w:val="FootnoteReference"/>
        </w:rPr>
        <w:footnoteRef/>
      </w:r>
      <w:r>
        <w:t xml:space="preserve"> </w:t>
      </w:r>
      <w:r>
        <w:rPr>
          <w:lang w:val="en-GB"/>
        </w:rPr>
        <w:t xml:space="preserve">In addition to responsibilities under the </w:t>
      </w:r>
      <w:r>
        <w:rPr>
          <w:i/>
          <w:iCs/>
          <w:lang w:val="en-GB"/>
        </w:rPr>
        <w:t>Anti-Discrimination Act 1991</w:t>
      </w:r>
      <w:r>
        <w:rPr>
          <w:lang w:val="en-GB"/>
        </w:rPr>
        <w:t xml:space="preserve"> (Qld) and the </w:t>
      </w:r>
      <w:r>
        <w:rPr>
          <w:i/>
          <w:iCs/>
          <w:lang w:val="en-GB"/>
        </w:rPr>
        <w:t>Victims of Crime Assistance Act 2009</w:t>
      </w:r>
      <w:r>
        <w:rPr>
          <w:lang w:val="en-GB"/>
        </w:rPr>
        <w:t xml:space="preserve"> (Qld).</w:t>
      </w:r>
    </w:p>
  </w:footnote>
  <w:footnote w:id="112">
    <w:p w14:paraId="336A4212" w14:textId="7B48F1F0" w:rsidR="00934307" w:rsidRPr="005A4F92" w:rsidRDefault="00934307" w:rsidP="00934307">
      <w:pPr>
        <w:pStyle w:val="FootnoteText"/>
        <w:rPr>
          <w:rFonts w:eastAsia="Arial" w:cs="Arial"/>
        </w:rPr>
      </w:pPr>
      <w:r w:rsidRPr="13D21638">
        <w:rPr>
          <w:rStyle w:val="FootnoteReference"/>
        </w:rPr>
        <w:footnoteRef/>
      </w:r>
      <w:r w:rsidR="00380275" w:rsidRPr="0E5EEED9">
        <w:rPr>
          <w:rFonts w:eastAsia="Arial" w:cs="Arial"/>
        </w:rPr>
        <w:t xml:space="preserve"> </w:t>
      </w:r>
      <w:r w:rsidR="00380275" w:rsidRPr="002022A1">
        <w:rPr>
          <w:lang w:val="en-GB"/>
        </w:rPr>
        <w:t>For a detailed summary of the rights that pertain to victim-survivors</w:t>
      </w:r>
      <w:r w:rsidR="00380275">
        <w:rPr>
          <w:lang w:val="en-GB"/>
        </w:rPr>
        <w:t>,</w:t>
      </w:r>
      <w:r w:rsidR="00380275" w:rsidRPr="002022A1">
        <w:rPr>
          <w:lang w:val="en-GB"/>
        </w:rPr>
        <w:t xml:space="preserve"> refer to Commission of Inquiry into Queensland Police Service </w:t>
      </w:r>
      <w:r w:rsidR="00380275" w:rsidRPr="004B2315">
        <w:t>responses</w:t>
      </w:r>
      <w:r w:rsidR="00380275" w:rsidRPr="002022A1">
        <w:rPr>
          <w:lang w:val="en-GB"/>
        </w:rPr>
        <w:t xml:space="preserve"> to domestic and family violence, </w:t>
      </w:r>
      <w:r w:rsidR="00380275" w:rsidRPr="0086514D">
        <w:rPr>
          <w:i/>
          <w:lang w:val="en-GB"/>
        </w:rPr>
        <w:t>A Call for Change</w:t>
      </w:r>
      <w:r w:rsidR="00380275" w:rsidRPr="002022A1">
        <w:rPr>
          <w:lang w:val="en-GB"/>
        </w:rPr>
        <w:t xml:space="preserve"> (Report, 2022) 36</w:t>
      </w:r>
      <w:r w:rsidR="00380275">
        <w:rPr>
          <w:rFonts w:cs="Arial"/>
          <w:lang w:val="en-GB"/>
        </w:rPr>
        <w:t>‒</w:t>
      </w:r>
      <w:r w:rsidR="00380275">
        <w:rPr>
          <w:lang w:val="en-GB"/>
        </w:rPr>
        <w:t>8</w:t>
      </w:r>
      <w:r w:rsidR="00380275" w:rsidRPr="002022A1">
        <w:rPr>
          <w:lang w:val="en-GB"/>
        </w:rPr>
        <w:t xml:space="preserve">. The </w:t>
      </w:r>
      <w:r w:rsidR="00881F90">
        <w:rPr>
          <w:lang w:val="en-GB"/>
        </w:rPr>
        <w:t>Commission</w:t>
      </w:r>
      <w:r w:rsidR="00380275" w:rsidRPr="002022A1">
        <w:rPr>
          <w:lang w:val="en-GB"/>
        </w:rPr>
        <w:t xml:space="preserve"> assisted the </w:t>
      </w:r>
      <w:r w:rsidR="00380275">
        <w:rPr>
          <w:lang w:val="en-GB"/>
        </w:rPr>
        <w:t xml:space="preserve">Independent </w:t>
      </w:r>
      <w:r w:rsidR="00380275" w:rsidRPr="002022A1">
        <w:rPr>
          <w:lang w:val="en-GB"/>
        </w:rPr>
        <w:t xml:space="preserve">Commission </w:t>
      </w:r>
      <w:r w:rsidR="00380275">
        <w:rPr>
          <w:lang w:val="en-GB"/>
        </w:rPr>
        <w:t>of Inquiry</w:t>
      </w:r>
      <w:r w:rsidR="00380275" w:rsidRPr="002022A1">
        <w:rPr>
          <w:lang w:val="en-GB"/>
        </w:rPr>
        <w:t xml:space="preserve"> in this work.</w:t>
      </w:r>
      <w:r w:rsidR="00380275">
        <w:rPr>
          <w:lang w:val="en-GB"/>
        </w:rPr>
        <w:t xml:space="preserve"> </w:t>
      </w:r>
    </w:p>
  </w:footnote>
  <w:footnote w:id="113">
    <w:p w14:paraId="0E758183" w14:textId="59FA65B1" w:rsidR="00380275" w:rsidRPr="0084049D" w:rsidRDefault="00380275" w:rsidP="00380275">
      <w:pPr>
        <w:pStyle w:val="FootnoteText"/>
        <w:rPr>
          <w:lang w:val="en-GB"/>
        </w:rPr>
      </w:pPr>
      <w:r>
        <w:rPr>
          <w:rStyle w:val="FootnoteReference"/>
        </w:rPr>
        <w:footnoteRef/>
      </w:r>
      <w:r>
        <w:t xml:space="preserve"> See, </w:t>
      </w:r>
      <w:r w:rsidR="00221370">
        <w:t>for example</w:t>
      </w:r>
      <w:r>
        <w:t xml:space="preserve">, </w:t>
      </w:r>
      <w:proofErr w:type="spellStart"/>
      <w:r w:rsidRPr="008C0955">
        <w:rPr>
          <w:i/>
          <w:iCs/>
        </w:rPr>
        <w:t>Opuz</w:t>
      </w:r>
      <w:proofErr w:type="spellEnd"/>
      <w:r w:rsidRPr="008C0955">
        <w:rPr>
          <w:i/>
          <w:iCs/>
        </w:rPr>
        <w:t xml:space="preserve"> v Turkey</w:t>
      </w:r>
      <w:r>
        <w:t xml:space="preserve"> (2009) (ECtHR, 3</w:t>
      </w:r>
      <w:r w:rsidRPr="008C0955">
        <w:rPr>
          <w:vertAlign w:val="superscript"/>
        </w:rPr>
        <w:t>rd</w:t>
      </w:r>
      <w:r>
        <w:t xml:space="preserve"> section), App No 33401/02 (9 June 2009); </w:t>
      </w:r>
      <w:r w:rsidRPr="00331CF9">
        <w:rPr>
          <w:i/>
          <w:iCs/>
        </w:rPr>
        <w:t>Smith v Chief Constable of Sussex Police and Van Colle v Chief Constable of Hertfordshire Police</w:t>
      </w:r>
      <w:r w:rsidRPr="00331CF9">
        <w:t xml:space="preserve"> [2008] UKHL 50</w:t>
      </w:r>
      <w:r>
        <w:t>.</w:t>
      </w:r>
    </w:p>
  </w:footnote>
  <w:footnote w:id="114">
    <w:p w14:paraId="4CF63151" w14:textId="77A54503" w:rsidR="00380275" w:rsidRPr="00BE13DD" w:rsidRDefault="00380275" w:rsidP="00380275">
      <w:pPr>
        <w:pStyle w:val="FootnoteText"/>
        <w:rPr>
          <w:lang w:val="en-GB"/>
        </w:rPr>
      </w:pPr>
      <w:r>
        <w:rPr>
          <w:rStyle w:val="FootnoteReference"/>
        </w:rPr>
        <w:footnoteRef/>
      </w:r>
      <w:r>
        <w:t xml:space="preserve"> </w:t>
      </w:r>
      <w:r w:rsidR="00E16784">
        <w:rPr>
          <w:lang w:val="en-GB"/>
        </w:rPr>
        <w:t xml:space="preserve">See, for example, UN Human Rights Committee, </w:t>
      </w:r>
      <w:r w:rsidR="00E16784">
        <w:rPr>
          <w:i/>
          <w:iCs/>
          <w:lang w:val="en-GB"/>
        </w:rPr>
        <w:t>General Comment No 31: The Nature of the General Legal Obligation Imposed on States Parties to the Covenant</w:t>
      </w:r>
      <w:r w:rsidR="00E16784">
        <w:rPr>
          <w:lang w:val="en-GB"/>
        </w:rPr>
        <w:t xml:space="preserve"> (CCPR/C/21/Rev.1/Add. 13, 26 May 2004), [8] (</w:t>
      </w:r>
      <w:proofErr w:type="gramStart"/>
      <w:r w:rsidR="00E16784">
        <w:rPr>
          <w:lang w:val="en-GB"/>
        </w:rPr>
        <w:t>in particular concerning</w:t>
      </w:r>
      <w:proofErr w:type="gramEnd"/>
      <w:r w:rsidR="00E16784">
        <w:rPr>
          <w:lang w:val="en-GB"/>
        </w:rPr>
        <w:t xml:space="preserve"> prohibition of torture and other ill-treatment). See also, in relation to the European Convention on Human Rights, </w:t>
      </w:r>
      <w:proofErr w:type="spellStart"/>
      <w:r>
        <w:rPr>
          <w:i/>
          <w:iCs/>
          <w:lang w:val="en-GB"/>
        </w:rPr>
        <w:t>Tunikova</w:t>
      </w:r>
      <w:proofErr w:type="spellEnd"/>
      <w:r>
        <w:rPr>
          <w:i/>
          <w:iCs/>
          <w:lang w:val="en-GB"/>
        </w:rPr>
        <w:t xml:space="preserve"> v Russia</w:t>
      </w:r>
      <w:r>
        <w:rPr>
          <w:lang w:val="en-GB"/>
        </w:rPr>
        <w:t xml:space="preserve"> (2021) (ECtHR, 3</w:t>
      </w:r>
      <w:r w:rsidRPr="00BE13DD">
        <w:rPr>
          <w:vertAlign w:val="superscript"/>
          <w:lang w:val="en-GB"/>
        </w:rPr>
        <w:t>rd</w:t>
      </w:r>
      <w:r>
        <w:rPr>
          <w:lang w:val="en-GB"/>
        </w:rPr>
        <w:t xml:space="preserve"> section), Apps Nos 55974/16 and </w:t>
      </w:r>
      <w:proofErr w:type="spellStart"/>
      <w:r>
        <w:rPr>
          <w:lang w:val="en-GB"/>
        </w:rPr>
        <w:t>ors</w:t>
      </w:r>
      <w:proofErr w:type="spellEnd"/>
      <w:r>
        <w:rPr>
          <w:lang w:val="en-GB"/>
        </w:rPr>
        <w:t>, 14 December 2021. In that judgment, the European Court noted that the prohibition of torture and cruel, inhuman, or degrading treatment is not limited to the infliction of physical pain but also that of mental suffering caused by creating a state of anguish and stress by means other than bodily assault. It also noted that fear of further assaults can be sufficiently serious to cause victims of domestic violence to experience suffering and anxiety capable of attaining the minimum threshold for the application of the relevant article (at [75]).</w:t>
      </w:r>
    </w:p>
  </w:footnote>
  <w:footnote w:id="115">
    <w:p w14:paraId="1BCEC925" w14:textId="77777777" w:rsidR="00380275" w:rsidRPr="009613FE" w:rsidRDefault="00380275" w:rsidP="00380275">
      <w:pPr>
        <w:pStyle w:val="FootnoteText"/>
      </w:pPr>
      <w:r>
        <w:rPr>
          <w:rStyle w:val="FootnoteReference"/>
        </w:rPr>
        <w:footnoteRef/>
      </w:r>
      <w:r>
        <w:t xml:space="preserve"> A helpful summary of practical ways in which many of these rights will apply to victims of crime at investigation, at court, and post-court under the </w:t>
      </w:r>
      <w:r>
        <w:rPr>
          <w:i/>
          <w:iCs/>
        </w:rPr>
        <w:t xml:space="preserve">Human Rights Act </w:t>
      </w:r>
      <w:r w:rsidRPr="0059615E">
        <w:rPr>
          <w:i/>
          <w:iCs/>
        </w:rPr>
        <w:t>200</w:t>
      </w:r>
      <w:r>
        <w:rPr>
          <w:i/>
          <w:iCs/>
        </w:rPr>
        <w:t xml:space="preserve">4 </w:t>
      </w:r>
      <w:r>
        <w:t xml:space="preserve">(ACT) </w:t>
      </w:r>
      <w:r w:rsidRPr="0059615E">
        <w:rPr>
          <w:i/>
          <w:iCs/>
        </w:rPr>
        <w:t>is</w:t>
      </w:r>
      <w:r>
        <w:t xml:space="preserve"> provided in </w:t>
      </w:r>
      <w:r>
        <w:rPr>
          <w:lang w:val="en-GB"/>
        </w:rPr>
        <w:t xml:space="preserve">Victims of Crime Commissioner (ACT) and Human Rights and Discrimination Commissioner (ACT), </w:t>
      </w:r>
      <w:r>
        <w:rPr>
          <w:i/>
          <w:iCs/>
          <w:lang w:val="en-GB"/>
        </w:rPr>
        <w:t>Victim and Witness Rights under the ACT Human Rights Act 2004: a practical guide for the justice sector on the Human Rights Act (ACT) 2004</w:t>
      </w:r>
      <w:r>
        <w:rPr>
          <w:lang w:val="en-GB"/>
        </w:rPr>
        <w:t xml:space="preserve"> (2015), 15–27. Note as discussed further below, the wording of the right to a fair trial is different in one respect from that under the Queensland Act.</w:t>
      </w:r>
    </w:p>
  </w:footnote>
  <w:footnote w:id="116">
    <w:p w14:paraId="67074650" w14:textId="77777777" w:rsidR="00380275" w:rsidRPr="00AB7377" w:rsidRDefault="00380275" w:rsidP="00380275">
      <w:pPr>
        <w:pStyle w:val="FootnoteText"/>
        <w:rPr>
          <w:lang w:val="en-GB"/>
        </w:rPr>
      </w:pPr>
      <w:r>
        <w:rPr>
          <w:rStyle w:val="FootnoteReference"/>
        </w:rPr>
        <w:footnoteRef/>
      </w:r>
      <w:r>
        <w:t xml:space="preserve"> In relation to the courts, where those arguments apply directly to the court proceedings: </w:t>
      </w:r>
      <w:r w:rsidRPr="003B4C6C">
        <w:rPr>
          <w:i/>
          <w:iCs/>
          <w:lang w:val="en-GB"/>
        </w:rPr>
        <w:t>Human Rights Act 2019</w:t>
      </w:r>
      <w:r>
        <w:rPr>
          <w:lang w:val="en-GB"/>
        </w:rPr>
        <w:t xml:space="preserve"> (Qld), s 5(2)(a), where the court is acting in an administrative e capacity: s 9(4)(b), or where the human rights arguments can be raised in a separate cause of action: s 59.</w:t>
      </w:r>
    </w:p>
  </w:footnote>
  <w:footnote w:id="117">
    <w:p w14:paraId="431B0C09" w14:textId="18E222C1" w:rsidR="0009007A" w:rsidRPr="004B7B21" w:rsidRDefault="0009007A" w:rsidP="0009007A">
      <w:pPr>
        <w:pStyle w:val="FootnoteText"/>
        <w:rPr>
          <w:lang w:val="en-GB"/>
        </w:rPr>
      </w:pPr>
      <w:r>
        <w:rPr>
          <w:rStyle w:val="FootnoteReference"/>
        </w:rPr>
        <w:footnoteRef/>
      </w:r>
      <w:r>
        <w:t xml:space="preserve"> </w:t>
      </w:r>
      <w:r w:rsidR="00035B79">
        <w:t xml:space="preserve">Queensland Human Rights </w:t>
      </w:r>
      <w:r>
        <w:rPr>
          <w:lang w:val="en-GB"/>
        </w:rPr>
        <w:t xml:space="preserve">Commission, </w:t>
      </w:r>
      <w:r w:rsidR="00686129">
        <w:rPr>
          <w:lang w:val="en-GB"/>
        </w:rPr>
        <w:t>‘</w:t>
      </w:r>
      <w:r w:rsidRPr="00C864CC">
        <w:rPr>
          <w:lang w:val="en-GB"/>
        </w:rPr>
        <w:t>Victims’ rights</w:t>
      </w:r>
      <w:r w:rsidR="00686129" w:rsidRPr="00C864CC">
        <w:rPr>
          <w:lang w:val="en-GB"/>
        </w:rPr>
        <w:t xml:space="preserve"> to information</w:t>
      </w:r>
      <w:r w:rsidR="003F4AB9">
        <w:rPr>
          <w:lang w:val="en-GB"/>
        </w:rPr>
        <w:t>’,</w:t>
      </w:r>
      <w:r>
        <w:rPr>
          <w:i/>
          <w:iCs/>
          <w:lang w:val="en-GB"/>
        </w:rPr>
        <w:t xml:space="preserve"> </w:t>
      </w:r>
      <w:r w:rsidR="003F4AB9">
        <w:rPr>
          <w:i/>
          <w:iCs/>
          <w:lang w:val="en-GB"/>
        </w:rPr>
        <w:t>Reports on u</w:t>
      </w:r>
      <w:r>
        <w:rPr>
          <w:i/>
          <w:iCs/>
          <w:lang w:val="en-GB"/>
        </w:rPr>
        <w:t xml:space="preserve">nresolved </w:t>
      </w:r>
      <w:r w:rsidR="00F67B85">
        <w:rPr>
          <w:i/>
          <w:iCs/>
          <w:lang w:val="en-GB"/>
        </w:rPr>
        <w:t xml:space="preserve">human rights </w:t>
      </w:r>
      <w:r>
        <w:rPr>
          <w:i/>
          <w:iCs/>
          <w:lang w:val="en-GB"/>
        </w:rPr>
        <w:t>complaint</w:t>
      </w:r>
      <w:r w:rsidR="00F67B85">
        <w:rPr>
          <w:i/>
          <w:iCs/>
          <w:lang w:val="en-GB"/>
        </w:rPr>
        <w:t xml:space="preserve">s </w:t>
      </w:r>
      <w:r w:rsidR="00F67B85">
        <w:rPr>
          <w:lang w:val="en-GB"/>
        </w:rPr>
        <w:t xml:space="preserve">(Web Page, </w:t>
      </w:r>
      <w:r w:rsidR="00873F22">
        <w:rPr>
          <w:lang w:val="en-GB"/>
        </w:rPr>
        <w:t xml:space="preserve">15 October 2020) </w:t>
      </w:r>
      <w:r w:rsidR="00FD0349">
        <w:rPr>
          <w:lang w:val="en-GB"/>
        </w:rPr>
        <w:t>&lt;</w:t>
      </w:r>
      <w:r w:rsidR="00FD0349" w:rsidRPr="00FD0349">
        <w:rPr>
          <w:lang w:val="en-GB"/>
        </w:rPr>
        <w:t>https://www.qhrc.qld.gov.au/resources/legal-information/reports-on-unresolved-human-rights-complaints</w:t>
      </w:r>
      <w:r w:rsidR="00FD0349">
        <w:rPr>
          <w:lang w:val="en-GB"/>
        </w:rPr>
        <w:t>&gt;.</w:t>
      </w:r>
    </w:p>
  </w:footnote>
  <w:footnote w:id="118">
    <w:p w14:paraId="23CF9BE4" w14:textId="77777777" w:rsidR="00934307" w:rsidRPr="00AA4C39" w:rsidRDefault="00934307" w:rsidP="00934307">
      <w:pPr>
        <w:pStyle w:val="FootnoteText"/>
      </w:pPr>
      <w:r>
        <w:rPr>
          <w:rStyle w:val="FootnoteReference"/>
        </w:rPr>
        <w:footnoteRef/>
      </w:r>
      <w:r>
        <w:t xml:space="preserve"> UN Human Rights Committee, </w:t>
      </w:r>
      <w:r>
        <w:rPr>
          <w:i/>
          <w:iCs/>
        </w:rPr>
        <w:t xml:space="preserve">General Comment No 35: Article 9 (Liberty and security of person) </w:t>
      </w:r>
      <w:r w:rsidRPr="00D1666E">
        <w:t>(CCPR/C/GC/35, 16 December 2014)</w:t>
      </w:r>
      <w:r>
        <w:t xml:space="preserve"> [3], [9].</w:t>
      </w:r>
    </w:p>
  </w:footnote>
  <w:footnote w:id="119">
    <w:p w14:paraId="7A4DEBCF" w14:textId="77777777" w:rsidR="000235A6" w:rsidRPr="00450A2F" w:rsidRDefault="000235A6" w:rsidP="000235A6">
      <w:pPr>
        <w:pStyle w:val="FootnoteText"/>
        <w:rPr>
          <w:rFonts w:eastAsia="Arial" w:cs="Arial"/>
        </w:rPr>
      </w:pPr>
      <w:r w:rsidRPr="00450A2F">
        <w:rPr>
          <w:rFonts w:cs="Arial"/>
          <w:vertAlign w:val="superscript"/>
        </w:rPr>
        <w:footnoteRef/>
      </w:r>
      <w:r w:rsidRPr="00450A2F">
        <w:rPr>
          <w:rFonts w:cs="Arial"/>
          <w:vertAlign w:val="superscript"/>
        </w:rPr>
        <w:t xml:space="preserve"> </w:t>
      </w:r>
      <w:r w:rsidRPr="00450A2F">
        <w:rPr>
          <w:rFonts w:cs="Arial"/>
        </w:rPr>
        <w:t xml:space="preserve">In relation to this aspect of the right as protected under the </w:t>
      </w:r>
      <w:r w:rsidRPr="0019508B">
        <w:rPr>
          <w:rFonts w:cs="Arial"/>
          <w:i/>
        </w:rPr>
        <w:t xml:space="preserve">Convention on the Elimination of All Forms </w:t>
      </w:r>
      <w:r w:rsidRPr="006538C1">
        <w:rPr>
          <w:rFonts w:cs="Arial"/>
          <w:i/>
        </w:rPr>
        <w:t>of Racial Discrimination</w:t>
      </w:r>
      <w:r>
        <w:rPr>
          <w:rFonts w:cs="Arial"/>
        </w:rPr>
        <w:t>,</w:t>
      </w:r>
      <w:r w:rsidRPr="00450A2F">
        <w:rPr>
          <w:rFonts w:cs="Arial"/>
        </w:rPr>
        <w:t xml:space="preserve"> see </w:t>
      </w:r>
      <w:r w:rsidRPr="00450A2F">
        <w:rPr>
          <w:rFonts w:eastAsia="Georgia" w:cs="Arial"/>
          <w:i/>
        </w:rPr>
        <w:t xml:space="preserve">Aurukun Shire Council v CEO Office of Liquor Gaming and Racing in the Department of Treasury </w:t>
      </w:r>
      <w:r w:rsidRPr="00450A2F">
        <w:rPr>
          <w:rFonts w:eastAsia="Georgia" w:cs="Arial"/>
        </w:rPr>
        <w:t>[2010] QCA 37 [64], [71] (</w:t>
      </w:r>
      <w:r w:rsidRPr="006538C1">
        <w:rPr>
          <w:lang w:val="en-GB"/>
        </w:rPr>
        <w:t>McMurdo</w:t>
      </w:r>
      <w:r w:rsidRPr="00450A2F">
        <w:rPr>
          <w:rFonts w:eastAsia="Georgia" w:cs="Arial"/>
        </w:rPr>
        <w:t xml:space="preserve"> P); [85], [87]</w:t>
      </w:r>
      <w:r>
        <w:rPr>
          <w:rFonts w:eastAsia="Georgia" w:cs="Arial"/>
        </w:rPr>
        <w:t>‒</w:t>
      </w:r>
      <w:r w:rsidRPr="00450A2F">
        <w:rPr>
          <w:rFonts w:eastAsia="Georgia" w:cs="Arial"/>
        </w:rPr>
        <w:t>[88] (Philippides J); [269] (Keane JA)</w:t>
      </w:r>
      <w:r>
        <w:rPr>
          <w:rFonts w:eastAsia="Georgia" w:cs="Arial"/>
        </w:rPr>
        <w:t xml:space="preserve"> which was decided </w:t>
      </w:r>
      <w:r w:rsidRPr="00450A2F">
        <w:rPr>
          <w:rFonts w:cs="Arial"/>
        </w:rPr>
        <w:t>prior to the enactment of the Human Rights Act)</w:t>
      </w:r>
      <w:r>
        <w:rPr>
          <w:rFonts w:eastAsia="Georgia" w:cs="Arial"/>
        </w:rPr>
        <w:t>.</w:t>
      </w:r>
    </w:p>
  </w:footnote>
  <w:footnote w:id="120">
    <w:p w14:paraId="6E9C2DAD" w14:textId="77777777" w:rsidR="00934307" w:rsidRPr="00AE5A7F" w:rsidRDefault="00934307" w:rsidP="00934307">
      <w:pPr>
        <w:pStyle w:val="FootnoteText"/>
      </w:pPr>
      <w:r>
        <w:rPr>
          <w:rStyle w:val="FootnoteReference"/>
        </w:rPr>
        <w:footnoteRef/>
      </w:r>
      <w:r>
        <w:t xml:space="preserve"> See, eg, </w:t>
      </w:r>
      <w:r w:rsidRPr="008F0C55">
        <w:rPr>
          <w:i/>
          <w:iCs/>
        </w:rPr>
        <w:t>Johnston v Commissioner of Police</w:t>
      </w:r>
      <w:r>
        <w:t xml:space="preserve"> </w:t>
      </w:r>
      <w:r w:rsidRPr="008F0C55">
        <w:t>[2024] QSC 2</w:t>
      </w:r>
      <w:r>
        <w:t xml:space="preserve"> [</w:t>
      </w:r>
      <w:proofErr w:type="gramStart"/>
      <w:r>
        <w:t>373]</w:t>
      </w:r>
      <w:r>
        <w:rPr>
          <w:rFonts w:cs="Arial"/>
        </w:rPr>
        <w:t>‒</w:t>
      </w:r>
      <w:proofErr w:type="gramEnd"/>
      <w:r>
        <w:t xml:space="preserve">[378], citing with approval </w:t>
      </w:r>
      <w:r w:rsidRPr="008457D4">
        <w:rPr>
          <w:i/>
          <w:iCs/>
        </w:rPr>
        <w:t>Re Kracke</w:t>
      </w:r>
      <w:r w:rsidRPr="008457D4">
        <w:t xml:space="preserve"> (2009) 29 VAR 1 [621]</w:t>
      </w:r>
      <w:r>
        <w:rPr>
          <w:rFonts w:cs="Arial"/>
        </w:rPr>
        <w:t>‒</w:t>
      </w:r>
      <w:r w:rsidRPr="008457D4">
        <w:t>[628]</w:t>
      </w:r>
      <w:r>
        <w:t>.</w:t>
      </w:r>
    </w:p>
  </w:footnote>
  <w:footnote w:id="121">
    <w:p w14:paraId="7678C6A4" w14:textId="428352CE" w:rsidR="00380275" w:rsidRPr="00C85987" w:rsidRDefault="00380275" w:rsidP="00380275">
      <w:pPr>
        <w:pStyle w:val="FootnoteText"/>
        <w:rPr>
          <w:lang w:val="en-GB"/>
        </w:rPr>
      </w:pPr>
      <w:r>
        <w:rPr>
          <w:rStyle w:val="FootnoteReference"/>
        </w:rPr>
        <w:footnoteRef/>
      </w:r>
      <w:r>
        <w:t xml:space="preserve"> </w:t>
      </w:r>
      <w:r>
        <w:rPr>
          <w:lang w:val="en-GB"/>
        </w:rPr>
        <w:t>See, for example,</w:t>
      </w:r>
      <w:r w:rsidR="007D126D">
        <w:rPr>
          <w:lang w:val="en-GB"/>
        </w:rPr>
        <w:t xml:space="preserve"> UN Human Rights Committee</w:t>
      </w:r>
      <w:r w:rsidR="00203102">
        <w:rPr>
          <w:lang w:val="en-GB"/>
        </w:rPr>
        <w:t xml:space="preserve">, </w:t>
      </w:r>
      <w:r w:rsidR="00203102">
        <w:rPr>
          <w:i/>
          <w:iCs/>
          <w:lang w:val="en-GB"/>
        </w:rPr>
        <w:t>General Comment No 31: The Natu</w:t>
      </w:r>
      <w:r w:rsidR="00AC286F">
        <w:rPr>
          <w:i/>
          <w:iCs/>
          <w:lang w:val="en-GB"/>
        </w:rPr>
        <w:t>re</w:t>
      </w:r>
      <w:r w:rsidR="00203102">
        <w:rPr>
          <w:i/>
          <w:iCs/>
          <w:lang w:val="en-GB"/>
        </w:rPr>
        <w:t xml:space="preserve"> of the General Legal Obligation Imposed on States Parties to the Covenant</w:t>
      </w:r>
      <w:r w:rsidR="00203102">
        <w:rPr>
          <w:lang w:val="en-GB"/>
        </w:rPr>
        <w:t xml:space="preserve"> (</w:t>
      </w:r>
      <w:r w:rsidR="00630CB9">
        <w:rPr>
          <w:lang w:val="en-GB"/>
        </w:rPr>
        <w:t>CCPR/C/21/Rev.1/Add. 13, 26 May 2004), [8] (</w:t>
      </w:r>
      <w:proofErr w:type="gramStart"/>
      <w:r w:rsidR="00630CB9">
        <w:rPr>
          <w:lang w:val="en-GB"/>
        </w:rPr>
        <w:t>in particular concerning</w:t>
      </w:r>
      <w:proofErr w:type="gramEnd"/>
      <w:r w:rsidR="00630CB9">
        <w:rPr>
          <w:lang w:val="en-GB"/>
        </w:rPr>
        <w:t xml:space="preserve"> </w:t>
      </w:r>
      <w:r w:rsidR="000738E8">
        <w:rPr>
          <w:lang w:val="en-GB"/>
        </w:rPr>
        <w:t>prohibition of torture and other ill-treatment).  See also,</w:t>
      </w:r>
      <w:r w:rsidR="009042DB">
        <w:rPr>
          <w:lang w:val="en-GB"/>
        </w:rPr>
        <w:t xml:space="preserve"> in relation to the European Convention on Human Rights,</w:t>
      </w:r>
      <w:r>
        <w:rPr>
          <w:lang w:val="en-GB"/>
        </w:rPr>
        <w:t xml:space="preserve"> </w:t>
      </w:r>
      <w:proofErr w:type="spellStart"/>
      <w:r>
        <w:rPr>
          <w:i/>
          <w:iCs/>
          <w:lang w:val="en-GB"/>
        </w:rPr>
        <w:t>Tunikova</w:t>
      </w:r>
      <w:proofErr w:type="spellEnd"/>
      <w:r>
        <w:rPr>
          <w:i/>
          <w:iCs/>
          <w:lang w:val="en-GB"/>
        </w:rPr>
        <w:t xml:space="preserve"> v Russia</w:t>
      </w:r>
      <w:r>
        <w:rPr>
          <w:lang w:val="en-GB"/>
        </w:rPr>
        <w:t xml:space="preserve"> (2021) (ECtHR, 3</w:t>
      </w:r>
      <w:r w:rsidRPr="00BE13DD">
        <w:rPr>
          <w:vertAlign w:val="superscript"/>
          <w:lang w:val="en-GB"/>
        </w:rPr>
        <w:t>rd</w:t>
      </w:r>
      <w:r>
        <w:rPr>
          <w:lang w:val="en-GB"/>
        </w:rPr>
        <w:t xml:space="preserve"> section), Apps Nos 55974/16 and </w:t>
      </w:r>
      <w:proofErr w:type="spellStart"/>
      <w:r>
        <w:rPr>
          <w:lang w:val="en-GB"/>
        </w:rPr>
        <w:t>ors</w:t>
      </w:r>
      <w:proofErr w:type="spellEnd"/>
      <w:r>
        <w:rPr>
          <w:lang w:val="en-GB"/>
        </w:rPr>
        <w:t xml:space="preserve">, 14 December 2021 [114], [112]. </w:t>
      </w:r>
      <w:r>
        <w:t>It is also consistent with victims’ rights to an effective remedy, as required under the ICCPR and other treaties: UN Human Rights Committee</w:t>
      </w:r>
      <w:r>
        <w:rPr>
          <w:i/>
          <w:iCs/>
        </w:rPr>
        <w:t>, General Comment No 36: Article 6: right to life</w:t>
      </w:r>
      <w:r>
        <w:t xml:space="preserve"> (CCPR/C/GC/36, 3 September 2019) [7], [19], [21], [27]; </w:t>
      </w:r>
      <w:r>
        <w:rPr>
          <w:lang w:val="en-GB"/>
        </w:rPr>
        <w:t xml:space="preserve">UN Human Rights Committee, </w:t>
      </w:r>
      <w:r>
        <w:rPr>
          <w:i/>
          <w:iCs/>
          <w:lang w:val="en-GB"/>
        </w:rPr>
        <w:t>General Comment No 35: Article 9 (Liberty and security of person)</w:t>
      </w:r>
      <w:r>
        <w:rPr>
          <w:lang w:val="en-GB"/>
        </w:rPr>
        <w:t xml:space="preserve"> (CCPR/C/GC/35, 16 December 2014) [9]; UN Human Rights Committee, </w:t>
      </w:r>
      <w:r>
        <w:rPr>
          <w:i/>
          <w:iCs/>
          <w:lang w:val="en-GB"/>
        </w:rPr>
        <w:t xml:space="preserve">General Comment No 20: Article 7 (Prohibition of Torture, or Other Cruel, Inhuman or Degrading Treatment or Punishment) </w:t>
      </w:r>
      <w:r>
        <w:rPr>
          <w:lang w:val="en-GB"/>
        </w:rPr>
        <w:t>(</w:t>
      </w:r>
      <w:r w:rsidRPr="00C16CF3">
        <w:rPr>
          <w:lang w:val="en-GB"/>
        </w:rPr>
        <w:t>HRI/GEN/1/Rev.1 at 30</w:t>
      </w:r>
      <w:r>
        <w:rPr>
          <w:lang w:val="en-GB"/>
        </w:rPr>
        <w:t>, 1994) [2], [8], [14].</w:t>
      </w:r>
    </w:p>
  </w:footnote>
  <w:footnote w:id="122">
    <w:p w14:paraId="12697F16" w14:textId="77777777" w:rsidR="00380275" w:rsidRPr="003F092C" w:rsidRDefault="00380275" w:rsidP="00380275">
      <w:pPr>
        <w:pStyle w:val="FootnoteText"/>
      </w:pPr>
      <w:r>
        <w:rPr>
          <w:rStyle w:val="FootnoteReference"/>
        </w:rPr>
        <w:footnoteRef/>
      </w:r>
      <w:r>
        <w:t xml:space="preserve"> See, for example, </w:t>
      </w:r>
      <w:r>
        <w:rPr>
          <w:i/>
          <w:iCs/>
        </w:rPr>
        <w:t>Commissioner of Police of the Metropolis</w:t>
      </w:r>
      <w:r>
        <w:t xml:space="preserve"> </w:t>
      </w:r>
      <w:r>
        <w:rPr>
          <w:i/>
          <w:iCs/>
        </w:rPr>
        <w:t xml:space="preserve">v DSD </w:t>
      </w:r>
      <w:r>
        <w:t xml:space="preserve">[2018] UKSC 11 (United Kingdom – investigation for allegations of rape); </w:t>
      </w:r>
      <w:r w:rsidRPr="00331CF9">
        <w:rPr>
          <w:i/>
          <w:iCs/>
        </w:rPr>
        <w:t>Smith v Chief Constable of Sussex Police and Van Colle v Chief Constable of Hertfordshire Police</w:t>
      </w:r>
      <w:r w:rsidRPr="00331CF9">
        <w:t xml:space="preserve"> [2008] UKHL 50</w:t>
      </w:r>
      <w:r>
        <w:t xml:space="preserve"> (United Kingdom – operational measures to protect life of person subject to immediate threat).</w:t>
      </w:r>
    </w:p>
  </w:footnote>
  <w:footnote w:id="123">
    <w:p w14:paraId="6CB66877" w14:textId="365C0760" w:rsidR="00D37892" w:rsidRPr="004B0083" w:rsidRDefault="00D37892" w:rsidP="00D37892">
      <w:pPr>
        <w:pStyle w:val="FootnoteText"/>
        <w:rPr>
          <w:lang w:val="en-GB"/>
        </w:rPr>
      </w:pPr>
      <w:r>
        <w:rPr>
          <w:rStyle w:val="FootnoteReference"/>
        </w:rPr>
        <w:footnoteRef/>
      </w:r>
      <w:r>
        <w:t xml:space="preserve"> </w:t>
      </w:r>
      <w:r w:rsidR="00AC1C91" w:rsidRPr="0067683A">
        <w:rPr>
          <w:i/>
          <w:iCs/>
        </w:rPr>
        <w:t>Commissioner of Police of the Metropolis v DSD</w:t>
      </w:r>
      <w:r w:rsidR="00AC1C91">
        <w:t xml:space="preserve"> [2018] UKSC 11</w:t>
      </w:r>
      <w:r>
        <w:rPr>
          <w:lang w:val="en-GB"/>
        </w:rPr>
        <w:t xml:space="preserve"> [24].</w:t>
      </w:r>
    </w:p>
  </w:footnote>
  <w:footnote w:id="124">
    <w:p w14:paraId="2CD27BA4" w14:textId="792E4C27" w:rsidR="00D37892" w:rsidRPr="00B37297" w:rsidRDefault="00D37892" w:rsidP="00D37892">
      <w:pPr>
        <w:pStyle w:val="FootnoteText"/>
        <w:rPr>
          <w:lang w:val="en-GB"/>
        </w:rPr>
      </w:pPr>
      <w:r>
        <w:rPr>
          <w:rStyle w:val="FootnoteReference"/>
        </w:rPr>
        <w:footnoteRef/>
      </w:r>
      <w:r>
        <w:t xml:space="preserve"> </w:t>
      </w:r>
      <w:r w:rsidR="002F2BE6" w:rsidRPr="0067683A">
        <w:rPr>
          <w:i/>
          <w:iCs/>
        </w:rPr>
        <w:t>Commissioner of Police of the Metropolis v DSD</w:t>
      </w:r>
      <w:r w:rsidR="002F2BE6">
        <w:t xml:space="preserve"> [2018] UKSC 11</w:t>
      </w:r>
      <w:r>
        <w:rPr>
          <w:lang w:val="en-GB"/>
        </w:rPr>
        <w:t xml:space="preserve"> [71]</w:t>
      </w:r>
      <w:proofErr w:type="gramStart"/>
      <w:r w:rsidR="00047FD1">
        <w:rPr>
          <w:rFonts w:cs="Arial"/>
          <w:lang w:val="en-GB"/>
        </w:rPr>
        <w:t>–</w:t>
      </w:r>
      <w:r>
        <w:rPr>
          <w:lang w:val="en-GB"/>
        </w:rPr>
        <w:t>[</w:t>
      </w:r>
      <w:proofErr w:type="gramEnd"/>
      <w:r>
        <w:rPr>
          <w:lang w:val="en-GB"/>
        </w:rPr>
        <w:t>72].</w:t>
      </w:r>
    </w:p>
  </w:footnote>
  <w:footnote w:id="125">
    <w:p w14:paraId="21DE1753" w14:textId="58951B50" w:rsidR="00D37892" w:rsidRPr="00457000" w:rsidRDefault="00D37892" w:rsidP="00D37892">
      <w:pPr>
        <w:pStyle w:val="FootnoteText"/>
        <w:rPr>
          <w:lang w:val="en-GB"/>
        </w:rPr>
      </w:pPr>
      <w:r>
        <w:rPr>
          <w:rStyle w:val="FootnoteReference"/>
        </w:rPr>
        <w:footnoteRef/>
      </w:r>
      <w:r>
        <w:t xml:space="preserve"> </w:t>
      </w:r>
      <w:r w:rsidR="002F2BE6" w:rsidRPr="0067683A">
        <w:rPr>
          <w:i/>
          <w:iCs/>
        </w:rPr>
        <w:t>Commissioner of Police of the Metropolis v DSD</w:t>
      </w:r>
      <w:r w:rsidR="002F2BE6">
        <w:t xml:space="preserve"> [2018] UKSC 11</w:t>
      </w:r>
      <w:r>
        <w:rPr>
          <w:lang w:val="en-GB"/>
        </w:rPr>
        <w:t xml:space="preserve"> [71].</w:t>
      </w:r>
    </w:p>
  </w:footnote>
  <w:footnote w:id="126">
    <w:p w14:paraId="0D6281A5" w14:textId="3483A031" w:rsidR="00380275" w:rsidRDefault="00380275" w:rsidP="00380275">
      <w:pPr>
        <w:pStyle w:val="FootnoteText"/>
      </w:pPr>
      <w:r w:rsidRPr="01E45ECA">
        <w:rPr>
          <w:rStyle w:val="FootnoteReference"/>
        </w:rPr>
        <w:footnoteRef/>
      </w:r>
      <w:r>
        <w:t xml:space="preserve"> On positive obligations relating to the right to life generally, see </w:t>
      </w:r>
      <w:r w:rsidRPr="00DE7DD2">
        <w:rPr>
          <w:i/>
          <w:iCs/>
        </w:rPr>
        <w:t xml:space="preserve">Waratah Coal </w:t>
      </w:r>
      <w:r>
        <w:rPr>
          <w:i/>
          <w:iCs/>
        </w:rPr>
        <w:t>Pty Ltd</w:t>
      </w:r>
      <w:r w:rsidRPr="00DE7DD2">
        <w:rPr>
          <w:i/>
          <w:iCs/>
        </w:rPr>
        <w:t xml:space="preserve"> v Youth Verdict </w:t>
      </w:r>
      <w:r>
        <w:rPr>
          <w:i/>
          <w:iCs/>
        </w:rPr>
        <w:t>Ltd &amp; Ors</w:t>
      </w:r>
      <w:r w:rsidRPr="00DE7DD2">
        <w:rPr>
          <w:i/>
          <w:iCs/>
        </w:rPr>
        <w:t xml:space="preserve"> (No 6) </w:t>
      </w:r>
      <w:r w:rsidRPr="00DE7DD2">
        <w:t>[2022] QLC 21</w:t>
      </w:r>
      <w:r w:rsidRPr="00DE7DD2">
        <w:rPr>
          <w:lang w:val="en-GB"/>
        </w:rPr>
        <w:t xml:space="preserve"> [1452</w:t>
      </w:r>
      <w:r>
        <w:rPr>
          <w:lang w:val="en-GB"/>
        </w:rPr>
        <w:t>];</w:t>
      </w:r>
      <w:r w:rsidRPr="00DE7DD2">
        <w:rPr>
          <w:lang w:val="en-GB"/>
        </w:rPr>
        <w:t xml:space="preserve"> </w:t>
      </w:r>
      <w:r w:rsidRPr="00DE7DD2">
        <w:t>Explanatory Notes, Human Rights Bill 2018</w:t>
      </w:r>
      <w:r w:rsidR="0056756E">
        <w:t xml:space="preserve"> (Qld)</w:t>
      </w:r>
      <w:r w:rsidRPr="00DE7DD2">
        <w:t xml:space="preserve"> 19</w:t>
      </w:r>
      <w:r>
        <w:t xml:space="preserve">; Coroners Court of Queensland, </w:t>
      </w:r>
      <w:r w:rsidRPr="00DE7DD2">
        <w:rPr>
          <w:i/>
        </w:rPr>
        <w:t xml:space="preserve">Inquest into the Death of Selesa </w:t>
      </w:r>
      <w:proofErr w:type="spellStart"/>
      <w:r w:rsidRPr="00DE7DD2">
        <w:rPr>
          <w:i/>
        </w:rPr>
        <w:t>Tafaifa</w:t>
      </w:r>
      <w:proofErr w:type="spellEnd"/>
      <w:r>
        <w:rPr>
          <w:i/>
        </w:rPr>
        <w:t>:</w:t>
      </w:r>
      <w:r w:rsidRPr="00DE7DD2">
        <w:rPr>
          <w:i/>
        </w:rPr>
        <w:t xml:space="preserve"> Ruling in relation to the conduct of the Police Coronial Investigation </w:t>
      </w:r>
      <w:r w:rsidRPr="00DE7DD2">
        <w:rPr>
          <w:iCs/>
        </w:rPr>
        <w:t>(</w:t>
      </w:r>
      <w:r>
        <w:rPr>
          <w:iCs/>
        </w:rPr>
        <w:t>T</w:t>
      </w:r>
      <w:r w:rsidRPr="00DE7DD2">
        <w:rPr>
          <w:iCs/>
        </w:rPr>
        <w:t xml:space="preserve"> Ryan, State Coroner, 20 June 2022) </w:t>
      </w:r>
      <w:r w:rsidRPr="00DE7DD2">
        <w:t>[43].</w:t>
      </w:r>
      <w:r>
        <w:t xml:space="preserve"> </w:t>
      </w:r>
    </w:p>
  </w:footnote>
  <w:footnote w:id="127">
    <w:p w14:paraId="17143DD5" w14:textId="77777777" w:rsidR="00380275" w:rsidRPr="00754069" w:rsidRDefault="00380275" w:rsidP="00380275">
      <w:pPr>
        <w:pStyle w:val="FootnoteText"/>
        <w:rPr>
          <w:lang w:val="en-GB"/>
        </w:rPr>
      </w:pPr>
      <w:r>
        <w:rPr>
          <w:rStyle w:val="FootnoteReference"/>
        </w:rPr>
        <w:footnoteRef/>
      </w:r>
      <w:r>
        <w:t xml:space="preserve"> </w:t>
      </w:r>
      <w:r>
        <w:rPr>
          <w:i/>
          <w:iCs/>
          <w:lang w:val="en-GB"/>
        </w:rPr>
        <w:t>Human Rights Act 2019</w:t>
      </w:r>
      <w:r>
        <w:rPr>
          <w:lang w:val="en-GB"/>
        </w:rPr>
        <w:t xml:space="preserve"> (Qld) </w:t>
      </w:r>
      <w:proofErr w:type="spellStart"/>
      <w:r>
        <w:rPr>
          <w:lang w:val="en-GB"/>
        </w:rPr>
        <w:t>sch</w:t>
      </w:r>
      <w:proofErr w:type="spellEnd"/>
      <w:r>
        <w:rPr>
          <w:lang w:val="en-GB"/>
        </w:rPr>
        <w:t xml:space="preserve"> 1 (Dictionary).</w:t>
      </w:r>
    </w:p>
  </w:footnote>
  <w:footnote w:id="128">
    <w:p w14:paraId="7E94D244" w14:textId="6B45B8DB" w:rsidR="00380275" w:rsidRPr="003D7051" w:rsidRDefault="00380275" w:rsidP="00380275">
      <w:pPr>
        <w:pStyle w:val="FootnoteText"/>
        <w:rPr>
          <w:i/>
          <w:iCs/>
        </w:rPr>
      </w:pPr>
      <w:r>
        <w:rPr>
          <w:rStyle w:val="FootnoteReference"/>
        </w:rPr>
        <w:footnoteRef/>
      </w:r>
      <w:r>
        <w:t xml:space="preserve"> See, </w:t>
      </w:r>
      <w:r w:rsidR="00AA145A">
        <w:t>for example</w:t>
      </w:r>
      <w:r>
        <w:t xml:space="preserve">, </w:t>
      </w:r>
      <w:r w:rsidRPr="0044552B">
        <w:rPr>
          <w:i/>
          <w:iCs/>
        </w:rPr>
        <w:t>Bare v Independent Broad-Based Anti-Corruption Commission</w:t>
      </w:r>
      <w:r>
        <w:t xml:space="preserve"> (2015) 326 ALR 198.</w:t>
      </w:r>
    </w:p>
  </w:footnote>
  <w:footnote w:id="129">
    <w:p w14:paraId="2E537C41" w14:textId="77777777" w:rsidR="00380275" w:rsidRPr="00B42535" w:rsidRDefault="00380275" w:rsidP="00380275">
      <w:pPr>
        <w:pStyle w:val="FootnoteText"/>
        <w:rPr>
          <w:i/>
          <w:iCs/>
          <w:lang w:val="en-GB"/>
        </w:rPr>
      </w:pPr>
      <w:r>
        <w:rPr>
          <w:rStyle w:val="FootnoteReference"/>
        </w:rPr>
        <w:footnoteRef/>
      </w:r>
      <w:r>
        <w:t xml:space="preserve"> </w:t>
      </w:r>
      <w:r>
        <w:rPr>
          <w:lang w:val="en-GB"/>
        </w:rPr>
        <w:t xml:space="preserve">See, for example, </w:t>
      </w:r>
      <w:r>
        <w:rPr>
          <w:i/>
          <w:iCs/>
        </w:rPr>
        <w:t>Commissioner of Police of the Metropolis</w:t>
      </w:r>
      <w:r>
        <w:t xml:space="preserve"> </w:t>
      </w:r>
      <w:r>
        <w:rPr>
          <w:i/>
          <w:iCs/>
        </w:rPr>
        <w:t xml:space="preserve">v DSD </w:t>
      </w:r>
      <w:r>
        <w:t xml:space="preserve">[2018] UKSC 11 (United Kingdom) (investigation for allegations of rape); </w:t>
      </w:r>
      <w:proofErr w:type="spellStart"/>
      <w:r>
        <w:rPr>
          <w:i/>
          <w:iCs/>
          <w:lang w:val="en-GB"/>
        </w:rPr>
        <w:t>Tunikova</w:t>
      </w:r>
      <w:proofErr w:type="spellEnd"/>
      <w:r>
        <w:rPr>
          <w:i/>
          <w:iCs/>
          <w:lang w:val="en-GB"/>
        </w:rPr>
        <w:t xml:space="preserve"> v Russia</w:t>
      </w:r>
      <w:r>
        <w:rPr>
          <w:lang w:val="en-GB"/>
        </w:rPr>
        <w:t xml:space="preserve"> (2021) (ECtHR, 3</w:t>
      </w:r>
      <w:r w:rsidRPr="00BE13DD">
        <w:rPr>
          <w:vertAlign w:val="superscript"/>
          <w:lang w:val="en-GB"/>
        </w:rPr>
        <w:t>rd</w:t>
      </w:r>
      <w:r>
        <w:rPr>
          <w:lang w:val="en-GB"/>
        </w:rPr>
        <w:t xml:space="preserve"> section), Apps Nos 55974/16 and </w:t>
      </w:r>
      <w:proofErr w:type="spellStart"/>
      <w:r>
        <w:rPr>
          <w:lang w:val="en-GB"/>
        </w:rPr>
        <w:t>ors</w:t>
      </w:r>
      <w:proofErr w:type="spellEnd"/>
      <w:r>
        <w:rPr>
          <w:lang w:val="en-GB"/>
        </w:rPr>
        <w:t xml:space="preserve">, 14 December 2021 [114], [112] (operational and investigative responses to allegations of domestic violence); UN Human Rights Committee, </w:t>
      </w:r>
      <w:r>
        <w:rPr>
          <w:i/>
          <w:iCs/>
          <w:lang w:val="en-GB"/>
        </w:rPr>
        <w:t>General Comment No 35: Liberty and security of person</w:t>
      </w:r>
      <w:r>
        <w:rPr>
          <w:lang w:val="en-GB"/>
        </w:rPr>
        <w:t xml:space="preserve"> (CCPR/C/GC/35, 16 December 2014)</w:t>
      </w:r>
      <w:r>
        <w:rPr>
          <w:i/>
          <w:iCs/>
          <w:lang w:val="en-GB"/>
        </w:rPr>
        <w:t xml:space="preserve"> </w:t>
      </w:r>
      <w:r>
        <w:rPr>
          <w:lang w:val="en-GB"/>
        </w:rPr>
        <w:t xml:space="preserve">[9]. </w:t>
      </w:r>
    </w:p>
  </w:footnote>
  <w:footnote w:id="130">
    <w:p w14:paraId="53D2A5B3" w14:textId="0CC8FEA4" w:rsidR="00380275" w:rsidRPr="00C97550" w:rsidRDefault="00380275" w:rsidP="00380275">
      <w:pPr>
        <w:pStyle w:val="FootnoteText"/>
        <w:rPr>
          <w:lang w:val="en-GB"/>
        </w:rPr>
      </w:pPr>
      <w:r>
        <w:rPr>
          <w:rStyle w:val="FootnoteReference"/>
        </w:rPr>
        <w:footnoteRef/>
      </w:r>
      <w:r>
        <w:t xml:space="preserve"> </w:t>
      </w:r>
      <w:r>
        <w:rPr>
          <w:i/>
          <w:iCs/>
        </w:rPr>
        <w:t xml:space="preserve">R v QX </w:t>
      </w:r>
      <w:r>
        <w:t xml:space="preserve">(No 2) [2021] ACTSC 244 [106], citing </w:t>
      </w:r>
      <w:r w:rsidRPr="00932C06">
        <w:t>Attorney</w:t>
      </w:r>
      <w:r w:rsidR="00F20431">
        <w:t>-</w:t>
      </w:r>
      <w:r w:rsidRPr="00932C06">
        <w:t>General’s Reference (No 3 of 1999) [2001] 2 AC 91 at 118</w:t>
      </w:r>
      <w:r>
        <w:t>.</w:t>
      </w:r>
    </w:p>
  </w:footnote>
  <w:footnote w:id="131">
    <w:p w14:paraId="532BA6EF" w14:textId="77777777" w:rsidR="00380275" w:rsidRPr="00AF6617" w:rsidRDefault="00380275" w:rsidP="00380275">
      <w:pPr>
        <w:pStyle w:val="FootnoteText"/>
        <w:rPr>
          <w:lang w:val="en-GB"/>
        </w:rPr>
      </w:pPr>
      <w:r>
        <w:rPr>
          <w:rStyle w:val="FootnoteReference"/>
        </w:rPr>
        <w:footnoteRef/>
      </w:r>
      <w:r>
        <w:t xml:space="preserve"> </w:t>
      </w:r>
      <w:r>
        <w:rPr>
          <w:lang w:val="en-GB"/>
        </w:rPr>
        <w:t xml:space="preserve">Note that it has also been referred to by the Supreme Court of Victoria in determining the scope and application of fair trial rights: </w:t>
      </w:r>
      <w:r>
        <w:rPr>
          <w:i/>
          <w:iCs/>
          <w:lang w:val="en-GB"/>
        </w:rPr>
        <w:t>Ragg v Magistrates’ Court of Victoria</w:t>
      </w:r>
      <w:r>
        <w:rPr>
          <w:lang w:val="en-GB"/>
        </w:rPr>
        <w:t xml:space="preserve"> [2008] VSC 1 [77]. </w:t>
      </w:r>
    </w:p>
  </w:footnote>
  <w:footnote w:id="132">
    <w:p w14:paraId="4CAFEFAC" w14:textId="77777777" w:rsidR="00380275" w:rsidRDefault="00380275" w:rsidP="00380275">
      <w:pPr>
        <w:pStyle w:val="FootnoteText"/>
        <w:rPr>
          <w:lang w:val="en-US"/>
        </w:rPr>
      </w:pPr>
      <w:r>
        <w:rPr>
          <w:rStyle w:val="FootnoteReference"/>
        </w:rPr>
        <w:footnoteRef/>
      </w:r>
      <w:r>
        <w:t xml:space="preserve"> </w:t>
      </w:r>
      <w:r>
        <w:rPr>
          <w:szCs w:val="20"/>
        </w:rPr>
        <w:t xml:space="preserve">Victorian Law Reform Commission, </w:t>
      </w:r>
      <w:r>
        <w:rPr>
          <w:i/>
          <w:iCs/>
          <w:szCs w:val="20"/>
        </w:rPr>
        <w:t xml:space="preserve">The Role of Victims of Crime in the Criminal Trial Process </w:t>
      </w:r>
      <w:r>
        <w:rPr>
          <w:szCs w:val="20"/>
        </w:rPr>
        <w:t xml:space="preserve">(Report, August 2016) xxi.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42944CE0" w14:paraId="35B6D42B" w14:textId="77777777" w:rsidTr="42944CE0">
      <w:trPr>
        <w:trHeight w:val="300"/>
      </w:trPr>
      <w:tc>
        <w:tcPr>
          <w:tcW w:w="2765" w:type="dxa"/>
        </w:tcPr>
        <w:p w14:paraId="380063F5" w14:textId="0C919903" w:rsidR="42944CE0" w:rsidRDefault="42944CE0" w:rsidP="42944CE0">
          <w:pPr>
            <w:pStyle w:val="Header"/>
            <w:ind w:left="-115"/>
          </w:pPr>
        </w:p>
      </w:tc>
      <w:tc>
        <w:tcPr>
          <w:tcW w:w="2765" w:type="dxa"/>
        </w:tcPr>
        <w:p w14:paraId="5FB1EC89" w14:textId="36497DFC" w:rsidR="42944CE0" w:rsidRDefault="42944CE0" w:rsidP="42944CE0">
          <w:pPr>
            <w:pStyle w:val="Header"/>
            <w:jc w:val="center"/>
          </w:pPr>
        </w:p>
      </w:tc>
      <w:tc>
        <w:tcPr>
          <w:tcW w:w="2765" w:type="dxa"/>
        </w:tcPr>
        <w:p w14:paraId="6BD69C33" w14:textId="209E661F" w:rsidR="42944CE0" w:rsidRDefault="42944CE0" w:rsidP="42944CE0">
          <w:pPr>
            <w:pStyle w:val="Header"/>
            <w:ind w:right="-115"/>
            <w:jc w:val="right"/>
          </w:pPr>
        </w:p>
      </w:tc>
    </w:tr>
  </w:tbl>
  <w:p w14:paraId="24A1BE84" w14:textId="63EC4205" w:rsidR="00CD291F" w:rsidRDefault="00CD2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5EC7A" w14:textId="77777777" w:rsidR="007C510E" w:rsidRDefault="007C510E" w:rsidP="00260847">
    <w:pPr>
      <w:pStyle w:val="Header"/>
      <w:tabs>
        <w:tab w:val="clear" w:pos="4513"/>
        <w:tab w:val="clear" w:pos="9026"/>
      </w:tabs>
      <w:spacing w:before="240"/>
    </w:pPr>
  </w:p>
  <w:p w14:paraId="7D7DDE3B" w14:textId="77777777" w:rsidR="007C510E" w:rsidRDefault="007C5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9AA08" w14:textId="77777777" w:rsidR="007C510E" w:rsidRPr="000731D3" w:rsidRDefault="007C510E" w:rsidP="000731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06E6E" w14:textId="77777777" w:rsidR="007C510E" w:rsidRPr="000731D3" w:rsidRDefault="007C510E" w:rsidP="000731D3">
    <w:pPr>
      <w:pStyle w:val="Header"/>
      <w:rPr>
        <w:rFonts w:cs="Arial"/>
        <w:color w:val="365F91" w:themeColor="accent1" w:themeShade="BF"/>
      </w:rPr>
    </w:pPr>
    <w:r>
      <w:rPr>
        <w:rFonts w:cs="Arial"/>
        <w:color w:val="365F91" w:themeColor="accent1" w:themeShade="BF"/>
      </w:rPr>
      <w:t>[title]</w:t>
    </w:r>
  </w:p>
  <w:p w14:paraId="2E995012" w14:textId="77777777" w:rsidR="007C510E" w:rsidRPr="000731D3" w:rsidRDefault="007C510E" w:rsidP="000731D3">
    <w:pPr>
      <w:pStyle w:val="Header"/>
      <w:pBdr>
        <w:bottom w:val="single" w:sz="4" w:space="1" w:color="auto"/>
      </w:pBdr>
      <w:rPr>
        <w:rFonts w:cs="Arial"/>
        <w:sz w:val="20"/>
        <w:szCs w:val="20"/>
      </w:rPr>
    </w:pPr>
  </w:p>
  <w:p w14:paraId="4AA1A1C6" w14:textId="77777777" w:rsidR="007C510E" w:rsidRPr="000731D3" w:rsidRDefault="007C510E" w:rsidP="000731D3">
    <w:pPr>
      <w:pStyle w:val="Header"/>
      <w:rPr>
        <w:rFonts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A3CE5"/>
    <w:multiLevelType w:val="hybridMultilevel"/>
    <w:tmpl w:val="C302C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2D19C2"/>
    <w:multiLevelType w:val="hybridMultilevel"/>
    <w:tmpl w:val="B8C0193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 w15:restartNumberingAfterBreak="0">
    <w:nsid w:val="06DC509C"/>
    <w:multiLevelType w:val="hybridMultilevel"/>
    <w:tmpl w:val="688A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250E7E"/>
    <w:multiLevelType w:val="multilevel"/>
    <w:tmpl w:val="B9101F94"/>
    <w:lvl w:ilvl="0">
      <w:start w:val="1"/>
      <w:numFmt w:val="decimal"/>
      <w:pStyle w:val="Numberedparagraph"/>
      <w:lvlText w:val="%1."/>
      <w:lvlJc w:val="left"/>
      <w:pPr>
        <w:ind w:left="851" w:hanging="567"/>
      </w:pPr>
      <w:rPr>
        <w:rFonts w:hint="default"/>
        <w:b w:val="0"/>
        <w:bCs w:val="0"/>
        <w:i w:val="0"/>
        <w:iCs w:val="0"/>
        <w:sz w:val="22"/>
        <w:szCs w:val="22"/>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22D74BDD"/>
    <w:multiLevelType w:val="hybridMultilevel"/>
    <w:tmpl w:val="21ECC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330476"/>
    <w:multiLevelType w:val="hybridMultilevel"/>
    <w:tmpl w:val="B2D89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05288D"/>
    <w:multiLevelType w:val="hybridMultilevel"/>
    <w:tmpl w:val="E3DC32E0"/>
    <w:lvl w:ilvl="0" w:tplc="0C090001">
      <w:start w:val="1"/>
      <w:numFmt w:val="bullet"/>
      <w:lvlText w:val=""/>
      <w:lvlJc w:val="left"/>
      <w:pPr>
        <w:ind w:left="1627" w:hanging="360"/>
      </w:pPr>
      <w:rPr>
        <w:rFonts w:ascii="Symbol" w:hAnsi="Symbo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7" w15:restartNumberingAfterBreak="0">
    <w:nsid w:val="2E610D6F"/>
    <w:multiLevelType w:val="hybridMultilevel"/>
    <w:tmpl w:val="139A6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DF6568"/>
    <w:multiLevelType w:val="hybridMultilevel"/>
    <w:tmpl w:val="2F1CB0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F2C38A4"/>
    <w:multiLevelType w:val="hybridMultilevel"/>
    <w:tmpl w:val="55364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4C170E1"/>
    <w:multiLevelType w:val="hybridMultilevel"/>
    <w:tmpl w:val="721279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8110520"/>
    <w:multiLevelType w:val="multilevel"/>
    <w:tmpl w:val="541870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4F52AF"/>
    <w:multiLevelType w:val="hybridMultilevel"/>
    <w:tmpl w:val="BB5E8A26"/>
    <w:lvl w:ilvl="0" w:tplc="46AA5134">
      <w:start w:val="1"/>
      <w:numFmt w:val="decimal"/>
      <w:lvlText w:val="%1."/>
      <w:lvlJc w:val="left"/>
      <w:pPr>
        <w:ind w:left="5321" w:hanging="360"/>
      </w:pPr>
      <w:rPr>
        <w:b w:val="0"/>
        <w:bCs w:val="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3" w15:restartNumberingAfterBreak="0">
    <w:nsid w:val="4BA07DE7"/>
    <w:multiLevelType w:val="hybridMultilevel"/>
    <w:tmpl w:val="3086D1E2"/>
    <w:lvl w:ilvl="0" w:tplc="6B9CA1F6">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014635B"/>
    <w:multiLevelType w:val="hybridMultilevel"/>
    <w:tmpl w:val="761A3442"/>
    <w:lvl w:ilvl="0" w:tplc="5C0A797E">
      <w:start w:val="3"/>
      <w:numFmt w:val="bullet"/>
      <w:lvlText w:val=""/>
      <w:lvlJc w:val="left"/>
      <w:pPr>
        <w:ind w:left="927" w:hanging="360"/>
      </w:pPr>
      <w:rPr>
        <w:rFonts w:ascii="Symbol" w:eastAsiaTheme="minorEastAsia" w:hAnsi="Symbo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52275696"/>
    <w:multiLevelType w:val="hybridMultilevel"/>
    <w:tmpl w:val="DC6E28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F230096"/>
    <w:multiLevelType w:val="multilevel"/>
    <w:tmpl w:val="541870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8" w15:restartNumberingAfterBreak="0">
    <w:nsid w:val="6BFD0B4F"/>
    <w:multiLevelType w:val="hybridMultilevel"/>
    <w:tmpl w:val="FC668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C280898"/>
    <w:multiLevelType w:val="hybridMultilevel"/>
    <w:tmpl w:val="9ECA2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C63E4C"/>
    <w:multiLevelType w:val="hybridMultilevel"/>
    <w:tmpl w:val="6D9EA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4D7337"/>
    <w:multiLevelType w:val="multilevel"/>
    <w:tmpl w:val="3B2ED960"/>
    <w:lvl w:ilvl="0">
      <w:start w:val="1"/>
      <w:numFmt w:val="bullet"/>
      <w:lvlText w:val=""/>
      <w:lvlJc w:val="left"/>
      <w:pPr>
        <w:ind w:left="1134" w:hanging="567"/>
      </w:pPr>
      <w:rPr>
        <w:rFonts w:ascii="Symbol" w:hAnsi="Symbol" w:hint="default"/>
      </w:rPr>
    </w:lvl>
    <w:lvl w:ilvl="1">
      <w:start w:val="1"/>
      <w:numFmt w:val="lowerLetter"/>
      <w:lvlText w:val="%2."/>
      <w:lvlJc w:val="left"/>
      <w:pPr>
        <w:ind w:left="1474" w:hanging="283"/>
      </w:pPr>
      <w:rPr>
        <w:rFonts w:hint="default"/>
        <w:b w:val="0"/>
        <w:i w:val="0"/>
        <w:sz w:val="24"/>
      </w:rPr>
    </w:lvl>
    <w:lvl w:ilvl="2">
      <w:start w:val="1"/>
      <w:numFmt w:val="lowerRoman"/>
      <w:lvlText w:val="%3."/>
      <w:lvlJc w:val="right"/>
      <w:pPr>
        <w:ind w:left="1814" w:hanging="113"/>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2" w15:restartNumberingAfterBreak="0">
    <w:nsid w:val="71534E10"/>
    <w:multiLevelType w:val="hybridMultilevel"/>
    <w:tmpl w:val="E228A7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2CF4DEA"/>
    <w:multiLevelType w:val="hybridMultilevel"/>
    <w:tmpl w:val="98A8DE5E"/>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211"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7F1212E"/>
    <w:multiLevelType w:val="hybridMultilevel"/>
    <w:tmpl w:val="0F08FA4A"/>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D131760"/>
    <w:multiLevelType w:val="hybridMultilevel"/>
    <w:tmpl w:val="3CDE994C"/>
    <w:lvl w:ilvl="0" w:tplc="960E43D4">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D200428"/>
    <w:multiLevelType w:val="multilevel"/>
    <w:tmpl w:val="EEF4911C"/>
    <w:lvl w:ilvl="0">
      <w:start w:val="1"/>
      <w:numFmt w:val="decimal"/>
      <w:lvlText w:val="%1."/>
      <w:lvlJc w:val="left"/>
      <w:pPr>
        <w:ind w:left="567" w:hanging="567"/>
      </w:pPr>
      <w:rPr>
        <w:rFonts w:hint="default"/>
      </w:rPr>
    </w:lvl>
    <w:lvl w:ilvl="1">
      <w:start w:val="1"/>
      <w:numFmt w:val="bullet"/>
      <w:lvlText w:val=""/>
      <w:lvlJc w:val="left"/>
      <w:pPr>
        <w:ind w:left="984" w:hanging="360"/>
      </w:pPr>
      <w:rPr>
        <w:rFonts w:ascii="Symbol" w:hAnsi="Symbol" w:hint="default"/>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7" w15:restartNumberingAfterBreak="0">
    <w:nsid w:val="7F8C02D5"/>
    <w:multiLevelType w:val="multilevel"/>
    <w:tmpl w:val="541870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038055">
    <w:abstractNumId w:val="17"/>
  </w:num>
  <w:num w:numId="2" w16cid:durableId="1767533628">
    <w:abstractNumId w:val="13"/>
  </w:num>
  <w:num w:numId="3" w16cid:durableId="1285230640">
    <w:abstractNumId w:val="14"/>
  </w:num>
  <w:num w:numId="4" w16cid:durableId="337660465">
    <w:abstractNumId w:val="26"/>
  </w:num>
  <w:num w:numId="5" w16cid:durableId="1544174786">
    <w:abstractNumId w:val="21"/>
  </w:num>
  <w:num w:numId="6" w16cid:durableId="267469695">
    <w:abstractNumId w:val="6"/>
  </w:num>
  <w:num w:numId="7" w16cid:durableId="2127044122">
    <w:abstractNumId w:val="1"/>
  </w:num>
  <w:num w:numId="8" w16cid:durableId="571426947">
    <w:abstractNumId w:val="24"/>
  </w:num>
  <w:num w:numId="9" w16cid:durableId="1148016973">
    <w:abstractNumId w:val="5"/>
  </w:num>
  <w:num w:numId="10" w16cid:durableId="985889174">
    <w:abstractNumId w:val="10"/>
  </w:num>
  <w:num w:numId="11" w16cid:durableId="1269236894">
    <w:abstractNumId w:val="23"/>
  </w:num>
  <w:num w:numId="12" w16cid:durableId="2145586956">
    <w:abstractNumId w:val="25"/>
  </w:num>
  <w:num w:numId="13" w16cid:durableId="1302081924">
    <w:abstractNumId w:val="15"/>
  </w:num>
  <w:num w:numId="14" w16cid:durableId="2144998536">
    <w:abstractNumId w:val="18"/>
  </w:num>
  <w:num w:numId="15" w16cid:durableId="151914058">
    <w:abstractNumId w:val="22"/>
  </w:num>
  <w:num w:numId="16" w16cid:durableId="387000300">
    <w:abstractNumId w:val="8"/>
  </w:num>
  <w:num w:numId="17" w16cid:durableId="1472560040">
    <w:abstractNumId w:val="9"/>
  </w:num>
  <w:num w:numId="18" w16cid:durableId="44303939">
    <w:abstractNumId w:val="16"/>
  </w:num>
  <w:num w:numId="19" w16cid:durableId="1608999163">
    <w:abstractNumId w:val="11"/>
  </w:num>
  <w:num w:numId="20" w16cid:durableId="1089885409">
    <w:abstractNumId w:val="27"/>
  </w:num>
  <w:num w:numId="21" w16cid:durableId="1184829890">
    <w:abstractNumId w:val="0"/>
  </w:num>
  <w:num w:numId="22" w16cid:durableId="229386132">
    <w:abstractNumId w:val="2"/>
  </w:num>
  <w:num w:numId="23" w16cid:durableId="939219779">
    <w:abstractNumId w:val="19"/>
  </w:num>
  <w:num w:numId="24" w16cid:durableId="1172640509">
    <w:abstractNumId w:val="7"/>
  </w:num>
  <w:num w:numId="25" w16cid:durableId="843589888">
    <w:abstractNumId w:val="4"/>
  </w:num>
  <w:num w:numId="26" w16cid:durableId="646084058">
    <w:abstractNumId w:val="20"/>
  </w:num>
  <w:num w:numId="27" w16cid:durableId="81803053">
    <w:abstractNumId w:val="12"/>
  </w:num>
  <w:num w:numId="28" w16cid:durableId="1083451691">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0A"/>
    <w:rsid w:val="0000018F"/>
    <w:rsid w:val="00000366"/>
    <w:rsid w:val="00000433"/>
    <w:rsid w:val="0000075A"/>
    <w:rsid w:val="00000BD5"/>
    <w:rsid w:val="00000E2B"/>
    <w:rsid w:val="00001304"/>
    <w:rsid w:val="00001465"/>
    <w:rsid w:val="00001535"/>
    <w:rsid w:val="00001CCB"/>
    <w:rsid w:val="000021FF"/>
    <w:rsid w:val="0000220C"/>
    <w:rsid w:val="0000228A"/>
    <w:rsid w:val="000024DC"/>
    <w:rsid w:val="0000278C"/>
    <w:rsid w:val="00002DBB"/>
    <w:rsid w:val="00002DF8"/>
    <w:rsid w:val="00002F05"/>
    <w:rsid w:val="0000375B"/>
    <w:rsid w:val="000037BF"/>
    <w:rsid w:val="000037C5"/>
    <w:rsid w:val="00003A38"/>
    <w:rsid w:val="00003DC4"/>
    <w:rsid w:val="000042B4"/>
    <w:rsid w:val="00005118"/>
    <w:rsid w:val="0000525F"/>
    <w:rsid w:val="00005793"/>
    <w:rsid w:val="00005982"/>
    <w:rsid w:val="000059B8"/>
    <w:rsid w:val="00005B3C"/>
    <w:rsid w:val="00005D9F"/>
    <w:rsid w:val="00005E0C"/>
    <w:rsid w:val="0000646B"/>
    <w:rsid w:val="000065B6"/>
    <w:rsid w:val="000067FB"/>
    <w:rsid w:val="0000686A"/>
    <w:rsid w:val="00006FA8"/>
    <w:rsid w:val="00007532"/>
    <w:rsid w:val="00007796"/>
    <w:rsid w:val="00007E4B"/>
    <w:rsid w:val="0001019A"/>
    <w:rsid w:val="0001054F"/>
    <w:rsid w:val="000105DB"/>
    <w:rsid w:val="00010854"/>
    <w:rsid w:val="00010925"/>
    <w:rsid w:val="000109D2"/>
    <w:rsid w:val="00010F49"/>
    <w:rsid w:val="000111F3"/>
    <w:rsid w:val="00011418"/>
    <w:rsid w:val="00011B3F"/>
    <w:rsid w:val="00011F72"/>
    <w:rsid w:val="0001218A"/>
    <w:rsid w:val="00012247"/>
    <w:rsid w:val="00012648"/>
    <w:rsid w:val="000127E4"/>
    <w:rsid w:val="00012870"/>
    <w:rsid w:val="000129DA"/>
    <w:rsid w:val="00012CC0"/>
    <w:rsid w:val="00012F44"/>
    <w:rsid w:val="00013275"/>
    <w:rsid w:val="0001333E"/>
    <w:rsid w:val="00013967"/>
    <w:rsid w:val="00014484"/>
    <w:rsid w:val="0001449B"/>
    <w:rsid w:val="00014B68"/>
    <w:rsid w:val="00014E92"/>
    <w:rsid w:val="00014E9B"/>
    <w:rsid w:val="00014EA7"/>
    <w:rsid w:val="00015423"/>
    <w:rsid w:val="000154F6"/>
    <w:rsid w:val="00015731"/>
    <w:rsid w:val="00015C2B"/>
    <w:rsid w:val="000161B3"/>
    <w:rsid w:val="000166B0"/>
    <w:rsid w:val="00017391"/>
    <w:rsid w:val="0001751F"/>
    <w:rsid w:val="000175C0"/>
    <w:rsid w:val="0001798C"/>
    <w:rsid w:val="00017A9F"/>
    <w:rsid w:val="0002028B"/>
    <w:rsid w:val="000203A5"/>
    <w:rsid w:val="000205FC"/>
    <w:rsid w:val="00020FCF"/>
    <w:rsid w:val="0002104A"/>
    <w:rsid w:val="0002117B"/>
    <w:rsid w:val="000215B2"/>
    <w:rsid w:val="00021C47"/>
    <w:rsid w:val="00021E12"/>
    <w:rsid w:val="00022045"/>
    <w:rsid w:val="000222B9"/>
    <w:rsid w:val="0002256E"/>
    <w:rsid w:val="00022BDB"/>
    <w:rsid w:val="0002326C"/>
    <w:rsid w:val="0002351E"/>
    <w:rsid w:val="00023554"/>
    <w:rsid w:val="000235A6"/>
    <w:rsid w:val="000237F8"/>
    <w:rsid w:val="00023865"/>
    <w:rsid w:val="00023F67"/>
    <w:rsid w:val="000240F7"/>
    <w:rsid w:val="000247F3"/>
    <w:rsid w:val="000248AA"/>
    <w:rsid w:val="00024A3C"/>
    <w:rsid w:val="00024AA5"/>
    <w:rsid w:val="00024B8C"/>
    <w:rsid w:val="00024CA9"/>
    <w:rsid w:val="00024D47"/>
    <w:rsid w:val="00025A05"/>
    <w:rsid w:val="00025EB1"/>
    <w:rsid w:val="0002600E"/>
    <w:rsid w:val="000263A3"/>
    <w:rsid w:val="0002654E"/>
    <w:rsid w:val="00026AD4"/>
    <w:rsid w:val="00026C15"/>
    <w:rsid w:val="00026D7B"/>
    <w:rsid w:val="000270FA"/>
    <w:rsid w:val="00027502"/>
    <w:rsid w:val="00027534"/>
    <w:rsid w:val="0002763E"/>
    <w:rsid w:val="000276F1"/>
    <w:rsid w:val="000305EA"/>
    <w:rsid w:val="00030CE4"/>
    <w:rsid w:val="00030EC5"/>
    <w:rsid w:val="00031647"/>
    <w:rsid w:val="000316C8"/>
    <w:rsid w:val="00031E41"/>
    <w:rsid w:val="00032256"/>
    <w:rsid w:val="000326CB"/>
    <w:rsid w:val="0003332D"/>
    <w:rsid w:val="00033729"/>
    <w:rsid w:val="00033F48"/>
    <w:rsid w:val="00034563"/>
    <w:rsid w:val="00034CB5"/>
    <w:rsid w:val="00034D64"/>
    <w:rsid w:val="00034D8E"/>
    <w:rsid w:val="000350E9"/>
    <w:rsid w:val="000351D8"/>
    <w:rsid w:val="000355D6"/>
    <w:rsid w:val="000356F3"/>
    <w:rsid w:val="00035B79"/>
    <w:rsid w:val="00035F6D"/>
    <w:rsid w:val="00036C79"/>
    <w:rsid w:val="00036F13"/>
    <w:rsid w:val="0003745D"/>
    <w:rsid w:val="000377AA"/>
    <w:rsid w:val="00037AB3"/>
    <w:rsid w:val="00037E29"/>
    <w:rsid w:val="00040040"/>
    <w:rsid w:val="00040D9C"/>
    <w:rsid w:val="00040EA8"/>
    <w:rsid w:val="000411BE"/>
    <w:rsid w:val="000412FA"/>
    <w:rsid w:val="0004159E"/>
    <w:rsid w:val="000417A2"/>
    <w:rsid w:val="00041930"/>
    <w:rsid w:val="00041C3B"/>
    <w:rsid w:val="00041E58"/>
    <w:rsid w:val="00041FA7"/>
    <w:rsid w:val="000427EE"/>
    <w:rsid w:val="00042F5E"/>
    <w:rsid w:val="00043128"/>
    <w:rsid w:val="000444AE"/>
    <w:rsid w:val="00044559"/>
    <w:rsid w:val="00044687"/>
    <w:rsid w:val="00044A7F"/>
    <w:rsid w:val="00044F00"/>
    <w:rsid w:val="000454D5"/>
    <w:rsid w:val="00045B46"/>
    <w:rsid w:val="00045E5D"/>
    <w:rsid w:val="00046170"/>
    <w:rsid w:val="000461AF"/>
    <w:rsid w:val="00046A7E"/>
    <w:rsid w:val="00046DA4"/>
    <w:rsid w:val="0004700A"/>
    <w:rsid w:val="0004790E"/>
    <w:rsid w:val="00047983"/>
    <w:rsid w:val="00047E4E"/>
    <w:rsid w:val="00047F29"/>
    <w:rsid w:val="00047FD1"/>
    <w:rsid w:val="00047FF2"/>
    <w:rsid w:val="00050365"/>
    <w:rsid w:val="000503EB"/>
    <w:rsid w:val="00050425"/>
    <w:rsid w:val="00050751"/>
    <w:rsid w:val="00050BFD"/>
    <w:rsid w:val="00050EF7"/>
    <w:rsid w:val="000512D4"/>
    <w:rsid w:val="000513BE"/>
    <w:rsid w:val="00051561"/>
    <w:rsid w:val="000515D0"/>
    <w:rsid w:val="00051907"/>
    <w:rsid w:val="00051DEF"/>
    <w:rsid w:val="000522F1"/>
    <w:rsid w:val="00052FC9"/>
    <w:rsid w:val="000537D4"/>
    <w:rsid w:val="000538FC"/>
    <w:rsid w:val="000539EA"/>
    <w:rsid w:val="00053A6C"/>
    <w:rsid w:val="00053D10"/>
    <w:rsid w:val="000540B3"/>
    <w:rsid w:val="00054120"/>
    <w:rsid w:val="0005414F"/>
    <w:rsid w:val="0005426E"/>
    <w:rsid w:val="000546D5"/>
    <w:rsid w:val="00054A44"/>
    <w:rsid w:val="00054A99"/>
    <w:rsid w:val="00054E74"/>
    <w:rsid w:val="00054EEA"/>
    <w:rsid w:val="00055272"/>
    <w:rsid w:val="000557F6"/>
    <w:rsid w:val="00055860"/>
    <w:rsid w:val="000559DF"/>
    <w:rsid w:val="00055B47"/>
    <w:rsid w:val="00055FF2"/>
    <w:rsid w:val="00056071"/>
    <w:rsid w:val="00056904"/>
    <w:rsid w:val="00056960"/>
    <w:rsid w:val="00056CEF"/>
    <w:rsid w:val="00056D20"/>
    <w:rsid w:val="00056FCB"/>
    <w:rsid w:val="00057023"/>
    <w:rsid w:val="00057D21"/>
    <w:rsid w:val="00060793"/>
    <w:rsid w:val="00060A9F"/>
    <w:rsid w:val="00060BBF"/>
    <w:rsid w:val="000615E3"/>
    <w:rsid w:val="0006169D"/>
    <w:rsid w:val="000616FA"/>
    <w:rsid w:val="000618D0"/>
    <w:rsid w:val="0006218B"/>
    <w:rsid w:val="00062427"/>
    <w:rsid w:val="000626A3"/>
    <w:rsid w:val="00062809"/>
    <w:rsid w:val="00062953"/>
    <w:rsid w:val="00062EB7"/>
    <w:rsid w:val="00063640"/>
    <w:rsid w:val="00063B3A"/>
    <w:rsid w:val="00063EB5"/>
    <w:rsid w:val="00063EDF"/>
    <w:rsid w:val="00064477"/>
    <w:rsid w:val="00064672"/>
    <w:rsid w:val="000647A7"/>
    <w:rsid w:val="00064D0A"/>
    <w:rsid w:val="00065093"/>
    <w:rsid w:val="0006536D"/>
    <w:rsid w:val="00065442"/>
    <w:rsid w:val="00065711"/>
    <w:rsid w:val="00065886"/>
    <w:rsid w:val="00065AFE"/>
    <w:rsid w:val="00065D40"/>
    <w:rsid w:val="0006663F"/>
    <w:rsid w:val="00066C79"/>
    <w:rsid w:val="00066E41"/>
    <w:rsid w:val="000671FE"/>
    <w:rsid w:val="00067289"/>
    <w:rsid w:val="00067326"/>
    <w:rsid w:val="000676CE"/>
    <w:rsid w:val="0006789F"/>
    <w:rsid w:val="00067A43"/>
    <w:rsid w:val="00067B06"/>
    <w:rsid w:val="00067FE5"/>
    <w:rsid w:val="00070088"/>
    <w:rsid w:val="00070986"/>
    <w:rsid w:val="00070C38"/>
    <w:rsid w:val="00070D81"/>
    <w:rsid w:val="000711FA"/>
    <w:rsid w:val="000713C7"/>
    <w:rsid w:val="000713F2"/>
    <w:rsid w:val="0007150F"/>
    <w:rsid w:val="00071DB1"/>
    <w:rsid w:val="0007228B"/>
    <w:rsid w:val="000727B1"/>
    <w:rsid w:val="00072CE5"/>
    <w:rsid w:val="00072CE6"/>
    <w:rsid w:val="00072D65"/>
    <w:rsid w:val="00072F44"/>
    <w:rsid w:val="000730DC"/>
    <w:rsid w:val="000731D3"/>
    <w:rsid w:val="0007351E"/>
    <w:rsid w:val="00073630"/>
    <w:rsid w:val="000738E8"/>
    <w:rsid w:val="0007431C"/>
    <w:rsid w:val="0007475C"/>
    <w:rsid w:val="00074A9D"/>
    <w:rsid w:val="0007509A"/>
    <w:rsid w:val="00075AB0"/>
    <w:rsid w:val="00075C2D"/>
    <w:rsid w:val="00076241"/>
    <w:rsid w:val="000764CA"/>
    <w:rsid w:val="0007682B"/>
    <w:rsid w:val="000771BC"/>
    <w:rsid w:val="0007724F"/>
    <w:rsid w:val="00077300"/>
    <w:rsid w:val="000774D0"/>
    <w:rsid w:val="00077905"/>
    <w:rsid w:val="00077C01"/>
    <w:rsid w:val="00077E0B"/>
    <w:rsid w:val="000801B4"/>
    <w:rsid w:val="00080512"/>
    <w:rsid w:val="0008092E"/>
    <w:rsid w:val="00080E3C"/>
    <w:rsid w:val="00080F73"/>
    <w:rsid w:val="00081013"/>
    <w:rsid w:val="00081290"/>
    <w:rsid w:val="00081398"/>
    <w:rsid w:val="0008227F"/>
    <w:rsid w:val="0008258F"/>
    <w:rsid w:val="00082789"/>
    <w:rsid w:val="00082827"/>
    <w:rsid w:val="00082857"/>
    <w:rsid w:val="0008285B"/>
    <w:rsid w:val="000829A9"/>
    <w:rsid w:val="0008305A"/>
    <w:rsid w:val="000830B6"/>
    <w:rsid w:val="000838F2"/>
    <w:rsid w:val="00083B35"/>
    <w:rsid w:val="00083D53"/>
    <w:rsid w:val="00083E48"/>
    <w:rsid w:val="0008405F"/>
    <w:rsid w:val="00084310"/>
    <w:rsid w:val="0008435E"/>
    <w:rsid w:val="00084E46"/>
    <w:rsid w:val="00084F67"/>
    <w:rsid w:val="000851D9"/>
    <w:rsid w:val="000853E3"/>
    <w:rsid w:val="000858FE"/>
    <w:rsid w:val="00085D9C"/>
    <w:rsid w:val="00086256"/>
    <w:rsid w:val="000862A2"/>
    <w:rsid w:val="00086719"/>
    <w:rsid w:val="00086801"/>
    <w:rsid w:val="00087026"/>
    <w:rsid w:val="000872F7"/>
    <w:rsid w:val="000873CC"/>
    <w:rsid w:val="00087559"/>
    <w:rsid w:val="0008765D"/>
    <w:rsid w:val="0008791D"/>
    <w:rsid w:val="0008791E"/>
    <w:rsid w:val="00087B8A"/>
    <w:rsid w:val="00087BB2"/>
    <w:rsid w:val="00087F22"/>
    <w:rsid w:val="0009007A"/>
    <w:rsid w:val="000904E1"/>
    <w:rsid w:val="00090AB5"/>
    <w:rsid w:val="00090CF4"/>
    <w:rsid w:val="0009185B"/>
    <w:rsid w:val="00091DB9"/>
    <w:rsid w:val="000923D6"/>
    <w:rsid w:val="0009255C"/>
    <w:rsid w:val="00092801"/>
    <w:rsid w:val="00092B3E"/>
    <w:rsid w:val="00093057"/>
    <w:rsid w:val="000931C4"/>
    <w:rsid w:val="000932D1"/>
    <w:rsid w:val="0009410C"/>
    <w:rsid w:val="000944F3"/>
    <w:rsid w:val="00094C0F"/>
    <w:rsid w:val="000953D2"/>
    <w:rsid w:val="00095419"/>
    <w:rsid w:val="0009584D"/>
    <w:rsid w:val="00095A0E"/>
    <w:rsid w:val="00095C44"/>
    <w:rsid w:val="00095CA5"/>
    <w:rsid w:val="00095FBB"/>
    <w:rsid w:val="00096256"/>
    <w:rsid w:val="00096517"/>
    <w:rsid w:val="000965C0"/>
    <w:rsid w:val="00096CCC"/>
    <w:rsid w:val="00097941"/>
    <w:rsid w:val="00097B84"/>
    <w:rsid w:val="000A020F"/>
    <w:rsid w:val="000A081C"/>
    <w:rsid w:val="000A0820"/>
    <w:rsid w:val="000A0898"/>
    <w:rsid w:val="000A0A82"/>
    <w:rsid w:val="000A0DBA"/>
    <w:rsid w:val="000A0ED4"/>
    <w:rsid w:val="000A12B3"/>
    <w:rsid w:val="000A188C"/>
    <w:rsid w:val="000A201B"/>
    <w:rsid w:val="000A20A8"/>
    <w:rsid w:val="000A2A67"/>
    <w:rsid w:val="000A305A"/>
    <w:rsid w:val="000A327C"/>
    <w:rsid w:val="000A32B5"/>
    <w:rsid w:val="000A3B18"/>
    <w:rsid w:val="000A400B"/>
    <w:rsid w:val="000A4051"/>
    <w:rsid w:val="000A4388"/>
    <w:rsid w:val="000A4594"/>
    <w:rsid w:val="000A4691"/>
    <w:rsid w:val="000A47E9"/>
    <w:rsid w:val="000A4957"/>
    <w:rsid w:val="000A4A15"/>
    <w:rsid w:val="000A4A69"/>
    <w:rsid w:val="000A4B17"/>
    <w:rsid w:val="000A4B5A"/>
    <w:rsid w:val="000A4BC8"/>
    <w:rsid w:val="000A4CCE"/>
    <w:rsid w:val="000A543A"/>
    <w:rsid w:val="000A5465"/>
    <w:rsid w:val="000A55EB"/>
    <w:rsid w:val="000A5723"/>
    <w:rsid w:val="000A5DD5"/>
    <w:rsid w:val="000A5E7B"/>
    <w:rsid w:val="000A5FAF"/>
    <w:rsid w:val="000A61FC"/>
    <w:rsid w:val="000A6314"/>
    <w:rsid w:val="000A63C2"/>
    <w:rsid w:val="000A66BC"/>
    <w:rsid w:val="000A68B4"/>
    <w:rsid w:val="000A68F3"/>
    <w:rsid w:val="000A68FD"/>
    <w:rsid w:val="000A6BDB"/>
    <w:rsid w:val="000A6DDB"/>
    <w:rsid w:val="000A782A"/>
    <w:rsid w:val="000A78A8"/>
    <w:rsid w:val="000A7998"/>
    <w:rsid w:val="000A79D4"/>
    <w:rsid w:val="000A7A15"/>
    <w:rsid w:val="000A7C42"/>
    <w:rsid w:val="000A7DD5"/>
    <w:rsid w:val="000B0157"/>
    <w:rsid w:val="000B02CE"/>
    <w:rsid w:val="000B0462"/>
    <w:rsid w:val="000B11D1"/>
    <w:rsid w:val="000B13CA"/>
    <w:rsid w:val="000B152B"/>
    <w:rsid w:val="000B1838"/>
    <w:rsid w:val="000B2071"/>
    <w:rsid w:val="000B25B4"/>
    <w:rsid w:val="000B2A49"/>
    <w:rsid w:val="000B34CC"/>
    <w:rsid w:val="000B3684"/>
    <w:rsid w:val="000B36A2"/>
    <w:rsid w:val="000B3F2C"/>
    <w:rsid w:val="000B412F"/>
    <w:rsid w:val="000B41BB"/>
    <w:rsid w:val="000B4239"/>
    <w:rsid w:val="000B48D0"/>
    <w:rsid w:val="000B53EC"/>
    <w:rsid w:val="000B5760"/>
    <w:rsid w:val="000B5A84"/>
    <w:rsid w:val="000B5BFB"/>
    <w:rsid w:val="000B64AC"/>
    <w:rsid w:val="000B6818"/>
    <w:rsid w:val="000B6C72"/>
    <w:rsid w:val="000B6D3D"/>
    <w:rsid w:val="000B6FFB"/>
    <w:rsid w:val="000B70B7"/>
    <w:rsid w:val="000B745A"/>
    <w:rsid w:val="000B777C"/>
    <w:rsid w:val="000B77F0"/>
    <w:rsid w:val="000B794F"/>
    <w:rsid w:val="000B7B89"/>
    <w:rsid w:val="000B7FAE"/>
    <w:rsid w:val="000C03AC"/>
    <w:rsid w:val="000C0665"/>
    <w:rsid w:val="000C07A2"/>
    <w:rsid w:val="000C08BD"/>
    <w:rsid w:val="000C0B54"/>
    <w:rsid w:val="000C0DD3"/>
    <w:rsid w:val="000C101E"/>
    <w:rsid w:val="000C1160"/>
    <w:rsid w:val="000C11E8"/>
    <w:rsid w:val="000C120E"/>
    <w:rsid w:val="000C1256"/>
    <w:rsid w:val="000C1306"/>
    <w:rsid w:val="000C14A1"/>
    <w:rsid w:val="000C15B0"/>
    <w:rsid w:val="000C1FD8"/>
    <w:rsid w:val="000C214C"/>
    <w:rsid w:val="000C2194"/>
    <w:rsid w:val="000C2507"/>
    <w:rsid w:val="000C2C2B"/>
    <w:rsid w:val="000C2D1A"/>
    <w:rsid w:val="000C2D54"/>
    <w:rsid w:val="000C2FA8"/>
    <w:rsid w:val="000C3F66"/>
    <w:rsid w:val="000C49B4"/>
    <w:rsid w:val="000C4FA8"/>
    <w:rsid w:val="000C55BA"/>
    <w:rsid w:val="000C5B5C"/>
    <w:rsid w:val="000C6027"/>
    <w:rsid w:val="000C661D"/>
    <w:rsid w:val="000C6788"/>
    <w:rsid w:val="000C697D"/>
    <w:rsid w:val="000C6988"/>
    <w:rsid w:val="000C6DF0"/>
    <w:rsid w:val="000C72FB"/>
    <w:rsid w:val="000C775A"/>
    <w:rsid w:val="000C7A2C"/>
    <w:rsid w:val="000C7B5B"/>
    <w:rsid w:val="000D05DA"/>
    <w:rsid w:val="000D09C1"/>
    <w:rsid w:val="000D0A09"/>
    <w:rsid w:val="000D0A58"/>
    <w:rsid w:val="000D0C8D"/>
    <w:rsid w:val="000D1DCF"/>
    <w:rsid w:val="000D2176"/>
    <w:rsid w:val="000D25AE"/>
    <w:rsid w:val="000D27F9"/>
    <w:rsid w:val="000D28D4"/>
    <w:rsid w:val="000D2A1F"/>
    <w:rsid w:val="000D3209"/>
    <w:rsid w:val="000D349A"/>
    <w:rsid w:val="000D34D6"/>
    <w:rsid w:val="000D36BA"/>
    <w:rsid w:val="000D3A07"/>
    <w:rsid w:val="000D3AFC"/>
    <w:rsid w:val="000D3B4E"/>
    <w:rsid w:val="000D3DD1"/>
    <w:rsid w:val="000D44C3"/>
    <w:rsid w:val="000D4654"/>
    <w:rsid w:val="000D46C8"/>
    <w:rsid w:val="000D49A5"/>
    <w:rsid w:val="000D5366"/>
    <w:rsid w:val="000D5534"/>
    <w:rsid w:val="000D5607"/>
    <w:rsid w:val="000D56E5"/>
    <w:rsid w:val="000D57C4"/>
    <w:rsid w:val="000D58AE"/>
    <w:rsid w:val="000D5963"/>
    <w:rsid w:val="000D5E3D"/>
    <w:rsid w:val="000D61B5"/>
    <w:rsid w:val="000D6575"/>
    <w:rsid w:val="000D6994"/>
    <w:rsid w:val="000D73CF"/>
    <w:rsid w:val="000D749B"/>
    <w:rsid w:val="000E05D6"/>
    <w:rsid w:val="000E0BC2"/>
    <w:rsid w:val="000E0C53"/>
    <w:rsid w:val="000E1002"/>
    <w:rsid w:val="000E1039"/>
    <w:rsid w:val="000E13C4"/>
    <w:rsid w:val="000E151E"/>
    <w:rsid w:val="000E192A"/>
    <w:rsid w:val="000E19B2"/>
    <w:rsid w:val="000E221F"/>
    <w:rsid w:val="000E251B"/>
    <w:rsid w:val="000E302F"/>
    <w:rsid w:val="000E3465"/>
    <w:rsid w:val="000E3C9F"/>
    <w:rsid w:val="000E4391"/>
    <w:rsid w:val="000E4E8D"/>
    <w:rsid w:val="000E5293"/>
    <w:rsid w:val="000E52C2"/>
    <w:rsid w:val="000E543A"/>
    <w:rsid w:val="000E54FD"/>
    <w:rsid w:val="000E5588"/>
    <w:rsid w:val="000E587E"/>
    <w:rsid w:val="000E654B"/>
    <w:rsid w:val="000E6E15"/>
    <w:rsid w:val="000E7739"/>
    <w:rsid w:val="000E7971"/>
    <w:rsid w:val="000E7B14"/>
    <w:rsid w:val="000E7DAD"/>
    <w:rsid w:val="000E7EA6"/>
    <w:rsid w:val="000F0BC1"/>
    <w:rsid w:val="000F12A3"/>
    <w:rsid w:val="000F1611"/>
    <w:rsid w:val="000F174D"/>
    <w:rsid w:val="000F1DB1"/>
    <w:rsid w:val="000F2108"/>
    <w:rsid w:val="000F2439"/>
    <w:rsid w:val="000F2722"/>
    <w:rsid w:val="000F3170"/>
    <w:rsid w:val="000F34D0"/>
    <w:rsid w:val="000F36E2"/>
    <w:rsid w:val="000F3CCA"/>
    <w:rsid w:val="000F3F6B"/>
    <w:rsid w:val="000F4098"/>
    <w:rsid w:val="000F4352"/>
    <w:rsid w:val="000F47D9"/>
    <w:rsid w:val="000F4833"/>
    <w:rsid w:val="000F4CA3"/>
    <w:rsid w:val="000F50F1"/>
    <w:rsid w:val="000F53D6"/>
    <w:rsid w:val="000F575B"/>
    <w:rsid w:val="000F5886"/>
    <w:rsid w:val="000F59A0"/>
    <w:rsid w:val="000F5BE9"/>
    <w:rsid w:val="000F5EA8"/>
    <w:rsid w:val="000F6100"/>
    <w:rsid w:val="000F6248"/>
    <w:rsid w:val="000F64D9"/>
    <w:rsid w:val="000F6B35"/>
    <w:rsid w:val="000F6C26"/>
    <w:rsid w:val="000F6FFD"/>
    <w:rsid w:val="000F74D3"/>
    <w:rsid w:val="000F75CE"/>
    <w:rsid w:val="000F760A"/>
    <w:rsid w:val="000F7D11"/>
    <w:rsid w:val="000F7DD4"/>
    <w:rsid w:val="001001EC"/>
    <w:rsid w:val="00100320"/>
    <w:rsid w:val="00100532"/>
    <w:rsid w:val="00100881"/>
    <w:rsid w:val="001012BF"/>
    <w:rsid w:val="001013C4"/>
    <w:rsid w:val="001018BD"/>
    <w:rsid w:val="00101C9C"/>
    <w:rsid w:val="00101CF9"/>
    <w:rsid w:val="001020D6"/>
    <w:rsid w:val="00102215"/>
    <w:rsid w:val="00102355"/>
    <w:rsid w:val="00102C8F"/>
    <w:rsid w:val="00102DA8"/>
    <w:rsid w:val="0010308D"/>
    <w:rsid w:val="00103250"/>
    <w:rsid w:val="00103582"/>
    <w:rsid w:val="00103A3E"/>
    <w:rsid w:val="00103B24"/>
    <w:rsid w:val="00103BB4"/>
    <w:rsid w:val="00104ACC"/>
    <w:rsid w:val="00104E9B"/>
    <w:rsid w:val="00105217"/>
    <w:rsid w:val="00105D19"/>
    <w:rsid w:val="001066BD"/>
    <w:rsid w:val="0010687A"/>
    <w:rsid w:val="00106B04"/>
    <w:rsid w:val="00106EA0"/>
    <w:rsid w:val="0010719D"/>
    <w:rsid w:val="00107242"/>
    <w:rsid w:val="00107270"/>
    <w:rsid w:val="001072B4"/>
    <w:rsid w:val="001073EC"/>
    <w:rsid w:val="0010743C"/>
    <w:rsid w:val="001077B1"/>
    <w:rsid w:val="00107C42"/>
    <w:rsid w:val="001102DF"/>
    <w:rsid w:val="00110B5B"/>
    <w:rsid w:val="00110BD2"/>
    <w:rsid w:val="00110F11"/>
    <w:rsid w:val="00110F72"/>
    <w:rsid w:val="00110F76"/>
    <w:rsid w:val="00111359"/>
    <w:rsid w:val="001114BD"/>
    <w:rsid w:val="001126A6"/>
    <w:rsid w:val="001127F0"/>
    <w:rsid w:val="00112B61"/>
    <w:rsid w:val="001132DF"/>
    <w:rsid w:val="0011384F"/>
    <w:rsid w:val="00113922"/>
    <w:rsid w:val="00113A70"/>
    <w:rsid w:val="00113B0B"/>
    <w:rsid w:val="00114362"/>
    <w:rsid w:val="00114B0B"/>
    <w:rsid w:val="00114B1C"/>
    <w:rsid w:val="00114E71"/>
    <w:rsid w:val="00114FE2"/>
    <w:rsid w:val="00115408"/>
    <w:rsid w:val="00115D64"/>
    <w:rsid w:val="00115FCD"/>
    <w:rsid w:val="0011691A"/>
    <w:rsid w:val="00116A9B"/>
    <w:rsid w:val="00116D36"/>
    <w:rsid w:val="001171D1"/>
    <w:rsid w:val="001173D8"/>
    <w:rsid w:val="0011747F"/>
    <w:rsid w:val="001178F1"/>
    <w:rsid w:val="00120061"/>
    <w:rsid w:val="0012035A"/>
    <w:rsid w:val="0012062D"/>
    <w:rsid w:val="00120809"/>
    <w:rsid w:val="0012132F"/>
    <w:rsid w:val="001214FE"/>
    <w:rsid w:val="00121616"/>
    <w:rsid w:val="001217B5"/>
    <w:rsid w:val="001217B8"/>
    <w:rsid w:val="00121E6F"/>
    <w:rsid w:val="001221AF"/>
    <w:rsid w:val="00122546"/>
    <w:rsid w:val="00122C82"/>
    <w:rsid w:val="00123027"/>
    <w:rsid w:val="00123067"/>
    <w:rsid w:val="001234FE"/>
    <w:rsid w:val="00123581"/>
    <w:rsid w:val="001235FF"/>
    <w:rsid w:val="0012378D"/>
    <w:rsid w:val="00124011"/>
    <w:rsid w:val="001242AA"/>
    <w:rsid w:val="0012449C"/>
    <w:rsid w:val="001244F7"/>
    <w:rsid w:val="001246DA"/>
    <w:rsid w:val="0012475C"/>
    <w:rsid w:val="00124802"/>
    <w:rsid w:val="00124972"/>
    <w:rsid w:val="001249AC"/>
    <w:rsid w:val="001249D9"/>
    <w:rsid w:val="00124A35"/>
    <w:rsid w:val="00124B2A"/>
    <w:rsid w:val="00124F69"/>
    <w:rsid w:val="00124F6D"/>
    <w:rsid w:val="001250E0"/>
    <w:rsid w:val="001253CB"/>
    <w:rsid w:val="00125468"/>
    <w:rsid w:val="0012560F"/>
    <w:rsid w:val="001259E8"/>
    <w:rsid w:val="00125A2D"/>
    <w:rsid w:val="00125AAC"/>
    <w:rsid w:val="00125E67"/>
    <w:rsid w:val="00125E9A"/>
    <w:rsid w:val="00126463"/>
    <w:rsid w:val="0012663E"/>
    <w:rsid w:val="0012679E"/>
    <w:rsid w:val="00126C8F"/>
    <w:rsid w:val="001277FE"/>
    <w:rsid w:val="00127CF2"/>
    <w:rsid w:val="001304EE"/>
    <w:rsid w:val="00130DC2"/>
    <w:rsid w:val="00130FE5"/>
    <w:rsid w:val="00131090"/>
    <w:rsid w:val="001313C3"/>
    <w:rsid w:val="00131884"/>
    <w:rsid w:val="00131DB6"/>
    <w:rsid w:val="00131E55"/>
    <w:rsid w:val="00132015"/>
    <w:rsid w:val="0013204F"/>
    <w:rsid w:val="001321D4"/>
    <w:rsid w:val="001322A3"/>
    <w:rsid w:val="001324A5"/>
    <w:rsid w:val="0013297F"/>
    <w:rsid w:val="00132E05"/>
    <w:rsid w:val="0013303E"/>
    <w:rsid w:val="00133053"/>
    <w:rsid w:val="00133120"/>
    <w:rsid w:val="0013320D"/>
    <w:rsid w:val="001333CC"/>
    <w:rsid w:val="001333CE"/>
    <w:rsid w:val="001335EE"/>
    <w:rsid w:val="001337C6"/>
    <w:rsid w:val="00133BB4"/>
    <w:rsid w:val="00133FBC"/>
    <w:rsid w:val="001346EB"/>
    <w:rsid w:val="001347A6"/>
    <w:rsid w:val="0013543F"/>
    <w:rsid w:val="00135AA1"/>
    <w:rsid w:val="00135B5C"/>
    <w:rsid w:val="00135D1E"/>
    <w:rsid w:val="0013676E"/>
    <w:rsid w:val="00137199"/>
    <w:rsid w:val="00137430"/>
    <w:rsid w:val="001375D8"/>
    <w:rsid w:val="001375E6"/>
    <w:rsid w:val="00137723"/>
    <w:rsid w:val="001379B0"/>
    <w:rsid w:val="00137FBE"/>
    <w:rsid w:val="00140018"/>
    <w:rsid w:val="00140263"/>
    <w:rsid w:val="00140393"/>
    <w:rsid w:val="00140445"/>
    <w:rsid w:val="0014083F"/>
    <w:rsid w:val="0014089C"/>
    <w:rsid w:val="00140BF2"/>
    <w:rsid w:val="00140F35"/>
    <w:rsid w:val="001410AE"/>
    <w:rsid w:val="001412CF"/>
    <w:rsid w:val="001412FB"/>
    <w:rsid w:val="0014195B"/>
    <w:rsid w:val="00141CB3"/>
    <w:rsid w:val="00142453"/>
    <w:rsid w:val="00142A99"/>
    <w:rsid w:val="001430B9"/>
    <w:rsid w:val="00143962"/>
    <w:rsid w:val="00143B4D"/>
    <w:rsid w:val="00143F0B"/>
    <w:rsid w:val="00143F6C"/>
    <w:rsid w:val="0014415D"/>
    <w:rsid w:val="001443CA"/>
    <w:rsid w:val="0014464E"/>
    <w:rsid w:val="00144704"/>
    <w:rsid w:val="00144896"/>
    <w:rsid w:val="00144E2F"/>
    <w:rsid w:val="00145045"/>
    <w:rsid w:val="001450CC"/>
    <w:rsid w:val="00145AE7"/>
    <w:rsid w:val="00145E27"/>
    <w:rsid w:val="0014652E"/>
    <w:rsid w:val="00146853"/>
    <w:rsid w:val="00146A20"/>
    <w:rsid w:val="00146A3B"/>
    <w:rsid w:val="00146E69"/>
    <w:rsid w:val="00146F7A"/>
    <w:rsid w:val="0014722C"/>
    <w:rsid w:val="001475BC"/>
    <w:rsid w:val="00147CC4"/>
    <w:rsid w:val="0015038F"/>
    <w:rsid w:val="001506E5"/>
    <w:rsid w:val="00150EF5"/>
    <w:rsid w:val="001511AA"/>
    <w:rsid w:val="00151E6F"/>
    <w:rsid w:val="00152839"/>
    <w:rsid w:val="00152A7D"/>
    <w:rsid w:val="00153054"/>
    <w:rsid w:val="001532A6"/>
    <w:rsid w:val="0015374F"/>
    <w:rsid w:val="001537B7"/>
    <w:rsid w:val="00153C6B"/>
    <w:rsid w:val="00154E51"/>
    <w:rsid w:val="001550C0"/>
    <w:rsid w:val="001551DD"/>
    <w:rsid w:val="001557E0"/>
    <w:rsid w:val="001563C6"/>
    <w:rsid w:val="0015666E"/>
    <w:rsid w:val="00156692"/>
    <w:rsid w:val="00156B9F"/>
    <w:rsid w:val="00156C9F"/>
    <w:rsid w:val="001576F1"/>
    <w:rsid w:val="00157B18"/>
    <w:rsid w:val="00157E78"/>
    <w:rsid w:val="00157FE7"/>
    <w:rsid w:val="001604B6"/>
    <w:rsid w:val="001607D6"/>
    <w:rsid w:val="00160DA3"/>
    <w:rsid w:val="00160F9A"/>
    <w:rsid w:val="001614EF"/>
    <w:rsid w:val="00161679"/>
    <w:rsid w:val="0016186A"/>
    <w:rsid w:val="00161BBB"/>
    <w:rsid w:val="00162255"/>
    <w:rsid w:val="001627DE"/>
    <w:rsid w:val="00162931"/>
    <w:rsid w:val="0016369B"/>
    <w:rsid w:val="001637FA"/>
    <w:rsid w:val="00163AE2"/>
    <w:rsid w:val="00163B57"/>
    <w:rsid w:val="00163D25"/>
    <w:rsid w:val="00164050"/>
    <w:rsid w:val="001640A6"/>
    <w:rsid w:val="00164EB7"/>
    <w:rsid w:val="001652E6"/>
    <w:rsid w:val="00165471"/>
    <w:rsid w:val="00165C50"/>
    <w:rsid w:val="00165D70"/>
    <w:rsid w:val="00166DF8"/>
    <w:rsid w:val="00166EDE"/>
    <w:rsid w:val="00167080"/>
    <w:rsid w:val="00167148"/>
    <w:rsid w:val="001676CB"/>
    <w:rsid w:val="0016773E"/>
    <w:rsid w:val="0017005E"/>
    <w:rsid w:val="00170090"/>
    <w:rsid w:val="00170665"/>
    <w:rsid w:val="00170C93"/>
    <w:rsid w:val="00170DEE"/>
    <w:rsid w:val="001710DD"/>
    <w:rsid w:val="00171761"/>
    <w:rsid w:val="00171822"/>
    <w:rsid w:val="00171BFD"/>
    <w:rsid w:val="001723C7"/>
    <w:rsid w:val="00172AF9"/>
    <w:rsid w:val="00172E85"/>
    <w:rsid w:val="00172EDF"/>
    <w:rsid w:val="0017337D"/>
    <w:rsid w:val="00173876"/>
    <w:rsid w:val="00173BD7"/>
    <w:rsid w:val="00173BEE"/>
    <w:rsid w:val="00174031"/>
    <w:rsid w:val="0017413B"/>
    <w:rsid w:val="00174186"/>
    <w:rsid w:val="0017427F"/>
    <w:rsid w:val="00174501"/>
    <w:rsid w:val="001747FA"/>
    <w:rsid w:val="001748B5"/>
    <w:rsid w:val="00174D73"/>
    <w:rsid w:val="00174D8A"/>
    <w:rsid w:val="00174E12"/>
    <w:rsid w:val="00174E49"/>
    <w:rsid w:val="001750DD"/>
    <w:rsid w:val="00175799"/>
    <w:rsid w:val="00175F26"/>
    <w:rsid w:val="001762A6"/>
    <w:rsid w:val="0017631F"/>
    <w:rsid w:val="001764F0"/>
    <w:rsid w:val="001768E0"/>
    <w:rsid w:val="00176AFF"/>
    <w:rsid w:val="00176CF7"/>
    <w:rsid w:val="00176D28"/>
    <w:rsid w:val="00176D8E"/>
    <w:rsid w:val="00177134"/>
    <w:rsid w:val="001771B8"/>
    <w:rsid w:val="00177771"/>
    <w:rsid w:val="00177F9D"/>
    <w:rsid w:val="00177FC0"/>
    <w:rsid w:val="00177FFA"/>
    <w:rsid w:val="001806C8"/>
    <w:rsid w:val="001807DF"/>
    <w:rsid w:val="0018097D"/>
    <w:rsid w:val="00181143"/>
    <w:rsid w:val="0018128A"/>
    <w:rsid w:val="0018162A"/>
    <w:rsid w:val="0018168D"/>
    <w:rsid w:val="00181CEC"/>
    <w:rsid w:val="00181D5B"/>
    <w:rsid w:val="00181E27"/>
    <w:rsid w:val="00181F2A"/>
    <w:rsid w:val="00182158"/>
    <w:rsid w:val="00182498"/>
    <w:rsid w:val="001825CB"/>
    <w:rsid w:val="001826D9"/>
    <w:rsid w:val="00182865"/>
    <w:rsid w:val="00182C18"/>
    <w:rsid w:val="00182E06"/>
    <w:rsid w:val="00182E33"/>
    <w:rsid w:val="00182EB7"/>
    <w:rsid w:val="00182FC1"/>
    <w:rsid w:val="00183750"/>
    <w:rsid w:val="00183825"/>
    <w:rsid w:val="00184155"/>
    <w:rsid w:val="001842B1"/>
    <w:rsid w:val="0018435E"/>
    <w:rsid w:val="001850D2"/>
    <w:rsid w:val="00185362"/>
    <w:rsid w:val="001853BC"/>
    <w:rsid w:val="00185479"/>
    <w:rsid w:val="00185697"/>
    <w:rsid w:val="00185C04"/>
    <w:rsid w:val="0018609F"/>
    <w:rsid w:val="001866C5"/>
    <w:rsid w:val="001867CD"/>
    <w:rsid w:val="0018687D"/>
    <w:rsid w:val="00186A21"/>
    <w:rsid w:val="00186A28"/>
    <w:rsid w:val="00186D0E"/>
    <w:rsid w:val="001872B0"/>
    <w:rsid w:val="001872DC"/>
    <w:rsid w:val="0018738B"/>
    <w:rsid w:val="00187910"/>
    <w:rsid w:val="00187E46"/>
    <w:rsid w:val="00190689"/>
    <w:rsid w:val="00190CB9"/>
    <w:rsid w:val="001914D9"/>
    <w:rsid w:val="001916E4"/>
    <w:rsid w:val="00191C05"/>
    <w:rsid w:val="0019203A"/>
    <w:rsid w:val="00192228"/>
    <w:rsid w:val="0019248D"/>
    <w:rsid w:val="0019296E"/>
    <w:rsid w:val="00192D95"/>
    <w:rsid w:val="00192E75"/>
    <w:rsid w:val="00192EF8"/>
    <w:rsid w:val="00193516"/>
    <w:rsid w:val="00193EA4"/>
    <w:rsid w:val="001940B8"/>
    <w:rsid w:val="0019420E"/>
    <w:rsid w:val="0019427A"/>
    <w:rsid w:val="0019428E"/>
    <w:rsid w:val="001944A0"/>
    <w:rsid w:val="00194EAC"/>
    <w:rsid w:val="001953BA"/>
    <w:rsid w:val="0019599A"/>
    <w:rsid w:val="00195C9D"/>
    <w:rsid w:val="00195E9F"/>
    <w:rsid w:val="001961A1"/>
    <w:rsid w:val="001965B2"/>
    <w:rsid w:val="0019668E"/>
    <w:rsid w:val="00196EE3"/>
    <w:rsid w:val="001971A7"/>
    <w:rsid w:val="00197C62"/>
    <w:rsid w:val="00197D03"/>
    <w:rsid w:val="00197F09"/>
    <w:rsid w:val="001A0AA0"/>
    <w:rsid w:val="001A0C82"/>
    <w:rsid w:val="001A12BD"/>
    <w:rsid w:val="001A1426"/>
    <w:rsid w:val="001A154F"/>
    <w:rsid w:val="001A17C0"/>
    <w:rsid w:val="001A1CE1"/>
    <w:rsid w:val="001A1E45"/>
    <w:rsid w:val="001A1E66"/>
    <w:rsid w:val="001A223C"/>
    <w:rsid w:val="001A294C"/>
    <w:rsid w:val="001A2C47"/>
    <w:rsid w:val="001A3C7E"/>
    <w:rsid w:val="001A402B"/>
    <w:rsid w:val="001A41CB"/>
    <w:rsid w:val="001A469B"/>
    <w:rsid w:val="001A49E3"/>
    <w:rsid w:val="001A4B71"/>
    <w:rsid w:val="001A4BC8"/>
    <w:rsid w:val="001A4BD2"/>
    <w:rsid w:val="001A508C"/>
    <w:rsid w:val="001A5402"/>
    <w:rsid w:val="001A5E89"/>
    <w:rsid w:val="001A5FD4"/>
    <w:rsid w:val="001A6168"/>
    <w:rsid w:val="001A661F"/>
    <w:rsid w:val="001A67E4"/>
    <w:rsid w:val="001A6858"/>
    <w:rsid w:val="001A6D88"/>
    <w:rsid w:val="001A6EF2"/>
    <w:rsid w:val="001A6EF9"/>
    <w:rsid w:val="001A7A5C"/>
    <w:rsid w:val="001A7C31"/>
    <w:rsid w:val="001A7E28"/>
    <w:rsid w:val="001A7EEB"/>
    <w:rsid w:val="001B0061"/>
    <w:rsid w:val="001B01C7"/>
    <w:rsid w:val="001B0233"/>
    <w:rsid w:val="001B0773"/>
    <w:rsid w:val="001B09AE"/>
    <w:rsid w:val="001B0CC2"/>
    <w:rsid w:val="001B149F"/>
    <w:rsid w:val="001B14EA"/>
    <w:rsid w:val="001B1A27"/>
    <w:rsid w:val="001B1D3F"/>
    <w:rsid w:val="001B23A5"/>
    <w:rsid w:val="001B247B"/>
    <w:rsid w:val="001B2722"/>
    <w:rsid w:val="001B2CCD"/>
    <w:rsid w:val="001B30AD"/>
    <w:rsid w:val="001B38DF"/>
    <w:rsid w:val="001B4201"/>
    <w:rsid w:val="001B4228"/>
    <w:rsid w:val="001B45C8"/>
    <w:rsid w:val="001B469E"/>
    <w:rsid w:val="001B49D6"/>
    <w:rsid w:val="001B5048"/>
    <w:rsid w:val="001B5218"/>
    <w:rsid w:val="001B545B"/>
    <w:rsid w:val="001B5470"/>
    <w:rsid w:val="001B5506"/>
    <w:rsid w:val="001B5721"/>
    <w:rsid w:val="001B57C6"/>
    <w:rsid w:val="001B5A3C"/>
    <w:rsid w:val="001B5B73"/>
    <w:rsid w:val="001B5D5B"/>
    <w:rsid w:val="001B5DF0"/>
    <w:rsid w:val="001B5EA5"/>
    <w:rsid w:val="001B625A"/>
    <w:rsid w:val="001B66EA"/>
    <w:rsid w:val="001B6AD6"/>
    <w:rsid w:val="001B6F81"/>
    <w:rsid w:val="001B7AEF"/>
    <w:rsid w:val="001B7DB3"/>
    <w:rsid w:val="001C01FD"/>
    <w:rsid w:val="001C05E1"/>
    <w:rsid w:val="001C0751"/>
    <w:rsid w:val="001C07CC"/>
    <w:rsid w:val="001C0E1A"/>
    <w:rsid w:val="001C102D"/>
    <w:rsid w:val="001C127F"/>
    <w:rsid w:val="001C23FE"/>
    <w:rsid w:val="001C2E44"/>
    <w:rsid w:val="001C3212"/>
    <w:rsid w:val="001C33C2"/>
    <w:rsid w:val="001C38BA"/>
    <w:rsid w:val="001C3A22"/>
    <w:rsid w:val="001C3B3B"/>
    <w:rsid w:val="001C3E69"/>
    <w:rsid w:val="001C4107"/>
    <w:rsid w:val="001C4806"/>
    <w:rsid w:val="001C4A58"/>
    <w:rsid w:val="001C4FCA"/>
    <w:rsid w:val="001C55E6"/>
    <w:rsid w:val="001C5738"/>
    <w:rsid w:val="001C57AD"/>
    <w:rsid w:val="001C5803"/>
    <w:rsid w:val="001C5A08"/>
    <w:rsid w:val="001C5CB5"/>
    <w:rsid w:val="001C5DC1"/>
    <w:rsid w:val="001C6096"/>
    <w:rsid w:val="001C60EE"/>
    <w:rsid w:val="001C62DA"/>
    <w:rsid w:val="001C656A"/>
    <w:rsid w:val="001C69F3"/>
    <w:rsid w:val="001C6A30"/>
    <w:rsid w:val="001C6E7C"/>
    <w:rsid w:val="001C6E96"/>
    <w:rsid w:val="001C70DA"/>
    <w:rsid w:val="001C7135"/>
    <w:rsid w:val="001C71AB"/>
    <w:rsid w:val="001C7279"/>
    <w:rsid w:val="001C7613"/>
    <w:rsid w:val="001C7917"/>
    <w:rsid w:val="001C7DE3"/>
    <w:rsid w:val="001C7E2F"/>
    <w:rsid w:val="001D03C2"/>
    <w:rsid w:val="001D0A11"/>
    <w:rsid w:val="001D0B3B"/>
    <w:rsid w:val="001D0BF6"/>
    <w:rsid w:val="001D0E4A"/>
    <w:rsid w:val="001D119E"/>
    <w:rsid w:val="001D180F"/>
    <w:rsid w:val="001D1F61"/>
    <w:rsid w:val="001D2125"/>
    <w:rsid w:val="001D26B9"/>
    <w:rsid w:val="001D2857"/>
    <w:rsid w:val="001D2A7A"/>
    <w:rsid w:val="001D2ACD"/>
    <w:rsid w:val="001D2B55"/>
    <w:rsid w:val="001D3647"/>
    <w:rsid w:val="001D365A"/>
    <w:rsid w:val="001D3AEB"/>
    <w:rsid w:val="001D3BB6"/>
    <w:rsid w:val="001D4E91"/>
    <w:rsid w:val="001D4EBB"/>
    <w:rsid w:val="001D504E"/>
    <w:rsid w:val="001D50C0"/>
    <w:rsid w:val="001D5428"/>
    <w:rsid w:val="001D54E2"/>
    <w:rsid w:val="001D5A5E"/>
    <w:rsid w:val="001D5E36"/>
    <w:rsid w:val="001D6223"/>
    <w:rsid w:val="001D63C1"/>
    <w:rsid w:val="001D6686"/>
    <w:rsid w:val="001D673C"/>
    <w:rsid w:val="001D6953"/>
    <w:rsid w:val="001D6DBE"/>
    <w:rsid w:val="001D6FB1"/>
    <w:rsid w:val="001D7030"/>
    <w:rsid w:val="001D737C"/>
    <w:rsid w:val="001D7396"/>
    <w:rsid w:val="001D7758"/>
    <w:rsid w:val="001D78C2"/>
    <w:rsid w:val="001D7D1F"/>
    <w:rsid w:val="001E0008"/>
    <w:rsid w:val="001E0258"/>
    <w:rsid w:val="001E0475"/>
    <w:rsid w:val="001E07FC"/>
    <w:rsid w:val="001E1981"/>
    <w:rsid w:val="001E1D35"/>
    <w:rsid w:val="001E202F"/>
    <w:rsid w:val="001E23E5"/>
    <w:rsid w:val="001E29D8"/>
    <w:rsid w:val="001E32C9"/>
    <w:rsid w:val="001E34C4"/>
    <w:rsid w:val="001E3792"/>
    <w:rsid w:val="001E39EC"/>
    <w:rsid w:val="001E3A26"/>
    <w:rsid w:val="001E3EFA"/>
    <w:rsid w:val="001E47B6"/>
    <w:rsid w:val="001E4C40"/>
    <w:rsid w:val="001E50F9"/>
    <w:rsid w:val="001E5105"/>
    <w:rsid w:val="001E54A2"/>
    <w:rsid w:val="001E5B64"/>
    <w:rsid w:val="001E5E5B"/>
    <w:rsid w:val="001E5FF2"/>
    <w:rsid w:val="001E602A"/>
    <w:rsid w:val="001E6B7A"/>
    <w:rsid w:val="001E6C09"/>
    <w:rsid w:val="001E6CFF"/>
    <w:rsid w:val="001E6D05"/>
    <w:rsid w:val="001E6E12"/>
    <w:rsid w:val="001E716B"/>
    <w:rsid w:val="001E717A"/>
    <w:rsid w:val="001E75DE"/>
    <w:rsid w:val="001F0592"/>
    <w:rsid w:val="001F0ABF"/>
    <w:rsid w:val="001F0CDE"/>
    <w:rsid w:val="001F1325"/>
    <w:rsid w:val="001F200F"/>
    <w:rsid w:val="001F2033"/>
    <w:rsid w:val="001F24DB"/>
    <w:rsid w:val="001F27CF"/>
    <w:rsid w:val="001F2ADA"/>
    <w:rsid w:val="001F2D0E"/>
    <w:rsid w:val="001F2DB5"/>
    <w:rsid w:val="001F2F61"/>
    <w:rsid w:val="001F2FDD"/>
    <w:rsid w:val="001F313C"/>
    <w:rsid w:val="001F317C"/>
    <w:rsid w:val="001F363A"/>
    <w:rsid w:val="001F368D"/>
    <w:rsid w:val="001F3897"/>
    <w:rsid w:val="001F3917"/>
    <w:rsid w:val="001F3EB4"/>
    <w:rsid w:val="001F3EB8"/>
    <w:rsid w:val="001F3F19"/>
    <w:rsid w:val="001F469B"/>
    <w:rsid w:val="001F49DF"/>
    <w:rsid w:val="001F4A9D"/>
    <w:rsid w:val="001F4CBB"/>
    <w:rsid w:val="001F4D2B"/>
    <w:rsid w:val="001F4E4D"/>
    <w:rsid w:val="001F5005"/>
    <w:rsid w:val="001F551A"/>
    <w:rsid w:val="001F55E5"/>
    <w:rsid w:val="001F58A6"/>
    <w:rsid w:val="001F5F4B"/>
    <w:rsid w:val="001F600D"/>
    <w:rsid w:val="001F6D07"/>
    <w:rsid w:val="001F73C4"/>
    <w:rsid w:val="001F769B"/>
    <w:rsid w:val="001F7774"/>
    <w:rsid w:val="001F787E"/>
    <w:rsid w:val="00200800"/>
    <w:rsid w:val="00200900"/>
    <w:rsid w:val="002009B8"/>
    <w:rsid w:val="00200A02"/>
    <w:rsid w:val="00200BBF"/>
    <w:rsid w:val="00201B39"/>
    <w:rsid w:val="00201FE1"/>
    <w:rsid w:val="002026EB"/>
    <w:rsid w:val="00202AFA"/>
    <w:rsid w:val="00202C58"/>
    <w:rsid w:val="00202CE6"/>
    <w:rsid w:val="00203102"/>
    <w:rsid w:val="002031F8"/>
    <w:rsid w:val="0020347C"/>
    <w:rsid w:val="0020379F"/>
    <w:rsid w:val="00203E6A"/>
    <w:rsid w:val="002041D6"/>
    <w:rsid w:val="002044C9"/>
    <w:rsid w:val="002047BC"/>
    <w:rsid w:val="00204A3D"/>
    <w:rsid w:val="00205020"/>
    <w:rsid w:val="00205259"/>
    <w:rsid w:val="002055F9"/>
    <w:rsid w:val="00205707"/>
    <w:rsid w:val="002059EC"/>
    <w:rsid w:val="00205A46"/>
    <w:rsid w:val="00205C57"/>
    <w:rsid w:val="00205D94"/>
    <w:rsid w:val="00205F36"/>
    <w:rsid w:val="002063B0"/>
    <w:rsid w:val="00206965"/>
    <w:rsid w:val="00206C52"/>
    <w:rsid w:val="00206E12"/>
    <w:rsid w:val="002071BA"/>
    <w:rsid w:val="002073DE"/>
    <w:rsid w:val="00207624"/>
    <w:rsid w:val="002077D6"/>
    <w:rsid w:val="00207AA2"/>
    <w:rsid w:val="00207FD5"/>
    <w:rsid w:val="0021076A"/>
    <w:rsid w:val="00210C38"/>
    <w:rsid w:val="00210D31"/>
    <w:rsid w:val="00210DB0"/>
    <w:rsid w:val="00211326"/>
    <w:rsid w:val="0021132D"/>
    <w:rsid w:val="002117C2"/>
    <w:rsid w:val="002118F6"/>
    <w:rsid w:val="00211B13"/>
    <w:rsid w:val="00211FB8"/>
    <w:rsid w:val="0021252C"/>
    <w:rsid w:val="00212534"/>
    <w:rsid w:val="002128D7"/>
    <w:rsid w:val="002129CF"/>
    <w:rsid w:val="00212A7B"/>
    <w:rsid w:val="00212AFB"/>
    <w:rsid w:val="00213D95"/>
    <w:rsid w:val="00213F56"/>
    <w:rsid w:val="00214050"/>
    <w:rsid w:val="00214757"/>
    <w:rsid w:val="002148F4"/>
    <w:rsid w:val="00214D62"/>
    <w:rsid w:val="00214EE0"/>
    <w:rsid w:val="00215D97"/>
    <w:rsid w:val="00216731"/>
    <w:rsid w:val="00216836"/>
    <w:rsid w:val="002169E6"/>
    <w:rsid w:val="00216F20"/>
    <w:rsid w:val="00217250"/>
    <w:rsid w:val="002172C0"/>
    <w:rsid w:val="00217355"/>
    <w:rsid w:val="002177E0"/>
    <w:rsid w:val="00217A16"/>
    <w:rsid w:val="00217AAA"/>
    <w:rsid w:val="002202FD"/>
    <w:rsid w:val="002209B1"/>
    <w:rsid w:val="00221370"/>
    <w:rsid w:val="00221927"/>
    <w:rsid w:val="00221A35"/>
    <w:rsid w:val="00221B0F"/>
    <w:rsid w:val="00221C62"/>
    <w:rsid w:val="00221DEF"/>
    <w:rsid w:val="00221E9A"/>
    <w:rsid w:val="002225F9"/>
    <w:rsid w:val="00222891"/>
    <w:rsid w:val="00222ABD"/>
    <w:rsid w:val="00222B93"/>
    <w:rsid w:val="00222BF1"/>
    <w:rsid w:val="00222D70"/>
    <w:rsid w:val="0022336D"/>
    <w:rsid w:val="002233F9"/>
    <w:rsid w:val="002239C5"/>
    <w:rsid w:val="002239CF"/>
    <w:rsid w:val="00224AC5"/>
    <w:rsid w:val="00224AF1"/>
    <w:rsid w:val="00224B80"/>
    <w:rsid w:val="00224C42"/>
    <w:rsid w:val="00224C91"/>
    <w:rsid w:val="00225202"/>
    <w:rsid w:val="00225260"/>
    <w:rsid w:val="00225530"/>
    <w:rsid w:val="00225658"/>
    <w:rsid w:val="00225812"/>
    <w:rsid w:val="002259CE"/>
    <w:rsid w:val="00225CD1"/>
    <w:rsid w:val="0022635B"/>
    <w:rsid w:val="00226AD4"/>
    <w:rsid w:val="00226B6C"/>
    <w:rsid w:val="00226C51"/>
    <w:rsid w:val="00226E51"/>
    <w:rsid w:val="00226ED5"/>
    <w:rsid w:val="00227178"/>
    <w:rsid w:val="00227D90"/>
    <w:rsid w:val="00227DBD"/>
    <w:rsid w:val="00227F3D"/>
    <w:rsid w:val="00227F5D"/>
    <w:rsid w:val="0023037B"/>
    <w:rsid w:val="00230999"/>
    <w:rsid w:val="00230AAD"/>
    <w:rsid w:val="00230B4E"/>
    <w:rsid w:val="00230DD2"/>
    <w:rsid w:val="00230F17"/>
    <w:rsid w:val="00230FBD"/>
    <w:rsid w:val="00231AB1"/>
    <w:rsid w:val="00231F44"/>
    <w:rsid w:val="00231FA7"/>
    <w:rsid w:val="00232000"/>
    <w:rsid w:val="00232433"/>
    <w:rsid w:val="00232445"/>
    <w:rsid w:val="00232797"/>
    <w:rsid w:val="0023304F"/>
    <w:rsid w:val="002331B7"/>
    <w:rsid w:val="00233329"/>
    <w:rsid w:val="002333C5"/>
    <w:rsid w:val="00233409"/>
    <w:rsid w:val="0023388E"/>
    <w:rsid w:val="00233BB7"/>
    <w:rsid w:val="00233F52"/>
    <w:rsid w:val="002344D0"/>
    <w:rsid w:val="0023458D"/>
    <w:rsid w:val="002346B3"/>
    <w:rsid w:val="00234AF2"/>
    <w:rsid w:val="00234E10"/>
    <w:rsid w:val="002351BE"/>
    <w:rsid w:val="002352B0"/>
    <w:rsid w:val="002352DF"/>
    <w:rsid w:val="00235527"/>
    <w:rsid w:val="002355C4"/>
    <w:rsid w:val="00235740"/>
    <w:rsid w:val="00236AA0"/>
    <w:rsid w:val="00236B6D"/>
    <w:rsid w:val="00236C50"/>
    <w:rsid w:val="00236FBD"/>
    <w:rsid w:val="00236FFB"/>
    <w:rsid w:val="00237126"/>
    <w:rsid w:val="0023758D"/>
    <w:rsid w:val="002375DF"/>
    <w:rsid w:val="00237B8F"/>
    <w:rsid w:val="00237CA5"/>
    <w:rsid w:val="00237DD2"/>
    <w:rsid w:val="002403DC"/>
    <w:rsid w:val="002407FD"/>
    <w:rsid w:val="00240EF9"/>
    <w:rsid w:val="00241168"/>
    <w:rsid w:val="0024130D"/>
    <w:rsid w:val="00241427"/>
    <w:rsid w:val="002417B3"/>
    <w:rsid w:val="0024194E"/>
    <w:rsid w:val="0024197A"/>
    <w:rsid w:val="00241DDF"/>
    <w:rsid w:val="00241E5D"/>
    <w:rsid w:val="0024274B"/>
    <w:rsid w:val="00242AE0"/>
    <w:rsid w:val="00242E4D"/>
    <w:rsid w:val="00242FA9"/>
    <w:rsid w:val="002431BD"/>
    <w:rsid w:val="00243414"/>
    <w:rsid w:val="002435C5"/>
    <w:rsid w:val="00243643"/>
    <w:rsid w:val="00243CD6"/>
    <w:rsid w:val="00244527"/>
    <w:rsid w:val="00244DE5"/>
    <w:rsid w:val="00244E9A"/>
    <w:rsid w:val="00244F83"/>
    <w:rsid w:val="002451F2"/>
    <w:rsid w:val="00245484"/>
    <w:rsid w:val="0024553E"/>
    <w:rsid w:val="00245D6A"/>
    <w:rsid w:val="00245F5D"/>
    <w:rsid w:val="0024639E"/>
    <w:rsid w:val="00246721"/>
    <w:rsid w:val="00246763"/>
    <w:rsid w:val="00246AB6"/>
    <w:rsid w:val="00246CB1"/>
    <w:rsid w:val="00246CE8"/>
    <w:rsid w:val="00247019"/>
    <w:rsid w:val="0024752A"/>
    <w:rsid w:val="002478FC"/>
    <w:rsid w:val="00247D49"/>
    <w:rsid w:val="00247D74"/>
    <w:rsid w:val="00250026"/>
    <w:rsid w:val="002502C0"/>
    <w:rsid w:val="0025064D"/>
    <w:rsid w:val="00250718"/>
    <w:rsid w:val="002507A3"/>
    <w:rsid w:val="0025091B"/>
    <w:rsid w:val="00250A80"/>
    <w:rsid w:val="00251556"/>
    <w:rsid w:val="00251659"/>
    <w:rsid w:val="00251C8E"/>
    <w:rsid w:val="00252359"/>
    <w:rsid w:val="0025247B"/>
    <w:rsid w:val="00252BCB"/>
    <w:rsid w:val="00252DB2"/>
    <w:rsid w:val="0025347A"/>
    <w:rsid w:val="0025350F"/>
    <w:rsid w:val="00253618"/>
    <w:rsid w:val="00253B42"/>
    <w:rsid w:val="00253E97"/>
    <w:rsid w:val="00253F8B"/>
    <w:rsid w:val="00254326"/>
    <w:rsid w:val="002545CD"/>
    <w:rsid w:val="00254BB7"/>
    <w:rsid w:val="0025516C"/>
    <w:rsid w:val="002556B9"/>
    <w:rsid w:val="00255CAB"/>
    <w:rsid w:val="00255ED5"/>
    <w:rsid w:val="002561D1"/>
    <w:rsid w:val="00256B8F"/>
    <w:rsid w:val="00256ECB"/>
    <w:rsid w:val="00257067"/>
    <w:rsid w:val="0025729E"/>
    <w:rsid w:val="002574D9"/>
    <w:rsid w:val="002607F5"/>
    <w:rsid w:val="00260847"/>
    <w:rsid w:val="00260DDB"/>
    <w:rsid w:val="00260E2F"/>
    <w:rsid w:val="002613CF"/>
    <w:rsid w:val="00261738"/>
    <w:rsid w:val="00261A7D"/>
    <w:rsid w:val="00261E6C"/>
    <w:rsid w:val="00262069"/>
    <w:rsid w:val="00262B81"/>
    <w:rsid w:val="00262CB4"/>
    <w:rsid w:val="002630E5"/>
    <w:rsid w:val="0026317A"/>
    <w:rsid w:val="00263F40"/>
    <w:rsid w:val="002644CA"/>
    <w:rsid w:val="0026456A"/>
    <w:rsid w:val="0026466E"/>
    <w:rsid w:val="002648E8"/>
    <w:rsid w:val="00264A7E"/>
    <w:rsid w:val="00264D4C"/>
    <w:rsid w:val="002653EF"/>
    <w:rsid w:val="00265436"/>
    <w:rsid w:val="00265FF3"/>
    <w:rsid w:val="00266A20"/>
    <w:rsid w:val="00266AD4"/>
    <w:rsid w:val="00266B3C"/>
    <w:rsid w:val="002670FD"/>
    <w:rsid w:val="00267369"/>
    <w:rsid w:val="002675DA"/>
    <w:rsid w:val="00267604"/>
    <w:rsid w:val="00267CD2"/>
    <w:rsid w:val="00267FDC"/>
    <w:rsid w:val="00270283"/>
    <w:rsid w:val="00270350"/>
    <w:rsid w:val="00270DEA"/>
    <w:rsid w:val="00271470"/>
    <w:rsid w:val="00271ABC"/>
    <w:rsid w:val="00271DD2"/>
    <w:rsid w:val="00272E7C"/>
    <w:rsid w:val="002736E0"/>
    <w:rsid w:val="0027373D"/>
    <w:rsid w:val="00273930"/>
    <w:rsid w:val="00273E87"/>
    <w:rsid w:val="00273EED"/>
    <w:rsid w:val="00274066"/>
    <w:rsid w:val="00274152"/>
    <w:rsid w:val="00274665"/>
    <w:rsid w:val="00274B18"/>
    <w:rsid w:val="00274DB7"/>
    <w:rsid w:val="00275097"/>
    <w:rsid w:val="002750F4"/>
    <w:rsid w:val="00275AC7"/>
    <w:rsid w:val="00276654"/>
    <w:rsid w:val="0027675B"/>
    <w:rsid w:val="00276E52"/>
    <w:rsid w:val="00276FB9"/>
    <w:rsid w:val="002770D6"/>
    <w:rsid w:val="0027721A"/>
    <w:rsid w:val="002775F9"/>
    <w:rsid w:val="00277624"/>
    <w:rsid w:val="00277C83"/>
    <w:rsid w:val="002802DF"/>
    <w:rsid w:val="0028037E"/>
    <w:rsid w:val="0028055A"/>
    <w:rsid w:val="00280D71"/>
    <w:rsid w:val="00280DB1"/>
    <w:rsid w:val="002814BE"/>
    <w:rsid w:val="002815F2"/>
    <w:rsid w:val="00281622"/>
    <w:rsid w:val="00281815"/>
    <w:rsid w:val="00281C0D"/>
    <w:rsid w:val="00282861"/>
    <w:rsid w:val="002828C1"/>
    <w:rsid w:val="00282B48"/>
    <w:rsid w:val="002830D5"/>
    <w:rsid w:val="00283159"/>
    <w:rsid w:val="0028347B"/>
    <w:rsid w:val="00283691"/>
    <w:rsid w:val="00283956"/>
    <w:rsid w:val="00283D88"/>
    <w:rsid w:val="00283E6D"/>
    <w:rsid w:val="00283FFC"/>
    <w:rsid w:val="00284FEC"/>
    <w:rsid w:val="00284FF0"/>
    <w:rsid w:val="002858D7"/>
    <w:rsid w:val="0028625A"/>
    <w:rsid w:val="00286ADB"/>
    <w:rsid w:val="00286B76"/>
    <w:rsid w:val="00286CA4"/>
    <w:rsid w:val="00287153"/>
    <w:rsid w:val="00287166"/>
    <w:rsid w:val="0028790E"/>
    <w:rsid w:val="00287A15"/>
    <w:rsid w:val="00287D82"/>
    <w:rsid w:val="00290281"/>
    <w:rsid w:val="0029036B"/>
    <w:rsid w:val="0029052D"/>
    <w:rsid w:val="002908C0"/>
    <w:rsid w:val="00291156"/>
    <w:rsid w:val="0029118D"/>
    <w:rsid w:val="002917B8"/>
    <w:rsid w:val="00291A24"/>
    <w:rsid w:val="00291ADA"/>
    <w:rsid w:val="002920A5"/>
    <w:rsid w:val="00292858"/>
    <w:rsid w:val="00292A94"/>
    <w:rsid w:val="00292BC3"/>
    <w:rsid w:val="00292C50"/>
    <w:rsid w:val="00292CE5"/>
    <w:rsid w:val="00292D32"/>
    <w:rsid w:val="00293547"/>
    <w:rsid w:val="00293950"/>
    <w:rsid w:val="00293B6B"/>
    <w:rsid w:val="00293D6B"/>
    <w:rsid w:val="002942EF"/>
    <w:rsid w:val="0029462C"/>
    <w:rsid w:val="00294FE0"/>
    <w:rsid w:val="002954C8"/>
    <w:rsid w:val="00295F9D"/>
    <w:rsid w:val="00296200"/>
    <w:rsid w:val="002963E3"/>
    <w:rsid w:val="00296686"/>
    <w:rsid w:val="00296D6B"/>
    <w:rsid w:val="0029705A"/>
    <w:rsid w:val="0029720E"/>
    <w:rsid w:val="0029789B"/>
    <w:rsid w:val="00297A78"/>
    <w:rsid w:val="00297CDF"/>
    <w:rsid w:val="002A03F1"/>
    <w:rsid w:val="002A06E6"/>
    <w:rsid w:val="002A0A82"/>
    <w:rsid w:val="002A0C34"/>
    <w:rsid w:val="002A0E44"/>
    <w:rsid w:val="002A0EF4"/>
    <w:rsid w:val="002A12B7"/>
    <w:rsid w:val="002A1AC4"/>
    <w:rsid w:val="002A21BA"/>
    <w:rsid w:val="002A21EA"/>
    <w:rsid w:val="002A225D"/>
    <w:rsid w:val="002A257B"/>
    <w:rsid w:val="002A26A8"/>
    <w:rsid w:val="002A26E2"/>
    <w:rsid w:val="002A37EA"/>
    <w:rsid w:val="002A3DB7"/>
    <w:rsid w:val="002A4602"/>
    <w:rsid w:val="002A4657"/>
    <w:rsid w:val="002A46C8"/>
    <w:rsid w:val="002A4E46"/>
    <w:rsid w:val="002A4F9B"/>
    <w:rsid w:val="002A5242"/>
    <w:rsid w:val="002A56AA"/>
    <w:rsid w:val="002A5C8B"/>
    <w:rsid w:val="002A60F9"/>
    <w:rsid w:val="002A6291"/>
    <w:rsid w:val="002A66D5"/>
    <w:rsid w:val="002A672B"/>
    <w:rsid w:val="002A6DFC"/>
    <w:rsid w:val="002A7162"/>
    <w:rsid w:val="002A7225"/>
    <w:rsid w:val="002A7387"/>
    <w:rsid w:val="002A7536"/>
    <w:rsid w:val="002A7BB4"/>
    <w:rsid w:val="002A7EA2"/>
    <w:rsid w:val="002B0195"/>
    <w:rsid w:val="002B08C2"/>
    <w:rsid w:val="002B0DA1"/>
    <w:rsid w:val="002B0EC0"/>
    <w:rsid w:val="002B1226"/>
    <w:rsid w:val="002B13D0"/>
    <w:rsid w:val="002B15F3"/>
    <w:rsid w:val="002B1A0B"/>
    <w:rsid w:val="002B1CD1"/>
    <w:rsid w:val="002B2BF1"/>
    <w:rsid w:val="002B2DCB"/>
    <w:rsid w:val="002B2EC2"/>
    <w:rsid w:val="002B3028"/>
    <w:rsid w:val="002B31E6"/>
    <w:rsid w:val="002B33DA"/>
    <w:rsid w:val="002B3AAE"/>
    <w:rsid w:val="002B3B7F"/>
    <w:rsid w:val="002B3FB5"/>
    <w:rsid w:val="002B487E"/>
    <w:rsid w:val="002B4CB8"/>
    <w:rsid w:val="002B5121"/>
    <w:rsid w:val="002B5559"/>
    <w:rsid w:val="002B55A0"/>
    <w:rsid w:val="002B5690"/>
    <w:rsid w:val="002B5A2E"/>
    <w:rsid w:val="002B5BA0"/>
    <w:rsid w:val="002B5E29"/>
    <w:rsid w:val="002B5F6B"/>
    <w:rsid w:val="002B6366"/>
    <w:rsid w:val="002B6511"/>
    <w:rsid w:val="002B65D4"/>
    <w:rsid w:val="002B6A91"/>
    <w:rsid w:val="002B6E4A"/>
    <w:rsid w:val="002B7475"/>
    <w:rsid w:val="002B78E8"/>
    <w:rsid w:val="002B7E62"/>
    <w:rsid w:val="002B7F55"/>
    <w:rsid w:val="002C00DA"/>
    <w:rsid w:val="002C0B15"/>
    <w:rsid w:val="002C0F31"/>
    <w:rsid w:val="002C0FBB"/>
    <w:rsid w:val="002C10C3"/>
    <w:rsid w:val="002C1184"/>
    <w:rsid w:val="002C12B8"/>
    <w:rsid w:val="002C132C"/>
    <w:rsid w:val="002C18C3"/>
    <w:rsid w:val="002C19D8"/>
    <w:rsid w:val="002C1AC7"/>
    <w:rsid w:val="002C2549"/>
    <w:rsid w:val="002C26A6"/>
    <w:rsid w:val="002C3CA8"/>
    <w:rsid w:val="002C3E5B"/>
    <w:rsid w:val="002C46A9"/>
    <w:rsid w:val="002C4BB3"/>
    <w:rsid w:val="002C4C76"/>
    <w:rsid w:val="002C4DFE"/>
    <w:rsid w:val="002C503B"/>
    <w:rsid w:val="002C540C"/>
    <w:rsid w:val="002C55F7"/>
    <w:rsid w:val="002C59A5"/>
    <w:rsid w:val="002C5C11"/>
    <w:rsid w:val="002C5E6B"/>
    <w:rsid w:val="002C5F98"/>
    <w:rsid w:val="002C5FEE"/>
    <w:rsid w:val="002C6008"/>
    <w:rsid w:val="002C6555"/>
    <w:rsid w:val="002C660C"/>
    <w:rsid w:val="002C668E"/>
    <w:rsid w:val="002C6B8B"/>
    <w:rsid w:val="002C6CD4"/>
    <w:rsid w:val="002C708F"/>
    <w:rsid w:val="002C7441"/>
    <w:rsid w:val="002C778F"/>
    <w:rsid w:val="002C79D0"/>
    <w:rsid w:val="002C7A94"/>
    <w:rsid w:val="002C7AF0"/>
    <w:rsid w:val="002D04D8"/>
    <w:rsid w:val="002D065B"/>
    <w:rsid w:val="002D1190"/>
    <w:rsid w:val="002D170A"/>
    <w:rsid w:val="002D1798"/>
    <w:rsid w:val="002D17A4"/>
    <w:rsid w:val="002D1B06"/>
    <w:rsid w:val="002D1F69"/>
    <w:rsid w:val="002D26A6"/>
    <w:rsid w:val="002D2A96"/>
    <w:rsid w:val="002D2D9E"/>
    <w:rsid w:val="002D2FAB"/>
    <w:rsid w:val="002D3340"/>
    <w:rsid w:val="002D3352"/>
    <w:rsid w:val="002D33BE"/>
    <w:rsid w:val="002D34ED"/>
    <w:rsid w:val="002D38A8"/>
    <w:rsid w:val="002D3A5A"/>
    <w:rsid w:val="002D3DE4"/>
    <w:rsid w:val="002D414A"/>
    <w:rsid w:val="002D41CD"/>
    <w:rsid w:val="002D46A2"/>
    <w:rsid w:val="002D48E1"/>
    <w:rsid w:val="002D53DD"/>
    <w:rsid w:val="002D5606"/>
    <w:rsid w:val="002D5990"/>
    <w:rsid w:val="002D5AEA"/>
    <w:rsid w:val="002D5BED"/>
    <w:rsid w:val="002D5DA5"/>
    <w:rsid w:val="002D5ECA"/>
    <w:rsid w:val="002D60CC"/>
    <w:rsid w:val="002D6544"/>
    <w:rsid w:val="002D6E1E"/>
    <w:rsid w:val="002D773E"/>
    <w:rsid w:val="002D7A64"/>
    <w:rsid w:val="002D7AA2"/>
    <w:rsid w:val="002D7C10"/>
    <w:rsid w:val="002D7C5A"/>
    <w:rsid w:val="002D7C9B"/>
    <w:rsid w:val="002E057A"/>
    <w:rsid w:val="002E08F1"/>
    <w:rsid w:val="002E0B15"/>
    <w:rsid w:val="002E122A"/>
    <w:rsid w:val="002E1508"/>
    <w:rsid w:val="002E1742"/>
    <w:rsid w:val="002E1B5C"/>
    <w:rsid w:val="002E1DA7"/>
    <w:rsid w:val="002E21A5"/>
    <w:rsid w:val="002E23C1"/>
    <w:rsid w:val="002E23FA"/>
    <w:rsid w:val="002E25BD"/>
    <w:rsid w:val="002E2622"/>
    <w:rsid w:val="002E27C9"/>
    <w:rsid w:val="002E2809"/>
    <w:rsid w:val="002E2D87"/>
    <w:rsid w:val="002E3042"/>
    <w:rsid w:val="002E315E"/>
    <w:rsid w:val="002E3163"/>
    <w:rsid w:val="002E34A1"/>
    <w:rsid w:val="002E433B"/>
    <w:rsid w:val="002E4432"/>
    <w:rsid w:val="002E44FD"/>
    <w:rsid w:val="002E45DB"/>
    <w:rsid w:val="002E460F"/>
    <w:rsid w:val="002E46C7"/>
    <w:rsid w:val="002E4C70"/>
    <w:rsid w:val="002E553D"/>
    <w:rsid w:val="002E5B3F"/>
    <w:rsid w:val="002E5F2D"/>
    <w:rsid w:val="002E6267"/>
    <w:rsid w:val="002E6D95"/>
    <w:rsid w:val="002E6E5A"/>
    <w:rsid w:val="002E7690"/>
    <w:rsid w:val="002E7F02"/>
    <w:rsid w:val="002F01B4"/>
    <w:rsid w:val="002F0733"/>
    <w:rsid w:val="002F0AC5"/>
    <w:rsid w:val="002F0BA7"/>
    <w:rsid w:val="002F0DCD"/>
    <w:rsid w:val="002F1317"/>
    <w:rsid w:val="002F1865"/>
    <w:rsid w:val="002F25C4"/>
    <w:rsid w:val="002F264A"/>
    <w:rsid w:val="002F2BE6"/>
    <w:rsid w:val="002F2E0A"/>
    <w:rsid w:val="002F2E5A"/>
    <w:rsid w:val="002F2E9E"/>
    <w:rsid w:val="002F31E4"/>
    <w:rsid w:val="002F35ED"/>
    <w:rsid w:val="002F3DA5"/>
    <w:rsid w:val="002F3F90"/>
    <w:rsid w:val="002F4C6A"/>
    <w:rsid w:val="002F4CA4"/>
    <w:rsid w:val="002F5282"/>
    <w:rsid w:val="002F6159"/>
    <w:rsid w:val="002F64D6"/>
    <w:rsid w:val="002F6CF1"/>
    <w:rsid w:val="002F73B8"/>
    <w:rsid w:val="002F7A57"/>
    <w:rsid w:val="002F7B6C"/>
    <w:rsid w:val="0030097A"/>
    <w:rsid w:val="0030098B"/>
    <w:rsid w:val="00301147"/>
    <w:rsid w:val="00301E94"/>
    <w:rsid w:val="003025C1"/>
    <w:rsid w:val="003027D5"/>
    <w:rsid w:val="0030287D"/>
    <w:rsid w:val="00302D92"/>
    <w:rsid w:val="00302E7B"/>
    <w:rsid w:val="0030376B"/>
    <w:rsid w:val="00303988"/>
    <w:rsid w:val="00303DCE"/>
    <w:rsid w:val="0030469C"/>
    <w:rsid w:val="00304BAB"/>
    <w:rsid w:val="0030506C"/>
    <w:rsid w:val="00305875"/>
    <w:rsid w:val="00305896"/>
    <w:rsid w:val="00305DFE"/>
    <w:rsid w:val="00306265"/>
    <w:rsid w:val="00306AE3"/>
    <w:rsid w:val="00306CFF"/>
    <w:rsid w:val="00306EDB"/>
    <w:rsid w:val="003071BB"/>
    <w:rsid w:val="00307433"/>
    <w:rsid w:val="003078A0"/>
    <w:rsid w:val="00307A11"/>
    <w:rsid w:val="00307A5D"/>
    <w:rsid w:val="00307B71"/>
    <w:rsid w:val="00307BA4"/>
    <w:rsid w:val="00307F2D"/>
    <w:rsid w:val="00310152"/>
    <w:rsid w:val="003102C5"/>
    <w:rsid w:val="00310CB2"/>
    <w:rsid w:val="00310D9E"/>
    <w:rsid w:val="00311864"/>
    <w:rsid w:val="00311BBF"/>
    <w:rsid w:val="00311E3E"/>
    <w:rsid w:val="00312384"/>
    <w:rsid w:val="00312408"/>
    <w:rsid w:val="003124D7"/>
    <w:rsid w:val="003127E1"/>
    <w:rsid w:val="0031286F"/>
    <w:rsid w:val="00312AA0"/>
    <w:rsid w:val="00312C2A"/>
    <w:rsid w:val="00313020"/>
    <w:rsid w:val="00313099"/>
    <w:rsid w:val="0031333C"/>
    <w:rsid w:val="003135E7"/>
    <w:rsid w:val="00313DAB"/>
    <w:rsid w:val="003142C4"/>
    <w:rsid w:val="0031434C"/>
    <w:rsid w:val="00314374"/>
    <w:rsid w:val="003144D4"/>
    <w:rsid w:val="003149D6"/>
    <w:rsid w:val="00314D2F"/>
    <w:rsid w:val="003151E6"/>
    <w:rsid w:val="0031523E"/>
    <w:rsid w:val="0031555D"/>
    <w:rsid w:val="00315651"/>
    <w:rsid w:val="003158DC"/>
    <w:rsid w:val="00315A23"/>
    <w:rsid w:val="00316080"/>
    <w:rsid w:val="003163A6"/>
    <w:rsid w:val="00316446"/>
    <w:rsid w:val="00316489"/>
    <w:rsid w:val="00316D64"/>
    <w:rsid w:val="00316FA2"/>
    <w:rsid w:val="00316FC3"/>
    <w:rsid w:val="00317330"/>
    <w:rsid w:val="00317760"/>
    <w:rsid w:val="00317C19"/>
    <w:rsid w:val="00317CDF"/>
    <w:rsid w:val="00317EF3"/>
    <w:rsid w:val="003201D7"/>
    <w:rsid w:val="00320431"/>
    <w:rsid w:val="003204FA"/>
    <w:rsid w:val="0032055E"/>
    <w:rsid w:val="003209C6"/>
    <w:rsid w:val="00320AC0"/>
    <w:rsid w:val="00320EE2"/>
    <w:rsid w:val="00321445"/>
    <w:rsid w:val="0032151F"/>
    <w:rsid w:val="00321A68"/>
    <w:rsid w:val="00321E92"/>
    <w:rsid w:val="00322313"/>
    <w:rsid w:val="00322B03"/>
    <w:rsid w:val="00322CB0"/>
    <w:rsid w:val="00322F88"/>
    <w:rsid w:val="00323878"/>
    <w:rsid w:val="003239C8"/>
    <w:rsid w:val="00323AB2"/>
    <w:rsid w:val="00324089"/>
    <w:rsid w:val="00324BC4"/>
    <w:rsid w:val="00324CC0"/>
    <w:rsid w:val="0032516B"/>
    <w:rsid w:val="00325477"/>
    <w:rsid w:val="00325748"/>
    <w:rsid w:val="00325C47"/>
    <w:rsid w:val="00326282"/>
    <w:rsid w:val="003262BB"/>
    <w:rsid w:val="0032636B"/>
    <w:rsid w:val="00326894"/>
    <w:rsid w:val="003268D6"/>
    <w:rsid w:val="00326ACB"/>
    <w:rsid w:val="003271F0"/>
    <w:rsid w:val="00327A1B"/>
    <w:rsid w:val="0033142F"/>
    <w:rsid w:val="00331755"/>
    <w:rsid w:val="0033179B"/>
    <w:rsid w:val="00331B4E"/>
    <w:rsid w:val="0033216F"/>
    <w:rsid w:val="00332186"/>
    <w:rsid w:val="003325A4"/>
    <w:rsid w:val="0033266B"/>
    <w:rsid w:val="00332C25"/>
    <w:rsid w:val="00332D95"/>
    <w:rsid w:val="0033337D"/>
    <w:rsid w:val="00333730"/>
    <w:rsid w:val="003337F0"/>
    <w:rsid w:val="003337F5"/>
    <w:rsid w:val="003337FA"/>
    <w:rsid w:val="003340E9"/>
    <w:rsid w:val="0033445E"/>
    <w:rsid w:val="003346E7"/>
    <w:rsid w:val="00334C1F"/>
    <w:rsid w:val="00334FD0"/>
    <w:rsid w:val="00335061"/>
    <w:rsid w:val="0033517E"/>
    <w:rsid w:val="003358BC"/>
    <w:rsid w:val="003358E7"/>
    <w:rsid w:val="00335A69"/>
    <w:rsid w:val="00335A92"/>
    <w:rsid w:val="00335BA8"/>
    <w:rsid w:val="00335E29"/>
    <w:rsid w:val="00336186"/>
    <w:rsid w:val="00336B80"/>
    <w:rsid w:val="00336C66"/>
    <w:rsid w:val="00336CA4"/>
    <w:rsid w:val="00336DC5"/>
    <w:rsid w:val="00337068"/>
    <w:rsid w:val="0033755F"/>
    <w:rsid w:val="003376B0"/>
    <w:rsid w:val="00337840"/>
    <w:rsid w:val="003402B9"/>
    <w:rsid w:val="0034032A"/>
    <w:rsid w:val="003405FC"/>
    <w:rsid w:val="00340637"/>
    <w:rsid w:val="00340C84"/>
    <w:rsid w:val="00340FED"/>
    <w:rsid w:val="00341183"/>
    <w:rsid w:val="0034134D"/>
    <w:rsid w:val="00341440"/>
    <w:rsid w:val="00341476"/>
    <w:rsid w:val="003417FB"/>
    <w:rsid w:val="0034182D"/>
    <w:rsid w:val="00341CA1"/>
    <w:rsid w:val="00341F21"/>
    <w:rsid w:val="003422FC"/>
    <w:rsid w:val="003424CB"/>
    <w:rsid w:val="0034266C"/>
    <w:rsid w:val="003428B5"/>
    <w:rsid w:val="003428FC"/>
    <w:rsid w:val="00342EBE"/>
    <w:rsid w:val="00342F31"/>
    <w:rsid w:val="00343078"/>
    <w:rsid w:val="00343549"/>
    <w:rsid w:val="00343D7B"/>
    <w:rsid w:val="0034453F"/>
    <w:rsid w:val="003446E2"/>
    <w:rsid w:val="00344741"/>
    <w:rsid w:val="00344C49"/>
    <w:rsid w:val="00344F59"/>
    <w:rsid w:val="003455AB"/>
    <w:rsid w:val="0034595B"/>
    <w:rsid w:val="00345C0A"/>
    <w:rsid w:val="00345D4B"/>
    <w:rsid w:val="00345DC5"/>
    <w:rsid w:val="003466C2"/>
    <w:rsid w:val="0034695D"/>
    <w:rsid w:val="00346A96"/>
    <w:rsid w:val="00346FCE"/>
    <w:rsid w:val="00346FED"/>
    <w:rsid w:val="003472E4"/>
    <w:rsid w:val="00347AD0"/>
    <w:rsid w:val="0035074C"/>
    <w:rsid w:val="00350872"/>
    <w:rsid w:val="003508FE"/>
    <w:rsid w:val="00350D39"/>
    <w:rsid w:val="00351995"/>
    <w:rsid w:val="00351FE9"/>
    <w:rsid w:val="003520AA"/>
    <w:rsid w:val="0035230C"/>
    <w:rsid w:val="003524FD"/>
    <w:rsid w:val="00352A07"/>
    <w:rsid w:val="00352FC5"/>
    <w:rsid w:val="003530FB"/>
    <w:rsid w:val="00353689"/>
    <w:rsid w:val="003538AA"/>
    <w:rsid w:val="00353A1F"/>
    <w:rsid w:val="00353EB0"/>
    <w:rsid w:val="00353F61"/>
    <w:rsid w:val="00353FCA"/>
    <w:rsid w:val="0035415C"/>
    <w:rsid w:val="0035483F"/>
    <w:rsid w:val="00354921"/>
    <w:rsid w:val="0035517B"/>
    <w:rsid w:val="003559D8"/>
    <w:rsid w:val="00355B30"/>
    <w:rsid w:val="00355C0B"/>
    <w:rsid w:val="003561A6"/>
    <w:rsid w:val="00356380"/>
    <w:rsid w:val="0035654D"/>
    <w:rsid w:val="0035756A"/>
    <w:rsid w:val="00357808"/>
    <w:rsid w:val="003578F4"/>
    <w:rsid w:val="003579D6"/>
    <w:rsid w:val="00357B57"/>
    <w:rsid w:val="00357F6C"/>
    <w:rsid w:val="00357F83"/>
    <w:rsid w:val="0036010F"/>
    <w:rsid w:val="003605D7"/>
    <w:rsid w:val="00360789"/>
    <w:rsid w:val="003609E2"/>
    <w:rsid w:val="00360B70"/>
    <w:rsid w:val="00360D97"/>
    <w:rsid w:val="0036103C"/>
    <w:rsid w:val="00361294"/>
    <w:rsid w:val="0036199A"/>
    <w:rsid w:val="00361D2D"/>
    <w:rsid w:val="0036287D"/>
    <w:rsid w:val="00362B88"/>
    <w:rsid w:val="00363209"/>
    <w:rsid w:val="00363265"/>
    <w:rsid w:val="003633BA"/>
    <w:rsid w:val="003633FF"/>
    <w:rsid w:val="00363559"/>
    <w:rsid w:val="003635CC"/>
    <w:rsid w:val="003638CB"/>
    <w:rsid w:val="003640F5"/>
    <w:rsid w:val="003643D6"/>
    <w:rsid w:val="0036486D"/>
    <w:rsid w:val="00365022"/>
    <w:rsid w:val="003653EA"/>
    <w:rsid w:val="003661FD"/>
    <w:rsid w:val="00366413"/>
    <w:rsid w:val="003664A0"/>
    <w:rsid w:val="003667B2"/>
    <w:rsid w:val="00366809"/>
    <w:rsid w:val="00366BAD"/>
    <w:rsid w:val="00366E29"/>
    <w:rsid w:val="003674F5"/>
    <w:rsid w:val="00367857"/>
    <w:rsid w:val="00367A5F"/>
    <w:rsid w:val="00367B76"/>
    <w:rsid w:val="00367F0C"/>
    <w:rsid w:val="0037028B"/>
    <w:rsid w:val="00370336"/>
    <w:rsid w:val="003707E7"/>
    <w:rsid w:val="003707FB"/>
    <w:rsid w:val="00370C3D"/>
    <w:rsid w:val="00370EC3"/>
    <w:rsid w:val="00370FDA"/>
    <w:rsid w:val="00371019"/>
    <w:rsid w:val="00371B91"/>
    <w:rsid w:val="00372235"/>
    <w:rsid w:val="00372505"/>
    <w:rsid w:val="00372705"/>
    <w:rsid w:val="00372781"/>
    <w:rsid w:val="00372898"/>
    <w:rsid w:val="003729E2"/>
    <w:rsid w:val="00372B0E"/>
    <w:rsid w:val="00372BC0"/>
    <w:rsid w:val="00373339"/>
    <w:rsid w:val="00373584"/>
    <w:rsid w:val="0037364A"/>
    <w:rsid w:val="0037371B"/>
    <w:rsid w:val="00373AD2"/>
    <w:rsid w:val="00373BFB"/>
    <w:rsid w:val="00373CCD"/>
    <w:rsid w:val="00373DC8"/>
    <w:rsid w:val="0037450B"/>
    <w:rsid w:val="003748A8"/>
    <w:rsid w:val="00374978"/>
    <w:rsid w:val="00375032"/>
    <w:rsid w:val="00375114"/>
    <w:rsid w:val="003753AF"/>
    <w:rsid w:val="00375C0B"/>
    <w:rsid w:val="00375D3B"/>
    <w:rsid w:val="00375F9C"/>
    <w:rsid w:val="0037601C"/>
    <w:rsid w:val="00376750"/>
    <w:rsid w:val="00376873"/>
    <w:rsid w:val="00376E94"/>
    <w:rsid w:val="00377192"/>
    <w:rsid w:val="003776FA"/>
    <w:rsid w:val="003801A3"/>
    <w:rsid w:val="00380275"/>
    <w:rsid w:val="00380326"/>
    <w:rsid w:val="003803BF"/>
    <w:rsid w:val="0038072C"/>
    <w:rsid w:val="0038078A"/>
    <w:rsid w:val="0038085C"/>
    <w:rsid w:val="00380CE9"/>
    <w:rsid w:val="00380EA9"/>
    <w:rsid w:val="00381299"/>
    <w:rsid w:val="003814B9"/>
    <w:rsid w:val="0038173A"/>
    <w:rsid w:val="003817CD"/>
    <w:rsid w:val="00381E5B"/>
    <w:rsid w:val="00382083"/>
    <w:rsid w:val="003823EA"/>
    <w:rsid w:val="00382827"/>
    <w:rsid w:val="00382AC7"/>
    <w:rsid w:val="00382CE6"/>
    <w:rsid w:val="00383540"/>
    <w:rsid w:val="003846C2"/>
    <w:rsid w:val="003847E9"/>
    <w:rsid w:val="003847F0"/>
    <w:rsid w:val="0038494F"/>
    <w:rsid w:val="00384A87"/>
    <w:rsid w:val="00384C8C"/>
    <w:rsid w:val="0038619D"/>
    <w:rsid w:val="003864A0"/>
    <w:rsid w:val="00386769"/>
    <w:rsid w:val="0038684A"/>
    <w:rsid w:val="003868D1"/>
    <w:rsid w:val="00386D48"/>
    <w:rsid w:val="00386E0B"/>
    <w:rsid w:val="003871B8"/>
    <w:rsid w:val="003874A9"/>
    <w:rsid w:val="0038755B"/>
    <w:rsid w:val="00387C3C"/>
    <w:rsid w:val="0039085C"/>
    <w:rsid w:val="00391198"/>
    <w:rsid w:val="00391249"/>
    <w:rsid w:val="0039150B"/>
    <w:rsid w:val="003918FB"/>
    <w:rsid w:val="00391BD4"/>
    <w:rsid w:val="00391F0A"/>
    <w:rsid w:val="00391F4C"/>
    <w:rsid w:val="003922B3"/>
    <w:rsid w:val="003923D5"/>
    <w:rsid w:val="00392522"/>
    <w:rsid w:val="00392773"/>
    <w:rsid w:val="00392A1B"/>
    <w:rsid w:val="00392A58"/>
    <w:rsid w:val="003934A2"/>
    <w:rsid w:val="0039352C"/>
    <w:rsid w:val="003935D7"/>
    <w:rsid w:val="003938BF"/>
    <w:rsid w:val="003939A1"/>
    <w:rsid w:val="00393B91"/>
    <w:rsid w:val="00393CDD"/>
    <w:rsid w:val="003942C6"/>
    <w:rsid w:val="00394559"/>
    <w:rsid w:val="00394C36"/>
    <w:rsid w:val="00394FC1"/>
    <w:rsid w:val="0039503E"/>
    <w:rsid w:val="00395269"/>
    <w:rsid w:val="0039527F"/>
    <w:rsid w:val="00395332"/>
    <w:rsid w:val="00395489"/>
    <w:rsid w:val="00395617"/>
    <w:rsid w:val="0039616C"/>
    <w:rsid w:val="003964CA"/>
    <w:rsid w:val="00396814"/>
    <w:rsid w:val="00396C78"/>
    <w:rsid w:val="00397391"/>
    <w:rsid w:val="0039777D"/>
    <w:rsid w:val="00397999"/>
    <w:rsid w:val="00397D83"/>
    <w:rsid w:val="003A0025"/>
    <w:rsid w:val="003A015C"/>
    <w:rsid w:val="003A0D59"/>
    <w:rsid w:val="003A118D"/>
    <w:rsid w:val="003A1483"/>
    <w:rsid w:val="003A17B8"/>
    <w:rsid w:val="003A1BDC"/>
    <w:rsid w:val="003A1E41"/>
    <w:rsid w:val="003A1F5D"/>
    <w:rsid w:val="003A2074"/>
    <w:rsid w:val="003A26DA"/>
    <w:rsid w:val="003A2903"/>
    <w:rsid w:val="003A2A8C"/>
    <w:rsid w:val="003A2C18"/>
    <w:rsid w:val="003A347C"/>
    <w:rsid w:val="003A35E2"/>
    <w:rsid w:val="003A3847"/>
    <w:rsid w:val="003A38F5"/>
    <w:rsid w:val="003A3B48"/>
    <w:rsid w:val="003A3C71"/>
    <w:rsid w:val="003A3C91"/>
    <w:rsid w:val="003A3FB7"/>
    <w:rsid w:val="003A4010"/>
    <w:rsid w:val="003A4121"/>
    <w:rsid w:val="003A46A4"/>
    <w:rsid w:val="003A48B0"/>
    <w:rsid w:val="003A49F4"/>
    <w:rsid w:val="003A5093"/>
    <w:rsid w:val="003A5358"/>
    <w:rsid w:val="003A53AE"/>
    <w:rsid w:val="003A5867"/>
    <w:rsid w:val="003A5DF3"/>
    <w:rsid w:val="003A6205"/>
    <w:rsid w:val="003A6283"/>
    <w:rsid w:val="003A666E"/>
    <w:rsid w:val="003A6A99"/>
    <w:rsid w:val="003A6ED1"/>
    <w:rsid w:val="003A7206"/>
    <w:rsid w:val="003A724C"/>
    <w:rsid w:val="003A74FB"/>
    <w:rsid w:val="003A7581"/>
    <w:rsid w:val="003A7772"/>
    <w:rsid w:val="003A7894"/>
    <w:rsid w:val="003A7E70"/>
    <w:rsid w:val="003B00B2"/>
    <w:rsid w:val="003B02D5"/>
    <w:rsid w:val="003B0429"/>
    <w:rsid w:val="003B08A4"/>
    <w:rsid w:val="003B1234"/>
    <w:rsid w:val="003B12BA"/>
    <w:rsid w:val="003B195A"/>
    <w:rsid w:val="003B197E"/>
    <w:rsid w:val="003B1BC7"/>
    <w:rsid w:val="003B27E9"/>
    <w:rsid w:val="003B2AA1"/>
    <w:rsid w:val="003B2E33"/>
    <w:rsid w:val="003B2EEC"/>
    <w:rsid w:val="003B314D"/>
    <w:rsid w:val="003B3345"/>
    <w:rsid w:val="003B352C"/>
    <w:rsid w:val="003B38F3"/>
    <w:rsid w:val="003B3D31"/>
    <w:rsid w:val="003B3DC2"/>
    <w:rsid w:val="003B4BC6"/>
    <w:rsid w:val="003B4D8D"/>
    <w:rsid w:val="003B533F"/>
    <w:rsid w:val="003B53F0"/>
    <w:rsid w:val="003B5807"/>
    <w:rsid w:val="003B61BE"/>
    <w:rsid w:val="003B6586"/>
    <w:rsid w:val="003B71C9"/>
    <w:rsid w:val="003B7D14"/>
    <w:rsid w:val="003C003C"/>
    <w:rsid w:val="003C0D69"/>
    <w:rsid w:val="003C0E29"/>
    <w:rsid w:val="003C1785"/>
    <w:rsid w:val="003C1914"/>
    <w:rsid w:val="003C1B26"/>
    <w:rsid w:val="003C1D4F"/>
    <w:rsid w:val="003C23D4"/>
    <w:rsid w:val="003C2709"/>
    <w:rsid w:val="003C2D3E"/>
    <w:rsid w:val="003C3213"/>
    <w:rsid w:val="003C35FD"/>
    <w:rsid w:val="003C366D"/>
    <w:rsid w:val="003C3D3F"/>
    <w:rsid w:val="003C443B"/>
    <w:rsid w:val="003C479E"/>
    <w:rsid w:val="003C48AD"/>
    <w:rsid w:val="003C4902"/>
    <w:rsid w:val="003C49E9"/>
    <w:rsid w:val="003C4D79"/>
    <w:rsid w:val="003C4E49"/>
    <w:rsid w:val="003C4EE2"/>
    <w:rsid w:val="003C5ACD"/>
    <w:rsid w:val="003C6216"/>
    <w:rsid w:val="003C6462"/>
    <w:rsid w:val="003C6A61"/>
    <w:rsid w:val="003C6B7E"/>
    <w:rsid w:val="003C6C31"/>
    <w:rsid w:val="003C7038"/>
    <w:rsid w:val="003C761E"/>
    <w:rsid w:val="003C775C"/>
    <w:rsid w:val="003C7DF5"/>
    <w:rsid w:val="003C7F8C"/>
    <w:rsid w:val="003C7FD4"/>
    <w:rsid w:val="003C7FDB"/>
    <w:rsid w:val="003D04D2"/>
    <w:rsid w:val="003D0765"/>
    <w:rsid w:val="003D1AE5"/>
    <w:rsid w:val="003D1B66"/>
    <w:rsid w:val="003D1D73"/>
    <w:rsid w:val="003D2112"/>
    <w:rsid w:val="003D212A"/>
    <w:rsid w:val="003D2CA5"/>
    <w:rsid w:val="003D2D51"/>
    <w:rsid w:val="003D316B"/>
    <w:rsid w:val="003D3673"/>
    <w:rsid w:val="003D3716"/>
    <w:rsid w:val="003D37B9"/>
    <w:rsid w:val="003D3AAC"/>
    <w:rsid w:val="003D3C85"/>
    <w:rsid w:val="003D4080"/>
    <w:rsid w:val="003D42CD"/>
    <w:rsid w:val="003D4831"/>
    <w:rsid w:val="003D4C00"/>
    <w:rsid w:val="003D4FF8"/>
    <w:rsid w:val="003D522D"/>
    <w:rsid w:val="003D5607"/>
    <w:rsid w:val="003D5FA8"/>
    <w:rsid w:val="003D61E3"/>
    <w:rsid w:val="003D625C"/>
    <w:rsid w:val="003D63AF"/>
    <w:rsid w:val="003D63DE"/>
    <w:rsid w:val="003D682B"/>
    <w:rsid w:val="003D68CF"/>
    <w:rsid w:val="003D6A24"/>
    <w:rsid w:val="003D6C3D"/>
    <w:rsid w:val="003D6D95"/>
    <w:rsid w:val="003D7172"/>
    <w:rsid w:val="003D7211"/>
    <w:rsid w:val="003D7CE9"/>
    <w:rsid w:val="003E015B"/>
    <w:rsid w:val="003E0486"/>
    <w:rsid w:val="003E0538"/>
    <w:rsid w:val="003E0A8D"/>
    <w:rsid w:val="003E0B20"/>
    <w:rsid w:val="003E0C0A"/>
    <w:rsid w:val="003E0D85"/>
    <w:rsid w:val="003E18BF"/>
    <w:rsid w:val="003E2218"/>
    <w:rsid w:val="003E23B3"/>
    <w:rsid w:val="003E2402"/>
    <w:rsid w:val="003E2577"/>
    <w:rsid w:val="003E286B"/>
    <w:rsid w:val="003E2E9A"/>
    <w:rsid w:val="003E33D5"/>
    <w:rsid w:val="003E372C"/>
    <w:rsid w:val="003E3B67"/>
    <w:rsid w:val="003E3BF2"/>
    <w:rsid w:val="003E3CD3"/>
    <w:rsid w:val="003E3E4E"/>
    <w:rsid w:val="003E3E5F"/>
    <w:rsid w:val="003E47C5"/>
    <w:rsid w:val="003E4A26"/>
    <w:rsid w:val="003E5A33"/>
    <w:rsid w:val="003E6604"/>
    <w:rsid w:val="003E6653"/>
    <w:rsid w:val="003E66AD"/>
    <w:rsid w:val="003E6DB0"/>
    <w:rsid w:val="003E748A"/>
    <w:rsid w:val="003E7713"/>
    <w:rsid w:val="003E78DB"/>
    <w:rsid w:val="003E7BEF"/>
    <w:rsid w:val="003E7E96"/>
    <w:rsid w:val="003E7EF1"/>
    <w:rsid w:val="003F0086"/>
    <w:rsid w:val="003F0117"/>
    <w:rsid w:val="003F040B"/>
    <w:rsid w:val="003F05A0"/>
    <w:rsid w:val="003F06EE"/>
    <w:rsid w:val="003F0717"/>
    <w:rsid w:val="003F0DE5"/>
    <w:rsid w:val="003F12ED"/>
    <w:rsid w:val="003F13F1"/>
    <w:rsid w:val="003F17C2"/>
    <w:rsid w:val="003F1E80"/>
    <w:rsid w:val="003F210F"/>
    <w:rsid w:val="003F23A2"/>
    <w:rsid w:val="003F298E"/>
    <w:rsid w:val="003F2A72"/>
    <w:rsid w:val="003F2B29"/>
    <w:rsid w:val="003F2B4F"/>
    <w:rsid w:val="003F2BCD"/>
    <w:rsid w:val="003F3006"/>
    <w:rsid w:val="003F3266"/>
    <w:rsid w:val="003F3428"/>
    <w:rsid w:val="003F3978"/>
    <w:rsid w:val="003F3BF5"/>
    <w:rsid w:val="003F3D88"/>
    <w:rsid w:val="003F40A4"/>
    <w:rsid w:val="003F4693"/>
    <w:rsid w:val="003F46EA"/>
    <w:rsid w:val="003F495C"/>
    <w:rsid w:val="003F4AB9"/>
    <w:rsid w:val="003F4D0B"/>
    <w:rsid w:val="003F4D69"/>
    <w:rsid w:val="003F566C"/>
    <w:rsid w:val="003F57EB"/>
    <w:rsid w:val="003F5B94"/>
    <w:rsid w:val="003F5BCD"/>
    <w:rsid w:val="003F5DA9"/>
    <w:rsid w:val="003F5E04"/>
    <w:rsid w:val="003F6259"/>
    <w:rsid w:val="003F69C7"/>
    <w:rsid w:val="003F69CB"/>
    <w:rsid w:val="003F6C96"/>
    <w:rsid w:val="003F6F7E"/>
    <w:rsid w:val="003F710D"/>
    <w:rsid w:val="003F7332"/>
    <w:rsid w:val="003F7908"/>
    <w:rsid w:val="00400268"/>
    <w:rsid w:val="00400589"/>
    <w:rsid w:val="00400662"/>
    <w:rsid w:val="0040088C"/>
    <w:rsid w:val="00400BF3"/>
    <w:rsid w:val="0040139A"/>
    <w:rsid w:val="00401664"/>
    <w:rsid w:val="004017BD"/>
    <w:rsid w:val="00401AA7"/>
    <w:rsid w:val="00401F5D"/>
    <w:rsid w:val="0040235C"/>
    <w:rsid w:val="00402C2F"/>
    <w:rsid w:val="00402E51"/>
    <w:rsid w:val="00403678"/>
    <w:rsid w:val="004037E3"/>
    <w:rsid w:val="00403DF7"/>
    <w:rsid w:val="00403E3A"/>
    <w:rsid w:val="00403F9E"/>
    <w:rsid w:val="00404426"/>
    <w:rsid w:val="004044FD"/>
    <w:rsid w:val="00405615"/>
    <w:rsid w:val="00405636"/>
    <w:rsid w:val="00405702"/>
    <w:rsid w:val="004058F7"/>
    <w:rsid w:val="00406193"/>
    <w:rsid w:val="0040637C"/>
    <w:rsid w:val="004064E5"/>
    <w:rsid w:val="00406A41"/>
    <w:rsid w:val="00406AF4"/>
    <w:rsid w:val="00406BF7"/>
    <w:rsid w:val="00407451"/>
    <w:rsid w:val="004074DA"/>
    <w:rsid w:val="00407AA0"/>
    <w:rsid w:val="0041016D"/>
    <w:rsid w:val="004102E3"/>
    <w:rsid w:val="004103EB"/>
    <w:rsid w:val="0041072F"/>
    <w:rsid w:val="00410AEB"/>
    <w:rsid w:val="00410B22"/>
    <w:rsid w:val="00410D15"/>
    <w:rsid w:val="00410ECB"/>
    <w:rsid w:val="004115C1"/>
    <w:rsid w:val="004116A8"/>
    <w:rsid w:val="00411808"/>
    <w:rsid w:val="00411965"/>
    <w:rsid w:val="00411991"/>
    <w:rsid w:val="00411B96"/>
    <w:rsid w:val="00411E5C"/>
    <w:rsid w:val="00411EFB"/>
    <w:rsid w:val="00412096"/>
    <w:rsid w:val="00412A66"/>
    <w:rsid w:val="00412C71"/>
    <w:rsid w:val="00412D51"/>
    <w:rsid w:val="00413BD9"/>
    <w:rsid w:val="00414054"/>
    <w:rsid w:val="004140E6"/>
    <w:rsid w:val="00414AA7"/>
    <w:rsid w:val="00414CCF"/>
    <w:rsid w:val="0041593E"/>
    <w:rsid w:val="00415FD3"/>
    <w:rsid w:val="004160BF"/>
    <w:rsid w:val="00416272"/>
    <w:rsid w:val="004168CE"/>
    <w:rsid w:val="0041719F"/>
    <w:rsid w:val="004176A9"/>
    <w:rsid w:val="0042009F"/>
    <w:rsid w:val="004202D6"/>
    <w:rsid w:val="0042049E"/>
    <w:rsid w:val="0042062E"/>
    <w:rsid w:val="00420983"/>
    <w:rsid w:val="00420B02"/>
    <w:rsid w:val="00420B38"/>
    <w:rsid w:val="00420B9B"/>
    <w:rsid w:val="00420FF6"/>
    <w:rsid w:val="004210AD"/>
    <w:rsid w:val="00421429"/>
    <w:rsid w:val="004215F8"/>
    <w:rsid w:val="00421A4E"/>
    <w:rsid w:val="0042208B"/>
    <w:rsid w:val="00422353"/>
    <w:rsid w:val="00422854"/>
    <w:rsid w:val="00422B7D"/>
    <w:rsid w:val="00422ED6"/>
    <w:rsid w:val="004233B5"/>
    <w:rsid w:val="00423438"/>
    <w:rsid w:val="0042367F"/>
    <w:rsid w:val="00423F96"/>
    <w:rsid w:val="00423F99"/>
    <w:rsid w:val="00424442"/>
    <w:rsid w:val="00424479"/>
    <w:rsid w:val="00424899"/>
    <w:rsid w:val="00424D5D"/>
    <w:rsid w:val="0042515C"/>
    <w:rsid w:val="0042540B"/>
    <w:rsid w:val="00425646"/>
    <w:rsid w:val="0042578C"/>
    <w:rsid w:val="004259F7"/>
    <w:rsid w:val="00425BAE"/>
    <w:rsid w:val="00426771"/>
    <w:rsid w:val="00426D8E"/>
    <w:rsid w:val="00426E2E"/>
    <w:rsid w:val="00426E9B"/>
    <w:rsid w:val="00426EE1"/>
    <w:rsid w:val="0042712A"/>
    <w:rsid w:val="00427204"/>
    <w:rsid w:val="004272BA"/>
    <w:rsid w:val="00427775"/>
    <w:rsid w:val="00427A16"/>
    <w:rsid w:val="00427CA7"/>
    <w:rsid w:val="00427D4A"/>
    <w:rsid w:val="00427E33"/>
    <w:rsid w:val="00430B63"/>
    <w:rsid w:val="004319CC"/>
    <w:rsid w:val="00431D51"/>
    <w:rsid w:val="00432008"/>
    <w:rsid w:val="00432271"/>
    <w:rsid w:val="00432927"/>
    <w:rsid w:val="00432DC4"/>
    <w:rsid w:val="00432ED4"/>
    <w:rsid w:val="00433062"/>
    <w:rsid w:val="00433538"/>
    <w:rsid w:val="00433765"/>
    <w:rsid w:val="00433FE2"/>
    <w:rsid w:val="004346BD"/>
    <w:rsid w:val="004346C4"/>
    <w:rsid w:val="004349B1"/>
    <w:rsid w:val="00434B89"/>
    <w:rsid w:val="00434C57"/>
    <w:rsid w:val="0043558B"/>
    <w:rsid w:val="00435BA3"/>
    <w:rsid w:val="00435DD7"/>
    <w:rsid w:val="004360F8"/>
    <w:rsid w:val="0043645C"/>
    <w:rsid w:val="00436674"/>
    <w:rsid w:val="00436AB0"/>
    <w:rsid w:val="00437DB1"/>
    <w:rsid w:val="0044063D"/>
    <w:rsid w:val="004409D3"/>
    <w:rsid w:val="00441715"/>
    <w:rsid w:val="004418EC"/>
    <w:rsid w:val="004421A1"/>
    <w:rsid w:val="004423D3"/>
    <w:rsid w:val="004424AA"/>
    <w:rsid w:val="004424F3"/>
    <w:rsid w:val="00442507"/>
    <w:rsid w:val="004425BD"/>
    <w:rsid w:val="00442FD0"/>
    <w:rsid w:val="0044391E"/>
    <w:rsid w:val="00443B72"/>
    <w:rsid w:val="00443B7B"/>
    <w:rsid w:val="00443D71"/>
    <w:rsid w:val="00443ED3"/>
    <w:rsid w:val="004444C4"/>
    <w:rsid w:val="00444E5D"/>
    <w:rsid w:val="00444F57"/>
    <w:rsid w:val="00445116"/>
    <w:rsid w:val="00445670"/>
    <w:rsid w:val="00445697"/>
    <w:rsid w:val="00445BB9"/>
    <w:rsid w:val="00446433"/>
    <w:rsid w:val="00446B92"/>
    <w:rsid w:val="004477C3"/>
    <w:rsid w:val="0044781C"/>
    <w:rsid w:val="0044785C"/>
    <w:rsid w:val="00450577"/>
    <w:rsid w:val="004508F5"/>
    <w:rsid w:val="00450D11"/>
    <w:rsid w:val="00450F32"/>
    <w:rsid w:val="004511D5"/>
    <w:rsid w:val="00451416"/>
    <w:rsid w:val="0045186E"/>
    <w:rsid w:val="00451EEF"/>
    <w:rsid w:val="00451F0F"/>
    <w:rsid w:val="00451F3D"/>
    <w:rsid w:val="0045234E"/>
    <w:rsid w:val="00452683"/>
    <w:rsid w:val="00452B32"/>
    <w:rsid w:val="00452B65"/>
    <w:rsid w:val="004532A4"/>
    <w:rsid w:val="0045354F"/>
    <w:rsid w:val="004536F5"/>
    <w:rsid w:val="004538FC"/>
    <w:rsid w:val="00453B88"/>
    <w:rsid w:val="00454733"/>
    <w:rsid w:val="004547D2"/>
    <w:rsid w:val="00454EEF"/>
    <w:rsid w:val="00455085"/>
    <w:rsid w:val="004550CF"/>
    <w:rsid w:val="004551DD"/>
    <w:rsid w:val="0045539B"/>
    <w:rsid w:val="0045549D"/>
    <w:rsid w:val="00455631"/>
    <w:rsid w:val="00455972"/>
    <w:rsid w:val="00455E2D"/>
    <w:rsid w:val="004560A8"/>
    <w:rsid w:val="0045666A"/>
    <w:rsid w:val="00456B39"/>
    <w:rsid w:val="00457243"/>
    <w:rsid w:val="004574BE"/>
    <w:rsid w:val="0045765D"/>
    <w:rsid w:val="00457690"/>
    <w:rsid w:val="0045769A"/>
    <w:rsid w:val="004579D8"/>
    <w:rsid w:val="004600E7"/>
    <w:rsid w:val="0046056D"/>
    <w:rsid w:val="00460633"/>
    <w:rsid w:val="00460E7A"/>
    <w:rsid w:val="00461070"/>
    <w:rsid w:val="00461490"/>
    <w:rsid w:val="0046189C"/>
    <w:rsid w:val="00461B06"/>
    <w:rsid w:val="00461C08"/>
    <w:rsid w:val="00461F56"/>
    <w:rsid w:val="004622B6"/>
    <w:rsid w:val="004623AF"/>
    <w:rsid w:val="0046244D"/>
    <w:rsid w:val="004626F0"/>
    <w:rsid w:val="00462F3C"/>
    <w:rsid w:val="0046320C"/>
    <w:rsid w:val="00463384"/>
    <w:rsid w:val="00463781"/>
    <w:rsid w:val="0046390F"/>
    <w:rsid w:val="00463BEF"/>
    <w:rsid w:val="00463DCF"/>
    <w:rsid w:val="004643CE"/>
    <w:rsid w:val="004644A9"/>
    <w:rsid w:val="00464A90"/>
    <w:rsid w:val="004650E9"/>
    <w:rsid w:val="004651BE"/>
    <w:rsid w:val="004654B4"/>
    <w:rsid w:val="0046563D"/>
    <w:rsid w:val="004659A2"/>
    <w:rsid w:val="00466216"/>
    <w:rsid w:val="00466848"/>
    <w:rsid w:val="00466A6C"/>
    <w:rsid w:val="00466B83"/>
    <w:rsid w:val="00466C57"/>
    <w:rsid w:val="00466E5E"/>
    <w:rsid w:val="00466F51"/>
    <w:rsid w:val="00467061"/>
    <w:rsid w:val="004670C1"/>
    <w:rsid w:val="004670D4"/>
    <w:rsid w:val="004671C0"/>
    <w:rsid w:val="004672A2"/>
    <w:rsid w:val="00467A9D"/>
    <w:rsid w:val="00467C4C"/>
    <w:rsid w:val="00470064"/>
    <w:rsid w:val="004701AC"/>
    <w:rsid w:val="0047045E"/>
    <w:rsid w:val="004704D6"/>
    <w:rsid w:val="004704FF"/>
    <w:rsid w:val="00470609"/>
    <w:rsid w:val="00471288"/>
    <w:rsid w:val="00471E26"/>
    <w:rsid w:val="00471EB0"/>
    <w:rsid w:val="00472A1B"/>
    <w:rsid w:val="00472BDA"/>
    <w:rsid w:val="00472EC3"/>
    <w:rsid w:val="00473077"/>
    <w:rsid w:val="00473197"/>
    <w:rsid w:val="00473D09"/>
    <w:rsid w:val="004741F5"/>
    <w:rsid w:val="004744C6"/>
    <w:rsid w:val="00474770"/>
    <w:rsid w:val="004748F9"/>
    <w:rsid w:val="00474B1F"/>
    <w:rsid w:val="00474B69"/>
    <w:rsid w:val="00474B89"/>
    <w:rsid w:val="004752D1"/>
    <w:rsid w:val="00475558"/>
    <w:rsid w:val="00475E7D"/>
    <w:rsid w:val="00475F28"/>
    <w:rsid w:val="00476674"/>
    <w:rsid w:val="0047687B"/>
    <w:rsid w:val="00476975"/>
    <w:rsid w:val="00477109"/>
    <w:rsid w:val="004774CA"/>
    <w:rsid w:val="004776CD"/>
    <w:rsid w:val="00477746"/>
    <w:rsid w:val="00477768"/>
    <w:rsid w:val="00477F31"/>
    <w:rsid w:val="00480070"/>
    <w:rsid w:val="00480079"/>
    <w:rsid w:val="00480109"/>
    <w:rsid w:val="00480926"/>
    <w:rsid w:val="00480A94"/>
    <w:rsid w:val="0048194C"/>
    <w:rsid w:val="00481BD2"/>
    <w:rsid w:val="00481C15"/>
    <w:rsid w:val="00481E8D"/>
    <w:rsid w:val="00482392"/>
    <w:rsid w:val="004825BB"/>
    <w:rsid w:val="0048370D"/>
    <w:rsid w:val="0048399C"/>
    <w:rsid w:val="00483E97"/>
    <w:rsid w:val="004847DA"/>
    <w:rsid w:val="00484836"/>
    <w:rsid w:val="004848B0"/>
    <w:rsid w:val="004849D2"/>
    <w:rsid w:val="00484A6D"/>
    <w:rsid w:val="00484EC9"/>
    <w:rsid w:val="00484FC1"/>
    <w:rsid w:val="00485161"/>
    <w:rsid w:val="004852F0"/>
    <w:rsid w:val="0048538B"/>
    <w:rsid w:val="00485B84"/>
    <w:rsid w:val="00485E84"/>
    <w:rsid w:val="0048602E"/>
    <w:rsid w:val="004863F1"/>
    <w:rsid w:val="0048691E"/>
    <w:rsid w:val="00486CD8"/>
    <w:rsid w:val="00486D5B"/>
    <w:rsid w:val="00486F71"/>
    <w:rsid w:val="004873A1"/>
    <w:rsid w:val="004876DC"/>
    <w:rsid w:val="00487E4A"/>
    <w:rsid w:val="00490657"/>
    <w:rsid w:val="004909AF"/>
    <w:rsid w:val="00490CD1"/>
    <w:rsid w:val="00490E26"/>
    <w:rsid w:val="0049118F"/>
    <w:rsid w:val="00491CFC"/>
    <w:rsid w:val="00491D65"/>
    <w:rsid w:val="00491E34"/>
    <w:rsid w:val="00491ECE"/>
    <w:rsid w:val="0049206B"/>
    <w:rsid w:val="004921C8"/>
    <w:rsid w:val="0049266D"/>
    <w:rsid w:val="00492719"/>
    <w:rsid w:val="00492842"/>
    <w:rsid w:val="0049294F"/>
    <w:rsid w:val="00492A25"/>
    <w:rsid w:val="00492CF0"/>
    <w:rsid w:val="00492D09"/>
    <w:rsid w:val="00492E25"/>
    <w:rsid w:val="00492F81"/>
    <w:rsid w:val="00493310"/>
    <w:rsid w:val="00493800"/>
    <w:rsid w:val="004938E8"/>
    <w:rsid w:val="0049392B"/>
    <w:rsid w:val="00494494"/>
    <w:rsid w:val="004944BA"/>
    <w:rsid w:val="00494B45"/>
    <w:rsid w:val="004950C5"/>
    <w:rsid w:val="00495A48"/>
    <w:rsid w:val="00495BD9"/>
    <w:rsid w:val="00495DE7"/>
    <w:rsid w:val="00496062"/>
    <w:rsid w:val="00496077"/>
    <w:rsid w:val="0049659F"/>
    <w:rsid w:val="00496875"/>
    <w:rsid w:val="0049693E"/>
    <w:rsid w:val="00496AAF"/>
    <w:rsid w:val="00496F7E"/>
    <w:rsid w:val="004972C9"/>
    <w:rsid w:val="0049775A"/>
    <w:rsid w:val="00497AAC"/>
    <w:rsid w:val="00497BB3"/>
    <w:rsid w:val="004A01EC"/>
    <w:rsid w:val="004A0249"/>
    <w:rsid w:val="004A0780"/>
    <w:rsid w:val="004A0BAA"/>
    <w:rsid w:val="004A0C70"/>
    <w:rsid w:val="004A0E4E"/>
    <w:rsid w:val="004A0EB0"/>
    <w:rsid w:val="004A0F78"/>
    <w:rsid w:val="004A10B1"/>
    <w:rsid w:val="004A125F"/>
    <w:rsid w:val="004A1729"/>
    <w:rsid w:val="004A1811"/>
    <w:rsid w:val="004A18A7"/>
    <w:rsid w:val="004A193C"/>
    <w:rsid w:val="004A19DD"/>
    <w:rsid w:val="004A207C"/>
    <w:rsid w:val="004A2375"/>
    <w:rsid w:val="004A2559"/>
    <w:rsid w:val="004A26D4"/>
    <w:rsid w:val="004A2A4B"/>
    <w:rsid w:val="004A2DDE"/>
    <w:rsid w:val="004A3295"/>
    <w:rsid w:val="004A3A05"/>
    <w:rsid w:val="004A3D75"/>
    <w:rsid w:val="004A3DED"/>
    <w:rsid w:val="004A3E92"/>
    <w:rsid w:val="004A3F3C"/>
    <w:rsid w:val="004A41C9"/>
    <w:rsid w:val="004A41E6"/>
    <w:rsid w:val="004A4279"/>
    <w:rsid w:val="004A4472"/>
    <w:rsid w:val="004A497D"/>
    <w:rsid w:val="004A49A7"/>
    <w:rsid w:val="004A4CFC"/>
    <w:rsid w:val="004A580C"/>
    <w:rsid w:val="004A5C1D"/>
    <w:rsid w:val="004A5D6E"/>
    <w:rsid w:val="004A5F3F"/>
    <w:rsid w:val="004A6041"/>
    <w:rsid w:val="004A6214"/>
    <w:rsid w:val="004A68A5"/>
    <w:rsid w:val="004A6F71"/>
    <w:rsid w:val="004A76D1"/>
    <w:rsid w:val="004A78C8"/>
    <w:rsid w:val="004A7B02"/>
    <w:rsid w:val="004A7BCF"/>
    <w:rsid w:val="004A7CDB"/>
    <w:rsid w:val="004A7DB5"/>
    <w:rsid w:val="004B0075"/>
    <w:rsid w:val="004B018A"/>
    <w:rsid w:val="004B0599"/>
    <w:rsid w:val="004B07D7"/>
    <w:rsid w:val="004B080B"/>
    <w:rsid w:val="004B1101"/>
    <w:rsid w:val="004B1255"/>
    <w:rsid w:val="004B19F8"/>
    <w:rsid w:val="004B1A0F"/>
    <w:rsid w:val="004B1B0D"/>
    <w:rsid w:val="004B1D4D"/>
    <w:rsid w:val="004B287C"/>
    <w:rsid w:val="004B307F"/>
    <w:rsid w:val="004B3128"/>
    <w:rsid w:val="004B3188"/>
    <w:rsid w:val="004B31E4"/>
    <w:rsid w:val="004B34EA"/>
    <w:rsid w:val="004B35DB"/>
    <w:rsid w:val="004B3746"/>
    <w:rsid w:val="004B3C77"/>
    <w:rsid w:val="004B45F5"/>
    <w:rsid w:val="004B465E"/>
    <w:rsid w:val="004B495A"/>
    <w:rsid w:val="004B4E36"/>
    <w:rsid w:val="004B51C7"/>
    <w:rsid w:val="004B59B6"/>
    <w:rsid w:val="004B5C25"/>
    <w:rsid w:val="004B5CA3"/>
    <w:rsid w:val="004B6315"/>
    <w:rsid w:val="004B634D"/>
    <w:rsid w:val="004B67C9"/>
    <w:rsid w:val="004B6BFB"/>
    <w:rsid w:val="004B71ED"/>
    <w:rsid w:val="004B724F"/>
    <w:rsid w:val="004B734E"/>
    <w:rsid w:val="004B755F"/>
    <w:rsid w:val="004B7A2F"/>
    <w:rsid w:val="004B7D74"/>
    <w:rsid w:val="004C00CD"/>
    <w:rsid w:val="004C06EB"/>
    <w:rsid w:val="004C0716"/>
    <w:rsid w:val="004C0771"/>
    <w:rsid w:val="004C077A"/>
    <w:rsid w:val="004C098E"/>
    <w:rsid w:val="004C0DA1"/>
    <w:rsid w:val="004C0F19"/>
    <w:rsid w:val="004C11F4"/>
    <w:rsid w:val="004C17FC"/>
    <w:rsid w:val="004C1935"/>
    <w:rsid w:val="004C1B5E"/>
    <w:rsid w:val="004C1FCA"/>
    <w:rsid w:val="004C218A"/>
    <w:rsid w:val="004C2886"/>
    <w:rsid w:val="004C2FA0"/>
    <w:rsid w:val="004C3066"/>
    <w:rsid w:val="004C3499"/>
    <w:rsid w:val="004C36C1"/>
    <w:rsid w:val="004C3A98"/>
    <w:rsid w:val="004C3B0B"/>
    <w:rsid w:val="004C3B16"/>
    <w:rsid w:val="004C3D02"/>
    <w:rsid w:val="004C3EEA"/>
    <w:rsid w:val="004C40F3"/>
    <w:rsid w:val="004C45B6"/>
    <w:rsid w:val="004C46E0"/>
    <w:rsid w:val="004C477E"/>
    <w:rsid w:val="004C48A0"/>
    <w:rsid w:val="004C4A46"/>
    <w:rsid w:val="004C4B8E"/>
    <w:rsid w:val="004C555D"/>
    <w:rsid w:val="004C55FB"/>
    <w:rsid w:val="004C59A9"/>
    <w:rsid w:val="004C5ECF"/>
    <w:rsid w:val="004C6015"/>
    <w:rsid w:val="004C6902"/>
    <w:rsid w:val="004C6962"/>
    <w:rsid w:val="004C6A27"/>
    <w:rsid w:val="004C75CE"/>
    <w:rsid w:val="004C7892"/>
    <w:rsid w:val="004D0874"/>
    <w:rsid w:val="004D08C5"/>
    <w:rsid w:val="004D0B01"/>
    <w:rsid w:val="004D0D45"/>
    <w:rsid w:val="004D1040"/>
    <w:rsid w:val="004D1311"/>
    <w:rsid w:val="004D17F5"/>
    <w:rsid w:val="004D1D79"/>
    <w:rsid w:val="004D22E8"/>
    <w:rsid w:val="004D24CB"/>
    <w:rsid w:val="004D26F4"/>
    <w:rsid w:val="004D2748"/>
    <w:rsid w:val="004D2927"/>
    <w:rsid w:val="004D315E"/>
    <w:rsid w:val="004D38F2"/>
    <w:rsid w:val="004D3906"/>
    <w:rsid w:val="004D41F1"/>
    <w:rsid w:val="004D526F"/>
    <w:rsid w:val="004D597A"/>
    <w:rsid w:val="004D59A1"/>
    <w:rsid w:val="004D5ED2"/>
    <w:rsid w:val="004D60EE"/>
    <w:rsid w:val="004D6775"/>
    <w:rsid w:val="004D6C95"/>
    <w:rsid w:val="004D6D20"/>
    <w:rsid w:val="004D6E10"/>
    <w:rsid w:val="004D6E71"/>
    <w:rsid w:val="004D6EA7"/>
    <w:rsid w:val="004D74AF"/>
    <w:rsid w:val="004D7E7F"/>
    <w:rsid w:val="004E06FF"/>
    <w:rsid w:val="004E0A99"/>
    <w:rsid w:val="004E0AE5"/>
    <w:rsid w:val="004E0DDF"/>
    <w:rsid w:val="004E1041"/>
    <w:rsid w:val="004E105D"/>
    <w:rsid w:val="004E1112"/>
    <w:rsid w:val="004E123C"/>
    <w:rsid w:val="004E191E"/>
    <w:rsid w:val="004E1B6E"/>
    <w:rsid w:val="004E2239"/>
    <w:rsid w:val="004E232B"/>
    <w:rsid w:val="004E2896"/>
    <w:rsid w:val="004E2AD0"/>
    <w:rsid w:val="004E2DB8"/>
    <w:rsid w:val="004E3075"/>
    <w:rsid w:val="004E3095"/>
    <w:rsid w:val="004E3C6F"/>
    <w:rsid w:val="004E3D6B"/>
    <w:rsid w:val="004E3DA8"/>
    <w:rsid w:val="004E436D"/>
    <w:rsid w:val="004E44E4"/>
    <w:rsid w:val="004E47AC"/>
    <w:rsid w:val="004E4917"/>
    <w:rsid w:val="004E4AAA"/>
    <w:rsid w:val="004E4B18"/>
    <w:rsid w:val="004E4B97"/>
    <w:rsid w:val="004E4D12"/>
    <w:rsid w:val="004E4E85"/>
    <w:rsid w:val="004E4F5E"/>
    <w:rsid w:val="004E509D"/>
    <w:rsid w:val="004E52E9"/>
    <w:rsid w:val="004E55AF"/>
    <w:rsid w:val="004E55E1"/>
    <w:rsid w:val="004E56A6"/>
    <w:rsid w:val="004E58C1"/>
    <w:rsid w:val="004E5BBF"/>
    <w:rsid w:val="004E5F8B"/>
    <w:rsid w:val="004E6241"/>
    <w:rsid w:val="004E62AD"/>
    <w:rsid w:val="004E62BA"/>
    <w:rsid w:val="004E6458"/>
    <w:rsid w:val="004E6492"/>
    <w:rsid w:val="004E6946"/>
    <w:rsid w:val="004E6AC5"/>
    <w:rsid w:val="004E6E9F"/>
    <w:rsid w:val="004E74E4"/>
    <w:rsid w:val="004E78C5"/>
    <w:rsid w:val="004E793A"/>
    <w:rsid w:val="004E7EB7"/>
    <w:rsid w:val="004F0149"/>
    <w:rsid w:val="004F078A"/>
    <w:rsid w:val="004F0B23"/>
    <w:rsid w:val="004F0E08"/>
    <w:rsid w:val="004F1B51"/>
    <w:rsid w:val="004F1DFD"/>
    <w:rsid w:val="004F1F5B"/>
    <w:rsid w:val="004F1F8E"/>
    <w:rsid w:val="004F2026"/>
    <w:rsid w:val="004F2739"/>
    <w:rsid w:val="004F2B97"/>
    <w:rsid w:val="004F2CB6"/>
    <w:rsid w:val="004F2CB8"/>
    <w:rsid w:val="004F31AF"/>
    <w:rsid w:val="004F3263"/>
    <w:rsid w:val="004F39E5"/>
    <w:rsid w:val="004F3D1A"/>
    <w:rsid w:val="004F3FDE"/>
    <w:rsid w:val="004F41DA"/>
    <w:rsid w:val="004F43FC"/>
    <w:rsid w:val="004F462A"/>
    <w:rsid w:val="004F4CB1"/>
    <w:rsid w:val="004F4F0F"/>
    <w:rsid w:val="004F5737"/>
    <w:rsid w:val="004F579B"/>
    <w:rsid w:val="004F59D6"/>
    <w:rsid w:val="004F5A07"/>
    <w:rsid w:val="004F5A9A"/>
    <w:rsid w:val="004F5B4E"/>
    <w:rsid w:val="004F5F63"/>
    <w:rsid w:val="004F61EE"/>
    <w:rsid w:val="004F6996"/>
    <w:rsid w:val="004F6B1B"/>
    <w:rsid w:val="004F6D6F"/>
    <w:rsid w:val="004F7509"/>
    <w:rsid w:val="004F7D01"/>
    <w:rsid w:val="005000FB"/>
    <w:rsid w:val="0050012A"/>
    <w:rsid w:val="005001F0"/>
    <w:rsid w:val="005009D5"/>
    <w:rsid w:val="00500B1F"/>
    <w:rsid w:val="00500D8B"/>
    <w:rsid w:val="00500F91"/>
    <w:rsid w:val="00500FF5"/>
    <w:rsid w:val="005014D2"/>
    <w:rsid w:val="00501681"/>
    <w:rsid w:val="00501887"/>
    <w:rsid w:val="00501E91"/>
    <w:rsid w:val="00501EFE"/>
    <w:rsid w:val="005021BF"/>
    <w:rsid w:val="00502247"/>
    <w:rsid w:val="005027D5"/>
    <w:rsid w:val="00502860"/>
    <w:rsid w:val="005028AD"/>
    <w:rsid w:val="00502924"/>
    <w:rsid w:val="00502BDE"/>
    <w:rsid w:val="00502C6A"/>
    <w:rsid w:val="00502DF9"/>
    <w:rsid w:val="00503881"/>
    <w:rsid w:val="00503FFB"/>
    <w:rsid w:val="00504421"/>
    <w:rsid w:val="00504749"/>
    <w:rsid w:val="00504975"/>
    <w:rsid w:val="00504C52"/>
    <w:rsid w:val="00504E7F"/>
    <w:rsid w:val="005052E1"/>
    <w:rsid w:val="00505614"/>
    <w:rsid w:val="0050566E"/>
    <w:rsid w:val="005056FA"/>
    <w:rsid w:val="00505B8C"/>
    <w:rsid w:val="00505F60"/>
    <w:rsid w:val="005060E4"/>
    <w:rsid w:val="00506690"/>
    <w:rsid w:val="00506D05"/>
    <w:rsid w:val="00506F10"/>
    <w:rsid w:val="00506F1F"/>
    <w:rsid w:val="0050718D"/>
    <w:rsid w:val="005071B5"/>
    <w:rsid w:val="00507457"/>
    <w:rsid w:val="00507810"/>
    <w:rsid w:val="00507F86"/>
    <w:rsid w:val="0051006E"/>
    <w:rsid w:val="005102EC"/>
    <w:rsid w:val="0051066F"/>
    <w:rsid w:val="0051081F"/>
    <w:rsid w:val="00510B87"/>
    <w:rsid w:val="00510B9B"/>
    <w:rsid w:val="00510DE2"/>
    <w:rsid w:val="00511406"/>
    <w:rsid w:val="005116B2"/>
    <w:rsid w:val="00511ADC"/>
    <w:rsid w:val="00511C08"/>
    <w:rsid w:val="0051222F"/>
    <w:rsid w:val="005122A8"/>
    <w:rsid w:val="0051242C"/>
    <w:rsid w:val="00512D35"/>
    <w:rsid w:val="00513105"/>
    <w:rsid w:val="005138CA"/>
    <w:rsid w:val="00513BAE"/>
    <w:rsid w:val="00513E66"/>
    <w:rsid w:val="005142FB"/>
    <w:rsid w:val="00514415"/>
    <w:rsid w:val="00514738"/>
    <w:rsid w:val="00514D10"/>
    <w:rsid w:val="005154AD"/>
    <w:rsid w:val="00515FCF"/>
    <w:rsid w:val="00516283"/>
    <w:rsid w:val="005163D1"/>
    <w:rsid w:val="005165B7"/>
    <w:rsid w:val="005165C4"/>
    <w:rsid w:val="00516666"/>
    <w:rsid w:val="00516BEF"/>
    <w:rsid w:val="00517264"/>
    <w:rsid w:val="00517567"/>
    <w:rsid w:val="00517802"/>
    <w:rsid w:val="005178F5"/>
    <w:rsid w:val="00517D74"/>
    <w:rsid w:val="00517DA1"/>
    <w:rsid w:val="0052032C"/>
    <w:rsid w:val="005204B8"/>
    <w:rsid w:val="005204F5"/>
    <w:rsid w:val="0052071F"/>
    <w:rsid w:val="0052077F"/>
    <w:rsid w:val="005208BA"/>
    <w:rsid w:val="00520A25"/>
    <w:rsid w:val="00520AB7"/>
    <w:rsid w:val="00520C06"/>
    <w:rsid w:val="00520F3D"/>
    <w:rsid w:val="00521B6F"/>
    <w:rsid w:val="00521BF0"/>
    <w:rsid w:val="00521EC3"/>
    <w:rsid w:val="00522080"/>
    <w:rsid w:val="00522675"/>
    <w:rsid w:val="005226E6"/>
    <w:rsid w:val="00522A4B"/>
    <w:rsid w:val="0052307E"/>
    <w:rsid w:val="00523616"/>
    <w:rsid w:val="0052374A"/>
    <w:rsid w:val="005238EC"/>
    <w:rsid w:val="00523C64"/>
    <w:rsid w:val="005240EF"/>
    <w:rsid w:val="00524CB8"/>
    <w:rsid w:val="00525244"/>
    <w:rsid w:val="00525798"/>
    <w:rsid w:val="00525AE7"/>
    <w:rsid w:val="00525E73"/>
    <w:rsid w:val="00526241"/>
    <w:rsid w:val="00526B3B"/>
    <w:rsid w:val="00526C2F"/>
    <w:rsid w:val="00526EA4"/>
    <w:rsid w:val="0052736C"/>
    <w:rsid w:val="005278CF"/>
    <w:rsid w:val="00527A97"/>
    <w:rsid w:val="00527FC6"/>
    <w:rsid w:val="00527FDC"/>
    <w:rsid w:val="00530048"/>
    <w:rsid w:val="00530D66"/>
    <w:rsid w:val="00531341"/>
    <w:rsid w:val="00531357"/>
    <w:rsid w:val="0053184F"/>
    <w:rsid w:val="00531A18"/>
    <w:rsid w:val="005326C2"/>
    <w:rsid w:val="005327ED"/>
    <w:rsid w:val="00532A8F"/>
    <w:rsid w:val="005331CC"/>
    <w:rsid w:val="00533250"/>
    <w:rsid w:val="0053325C"/>
    <w:rsid w:val="00533381"/>
    <w:rsid w:val="00533451"/>
    <w:rsid w:val="0053354A"/>
    <w:rsid w:val="00533BCC"/>
    <w:rsid w:val="00534742"/>
    <w:rsid w:val="00534750"/>
    <w:rsid w:val="00534B17"/>
    <w:rsid w:val="005356C9"/>
    <w:rsid w:val="00535859"/>
    <w:rsid w:val="00535C3A"/>
    <w:rsid w:val="00535ED0"/>
    <w:rsid w:val="005361E4"/>
    <w:rsid w:val="00536947"/>
    <w:rsid w:val="00536BC2"/>
    <w:rsid w:val="00536BE6"/>
    <w:rsid w:val="005373D8"/>
    <w:rsid w:val="0053755D"/>
    <w:rsid w:val="0053781F"/>
    <w:rsid w:val="005379DB"/>
    <w:rsid w:val="00537A21"/>
    <w:rsid w:val="005401AF"/>
    <w:rsid w:val="005402D0"/>
    <w:rsid w:val="00540339"/>
    <w:rsid w:val="00540430"/>
    <w:rsid w:val="00540671"/>
    <w:rsid w:val="00540798"/>
    <w:rsid w:val="005412A5"/>
    <w:rsid w:val="00541701"/>
    <w:rsid w:val="00541946"/>
    <w:rsid w:val="005419D4"/>
    <w:rsid w:val="00541AA5"/>
    <w:rsid w:val="00541BD0"/>
    <w:rsid w:val="005422AC"/>
    <w:rsid w:val="005425CC"/>
    <w:rsid w:val="005427F6"/>
    <w:rsid w:val="00542B68"/>
    <w:rsid w:val="00543084"/>
    <w:rsid w:val="0054400B"/>
    <w:rsid w:val="0054471F"/>
    <w:rsid w:val="00544735"/>
    <w:rsid w:val="005448E0"/>
    <w:rsid w:val="005450D8"/>
    <w:rsid w:val="005451D5"/>
    <w:rsid w:val="00545212"/>
    <w:rsid w:val="00545E47"/>
    <w:rsid w:val="005463C0"/>
    <w:rsid w:val="0054674F"/>
    <w:rsid w:val="00546DE1"/>
    <w:rsid w:val="00546EA3"/>
    <w:rsid w:val="00547690"/>
    <w:rsid w:val="005476C5"/>
    <w:rsid w:val="00547C28"/>
    <w:rsid w:val="00547E88"/>
    <w:rsid w:val="005507A2"/>
    <w:rsid w:val="0055087E"/>
    <w:rsid w:val="0055088B"/>
    <w:rsid w:val="0055097D"/>
    <w:rsid w:val="005509E8"/>
    <w:rsid w:val="00550BD1"/>
    <w:rsid w:val="00550D1F"/>
    <w:rsid w:val="005510B9"/>
    <w:rsid w:val="00551D22"/>
    <w:rsid w:val="00551E12"/>
    <w:rsid w:val="00552018"/>
    <w:rsid w:val="0055229B"/>
    <w:rsid w:val="00552811"/>
    <w:rsid w:val="00552AAB"/>
    <w:rsid w:val="00552E33"/>
    <w:rsid w:val="00553310"/>
    <w:rsid w:val="0055341C"/>
    <w:rsid w:val="00553521"/>
    <w:rsid w:val="00553A34"/>
    <w:rsid w:val="00553A53"/>
    <w:rsid w:val="00553D98"/>
    <w:rsid w:val="00553E88"/>
    <w:rsid w:val="00553F14"/>
    <w:rsid w:val="005542A6"/>
    <w:rsid w:val="00554E90"/>
    <w:rsid w:val="005554E7"/>
    <w:rsid w:val="0055581D"/>
    <w:rsid w:val="005559ED"/>
    <w:rsid w:val="00555F36"/>
    <w:rsid w:val="0055638F"/>
    <w:rsid w:val="005563B1"/>
    <w:rsid w:val="00556C91"/>
    <w:rsid w:val="00556CF3"/>
    <w:rsid w:val="00557A25"/>
    <w:rsid w:val="0056020F"/>
    <w:rsid w:val="00561414"/>
    <w:rsid w:val="0056165A"/>
    <w:rsid w:val="00561931"/>
    <w:rsid w:val="00562015"/>
    <w:rsid w:val="00562149"/>
    <w:rsid w:val="00563088"/>
    <w:rsid w:val="005636E1"/>
    <w:rsid w:val="00563859"/>
    <w:rsid w:val="00563F15"/>
    <w:rsid w:val="00564480"/>
    <w:rsid w:val="00565427"/>
    <w:rsid w:val="00565C79"/>
    <w:rsid w:val="00565D92"/>
    <w:rsid w:val="00565E0E"/>
    <w:rsid w:val="00566034"/>
    <w:rsid w:val="00566035"/>
    <w:rsid w:val="00566051"/>
    <w:rsid w:val="00566095"/>
    <w:rsid w:val="00566614"/>
    <w:rsid w:val="00566842"/>
    <w:rsid w:val="00566892"/>
    <w:rsid w:val="0056756E"/>
    <w:rsid w:val="00567718"/>
    <w:rsid w:val="00567897"/>
    <w:rsid w:val="00570053"/>
    <w:rsid w:val="00570380"/>
    <w:rsid w:val="005704E0"/>
    <w:rsid w:val="00570C8E"/>
    <w:rsid w:val="00570CC9"/>
    <w:rsid w:val="00571071"/>
    <w:rsid w:val="00571C64"/>
    <w:rsid w:val="00571E02"/>
    <w:rsid w:val="00572729"/>
    <w:rsid w:val="0057294A"/>
    <w:rsid w:val="00572FC8"/>
    <w:rsid w:val="005732CE"/>
    <w:rsid w:val="005732F9"/>
    <w:rsid w:val="00573931"/>
    <w:rsid w:val="00573A2F"/>
    <w:rsid w:val="00573FF2"/>
    <w:rsid w:val="0057428F"/>
    <w:rsid w:val="00574392"/>
    <w:rsid w:val="0057445F"/>
    <w:rsid w:val="00574679"/>
    <w:rsid w:val="00574FA1"/>
    <w:rsid w:val="005757CE"/>
    <w:rsid w:val="005760EA"/>
    <w:rsid w:val="00576176"/>
    <w:rsid w:val="005761C8"/>
    <w:rsid w:val="00576356"/>
    <w:rsid w:val="00576D69"/>
    <w:rsid w:val="00576DC7"/>
    <w:rsid w:val="00576F75"/>
    <w:rsid w:val="00577181"/>
    <w:rsid w:val="005771CC"/>
    <w:rsid w:val="00577267"/>
    <w:rsid w:val="005777D6"/>
    <w:rsid w:val="0057791E"/>
    <w:rsid w:val="00580083"/>
    <w:rsid w:val="005808EB"/>
    <w:rsid w:val="00580BDD"/>
    <w:rsid w:val="00580C23"/>
    <w:rsid w:val="00580D7C"/>
    <w:rsid w:val="00580FE1"/>
    <w:rsid w:val="0058146D"/>
    <w:rsid w:val="00581540"/>
    <w:rsid w:val="00581631"/>
    <w:rsid w:val="00581A7B"/>
    <w:rsid w:val="00582464"/>
    <w:rsid w:val="005824B7"/>
    <w:rsid w:val="00582713"/>
    <w:rsid w:val="005828B4"/>
    <w:rsid w:val="00582D70"/>
    <w:rsid w:val="00582EAB"/>
    <w:rsid w:val="005833F4"/>
    <w:rsid w:val="0058341D"/>
    <w:rsid w:val="00583557"/>
    <w:rsid w:val="005838E2"/>
    <w:rsid w:val="00583970"/>
    <w:rsid w:val="00583AB0"/>
    <w:rsid w:val="005844E5"/>
    <w:rsid w:val="00584D15"/>
    <w:rsid w:val="00584DDA"/>
    <w:rsid w:val="00584E07"/>
    <w:rsid w:val="00584E70"/>
    <w:rsid w:val="00584FFD"/>
    <w:rsid w:val="0058566D"/>
    <w:rsid w:val="00585752"/>
    <w:rsid w:val="00585F2F"/>
    <w:rsid w:val="00585FFD"/>
    <w:rsid w:val="005867EB"/>
    <w:rsid w:val="00586874"/>
    <w:rsid w:val="00586B26"/>
    <w:rsid w:val="00586EAA"/>
    <w:rsid w:val="0058719D"/>
    <w:rsid w:val="005873D2"/>
    <w:rsid w:val="00587B5D"/>
    <w:rsid w:val="00587FB4"/>
    <w:rsid w:val="0059023C"/>
    <w:rsid w:val="0059058A"/>
    <w:rsid w:val="005906F0"/>
    <w:rsid w:val="005916EB"/>
    <w:rsid w:val="00592280"/>
    <w:rsid w:val="00592887"/>
    <w:rsid w:val="00592902"/>
    <w:rsid w:val="00592B64"/>
    <w:rsid w:val="00592BA3"/>
    <w:rsid w:val="00592E4D"/>
    <w:rsid w:val="00592FA7"/>
    <w:rsid w:val="005933C9"/>
    <w:rsid w:val="00593619"/>
    <w:rsid w:val="00593D1E"/>
    <w:rsid w:val="00594749"/>
    <w:rsid w:val="005947D3"/>
    <w:rsid w:val="00594AE1"/>
    <w:rsid w:val="005951FD"/>
    <w:rsid w:val="00595265"/>
    <w:rsid w:val="005954EB"/>
    <w:rsid w:val="00595607"/>
    <w:rsid w:val="005956F3"/>
    <w:rsid w:val="00595EE7"/>
    <w:rsid w:val="0059604D"/>
    <w:rsid w:val="00596199"/>
    <w:rsid w:val="00596709"/>
    <w:rsid w:val="00596C18"/>
    <w:rsid w:val="00596EFF"/>
    <w:rsid w:val="00597270"/>
    <w:rsid w:val="00597620"/>
    <w:rsid w:val="00597622"/>
    <w:rsid w:val="00597C01"/>
    <w:rsid w:val="005A07FA"/>
    <w:rsid w:val="005A08EF"/>
    <w:rsid w:val="005A0E03"/>
    <w:rsid w:val="005A0FE2"/>
    <w:rsid w:val="005A1087"/>
    <w:rsid w:val="005A17A1"/>
    <w:rsid w:val="005A279D"/>
    <w:rsid w:val="005A2812"/>
    <w:rsid w:val="005A282C"/>
    <w:rsid w:val="005A30E1"/>
    <w:rsid w:val="005A31EF"/>
    <w:rsid w:val="005A34D0"/>
    <w:rsid w:val="005A34F6"/>
    <w:rsid w:val="005A36BF"/>
    <w:rsid w:val="005A37E6"/>
    <w:rsid w:val="005A392D"/>
    <w:rsid w:val="005A3F07"/>
    <w:rsid w:val="005A4C73"/>
    <w:rsid w:val="005A5088"/>
    <w:rsid w:val="005A51A2"/>
    <w:rsid w:val="005A5551"/>
    <w:rsid w:val="005A5CA6"/>
    <w:rsid w:val="005A5CD8"/>
    <w:rsid w:val="005A5DC6"/>
    <w:rsid w:val="005A7156"/>
    <w:rsid w:val="005A7188"/>
    <w:rsid w:val="005A76F2"/>
    <w:rsid w:val="005A786F"/>
    <w:rsid w:val="005A7F01"/>
    <w:rsid w:val="005B0301"/>
    <w:rsid w:val="005B0587"/>
    <w:rsid w:val="005B14E6"/>
    <w:rsid w:val="005B1D46"/>
    <w:rsid w:val="005B20B0"/>
    <w:rsid w:val="005B20CD"/>
    <w:rsid w:val="005B2270"/>
    <w:rsid w:val="005B287F"/>
    <w:rsid w:val="005B2F14"/>
    <w:rsid w:val="005B2F1E"/>
    <w:rsid w:val="005B341F"/>
    <w:rsid w:val="005B364B"/>
    <w:rsid w:val="005B3961"/>
    <w:rsid w:val="005B3F35"/>
    <w:rsid w:val="005B404C"/>
    <w:rsid w:val="005B436F"/>
    <w:rsid w:val="005B43F5"/>
    <w:rsid w:val="005B451F"/>
    <w:rsid w:val="005B4681"/>
    <w:rsid w:val="005B4BC6"/>
    <w:rsid w:val="005B4DF0"/>
    <w:rsid w:val="005B4F1D"/>
    <w:rsid w:val="005B5009"/>
    <w:rsid w:val="005B502A"/>
    <w:rsid w:val="005B50FE"/>
    <w:rsid w:val="005B51BA"/>
    <w:rsid w:val="005B5A24"/>
    <w:rsid w:val="005B625A"/>
    <w:rsid w:val="005B660F"/>
    <w:rsid w:val="005B68B1"/>
    <w:rsid w:val="005B71B5"/>
    <w:rsid w:val="005B7E50"/>
    <w:rsid w:val="005C01D2"/>
    <w:rsid w:val="005C076C"/>
    <w:rsid w:val="005C0877"/>
    <w:rsid w:val="005C0951"/>
    <w:rsid w:val="005C0998"/>
    <w:rsid w:val="005C0A28"/>
    <w:rsid w:val="005C0AB9"/>
    <w:rsid w:val="005C0BCE"/>
    <w:rsid w:val="005C0CE1"/>
    <w:rsid w:val="005C0E00"/>
    <w:rsid w:val="005C1320"/>
    <w:rsid w:val="005C19EA"/>
    <w:rsid w:val="005C1B08"/>
    <w:rsid w:val="005C1BAE"/>
    <w:rsid w:val="005C1FA1"/>
    <w:rsid w:val="005C226B"/>
    <w:rsid w:val="005C2388"/>
    <w:rsid w:val="005C2540"/>
    <w:rsid w:val="005C2901"/>
    <w:rsid w:val="005C2FA2"/>
    <w:rsid w:val="005C35E1"/>
    <w:rsid w:val="005C3660"/>
    <w:rsid w:val="005C3A0E"/>
    <w:rsid w:val="005C3B72"/>
    <w:rsid w:val="005C3C9A"/>
    <w:rsid w:val="005C3FB8"/>
    <w:rsid w:val="005C41B7"/>
    <w:rsid w:val="005C438A"/>
    <w:rsid w:val="005C4AFC"/>
    <w:rsid w:val="005C5083"/>
    <w:rsid w:val="005C518F"/>
    <w:rsid w:val="005C52EE"/>
    <w:rsid w:val="005C53B0"/>
    <w:rsid w:val="005C553E"/>
    <w:rsid w:val="005C560E"/>
    <w:rsid w:val="005C5982"/>
    <w:rsid w:val="005C5BC4"/>
    <w:rsid w:val="005C5E74"/>
    <w:rsid w:val="005C5F4E"/>
    <w:rsid w:val="005C5F6F"/>
    <w:rsid w:val="005C641B"/>
    <w:rsid w:val="005C65B9"/>
    <w:rsid w:val="005C668D"/>
    <w:rsid w:val="005C69E5"/>
    <w:rsid w:val="005C6EAD"/>
    <w:rsid w:val="005C7310"/>
    <w:rsid w:val="005C74C3"/>
    <w:rsid w:val="005C781C"/>
    <w:rsid w:val="005D0419"/>
    <w:rsid w:val="005D0B09"/>
    <w:rsid w:val="005D23B6"/>
    <w:rsid w:val="005D2693"/>
    <w:rsid w:val="005D27B8"/>
    <w:rsid w:val="005D2867"/>
    <w:rsid w:val="005D2AB0"/>
    <w:rsid w:val="005D2D15"/>
    <w:rsid w:val="005D2E8E"/>
    <w:rsid w:val="005D3248"/>
    <w:rsid w:val="005D3865"/>
    <w:rsid w:val="005D3C5A"/>
    <w:rsid w:val="005D3D54"/>
    <w:rsid w:val="005D4019"/>
    <w:rsid w:val="005D415B"/>
    <w:rsid w:val="005D472C"/>
    <w:rsid w:val="005D4D77"/>
    <w:rsid w:val="005D5388"/>
    <w:rsid w:val="005D5A16"/>
    <w:rsid w:val="005D61D5"/>
    <w:rsid w:val="005D689B"/>
    <w:rsid w:val="005D6BD4"/>
    <w:rsid w:val="005D7485"/>
    <w:rsid w:val="005D75A0"/>
    <w:rsid w:val="005D7723"/>
    <w:rsid w:val="005D773E"/>
    <w:rsid w:val="005D7826"/>
    <w:rsid w:val="005D7C5D"/>
    <w:rsid w:val="005E0501"/>
    <w:rsid w:val="005E0562"/>
    <w:rsid w:val="005E0ADF"/>
    <w:rsid w:val="005E0B01"/>
    <w:rsid w:val="005E0E9B"/>
    <w:rsid w:val="005E1259"/>
    <w:rsid w:val="005E1698"/>
    <w:rsid w:val="005E196A"/>
    <w:rsid w:val="005E1AE4"/>
    <w:rsid w:val="005E1BF8"/>
    <w:rsid w:val="005E1C49"/>
    <w:rsid w:val="005E1C97"/>
    <w:rsid w:val="005E1EAC"/>
    <w:rsid w:val="005E1FD9"/>
    <w:rsid w:val="005E20E3"/>
    <w:rsid w:val="005E2576"/>
    <w:rsid w:val="005E2757"/>
    <w:rsid w:val="005E29BC"/>
    <w:rsid w:val="005E2F2E"/>
    <w:rsid w:val="005E33EF"/>
    <w:rsid w:val="005E355D"/>
    <w:rsid w:val="005E358C"/>
    <w:rsid w:val="005E3978"/>
    <w:rsid w:val="005E3AC9"/>
    <w:rsid w:val="005E452A"/>
    <w:rsid w:val="005E47F6"/>
    <w:rsid w:val="005E483A"/>
    <w:rsid w:val="005E49CB"/>
    <w:rsid w:val="005E4BB4"/>
    <w:rsid w:val="005E4BF6"/>
    <w:rsid w:val="005E5144"/>
    <w:rsid w:val="005E5159"/>
    <w:rsid w:val="005E5678"/>
    <w:rsid w:val="005E58FF"/>
    <w:rsid w:val="005E5DEF"/>
    <w:rsid w:val="005E5F47"/>
    <w:rsid w:val="005E6865"/>
    <w:rsid w:val="005E6C83"/>
    <w:rsid w:val="005E7023"/>
    <w:rsid w:val="005E7AF1"/>
    <w:rsid w:val="005E7B43"/>
    <w:rsid w:val="005E7F87"/>
    <w:rsid w:val="005F003C"/>
    <w:rsid w:val="005F0425"/>
    <w:rsid w:val="005F0453"/>
    <w:rsid w:val="005F04A8"/>
    <w:rsid w:val="005F04C2"/>
    <w:rsid w:val="005F0982"/>
    <w:rsid w:val="005F0F47"/>
    <w:rsid w:val="005F11E3"/>
    <w:rsid w:val="005F1B03"/>
    <w:rsid w:val="005F1C08"/>
    <w:rsid w:val="005F1D4A"/>
    <w:rsid w:val="005F1EC9"/>
    <w:rsid w:val="005F1EEA"/>
    <w:rsid w:val="005F20CF"/>
    <w:rsid w:val="005F211E"/>
    <w:rsid w:val="005F225F"/>
    <w:rsid w:val="005F2650"/>
    <w:rsid w:val="005F281F"/>
    <w:rsid w:val="005F2BDF"/>
    <w:rsid w:val="005F2F9A"/>
    <w:rsid w:val="005F30F6"/>
    <w:rsid w:val="005F3456"/>
    <w:rsid w:val="005F3988"/>
    <w:rsid w:val="005F39D6"/>
    <w:rsid w:val="005F3F97"/>
    <w:rsid w:val="005F429D"/>
    <w:rsid w:val="005F45DB"/>
    <w:rsid w:val="005F4EB0"/>
    <w:rsid w:val="005F5314"/>
    <w:rsid w:val="005F55B3"/>
    <w:rsid w:val="005F5792"/>
    <w:rsid w:val="005F6128"/>
    <w:rsid w:val="005F6449"/>
    <w:rsid w:val="005F64D1"/>
    <w:rsid w:val="005F6503"/>
    <w:rsid w:val="005F6965"/>
    <w:rsid w:val="005F6996"/>
    <w:rsid w:val="005F6E5A"/>
    <w:rsid w:val="005F7032"/>
    <w:rsid w:val="005F74B2"/>
    <w:rsid w:val="005F79AD"/>
    <w:rsid w:val="005F79CB"/>
    <w:rsid w:val="005F79CC"/>
    <w:rsid w:val="006004B4"/>
    <w:rsid w:val="00600588"/>
    <w:rsid w:val="00600E3A"/>
    <w:rsid w:val="0060197A"/>
    <w:rsid w:val="00601E00"/>
    <w:rsid w:val="00602441"/>
    <w:rsid w:val="00602B85"/>
    <w:rsid w:val="00602F63"/>
    <w:rsid w:val="0060307B"/>
    <w:rsid w:val="00603410"/>
    <w:rsid w:val="00603442"/>
    <w:rsid w:val="00603921"/>
    <w:rsid w:val="00603BB6"/>
    <w:rsid w:val="00603C19"/>
    <w:rsid w:val="00603C40"/>
    <w:rsid w:val="00603D70"/>
    <w:rsid w:val="00604873"/>
    <w:rsid w:val="00604EBE"/>
    <w:rsid w:val="006050CE"/>
    <w:rsid w:val="006050DC"/>
    <w:rsid w:val="0060535F"/>
    <w:rsid w:val="006057DE"/>
    <w:rsid w:val="00606050"/>
    <w:rsid w:val="00606408"/>
    <w:rsid w:val="006066C5"/>
    <w:rsid w:val="00606BC3"/>
    <w:rsid w:val="00607930"/>
    <w:rsid w:val="00607B41"/>
    <w:rsid w:val="00607E11"/>
    <w:rsid w:val="00610054"/>
    <w:rsid w:val="00610074"/>
    <w:rsid w:val="00610494"/>
    <w:rsid w:val="00610AC8"/>
    <w:rsid w:val="00610B33"/>
    <w:rsid w:val="006113C2"/>
    <w:rsid w:val="00611686"/>
    <w:rsid w:val="00611ABC"/>
    <w:rsid w:val="006120E5"/>
    <w:rsid w:val="00612868"/>
    <w:rsid w:val="00612A84"/>
    <w:rsid w:val="0061318F"/>
    <w:rsid w:val="006132C9"/>
    <w:rsid w:val="00613491"/>
    <w:rsid w:val="00613E91"/>
    <w:rsid w:val="00613EC1"/>
    <w:rsid w:val="006143D6"/>
    <w:rsid w:val="006145C4"/>
    <w:rsid w:val="006145C8"/>
    <w:rsid w:val="00614CD9"/>
    <w:rsid w:val="00614D05"/>
    <w:rsid w:val="00615563"/>
    <w:rsid w:val="00615628"/>
    <w:rsid w:val="00615827"/>
    <w:rsid w:val="00616163"/>
    <w:rsid w:val="00616406"/>
    <w:rsid w:val="006167C5"/>
    <w:rsid w:val="0061685D"/>
    <w:rsid w:val="00616A88"/>
    <w:rsid w:val="00616A94"/>
    <w:rsid w:val="00616DAF"/>
    <w:rsid w:val="00616F81"/>
    <w:rsid w:val="0061749A"/>
    <w:rsid w:val="00617B55"/>
    <w:rsid w:val="00617BA7"/>
    <w:rsid w:val="00617C1F"/>
    <w:rsid w:val="00617C59"/>
    <w:rsid w:val="00617E4F"/>
    <w:rsid w:val="0062042F"/>
    <w:rsid w:val="0062183A"/>
    <w:rsid w:val="00621A3C"/>
    <w:rsid w:val="00621C0A"/>
    <w:rsid w:val="00621E1B"/>
    <w:rsid w:val="0062212F"/>
    <w:rsid w:val="006226BF"/>
    <w:rsid w:val="0062282F"/>
    <w:rsid w:val="00622A42"/>
    <w:rsid w:val="00622AAA"/>
    <w:rsid w:val="00622C9E"/>
    <w:rsid w:val="00622CA5"/>
    <w:rsid w:val="00622CE7"/>
    <w:rsid w:val="00622ED4"/>
    <w:rsid w:val="00622F3C"/>
    <w:rsid w:val="00623109"/>
    <w:rsid w:val="0062314A"/>
    <w:rsid w:val="006235BD"/>
    <w:rsid w:val="006239A0"/>
    <w:rsid w:val="00623A64"/>
    <w:rsid w:val="00623B91"/>
    <w:rsid w:val="00623DCF"/>
    <w:rsid w:val="006240C1"/>
    <w:rsid w:val="00624125"/>
    <w:rsid w:val="006243DF"/>
    <w:rsid w:val="00624770"/>
    <w:rsid w:val="00624DFD"/>
    <w:rsid w:val="006258D8"/>
    <w:rsid w:val="00625EED"/>
    <w:rsid w:val="0062610F"/>
    <w:rsid w:val="00626256"/>
    <w:rsid w:val="006266D8"/>
    <w:rsid w:val="00627334"/>
    <w:rsid w:val="00627516"/>
    <w:rsid w:val="006276AB"/>
    <w:rsid w:val="0062785B"/>
    <w:rsid w:val="00627932"/>
    <w:rsid w:val="00627A2C"/>
    <w:rsid w:val="00627B67"/>
    <w:rsid w:val="00627C23"/>
    <w:rsid w:val="0063004C"/>
    <w:rsid w:val="0063097C"/>
    <w:rsid w:val="00630C59"/>
    <w:rsid w:val="00630CB9"/>
    <w:rsid w:val="00631B46"/>
    <w:rsid w:val="00631EEC"/>
    <w:rsid w:val="00632855"/>
    <w:rsid w:val="00632A44"/>
    <w:rsid w:val="00632B3C"/>
    <w:rsid w:val="00633569"/>
    <w:rsid w:val="006335BE"/>
    <w:rsid w:val="006336F4"/>
    <w:rsid w:val="006338CA"/>
    <w:rsid w:val="0063392B"/>
    <w:rsid w:val="006341E9"/>
    <w:rsid w:val="006343B0"/>
    <w:rsid w:val="00634FD7"/>
    <w:rsid w:val="006350C3"/>
    <w:rsid w:val="00635408"/>
    <w:rsid w:val="0063541B"/>
    <w:rsid w:val="00635856"/>
    <w:rsid w:val="006359AE"/>
    <w:rsid w:val="006360C6"/>
    <w:rsid w:val="006367E9"/>
    <w:rsid w:val="00637450"/>
    <w:rsid w:val="00637961"/>
    <w:rsid w:val="006400C8"/>
    <w:rsid w:val="006402EA"/>
    <w:rsid w:val="006404C1"/>
    <w:rsid w:val="00640807"/>
    <w:rsid w:val="00640BC9"/>
    <w:rsid w:val="00641198"/>
    <w:rsid w:val="006412FD"/>
    <w:rsid w:val="00641A78"/>
    <w:rsid w:val="00641AF5"/>
    <w:rsid w:val="00641C1F"/>
    <w:rsid w:val="00642133"/>
    <w:rsid w:val="00642301"/>
    <w:rsid w:val="0064270A"/>
    <w:rsid w:val="00642819"/>
    <w:rsid w:val="00642C1D"/>
    <w:rsid w:val="00642CF5"/>
    <w:rsid w:val="00642E5F"/>
    <w:rsid w:val="00643049"/>
    <w:rsid w:val="0064338D"/>
    <w:rsid w:val="00643473"/>
    <w:rsid w:val="00643524"/>
    <w:rsid w:val="0064360F"/>
    <w:rsid w:val="0064362C"/>
    <w:rsid w:val="00643E13"/>
    <w:rsid w:val="00643F44"/>
    <w:rsid w:val="00644481"/>
    <w:rsid w:val="006446F1"/>
    <w:rsid w:val="00644CB7"/>
    <w:rsid w:val="00644D95"/>
    <w:rsid w:val="00644DDF"/>
    <w:rsid w:val="00644E93"/>
    <w:rsid w:val="00644EB0"/>
    <w:rsid w:val="00644EDC"/>
    <w:rsid w:val="00645500"/>
    <w:rsid w:val="006460EA"/>
    <w:rsid w:val="00646275"/>
    <w:rsid w:val="006464CA"/>
    <w:rsid w:val="006466AD"/>
    <w:rsid w:val="00646A72"/>
    <w:rsid w:val="00646A87"/>
    <w:rsid w:val="00646E32"/>
    <w:rsid w:val="00647345"/>
    <w:rsid w:val="00647703"/>
    <w:rsid w:val="00647AB8"/>
    <w:rsid w:val="00647EAA"/>
    <w:rsid w:val="0065007B"/>
    <w:rsid w:val="006509DB"/>
    <w:rsid w:val="00650BBC"/>
    <w:rsid w:val="006512CD"/>
    <w:rsid w:val="00651BAE"/>
    <w:rsid w:val="00651F37"/>
    <w:rsid w:val="00652218"/>
    <w:rsid w:val="006522C8"/>
    <w:rsid w:val="00652427"/>
    <w:rsid w:val="006527A3"/>
    <w:rsid w:val="0065290F"/>
    <w:rsid w:val="00652C02"/>
    <w:rsid w:val="00652DA4"/>
    <w:rsid w:val="00652DC7"/>
    <w:rsid w:val="006530ED"/>
    <w:rsid w:val="0065325E"/>
    <w:rsid w:val="006539E3"/>
    <w:rsid w:val="00653ACE"/>
    <w:rsid w:val="00653B3B"/>
    <w:rsid w:val="00653B77"/>
    <w:rsid w:val="00653BB0"/>
    <w:rsid w:val="00653F5D"/>
    <w:rsid w:val="00654007"/>
    <w:rsid w:val="00654112"/>
    <w:rsid w:val="00654200"/>
    <w:rsid w:val="00654589"/>
    <w:rsid w:val="0065477F"/>
    <w:rsid w:val="00654932"/>
    <w:rsid w:val="00654A1E"/>
    <w:rsid w:val="00654C5B"/>
    <w:rsid w:val="00654F00"/>
    <w:rsid w:val="00654FCC"/>
    <w:rsid w:val="006553AB"/>
    <w:rsid w:val="006553E2"/>
    <w:rsid w:val="006555C8"/>
    <w:rsid w:val="006556B5"/>
    <w:rsid w:val="006561CC"/>
    <w:rsid w:val="00656226"/>
    <w:rsid w:val="0065676E"/>
    <w:rsid w:val="00656D4E"/>
    <w:rsid w:val="00656E29"/>
    <w:rsid w:val="00657350"/>
    <w:rsid w:val="0065754B"/>
    <w:rsid w:val="00657924"/>
    <w:rsid w:val="00657FB2"/>
    <w:rsid w:val="00657FF1"/>
    <w:rsid w:val="006602BB"/>
    <w:rsid w:val="0066051A"/>
    <w:rsid w:val="0066074C"/>
    <w:rsid w:val="00660B42"/>
    <w:rsid w:val="00660D6A"/>
    <w:rsid w:val="00660E17"/>
    <w:rsid w:val="00661243"/>
    <w:rsid w:val="006612D8"/>
    <w:rsid w:val="00661FF4"/>
    <w:rsid w:val="00662015"/>
    <w:rsid w:val="00662377"/>
    <w:rsid w:val="00662C1C"/>
    <w:rsid w:val="00663095"/>
    <w:rsid w:val="006632BA"/>
    <w:rsid w:val="00663344"/>
    <w:rsid w:val="0066377F"/>
    <w:rsid w:val="006639BF"/>
    <w:rsid w:val="00664643"/>
    <w:rsid w:val="00664862"/>
    <w:rsid w:val="00664F3A"/>
    <w:rsid w:val="0066561A"/>
    <w:rsid w:val="00665E9F"/>
    <w:rsid w:val="00665EB6"/>
    <w:rsid w:val="0066601D"/>
    <w:rsid w:val="0066640A"/>
    <w:rsid w:val="00666B3B"/>
    <w:rsid w:val="0066704A"/>
    <w:rsid w:val="00667366"/>
    <w:rsid w:val="0066754B"/>
    <w:rsid w:val="006675EF"/>
    <w:rsid w:val="0067017C"/>
    <w:rsid w:val="00670555"/>
    <w:rsid w:val="00670644"/>
    <w:rsid w:val="0067064D"/>
    <w:rsid w:val="00670976"/>
    <w:rsid w:val="00670B48"/>
    <w:rsid w:val="00670B84"/>
    <w:rsid w:val="00670E70"/>
    <w:rsid w:val="00671042"/>
    <w:rsid w:val="006710A8"/>
    <w:rsid w:val="006711E2"/>
    <w:rsid w:val="00671945"/>
    <w:rsid w:val="006729CE"/>
    <w:rsid w:val="00672B5F"/>
    <w:rsid w:val="00672F3B"/>
    <w:rsid w:val="00672F95"/>
    <w:rsid w:val="006733C7"/>
    <w:rsid w:val="006736A3"/>
    <w:rsid w:val="00673B7C"/>
    <w:rsid w:val="00673D46"/>
    <w:rsid w:val="00673DA2"/>
    <w:rsid w:val="00673FDA"/>
    <w:rsid w:val="00674209"/>
    <w:rsid w:val="006742C5"/>
    <w:rsid w:val="006746B1"/>
    <w:rsid w:val="006749DC"/>
    <w:rsid w:val="00674B34"/>
    <w:rsid w:val="00674EB5"/>
    <w:rsid w:val="0067558D"/>
    <w:rsid w:val="00675C79"/>
    <w:rsid w:val="00675EDD"/>
    <w:rsid w:val="006766D8"/>
    <w:rsid w:val="006767B9"/>
    <w:rsid w:val="006769BF"/>
    <w:rsid w:val="00676A38"/>
    <w:rsid w:val="00676BCD"/>
    <w:rsid w:val="00676D15"/>
    <w:rsid w:val="00677125"/>
    <w:rsid w:val="0067736E"/>
    <w:rsid w:val="00677CEC"/>
    <w:rsid w:val="0068006F"/>
    <w:rsid w:val="006801EB"/>
    <w:rsid w:val="0068037F"/>
    <w:rsid w:val="006804F4"/>
    <w:rsid w:val="00680732"/>
    <w:rsid w:val="006808F6"/>
    <w:rsid w:val="00680A50"/>
    <w:rsid w:val="00680B33"/>
    <w:rsid w:val="00680D9B"/>
    <w:rsid w:val="00681054"/>
    <w:rsid w:val="006813D9"/>
    <w:rsid w:val="006815D2"/>
    <w:rsid w:val="00681D9F"/>
    <w:rsid w:val="00681DED"/>
    <w:rsid w:val="00682296"/>
    <w:rsid w:val="006827B8"/>
    <w:rsid w:val="00682964"/>
    <w:rsid w:val="00683251"/>
    <w:rsid w:val="00683BCE"/>
    <w:rsid w:val="00683D23"/>
    <w:rsid w:val="00683E19"/>
    <w:rsid w:val="00683F1A"/>
    <w:rsid w:val="006844B1"/>
    <w:rsid w:val="00684C96"/>
    <w:rsid w:val="00685184"/>
    <w:rsid w:val="00685298"/>
    <w:rsid w:val="00686129"/>
    <w:rsid w:val="00686AFB"/>
    <w:rsid w:val="00686B04"/>
    <w:rsid w:val="00686BC8"/>
    <w:rsid w:val="00686C6E"/>
    <w:rsid w:val="00686DE9"/>
    <w:rsid w:val="00687008"/>
    <w:rsid w:val="00687ACB"/>
    <w:rsid w:val="006903F1"/>
    <w:rsid w:val="00690469"/>
    <w:rsid w:val="00690835"/>
    <w:rsid w:val="006908C1"/>
    <w:rsid w:val="00690C11"/>
    <w:rsid w:val="00690CED"/>
    <w:rsid w:val="00690E6E"/>
    <w:rsid w:val="006916B0"/>
    <w:rsid w:val="00691A03"/>
    <w:rsid w:val="00691CDD"/>
    <w:rsid w:val="00691FA4"/>
    <w:rsid w:val="006923D5"/>
    <w:rsid w:val="0069271D"/>
    <w:rsid w:val="00692869"/>
    <w:rsid w:val="006929F5"/>
    <w:rsid w:val="00692A06"/>
    <w:rsid w:val="00693A89"/>
    <w:rsid w:val="00693D97"/>
    <w:rsid w:val="00693EC8"/>
    <w:rsid w:val="00693FA7"/>
    <w:rsid w:val="00693FC3"/>
    <w:rsid w:val="00694221"/>
    <w:rsid w:val="006942AF"/>
    <w:rsid w:val="00694C84"/>
    <w:rsid w:val="00695214"/>
    <w:rsid w:val="0069523D"/>
    <w:rsid w:val="00695454"/>
    <w:rsid w:val="00695B08"/>
    <w:rsid w:val="00696103"/>
    <w:rsid w:val="00696317"/>
    <w:rsid w:val="0069670F"/>
    <w:rsid w:val="00696B64"/>
    <w:rsid w:val="00696CB6"/>
    <w:rsid w:val="006975B3"/>
    <w:rsid w:val="0069763A"/>
    <w:rsid w:val="00697A98"/>
    <w:rsid w:val="00697C46"/>
    <w:rsid w:val="006A010C"/>
    <w:rsid w:val="006A0205"/>
    <w:rsid w:val="006A0343"/>
    <w:rsid w:val="006A052A"/>
    <w:rsid w:val="006A09AD"/>
    <w:rsid w:val="006A0B1B"/>
    <w:rsid w:val="006A1223"/>
    <w:rsid w:val="006A1EDB"/>
    <w:rsid w:val="006A1F31"/>
    <w:rsid w:val="006A276F"/>
    <w:rsid w:val="006A2A92"/>
    <w:rsid w:val="006A2AEF"/>
    <w:rsid w:val="006A2FD0"/>
    <w:rsid w:val="006A3061"/>
    <w:rsid w:val="006A3301"/>
    <w:rsid w:val="006A352A"/>
    <w:rsid w:val="006A36C1"/>
    <w:rsid w:val="006A39A0"/>
    <w:rsid w:val="006A3D24"/>
    <w:rsid w:val="006A3FEE"/>
    <w:rsid w:val="006A465A"/>
    <w:rsid w:val="006A467A"/>
    <w:rsid w:val="006A4DF3"/>
    <w:rsid w:val="006A4E33"/>
    <w:rsid w:val="006A4ED0"/>
    <w:rsid w:val="006A5012"/>
    <w:rsid w:val="006A5AAC"/>
    <w:rsid w:val="006A5D06"/>
    <w:rsid w:val="006A64F4"/>
    <w:rsid w:val="006A655A"/>
    <w:rsid w:val="006A69DD"/>
    <w:rsid w:val="006A73AB"/>
    <w:rsid w:val="006A7728"/>
    <w:rsid w:val="006A7B1E"/>
    <w:rsid w:val="006A7B3A"/>
    <w:rsid w:val="006A7BD5"/>
    <w:rsid w:val="006A7DDB"/>
    <w:rsid w:val="006A7ED8"/>
    <w:rsid w:val="006B00C8"/>
    <w:rsid w:val="006B026A"/>
    <w:rsid w:val="006B04C0"/>
    <w:rsid w:val="006B077A"/>
    <w:rsid w:val="006B0BAB"/>
    <w:rsid w:val="006B0F1A"/>
    <w:rsid w:val="006B0FB5"/>
    <w:rsid w:val="006B1746"/>
    <w:rsid w:val="006B1E8F"/>
    <w:rsid w:val="006B21BF"/>
    <w:rsid w:val="006B23E1"/>
    <w:rsid w:val="006B2A41"/>
    <w:rsid w:val="006B302D"/>
    <w:rsid w:val="006B305D"/>
    <w:rsid w:val="006B3152"/>
    <w:rsid w:val="006B3686"/>
    <w:rsid w:val="006B37AB"/>
    <w:rsid w:val="006B3834"/>
    <w:rsid w:val="006B444A"/>
    <w:rsid w:val="006B486F"/>
    <w:rsid w:val="006B4FE9"/>
    <w:rsid w:val="006B5033"/>
    <w:rsid w:val="006B50A1"/>
    <w:rsid w:val="006B53FC"/>
    <w:rsid w:val="006B5CCD"/>
    <w:rsid w:val="006B6A5F"/>
    <w:rsid w:val="006B6D0C"/>
    <w:rsid w:val="006B719A"/>
    <w:rsid w:val="006B74AB"/>
    <w:rsid w:val="006B7CFD"/>
    <w:rsid w:val="006B7D60"/>
    <w:rsid w:val="006B7D6D"/>
    <w:rsid w:val="006C012F"/>
    <w:rsid w:val="006C04EE"/>
    <w:rsid w:val="006C0828"/>
    <w:rsid w:val="006C0E19"/>
    <w:rsid w:val="006C125F"/>
    <w:rsid w:val="006C1897"/>
    <w:rsid w:val="006C1A2A"/>
    <w:rsid w:val="006C1FA0"/>
    <w:rsid w:val="006C1FA6"/>
    <w:rsid w:val="006C2232"/>
    <w:rsid w:val="006C2992"/>
    <w:rsid w:val="006C3ECD"/>
    <w:rsid w:val="006C47A0"/>
    <w:rsid w:val="006C5100"/>
    <w:rsid w:val="006C5215"/>
    <w:rsid w:val="006C5223"/>
    <w:rsid w:val="006C5467"/>
    <w:rsid w:val="006C5AC7"/>
    <w:rsid w:val="006C5D13"/>
    <w:rsid w:val="006C65CE"/>
    <w:rsid w:val="006C6AAE"/>
    <w:rsid w:val="006C6C95"/>
    <w:rsid w:val="006C70C5"/>
    <w:rsid w:val="006C70D4"/>
    <w:rsid w:val="006C71F6"/>
    <w:rsid w:val="006C75B2"/>
    <w:rsid w:val="006C7CCC"/>
    <w:rsid w:val="006D01B6"/>
    <w:rsid w:val="006D048C"/>
    <w:rsid w:val="006D07C1"/>
    <w:rsid w:val="006D0CD6"/>
    <w:rsid w:val="006D19DE"/>
    <w:rsid w:val="006D1B03"/>
    <w:rsid w:val="006D1DBF"/>
    <w:rsid w:val="006D1E06"/>
    <w:rsid w:val="006D2228"/>
    <w:rsid w:val="006D246D"/>
    <w:rsid w:val="006D387B"/>
    <w:rsid w:val="006D3B23"/>
    <w:rsid w:val="006D3B8A"/>
    <w:rsid w:val="006D3F15"/>
    <w:rsid w:val="006D450B"/>
    <w:rsid w:val="006D4642"/>
    <w:rsid w:val="006D49E5"/>
    <w:rsid w:val="006D4CD2"/>
    <w:rsid w:val="006D4E33"/>
    <w:rsid w:val="006D4E79"/>
    <w:rsid w:val="006D52F9"/>
    <w:rsid w:val="006D541E"/>
    <w:rsid w:val="006D5649"/>
    <w:rsid w:val="006D5CCF"/>
    <w:rsid w:val="006D5EB1"/>
    <w:rsid w:val="006D5F5E"/>
    <w:rsid w:val="006D60B4"/>
    <w:rsid w:val="006D619A"/>
    <w:rsid w:val="006D61E0"/>
    <w:rsid w:val="006D6284"/>
    <w:rsid w:val="006D6583"/>
    <w:rsid w:val="006D674C"/>
    <w:rsid w:val="006D6887"/>
    <w:rsid w:val="006D6B17"/>
    <w:rsid w:val="006D6EA6"/>
    <w:rsid w:val="006D77D6"/>
    <w:rsid w:val="006D7AFE"/>
    <w:rsid w:val="006E0318"/>
    <w:rsid w:val="006E04E6"/>
    <w:rsid w:val="006E0725"/>
    <w:rsid w:val="006E08AB"/>
    <w:rsid w:val="006E11D1"/>
    <w:rsid w:val="006E1439"/>
    <w:rsid w:val="006E2016"/>
    <w:rsid w:val="006E2361"/>
    <w:rsid w:val="006E24CB"/>
    <w:rsid w:val="006E29EA"/>
    <w:rsid w:val="006E2C22"/>
    <w:rsid w:val="006E3187"/>
    <w:rsid w:val="006E362A"/>
    <w:rsid w:val="006E3ADB"/>
    <w:rsid w:val="006E3C19"/>
    <w:rsid w:val="006E3FA4"/>
    <w:rsid w:val="006E4305"/>
    <w:rsid w:val="006E46C1"/>
    <w:rsid w:val="006E49FA"/>
    <w:rsid w:val="006E4A04"/>
    <w:rsid w:val="006E4A67"/>
    <w:rsid w:val="006E5021"/>
    <w:rsid w:val="006E5369"/>
    <w:rsid w:val="006E57F7"/>
    <w:rsid w:val="006E5961"/>
    <w:rsid w:val="006E5AF9"/>
    <w:rsid w:val="006E5C73"/>
    <w:rsid w:val="006E6249"/>
    <w:rsid w:val="006E63D3"/>
    <w:rsid w:val="006E653A"/>
    <w:rsid w:val="006E6C30"/>
    <w:rsid w:val="006E6DD3"/>
    <w:rsid w:val="006E6F7E"/>
    <w:rsid w:val="006E7011"/>
    <w:rsid w:val="006E7551"/>
    <w:rsid w:val="006E75C5"/>
    <w:rsid w:val="006E7700"/>
    <w:rsid w:val="006E775B"/>
    <w:rsid w:val="006E782D"/>
    <w:rsid w:val="006E7ACA"/>
    <w:rsid w:val="006E7F95"/>
    <w:rsid w:val="006F009C"/>
    <w:rsid w:val="006F02D0"/>
    <w:rsid w:val="006F0373"/>
    <w:rsid w:val="006F06B5"/>
    <w:rsid w:val="006F0713"/>
    <w:rsid w:val="006F0979"/>
    <w:rsid w:val="006F0AAB"/>
    <w:rsid w:val="006F17A5"/>
    <w:rsid w:val="006F1EFD"/>
    <w:rsid w:val="006F1F8D"/>
    <w:rsid w:val="006F1FE7"/>
    <w:rsid w:val="006F213E"/>
    <w:rsid w:val="006F24C4"/>
    <w:rsid w:val="006F30E7"/>
    <w:rsid w:val="006F3409"/>
    <w:rsid w:val="006F3978"/>
    <w:rsid w:val="006F39B4"/>
    <w:rsid w:val="006F39D8"/>
    <w:rsid w:val="006F3B3F"/>
    <w:rsid w:val="006F3B70"/>
    <w:rsid w:val="006F4238"/>
    <w:rsid w:val="006F488C"/>
    <w:rsid w:val="006F494E"/>
    <w:rsid w:val="006F4A69"/>
    <w:rsid w:val="006F4B49"/>
    <w:rsid w:val="006F4C86"/>
    <w:rsid w:val="006F5042"/>
    <w:rsid w:val="006F50B3"/>
    <w:rsid w:val="006F5247"/>
    <w:rsid w:val="006F5314"/>
    <w:rsid w:val="006F5FAE"/>
    <w:rsid w:val="006F604B"/>
    <w:rsid w:val="006F6291"/>
    <w:rsid w:val="006F65E1"/>
    <w:rsid w:val="006F66C9"/>
    <w:rsid w:val="006F68E6"/>
    <w:rsid w:val="006F68FC"/>
    <w:rsid w:val="006F71B1"/>
    <w:rsid w:val="006F7217"/>
    <w:rsid w:val="006F7219"/>
    <w:rsid w:val="006F74E0"/>
    <w:rsid w:val="006F7E96"/>
    <w:rsid w:val="0070006F"/>
    <w:rsid w:val="007006D9"/>
    <w:rsid w:val="00700A08"/>
    <w:rsid w:val="00700A38"/>
    <w:rsid w:val="00701250"/>
    <w:rsid w:val="007015C0"/>
    <w:rsid w:val="00701BE5"/>
    <w:rsid w:val="00702449"/>
    <w:rsid w:val="00702454"/>
    <w:rsid w:val="00703013"/>
    <w:rsid w:val="00703400"/>
    <w:rsid w:val="00703B20"/>
    <w:rsid w:val="00703D42"/>
    <w:rsid w:val="00703E3B"/>
    <w:rsid w:val="00704125"/>
    <w:rsid w:val="007044F5"/>
    <w:rsid w:val="00704A4E"/>
    <w:rsid w:val="00704B4D"/>
    <w:rsid w:val="00704BB5"/>
    <w:rsid w:val="007052C9"/>
    <w:rsid w:val="00705485"/>
    <w:rsid w:val="0070590F"/>
    <w:rsid w:val="00706050"/>
    <w:rsid w:val="0070624F"/>
    <w:rsid w:val="00706606"/>
    <w:rsid w:val="00706649"/>
    <w:rsid w:val="007069A1"/>
    <w:rsid w:val="007069AA"/>
    <w:rsid w:val="00706A05"/>
    <w:rsid w:val="00706DF6"/>
    <w:rsid w:val="007073F3"/>
    <w:rsid w:val="0070757F"/>
    <w:rsid w:val="00710007"/>
    <w:rsid w:val="007100EE"/>
    <w:rsid w:val="00710C3A"/>
    <w:rsid w:val="00711252"/>
    <w:rsid w:val="00711AD6"/>
    <w:rsid w:val="00711C3F"/>
    <w:rsid w:val="00711C85"/>
    <w:rsid w:val="007121FD"/>
    <w:rsid w:val="00712AEB"/>
    <w:rsid w:val="00712B1E"/>
    <w:rsid w:val="00712E3B"/>
    <w:rsid w:val="00713229"/>
    <w:rsid w:val="007132DE"/>
    <w:rsid w:val="00713355"/>
    <w:rsid w:val="00713851"/>
    <w:rsid w:val="00714551"/>
    <w:rsid w:val="00714843"/>
    <w:rsid w:val="00714C00"/>
    <w:rsid w:val="00714EDA"/>
    <w:rsid w:val="007153A3"/>
    <w:rsid w:val="007156A3"/>
    <w:rsid w:val="00715C04"/>
    <w:rsid w:val="00715ED2"/>
    <w:rsid w:val="007161A2"/>
    <w:rsid w:val="00716375"/>
    <w:rsid w:val="007165BC"/>
    <w:rsid w:val="00716AA3"/>
    <w:rsid w:val="00716B27"/>
    <w:rsid w:val="007173DF"/>
    <w:rsid w:val="007177F7"/>
    <w:rsid w:val="0071782A"/>
    <w:rsid w:val="00717A55"/>
    <w:rsid w:val="00717BA8"/>
    <w:rsid w:val="00720003"/>
    <w:rsid w:val="00720405"/>
    <w:rsid w:val="00720622"/>
    <w:rsid w:val="00720685"/>
    <w:rsid w:val="00720952"/>
    <w:rsid w:val="00720A9E"/>
    <w:rsid w:val="00721322"/>
    <w:rsid w:val="0072134A"/>
    <w:rsid w:val="00721540"/>
    <w:rsid w:val="00721840"/>
    <w:rsid w:val="00721ED2"/>
    <w:rsid w:val="00722208"/>
    <w:rsid w:val="007222CC"/>
    <w:rsid w:val="00722961"/>
    <w:rsid w:val="00722FE8"/>
    <w:rsid w:val="00723198"/>
    <w:rsid w:val="0072320E"/>
    <w:rsid w:val="00723467"/>
    <w:rsid w:val="00723680"/>
    <w:rsid w:val="007238D7"/>
    <w:rsid w:val="00723C3D"/>
    <w:rsid w:val="00723DEC"/>
    <w:rsid w:val="007242B9"/>
    <w:rsid w:val="00724672"/>
    <w:rsid w:val="00724937"/>
    <w:rsid w:val="00724DC0"/>
    <w:rsid w:val="00725332"/>
    <w:rsid w:val="00725B58"/>
    <w:rsid w:val="00725CBE"/>
    <w:rsid w:val="00725F78"/>
    <w:rsid w:val="00726242"/>
    <w:rsid w:val="00726383"/>
    <w:rsid w:val="007265E4"/>
    <w:rsid w:val="0072685A"/>
    <w:rsid w:val="007269E6"/>
    <w:rsid w:val="00726B10"/>
    <w:rsid w:val="007274BA"/>
    <w:rsid w:val="007278A7"/>
    <w:rsid w:val="007301C4"/>
    <w:rsid w:val="00730224"/>
    <w:rsid w:val="0073027B"/>
    <w:rsid w:val="007302CD"/>
    <w:rsid w:val="00730347"/>
    <w:rsid w:val="0073040F"/>
    <w:rsid w:val="00730420"/>
    <w:rsid w:val="00730BEF"/>
    <w:rsid w:val="00730CA8"/>
    <w:rsid w:val="00730D43"/>
    <w:rsid w:val="00731E1B"/>
    <w:rsid w:val="00731EDE"/>
    <w:rsid w:val="0073215D"/>
    <w:rsid w:val="007323DE"/>
    <w:rsid w:val="00732669"/>
    <w:rsid w:val="00732BCA"/>
    <w:rsid w:val="00732D89"/>
    <w:rsid w:val="00732E1C"/>
    <w:rsid w:val="00732EB8"/>
    <w:rsid w:val="00733189"/>
    <w:rsid w:val="0073330B"/>
    <w:rsid w:val="007333D2"/>
    <w:rsid w:val="007336A8"/>
    <w:rsid w:val="007339B0"/>
    <w:rsid w:val="00733B98"/>
    <w:rsid w:val="00733C5A"/>
    <w:rsid w:val="00733D4B"/>
    <w:rsid w:val="00733F8F"/>
    <w:rsid w:val="00734014"/>
    <w:rsid w:val="0073431C"/>
    <w:rsid w:val="007344F6"/>
    <w:rsid w:val="007346B5"/>
    <w:rsid w:val="007347A5"/>
    <w:rsid w:val="00734A9A"/>
    <w:rsid w:val="00734AC3"/>
    <w:rsid w:val="00734D71"/>
    <w:rsid w:val="007357CB"/>
    <w:rsid w:val="00735B0A"/>
    <w:rsid w:val="00735BA1"/>
    <w:rsid w:val="0073601E"/>
    <w:rsid w:val="00736321"/>
    <w:rsid w:val="00736B2D"/>
    <w:rsid w:val="00736BA1"/>
    <w:rsid w:val="00737019"/>
    <w:rsid w:val="00737145"/>
    <w:rsid w:val="00737481"/>
    <w:rsid w:val="00737BCF"/>
    <w:rsid w:val="007401A4"/>
    <w:rsid w:val="00740302"/>
    <w:rsid w:val="0074031F"/>
    <w:rsid w:val="007408DF"/>
    <w:rsid w:val="007409A9"/>
    <w:rsid w:val="00740DEB"/>
    <w:rsid w:val="00741931"/>
    <w:rsid w:val="00741D8B"/>
    <w:rsid w:val="00741DAE"/>
    <w:rsid w:val="00742A8D"/>
    <w:rsid w:val="00742DBF"/>
    <w:rsid w:val="00742ECB"/>
    <w:rsid w:val="00742FBF"/>
    <w:rsid w:val="007431E9"/>
    <w:rsid w:val="00743354"/>
    <w:rsid w:val="007433B7"/>
    <w:rsid w:val="00743468"/>
    <w:rsid w:val="007435DF"/>
    <w:rsid w:val="007439E0"/>
    <w:rsid w:val="00743A96"/>
    <w:rsid w:val="00743B4A"/>
    <w:rsid w:val="0074498E"/>
    <w:rsid w:val="00744F1B"/>
    <w:rsid w:val="007451F6"/>
    <w:rsid w:val="00745B2E"/>
    <w:rsid w:val="0074637E"/>
    <w:rsid w:val="0074701E"/>
    <w:rsid w:val="00747C1D"/>
    <w:rsid w:val="00747C89"/>
    <w:rsid w:val="00747D00"/>
    <w:rsid w:val="00747F56"/>
    <w:rsid w:val="00750202"/>
    <w:rsid w:val="0075020F"/>
    <w:rsid w:val="00750499"/>
    <w:rsid w:val="0075049B"/>
    <w:rsid w:val="00750585"/>
    <w:rsid w:val="00750644"/>
    <w:rsid w:val="007506AB"/>
    <w:rsid w:val="00750AD7"/>
    <w:rsid w:val="00750B83"/>
    <w:rsid w:val="00751273"/>
    <w:rsid w:val="007513CB"/>
    <w:rsid w:val="00751405"/>
    <w:rsid w:val="007515C8"/>
    <w:rsid w:val="00751A5A"/>
    <w:rsid w:val="00751AE0"/>
    <w:rsid w:val="00751FD1"/>
    <w:rsid w:val="0075217C"/>
    <w:rsid w:val="007521E6"/>
    <w:rsid w:val="0075245B"/>
    <w:rsid w:val="00752471"/>
    <w:rsid w:val="00752B77"/>
    <w:rsid w:val="007534DF"/>
    <w:rsid w:val="00753765"/>
    <w:rsid w:val="00753B1B"/>
    <w:rsid w:val="007542C2"/>
    <w:rsid w:val="007543A1"/>
    <w:rsid w:val="00754C49"/>
    <w:rsid w:val="00754DB1"/>
    <w:rsid w:val="00754FAE"/>
    <w:rsid w:val="007554B4"/>
    <w:rsid w:val="00755E9B"/>
    <w:rsid w:val="00755FB2"/>
    <w:rsid w:val="00756007"/>
    <w:rsid w:val="007563E8"/>
    <w:rsid w:val="0075641F"/>
    <w:rsid w:val="0075656D"/>
    <w:rsid w:val="007565E4"/>
    <w:rsid w:val="00756C78"/>
    <w:rsid w:val="00756ECF"/>
    <w:rsid w:val="00757017"/>
    <w:rsid w:val="0075704C"/>
    <w:rsid w:val="0075725F"/>
    <w:rsid w:val="00757306"/>
    <w:rsid w:val="00760D59"/>
    <w:rsid w:val="00761246"/>
    <w:rsid w:val="00761323"/>
    <w:rsid w:val="007614BA"/>
    <w:rsid w:val="007615B7"/>
    <w:rsid w:val="00761652"/>
    <w:rsid w:val="00761722"/>
    <w:rsid w:val="00761838"/>
    <w:rsid w:val="0076189F"/>
    <w:rsid w:val="007619FB"/>
    <w:rsid w:val="00761DBA"/>
    <w:rsid w:val="007622D1"/>
    <w:rsid w:val="00763160"/>
    <w:rsid w:val="00763185"/>
    <w:rsid w:val="00763604"/>
    <w:rsid w:val="007638EA"/>
    <w:rsid w:val="00763DC5"/>
    <w:rsid w:val="0076407B"/>
    <w:rsid w:val="007641D2"/>
    <w:rsid w:val="00764209"/>
    <w:rsid w:val="00764359"/>
    <w:rsid w:val="00765743"/>
    <w:rsid w:val="00765DA8"/>
    <w:rsid w:val="00765E32"/>
    <w:rsid w:val="007661A2"/>
    <w:rsid w:val="00766239"/>
    <w:rsid w:val="0076677C"/>
    <w:rsid w:val="007667A0"/>
    <w:rsid w:val="00766B70"/>
    <w:rsid w:val="00766C89"/>
    <w:rsid w:val="00767434"/>
    <w:rsid w:val="00767532"/>
    <w:rsid w:val="00767734"/>
    <w:rsid w:val="00767C71"/>
    <w:rsid w:val="00767DAD"/>
    <w:rsid w:val="00771295"/>
    <w:rsid w:val="00771492"/>
    <w:rsid w:val="007722B2"/>
    <w:rsid w:val="0077238E"/>
    <w:rsid w:val="007728BE"/>
    <w:rsid w:val="00773204"/>
    <w:rsid w:val="0077405B"/>
    <w:rsid w:val="00774B27"/>
    <w:rsid w:val="00774FB9"/>
    <w:rsid w:val="0077505E"/>
    <w:rsid w:val="00775B68"/>
    <w:rsid w:val="00775B8C"/>
    <w:rsid w:val="00775F90"/>
    <w:rsid w:val="0077600F"/>
    <w:rsid w:val="00776346"/>
    <w:rsid w:val="0077672D"/>
    <w:rsid w:val="00776ECA"/>
    <w:rsid w:val="00777E4C"/>
    <w:rsid w:val="00780134"/>
    <w:rsid w:val="00780303"/>
    <w:rsid w:val="00780427"/>
    <w:rsid w:val="00780553"/>
    <w:rsid w:val="0078065B"/>
    <w:rsid w:val="00780C0D"/>
    <w:rsid w:val="00780F5B"/>
    <w:rsid w:val="00781676"/>
    <w:rsid w:val="0078185F"/>
    <w:rsid w:val="00781860"/>
    <w:rsid w:val="00781EBB"/>
    <w:rsid w:val="0078201D"/>
    <w:rsid w:val="007821C7"/>
    <w:rsid w:val="007821D2"/>
    <w:rsid w:val="007828CF"/>
    <w:rsid w:val="00782D2C"/>
    <w:rsid w:val="00782E10"/>
    <w:rsid w:val="0078307A"/>
    <w:rsid w:val="007835A1"/>
    <w:rsid w:val="00783750"/>
    <w:rsid w:val="0078394A"/>
    <w:rsid w:val="00784465"/>
    <w:rsid w:val="00784AB5"/>
    <w:rsid w:val="00784BDF"/>
    <w:rsid w:val="00784FC6"/>
    <w:rsid w:val="007850F5"/>
    <w:rsid w:val="00785532"/>
    <w:rsid w:val="00785597"/>
    <w:rsid w:val="0078630C"/>
    <w:rsid w:val="007863FE"/>
    <w:rsid w:val="007867AD"/>
    <w:rsid w:val="00786CB4"/>
    <w:rsid w:val="00786D7C"/>
    <w:rsid w:val="007872DF"/>
    <w:rsid w:val="00787346"/>
    <w:rsid w:val="00787497"/>
    <w:rsid w:val="00787753"/>
    <w:rsid w:val="007878CF"/>
    <w:rsid w:val="0078793B"/>
    <w:rsid w:val="00787DDE"/>
    <w:rsid w:val="0079001D"/>
    <w:rsid w:val="0079004F"/>
    <w:rsid w:val="007901F9"/>
    <w:rsid w:val="00790513"/>
    <w:rsid w:val="007909D1"/>
    <w:rsid w:val="007909F9"/>
    <w:rsid w:val="00790B71"/>
    <w:rsid w:val="00791A3B"/>
    <w:rsid w:val="00791DA8"/>
    <w:rsid w:val="007921A7"/>
    <w:rsid w:val="00792529"/>
    <w:rsid w:val="00792A04"/>
    <w:rsid w:val="00792B8C"/>
    <w:rsid w:val="00793015"/>
    <w:rsid w:val="00793243"/>
    <w:rsid w:val="00793437"/>
    <w:rsid w:val="0079385A"/>
    <w:rsid w:val="00793B74"/>
    <w:rsid w:val="00793D44"/>
    <w:rsid w:val="00794120"/>
    <w:rsid w:val="00794ACD"/>
    <w:rsid w:val="00794D57"/>
    <w:rsid w:val="00795028"/>
    <w:rsid w:val="0079502E"/>
    <w:rsid w:val="007950AD"/>
    <w:rsid w:val="00795295"/>
    <w:rsid w:val="007955A7"/>
    <w:rsid w:val="007965C3"/>
    <w:rsid w:val="007967E3"/>
    <w:rsid w:val="00796982"/>
    <w:rsid w:val="007969D2"/>
    <w:rsid w:val="00796C41"/>
    <w:rsid w:val="00796C75"/>
    <w:rsid w:val="00796FB1"/>
    <w:rsid w:val="00796FFF"/>
    <w:rsid w:val="007972CA"/>
    <w:rsid w:val="0079747F"/>
    <w:rsid w:val="0079788B"/>
    <w:rsid w:val="00797A62"/>
    <w:rsid w:val="00797A7E"/>
    <w:rsid w:val="00797AB3"/>
    <w:rsid w:val="007A0475"/>
    <w:rsid w:val="007A0853"/>
    <w:rsid w:val="007A08DE"/>
    <w:rsid w:val="007A0C94"/>
    <w:rsid w:val="007A10BD"/>
    <w:rsid w:val="007A1864"/>
    <w:rsid w:val="007A1995"/>
    <w:rsid w:val="007A1ABE"/>
    <w:rsid w:val="007A1D89"/>
    <w:rsid w:val="007A1E37"/>
    <w:rsid w:val="007A242A"/>
    <w:rsid w:val="007A3003"/>
    <w:rsid w:val="007A32A1"/>
    <w:rsid w:val="007A362E"/>
    <w:rsid w:val="007A3655"/>
    <w:rsid w:val="007A3736"/>
    <w:rsid w:val="007A3B61"/>
    <w:rsid w:val="007A3DBC"/>
    <w:rsid w:val="007A41B0"/>
    <w:rsid w:val="007A45D7"/>
    <w:rsid w:val="007A45E8"/>
    <w:rsid w:val="007A4A42"/>
    <w:rsid w:val="007A5B77"/>
    <w:rsid w:val="007A5DCC"/>
    <w:rsid w:val="007A64DC"/>
    <w:rsid w:val="007A67E5"/>
    <w:rsid w:val="007A6D1D"/>
    <w:rsid w:val="007A6E8E"/>
    <w:rsid w:val="007A7088"/>
    <w:rsid w:val="007A7405"/>
    <w:rsid w:val="007A7668"/>
    <w:rsid w:val="007A7BB7"/>
    <w:rsid w:val="007A7FA4"/>
    <w:rsid w:val="007B06BD"/>
    <w:rsid w:val="007B0D25"/>
    <w:rsid w:val="007B0DDF"/>
    <w:rsid w:val="007B145C"/>
    <w:rsid w:val="007B15F4"/>
    <w:rsid w:val="007B16B4"/>
    <w:rsid w:val="007B1923"/>
    <w:rsid w:val="007B1F36"/>
    <w:rsid w:val="007B2062"/>
    <w:rsid w:val="007B25AB"/>
    <w:rsid w:val="007B26F0"/>
    <w:rsid w:val="007B292A"/>
    <w:rsid w:val="007B3014"/>
    <w:rsid w:val="007B33D5"/>
    <w:rsid w:val="007B3910"/>
    <w:rsid w:val="007B3A25"/>
    <w:rsid w:val="007B4024"/>
    <w:rsid w:val="007B4A94"/>
    <w:rsid w:val="007B4AB4"/>
    <w:rsid w:val="007B520E"/>
    <w:rsid w:val="007B538A"/>
    <w:rsid w:val="007B5467"/>
    <w:rsid w:val="007B56BE"/>
    <w:rsid w:val="007B58A0"/>
    <w:rsid w:val="007B58F8"/>
    <w:rsid w:val="007B5DD3"/>
    <w:rsid w:val="007B5F04"/>
    <w:rsid w:val="007B600A"/>
    <w:rsid w:val="007B6A42"/>
    <w:rsid w:val="007B7413"/>
    <w:rsid w:val="007B799F"/>
    <w:rsid w:val="007B7D7E"/>
    <w:rsid w:val="007B7E7A"/>
    <w:rsid w:val="007C0171"/>
    <w:rsid w:val="007C0289"/>
    <w:rsid w:val="007C076C"/>
    <w:rsid w:val="007C0A1F"/>
    <w:rsid w:val="007C0A50"/>
    <w:rsid w:val="007C0C98"/>
    <w:rsid w:val="007C1091"/>
    <w:rsid w:val="007C1181"/>
    <w:rsid w:val="007C1A00"/>
    <w:rsid w:val="007C1AA5"/>
    <w:rsid w:val="007C2268"/>
    <w:rsid w:val="007C268E"/>
    <w:rsid w:val="007C3305"/>
    <w:rsid w:val="007C33F9"/>
    <w:rsid w:val="007C3497"/>
    <w:rsid w:val="007C3E87"/>
    <w:rsid w:val="007C4397"/>
    <w:rsid w:val="007C4412"/>
    <w:rsid w:val="007C451B"/>
    <w:rsid w:val="007C47D8"/>
    <w:rsid w:val="007C4B39"/>
    <w:rsid w:val="007C50B4"/>
    <w:rsid w:val="007C510E"/>
    <w:rsid w:val="007C514B"/>
    <w:rsid w:val="007C51F5"/>
    <w:rsid w:val="007C5637"/>
    <w:rsid w:val="007C59EF"/>
    <w:rsid w:val="007C5EF2"/>
    <w:rsid w:val="007C6207"/>
    <w:rsid w:val="007C62E7"/>
    <w:rsid w:val="007C6344"/>
    <w:rsid w:val="007C6560"/>
    <w:rsid w:val="007C673E"/>
    <w:rsid w:val="007C6C2A"/>
    <w:rsid w:val="007C6F21"/>
    <w:rsid w:val="007C6FE7"/>
    <w:rsid w:val="007C7548"/>
    <w:rsid w:val="007C7A43"/>
    <w:rsid w:val="007D0198"/>
    <w:rsid w:val="007D04A7"/>
    <w:rsid w:val="007D0694"/>
    <w:rsid w:val="007D07A2"/>
    <w:rsid w:val="007D085B"/>
    <w:rsid w:val="007D0AF8"/>
    <w:rsid w:val="007D0C09"/>
    <w:rsid w:val="007D0CC9"/>
    <w:rsid w:val="007D1069"/>
    <w:rsid w:val="007D126D"/>
    <w:rsid w:val="007D1300"/>
    <w:rsid w:val="007D182A"/>
    <w:rsid w:val="007D1B0A"/>
    <w:rsid w:val="007D26D0"/>
    <w:rsid w:val="007D27AD"/>
    <w:rsid w:val="007D2CEE"/>
    <w:rsid w:val="007D2EC1"/>
    <w:rsid w:val="007D3330"/>
    <w:rsid w:val="007D3A28"/>
    <w:rsid w:val="007D3F4E"/>
    <w:rsid w:val="007D429C"/>
    <w:rsid w:val="007D4847"/>
    <w:rsid w:val="007D4946"/>
    <w:rsid w:val="007D4B78"/>
    <w:rsid w:val="007D5101"/>
    <w:rsid w:val="007D55FA"/>
    <w:rsid w:val="007D5C93"/>
    <w:rsid w:val="007D5F44"/>
    <w:rsid w:val="007D60F8"/>
    <w:rsid w:val="007D64C5"/>
    <w:rsid w:val="007D670E"/>
    <w:rsid w:val="007D676C"/>
    <w:rsid w:val="007D7131"/>
    <w:rsid w:val="007D725B"/>
    <w:rsid w:val="007D77B9"/>
    <w:rsid w:val="007D7C12"/>
    <w:rsid w:val="007D7E99"/>
    <w:rsid w:val="007E065C"/>
    <w:rsid w:val="007E07C8"/>
    <w:rsid w:val="007E092B"/>
    <w:rsid w:val="007E0A88"/>
    <w:rsid w:val="007E0CDF"/>
    <w:rsid w:val="007E1642"/>
    <w:rsid w:val="007E18D8"/>
    <w:rsid w:val="007E1BEF"/>
    <w:rsid w:val="007E1DCB"/>
    <w:rsid w:val="007E1E58"/>
    <w:rsid w:val="007E24F9"/>
    <w:rsid w:val="007E2591"/>
    <w:rsid w:val="007E270B"/>
    <w:rsid w:val="007E2DFF"/>
    <w:rsid w:val="007E365A"/>
    <w:rsid w:val="007E381B"/>
    <w:rsid w:val="007E3F27"/>
    <w:rsid w:val="007E4266"/>
    <w:rsid w:val="007E4ADA"/>
    <w:rsid w:val="007E5109"/>
    <w:rsid w:val="007E5749"/>
    <w:rsid w:val="007E57F7"/>
    <w:rsid w:val="007E5F37"/>
    <w:rsid w:val="007E611F"/>
    <w:rsid w:val="007E61CC"/>
    <w:rsid w:val="007E6B32"/>
    <w:rsid w:val="007E6E64"/>
    <w:rsid w:val="007E726F"/>
    <w:rsid w:val="007E7653"/>
    <w:rsid w:val="007E7875"/>
    <w:rsid w:val="007E7965"/>
    <w:rsid w:val="007F01CA"/>
    <w:rsid w:val="007F12A6"/>
    <w:rsid w:val="007F13EA"/>
    <w:rsid w:val="007F1630"/>
    <w:rsid w:val="007F1AA3"/>
    <w:rsid w:val="007F1EF2"/>
    <w:rsid w:val="007F1FCB"/>
    <w:rsid w:val="007F2036"/>
    <w:rsid w:val="007F2B85"/>
    <w:rsid w:val="007F2BF6"/>
    <w:rsid w:val="007F2F60"/>
    <w:rsid w:val="007F30C5"/>
    <w:rsid w:val="007F36AA"/>
    <w:rsid w:val="007F3C1D"/>
    <w:rsid w:val="007F4393"/>
    <w:rsid w:val="007F4DF7"/>
    <w:rsid w:val="007F4F44"/>
    <w:rsid w:val="007F5061"/>
    <w:rsid w:val="007F52AF"/>
    <w:rsid w:val="007F573E"/>
    <w:rsid w:val="007F5B71"/>
    <w:rsid w:val="007F6AB2"/>
    <w:rsid w:val="007F6B1D"/>
    <w:rsid w:val="007F6C95"/>
    <w:rsid w:val="007F6CD7"/>
    <w:rsid w:val="007F6EC1"/>
    <w:rsid w:val="007F7286"/>
    <w:rsid w:val="007F7BB5"/>
    <w:rsid w:val="007F7CA5"/>
    <w:rsid w:val="00800439"/>
    <w:rsid w:val="008004E0"/>
    <w:rsid w:val="0080071F"/>
    <w:rsid w:val="0080093D"/>
    <w:rsid w:val="00800D7C"/>
    <w:rsid w:val="008011BD"/>
    <w:rsid w:val="00801886"/>
    <w:rsid w:val="00801BAB"/>
    <w:rsid w:val="008021A0"/>
    <w:rsid w:val="008021DC"/>
    <w:rsid w:val="00802702"/>
    <w:rsid w:val="0080290B"/>
    <w:rsid w:val="00803062"/>
    <w:rsid w:val="00803086"/>
    <w:rsid w:val="008034B5"/>
    <w:rsid w:val="008034CE"/>
    <w:rsid w:val="008037F9"/>
    <w:rsid w:val="00803ADF"/>
    <w:rsid w:val="008043B0"/>
    <w:rsid w:val="0080484F"/>
    <w:rsid w:val="008049FF"/>
    <w:rsid w:val="00804D1D"/>
    <w:rsid w:val="00804E54"/>
    <w:rsid w:val="008053FC"/>
    <w:rsid w:val="008055EF"/>
    <w:rsid w:val="00805666"/>
    <w:rsid w:val="00805768"/>
    <w:rsid w:val="00806351"/>
    <w:rsid w:val="00806513"/>
    <w:rsid w:val="00806528"/>
    <w:rsid w:val="00806C6B"/>
    <w:rsid w:val="00806D65"/>
    <w:rsid w:val="008073FF"/>
    <w:rsid w:val="00807AFC"/>
    <w:rsid w:val="00807F0C"/>
    <w:rsid w:val="008101EC"/>
    <w:rsid w:val="008103B3"/>
    <w:rsid w:val="0081040D"/>
    <w:rsid w:val="008107B8"/>
    <w:rsid w:val="00810AA1"/>
    <w:rsid w:val="00810CFD"/>
    <w:rsid w:val="00810E27"/>
    <w:rsid w:val="00810EB6"/>
    <w:rsid w:val="00810EDB"/>
    <w:rsid w:val="0081112B"/>
    <w:rsid w:val="0081173F"/>
    <w:rsid w:val="00811DD4"/>
    <w:rsid w:val="00812690"/>
    <w:rsid w:val="00812708"/>
    <w:rsid w:val="008127B4"/>
    <w:rsid w:val="008129A4"/>
    <w:rsid w:val="00812E01"/>
    <w:rsid w:val="00812ED1"/>
    <w:rsid w:val="008131F3"/>
    <w:rsid w:val="00813449"/>
    <w:rsid w:val="00813558"/>
    <w:rsid w:val="008137F4"/>
    <w:rsid w:val="00813816"/>
    <w:rsid w:val="00813AF4"/>
    <w:rsid w:val="00813B91"/>
    <w:rsid w:val="00813C0D"/>
    <w:rsid w:val="00813E6D"/>
    <w:rsid w:val="00813FC7"/>
    <w:rsid w:val="008141C0"/>
    <w:rsid w:val="00814A76"/>
    <w:rsid w:val="00814B4E"/>
    <w:rsid w:val="00815453"/>
    <w:rsid w:val="008155B2"/>
    <w:rsid w:val="00815C0B"/>
    <w:rsid w:val="00815F44"/>
    <w:rsid w:val="008160D0"/>
    <w:rsid w:val="0081676B"/>
    <w:rsid w:val="008167DA"/>
    <w:rsid w:val="0081680A"/>
    <w:rsid w:val="00816951"/>
    <w:rsid w:val="00816971"/>
    <w:rsid w:val="00816AE1"/>
    <w:rsid w:val="008171D9"/>
    <w:rsid w:val="008174DB"/>
    <w:rsid w:val="008175A1"/>
    <w:rsid w:val="0081773D"/>
    <w:rsid w:val="0081777B"/>
    <w:rsid w:val="00817E86"/>
    <w:rsid w:val="00817EA9"/>
    <w:rsid w:val="0082056A"/>
    <w:rsid w:val="008206BA"/>
    <w:rsid w:val="00820A49"/>
    <w:rsid w:val="00820AC8"/>
    <w:rsid w:val="00820D5D"/>
    <w:rsid w:val="00821329"/>
    <w:rsid w:val="00821549"/>
    <w:rsid w:val="00821664"/>
    <w:rsid w:val="00821677"/>
    <w:rsid w:val="00821855"/>
    <w:rsid w:val="00821DA0"/>
    <w:rsid w:val="00821E10"/>
    <w:rsid w:val="00821EF2"/>
    <w:rsid w:val="0082202B"/>
    <w:rsid w:val="008222C0"/>
    <w:rsid w:val="00822324"/>
    <w:rsid w:val="008225C2"/>
    <w:rsid w:val="00822A81"/>
    <w:rsid w:val="00822C03"/>
    <w:rsid w:val="0082371C"/>
    <w:rsid w:val="00823ED5"/>
    <w:rsid w:val="008243F2"/>
    <w:rsid w:val="0082452F"/>
    <w:rsid w:val="008245C9"/>
    <w:rsid w:val="0082497F"/>
    <w:rsid w:val="00825206"/>
    <w:rsid w:val="0082546A"/>
    <w:rsid w:val="008265EA"/>
    <w:rsid w:val="008270C0"/>
    <w:rsid w:val="0082729E"/>
    <w:rsid w:val="00827429"/>
    <w:rsid w:val="00827B1F"/>
    <w:rsid w:val="008304F3"/>
    <w:rsid w:val="00830C08"/>
    <w:rsid w:val="00830CF8"/>
    <w:rsid w:val="00831C2D"/>
    <w:rsid w:val="00832009"/>
    <w:rsid w:val="008327E4"/>
    <w:rsid w:val="0083321E"/>
    <w:rsid w:val="00833360"/>
    <w:rsid w:val="00833A1A"/>
    <w:rsid w:val="00833B39"/>
    <w:rsid w:val="00833FEE"/>
    <w:rsid w:val="00834425"/>
    <w:rsid w:val="008347C0"/>
    <w:rsid w:val="00834B23"/>
    <w:rsid w:val="00834E7F"/>
    <w:rsid w:val="008353EA"/>
    <w:rsid w:val="008357FF"/>
    <w:rsid w:val="008358F1"/>
    <w:rsid w:val="00835908"/>
    <w:rsid w:val="00835B04"/>
    <w:rsid w:val="00835BAE"/>
    <w:rsid w:val="00835CC8"/>
    <w:rsid w:val="00835D17"/>
    <w:rsid w:val="00835E8E"/>
    <w:rsid w:val="00836B3E"/>
    <w:rsid w:val="00836DD0"/>
    <w:rsid w:val="00837144"/>
    <w:rsid w:val="00837C96"/>
    <w:rsid w:val="00837D5E"/>
    <w:rsid w:val="00840036"/>
    <w:rsid w:val="008403B2"/>
    <w:rsid w:val="008403FB"/>
    <w:rsid w:val="008408AD"/>
    <w:rsid w:val="00840BB0"/>
    <w:rsid w:val="00840D8F"/>
    <w:rsid w:val="00840E1A"/>
    <w:rsid w:val="00841041"/>
    <w:rsid w:val="00841177"/>
    <w:rsid w:val="008417F7"/>
    <w:rsid w:val="0084211C"/>
    <w:rsid w:val="00842A82"/>
    <w:rsid w:val="00842E7E"/>
    <w:rsid w:val="00843113"/>
    <w:rsid w:val="00843557"/>
    <w:rsid w:val="008438D2"/>
    <w:rsid w:val="008443DD"/>
    <w:rsid w:val="00844901"/>
    <w:rsid w:val="00844924"/>
    <w:rsid w:val="008451A0"/>
    <w:rsid w:val="00845491"/>
    <w:rsid w:val="00845593"/>
    <w:rsid w:val="008455DD"/>
    <w:rsid w:val="0084569B"/>
    <w:rsid w:val="008458F2"/>
    <w:rsid w:val="00845D2C"/>
    <w:rsid w:val="0084614F"/>
    <w:rsid w:val="00846263"/>
    <w:rsid w:val="00846460"/>
    <w:rsid w:val="008465C3"/>
    <w:rsid w:val="00846700"/>
    <w:rsid w:val="008468CE"/>
    <w:rsid w:val="00846C8B"/>
    <w:rsid w:val="00846D47"/>
    <w:rsid w:val="008470F3"/>
    <w:rsid w:val="008471DF"/>
    <w:rsid w:val="0084729A"/>
    <w:rsid w:val="00847D24"/>
    <w:rsid w:val="00850155"/>
    <w:rsid w:val="00850BF9"/>
    <w:rsid w:val="00850CDA"/>
    <w:rsid w:val="00850DF7"/>
    <w:rsid w:val="00851630"/>
    <w:rsid w:val="00851906"/>
    <w:rsid w:val="008520E5"/>
    <w:rsid w:val="0085236C"/>
    <w:rsid w:val="008527B2"/>
    <w:rsid w:val="008528B5"/>
    <w:rsid w:val="00852C2C"/>
    <w:rsid w:val="0085305E"/>
    <w:rsid w:val="00853C69"/>
    <w:rsid w:val="008540BB"/>
    <w:rsid w:val="00854385"/>
    <w:rsid w:val="0085449E"/>
    <w:rsid w:val="008547C0"/>
    <w:rsid w:val="008547E8"/>
    <w:rsid w:val="0085483D"/>
    <w:rsid w:val="00854C23"/>
    <w:rsid w:val="00854EEA"/>
    <w:rsid w:val="00855013"/>
    <w:rsid w:val="00855272"/>
    <w:rsid w:val="00855736"/>
    <w:rsid w:val="00855BC9"/>
    <w:rsid w:val="00855C91"/>
    <w:rsid w:val="008564FD"/>
    <w:rsid w:val="00856C31"/>
    <w:rsid w:val="00857142"/>
    <w:rsid w:val="008572AC"/>
    <w:rsid w:val="008579E8"/>
    <w:rsid w:val="00857ACC"/>
    <w:rsid w:val="00857E5F"/>
    <w:rsid w:val="008606A9"/>
    <w:rsid w:val="008609C7"/>
    <w:rsid w:val="008609CC"/>
    <w:rsid w:val="00861337"/>
    <w:rsid w:val="00861911"/>
    <w:rsid w:val="00861C9A"/>
    <w:rsid w:val="00861FE3"/>
    <w:rsid w:val="0086239C"/>
    <w:rsid w:val="008625E7"/>
    <w:rsid w:val="00862637"/>
    <w:rsid w:val="00862CFA"/>
    <w:rsid w:val="00863008"/>
    <w:rsid w:val="00863612"/>
    <w:rsid w:val="008639FA"/>
    <w:rsid w:val="00863A5C"/>
    <w:rsid w:val="00864143"/>
    <w:rsid w:val="0086439D"/>
    <w:rsid w:val="008648C7"/>
    <w:rsid w:val="008648D6"/>
    <w:rsid w:val="008649E4"/>
    <w:rsid w:val="00864F9E"/>
    <w:rsid w:val="00865329"/>
    <w:rsid w:val="00865369"/>
    <w:rsid w:val="00865B29"/>
    <w:rsid w:val="00865C91"/>
    <w:rsid w:val="00865E40"/>
    <w:rsid w:val="00865E79"/>
    <w:rsid w:val="00865FE3"/>
    <w:rsid w:val="008660A7"/>
    <w:rsid w:val="008667B8"/>
    <w:rsid w:val="00866832"/>
    <w:rsid w:val="00866EA3"/>
    <w:rsid w:val="0086716D"/>
    <w:rsid w:val="00867AFD"/>
    <w:rsid w:val="00867C06"/>
    <w:rsid w:val="00867D53"/>
    <w:rsid w:val="008708E2"/>
    <w:rsid w:val="00870A72"/>
    <w:rsid w:val="00870F1F"/>
    <w:rsid w:val="008711DA"/>
    <w:rsid w:val="00871324"/>
    <w:rsid w:val="00871584"/>
    <w:rsid w:val="00871B6B"/>
    <w:rsid w:val="00871E2F"/>
    <w:rsid w:val="00871F76"/>
    <w:rsid w:val="008726B8"/>
    <w:rsid w:val="00872981"/>
    <w:rsid w:val="00872E52"/>
    <w:rsid w:val="0087328E"/>
    <w:rsid w:val="00873813"/>
    <w:rsid w:val="0087396F"/>
    <w:rsid w:val="0087397D"/>
    <w:rsid w:val="00873D2A"/>
    <w:rsid w:val="00873EA8"/>
    <w:rsid w:val="00873F22"/>
    <w:rsid w:val="0087425D"/>
    <w:rsid w:val="00874B59"/>
    <w:rsid w:val="00875301"/>
    <w:rsid w:val="0087542A"/>
    <w:rsid w:val="00875D42"/>
    <w:rsid w:val="00875DFE"/>
    <w:rsid w:val="00876AAE"/>
    <w:rsid w:val="00876FAF"/>
    <w:rsid w:val="00877053"/>
    <w:rsid w:val="00877EB2"/>
    <w:rsid w:val="00880275"/>
    <w:rsid w:val="00880316"/>
    <w:rsid w:val="00880BB3"/>
    <w:rsid w:val="00880D4D"/>
    <w:rsid w:val="00880DE7"/>
    <w:rsid w:val="008810D9"/>
    <w:rsid w:val="008812C6"/>
    <w:rsid w:val="008815B0"/>
    <w:rsid w:val="00881C8F"/>
    <w:rsid w:val="00881D6E"/>
    <w:rsid w:val="00881F90"/>
    <w:rsid w:val="00882047"/>
    <w:rsid w:val="008825BB"/>
    <w:rsid w:val="008826AF"/>
    <w:rsid w:val="00882846"/>
    <w:rsid w:val="0088293B"/>
    <w:rsid w:val="00882A03"/>
    <w:rsid w:val="00882C7C"/>
    <w:rsid w:val="0088308F"/>
    <w:rsid w:val="00883117"/>
    <w:rsid w:val="00883AED"/>
    <w:rsid w:val="00883D32"/>
    <w:rsid w:val="00883E19"/>
    <w:rsid w:val="0088417A"/>
    <w:rsid w:val="0088426F"/>
    <w:rsid w:val="00884E05"/>
    <w:rsid w:val="008854B1"/>
    <w:rsid w:val="00885C2C"/>
    <w:rsid w:val="00886659"/>
    <w:rsid w:val="008866A4"/>
    <w:rsid w:val="008867EA"/>
    <w:rsid w:val="008868E9"/>
    <w:rsid w:val="00886B17"/>
    <w:rsid w:val="00886BA8"/>
    <w:rsid w:val="00887065"/>
    <w:rsid w:val="00887133"/>
    <w:rsid w:val="00887847"/>
    <w:rsid w:val="0088786A"/>
    <w:rsid w:val="00887A94"/>
    <w:rsid w:val="00890056"/>
    <w:rsid w:val="0089053E"/>
    <w:rsid w:val="00890D29"/>
    <w:rsid w:val="00890F98"/>
    <w:rsid w:val="0089103E"/>
    <w:rsid w:val="0089112C"/>
    <w:rsid w:val="008913F3"/>
    <w:rsid w:val="008914D3"/>
    <w:rsid w:val="00891B87"/>
    <w:rsid w:val="00891D2E"/>
    <w:rsid w:val="0089208D"/>
    <w:rsid w:val="008921F8"/>
    <w:rsid w:val="0089224B"/>
    <w:rsid w:val="0089228B"/>
    <w:rsid w:val="00892390"/>
    <w:rsid w:val="00892516"/>
    <w:rsid w:val="00892647"/>
    <w:rsid w:val="00892B4D"/>
    <w:rsid w:val="00892BE8"/>
    <w:rsid w:val="00892E4D"/>
    <w:rsid w:val="008930A1"/>
    <w:rsid w:val="008931D8"/>
    <w:rsid w:val="00893D87"/>
    <w:rsid w:val="00893EE9"/>
    <w:rsid w:val="00894210"/>
    <w:rsid w:val="00894744"/>
    <w:rsid w:val="00895331"/>
    <w:rsid w:val="00895398"/>
    <w:rsid w:val="008957E2"/>
    <w:rsid w:val="00896349"/>
    <w:rsid w:val="008964D9"/>
    <w:rsid w:val="00896BEA"/>
    <w:rsid w:val="00896D31"/>
    <w:rsid w:val="00896E04"/>
    <w:rsid w:val="008970A8"/>
    <w:rsid w:val="008971B6"/>
    <w:rsid w:val="00897E5D"/>
    <w:rsid w:val="008A02A2"/>
    <w:rsid w:val="008A0B29"/>
    <w:rsid w:val="008A0BE7"/>
    <w:rsid w:val="008A0C40"/>
    <w:rsid w:val="008A0D90"/>
    <w:rsid w:val="008A1A88"/>
    <w:rsid w:val="008A1DEE"/>
    <w:rsid w:val="008A2998"/>
    <w:rsid w:val="008A2AE6"/>
    <w:rsid w:val="008A2B45"/>
    <w:rsid w:val="008A2F41"/>
    <w:rsid w:val="008A311A"/>
    <w:rsid w:val="008A3138"/>
    <w:rsid w:val="008A3714"/>
    <w:rsid w:val="008A3C50"/>
    <w:rsid w:val="008A3CAB"/>
    <w:rsid w:val="008A3E8C"/>
    <w:rsid w:val="008A3F59"/>
    <w:rsid w:val="008A4A15"/>
    <w:rsid w:val="008A4D78"/>
    <w:rsid w:val="008A4E0C"/>
    <w:rsid w:val="008A54D2"/>
    <w:rsid w:val="008A5CC6"/>
    <w:rsid w:val="008A5EF2"/>
    <w:rsid w:val="008A62A8"/>
    <w:rsid w:val="008A7777"/>
    <w:rsid w:val="008A790A"/>
    <w:rsid w:val="008A79CD"/>
    <w:rsid w:val="008A7E04"/>
    <w:rsid w:val="008A7F34"/>
    <w:rsid w:val="008B02F0"/>
    <w:rsid w:val="008B0352"/>
    <w:rsid w:val="008B0402"/>
    <w:rsid w:val="008B0A37"/>
    <w:rsid w:val="008B132B"/>
    <w:rsid w:val="008B14FF"/>
    <w:rsid w:val="008B15CC"/>
    <w:rsid w:val="008B1F08"/>
    <w:rsid w:val="008B306F"/>
    <w:rsid w:val="008B3191"/>
    <w:rsid w:val="008B3435"/>
    <w:rsid w:val="008B34CF"/>
    <w:rsid w:val="008B37F7"/>
    <w:rsid w:val="008B3A01"/>
    <w:rsid w:val="008B3B64"/>
    <w:rsid w:val="008B3E68"/>
    <w:rsid w:val="008B423E"/>
    <w:rsid w:val="008B4245"/>
    <w:rsid w:val="008B4D28"/>
    <w:rsid w:val="008B4E13"/>
    <w:rsid w:val="008B4E36"/>
    <w:rsid w:val="008B4FB2"/>
    <w:rsid w:val="008B52F2"/>
    <w:rsid w:val="008B5302"/>
    <w:rsid w:val="008B56F3"/>
    <w:rsid w:val="008B5777"/>
    <w:rsid w:val="008B5963"/>
    <w:rsid w:val="008B5B28"/>
    <w:rsid w:val="008B6362"/>
    <w:rsid w:val="008B6537"/>
    <w:rsid w:val="008B67BD"/>
    <w:rsid w:val="008B68E4"/>
    <w:rsid w:val="008B7156"/>
    <w:rsid w:val="008B72F1"/>
    <w:rsid w:val="008B73E0"/>
    <w:rsid w:val="008B76AA"/>
    <w:rsid w:val="008B79D7"/>
    <w:rsid w:val="008B7B5A"/>
    <w:rsid w:val="008C00BD"/>
    <w:rsid w:val="008C02E1"/>
    <w:rsid w:val="008C0454"/>
    <w:rsid w:val="008C06D5"/>
    <w:rsid w:val="008C0B01"/>
    <w:rsid w:val="008C1ABC"/>
    <w:rsid w:val="008C3BBA"/>
    <w:rsid w:val="008C3D59"/>
    <w:rsid w:val="008C413D"/>
    <w:rsid w:val="008C43C0"/>
    <w:rsid w:val="008C496E"/>
    <w:rsid w:val="008C4F9A"/>
    <w:rsid w:val="008C5616"/>
    <w:rsid w:val="008C5686"/>
    <w:rsid w:val="008C5919"/>
    <w:rsid w:val="008C6189"/>
    <w:rsid w:val="008C643B"/>
    <w:rsid w:val="008C6798"/>
    <w:rsid w:val="008C6898"/>
    <w:rsid w:val="008C6B1F"/>
    <w:rsid w:val="008C6B27"/>
    <w:rsid w:val="008C752A"/>
    <w:rsid w:val="008C77F1"/>
    <w:rsid w:val="008C7F5A"/>
    <w:rsid w:val="008D076F"/>
    <w:rsid w:val="008D0B2D"/>
    <w:rsid w:val="008D0BE3"/>
    <w:rsid w:val="008D1048"/>
    <w:rsid w:val="008D19BC"/>
    <w:rsid w:val="008D1EA2"/>
    <w:rsid w:val="008D1F2A"/>
    <w:rsid w:val="008D1F66"/>
    <w:rsid w:val="008D22A2"/>
    <w:rsid w:val="008D26D4"/>
    <w:rsid w:val="008D26E6"/>
    <w:rsid w:val="008D2866"/>
    <w:rsid w:val="008D29B3"/>
    <w:rsid w:val="008D2C7A"/>
    <w:rsid w:val="008D2E4E"/>
    <w:rsid w:val="008D2E63"/>
    <w:rsid w:val="008D2E83"/>
    <w:rsid w:val="008D2EC3"/>
    <w:rsid w:val="008D2ED1"/>
    <w:rsid w:val="008D2F82"/>
    <w:rsid w:val="008D35E5"/>
    <w:rsid w:val="008D3736"/>
    <w:rsid w:val="008D37EF"/>
    <w:rsid w:val="008D3CEA"/>
    <w:rsid w:val="008D3F95"/>
    <w:rsid w:val="008D4268"/>
    <w:rsid w:val="008D44C1"/>
    <w:rsid w:val="008D4790"/>
    <w:rsid w:val="008D4B43"/>
    <w:rsid w:val="008D4B99"/>
    <w:rsid w:val="008D4BF2"/>
    <w:rsid w:val="008D4C26"/>
    <w:rsid w:val="008D4D8D"/>
    <w:rsid w:val="008D4DB4"/>
    <w:rsid w:val="008D4E5B"/>
    <w:rsid w:val="008D5A7F"/>
    <w:rsid w:val="008D5DB8"/>
    <w:rsid w:val="008D5EF0"/>
    <w:rsid w:val="008D67FF"/>
    <w:rsid w:val="008D6BEA"/>
    <w:rsid w:val="008D75EA"/>
    <w:rsid w:val="008D794D"/>
    <w:rsid w:val="008D7983"/>
    <w:rsid w:val="008D7D1A"/>
    <w:rsid w:val="008E0AA8"/>
    <w:rsid w:val="008E0BC5"/>
    <w:rsid w:val="008E0C73"/>
    <w:rsid w:val="008E10F8"/>
    <w:rsid w:val="008E124D"/>
    <w:rsid w:val="008E152E"/>
    <w:rsid w:val="008E1625"/>
    <w:rsid w:val="008E1DD9"/>
    <w:rsid w:val="008E1E3A"/>
    <w:rsid w:val="008E1F33"/>
    <w:rsid w:val="008E2BA2"/>
    <w:rsid w:val="008E2F04"/>
    <w:rsid w:val="008E2FB8"/>
    <w:rsid w:val="008E304C"/>
    <w:rsid w:val="008E30D2"/>
    <w:rsid w:val="008E3199"/>
    <w:rsid w:val="008E3B6F"/>
    <w:rsid w:val="008E3DBB"/>
    <w:rsid w:val="008E4327"/>
    <w:rsid w:val="008E4622"/>
    <w:rsid w:val="008E4A50"/>
    <w:rsid w:val="008E4F8A"/>
    <w:rsid w:val="008E5000"/>
    <w:rsid w:val="008E5608"/>
    <w:rsid w:val="008E64F7"/>
    <w:rsid w:val="008E669B"/>
    <w:rsid w:val="008E6708"/>
    <w:rsid w:val="008E6906"/>
    <w:rsid w:val="008E6D1F"/>
    <w:rsid w:val="008E72A2"/>
    <w:rsid w:val="008E731B"/>
    <w:rsid w:val="008E78A0"/>
    <w:rsid w:val="008E792D"/>
    <w:rsid w:val="008E7A63"/>
    <w:rsid w:val="008E7C0C"/>
    <w:rsid w:val="008E7DA9"/>
    <w:rsid w:val="008E7EFC"/>
    <w:rsid w:val="008F02B1"/>
    <w:rsid w:val="008F08D9"/>
    <w:rsid w:val="008F1414"/>
    <w:rsid w:val="008F1A82"/>
    <w:rsid w:val="008F1CCC"/>
    <w:rsid w:val="008F21C1"/>
    <w:rsid w:val="008F2E29"/>
    <w:rsid w:val="008F2FD8"/>
    <w:rsid w:val="008F315A"/>
    <w:rsid w:val="008F3684"/>
    <w:rsid w:val="008F3718"/>
    <w:rsid w:val="008F3794"/>
    <w:rsid w:val="008F3ABC"/>
    <w:rsid w:val="008F3D39"/>
    <w:rsid w:val="008F40AC"/>
    <w:rsid w:val="008F415D"/>
    <w:rsid w:val="008F45FC"/>
    <w:rsid w:val="008F46E9"/>
    <w:rsid w:val="008F4EED"/>
    <w:rsid w:val="008F54B3"/>
    <w:rsid w:val="008F5539"/>
    <w:rsid w:val="008F55F9"/>
    <w:rsid w:val="008F5E3E"/>
    <w:rsid w:val="008F6425"/>
    <w:rsid w:val="008F657E"/>
    <w:rsid w:val="008F65DC"/>
    <w:rsid w:val="008F6702"/>
    <w:rsid w:val="008F703A"/>
    <w:rsid w:val="008F7825"/>
    <w:rsid w:val="008F79C9"/>
    <w:rsid w:val="008F7A4C"/>
    <w:rsid w:val="008F7AE9"/>
    <w:rsid w:val="008F7E8E"/>
    <w:rsid w:val="008F7F32"/>
    <w:rsid w:val="0090015D"/>
    <w:rsid w:val="009006BF"/>
    <w:rsid w:val="009007F8"/>
    <w:rsid w:val="00900B41"/>
    <w:rsid w:val="00900C67"/>
    <w:rsid w:val="0090102E"/>
    <w:rsid w:val="00901F1E"/>
    <w:rsid w:val="0090224B"/>
    <w:rsid w:val="0090257B"/>
    <w:rsid w:val="00902630"/>
    <w:rsid w:val="00902937"/>
    <w:rsid w:val="00902D72"/>
    <w:rsid w:val="00902FF2"/>
    <w:rsid w:val="009036FC"/>
    <w:rsid w:val="00903745"/>
    <w:rsid w:val="00903B57"/>
    <w:rsid w:val="00903C62"/>
    <w:rsid w:val="00903ED4"/>
    <w:rsid w:val="009042DB"/>
    <w:rsid w:val="009044F2"/>
    <w:rsid w:val="00904FF8"/>
    <w:rsid w:val="0090511A"/>
    <w:rsid w:val="0090524C"/>
    <w:rsid w:val="0090568E"/>
    <w:rsid w:val="0090585C"/>
    <w:rsid w:val="00905956"/>
    <w:rsid w:val="00905A21"/>
    <w:rsid w:val="00905B63"/>
    <w:rsid w:val="00905E3E"/>
    <w:rsid w:val="00905F6D"/>
    <w:rsid w:val="009067A4"/>
    <w:rsid w:val="00906A04"/>
    <w:rsid w:val="009073CC"/>
    <w:rsid w:val="00907B33"/>
    <w:rsid w:val="0091035A"/>
    <w:rsid w:val="0091040C"/>
    <w:rsid w:val="00910B21"/>
    <w:rsid w:val="0091131D"/>
    <w:rsid w:val="00911514"/>
    <w:rsid w:val="009116DC"/>
    <w:rsid w:val="009118CB"/>
    <w:rsid w:val="00912E7D"/>
    <w:rsid w:val="00913100"/>
    <w:rsid w:val="00913103"/>
    <w:rsid w:val="009134AB"/>
    <w:rsid w:val="00913708"/>
    <w:rsid w:val="0091410F"/>
    <w:rsid w:val="00914608"/>
    <w:rsid w:val="00914665"/>
    <w:rsid w:val="00914828"/>
    <w:rsid w:val="00914E94"/>
    <w:rsid w:val="009156FF"/>
    <w:rsid w:val="00915869"/>
    <w:rsid w:val="00915C2D"/>
    <w:rsid w:val="00915D49"/>
    <w:rsid w:val="00915FB0"/>
    <w:rsid w:val="00916370"/>
    <w:rsid w:val="00916624"/>
    <w:rsid w:val="00916658"/>
    <w:rsid w:val="00916707"/>
    <w:rsid w:val="00916C51"/>
    <w:rsid w:val="009209EF"/>
    <w:rsid w:val="009210D1"/>
    <w:rsid w:val="00921183"/>
    <w:rsid w:val="00921228"/>
    <w:rsid w:val="00922863"/>
    <w:rsid w:val="009233BE"/>
    <w:rsid w:val="009233DA"/>
    <w:rsid w:val="0092370B"/>
    <w:rsid w:val="00924253"/>
    <w:rsid w:val="0092429D"/>
    <w:rsid w:val="009243E8"/>
    <w:rsid w:val="00924678"/>
    <w:rsid w:val="0092483A"/>
    <w:rsid w:val="00924A6F"/>
    <w:rsid w:val="009250F3"/>
    <w:rsid w:val="009252CF"/>
    <w:rsid w:val="00925540"/>
    <w:rsid w:val="00925931"/>
    <w:rsid w:val="00925EA8"/>
    <w:rsid w:val="00925F64"/>
    <w:rsid w:val="00926A68"/>
    <w:rsid w:val="00926B10"/>
    <w:rsid w:val="00926BE9"/>
    <w:rsid w:val="00927CC3"/>
    <w:rsid w:val="00927CE1"/>
    <w:rsid w:val="00927F97"/>
    <w:rsid w:val="00930366"/>
    <w:rsid w:val="00930E95"/>
    <w:rsid w:val="00931153"/>
    <w:rsid w:val="00931191"/>
    <w:rsid w:val="009314C0"/>
    <w:rsid w:val="009315AA"/>
    <w:rsid w:val="009315E5"/>
    <w:rsid w:val="009318D9"/>
    <w:rsid w:val="00931CF4"/>
    <w:rsid w:val="00931D6C"/>
    <w:rsid w:val="0093239E"/>
    <w:rsid w:val="009323B2"/>
    <w:rsid w:val="00932732"/>
    <w:rsid w:val="0093285A"/>
    <w:rsid w:val="009328AF"/>
    <w:rsid w:val="00932BDA"/>
    <w:rsid w:val="00932D77"/>
    <w:rsid w:val="00932F12"/>
    <w:rsid w:val="009331CE"/>
    <w:rsid w:val="0093399F"/>
    <w:rsid w:val="00933A06"/>
    <w:rsid w:val="00933B7D"/>
    <w:rsid w:val="00933DC8"/>
    <w:rsid w:val="00934006"/>
    <w:rsid w:val="00934307"/>
    <w:rsid w:val="0093479F"/>
    <w:rsid w:val="00934DB9"/>
    <w:rsid w:val="009358DB"/>
    <w:rsid w:val="0093592A"/>
    <w:rsid w:val="00935978"/>
    <w:rsid w:val="0093613B"/>
    <w:rsid w:val="0093710D"/>
    <w:rsid w:val="0093739A"/>
    <w:rsid w:val="0093784D"/>
    <w:rsid w:val="00937D22"/>
    <w:rsid w:val="00937ECF"/>
    <w:rsid w:val="009403F4"/>
    <w:rsid w:val="00940580"/>
    <w:rsid w:val="0094074E"/>
    <w:rsid w:val="00940802"/>
    <w:rsid w:val="0094085C"/>
    <w:rsid w:val="00940BC2"/>
    <w:rsid w:val="00940CA7"/>
    <w:rsid w:val="00940E03"/>
    <w:rsid w:val="00941194"/>
    <w:rsid w:val="0094178B"/>
    <w:rsid w:val="009418DB"/>
    <w:rsid w:val="009418E7"/>
    <w:rsid w:val="0094210F"/>
    <w:rsid w:val="009421CC"/>
    <w:rsid w:val="009429EE"/>
    <w:rsid w:val="0094363A"/>
    <w:rsid w:val="009438ED"/>
    <w:rsid w:val="00943E14"/>
    <w:rsid w:val="00943F0D"/>
    <w:rsid w:val="00943FAC"/>
    <w:rsid w:val="0094482F"/>
    <w:rsid w:val="009449D4"/>
    <w:rsid w:val="00945058"/>
    <w:rsid w:val="009454E9"/>
    <w:rsid w:val="00945508"/>
    <w:rsid w:val="009455DB"/>
    <w:rsid w:val="009457D2"/>
    <w:rsid w:val="00945DF4"/>
    <w:rsid w:val="009461FD"/>
    <w:rsid w:val="00946A1D"/>
    <w:rsid w:val="00946CF1"/>
    <w:rsid w:val="00946D64"/>
    <w:rsid w:val="00946EB3"/>
    <w:rsid w:val="009470F3"/>
    <w:rsid w:val="00947313"/>
    <w:rsid w:val="00947AD2"/>
    <w:rsid w:val="00947BC5"/>
    <w:rsid w:val="00947F0D"/>
    <w:rsid w:val="009502CA"/>
    <w:rsid w:val="009504AD"/>
    <w:rsid w:val="00950BEE"/>
    <w:rsid w:val="00950CDB"/>
    <w:rsid w:val="00951723"/>
    <w:rsid w:val="00951FE2"/>
    <w:rsid w:val="0095251F"/>
    <w:rsid w:val="009527A7"/>
    <w:rsid w:val="0095287E"/>
    <w:rsid w:val="00952D6C"/>
    <w:rsid w:val="0095316D"/>
    <w:rsid w:val="009532A7"/>
    <w:rsid w:val="00953375"/>
    <w:rsid w:val="00953814"/>
    <w:rsid w:val="0095398B"/>
    <w:rsid w:val="00953A38"/>
    <w:rsid w:val="00953EB2"/>
    <w:rsid w:val="00954278"/>
    <w:rsid w:val="00954840"/>
    <w:rsid w:val="00954DF7"/>
    <w:rsid w:val="00954E15"/>
    <w:rsid w:val="0095576B"/>
    <w:rsid w:val="00955A5E"/>
    <w:rsid w:val="00955F4D"/>
    <w:rsid w:val="00955FFA"/>
    <w:rsid w:val="009560DA"/>
    <w:rsid w:val="009561C4"/>
    <w:rsid w:val="00956215"/>
    <w:rsid w:val="0095651E"/>
    <w:rsid w:val="0095663A"/>
    <w:rsid w:val="00956DF1"/>
    <w:rsid w:val="00957615"/>
    <w:rsid w:val="0095769A"/>
    <w:rsid w:val="009576AA"/>
    <w:rsid w:val="00960004"/>
    <w:rsid w:val="00960072"/>
    <w:rsid w:val="0096014F"/>
    <w:rsid w:val="00960463"/>
    <w:rsid w:val="0096064A"/>
    <w:rsid w:val="009607AB"/>
    <w:rsid w:val="00960C97"/>
    <w:rsid w:val="00960E62"/>
    <w:rsid w:val="00960F0B"/>
    <w:rsid w:val="00961853"/>
    <w:rsid w:val="00961CA6"/>
    <w:rsid w:val="00961D7F"/>
    <w:rsid w:val="00962053"/>
    <w:rsid w:val="0096221E"/>
    <w:rsid w:val="00962697"/>
    <w:rsid w:val="00962B7B"/>
    <w:rsid w:val="00962D3E"/>
    <w:rsid w:val="00963389"/>
    <w:rsid w:val="0096373C"/>
    <w:rsid w:val="00963D00"/>
    <w:rsid w:val="00963D27"/>
    <w:rsid w:val="00964213"/>
    <w:rsid w:val="009642F5"/>
    <w:rsid w:val="00964373"/>
    <w:rsid w:val="00964418"/>
    <w:rsid w:val="00964947"/>
    <w:rsid w:val="009649CE"/>
    <w:rsid w:val="00964B0B"/>
    <w:rsid w:val="00964DA9"/>
    <w:rsid w:val="00964F9E"/>
    <w:rsid w:val="0096523D"/>
    <w:rsid w:val="009655D9"/>
    <w:rsid w:val="00965B7C"/>
    <w:rsid w:val="00966645"/>
    <w:rsid w:val="00966D2C"/>
    <w:rsid w:val="00966D45"/>
    <w:rsid w:val="009673C4"/>
    <w:rsid w:val="009676E6"/>
    <w:rsid w:val="0096780C"/>
    <w:rsid w:val="00967851"/>
    <w:rsid w:val="00967E01"/>
    <w:rsid w:val="00970634"/>
    <w:rsid w:val="009707AB"/>
    <w:rsid w:val="009707DA"/>
    <w:rsid w:val="00970AFC"/>
    <w:rsid w:val="00970B87"/>
    <w:rsid w:val="00970F25"/>
    <w:rsid w:val="009710C9"/>
    <w:rsid w:val="0097122D"/>
    <w:rsid w:val="00971626"/>
    <w:rsid w:val="009718D6"/>
    <w:rsid w:val="00971934"/>
    <w:rsid w:val="00971F83"/>
    <w:rsid w:val="00972302"/>
    <w:rsid w:val="00972670"/>
    <w:rsid w:val="009731B5"/>
    <w:rsid w:val="009731FC"/>
    <w:rsid w:val="00973258"/>
    <w:rsid w:val="009739E9"/>
    <w:rsid w:val="00973C22"/>
    <w:rsid w:val="00973C55"/>
    <w:rsid w:val="00973E4B"/>
    <w:rsid w:val="009740C4"/>
    <w:rsid w:val="009746DD"/>
    <w:rsid w:val="00974A5D"/>
    <w:rsid w:val="0097502B"/>
    <w:rsid w:val="009750A4"/>
    <w:rsid w:val="0097572E"/>
    <w:rsid w:val="00976076"/>
    <w:rsid w:val="00976273"/>
    <w:rsid w:val="00976386"/>
    <w:rsid w:val="009769B3"/>
    <w:rsid w:val="00976AD4"/>
    <w:rsid w:val="00976C90"/>
    <w:rsid w:val="009772F2"/>
    <w:rsid w:val="009776C9"/>
    <w:rsid w:val="0097778E"/>
    <w:rsid w:val="0097791A"/>
    <w:rsid w:val="00977E91"/>
    <w:rsid w:val="009801AD"/>
    <w:rsid w:val="00980215"/>
    <w:rsid w:val="00980991"/>
    <w:rsid w:val="00980C49"/>
    <w:rsid w:val="00980EFB"/>
    <w:rsid w:val="009812F8"/>
    <w:rsid w:val="009814B1"/>
    <w:rsid w:val="00981B0D"/>
    <w:rsid w:val="00981CF0"/>
    <w:rsid w:val="009822B4"/>
    <w:rsid w:val="009824DE"/>
    <w:rsid w:val="00982B3A"/>
    <w:rsid w:val="00982BC4"/>
    <w:rsid w:val="00982C1E"/>
    <w:rsid w:val="00982D46"/>
    <w:rsid w:val="00982D8E"/>
    <w:rsid w:val="00982D8F"/>
    <w:rsid w:val="00983044"/>
    <w:rsid w:val="00983635"/>
    <w:rsid w:val="00983EF4"/>
    <w:rsid w:val="00983F21"/>
    <w:rsid w:val="009840BD"/>
    <w:rsid w:val="00984312"/>
    <w:rsid w:val="009850A0"/>
    <w:rsid w:val="00985AF0"/>
    <w:rsid w:val="00985B26"/>
    <w:rsid w:val="00985C65"/>
    <w:rsid w:val="0098636F"/>
    <w:rsid w:val="00986787"/>
    <w:rsid w:val="00986A88"/>
    <w:rsid w:val="00987057"/>
    <w:rsid w:val="00987216"/>
    <w:rsid w:val="00987240"/>
    <w:rsid w:val="009875DC"/>
    <w:rsid w:val="00987B3E"/>
    <w:rsid w:val="00987BA9"/>
    <w:rsid w:val="009901C6"/>
    <w:rsid w:val="00990506"/>
    <w:rsid w:val="0099076D"/>
    <w:rsid w:val="00990896"/>
    <w:rsid w:val="00990A35"/>
    <w:rsid w:val="00990AE2"/>
    <w:rsid w:val="00990B35"/>
    <w:rsid w:val="00990C17"/>
    <w:rsid w:val="00990CC7"/>
    <w:rsid w:val="00990FFF"/>
    <w:rsid w:val="009910DE"/>
    <w:rsid w:val="0099159A"/>
    <w:rsid w:val="00991855"/>
    <w:rsid w:val="00991A92"/>
    <w:rsid w:val="00991CC2"/>
    <w:rsid w:val="00992E51"/>
    <w:rsid w:val="00992EEC"/>
    <w:rsid w:val="00993179"/>
    <w:rsid w:val="00993227"/>
    <w:rsid w:val="0099369A"/>
    <w:rsid w:val="00993F0A"/>
    <w:rsid w:val="00994723"/>
    <w:rsid w:val="009950BC"/>
    <w:rsid w:val="00995266"/>
    <w:rsid w:val="009957DB"/>
    <w:rsid w:val="00995DFA"/>
    <w:rsid w:val="00996188"/>
    <w:rsid w:val="009963FF"/>
    <w:rsid w:val="0099667C"/>
    <w:rsid w:val="00996880"/>
    <w:rsid w:val="009968EF"/>
    <w:rsid w:val="00996B80"/>
    <w:rsid w:val="00996C8E"/>
    <w:rsid w:val="0099711F"/>
    <w:rsid w:val="009977E2"/>
    <w:rsid w:val="00997849"/>
    <w:rsid w:val="00997B61"/>
    <w:rsid w:val="00997DCF"/>
    <w:rsid w:val="009A0603"/>
    <w:rsid w:val="009A088C"/>
    <w:rsid w:val="009A1619"/>
    <w:rsid w:val="009A17A3"/>
    <w:rsid w:val="009A1BF1"/>
    <w:rsid w:val="009A1F19"/>
    <w:rsid w:val="009A2B3D"/>
    <w:rsid w:val="009A2EEF"/>
    <w:rsid w:val="009A2F18"/>
    <w:rsid w:val="009A3522"/>
    <w:rsid w:val="009A35CA"/>
    <w:rsid w:val="009A3B9B"/>
    <w:rsid w:val="009A4121"/>
    <w:rsid w:val="009A452A"/>
    <w:rsid w:val="009A4786"/>
    <w:rsid w:val="009A4908"/>
    <w:rsid w:val="009A556B"/>
    <w:rsid w:val="009A5912"/>
    <w:rsid w:val="009A5DEF"/>
    <w:rsid w:val="009A659C"/>
    <w:rsid w:val="009A672C"/>
    <w:rsid w:val="009A694E"/>
    <w:rsid w:val="009A7261"/>
    <w:rsid w:val="009A7774"/>
    <w:rsid w:val="009A7C31"/>
    <w:rsid w:val="009B0659"/>
    <w:rsid w:val="009B07FD"/>
    <w:rsid w:val="009B08D8"/>
    <w:rsid w:val="009B0A9C"/>
    <w:rsid w:val="009B0E10"/>
    <w:rsid w:val="009B1640"/>
    <w:rsid w:val="009B1BF0"/>
    <w:rsid w:val="009B1F45"/>
    <w:rsid w:val="009B23DF"/>
    <w:rsid w:val="009B2B31"/>
    <w:rsid w:val="009B3098"/>
    <w:rsid w:val="009B3788"/>
    <w:rsid w:val="009B38FD"/>
    <w:rsid w:val="009B3A01"/>
    <w:rsid w:val="009B3BE5"/>
    <w:rsid w:val="009B3F5F"/>
    <w:rsid w:val="009B4263"/>
    <w:rsid w:val="009B4356"/>
    <w:rsid w:val="009B4833"/>
    <w:rsid w:val="009B4960"/>
    <w:rsid w:val="009B4AC5"/>
    <w:rsid w:val="009B4E46"/>
    <w:rsid w:val="009B4F1A"/>
    <w:rsid w:val="009B513A"/>
    <w:rsid w:val="009B54FD"/>
    <w:rsid w:val="009B565C"/>
    <w:rsid w:val="009B6291"/>
    <w:rsid w:val="009B637C"/>
    <w:rsid w:val="009B6480"/>
    <w:rsid w:val="009B69BB"/>
    <w:rsid w:val="009B6A8F"/>
    <w:rsid w:val="009B6D1A"/>
    <w:rsid w:val="009B6E96"/>
    <w:rsid w:val="009B7250"/>
    <w:rsid w:val="009B740C"/>
    <w:rsid w:val="009B7464"/>
    <w:rsid w:val="009B7B79"/>
    <w:rsid w:val="009B7BC1"/>
    <w:rsid w:val="009B7C6A"/>
    <w:rsid w:val="009B7EF8"/>
    <w:rsid w:val="009C0092"/>
    <w:rsid w:val="009C073F"/>
    <w:rsid w:val="009C0750"/>
    <w:rsid w:val="009C077D"/>
    <w:rsid w:val="009C090D"/>
    <w:rsid w:val="009C0D00"/>
    <w:rsid w:val="009C127D"/>
    <w:rsid w:val="009C18F0"/>
    <w:rsid w:val="009C1FF8"/>
    <w:rsid w:val="009C2276"/>
    <w:rsid w:val="009C24BF"/>
    <w:rsid w:val="009C2890"/>
    <w:rsid w:val="009C2AAD"/>
    <w:rsid w:val="009C2DAD"/>
    <w:rsid w:val="009C2EC2"/>
    <w:rsid w:val="009C39F4"/>
    <w:rsid w:val="009C3E58"/>
    <w:rsid w:val="009C42B7"/>
    <w:rsid w:val="009C48D6"/>
    <w:rsid w:val="009C4CD1"/>
    <w:rsid w:val="009C4D55"/>
    <w:rsid w:val="009C5510"/>
    <w:rsid w:val="009C5931"/>
    <w:rsid w:val="009C5ACA"/>
    <w:rsid w:val="009C5CC0"/>
    <w:rsid w:val="009C5DE4"/>
    <w:rsid w:val="009C5F3D"/>
    <w:rsid w:val="009C5F6F"/>
    <w:rsid w:val="009C6295"/>
    <w:rsid w:val="009C66FE"/>
    <w:rsid w:val="009C6AA9"/>
    <w:rsid w:val="009C7052"/>
    <w:rsid w:val="009C74A1"/>
    <w:rsid w:val="009C7517"/>
    <w:rsid w:val="009C7541"/>
    <w:rsid w:val="009C765F"/>
    <w:rsid w:val="009C775D"/>
    <w:rsid w:val="009C79D1"/>
    <w:rsid w:val="009C7F9E"/>
    <w:rsid w:val="009D0245"/>
    <w:rsid w:val="009D0331"/>
    <w:rsid w:val="009D0A09"/>
    <w:rsid w:val="009D19C8"/>
    <w:rsid w:val="009D1C48"/>
    <w:rsid w:val="009D1D6C"/>
    <w:rsid w:val="009D1EA7"/>
    <w:rsid w:val="009D1F4B"/>
    <w:rsid w:val="009D1FB8"/>
    <w:rsid w:val="009D29DC"/>
    <w:rsid w:val="009D2C03"/>
    <w:rsid w:val="009D2F7E"/>
    <w:rsid w:val="009D2F93"/>
    <w:rsid w:val="009D3109"/>
    <w:rsid w:val="009D352E"/>
    <w:rsid w:val="009D38EC"/>
    <w:rsid w:val="009D3A9D"/>
    <w:rsid w:val="009D3B40"/>
    <w:rsid w:val="009D3D25"/>
    <w:rsid w:val="009D3E20"/>
    <w:rsid w:val="009D49A2"/>
    <w:rsid w:val="009D4A7D"/>
    <w:rsid w:val="009D51A6"/>
    <w:rsid w:val="009D51EC"/>
    <w:rsid w:val="009D5271"/>
    <w:rsid w:val="009D529D"/>
    <w:rsid w:val="009D53DA"/>
    <w:rsid w:val="009D545C"/>
    <w:rsid w:val="009D583B"/>
    <w:rsid w:val="009D5D9E"/>
    <w:rsid w:val="009D5E1D"/>
    <w:rsid w:val="009D62D0"/>
    <w:rsid w:val="009D63EE"/>
    <w:rsid w:val="009D64A3"/>
    <w:rsid w:val="009D6576"/>
    <w:rsid w:val="009D67EE"/>
    <w:rsid w:val="009D6BD2"/>
    <w:rsid w:val="009D72AE"/>
    <w:rsid w:val="009D742B"/>
    <w:rsid w:val="009D7C8C"/>
    <w:rsid w:val="009D7CE6"/>
    <w:rsid w:val="009D7EA2"/>
    <w:rsid w:val="009E01CE"/>
    <w:rsid w:val="009E04D7"/>
    <w:rsid w:val="009E0542"/>
    <w:rsid w:val="009E0B03"/>
    <w:rsid w:val="009E0B8B"/>
    <w:rsid w:val="009E1039"/>
    <w:rsid w:val="009E10B7"/>
    <w:rsid w:val="009E1123"/>
    <w:rsid w:val="009E1219"/>
    <w:rsid w:val="009E17C2"/>
    <w:rsid w:val="009E2092"/>
    <w:rsid w:val="009E26D0"/>
    <w:rsid w:val="009E27F9"/>
    <w:rsid w:val="009E2A86"/>
    <w:rsid w:val="009E2D6E"/>
    <w:rsid w:val="009E314D"/>
    <w:rsid w:val="009E339A"/>
    <w:rsid w:val="009E35AB"/>
    <w:rsid w:val="009E427F"/>
    <w:rsid w:val="009E448D"/>
    <w:rsid w:val="009E4783"/>
    <w:rsid w:val="009E4BA9"/>
    <w:rsid w:val="009E4C2F"/>
    <w:rsid w:val="009E4CD8"/>
    <w:rsid w:val="009E4EF3"/>
    <w:rsid w:val="009E525D"/>
    <w:rsid w:val="009E5327"/>
    <w:rsid w:val="009E580E"/>
    <w:rsid w:val="009E581E"/>
    <w:rsid w:val="009E58F1"/>
    <w:rsid w:val="009E5B60"/>
    <w:rsid w:val="009E5EAE"/>
    <w:rsid w:val="009E5FA5"/>
    <w:rsid w:val="009E62B1"/>
    <w:rsid w:val="009E62E0"/>
    <w:rsid w:val="009E70A5"/>
    <w:rsid w:val="009E7556"/>
    <w:rsid w:val="009F0580"/>
    <w:rsid w:val="009F097C"/>
    <w:rsid w:val="009F0D36"/>
    <w:rsid w:val="009F133C"/>
    <w:rsid w:val="009F14ED"/>
    <w:rsid w:val="009F1A40"/>
    <w:rsid w:val="009F21DB"/>
    <w:rsid w:val="009F2A1C"/>
    <w:rsid w:val="009F3373"/>
    <w:rsid w:val="009F364B"/>
    <w:rsid w:val="009F385C"/>
    <w:rsid w:val="009F3E8A"/>
    <w:rsid w:val="009F42AF"/>
    <w:rsid w:val="009F4438"/>
    <w:rsid w:val="009F44B9"/>
    <w:rsid w:val="009F4627"/>
    <w:rsid w:val="009F4BE1"/>
    <w:rsid w:val="009F4C4C"/>
    <w:rsid w:val="009F4E31"/>
    <w:rsid w:val="009F524D"/>
    <w:rsid w:val="009F52C9"/>
    <w:rsid w:val="009F54A3"/>
    <w:rsid w:val="009F5B25"/>
    <w:rsid w:val="009F5DFF"/>
    <w:rsid w:val="009F5FA5"/>
    <w:rsid w:val="009F64C0"/>
    <w:rsid w:val="009F6799"/>
    <w:rsid w:val="009F6934"/>
    <w:rsid w:val="009F693A"/>
    <w:rsid w:val="009F6BFE"/>
    <w:rsid w:val="009F76C2"/>
    <w:rsid w:val="009F782D"/>
    <w:rsid w:val="009F7F08"/>
    <w:rsid w:val="00A00419"/>
    <w:rsid w:val="00A00614"/>
    <w:rsid w:val="00A0082F"/>
    <w:rsid w:val="00A00CDA"/>
    <w:rsid w:val="00A00F91"/>
    <w:rsid w:val="00A00FFA"/>
    <w:rsid w:val="00A01039"/>
    <w:rsid w:val="00A0172E"/>
    <w:rsid w:val="00A01B6B"/>
    <w:rsid w:val="00A01DCD"/>
    <w:rsid w:val="00A021B7"/>
    <w:rsid w:val="00A023C1"/>
    <w:rsid w:val="00A025DB"/>
    <w:rsid w:val="00A025DF"/>
    <w:rsid w:val="00A0290C"/>
    <w:rsid w:val="00A02AF8"/>
    <w:rsid w:val="00A02C95"/>
    <w:rsid w:val="00A0311A"/>
    <w:rsid w:val="00A033CC"/>
    <w:rsid w:val="00A0353D"/>
    <w:rsid w:val="00A03593"/>
    <w:rsid w:val="00A03B0E"/>
    <w:rsid w:val="00A044E9"/>
    <w:rsid w:val="00A04DFE"/>
    <w:rsid w:val="00A06055"/>
    <w:rsid w:val="00A06098"/>
    <w:rsid w:val="00A0623E"/>
    <w:rsid w:val="00A062BC"/>
    <w:rsid w:val="00A062CC"/>
    <w:rsid w:val="00A06667"/>
    <w:rsid w:val="00A067E3"/>
    <w:rsid w:val="00A06855"/>
    <w:rsid w:val="00A06A79"/>
    <w:rsid w:val="00A06DCC"/>
    <w:rsid w:val="00A06E4A"/>
    <w:rsid w:val="00A07527"/>
    <w:rsid w:val="00A077BF"/>
    <w:rsid w:val="00A07873"/>
    <w:rsid w:val="00A07AAF"/>
    <w:rsid w:val="00A07F0E"/>
    <w:rsid w:val="00A102FE"/>
    <w:rsid w:val="00A1046B"/>
    <w:rsid w:val="00A1184E"/>
    <w:rsid w:val="00A118C7"/>
    <w:rsid w:val="00A11F64"/>
    <w:rsid w:val="00A1262F"/>
    <w:rsid w:val="00A12657"/>
    <w:rsid w:val="00A12E04"/>
    <w:rsid w:val="00A12F7B"/>
    <w:rsid w:val="00A13025"/>
    <w:rsid w:val="00A133E5"/>
    <w:rsid w:val="00A1364F"/>
    <w:rsid w:val="00A13A0B"/>
    <w:rsid w:val="00A13AB1"/>
    <w:rsid w:val="00A140D1"/>
    <w:rsid w:val="00A141F1"/>
    <w:rsid w:val="00A14C80"/>
    <w:rsid w:val="00A14D40"/>
    <w:rsid w:val="00A154CC"/>
    <w:rsid w:val="00A155B2"/>
    <w:rsid w:val="00A156DF"/>
    <w:rsid w:val="00A15874"/>
    <w:rsid w:val="00A15C84"/>
    <w:rsid w:val="00A15C88"/>
    <w:rsid w:val="00A16356"/>
    <w:rsid w:val="00A16581"/>
    <w:rsid w:val="00A165D6"/>
    <w:rsid w:val="00A16735"/>
    <w:rsid w:val="00A1690E"/>
    <w:rsid w:val="00A16E5B"/>
    <w:rsid w:val="00A17060"/>
    <w:rsid w:val="00A174F7"/>
    <w:rsid w:val="00A17549"/>
    <w:rsid w:val="00A17782"/>
    <w:rsid w:val="00A17B6D"/>
    <w:rsid w:val="00A17CFD"/>
    <w:rsid w:val="00A20FE0"/>
    <w:rsid w:val="00A21173"/>
    <w:rsid w:val="00A211D1"/>
    <w:rsid w:val="00A21B2D"/>
    <w:rsid w:val="00A21E1C"/>
    <w:rsid w:val="00A221D9"/>
    <w:rsid w:val="00A221EF"/>
    <w:rsid w:val="00A22220"/>
    <w:rsid w:val="00A22359"/>
    <w:rsid w:val="00A226B9"/>
    <w:rsid w:val="00A233E1"/>
    <w:rsid w:val="00A239D4"/>
    <w:rsid w:val="00A23DDB"/>
    <w:rsid w:val="00A23EF5"/>
    <w:rsid w:val="00A24546"/>
    <w:rsid w:val="00A24581"/>
    <w:rsid w:val="00A24A4F"/>
    <w:rsid w:val="00A24BF8"/>
    <w:rsid w:val="00A24EF4"/>
    <w:rsid w:val="00A25087"/>
    <w:rsid w:val="00A259EB"/>
    <w:rsid w:val="00A25D24"/>
    <w:rsid w:val="00A25EBD"/>
    <w:rsid w:val="00A2608A"/>
    <w:rsid w:val="00A260DB"/>
    <w:rsid w:val="00A261C3"/>
    <w:rsid w:val="00A266E1"/>
    <w:rsid w:val="00A27843"/>
    <w:rsid w:val="00A27933"/>
    <w:rsid w:val="00A27A97"/>
    <w:rsid w:val="00A27D60"/>
    <w:rsid w:val="00A27F53"/>
    <w:rsid w:val="00A30198"/>
    <w:rsid w:val="00A3041D"/>
    <w:rsid w:val="00A3055C"/>
    <w:rsid w:val="00A308B2"/>
    <w:rsid w:val="00A30E29"/>
    <w:rsid w:val="00A30ECF"/>
    <w:rsid w:val="00A311FF"/>
    <w:rsid w:val="00A31386"/>
    <w:rsid w:val="00A319B9"/>
    <w:rsid w:val="00A3293E"/>
    <w:rsid w:val="00A32968"/>
    <w:rsid w:val="00A32B5E"/>
    <w:rsid w:val="00A32C28"/>
    <w:rsid w:val="00A32C80"/>
    <w:rsid w:val="00A32E52"/>
    <w:rsid w:val="00A33214"/>
    <w:rsid w:val="00A33B01"/>
    <w:rsid w:val="00A33DC3"/>
    <w:rsid w:val="00A342EF"/>
    <w:rsid w:val="00A3442B"/>
    <w:rsid w:val="00A348D4"/>
    <w:rsid w:val="00A34CB9"/>
    <w:rsid w:val="00A35055"/>
    <w:rsid w:val="00A3534D"/>
    <w:rsid w:val="00A35BBA"/>
    <w:rsid w:val="00A35DCE"/>
    <w:rsid w:val="00A36590"/>
    <w:rsid w:val="00A36614"/>
    <w:rsid w:val="00A36775"/>
    <w:rsid w:val="00A36A87"/>
    <w:rsid w:val="00A36D1A"/>
    <w:rsid w:val="00A36F74"/>
    <w:rsid w:val="00A370CA"/>
    <w:rsid w:val="00A374BF"/>
    <w:rsid w:val="00A3772C"/>
    <w:rsid w:val="00A37964"/>
    <w:rsid w:val="00A379D6"/>
    <w:rsid w:val="00A37C5F"/>
    <w:rsid w:val="00A37DF8"/>
    <w:rsid w:val="00A406AA"/>
    <w:rsid w:val="00A40A10"/>
    <w:rsid w:val="00A40AF0"/>
    <w:rsid w:val="00A40F14"/>
    <w:rsid w:val="00A40FA3"/>
    <w:rsid w:val="00A413F4"/>
    <w:rsid w:val="00A4147F"/>
    <w:rsid w:val="00A41848"/>
    <w:rsid w:val="00A418FF"/>
    <w:rsid w:val="00A419CC"/>
    <w:rsid w:val="00A4205F"/>
    <w:rsid w:val="00A423C5"/>
    <w:rsid w:val="00A42825"/>
    <w:rsid w:val="00A43BC2"/>
    <w:rsid w:val="00A4427E"/>
    <w:rsid w:val="00A44481"/>
    <w:rsid w:val="00A44A11"/>
    <w:rsid w:val="00A45369"/>
    <w:rsid w:val="00A45A56"/>
    <w:rsid w:val="00A464FD"/>
    <w:rsid w:val="00A46D5A"/>
    <w:rsid w:val="00A46E87"/>
    <w:rsid w:val="00A4753C"/>
    <w:rsid w:val="00A479EF"/>
    <w:rsid w:val="00A504C8"/>
    <w:rsid w:val="00A508C3"/>
    <w:rsid w:val="00A50AF9"/>
    <w:rsid w:val="00A50D4B"/>
    <w:rsid w:val="00A50D9E"/>
    <w:rsid w:val="00A50EA0"/>
    <w:rsid w:val="00A5163A"/>
    <w:rsid w:val="00A51814"/>
    <w:rsid w:val="00A51A2D"/>
    <w:rsid w:val="00A51E81"/>
    <w:rsid w:val="00A51F6D"/>
    <w:rsid w:val="00A51FB3"/>
    <w:rsid w:val="00A520B6"/>
    <w:rsid w:val="00A52135"/>
    <w:rsid w:val="00A521B7"/>
    <w:rsid w:val="00A5228F"/>
    <w:rsid w:val="00A528FB"/>
    <w:rsid w:val="00A529AE"/>
    <w:rsid w:val="00A52DE8"/>
    <w:rsid w:val="00A52E96"/>
    <w:rsid w:val="00A53419"/>
    <w:rsid w:val="00A536D9"/>
    <w:rsid w:val="00A53BF4"/>
    <w:rsid w:val="00A53D1F"/>
    <w:rsid w:val="00A54790"/>
    <w:rsid w:val="00A54A01"/>
    <w:rsid w:val="00A54A8A"/>
    <w:rsid w:val="00A54B64"/>
    <w:rsid w:val="00A54B85"/>
    <w:rsid w:val="00A54D1B"/>
    <w:rsid w:val="00A551DD"/>
    <w:rsid w:val="00A55641"/>
    <w:rsid w:val="00A5583A"/>
    <w:rsid w:val="00A55C37"/>
    <w:rsid w:val="00A56400"/>
    <w:rsid w:val="00A565AA"/>
    <w:rsid w:val="00A5677D"/>
    <w:rsid w:val="00A56806"/>
    <w:rsid w:val="00A56E16"/>
    <w:rsid w:val="00A570C7"/>
    <w:rsid w:val="00A574B3"/>
    <w:rsid w:val="00A574E1"/>
    <w:rsid w:val="00A57ADD"/>
    <w:rsid w:val="00A57DA7"/>
    <w:rsid w:val="00A57EC1"/>
    <w:rsid w:val="00A6044B"/>
    <w:rsid w:val="00A6062D"/>
    <w:rsid w:val="00A6128D"/>
    <w:rsid w:val="00A6140B"/>
    <w:rsid w:val="00A61422"/>
    <w:rsid w:val="00A61BE2"/>
    <w:rsid w:val="00A624D1"/>
    <w:rsid w:val="00A62691"/>
    <w:rsid w:val="00A62B4C"/>
    <w:rsid w:val="00A63220"/>
    <w:rsid w:val="00A63829"/>
    <w:rsid w:val="00A643C2"/>
    <w:rsid w:val="00A644C0"/>
    <w:rsid w:val="00A64694"/>
    <w:rsid w:val="00A65D80"/>
    <w:rsid w:val="00A66846"/>
    <w:rsid w:val="00A66A8C"/>
    <w:rsid w:val="00A66BFD"/>
    <w:rsid w:val="00A66C0D"/>
    <w:rsid w:val="00A66E4F"/>
    <w:rsid w:val="00A670E1"/>
    <w:rsid w:val="00A67BD9"/>
    <w:rsid w:val="00A67CCD"/>
    <w:rsid w:val="00A7000A"/>
    <w:rsid w:val="00A707E3"/>
    <w:rsid w:val="00A70AD5"/>
    <w:rsid w:val="00A70D96"/>
    <w:rsid w:val="00A70E36"/>
    <w:rsid w:val="00A71A59"/>
    <w:rsid w:val="00A71C8B"/>
    <w:rsid w:val="00A72303"/>
    <w:rsid w:val="00A72334"/>
    <w:rsid w:val="00A72349"/>
    <w:rsid w:val="00A723B6"/>
    <w:rsid w:val="00A7282A"/>
    <w:rsid w:val="00A729F6"/>
    <w:rsid w:val="00A72AD6"/>
    <w:rsid w:val="00A72BF5"/>
    <w:rsid w:val="00A72EA3"/>
    <w:rsid w:val="00A72EAF"/>
    <w:rsid w:val="00A733C1"/>
    <w:rsid w:val="00A737A6"/>
    <w:rsid w:val="00A73F26"/>
    <w:rsid w:val="00A74852"/>
    <w:rsid w:val="00A74BB2"/>
    <w:rsid w:val="00A74C9B"/>
    <w:rsid w:val="00A75A42"/>
    <w:rsid w:val="00A75AD5"/>
    <w:rsid w:val="00A75D93"/>
    <w:rsid w:val="00A75DA9"/>
    <w:rsid w:val="00A75DF5"/>
    <w:rsid w:val="00A76068"/>
    <w:rsid w:val="00A762CA"/>
    <w:rsid w:val="00A76ADB"/>
    <w:rsid w:val="00A76F26"/>
    <w:rsid w:val="00A77575"/>
    <w:rsid w:val="00A77694"/>
    <w:rsid w:val="00A77743"/>
    <w:rsid w:val="00A77AC7"/>
    <w:rsid w:val="00A77B54"/>
    <w:rsid w:val="00A77D5B"/>
    <w:rsid w:val="00A77F15"/>
    <w:rsid w:val="00A80866"/>
    <w:rsid w:val="00A8096F"/>
    <w:rsid w:val="00A809BA"/>
    <w:rsid w:val="00A80C59"/>
    <w:rsid w:val="00A81214"/>
    <w:rsid w:val="00A81DC7"/>
    <w:rsid w:val="00A82370"/>
    <w:rsid w:val="00A82824"/>
    <w:rsid w:val="00A828A7"/>
    <w:rsid w:val="00A83403"/>
    <w:rsid w:val="00A83BB8"/>
    <w:rsid w:val="00A84535"/>
    <w:rsid w:val="00A84AF0"/>
    <w:rsid w:val="00A8542D"/>
    <w:rsid w:val="00A85590"/>
    <w:rsid w:val="00A8562F"/>
    <w:rsid w:val="00A8582F"/>
    <w:rsid w:val="00A85A60"/>
    <w:rsid w:val="00A85E01"/>
    <w:rsid w:val="00A860FE"/>
    <w:rsid w:val="00A8623B"/>
    <w:rsid w:val="00A8647B"/>
    <w:rsid w:val="00A8677F"/>
    <w:rsid w:val="00A8678D"/>
    <w:rsid w:val="00A86E3B"/>
    <w:rsid w:val="00A86F99"/>
    <w:rsid w:val="00A870D5"/>
    <w:rsid w:val="00A87323"/>
    <w:rsid w:val="00A8798D"/>
    <w:rsid w:val="00A87C76"/>
    <w:rsid w:val="00A87E1A"/>
    <w:rsid w:val="00A87E4B"/>
    <w:rsid w:val="00A901E9"/>
    <w:rsid w:val="00A9020C"/>
    <w:rsid w:val="00A90283"/>
    <w:rsid w:val="00A90373"/>
    <w:rsid w:val="00A9049C"/>
    <w:rsid w:val="00A9050D"/>
    <w:rsid w:val="00A90CEE"/>
    <w:rsid w:val="00A90F05"/>
    <w:rsid w:val="00A910AF"/>
    <w:rsid w:val="00A91471"/>
    <w:rsid w:val="00A91740"/>
    <w:rsid w:val="00A9177F"/>
    <w:rsid w:val="00A92992"/>
    <w:rsid w:val="00A92B7E"/>
    <w:rsid w:val="00A92C29"/>
    <w:rsid w:val="00A93283"/>
    <w:rsid w:val="00A937C8"/>
    <w:rsid w:val="00A93908"/>
    <w:rsid w:val="00A93FB7"/>
    <w:rsid w:val="00A93FC0"/>
    <w:rsid w:val="00A94186"/>
    <w:rsid w:val="00A941A3"/>
    <w:rsid w:val="00A942CE"/>
    <w:rsid w:val="00A94382"/>
    <w:rsid w:val="00A9469E"/>
    <w:rsid w:val="00A9481A"/>
    <w:rsid w:val="00A95633"/>
    <w:rsid w:val="00A95889"/>
    <w:rsid w:val="00A95B43"/>
    <w:rsid w:val="00A96984"/>
    <w:rsid w:val="00A969B4"/>
    <w:rsid w:val="00A96DDE"/>
    <w:rsid w:val="00A97180"/>
    <w:rsid w:val="00A97E3D"/>
    <w:rsid w:val="00AA0094"/>
    <w:rsid w:val="00AA01FA"/>
    <w:rsid w:val="00AA084E"/>
    <w:rsid w:val="00AA0958"/>
    <w:rsid w:val="00AA0F5D"/>
    <w:rsid w:val="00AA12C5"/>
    <w:rsid w:val="00AA145A"/>
    <w:rsid w:val="00AA1730"/>
    <w:rsid w:val="00AA1EEB"/>
    <w:rsid w:val="00AA1F23"/>
    <w:rsid w:val="00AA225B"/>
    <w:rsid w:val="00AA2563"/>
    <w:rsid w:val="00AA26D3"/>
    <w:rsid w:val="00AA2965"/>
    <w:rsid w:val="00AA2AD7"/>
    <w:rsid w:val="00AA3594"/>
    <w:rsid w:val="00AA3749"/>
    <w:rsid w:val="00AA38F5"/>
    <w:rsid w:val="00AA3D71"/>
    <w:rsid w:val="00AA4753"/>
    <w:rsid w:val="00AA47D7"/>
    <w:rsid w:val="00AA496D"/>
    <w:rsid w:val="00AA52E8"/>
    <w:rsid w:val="00AA56F5"/>
    <w:rsid w:val="00AA574B"/>
    <w:rsid w:val="00AA57D2"/>
    <w:rsid w:val="00AA5EE8"/>
    <w:rsid w:val="00AA5F2C"/>
    <w:rsid w:val="00AA6111"/>
    <w:rsid w:val="00AA637E"/>
    <w:rsid w:val="00AA640D"/>
    <w:rsid w:val="00AA645B"/>
    <w:rsid w:val="00AA651F"/>
    <w:rsid w:val="00AA66EC"/>
    <w:rsid w:val="00AA6A91"/>
    <w:rsid w:val="00AA7043"/>
    <w:rsid w:val="00AA7364"/>
    <w:rsid w:val="00AA765D"/>
    <w:rsid w:val="00AA7953"/>
    <w:rsid w:val="00AA79FD"/>
    <w:rsid w:val="00AA7F72"/>
    <w:rsid w:val="00AB00E1"/>
    <w:rsid w:val="00AB014B"/>
    <w:rsid w:val="00AB0973"/>
    <w:rsid w:val="00AB0ACF"/>
    <w:rsid w:val="00AB0DBF"/>
    <w:rsid w:val="00AB0F5C"/>
    <w:rsid w:val="00AB11C1"/>
    <w:rsid w:val="00AB14A9"/>
    <w:rsid w:val="00AB14D8"/>
    <w:rsid w:val="00AB172B"/>
    <w:rsid w:val="00AB1F92"/>
    <w:rsid w:val="00AB289C"/>
    <w:rsid w:val="00AB38EF"/>
    <w:rsid w:val="00AB3A16"/>
    <w:rsid w:val="00AB3A5C"/>
    <w:rsid w:val="00AB3ABC"/>
    <w:rsid w:val="00AB3B53"/>
    <w:rsid w:val="00AB4198"/>
    <w:rsid w:val="00AB4D28"/>
    <w:rsid w:val="00AB4DC9"/>
    <w:rsid w:val="00AB4E31"/>
    <w:rsid w:val="00AB4E4B"/>
    <w:rsid w:val="00AB5BAA"/>
    <w:rsid w:val="00AB5D33"/>
    <w:rsid w:val="00AB602C"/>
    <w:rsid w:val="00AB6132"/>
    <w:rsid w:val="00AB7C34"/>
    <w:rsid w:val="00AB7D6B"/>
    <w:rsid w:val="00AB7F57"/>
    <w:rsid w:val="00AC0143"/>
    <w:rsid w:val="00AC01C2"/>
    <w:rsid w:val="00AC0462"/>
    <w:rsid w:val="00AC0710"/>
    <w:rsid w:val="00AC0752"/>
    <w:rsid w:val="00AC0C71"/>
    <w:rsid w:val="00AC1075"/>
    <w:rsid w:val="00AC118F"/>
    <w:rsid w:val="00AC1328"/>
    <w:rsid w:val="00AC1463"/>
    <w:rsid w:val="00AC1A23"/>
    <w:rsid w:val="00AC1C91"/>
    <w:rsid w:val="00AC1CCB"/>
    <w:rsid w:val="00AC1CFF"/>
    <w:rsid w:val="00AC1DD0"/>
    <w:rsid w:val="00AC1F42"/>
    <w:rsid w:val="00AC24BB"/>
    <w:rsid w:val="00AC278F"/>
    <w:rsid w:val="00AC286F"/>
    <w:rsid w:val="00AC2881"/>
    <w:rsid w:val="00AC2BF2"/>
    <w:rsid w:val="00AC326A"/>
    <w:rsid w:val="00AC35D1"/>
    <w:rsid w:val="00AC36EB"/>
    <w:rsid w:val="00AC3B4D"/>
    <w:rsid w:val="00AC3CE0"/>
    <w:rsid w:val="00AC3EBC"/>
    <w:rsid w:val="00AC4046"/>
    <w:rsid w:val="00AC47D3"/>
    <w:rsid w:val="00AC4CC9"/>
    <w:rsid w:val="00AC5212"/>
    <w:rsid w:val="00AC5538"/>
    <w:rsid w:val="00AC5EAD"/>
    <w:rsid w:val="00AC64BF"/>
    <w:rsid w:val="00AC64F3"/>
    <w:rsid w:val="00AC65D4"/>
    <w:rsid w:val="00AC663A"/>
    <w:rsid w:val="00AC6A26"/>
    <w:rsid w:val="00AC6A75"/>
    <w:rsid w:val="00AC6A7A"/>
    <w:rsid w:val="00AC6BE2"/>
    <w:rsid w:val="00AC6D6E"/>
    <w:rsid w:val="00AC6DD4"/>
    <w:rsid w:val="00AC7117"/>
    <w:rsid w:val="00AC7B25"/>
    <w:rsid w:val="00AC7C10"/>
    <w:rsid w:val="00AC7D5F"/>
    <w:rsid w:val="00AD09C3"/>
    <w:rsid w:val="00AD0CA2"/>
    <w:rsid w:val="00AD0F6C"/>
    <w:rsid w:val="00AD11DE"/>
    <w:rsid w:val="00AD1518"/>
    <w:rsid w:val="00AD1E52"/>
    <w:rsid w:val="00AD1F6E"/>
    <w:rsid w:val="00AD214C"/>
    <w:rsid w:val="00AD233E"/>
    <w:rsid w:val="00AD23B9"/>
    <w:rsid w:val="00AD283A"/>
    <w:rsid w:val="00AD2847"/>
    <w:rsid w:val="00AD28B1"/>
    <w:rsid w:val="00AD2AB7"/>
    <w:rsid w:val="00AD2D9B"/>
    <w:rsid w:val="00AD2E31"/>
    <w:rsid w:val="00AD2F43"/>
    <w:rsid w:val="00AD324F"/>
    <w:rsid w:val="00AD3DA5"/>
    <w:rsid w:val="00AD536A"/>
    <w:rsid w:val="00AD55A7"/>
    <w:rsid w:val="00AD5B15"/>
    <w:rsid w:val="00AD5CBA"/>
    <w:rsid w:val="00AD6509"/>
    <w:rsid w:val="00AD6535"/>
    <w:rsid w:val="00AD6703"/>
    <w:rsid w:val="00AD6E01"/>
    <w:rsid w:val="00AD6F0F"/>
    <w:rsid w:val="00AD707B"/>
    <w:rsid w:val="00AD729B"/>
    <w:rsid w:val="00AD75EA"/>
    <w:rsid w:val="00AD7A11"/>
    <w:rsid w:val="00AD7CAA"/>
    <w:rsid w:val="00AE03A7"/>
    <w:rsid w:val="00AE08FC"/>
    <w:rsid w:val="00AE0C33"/>
    <w:rsid w:val="00AE0CE2"/>
    <w:rsid w:val="00AE12A9"/>
    <w:rsid w:val="00AE156A"/>
    <w:rsid w:val="00AE15FD"/>
    <w:rsid w:val="00AE176D"/>
    <w:rsid w:val="00AE1D3D"/>
    <w:rsid w:val="00AE2A6C"/>
    <w:rsid w:val="00AE2FA9"/>
    <w:rsid w:val="00AE31F2"/>
    <w:rsid w:val="00AE32B8"/>
    <w:rsid w:val="00AE32E4"/>
    <w:rsid w:val="00AE36A8"/>
    <w:rsid w:val="00AE394F"/>
    <w:rsid w:val="00AE3A61"/>
    <w:rsid w:val="00AE3C40"/>
    <w:rsid w:val="00AE3CDA"/>
    <w:rsid w:val="00AE413C"/>
    <w:rsid w:val="00AE43CA"/>
    <w:rsid w:val="00AE471A"/>
    <w:rsid w:val="00AE4A63"/>
    <w:rsid w:val="00AE4BBE"/>
    <w:rsid w:val="00AE4CA9"/>
    <w:rsid w:val="00AE4D80"/>
    <w:rsid w:val="00AE571C"/>
    <w:rsid w:val="00AE5B1B"/>
    <w:rsid w:val="00AE5B97"/>
    <w:rsid w:val="00AE68E6"/>
    <w:rsid w:val="00AE6BDF"/>
    <w:rsid w:val="00AE6CAE"/>
    <w:rsid w:val="00AE70E2"/>
    <w:rsid w:val="00AE72F1"/>
    <w:rsid w:val="00AE73B5"/>
    <w:rsid w:val="00AE7FDD"/>
    <w:rsid w:val="00AF0BDD"/>
    <w:rsid w:val="00AF0C5E"/>
    <w:rsid w:val="00AF1148"/>
    <w:rsid w:val="00AF176F"/>
    <w:rsid w:val="00AF18F2"/>
    <w:rsid w:val="00AF19FE"/>
    <w:rsid w:val="00AF1CE4"/>
    <w:rsid w:val="00AF2048"/>
    <w:rsid w:val="00AF2063"/>
    <w:rsid w:val="00AF21D2"/>
    <w:rsid w:val="00AF2370"/>
    <w:rsid w:val="00AF270B"/>
    <w:rsid w:val="00AF293C"/>
    <w:rsid w:val="00AF2A09"/>
    <w:rsid w:val="00AF2E7C"/>
    <w:rsid w:val="00AF3653"/>
    <w:rsid w:val="00AF37BD"/>
    <w:rsid w:val="00AF4317"/>
    <w:rsid w:val="00AF452E"/>
    <w:rsid w:val="00AF4FF5"/>
    <w:rsid w:val="00AF5008"/>
    <w:rsid w:val="00AF5027"/>
    <w:rsid w:val="00AF53B0"/>
    <w:rsid w:val="00AF54FF"/>
    <w:rsid w:val="00AF5B05"/>
    <w:rsid w:val="00AF5FEE"/>
    <w:rsid w:val="00AF60C9"/>
    <w:rsid w:val="00AF610E"/>
    <w:rsid w:val="00AF62A8"/>
    <w:rsid w:val="00AF64BD"/>
    <w:rsid w:val="00AF6607"/>
    <w:rsid w:val="00AF66BA"/>
    <w:rsid w:val="00AF6740"/>
    <w:rsid w:val="00AF67AD"/>
    <w:rsid w:val="00AF69B7"/>
    <w:rsid w:val="00AF6AD8"/>
    <w:rsid w:val="00AF6D25"/>
    <w:rsid w:val="00AF7219"/>
    <w:rsid w:val="00AF7282"/>
    <w:rsid w:val="00AF7A1F"/>
    <w:rsid w:val="00AF7A33"/>
    <w:rsid w:val="00AF7AC7"/>
    <w:rsid w:val="00B000DE"/>
    <w:rsid w:val="00B0017F"/>
    <w:rsid w:val="00B00528"/>
    <w:rsid w:val="00B00C6F"/>
    <w:rsid w:val="00B00C7D"/>
    <w:rsid w:val="00B013EB"/>
    <w:rsid w:val="00B01F7C"/>
    <w:rsid w:val="00B02AB4"/>
    <w:rsid w:val="00B02B3B"/>
    <w:rsid w:val="00B02B92"/>
    <w:rsid w:val="00B02BAF"/>
    <w:rsid w:val="00B02CA5"/>
    <w:rsid w:val="00B02D55"/>
    <w:rsid w:val="00B03079"/>
    <w:rsid w:val="00B03196"/>
    <w:rsid w:val="00B03237"/>
    <w:rsid w:val="00B03479"/>
    <w:rsid w:val="00B03B45"/>
    <w:rsid w:val="00B03F46"/>
    <w:rsid w:val="00B03FDD"/>
    <w:rsid w:val="00B04755"/>
    <w:rsid w:val="00B04984"/>
    <w:rsid w:val="00B04F9F"/>
    <w:rsid w:val="00B05187"/>
    <w:rsid w:val="00B059D0"/>
    <w:rsid w:val="00B05BFA"/>
    <w:rsid w:val="00B06270"/>
    <w:rsid w:val="00B0632F"/>
    <w:rsid w:val="00B06CF3"/>
    <w:rsid w:val="00B074FB"/>
    <w:rsid w:val="00B07A56"/>
    <w:rsid w:val="00B07D0A"/>
    <w:rsid w:val="00B07F37"/>
    <w:rsid w:val="00B102EE"/>
    <w:rsid w:val="00B10F74"/>
    <w:rsid w:val="00B11002"/>
    <w:rsid w:val="00B11338"/>
    <w:rsid w:val="00B11A7C"/>
    <w:rsid w:val="00B11C2A"/>
    <w:rsid w:val="00B11E89"/>
    <w:rsid w:val="00B126E1"/>
    <w:rsid w:val="00B128EC"/>
    <w:rsid w:val="00B12CA4"/>
    <w:rsid w:val="00B12E83"/>
    <w:rsid w:val="00B133C3"/>
    <w:rsid w:val="00B14045"/>
    <w:rsid w:val="00B14116"/>
    <w:rsid w:val="00B14158"/>
    <w:rsid w:val="00B14712"/>
    <w:rsid w:val="00B1481A"/>
    <w:rsid w:val="00B14B30"/>
    <w:rsid w:val="00B14CD8"/>
    <w:rsid w:val="00B14F0A"/>
    <w:rsid w:val="00B14FAD"/>
    <w:rsid w:val="00B15571"/>
    <w:rsid w:val="00B1585E"/>
    <w:rsid w:val="00B15945"/>
    <w:rsid w:val="00B162ED"/>
    <w:rsid w:val="00B16AC0"/>
    <w:rsid w:val="00B16EB2"/>
    <w:rsid w:val="00B173B9"/>
    <w:rsid w:val="00B17B93"/>
    <w:rsid w:val="00B20184"/>
    <w:rsid w:val="00B202B6"/>
    <w:rsid w:val="00B203C7"/>
    <w:rsid w:val="00B205A3"/>
    <w:rsid w:val="00B2084F"/>
    <w:rsid w:val="00B20B24"/>
    <w:rsid w:val="00B20D4C"/>
    <w:rsid w:val="00B20F26"/>
    <w:rsid w:val="00B212FC"/>
    <w:rsid w:val="00B216BD"/>
    <w:rsid w:val="00B2196B"/>
    <w:rsid w:val="00B2199F"/>
    <w:rsid w:val="00B21BA4"/>
    <w:rsid w:val="00B21E9B"/>
    <w:rsid w:val="00B2216D"/>
    <w:rsid w:val="00B22669"/>
    <w:rsid w:val="00B22996"/>
    <w:rsid w:val="00B22D6D"/>
    <w:rsid w:val="00B23378"/>
    <w:rsid w:val="00B2365F"/>
    <w:rsid w:val="00B236CE"/>
    <w:rsid w:val="00B249D6"/>
    <w:rsid w:val="00B24AB5"/>
    <w:rsid w:val="00B24E3B"/>
    <w:rsid w:val="00B250C3"/>
    <w:rsid w:val="00B25123"/>
    <w:rsid w:val="00B251A0"/>
    <w:rsid w:val="00B253B4"/>
    <w:rsid w:val="00B26283"/>
    <w:rsid w:val="00B26425"/>
    <w:rsid w:val="00B2673D"/>
    <w:rsid w:val="00B267D9"/>
    <w:rsid w:val="00B26BDC"/>
    <w:rsid w:val="00B26BFD"/>
    <w:rsid w:val="00B26E7B"/>
    <w:rsid w:val="00B27DB0"/>
    <w:rsid w:val="00B30099"/>
    <w:rsid w:val="00B31B4D"/>
    <w:rsid w:val="00B31BA2"/>
    <w:rsid w:val="00B31BA5"/>
    <w:rsid w:val="00B31E04"/>
    <w:rsid w:val="00B31F7F"/>
    <w:rsid w:val="00B321FC"/>
    <w:rsid w:val="00B3271D"/>
    <w:rsid w:val="00B328AF"/>
    <w:rsid w:val="00B32967"/>
    <w:rsid w:val="00B32B41"/>
    <w:rsid w:val="00B32CDB"/>
    <w:rsid w:val="00B3379E"/>
    <w:rsid w:val="00B338F7"/>
    <w:rsid w:val="00B33CFF"/>
    <w:rsid w:val="00B34561"/>
    <w:rsid w:val="00B345D5"/>
    <w:rsid w:val="00B34ACE"/>
    <w:rsid w:val="00B34B9E"/>
    <w:rsid w:val="00B34C60"/>
    <w:rsid w:val="00B34C90"/>
    <w:rsid w:val="00B35392"/>
    <w:rsid w:val="00B35401"/>
    <w:rsid w:val="00B3561D"/>
    <w:rsid w:val="00B356B3"/>
    <w:rsid w:val="00B35751"/>
    <w:rsid w:val="00B35914"/>
    <w:rsid w:val="00B35E1F"/>
    <w:rsid w:val="00B360EA"/>
    <w:rsid w:val="00B361E0"/>
    <w:rsid w:val="00B3630A"/>
    <w:rsid w:val="00B364E4"/>
    <w:rsid w:val="00B36E61"/>
    <w:rsid w:val="00B36F8B"/>
    <w:rsid w:val="00B370E8"/>
    <w:rsid w:val="00B3719B"/>
    <w:rsid w:val="00B375CC"/>
    <w:rsid w:val="00B40554"/>
    <w:rsid w:val="00B40999"/>
    <w:rsid w:val="00B41014"/>
    <w:rsid w:val="00B4117C"/>
    <w:rsid w:val="00B411AA"/>
    <w:rsid w:val="00B41356"/>
    <w:rsid w:val="00B41D87"/>
    <w:rsid w:val="00B41F26"/>
    <w:rsid w:val="00B41F3C"/>
    <w:rsid w:val="00B42626"/>
    <w:rsid w:val="00B4268B"/>
    <w:rsid w:val="00B42711"/>
    <w:rsid w:val="00B427CC"/>
    <w:rsid w:val="00B42993"/>
    <w:rsid w:val="00B429AC"/>
    <w:rsid w:val="00B42A4C"/>
    <w:rsid w:val="00B42FDB"/>
    <w:rsid w:val="00B43579"/>
    <w:rsid w:val="00B43A61"/>
    <w:rsid w:val="00B43BDF"/>
    <w:rsid w:val="00B43DA4"/>
    <w:rsid w:val="00B43E94"/>
    <w:rsid w:val="00B44006"/>
    <w:rsid w:val="00B44807"/>
    <w:rsid w:val="00B45094"/>
    <w:rsid w:val="00B451A5"/>
    <w:rsid w:val="00B45657"/>
    <w:rsid w:val="00B456D7"/>
    <w:rsid w:val="00B4576B"/>
    <w:rsid w:val="00B45AF3"/>
    <w:rsid w:val="00B461D2"/>
    <w:rsid w:val="00B46972"/>
    <w:rsid w:val="00B46980"/>
    <w:rsid w:val="00B46BAB"/>
    <w:rsid w:val="00B46C47"/>
    <w:rsid w:val="00B46F2C"/>
    <w:rsid w:val="00B47483"/>
    <w:rsid w:val="00B4758E"/>
    <w:rsid w:val="00B477B8"/>
    <w:rsid w:val="00B47F29"/>
    <w:rsid w:val="00B47F4A"/>
    <w:rsid w:val="00B47F63"/>
    <w:rsid w:val="00B47FD5"/>
    <w:rsid w:val="00B500CD"/>
    <w:rsid w:val="00B5036A"/>
    <w:rsid w:val="00B507B4"/>
    <w:rsid w:val="00B50F67"/>
    <w:rsid w:val="00B50F75"/>
    <w:rsid w:val="00B50FC2"/>
    <w:rsid w:val="00B518E3"/>
    <w:rsid w:val="00B51E5A"/>
    <w:rsid w:val="00B52305"/>
    <w:rsid w:val="00B52475"/>
    <w:rsid w:val="00B52484"/>
    <w:rsid w:val="00B52CAE"/>
    <w:rsid w:val="00B52E48"/>
    <w:rsid w:val="00B53114"/>
    <w:rsid w:val="00B53420"/>
    <w:rsid w:val="00B5373E"/>
    <w:rsid w:val="00B53929"/>
    <w:rsid w:val="00B53EF9"/>
    <w:rsid w:val="00B5413E"/>
    <w:rsid w:val="00B542D2"/>
    <w:rsid w:val="00B5491C"/>
    <w:rsid w:val="00B54DC4"/>
    <w:rsid w:val="00B55385"/>
    <w:rsid w:val="00B56218"/>
    <w:rsid w:val="00B5659B"/>
    <w:rsid w:val="00B56F20"/>
    <w:rsid w:val="00B57920"/>
    <w:rsid w:val="00B60016"/>
    <w:rsid w:val="00B600EF"/>
    <w:rsid w:val="00B603B1"/>
    <w:rsid w:val="00B608BE"/>
    <w:rsid w:val="00B60C29"/>
    <w:rsid w:val="00B60C53"/>
    <w:rsid w:val="00B60F04"/>
    <w:rsid w:val="00B61173"/>
    <w:rsid w:val="00B61895"/>
    <w:rsid w:val="00B619FC"/>
    <w:rsid w:val="00B61C5D"/>
    <w:rsid w:val="00B620B7"/>
    <w:rsid w:val="00B62199"/>
    <w:rsid w:val="00B62390"/>
    <w:rsid w:val="00B624EE"/>
    <w:rsid w:val="00B62775"/>
    <w:rsid w:val="00B62A3C"/>
    <w:rsid w:val="00B62C23"/>
    <w:rsid w:val="00B63577"/>
    <w:rsid w:val="00B63B3A"/>
    <w:rsid w:val="00B63B52"/>
    <w:rsid w:val="00B64178"/>
    <w:rsid w:val="00B64A65"/>
    <w:rsid w:val="00B65418"/>
    <w:rsid w:val="00B654B2"/>
    <w:rsid w:val="00B658D0"/>
    <w:rsid w:val="00B65FD3"/>
    <w:rsid w:val="00B66619"/>
    <w:rsid w:val="00B6661B"/>
    <w:rsid w:val="00B6682D"/>
    <w:rsid w:val="00B66C37"/>
    <w:rsid w:val="00B66E23"/>
    <w:rsid w:val="00B67104"/>
    <w:rsid w:val="00B671A2"/>
    <w:rsid w:val="00B67366"/>
    <w:rsid w:val="00B6777F"/>
    <w:rsid w:val="00B6796D"/>
    <w:rsid w:val="00B67AAD"/>
    <w:rsid w:val="00B67C7C"/>
    <w:rsid w:val="00B67E6E"/>
    <w:rsid w:val="00B70057"/>
    <w:rsid w:val="00B7013B"/>
    <w:rsid w:val="00B7082E"/>
    <w:rsid w:val="00B70D5A"/>
    <w:rsid w:val="00B710DE"/>
    <w:rsid w:val="00B7127B"/>
    <w:rsid w:val="00B713E4"/>
    <w:rsid w:val="00B71451"/>
    <w:rsid w:val="00B71515"/>
    <w:rsid w:val="00B7175C"/>
    <w:rsid w:val="00B71983"/>
    <w:rsid w:val="00B71A41"/>
    <w:rsid w:val="00B71A83"/>
    <w:rsid w:val="00B72211"/>
    <w:rsid w:val="00B7264F"/>
    <w:rsid w:val="00B72CC8"/>
    <w:rsid w:val="00B72DA3"/>
    <w:rsid w:val="00B72E47"/>
    <w:rsid w:val="00B73245"/>
    <w:rsid w:val="00B73DA3"/>
    <w:rsid w:val="00B73E5B"/>
    <w:rsid w:val="00B74612"/>
    <w:rsid w:val="00B746F6"/>
    <w:rsid w:val="00B74E78"/>
    <w:rsid w:val="00B75303"/>
    <w:rsid w:val="00B75627"/>
    <w:rsid w:val="00B75A22"/>
    <w:rsid w:val="00B75FD9"/>
    <w:rsid w:val="00B75FF2"/>
    <w:rsid w:val="00B76202"/>
    <w:rsid w:val="00B76AEB"/>
    <w:rsid w:val="00B76FD4"/>
    <w:rsid w:val="00B77A45"/>
    <w:rsid w:val="00B808D0"/>
    <w:rsid w:val="00B80959"/>
    <w:rsid w:val="00B80C06"/>
    <w:rsid w:val="00B8133E"/>
    <w:rsid w:val="00B820FA"/>
    <w:rsid w:val="00B8252C"/>
    <w:rsid w:val="00B8283C"/>
    <w:rsid w:val="00B8286A"/>
    <w:rsid w:val="00B82CE9"/>
    <w:rsid w:val="00B82D94"/>
    <w:rsid w:val="00B82EBE"/>
    <w:rsid w:val="00B82F2F"/>
    <w:rsid w:val="00B82FAF"/>
    <w:rsid w:val="00B834EC"/>
    <w:rsid w:val="00B839FA"/>
    <w:rsid w:val="00B83AE9"/>
    <w:rsid w:val="00B83D2E"/>
    <w:rsid w:val="00B83D49"/>
    <w:rsid w:val="00B84120"/>
    <w:rsid w:val="00B8425C"/>
    <w:rsid w:val="00B84558"/>
    <w:rsid w:val="00B850C6"/>
    <w:rsid w:val="00B85AA5"/>
    <w:rsid w:val="00B85C99"/>
    <w:rsid w:val="00B85F89"/>
    <w:rsid w:val="00B85FD5"/>
    <w:rsid w:val="00B86EBF"/>
    <w:rsid w:val="00B87355"/>
    <w:rsid w:val="00B873B7"/>
    <w:rsid w:val="00B873F0"/>
    <w:rsid w:val="00B8743D"/>
    <w:rsid w:val="00B87954"/>
    <w:rsid w:val="00B87DCD"/>
    <w:rsid w:val="00B87FB4"/>
    <w:rsid w:val="00B90630"/>
    <w:rsid w:val="00B906B6"/>
    <w:rsid w:val="00B91289"/>
    <w:rsid w:val="00B91EA6"/>
    <w:rsid w:val="00B92090"/>
    <w:rsid w:val="00B9241C"/>
    <w:rsid w:val="00B925E0"/>
    <w:rsid w:val="00B92708"/>
    <w:rsid w:val="00B933A9"/>
    <w:rsid w:val="00B933DB"/>
    <w:rsid w:val="00B934E6"/>
    <w:rsid w:val="00B93862"/>
    <w:rsid w:val="00B939F6"/>
    <w:rsid w:val="00B93A81"/>
    <w:rsid w:val="00B93C9F"/>
    <w:rsid w:val="00B93EAE"/>
    <w:rsid w:val="00B94AE6"/>
    <w:rsid w:val="00B94BB1"/>
    <w:rsid w:val="00B94D94"/>
    <w:rsid w:val="00B95355"/>
    <w:rsid w:val="00B9566B"/>
    <w:rsid w:val="00B96008"/>
    <w:rsid w:val="00B965C1"/>
    <w:rsid w:val="00B9695C"/>
    <w:rsid w:val="00B96979"/>
    <w:rsid w:val="00B96CB3"/>
    <w:rsid w:val="00B9708F"/>
    <w:rsid w:val="00B97328"/>
    <w:rsid w:val="00B9789F"/>
    <w:rsid w:val="00B97DBA"/>
    <w:rsid w:val="00BA0176"/>
    <w:rsid w:val="00BA0A27"/>
    <w:rsid w:val="00BA0AB7"/>
    <w:rsid w:val="00BA115D"/>
    <w:rsid w:val="00BA132F"/>
    <w:rsid w:val="00BA135E"/>
    <w:rsid w:val="00BA21DF"/>
    <w:rsid w:val="00BA2805"/>
    <w:rsid w:val="00BA2AF5"/>
    <w:rsid w:val="00BA2E21"/>
    <w:rsid w:val="00BA2EFD"/>
    <w:rsid w:val="00BA36A1"/>
    <w:rsid w:val="00BA36C2"/>
    <w:rsid w:val="00BA3DB8"/>
    <w:rsid w:val="00BA4295"/>
    <w:rsid w:val="00BA4620"/>
    <w:rsid w:val="00BA4BF2"/>
    <w:rsid w:val="00BA4F92"/>
    <w:rsid w:val="00BA54B2"/>
    <w:rsid w:val="00BA556E"/>
    <w:rsid w:val="00BA58E0"/>
    <w:rsid w:val="00BA59F2"/>
    <w:rsid w:val="00BA5ADF"/>
    <w:rsid w:val="00BA5AE2"/>
    <w:rsid w:val="00BA6458"/>
    <w:rsid w:val="00BA64D3"/>
    <w:rsid w:val="00BA6979"/>
    <w:rsid w:val="00BA6C30"/>
    <w:rsid w:val="00BA6F20"/>
    <w:rsid w:val="00BA730C"/>
    <w:rsid w:val="00BA746E"/>
    <w:rsid w:val="00BA7487"/>
    <w:rsid w:val="00BA778F"/>
    <w:rsid w:val="00BB0586"/>
    <w:rsid w:val="00BB08A3"/>
    <w:rsid w:val="00BB093B"/>
    <w:rsid w:val="00BB0B80"/>
    <w:rsid w:val="00BB10BD"/>
    <w:rsid w:val="00BB13AA"/>
    <w:rsid w:val="00BB14C3"/>
    <w:rsid w:val="00BB162C"/>
    <w:rsid w:val="00BB1ADA"/>
    <w:rsid w:val="00BB1DF5"/>
    <w:rsid w:val="00BB1F82"/>
    <w:rsid w:val="00BB2206"/>
    <w:rsid w:val="00BB22F8"/>
    <w:rsid w:val="00BB28E4"/>
    <w:rsid w:val="00BB2D70"/>
    <w:rsid w:val="00BB2DF5"/>
    <w:rsid w:val="00BB2EE8"/>
    <w:rsid w:val="00BB2F50"/>
    <w:rsid w:val="00BB2F85"/>
    <w:rsid w:val="00BB3005"/>
    <w:rsid w:val="00BB30C7"/>
    <w:rsid w:val="00BB3344"/>
    <w:rsid w:val="00BB33D8"/>
    <w:rsid w:val="00BB34D3"/>
    <w:rsid w:val="00BB35F3"/>
    <w:rsid w:val="00BB40F6"/>
    <w:rsid w:val="00BB417B"/>
    <w:rsid w:val="00BB423A"/>
    <w:rsid w:val="00BB43C9"/>
    <w:rsid w:val="00BB4737"/>
    <w:rsid w:val="00BB49AB"/>
    <w:rsid w:val="00BB5189"/>
    <w:rsid w:val="00BB51F0"/>
    <w:rsid w:val="00BB53C2"/>
    <w:rsid w:val="00BB543C"/>
    <w:rsid w:val="00BB565E"/>
    <w:rsid w:val="00BB57ED"/>
    <w:rsid w:val="00BB5953"/>
    <w:rsid w:val="00BB5B46"/>
    <w:rsid w:val="00BB615E"/>
    <w:rsid w:val="00BB6358"/>
    <w:rsid w:val="00BB6434"/>
    <w:rsid w:val="00BB68C6"/>
    <w:rsid w:val="00BB6A7E"/>
    <w:rsid w:val="00BB71D8"/>
    <w:rsid w:val="00BB73A0"/>
    <w:rsid w:val="00BB7BDA"/>
    <w:rsid w:val="00BB7CFD"/>
    <w:rsid w:val="00BB7D4D"/>
    <w:rsid w:val="00BB7F1B"/>
    <w:rsid w:val="00BB7F62"/>
    <w:rsid w:val="00BC00ED"/>
    <w:rsid w:val="00BC0283"/>
    <w:rsid w:val="00BC04E0"/>
    <w:rsid w:val="00BC052A"/>
    <w:rsid w:val="00BC0666"/>
    <w:rsid w:val="00BC0BBC"/>
    <w:rsid w:val="00BC0CFA"/>
    <w:rsid w:val="00BC0E2F"/>
    <w:rsid w:val="00BC1022"/>
    <w:rsid w:val="00BC166C"/>
    <w:rsid w:val="00BC19CC"/>
    <w:rsid w:val="00BC1A26"/>
    <w:rsid w:val="00BC1ACA"/>
    <w:rsid w:val="00BC1BEB"/>
    <w:rsid w:val="00BC256F"/>
    <w:rsid w:val="00BC26BB"/>
    <w:rsid w:val="00BC29F6"/>
    <w:rsid w:val="00BC2F70"/>
    <w:rsid w:val="00BC310A"/>
    <w:rsid w:val="00BC324A"/>
    <w:rsid w:val="00BC3674"/>
    <w:rsid w:val="00BC3722"/>
    <w:rsid w:val="00BC3B80"/>
    <w:rsid w:val="00BC3BDB"/>
    <w:rsid w:val="00BC40CA"/>
    <w:rsid w:val="00BC4D12"/>
    <w:rsid w:val="00BC4D5E"/>
    <w:rsid w:val="00BC512B"/>
    <w:rsid w:val="00BC56EF"/>
    <w:rsid w:val="00BC5F41"/>
    <w:rsid w:val="00BC6330"/>
    <w:rsid w:val="00BC64F2"/>
    <w:rsid w:val="00BC6641"/>
    <w:rsid w:val="00BC6682"/>
    <w:rsid w:val="00BC6856"/>
    <w:rsid w:val="00BC6B12"/>
    <w:rsid w:val="00BC7000"/>
    <w:rsid w:val="00BC709C"/>
    <w:rsid w:val="00BC72F7"/>
    <w:rsid w:val="00BC74C5"/>
    <w:rsid w:val="00BC7984"/>
    <w:rsid w:val="00BD0001"/>
    <w:rsid w:val="00BD0367"/>
    <w:rsid w:val="00BD04A0"/>
    <w:rsid w:val="00BD050E"/>
    <w:rsid w:val="00BD099B"/>
    <w:rsid w:val="00BD0AAF"/>
    <w:rsid w:val="00BD0C5B"/>
    <w:rsid w:val="00BD0E8D"/>
    <w:rsid w:val="00BD1AFC"/>
    <w:rsid w:val="00BD2055"/>
    <w:rsid w:val="00BD21C1"/>
    <w:rsid w:val="00BD2ACB"/>
    <w:rsid w:val="00BD2C42"/>
    <w:rsid w:val="00BD2F42"/>
    <w:rsid w:val="00BD3C1E"/>
    <w:rsid w:val="00BD3CAB"/>
    <w:rsid w:val="00BD3D9B"/>
    <w:rsid w:val="00BD4100"/>
    <w:rsid w:val="00BD4444"/>
    <w:rsid w:val="00BD4553"/>
    <w:rsid w:val="00BD46B0"/>
    <w:rsid w:val="00BD4903"/>
    <w:rsid w:val="00BD4CFC"/>
    <w:rsid w:val="00BD4F50"/>
    <w:rsid w:val="00BD5656"/>
    <w:rsid w:val="00BD59C8"/>
    <w:rsid w:val="00BD6374"/>
    <w:rsid w:val="00BD6CCF"/>
    <w:rsid w:val="00BD73AC"/>
    <w:rsid w:val="00BD796C"/>
    <w:rsid w:val="00BD7BDE"/>
    <w:rsid w:val="00BD7EAF"/>
    <w:rsid w:val="00BE0663"/>
    <w:rsid w:val="00BE15E8"/>
    <w:rsid w:val="00BE19CD"/>
    <w:rsid w:val="00BE1A98"/>
    <w:rsid w:val="00BE1B7B"/>
    <w:rsid w:val="00BE1F98"/>
    <w:rsid w:val="00BE220F"/>
    <w:rsid w:val="00BE22D2"/>
    <w:rsid w:val="00BE238B"/>
    <w:rsid w:val="00BE31E3"/>
    <w:rsid w:val="00BE33F4"/>
    <w:rsid w:val="00BE377A"/>
    <w:rsid w:val="00BE3B0C"/>
    <w:rsid w:val="00BE3BAB"/>
    <w:rsid w:val="00BE3FEB"/>
    <w:rsid w:val="00BE412F"/>
    <w:rsid w:val="00BE41D4"/>
    <w:rsid w:val="00BE42C4"/>
    <w:rsid w:val="00BE4665"/>
    <w:rsid w:val="00BE47EF"/>
    <w:rsid w:val="00BE4CED"/>
    <w:rsid w:val="00BE4E26"/>
    <w:rsid w:val="00BE524B"/>
    <w:rsid w:val="00BE54A2"/>
    <w:rsid w:val="00BE6159"/>
    <w:rsid w:val="00BE617A"/>
    <w:rsid w:val="00BE682F"/>
    <w:rsid w:val="00BE6899"/>
    <w:rsid w:val="00BE6C7E"/>
    <w:rsid w:val="00BE7147"/>
    <w:rsid w:val="00BE7AF1"/>
    <w:rsid w:val="00BF007C"/>
    <w:rsid w:val="00BF0181"/>
    <w:rsid w:val="00BF01DC"/>
    <w:rsid w:val="00BF0704"/>
    <w:rsid w:val="00BF075D"/>
    <w:rsid w:val="00BF0825"/>
    <w:rsid w:val="00BF0C0F"/>
    <w:rsid w:val="00BF0FF9"/>
    <w:rsid w:val="00BF173F"/>
    <w:rsid w:val="00BF24E2"/>
    <w:rsid w:val="00BF297F"/>
    <w:rsid w:val="00BF2991"/>
    <w:rsid w:val="00BF2AC1"/>
    <w:rsid w:val="00BF3694"/>
    <w:rsid w:val="00BF38F7"/>
    <w:rsid w:val="00BF3C68"/>
    <w:rsid w:val="00BF3D64"/>
    <w:rsid w:val="00BF4047"/>
    <w:rsid w:val="00BF4114"/>
    <w:rsid w:val="00BF4144"/>
    <w:rsid w:val="00BF41DB"/>
    <w:rsid w:val="00BF4C00"/>
    <w:rsid w:val="00BF4C70"/>
    <w:rsid w:val="00BF54A2"/>
    <w:rsid w:val="00BF554E"/>
    <w:rsid w:val="00BF5840"/>
    <w:rsid w:val="00BF5959"/>
    <w:rsid w:val="00BF5A4E"/>
    <w:rsid w:val="00BF5B49"/>
    <w:rsid w:val="00BF5C68"/>
    <w:rsid w:val="00BF6099"/>
    <w:rsid w:val="00BF619E"/>
    <w:rsid w:val="00BF6396"/>
    <w:rsid w:val="00BF6AD0"/>
    <w:rsid w:val="00BF6D37"/>
    <w:rsid w:val="00BF6F01"/>
    <w:rsid w:val="00BF7D83"/>
    <w:rsid w:val="00BF7DC7"/>
    <w:rsid w:val="00BF7E37"/>
    <w:rsid w:val="00BF7F83"/>
    <w:rsid w:val="00C0001A"/>
    <w:rsid w:val="00C001A0"/>
    <w:rsid w:val="00C00400"/>
    <w:rsid w:val="00C006AC"/>
    <w:rsid w:val="00C007D5"/>
    <w:rsid w:val="00C00967"/>
    <w:rsid w:val="00C00C86"/>
    <w:rsid w:val="00C011AA"/>
    <w:rsid w:val="00C017A8"/>
    <w:rsid w:val="00C019A0"/>
    <w:rsid w:val="00C01FF2"/>
    <w:rsid w:val="00C0212F"/>
    <w:rsid w:val="00C021DF"/>
    <w:rsid w:val="00C027A3"/>
    <w:rsid w:val="00C02936"/>
    <w:rsid w:val="00C02E26"/>
    <w:rsid w:val="00C0352A"/>
    <w:rsid w:val="00C039EE"/>
    <w:rsid w:val="00C03B80"/>
    <w:rsid w:val="00C03C44"/>
    <w:rsid w:val="00C04180"/>
    <w:rsid w:val="00C04566"/>
    <w:rsid w:val="00C04D5A"/>
    <w:rsid w:val="00C05127"/>
    <w:rsid w:val="00C0539A"/>
    <w:rsid w:val="00C05533"/>
    <w:rsid w:val="00C05A1D"/>
    <w:rsid w:val="00C05BAA"/>
    <w:rsid w:val="00C05E42"/>
    <w:rsid w:val="00C064BE"/>
    <w:rsid w:val="00C06644"/>
    <w:rsid w:val="00C06660"/>
    <w:rsid w:val="00C068E3"/>
    <w:rsid w:val="00C06C91"/>
    <w:rsid w:val="00C06F96"/>
    <w:rsid w:val="00C078AC"/>
    <w:rsid w:val="00C07C91"/>
    <w:rsid w:val="00C1035E"/>
    <w:rsid w:val="00C107CF"/>
    <w:rsid w:val="00C10C14"/>
    <w:rsid w:val="00C110FE"/>
    <w:rsid w:val="00C113BA"/>
    <w:rsid w:val="00C1158B"/>
    <w:rsid w:val="00C1170F"/>
    <w:rsid w:val="00C11966"/>
    <w:rsid w:val="00C119EA"/>
    <w:rsid w:val="00C11A6C"/>
    <w:rsid w:val="00C12341"/>
    <w:rsid w:val="00C1247E"/>
    <w:rsid w:val="00C1258E"/>
    <w:rsid w:val="00C127B7"/>
    <w:rsid w:val="00C12858"/>
    <w:rsid w:val="00C128EA"/>
    <w:rsid w:val="00C1297C"/>
    <w:rsid w:val="00C12C2B"/>
    <w:rsid w:val="00C12D41"/>
    <w:rsid w:val="00C130E5"/>
    <w:rsid w:val="00C132BA"/>
    <w:rsid w:val="00C1359B"/>
    <w:rsid w:val="00C136C6"/>
    <w:rsid w:val="00C14187"/>
    <w:rsid w:val="00C144F0"/>
    <w:rsid w:val="00C14B6A"/>
    <w:rsid w:val="00C14F36"/>
    <w:rsid w:val="00C150E3"/>
    <w:rsid w:val="00C1514C"/>
    <w:rsid w:val="00C151DD"/>
    <w:rsid w:val="00C1545E"/>
    <w:rsid w:val="00C16441"/>
    <w:rsid w:val="00C16A78"/>
    <w:rsid w:val="00C16E83"/>
    <w:rsid w:val="00C173AC"/>
    <w:rsid w:val="00C173F4"/>
    <w:rsid w:val="00C17A20"/>
    <w:rsid w:val="00C17D5B"/>
    <w:rsid w:val="00C17D95"/>
    <w:rsid w:val="00C17F46"/>
    <w:rsid w:val="00C2066F"/>
    <w:rsid w:val="00C20B7C"/>
    <w:rsid w:val="00C20F29"/>
    <w:rsid w:val="00C20F96"/>
    <w:rsid w:val="00C20FF2"/>
    <w:rsid w:val="00C21367"/>
    <w:rsid w:val="00C213B0"/>
    <w:rsid w:val="00C21B66"/>
    <w:rsid w:val="00C21E33"/>
    <w:rsid w:val="00C21EAA"/>
    <w:rsid w:val="00C22006"/>
    <w:rsid w:val="00C2213B"/>
    <w:rsid w:val="00C22215"/>
    <w:rsid w:val="00C222F2"/>
    <w:rsid w:val="00C224B0"/>
    <w:rsid w:val="00C23238"/>
    <w:rsid w:val="00C23660"/>
    <w:rsid w:val="00C23B23"/>
    <w:rsid w:val="00C23D0D"/>
    <w:rsid w:val="00C23E1C"/>
    <w:rsid w:val="00C23F90"/>
    <w:rsid w:val="00C24057"/>
    <w:rsid w:val="00C246F4"/>
    <w:rsid w:val="00C25532"/>
    <w:rsid w:val="00C2558E"/>
    <w:rsid w:val="00C255F9"/>
    <w:rsid w:val="00C25B3A"/>
    <w:rsid w:val="00C2605E"/>
    <w:rsid w:val="00C261A8"/>
    <w:rsid w:val="00C26209"/>
    <w:rsid w:val="00C26297"/>
    <w:rsid w:val="00C26E9D"/>
    <w:rsid w:val="00C26FBE"/>
    <w:rsid w:val="00C271F0"/>
    <w:rsid w:val="00C272FF"/>
    <w:rsid w:val="00C273B7"/>
    <w:rsid w:val="00C2741B"/>
    <w:rsid w:val="00C27E4B"/>
    <w:rsid w:val="00C27E8B"/>
    <w:rsid w:val="00C31086"/>
    <w:rsid w:val="00C31DE2"/>
    <w:rsid w:val="00C32226"/>
    <w:rsid w:val="00C32A88"/>
    <w:rsid w:val="00C32C0B"/>
    <w:rsid w:val="00C33416"/>
    <w:rsid w:val="00C33427"/>
    <w:rsid w:val="00C34497"/>
    <w:rsid w:val="00C34574"/>
    <w:rsid w:val="00C346D8"/>
    <w:rsid w:val="00C3475F"/>
    <w:rsid w:val="00C34F4E"/>
    <w:rsid w:val="00C355BC"/>
    <w:rsid w:val="00C35743"/>
    <w:rsid w:val="00C35C1E"/>
    <w:rsid w:val="00C35EE0"/>
    <w:rsid w:val="00C362B4"/>
    <w:rsid w:val="00C3650B"/>
    <w:rsid w:val="00C366C6"/>
    <w:rsid w:val="00C36CAE"/>
    <w:rsid w:val="00C36D69"/>
    <w:rsid w:val="00C37337"/>
    <w:rsid w:val="00C404A0"/>
    <w:rsid w:val="00C40703"/>
    <w:rsid w:val="00C40880"/>
    <w:rsid w:val="00C40C9B"/>
    <w:rsid w:val="00C4116E"/>
    <w:rsid w:val="00C412A4"/>
    <w:rsid w:val="00C4170D"/>
    <w:rsid w:val="00C41D74"/>
    <w:rsid w:val="00C4215A"/>
    <w:rsid w:val="00C42527"/>
    <w:rsid w:val="00C428BA"/>
    <w:rsid w:val="00C428D8"/>
    <w:rsid w:val="00C42B62"/>
    <w:rsid w:val="00C434D6"/>
    <w:rsid w:val="00C43849"/>
    <w:rsid w:val="00C44121"/>
    <w:rsid w:val="00C4454D"/>
    <w:rsid w:val="00C44612"/>
    <w:rsid w:val="00C44BEC"/>
    <w:rsid w:val="00C44FF5"/>
    <w:rsid w:val="00C45077"/>
    <w:rsid w:val="00C45938"/>
    <w:rsid w:val="00C45A8B"/>
    <w:rsid w:val="00C46119"/>
    <w:rsid w:val="00C46156"/>
    <w:rsid w:val="00C4624C"/>
    <w:rsid w:val="00C46574"/>
    <w:rsid w:val="00C467BB"/>
    <w:rsid w:val="00C46EEB"/>
    <w:rsid w:val="00C4705B"/>
    <w:rsid w:val="00C47213"/>
    <w:rsid w:val="00C4726B"/>
    <w:rsid w:val="00C47481"/>
    <w:rsid w:val="00C4770B"/>
    <w:rsid w:val="00C477D4"/>
    <w:rsid w:val="00C47ADD"/>
    <w:rsid w:val="00C500EC"/>
    <w:rsid w:val="00C50224"/>
    <w:rsid w:val="00C502D7"/>
    <w:rsid w:val="00C50389"/>
    <w:rsid w:val="00C50642"/>
    <w:rsid w:val="00C50A70"/>
    <w:rsid w:val="00C50C11"/>
    <w:rsid w:val="00C50D34"/>
    <w:rsid w:val="00C51479"/>
    <w:rsid w:val="00C5193C"/>
    <w:rsid w:val="00C52191"/>
    <w:rsid w:val="00C52323"/>
    <w:rsid w:val="00C526DC"/>
    <w:rsid w:val="00C5291C"/>
    <w:rsid w:val="00C52D1F"/>
    <w:rsid w:val="00C52DCC"/>
    <w:rsid w:val="00C53035"/>
    <w:rsid w:val="00C534F4"/>
    <w:rsid w:val="00C53818"/>
    <w:rsid w:val="00C54679"/>
    <w:rsid w:val="00C54BD3"/>
    <w:rsid w:val="00C54ECE"/>
    <w:rsid w:val="00C55221"/>
    <w:rsid w:val="00C555E9"/>
    <w:rsid w:val="00C56565"/>
    <w:rsid w:val="00C565E9"/>
    <w:rsid w:val="00C566A3"/>
    <w:rsid w:val="00C5769C"/>
    <w:rsid w:val="00C579E3"/>
    <w:rsid w:val="00C579F0"/>
    <w:rsid w:val="00C57C63"/>
    <w:rsid w:val="00C57DC3"/>
    <w:rsid w:val="00C57F6B"/>
    <w:rsid w:val="00C6005D"/>
    <w:rsid w:val="00C601F7"/>
    <w:rsid w:val="00C60411"/>
    <w:rsid w:val="00C60539"/>
    <w:rsid w:val="00C60767"/>
    <w:rsid w:val="00C60965"/>
    <w:rsid w:val="00C60E10"/>
    <w:rsid w:val="00C613E2"/>
    <w:rsid w:val="00C61594"/>
    <w:rsid w:val="00C627FD"/>
    <w:rsid w:val="00C62A34"/>
    <w:rsid w:val="00C62BFD"/>
    <w:rsid w:val="00C63A4C"/>
    <w:rsid w:val="00C63EF2"/>
    <w:rsid w:val="00C641D7"/>
    <w:rsid w:val="00C645A3"/>
    <w:rsid w:val="00C648D4"/>
    <w:rsid w:val="00C6525D"/>
    <w:rsid w:val="00C652C9"/>
    <w:rsid w:val="00C65305"/>
    <w:rsid w:val="00C655CD"/>
    <w:rsid w:val="00C658E3"/>
    <w:rsid w:val="00C659F3"/>
    <w:rsid w:val="00C65D6A"/>
    <w:rsid w:val="00C65F55"/>
    <w:rsid w:val="00C660AB"/>
    <w:rsid w:val="00C663BA"/>
    <w:rsid w:val="00C66559"/>
    <w:rsid w:val="00C669DD"/>
    <w:rsid w:val="00C66BF2"/>
    <w:rsid w:val="00C66E1D"/>
    <w:rsid w:val="00C677FA"/>
    <w:rsid w:val="00C67990"/>
    <w:rsid w:val="00C67C21"/>
    <w:rsid w:val="00C7037D"/>
    <w:rsid w:val="00C70411"/>
    <w:rsid w:val="00C70601"/>
    <w:rsid w:val="00C70A99"/>
    <w:rsid w:val="00C71452"/>
    <w:rsid w:val="00C71858"/>
    <w:rsid w:val="00C71886"/>
    <w:rsid w:val="00C71ACA"/>
    <w:rsid w:val="00C71C60"/>
    <w:rsid w:val="00C71D47"/>
    <w:rsid w:val="00C71E77"/>
    <w:rsid w:val="00C722D3"/>
    <w:rsid w:val="00C7253F"/>
    <w:rsid w:val="00C726BE"/>
    <w:rsid w:val="00C729FB"/>
    <w:rsid w:val="00C72A33"/>
    <w:rsid w:val="00C72CA1"/>
    <w:rsid w:val="00C72DCE"/>
    <w:rsid w:val="00C732D1"/>
    <w:rsid w:val="00C7333B"/>
    <w:rsid w:val="00C736D6"/>
    <w:rsid w:val="00C73908"/>
    <w:rsid w:val="00C73C49"/>
    <w:rsid w:val="00C7400D"/>
    <w:rsid w:val="00C7422C"/>
    <w:rsid w:val="00C746D9"/>
    <w:rsid w:val="00C747B5"/>
    <w:rsid w:val="00C74E62"/>
    <w:rsid w:val="00C756D6"/>
    <w:rsid w:val="00C7623B"/>
    <w:rsid w:val="00C763B8"/>
    <w:rsid w:val="00C763DE"/>
    <w:rsid w:val="00C76A97"/>
    <w:rsid w:val="00C76CD4"/>
    <w:rsid w:val="00C76F8E"/>
    <w:rsid w:val="00C77823"/>
    <w:rsid w:val="00C77A2C"/>
    <w:rsid w:val="00C77CF5"/>
    <w:rsid w:val="00C77FB5"/>
    <w:rsid w:val="00C77FBF"/>
    <w:rsid w:val="00C802B0"/>
    <w:rsid w:val="00C804C5"/>
    <w:rsid w:val="00C8053A"/>
    <w:rsid w:val="00C805A7"/>
    <w:rsid w:val="00C80DC1"/>
    <w:rsid w:val="00C81331"/>
    <w:rsid w:val="00C81421"/>
    <w:rsid w:val="00C81549"/>
    <w:rsid w:val="00C81907"/>
    <w:rsid w:val="00C81A94"/>
    <w:rsid w:val="00C82528"/>
    <w:rsid w:val="00C82D33"/>
    <w:rsid w:val="00C830A6"/>
    <w:rsid w:val="00C83AB0"/>
    <w:rsid w:val="00C83B74"/>
    <w:rsid w:val="00C83C60"/>
    <w:rsid w:val="00C83D99"/>
    <w:rsid w:val="00C83E19"/>
    <w:rsid w:val="00C83F29"/>
    <w:rsid w:val="00C83F57"/>
    <w:rsid w:val="00C841EC"/>
    <w:rsid w:val="00C845E7"/>
    <w:rsid w:val="00C8461F"/>
    <w:rsid w:val="00C84C08"/>
    <w:rsid w:val="00C8564F"/>
    <w:rsid w:val="00C8588A"/>
    <w:rsid w:val="00C85C6C"/>
    <w:rsid w:val="00C8612F"/>
    <w:rsid w:val="00C864CC"/>
    <w:rsid w:val="00C866B2"/>
    <w:rsid w:val="00C8680A"/>
    <w:rsid w:val="00C868AB"/>
    <w:rsid w:val="00C86C0A"/>
    <w:rsid w:val="00C86D0B"/>
    <w:rsid w:val="00C870C4"/>
    <w:rsid w:val="00C87153"/>
    <w:rsid w:val="00C87216"/>
    <w:rsid w:val="00C8725B"/>
    <w:rsid w:val="00C87F39"/>
    <w:rsid w:val="00C90042"/>
    <w:rsid w:val="00C902C1"/>
    <w:rsid w:val="00C90828"/>
    <w:rsid w:val="00C909CB"/>
    <w:rsid w:val="00C922DF"/>
    <w:rsid w:val="00C92854"/>
    <w:rsid w:val="00C9294A"/>
    <w:rsid w:val="00C92B0E"/>
    <w:rsid w:val="00C92C40"/>
    <w:rsid w:val="00C92D20"/>
    <w:rsid w:val="00C92D80"/>
    <w:rsid w:val="00C93353"/>
    <w:rsid w:val="00C94489"/>
    <w:rsid w:val="00C946B7"/>
    <w:rsid w:val="00C94B5E"/>
    <w:rsid w:val="00C950E9"/>
    <w:rsid w:val="00C953AE"/>
    <w:rsid w:val="00C9564E"/>
    <w:rsid w:val="00C95AF2"/>
    <w:rsid w:val="00C95E05"/>
    <w:rsid w:val="00C95F7B"/>
    <w:rsid w:val="00C9671D"/>
    <w:rsid w:val="00C96AC9"/>
    <w:rsid w:val="00C96AE0"/>
    <w:rsid w:val="00C96D61"/>
    <w:rsid w:val="00C96E23"/>
    <w:rsid w:val="00C96E94"/>
    <w:rsid w:val="00C970D7"/>
    <w:rsid w:val="00C9716F"/>
    <w:rsid w:val="00C97390"/>
    <w:rsid w:val="00C97515"/>
    <w:rsid w:val="00C9757A"/>
    <w:rsid w:val="00C9781B"/>
    <w:rsid w:val="00C97841"/>
    <w:rsid w:val="00C97848"/>
    <w:rsid w:val="00C97C78"/>
    <w:rsid w:val="00C97D06"/>
    <w:rsid w:val="00C97FAF"/>
    <w:rsid w:val="00C97FCC"/>
    <w:rsid w:val="00CA0394"/>
    <w:rsid w:val="00CA0D59"/>
    <w:rsid w:val="00CA162B"/>
    <w:rsid w:val="00CA1BA8"/>
    <w:rsid w:val="00CA1D50"/>
    <w:rsid w:val="00CA1E1C"/>
    <w:rsid w:val="00CA23CF"/>
    <w:rsid w:val="00CA2CF8"/>
    <w:rsid w:val="00CA32BC"/>
    <w:rsid w:val="00CA34FD"/>
    <w:rsid w:val="00CA3572"/>
    <w:rsid w:val="00CA4079"/>
    <w:rsid w:val="00CA47A3"/>
    <w:rsid w:val="00CA4879"/>
    <w:rsid w:val="00CA4BB0"/>
    <w:rsid w:val="00CA4DA9"/>
    <w:rsid w:val="00CA5037"/>
    <w:rsid w:val="00CA53D0"/>
    <w:rsid w:val="00CA575B"/>
    <w:rsid w:val="00CA5B78"/>
    <w:rsid w:val="00CA5BAC"/>
    <w:rsid w:val="00CA5D8F"/>
    <w:rsid w:val="00CA6342"/>
    <w:rsid w:val="00CA6360"/>
    <w:rsid w:val="00CA6484"/>
    <w:rsid w:val="00CA64B2"/>
    <w:rsid w:val="00CA65BD"/>
    <w:rsid w:val="00CA6687"/>
    <w:rsid w:val="00CA67B9"/>
    <w:rsid w:val="00CA6AFB"/>
    <w:rsid w:val="00CA6C99"/>
    <w:rsid w:val="00CA6D02"/>
    <w:rsid w:val="00CA7235"/>
    <w:rsid w:val="00CA7651"/>
    <w:rsid w:val="00CA76AE"/>
    <w:rsid w:val="00CA7834"/>
    <w:rsid w:val="00CB040D"/>
    <w:rsid w:val="00CB046C"/>
    <w:rsid w:val="00CB05F8"/>
    <w:rsid w:val="00CB065E"/>
    <w:rsid w:val="00CB069A"/>
    <w:rsid w:val="00CB0BBF"/>
    <w:rsid w:val="00CB0BC2"/>
    <w:rsid w:val="00CB0D2E"/>
    <w:rsid w:val="00CB0E83"/>
    <w:rsid w:val="00CB0F9B"/>
    <w:rsid w:val="00CB12B2"/>
    <w:rsid w:val="00CB13C0"/>
    <w:rsid w:val="00CB1448"/>
    <w:rsid w:val="00CB1F6D"/>
    <w:rsid w:val="00CB2718"/>
    <w:rsid w:val="00CB28E2"/>
    <w:rsid w:val="00CB2A70"/>
    <w:rsid w:val="00CB2CFA"/>
    <w:rsid w:val="00CB35A8"/>
    <w:rsid w:val="00CB3B71"/>
    <w:rsid w:val="00CB3FE1"/>
    <w:rsid w:val="00CB40F0"/>
    <w:rsid w:val="00CB4D0D"/>
    <w:rsid w:val="00CB50BB"/>
    <w:rsid w:val="00CB559A"/>
    <w:rsid w:val="00CB5705"/>
    <w:rsid w:val="00CB58A3"/>
    <w:rsid w:val="00CB5CC9"/>
    <w:rsid w:val="00CB64C7"/>
    <w:rsid w:val="00CB663A"/>
    <w:rsid w:val="00CB78AF"/>
    <w:rsid w:val="00CB7C28"/>
    <w:rsid w:val="00CB7F8D"/>
    <w:rsid w:val="00CC027A"/>
    <w:rsid w:val="00CC0598"/>
    <w:rsid w:val="00CC0857"/>
    <w:rsid w:val="00CC0C85"/>
    <w:rsid w:val="00CC0DE7"/>
    <w:rsid w:val="00CC10DD"/>
    <w:rsid w:val="00CC1758"/>
    <w:rsid w:val="00CC19AF"/>
    <w:rsid w:val="00CC1B71"/>
    <w:rsid w:val="00CC2E5C"/>
    <w:rsid w:val="00CC2F4D"/>
    <w:rsid w:val="00CC310E"/>
    <w:rsid w:val="00CC3B74"/>
    <w:rsid w:val="00CC3F69"/>
    <w:rsid w:val="00CC4175"/>
    <w:rsid w:val="00CC427C"/>
    <w:rsid w:val="00CC4459"/>
    <w:rsid w:val="00CC4523"/>
    <w:rsid w:val="00CC46C8"/>
    <w:rsid w:val="00CC4A66"/>
    <w:rsid w:val="00CC4AA4"/>
    <w:rsid w:val="00CC512A"/>
    <w:rsid w:val="00CC5591"/>
    <w:rsid w:val="00CC5A8D"/>
    <w:rsid w:val="00CC5F6D"/>
    <w:rsid w:val="00CC6223"/>
    <w:rsid w:val="00CC6F8A"/>
    <w:rsid w:val="00CC7BB6"/>
    <w:rsid w:val="00CC7BF0"/>
    <w:rsid w:val="00CC7C7E"/>
    <w:rsid w:val="00CC7E3C"/>
    <w:rsid w:val="00CC7F83"/>
    <w:rsid w:val="00CD0093"/>
    <w:rsid w:val="00CD0CE5"/>
    <w:rsid w:val="00CD15E2"/>
    <w:rsid w:val="00CD17BC"/>
    <w:rsid w:val="00CD195D"/>
    <w:rsid w:val="00CD1F62"/>
    <w:rsid w:val="00CD2422"/>
    <w:rsid w:val="00CD26A4"/>
    <w:rsid w:val="00CD28A2"/>
    <w:rsid w:val="00CD291F"/>
    <w:rsid w:val="00CD2ABA"/>
    <w:rsid w:val="00CD2B3D"/>
    <w:rsid w:val="00CD32C2"/>
    <w:rsid w:val="00CD3656"/>
    <w:rsid w:val="00CD4013"/>
    <w:rsid w:val="00CD4038"/>
    <w:rsid w:val="00CD44E1"/>
    <w:rsid w:val="00CD5269"/>
    <w:rsid w:val="00CD53A1"/>
    <w:rsid w:val="00CD5E73"/>
    <w:rsid w:val="00CD6008"/>
    <w:rsid w:val="00CD6048"/>
    <w:rsid w:val="00CD60E7"/>
    <w:rsid w:val="00CD6469"/>
    <w:rsid w:val="00CD6C4A"/>
    <w:rsid w:val="00CD6E9D"/>
    <w:rsid w:val="00CD762B"/>
    <w:rsid w:val="00CD7704"/>
    <w:rsid w:val="00CD7A34"/>
    <w:rsid w:val="00CD7A72"/>
    <w:rsid w:val="00CD7D14"/>
    <w:rsid w:val="00CD7F0A"/>
    <w:rsid w:val="00CE0012"/>
    <w:rsid w:val="00CE0537"/>
    <w:rsid w:val="00CE0768"/>
    <w:rsid w:val="00CE0A9A"/>
    <w:rsid w:val="00CE0DFE"/>
    <w:rsid w:val="00CE125D"/>
    <w:rsid w:val="00CE129D"/>
    <w:rsid w:val="00CE13C4"/>
    <w:rsid w:val="00CE14AA"/>
    <w:rsid w:val="00CE153E"/>
    <w:rsid w:val="00CE15EB"/>
    <w:rsid w:val="00CE17C7"/>
    <w:rsid w:val="00CE19AD"/>
    <w:rsid w:val="00CE1EDA"/>
    <w:rsid w:val="00CE1F94"/>
    <w:rsid w:val="00CE206B"/>
    <w:rsid w:val="00CE219E"/>
    <w:rsid w:val="00CE21E9"/>
    <w:rsid w:val="00CE2393"/>
    <w:rsid w:val="00CE26D7"/>
    <w:rsid w:val="00CE2AC8"/>
    <w:rsid w:val="00CE2BCD"/>
    <w:rsid w:val="00CE2D38"/>
    <w:rsid w:val="00CE2D42"/>
    <w:rsid w:val="00CE2D60"/>
    <w:rsid w:val="00CE36E2"/>
    <w:rsid w:val="00CE3874"/>
    <w:rsid w:val="00CE3E7B"/>
    <w:rsid w:val="00CE3EDD"/>
    <w:rsid w:val="00CE40A6"/>
    <w:rsid w:val="00CE4544"/>
    <w:rsid w:val="00CE476B"/>
    <w:rsid w:val="00CE4798"/>
    <w:rsid w:val="00CE47C5"/>
    <w:rsid w:val="00CE47DC"/>
    <w:rsid w:val="00CE4D9A"/>
    <w:rsid w:val="00CE4F8E"/>
    <w:rsid w:val="00CE52ED"/>
    <w:rsid w:val="00CE5352"/>
    <w:rsid w:val="00CE56E6"/>
    <w:rsid w:val="00CE5870"/>
    <w:rsid w:val="00CE5BA4"/>
    <w:rsid w:val="00CE5BB5"/>
    <w:rsid w:val="00CE5E95"/>
    <w:rsid w:val="00CE637B"/>
    <w:rsid w:val="00CE67E7"/>
    <w:rsid w:val="00CE6BDC"/>
    <w:rsid w:val="00CE743B"/>
    <w:rsid w:val="00CE7750"/>
    <w:rsid w:val="00CE79DD"/>
    <w:rsid w:val="00CE7EF6"/>
    <w:rsid w:val="00CF086E"/>
    <w:rsid w:val="00CF08BF"/>
    <w:rsid w:val="00CF1484"/>
    <w:rsid w:val="00CF14A2"/>
    <w:rsid w:val="00CF195A"/>
    <w:rsid w:val="00CF1BF4"/>
    <w:rsid w:val="00CF1E4A"/>
    <w:rsid w:val="00CF2180"/>
    <w:rsid w:val="00CF2390"/>
    <w:rsid w:val="00CF257D"/>
    <w:rsid w:val="00CF28EA"/>
    <w:rsid w:val="00CF2DB9"/>
    <w:rsid w:val="00CF2F39"/>
    <w:rsid w:val="00CF31C2"/>
    <w:rsid w:val="00CF387D"/>
    <w:rsid w:val="00CF40C7"/>
    <w:rsid w:val="00CF4256"/>
    <w:rsid w:val="00CF4483"/>
    <w:rsid w:val="00CF4665"/>
    <w:rsid w:val="00CF4BA9"/>
    <w:rsid w:val="00CF4D3E"/>
    <w:rsid w:val="00CF5732"/>
    <w:rsid w:val="00CF6605"/>
    <w:rsid w:val="00CF69B1"/>
    <w:rsid w:val="00CF70A8"/>
    <w:rsid w:val="00CF723C"/>
    <w:rsid w:val="00CF74D7"/>
    <w:rsid w:val="00D00362"/>
    <w:rsid w:val="00D00979"/>
    <w:rsid w:val="00D00D95"/>
    <w:rsid w:val="00D00EC9"/>
    <w:rsid w:val="00D00F4D"/>
    <w:rsid w:val="00D01011"/>
    <w:rsid w:val="00D01217"/>
    <w:rsid w:val="00D01458"/>
    <w:rsid w:val="00D0150F"/>
    <w:rsid w:val="00D0169A"/>
    <w:rsid w:val="00D02E46"/>
    <w:rsid w:val="00D033FB"/>
    <w:rsid w:val="00D036C1"/>
    <w:rsid w:val="00D0373B"/>
    <w:rsid w:val="00D03A89"/>
    <w:rsid w:val="00D03AEE"/>
    <w:rsid w:val="00D03B1E"/>
    <w:rsid w:val="00D03BEF"/>
    <w:rsid w:val="00D03C5E"/>
    <w:rsid w:val="00D03D2C"/>
    <w:rsid w:val="00D03DA8"/>
    <w:rsid w:val="00D0409D"/>
    <w:rsid w:val="00D04BCB"/>
    <w:rsid w:val="00D04F66"/>
    <w:rsid w:val="00D051BC"/>
    <w:rsid w:val="00D05671"/>
    <w:rsid w:val="00D057A0"/>
    <w:rsid w:val="00D0583E"/>
    <w:rsid w:val="00D05E27"/>
    <w:rsid w:val="00D06149"/>
    <w:rsid w:val="00D0642B"/>
    <w:rsid w:val="00D06514"/>
    <w:rsid w:val="00D068CC"/>
    <w:rsid w:val="00D06D82"/>
    <w:rsid w:val="00D06D85"/>
    <w:rsid w:val="00D06E36"/>
    <w:rsid w:val="00D072A9"/>
    <w:rsid w:val="00D07CCB"/>
    <w:rsid w:val="00D100D6"/>
    <w:rsid w:val="00D100E7"/>
    <w:rsid w:val="00D101E0"/>
    <w:rsid w:val="00D10275"/>
    <w:rsid w:val="00D102EC"/>
    <w:rsid w:val="00D1055B"/>
    <w:rsid w:val="00D105CE"/>
    <w:rsid w:val="00D1068B"/>
    <w:rsid w:val="00D10AA7"/>
    <w:rsid w:val="00D10B59"/>
    <w:rsid w:val="00D1115B"/>
    <w:rsid w:val="00D11C94"/>
    <w:rsid w:val="00D11FFC"/>
    <w:rsid w:val="00D1227F"/>
    <w:rsid w:val="00D122EA"/>
    <w:rsid w:val="00D12BDE"/>
    <w:rsid w:val="00D13253"/>
    <w:rsid w:val="00D1347D"/>
    <w:rsid w:val="00D1356F"/>
    <w:rsid w:val="00D13630"/>
    <w:rsid w:val="00D14184"/>
    <w:rsid w:val="00D14369"/>
    <w:rsid w:val="00D1445D"/>
    <w:rsid w:val="00D14A99"/>
    <w:rsid w:val="00D14C5D"/>
    <w:rsid w:val="00D150A9"/>
    <w:rsid w:val="00D152DF"/>
    <w:rsid w:val="00D15EB5"/>
    <w:rsid w:val="00D16089"/>
    <w:rsid w:val="00D162DB"/>
    <w:rsid w:val="00D16398"/>
    <w:rsid w:val="00D17027"/>
    <w:rsid w:val="00D171A8"/>
    <w:rsid w:val="00D1738E"/>
    <w:rsid w:val="00D2051B"/>
    <w:rsid w:val="00D20599"/>
    <w:rsid w:val="00D20A71"/>
    <w:rsid w:val="00D20F78"/>
    <w:rsid w:val="00D21103"/>
    <w:rsid w:val="00D214BE"/>
    <w:rsid w:val="00D21800"/>
    <w:rsid w:val="00D22050"/>
    <w:rsid w:val="00D22151"/>
    <w:rsid w:val="00D227CF"/>
    <w:rsid w:val="00D22970"/>
    <w:rsid w:val="00D22A31"/>
    <w:rsid w:val="00D230BB"/>
    <w:rsid w:val="00D235FF"/>
    <w:rsid w:val="00D2362D"/>
    <w:rsid w:val="00D238DF"/>
    <w:rsid w:val="00D238E3"/>
    <w:rsid w:val="00D23C5D"/>
    <w:rsid w:val="00D23FD0"/>
    <w:rsid w:val="00D240A6"/>
    <w:rsid w:val="00D24162"/>
    <w:rsid w:val="00D24911"/>
    <w:rsid w:val="00D2528C"/>
    <w:rsid w:val="00D256F4"/>
    <w:rsid w:val="00D2575A"/>
    <w:rsid w:val="00D25899"/>
    <w:rsid w:val="00D25E53"/>
    <w:rsid w:val="00D2655D"/>
    <w:rsid w:val="00D265C1"/>
    <w:rsid w:val="00D265EE"/>
    <w:rsid w:val="00D266A5"/>
    <w:rsid w:val="00D266C9"/>
    <w:rsid w:val="00D26709"/>
    <w:rsid w:val="00D26AE5"/>
    <w:rsid w:val="00D26DF0"/>
    <w:rsid w:val="00D26FD6"/>
    <w:rsid w:val="00D27235"/>
    <w:rsid w:val="00D2735B"/>
    <w:rsid w:val="00D27438"/>
    <w:rsid w:val="00D275FD"/>
    <w:rsid w:val="00D27694"/>
    <w:rsid w:val="00D27886"/>
    <w:rsid w:val="00D27965"/>
    <w:rsid w:val="00D27999"/>
    <w:rsid w:val="00D30245"/>
    <w:rsid w:val="00D3028B"/>
    <w:rsid w:val="00D30A36"/>
    <w:rsid w:val="00D30EE7"/>
    <w:rsid w:val="00D31184"/>
    <w:rsid w:val="00D319C2"/>
    <w:rsid w:val="00D3257C"/>
    <w:rsid w:val="00D32BAB"/>
    <w:rsid w:val="00D32CB7"/>
    <w:rsid w:val="00D32CFE"/>
    <w:rsid w:val="00D33082"/>
    <w:rsid w:val="00D33110"/>
    <w:rsid w:val="00D331CA"/>
    <w:rsid w:val="00D336E9"/>
    <w:rsid w:val="00D3395D"/>
    <w:rsid w:val="00D33B19"/>
    <w:rsid w:val="00D33B4D"/>
    <w:rsid w:val="00D33FEE"/>
    <w:rsid w:val="00D340A4"/>
    <w:rsid w:val="00D34CD9"/>
    <w:rsid w:val="00D34EAC"/>
    <w:rsid w:val="00D34EDB"/>
    <w:rsid w:val="00D351E3"/>
    <w:rsid w:val="00D353E0"/>
    <w:rsid w:val="00D3585F"/>
    <w:rsid w:val="00D35A86"/>
    <w:rsid w:val="00D35B0E"/>
    <w:rsid w:val="00D35FFB"/>
    <w:rsid w:val="00D360CC"/>
    <w:rsid w:val="00D36935"/>
    <w:rsid w:val="00D36FB9"/>
    <w:rsid w:val="00D3738D"/>
    <w:rsid w:val="00D376AC"/>
    <w:rsid w:val="00D37892"/>
    <w:rsid w:val="00D37E0B"/>
    <w:rsid w:val="00D40132"/>
    <w:rsid w:val="00D401B5"/>
    <w:rsid w:val="00D40263"/>
    <w:rsid w:val="00D405B3"/>
    <w:rsid w:val="00D40775"/>
    <w:rsid w:val="00D40951"/>
    <w:rsid w:val="00D409AE"/>
    <w:rsid w:val="00D409AF"/>
    <w:rsid w:val="00D409B4"/>
    <w:rsid w:val="00D40AAD"/>
    <w:rsid w:val="00D40C12"/>
    <w:rsid w:val="00D411CC"/>
    <w:rsid w:val="00D4146B"/>
    <w:rsid w:val="00D415D0"/>
    <w:rsid w:val="00D4171D"/>
    <w:rsid w:val="00D41A34"/>
    <w:rsid w:val="00D41BE2"/>
    <w:rsid w:val="00D41F1F"/>
    <w:rsid w:val="00D42AFB"/>
    <w:rsid w:val="00D42C4C"/>
    <w:rsid w:val="00D4303D"/>
    <w:rsid w:val="00D4330B"/>
    <w:rsid w:val="00D43703"/>
    <w:rsid w:val="00D43723"/>
    <w:rsid w:val="00D43B56"/>
    <w:rsid w:val="00D43DC5"/>
    <w:rsid w:val="00D43FEB"/>
    <w:rsid w:val="00D44034"/>
    <w:rsid w:val="00D442D3"/>
    <w:rsid w:val="00D44306"/>
    <w:rsid w:val="00D4513D"/>
    <w:rsid w:val="00D45394"/>
    <w:rsid w:val="00D45708"/>
    <w:rsid w:val="00D46A1C"/>
    <w:rsid w:val="00D46D73"/>
    <w:rsid w:val="00D47048"/>
    <w:rsid w:val="00D47126"/>
    <w:rsid w:val="00D47156"/>
    <w:rsid w:val="00D471B1"/>
    <w:rsid w:val="00D4776D"/>
    <w:rsid w:val="00D47ACC"/>
    <w:rsid w:val="00D47B1C"/>
    <w:rsid w:val="00D47E50"/>
    <w:rsid w:val="00D500F1"/>
    <w:rsid w:val="00D5019A"/>
    <w:rsid w:val="00D50469"/>
    <w:rsid w:val="00D50500"/>
    <w:rsid w:val="00D505D6"/>
    <w:rsid w:val="00D506ED"/>
    <w:rsid w:val="00D50A4E"/>
    <w:rsid w:val="00D50BD5"/>
    <w:rsid w:val="00D50D4A"/>
    <w:rsid w:val="00D50D8E"/>
    <w:rsid w:val="00D50FC6"/>
    <w:rsid w:val="00D51289"/>
    <w:rsid w:val="00D51522"/>
    <w:rsid w:val="00D51587"/>
    <w:rsid w:val="00D518DC"/>
    <w:rsid w:val="00D520EB"/>
    <w:rsid w:val="00D5233D"/>
    <w:rsid w:val="00D52996"/>
    <w:rsid w:val="00D53216"/>
    <w:rsid w:val="00D5325A"/>
    <w:rsid w:val="00D538B1"/>
    <w:rsid w:val="00D5478B"/>
    <w:rsid w:val="00D54994"/>
    <w:rsid w:val="00D54C38"/>
    <w:rsid w:val="00D555A4"/>
    <w:rsid w:val="00D56025"/>
    <w:rsid w:val="00D56C67"/>
    <w:rsid w:val="00D57A21"/>
    <w:rsid w:val="00D57C3F"/>
    <w:rsid w:val="00D57F5C"/>
    <w:rsid w:val="00D60465"/>
    <w:rsid w:val="00D60637"/>
    <w:rsid w:val="00D60EEA"/>
    <w:rsid w:val="00D60FC3"/>
    <w:rsid w:val="00D612BF"/>
    <w:rsid w:val="00D61540"/>
    <w:rsid w:val="00D616EC"/>
    <w:rsid w:val="00D6175A"/>
    <w:rsid w:val="00D61826"/>
    <w:rsid w:val="00D618EB"/>
    <w:rsid w:val="00D61B81"/>
    <w:rsid w:val="00D61ECB"/>
    <w:rsid w:val="00D61F94"/>
    <w:rsid w:val="00D61F9F"/>
    <w:rsid w:val="00D6241A"/>
    <w:rsid w:val="00D62882"/>
    <w:rsid w:val="00D62DE7"/>
    <w:rsid w:val="00D63532"/>
    <w:rsid w:val="00D636CE"/>
    <w:rsid w:val="00D63ACF"/>
    <w:rsid w:val="00D63FE5"/>
    <w:rsid w:val="00D64745"/>
    <w:rsid w:val="00D64D3E"/>
    <w:rsid w:val="00D6508D"/>
    <w:rsid w:val="00D65417"/>
    <w:rsid w:val="00D654A2"/>
    <w:rsid w:val="00D65544"/>
    <w:rsid w:val="00D656E8"/>
    <w:rsid w:val="00D659D9"/>
    <w:rsid w:val="00D65E4C"/>
    <w:rsid w:val="00D663FA"/>
    <w:rsid w:val="00D664F2"/>
    <w:rsid w:val="00D66673"/>
    <w:rsid w:val="00D66A13"/>
    <w:rsid w:val="00D66C7D"/>
    <w:rsid w:val="00D67392"/>
    <w:rsid w:val="00D67902"/>
    <w:rsid w:val="00D70287"/>
    <w:rsid w:val="00D702F0"/>
    <w:rsid w:val="00D714E0"/>
    <w:rsid w:val="00D724CC"/>
    <w:rsid w:val="00D72A53"/>
    <w:rsid w:val="00D72BAB"/>
    <w:rsid w:val="00D72DC2"/>
    <w:rsid w:val="00D72FB4"/>
    <w:rsid w:val="00D730B1"/>
    <w:rsid w:val="00D73631"/>
    <w:rsid w:val="00D73D31"/>
    <w:rsid w:val="00D7410F"/>
    <w:rsid w:val="00D74335"/>
    <w:rsid w:val="00D74652"/>
    <w:rsid w:val="00D74A20"/>
    <w:rsid w:val="00D74ABE"/>
    <w:rsid w:val="00D750E7"/>
    <w:rsid w:val="00D7549D"/>
    <w:rsid w:val="00D75631"/>
    <w:rsid w:val="00D75827"/>
    <w:rsid w:val="00D75C5E"/>
    <w:rsid w:val="00D75E17"/>
    <w:rsid w:val="00D75E43"/>
    <w:rsid w:val="00D76021"/>
    <w:rsid w:val="00D761F4"/>
    <w:rsid w:val="00D762CC"/>
    <w:rsid w:val="00D76A44"/>
    <w:rsid w:val="00D76C59"/>
    <w:rsid w:val="00D76F2A"/>
    <w:rsid w:val="00D77829"/>
    <w:rsid w:val="00D77D78"/>
    <w:rsid w:val="00D804A1"/>
    <w:rsid w:val="00D80555"/>
    <w:rsid w:val="00D80A07"/>
    <w:rsid w:val="00D81BC2"/>
    <w:rsid w:val="00D81E6A"/>
    <w:rsid w:val="00D820BB"/>
    <w:rsid w:val="00D82273"/>
    <w:rsid w:val="00D82789"/>
    <w:rsid w:val="00D828CC"/>
    <w:rsid w:val="00D82F23"/>
    <w:rsid w:val="00D82FDB"/>
    <w:rsid w:val="00D8334E"/>
    <w:rsid w:val="00D83977"/>
    <w:rsid w:val="00D83A3E"/>
    <w:rsid w:val="00D83D87"/>
    <w:rsid w:val="00D83DE7"/>
    <w:rsid w:val="00D83ECB"/>
    <w:rsid w:val="00D840F7"/>
    <w:rsid w:val="00D8436C"/>
    <w:rsid w:val="00D854A4"/>
    <w:rsid w:val="00D85A70"/>
    <w:rsid w:val="00D85C8B"/>
    <w:rsid w:val="00D8604F"/>
    <w:rsid w:val="00D86386"/>
    <w:rsid w:val="00D8663E"/>
    <w:rsid w:val="00D866D4"/>
    <w:rsid w:val="00D8675C"/>
    <w:rsid w:val="00D86879"/>
    <w:rsid w:val="00D868A5"/>
    <w:rsid w:val="00D86D94"/>
    <w:rsid w:val="00D8733F"/>
    <w:rsid w:val="00D87A59"/>
    <w:rsid w:val="00D87AD8"/>
    <w:rsid w:val="00D87DF9"/>
    <w:rsid w:val="00D90722"/>
    <w:rsid w:val="00D9078A"/>
    <w:rsid w:val="00D90B68"/>
    <w:rsid w:val="00D90C8F"/>
    <w:rsid w:val="00D90E68"/>
    <w:rsid w:val="00D9196C"/>
    <w:rsid w:val="00D92821"/>
    <w:rsid w:val="00D93738"/>
    <w:rsid w:val="00D93F04"/>
    <w:rsid w:val="00D94134"/>
    <w:rsid w:val="00D94154"/>
    <w:rsid w:val="00D943B8"/>
    <w:rsid w:val="00D9469A"/>
    <w:rsid w:val="00D94B3A"/>
    <w:rsid w:val="00D957E9"/>
    <w:rsid w:val="00D95D5C"/>
    <w:rsid w:val="00D96715"/>
    <w:rsid w:val="00D968F5"/>
    <w:rsid w:val="00D96916"/>
    <w:rsid w:val="00D96B79"/>
    <w:rsid w:val="00D96DC0"/>
    <w:rsid w:val="00D96F53"/>
    <w:rsid w:val="00D97057"/>
    <w:rsid w:val="00D975BF"/>
    <w:rsid w:val="00D97674"/>
    <w:rsid w:val="00D979F6"/>
    <w:rsid w:val="00D97B93"/>
    <w:rsid w:val="00D97D36"/>
    <w:rsid w:val="00D97D53"/>
    <w:rsid w:val="00D97EF6"/>
    <w:rsid w:val="00DA0617"/>
    <w:rsid w:val="00DA064F"/>
    <w:rsid w:val="00DA089A"/>
    <w:rsid w:val="00DA0B42"/>
    <w:rsid w:val="00DA0DD0"/>
    <w:rsid w:val="00DA0E2F"/>
    <w:rsid w:val="00DA0E56"/>
    <w:rsid w:val="00DA0F41"/>
    <w:rsid w:val="00DA0F71"/>
    <w:rsid w:val="00DA127A"/>
    <w:rsid w:val="00DA12B6"/>
    <w:rsid w:val="00DA1405"/>
    <w:rsid w:val="00DA1732"/>
    <w:rsid w:val="00DA17B5"/>
    <w:rsid w:val="00DA1E29"/>
    <w:rsid w:val="00DA1EEE"/>
    <w:rsid w:val="00DA23EB"/>
    <w:rsid w:val="00DA24A6"/>
    <w:rsid w:val="00DA2639"/>
    <w:rsid w:val="00DA2AB2"/>
    <w:rsid w:val="00DA2C6B"/>
    <w:rsid w:val="00DA2E00"/>
    <w:rsid w:val="00DA373D"/>
    <w:rsid w:val="00DA3CD4"/>
    <w:rsid w:val="00DA4B87"/>
    <w:rsid w:val="00DA4BF5"/>
    <w:rsid w:val="00DA4F1C"/>
    <w:rsid w:val="00DA5629"/>
    <w:rsid w:val="00DA6AED"/>
    <w:rsid w:val="00DA6EBA"/>
    <w:rsid w:val="00DA7059"/>
    <w:rsid w:val="00DA73FC"/>
    <w:rsid w:val="00DA7413"/>
    <w:rsid w:val="00DA7790"/>
    <w:rsid w:val="00DA7A21"/>
    <w:rsid w:val="00DB1409"/>
    <w:rsid w:val="00DB15D8"/>
    <w:rsid w:val="00DB1B24"/>
    <w:rsid w:val="00DB2022"/>
    <w:rsid w:val="00DB2A69"/>
    <w:rsid w:val="00DB2AFE"/>
    <w:rsid w:val="00DB3930"/>
    <w:rsid w:val="00DB3B41"/>
    <w:rsid w:val="00DB3C53"/>
    <w:rsid w:val="00DB4275"/>
    <w:rsid w:val="00DB43B7"/>
    <w:rsid w:val="00DB46B3"/>
    <w:rsid w:val="00DB4D5C"/>
    <w:rsid w:val="00DB4F70"/>
    <w:rsid w:val="00DB5625"/>
    <w:rsid w:val="00DB5B75"/>
    <w:rsid w:val="00DB5CFB"/>
    <w:rsid w:val="00DB5D8A"/>
    <w:rsid w:val="00DB65E3"/>
    <w:rsid w:val="00DB6C30"/>
    <w:rsid w:val="00DB709E"/>
    <w:rsid w:val="00DB7100"/>
    <w:rsid w:val="00DB71BF"/>
    <w:rsid w:val="00DB7AAE"/>
    <w:rsid w:val="00DB7C38"/>
    <w:rsid w:val="00DB7FBE"/>
    <w:rsid w:val="00DC0440"/>
    <w:rsid w:val="00DC0537"/>
    <w:rsid w:val="00DC06BE"/>
    <w:rsid w:val="00DC07C9"/>
    <w:rsid w:val="00DC0A10"/>
    <w:rsid w:val="00DC0BEE"/>
    <w:rsid w:val="00DC0C96"/>
    <w:rsid w:val="00DC0EDF"/>
    <w:rsid w:val="00DC0FCA"/>
    <w:rsid w:val="00DC110D"/>
    <w:rsid w:val="00DC133D"/>
    <w:rsid w:val="00DC17F1"/>
    <w:rsid w:val="00DC182E"/>
    <w:rsid w:val="00DC19E0"/>
    <w:rsid w:val="00DC1EFA"/>
    <w:rsid w:val="00DC2041"/>
    <w:rsid w:val="00DC2387"/>
    <w:rsid w:val="00DC27AA"/>
    <w:rsid w:val="00DC28C4"/>
    <w:rsid w:val="00DC2B6B"/>
    <w:rsid w:val="00DC3367"/>
    <w:rsid w:val="00DC36B9"/>
    <w:rsid w:val="00DC3914"/>
    <w:rsid w:val="00DC4118"/>
    <w:rsid w:val="00DC4320"/>
    <w:rsid w:val="00DC4338"/>
    <w:rsid w:val="00DC44C6"/>
    <w:rsid w:val="00DC487A"/>
    <w:rsid w:val="00DC522B"/>
    <w:rsid w:val="00DC5272"/>
    <w:rsid w:val="00DC5521"/>
    <w:rsid w:val="00DC553C"/>
    <w:rsid w:val="00DC575F"/>
    <w:rsid w:val="00DC5B7B"/>
    <w:rsid w:val="00DC5D7F"/>
    <w:rsid w:val="00DC60D0"/>
    <w:rsid w:val="00DC629D"/>
    <w:rsid w:val="00DC652D"/>
    <w:rsid w:val="00DC66C3"/>
    <w:rsid w:val="00DC66EE"/>
    <w:rsid w:val="00DC6A52"/>
    <w:rsid w:val="00DC6C2E"/>
    <w:rsid w:val="00DC7280"/>
    <w:rsid w:val="00DC7369"/>
    <w:rsid w:val="00DC73E2"/>
    <w:rsid w:val="00DC75A4"/>
    <w:rsid w:val="00DC791E"/>
    <w:rsid w:val="00DC7A08"/>
    <w:rsid w:val="00DC7DAF"/>
    <w:rsid w:val="00DC7E7F"/>
    <w:rsid w:val="00DD0019"/>
    <w:rsid w:val="00DD0076"/>
    <w:rsid w:val="00DD03B2"/>
    <w:rsid w:val="00DD07BB"/>
    <w:rsid w:val="00DD0CE0"/>
    <w:rsid w:val="00DD0E1A"/>
    <w:rsid w:val="00DD0FB9"/>
    <w:rsid w:val="00DD0FC7"/>
    <w:rsid w:val="00DD1078"/>
    <w:rsid w:val="00DD13D9"/>
    <w:rsid w:val="00DD1A32"/>
    <w:rsid w:val="00DD1F61"/>
    <w:rsid w:val="00DD1F7D"/>
    <w:rsid w:val="00DD1F89"/>
    <w:rsid w:val="00DD20FE"/>
    <w:rsid w:val="00DD2169"/>
    <w:rsid w:val="00DD2998"/>
    <w:rsid w:val="00DD2B62"/>
    <w:rsid w:val="00DD3584"/>
    <w:rsid w:val="00DD3932"/>
    <w:rsid w:val="00DD3D35"/>
    <w:rsid w:val="00DD4065"/>
    <w:rsid w:val="00DD4168"/>
    <w:rsid w:val="00DD42FE"/>
    <w:rsid w:val="00DD4387"/>
    <w:rsid w:val="00DD4389"/>
    <w:rsid w:val="00DD458E"/>
    <w:rsid w:val="00DD47CB"/>
    <w:rsid w:val="00DD4808"/>
    <w:rsid w:val="00DD4B39"/>
    <w:rsid w:val="00DD4B8F"/>
    <w:rsid w:val="00DD4CE8"/>
    <w:rsid w:val="00DD4D13"/>
    <w:rsid w:val="00DD4E1D"/>
    <w:rsid w:val="00DD5662"/>
    <w:rsid w:val="00DD5898"/>
    <w:rsid w:val="00DD5B08"/>
    <w:rsid w:val="00DD5B86"/>
    <w:rsid w:val="00DD5E4D"/>
    <w:rsid w:val="00DD5EC8"/>
    <w:rsid w:val="00DD6042"/>
    <w:rsid w:val="00DD6187"/>
    <w:rsid w:val="00DD6481"/>
    <w:rsid w:val="00DD683A"/>
    <w:rsid w:val="00DD6C25"/>
    <w:rsid w:val="00DD6FB5"/>
    <w:rsid w:val="00DD7050"/>
    <w:rsid w:val="00DD73A9"/>
    <w:rsid w:val="00DD743B"/>
    <w:rsid w:val="00DD777D"/>
    <w:rsid w:val="00DD77DD"/>
    <w:rsid w:val="00DD7883"/>
    <w:rsid w:val="00DD7EAD"/>
    <w:rsid w:val="00DE037E"/>
    <w:rsid w:val="00DE0454"/>
    <w:rsid w:val="00DE051E"/>
    <w:rsid w:val="00DE0599"/>
    <w:rsid w:val="00DE08F9"/>
    <w:rsid w:val="00DE0FA7"/>
    <w:rsid w:val="00DE127A"/>
    <w:rsid w:val="00DE1324"/>
    <w:rsid w:val="00DE15E1"/>
    <w:rsid w:val="00DE169C"/>
    <w:rsid w:val="00DE18B1"/>
    <w:rsid w:val="00DE1ABE"/>
    <w:rsid w:val="00DE1D1E"/>
    <w:rsid w:val="00DE1E5A"/>
    <w:rsid w:val="00DE1F64"/>
    <w:rsid w:val="00DE20C4"/>
    <w:rsid w:val="00DE2397"/>
    <w:rsid w:val="00DE2918"/>
    <w:rsid w:val="00DE2A86"/>
    <w:rsid w:val="00DE2F71"/>
    <w:rsid w:val="00DE3059"/>
    <w:rsid w:val="00DE377D"/>
    <w:rsid w:val="00DE37EA"/>
    <w:rsid w:val="00DE3E89"/>
    <w:rsid w:val="00DE44AC"/>
    <w:rsid w:val="00DE4826"/>
    <w:rsid w:val="00DE4BF6"/>
    <w:rsid w:val="00DE5685"/>
    <w:rsid w:val="00DE580F"/>
    <w:rsid w:val="00DE5A27"/>
    <w:rsid w:val="00DE5AFF"/>
    <w:rsid w:val="00DE5DE0"/>
    <w:rsid w:val="00DE5DE2"/>
    <w:rsid w:val="00DE5F63"/>
    <w:rsid w:val="00DE62F6"/>
    <w:rsid w:val="00DE6922"/>
    <w:rsid w:val="00DE70D3"/>
    <w:rsid w:val="00DE711E"/>
    <w:rsid w:val="00DE72BC"/>
    <w:rsid w:val="00DE769F"/>
    <w:rsid w:val="00DE7CF1"/>
    <w:rsid w:val="00DF0442"/>
    <w:rsid w:val="00DF0858"/>
    <w:rsid w:val="00DF0BAB"/>
    <w:rsid w:val="00DF104E"/>
    <w:rsid w:val="00DF1134"/>
    <w:rsid w:val="00DF1AF2"/>
    <w:rsid w:val="00DF1F13"/>
    <w:rsid w:val="00DF2603"/>
    <w:rsid w:val="00DF2965"/>
    <w:rsid w:val="00DF2C15"/>
    <w:rsid w:val="00DF2FF2"/>
    <w:rsid w:val="00DF32BF"/>
    <w:rsid w:val="00DF340B"/>
    <w:rsid w:val="00DF3964"/>
    <w:rsid w:val="00DF3D35"/>
    <w:rsid w:val="00DF3E0E"/>
    <w:rsid w:val="00DF3E4D"/>
    <w:rsid w:val="00DF3E89"/>
    <w:rsid w:val="00DF41E7"/>
    <w:rsid w:val="00DF4267"/>
    <w:rsid w:val="00DF4586"/>
    <w:rsid w:val="00DF48FB"/>
    <w:rsid w:val="00DF498F"/>
    <w:rsid w:val="00DF4DD1"/>
    <w:rsid w:val="00DF5AE3"/>
    <w:rsid w:val="00DF5B0B"/>
    <w:rsid w:val="00DF5D22"/>
    <w:rsid w:val="00DF63B9"/>
    <w:rsid w:val="00DF63BB"/>
    <w:rsid w:val="00DF6598"/>
    <w:rsid w:val="00DF72FE"/>
    <w:rsid w:val="00DF74C0"/>
    <w:rsid w:val="00DF74E4"/>
    <w:rsid w:val="00E00889"/>
    <w:rsid w:val="00E0098F"/>
    <w:rsid w:val="00E00A52"/>
    <w:rsid w:val="00E00CE9"/>
    <w:rsid w:val="00E00E7D"/>
    <w:rsid w:val="00E01315"/>
    <w:rsid w:val="00E01A45"/>
    <w:rsid w:val="00E01F16"/>
    <w:rsid w:val="00E0270B"/>
    <w:rsid w:val="00E02741"/>
    <w:rsid w:val="00E02B4A"/>
    <w:rsid w:val="00E02BF6"/>
    <w:rsid w:val="00E02E0F"/>
    <w:rsid w:val="00E02FA1"/>
    <w:rsid w:val="00E02FC6"/>
    <w:rsid w:val="00E031EA"/>
    <w:rsid w:val="00E03214"/>
    <w:rsid w:val="00E03D6B"/>
    <w:rsid w:val="00E03F29"/>
    <w:rsid w:val="00E044BA"/>
    <w:rsid w:val="00E04CEC"/>
    <w:rsid w:val="00E04E85"/>
    <w:rsid w:val="00E051EF"/>
    <w:rsid w:val="00E05430"/>
    <w:rsid w:val="00E05D8E"/>
    <w:rsid w:val="00E05F41"/>
    <w:rsid w:val="00E05FFB"/>
    <w:rsid w:val="00E06B54"/>
    <w:rsid w:val="00E06C39"/>
    <w:rsid w:val="00E06D4C"/>
    <w:rsid w:val="00E06E41"/>
    <w:rsid w:val="00E07387"/>
    <w:rsid w:val="00E07524"/>
    <w:rsid w:val="00E105A4"/>
    <w:rsid w:val="00E10A63"/>
    <w:rsid w:val="00E10B28"/>
    <w:rsid w:val="00E10B40"/>
    <w:rsid w:val="00E10DE2"/>
    <w:rsid w:val="00E11028"/>
    <w:rsid w:val="00E1103B"/>
    <w:rsid w:val="00E11052"/>
    <w:rsid w:val="00E1149E"/>
    <w:rsid w:val="00E11504"/>
    <w:rsid w:val="00E1184F"/>
    <w:rsid w:val="00E11D08"/>
    <w:rsid w:val="00E11FF3"/>
    <w:rsid w:val="00E12830"/>
    <w:rsid w:val="00E1351D"/>
    <w:rsid w:val="00E13BFF"/>
    <w:rsid w:val="00E13F28"/>
    <w:rsid w:val="00E1496A"/>
    <w:rsid w:val="00E1527F"/>
    <w:rsid w:val="00E1561C"/>
    <w:rsid w:val="00E15C23"/>
    <w:rsid w:val="00E15CC1"/>
    <w:rsid w:val="00E15E88"/>
    <w:rsid w:val="00E16196"/>
    <w:rsid w:val="00E1631A"/>
    <w:rsid w:val="00E1649D"/>
    <w:rsid w:val="00E16784"/>
    <w:rsid w:val="00E16A5A"/>
    <w:rsid w:val="00E16CFD"/>
    <w:rsid w:val="00E170A9"/>
    <w:rsid w:val="00E171FC"/>
    <w:rsid w:val="00E1728C"/>
    <w:rsid w:val="00E17621"/>
    <w:rsid w:val="00E176BD"/>
    <w:rsid w:val="00E17E3B"/>
    <w:rsid w:val="00E17FE2"/>
    <w:rsid w:val="00E17FEB"/>
    <w:rsid w:val="00E2029C"/>
    <w:rsid w:val="00E20430"/>
    <w:rsid w:val="00E20DA2"/>
    <w:rsid w:val="00E21398"/>
    <w:rsid w:val="00E21B77"/>
    <w:rsid w:val="00E21BE9"/>
    <w:rsid w:val="00E2270E"/>
    <w:rsid w:val="00E2279B"/>
    <w:rsid w:val="00E2283F"/>
    <w:rsid w:val="00E22BFB"/>
    <w:rsid w:val="00E22F0E"/>
    <w:rsid w:val="00E22FFA"/>
    <w:rsid w:val="00E2305A"/>
    <w:rsid w:val="00E23595"/>
    <w:rsid w:val="00E23A0F"/>
    <w:rsid w:val="00E2491C"/>
    <w:rsid w:val="00E24D27"/>
    <w:rsid w:val="00E25044"/>
    <w:rsid w:val="00E250CF"/>
    <w:rsid w:val="00E25698"/>
    <w:rsid w:val="00E2579B"/>
    <w:rsid w:val="00E26FC4"/>
    <w:rsid w:val="00E27529"/>
    <w:rsid w:val="00E27552"/>
    <w:rsid w:val="00E278FB"/>
    <w:rsid w:val="00E279E9"/>
    <w:rsid w:val="00E27BB6"/>
    <w:rsid w:val="00E27C1E"/>
    <w:rsid w:val="00E27C8C"/>
    <w:rsid w:val="00E27E56"/>
    <w:rsid w:val="00E30960"/>
    <w:rsid w:val="00E30C08"/>
    <w:rsid w:val="00E30D32"/>
    <w:rsid w:val="00E30E52"/>
    <w:rsid w:val="00E3109D"/>
    <w:rsid w:val="00E316A5"/>
    <w:rsid w:val="00E318FE"/>
    <w:rsid w:val="00E31A8E"/>
    <w:rsid w:val="00E31C9C"/>
    <w:rsid w:val="00E31D04"/>
    <w:rsid w:val="00E31E74"/>
    <w:rsid w:val="00E320A1"/>
    <w:rsid w:val="00E32348"/>
    <w:rsid w:val="00E3255E"/>
    <w:rsid w:val="00E3261C"/>
    <w:rsid w:val="00E32664"/>
    <w:rsid w:val="00E326D5"/>
    <w:rsid w:val="00E32AE7"/>
    <w:rsid w:val="00E32FB5"/>
    <w:rsid w:val="00E33169"/>
    <w:rsid w:val="00E33242"/>
    <w:rsid w:val="00E33485"/>
    <w:rsid w:val="00E339AD"/>
    <w:rsid w:val="00E33CCB"/>
    <w:rsid w:val="00E349AE"/>
    <w:rsid w:val="00E35640"/>
    <w:rsid w:val="00E35872"/>
    <w:rsid w:val="00E35ADA"/>
    <w:rsid w:val="00E3662B"/>
    <w:rsid w:val="00E367F2"/>
    <w:rsid w:val="00E36B34"/>
    <w:rsid w:val="00E36BB5"/>
    <w:rsid w:val="00E36C60"/>
    <w:rsid w:val="00E3721B"/>
    <w:rsid w:val="00E37690"/>
    <w:rsid w:val="00E3778A"/>
    <w:rsid w:val="00E377E0"/>
    <w:rsid w:val="00E37ADB"/>
    <w:rsid w:val="00E40210"/>
    <w:rsid w:val="00E406F8"/>
    <w:rsid w:val="00E411E1"/>
    <w:rsid w:val="00E41811"/>
    <w:rsid w:val="00E41B5D"/>
    <w:rsid w:val="00E41DA8"/>
    <w:rsid w:val="00E42734"/>
    <w:rsid w:val="00E42771"/>
    <w:rsid w:val="00E42798"/>
    <w:rsid w:val="00E42C16"/>
    <w:rsid w:val="00E42D70"/>
    <w:rsid w:val="00E42F82"/>
    <w:rsid w:val="00E435B1"/>
    <w:rsid w:val="00E439BC"/>
    <w:rsid w:val="00E43C32"/>
    <w:rsid w:val="00E43EC1"/>
    <w:rsid w:val="00E443FB"/>
    <w:rsid w:val="00E44903"/>
    <w:rsid w:val="00E454F1"/>
    <w:rsid w:val="00E454FC"/>
    <w:rsid w:val="00E45C11"/>
    <w:rsid w:val="00E46865"/>
    <w:rsid w:val="00E46873"/>
    <w:rsid w:val="00E46A7F"/>
    <w:rsid w:val="00E46B1D"/>
    <w:rsid w:val="00E46B6C"/>
    <w:rsid w:val="00E46B87"/>
    <w:rsid w:val="00E46E2E"/>
    <w:rsid w:val="00E47AC3"/>
    <w:rsid w:val="00E47E39"/>
    <w:rsid w:val="00E5036D"/>
    <w:rsid w:val="00E50573"/>
    <w:rsid w:val="00E506E1"/>
    <w:rsid w:val="00E50B00"/>
    <w:rsid w:val="00E50B04"/>
    <w:rsid w:val="00E512C8"/>
    <w:rsid w:val="00E51373"/>
    <w:rsid w:val="00E51854"/>
    <w:rsid w:val="00E51C26"/>
    <w:rsid w:val="00E51F76"/>
    <w:rsid w:val="00E52069"/>
    <w:rsid w:val="00E521DE"/>
    <w:rsid w:val="00E52438"/>
    <w:rsid w:val="00E52548"/>
    <w:rsid w:val="00E52D72"/>
    <w:rsid w:val="00E53643"/>
    <w:rsid w:val="00E543D3"/>
    <w:rsid w:val="00E54665"/>
    <w:rsid w:val="00E54668"/>
    <w:rsid w:val="00E54848"/>
    <w:rsid w:val="00E5492D"/>
    <w:rsid w:val="00E54B68"/>
    <w:rsid w:val="00E54ECB"/>
    <w:rsid w:val="00E5589D"/>
    <w:rsid w:val="00E55F39"/>
    <w:rsid w:val="00E55F59"/>
    <w:rsid w:val="00E55F67"/>
    <w:rsid w:val="00E564C0"/>
    <w:rsid w:val="00E56578"/>
    <w:rsid w:val="00E56925"/>
    <w:rsid w:val="00E56ACC"/>
    <w:rsid w:val="00E57033"/>
    <w:rsid w:val="00E5710F"/>
    <w:rsid w:val="00E57352"/>
    <w:rsid w:val="00E57BC0"/>
    <w:rsid w:val="00E57DEA"/>
    <w:rsid w:val="00E600C6"/>
    <w:rsid w:val="00E601D1"/>
    <w:rsid w:val="00E608CF"/>
    <w:rsid w:val="00E60C6B"/>
    <w:rsid w:val="00E610D6"/>
    <w:rsid w:val="00E617BD"/>
    <w:rsid w:val="00E617E6"/>
    <w:rsid w:val="00E61B9C"/>
    <w:rsid w:val="00E61D32"/>
    <w:rsid w:val="00E61EC6"/>
    <w:rsid w:val="00E6236C"/>
    <w:rsid w:val="00E62411"/>
    <w:rsid w:val="00E62622"/>
    <w:rsid w:val="00E62943"/>
    <w:rsid w:val="00E634D2"/>
    <w:rsid w:val="00E63591"/>
    <w:rsid w:val="00E63686"/>
    <w:rsid w:val="00E6388A"/>
    <w:rsid w:val="00E63A00"/>
    <w:rsid w:val="00E6412C"/>
    <w:rsid w:val="00E643C3"/>
    <w:rsid w:val="00E6467F"/>
    <w:rsid w:val="00E649B9"/>
    <w:rsid w:val="00E64C85"/>
    <w:rsid w:val="00E65082"/>
    <w:rsid w:val="00E653B6"/>
    <w:rsid w:val="00E653FB"/>
    <w:rsid w:val="00E65507"/>
    <w:rsid w:val="00E6575E"/>
    <w:rsid w:val="00E657BA"/>
    <w:rsid w:val="00E657CB"/>
    <w:rsid w:val="00E6584B"/>
    <w:rsid w:val="00E66936"/>
    <w:rsid w:val="00E6737C"/>
    <w:rsid w:val="00E6766C"/>
    <w:rsid w:val="00E6776E"/>
    <w:rsid w:val="00E678C6"/>
    <w:rsid w:val="00E67E76"/>
    <w:rsid w:val="00E70659"/>
    <w:rsid w:val="00E70D99"/>
    <w:rsid w:val="00E71162"/>
    <w:rsid w:val="00E716D1"/>
    <w:rsid w:val="00E71963"/>
    <w:rsid w:val="00E71B8B"/>
    <w:rsid w:val="00E71BDD"/>
    <w:rsid w:val="00E71D06"/>
    <w:rsid w:val="00E71FDC"/>
    <w:rsid w:val="00E7240B"/>
    <w:rsid w:val="00E7296C"/>
    <w:rsid w:val="00E73023"/>
    <w:rsid w:val="00E73715"/>
    <w:rsid w:val="00E737CD"/>
    <w:rsid w:val="00E73C3F"/>
    <w:rsid w:val="00E73DF6"/>
    <w:rsid w:val="00E73FA0"/>
    <w:rsid w:val="00E7432A"/>
    <w:rsid w:val="00E74424"/>
    <w:rsid w:val="00E747EC"/>
    <w:rsid w:val="00E74830"/>
    <w:rsid w:val="00E752F5"/>
    <w:rsid w:val="00E75464"/>
    <w:rsid w:val="00E759B3"/>
    <w:rsid w:val="00E75CFB"/>
    <w:rsid w:val="00E75D61"/>
    <w:rsid w:val="00E75DB1"/>
    <w:rsid w:val="00E75EDB"/>
    <w:rsid w:val="00E76569"/>
    <w:rsid w:val="00E76F31"/>
    <w:rsid w:val="00E7730F"/>
    <w:rsid w:val="00E7746A"/>
    <w:rsid w:val="00E7789F"/>
    <w:rsid w:val="00E77B39"/>
    <w:rsid w:val="00E77B3C"/>
    <w:rsid w:val="00E77D55"/>
    <w:rsid w:val="00E80B34"/>
    <w:rsid w:val="00E80C82"/>
    <w:rsid w:val="00E80C9A"/>
    <w:rsid w:val="00E80ED6"/>
    <w:rsid w:val="00E8100F"/>
    <w:rsid w:val="00E811DA"/>
    <w:rsid w:val="00E81592"/>
    <w:rsid w:val="00E815C8"/>
    <w:rsid w:val="00E81E07"/>
    <w:rsid w:val="00E82206"/>
    <w:rsid w:val="00E82675"/>
    <w:rsid w:val="00E827E5"/>
    <w:rsid w:val="00E82845"/>
    <w:rsid w:val="00E82A8D"/>
    <w:rsid w:val="00E82D2D"/>
    <w:rsid w:val="00E8310E"/>
    <w:rsid w:val="00E831BD"/>
    <w:rsid w:val="00E83290"/>
    <w:rsid w:val="00E83C4A"/>
    <w:rsid w:val="00E83C57"/>
    <w:rsid w:val="00E83FA2"/>
    <w:rsid w:val="00E83FC1"/>
    <w:rsid w:val="00E8428B"/>
    <w:rsid w:val="00E8457B"/>
    <w:rsid w:val="00E84B1C"/>
    <w:rsid w:val="00E84F8B"/>
    <w:rsid w:val="00E853B7"/>
    <w:rsid w:val="00E85A2F"/>
    <w:rsid w:val="00E86793"/>
    <w:rsid w:val="00E86F45"/>
    <w:rsid w:val="00E872AA"/>
    <w:rsid w:val="00E877EC"/>
    <w:rsid w:val="00E87B26"/>
    <w:rsid w:val="00E87C1B"/>
    <w:rsid w:val="00E87C43"/>
    <w:rsid w:val="00E87DB4"/>
    <w:rsid w:val="00E87F6E"/>
    <w:rsid w:val="00E90493"/>
    <w:rsid w:val="00E9052B"/>
    <w:rsid w:val="00E90640"/>
    <w:rsid w:val="00E90E17"/>
    <w:rsid w:val="00E9106E"/>
    <w:rsid w:val="00E91324"/>
    <w:rsid w:val="00E916A4"/>
    <w:rsid w:val="00E91765"/>
    <w:rsid w:val="00E917E3"/>
    <w:rsid w:val="00E91A44"/>
    <w:rsid w:val="00E91A9E"/>
    <w:rsid w:val="00E91E39"/>
    <w:rsid w:val="00E921C1"/>
    <w:rsid w:val="00E9237A"/>
    <w:rsid w:val="00E9251D"/>
    <w:rsid w:val="00E92ED6"/>
    <w:rsid w:val="00E93171"/>
    <w:rsid w:val="00E93689"/>
    <w:rsid w:val="00E93828"/>
    <w:rsid w:val="00E938C4"/>
    <w:rsid w:val="00E93A64"/>
    <w:rsid w:val="00E93D4E"/>
    <w:rsid w:val="00E940D7"/>
    <w:rsid w:val="00E94325"/>
    <w:rsid w:val="00E945BB"/>
    <w:rsid w:val="00E94BFB"/>
    <w:rsid w:val="00E95756"/>
    <w:rsid w:val="00E95A63"/>
    <w:rsid w:val="00E95E3F"/>
    <w:rsid w:val="00E962FD"/>
    <w:rsid w:val="00E9639A"/>
    <w:rsid w:val="00E963C7"/>
    <w:rsid w:val="00E96404"/>
    <w:rsid w:val="00E967D8"/>
    <w:rsid w:val="00E96BEF"/>
    <w:rsid w:val="00EA0FB4"/>
    <w:rsid w:val="00EA1878"/>
    <w:rsid w:val="00EA1BB6"/>
    <w:rsid w:val="00EA1BDC"/>
    <w:rsid w:val="00EA1C60"/>
    <w:rsid w:val="00EA1F23"/>
    <w:rsid w:val="00EA20C7"/>
    <w:rsid w:val="00EA218A"/>
    <w:rsid w:val="00EA2243"/>
    <w:rsid w:val="00EA2556"/>
    <w:rsid w:val="00EA25EE"/>
    <w:rsid w:val="00EA314E"/>
    <w:rsid w:val="00EA326B"/>
    <w:rsid w:val="00EA357C"/>
    <w:rsid w:val="00EA3A8C"/>
    <w:rsid w:val="00EA3BB4"/>
    <w:rsid w:val="00EA3E3C"/>
    <w:rsid w:val="00EA4066"/>
    <w:rsid w:val="00EA45A0"/>
    <w:rsid w:val="00EA4F2E"/>
    <w:rsid w:val="00EA53D0"/>
    <w:rsid w:val="00EA557D"/>
    <w:rsid w:val="00EA5ACB"/>
    <w:rsid w:val="00EA5D16"/>
    <w:rsid w:val="00EA6128"/>
    <w:rsid w:val="00EA632F"/>
    <w:rsid w:val="00EA6375"/>
    <w:rsid w:val="00EA67F6"/>
    <w:rsid w:val="00EA699F"/>
    <w:rsid w:val="00EA6E11"/>
    <w:rsid w:val="00EA6ED2"/>
    <w:rsid w:val="00EB004A"/>
    <w:rsid w:val="00EB01E4"/>
    <w:rsid w:val="00EB03D8"/>
    <w:rsid w:val="00EB057A"/>
    <w:rsid w:val="00EB09F6"/>
    <w:rsid w:val="00EB0A65"/>
    <w:rsid w:val="00EB0B99"/>
    <w:rsid w:val="00EB0D70"/>
    <w:rsid w:val="00EB12F0"/>
    <w:rsid w:val="00EB1418"/>
    <w:rsid w:val="00EB1E51"/>
    <w:rsid w:val="00EB2041"/>
    <w:rsid w:val="00EB250F"/>
    <w:rsid w:val="00EB2879"/>
    <w:rsid w:val="00EB28D2"/>
    <w:rsid w:val="00EB2A1D"/>
    <w:rsid w:val="00EB2DC1"/>
    <w:rsid w:val="00EB3035"/>
    <w:rsid w:val="00EB3063"/>
    <w:rsid w:val="00EB31B6"/>
    <w:rsid w:val="00EB341C"/>
    <w:rsid w:val="00EB3433"/>
    <w:rsid w:val="00EB39B0"/>
    <w:rsid w:val="00EB3A61"/>
    <w:rsid w:val="00EB3BFD"/>
    <w:rsid w:val="00EB44A0"/>
    <w:rsid w:val="00EB4B8E"/>
    <w:rsid w:val="00EB4B92"/>
    <w:rsid w:val="00EB50FB"/>
    <w:rsid w:val="00EB5211"/>
    <w:rsid w:val="00EB547F"/>
    <w:rsid w:val="00EB5677"/>
    <w:rsid w:val="00EB5A87"/>
    <w:rsid w:val="00EB5B87"/>
    <w:rsid w:val="00EB5EAA"/>
    <w:rsid w:val="00EB6258"/>
    <w:rsid w:val="00EB6369"/>
    <w:rsid w:val="00EB63F8"/>
    <w:rsid w:val="00EB6445"/>
    <w:rsid w:val="00EB6B62"/>
    <w:rsid w:val="00EB6DA2"/>
    <w:rsid w:val="00EB6DB4"/>
    <w:rsid w:val="00EB6EFE"/>
    <w:rsid w:val="00EB71DA"/>
    <w:rsid w:val="00EB74CB"/>
    <w:rsid w:val="00EB76F3"/>
    <w:rsid w:val="00EB7832"/>
    <w:rsid w:val="00EB7E3E"/>
    <w:rsid w:val="00EBBD0D"/>
    <w:rsid w:val="00EC0340"/>
    <w:rsid w:val="00EC0B18"/>
    <w:rsid w:val="00EC0BCD"/>
    <w:rsid w:val="00EC103C"/>
    <w:rsid w:val="00EC183F"/>
    <w:rsid w:val="00EC1A29"/>
    <w:rsid w:val="00EC1A6C"/>
    <w:rsid w:val="00EC1B22"/>
    <w:rsid w:val="00EC1B52"/>
    <w:rsid w:val="00EC2C96"/>
    <w:rsid w:val="00EC2E2B"/>
    <w:rsid w:val="00EC359D"/>
    <w:rsid w:val="00EC42EF"/>
    <w:rsid w:val="00EC43FF"/>
    <w:rsid w:val="00EC441D"/>
    <w:rsid w:val="00EC4641"/>
    <w:rsid w:val="00EC4652"/>
    <w:rsid w:val="00EC49F7"/>
    <w:rsid w:val="00EC525F"/>
    <w:rsid w:val="00EC5977"/>
    <w:rsid w:val="00EC5A2D"/>
    <w:rsid w:val="00EC5BF2"/>
    <w:rsid w:val="00EC6442"/>
    <w:rsid w:val="00EC6A01"/>
    <w:rsid w:val="00EC6B1B"/>
    <w:rsid w:val="00EC6D1C"/>
    <w:rsid w:val="00EC7122"/>
    <w:rsid w:val="00EC7607"/>
    <w:rsid w:val="00EC7970"/>
    <w:rsid w:val="00EC7A78"/>
    <w:rsid w:val="00ED03FD"/>
    <w:rsid w:val="00ED042B"/>
    <w:rsid w:val="00ED0509"/>
    <w:rsid w:val="00ED0709"/>
    <w:rsid w:val="00ED0815"/>
    <w:rsid w:val="00ED0D02"/>
    <w:rsid w:val="00ED0E9E"/>
    <w:rsid w:val="00ED13A3"/>
    <w:rsid w:val="00ED18B1"/>
    <w:rsid w:val="00ED1A6B"/>
    <w:rsid w:val="00ED1D99"/>
    <w:rsid w:val="00ED1F6C"/>
    <w:rsid w:val="00ED2278"/>
    <w:rsid w:val="00ED27D6"/>
    <w:rsid w:val="00ED2877"/>
    <w:rsid w:val="00ED318B"/>
    <w:rsid w:val="00ED326D"/>
    <w:rsid w:val="00ED35CC"/>
    <w:rsid w:val="00ED3721"/>
    <w:rsid w:val="00ED37ED"/>
    <w:rsid w:val="00ED3A20"/>
    <w:rsid w:val="00ED3E0B"/>
    <w:rsid w:val="00ED3E3B"/>
    <w:rsid w:val="00ED419D"/>
    <w:rsid w:val="00ED426F"/>
    <w:rsid w:val="00ED44EB"/>
    <w:rsid w:val="00ED45E9"/>
    <w:rsid w:val="00ED4AD9"/>
    <w:rsid w:val="00ED4B7D"/>
    <w:rsid w:val="00ED4DB0"/>
    <w:rsid w:val="00ED52A0"/>
    <w:rsid w:val="00ED5356"/>
    <w:rsid w:val="00ED5505"/>
    <w:rsid w:val="00ED594F"/>
    <w:rsid w:val="00ED5DA4"/>
    <w:rsid w:val="00ED6006"/>
    <w:rsid w:val="00ED63B6"/>
    <w:rsid w:val="00ED680A"/>
    <w:rsid w:val="00ED683D"/>
    <w:rsid w:val="00ED695B"/>
    <w:rsid w:val="00ED6A6C"/>
    <w:rsid w:val="00ED6DA5"/>
    <w:rsid w:val="00ED6DC2"/>
    <w:rsid w:val="00ED7117"/>
    <w:rsid w:val="00ED73DF"/>
    <w:rsid w:val="00ED7ABD"/>
    <w:rsid w:val="00ED7AE3"/>
    <w:rsid w:val="00ED7D23"/>
    <w:rsid w:val="00EE00D8"/>
    <w:rsid w:val="00EE0363"/>
    <w:rsid w:val="00EE0482"/>
    <w:rsid w:val="00EE0537"/>
    <w:rsid w:val="00EE068C"/>
    <w:rsid w:val="00EE0AF0"/>
    <w:rsid w:val="00EE0B3D"/>
    <w:rsid w:val="00EE0CA4"/>
    <w:rsid w:val="00EE0CDF"/>
    <w:rsid w:val="00EE0D44"/>
    <w:rsid w:val="00EE0DA4"/>
    <w:rsid w:val="00EE10D9"/>
    <w:rsid w:val="00EE1255"/>
    <w:rsid w:val="00EE1575"/>
    <w:rsid w:val="00EE19C1"/>
    <w:rsid w:val="00EE1D3A"/>
    <w:rsid w:val="00EE20D8"/>
    <w:rsid w:val="00EE21AE"/>
    <w:rsid w:val="00EE2284"/>
    <w:rsid w:val="00EE26BE"/>
    <w:rsid w:val="00EE29CA"/>
    <w:rsid w:val="00EE2A57"/>
    <w:rsid w:val="00EE332C"/>
    <w:rsid w:val="00EE3340"/>
    <w:rsid w:val="00EE3ED1"/>
    <w:rsid w:val="00EE424F"/>
    <w:rsid w:val="00EE4339"/>
    <w:rsid w:val="00EE45FA"/>
    <w:rsid w:val="00EE520D"/>
    <w:rsid w:val="00EE590F"/>
    <w:rsid w:val="00EE5C93"/>
    <w:rsid w:val="00EE5D8E"/>
    <w:rsid w:val="00EE5E0E"/>
    <w:rsid w:val="00EE6ACE"/>
    <w:rsid w:val="00EE6D48"/>
    <w:rsid w:val="00EE7291"/>
    <w:rsid w:val="00EE74E1"/>
    <w:rsid w:val="00EE7A16"/>
    <w:rsid w:val="00EE7C9E"/>
    <w:rsid w:val="00EE7D7F"/>
    <w:rsid w:val="00EE7F20"/>
    <w:rsid w:val="00EF013B"/>
    <w:rsid w:val="00EF06B4"/>
    <w:rsid w:val="00EF08E9"/>
    <w:rsid w:val="00EF179F"/>
    <w:rsid w:val="00EF18F5"/>
    <w:rsid w:val="00EF191E"/>
    <w:rsid w:val="00EF1F88"/>
    <w:rsid w:val="00EF2067"/>
    <w:rsid w:val="00EF21D0"/>
    <w:rsid w:val="00EF2407"/>
    <w:rsid w:val="00EF25ED"/>
    <w:rsid w:val="00EF267F"/>
    <w:rsid w:val="00EF26CE"/>
    <w:rsid w:val="00EF2811"/>
    <w:rsid w:val="00EF2A46"/>
    <w:rsid w:val="00EF2CD3"/>
    <w:rsid w:val="00EF2FEC"/>
    <w:rsid w:val="00EF3440"/>
    <w:rsid w:val="00EF3B4C"/>
    <w:rsid w:val="00EF3BFD"/>
    <w:rsid w:val="00EF42F7"/>
    <w:rsid w:val="00EF43CF"/>
    <w:rsid w:val="00EF48DC"/>
    <w:rsid w:val="00EF49B9"/>
    <w:rsid w:val="00EF4A90"/>
    <w:rsid w:val="00EF56DC"/>
    <w:rsid w:val="00EF5D71"/>
    <w:rsid w:val="00EF60F9"/>
    <w:rsid w:val="00EF615B"/>
    <w:rsid w:val="00EF62FE"/>
    <w:rsid w:val="00EF65C5"/>
    <w:rsid w:val="00EF6726"/>
    <w:rsid w:val="00EF67DD"/>
    <w:rsid w:val="00EF6BD8"/>
    <w:rsid w:val="00EF70FE"/>
    <w:rsid w:val="00EF711E"/>
    <w:rsid w:val="00EF747B"/>
    <w:rsid w:val="00EF7A36"/>
    <w:rsid w:val="00EF7B86"/>
    <w:rsid w:val="00EF7BDA"/>
    <w:rsid w:val="00EF7ECB"/>
    <w:rsid w:val="00F00469"/>
    <w:rsid w:val="00F006A9"/>
    <w:rsid w:val="00F007EB"/>
    <w:rsid w:val="00F0080F"/>
    <w:rsid w:val="00F00AA7"/>
    <w:rsid w:val="00F00C82"/>
    <w:rsid w:val="00F0102C"/>
    <w:rsid w:val="00F01154"/>
    <w:rsid w:val="00F011C9"/>
    <w:rsid w:val="00F012DC"/>
    <w:rsid w:val="00F018C9"/>
    <w:rsid w:val="00F02287"/>
    <w:rsid w:val="00F02AAE"/>
    <w:rsid w:val="00F02DD5"/>
    <w:rsid w:val="00F02F1E"/>
    <w:rsid w:val="00F033B8"/>
    <w:rsid w:val="00F03879"/>
    <w:rsid w:val="00F03913"/>
    <w:rsid w:val="00F04516"/>
    <w:rsid w:val="00F04591"/>
    <w:rsid w:val="00F0476A"/>
    <w:rsid w:val="00F0478F"/>
    <w:rsid w:val="00F047E0"/>
    <w:rsid w:val="00F04B1A"/>
    <w:rsid w:val="00F04F3B"/>
    <w:rsid w:val="00F05478"/>
    <w:rsid w:val="00F0569B"/>
    <w:rsid w:val="00F0629A"/>
    <w:rsid w:val="00F062A9"/>
    <w:rsid w:val="00F062DE"/>
    <w:rsid w:val="00F0660C"/>
    <w:rsid w:val="00F06FC2"/>
    <w:rsid w:val="00F0792B"/>
    <w:rsid w:val="00F07DC9"/>
    <w:rsid w:val="00F07E52"/>
    <w:rsid w:val="00F10197"/>
    <w:rsid w:val="00F101C4"/>
    <w:rsid w:val="00F1042E"/>
    <w:rsid w:val="00F106BC"/>
    <w:rsid w:val="00F1116C"/>
    <w:rsid w:val="00F11264"/>
    <w:rsid w:val="00F119C9"/>
    <w:rsid w:val="00F11CB3"/>
    <w:rsid w:val="00F11F71"/>
    <w:rsid w:val="00F12587"/>
    <w:rsid w:val="00F12660"/>
    <w:rsid w:val="00F127B6"/>
    <w:rsid w:val="00F12A3B"/>
    <w:rsid w:val="00F12AD5"/>
    <w:rsid w:val="00F12D8F"/>
    <w:rsid w:val="00F12F3A"/>
    <w:rsid w:val="00F12F9A"/>
    <w:rsid w:val="00F13205"/>
    <w:rsid w:val="00F1364F"/>
    <w:rsid w:val="00F13A72"/>
    <w:rsid w:val="00F14311"/>
    <w:rsid w:val="00F14393"/>
    <w:rsid w:val="00F14511"/>
    <w:rsid w:val="00F147DF"/>
    <w:rsid w:val="00F14B57"/>
    <w:rsid w:val="00F14B6A"/>
    <w:rsid w:val="00F158DD"/>
    <w:rsid w:val="00F15A1D"/>
    <w:rsid w:val="00F15A52"/>
    <w:rsid w:val="00F15D7F"/>
    <w:rsid w:val="00F16039"/>
    <w:rsid w:val="00F161C7"/>
    <w:rsid w:val="00F164BF"/>
    <w:rsid w:val="00F16F92"/>
    <w:rsid w:val="00F173B5"/>
    <w:rsid w:val="00F17808"/>
    <w:rsid w:val="00F17A85"/>
    <w:rsid w:val="00F17B2A"/>
    <w:rsid w:val="00F17B3F"/>
    <w:rsid w:val="00F17EA7"/>
    <w:rsid w:val="00F20098"/>
    <w:rsid w:val="00F20105"/>
    <w:rsid w:val="00F20431"/>
    <w:rsid w:val="00F2056F"/>
    <w:rsid w:val="00F2070B"/>
    <w:rsid w:val="00F2074B"/>
    <w:rsid w:val="00F211F1"/>
    <w:rsid w:val="00F21257"/>
    <w:rsid w:val="00F21295"/>
    <w:rsid w:val="00F213E9"/>
    <w:rsid w:val="00F218E9"/>
    <w:rsid w:val="00F219BA"/>
    <w:rsid w:val="00F21A42"/>
    <w:rsid w:val="00F21D54"/>
    <w:rsid w:val="00F21EA7"/>
    <w:rsid w:val="00F2227E"/>
    <w:rsid w:val="00F222AF"/>
    <w:rsid w:val="00F22364"/>
    <w:rsid w:val="00F223E0"/>
    <w:rsid w:val="00F22620"/>
    <w:rsid w:val="00F226BD"/>
    <w:rsid w:val="00F22914"/>
    <w:rsid w:val="00F22B69"/>
    <w:rsid w:val="00F22C3A"/>
    <w:rsid w:val="00F22CFA"/>
    <w:rsid w:val="00F2306C"/>
    <w:rsid w:val="00F23213"/>
    <w:rsid w:val="00F23373"/>
    <w:rsid w:val="00F2353B"/>
    <w:rsid w:val="00F238D2"/>
    <w:rsid w:val="00F24004"/>
    <w:rsid w:val="00F24227"/>
    <w:rsid w:val="00F2443F"/>
    <w:rsid w:val="00F24DD8"/>
    <w:rsid w:val="00F24F28"/>
    <w:rsid w:val="00F256D1"/>
    <w:rsid w:val="00F25758"/>
    <w:rsid w:val="00F25B09"/>
    <w:rsid w:val="00F25BB1"/>
    <w:rsid w:val="00F25C6E"/>
    <w:rsid w:val="00F25E8E"/>
    <w:rsid w:val="00F25F1A"/>
    <w:rsid w:val="00F25FA4"/>
    <w:rsid w:val="00F26C2C"/>
    <w:rsid w:val="00F2714A"/>
    <w:rsid w:val="00F273C0"/>
    <w:rsid w:val="00F277BB"/>
    <w:rsid w:val="00F2784A"/>
    <w:rsid w:val="00F27D17"/>
    <w:rsid w:val="00F27FE9"/>
    <w:rsid w:val="00F300FE"/>
    <w:rsid w:val="00F3092F"/>
    <w:rsid w:val="00F30D69"/>
    <w:rsid w:val="00F310F1"/>
    <w:rsid w:val="00F310FC"/>
    <w:rsid w:val="00F31127"/>
    <w:rsid w:val="00F31131"/>
    <w:rsid w:val="00F31739"/>
    <w:rsid w:val="00F324C7"/>
    <w:rsid w:val="00F3277E"/>
    <w:rsid w:val="00F337EB"/>
    <w:rsid w:val="00F33E57"/>
    <w:rsid w:val="00F33E7E"/>
    <w:rsid w:val="00F33F5D"/>
    <w:rsid w:val="00F34049"/>
    <w:rsid w:val="00F349FC"/>
    <w:rsid w:val="00F34E72"/>
    <w:rsid w:val="00F34EBE"/>
    <w:rsid w:val="00F35590"/>
    <w:rsid w:val="00F35841"/>
    <w:rsid w:val="00F35B26"/>
    <w:rsid w:val="00F35CD0"/>
    <w:rsid w:val="00F35E9D"/>
    <w:rsid w:val="00F35F9F"/>
    <w:rsid w:val="00F361A9"/>
    <w:rsid w:val="00F36200"/>
    <w:rsid w:val="00F3620D"/>
    <w:rsid w:val="00F36419"/>
    <w:rsid w:val="00F365CB"/>
    <w:rsid w:val="00F36659"/>
    <w:rsid w:val="00F367EC"/>
    <w:rsid w:val="00F36CC6"/>
    <w:rsid w:val="00F36DA0"/>
    <w:rsid w:val="00F37994"/>
    <w:rsid w:val="00F4046B"/>
    <w:rsid w:val="00F40904"/>
    <w:rsid w:val="00F40906"/>
    <w:rsid w:val="00F40C3A"/>
    <w:rsid w:val="00F41246"/>
    <w:rsid w:val="00F41273"/>
    <w:rsid w:val="00F41821"/>
    <w:rsid w:val="00F41D10"/>
    <w:rsid w:val="00F41F97"/>
    <w:rsid w:val="00F421CF"/>
    <w:rsid w:val="00F421DD"/>
    <w:rsid w:val="00F42626"/>
    <w:rsid w:val="00F4264C"/>
    <w:rsid w:val="00F426C9"/>
    <w:rsid w:val="00F42710"/>
    <w:rsid w:val="00F4303B"/>
    <w:rsid w:val="00F43974"/>
    <w:rsid w:val="00F43A1A"/>
    <w:rsid w:val="00F43ACD"/>
    <w:rsid w:val="00F43C6F"/>
    <w:rsid w:val="00F43E3F"/>
    <w:rsid w:val="00F4420D"/>
    <w:rsid w:val="00F44725"/>
    <w:rsid w:val="00F44CA5"/>
    <w:rsid w:val="00F44D57"/>
    <w:rsid w:val="00F452EF"/>
    <w:rsid w:val="00F45D7E"/>
    <w:rsid w:val="00F46297"/>
    <w:rsid w:val="00F466FE"/>
    <w:rsid w:val="00F46A14"/>
    <w:rsid w:val="00F46D75"/>
    <w:rsid w:val="00F46D83"/>
    <w:rsid w:val="00F4710C"/>
    <w:rsid w:val="00F47234"/>
    <w:rsid w:val="00F472E3"/>
    <w:rsid w:val="00F47310"/>
    <w:rsid w:val="00F501B1"/>
    <w:rsid w:val="00F50246"/>
    <w:rsid w:val="00F504F1"/>
    <w:rsid w:val="00F5091A"/>
    <w:rsid w:val="00F50989"/>
    <w:rsid w:val="00F50B44"/>
    <w:rsid w:val="00F50C06"/>
    <w:rsid w:val="00F518C7"/>
    <w:rsid w:val="00F52990"/>
    <w:rsid w:val="00F53200"/>
    <w:rsid w:val="00F53758"/>
    <w:rsid w:val="00F53B99"/>
    <w:rsid w:val="00F53C0E"/>
    <w:rsid w:val="00F53D1B"/>
    <w:rsid w:val="00F53DCF"/>
    <w:rsid w:val="00F540A9"/>
    <w:rsid w:val="00F5433B"/>
    <w:rsid w:val="00F54D5B"/>
    <w:rsid w:val="00F552D1"/>
    <w:rsid w:val="00F5555E"/>
    <w:rsid w:val="00F55611"/>
    <w:rsid w:val="00F558ED"/>
    <w:rsid w:val="00F55950"/>
    <w:rsid w:val="00F55CBB"/>
    <w:rsid w:val="00F55CD3"/>
    <w:rsid w:val="00F55DEB"/>
    <w:rsid w:val="00F56013"/>
    <w:rsid w:val="00F56386"/>
    <w:rsid w:val="00F56648"/>
    <w:rsid w:val="00F567B6"/>
    <w:rsid w:val="00F56CF4"/>
    <w:rsid w:val="00F57CC7"/>
    <w:rsid w:val="00F60320"/>
    <w:rsid w:val="00F60A64"/>
    <w:rsid w:val="00F617F2"/>
    <w:rsid w:val="00F61C06"/>
    <w:rsid w:val="00F621EA"/>
    <w:rsid w:val="00F62366"/>
    <w:rsid w:val="00F6238F"/>
    <w:rsid w:val="00F627B7"/>
    <w:rsid w:val="00F62A4F"/>
    <w:rsid w:val="00F630A9"/>
    <w:rsid w:val="00F63311"/>
    <w:rsid w:val="00F634AC"/>
    <w:rsid w:val="00F63686"/>
    <w:rsid w:val="00F639A6"/>
    <w:rsid w:val="00F63AAF"/>
    <w:rsid w:val="00F64339"/>
    <w:rsid w:val="00F6443E"/>
    <w:rsid w:val="00F647EB"/>
    <w:rsid w:val="00F64860"/>
    <w:rsid w:val="00F649F2"/>
    <w:rsid w:val="00F64C5D"/>
    <w:rsid w:val="00F65586"/>
    <w:rsid w:val="00F659F1"/>
    <w:rsid w:val="00F65A86"/>
    <w:rsid w:val="00F663E2"/>
    <w:rsid w:val="00F668A0"/>
    <w:rsid w:val="00F66CB2"/>
    <w:rsid w:val="00F66FF8"/>
    <w:rsid w:val="00F67573"/>
    <w:rsid w:val="00F6758A"/>
    <w:rsid w:val="00F675EC"/>
    <w:rsid w:val="00F676A5"/>
    <w:rsid w:val="00F678A5"/>
    <w:rsid w:val="00F67B85"/>
    <w:rsid w:val="00F67DD0"/>
    <w:rsid w:val="00F67EA1"/>
    <w:rsid w:val="00F703B2"/>
    <w:rsid w:val="00F712A8"/>
    <w:rsid w:val="00F713BA"/>
    <w:rsid w:val="00F71DCC"/>
    <w:rsid w:val="00F7202D"/>
    <w:rsid w:val="00F72076"/>
    <w:rsid w:val="00F7227E"/>
    <w:rsid w:val="00F723BD"/>
    <w:rsid w:val="00F7245F"/>
    <w:rsid w:val="00F72576"/>
    <w:rsid w:val="00F727E7"/>
    <w:rsid w:val="00F7283B"/>
    <w:rsid w:val="00F72BD3"/>
    <w:rsid w:val="00F72C8D"/>
    <w:rsid w:val="00F72D76"/>
    <w:rsid w:val="00F72E10"/>
    <w:rsid w:val="00F72F03"/>
    <w:rsid w:val="00F72FD0"/>
    <w:rsid w:val="00F73546"/>
    <w:rsid w:val="00F73789"/>
    <w:rsid w:val="00F73870"/>
    <w:rsid w:val="00F73A09"/>
    <w:rsid w:val="00F73D4D"/>
    <w:rsid w:val="00F740C9"/>
    <w:rsid w:val="00F7461C"/>
    <w:rsid w:val="00F748D4"/>
    <w:rsid w:val="00F74B71"/>
    <w:rsid w:val="00F74C9F"/>
    <w:rsid w:val="00F74EC7"/>
    <w:rsid w:val="00F74EEA"/>
    <w:rsid w:val="00F750BA"/>
    <w:rsid w:val="00F7588D"/>
    <w:rsid w:val="00F75A10"/>
    <w:rsid w:val="00F761D1"/>
    <w:rsid w:val="00F7620F"/>
    <w:rsid w:val="00F765F0"/>
    <w:rsid w:val="00F7672D"/>
    <w:rsid w:val="00F767D9"/>
    <w:rsid w:val="00F769E5"/>
    <w:rsid w:val="00F76DCE"/>
    <w:rsid w:val="00F76EE5"/>
    <w:rsid w:val="00F772AC"/>
    <w:rsid w:val="00F774CB"/>
    <w:rsid w:val="00F77529"/>
    <w:rsid w:val="00F777EB"/>
    <w:rsid w:val="00F77E27"/>
    <w:rsid w:val="00F77F09"/>
    <w:rsid w:val="00F77FBD"/>
    <w:rsid w:val="00F80280"/>
    <w:rsid w:val="00F8062E"/>
    <w:rsid w:val="00F807F6"/>
    <w:rsid w:val="00F80A58"/>
    <w:rsid w:val="00F80F1C"/>
    <w:rsid w:val="00F80FA6"/>
    <w:rsid w:val="00F811A1"/>
    <w:rsid w:val="00F813E6"/>
    <w:rsid w:val="00F816A9"/>
    <w:rsid w:val="00F817C2"/>
    <w:rsid w:val="00F81845"/>
    <w:rsid w:val="00F8197A"/>
    <w:rsid w:val="00F82034"/>
    <w:rsid w:val="00F82408"/>
    <w:rsid w:val="00F82D3C"/>
    <w:rsid w:val="00F832AF"/>
    <w:rsid w:val="00F83CF8"/>
    <w:rsid w:val="00F84283"/>
    <w:rsid w:val="00F84408"/>
    <w:rsid w:val="00F84A5E"/>
    <w:rsid w:val="00F8529C"/>
    <w:rsid w:val="00F853A8"/>
    <w:rsid w:val="00F85A76"/>
    <w:rsid w:val="00F85B61"/>
    <w:rsid w:val="00F85D51"/>
    <w:rsid w:val="00F85EDB"/>
    <w:rsid w:val="00F864E7"/>
    <w:rsid w:val="00F86506"/>
    <w:rsid w:val="00F86DD7"/>
    <w:rsid w:val="00F870F9"/>
    <w:rsid w:val="00F87AA3"/>
    <w:rsid w:val="00F87BC3"/>
    <w:rsid w:val="00F9003D"/>
    <w:rsid w:val="00F902B2"/>
    <w:rsid w:val="00F9081B"/>
    <w:rsid w:val="00F91579"/>
    <w:rsid w:val="00F918D9"/>
    <w:rsid w:val="00F919D4"/>
    <w:rsid w:val="00F91A43"/>
    <w:rsid w:val="00F91D0B"/>
    <w:rsid w:val="00F91E33"/>
    <w:rsid w:val="00F91F0E"/>
    <w:rsid w:val="00F923D7"/>
    <w:rsid w:val="00F93345"/>
    <w:rsid w:val="00F936F9"/>
    <w:rsid w:val="00F9370B"/>
    <w:rsid w:val="00F937F4"/>
    <w:rsid w:val="00F939D6"/>
    <w:rsid w:val="00F93A55"/>
    <w:rsid w:val="00F943D7"/>
    <w:rsid w:val="00F947D5"/>
    <w:rsid w:val="00F9483B"/>
    <w:rsid w:val="00F94C9B"/>
    <w:rsid w:val="00F951E1"/>
    <w:rsid w:val="00F9553B"/>
    <w:rsid w:val="00F957ED"/>
    <w:rsid w:val="00F95E7E"/>
    <w:rsid w:val="00F961AC"/>
    <w:rsid w:val="00F966F1"/>
    <w:rsid w:val="00F968D5"/>
    <w:rsid w:val="00F96BE8"/>
    <w:rsid w:val="00F96E74"/>
    <w:rsid w:val="00F97856"/>
    <w:rsid w:val="00F97C1B"/>
    <w:rsid w:val="00FA0200"/>
    <w:rsid w:val="00FA0212"/>
    <w:rsid w:val="00FA08CF"/>
    <w:rsid w:val="00FA1776"/>
    <w:rsid w:val="00FA17D4"/>
    <w:rsid w:val="00FA1D4A"/>
    <w:rsid w:val="00FA2DB6"/>
    <w:rsid w:val="00FA3093"/>
    <w:rsid w:val="00FA3289"/>
    <w:rsid w:val="00FA3B4F"/>
    <w:rsid w:val="00FA3C7B"/>
    <w:rsid w:val="00FA47E9"/>
    <w:rsid w:val="00FA4B28"/>
    <w:rsid w:val="00FA51A0"/>
    <w:rsid w:val="00FA58EB"/>
    <w:rsid w:val="00FA59B8"/>
    <w:rsid w:val="00FA5A1C"/>
    <w:rsid w:val="00FA5B95"/>
    <w:rsid w:val="00FA5CF9"/>
    <w:rsid w:val="00FA6227"/>
    <w:rsid w:val="00FA63FF"/>
    <w:rsid w:val="00FA67D5"/>
    <w:rsid w:val="00FA6928"/>
    <w:rsid w:val="00FA6B1D"/>
    <w:rsid w:val="00FA6DF3"/>
    <w:rsid w:val="00FA6EF2"/>
    <w:rsid w:val="00FA704B"/>
    <w:rsid w:val="00FA7B9D"/>
    <w:rsid w:val="00FA7E0A"/>
    <w:rsid w:val="00FA7F74"/>
    <w:rsid w:val="00FB022E"/>
    <w:rsid w:val="00FB05D0"/>
    <w:rsid w:val="00FB05E9"/>
    <w:rsid w:val="00FB0FD9"/>
    <w:rsid w:val="00FB125C"/>
    <w:rsid w:val="00FB13F9"/>
    <w:rsid w:val="00FB16CA"/>
    <w:rsid w:val="00FB1923"/>
    <w:rsid w:val="00FB1AED"/>
    <w:rsid w:val="00FB1E7B"/>
    <w:rsid w:val="00FB1F06"/>
    <w:rsid w:val="00FB22D6"/>
    <w:rsid w:val="00FB24FA"/>
    <w:rsid w:val="00FB2EF0"/>
    <w:rsid w:val="00FB3186"/>
    <w:rsid w:val="00FB318F"/>
    <w:rsid w:val="00FB3546"/>
    <w:rsid w:val="00FB42D9"/>
    <w:rsid w:val="00FB460E"/>
    <w:rsid w:val="00FB46F0"/>
    <w:rsid w:val="00FB48D5"/>
    <w:rsid w:val="00FB4D15"/>
    <w:rsid w:val="00FB5014"/>
    <w:rsid w:val="00FB53A9"/>
    <w:rsid w:val="00FB5466"/>
    <w:rsid w:val="00FB5512"/>
    <w:rsid w:val="00FB577C"/>
    <w:rsid w:val="00FB5C6E"/>
    <w:rsid w:val="00FB5ED0"/>
    <w:rsid w:val="00FB675B"/>
    <w:rsid w:val="00FB6C34"/>
    <w:rsid w:val="00FB70B3"/>
    <w:rsid w:val="00FB710B"/>
    <w:rsid w:val="00FB7283"/>
    <w:rsid w:val="00FB7422"/>
    <w:rsid w:val="00FB782F"/>
    <w:rsid w:val="00FB7E25"/>
    <w:rsid w:val="00FB7EE8"/>
    <w:rsid w:val="00FC08DD"/>
    <w:rsid w:val="00FC1041"/>
    <w:rsid w:val="00FC1435"/>
    <w:rsid w:val="00FC1910"/>
    <w:rsid w:val="00FC1AB7"/>
    <w:rsid w:val="00FC1FCC"/>
    <w:rsid w:val="00FC20DF"/>
    <w:rsid w:val="00FC2367"/>
    <w:rsid w:val="00FC24E4"/>
    <w:rsid w:val="00FC2E54"/>
    <w:rsid w:val="00FC3F37"/>
    <w:rsid w:val="00FC437E"/>
    <w:rsid w:val="00FC4CA5"/>
    <w:rsid w:val="00FC4E2E"/>
    <w:rsid w:val="00FC4E7A"/>
    <w:rsid w:val="00FC577A"/>
    <w:rsid w:val="00FC5AC4"/>
    <w:rsid w:val="00FC5B3B"/>
    <w:rsid w:val="00FC641D"/>
    <w:rsid w:val="00FC6509"/>
    <w:rsid w:val="00FC6844"/>
    <w:rsid w:val="00FC6C2D"/>
    <w:rsid w:val="00FC6C7A"/>
    <w:rsid w:val="00FC6F6C"/>
    <w:rsid w:val="00FC718D"/>
    <w:rsid w:val="00FC753E"/>
    <w:rsid w:val="00FC75D4"/>
    <w:rsid w:val="00FD0349"/>
    <w:rsid w:val="00FD06BA"/>
    <w:rsid w:val="00FD19A8"/>
    <w:rsid w:val="00FD1C79"/>
    <w:rsid w:val="00FD1E53"/>
    <w:rsid w:val="00FD1F12"/>
    <w:rsid w:val="00FD1FDA"/>
    <w:rsid w:val="00FD214A"/>
    <w:rsid w:val="00FD27FD"/>
    <w:rsid w:val="00FD3637"/>
    <w:rsid w:val="00FD37E8"/>
    <w:rsid w:val="00FD3A80"/>
    <w:rsid w:val="00FD4014"/>
    <w:rsid w:val="00FD406A"/>
    <w:rsid w:val="00FD41B8"/>
    <w:rsid w:val="00FD4C7A"/>
    <w:rsid w:val="00FD557B"/>
    <w:rsid w:val="00FD56E6"/>
    <w:rsid w:val="00FD5741"/>
    <w:rsid w:val="00FD5A3D"/>
    <w:rsid w:val="00FD5FA5"/>
    <w:rsid w:val="00FD66E3"/>
    <w:rsid w:val="00FD69B8"/>
    <w:rsid w:val="00FD6E3C"/>
    <w:rsid w:val="00FD720D"/>
    <w:rsid w:val="00FD74B0"/>
    <w:rsid w:val="00FD761B"/>
    <w:rsid w:val="00FD7744"/>
    <w:rsid w:val="00FD7797"/>
    <w:rsid w:val="00FD7D60"/>
    <w:rsid w:val="00FE0063"/>
    <w:rsid w:val="00FE0550"/>
    <w:rsid w:val="00FE067B"/>
    <w:rsid w:val="00FE0F31"/>
    <w:rsid w:val="00FE14EA"/>
    <w:rsid w:val="00FE1515"/>
    <w:rsid w:val="00FE1571"/>
    <w:rsid w:val="00FE1BF2"/>
    <w:rsid w:val="00FE1D08"/>
    <w:rsid w:val="00FE1E54"/>
    <w:rsid w:val="00FE1EF3"/>
    <w:rsid w:val="00FE22DC"/>
    <w:rsid w:val="00FE28F0"/>
    <w:rsid w:val="00FE2C29"/>
    <w:rsid w:val="00FE3CFC"/>
    <w:rsid w:val="00FE3D68"/>
    <w:rsid w:val="00FE4165"/>
    <w:rsid w:val="00FE43D9"/>
    <w:rsid w:val="00FE4600"/>
    <w:rsid w:val="00FE4844"/>
    <w:rsid w:val="00FE4A40"/>
    <w:rsid w:val="00FE4E90"/>
    <w:rsid w:val="00FE4EC9"/>
    <w:rsid w:val="00FE5032"/>
    <w:rsid w:val="00FE5087"/>
    <w:rsid w:val="00FE5850"/>
    <w:rsid w:val="00FE6371"/>
    <w:rsid w:val="00FE6534"/>
    <w:rsid w:val="00FE690A"/>
    <w:rsid w:val="00FE7191"/>
    <w:rsid w:val="00FE752F"/>
    <w:rsid w:val="00FE7B31"/>
    <w:rsid w:val="00FE7D8E"/>
    <w:rsid w:val="00FE7FE2"/>
    <w:rsid w:val="00FE7FEB"/>
    <w:rsid w:val="00FF007A"/>
    <w:rsid w:val="00FF02AF"/>
    <w:rsid w:val="00FF030C"/>
    <w:rsid w:val="00FF03C9"/>
    <w:rsid w:val="00FF0718"/>
    <w:rsid w:val="00FF075A"/>
    <w:rsid w:val="00FF07AB"/>
    <w:rsid w:val="00FF0F79"/>
    <w:rsid w:val="00FF108A"/>
    <w:rsid w:val="00FF1696"/>
    <w:rsid w:val="00FF17E7"/>
    <w:rsid w:val="00FF25C0"/>
    <w:rsid w:val="00FF2DCE"/>
    <w:rsid w:val="00FF3049"/>
    <w:rsid w:val="00FF334F"/>
    <w:rsid w:val="00FF3414"/>
    <w:rsid w:val="00FF3797"/>
    <w:rsid w:val="00FF3BD9"/>
    <w:rsid w:val="00FF4564"/>
    <w:rsid w:val="00FF4D3C"/>
    <w:rsid w:val="00FF4E05"/>
    <w:rsid w:val="00FF538B"/>
    <w:rsid w:val="00FF58F9"/>
    <w:rsid w:val="00FF5D8A"/>
    <w:rsid w:val="00FF6524"/>
    <w:rsid w:val="00FF6668"/>
    <w:rsid w:val="00FF68EB"/>
    <w:rsid w:val="00FF6B1C"/>
    <w:rsid w:val="00FF6DB4"/>
    <w:rsid w:val="00FF7B4A"/>
    <w:rsid w:val="00FF7FEE"/>
    <w:rsid w:val="012368F7"/>
    <w:rsid w:val="01839F5E"/>
    <w:rsid w:val="01B80A58"/>
    <w:rsid w:val="02A5514B"/>
    <w:rsid w:val="02DA0229"/>
    <w:rsid w:val="03297556"/>
    <w:rsid w:val="036C26E3"/>
    <w:rsid w:val="03E21092"/>
    <w:rsid w:val="044C4D18"/>
    <w:rsid w:val="04504367"/>
    <w:rsid w:val="04E075B5"/>
    <w:rsid w:val="052D0C06"/>
    <w:rsid w:val="057ACBCC"/>
    <w:rsid w:val="0591D289"/>
    <w:rsid w:val="05A73038"/>
    <w:rsid w:val="05BD9D6F"/>
    <w:rsid w:val="05F35ECD"/>
    <w:rsid w:val="06545EE7"/>
    <w:rsid w:val="06689794"/>
    <w:rsid w:val="06982C59"/>
    <w:rsid w:val="06D5B653"/>
    <w:rsid w:val="07254880"/>
    <w:rsid w:val="073D7533"/>
    <w:rsid w:val="075745DB"/>
    <w:rsid w:val="07EE3423"/>
    <w:rsid w:val="07F8135F"/>
    <w:rsid w:val="08603CC7"/>
    <w:rsid w:val="086EC0D3"/>
    <w:rsid w:val="08709EE4"/>
    <w:rsid w:val="09963FBD"/>
    <w:rsid w:val="0997D871"/>
    <w:rsid w:val="0AE4BDE3"/>
    <w:rsid w:val="0B52B02E"/>
    <w:rsid w:val="0B64CE89"/>
    <w:rsid w:val="0BA7CB9E"/>
    <w:rsid w:val="0C03273A"/>
    <w:rsid w:val="0C3C1F8F"/>
    <w:rsid w:val="0C4E0C28"/>
    <w:rsid w:val="0C51E745"/>
    <w:rsid w:val="0D283BD2"/>
    <w:rsid w:val="0D65CA85"/>
    <w:rsid w:val="0D72F9AB"/>
    <w:rsid w:val="0D9DBE21"/>
    <w:rsid w:val="0DA35EE7"/>
    <w:rsid w:val="0DD027B2"/>
    <w:rsid w:val="0E11D33C"/>
    <w:rsid w:val="0E315AE6"/>
    <w:rsid w:val="0EE26F01"/>
    <w:rsid w:val="0F79ACFC"/>
    <w:rsid w:val="105FFD54"/>
    <w:rsid w:val="10B43352"/>
    <w:rsid w:val="10ED96A8"/>
    <w:rsid w:val="10FB292F"/>
    <w:rsid w:val="112B4FBD"/>
    <w:rsid w:val="128BF107"/>
    <w:rsid w:val="13CC7E48"/>
    <w:rsid w:val="1414E2B2"/>
    <w:rsid w:val="142FA800"/>
    <w:rsid w:val="149CCDF3"/>
    <w:rsid w:val="1513E89D"/>
    <w:rsid w:val="151F58B7"/>
    <w:rsid w:val="1530237B"/>
    <w:rsid w:val="1586E4D2"/>
    <w:rsid w:val="158E39FB"/>
    <w:rsid w:val="15BAAA5D"/>
    <w:rsid w:val="15C8A632"/>
    <w:rsid w:val="16146F77"/>
    <w:rsid w:val="170EB009"/>
    <w:rsid w:val="17B2328E"/>
    <w:rsid w:val="18F2E416"/>
    <w:rsid w:val="191F8C45"/>
    <w:rsid w:val="194D5D6D"/>
    <w:rsid w:val="19CC7774"/>
    <w:rsid w:val="19E203E6"/>
    <w:rsid w:val="1A7C950B"/>
    <w:rsid w:val="1AAF2146"/>
    <w:rsid w:val="1ADD3F1F"/>
    <w:rsid w:val="1AE93FCC"/>
    <w:rsid w:val="1B7B0720"/>
    <w:rsid w:val="1C95A7F1"/>
    <w:rsid w:val="1CE14919"/>
    <w:rsid w:val="1CE658C0"/>
    <w:rsid w:val="1D769A20"/>
    <w:rsid w:val="1D9DFF6C"/>
    <w:rsid w:val="1D9EC07D"/>
    <w:rsid w:val="1DF2CDC0"/>
    <w:rsid w:val="1DF7B33F"/>
    <w:rsid w:val="1E89F1CF"/>
    <w:rsid w:val="1EBE09D7"/>
    <w:rsid w:val="1EC51A58"/>
    <w:rsid w:val="1FBD5666"/>
    <w:rsid w:val="202716AA"/>
    <w:rsid w:val="2043ADA8"/>
    <w:rsid w:val="215BA7AA"/>
    <w:rsid w:val="22014071"/>
    <w:rsid w:val="220AAC70"/>
    <w:rsid w:val="221E2B0A"/>
    <w:rsid w:val="22ADE729"/>
    <w:rsid w:val="22CF506E"/>
    <w:rsid w:val="22D0879A"/>
    <w:rsid w:val="22F4A1D2"/>
    <w:rsid w:val="2324F640"/>
    <w:rsid w:val="235EFF0A"/>
    <w:rsid w:val="23B672F3"/>
    <w:rsid w:val="23BA9DC7"/>
    <w:rsid w:val="240DA109"/>
    <w:rsid w:val="2412754A"/>
    <w:rsid w:val="24930453"/>
    <w:rsid w:val="24B91BF6"/>
    <w:rsid w:val="24BF1C97"/>
    <w:rsid w:val="24DB11C5"/>
    <w:rsid w:val="25A235B3"/>
    <w:rsid w:val="260DE352"/>
    <w:rsid w:val="2627FE0E"/>
    <w:rsid w:val="2656F30A"/>
    <w:rsid w:val="26C77192"/>
    <w:rsid w:val="27155660"/>
    <w:rsid w:val="27401FA5"/>
    <w:rsid w:val="277E4BC1"/>
    <w:rsid w:val="27AD58C0"/>
    <w:rsid w:val="283DB40B"/>
    <w:rsid w:val="28A1919F"/>
    <w:rsid w:val="28E2C28E"/>
    <w:rsid w:val="2930CC0F"/>
    <w:rsid w:val="29702562"/>
    <w:rsid w:val="29708408"/>
    <w:rsid w:val="29710CFE"/>
    <w:rsid w:val="29E40A1A"/>
    <w:rsid w:val="2A0BE761"/>
    <w:rsid w:val="2A5A1F21"/>
    <w:rsid w:val="2AA3079C"/>
    <w:rsid w:val="2AD3AA0B"/>
    <w:rsid w:val="2B00DE94"/>
    <w:rsid w:val="2B7EBFA4"/>
    <w:rsid w:val="2B88ED39"/>
    <w:rsid w:val="2B900DE8"/>
    <w:rsid w:val="2BA69A55"/>
    <w:rsid w:val="2C87DC16"/>
    <w:rsid w:val="2CE117B3"/>
    <w:rsid w:val="2D995349"/>
    <w:rsid w:val="2EE3ED6A"/>
    <w:rsid w:val="2F0EA2B1"/>
    <w:rsid w:val="2FA6F69E"/>
    <w:rsid w:val="3033A31A"/>
    <w:rsid w:val="3037458C"/>
    <w:rsid w:val="309C398D"/>
    <w:rsid w:val="3111A57B"/>
    <w:rsid w:val="3149A654"/>
    <w:rsid w:val="31563DB2"/>
    <w:rsid w:val="3158A99C"/>
    <w:rsid w:val="323CC652"/>
    <w:rsid w:val="327DCE82"/>
    <w:rsid w:val="32B203FA"/>
    <w:rsid w:val="32BC55FB"/>
    <w:rsid w:val="32FBF706"/>
    <w:rsid w:val="3325D027"/>
    <w:rsid w:val="33F00045"/>
    <w:rsid w:val="34081CD6"/>
    <w:rsid w:val="3427276B"/>
    <w:rsid w:val="34AAB78D"/>
    <w:rsid w:val="34C300D3"/>
    <w:rsid w:val="364F1A2F"/>
    <w:rsid w:val="366BB72C"/>
    <w:rsid w:val="375AA1B2"/>
    <w:rsid w:val="37E14B0C"/>
    <w:rsid w:val="381749D9"/>
    <w:rsid w:val="38821EFC"/>
    <w:rsid w:val="38C9CC0F"/>
    <w:rsid w:val="38E122C9"/>
    <w:rsid w:val="391D6D83"/>
    <w:rsid w:val="3921BE09"/>
    <w:rsid w:val="39322220"/>
    <w:rsid w:val="39450A76"/>
    <w:rsid w:val="396E315C"/>
    <w:rsid w:val="3A10C90A"/>
    <w:rsid w:val="3B105233"/>
    <w:rsid w:val="3B52A050"/>
    <w:rsid w:val="3B52B87D"/>
    <w:rsid w:val="3B7120B6"/>
    <w:rsid w:val="3BA610B5"/>
    <w:rsid w:val="3BC6F4E4"/>
    <w:rsid w:val="3C09ACA3"/>
    <w:rsid w:val="3C6AA248"/>
    <w:rsid w:val="3C733764"/>
    <w:rsid w:val="3CA5E475"/>
    <w:rsid w:val="3D0E3CB2"/>
    <w:rsid w:val="3D16B92A"/>
    <w:rsid w:val="3D452493"/>
    <w:rsid w:val="3D80400E"/>
    <w:rsid w:val="3E16EC2F"/>
    <w:rsid w:val="3E4276E5"/>
    <w:rsid w:val="3EDEF777"/>
    <w:rsid w:val="3EF8739F"/>
    <w:rsid w:val="3F0A78AA"/>
    <w:rsid w:val="3F38D623"/>
    <w:rsid w:val="3F3EB261"/>
    <w:rsid w:val="3F4A98B9"/>
    <w:rsid w:val="3F7401B2"/>
    <w:rsid w:val="3F9DD31E"/>
    <w:rsid w:val="3FA85C48"/>
    <w:rsid w:val="3FC3597A"/>
    <w:rsid w:val="3FE6E104"/>
    <w:rsid w:val="3FF54980"/>
    <w:rsid w:val="40ACB5C4"/>
    <w:rsid w:val="4145B141"/>
    <w:rsid w:val="4152CE7A"/>
    <w:rsid w:val="41585C29"/>
    <w:rsid w:val="4204E980"/>
    <w:rsid w:val="4245BB37"/>
    <w:rsid w:val="42944CE0"/>
    <w:rsid w:val="43767A9D"/>
    <w:rsid w:val="44388C95"/>
    <w:rsid w:val="45142A97"/>
    <w:rsid w:val="457A3969"/>
    <w:rsid w:val="45A33776"/>
    <w:rsid w:val="45BF593E"/>
    <w:rsid w:val="46B030D9"/>
    <w:rsid w:val="46B3D7B7"/>
    <w:rsid w:val="470FED86"/>
    <w:rsid w:val="4742DE5B"/>
    <w:rsid w:val="47ED16D2"/>
    <w:rsid w:val="483D8836"/>
    <w:rsid w:val="48526599"/>
    <w:rsid w:val="48ACF9DF"/>
    <w:rsid w:val="49321829"/>
    <w:rsid w:val="49DACDDF"/>
    <w:rsid w:val="4A1B4E22"/>
    <w:rsid w:val="4AC11C8A"/>
    <w:rsid w:val="4B2A4560"/>
    <w:rsid w:val="4B97CBA2"/>
    <w:rsid w:val="4BA18CD6"/>
    <w:rsid w:val="4C00F78B"/>
    <w:rsid w:val="4C18E031"/>
    <w:rsid w:val="4C1A187A"/>
    <w:rsid w:val="4D451ED8"/>
    <w:rsid w:val="4DAA90C1"/>
    <w:rsid w:val="4DE7E1FC"/>
    <w:rsid w:val="4EB172D8"/>
    <w:rsid w:val="4EBA5BFB"/>
    <w:rsid w:val="4ECE6B2E"/>
    <w:rsid w:val="4F4F1772"/>
    <w:rsid w:val="4F77B1B9"/>
    <w:rsid w:val="4F9474EC"/>
    <w:rsid w:val="4FB3E80C"/>
    <w:rsid w:val="4FD2E448"/>
    <w:rsid w:val="50281A77"/>
    <w:rsid w:val="50B4FCD7"/>
    <w:rsid w:val="521CF51F"/>
    <w:rsid w:val="522F269B"/>
    <w:rsid w:val="528AA0AE"/>
    <w:rsid w:val="529C7E9E"/>
    <w:rsid w:val="531F7990"/>
    <w:rsid w:val="53BD702F"/>
    <w:rsid w:val="53EB3371"/>
    <w:rsid w:val="541C6669"/>
    <w:rsid w:val="543072E4"/>
    <w:rsid w:val="5495DF81"/>
    <w:rsid w:val="54C79748"/>
    <w:rsid w:val="550F0A0F"/>
    <w:rsid w:val="5512DFB3"/>
    <w:rsid w:val="554B0D88"/>
    <w:rsid w:val="5565D6DD"/>
    <w:rsid w:val="55EB774F"/>
    <w:rsid w:val="5638F402"/>
    <w:rsid w:val="5639B5AF"/>
    <w:rsid w:val="566386B8"/>
    <w:rsid w:val="5688E022"/>
    <w:rsid w:val="573AAC2D"/>
    <w:rsid w:val="57C16342"/>
    <w:rsid w:val="58018788"/>
    <w:rsid w:val="58E06BF4"/>
    <w:rsid w:val="59775D52"/>
    <w:rsid w:val="59AE44B1"/>
    <w:rsid w:val="59B55508"/>
    <w:rsid w:val="5A2F4A29"/>
    <w:rsid w:val="5A6F1789"/>
    <w:rsid w:val="5B068592"/>
    <w:rsid w:val="5B234342"/>
    <w:rsid w:val="5B3230F8"/>
    <w:rsid w:val="5B398E8A"/>
    <w:rsid w:val="5BD12E0D"/>
    <w:rsid w:val="5BDBF011"/>
    <w:rsid w:val="5C5F38FC"/>
    <w:rsid w:val="5D0A1560"/>
    <w:rsid w:val="5D8E71D0"/>
    <w:rsid w:val="5DC2B0AE"/>
    <w:rsid w:val="5EA44467"/>
    <w:rsid w:val="5EADE9EC"/>
    <w:rsid w:val="5EBD68F9"/>
    <w:rsid w:val="5EDBDBD5"/>
    <w:rsid w:val="5F068144"/>
    <w:rsid w:val="5F226E91"/>
    <w:rsid w:val="5F9CA485"/>
    <w:rsid w:val="5F9CF784"/>
    <w:rsid w:val="5FCCC6B7"/>
    <w:rsid w:val="5FE6E18E"/>
    <w:rsid w:val="5FF6CC7F"/>
    <w:rsid w:val="6004643E"/>
    <w:rsid w:val="604F2151"/>
    <w:rsid w:val="6089CD96"/>
    <w:rsid w:val="60D4A6C5"/>
    <w:rsid w:val="60F1439C"/>
    <w:rsid w:val="61165952"/>
    <w:rsid w:val="613670DD"/>
    <w:rsid w:val="61CBD7C6"/>
    <w:rsid w:val="61F01EE1"/>
    <w:rsid w:val="629DE153"/>
    <w:rsid w:val="62C94552"/>
    <w:rsid w:val="62F2D4B8"/>
    <w:rsid w:val="636927DF"/>
    <w:rsid w:val="63B0417E"/>
    <w:rsid w:val="63B83263"/>
    <w:rsid w:val="6427D1B3"/>
    <w:rsid w:val="642F5BE7"/>
    <w:rsid w:val="6441AC14"/>
    <w:rsid w:val="64DADFD0"/>
    <w:rsid w:val="64FC4310"/>
    <w:rsid w:val="65131AB7"/>
    <w:rsid w:val="654B9DD2"/>
    <w:rsid w:val="65D6F229"/>
    <w:rsid w:val="65EB63BD"/>
    <w:rsid w:val="66AD2BA3"/>
    <w:rsid w:val="6724AA69"/>
    <w:rsid w:val="672FEE6C"/>
    <w:rsid w:val="6735BD57"/>
    <w:rsid w:val="67653E99"/>
    <w:rsid w:val="68290E57"/>
    <w:rsid w:val="683C7E01"/>
    <w:rsid w:val="6849806A"/>
    <w:rsid w:val="688E1F55"/>
    <w:rsid w:val="69CE9AFC"/>
    <w:rsid w:val="69E5C153"/>
    <w:rsid w:val="6A6949E8"/>
    <w:rsid w:val="6A7A7A83"/>
    <w:rsid w:val="6ABBE89C"/>
    <w:rsid w:val="6B04976F"/>
    <w:rsid w:val="6B0D584C"/>
    <w:rsid w:val="6B3CE099"/>
    <w:rsid w:val="6B78E37E"/>
    <w:rsid w:val="6BA47999"/>
    <w:rsid w:val="6BD7A1E8"/>
    <w:rsid w:val="6BF71E5C"/>
    <w:rsid w:val="6C8172DE"/>
    <w:rsid w:val="6C94C8E6"/>
    <w:rsid w:val="6CFDFA18"/>
    <w:rsid w:val="6D215E71"/>
    <w:rsid w:val="6DC645AD"/>
    <w:rsid w:val="6DDCE926"/>
    <w:rsid w:val="6E13AC89"/>
    <w:rsid w:val="6E49CDEF"/>
    <w:rsid w:val="6E7E2A25"/>
    <w:rsid w:val="6EA39327"/>
    <w:rsid w:val="6EC03383"/>
    <w:rsid w:val="6EFBBEBA"/>
    <w:rsid w:val="6FA243AC"/>
    <w:rsid w:val="6FBFB895"/>
    <w:rsid w:val="700483A9"/>
    <w:rsid w:val="7079713C"/>
    <w:rsid w:val="711488A6"/>
    <w:rsid w:val="713F66F7"/>
    <w:rsid w:val="7157CF7B"/>
    <w:rsid w:val="71711843"/>
    <w:rsid w:val="717D17CF"/>
    <w:rsid w:val="718BB2C0"/>
    <w:rsid w:val="728A54D8"/>
    <w:rsid w:val="72A468A0"/>
    <w:rsid w:val="72A7ECDE"/>
    <w:rsid w:val="72C79FBC"/>
    <w:rsid w:val="72F2F385"/>
    <w:rsid w:val="7352AB62"/>
    <w:rsid w:val="73ACEE0C"/>
    <w:rsid w:val="73D31833"/>
    <w:rsid w:val="74672D65"/>
    <w:rsid w:val="74712C1F"/>
    <w:rsid w:val="74ABB26A"/>
    <w:rsid w:val="753B4024"/>
    <w:rsid w:val="759D273C"/>
    <w:rsid w:val="767BFE6A"/>
    <w:rsid w:val="76B1E3C5"/>
    <w:rsid w:val="76BF9426"/>
    <w:rsid w:val="76C31015"/>
    <w:rsid w:val="76C979E0"/>
    <w:rsid w:val="77103909"/>
    <w:rsid w:val="775F1879"/>
    <w:rsid w:val="776DA097"/>
    <w:rsid w:val="7806B0FA"/>
    <w:rsid w:val="7872CCAE"/>
    <w:rsid w:val="78BD7CE9"/>
    <w:rsid w:val="78EE881F"/>
    <w:rsid w:val="7912A2CF"/>
    <w:rsid w:val="794317DF"/>
    <w:rsid w:val="796E45C0"/>
    <w:rsid w:val="79AF6A9E"/>
    <w:rsid w:val="7A7CD72C"/>
    <w:rsid w:val="7AA8774C"/>
    <w:rsid w:val="7AD0681E"/>
    <w:rsid w:val="7AE5F2FF"/>
    <w:rsid w:val="7B94A31D"/>
    <w:rsid w:val="7BF14245"/>
    <w:rsid w:val="7C02A89C"/>
    <w:rsid w:val="7C908946"/>
    <w:rsid w:val="7CAB7B89"/>
    <w:rsid w:val="7CBE0064"/>
    <w:rsid w:val="7CD620AD"/>
    <w:rsid w:val="7D223367"/>
    <w:rsid w:val="7D6E3339"/>
    <w:rsid w:val="7D839879"/>
    <w:rsid w:val="7DAE71D3"/>
    <w:rsid w:val="7DB5F522"/>
    <w:rsid w:val="7DD8D978"/>
    <w:rsid w:val="7DE34260"/>
    <w:rsid w:val="7E11E6C8"/>
    <w:rsid w:val="7E7A5222"/>
    <w:rsid w:val="7F1E9F89"/>
    <w:rsid w:val="7F9FD4E2"/>
    <w:rsid w:val="7FB4868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112E4F"/>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35517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EE5C93"/>
    <w:pPr>
      <w:keepNext/>
      <w:keepLines/>
      <w:spacing w:before="240" w:after="240"/>
      <w:outlineLvl w:val="2"/>
    </w:pPr>
    <w:rPr>
      <w:rFonts w:eastAsiaTheme="majorEastAsia" w:cstheme="majorBidi"/>
      <w:color w:val="004270"/>
      <w:sz w:val="28"/>
    </w:rPr>
  </w:style>
  <w:style w:type="paragraph" w:styleId="Heading4">
    <w:name w:val="heading 4"/>
    <w:basedOn w:val="Normal"/>
    <w:next w:val="Normal"/>
    <w:link w:val="Heading4Char"/>
    <w:uiPriority w:val="9"/>
    <w:unhideWhenUsed/>
    <w:qFormat/>
    <w:rsid w:val="00083E48"/>
    <w:pPr>
      <w:keepNext/>
      <w:keepLines/>
      <w:spacing w:before="40" w:after="0"/>
      <w:outlineLvl w:val="3"/>
    </w:pPr>
    <w:rPr>
      <w:rFonts w:eastAsiaTheme="majorEastAsia" w:cstheme="majorBidi"/>
      <w:iCs/>
      <w:color w:val="365F91" w:themeColor="accent1" w:themeShade="BF"/>
      <w:sz w:val="24"/>
    </w:rPr>
  </w:style>
  <w:style w:type="paragraph" w:styleId="Heading5">
    <w:name w:val="heading 5"/>
    <w:aliases w:val="Recommendations"/>
    <w:basedOn w:val="Numberedparagraph"/>
    <w:next w:val="Normal"/>
    <w:link w:val="Heading5Char"/>
    <w:uiPriority w:val="9"/>
    <w:unhideWhenUsed/>
    <w:qFormat/>
    <w:rsid w:val="006A467A"/>
    <w:pPr>
      <w:keepNext/>
      <w:keepLines/>
      <w:numPr>
        <w:numId w:val="0"/>
      </w:numPr>
      <w:shd w:val="clear" w:color="auto" w:fill="004270"/>
      <w:spacing w:before="240"/>
      <w:outlineLvl w:val="4"/>
    </w:pPr>
    <w:rPr>
      <w:rFonts w:eastAsiaTheme="majorEastAsia"/>
      <w:b/>
      <w:bCs/>
      <w:color w:val="FFFFFF" w:themeColor="background1"/>
      <w:lang w:val="en-US"/>
    </w:rPr>
  </w:style>
  <w:style w:type="paragraph" w:styleId="Heading6">
    <w:name w:val="heading 6"/>
    <w:basedOn w:val="Normal"/>
    <w:next w:val="Normal"/>
    <w:link w:val="Heading6Char"/>
    <w:uiPriority w:val="9"/>
    <w:unhideWhenUsed/>
    <w:qFormat/>
    <w:rsid w:val="00A51F6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A51F6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A51F6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51F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Q Bullets,Bullet,List Paragraph11,bullet point list,Bullet point,Bulleted Para,NFP GP Bulleted List,FooterText,numbered,Paragraphe de liste1,Bulletr List Paragraph,列出段落,列出段落1,List Paragraph2,List Paragraph21,Listeafsnit1,リスト段落1,L,Dot pt"/>
    <w:basedOn w:val="Normal"/>
    <w:link w:val="ListParagraphChar"/>
    <w:uiPriority w:val="34"/>
    <w:qFormat/>
    <w:rsid w:val="00B82CE9"/>
    <w:pPr>
      <w:ind w:left="720"/>
      <w:contextualSpacing/>
    </w:pPr>
  </w:style>
  <w:style w:type="paragraph" w:styleId="FootnoteText">
    <w:name w:val="footnote text"/>
    <w:aliases w:val="5_G,Footnote text,Footnote Text Char Char Char Char Char Char,Footnote Text Char Char Char Char Char Char Char Char Char Char Char Char Char Char Char Char Char,C"/>
    <w:basedOn w:val="Normal"/>
    <w:link w:val="FootnoteTextChar"/>
    <w:uiPriority w:val="99"/>
    <w:unhideWhenUsed/>
    <w:qFormat/>
    <w:rsid w:val="00C33416"/>
    <w:rPr>
      <w:sz w:val="20"/>
    </w:rPr>
  </w:style>
  <w:style w:type="character" w:customStyle="1" w:styleId="FootnoteTextChar">
    <w:name w:val="Footnote Text Char"/>
    <w:aliases w:val="5_G Char,Footnote text Char,Footnote Text Char Char Char Char Char Char Char,Footnote Text Char Char Char Char Char Char Char Char Char Char Char Char Char Char Char Char Char Char,C Char"/>
    <w:basedOn w:val="DefaultParagraphFont"/>
    <w:link w:val="FootnoteText"/>
    <w:uiPriority w:val="99"/>
    <w:rsid w:val="00C33416"/>
    <w:rPr>
      <w:rFonts w:ascii="Arial" w:hAnsi="Arial"/>
      <w:sz w:val="20"/>
    </w:rPr>
  </w:style>
  <w:style w:type="character" w:styleId="FootnoteReference">
    <w:name w:val="footnote reference"/>
    <w:aliases w:val="4_G,Footnote number,Footnotes refss,Footnote,Stinking Styles"/>
    <w:basedOn w:val="DefaultParagraphFont"/>
    <w:uiPriority w:val="99"/>
    <w:unhideWhenUsed/>
    <w:qFormat/>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5228F"/>
    <w:rPr>
      <w:color w:val="347B9F"/>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5517B"/>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uiPriority w:val="39"/>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EE5C93"/>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754FAE"/>
    <w:pPr>
      <w:numPr>
        <w:numId w:val="28"/>
      </w:numPr>
      <w:spacing w:before="120" w:after="240" w:line="276" w:lineRule="auto"/>
      <w:contextualSpacing w:val="0"/>
    </w:pPr>
    <w:rPr>
      <w:rFonts w:cs="Arial"/>
    </w:rPr>
  </w:style>
  <w:style w:type="paragraph" w:styleId="Quote">
    <w:name w:val="Quote"/>
    <w:aliases w:val="Quote - standard"/>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aliases w:val="LAQ Bullets Char,Bullet Char,List Paragraph11 Char,bullet point list Char,Bullet point Char,Bulleted Para Char,NFP GP Bulleted List Char,FooterText Char,numbered Char,Paragraphe de liste1 Char,Bulletr List Paragraph Char,列出段落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754FAE"/>
    <w:rPr>
      <w:rFonts w:ascii="Arial" w:hAnsi="Arial" w:cs="Arial"/>
      <w:color w:val="000000" w:themeColor="text1"/>
      <w:sz w:val="22"/>
      <w:lang w:val="en-AU"/>
    </w:rPr>
  </w:style>
  <w:style w:type="character" w:customStyle="1" w:styleId="QuoteChar">
    <w:name w:val="Quote Char"/>
    <w:aliases w:val="Quote - standard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1"/>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paragraph" w:customStyle="1" w:styleId="mb-3">
    <w:name w:val="mb-3"/>
    <w:basedOn w:val="Normal"/>
    <w:rsid w:val="00D730B1"/>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Bullet2">
    <w:name w:val="Bullet 2"/>
    <w:basedOn w:val="Normal"/>
    <w:qFormat/>
    <w:rsid w:val="006D5649"/>
    <w:pPr>
      <w:spacing w:after="240" w:line="300" w:lineRule="auto"/>
      <w:ind w:left="720" w:right="-7" w:hanging="360"/>
      <w:contextualSpacing/>
    </w:pPr>
    <w:rPr>
      <w:rFonts w:eastAsiaTheme="minorHAnsi"/>
      <w:color w:val="auto"/>
      <w:szCs w:val="22"/>
    </w:rPr>
  </w:style>
  <w:style w:type="character" w:customStyle="1" w:styleId="Heading4Char">
    <w:name w:val="Heading 4 Char"/>
    <w:basedOn w:val="DefaultParagraphFont"/>
    <w:link w:val="Heading4"/>
    <w:uiPriority w:val="9"/>
    <w:rsid w:val="00CC19AF"/>
    <w:rPr>
      <w:rFonts w:ascii="Arial" w:eastAsiaTheme="majorEastAsia" w:hAnsi="Arial" w:cstheme="majorBidi"/>
      <w:iCs/>
      <w:color w:val="365F91" w:themeColor="accent1" w:themeShade="BF"/>
      <w:lang w:val="en-AU"/>
    </w:rPr>
  </w:style>
  <w:style w:type="paragraph" w:customStyle="1" w:styleId="Listparagraph-bulleted">
    <w:name w:val="List paragraph - bulleted"/>
    <w:basedOn w:val="Normal"/>
    <w:rsid w:val="00CC19AF"/>
    <w:pPr>
      <w:spacing w:after="240" w:line="300" w:lineRule="auto"/>
      <w:ind w:right="1987"/>
      <w:contextualSpacing/>
    </w:pPr>
    <w:rPr>
      <w:rFonts w:eastAsiaTheme="minorHAnsi"/>
      <w:color w:val="auto"/>
      <w:szCs w:val="22"/>
    </w:rPr>
  </w:style>
  <w:style w:type="paragraph" w:customStyle="1" w:styleId="AppendixH2">
    <w:name w:val="Appendix H 2"/>
    <w:basedOn w:val="Heading2"/>
    <w:qFormat/>
    <w:rsid w:val="00CC19AF"/>
    <w:pPr>
      <w:spacing w:after="240" w:line="300" w:lineRule="auto"/>
    </w:pPr>
    <w:rPr>
      <w:lang w:eastAsia="en-AU"/>
    </w:rPr>
  </w:style>
  <w:style w:type="paragraph" w:customStyle="1" w:styleId="Tableheading">
    <w:name w:val="Table heading"/>
    <w:basedOn w:val="Normal"/>
    <w:qFormat/>
    <w:rsid w:val="00AD11DE"/>
    <w:pPr>
      <w:spacing w:before="120" w:line="300" w:lineRule="auto"/>
    </w:pPr>
    <w:rPr>
      <w:rFonts w:eastAsiaTheme="minorHAnsi"/>
      <w:b/>
      <w:color w:val="347B9F"/>
      <w:szCs w:val="22"/>
    </w:rPr>
  </w:style>
  <w:style w:type="paragraph" w:customStyle="1" w:styleId="Tabletext">
    <w:name w:val="Table text"/>
    <w:basedOn w:val="Normal"/>
    <w:qFormat/>
    <w:rsid w:val="00AD11DE"/>
    <w:pPr>
      <w:spacing w:before="40" w:after="40" w:line="300" w:lineRule="auto"/>
    </w:pPr>
    <w:rPr>
      <w:rFonts w:eastAsiaTheme="minorHAnsi"/>
      <w:color w:val="auto"/>
      <w:szCs w:val="22"/>
    </w:rPr>
  </w:style>
  <w:style w:type="paragraph" w:styleId="Caption">
    <w:name w:val="caption"/>
    <w:basedOn w:val="Normal"/>
    <w:next w:val="Normal"/>
    <w:unhideWhenUsed/>
    <w:qFormat/>
    <w:rsid w:val="00292BC3"/>
    <w:pPr>
      <w:keepNext/>
      <w:spacing w:after="240"/>
      <w:ind w:right="-7"/>
    </w:pPr>
    <w:rPr>
      <w:rFonts w:eastAsiaTheme="minorHAnsi"/>
      <w:i/>
      <w:iCs/>
      <w:sz w:val="20"/>
      <w:szCs w:val="18"/>
    </w:rPr>
  </w:style>
  <w:style w:type="character" w:styleId="Strong">
    <w:name w:val="Strong"/>
    <w:basedOn w:val="DefaultParagraphFont"/>
    <w:uiPriority w:val="22"/>
    <w:qFormat/>
    <w:rsid w:val="007C076C"/>
    <w:rPr>
      <w:b/>
      <w:bCs/>
    </w:rPr>
  </w:style>
  <w:style w:type="character" w:styleId="Mention">
    <w:name w:val="Mention"/>
    <w:basedOn w:val="DefaultParagraphFont"/>
    <w:uiPriority w:val="99"/>
    <w:unhideWhenUsed/>
    <w:rsid w:val="00D506ED"/>
    <w:rPr>
      <w:color w:val="2B579A"/>
      <w:shd w:val="clear" w:color="auto" w:fill="E1DFDD"/>
    </w:rPr>
  </w:style>
  <w:style w:type="character" w:customStyle="1" w:styleId="Heading5Char">
    <w:name w:val="Heading 5 Char"/>
    <w:aliases w:val="Recommendations Char"/>
    <w:basedOn w:val="DefaultParagraphFont"/>
    <w:link w:val="Heading5"/>
    <w:uiPriority w:val="9"/>
    <w:rsid w:val="00761246"/>
    <w:rPr>
      <w:rFonts w:ascii="Arial" w:eastAsiaTheme="majorEastAsia" w:hAnsi="Arial" w:cs="Arial"/>
      <w:b/>
      <w:bCs/>
      <w:color w:val="FFFFFF" w:themeColor="background1"/>
      <w:sz w:val="22"/>
      <w:shd w:val="clear" w:color="auto" w:fill="004270"/>
    </w:rPr>
  </w:style>
  <w:style w:type="character" w:customStyle="1" w:styleId="Heading6Char">
    <w:name w:val="Heading 6 Char"/>
    <w:basedOn w:val="DefaultParagraphFont"/>
    <w:link w:val="Heading6"/>
    <w:uiPriority w:val="9"/>
    <w:rsid w:val="00A51F6D"/>
    <w:rPr>
      <w:rFonts w:asciiTheme="majorHAnsi" w:eastAsiaTheme="majorEastAsia" w:hAnsiTheme="majorHAnsi" w:cstheme="majorBidi"/>
      <w:color w:val="243F60" w:themeColor="accent1" w:themeShade="7F"/>
      <w:sz w:val="22"/>
      <w:lang w:val="en-AU"/>
    </w:rPr>
  </w:style>
  <w:style w:type="character" w:customStyle="1" w:styleId="Heading7Char">
    <w:name w:val="Heading 7 Char"/>
    <w:basedOn w:val="DefaultParagraphFont"/>
    <w:link w:val="Heading7"/>
    <w:uiPriority w:val="9"/>
    <w:rsid w:val="00A51F6D"/>
    <w:rPr>
      <w:rFonts w:asciiTheme="majorHAnsi" w:eastAsiaTheme="majorEastAsia" w:hAnsiTheme="majorHAnsi" w:cstheme="majorBidi"/>
      <w:i/>
      <w:iCs/>
      <w:color w:val="243F60" w:themeColor="accent1" w:themeShade="7F"/>
      <w:sz w:val="22"/>
      <w:lang w:val="en-AU"/>
    </w:rPr>
  </w:style>
  <w:style w:type="character" w:customStyle="1" w:styleId="Heading8Char">
    <w:name w:val="Heading 8 Char"/>
    <w:basedOn w:val="DefaultParagraphFont"/>
    <w:link w:val="Heading8"/>
    <w:uiPriority w:val="9"/>
    <w:rsid w:val="00A51F6D"/>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rsid w:val="00A51F6D"/>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3738D"/>
    <w:rPr>
      <w:rFonts w:ascii="Arial" w:hAnsi="Arial"/>
      <w:color w:val="000000" w:themeColor="text1"/>
      <w:sz w:val="22"/>
      <w:lang w:val="en-AU"/>
    </w:rPr>
  </w:style>
  <w:style w:type="paragraph" w:customStyle="1" w:styleId="paragraph">
    <w:name w:val="paragraph"/>
    <w:basedOn w:val="Normal"/>
    <w:rsid w:val="00BA64D3"/>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rmaltextrun">
    <w:name w:val="normaltextrun"/>
    <w:basedOn w:val="DefaultParagraphFont"/>
    <w:rsid w:val="00BA64D3"/>
  </w:style>
  <w:style w:type="character" w:customStyle="1" w:styleId="eop">
    <w:name w:val="eop"/>
    <w:basedOn w:val="DefaultParagraphFont"/>
    <w:rsid w:val="00BA64D3"/>
  </w:style>
  <w:style w:type="character" w:styleId="UnresolvedMention">
    <w:name w:val="Unresolved Mention"/>
    <w:basedOn w:val="DefaultParagraphFont"/>
    <w:uiPriority w:val="99"/>
    <w:semiHidden/>
    <w:unhideWhenUsed/>
    <w:rsid w:val="00F17808"/>
    <w:rPr>
      <w:color w:val="605E5C"/>
      <w:shd w:val="clear" w:color="auto" w:fill="E1DFDD"/>
    </w:rPr>
  </w:style>
  <w:style w:type="character" w:styleId="FollowedHyperlink">
    <w:name w:val="FollowedHyperlink"/>
    <w:basedOn w:val="DefaultParagraphFont"/>
    <w:uiPriority w:val="99"/>
    <w:semiHidden/>
    <w:unhideWhenUsed/>
    <w:rsid w:val="001A1426"/>
    <w:rPr>
      <w:color w:val="800080" w:themeColor="followedHyperlink"/>
      <w:u w:val="single"/>
    </w:rPr>
  </w:style>
  <w:style w:type="character" w:styleId="Emphasis">
    <w:name w:val="Emphasis"/>
    <w:basedOn w:val="DefaultParagraphFont"/>
    <w:uiPriority w:val="20"/>
    <w:qFormat/>
    <w:rsid w:val="00FB675B"/>
    <w:rPr>
      <w:i/>
      <w:iCs/>
    </w:rPr>
  </w:style>
  <w:style w:type="character" w:customStyle="1" w:styleId="footnotesuperscriptspan">
    <w:name w:val="footnote_superscript_span"/>
    <w:basedOn w:val="DefaultParagraphFont"/>
    <w:rsid w:val="00F957ED"/>
  </w:style>
  <w:style w:type="paragraph" w:styleId="NormalWeb">
    <w:name w:val="Normal (Web)"/>
    <w:basedOn w:val="Normal"/>
    <w:uiPriority w:val="99"/>
    <w:semiHidden/>
    <w:unhideWhenUsed/>
    <w:rsid w:val="008D2866"/>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xmsonormal">
    <w:name w:val="x_msonormal"/>
    <w:basedOn w:val="Normal"/>
    <w:rsid w:val="003E6604"/>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cf01">
    <w:name w:val="cf01"/>
    <w:basedOn w:val="DefaultParagraphFont"/>
    <w:rsid w:val="001C5738"/>
    <w:rPr>
      <w:rFonts w:ascii="Segoe UI" w:hAnsi="Segoe UI" w:cs="Segoe UI" w:hint="default"/>
      <w:sz w:val="18"/>
      <w:szCs w:val="18"/>
    </w:rPr>
  </w:style>
  <w:style w:type="paragraph" w:customStyle="1" w:styleId="Casestudyorexample">
    <w:name w:val="Case study or example"/>
    <w:basedOn w:val="Numberedparagraph"/>
    <w:qFormat/>
    <w:rsid w:val="00E10DE2"/>
    <w:pPr>
      <w:numPr>
        <w:numId w:val="0"/>
      </w:numPr>
      <w:pBdr>
        <w:left w:val="single" w:sz="36" w:space="8" w:color="004270"/>
      </w:pBdr>
      <w:spacing w:after="120"/>
      <w:ind w:left="851"/>
    </w:pPr>
    <w:rPr>
      <w:lang w:val="en-US"/>
    </w:rPr>
  </w:style>
  <w:style w:type="paragraph" w:customStyle="1" w:styleId="Recommendationheading">
    <w:name w:val="Recommendation heading"/>
    <w:basedOn w:val="Normal"/>
    <w:link w:val="RecommendationheadingChar"/>
    <w:qFormat/>
    <w:rsid w:val="00C86C0A"/>
    <w:pPr>
      <w:spacing w:before="240" w:after="240"/>
    </w:pPr>
    <w:rPr>
      <w:rFonts w:eastAsia="Times New Roman" w:cs="Times New Roman"/>
      <w:color w:val="004270"/>
      <w:sz w:val="28"/>
      <w:szCs w:val="28"/>
      <w:lang w:val="en-GB" w:eastAsia="en-AU"/>
    </w:rPr>
  </w:style>
  <w:style w:type="character" w:customStyle="1" w:styleId="RecommendationheadingChar">
    <w:name w:val="Recommendation heading Char"/>
    <w:basedOn w:val="DefaultParagraphFont"/>
    <w:link w:val="Recommendationheading"/>
    <w:rsid w:val="00C86C0A"/>
    <w:rPr>
      <w:rFonts w:ascii="Arial" w:eastAsia="Times New Roman" w:hAnsi="Arial" w:cs="Times New Roman"/>
      <w:color w:val="004270"/>
      <w:sz w:val="28"/>
      <w:szCs w:val="28"/>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16326">
      <w:bodyDiv w:val="1"/>
      <w:marLeft w:val="0"/>
      <w:marRight w:val="0"/>
      <w:marTop w:val="0"/>
      <w:marBottom w:val="0"/>
      <w:divBdr>
        <w:top w:val="none" w:sz="0" w:space="0" w:color="auto"/>
        <w:left w:val="none" w:sz="0" w:space="0" w:color="auto"/>
        <w:bottom w:val="none" w:sz="0" w:space="0" w:color="auto"/>
        <w:right w:val="none" w:sz="0" w:space="0" w:color="auto"/>
      </w:divBdr>
    </w:div>
    <w:div w:id="153106194">
      <w:bodyDiv w:val="1"/>
      <w:marLeft w:val="0"/>
      <w:marRight w:val="0"/>
      <w:marTop w:val="0"/>
      <w:marBottom w:val="0"/>
      <w:divBdr>
        <w:top w:val="none" w:sz="0" w:space="0" w:color="auto"/>
        <w:left w:val="none" w:sz="0" w:space="0" w:color="auto"/>
        <w:bottom w:val="none" w:sz="0" w:space="0" w:color="auto"/>
        <w:right w:val="none" w:sz="0" w:space="0" w:color="auto"/>
      </w:divBdr>
    </w:div>
    <w:div w:id="238248964">
      <w:bodyDiv w:val="1"/>
      <w:marLeft w:val="0"/>
      <w:marRight w:val="0"/>
      <w:marTop w:val="0"/>
      <w:marBottom w:val="0"/>
      <w:divBdr>
        <w:top w:val="none" w:sz="0" w:space="0" w:color="auto"/>
        <w:left w:val="none" w:sz="0" w:space="0" w:color="auto"/>
        <w:bottom w:val="none" w:sz="0" w:space="0" w:color="auto"/>
        <w:right w:val="none" w:sz="0" w:space="0" w:color="auto"/>
      </w:divBdr>
    </w:div>
    <w:div w:id="294918101">
      <w:bodyDiv w:val="1"/>
      <w:marLeft w:val="0"/>
      <w:marRight w:val="0"/>
      <w:marTop w:val="0"/>
      <w:marBottom w:val="0"/>
      <w:divBdr>
        <w:top w:val="none" w:sz="0" w:space="0" w:color="auto"/>
        <w:left w:val="none" w:sz="0" w:space="0" w:color="auto"/>
        <w:bottom w:val="none" w:sz="0" w:space="0" w:color="auto"/>
        <w:right w:val="none" w:sz="0" w:space="0" w:color="auto"/>
      </w:divBdr>
    </w:div>
    <w:div w:id="332420298">
      <w:bodyDiv w:val="1"/>
      <w:marLeft w:val="0"/>
      <w:marRight w:val="0"/>
      <w:marTop w:val="0"/>
      <w:marBottom w:val="0"/>
      <w:divBdr>
        <w:top w:val="none" w:sz="0" w:space="0" w:color="auto"/>
        <w:left w:val="none" w:sz="0" w:space="0" w:color="auto"/>
        <w:bottom w:val="none" w:sz="0" w:space="0" w:color="auto"/>
        <w:right w:val="none" w:sz="0" w:space="0" w:color="auto"/>
      </w:divBdr>
    </w:div>
    <w:div w:id="335307543">
      <w:bodyDiv w:val="1"/>
      <w:marLeft w:val="0"/>
      <w:marRight w:val="0"/>
      <w:marTop w:val="0"/>
      <w:marBottom w:val="0"/>
      <w:divBdr>
        <w:top w:val="none" w:sz="0" w:space="0" w:color="auto"/>
        <w:left w:val="none" w:sz="0" w:space="0" w:color="auto"/>
        <w:bottom w:val="none" w:sz="0" w:space="0" w:color="auto"/>
        <w:right w:val="none" w:sz="0" w:space="0" w:color="auto"/>
      </w:divBdr>
    </w:div>
    <w:div w:id="514267871">
      <w:bodyDiv w:val="1"/>
      <w:marLeft w:val="0"/>
      <w:marRight w:val="0"/>
      <w:marTop w:val="0"/>
      <w:marBottom w:val="0"/>
      <w:divBdr>
        <w:top w:val="none" w:sz="0" w:space="0" w:color="auto"/>
        <w:left w:val="none" w:sz="0" w:space="0" w:color="auto"/>
        <w:bottom w:val="none" w:sz="0" w:space="0" w:color="auto"/>
        <w:right w:val="none" w:sz="0" w:space="0" w:color="auto"/>
      </w:divBdr>
    </w:div>
    <w:div w:id="546915849">
      <w:bodyDiv w:val="1"/>
      <w:marLeft w:val="0"/>
      <w:marRight w:val="0"/>
      <w:marTop w:val="0"/>
      <w:marBottom w:val="0"/>
      <w:divBdr>
        <w:top w:val="none" w:sz="0" w:space="0" w:color="auto"/>
        <w:left w:val="none" w:sz="0" w:space="0" w:color="auto"/>
        <w:bottom w:val="none" w:sz="0" w:space="0" w:color="auto"/>
        <w:right w:val="none" w:sz="0" w:space="0" w:color="auto"/>
      </w:divBdr>
    </w:div>
    <w:div w:id="595675067">
      <w:bodyDiv w:val="1"/>
      <w:marLeft w:val="0"/>
      <w:marRight w:val="0"/>
      <w:marTop w:val="0"/>
      <w:marBottom w:val="0"/>
      <w:divBdr>
        <w:top w:val="none" w:sz="0" w:space="0" w:color="auto"/>
        <w:left w:val="none" w:sz="0" w:space="0" w:color="auto"/>
        <w:bottom w:val="none" w:sz="0" w:space="0" w:color="auto"/>
        <w:right w:val="none" w:sz="0" w:space="0" w:color="auto"/>
      </w:divBdr>
    </w:div>
    <w:div w:id="609702460">
      <w:bodyDiv w:val="1"/>
      <w:marLeft w:val="0"/>
      <w:marRight w:val="0"/>
      <w:marTop w:val="0"/>
      <w:marBottom w:val="0"/>
      <w:divBdr>
        <w:top w:val="none" w:sz="0" w:space="0" w:color="auto"/>
        <w:left w:val="none" w:sz="0" w:space="0" w:color="auto"/>
        <w:bottom w:val="none" w:sz="0" w:space="0" w:color="auto"/>
        <w:right w:val="none" w:sz="0" w:space="0" w:color="auto"/>
      </w:divBdr>
    </w:div>
    <w:div w:id="719747267">
      <w:bodyDiv w:val="1"/>
      <w:marLeft w:val="0"/>
      <w:marRight w:val="0"/>
      <w:marTop w:val="0"/>
      <w:marBottom w:val="0"/>
      <w:divBdr>
        <w:top w:val="none" w:sz="0" w:space="0" w:color="auto"/>
        <w:left w:val="none" w:sz="0" w:space="0" w:color="auto"/>
        <w:bottom w:val="none" w:sz="0" w:space="0" w:color="auto"/>
        <w:right w:val="none" w:sz="0" w:space="0" w:color="auto"/>
      </w:divBdr>
    </w:div>
    <w:div w:id="726682273">
      <w:bodyDiv w:val="1"/>
      <w:marLeft w:val="0"/>
      <w:marRight w:val="0"/>
      <w:marTop w:val="0"/>
      <w:marBottom w:val="0"/>
      <w:divBdr>
        <w:top w:val="none" w:sz="0" w:space="0" w:color="auto"/>
        <w:left w:val="none" w:sz="0" w:space="0" w:color="auto"/>
        <w:bottom w:val="none" w:sz="0" w:space="0" w:color="auto"/>
        <w:right w:val="none" w:sz="0" w:space="0" w:color="auto"/>
      </w:divBdr>
    </w:div>
    <w:div w:id="744572912">
      <w:bodyDiv w:val="1"/>
      <w:marLeft w:val="0"/>
      <w:marRight w:val="0"/>
      <w:marTop w:val="0"/>
      <w:marBottom w:val="0"/>
      <w:divBdr>
        <w:top w:val="none" w:sz="0" w:space="0" w:color="auto"/>
        <w:left w:val="none" w:sz="0" w:space="0" w:color="auto"/>
        <w:bottom w:val="none" w:sz="0" w:space="0" w:color="auto"/>
        <w:right w:val="none" w:sz="0" w:space="0" w:color="auto"/>
      </w:divBdr>
    </w:div>
    <w:div w:id="761417727">
      <w:bodyDiv w:val="1"/>
      <w:marLeft w:val="0"/>
      <w:marRight w:val="0"/>
      <w:marTop w:val="0"/>
      <w:marBottom w:val="0"/>
      <w:divBdr>
        <w:top w:val="none" w:sz="0" w:space="0" w:color="auto"/>
        <w:left w:val="none" w:sz="0" w:space="0" w:color="auto"/>
        <w:bottom w:val="none" w:sz="0" w:space="0" w:color="auto"/>
        <w:right w:val="none" w:sz="0" w:space="0" w:color="auto"/>
      </w:divBdr>
    </w:div>
    <w:div w:id="768232046">
      <w:bodyDiv w:val="1"/>
      <w:marLeft w:val="0"/>
      <w:marRight w:val="0"/>
      <w:marTop w:val="0"/>
      <w:marBottom w:val="0"/>
      <w:divBdr>
        <w:top w:val="none" w:sz="0" w:space="0" w:color="auto"/>
        <w:left w:val="none" w:sz="0" w:space="0" w:color="auto"/>
        <w:bottom w:val="none" w:sz="0" w:space="0" w:color="auto"/>
        <w:right w:val="none" w:sz="0" w:space="0" w:color="auto"/>
      </w:divBdr>
    </w:div>
    <w:div w:id="797407774">
      <w:bodyDiv w:val="1"/>
      <w:marLeft w:val="0"/>
      <w:marRight w:val="0"/>
      <w:marTop w:val="0"/>
      <w:marBottom w:val="0"/>
      <w:divBdr>
        <w:top w:val="none" w:sz="0" w:space="0" w:color="auto"/>
        <w:left w:val="none" w:sz="0" w:space="0" w:color="auto"/>
        <w:bottom w:val="none" w:sz="0" w:space="0" w:color="auto"/>
        <w:right w:val="none" w:sz="0" w:space="0" w:color="auto"/>
      </w:divBdr>
    </w:div>
    <w:div w:id="917179188">
      <w:bodyDiv w:val="1"/>
      <w:marLeft w:val="0"/>
      <w:marRight w:val="0"/>
      <w:marTop w:val="0"/>
      <w:marBottom w:val="0"/>
      <w:divBdr>
        <w:top w:val="none" w:sz="0" w:space="0" w:color="auto"/>
        <w:left w:val="none" w:sz="0" w:space="0" w:color="auto"/>
        <w:bottom w:val="none" w:sz="0" w:space="0" w:color="auto"/>
        <w:right w:val="none" w:sz="0" w:space="0" w:color="auto"/>
      </w:divBdr>
    </w:div>
    <w:div w:id="956910451">
      <w:bodyDiv w:val="1"/>
      <w:marLeft w:val="0"/>
      <w:marRight w:val="0"/>
      <w:marTop w:val="0"/>
      <w:marBottom w:val="0"/>
      <w:divBdr>
        <w:top w:val="none" w:sz="0" w:space="0" w:color="auto"/>
        <w:left w:val="none" w:sz="0" w:space="0" w:color="auto"/>
        <w:bottom w:val="none" w:sz="0" w:space="0" w:color="auto"/>
        <w:right w:val="none" w:sz="0" w:space="0" w:color="auto"/>
      </w:divBdr>
    </w:div>
    <w:div w:id="995255831">
      <w:bodyDiv w:val="1"/>
      <w:marLeft w:val="0"/>
      <w:marRight w:val="0"/>
      <w:marTop w:val="0"/>
      <w:marBottom w:val="0"/>
      <w:divBdr>
        <w:top w:val="none" w:sz="0" w:space="0" w:color="auto"/>
        <w:left w:val="none" w:sz="0" w:space="0" w:color="auto"/>
        <w:bottom w:val="none" w:sz="0" w:space="0" w:color="auto"/>
        <w:right w:val="none" w:sz="0" w:space="0" w:color="auto"/>
      </w:divBdr>
    </w:div>
    <w:div w:id="1000162999">
      <w:bodyDiv w:val="1"/>
      <w:marLeft w:val="0"/>
      <w:marRight w:val="0"/>
      <w:marTop w:val="0"/>
      <w:marBottom w:val="0"/>
      <w:divBdr>
        <w:top w:val="none" w:sz="0" w:space="0" w:color="auto"/>
        <w:left w:val="none" w:sz="0" w:space="0" w:color="auto"/>
        <w:bottom w:val="none" w:sz="0" w:space="0" w:color="auto"/>
        <w:right w:val="none" w:sz="0" w:space="0" w:color="auto"/>
      </w:divBdr>
    </w:div>
    <w:div w:id="1007631086">
      <w:bodyDiv w:val="1"/>
      <w:marLeft w:val="0"/>
      <w:marRight w:val="0"/>
      <w:marTop w:val="0"/>
      <w:marBottom w:val="0"/>
      <w:divBdr>
        <w:top w:val="none" w:sz="0" w:space="0" w:color="auto"/>
        <w:left w:val="none" w:sz="0" w:space="0" w:color="auto"/>
        <w:bottom w:val="none" w:sz="0" w:space="0" w:color="auto"/>
        <w:right w:val="none" w:sz="0" w:space="0" w:color="auto"/>
      </w:divBdr>
    </w:div>
    <w:div w:id="1051732703">
      <w:bodyDiv w:val="1"/>
      <w:marLeft w:val="0"/>
      <w:marRight w:val="0"/>
      <w:marTop w:val="0"/>
      <w:marBottom w:val="0"/>
      <w:divBdr>
        <w:top w:val="none" w:sz="0" w:space="0" w:color="auto"/>
        <w:left w:val="none" w:sz="0" w:space="0" w:color="auto"/>
        <w:bottom w:val="none" w:sz="0" w:space="0" w:color="auto"/>
        <w:right w:val="none" w:sz="0" w:space="0" w:color="auto"/>
      </w:divBdr>
    </w:div>
    <w:div w:id="1081875430">
      <w:bodyDiv w:val="1"/>
      <w:marLeft w:val="0"/>
      <w:marRight w:val="0"/>
      <w:marTop w:val="0"/>
      <w:marBottom w:val="0"/>
      <w:divBdr>
        <w:top w:val="none" w:sz="0" w:space="0" w:color="auto"/>
        <w:left w:val="none" w:sz="0" w:space="0" w:color="auto"/>
        <w:bottom w:val="none" w:sz="0" w:space="0" w:color="auto"/>
        <w:right w:val="none" w:sz="0" w:space="0" w:color="auto"/>
      </w:divBdr>
    </w:div>
    <w:div w:id="1180391280">
      <w:bodyDiv w:val="1"/>
      <w:marLeft w:val="0"/>
      <w:marRight w:val="0"/>
      <w:marTop w:val="0"/>
      <w:marBottom w:val="0"/>
      <w:divBdr>
        <w:top w:val="none" w:sz="0" w:space="0" w:color="auto"/>
        <w:left w:val="none" w:sz="0" w:space="0" w:color="auto"/>
        <w:bottom w:val="none" w:sz="0" w:space="0" w:color="auto"/>
        <w:right w:val="none" w:sz="0" w:space="0" w:color="auto"/>
      </w:divBdr>
    </w:div>
    <w:div w:id="1213808698">
      <w:bodyDiv w:val="1"/>
      <w:marLeft w:val="0"/>
      <w:marRight w:val="0"/>
      <w:marTop w:val="0"/>
      <w:marBottom w:val="0"/>
      <w:divBdr>
        <w:top w:val="none" w:sz="0" w:space="0" w:color="auto"/>
        <w:left w:val="none" w:sz="0" w:space="0" w:color="auto"/>
        <w:bottom w:val="none" w:sz="0" w:space="0" w:color="auto"/>
        <w:right w:val="none" w:sz="0" w:space="0" w:color="auto"/>
      </w:divBdr>
    </w:div>
    <w:div w:id="1282960032">
      <w:bodyDiv w:val="1"/>
      <w:marLeft w:val="0"/>
      <w:marRight w:val="0"/>
      <w:marTop w:val="0"/>
      <w:marBottom w:val="0"/>
      <w:divBdr>
        <w:top w:val="none" w:sz="0" w:space="0" w:color="auto"/>
        <w:left w:val="none" w:sz="0" w:space="0" w:color="auto"/>
        <w:bottom w:val="none" w:sz="0" w:space="0" w:color="auto"/>
        <w:right w:val="none" w:sz="0" w:space="0" w:color="auto"/>
      </w:divBdr>
    </w:div>
    <w:div w:id="1323393126">
      <w:bodyDiv w:val="1"/>
      <w:marLeft w:val="0"/>
      <w:marRight w:val="0"/>
      <w:marTop w:val="0"/>
      <w:marBottom w:val="0"/>
      <w:divBdr>
        <w:top w:val="none" w:sz="0" w:space="0" w:color="auto"/>
        <w:left w:val="none" w:sz="0" w:space="0" w:color="auto"/>
        <w:bottom w:val="none" w:sz="0" w:space="0" w:color="auto"/>
        <w:right w:val="none" w:sz="0" w:space="0" w:color="auto"/>
      </w:divBdr>
    </w:div>
    <w:div w:id="1511480210">
      <w:bodyDiv w:val="1"/>
      <w:marLeft w:val="0"/>
      <w:marRight w:val="0"/>
      <w:marTop w:val="0"/>
      <w:marBottom w:val="0"/>
      <w:divBdr>
        <w:top w:val="none" w:sz="0" w:space="0" w:color="auto"/>
        <w:left w:val="none" w:sz="0" w:space="0" w:color="auto"/>
        <w:bottom w:val="none" w:sz="0" w:space="0" w:color="auto"/>
        <w:right w:val="none" w:sz="0" w:space="0" w:color="auto"/>
      </w:divBdr>
    </w:div>
    <w:div w:id="1638758595">
      <w:bodyDiv w:val="1"/>
      <w:marLeft w:val="0"/>
      <w:marRight w:val="0"/>
      <w:marTop w:val="0"/>
      <w:marBottom w:val="0"/>
      <w:divBdr>
        <w:top w:val="none" w:sz="0" w:space="0" w:color="auto"/>
        <w:left w:val="none" w:sz="0" w:space="0" w:color="auto"/>
        <w:bottom w:val="none" w:sz="0" w:space="0" w:color="auto"/>
        <w:right w:val="none" w:sz="0" w:space="0" w:color="auto"/>
      </w:divBdr>
    </w:div>
    <w:div w:id="1689285970">
      <w:bodyDiv w:val="1"/>
      <w:marLeft w:val="0"/>
      <w:marRight w:val="0"/>
      <w:marTop w:val="0"/>
      <w:marBottom w:val="0"/>
      <w:divBdr>
        <w:top w:val="none" w:sz="0" w:space="0" w:color="auto"/>
        <w:left w:val="none" w:sz="0" w:space="0" w:color="auto"/>
        <w:bottom w:val="none" w:sz="0" w:space="0" w:color="auto"/>
        <w:right w:val="none" w:sz="0" w:space="0" w:color="auto"/>
      </w:divBdr>
    </w:div>
    <w:div w:id="1768429353">
      <w:bodyDiv w:val="1"/>
      <w:marLeft w:val="0"/>
      <w:marRight w:val="0"/>
      <w:marTop w:val="0"/>
      <w:marBottom w:val="0"/>
      <w:divBdr>
        <w:top w:val="none" w:sz="0" w:space="0" w:color="auto"/>
        <w:left w:val="none" w:sz="0" w:space="0" w:color="auto"/>
        <w:bottom w:val="none" w:sz="0" w:space="0" w:color="auto"/>
        <w:right w:val="none" w:sz="0" w:space="0" w:color="auto"/>
      </w:divBdr>
    </w:div>
    <w:div w:id="1780833989">
      <w:bodyDiv w:val="1"/>
      <w:marLeft w:val="0"/>
      <w:marRight w:val="0"/>
      <w:marTop w:val="0"/>
      <w:marBottom w:val="0"/>
      <w:divBdr>
        <w:top w:val="none" w:sz="0" w:space="0" w:color="auto"/>
        <w:left w:val="none" w:sz="0" w:space="0" w:color="auto"/>
        <w:bottom w:val="none" w:sz="0" w:space="0" w:color="auto"/>
        <w:right w:val="none" w:sz="0" w:space="0" w:color="auto"/>
      </w:divBdr>
    </w:div>
    <w:div w:id="1802764483">
      <w:bodyDiv w:val="1"/>
      <w:marLeft w:val="0"/>
      <w:marRight w:val="0"/>
      <w:marTop w:val="0"/>
      <w:marBottom w:val="0"/>
      <w:divBdr>
        <w:top w:val="none" w:sz="0" w:space="0" w:color="auto"/>
        <w:left w:val="none" w:sz="0" w:space="0" w:color="auto"/>
        <w:bottom w:val="none" w:sz="0" w:space="0" w:color="auto"/>
        <w:right w:val="none" w:sz="0" w:space="0" w:color="auto"/>
      </w:divBdr>
    </w:div>
    <w:div w:id="1863283758">
      <w:bodyDiv w:val="1"/>
      <w:marLeft w:val="0"/>
      <w:marRight w:val="0"/>
      <w:marTop w:val="0"/>
      <w:marBottom w:val="0"/>
      <w:divBdr>
        <w:top w:val="none" w:sz="0" w:space="0" w:color="auto"/>
        <w:left w:val="none" w:sz="0" w:space="0" w:color="auto"/>
        <w:bottom w:val="none" w:sz="0" w:space="0" w:color="auto"/>
        <w:right w:val="none" w:sz="0" w:space="0" w:color="auto"/>
      </w:divBdr>
    </w:div>
    <w:div w:id="1878615870">
      <w:bodyDiv w:val="1"/>
      <w:marLeft w:val="0"/>
      <w:marRight w:val="0"/>
      <w:marTop w:val="0"/>
      <w:marBottom w:val="0"/>
      <w:divBdr>
        <w:top w:val="none" w:sz="0" w:space="0" w:color="auto"/>
        <w:left w:val="none" w:sz="0" w:space="0" w:color="auto"/>
        <w:bottom w:val="none" w:sz="0" w:space="0" w:color="auto"/>
        <w:right w:val="none" w:sz="0" w:space="0" w:color="auto"/>
      </w:divBdr>
    </w:div>
    <w:div w:id="1923760147">
      <w:bodyDiv w:val="1"/>
      <w:marLeft w:val="0"/>
      <w:marRight w:val="0"/>
      <w:marTop w:val="0"/>
      <w:marBottom w:val="0"/>
      <w:divBdr>
        <w:top w:val="none" w:sz="0" w:space="0" w:color="auto"/>
        <w:left w:val="none" w:sz="0" w:space="0" w:color="auto"/>
        <w:bottom w:val="none" w:sz="0" w:space="0" w:color="auto"/>
        <w:right w:val="none" w:sz="0" w:space="0" w:color="auto"/>
      </w:divBdr>
    </w:div>
    <w:div w:id="1963415334">
      <w:bodyDiv w:val="1"/>
      <w:marLeft w:val="0"/>
      <w:marRight w:val="0"/>
      <w:marTop w:val="0"/>
      <w:marBottom w:val="0"/>
      <w:divBdr>
        <w:top w:val="none" w:sz="0" w:space="0" w:color="auto"/>
        <w:left w:val="none" w:sz="0" w:space="0" w:color="auto"/>
        <w:bottom w:val="none" w:sz="0" w:space="0" w:color="auto"/>
        <w:right w:val="none" w:sz="0" w:space="0" w:color="auto"/>
      </w:divBdr>
    </w:div>
    <w:div w:id="2051610574">
      <w:bodyDiv w:val="1"/>
      <w:marLeft w:val="0"/>
      <w:marRight w:val="0"/>
      <w:marTop w:val="0"/>
      <w:marBottom w:val="0"/>
      <w:divBdr>
        <w:top w:val="none" w:sz="0" w:space="0" w:color="auto"/>
        <w:left w:val="none" w:sz="0" w:space="0" w:color="auto"/>
        <w:bottom w:val="none" w:sz="0" w:space="0" w:color="auto"/>
        <w:right w:val="none" w:sz="0" w:space="0" w:color="auto"/>
      </w:divBdr>
    </w:div>
    <w:div w:id="2093548330">
      <w:bodyDiv w:val="1"/>
      <w:marLeft w:val="0"/>
      <w:marRight w:val="0"/>
      <w:marTop w:val="0"/>
      <w:marBottom w:val="0"/>
      <w:divBdr>
        <w:top w:val="none" w:sz="0" w:space="0" w:color="auto"/>
        <w:left w:val="none" w:sz="0" w:space="0" w:color="auto"/>
        <w:bottom w:val="none" w:sz="0" w:space="0" w:color="auto"/>
        <w:right w:val="none" w:sz="0" w:space="0" w:color="auto"/>
      </w:divBdr>
    </w:div>
    <w:div w:id="21157869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2BBDFD-635C-4975-89C1-0766C068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23924</Words>
  <Characters>136372</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2024-07-08T06:10:00Z</dcterms:created>
  <dcterms:modified xsi:type="dcterms:W3CDTF">2024-07-08T06:11:00Z</dcterms:modified>
</cp:coreProperties>
</file>