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190A0ADC" w14:textId="77777777" w:rsidR="0035517B" w:rsidRDefault="0035517B" w:rsidP="00260847">
          <w:pPr>
            <w:pStyle w:val="NoSpacing"/>
            <w:spacing w:before="120" w:after="120"/>
            <w:rPr>
              <w:rFonts w:ascii="Arial" w:hAnsi="Arial" w:cs="Arial"/>
              <w:bCs/>
              <w:sz w:val="28"/>
            </w:rPr>
          </w:pPr>
        </w:p>
        <w:p w14:paraId="314F472E" w14:textId="77777777" w:rsidR="0035517B" w:rsidRDefault="0035517B" w:rsidP="00260847">
          <w:pPr>
            <w:pStyle w:val="NoSpacing"/>
            <w:spacing w:before="120" w:after="120"/>
            <w:rPr>
              <w:rFonts w:ascii="Arial" w:hAnsi="Arial" w:cs="Arial"/>
              <w:bCs/>
              <w:sz w:val="28"/>
            </w:rPr>
          </w:pPr>
        </w:p>
        <w:p w14:paraId="496A7E76"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431CB62C" wp14:editId="3F859751">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5824B0A" w14:textId="77777777" w:rsidR="0035517B" w:rsidRDefault="0035517B" w:rsidP="00260847">
          <w:pPr>
            <w:pStyle w:val="NoSpacing"/>
            <w:spacing w:before="120" w:after="120"/>
            <w:rPr>
              <w:rFonts w:ascii="Arial" w:hAnsi="Arial" w:cs="Arial"/>
              <w:bCs/>
              <w:sz w:val="28"/>
            </w:rPr>
          </w:pPr>
        </w:p>
        <w:p w14:paraId="42856DC3" w14:textId="77777777" w:rsidR="0035517B" w:rsidRDefault="0035517B" w:rsidP="00260847">
          <w:pPr>
            <w:pStyle w:val="NoSpacing"/>
            <w:spacing w:before="120" w:after="120"/>
            <w:rPr>
              <w:rFonts w:ascii="Arial" w:hAnsi="Arial" w:cs="Arial"/>
              <w:bCs/>
              <w:sz w:val="28"/>
            </w:rPr>
          </w:pPr>
        </w:p>
        <w:p w14:paraId="13D0B559" w14:textId="77777777" w:rsidR="0035517B" w:rsidRDefault="0035517B" w:rsidP="00260847">
          <w:pPr>
            <w:pStyle w:val="NoSpacing"/>
            <w:spacing w:before="120" w:after="120"/>
            <w:rPr>
              <w:rFonts w:ascii="Arial" w:hAnsi="Arial" w:cs="Arial"/>
              <w:bCs/>
              <w:sz w:val="28"/>
            </w:rPr>
          </w:pPr>
        </w:p>
        <w:p w14:paraId="48C9D333" w14:textId="77777777" w:rsidR="0035517B" w:rsidRDefault="0035517B" w:rsidP="00260847">
          <w:pPr>
            <w:pStyle w:val="NoSpacing"/>
            <w:spacing w:before="120" w:after="120"/>
            <w:rPr>
              <w:rFonts w:ascii="Arial" w:hAnsi="Arial" w:cs="Arial"/>
              <w:bCs/>
              <w:sz w:val="28"/>
            </w:rPr>
          </w:pPr>
        </w:p>
        <w:p w14:paraId="01B82A64" w14:textId="77777777" w:rsidR="0035517B" w:rsidRDefault="0035517B" w:rsidP="00260847">
          <w:pPr>
            <w:pStyle w:val="NoSpacing"/>
            <w:spacing w:before="120" w:after="120"/>
            <w:rPr>
              <w:rFonts w:ascii="Arial" w:hAnsi="Arial" w:cs="Arial"/>
              <w:bCs/>
              <w:sz w:val="28"/>
            </w:rPr>
          </w:pPr>
        </w:p>
        <w:p w14:paraId="113EF029" w14:textId="77777777" w:rsidR="0035517B" w:rsidRDefault="0035517B" w:rsidP="00260847">
          <w:pPr>
            <w:pStyle w:val="NoSpacing"/>
            <w:spacing w:before="120" w:after="120"/>
            <w:rPr>
              <w:rFonts w:ascii="Arial" w:hAnsi="Arial" w:cs="Arial"/>
              <w:bCs/>
              <w:sz w:val="28"/>
            </w:rPr>
          </w:pPr>
        </w:p>
        <w:p w14:paraId="3690005B" w14:textId="201D32C5" w:rsidR="0035517B" w:rsidRPr="0035517B" w:rsidRDefault="00D6037C" w:rsidP="0035517B">
          <w:pPr>
            <w:pStyle w:val="Title"/>
          </w:pPr>
          <w:r>
            <w:t>Australia’s youth justice and incarceration system</w:t>
          </w:r>
        </w:p>
        <w:p w14:paraId="4D6A7B06" w14:textId="7A74BC14" w:rsidR="00260847" w:rsidRDefault="00260847" w:rsidP="006550A2">
          <w:pPr>
            <w:rPr>
              <w:color w:val="244061" w:themeColor="accent1" w:themeShade="80"/>
              <w:sz w:val="36"/>
              <w:szCs w:val="36"/>
            </w:rPr>
          </w:pPr>
          <w:r w:rsidRPr="006550A2">
            <w:rPr>
              <w:color w:val="244061" w:themeColor="accent1" w:themeShade="80"/>
              <w:sz w:val="36"/>
              <w:szCs w:val="36"/>
            </w:rPr>
            <w:t xml:space="preserve">Submission to </w:t>
          </w:r>
          <w:r w:rsidR="00D6037C">
            <w:rPr>
              <w:color w:val="244061" w:themeColor="accent1" w:themeShade="80"/>
              <w:sz w:val="36"/>
              <w:szCs w:val="36"/>
            </w:rPr>
            <w:t>Senate Legal and Constitutional Affairs Committee</w:t>
          </w:r>
        </w:p>
        <w:p w14:paraId="076A3E8A" w14:textId="77777777" w:rsidR="00D51FA3" w:rsidRPr="006550A2" w:rsidRDefault="00D51FA3" w:rsidP="006550A2">
          <w:pPr>
            <w:rPr>
              <w:color w:val="244061" w:themeColor="accent1" w:themeShade="80"/>
              <w:sz w:val="36"/>
              <w:szCs w:val="36"/>
            </w:rPr>
          </w:pPr>
        </w:p>
        <w:p w14:paraId="08FE7877" w14:textId="1C8C2DB3" w:rsidR="00260847" w:rsidRPr="006550A2" w:rsidRDefault="00703AF9" w:rsidP="006550A2">
          <w:pPr>
            <w:rPr>
              <w:color w:val="244061" w:themeColor="accent1" w:themeShade="80"/>
              <w:sz w:val="36"/>
              <w:szCs w:val="36"/>
            </w:rPr>
          </w:pPr>
          <w:r w:rsidRPr="001224E5">
            <w:rPr>
              <w:color w:val="244061" w:themeColor="accent1" w:themeShade="80"/>
              <w:sz w:val="36"/>
              <w:szCs w:val="36"/>
            </w:rPr>
            <w:t>28</w:t>
          </w:r>
          <w:r w:rsidR="00D6037C" w:rsidRPr="001224E5">
            <w:rPr>
              <w:color w:val="244061" w:themeColor="accent1" w:themeShade="80"/>
              <w:sz w:val="36"/>
              <w:szCs w:val="36"/>
            </w:rPr>
            <w:t xml:space="preserve"> October</w:t>
          </w:r>
          <w:r w:rsidR="00D6037C">
            <w:rPr>
              <w:color w:val="244061" w:themeColor="accent1" w:themeShade="80"/>
              <w:sz w:val="36"/>
              <w:szCs w:val="36"/>
            </w:rPr>
            <w:t xml:space="preserve"> </w:t>
          </w:r>
          <w:r w:rsidR="00712D37" w:rsidRPr="006550A2">
            <w:rPr>
              <w:color w:val="244061" w:themeColor="accent1" w:themeShade="80"/>
              <w:sz w:val="36"/>
              <w:szCs w:val="36"/>
            </w:rPr>
            <w:t>2024</w:t>
          </w:r>
        </w:p>
        <w:p w14:paraId="25601432" w14:textId="77777777" w:rsidR="00260847" w:rsidRDefault="00260847">
          <w:pPr>
            <w:rPr>
              <w:rFonts w:cs="Arial"/>
              <w:bCs/>
              <w:sz w:val="28"/>
              <w:szCs w:val="22"/>
              <w:lang w:val="en-US"/>
            </w:rPr>
          </w:pPr>
          <w:r>
            <w:rPr>
              <w:rFonts w:cs="Arial"/>
              <w:bCs/>
              <w:sz w:val="28"/>
            </w:rPr>
            <w:br w:type="page"/>
          </w:r>
        </w:p>
        <w:p w14:paraId="71F38705" w14:textId="77777777" w:rsidR="004A2375" w:rsidRDefault="004A2375" w:rsidP="00260847">
          <w:pPr>
            <w:pStyle w:val="NoSpacing"/>
            <w:spacing w:before="120" w:after="120"/>
          </w:pPr>
        </w:p>
        <w:p w14:paraId="268FC840" w14:textId="77777777" w:rsidR="00A16356" w:rsidRPr="004A2375" w:rsidRDefault="00300B43">
          <w:pPr>
            <w:rPr>
              <w:rFonts w:eastAsiaTheme="majorEastAsia" w:cstheme="majorBidi"/>
              <w:b/>
              <w:color w:val="365F91" w:themeColor="accent1" w:themeShade="BF"/>
              <w:sz w:val="16"/>
              <w:szCs w:val="16"/>
            </w:rPr>
          </w:pPr>
        </w:p>
      </w:sdtContent>
    </w:sdt>
    <w:bookmarkStart w:id="0" w:name="_Toc180746440" w:displacedByCustomXml="next"/>
    <w:sdt>
      <w:sdtPr>
        <w:rPr>
          <w:rFonts w:eastAsiaTheme="minorEastAsia" w:cstheme="minorBidi"/>
          <w:color w:val="000000" w:themeColor="text1"/>
          <w:sz w:val="22"/>
          <w:szCs w:val="22"/>
        </w:rPr>
        <w:id w:val="701303297"/>
        <w:docPartObj>
          <w:docPartGallery w:val="Table of Contents"/>
          <w:docPartUnique/>
        </w:docPartObj>
      </w:sdtPr>
      <w:sdtEndPr>
        <w:rPr>
          <w:szCs w:val="24"/>
        </w:rPr>
      </w:sdtEndPr>
      <w:sdtContent>
        <w:p w14:paraId="7501F56C" w14:textId="77777777" w:rsidR="00A16356" w:rsidRPr="00A16356" w:rsidRDefault="00260847" w:rsidP="00260847">
          <w:pPr>
            <w:pStyle w:val="Heading1"/>
          </w:pPr>
          <w:r>
            <w:t>Table of c</w:t>
          </w:r>
          <w:r w:rsidR="00A16356">
            <w:t>ontents</w:t>
          </w:r>
          <w:bookmarkEnd w:id="0"/>
        </w:p>
        <w:p w14:paraId="09905F55" w14:textId="3338D1BF" w:rsidR="00B37CC4" w:rsidRDefault="2C2B78DF">
          <w:pPr>
            <w:pStyle w:val="TOC1"/>
            <w:tabs>
              <w:tab w:val="right" w:leader="dot" w:pos="8296"/>
            </w:tabs>
            <w:rPr>
              <w:rFonts w:asciiTheme="minorHAnsi" w:hAnsiTheme="minorHAnsi"/>
              <w:noProof/>
              <w:color w:val="auto"/>
              <w:kern w:val="2"/>
              <w:sz w:val="24"/>
              <w:lang w:eastAsia="en-AU"/>
              <w14:ligatures w14:val="standardContextual"/>
            </w:rPr>
          </w:pPr>
          <w:r>
            <w:fldChar w:fldCharType="begin"/>
          </w:r>
          <w:r w:rsidR="00A16356">
            <w:instrText>TOC \o "1-3" \z \u \h</w:instrText>
          </w:r>
          <w:r>
            <w:fldChar w:fldCharType="separate"/>
          </w:r>
        </w:p>
        <w:p w14:paraId="02A5F59B" w14:textId="16BD3C21" w:rsidR="00B37CC4" w:rsidRDefault="00B37CC4">
          <w:pPr>
            <w:pStyle w:val="TOC1"/>
            <w:tabs>
              <w:tab w:val="right" w:leader="dot" w:pos="8296"/>
            </w:tabs>
            <w:rPr>
              <w:rFonts w:asciiTheme="minorHAnsi" w:hAnsiTheme="minorHAnsi"/>
              <w:noProof/>
              <w:color w:val="auto"/>
              <w:kern w:val="2"/>
              <w:sz w:val="24"/>
              <w:lang w:eastAsia="en-AU"/>
              <w14:ligatures w14:val="standardContextual"/>
            </w:rPr>
          </w:pPr>
          <w:hyperlink w:anchor="_Toc180746441" w:history="1">
            <w:r w:rsidRPr="00147A22">
              <w:rPr>
                <w:rStyle w:val="Hyperlink"/>
                <w:noProof/>
              </w:rPr>
              <w:t>Introduction</w:t>
            </w:r>
            <w:r>
              <w:rPr>
                <w:noProof/>
                <w:webHidden/>
              </w:rPr>
              <w:tab/>
            </w:r>
            <w:r>
              <w:rPr>
                <w:noProof/>
                <w:webHidden/>
              </w:rPr>
              <w:fldChar w:fldCharType="begin"/>
            </w:r>
            <w:r>
              <w:rPr>
                <w:noProof/>
                <w:webHidden/>
              </w:rPr>
              <w:instrText xml:space="preserve"> PAGEREF _Toc180746441 \h </w:instrText>
            </w:r>
            <w:r>
              <w:rPr>
                <w:noProof/>
                <w:webHidden/>
              </w:rPr>
            </w:r>
            <w:r>
              <w:rPr>
                <w:noProof/>
                <w:webHidden/>
              </w:rPr>
              <w:fldChar w:fldCharType="separate"/>
            </w:r>
            <w:r w:rsidR="00AF3971">
              <w:rPr>
                <w:noProof/>
                <w:webHidden/>
              </w:rPr>
              <w:t>2</w:t>
            </w:r>
            <w:r>
              <w:rPr>
                <w:noProof/>
                <w:webHidden/>
              </w:rPr>
              <w:fldChar w:fldCharType="end"/>
            </w:r>
          </w:hyperlink>
        </w:p>
        <w:p w14:paraId="33CBF7DA" w14:textId="6618EF0B" w:rsidR="00B37CC4" w:rsidRDefault="00B37CC4">
          <w:pPr>
            <w:pStyle w:val="TOC1"/>
            <w:tabs>
              <w:tab w:val="right" w:leader="dot" w:pos="8296"/>
            </w:tabs>
            <w:rPr>
              <w:rFonts w:asciiTheme="minorHAnsi" w:hAnsiTheme="minorHAnsi"/>
              <w:noProof/>
              <w:color w:val="auto"/>
              <w:kern w:val="2"/>
              <w:sz w:val="24"/>
              <w:lang w:eastAsia="en-AU"/>
              <w14:ligatures w14:val="standardContextual"/>
            </w:rPr>
          </w:pPr>
          <w:hyperlink w:anchor="_Toc180746442" w:history="1">
            <w:r w:rsidRPr="00147A22">
              <w:rPr>
                <w:rStyle w:val="Hyperlink"/>
                <w:noProof/>
              </w:rPr>
              <w:t>Summary of submission</w:t>
            </w:r>
            <w:r>
              <w:rPr>
                <w:noProof/>
                <w:webHidden/>
              </w:rPr>
              <w:tab/>
            </w:r>
            <w:r>
              <w:rPr>
                <w:noProof/>
                <w:webHidden/>
              </w:rPr>
              <w:fldChar w:fldCharType="begin"/>
            </w:r>
            <w:r>
              <w:rPr>
                <w:noProof/>
                <w:webHidden/>
              </w:rPr>
              <w:instrText xml:space="preserve"> PAGEREF _Toc180746442 \h </w:instrText>
            </w:r>
            <w:r>
              <w:rPr>
                <w:noProof/>
                <w:webHidden/>
              </w:rPr>
            </w:r>
            <w:r>
              <w:rPr>
                <w:noProof/>
                <w:webHidden/>
              </w:rPr>
              <w:fldChar w:fldCharType="separate"/>
            </w:r>
            <w:r w:rsidR="00AF3971">
              <w:rPr>
                <w:noProof/>
                <w:webHidden/>
              </w:rPr>
              <w:t>2</w:t>
            </w:r>
            <w:r>
              <w:rPr>
                <w:noProof/>
                <w:webHidden/>
              </w:rPr>
              <w:fldChar w:fldCharType="end"/>
            </w:r>
          </w:hyperlink>
        </w:p>
        <w:p w14:paraId="32F0370C" w14:textId="7B799495" w:rsidR="00B37CC4" w:rsidRDefault="00B37CC4">
          <w:pPr>
            <w:pStyle w:val="TOC1"/>
            <w:tabs>
              <w:tab w:val="right" w:leader="dot" w:pos="8296"/>
            </w:tabs>
            <w:rPr>
              <w:rFonts w:asciiTheme="minorHAnsi" w:hAnsiTheme="minorHAnsi"/>
              <w:noProof/>
              <w:color w:val="auto"/>
              <w:kern w:val="2"/>
              <w:sz w:val="24"/>
              <w:lang w:eastAsia="en-AU"/>
              <w14:ligatures w14:val="standardContextual"/>
            </w:rPr>
          </w:pPr>
          <w:hyperlink w:anchor="_Toc180746443" w:history="1">
            <w:r w:rsidRPr="00147A22">
              <w:rPr>
                <w:rStyle w:val="Hyperlink"/>
                <w:noProof/>
              </w:rPr>
              <w:t>About the Commission</w:t>
            </w:r>
            <w:r>
              <w:rPr>
                <w:noProof/>
                <w:webHidden/>
              </w:rPr>
              <w:tab/>
            </w:r>
            <w:r>
              <w:rPr>
                <w:noProof/>
                <w:webHidden/>
              </w:rPr>
              <w:fldChar w:fldCharType="begin"/>
            </w:r>
            <w:r>
              <w:rPr>
                <w:noProof/>
                <w:webHidden/>
              </w:rPr>
              <w:instrText xml:space="preserve"> PAGEREF _Toc180746443 \h </w:instrText>
            </w:r>
            <w:r>
              <w:rPr>
                <w:noProof/>
                <w:webHidden/>
              </w:rPr>
            </w:r>
            <w:r>
              <w:rPr>
                <w:noProof/>
                <w:webHidden/>
              </w:rPr>
              <w:fldChar w:fldCharType="separate"/>
            </w:r>
            <w:r w:rsidR="00AF3971">
              <w:rPr>
                <w:noProof/>
                <w:webHidden/>
              </w:rPr>
              <w:t>4</w:t>
            </w:r>
            <w:r>
              <w:rPr>
                <w:noProof/>
                <w:webHidden/>
              </w:rPr>
              <w:fldChar w:fldCharType="end"/>
            </w:r>
          </w:hyperlink>
        </w:p>
        <w:p w14:paraId="447C9177" w14:textId="527730C9" w:rsidR="00B37CC4" w:rsidRDefault="00B37CC4">
          <w:pPr>
            <w:pStyle w:val="TOC1"/>
            <w:tabs>
              <w:tab w:val="right" w:leader="dot" w:pos="8296"/>
            </w:tabs>
            <w:rPr>
              <w:rFonts w:asciiTheme="minorHAnsi" w:hAnsiTheme="minorHAnsi"/>
              <w:noProof/>
              <w:color w:val="auto"/>
              <w:kern w:val="2"/>
              <w:sz w:val="24"/>
              <w:lang w:eastAsia="en-AU"/>
              <w14:ligatures w14:val="standardContextual"/>
            </w:rPr>
          </w:pPr>
          <w:hyperlink w:anchor="_Toc180746444" w:history="1">
            <w:r w:rsidRPr="00147A22">
              <w:rPr>
                <w:rStyle w:val="Hyperlink"/>
                <w:noProof/>
              </w:rPr>
              <w:t>Youth justice policy in Queensland</w:t>
            </w:r>
            <w:r>
              <w:rPr>
                <w:noProof/>
                <w:webHidden/>
              </w:rPr>
              <w:tab/>
            </w:r>
            <w:r>
              <w:rPr>
                <w:noProof/>
                <w:webHidden/>
              </w:rPr>
              <w:fldChar w:fldCharType="begin"/>
            </w:r>
            <w:r>
              <w:rPr>
                <w:noProof/>
                <w:webHidden/>
              </w:rPr>
              <w:instrText xml:space="preserve"> PAGEREF _Toc180746444 \h </w:instrText>
            </w:r>
            <w:r>
              <w:rPr>
                <w:noProof/>
                <w:webHidden/>
              </w:rPr>
            </w:r>
            <w:r>
              <w:rPr>
                <w:noProof/>
                <w:webHidden/>
              </w:rPr>
              <w:fldChar w:fldCharType="separate"/>
            </w:r>
            <w:r w:rsidR="00AF3971">
              <w:rPr>
                <w:noProof/>
                <w:webHidden/>
              </w:rPr>
              <w:t>4</w:t>
            </w:r>
            <w:r>
              <w:rPr>
                <w:noProof/>
                <w:webHidden/>
              </w:rPr>
              <w:fldChar w:fldCharType="end"/>
            </w:r>
          </w:hyperlink>
        </w:p>
        <w:p w14:paraId="79E54E5B" w14:textId="69B57C0D" w:rsidR="00B37CC4" w:rsidRDefault="00B37CC4">
          <w:pPr>
            <w:pStyle w:val="TOC2"/>
            <w:rPr>
              <w:rFonts w:asciiTheme="minorHAnsi" w:hAnsiTheme="minorHAnsi"/>
              <w:noProof/>
              <w:color w:val="auto"/>
              <w:kern w:val="2"/>
              <w:sz w:val="24"/>
              <w:lang w:eastAsia="en-AU"/>
              <w14:ligatures w14:val="standardContextual"/>
            </w:rPr>
          </w:pPr>
          <w:hyperlink w:anchor="_Toc180746445" w:history="1">
            <w:r w:rsidRPr="00147A22">
              <w:rPr>
                <w:rStyle w:val="Hyperlink"/>
                <w:noProof/>
              </w:rPr>
              <w:t>Human rights standards</w:t>
            </w:r>
            <w:r>
              <w:rPr>
                <w:noProof/>
                <w:webHidden/>
              </w:rPr>
              <w:tab/>
            </w:r>
            <w:r>
              <w:rPr>
                <w:noProof/>
                <w:webHidden/>
              </w:rPr>
              <w:fldChar w:fldCharType="begin"/>
            </w:r>
            <w:r>
              <w:rPr>
                <w:noProof/>
                <w:webHidden/>
              </w:rPr>
              <w:instrText xml:space="preserve"> PAGEREF _Toc180746445 \h </w:instrText>
            </w:r>
            <w:r>
              <w:rPr>
                <w:noProof/>
                <w:webHidden/>
              </w:rPr>
            </w:r>
            <w:r>
              <w:rPr>
                <w:noProof/>
                <w:webHidden/>
              </w:rPr>
              <w:fldChar w:fldCharType="separate"/>
            </w:r>
            <w:r w:rsidR="00AF3971">
              <w:rPr>
                <w:noProof/>
                <w:webHidden/>
              </w:rPr>
              <w:t>4</w:t>
            </w:r>
            <w:r>
              <w:rPr>
                <w:noProof/>
                <w:webHidden/>
              </w:rPr>
              <w:fldChar w:fldCharType="end"/>
            </w:r>
          </w:hyperlink>
        </w:p>
        <w:p w14:paraId="6CFBE7E0" w14:textId="23BD8800" w:rsidR="00B37CC4" w:rsidRDefault="00B37CC4">
          <w:pPr>
            <w:pStyle w:val="TOC2"/>
            <w:rPr>
              <w:rFonts w:asciiTheme="minorHAnsi" w:hAnsiTheme="minorHAnsi"/>
              <w:noProof/>
              <w:color w:val="auto"/>
              <w:kern w:val="2"/>
              <w:sz w:val="24"/>
              <w:lang w:eastAsia="en-AU"/>
              <w14:ligatures w14:val="standardContextual"/>
            </w:rPr>
          </w:pPr>
          <w:hyperlink w:anchor="_Toc180746446" w:history="1">
            <w:r w:rsidRPr="00147A22">
              <w:rPr>
                <w:rStyle w:val="Hyperlink"/>
                <w:noProof/>
                <w:lang w:eastAsia="en-AU"/>
              </w:rPr>
              <w:t>Reviews of youth justice policy</w:t>
            </w:r>
            <w:r>
              <w:rPr>
                <w:noProof/>
                <w:webHidden/>
              </w:rPr>
              <w:tab/>
            </w:r>
            <w:r>
              <w:rPr>
                <w:noProof/>
                <w:webHidden/>
              </w:rPr>
              <w:fldChar w:fldCharType="begin"/>
            </w:r>
            <w:r>
              <w:rPr>
                <w:noProof/>
                <w:webHidden/>
              </w:rPr>
              <w:instrText xml:space="preserve"> PAGEREF _Toc180746446 \h </w:instrText>
            </w:r>
            <w:r>
              <w:rPr>
                <w:noProof/>
                <w:webHidden/>
              </w:rPr>
            </w:r>
            <w:r>
              <w:rPr>
                <w:noProof/>
                <w:webHidden/>
              </w:rPr>
              <w:fldChar w:fldCharType="separate"/>
            </w:r>
            <w:r w:rsidR="00AF3971">
              <w:rPr>
                <w:noProof/>
                <w:webHidden/>
              </w:rPr>
              <w:t>5</w:t>
            </w:r>
            <w:r>
              <w:rPr>
                <w:noProof/>
                <w:webHidden/>
              </w:rPr>
              <w:fldChar w:fldCharType="end"/>
            </w:r>
          </w:hyperlink>
        </w:p>
        <w:p w14:paraId="16FB6F18" w14:textId="4AB338E2" w:rsidR="00B37CC4" w:rsidRDefault="00B37CC4">
          <w:pPr>
            <w:pStyle w:val="TOC2"/>
            <w:rPr>
              <w:rFonts w:asciiTheme="minorHAnsi" w:hAnsiTheme="minorHAnsi"/>
              <w:noProof/>
              <w:color w:val="auto"/>
              <w:kern w:val="2"/>
              <w:sz w:val="24"/>
              <w:lang w:eastAsia="en-AU"/>
              <w14:ligatures w14:val="standardContextual"/>
            </w:rPr>
          </w:pPr>
          <w:hyperlink w:anchor="_Toc180746447" w:history="1">
            <w:r w:rsidRPr="00147A22">
              <w:rPr>
                <w:rStyle w:val="Hyperlink"/>
                <w:noProof/>
                <w:lang w:eastAsia="en-AU"/>
              </w:rPr>
              <w:t>Legislative and policy changes promoting detention</w:t>
            </w:r>
            <w:r>
              <w:rPr>
                <w:noProof/>
                <w:webHidden/>
              </w:rPr>
              <w:tab/>
            </w:r>
            <w:r>
              <w:rPr>
                <w:noProof/>
                <w:webHidden/>
              </w:rPr>
              <w:fldChar w:fldCharType="begin"/>
            </w:r>
            <w:r>
              <w:rPr>
                <w:noProof/>
                <w:webHidden/>
              </w:rPr>
              <w:instrText xml:space="preserve"> PAGEREF _Toc180746447 \h </w:instrText>
            </w:r>
            <w:r>
              <w:rPr>
                <w:noProof/>
                <w:webHidden/>
              </w:rPr>
            </w:r>
            <w:r>
              <w:rPr>
                <w:noProof/>
                <w:webHidden/>
              </w:rPr>
              <w:fldChar w:fldCharType="separate"/>
            </w:r>
            <w:r w:rsidR="00AF3971">
              <w:rPr>
                <w:noProof/>
                <w:webHidden/>
              </w:rPr>
              <w:t>8</w:t>
            </w:r>
            <w:r>
              <w:rPr>
                <w:noProof/>
                <w:webHidden/>
              </w:rPr>
              <w:fldChar w:fldCharType="end"/>
            </w:r>
          </w:hyperlink>
        </w:p>
        <w:p w14:paraId="46E1A2CA" w14:textId="298AA06A" w:rsidR="00B37CC4" w:rsidRDefault="00B37CC4">
          <w:pPr>
            <w:pStyle w:val="TOC2"/>
            <w:rPr>
              <w:rFonts w:asciiTheme="minorHAnsi" w:hAnsiTheme="minorHAnsi"/>
              <w:noProof/>
              <w:color w:val="auto"/>
              <w:kern w:val="2"/>
              <w:sz w:val="24"/>
              <w:lang w:eastAsia="en-AU"/>
              <w14:ligatures w14:val="standardContextual"/>
            </w:rPr>
          </w:pPr>
          <w:hyperlink w:anchor="_Toc180746448" w:history="1">
            <w:r w:rsidRPr="00147A22">
              <w:rPr>
                <w:rStyle w:val="Hyperlink"/>
                <w:noProof/>
              </w:rPr>
              <w:t>Youth Justice landscape following reforms</w:t>
            </w:r>
            <w:r>
              <w:rPr>
                <w:noProof/>
                <w:webHidden/>
              </w:rPr>
              <w:tab/>
            </w:r>
            <w:r>
              <w:rPr>
                <w:noProof/>
                <w:webHidden/>
              </w:rPr>
              <w:fldChar w:fldCharType="begin"/>
            </w:r>
            <w:r>
              <w:rPr>
                <w:noProof/>
                <w:webHidden/>
              </w:rPr>
              <w:instrText xml:space="preserve"> PAGEREF _Toc180746448 \h </w:instrText>
            </w:r>
            <w:r>
              <w:rPr>
                <w:noProof/>
                <w:webHidden/>
              </w:rPr>
            </w:r>
            <w:r>
              <w:rPr>
                <w:noProof/>
                <w:webHidden/>
              </w:rPr>
              <w:fldChar w:fldCharType="separate"/>
            </w:r>
            <w:r w:rsidR="00AF3971">
              <w:rPr>
                <w:noProof/>
                <w:webHidden/>
              </w:rPr>
              <w:t>9</w:t>
            </w:r>
            <w:r>
              <w:rPr>
                <w:noProof/>
                <w:webHidden/>
              </w:rPr>
              <w:fldChar w:fldCharType="end"/>
            </w:r>
          </w:hyperlink>
        </w:p>
        <w:p w14:paraId="592F0CA1" w14:textId="0B733626" w:rsidR="00B37CC4" w:rsidRDefault="00B37CC4">
          <w:pPr>
            <w:pStyle w:val="TOC1"/>
            <w:tabs>
              <w:tab w:val="right" w:leader="dot" w:pos="8296"/>
            </w:tabs>
            <w:rPr>
              <w:rFonts w:asciiTheme="minorHAnsi" w:hAnsiTheme="minorHAnsi"/>
              <w:noProof/>
              <w:color w:val="auto"/>
              <w:kern w:val="2"/>
              <w:sz w:val="24"/>
              <w:lang w:eastAsia="en-AU"/>
              <w14:ligatures w14:val="standardContextual"/>
            </w:rPr>
          </w:pPr>
          <w:hyperlink w:anchor="_Toc180746449" w:history="1">
            <w:r w:rsidRPr="00147A22">
              <w:rPr>
                <w:rStyle w:val="Hyperlink"/>
                <w:noProof/>
              </w:rPr>
              <w:t>A human rights crisis</w:t>
            </w:r>
            <w:r>
              <w:rPr>
                <w:noProof/>
                <w:webHidden/>
              </w:rPr>
              <w:tab/>
            </w:r>
            <w:r>
              <w:rPr>
                <w:noProof/>
                <w:webHidden/>
              </w:rPr>
              <w:fldChar w:fldCharType="begin"/>
            </w:r>
            <w:r>
              <w:rPr>
                <w:noProof/>
                <w:webHidden/>
              </w:rPr>
              <w:instrText xml:space="preserve"> PAGEREF _Toc180746449 \h </w:instrText>
            </w:r>
            <w:r>
              <w:rPr>
                <w:noProof/>
                <w:webHidden/>
              </w:rPr>
            </w:r>
            <w:r>
              <w:rPr>
                <w:noProof/>
                <w:webHidden/>
              </w:rPr>
              <w:fldChar w:fldCharType="separate"/>
            </w:r>
            <w:r w:rsidR="00AF3971">
              <w:rPr>
                <w:noProof/>
                <w:webHidden/>
              </w:rPr>
              <w:t>11</w:t>
            </w:r>
            <w:r>
              <w:rPr>
                <w:noProof/>
                <w:webHidden/>
              </w:rPr>
              <w:fldChar w:fldCharType="end"/>
            </w:r>
          </w:hyperlink>
        </w:p>
        <w:p w14:paraId="7D044FE1" w14:textId="04175BD0" w:rsidR="00B37CC4" w:rsidRDefault="00B37CC4">
          <w:pPr>
            <w:pStyle w:val="TOC2"/>
            <w:rPr>
              <w:rFonts w:asciiTheme="minorHAnsi" w:hAnsiTheme="minorHAnsi"/>
              <w:noProof/>
              <w:color w:val="auto"/>
              <w:kern w:val="2"/>
              <w:sz w:val="24"/>
              <w:lang w:eastAsia="en-AU"/>
              <w14:ligatures w14:val="standardContextual"/>
            </w:rPr>
          </w:pPr>
          <w:hyperlink w:anchor="_Toc180746450" w:history="1">
            <w:r w:rsidRPr="00147A22">
              <w:rPr>
                <w:rStyle w:val="Hyperlink"/>
                <w:noProof/>
              </w:rPr>
              <w:t>Detention of children in watch houses</w:t>
            </w:r>
            <w:r>
              <w:rPr>
                <w:noProof/>
                <w:webHidden/>
              </w:rPr>
              <w:tab/>
            </w:r>
            <w:r>
              <w:rPr>
                <w:noProof/>
                <w:webHidden/>
              </w:rPr>
              <w:fldChar w:fldCharType="begin"/>
            </w:r>
            <w:r>
              <w:rPr>
                <w:noProof/>
                <w:webHidden/>
              </w:rPr>
              <w:instrText xml:space="preserve"> PAGEREF _Toc180746450 \h </w:instrText>
            </w:r>
            <w:r>
              <w:rPr>
                <w:noProof/>
                <w:webHidden/>
              </w:rPr>
            </w:r>
            <w:r>
              <w:rPr>
                <w:noProof/>
                <w:webHidden/>
              </w:rPr>
              <w:fldChar w:fldCharType="separate"/>
            </w:r>
            <w:r w:rsidR="00AF3971">
              <w:rPr>
                <w:noProof/>
                <w:webHidden/>
              </w:rPr>
              <w:t>12</w:t>
            </w:r>
            <w:r>
              <w:rPr>
                <w:noProof/>
                <w:webHidden/>
              </w:rPr>
              <w:fldChar w:fldCharType="end"/>
            </w:r>
          </w:hyperlink>
        </w:p>
        <w:p w14:paraId="29797150" w14:textId="55DA5019" w:rsidR="00B37CC4" w:rsidRDefault="00B37CC4">
          <w:pPr>
            <w:pStyle w:val="TOC2"/>
            <w:rPr>
              <w:rFonts w:asciiTheme="minorHAnsi" w:hAnsiTheme="minorHAnsi"/>
              <w:noProof/>
              <w:color w:val="auto"/>
              <w:kern w:val="2"/>
              <w:sz w:val="24"/>
              <w:lang w:eastAsia="en-AU"/>
              <w14:ligatures w14:val="standardContextual"/>
            </w:rPr>
          </w:pPr>
          <w:hyperlink w:anchor="_Toc180746451" w:history="1">
            <w:r w:rsidRPr="00147A22">
              <w:rPr>
                <w:rStyle w:val="Hyperlink"/>
                <w:noProof/>
              </w:rPr>
              <w:t>Discrimination</w:t>
            </w:r>
            <w:r>
              <w:rPr>
                <w:noProof/>
                <w:webHidden/>
              </w:rPr>
              <w:tab/>
            </w:r>
            <w:r>
              <w:rPr>
                <w:noProof/>
                <w:webHidden/>
              </w:rPr>
              <w:fldChar w:fldCharType="begin"/>
            </w:r>
            <w:r>
              <w:rPr>
                <w:noProof/>
                <w:webHidden/>
              </w:rPr>
              <w:instrText xml:space="preserve"> PAGEREF _Toc180746451 \h </w:instrText>
            </w:r>
            <w:r>
              <w:rPr>
                <w:noProof/>
                <w:webHidden/>
              </w:rPr>
            </w:r>
            <w:r>
              <w:rPr>
                <w:noProof/>
                <w:webHidden/>
              </w:rPr>
              <w:fldChar w:fldCharType="separate"/>
            </w:r>
            <w:r w:rsidR="00AF3971">
              <w:rPr>
                <w:noProof/>
                <w:webHidden/>
              </w:rPr>
              <w:t>17</w:t>
            </w:r>
            <w:r>
              <w:rPr>
                <w:noProof/>
                <w:webHidden/>
              </w:rPr>
              <w:fldChar w:fldCharType="end"/>
            </w:r>
          </w:hyperlink>
        </w:p>
        <w:p w14:paraId="32FCC63B" w14:textId="2DEF6402" w:rsidR="00B37CC4" w:rsidRDefault="00B37CC4">
          <w:pPr>
            <w:pStyle w:val="TOC3"/>
            <w:tabs>
              <w:tab w:val="right" w:leader="dot" w:pos="8296"/>
            </w:tabs>
            <w:rPr>
              <w:rFonts w:asciiTheme="minorHAnsi" w:hAnsiTheme="minorHAnsi"/>
              <w:noProof/>
              <w:color w:val="auto"/>
              <w:kern w:val="2"/>
              <w:sz w:val="24"/>
              <w:lang w:eastAsia="en-AU"/>
              <w14:ligatures w14:val="standardContextual"/>
            </w:rPr>
          </w:pPr>
          <w:hyperlink w:anchor="_Toc180746452" w:history="1">
            <w:r w:rsidRPr="00147A22">
              <w:rPr>
                <w:rStyle w:val="Hyperlink"/>
                <w:noProof/>
                <w:lang w:val="en-GB"/>
              </w:rPr>
              <w:t>Age</w:t>
            </w:r>
            <w:r>
              <w:rPr>
                <w:noProof/>
                <w:webHidden/>
              </w:rPr>
              <w:tab/>
            </w:r>
            <w:r>
              <w:rPr>
                <w:noProof/>
                <w:webHidden/>
              </w:rPr>
              <w:fldChar w:fldCharType="begin"/>
            </w:r>
            <w:r>
              <w:rPr>
                <w:noProof/>
                <w:webHidden/>
              </w:rPr>
              <w:instrText xml:space="preserve"> PAGEREF _Toc180746452 \h </w:instrText>
            </w:r>
            <w:r>
              <w:rPr>
                <w:noProof/>
                <w:webHidden/>
              </w:rPr>
            </w:r>
            <w:r>
              <w:rPr>
                <w:noProof/>
                <w:webHidden/>
              </w:rPr>
              <w:fldChar w:fldCharType="separate"/>
            </w:r>
            <w:r w:rsidR="00AF3971">
              <w:rPr>
                <w:noProof/>
                <w:webHidden/>
              </w:rPr>
              <w:t>17</w:t>
            </w:r>
            <w:r>
              <w:rPr>
                <w:noProof/>
                <w:webHidden/>
              </w:rPr>
              <w:fldChar w:fldCharType="end"/>
            </w:r>
          </w:hyperlink>
        </w:p>
        <w:p w14:paraId="264D99CE" w14:textId="4B9EE6A0" w:rsidR="00B37CC4" w:rsidRDefault="00B37CC4">
          <w:pPr>
            <w:pStyle w:val="TOC3"/>
            <w:tabs>
              <w:tab w:val="right" w:leader="dot" w:pos="8296"/>
            </w:tabs>
            <w:rPr>
              <w:rFonts w:asciiTheme="minorHAnsi" w:hAnsiTheme="minorHAnsi"/>
              <w:noProof/>
              <w:color w:val="auto"/>
              <w:kern w:val="2"/>
              <w:sz w:val="24"/>
              <w:lang w:eastAsia="en-AU"/>
              <w14:ligatures w14:val="standardContextual"/>
            </w:rPr>
          </w:pPr>
          <w:hyperlink w:anchor="_Toc180746453" w:history="1">
            <w:r w:rsidRPr="00147A22">
              <w:rPr>
                <w:rStyle w:val="Hyperlink"/>
                <w:noProof/>
                <w:lang w:val="en-US"/>
              </w:rPr>
              <w:t>Race</w:t>
            </w:r>
            <w:r>
              <w:rPr>
                <w:noProof/>
                <w:webHidden/>
              </w:rPr>
              <w:tab/>
            </w:r>
            <w:r>
              <w:rPr>
                <w:noProof/>
                <w:webHidden/>
              </w:rPr>
              <w:fldChar w:fldCharType="begin"/>
            </w:r>
            <w:r>
              <w:rPr>
                <w:noProof/>
                <w:webHidden/>
              </w:rPr>
              <w:instrText xml:space="preserve"> PAGEREF _Toc180746453 \h </w:instrText>
            </w:r>
            <w:r>
              <w:rPr>
                <w:noProof/>
                <w:webHidden/>
              </w:rPr>
            </w:r>
            <w:r>
              <w:rPr>
                <w:noProof/>
                <w:webHidden/>
              </w:rPr>
              <w:fldChar w:fldCharType="separate"/>
            </w:r>
            <w:r w:rsidR="00AF3971">
              <w:rPr>
                <w:noProof/>
                <w:webHidden/>
              </w:rPr>
              <w:t>19</w:t>
            </w:r>
            <w:r>
              <w:rPr>
                <w:noProof/>
                <w:webHidden/>
              </w:rPr>
              <w:fldChar w:fldCharType="end"/>
            </w:r>
          </w:hyperlink>
        </w:p>
        <w:p w14:paraId="0A123B8C" w14:textId="37ABDB75" w:rsidR="00B37CC4" w:rsidRDefault="00B37CC4">
          <w:pPr>
            <w:pStyle w:val="TOC3"/>
            <w:tabs>
              <w:tab w:val="right" w:leader="dot" w:pos="8296"/>
            </w:tabs>
            <w:rPr>
              <w:rFonts w:asciiTheme="minorHAnsi" w:hAnsiTheme="minorHAnsi"/>
              <w:noProof/>
              <w:color w:val="auto"/>
              <w:kern w:val="2"/>
              <w:sz w:val="24"/>
              <w:lang w:eastAsia="en-AU"/>
              <w14:ligatures w14:val="standardContextual"/>
            </w:rPr>
          </w:pPr>
          <w:hyperlink w:anchor="_Toc180746454" w:history="1">
            <w:r w:rsidRPr="00147A22">
              <w:rPr>
                <w:rStyle w:val="Hyperlink"/>
                <w:noProof/>
                <w:lang w:val="en-US"/>
              </w:rPr>
              <w:t>Disability</w:t>
            </w:r>
            <w:r>
              <w:rPr>
                <w:noProof/>
                <w:webHidden/>
              </w:rPr>
              <w:tab/>
            </w:r>
            <w:r>
              <w:rPr>
                <w:noProof/>
                <w:webHidden/>
              </w:rPr>
              <w:fldChar w:fldCharType="begin"/>
            </w:r>
            <w:r>
              <w:rPr>
                <w:noProof/>
                <w:webHidden/>
              </w:rPr>
              <w:instrText xml:space="preserve"> PAGEREF _Toc180746454 \h </w:instrText>
            </w:r>
            <w:r>
              <w:rPr>
                <w:noProof/>
                <w:webHidden/>
              </w:rPr>
            </w:r>
            <w:r>
              <w:rPr>
                <w:noProof/>
                <w:webHidden/>
              </w:rPr>
              <w:fldChar w:fldCharType="separate"/>
            </w:r>
            <w:r w:rsidR="00AF3971">
              <w:rPr>
                <w:noProof/>
                <w:webHidden/>
              </w:rPr>
              <w:t>21</w:t>
            </w:r>
            <w:r>
              <w:rPr>
                <w:noProof/>
                <w:webHidden/>
              </w:rPr>
              <w:fldChar w:fldCharType="end"/>
            </w:r>
          </w:hyperlink>
        </w:p>
        <w:p w14:paraId="788316D0" w14:textId="70792F3A" w:rsidR="00B37CC4" w:rsidRDefault="00B37CC4">
          <w:pPr>
            <w:pStyle w:val="TOC2"/>
            <w:rPr>
              <w:rFonts w:asciiTheme="minorHAnsi" w:hAnsiTheme="minorHAnsi"/>
              <w:noProof/>
              <w:color w:val="auto"/>
              <w:kern w:val="2"/>
              <w:sz w:val="24"/>
              <w:lang w:eastAsia="en-AU"/>
              <w14:ligatures w14:val="standardContextual"/>
            </w:rPr>
          </w:pPr>
          <w:hyperlink w:anchor="_Toc180746455" w:history="1">
            <w:r w:rsidRPr="00147A22">
              <w:rPr>
                <w:rStyle w:val="Hyperlink"/>
                <w:noProof/>
              </w:rPr>
              <w:t>Lockdown, separation and solitary confinement</w:t>
            </w:r>
            <w:r>
              <w:rPr>
                <w:noProof/>
                <w:webHidden/>
              </w:rPr>
              <w:tab/>
            </w:r>
            <w:r>
              <w:rPr>
                <w:noProof/>
                <w:webHidden/>
              </w:rPr>
              <w:fldChar w:fldCharType="begin"/>
            </w:r>
            <w:r>
              <w:rPr>
                <w:noProof/>
                <w:webHidden/>
              </w:rPr>
              <w:instrText xml:space="preserve"> PAGEREF _Toc180746455 \h </w:instrText>
            </w:r>
            <w:r>
              <w:rPr>
                <w:noProof/>
                <w:webHidden/>
              </w:rPr>
            </w:r>
            <w:r>
              <w:rPr>
                <w:noProof/>
                <w:webHidden/>
              </w:rPr>
              <w:fldChar w:fldCharType="separate"/>
            </w:r>
            <w:r w:rsidR="00AF3971">
              <w:rPr>
                <w:noProof/>
                <w:webHidden/>
              </w:rPr>
              <w:t>24</w:t>
            </w:r>
            <w:r>
              <w:rPr>
                <w:noProof/>
                <w:webHidden/>
              </w:rPr>
              <w:fldChar w:fldCharType="end"/>
            </w:r>
          </w:hyperlink>
        </w:p>
        <w:p w14:paraId="580F292A" w14:textId="026DBF4D" w:rsidR="00B37CC4" w:rsidRDefault="00B37CC4">
          <w:pPr>
            <w:pStyle w:val="TOC1"/>
            <w:tabs>
              <w:tab w:val="right" w:leader="dot" w:pos="8296"/>
            </w:tabs>
            <w:rPr>
              <w:rFonts w:asciiTheme="minorHAnsi" w:hAnsiTheme="minorHAnsi"/>
              <w:noProof/>
              <w:color w:val="auto"/>
              <w:kern w:val="2"/>
              <w:sz w:val="24"/>
              <w:lang w:eastAsia="en-AU"/>
              <w14:ligatures w14:val="standardContextual"/>
            </w:rPr>
          </w:pPr>
          <w:hyperlink w:anchor="_Toc180746456" w:history="1">
            <w:r w:rsidRPr="00147A22">
              <w:rPr>
                <w:rStyle w:val="Hyperlink"/>
                <w:noProof/>
              </w:rPr>
              <w:t>The need to legislate national minimum standards</w:t>
            </w:r>
            <w:r>
              <w:rPr>
                <w:noProof/>
                <w:webHidden/>
              </w:rPr>
              <w:tab/>
            </w:r>
            <w:r>
              <w:rPr>
                <w:noProof/>
                <w:webHidden/>
              </w:rPr>
              <w:fldChar w:fldCharType="begin"/>
            </w:r>
            <w:r>
              <w:rPr>
                <w:noProof/>
                <w:webHidden/>
              </w:rPr>
              <w:instrText xml:space="preserve"> PAGEREF _Toc180746456 \h </w:instrText>
            </w:r>
            <w:r>
              <w:rPr>
                <w:noProof/>
                <w:webHidden/>
              </w:rPr>
            </w:r>
            <w:r>
              <w:rPr>
                <w:noProof/>
                <w:webHidden/>
              </w:rPr>
              <w:fldChar w:fldCharType="separate"/>
            </w:r>
            <w:r w:rsidR="00AF3971">
              <w:rPr>
                <w:noProof/>
                <w:webHidden/>
              </w:rPr>
              <w:t>30</w:t>
            </w:r>
            <w:r>
              <w:rPr>
                <w:noProof/>
                <w:webHidden/>
              </w:rPr>
              <w:fldChar w:fldCharType="end"/>
            </w:r>
          </w:hyperlink>
        </w:p>
        <w:p w14:paraId="7B93DF6B" w14:textId="58AB16FC" w:rsidR="006364BB" w:rsidRDefault="2C2B78DF" w:rsidP="37BE00A7">
          <w:pPr>
            <w:pStyle w:val="TOC1"/>
            <w:tabs>
              <w:tab w:val="right" w:leader="dot" w:pos="8295"/>
            </w:tabs>
            <w:rPr>
              <w:rStyle w:val="Hyperlink"/>
              <w:noProof/>
              <w:kern w:val="2"/>
              <w:lang w:eastAsia="en-AU"/>
              <w14:ligatures w14:val="standardContextual"/>
            </w:rPr>
          </w:pPr>
          <w:r>
            <w:fldChar w:fldCharType="end"/>
          </w:r>
        </w:p>
      </w:sdtContent>
    </w:sdt>
    <w:p w14:paraId="45C34C79" w14:textId="72EF05DA" w:rsidR="2C2B78DF" w:rsidRDefault="2C2B78DF" w:rsidP="2C2B78DF">
      <w:pPr>
        <w:pStyle w:val="TOC1"/>
        <w:tabs>
          <w:tab w:val="right" w:leader="dot" w:pos="8295"/>
        </w:tabs>
        <w:rPr>
          <w:rStyle w:val="Hyperlink"/>
        </w:rPr>
      </w:pPr>
    </w:p>
    <w:p w14:paraId="530153B5" w14:textId="10606D1A" w:rsidR="004A2375" w:rsidRPr="0003530E" w:rsidRDefault="004A2375" w:rsidP="0003530E">
      <w:pPr>
        <w:spacing w:before="120"/>
        <w:rPr>
          <w:rFonts w:cs="Arial"/>
        </w:rPr>
        <w:sectPr w:rsidR="004A2375" w:rsidRPr="0003530E" w:rsidSect="00A16356">
          <w:footerReference w:type="default" r:id="rId10"/>
          <w:headerReference w:type="first" r:id="rId11"/>
          <w:pgSz w:w="11900" w:h="16840" w:code="9"/>
          <w:pgMar w:top="1440" w:right="1797" w:bottom="1440" w:left="1797" w:header="709" w:footer="709" w:gutter="0"/>
          <w:pgNumType w:start="0"/>
          <w:cols w:space="708"/>
          <w:titlePg/>
          <w:docGrid w:linePitch="360"/>
        </w:sectPr>
      </w:pPr>
    </w:p>
    <w:p w14:paraId="74F52C6E" w14:textId="5F570E0A" w:rsidR="00B82CE9" w:rsidRDefault="00712D37" w:rsidP="007C510E">
      <w:pPr>
        <w:pStyle w:val="Heading1"/>
      </w:pPr>
      <w:bookmarkStart w:id="1" w:name="_Toc180746441"/>
      <w:r>
        <w:lastRenderedPageBreak/>
        <w:t>Introduction</w:t>
      </w:r>
      <w:bookmarkEnd w:id="1"/>
    </w:p>
    <w:p w14:paraId="7433335F" w14:textId="2150B8B0" w:rsidR="00712D37" w:rsidRDefault="00712D37" w:rsidP="00712D37">
      <w:pPr>
        <w:pStyle w:val="Numberedparagraph"/>
      </w:pPr>
      <w:r>
        <w:t xml:space="preserve">This is </w:t>
      </w:r>
      <w:r w:rsidR="00360A99">
        <w:t>the Queensland Human Rights Commission’s (</w:t>
      </w:r>
      <w:r w:rsidR="00D6037C">
        <w:rPr>
          <w:b/>
          <w:bCs/>
        </w:rPr>
        <w:t>Commission</w:t>
      </w:r>
      <w:r w:rsidR="00360A99">
        <w:t xml:space="preserve">) </w:t>
      </w:r>
      <w:r>
        <w:t xml:space="preserve">submission to the </w:t>
      </w:r>
      <w:r w:rsidR="00D6037C">
        <w:t xml:space="preserve">Legal and Constitutional Affairs Committee </w:t>
      </w:r>
      <w:r w:rsidR="00785CC6">
        <w:t>on</w:t>
      </w:r>
      <w:r w:rsidR="00217EC1">
        <w:t xml:space="preserve"> </w:t>
      </w:r>
      <w:r w:rsidR="00392CEA">
        <w:t>its</w:t>
      </w:r>
      <w:r w:rsidR="00217EC1">
        <w:t xml:space="preserve"> </w:t>
      </w:r>
      <w:r w:rsidR="00D6037C">
        <w:t>inquiry into Australia’s youth justice and incarceration system, with particular reference to:</w:t>
      </w:r>
    </w:p>
    <w:p w14:paraId="35FAFB94" w14:textId="78921DA7" w:rsidR="00D6037C" w:rsidRDefault="00D6037C" w:rsidP="00D6037C">
      <w:pPr>
        <w:pStyle w:val="Numberedparagraph"/>
        <w:numPr>
          <w:ilvl w:val="1"/>
          <w:numId w:val="13"/>
        </w:numPr>
      </w:pPr>
      <w:r w:rsidRPr="00D6037C">
        <w:t>the outcomes and impacts of youth incarceration in jurisdictions across Australia;</w:t>
      </w:r>
    </w:p>
    <w:p w14:paraId="794F3D3E" w14:textId="4B74D68F" w:rsidR="00D6037C" w:rsidRPr="00D6037C" w:rsidRDefault="00D6037C" w:rsidP="00D6037C">
      <w:pPr>
        <w:pStyle w:val="Numberedparagraph"/>
        <w:numPr>
          <w:ilvl w:val="1"/>
          <w:numId w:val="13"/>
        </w:numPr>
      </w:pPr>
      <w:r w:rsidRPr="00D6037C">
        <w:t>the over-incarceration of First Nations children;</w:t>
      </w:r>
    </w:p>
    <w:p w14:paraId="53F26AF5" w14:textId="5C57FD18" w:rsidR="00D6037C" w:rsidRPr="00D6037C" w:rsidRDefault="00D6037C" w:rsidP="00D6037C">
      <w:pPr>
        <w:pStyle w:val="Numberedparagraph"/>
        <w:numPr>
          <w:ilvl w:val="1"/>
          <w:numId w:val="13"/>
        </w:numPr>
      </w:pPr>
      <w:r w:rsidRPr="00D6037C">
        <w:t>the degree of compliance and non-compliance by state, territory and federal prisons and detention centres with the human rights of children and young people in detention;</w:t>
      </w:r>
    </w:p>
    <w:p w14:paraId="4C0634A4" w14:textId="329A1960" w:rsidR="007D62A3" w:rsidRPr="00D6037C" w:rsidRDefault="00D6037C" w:rsidP="00695D84">
      <w:pPr>
        <w:pStyle w:val="Numberedparagraph"/>
        <w:numPr>
          <w:ilvl w:val="1"/>
          <w:numId w:val="13"/>
        </w:numPr>
      </w:pPr>
      <w:r w:rsidRPr="00D6037C">
        <w:t>the Commonwealth’s international obligations in regards to youth justice including the rights of the child, freedom from torture and civil rights;</w:t>
      </w:r>
    </w:p>
    <w:p w14:paraId="57DE0524" w14:textId="1F053F29" w:rsidR="00D6037C" w:rsidRPr="00D6037C" w:rsidRDefault="00D6037C" w:rsidP="00D6037C">
      <w:pPr>
        <w:pStyle w:val="Numberedparagraph"/>
        <w:numPr>
          <w:ilvl w:val="1"/>
          <w:numId w:val="13"/>
        </w:numPr>
      </w:pPr>
      <w:r w:rsidRPr="00D6037C">
        <w:t>the benefits and need for enforceable national minimum standards for youth justice consistent with our international obligations; and</w:t>
      </w:r>
    </w:p>
    <w:p w14:paraId="69BADB2E" w14:textId="2754D107" w:rsidR="00D6037C" w:rsidRDefault="00D6037C" w:rsidP="00D6037C">
      <w:pPr>
        <w:pStyle w:val="Numberedparagraph"/>
        <w:numPr>
          <w:ilvl w:val="1"/>
          <w:numId w:val="13"/>
        </w:numPr>
      </w:pPr>
      <w:r w:rsidRPr="00D6037C">
        <w:t>any related matters.</w:t>
      </w:r>
    </w:p>
    <w:p w14:paraId="37C329EE" w14:textId="494C3450" w:rsidR="00712D37" w:rsidRDefault="00712D37" w:rsidP="00712D37">
      <w:pPr>
        <w:pStyle w:val="Heading1"/>
      </w:pPr>
      <w:bookmarkStart w:id="2" w:name="_Toc180746442"/>
      <w:r>
        <w:t>Summary of submission</w:t>
      </w:r>
      <w:bookmarkEnd w:id="2"/>
    </w:p>
    <w:p w14:paraId="1C8D856C" w14:textId="26EBAB16" w:rsidR="00BF7001" w:rsidRDefault="00BF7001" w:rsidP="00AD1C7A">
      <w:pPr>
        <w:pStyle w:val="Numberedparagraph"/>
        <w:rPr>
          <w:lang w:val="en-GB"/>
        </w:rPr>
      </w:pPr>
      <w:r>
        <w:rPr>
          <w:lang w:val="en-GB"/>
        </w:rPr>
        <w:t xml:space="preserve">In this submission, the Commission </w:t>
      </w:r>
      <w:r w:rsidR="007C1D15">
        <w:rPr>
          <w:lang w:val="en-GB"/>
        </w:rPr>
        <w:t xml:space="preserve">highlights </w:t>
      </w:r>
      <w:r w:rsidR="00760598">
        <w:rPr>
          <w:lang w:val="en-GB"/>
        </w:rPr>
        <w:t xml:space="preserve">recent </w:t>
      </w:r>
      <w:r w:rsidR="007C1D15">
        <w:rPr>
          <w:lang w:val="en-GB"/>
        </w:rPr>
        <w:t>developments</w:t>
      </w:r>
      <w:r w:rsidR="00760598">
        <w:rPr>
          <w:lang w:val="en-GB"/>
        </w:rPr>
        <w:t xml:space="preserve"> in Queensland</w:t>
      </w:r>
      <w:r w:rsidR="003F2016">
        <w:rPr>
          <w:lang w:val="en-GB"/>
        </w:rPr>
        <w:t xml:space="preserve">, where </w:t>
      </w:r>
      <w:r w:rsidR="002E5A8B">
        <w:rPr>
          <w:lang w:val="en-GB"/>
        </w:rPr>
        <w:t>efforts to implement</w:t>
      </w:r>
      <w:r w:rsidR="003F2016">
        <w:rPr>
          <w:lang w:val="en-GB"/>
        </w:rPr>
        <w:t xml:space="preserve"> evidence-based reform</w:t>
      </w:r>
      <w:r w:rsidR="002E5A8B">
        <w:rPr>
          <w:lang w:val="en-GB"/>
        </w:rPr>
        <w:t>s</w:t>
      </w:r>
      <w:r w:rsidR="003F2016">
        <w:rPr>
          <w:lang w:val="en-GB"/>
        </w:rPr>
        <w:t xml:space="preserve"> </w:t>
      </w:r>
      <w:r w:rsidR="002E5A8B">
        <w:rPr>
          <w:lang w:val="en-GB"/>
        </w:rPr>
        <w:t>in</w:t>
      </w:r>
      <w:r w:rsidR="003F2016">
        <w:rPr>
          <w:lang w:val="en-GB"/>
        </w:rPr>
        <w:t xml:space="preserve"> youth justice policy have been </w:t>
      </w:r>
      <w:r w:rsidR="002E5A8B">
        <w:rPr>
          <w:lang w:val="en-GB"/>
        </w:rPr>
        <w:t xml:space="preserve">derailed </w:t>
      </w:r>
      <w:r w:rsidR="003F2016">
        <w:rPr>
          <w:lang w:val="en-GB"/>
        </w:rPr>
        <w:t>by</w:t>
      </w:r>
      <w:r w:rsidR="00C86E10">
        <w:rPr>
          <w:lang w:val="en-GB"/>
        </w:rPr>
        <w:t xml:space="preserve"> short-term</w:t>
      </w:r>
      <w:r w:rsidR="003F2016">
        <w:rPr>
          <w:lang w:val="en-GB"/>
        </w:rPr>
        <w:t xml:space="preserve"> </w:t>
      </w:r>
      <w:r w:rsidR="00837492">
        <w:rPr>
          <w:lang w:val="en-GB"/>
        </w:rPr>
        <w:t xml:space="preserve">politicised responses </w:t>
      </w:r>
      <w:r w:rsidR="007D5E24">
        <w:rPr>
          <w:lang w:val="en-GB"/>
        </w:rPr>
        <w:t xml:space="preserve">to youth crime </w:t>
      </w:r>
      <w:r w:rsidR="00287F96">
        <w:rPr>
          <w:lang w:val="en-GB"/>
        </w:rPr>
        <w:t>that</w:t>
      </w:r>
      <w:r w:rsidR="00423634">
        <w:rPr>
          <w:lang w:val="en-GB"/>
        </w:rPr>
        <w:t xml:space="preserve"> have driven up rates of</w:t>
      </w:r>
      <w:r w:rsidR="007D5E24">
        <w:rPr>
          <w:lang w:val="en-GB"/>
        </w:rPr>
        <w:t xml:space="preserve"> detention</w:t>
      </w:r>
      <w:r w:rsidR="00423634">
        <w:rPr>
          <w:lang w:val="en-GB"/>
        </w:rPr>
        <w:t xml:space="preserve"> and stretched the system to breaking point</w:t>
      </w:r>
      <w:r w:rsidR="007D5E24">
        <w:rPr>
          <w:lang w:val="en-GB"/>
        </w:rPr>
        <w:t>.</w:t>
      </w:r>
      <w:r w:rsidR="00654B48">
        <w:rPr>
          <w:lang w:val="en-GB"/>
        </w:rPr>
        <w:t xml:space="preserve"> </w:t>
      </w:r>
    </w:p>
    <w:p w14:paraId="204B92E8" w14:textId="18307CB7" w:rsidR="003B3EA1" w:rsidRDefault="00287F96" w:rsidP="00AD1C7A">
      <w:pPr>
        <w:pStyle w:val="Numberedparagraph"/>
        <w:rPr>
          <w:lang w:val="en-GB"/>
        </w:rPr>
      </w:pPr>
      <w:r w:rsidRPr="15615DC0">
        <w:rPr>
          <w:lang w:val="en-GB"/>
        </w:rPr>
        <w:t>The</w:t>
      </w:r>
      <w:r w:rsidR="005965D0" w:rsidRPr="15615DC0">
        <w:rPr>
          <w:lang w:val="en-GB"/>
        </w:rPr>
        <w:t xml:space="preserve"> submission outlines </w:t>
      </w:r>
      <w:r w:rsidR="00E4682F" w:rsidRPr="15615DC0">
        <w:rPr>
          <w:lang w:val="en-GB"/>
        </w:rPr>
        <w:t xml:space="preserve">how </w:t>
      </w:r>
      <w:r w:rsidR="003D558E" w:rsidRPr="15615DC0">
        <w:rPr>
          <w:lang w:val="en-GB"/>
        </w:rPr>
        <w:t xml:space="preserve">increasing incarceration has not benefited the </w:t>
      </w:r>
      <w:r w:rsidR="00061BB4" w:rsidRPr="15615DC0">
        <w:rPr>
          <w:lang w:val="en-GB"/>
        </w:rPr>
        <w:t xml:space="preserve">wider </w:t>
      </w:r>
      <w:r w:rsidR="00E66606" w:rsidRPr="15615DC0">
        <w:rPr>
          <w:lang w:val="en-GB"/>
        </w:rPr>
        <w:t xml:space="preserve">Queensland </w:t>
      </w:r>
      <w:r w:rsidR="003D558E" w:rsidRPr="15615DC0">
        <w:rPr>
          <w:lang w:val="en-GB"/>
        </w:rPr>
        <w:t>community</w:t>
      </w:r>
      <w:r w:rsidR="00FF0FF0" w:rsidRPr="15615DC0">
        <w:rPr>
          <w:lang w:val="en-GB"/>
        </w:rPr>
        <w:t xml:space="preserve"> by making it safer,</w:t>
      </w:r>
      <w:r w:rsidR="003D558E" w:rsidRPr="15615DC0">
        <w:rPr>
          <w:lang w:val="en-GB"/>
        </w:rPr>
        <w:t xml:space="preserve"> </w:t>
      </w:r>
      <w:r w:rsidR="00355A84" w:rsidRPr="15615DC0">
        <w:rPr>
          <w:lang w:val="en-GB"/>
        </w:rPr>
        <w:t xml:space="preserve">nor rehabilitated </w:t>
      </w:r>
      <w:r w:rsidR="0059259E" w:rsidRPr="15615DC0">
        <w:rPr>
          <w:lang w:val="en-GB"/>
        </w:rPr>
        <w:t xml:space="preserve">the </w:t>
      </w:r>
      <w:r w:rsidR="00355A84" w:rsidRPr="15615DC0">
        <w:rPr>
          <w:lang w:val="en-GB"/>
        </w:rPr>
        <w:t>children</w:t>
      </w:r>
      <w:r w:rsidR="0059259E" w:rsidRPr="15615DC0">
        <w:rPr>
          <w:lang w:val="en-GB"/>
        </w:rPr>
        <w:t xml:space="preserve"> </w:t>
      </w:r>
      <w:r w:rsidR="002F39E5" w:rsidRPr="15615DC0">
        <w:rPr>
          <w:lang w:val="en-GB"/>
        </w:rPr>
        <w:t>in the system</w:t>
      </w:r>
      <w:r w:rsidR="00355A84" w:rsidRPr="15615DC0">
        <w:rPr>
          <w:lang w:val="en-GB"/>
        </w:rPr>
        <w:t>.</w:t>
      </w:r>
      <w:r w:rsidR="00FF0FF0" w:rsidRPr="15615DC0">
        <w:rPr>
          <w:lang w:val="en-GB"/>
        </w:rPr>
        <w:t xml:space="preserve"> Instead, rates of reoffending </w:t>
      </w:r>
      <w:r w:rsidR="005D3110" w:rsidRPr="15615DC0">
        <w:rPr>
          <w:lang w:val="en-GB"/>
        </w:rPr>
        <w:t xml:space="preserve">within 12 months </w:t>
      </w:r>
      <w:r w:rsidR="000A21F0">
        <w:rPr>
          <w:lang w:val="en-GB"/>
        </w:rPr>
        <w:t>of</w:t>
      </w:r>
      <w:r w:rsidR="005D3110" w:rsidRPr="15615DC0">
        <w:rPr>
          <w:lang w:val="en-GB"/>
        </w:rPr>
        <w:t xml:space="preserve"> release from detention </w:t>
      </w:r>
      <w:r w:rsidR="00730DF9" w:rsidRPr="15615DC0">
        <w:rPr>
          <w:lang w:val="en-GB"/>
        </w:rPr>
        <w:t>stand</w:t>
      </w:r>
      <w:r w:rsidR="005D3110" w:rsidRPr="15615DC0">
        <w:rPr>
          <w:lang w:val="en-GB"/>
        </w:rPr>
        <w:t xml:space="preserve"> at 90%.</w:t>
      </w:r>
    </w:p>
    <w:p w14:paraId="14606BEA" w14:textId="093962C1" w:rsidR="00554A98" w:rsidRDefault="00BF7001" w:rsidP="00E42E5B">
      <w:pPr>
        <w:pStyle w:val="Numberedparagraph"/>
        <w:rPr>
          <w:lang w:val="en-GB"/>
        </w:rPr>
      </w:pPr>
      <w:r w:rsidRPr="15615DC0">
        <w:rPr>
          <w:lang w:val="en-GB"/>
        </w:rPr>
        <w:t>The</w:t>
      </w:r>
      <w:r w:rsidR="000C2B5C">
        <w:rPr>
          <w:lang w:val="en-GB"/>
        </w:rPr>
        <w:t xml:space="preserve">re is clear </w:t>
      </w:r>
      <w:r w:rsidRPr="15615DC0">
        <w:rPr>
          <w:lang w:val="en-GB"/>
        </w:rPr>
        <w:t>evidence that detention</w:t>
      </w:r>
      <w:r w:rsidR="00D422B4" w:rsidRPr="15615DC0">
        <w:rPr>
          <w:lang w:val="en-GB"/>
        </w:rPr>
        <w:t xml:space="preserve"> </w:t>
      </w:r>
      <w:r w:rsidRPr="15615DC0">
        <w:rPr>
          <w:lang w:val="en-GB"/>
        </w:rPr>
        <w:t xml:space="preserve">is counterproductive to community safety and particularly harmful to children and their future life prospects. </w:t>
      </w:r>
      <w:r w:rsidR="00E42E5B" w:rsidRPr="15615DC0">
        <w:rPr>
          <w:lang w:val="en-GB"/>
        </w:rPr>
        <w:t xml:space="preserve">However, the </w:t>
      </w:r>
      <w:r w:rsidR="0006115E" w:rsidRPr="15615DC0">
        <w:rPr>
          <w:lang w:val="en-GB"/>
        </w:rPr>
        <w:t xml:space="preserve">frequency and </w:t>
      </w:r>
      <w:r w:rsidR="005B38E0" w:rsidRPr="15615DC0">
        <w:rPr>
          <w:lang w:val="en-GB"/>
        </w:rPr>
        <w:t>conditions of child detention in Queensland raise significant additional human rights concerns.</w:t>
      </w:r>
      <w:r w:rsidR="004C3463" w:rsidRPr="15615DC0">
        <w:rPr>
          <w:lang w:val="en-GB"/>
        </w:rPr>
        <w:t xml:space="preserve"> </w:t>
      </w:r>
      <w:r w:rsidR="00456E40" w:rsidRPr="15615DC0">
        <w:rPr>
          <w:lang w:val="en-GB"/>
        </w:rPr>
        <w:t xml:space="preserve">This submission </w:t>
      </w:r>
      <w:r w:rsidR="00554A98" w:rsidRPr="15615DC0">
        <w:rPr>
          <w:lang w:val="en-GB"/>
        </w:rPr>
        <w:t>highlights</w:t>
      </w:r>
      <w:r w:rsidR="005B38E0" w:rsidRPr="15615DC0">
        <w:rPr>
          <w:lang w:val="en-GB"/>
        </w:rPr>
        <w:t>,</w:t>
      </w:r>
      <w:r w:rsidR="00554A98" w:rsidRPr="15615DC0">
        <w:rPr>
          <w:lang w:val="en-GB"/>
        </w:rPr>
        <w:t xml:space="preserve"> in particular</w:t>
      </w:r>
      <w:r w:rsidR="674D4ADF" w:rsidRPr="15615DC0">
        <w:rPr>
          <w:lang w:val="en-GB"/>
        </w:rPr>
        <w:t>,</w:t>
      </w:r>
      <w:r w:rsidR="005E5800" w:rsidRPr="15615DC0">
        <w:rPr>
          <w:lang w:val="en-GB"/>
        </w:rPr>
        <w:t xml:space="preserve"> human rights implications of</w:t>
      </w:r>
      <w:r w:rsidR="00554A98" w:rsidRPr="15615DC0">
        <w:rPr>
          <w:lang w:val="en-GB"/>
        </w:rPr>
        <w:t>:</w:t>
      </w:r>
    </w:p>
    <w:p w14:paraId="41DCDEA6" w14:textId="169A17B2" w:rsidR="00E42E5B" w:rsidRDefault="00291BF6" w:rsidP="000D0CAC">
      <w:pPr>
        <w:pStyle w:val="Bulletedlist"/>
        <w:rPr>
          <w:lang w:val="en-GB"/>
        </w:rPr>
      </w:pPr>
      <w:r>
        <w:rPr>
          <w:lang w:val="en-GB"/>
        </w:rPr>
        <w:t xml:space="preserve">the prolonged detention of children in </w:t>
      </w:r>
      <w:r w:rsidR="002D2B73">
        <w:rPr>
          <w:lang w:val="en-GB"/>
        </w:rPr>
        <w:t>watch house</w:t>
      </w:r>
      <w:r>
        <w:rPr>
          <w:lang w:val="en-GB"/>
        </w:rPr>
        <w:t>s</w:t>
      </w:r>
    </w:p>
    <w:p w14:paraId="4B7E759D" w14:textId="1FE83262" w:rsidR="00291BF6" w:rsidRDefault="00C7454B" w:rsidP="000D0CAC">
      <w:pPr>
        <w:pStyle w:val="Bulletedlist"/>
        <w:rPr>
          <w:lang w:val="en-GB"/>
        </w:rPr>
      </w:pPr>
      <w:r>
        <w:rPr>
          <w:lang w:val="en-GB"/>
        </w:rPr>
        <w:t>discrimination in relation to age, race and disability</w:t>
      </w:r>
    </w:p>
    <w:p w14:paraId="2E8FDD72" w14:textId="6DF113CC" w:rsidR="00E42E5B" w:rsidRPr="001F3A3B" w:rsidRDefault="00C7454B" w:rsidP="000D0CAC">
      <w:pPr>
        <w:pStyle w:val="Bulletedlist"/>
        <w:rPr>
          <w:lang w:val="en-GB"/>
        </w:rPr>
      </w:pPr>
      <w:r>
        <w:rPr>
          <w:lang w:val="en-GB"/>
        </w:rPr>
        <w:t>prolonged separation and solitary confinement</w:t>
      </w:r>
      <w:r w:rsidR="001F3A3B">
        <w:rPr>
          <w:lang w:val="en-GB"/>
        </w:rPr>
        <w:t>.</w:t>
      </w:r>
    </w:p>
    <w:p w14:paraId="2C17E02C" w14:textId="12C009A8" w:rsidR="00BF7001" w:rsidRPr="009C23A5" w:rsidRDefault="00BF7001" w:rsidP="009C23A5">
      <w:pPr>
        <w:pStyle w:val="Numberedparagraph"/>
        <w:rPr>
          <w:lang w:val="en-GB"/>
        </w:rPr>
      </w:pPr>
      <w:r>
        <w:rPr>
          <w:lang w:val="en-GB"/>
        </w:rPr>
        <w:t>Queensland’s approach to youth justice and detention has resulted in significant incarceration, over-crowded detention facilities,</w:t>
      </w:r>
      <w:r w:rsidR="00905AE5">
        <w:rPr>
          <w:lang w:val="en-GB"/>
        </w:rPr>
        <w:t xml:space="preserve"> discrimination,</w:t>
      </w:r>
      <w:r>
        <w:rPr>
          <w:lang w:val="en-GB"/>
        </w:rPr>
        <w:t xml:space="preserve"> and conditions of detention</w:t>
      </w:r>
      <w:r w:rsidR="00DE0376">
        <w:rPr>
          <w:lang w:val="en-GB"/>
        </w:rPr>
        <w:t xml:space="preserve"> and treatment</w:t>
      </w:r>
      <w:r>
        <w:rPr>
          <w:lang w:val="en-GB"/>
        </w:rPr>
        <w:t xml:space="preserve"> that </w:t>
      </w:r>
      <w:r w:rsidR="00DE0376">
        <w:rPr>
          <w:lang w:val="en-GB"/>
        </w:rPr>
        <w:t xml:space="preserve">are not only </w:t>
      </w:r>
      <w:r w:rsidR="006A681C">
        <w:rPr>
          <w:lang w:val="en-GB"/>
        </w:rPr>
        <w:t>inhumane</w:t>
      </w:r>
      <w:r w:rsidR="00DE0376">
        <w:rPr>
          <w:lang w:val="en-GB"/>
        </w:rPr>
        <w:t xml:space="preserve"> but are likely in</w:t>
      </w:r>
      <w:r w:rsidR="00DB378F">
        <w:rPr>
          <w:lang w:val="en-GB"/>
        </w:rPr>
        <w:t xml:space="preserve"> some cases </w:t>
      </w:r>
      <w:r w:rsidR="006A681C">
        <w:rPr>
          <w:lang w:val="en-GB"/>
        </w:rPr>
        <w:lastRenderedPageBreak/>
        <w:t xml:space="preserve">to </w:t>
      </w:r>
      <w:r w:rsidR="00DB378F">
        <w:rPr>
          <w:lang w:val="en-GB"/>
        </w:rPr>
        <w:t>amount to</w:t>
      </w:r>
      <w:r>
        <w:rPr>
          <w:lang w:val="en-GB"/>
        </w:rPr>
        <w:t xml:space="preserve"> cruel, inhuman </w:t>
      </w:r>
      <w:r w:rsidR="0032519F">
        <w:rPr>
          <w:lang w:val="en-GB"/>
        </w:rPr>
        <w:t>or</w:t>
      </w:r>
      <w:r>
        <w:rPr>
          <w:lang w:val="en-GB"/>
        </w:rPr>
        <w:t xml:space="preserve"> degrading treatment. </w:t>
      </w:r>
      <w:r w:rsidRPr="009C23A5">
        <w:rPr>
          <w:lang w:val="en-GB"/>
        </w:rPr>
        <w:t xml:space="preserve">The situation in Queensland means that the Commonwealth </w:t>
      </w:r>
      <w:r w:rsidR="00422A1F" w:rsidRPr="009C23A5">
        <w:rPr>
          <w:lang w:val="en-GB"/>
        </w:rPr>
        <w:t>government</w:t>
      </w:r>
      <w:r w:rsidRPr="009C23A5">
        <w:rPr>
          <w:lang w:val="en-GB"/>
        </w:rPr>
        <w:t xml:space="preserve"> is not meeting its international obligations</w:t>
      </w:r>
      <w:r w:rsidR="00542B11" w:rsidRPr="009C23A5">
        <w:rPr>
          <w:lang w:val="en-GB"/>
        </w:rPr>
        <w:t xml:space="preserve"> under </w:t>
      </w:r>
      <w:r w:rsidR="003B093E" w:rsidRPr="009C23A5">
        <w:rPr>
          <w:lang w:val="en-GB"/>
        </w:rPr>
        <w:t>core international human rights treaties</w:t>
      </w:r>
      <w:r w:rsidR="00904251" w:rsidRPr="009C23A5">
        <w:rPr>
          <w:lang w:val="en-GB"/>
        </w:rPr>
        <w:t>.</w:t>
      </w:r>
      <w:r w:rsidR="00904251">
        <w:rPr>
          <w:rStyle w:val="FootnoteReference"/>
          <w:lang w:val="en-GB"/>
        </w:rPr>
        <w:footnoteReference w:id="2"/>
      </w:r>
    </w:p>
    <w:p w14:paraId="5B04D3C5" w14:textId="0EBF3819" w:rsidR="003C3762" w:rsidRDefault="00BF7001" w:rsidP="002C35A4">
      <w:pPr>
        <w:pStyle w:val="Numberedparagraph"/>
        <w:rPr>
          <w:lang w:val="en-GB"/>
        </w:rPr>
      </w:pPr>
      <w:r>
        <w:rPr>
          <w:lang w:val="en-GB"/>
        </w:rPr>
        <w:t>Like domestic and family violence and Closing the Gap initiatives, the Commission considers that national leadership is needed on youth justice and detention</w:t>
      </w:r>
      <w:r w:rsidR="00E67493">
        <w:rPr>
          <w:lang w:val="en-GB"/>
        </w:rPr>
        <w:t xml:space="preserve">. This </w:t>
      </w:r>
      <w:r w:rsidR="00A53B6B">
        <w:rPr>
          <w:lang w:val="en-GB"/>
        </w:rPr>
        <w:t>should</w:t>
      </w:r>
      <w:r w:rsidR="00E67493">
        <w:rPr>
          <w:lang w:val="en-GB"/>
        </w:rPr>
        <w:t xml:space="preserve"> reflect a child</w:t>
      </w:r>
      <w:r w:rsidR="00020AA5">
        <w:rPr>
          <w:lang w:val="en-GB"/>
        </w:rPr>
        <w:t xml:space="preserve"> </w:t>
      </w:r>
      <w:r w:rsidR="00E67493">
        <w:rPr>
          <w:lang w:val="en-GB"/>
        </w:rPr>
        <w:t>rights</w:t>
      </w:r>
      <w:r w:rsidR="00020AA5">
        <w:rPr>
          <w:lang w:val="en-GB"/>
        </w:rPr>
        <w:t>-based</w:t>
      </w:r>
      <w:r w:rsidR="00E67493">
        <w:rPr>
          <w:lang w:val="en-GB"/>
        </w:rPr>
        <w:t xml:space="preserve"> approach,</w:t>
      </w:r>
      <w:r>
        <w:rPr>
          <w:lang w:val="en-GB"/>
        </w:rPr>
        <w:t xml:space="preserve"> including through the </w:t>
      </w:r>
      <w:r w:rsidR="000A21F0">
        <w:rPr>
          <w:lang w:val="en-GB"/>
        </w:rPr>
        <w:t>enactment</w:t>
      </w:r>
      <w:r>
        <w:rPr>
          <w:lang w:val="en-GB"/>
        </w:rPr>
        <w:t xml:space="preserve"> of enforceable national minimum standards on</w:t>
      </w:r>
      <w:r w:rsidR="003C3762">
        <w:rPr>
          <w:lang w:val="en-GB"/>
        </w:rPr>
        <w:t>:</w:t>
      </w:r>
    </w:p>
    <w:p w14:paraId="4FD42D2E" w14:textId="77777777" w:rsidR="004D50DB" w:rsidRDefault="00BF7001" w:rsidP="004D50DB">
      <w:pPr>
        <w:pStyle w:val="Bulletedlist"/>
        <w:rPr>
          <w:lang w:val="en-GB"/>
        </w:rPr>
      </w:pPr>
      <w:r>
        <w:rPr>
          <w:lang w:val="en-GB"/>
        </w:rPr>
        <w:t>the age of criminal responsibility</w:t>
      </w:r>
    </w:p>
    <w:p w14:paraId="4916DF0F" w14:textId="77777777" w:rsidR="004D50DB" w:rsidRDefault="00AA1F30" w:rsidP="004D50DB">
      <w:pPr>
        <w:pStyle w:val="Bulletedlist"/>
        <w:rPr>
          <w:lang w:val="en-GB"/>
        </w:rPr>
      </w:pPr>
      <w:r>
        <w:rPr>
          <w:lang w:val="en-GB"/>
        </w:rPr>
        <w:t xml:space="preserve">detention </w:t>
      </w:r>
      <w:r w:rsidR="007D60E9">
        <w:rPr>
          <w:lang w:val="en-GB"/>
        </w:rPr>
        <w:t xml:space="preserve">strictly </w:t>
      </w:r>
      <w:r>
        <w:rPr>
          <w:lang w:val="en-GB"/>
        </w:rPr>
        <w:t>as a last resort</w:t>
      </w:r>
    </w:p>
    <w:p w14:paraId="239C7C76" w14:textId="7E657E61" w:rsidR="00B93FD3" w:rsidRDefault="00B93FD3" w:rsidP="004D50DB">
      <w:pPr>
        <w:pStyle w:val="Bulletedlist"/>
        <w:rPr>
          <w:lang w:val="en-GB"/>
        </w:rPr>
      </w:pPr>
      <w:r>
        <w:rPr>
          <w:lang w:val="en-GB"/>
        </w:rPr>
        <w:t xml:space="preserve">documentation of </w:t>
      </w:r>
      <w:r w:rsidR="006B249B">
        <w:rPr>
          <w:lang w:val="en-GB"/>
        </w:rPr>
        <w:t>exercise of discretion</w:t>
      </w:r>
      <w:r>
        <w:rPr>
          <w:lang w:val="en-GB"/>
        </w:rPr>
        <w:t xml:space="preserve"> to charge and arrest a child</w:t>
      </w:r>
    </w:p>
    <w:p w14:paraId="2EE24311" w14:textId="77777777" w:rsidR="00F77B4D" w:rsidRDefault="000D159E" w:rsidP="004D50DB">
      <w:pPr>
        <w:pStyle w:val="Bulletedlist"/>
        <w:rPr>
          <w:lang w:val="en-GB"/>
        </w:rPr>
      </w:pPr>
      <w:r>
        <w:rPr>
          <w:lang w:val="en-GB"/>
        </w:rPr>
        <w:t>limits on detention in police facilities</w:t>
      </w:r>
    </w:p>
    <w:p w14:paraId="4B05E6E2" w14:textId="1695C8D9" w:rsidR="004D50DB" w:rsidRDefault="00BF7001" w:rsidP="004D50DB">
      <w:pPr>
        <w:pStyle w:val="Bulletedlist"/>
        <w:rPr>
          <w:lang w:val="en-GB"/>
        </w:rPr>
      </w:pPr>
      <w:r>
        <w:rPr>
          <w:lang w:val="en-GB"/>
        </w:rPr>
        <w:t>limits on detention</w:t>
      </w:r>
      <w:r w:rsidR="00F77B4D">
        <w:rPr>
          <w:lang w:val="en-GB"/>
        </w:rPr>
        <w:t xml:space="preserve"> on remand</w:t>
      </w:r>
    </w:p>
    <w:p w14:paraId="20AAEA8A" w14:textId="0CD65166" w:rsidR="004D50DB" w:rsidRDefault="00E43803" w:rsidP="004D50DB">
      <w:pPr>
        <w:pStyle w:val="Bulletedlist"/>
        <w:rPr>
          <w:lang w:val="en-GB"/>
        </w:rPr>
      </w:pPr>
      <w:r>
        <w:rPr>
          <w:lang w:val="en-GB"/>
        </w:rPr>
        <w:t xml:space="preserve">health and </w:t>
      </w:r>
      <w:r w:rsidR="002C35A4">
        <w:rPr>
          <w:lang w:val="en-GB"/>
        </w:rPr>
        <w:t>disability screening</w:t>
      </w:r>
      <w:r w:rsidR="00A07658">
        <w:rPr>
          <w:lang w:val="en-GB"/>
        </w:rPr>
        <w:t xml:space="preserve"> and assessment</w:t>
      </w:r>
    </w:p>
    <w:p w14:paraId="591C9075" w14:textId="77777777" w:rsidR="00441EA1" w:rsidRDefault="00441EA1" w:rsidP="00441EA1">
      <w:pPr>
        <w:pStyle w:val="Bulletedlist"/>
        <w:rPr>
          <w:lang w:val="en-GB"/>
        </w:rPr>
      </w:pPr>
      <w:r>
        <w:rPr>
          <w:lang w:val="en-GB"/>
        </w:rPr>
        <w:t>conditions and staffing of youth detention</w:t>
      </w:r>
    </w:p>
    <w:p w14:paraId="2F7C0FDF" w14:textId="62198FF3" w:rsidR="00047C67" w:rsidRDefault="00047C67" w:rsidP="004D50DB">
      <w:pPr>
        <w:pStyle w:val="Bulletedlist"/>
        <w:rPr>
          <w:lang w:val="en-GB"/>
        </w:rPr>
      </w:pPr>
      <w:r>
        <w:rPr>
          <w:lang w:val="en-GB"/>
        </w:rPr>
        <w:t>training of all staff interacting with children in the justice system</w:t>
      </w:r>
    </w:p>
    <w:p w14:paraId="59BEA5D5" w14:textId="77777777" w:rsidR="004D50DB" w:rsidRDefault="00F567CD" w:rsidP="004D50DB">
      <w:pPr>
        <w:pStyle w:val="Bulletedlist"/>
        <w:rPr>
          <w:lang w:val="en-GB"/>
        </w:rPr>
      </w:pPr>
      <w:r>
        <w:rPr>
          <w:lang w:val="en-GB"/>
        </w:rPr>
        <w:t>restrictions on use of force, restraints and isolation</w:t>
      </w:r>
    </w:p>
    <w:p w14:paraId="7293DC4D" w14:textId="77777777" w:rsidR="00B62B27" w:rsidRDefault="00BF7001" w:rsidP="004D50DB">
      <w:pPr>
        <w:pStyle w:val="Bulletedlist"/>
        <w:rPr>
          <w:lang w:val="en-GB"/>
        </w:rPr>
      </w:pPr>
      <w:r>
        <w:rPr>
          <w:lang w:val="en-GB"/>
        </w:rPr>
        <w:t>reporting requirements</w:t>
      </w:r>
    </w:p>
    <w:p w14:paraId="04DFAFF8" w14:textId="11406600" w:rsidR="004D50DB" w:rsidRPr="003F7685" w:rsidRDefault="00B62B27" w:rsidP="003F7685">
      <w:pPr>
        <w:pStyle w:val="Bulletedlist"/>
        <w:rPr>
          <w:lang w:val="en-GB"/>
        </w:rPr>
      </w:pPr>
      <w:r>
        <w:rPr>
          <w:lang w:val="en-GB"/>
        </w:rPr>
        <w:t xml:space="preserve">full implementation of the Optional Protocol to the Convention </w:t>
      </w:r>
      <w:r w:rsidR="009F70E8">
        <w:rPr>
          <w:lang w:val="en-GB"/>
        </w:rPr>
        <w:t>against Torture and Other Cruel, Inhuman or Degrading Treatment or Punishment</w:t>
      </w:r>
      <w:r w:rsidR="00F567CD">
        <w:rPr>
          <w:lang w:val="en-GB"/>
        </w:rPr>
        <w:t>.</w:t>
      </w:r>
      <w:r w:rsidR="00132EDF">
        <w:rPr>
          <w:lang w:val="en-GB"/>
        </w:rPr>
        <w:t xml:space="preserve"> </w:t>
      </w:r>
    </w:p>
    <w:p w14:paraId="7DE13F3A" w14:textId="66A347ED" w:rsidR="00FB053D" w:rsidRPr="00FB053D" w:rsidRDefault="00FB053D" w:rsidP="00FB053D">
      <w:pPr>
        <w:pStyle w:val="Numberedparagraph"/>
        <w:rPr>
          <w:lang w:val="en-GB"/>
        </w:rPr>
      </w:pPr>
      <w:r w:rsidRPr="00FB053D">
        <w:rPr>
          <w:lang w:val="en-GB"/>
        </w:rPr>
        <w:t xml:space="preserve">These measures are required by Australia’s international legal obligations and </w:t>
      </w:r>
      <w:r w:rsidR="008F5266">
        <w:rPr>
          <w:lang w:val="en-GB"/>
        </w:rPr>
        <w:t>the</w:t>
      </w:r>
      <w:r w:rsidRPr="00FB053D">
        <w:rPr>
          <w:lang w:val="en-GB"/>
        </w:rPr>
        <w:t xml:space="preserve"> Commonwealth</w:t>
      </w:r>
      <w:r w:rsidR="00910945">
        <w:rPr>
          <w:lang w:val="en-GB"/>
        </w:rPr>
        <w:t xml:space="preserve"> government</w:t>
      </w:r>
      <w:r w:rsidRPr="00FB053D">
        <w:rPr>
          <w:lang w:val="en-GB"/>
        </w:rPr>
        <w:t xml:space="preserve"> </w:t>
      </w:r>
      <w:r w:rsidR="008F5266">
        <w:rPr>
          <w:lang w:val="en-GB"/>
        </w:rPr>
        <w:t>has</w:t>
      </w:r>
      <w:r w:rsidR="00910945">
        <w:rPr>
          <w:lang w:val="en-GB"/>
        </w:rPr>
        <w:t xml:space="preserve"> the</w:t>
      </w:r>
      <w:r w:rsidR="008F5266">
        <w:rPr>
          <w:lang w:val="en-GB"/>
        </w:rPr>
        <w:t xml:space="preserve"> power to legislate </w:t>
      </w:r>
      <w:r w:rsidR="00CA4624">
        <w:rPr>
          <w:lang w:val="en-GB"/>
        </w:rPr>
        <w:t>t</w:t>
      </w:r>
      <w:r w:rsidR="006A37C4">
        <w:rPr>
          <w:lang w:val="en-GB"/>
        </w:rPr>
        <w:t>hem.</w:t>
      </w:r>
      <w:r w:rsidR="00910945">
        <w:rPr>
          <w:rStyle w:val="FootnoteReference"/>
          <w:lang w:val="en-GB"/>
        </w:rPr>
        <w:footnoteReference w:id="3"/>
      </w:r>
    </w:p>
    <w:p w14:paraId="264618A8" w14:textId="22675AC6" w:rsidR="00537E97" w:rsidRPr="003A1E4A" w:rsidRDefault="00537E97" w:rsidP="00537E97">
      <w:pPr>
        <w:pStyle w:val="Numberedparagraph"/>
        <w:rPr>
          <w:lang w:val="en-GB"/>
        </w:rPr>
      </w:pPr>
      <w:r>
        <w:rPr>
          <w:lang w:val="en-GB"/>
        </w:rPr>
        <w:t>At the same time</w:t>
      </w:r>
      <w:r w:rsidR="00A862CF">
        <w:rPr>
          <w:lang w:val="en-GB"/>
        </w:rPr>
        <w:t>,</w:t>
      </w:r>
      <w:r>
        <w:rPr>
          <w:lang w:val="en-GB"/>
        </w:rPr>
        <w:t xml:space="preserve"> significant attention and resources must be devoted to addressing drivers of contact with the youth justice system, some </w:t>
      </w:r>
      <w:r w:rsidR="00A67830">
        <w:rPr>
          <w:lang w:val="en-GB"/>
        </w:rPr>
        <w:t xml:space="preserve">of </w:t>
      </w:r>
      <w:r>
        <w:rPr>
          <w:lang w:val="en-GB"/>
        </w:rPr>
        <w:t xml:space="preserve">which fall within the Commonwealth’s direct remit including social security, primary health care, the National Disability Insurance Scheme and addressing Australia’s relationship with </w:t>
      </w:r>
      <w:r w:rsidR="0010226A">
        <w:rPr>
          <w:lang w:val="en-GB"/>
        </w:rPr>
        <w:t>First Nations peoples</w:t>
      </w:r>
      <w:r>
        <w:rPr>
          <w:lang w:val="en-GB"/>
        </w:rPr>
        <w:t xml:space="preserve">. </w:t>
      </w:r>
    </w:p>
    <w:p w14:paraId="6669A543" w14:textId="7789F648" w:rsidR="002C35A4" w:rsidRPr="002C35A4" w:rsidRDefault="009E5C9A" w:rsidP="002C35A4">
      <w:pPr>
        <w:pStyle w:val="Numberedparagraph"/>
        <w:rPr>
          <w:lang w:val="en-GB"/>
        </w:rPr>
      </w:pPr>
      <w:r>
        <w:rPr>
          <w:lang w:val="en-GB"/>
        </w:rPr>
        <w:t xml:space="preserve">To </w:t>
      </w:r>
      <w:r w:rsidR="001655DE">
        <w:rPr>
          <w:lang w:val="en-GB"/>
        </w:rPr>
        <w:t xml:space="preserve">really serve the community </w:t>
      </w:r>
      <w:r w:rsidR="00646EE3">
        <w:rPr>
          <w:lang w:val="en-GB"/>
        </w:rPr>
        <w:t>–</w:t>
      </w:r>
      <w:r w:rsidR="000A687B">
        <w:rPr>
          <w:lang w:val="en-GB"/>
        </w:rPr>
        <w:t xml:space="preserve"> including</w:t>
      </w:r>
      <w:r w:rsidR="00646EE3">
        <w:rPr>
          <w:lang w:val="en-GB"/>
        </w:rPr>
        <w:t xml:space="preserve"> </w:t>
      </w:r>
      <w:r w:rsidR="001655DE">
        <w:rPr>
          <w:lang w:val="en-GB"/>
        </w:rPr>
        <w:t xml:space="preserve">some of </w:t>
      </w:r>
      <w:r w:rsidR="000A687B">
        <w:rPr>
          <w:lang w:val="en-GB"/>
        </w:rPr>
        <w:t>its most</w:t>
      </w:r>
      <w:r w:rsidR="001655DE">
        <w:rPr>
          <w:lang w:val="en-GB"/>
        </w:rPr>
        <w:t xml:space="preserve"> vulnerable children</w:t>
      </w:r>
      <w:r w:rsidR="00AF0891">
        <w:rPr>
          <w:lang w:val="en-GB"/>
        </w:rPr>
        <w:t>,</w:t>
      </w:r>
      <w:r w:rsidR="000A687B">
        <w:rPr>
          <w:lang w:val="en-GB"/>
        </w:rPr>
        <w:t xml:space="preserve"> who are </w:t>
      </w:r>
      <w:r w:rsidR="000A687B" w:rsidRPr="005D03E8">
        <w:rPr>
          <w:i/>
          <w:iCs/>
          <w:lang w:val="en-GB"/>
        </w:rPr>
        <w:t>part of</w:t>
      </w:r>
      <w:r w:rsidR="000A687B">
        <w:rPr>
          <w:lang w:val="en-GB"/>
        </w:rPr>
        <w:t xml:space="preserve"> that community </w:t>
      </w:r>
      <w:r w:rsidR="00646EE3">
        <w:rPr>
          <w:lang w:val="en-GB"/>
        </w:rPr>
        <w:t>–</w:t>
      </w:r>
      <w:r w:rsidR="001655DE">
        <w:rPr>
          <w:lang w:val="en-GB"/>
        </w:rPr>
        <w:t xml:space="preserve"> a</w:t>
      </w:r>
      <w:r w:rsidR="00646EE3">
        <w:rPr>
          <w:lang w:val="en-GB"/>
        </w:rPr>
        <w:t xml:space="preserve"> </w:t>
      </w:r>
      <w:r w:rsidR="001655DE">
        <w:rPr>
          <w:lang w:val="en-GB"/>
        </w:rPr>
        <w:t xml:space="preserve">national </w:t>
      </w:r>
      <w:r>
        <w:rPr>
          <w:lang w:val="en-GB"/>
        </w:rPr>
        <w:t xml:space="preserve">child rights-based approach </w:t>
      </w:r>
      <w:r w:rsidR="00D23455">
        <w:rPr>
          <w:lang w:val="en-GB"/>
        </w:rPr>
        <w:t>must</w:t>
      </w:r>
      <w:r w:rsidR="000A687B">
        <w:rPr>
          <w:lang w:val="en-GB"/>
        </w:rPr>
        <w:t xml:space="preserve"> </w:t>
      </w:r>
      <w:r>
        <w:rPr>
          <w:lang w:val="en-GB"/>
        </w:rPr>
        <w:t xml:space="preserve">go beyond </w:t>
      </w:r>
      <w:r w:rsidR="001655DE">
        <w:rPr>
          <w:lang w:val="en-GB"/>
        </w:rPr>
        <w:t>minimum standards</w:t>
      </w:r>
      <w:r w:rsidR="008E7347">
        <w:rPr>
          <w:lang w:val="en-GB"/>
        </w:rPr>
        <w:t xml:space="preserve"> for detention</w:t>
      </w:r>
      <w:r w:rsidR="001655DE">
        <w:rPr>
          <w:lang w:val="en-GB"/>
        </w:rPr>
        <w:t xml:space="preserve"> and transform the way youth justice is conceptualised and put into practice in Australia.</w:t>
      </w:r>
      <w:r w:rsidR="00646EE3">
        <w:rPr>
          <w:lang w:val="en-GB"/>
        </w:rPr>
        <w:t xml:space="preserve"> A truly transformative approach </w:t>
      </w:r>
      <w:r w:rsidR="00A9594A">
        <w:rPr>
          <w:lang w:val="en-GB"/>
        </w:rPr>
        <w:t xml:space="preserve">would </w:t>
      </w:r>
      <w:r w:rsidR="00F61211">
        <w:rPr>
          <w:lang w:val="en-GB"/>
        </w:rPr>
        <w:t>‘</w:t>
      </w:r>
      <w:r w:rsidR="005F53AB">
        <w:rPr>
          <w:lang w:val="en-GB"/>
        </w:rPr>
        <w:t>reinvest resources from the criminal justice system to community-led, place-based initiatives that address drivers of crime and incarceration</w:t>
      </w:r>
      <w:r w:rsidR="00F61211">
        <w:rPr>
          <w:lang w:val="en-GB"/>
        </w:rPr>
        <w:t>’</w:t>
      </w:r>
      <w:r w:rsidR="005F53AB">
        <w:rPr>
          <w:lang w:val="en-GB"/>
        </w:rPr>
        <w:t>.</w:t>
      </w:r>
      <w:r w:rsidR="00F61211">
        <w:rPr>
          <w:rStyle w:val="FootnoteReference"/>
          <w:lang w:val="en-GB"/>
        </w:rPr>
        <w:footnoteReference w:id="4"/>
      </w:r>
      <w:r w:rsidR="005F53AB">
        <w:rPr>
          <w:lang w:val="en-GB"/>
        </w:rPr>
        <w:t xml:space="preserve"> It would </w:t>
      </w:r>
      <w:r w:rsidR="00A9594A">
        <w:rPr>
          <w:lang w:val="en-GB"/>
        </w:rPr>
        <w:t>address root causes,</w:t>
      </w:r>
      <w:r w:rsidR="001F5443">
        <w:rPr>
          <w:lang w:val="en-GB"/>
        </w:rPr>
        <w:t xml:space="preserve"> minimise contact </w:t>
      </w:r>
      <w:r w:rsidR="00107E19">
        <w:rPr>
          <w:lang w:val="en-GB"/>
        </w:rPr>
        <w:t>children have</w:t>
      </w:r>
      <w:r w:rsidR="001F5443">
        <w:rPr>
          <w:lang w:val="en-GB"/>
        </w:rPr>
        <w:t xml:space="preserve"> with the justice system,</w:t>
      </w:r>
      <w:r w:rsidR="00FE162F">
        <w:rPr>
          <w:lang w:val="en-GB"/>
        </w:rPr>
        <w:t xml:space="preserve"> redirect resources to </w:t>
      </w:r>
      <w:r w:rsidR="00A9594A">
        <w:rPr>
          <w:lang w:val="en-GB"/>
        </w:rPr>
        <w:t xml:space="preserve">focus on diversion, screening and support at the earliest </w:t>
      </w:r>
      <w:r w:rsidR="00A9594A">
        <w:rPr>
          <w:lang w:val="en-GB"/>
        </w:rPr>
        <w:lastRenderedPageBreak/>
        <w:t xml:space="preserve">possible opportunity, </w:t>
      </w:r>
      <w:r w:rsidR="00FC5544">
        <w:rPr>
          <w:lang w:val="en-GB"/>
        </w:rPr>
        <w:t xml:space="preserve">and </w:t>
      </w:r>
      <w:r w:rsidR="00FE162F">
        <w:rPr>
          <w:lang w:val="en-GB"/>
        </w:rPr>
        <w:t xml:space="preserve">in the </w:t>
      </w:r>
      <w:r w:rsidR="008E7347">
        <w:rPr>
          <w:lang w:val="en-GB"/>
        </w:rPr>
        <w:t xml:space="preserve">small minority of cases where detention was </w:t>
      </w:r>
      <w:r w:rsidR="008B11A1">
        <w:rPr>
          <w:lang w:val="en-GB"/>
        </w:rPr>
        <w:t>justified</w:t>
      </w:r>
      <w:r w:rsidR="002E452E">
        <w:rPr>
          <w:lang w:val="en-GB"/>
        </w:rPr>
        <w:t>,</w:t>
      </w:r>
      <w:r w:rsidR="008E7347">
        <w:rPr>
          <w:lang w:val="en-GB"/>
        </w:rPr>
        <w:t xml:space="preserve"> ensure that it </w:t>
      </w:r>
      <w:r w:rsidR="00D23455">
        <w:rPr>
          <w:lang w:val="en-GB"/>
        </w:rPr>
        <w:t>only occurs in</w:t>
      </w:r>
      <w:r w:rsidR="008E7347">
        <w:rPr>
          <w:lang w:val="en-GB"/>
        </w:rPr>
        <w:t xml:space="preserve"> small-scale,</w:t>
      </w:r>
      <w:r w:rsidR="00D23455">
        <w:rPr>
          <w:lang w:val="en-GB"/>
        </w:rPr>
        <w:t xml:space="preserve"> child-friendly,</w:t>
      </w:r>
      <w:r w:rsidR="008E7347">
        <w:rPr>
          <w:lang w:val="en-GB"/>
        </w:rPr>
        <w:t xml:space="preserve"> truly therapeutic</w:t>
      </w:r>
      <w:r w:rsidR="00C830F1">
        <w:rPr>
          <w:lang w:val="en-GB"/>
        </w:rPr>
        <w:t xml:space="preserve"> facilities that are not prisons</w:t>
      </w:r>
      <w:r w:rsidR="00946972">
        <w:rPr>
          <w:lang w:val="en-GB"/>
        </w:rPr>
        <w:t xml:space="preserve">, with intensive support for </w:t>
      </w:r>
      <w:r w:rsidR="007D3CEB">
        <w:rPr>
          <w:lang w:val="en-GB"/>
        </w:rPr>
        <w:t xml:space="preserve">continued connection with and </w:t>
      </w:r>
      <w:r w:rsidR="00946972">
        <w:rPr>
          <w:lang w:val="en-GB"/>
        </w:rPr>
        <w:t>re-integration</w:t>
      </w:r>
      <w:r w:rsidR="00CA37B4">
        <w:rPr>
          <w:lang w:val="en-GB"/>
        </w:rPr>
        <w:t xml:space="preserve"> into the community</w:t>
      </w:r>
      <w:r w:rsidR="00C830F1">
        <w:rPr>
          <w:lang w:val="en-GB"/>
        </w:rPr>
        <w:t xml:space="preserve">. </w:t>
      </w:r>
      <w:r w:rsidR="002E17F9" w:rsidRPr="002C35A4">
        <w:rPr>
          <w:lang w:val="en-GB"/>
        </w:rPr>
        <w:t xml:space="preserve"> </w:t>
      </w:r>
    </w:p>
    <w:p w14:paraId="076FA03F" w14:textId="68F4EBCC" w:rsidR="002966D2" w:rsidRDefault="002966D2" w:rsidP="002966D2">
      <w:pPr>
        <w:pStyle w:val="Heading1"/>
      </w:pPr>
      <w:bookmarkStart w:id="3" w:name="_Toc180746443"/>
      <w:r>
        <w:t>About the Commission</w:t>
      </w:r>
      <w:bookmarkEnd w:id="3"/>
      <w:r>
        <w:t xml:space="preserve"> </w:t>
      </w:r>
    </w:p>
    <w:p w14:paraId="2F14ECDA" w14:textId="24753893" w:rsidR="002966D2" w:rsidRDefault="002966D2" w:rsidP="002966D2">
      <w:pPr>
        <w:pStyle w:val="Numberedparagraph"/>
        <w:rPr>
          <w:lang w:val="en-US"/>
        </w:rPr>
      </w:pPr>
      <w:r>
        <w:rPr>
          <w:lang w:val="en-US"/>
        </w:rPr>
        <w:t xml:space="preserve">The </w:t>
      </w:r>
      <w:r w:rsidR="00D6037C">
        <w:rPr>
          <w:lang w:val="en-US"/>
        </w:rPr>
        <w:t xml:space="preserve">Commission </w:t>
      </w:r>
      <w:r>
        <w:rPr>
          <w:lang w:val="en-US"/>
        </w:rPr>
        <w:t xml:space="preserve">is an independent statutory </w:t>
      </w:r>
      <w:r w:rsidR="00F16132">
        <w:rPr>
          <w:lang w:val="en-US"/>
        </w:rPr>
        <w:t xml:space="preserve">body </w:t>
      </w:r>
      <w:r>
        <w:rPr>
          <w:lang w:val="en-US"/>
        </w:rPr>
        <w:t xml:space="preserve">with functions under the </w:t>
      </w:r>
      <w:r>
        <w:rPr>
          <w:i/>
          <w:iCs/>
          <w:lang w:val="en-US"/>
        </w:rPr>
        <w:t>Anti-Discrimination Act 1991</w:t>
      </w:r>
      <w:r>
        <w:rPr>
          <w:lang w:val="en-US"/>
        </w:rPr>
        <w:t xml:space="preserve"> </w:t>
      </w:r>
      <w:r w:rsidR="00D6037C">
        <w:rPr>
          <w:lang w:val="en-US"/>
        </w:rPr>
        <w:t xml:space="preserve">(Qld) </w:t>
      </w:r>
      <w:r>
        <w:rPr>
          <w:lang w:val="en-US"/>
        </w:rPr>
        <w:t xml:space="preserve">and the </w:t>
      </w:r>
      <w:r w:rsidRPr="00D6037C">
        <w:rPr>
          <w:i/>
          <w:iCs/>
          <w:lang w:val="en-US"/>
        </w:rPr>
        <w:t>Human Rights Act</w:t>
      </w:r>
      <w:r w:rsidR="00D6037C" w:rsidRPr="00D6037C">
        <w:rPr>
          <w:i/>
          <w:iCs/>
          <w:lang w:val="en-US"/>
        </w:rPr>
        <w:t xml:space="preserve"> 2019</w:t>
      </w:r>
      <w:r w:rsidR="00D6037C">
        <w:rPr>
          <w:lang w:val="en-US"/>
        </w:rPr>
        <w:t xml:space="preserve"> (Qld) (</w:t>
      </w:r>
      <w:r w:rsidR="00D6037C" w:rsidRPr="00D6037C">
        <w:rPr>
          <w:b/>
          <w:bCs/>
          <w:lang w:val="en-US"/>
        </w:rPr>
        <w:t>Human Rights Act</w:t>
      </w:r>
      <w:r w:rsidR="00D6037C">
        <w:rPr>
          <w:lang w:val="en-US"/>
        </w:rPr>
        <w:t>)</w:t>
      </w:r>
      <w:r w:rsidR="00B368B4" w:rsidRPr="00B368B4">
        <w:rPr>
          <w:lang w:val="en-US"/>
        </w:rPr>
        <w:t>.</w:t>
      </w:r>
      <w:r>
        <w:rPr>
          <w:i/>
          <w:iCs/>
          <w:lang w:val="en-US"/>
        </w:rPr>
        <w:t xml:space="preserve"> </w:t>
      </w:r>
      <w:r w:rsidR="006550A2">
        <w:rPr>
          <w:lang w:val="en-US"/>
        </w:rPr>
        <w:t>This includes dealing with complaints about contraventions of these Acts, and</w:t>
      </w:r>
      <w:r>
        <w:rPr>
          <w:lang w:val="en-US"/>
        </w:rPr>
        <w:t xml:space="preserve"> promoting an understanding, acceptance</w:t>
      </w:r>
      <w:r w:rsidR="00F16132">
        <w:rPr>
          <w:lang w:val="en-US"/>
        </w:rPr>
        <w:t>,</w:t>
      </w:r>
      <w:r>
        <w:rPr>
          <w:lang w:val="en-US"/>
        </w:rPr>
        <w:t xml:space="preserve"> and public discussion of human rights in Queensland. </w:t>
      </w:r>
    </w:p>
    <w:p w14:paraId="350331F6" w14:textId="4EC004DE" w:rsidR="000305A1" w:rsidRDefault="000305A1" w:rsidP="000305A1">
      <w:pPr>
        <w:pStyle w:val="Numberedparagraph"/>
        <w:rPr>
          <w:lang w:val="en-US"/>
        </w:rPr>
      </w:pPr>
      <w:r w:rsidRPr="000305A1">
        <w:rPr>
          <w:lang w:val="en-US"/>
        </w:rPr>
        <w:t xml:space="preserve">The Commission has given detailed consideration to human rights concerns relating to the youth justice system and </w:t>
      </w:r>
      <w:r w:rsidRPr="2C2B78DF">
        <w:rPr>
          <w:lang w:val="en-US"/>
        </w:rPr>
        <w:t>victims</w:t>
      </w:r>
      <w:r w:rsidR="5E9BAAE3" w:rsidRPr="2C2B78DF">
        <w:rPr>
          <w:lang w:val="en-US"/>
        </w:rPr>
        <w:t>’</w:t>
      </w:r>
      <w:r w:rsidRPr="000305A1">
        <w:rPr>
          <w:lang w:val="en-US"/>
        </w:rPr>
        <w:t xml:space="preserve"> </w:t>
      </w:r>
      <w:r w:rsidR="008C297E">
        <w:rPr>
          <w:lang w:val="en-US"/>
        </w:rPr>
        <w:t>rights</w:t>
      </w:r>
      <w:r w:rsidRPr="000305A1">
        <w:rPr>
          <w:lang w:val="en-US"/>
        </w:rPr>
        <w:t xml:space="preserve">, and has </w:t>
      </w:r>
      <w:r w:rsidR="00CF38C2">
        <w:rPr>
          <w:lang w:val="en-US"/>
        </w:rPr>
        <w:t>consistently made</w:t>
      </w:r>
      <w:r w:rsidRPr="000305A1">
        <w:rPr>
          <w:lang w:val="en-US"/>
        </w:rPr>
        <w:t xml:space="preserve"> submissions to </w:t>
      </w:r>
      <w:r w:rsidR="00CF38C2">
        <w:rPr>
          <w:lang w:val="en-US"/>
        </w:rPr>
        <w:t>g</w:t>
      </w:r>
      <w:r w:rsidR="00CF38C2" w:rsidRPr="000305A1">
        <w:rPr>
          <w:lang w:val="en-US"/>
        </w:rPr>
        <w:t>overnment</w:t>
      </w:r>
      <w:r w:rsidR="00756936">
        <w:rPr>
          <w:lang w:val="en-US"/>
        </w:rPr>
        <w:t>s</w:t>
      </w:r>
      <w:r w:rsidRPr="000305A1">
        <w:rPr>
          <w:lang w:val="en-US"/>
        </w:rPr>
        <w:t>, parliamentary committees, and justice agencies on these issues.</w:t>
      </w:r>
      <w:r>
        <w:rPr>
          <w:lang w:val="en-US"/>
        </w:rPr>
        <w:t xml:space="preserve"> In particular, the Commission</w:t>
      </w:r>
      <w:r w:rsidR="00B0169D">
        <w:rPr>
          <w:lang w:val="en-US"/>
        </w:rPr>
        <w:t xml:space="preserve"> has</w:t>
      </w:r>
      <w:r>
        <w:rPr>
          <w:lang w:val="en-US"/>
        </w:rPr>
        <w:t>:</w:t>
      </w:r>
    </w:p>
    <w:p w14:paraId="0D3365A9" w14:textId="34093E8C" w:rsidR="00A74654" w:rsidRDefault="004A39A7" w:rsidP="005718C8">
      <w:pPr>
        <w:pStyle w:val="Bulletedlist"/>
        <w:contextualSpacing w:val="0"/>
        <w:rPr>
          <w:lang w:val="en-US"/>
        </w:rPr>
      </w:pPr>
      <w:r>
        <w:rPr>
          <w:lang w:val="en-US"/>
        </w:rPr>
        <w:t xml:space="preserve">focused </w:t>
      </w:r>
      <w:r w:rsidR="00777D47">
        <w:rPr>
          <w:lang w:val="en-US"/>
        </w:rPr>
        <w:t xml:space="preserve">government and public attention </w:t>
      </w:r>
      <w:r>
        <w:rPr>
          <w:lang w:val="en-US"/>
        </w:rPr>
        <w:t xml:space="preserve">on </w:t>
      </w:r>
      <w:r w:rsidR="00A74654" w:rsidRPr="000305A1">
        <w:rPr>
          <w:lang w:val="en-US"/>
        </w:rPr>
        <w:t xml:space="preserve">the increasing use of </w:t>
      </w:r>
      <w:r w:rsidR="00B0169D">
        <w:rPr>
          <w:lang w:val="en-US"/>
        </w:rPr>
        <w:t>Queensland</w:t>
      </w:r>
      <w:r w:rsidR="00A74654" w:rsidRPr="000305A1">
        <w:rPr>
          <w:lang w:val="en-US"/>
        </w:rPr>
        <w:t xml:space="preserve"> </w:t>
      </w:r>
      <w:r w:rsidR="002D2B73">
        <w:rPr>
          <w:lang w:val="en-US"/>
        </w:rPr>
        <w:t>watch house</w:t>
      </w:r>
      <w:r w:rsidR="00A74654" w:rsidRPr="000305A1">
        <w:rPr>
          <w:lang w:val="en-US"/>
        </w:rPr>
        <w:t xml:space="preserve">s for the prolonged detention of children and young people while they await bail or placement at a youth detention </w:t>
      </w:r>
      <w:proofErr w:type="spellStart"/>
      <w:r w:rsidR="00A74654" w:rsidRPr="000305A1">
        <w:rPr>
          <w:lang w:val="en-US"/>
        </w:rPr>
        <w:t>centre</w:t>
      </w:r>
      <w:proofErr w:type="spellEnd"/>
      <w:r w:rsidR="00A74654" w:rsidRPr="000305A1">
        <w:rPr>
          <w:lang w:val="en-US"/>
        </w:rPr>
        <w:t>, including children as young as 1</w:t>
      </w:r>
      <w:r w:rsidR="007D3CEB">
        <w:rPr>
          <w:lang w:val="en-US"/>
        </w:rPr>
        <w:t>0</w:t>
      </w:r>
    </w:p>
    <w:p w14:paraId="48A0BF4E" w14:textId="42553618" w:rsidR="00A74654" w:rsidRDefault="0099707A" w:rsidP="005718C8">
      <w:pPr>
        <w:pStyle w:val="Bulletedlist"/>
        <w:contextualSpacing w:val="0"/>
        <w:rPr>
          <w:lang w:val="en-US"/>
        </w:rPr>
      </w:pPr>
      <w:r>
        <w:rPr>
          <w:lang w:val="en-US"/>
        </w:rPr>
        <w:t>c</w:t>
      </w:r>
      <w:r w:rsidR="00C832BF">
        <w:rPr>
          <w:lang w:val="en-US"/>
        </w:rPr>
        <w:t xml:space="preserve">ollaborated </w:t>
      </w:r>
      <w:r w:rsidR="00A74654" w:rsidRPr="004A39A7">
        <w:rPr>
          <w:lang w:val="en-US"/>
        </w:rPr>
        <w:t xml:space="preserve">with other oversight agencies on issues affecting young people in the youth justice system, including the Queensland Family and Child Commission, the First Nations Justice Officer, the Office of the Public Guardian, the Queensland Ombudsman, the Inspector of Detention Services, the Queensland Audit Office, </w:t>
      </w:r>
      <w:r w:rsidR="00A04D52">
        <w:rPr>
          <w:lang w:val="en-US"/>
        </w:rPr>
        <w:t xml:space="preserve">the Interim Victims’ Commissioner, </w:t>
      </w:r>
      <w:r w:rsidR="00A74654" w:rsidRPr="004A39A7">
        <w:rPr>
          <w:lang w:val="en-US"/>
        </w:rPr>
        <w:t>and the Australian Children’s Commissioner</w:t>
      </w:r>
    </w:p>
    <w:p w14:paraId="60E6CBF5" w14:textId="7908F35A" w:rsidR="00A74654" w:rsidRPr="006A7E4D" w:rsidRDefault="002B3A57" w:rsidP="005718C8">
      <w:pPr>
        <w:pStyle w:val="Bulletedlist"/>
        <w:contextualSpacing w:val="0"/>
        <w:rPr>
          <w:lang w:val="en-US"/>
        </w:rPr>
      </w:pPr>
      <w:r>
        <w:rPr>
          <w:lang w:val="en-US"/>
        </w:rPr>
        <w:t>m</w:t>
      </w:r>
      <w:r w:rsidR="00A04D52">
        <w:rPr>
          <w:lang w:val="en-US"/>
        </w:rPr>
        <w:t xml:space="preserve">ade </w:t>
      </w:r>
      <w:r w:rsidR="00A74654" w:rsidRPr="006A7E4D">
        <w:rPr>
          <w:lang w:val="en-US"/>
        </w:rPr>
        <w:t>submissions on the human rights implications of proposed legislative amendments, and support</w:t>
      </w:r>
      <w:r w:rsidR="00725C0B">
        <w:rPr>
          <w:lang w:val="en-US"/>
        </w:rPr>
        <w:t>ed</w:t>
      </w:r>
      <w:r w:rsidR="00A74654" w:rsidRPr="006A7E4D">
        <w:rPr>
          <w:lang w:val="en-US"/>
        </w:rPr>
        <w:t xml:space="preserve"> calls to raise the age of criminal responsibility.</w:t>
      </w:r>
      <w:r w:rsidR="00A74654">
        <w:rPr>
          <w:rStyle w:val="FootnoteReference"/>
          <w:lang w:val="en-US"/>
        </w:rPr>
        <w:footnoteReference w:id="5"/>
      </w:r>
      <w:r w:rsidR="00A74654" w:rsidRPr="006A7E4D">
        <w:rPr>
          <w:lang w:val="en-US"/>
        </w:rPr>
        <w:t xml:space="preserve"> </w:t>
      </w:r>
    </w:p>
    <w:p w14:paraId="665D2905" w14:textId="72DBAD47" w:rsidR="00FC0EBF" w:rsidRDefault="00FC0EBF" w:rsidP="00FC0EBF">
      <w:pPr>
        <w:pStyle w:val="Heading1"/>
      </w:pPr>
      <w:bookmarkStart w:id="4" w:name="_Toc180746444"/>
      <w:r>
        <w:t xml:space="preserve">Youth </w:t>
      </w:r>
      <w:r w:rsidR="00242891">
        <w:t>j</w:t>
      </w:r>
      <w:r>
        <w:t xml:space="preserve">ustice </w:t>
      </w:r>
      <w:r w:rsidR="00242891">
        <w:t>p</w:t>
      </w:r>
      <w:r>
        <w:t>olicy</w:t>
      </w:r>
      <w:r w:rsidR="00D6037C">
        <w:t xml:space="preserve"> in Queensland</w:t>
      </w:r>
      <w:bookmarkEnd w:id="4"/>
    </w:p>
    <w:p w14:paraId="708F503A" w14:textId="2E28D490" w:rsidR="003C298E" w:rsidRDefault="00D6037C" w:rsidP="0025466D">
      <w:pPr>
        <w:pStyle w:val="Heading2"/>
      </w:pPr>
      <w:bookmarkStart w:id="5" w:name="_Toc180746445"/>
      <w:r>
        <w:t xml:space="preserve">Human rights </w:t>
      </w:r>
      <w:r w:rsidR="00D86EF2">
        <w:t>standards</w:t>
      </w:r>
      <w:bookmarkEnd w:id="5"/>
      <w:r>
        <w:t xml:space="preserve"> </w:t>
      </w:r>
    </w:p>
    <w:p w14:paraId="35B4178A" w14:textId="168888C6" w:rsidR="0069743E" w:rsidRDefault="00425513" w:rsidP="007F4DAD">
      <w:pPr>
        <w:pStyle w:val="Numberedparagraph"/>
        <w:rPr>
          <w:lang w:val="en-US"/>
        </w:rPr>
      </w:pPr>
      <w:r>
        <w:rPr>
          <w:lang w:val="en-US"/>
        </w:rPr>
        <w:t>Many of A</w:t>
      </w:r>
      <w:r w:rsidR="00A90597">
        <w:rPr>
          <w:lang w:val="en-US"/>
        </w:rPr>
        <w:t>ustralia’s i</w:t>
      </w:r>
      <w:r w:rsidR="006109F1">
        <w:rPr>
          <w:lang w:val="en-US"/>
        </w:rPr>
        <w:t>nternational h</w:t>
      </w:r>
      <w:r w:rsidR="00193D12" w:rsidRPr="00380010">
        <w:rPr>
          <w:lang w:val="en-US"/>
        </w:rPr>
        <w:t>uman rights obligations</w:t>
      </w:r>
      <w:r w:rsidR="00A90597">
        <w:rPr>
          <w:lang w:val="en-US"/>
        </w:rPr>
        <w:t xml:space="preserve"> are</w:t>
      </w:r>
      <w:r w:rsidR="006109F1">
        <w:rPr>
          <w:lang w:val="en-US"/>
        </w:rPr>
        <w:t xml:space="preserve"> </w:t>
      </w:r>
      <w:r w:rsidR="002C66F4">
        <w:rPr>
          <w:lang w:val="en-US"/>
        </w:rPr>
        <w:t>directly</w:t>
      </w:r>
      <w:r w:rsidR="006109F1">
        <w:rPr>
          <w:lang w:val="en-US"/>
        </w:rPr>
        <w:t xml:space="preserve"> </w:t>
      </w:r>
      <w:r w:rsidR="00E960E6">
        <w:rPr>
          <w:lang w:val="en-US"/>
        </w:rPr>
        <w:t>incorporated into Queensland law</w:t>
      </w:r>
      <w:r w:rsidR="007F2339">
        <w:rPr>
          <w:lang w:val="en-US"/>
        </w:rPr>
        <w:t xml:space="preserve"> </w:t>
      </w:r>
      <w:r w:rsidR="00F37827">
        <w:rPr>
          <w:lang w:val="en-US"/>
        </w:rPr>
        <w:t>through</w:t>
      </w:r>
      <w:r w:rsidR="007F2339">
        <w:rPr>
          <w:lang w:val="en-US"/>
        </w:rPr>
        <w:t xml:space="preserve"> </w:t>
      </w:r>
      <w:r w:rsidR="00E960E6">
        <w:rPr>
          <w:lang w:val="en-US"/>
        </w:rPr>
        <w:t xml:space="preserve">the </w:t>
      </w:r>
      <w:r w:rsidR="007F2339">
        <w:rPr>
          <w:lang w:val="en-US"/>
        </w:rPr>
        <w:t>Human Rights Act</w:t>
      </w:r>
      <w:r w:rsidR="00D62005">
        <w:rPr>
          <w:lang w:val="en-US"/>
        </w:rPr>
        <w:t>.</w:t>
      </w:r>
      <w:r w:rsidR="00E960E6">
        <w:rPr>
          <w:lang w:val="en-US"/>
        </w:rPr>
        <w:t xml:space="preserve"> This</w:t>
      </w:r>
      <w:r w:rsidR="00F37827">
        <w:rPr>
          <w:lang w:val="en-US"/>
        </w:rPr>
        <w:t xml:space="preserve"> requires public entities </w:t>
      </w:r>
      <w:r w:rsidR="003D7658">
        <w:rPr>
          <w:lang w:val="en-US"/>
        </w:rPr>
        <w:t>in Queensland</w:t>
      </w:r>
      <w:r w:rsidR="00F37827">
        <w:rPr>
          <w:lang w:val="en-US"/>
        </w:rPr>
        <w:t xml:space="preserve"> to</w:t>
      </w:r>
      <w:r w:rsidR="003D7658">
        <w:rPr>
          <w:lang w:val="en-US"/>
        </w:rPr>
        <w:t xml:space="preserve"> </w:t>
      </w:r>
      <w:r w:rsidR="00A07CFE">
        <w:rPr>
          <w:lang w:val="en-US"/>
        </w:rPr>
        <w:t>act and make decisions compatibly with human rights and</w:t>
      </w:r>
      <w:r w:rsidR="00F37827">
        <w:rPr>
          <w:lang w:val="en-US"/>
        </w:rPr>
        <w:t xml:space="preserve"> </w:t>
      </w:r>
      <w:r w:rsidR="005D37B5">
        <w:rPr>
          <w:lang w:val="en-US"/>
        </w:rPr>
        <w:t>to give prop</w:t>
      </w:r>
      <w:r w:rsidR="0069743E">
        <w:rPr>
          <w:lang w:val="en-US"/>
        </w:rPr>
        <w:t>er consideration to human rights when making decisions.</w:t>
      </w:r>
      <w:r w:rsidR="0069743E">
        <w:rPr>
          <w:rStyle w:val="FootnoteReference"/>
          <w:lang w:val="en-US"/>
        </w:rPr>
        <w:footnoteReference w:id="6"/>
      </w:r>
      <w:r w:rsidR="0069743E">
        <w:rPr>
          <w:lang w:val="en-US"/>
        </w:rPr>
        <w:t xml:space="preserve"> </w:t>
      </w:r>
      <w:r w:rsidR="00230E5C">
        <w:rPr>
          <w:lang w:val="en-US"/>
        </w:rPr>
        <w:t xml:space="preserve">It also </w:t>
      </w:r>
      <w:r w:rsidR="003048E5">
        <w:rPr>
          <w:lang w:val="en-US"/>
        </w:rPr>
        <w:t xml:space="preserve">requires </w:t>
      </w:r>
      <w:r w:rsidR="00512E56">
        <w:rPr>
          <w:lang w:val="en-US"/>
        </w:rPr>
        <w:t>c</w:t>
      </w:r>
      <w:r w:rsidR="009F4992">
        <w:rPr>
          <w:lang w:val="en-US"/>
        </w:rPr>
        <w:t xml:space="preserve">ourts and tribunals </w:t>
      </w:r>
      <w:r w:rsidR="003048E5">
        <w:rPr>
          <w:lang w:val="en-US"/>
        </w:rPr>
        <w:t xml:space="preserve">to apply </w:t>
      </w:r>
      <w:r w:rsidR="00E824CC">
        <w:rPr>
          <w:lang w:val="en-US"/>
        </w:rPr>
        <w:t>human</w:t>
      </w:r>
      <w:r w:rsidR="003048E5">
        <w:rPr>
          <w:lang w:val="en-US"/>
        </w:rPr>
        <w:t xml:space="preserve"> rights </w:t>
      </w:r>
      <w:r w:rsidR="00B57C61">
        <w:rPr>
          <w:lang w:val="en-US"/>
        </w:rPr>
        <w:t xml:space="preserve">relevant to the </w:t>
      </w:r>
      <w:r w:rsidR="00B57C61">
        <w:rPr>
          <w:lang w:val="en-US"/>
        </w:rPr>
        <w:lastRenderedPageBreak/>
        <w:t>functions they are</w:t>
      </w:r>
      <w:r w:rsidR="009F4992">
        <w:rPr>
          <w:lang w:val="en-US"/>
        </w:rPr>
        <w:t xml:space="preserve"> </w:t>
      </w:r>
      <w:r w:rsidR="004D54A0">
        <w:rPr>
          <w:lang w:val="en-US"/>
        </w:rPr>
        <w:t>exercising</w:t>
      </w:r>
      <w:r w:rsidR="003048E5">
        <w:rPr>
          <w:lang w:val="en-US"/>
        </w:rPr>
        <w:t>,</w:t>
      </w:r>
      <w:r w:rsidR="00041889">
        <w:rPr>
          <w:rStyle w:val="FootnoteReference"/>
          <w:lang w:val="en-US"/>
        </w:rPr>
        <w:footnoteReference w:id="7"/>
      </w:r>
      <w:r w:rsidR="003048E5">
        <w:rPr>
          <w:lang w:val="en-US"/>
        </w:rPr>
        <w:t xml:space="preserve"> and </w:t>
      </w:r>
      <w:r w:rsidR="00A225E3">
        <w:rPr>
          <w:lang w:val="en-US"/>
        </w:rPr>
        <w:t>requires that</w:t>
      </w:r>
      <w:r w:rsidR="00B57C61">
        <w:rPr>
          <w:lang w:val="en-US"/>
        </w:rPr>
        <w:t xml:space="preserve"> statutory provisions </w:t>
      </w:r>
      <w:r w:rsidR="00A225E3">
        <w:rPr>
          <w:lang w:val="en-US"/>
        </w:rPr>
        <w:t>are interpreted</w:t>
      </w:r>
      <w:r w:rsidR="00B57C61">
        <w:rPr>
          <w:lang w:val="en-US"/>
        </w:rPr>
        <w:t xml:space="preserve"> </w:t>
      </w:r>
      <w:r w:rsidR="00F63202">
        <w:rPr>
          <w:lang w:val="en-US"/>
        </w:rPr>
        <w:t>compatibly with human rights</w:t>
      </w:r>
      <w:r w:rsidR="00B57C61">
        <w:rPr>
          <w:lang w:val="en-US"/>
        </w:rPr>
        <w:t xml:space="preserve"> </w:t>
      </w:r>
      <w:r w:rsidR="009036EF">
        <w:rPr>
          <w:lang w:val="en-US"/>
        </w:rPr>
        <w:t xml:space="preserve">to the extent </w:t>
      </w:r>
      <w:r w:rsidR="00041889">
        <w:rPr>
          <w:lang w:val="en-US"/>
        </w:rPr>
        <w:t xml:space="preserve">possible </w:t>
      </w:r>
      <w:r w:rsidR="009036EF">
        <w:rPr>
          <w:lang w:val="en-US"/>
        </w:rPr>
        <w:t xml:space="preserve">consistent </w:t>
      </w:r>
      <w:r w:rsidR="00041889">
        <w:rPr>
          <w:lang w:val="en-US"/>
        </w:rPr>
        <w:t>with their purpose.</w:t>
      </w:r>
      <w:r w:rsidR="002F6342">
        <w:rPr>
          <w:rStyle w:val="FootnoteReference"/>
          <w:lang w:val="en-US"/>
        </w:rPr>
        <w:footnoteReference w:id="8"/>
      </w:r>
      <w:r w:rsidR="00D64893">
        <w:rPr>
          <w:lang w:val="en-US"/>
        </w:rPr>
        <w:t xml:space="preserve"> </w:t>
      </w:r>
    </w:p>
    <w:p w14:paraId="1000D0D9" w14:textId="77777777" w:rsidR="00EE486D" w:rsidRDefault="0069743E" w:rsidP="007F4DAD">
      <w:pPr>
        <w:pStyle w:val="Numberedparagraph"/>
        <w:rPr>
          <w:lang w:val="en-US"/>
        </w:rPr>
      </w:pPr>
      <w:r>
        <w:rPr>
          <w:lang w:val="en-US"/>
        </w:rPr>
        <w:t>Relevant rights</w:t>
      </w:r>
      <w:r w:rsidR="00D62005">
        <w:rPr>
          <w:lang w:val="en-US"/>
        </w:rPr>
        <w:t xml:space="preserve"> protected in the </w:t>
      </w:r>
      <w:r w:rsidR="004167BF">
        <w:rPr>
          <w:lang w:val="en-US"/>
        </w:rPr>
        <w:t>Human Rights Act include</w:t>
      </w:r>
      <w:r w:rsidR="00F64F92">
        <w:rPr>
          <w:lang w:val="en-US"/>
        </w:rPr>
        <w:t xml:space="preserve"> </w:t>
      </w:r>
    </w:p>
    <w:p w14:paraId="2AD62938" w14:textId="77777777" w:rsidR="00EE486D" w:rsidRDefault="00F64F92" w:rsidP="00EE486D">
      <w:pPr>
        <w:pStyle w:val="Bulletedlist"/>
        <w:rPr>
          <w:lang w:val="en-US"/>
        </w:rPr>
      </w:pPr>
      <w:r>
        <w:rPr>
          <w:lang w:val="en-US"/>
        </w:rPr>
        <w:t>the right to equality (section 15)</w:t>
      </w:r>
    </w:p>
    <w:p w14:paraId="3BCD1566" w14:textId="77777777" w:rsidR="00EE486D" w:rsidRDefault="00F64F92" w:rsidP="00EE486D">
      <w:pPr>
        <w:pStyle w:val="Bulletedlist"/>
        <w:rPr>
          <w:lang w:val="en-US"/>
        </w:rPr>
      </w:pPr>
      <w:r>
        <w:rPr>
          <w:lang w:val="en-US"/>
        </w:rPr>
        <w:t>the right to life (section 16)</w:t>
      </w:r>
    </w:p>
    <w:p w14:paraId="1CEFB49B" w14:textId="77777777" w:rsidR="00EE486D" w:rsidRDefault="00F64F92" w:rsidP="00EE486D">
      <w:pPr>
        <w:pStyle w:val="Bulletedlist"/>
        <w:rPr>
          <w:lang w:val="en-US"/>
        </w:rPr>
      </w:pPr>
      <w:r>
        <w:rPr>
          <w:lang w:val="en-US"/>
        </w:rPr>
        <w:t>protection from torture and cruel, inhuman or degrading treatment or punishment</w:t>
      </w:r>
      <w:r w:rsidR="00347427">
        <w:rPr>
          <w:lang w:val="en-US"/>
        </w:rPr>
        <w:t xml:space="preserve"> (section 17)</w:t>
      </w:r>
    </w:p>
    <w:p w14:paraId="7BCD1543" w14:textId="77777777" w:rsidR="00EE486D" w:rsidRDefault="004741B6" w:rsidP="00EE486D">
      <w:pPr>
        <w:pStyle w:val="Bulletedlist"/>
        <w:rPr>
          <w:lang w:val="en-US"/>
        </w:rPr>
      </w:pPr>
      <w:r>
        <w:rPr>
          <w:lang w:val="en-US"/>
        </w:rPr>
        <w:t>protection of families and children (section 26)</w:t>
      </w:r>
    </w:p>
    <w:p w14:paraId="3C56B2EE" w14:textId="77777777" w:rsidR="00EE486D" w:rsidRDefault="00E96E6B" w:rsidP="00EE486D">
      <w:pPr>
        <w:pStyle w:val="Bulletedlist"/>
        <w:rPr>
          <w:lang w:val="en-US"/>
        </w:rPr>
      </w:pPr>
      <w:r>
        <w:rPr>
          <w:lang w:val="en-US"/>
        </w:rPr>
        <w:t>cultural rights – generally (section 27</w:t>
      </w:r>
      <w:r w:rsidRPr="00EE486D">
        <w:rPr>
          <w:lang w:val="en-US"/>
        </w:rPr>
        <w:t>)</w:t>
      </w:r>
      <w:r w:rsidR="00EE486D">
        <w:rPr>
          <w:lang w:val="en-US"/>
        </w:rPr>
        <w:t xml:space="preserve"> and</w:t>
      </w:r>
      <w:r>
        <w:rPr>
          <w:lang w:val="en-US"/>
        </w:rPr>
        <w:t xml:space="preserve"> cultural rights – Aboriginal peoples and Torres Strait Islander peoples (section 28</w:t>
      </w:r>
      <w:r w:rsidRPr="00EE486D">
        <w:rPr>
          <w:lang w:val="en-US"/>
        </w:rPr>
        <w:t>)</w:t>
      </w:r>
    </w:p>
    <w:p w14:paraId="686E7C85" w14:textId="77777777" w:rsidR="00EE486D" w:rsidRDefault="009E39A4" w:rsidP="00EE486D">
      <w:pPr>
        <w:pStyle w:val="Bulletedlist"/>
        <w:rPr>
          <w:lang w:val="en-US"/>
        </w:rPr>
      </w:pPr>
      <w:r>
        <w:rPr>
          <w:lang w:val="en-US"/>
        </w:rPr>
        <w:t>right to liberty and security of the person (section 29</w:t>
      </w:r>
      <w:r w:rsidRPr="00EE486D">
        <w:rPr>
          <w:lang w:val="en-US"/>
        </w:rPr>
        <w:t>)</w:t>
      </w:r>
    </w:p>
    <w:p w14:paraId="11655722" w14:textId="77777777" w:rsidR="00EE486D" w:rsidRDefault="00D609DF" w:rsidP="00EE486D">
      <w:pPr>
        <w:pStyle w:val="Bulletedlist"/>
        <w:rPr>
          <w:lang w:val="en-US"/>
        </w:rPr>
      </w:pPr>
      <w:r>
        <w:rPr>
          <w:lang w:val="en-US"/>
        </w:rPr>
        <w:t>humane treatment when deprived of liberty (section 30</w:t>
      </w:r>
      <w:r w:rsidRPr="00EE486D">
        <w:rPr>
          <w:lang w:val="en-US"/>
        </w:rPr>
        <w:t>)</w:t>
      </w:r>
    </w:p>
    <w:p w14:paraId="26965EEC" w14:textId="77777777" w:rsidR="00EE486D" w:rsidRDefault="00AE2BC7" w:rsidP="00EE486D">
      <w:pPr>
        <w:pStyle w:val="Bulletedlist"/>
        <w:rPr>
          <w:lang w:val="en-US"/>
        </w:rPr>
      </w:pPr>
      <w:r>
        <w:rPr>
          <w:lang w:val="en-US"/>
        </w:rPr>
        <w:t>children in the criminal process (section 33</w:t>
      </w:r>
      <w:r w:rsidRPr="00EE486D">
        <w:rPr>
          <w:lang w:val="en-US"/>
        </w:rPr>
        <w:t>)</w:t>
      </w:r>
    </w:p>
    <w:p w14:paraId="0D0EAB8E" w14:textId="77777777" w:rsidR="00EE486D" w:rsidRDefault="009F6A19" w:rsidP="00EE486D">
      <w:pPr>
        <w:pStyle w:val="Bulletedlist"/>
        <w:rPr>
          <w:lang w:val="en-US"/>
        </w:rPr>
      </w:pPr>
      <w:r>
        <w:rPr>
          <w:lang w:val="en-US"/>
        </w:rPr>
        <w:t>right to education (section 36)</w:t>
      </w:r>
    </w:p>
    <w:p w14:paraId="1A6C96E5" w14:textId="79820BE1" w:rsidR="004167BF" w:rsidRDefault="009F6A19" w:rsidP="00EE486D">
      <w:pPr>
        <w:pStyle w:val="Bulletedlist"/>
        <w:rPr>
          <w:lang w:val="en-US"/>
        </w:rPr>
      </w:pPr>
      <w:r>
        <w:rPr>
          <w:lang w:val="en-US"/>
        </w:rPr>
        <w:t>right to access health services without discrimination (section 37).</w:t>
      </w:r>
    </w:p>
    <w:p w14:paraId="7E5C6F59" w14:textId="38EBC75A" w:rsidR="00E14A49" w:rsidRDefault="00827BAF" w:rsidP="007F4DAD">
      <w:pPr>
        <w:pStyle w:val="Numberedparagraph"/>
        <w:rPr>
          <w:lang w:val="en-US"/>
        </w:rPr>
      </w:pPr>
      <w:r>
        <w:rPr>
          <w:lang w:val="en-US"/>
        </w:rPr>
        <w:t>More specifically, s</w:t>
      </w:r>
      <w:r w:rsidR="00E14A49">
        <w:rPr>
          <w:lang w:val="en-US"/>
        </w:rPr>
        <w:t xml:space="preserve">ection 26(2) of the Human Rights Act </w:t>
      </w:r>
      <w:r w:rsidR="00205127">
        <w:rPr>
          <w:lang w:val="en-US"/>
        </w:rPr>
        <w:t xml:space="preserve">provides that </w:t>
      </w:r>
    </w:p>
    <w:p w14:paraId="005CC478" w14:textId="44A078DE" w:rsidR="00583BAF" w:rsidRDefault="00583BAF" w:rsidP="00E64066">
      <w:pPr>
        <w:pStyle w:val="Quote"/>
        <w:rPr>
          <w:lang w:val="en-US"/>
        </w:rPr>
      </w:pPr>
      <w:r>
        <w:rPr>
          <w:lang w:val="en-US"/>
        </w:rPr>
        <w:t>Every child has the right, without discrimination, to the protection that is needed by the child, and is in the child’s best interests, because of being a child.</w:t>
      </w:r>
    </w:p>
    <w:p w14:paraId="4379313D" w14:textId="10500C44" w:rsidR="00FC0EBF" w:rsidRPr="00FC0EBF" w:rsidRDefault="00CC7FFD" w:rsidP="00FC0EBF">
      <w:pPr>
        <w:pStyle w:val="Heading2"/>
        <w:rPr>
          <w:lang w:eastAsia="en-AU"/>
        </w:rPr>
      </w:pPr>
      <w:bookmarkStart w:id="6" w:name="_Toc180746446"/>
      <w:r w:rsidRPr="37BE00A7">
        <w:rPr>
          <w:lang w:eastAsia="en-AU"/>
        </w:rPr>
        <w:t xml:space="preserve">Reviews of </w:t>
      </w:r>
      <w:r w:rsidR="00D1141E" w:rsidRPr="37BE00A7">
        <w:rPr>
          <w:lang w:eastAsia="en-AU"/>
        </w:rPr>
        <w:t>y</w:t>
      </w:r>
      <w:r w:rsidRPr="37BE00A7">
        <w:rPr>
          <w:lang w:eastAsia="en-AU"/>
        </w:rPr>
        <w:t xml:space="preserve">outh </w:t>
      </w:r>
      <w:r w:rsidR="00D1141E" w:rsidRPr="37BE00A7">
        <w:rPr>
          <w:lang w:eastAsia="en-AU"/>
        </w:rPr>
        <w:t>j</w:t>
      </w:r>
      <w:r w:rsidRPr="37BE00A7">
        <w:rPr>
          <w:lang w:eastAsia="en-AU"/>
        </w:rPr>
        <w:t>ustice policy</w:t>
      </w:r>
      <w:bookmarkEnd w:id="6"/>
    </w:p>
    <w:p w14:paraId="7397B7E2" w14:textId="138BCA36" w:rsidR="00D8199A" w:rsidRDefault="00577BD6" w:rsidP="00D8199A">
      <w:pPr>
        <w:pStyle w:val="Numberedparagraph"/>
        <w:rPr>
          <w:lang w:val="en-US"/>
        </w:rPr>
      </w:pPr>
      <w:r>
        <w:rPr>
          <w:lang w:val="en-US"/>
        </w:rPr>
        <w:t xml:space="preserve">In 2018, </w:t>
      </w:r>
      <w:r w:rsidR="00D8199A" w:rsidRPr="000E3588">
        <w:rPr>
          <w:lang w:val="en-US"/>
        </w:rPr>
        <w:t xml:space="preserve">former police Commissioner Bob Atkinson </w:t>
      </w:r>
      <w:r w:rsidR="00767694">
        <w:rPr>
          <w:lang w:val="en-US"/>
        </w:rPr>
        <w:t xml:space="preserve">reported </w:t>
      </w:r>
      <w:r w:rsidR="00D8199A" w:rsidRPr="000E3588">
        <w:rPr>
          <w:lang w:val="en-US"/>
        </w:rPr>
        <w:t>on the Queensland Government’s progress on youth justice reforms and other measures to reduce recidivism (</w:t>
      </w:r>
      <w:r w:rsidR="00D8199A" w:rsidRPr="00AA2AC1">
        <w:rPr>
          <w:b/>
          <w:bCs/>
          <w:lang w:val="en-US"/>
        </w:rPr>
        <w:t>Atkinson report</w:t>
      </w:r>
      <w:r w:rsidR="00D8199A" w:rsidRPr="000E3588">
        <w:rPr>
          <w:lang w:val="en-US"/>
        </w:rPr>
        <w:t>).</w:t>
      </w:r>
      <w:r w:rsidR="00D8199A" w:rsidRPr="15615DC0">
        <w:rPr>
          <w:rFonts w:asciiTheme="minorHAnsi" w:hAnsiTheme="minorHAnsi" w:cs="Times New Roman"/>
          <w:vertAlign w:val="superscript"/>
        </w:rPr>
        <w:footnoteReference w:id="9"/>
      </w:r>
      <w:r w:rsidR="00D8199A" w:rsidRPr="15615DC0">
        <w:rPr>
          <w:rFonts w:ascii="Times New Roman" w:hAnsi="Times New Roman" w:cs="Times New Roman"/>
          <w:sz w:val="24"/>
          <w:lang w:eastAsia="en-AU"/>
        </w:rPr>
        <w:t xml:space="preserve"> </w:t>
      </w:r>
      <w:r w:rsidR="00D8199A" w:rsidRPr="000E3588">
        <w:rPr>
          <w:lang w:val="en-US"/>
        </w:rPr>
        <w:t>The report identified common features of children and young people in the youth justice system,</w:t>
      </w:r>
      <w:r w:rsidR="00D8199A" w:rsidRPr="000E3588">
        <w:rPr>
          <w:vertAlign w:val="superscript"/>
          <w:lang w:val="en-US"/>
        </w:rPr>
        <w:footnoteReference w:id="10"/>
      </w:r>
      <w:r w:rsidR="00D8199A" w:rsidRPr="000E3588">
        <w:rPr>
          <w:lang w:val="en-US"/>
        </w:rPr>
        <w:t xml:space="preserve"> and system deficits that contribute to initial and repeated contact with it.</w:t>
      </w:r>
      <w:r w:rsidR="00D8199A" w:rsidRPr="000E3588">
        <w:rPr>
          <w:vertAlign w:val="superscript"/>
          <w:lang w:val="en-US"/>
        </w:rPr>
        <w:footnoteReference w:id="11"/>
      </w:r>
      <w:r w:rsidR="00D8199A" w:rsidRPr="000E3588">
        <w:rPr>
          <w:lang w:val="en-US"/>
        </w:rPr>
        <w:t xml:space="preserve"> In response, it recommended the Queensland Government adopt as its </w:t>
      </w:r>
      <w:r w:rsidR="003A774A">
        <w:rPr>
          <w:lang w:val="en-US"/>
        </w:rPr>
        <w:t xml:space="preserve">youth justice </w:t>
      </w:r>
      <w:r w:rsidR="00D8199A" w:rsidRPr="000E3588">
        <w:rPr>
          <w:lang w:val="en-US"/>
        </w:rPr>
        <w:t xml:space="preserve">policy position the objectives of: intervening early, keeping children out of court, keeping children out of </w:t>
      </w:r>
      <w:r w:rsidR="00D8199A" w:rsidRPr="000E3588">
        <w:rPr>
          <w:lang w:val="en-US"/>
        </w:rPr>
        <w:lastRenderedPageBreak/>
        <w:t>custody, and reducing reoffending (referred to as the ‘four pillars’) bookended by the principles of public safety and community confidence.</w:t>
      </w:r>
    </w:p>
    <w:p w14:paraId="38D7E65A" w14:textId="5F5CE45C" w:rsidR="00B13DA1" w:rsidRDefault="00A519E4" w:rsidP="00BA5F5A">
      <w:pPr>
        <w:pStyle w:val="Numberedparagraph"/>
        <w:rPr>
          <w:lang w:val="en-US"/>
        </w:rPr>
      </w:pPr>
      <w:r w:rsidRPr="005F4FAF">
        <w:rPr>
          <w:lang w:val="en-US"/>
        </w:rPr>
        <w:t xml:space="preserve">The Atkinson report formed the basis of Queensland’s </w:t>
      </w:r>
      <w:r w:rsidRPr="009074C7">
        <w:rPr>
          <w:i/>
          <w:iCs/>
          <w:lang w:val="en-US"/>
        </w:rPr>
        <w:t>Youth Justice Strategy</w:t>
      </w:r>
      <w:r w:rsidRPr="005F4FAF">
        <w:rPr>
          <w:lang w:val="en-US"/>
        </w:rPr>
        <w:t xml:space="preserve"> </w:t>
      </w:r>
      <w:r>
        <w:rPr>
          <w:lang w:val="en-US"/>
        </w:rPr>
        <w:t xml:space="preserve">2019-2023 </w:t>
      </w:r>
      <w:r w:rsidRPr="005F4FAF">
        <w:rPr>
          <w:lang w:val="en-US"/>
        </w:rPr>
        <w:t>and Action Plan</w:t>
      </w:r>
      <w:r w:rsidR="00A739A7">
        <w:rPr>
          <w:rStyle w:val="FootnoteReference"/>
          <w:lang w:val="en-US"/>
        </w:rPr>
        <w:footnoteReference w:id="12"/>
      </w:r>
      <w:r w:rsidR="00795636">
        <w:rPr>
          <w:lang w:val="en-US"/>
        </w:rPr>
        <w:t>, and led to 2019 amendments to legislation to improve access to bail and bail processes</w:t>
      </w:r>
      <w:r w:rsidRPr="005F4FAF">
        <w:rPr>
          <w:lang w:val="en-US"/>
        </w:rPr>
        <w:t>.</w:t>
      </w:r>
      <w:r w:rsidRPr="005F4FAF">
        <w:rPr>
          <w:rFonts w:asciiTheme="minorHAnsi" w:hAnsiTheme="minorHAnsi"/>
          <w:vertAlign w:val="superscript"/>
        </w:rPr>
        <w:footnoteReference w:id="13"/>
      </w:r>
      <w:r w:rsidR="00133DB3">
        <w:rPr>
          <w:lang w:val="en-US"/>
        </w:rPr>
        <w:t xml:space="preserve"> </w:t>
      </w:r>
    </w:p>
    <w:p w14:paraId="476B6140" w14:textId="1FE62131" w:rsidR="008937FE" w:rsidRPr="00A739A7" w:rsidRDefault="008937FE" w:rsidP="008937FE">
      <w:pPr>
        <w:pStyle w:val="Numberedparagraph"/>
        <w:rPr>
          <w:lang w:val="en-US"/>
        </w:rPr>
      </w:pPr>
      <w:r>
        <w:rPr>
          <w:lang w:val="en-US"/>
        </w:rPr>
        <w:t xml:space="preserve">In 2021, a private member’s </w:t>
      </w:r>
      <w:r w:rsidR="001226A0">
        <w:rPr>
          <w:lang w:val="en-US"/>
        </w:rPr>
        <w:t>Bill</w:t>
      </w:r>
      <w:r>
        <w:rPr>
          <w:lang w:val="en-US"/>
        </w:rPr>
        <w:t xml:space="preserve"> was introduced to raise the age of criminal responsibility from 10 years to 14 years, and to transfer any children under 14 out of custody. The parliamentary committee did not recommend the </w:t>
      </w:r>
      <w:r w:rsidR="00153A56">
        <w:rPr>
          <w:lang w:val="en-US"/>
        </w:rPr>
        <w:t xml:space="preserve">Bill </w:t>
      </w:r>
      <w:r>
        <w:rPr>
          <w:lang w:val="en-US"/>
        </w:rPr>
        <w:t>be passed</w:t>
      </w:r>
      <w:r w:rsidR="007279E8">
        <w:rPr>
          <w:lang w:val="en-US"/>
        </w:rPr>
        <w:t xml:space="preserve"> </w:t>
      </w:r>
      <w:r w:rsidRPr="00F7702E">
        <w:t>but made recommendations regarding treatment of young people in the youth justice system and consideration of increasing the minimum age of criminal responsibility to 12 years.</w:t>
      </w:r>
      <w:r>
        <w:t xml:space="preserve"> The Bill was not passed.</w:t>
      </w:r>
      <w:r>
        <w:rPr>
          <w:rStyle w:val="FootnoteReference"/>
        </w:rPr>
        <w:footnoteReference w:id="14"/>
      </w:r>
    </w:p>
    <w:p w14:paraId="7CA883ED" w14:textId="33E0247D" w:rsidR="00A739A7" w:rsidRPr="00FB1616" w:rsidRDefault="00A739A7" w:rsidP="008937FE">
      <w:pPr>
        <w:pStyle w:val="Numberedparagraph"/>
        <w:rPr>
          <w:lang w:val="en-US"/>
        </w:rPr>
      </w:pPr>
      <w:r>
        <w:rPr>
          <w:lang w:val="en-US"/>
        </w:rPr>
        <w:t>A timeline of youth justice legislative reforms and policy initiatives from 2016 to February 2022 is usefully set out in Bob Atkinson’s 2022 review of youth justice reforms.</w:t>
      </w:r>
      <w:r>
        <w:rPr>
          <w:rStyle w:val="FootnoteReference"/>
          <w:lang w:val="en-US"/>
        </w:rPr>
        <w:footnoteReference w:id="15"/>
      </w:r>
      <w:r>
        <w:rPr>
          <w:lang w:val="en-US"/>
        </w:rPr>
        <w:t xml:space="preserve"> That report identifies opportunities to strengthen the </w:t>
      </w:r>
      <w:r w:rsidR="00E42833">
        <w:rPr>
          <w:lang w:val="en-US"/>
        </w:rPr>
        <w:t xml:space="preserve">government’s </w:t>
      </w:r>
      <w:r>
        <w:rPr>
          <w:lang w:val="en-US"/>
        </w:rPr>
        <w:t>approach to youth offending aligned with principles of early intervention and non-incarceration, such as partnerships with Aboriginal and Torres Strait Islander people, identifying and managing cognitive impairments, developing place-based responses to preventing youth crime and engaging with the Queensland community about youth offending.</w:t>
      </w:r>
      <w:r>
        <w:rPr>
          <w:rStyle w:val="FootnoteReference"/>
          <w:lang w:val="en-US"/>
        </w:rPr>
        <w:footnoteReference w:id="16"/>
      </w:r>
    </w:p>
    <w:p w14:paraId="7C7C4B8D" w14:textId="39F369EB" w:rsidR="008937FE" w:rsidRPr="00291ED3" w:rsidRDefault="00E4172A" w:rsidP="00BA5F5A">
      <w:pPr>
        <w:pStyle w:val="Numberedparagraph"/>
        <w:rPr>
          <w:lang w:val="en-US"/>
        </w:rPr>
      </w:pPr>
      <w:r>
        <w:rPr>
          <w:lang w:val="en-US"/>
        </w:rPr>
        <w:t xml:space="preserve">On 16 January 2023, the inaugural First Nations Justice Officer was appointed, </w:t>
      </w:r>
      <w:r w:rsidR="009D17B9" w:rsidRPr="009D17B9">
        <w:t xml:space="preserve">funded as part of the Government’s response to the Women’s Safety and Justice Taskforce’s first </w:t>
      </w:r>
      <w:r w:rsidR="009D17B9" w:rsidRPr="009D17B9">
        <w:rPr>
          <w:i/>
          <w:iCs/>
        </w:rPr>
        <w:t>Hear Her Voice</w:t>
      </w:r>
      <w:r w:rsidR="009D17B9" w:rsidRPr="009D17B9">
        <w:t xml:space="preserve"> report to reduce the representation of First Nations people in the criminal justice system.</w:t>
      </w:r>
      <w:r w:rsidR="009D17B9" w:rsidRPr="009D17B9">
        <w:rPr>
          <w:vertAlign w:val="superscript"/>
        </w:rPr>
        <w:footnoteReference w:id="17"/>
      </w:r>
      <w:r w:rsidR="00D64893">
        <w:t xml:space="preserve"> </w:t>
      </w:r>
      <w:r w:rsidR="00FB1F1E">
        <w:t>The First Nations Justice Office</w:t>
      </w:r>
      <w:r w:rsidR="0002127D">
        <w:t xml:space="preserve"> is co</w:t>
      </w:r>
      <w:r w:rsidR="005D1BE2">
        <w:t>-</w:t>
      </w:r>
      <w:r w:rsidR="0002127D">
        <w:t xml:space="preserve">leading the development of a justice reinvestment framework </w:t>
      </w:r>
      <w:r w:rsidR="005D1BE2">
        <w:t>for Queensland</w:t>
      </w:r>
      <w:r w:rsidR="00E7262D">
        <w:t>.</w:t>
      </w:r>
      <w:r w:rsidR="005B6B3B">
        <w:rPr>
          <w:rStyle w:val="FootnoteReference"/>
        </w:rPr>
        <w:footnoteReference w:id="18"/>
      </w:r>
    </w:p>
    <w:p w14:paraId="05315894" w14:textId="3977ACB3" w:rsidR="00291ED3" w:rsidRPr="00FB1616" w:rsidRDefault="008D1C09" w:rsidP="00BA5F5A">
      <w:pPr>
        <w:pStyle w:val="Numberedparagraph"/>
        <w:rPr>
          <w:lang w:val="en-US"/>
        </w:rPr>
      </w:pPr>
      <w:r>
        <w:t>As a result of</w:t>
      </w:r>
      <w:r w:rsidR="004201DA">
        <w:t xml:space="preserve"> legislative reform</w:t>
      </w:r>
      <w:r>
        <w:t>, o</w:t>
      </w:r>
      <w:r w:rsidR="00291ED3">
        <w:t xml:space="preserve">n 1 July 2023, the Queensland Ombudsman’s functions </w:t>
      </w:r>
      <w:r w:rsidR="008127ED">
        <w:t xml:space="preserve">under the </w:t>
      </w:r>
      <w:r w:rsidR="008127ED" w:rsidRPr="00876CC3">
        <w:rPr>
          <w:i/>
          <w:iCs/>
        </w:rPr>
        <w:t>Inspector of Detention Services Act 2022</w:t>
      </w:r>
      <w:r w:rsidR="008127ED">
        <w:t xml:space="preserve"> (Qld) </w:t>
      </w:r>
      <w:r w:rsidR="00876CC3" w:rsidRPr="00876CC3">
        <w:t xml:space="preserve">commenced. </w:t>
      </w:r>
      <w:r w:rsidR="00876CC3" w:rsidRPr="00876CC3">
        <w:lastRenderedPageBreak/>
        <w:t>Inspection standards for Queensland youth detention centres were published in August 2023</w:t>
      </w:r>
      <w:r w:rsidR="001016F9">
        <w:t>,</w:t>
      </w:r>
      <w:r w:rsidR="00A66CF6">
        <w:rPr>
          <w:rStyle w:val="FootnoteReference"/>
        </w:rPr>
        <w:footnoteReference w:id="19"/>
      </w:r>
      <w:r w:rsidR="00876CC3" w:rsidRPr="00876CC3">
        <w:t xml:space="preserve"> with standards for </w:t>
      </w:r>
      <w:r w:rsidR="002D2B73">
        <w:t>watch house</w:t>
      </w:r>
      <w:r w:rsidR="00876CC3" w:rsidRPr="00876CC3">
        <w:t>s to follow.</w:t>
      </w:r>
      <w:r w:rsidR="000845A7">
        <w:t xml:space="preserve"> </w:t>
      </w:r>
      <w:r w:rsidR="002A22B4">
        <w:t>Two detention inspection reports have been p</w:t>
      </w:r>
      <w:r w:rsidR="0018249E">
        <w:t>ublished to date</w:t>
      </w:r>
      <w:r w:rsidR="00DD5247">
        <w:t xml:space="preserve"> –</w:t>
      </w:r>
      <w:r w:rsidR="002A22B4">
        <w:t xml:space="preserve"> </w:t>
      </w:r>
      <w:r w:rsidR="006611A5">
        <w:t>one</w:t>
      </w:r>
      <w:r w:rsidR="00DD5247">
        <w:t xml:space="preserve"> </w:t>
      </w:r>
      <w:r w:rsidR="006611A5">
        <w:t>on Cleveland Youth Detention Centre</w:t>
      </w:r>
      <w:r w:rsidR="00DD2C1A">
        <w:t xml:space="preserve">, and another on Cairns and Murgon </w:t>
      </w:r>
      <w:r w:rsidR="002D2B73">
        <w:t>watch house</w:t>
      </w:r>
      <w:r w:rsidR="00DD2C1A">
        <w:t>s with a focus on detention of children.</w:t>
      </w:r>
      <w:r w:rsidR="00DD2C1A">
        <w:rPr>
          <w:rStyle w:val="FootnoteReference"/>
        </w:rPr>
        <w:footnoteReference w:id="20"/>
      </w:r>
      <w:r w:rsidR="00DD2C1A">
        <w:t xml:space="preserve"> </w:t>
      </w:r>
    </w:p>
    <w:p w14:paraId="3E5BF940" w14:textId="0E017A75" w:rsidR="0059320D" w:rsidRDefault="00765910" w:rsidP="00D8199A">
      <w:pPr>
        <w:pStyle w:val="Numberedparagraph"/>
        <w:rPr>
          <w:lang w:val="en-US"/>
        </w:rPr>
      </w:pPr>
      <w:r>
        <w:rPr>
          <w:lang w:val="en-US"/>
        </w:rPr>
        <w:t xml:space="preserve">In October 2023, the </w:t>
      </w:r>
      <w:r w:rsidR="00747701">
        <w:rPr>
          <w:lang w:val="en-US"/>
        </w:rPr>
        <w:t>Queensland</w:t>
      </w:r>
      <w:r>
        <w:rPr>
          <w:lang w:val="en-US"/>
        </w:rPr>
        <w:t xml:space="preserve"> Legislative Assembly established the Youth Justice Reform Select Committee to examine ongoing reforms to the youth justice system and support for victims of crime. </w:t>
      </w:r>
      <w:r w:rsidR="003F7E26">
        <w:rPr>
          <w:lang w:val="en-US"/>
        </w:rPr>
        <w:t xml:space="preserve">After receiving 220 submissions, holding </w:t>
      </w:r>
      <w:r w:rsidR="002821E3">
        <w:rPr>
          <w:lang w:val="en-US"/>
        </w:rPr>
        <w:t>17</w:t>
      </w:r>
      <w:r w:rsidR="00BD2B81">
        <w:rPr>
          <w:lang w:val="en-US"/>
        </w:rPr>
        <w:t xml:space="preserve"> public </w:t>
      </w:r>
      <w:r w:rsidR="00237DCB">
        <w:rPr>
          <w:lang w:val="en-US"/>
        </w:rPr>
        <w:t>hearings</w:t>
      </w:r>
      <w:r w:rsidR="0043344F">
        <w:rPr>
          <w:lang w:val="en-US"/>
        </w:rPr>
        <w:t xml:space="preserve"> and</w:t>
      </w:r>
      <w:r w:rsidR="003F7E26">
        <w:rPr>
          <w:lang w:val="en-US"/>
        </w:rPr>
        <w:t xml:space="preserve"> </w:t>
      </w:r>
      <w:r w:rsidR="002821E3">
        <w:rPr>
          <w:lang w:val="en-US"/>
        </w:rPr>
        <w:t>briefings with experts and government agencies</w:t>
      </w:r>
      <w:r w:rsidR="00BD2B81">
        <w:rPr>
          <w:lang w:val="en-US"/>
        </w:rPr>
        <w:t>, and conducting sit</w:t>
      </w:r>
      <w:r w:rsidR="00C3662A">
        <w:rPr>
          <w:lang w:val="en-US"/>
        </w:rPr>
        <w:t>e</w:t>
      </w:r>
      <w:r w:rsidR="00BD2B81">
        <w:rPr>
          <w:lang w:val="en-US"/>
        </w:rPr>
        <w:t xml:space="preserve"> visits, t</w:t>
      </w:r>
      <w:r>
        <w:t xml:space="preserve">he committee </w:t>
      </w:r>
      <w:r w:rsidR="006B51F5" w:rsidRPr="006B51F5">
        <w:t xml:space="preserve">dissolved </w:t>
      </w:r>
      <w:r w:rsidR="00B723CE">
        <w:t xml:space="preserve">on 17 April 2024 </w:t>
      </w:r>
      <w:r w:rsidR="0043344F">
        <w:t xml:space="preserve">having failed </w:t>
      </w:r>
      <w:r w:rsidR="006B51F5" w:rsidRPr="006B51F5">
        <w:t>to agree on an interim report. The draft interim report</w:t>
      </w:r>
      <w:r>
        <w:t xml:space="preserve">, </w:t>
      </w:r>
      <w:r w:rsidR="00751E6A">
        <w:t>containing 60 recommendations, wa</w:t>
      </w:r>
      <w:r w:rsidR="006B51F5" w:rsidRPr="006B51F5">
        <w:t xml:space="preserve">s </w:t>
      </w:r>
      <w:r w:rsidR="00DD35E2">
        <w:t>tabled in Parliament</w:t>
      </w:r>
      <w:r w:rsidR="006B51F5" w:rsidRPr="006B51F5">
        <w:t xml:space="preserve"> on 18 April 2024.</w:t>
      </w:r>
      <w:r w:rsidR="00751E6A">
        <w:rPr>
          <w:rStyle w:val="FootnoteReference"/>
        </w:rPr>
        <w:footnoteReference w:id="21"/>
      </w:r>
    </w:p>
    <w:p w14:paraId="6D1D55EA" w14:textId="660A08C7" w:rsidR="00B27095" w:rsidRPr="00A437BA" w:rsidRDefault="00B27095" w:rsidP="00D8199A">
      <w:pPr>
        <w:pStyle w:val="Numberedparagraph"/>
        <w:rPr>
          <w:lang w:val="en-US"/>
        </w:rPr>
      </w:pPr>
      <w:r>
        <w:t xml:space="preserve">The </w:t>
      </w:r>
      <w:r w:rsidR="00920BFA">
        <w:t>Chair’s draft for</w:t>
      </w:r>
      <w:r w:rsidR="00DD5BDC">
        <w:t>e</w:t>
      </w:r>
      <w:r w:rsidR="00920BFA">
        <w:t>w</w:t>
      </w:r>
      <w:r w:rsidR="00DD5BDC">
        <w:t>o</w:t>
      </w:r>
      <w:r w:rsidR="00920BFA">
        <w:t>rd to the</w:t>
      </w:r>
      <w:r w:rsidR="0041699B">
        <w:t xml:space="preserve"> interim report noted th</w:t>
      </w:r>
      <w:r w:rsidR="000E41D6">
        <w:t xml:space="preserve">at, despite youth crime being a ‘polarising and complex issue’, the </w:t>
      </w:r>
      <w:r w:rsidR="00A437BA">
        <w:t>committee had identified several vital areas of consensus in its work:</w:t>
      </w:r>
    </w:p>
    <w:p w14:paraId="46D5859E" w14:textId="53FB8DE9" w:rsidR="00A437BA" w:rsidRDefault="00A437BA" w:rsidP="00B863A5">
      <w:pPr>
        <w:pStyle w:val="Quote"/>
      </w:pPr>
      <w:r>
        <w:t xml:space="preserve">Most notably, there is agreement that all Queenslanders, have a right to feel safe, and that the state’s youth justice system is falling short on this front. In addition, that our interventions are not early enough and that our systems are siloed without the necessary processes to ensure that Queensland children and youth do not fall through health and educational ‘gaps’. </w:t>
      </w:r>
      <w:r w:rsidRPr="00B863A5">
        <w:rPr>
          <w:b/>
          <w:bCs/>
        </w:rPr>
        <w:t>Importantly, that detention does not deter reoffending, with timeframes for rehabilitation inadequate to effect long-term change as has been seen by the unacceptable high rates of reoffending.</w:t>
      </w:r>
      <w:r w:rsidR="00220380" w:rsidRPr="00F43490">
        <w:rPr>
          <w:rStyle w:val="FootnoteReference"/>
        </w:rPr>
        <w:footnoteReference w:id="22"/>
      </w:r>
      <w:r w:rsidR="00F43490" w:rsidRPr="00F43490">
        <w:t xml:space="preserve"> (emphasis added)</w:t>
      </w:r>
    </w:p>
    <w:p w14:paraId="36ECF42F" w14:textId="38CAB966" w:rsidR="001F0790" w:rsidRPr="001F0790" w:rsidRDefault="001F0790" w:rsidP="001F0790">
      <w:pPr>
        <w:pStyle w:val="Numberedparagraph"/>
      </w:pPr>
      <w:r>
        <w:t xml:space="preserve">The Queensland Government provided a response </w:t>
      </w:r>
      <w:r w:rsidR="00681033">
        <w:t xml:space="preserve">to the draft interim </w:t>
      </w:r>
      <w:r w:rsidR="00574B8E">
        <w:t>report, accepting 23 recommendations in full, and accepting the remaining 37 recommendations in principle</w:t>
      </w:r>
      <w:r w:rsidR="009D335B">
        <w:t xml:space="preserve">, </w:t>
      </w:r>
      <w:r w:rsidR="005C6F7D">
        <w:t>which it committed to delivering</w:t>
      </w:r>
      <w:r w:rsidR="00F15654">
        <w:t xml:space="preserve"> primarily</w:t>
      </w:r>
      <w:r w:rsidR="009D335B">
        <w:t xml:space="preserve"> through the new </w:t>
      </w:r>
      <w:r w:rsidR="009D335B" w:rsidRPr="009D335B">
        <w:rPr>
          <w:i/>
          <w:iCs/>
        </w:rPr>
        <w:t>Community Safety Plan for Queensland</w:t>
      </w:r>
      <w:r w:rsidR="00574B8E" w:rsidRPr="00591851">
        <w:t>.</w:t>
      </w:r>
      <w:r w:rsidR="00591851" w:rsidRPr="00591851">
        <w:rPr>
          <w:rStyle w:val="FootnoteReference"/>
        </w:rPr>
        <w:t xml:space="preserve"> </w:t>
      </w:r>
      <w:r w:rsidR="00591851" w:rsidRPr="00591851">
        <w:rPr>
          <w:rStyle w:val="FootnoteReference"/>
        </w:rPr>
        <w:footnoteReference w:id="23"/>
      </w:r>
      <w:r w:rsidR="00574B8E">
        <w:t xml:space="preserve"> </w:t>
      </w:r>
    </w:p>
    <w:p w14:paraId="7F943D6D" w14:textId="4F725370" w:rsidR="008C112D" w:rsidRPr="008C112D" w:rsidRDefault="001B1A03" w:rsidP="001B1A03">
      <w:pPr>
        <w:pStyle w:val="Heading2"/>
        <w:rPr>
          <w:lang w:eastAsia="en-AU"/>
        </w:rPr>
      </w:pPr>
      <w:bookmarkStart w:id="7" w:name="_Toc180746447"/>
      <w:r w:rsidRPr="37BE00A7">
        <w:rPr>
          <w:lang w:eastAsia="en-AU"/>
        </w:rPr>
        <w:lastRenderedPageBreak/>
        <w:t>Legislative</w:t>
      </w:r>
      <w:r w:rsidR="00D850B4" w:rsidRPr="37BE00A7">
        <w:rPr>
          <w:lang w:eastAsia="en-AU"/>
        </w:rPr>
        <w:t xml:space="preserve"> and policy</w:t>
      </w:r>
      <w:r w:rsidRPr="37BE00A7">
        <w:rPr>
          <w:lang w:eastAsia="en-AU"/>
        </w:rPr>
        <w:t xml:space="preserve"> changes </w:t>
      </w:r>
      <w:r w:rsidR="00113253" w:rsidRPr="37BE00A7">
        <w:rPr>
          <w:lang w:eastAsia="en-AU"/>
        </w:rPr>
        <w:t>promoting</w:t>
      </w:r>
      <w:r w:rsidRPr="37BE00A7">
        <w:rPr>
          <w:lang w:eastAsia="en-AU"/>
        </w:rPr>
        <w:t xml:space="preserve"> detention</w:t>
      </w:r>
      <w:bookmarkEnd w:id="7"/>
    </w:p>
    <w:p w14:paraId="1E765735" w14:textId="20F98862" w:rsidR="00D8199A" w:rsidRPr="005F4FAF" w:rsidRDefault="009F69DB" w:rsidP="00D8199A">
      <w:pPr>
        <w:pStyle w:val="Numberedparagraph"/>
        <w:rPr>
          <w:sz w:val="24"/>
          <w:lang w:eastAsia="en-AU"/>
        </w:rPr>
      </w:pPr>
      <w:r>
        <w:rPr>
          <w:lang w:val="en-US"/>
        </w:rPr>
        <w:t>A</w:t>
      </w:r>
      <w:r w:rsidR="00B85BB9">
        <w:rPr>
          <w:lang w:val="en-US"/>
        </w:rPr>
        <w:t>ttempt</w:t>
      </w:r>
      <w:r w:rsidR="004F0706">
        <w:rPr>
          <w:lang w:val="en-US"/>
        </w:rPr>
        <w:t>s</w:t>
      </w:r>
      <w:r w:rsidR="00B85BB9">
        <w:rPr>
          <w:lang w:val="en-US"/>
        </w:rPr>
        <w:t xml:space="preserve"> </w:t>
      </w:r>
      <w:r w:rsidR="00CE1655">
        <w:rPr>
          <w:lang w:val="en-US"/>
        </w:rPr>
        <w:t xml:space="preserve">to implement the Atkinson report </w:t>
      </w:r>
      <w:r w:rsidR="00935492">
        <w:rPr>
          <w:lang w:val="en-US"/>
        </w:rPr>
        <w:t xml:space="preserve">and </w:t>
      </w:r>
      <w:r w:rsidR="003E2B17">
        <w:rPr>
          <w:lang w:val="en-US"/>
        </w:rPr>
        <w:t>reduce</w:t>
      </w:r>
      <w:r w:rsidR="00935492">
        <w:rPr>
          <w:lang w:val="en-US"/>
        </w:rPr>
        <w:t xml:space="preserve"> </w:t>
      </w:r>
      <w:r w:rsidR="006E0224">
        <w:rPr>
          <w:lang w:val="en-US"/>
        </w:rPr>
        <w:t xml:space="preserve">detention </w:t>
      </w:r>
      <w:r w:rsidR="003E2B17">
        <w:rPr>
          <w:lang w:val="en-US"/>
        </w:rPr>
        <w:t>of young people</w:t>
      </w:r>
      <w:r w:rsidR="006E0224">
        <w:rPr>
          <w:lang w:val="en-US"/>
        </w:rPr>
        <w:t xml:space="preserve"> have been undermined through legislative amendment </w:t>
      </w:r>
      <w:r w:rsidR="0062216C">
        <w:rPr>
          <w:lang w:val="en-US"/>
        </w:rPr>
        <w:t xml:space="preserve">(sometimes </w:t>
      </w:r>
      <w:r w:rsidR="00BB2D07">
        <w:rPr>
          <w:lang w:val="en-US"/>
        </w:rPr>
        <w:t>made</w:t>
      </w:r>
      <w:r w:rsidR="0062216C">
        <w:rPr>
          <w:lang w:val="en-US"/>
        </w:rPr>
        <w:t xml:space="preserve"> without Parliamentary committee scrutiny) </w:t>
      </w:r>
      <w:r w:rsidR="006E0224">
        <w:rPr>
          <w:lang w:val="en-US"/>
        </w:rPr>
        <w:t xml:space="preserve">and </w:t>
      </w:r>
      <w:r w:rsidR="00B85C89">
        <w:rPr>
          <w:lang w:val="en-US"/>
        </w:rPr>
        <w:t xml:space="preserve">policing </w:t>
      </w:r>
      <w:r w:rsidR="00BB2D07">
        <w:rPr>
          <w:lang w:val="en-US"/>
        </w:rPr>
        <w:t>policies</w:t>
      </w:r>
      <w:r w:rsidR="00B85C89">
        <w:rPr>
          <w:lang w:val="en-US"/>
        </w:rPr>
        <w:t xml:space="preserve">, </w:t>
      </w:r>
      <w:r w:rsidR="00BB2D07">
        <w:rPr>
          <w:lang w:val="en-US"/>
        </w:rPr>
        <w:t>often hastily introduced in reaction to tragic high-profile events involving the loss of life</w:t>
      </w:r>
      <w:r w:rsidR="00A96225">
        <w:rPr>
          <w:lang w:val="en-US"/>
        </w:rPr>
        <w:t xml:space="preserve">. </w:t>
      </w:r>
      <w:r w:rsidR="00450EFB">
        <w:rPr>
          <w:lang w:val="en-US"/>
        </w:rPr>
        <w:t>These include:</w:t>
      </w:r>
    </w:p>
    <w:p w14:paraId="3CFC5AB4" w14:textId="177C2B0D" w:rsidR="00D8199A" w:rsidRDefault="00E31C99" w:rsidP="00272F6F">
      <w:pPr>
        <w:pStyle w:val="Bulletedlist"/>
        <w:contextualSpacing w:val="0"/>
        <w:rPr>
          <w:lang w:val="en-US"/>
        </w:rPr>
      </w:pPr>
      <w:r>
        <w:rPr>
          <w:lang w:val="en-US"/>
        </w:rPr>
        <w:t xml:space="preserve">10 March 2020: </w:t>
      </w:r>
      <w:r w:rsidR="00D8199A">
        <w:rPr>
          <w:lang w:val="en-US"/>
        </w:rPr>
        <w:t xml:space="preserve">five-point plan </w:t>
      </w:r>
      <w:r w:rsidR="00735034">
        <w:rPr>
          <w:lang w:val="en-US"/>
        </w:rPr>
        <w:t xml:space="preserve">announced </w:t>
      </w:r>
      <w:r w:rsidR="00D8199A">
        <w:rPr>
          <w:lang w:val="en-US"/>
        </w:rPr>
        <w:t>to crack down on youth crime, including tougher action on bail, a ‘police blitz’ on bail, and more resources to appeal court decisions</w:t>
      </w:r>
      <w:r w:rsidR="00924803">
        <w:rPr>
          <w:lang w:val="en-US"/>
        </w:rPr>
        <w:t>.</w:t>
      </w:r>
      <w:r w:rsidR="00D8199A" w:rsidRPr="008D0AAE">
        <w:rPr>
          <w:vertAlign w:val="superscript"/>
        </w:rPr>
        <w:footnoteReference w:id="24"/>
      </w:r>
    </w:p>
    <w:p w14:paraId="38308C0D" w14:textId="51BE958D" w:rsidR="00D8199A" w:rsidRPr="005F4FAF" w:rsidRDefault="00B42D16" w:rsidP="00272F6F">
      <w:pPr>
        <w:pStyle w:val="Bulletedlist"/>
        <w:contextualSpacing w:val="0"/>
        <w:rPr>
          <w:lang w:val="en-US"/>
        </w:rPr>
      </w:pPr>
      <w:r w:rsidRPr="00AB56C4">
        <w:t>15 July 2020</w:t>
      </w:r>
      <w:r>
        <w:t xml:space="preserve">: </w:t>
      </w:r>
      <w:r w:rsidR="00D8199A" w:rsidRPr="005F4FAF">
        <w:rPr>
          <w:lang w:val="en-US"/>
        </w:rPr>
        <w:t xml:space="preserve">legislative amendments </w:t>
      </w:r>
      <w:r w:rsidR="004E57FC">
        <w:rPr>
          <w:lang w:val="en-US"/>
        </w:rPr>
        <w:t>limited</w:t>
      </w:r>
      <w:r w:rsidR="00D8199A" w:rsidRPr="005F4FAF">
        <w:rPr>
          <w:lang w:val="en-US"/>
        </w:rPr>
        <w:t xml:space="preserve"> a judge’s discretion to grant bail to a child, which were passed without parliamentary committee scrutiny</w:t>
      </w:r>
      <w:r w:rsidR="00924803">
        <w:rPr>
          <w:lang w:val="en-US"/>
        </w:rPr>
        <w:t>.</w:t>
      </w:r>
      <w:r w:rsidR="00E31C99">
        <w:rPr>
          <w:rStyle w:val="FootnoteReference"/>
          <w:lang w:val="en-US"/>
        </w:rPr>
        <w:footnoteReference w:id="25"/>
      </w:r>
    </w:p>
    <w:p w14:paraId="39798E56" w14:textId="6F66B1C4" w:rsidR="00D8199A" w:rsidRPr="005F4FAF" w:rsidRDefault="00A94122" w:rsidP="00272F6F">
      <w:pPr>
        <w:pStyle w:val="Bulletedlist"/>
        <w:contextualSpacing w:val="0"/>
        <w:rPr>
          <w:lang w:val="en-US"/>
        </w:rPr>
      </w:pPr>
      <w:r>
        <w:rPr>
          <w:lang w:val="en-US"/>
        </w:rPr>
        <w:t xml:space="preserve">30 April 2021: </w:t>
      </w:r>
      <w:r w:rsidR="00D8199A" w:rsidRPr="005F4FAF">
        <w:rPr>
          <w:lang w:val="en-US"/>
        </w:rPr>
        <w:t>legislative amendments introduce</w:t>
      </w:r>
      <w:r w:rsidR="008C43F4">
        <w:rPr>
          <w:lang w:val="en-US"/>
        </w:rPr>
        <w:t>d</w:t>
      </w:r>
      <w:r w:rsidR="00D8199A" w:rsidRPr="005F4FAF">
        <w:rPr>
          <w:lang w:val="en-US"/>
        </w:rPr>
        <w:t xml:space="preserve"> a presumption against bail for </w:t>
      </w:r>
      <w:r>
        <w:rPr>
          <w:lang w:val="en-US"/>
        </w:rPr>
        <w:t xml:space="preserve">youth offenders for </w:t>
      </w:r>
      <w:r w:rsidR="00D8199A" w:rsidRPr="005F4FAF">
        <w:rPr>
          <w:lang w:val="en-US"/>
        </w:rPr>
        <w:t>certain offences</w:t>
      </w:r>
      <w:r w:rsidR="00924803">
        <w:rPr>
          <w:lang w:val="en-US"/>
        </w:rPr>
        <w:t>.</w:t>
      </w:r>
      <w:r w:rsidR="00E31C99">
        <w:rPr>
          <w:rStyle w:val="FootnoteReference"/>
          <w:lang w:val="en-US"/>
        </w:rPr>
        <w:footnoteReference w:id="26"/>
      </w:r>
    </w:p>
    <w:p w14:paraId="07565B41" w14:textId="4F75A5CE" w:rsidR="00D8199A" w:rsidRPr="005F4FAF" w:rsidRDefault="0055608F" w:rsidP="00272F6F">
      <w:pPr>
        <w:pStyle w:val="Bulletedlist"/>
        <w:contextualSpacing w:val="0"/>
        <w:rPr>
          <w:lang w:val="en-US"/>
        </w:rPr>
      </w:pPr>
      <w:r>
        <w:rPr>
          <w:lang w:val="en-US"/>
        </w:rPr>
        <w:t>29</w:t>
      </w:r>
      <w:r w:rsidR="00D8199A" w:rsidRPr="005F4FAF">
        <w:rPr>
          <w:lang w:val="en-US"/>
        </w:rPr>
        <w:t xml:space="preserve"> December 2022</w:t>
      </w:r>
      <w:r>
        <w:rPr>
          <w:lang w:val="en-US"/>
        </w:rPr>
        <w:t xml:space="preserve">: </w:t>
      </w:r>
      <w:r w:rsidR="009F20CE">
        <w:rPr>
          <w:lang w:val="en-US"/>
        </w:rPr>
        <w:t xml:space="preserve">10 </w:t>
      </w:r>
      <w:r w:rsidR="00D8199A" w:rsidRPr="005F4FAF">
        <w:rPr>
          <w:lang w:val="en-US"/>
        </w:rPr>
        <w:t xml:space="preserve">new measures </w:t>
      </w:r>
      <w:r w:rsidR="00735034">
        <w:rPr>
          <w:lang w:val="en-US"/>
        </w:rPr>
        <w:t xml:space="preserve">announced </w:t>
      </w:r>
      <w:r w:rsidR="00D8199A" w:rsidRPr="005F4FAF">
        <w:rPr>
          <w:lang w:val="en-US"/>
        </w:rPr>
        <w:t>to fight youth crime, including increasing penalties, extreme high visibility police patrols and a fast-track sentencing program</w:t>
      </w:r>
      <w:r w:rsidR="00924803">
        <w:rPr>
          <w:lang w:val="en-US"/>
        </w:rPr>
        <w:t>.</w:t>
      </w:r>
      <w:r w:rsidR="00E05AA4" w:rsidRPr="00AB56C4">
        <w:rPr>
          <w:rStyle w:val="FootnoteReference"/>
        </w:rPr>
        <w:footnoteReference w:id="27"/>
      </w:r>
    </w:p>
    <w:p w14:paraId="16F77035" w14:textId="2C896C6A" w:rsidR="00D8199A" w:rsidRDefault="00142A02" w:rsidP="00272F6F">
      <w:pPr>
        <w:pStyle w:val="Bulletedlist"/>
        <w:contextualSpacing w:val="0"/>
        <w:rPr>
          <w:lang w:val="en-US"/>
        </w:rPr>
      </w:pPr>
      <w:r>
        <w:rPr>
          <w:lang w:val="en-US"/>
        </w:rPr>
        <w:t xml:space="preserve">22 March 2023: legislative amendments </w:t>
      </w:r>
      <w:r w:rsidR="006A07D3">
        <w:rPr>
          <w:lang w:val="en-US"/>
        </w:rPr>
        <w:t xml:space="preserve">to make </w:t>
      </w:r>
      <w:r w:rsidR="00D8199A" w:rsidRPr="005F4FAF">
        <w:rPr>
          <w:lang w:val="en-US"/>
        </w:rPr>
        <w:t>breach of bail an offence</w:t>
      </w:r>
      <w:r w:rsidR="006A07D3">
        <w:rPr>
          <w:lang w:val="en-US"/>
        </w:rPr>
        <w:t xml:space="preserve"> and </w:t>
      </w:r>
      <w:r w:rsidR="00334CAD">
        <w:rPr>
          <w:lang w:val="en-US"/>
        </w:rPr>
        <w:t xml:space="preserve">establish </w:t>
      </w:r>
      <w:r w:rsidR="006A07D3">
        <w:rPr>
          <w:lang w:val="en-US"/>
        </w:rPr>
        <w:t xml:space="preserve">a new serious repeat offender </w:t>
      </w:r>
      <w:r w:rsidR="00334CAD">
        <w:rPr>
          <w:lang w:val="en-US"/>
        </w:rPr>
        <w:t>regime</w:t>
      </w:r>
      <w:r w:rsidR="00E158BC">
        <w:rPr>
          <w:lang w:val="en-US"/>
        </w:rPr>
        <w:t xml:space="preserve">, which override </w:t>
      </w:r>
      <w:r w:rsidR="00D8199A" w:rsidRPr="005F4FAF">
        <w:rPr>
          <w:lang w:val="en-US"/>
        </w:rPr>
        <w:t>the application of the Human Rights Act</w:t>
      </w:r>
      <w:r w:rsidR="00E158BC">
        <w:rPr>
          <w:lang w:val="en-US"/>
        </w:rPr>
        <w:t xml:space="preserve"> until </w:t>
      </w:r>
      <w:r w:rsidR="00CC7812">
        <w:rPr>
          <w:lang w:val="en-US"/>
        </w:rPr>
        <w:t xml:space="preserve">22 </w:t>
      </w:r>
      <w:r w:rsidR="00D8199A" w:rsidRPr="005F4FAF">
        <w:rPr>
          <w:lang w:val="en-US"/>
        </w:rPr>
        <w:t>March 2028</w:t>
      </w:r>
      <w:r w:rsidR="00CC7812">
        <w:rPr>
          <w:lang w:val="en-US"/>
        </w:rPr>
        <w:t>.</w:t>
      </w:r>
      <w:r w:rsidR="00B55F36">
        <w:rPr>
          <w:rStyle w:val="FootnoteReference"/>
          <w:lang w:val="en-US"/>
        </w:rPr>
        <w:footnoteReference w:id="28"/>
      </w:r>
    </w:p>
    <w:p w14:paraId="3F2912F9" w14:textId="232D747D" w:rsidR="00EA298D" w:rsidRDefault="00E024FE" w:rsidP="67964096">
      <w:pPr>
        <w:pStyle w:val="Bulletedlist"/>
      </w:pPr>
      <w:r>
        <w:rPr>
          <w:lang w:val="en-US"/>
        </w:rPr>
        <w:t xml:space="preserve">20 </w:t>
      </w:r>
      <w:r w:rsidR="00EA298D">
        <w:rPr>
          <w:lang w:val="en-US"/>
        </w:rPr>
        <w:t>May</w:t>
      </w:r>
      <w:r>
        <w:rPr>
          <w:lang w:val="en-US"/>
        </w:rPr>
        <w:t xml:space="preserve"> 2023</w:t>
      </w:r>
      <w:r w:rsidR="0046654B">
        <w:rPr>
          <w:lang w:val="en-US"/>
        </w:rPr>
        <w:t xml:space="preserve">: </w:t>
      </w:r>
      <w:r w:rsidR="005C39A0">
        <w:rPr>
          <w:lang w:val="en-US"/>
        </w:rPr>
        <w:t>a joint Department of Youth Justice and Queensland Police Service initiative</w:t>
      </w:r>
      <w:r w:rsidR="00721FD8">
        <w:rPr>
          <w:lang w:val="en-US"/>
        </w:rPr>
        <w:t xml:space="preserve">, </w:t>
      </w:r>
      <w:r w:rsidR="00721FD8" w:rsidRPr="00F31DEF">
        <w:rPr>
          <w:i/>
          <w:iCs/>
          <w:lang w:val="en-US"/>
        </w:rPr>
        <w:t>Taskforce Guardian</w:t>
      </w:r>
      <w:r w:rsidR="00721FD8">
        <w:rPr>
          <w:lang w:val="en-US"/>
        </w:rPr>
        <w:t xml:space="preserve"> was launched,</w:t>
      </w:r>
      <w:r w:rsidR="005C39A0">
        <w:rPr>
          <w:lang w:val="en-US"/>
        </w:rPr>
        <w:t xml:space="preserve"> </w:t>
      </w:r>
      <w:r w:rsidR="00064109">
        <w:rPr>
          <w:lang w:val="en-US"/>
        </w:rPr>
        <w:t xml:space="preserve">in which </w:t>
      </w:r>
      <w:r w:rsidR="00DD38C7">
        <w:rPr>
          <w:lang w:val="en-US"/>
        </w:rPr>
        <w:t>‘</w:t>
      </w:r>
      <w:r w:rsidR="00064109">
        <w:rPr>
          <w:lang w:val="en-US"/>
        </w:rPr>
        <w:t>rapid response teams</w:t>
      </w:r>
      <w:r w:rsidR="00DD38C7">
        <w:rPr>
          <w:lang w:val="en-US"/>
        </w:rPr>
        <w:t>’</w:t>
      </w:r>
      <w:r w:rsidR="00064109">
        <w:rPr>
          <w:lang w:val="en-US"/>
        </w:rPr>
        <w:t xml:space="preserve"> are deployed to </w:t>
      </w:r>
      <w:r w:rsidR="00877FB9">
        <w:rPr>
          <w:lang w:val="en-US"/>
        </w:rPr>
        <w:t>‘</w:t>
      </w:r>
      <w:r w:rsidR="00064109">
        <w:rPr>
          <w:lang w:val="en-US"/>
        </w:rPr>
        <w:t>youth crime hot spot</w:t>
      </w:r>
      <w:r w:rsidR="00332651">
        <w:rPr>
          <w:lang w:val="en-US"/>
        </w:rPr>
        <w:t>s</w:t>
      </w:r>
      <w:r w:rsidR="00877FB9">
        <w:rPr>
          <w:lang w:val="en-US"/>
        </w:rPr>
        <w:t>’</w:t>
      </w:r>
      <w:r w:rsidR="00064109">
        <w:rPr>
          <w:lang w:val="en-US"/>
        </w:rPr>
        <w:t>.</w:t>
      </w:r>
      <w:r w:rsidR="00CB0540" w:rsidRPr="67964096">
        <w:rPr>
          <w:rStyle w:val="FootnoteReference"/>
        </w:rPr>
        <w:footnoteReference w:id="29"/>
      </w:r>
      <w:r w:rsidR="00064109">
        <w:rPr>
          <w:lang w:val="en-US"/>
        </w:rPr>
        <w:t xml:space="preserve"> </w:t>
      </w:r>
    </w:p>
    <w:p w14:paraId="0D268EF6" w14:textId="1E9EBBED" w:rsidR="00E96FCE" w:rsidRDefault="00413C8A" w:rsidP="00272F6F">
      <w:pPr>
        <w:pStyle w:val="Bulletedlist"/>
        <w:contextualSpacing w:val="0"/>
        <w:rPr>
          <w:lang w:val="en-US"/>
        </w:rPr>
      </w:pPr>
      <w:r>
        <w:rPr>
          <w:lang w:val="en-US"/>
        </w:rPr>
        <w:t xml:space="preserve">23 August - </w:t>
      </w:r>
      <w:r w:rsidR="006E0CB5">
        <w:rPr>
          <w:lang w:val="en-US"/>
        </w:rPr>
        <w:t xml:space="preserve">1 September 2023: </w:t>
      </w:r>
      <w:r w:rsidR="00D8199A" w:rsidRPr="005F4FAF">
        <w:rPr>
          <w:lang w:val="en-US"/>
        </w:rPr>
        <w:t xml:space="preserve">legislative amendments, without parliamentary committee scrutiny, </w:t>
      </w:r>
      <w:r w:rsidR="008C43F4">
        <w:rPr>
          <w:lang w:val="en-US"/>
        </w:rPr>
        <w:t>enabled</w:t>
      </w:r>
      <w:r w:rsidR="00C95F49">
        <w:rPr>
          <w:lang w:val="en-US"/>
        </w:rPr>
        <w:t xml:space="preserve"> prolonged detention </w:t>
      </w:r>
      <w:r w:rsidR="00803A3B">
        <w:rPr>
          <w:lang w:val="en-US"/>
        </w:rPr>
        <w:t xml:space="preserve">of children in </w:t>
      </w:r>
      <w:r w:rsidR="002D2B73">
        <w:rPr>
          <w:lang w:val="en-US"/>
        </w:rPr>
        <w:t>watch house</w:t>
      </w:r>
      <w:r w:rsidR="00803A3B">
        <w:rPr>
          <w:lang w:val="en-US"/>
        </w:rPr>
        <w:t>s</w:t>
      </w:r>
      <w:r w:rsidR="003D722B">
        <w:rPr>
          <w:lang w:val="en-US"/>
        </w:rPr>
        <w:t xml:space="preserve"> and the </w:t>
      </w:r>
      <w:r w:rsidR="00C852C4">
        <w:rPr>
          <w:lang w:val="en-US"/>
        </w:rPr>
        <w:t xml:space="preserve">potential for </w:t>
      </w:r>
      <w:r w:rsidR="002D2B73">
        <w:rPr>
          <w:lang w:val="en-US"/>
        </w:rPr>
        <w:t>watch house</w:t>
      </w:r>
      <w:r w:rsidR="00AF6B80">
        <w:rPr>
          <w:lang w:val="en-US"/>
        </w:rPr>
        <w:t xml:space="preserve">s to be </w:t>
      </w:r>
      <w:r w:rsidR="00AF6B80">
        <w:rPr>
          <w:lang w:val="en-US"/>
        </w:rPr>
        <w:lastRenderedPageBreak/>
        <w:t>declared</w:t>
      </w:r>
      <w:r w:rsidR="003D722B">
        <w:rPr>
          <w:lang w:val="en-US"/>
        </w:rPr>
        <w:t xml:space="preserve"> as youth detention </w:t>
      </w:r>
      <w:proofErr w:type="spellStart"/>
      <w:r w:rsidR="00677E99">
        <w:rPr>
          <w:lang w:val="en-US"/>
        </w:rPr>
        <w:t>centre</w:t>
      </w:r>
      <w:r w:rsidR="00AF6B80">
        <w:rPr>
          <w:lang w:val="en-US"/>
        </w:rPr>
        <w:t>s</w:t>
      </w:r>
      <w:proofErr w:type="spellEnd"/>
      <w:r w:rsidR="00677E99">
        <w:rPr>
          <w:lang w:val="en-US"/>
        </w:rPr>
        <w:t xml:space="preserve">. </w:t>
      </w:r>
      <w:r w:rsidR="00B21A8D">
        <w:rPr>
          <w:lang w:val="en-US"/>
        </w:rPr>
        <w:t>These provisions and others override the application of the Human Rights Act until 31 December 2026.</w:t>
      </w:r>
      <w:r w:rsidR="00D82F64">
        <w:rPr>
          <w:rStyle w:val="FootnoteReference"/>
          <w:lang w:val="en-US"/>
        </w:rPr>
        <w:footnoteReference w:id="30"/>
      </w:r>
      <w:r w:rsidR="00B21A8D">
        <w:rPr>
          <w:lang w:val="en-US"/>
        </w:rPr>
        <w:t xml:space="preserve"> </w:t>
      </w:r>
      <w:r w:rsidR="006D2127">
        <w:rPr>
          <w:lang w:val="en-US"/>
        </w:rPr>
        <w:t xml:space="preserve">Additionally, </w:t>
      </w:r>
      <w:r w:rsidR="00BB42A7">
        <w:rPr>
          <w:lang w:val="en-US"/>
        </w:rPr>
        <w:t xml:space="preserve">human rights </w:t>
      </w:r>
      <w:r w:rsidR="00FE5C69">
        <w:rPr>
          <w:lang w:val="en-US"/>
        </w:rPr>
        <w:t>obligations are suspended in relation to acts and decisions</w:t>
      </w:r>
      <w:r w:rsidR="00445753">
        <w:rPr>
          <w:lang w:val="en-US"/>
        </w:rPr>
        <w:t xml:space="preserve"> (reasonably necessary for the administration of the </w:t>
      </w:r>
      <w:r w:rsidR="00445753" w:rsidRPr="00445753">
        <w:rPr>
          <w:i/>
          <w:iCs/>
          <w:lang w:val="en-US"/>
        </w:rPr>
        <w:t>Youth Justice Act 1992</w:t>
      </w:r>
      <w:r w:rsidR="00445753">
        <w:rPr>
          <w:lang w:val="en-US"/>
        </w:rPr>
        <w:t xml:space="preserve">) </w:t>
      </w:r>
      <w:r w:rsidR="00FE5C69">
        <w:rPr>
          <w:lang w:val="en-US"/>
        </w:rPr>
        <w:t xml:space="preserve">that relate to </w:t>
      </w:r>
      <w:r w:rsidR="009F7617">
        <w:rPr>
          <w:lang w:val="en-US"/>
        </w:rPr>
        <w:t xml:space="preserve">a child </w:t>
      </w:r>
      <w:r w:rsidR="00455827">
        <w:rPr>
          <w:lang w:val="en-US"/>
        </w:rPr>
        <w:t xml:space="preserve">in a </w:t>
      </w:r>
      <w:r w:rsidR="002C5A1D">
        <w:rPr>
          <w:lang w:val="en-US"/>
        </w:rPr>
        <w:t xml:space="preserve">youth </w:t>
      </w:r>
      <w:r w:rsidR="00455827">
        <w:rPr>
          <w:lang w:val="en-US"/>
        </w:rPr>
        <w:t xml:space="preserve">detention </w:t>
      </w:r>
      <w:proofErr w:type="spellStart"/>
      <w:r w:rsidR="00455827">
        <w:rPr>
          <w:lang w:val="en-US"/>
        </w:rPr>
        <w:t>centre</w:t>
      </w:r>
      <w:proofErr w:type="spellEnd"/>
      <w:r w:rsidR="00455827">
        <w:rPr>
          <w:lang w:val="en-US"/>
        </w:rPr>
        <w:t xml:space="preserve"> established from 23 August 2023.</w:t>
      </w:r>
      <w:r w:rsidR="009F08DE">
        <w:rPr>
          <w:rStyle w:val="FootnoteReference"/>
          <w:lang w:val="en-US"/>
        </w:rPr>
        <w:footnoteReference w:id="31"/>
      </w:r>
    </w:p>
    <w:p w14:paraId="793E3A1E" w14:textId="3C279328" w:rsidR="001204E3" w:rsidRDefault="000B36AF" w:rsidP="00272F6F">
      <w:pPr>
        <w:pStyle w:val="Bulletedlist"/>
        <w:contextualSpacing w:val="0"/>
        <w:rPr>
          <w:lang w:val="en-US"/>
        </w:rPr>
      </w:pPr>
      <w:r>
        <w:rPr>
          <w:lang w:val="en-US"/>
        </w:rPr>
        <w:t xml:space="preserve">30 August 2024: legislative amendments </w:t>
      </w:r>
      <w:r w:rsidR="00C706E0">
        <w:rPr>
          <w:lang w:val="en-US"/>
        </w:rPr>
        <w:t>that reword</w:t>
      </w:r>
      <w:r w:rsidR="00D00CD1">
        <w:rPr>
          <w:lang w:val="en-US"/>
        </w:rPr>
        <w:t xml:space="preserve"> the principle of detention as a last resort, </w:t>
      </w:r>
      <w:r w:rsidR="00DC79C7">
        <w:rPr>
          <w:lang w:val="en-US"/>
        </w:rPr>
        <w:t>expand the ability of police to search</w:t>
      </w:r>
      <w:r w:rsidR="00EA44CF">
        <w:rPr>
          <w:lang w:val="en-US"/>
        </w:rPr>
        <w:t xml:space="preserve"> </w:t>
      </w:r>
      <w:r w:rsidR="00563898">
        <w:rPr>
          <w:lang w:val="en-US"/>
        </w:rPr>
        <w:t>with metal detecting ‘</w:t>
      </w:r>
      <w:proofErr w:type="spellStart"/>
      <w:r w:rsidR="00563898">
        <w:rPr>
          <w:lang w:val="en-US"/>
        </w:rPr>
        <w:t>wanding</w:t>
      </w:r>
      <w:proofErr w:type="spellEnd"/>
      <w:r w:rsidR="00563898">
        <w:rPr>
          <w:lang w:val="en-US"/>
        </w:rPr>
        <w:t xml:space="preserve"> operations’</w:t>
      </w:r>
      <w:r w:rsidR="00EA44CF">
        <w:rPr>
          <w:lang w:val="en-US"/>
        </w:rPr>
        <w:t>,</w:t>
      </w:r>
      <w:r w:rsidR="00AF5DF4">
        <w:rPr>
          <w:lang w:val="en-US"/>
        </w:rPr>
        <w:t xml:space="preserve"> </w:t>
      </w:r>
      <w:r w:rsidR="000C416A">
        <w:rPr>
          <w:lang w:val="en-US"/>
        </w:rPr>
        <w:t xml:space="preserve">increase the number of young people subject to electronic monitoring, </w:t>
      </w:r>
      <w:r w:rsidR="0027649A">
        <w:rPr>
          <w:lang w:val="en-US"/>
        </w:rPr>
        <w:t xml:space="preserve">and </w:t>
      </w:r>
      <w:r w:rsidR="00D90D48">
        <w:rPr>
          <w:lang w:val="en-US"/>
        </w:rPr>
        <w:t>broaden</w:t>
      </w:r>
      <w:r w:rsidR="006A42C0">
        <w:rPr>
          <w:lang w:val="en-US"/>
        </w:rPr>
        <w:t xml:space="preserve"> </w:t>
      </w:r>
      <w:r w:rsidR="008C1A6F">
        <w:rPr>
          <w:lang w:val="en-US"/>
        </w:rPr>
        <w:t xml:space="preserve">the scope </w:t>
      </w:r>
      <w:r w:rsidR="003450BB">
        <w:rPr>
          <w:lang w:val="en-US"/>
        </w:rPr>
        <w:t>and increase penalties for</w:t>
      </w:r>
      <w:r w:rsidR="008C1A6F">
        <w:rPr>
          <w:lang w:val="en-US"/>
        </w:rPr>
        <w:t xml:space="preserve"> </w:t>
      </w:r>
      <w:r w:rsidR="0088313E">
        <w:rPr>
          <w:lang w:val="en-US"/>
        </w:rPr>
        <w:t>a number of</w:t>
      </w:r>
      <w:r w:rsidR="008C1A6F">
        <w:rPr>
          <w:lang w:val="en-US"/>
        </w:rPr>
        <w:t xml:space="preserve"> offences.</w:t>
      </w:r>
      <w:r w:rsidR="00744499">
        <w:rPr>
          <w:rStyle w:val="FootnoteReference"/>
          <w:lang w:val="en-US"/>
        </w:rPr>
        <w:footnoteReference w:id="32"/>
      </w:r>
    </w:p>
    <w:p w14:paraId="280B0AED" w14:textId="106F7459" w:rsidR="00262447" w:rsidRPr="008C1A6F" w:rsidRDefault="00F71A71" w:rsidP="00272F6F">
      <w:pPr>
        <w:pStyle w:val="Bulletedlist"/>
        <w:contextualSpacing w:val="0"/>
        <w:rPr>
          <w:lang w:val="en-US"/>
        </w:rPr>
      </w:pPr>
      <w:r>
        <w:rPr>
          <w:lang w:val="en-US"/>
        </w:rPr>
        <w:t>15 October 2024: Queensland Police Service announces 100</w:t>
      </w:r>
      <w:r w:rsidRPr="002E3BAE">
        <w:rPr>
          <w:lang w:val="en-US"/>
        </w:rPr>
        <w:t xml:space="preserve">th </w:t>
      </w:r>
      <w:r w:rsidR="003E1996">
        <w:rPr>
          <w:lang w:val="en-US"/>
        </w:rPr>
        <w:t xml:space="preserve">deployment </w:t>
      </w:r>
      <w:r w:rsidR="001B6F29">
        <w:rPr>
          <w:lang w:val="en-US"/>
        </w:rPr>
        <w:t xml:space="preserve">of </w:t>
      </w:r>
      <w:r w:rsidR="001B6F29">
        <w:rPr>
          <w:i/>
          <w:iCs/>
          <w:lang w:val="en-US"/>
        </w:rPr>
        <w:t>Taskforce Guardian</w:t>
      </w:r>
      <w:r w:rsidR="001B6F29">
        <w:rPr>
          <w:lang w:val="en-US"/>
        </w:rPr>
        <w:t xml:space="preserve">, </w:t>
      </w:r>
      <w:r w:rsidR="001372E4">
        <w:rPr>
          <w:lang w:val="en-US"/>
        </w:rPr>
        <w:t>and reports that,</w:t>
      </w:r>
      <w:r w:rsidR="00D36D61">
        <w:rPr>
          <w:lang w:val="en-US"/>
        </w:rPr>
        <w:t xml:space="preserve"> </w:t>
      </w:r>
      <w:r w:rsidR="00E76A91">
        <w:rPr>
          <w:lang w:val="en-US"/>
        </w:rPr>
        <w:t>over the course of 103 deployments across Queensland</w:t>
      </w:r>
      <w:r w:rsidR="001372E4">
        <w:rPr>
          <w:lang w:val="en-US"/>
        </w:rPr>
        <w:t>,</w:t>
      </w:r>
      <w:r w:rsidR="00E76A91">
        <w:rPr>
          <w:lang w:val="en-US"/>
        </w:rPr>
        <w:t xml:space="preserve"> </w:t>
      </w:r>
      <w:r w:rsidR="00D36D61">
        <w:rPr>
          <w:lang w:val="en-US"/>
        </w:rPr>
        <w:t xml:space="preserve">2093 children have been charged with 6167 offences and 980 children </w:t>
      </w:r>
      <w:r w:rsidR="00645AAD">
        <w:rPr>
          <w:lang w:val="en-US"/>
        </w:rPr>
        <w:t>have been diverted from the youth justice system.</w:t>
      </w:r>
      <w:r w:rsidR="00C25547">
        <w:rPr>
          <w:rStyle w:val="FootnoteReference"/>
          <w:lang w:val="en-US"/>
        </w:rPr>
        <w:footnoteReference w:id="33"/>
      </w:r>
    </w:p>
    <w:p w14:paraId="0CA039B8" w14:textId="5AE510CC" w:rsidR="001B1A03" w:rsidRDefault="00242A8E" w:rsidP="00242A8E">
      <w:pPr>
        <w:pStyle w:val="Heading2"/>
      </w:pPr>
      <w:bookmarkStart w:id="8" w:name="_Toc180746448"/>
      <w:r>
        <w:t>Youth Justice landscape following reforms</w:t>
      </w:r>
      <w:bookmarkEnd w:id="8"/>
    </w:p>
    <w:p w14:paraId="0A3A3640" w14:textId="55C1D60F" w:rsidR="00CF292C" w:rsidRDefault="00CF292C" w:rsidP="00CF292C">
      <w:pPr>
        <w:pStyle w:val="Numberedparagraph"/>
      </w:pPr>
      <w:r w:rsidRPr="00542071">
        <w:t>The number of young people charged with an offence in Queensland has steadily decreased since 2011</w:t>
      </w:r>
      <w:r w:rsidR="00D8199A">
        <w:t xml:space="preserve"> to </w:t>
      </w:r>
      <w:r>
        <w:t>20</w:t>
      </w:r>
      <w:r w:rsidRPr="00542071">
        <w:t xml:space="preserve">22. However, </w:t>
      </w:r>
      <w:r w:rsidRPr="00A24186">
        <w:t>in 2022–23,</w:t>
      </w:r>
      <w:r w:rsidRPr="00674413">
        <w:rPr>
          <w:b/>
          <w:bCs/>
        </w:rPr>
        <w:t xml:space="preserve"> the number of</w:t>
      </w:r>
      <w:r w:rsidRPr="004150FD">
        <w:rPr>
          <w:b/>
          <w:bCs/>
        </w:rPr>
        <w:t xml:space="preserve"> young offenders charged </w:t>
      </w:r>
      <w:r w:rsidR="00D8199A" w:rsidRPr="004150FD">
        <w:rPr>
          <w:b/>
        </w:rPr>
        <w:t>increased</w:t>
      </w:r>
      <w:r w:rsidR="00D8199A">
        <w:t xml:space="preserve"> </w:t>
      </w:r>
      <w:r w:rsidRPr="00542071">
        <w:t>by 6</w:t>
      </w:r>
      <w:r w:rsidR="000A5198">
        <w:t>%</w:t>
      </w:r>
      <w:r>
        <w:t>, which was greater than the rate of population growth</w:t>
      </w:r>
      <w:r w:rsidRPr="00542071">
        <w:t>.</w:t>
      </w:r>
      <w:r>
        <w:rPr>
          <w:rStyle w:val="FootnoteReference"/>
        </w:rPr>
        <w:footnoteReference w:id="34"/>
      </w:r>
    </w:p>
    <w:p w14:paraId="4A833742" w14:textId="5FD7919C" w:rsidR="00CF292C" w:rsidRDefault="00CF292C" w:rsidP="00CF292C">
      <w:pPr>
        <w:pStyle w:val="Numberedparagraph"/>
      </w:pPr>
      <w:r>
        <w:t xml:space="preserve">The </w:t>
      </w:r>
      <w:r w:rsidRPr="008373B0">
        <w:rPr>
          <w:b/>
          <w:bCs/>
        </w:rPr>
        <w:t>number of children in youth detention</w:t>
      </w:r>
      <w:r w:rsidR="00200246">
        <w:rPr>
          <w:b/>
          <w:bCs/>
        </w:rPr>
        <w:t xml:space="preserve"> in Queensland</w:t>
      </w:r>
      <w:r w:rsidRPr="008373B0">
        <w:rPr>
          <w:b/>
          <w:bCs/>
        </w:rPr>
        <w:t xml:space="preserve"> has</w:t>
      </w:r>
      <w:r w:rsidR="00487813">
        <w:rPr>
          <w:b/>
          <w:bCs/>
        </w:rPr>
        <w:t xml:space="preserve"> steadily</w:t>
      </w:r>
      <w:r w:rsidRPr="008373B0">
        <w:rPr>
          <w:b/>
          <w:bCs/>
        </w:rPr>
        <w:t xml:space="preserve"> increased</w:t>
      </w:r>
      <w:r>
        <w:t xml:space="preserve"> from a daily average of </w:t>
      </w:r>
      <w:r w:rsidR="00487813">
        <w:t>190</w:t>
      </w:r>
      <w:r>
        <w:t xml:space="preserve"> children in 2019</w:t>
      </w:r>
      <w:r w:rsidR="00487813">
        <w:t>–20</w:t>
      </w:r>
      <w:r>
        <w:t>, to a daily average of 28</w:t>
      </w:r>
      <w:r w:rsidR="00254F38">
        <w:t>5</w:t>
      </w:r>
      <w:r>
        <w:t xml:space="preserve"> in 2022</w:t>
      </w:r>
      <w:r w:rsidR="00254F38">
        <w:t>–23</w:t>
      </w:r>
      <w:r>
        <w:t>.</w:t>
      </w:r>
      <w:r>
        <w:rPr>
          <w:rStyle w:val="FootnoteReference"/>
        </w:rPr>
        <w:footnoteReference w:id="35"/>
      </w:r>
      <w:r>
        <w:t xml:space="preserve"> </w:t>
      </w:r>
    </w:p>
    <w:p w14:paraId="26EBC6D4" w14:textId="2819279C" w:rsidR="00CF292C" w:rsidRDefault="00CF292C" w:rsidP="00CF292C">
      <w:pPr>
        <w:pStyle w:val="Numberedparagraph"/>
      </w:pPr>
      <w:r w:rsidRPr="004150FD">
        <w:lastRenderedPageBreak/>
        <w:t xml:space="preserve">Queensland </w:t>
      </w:r>
      <w:r>
        <w:t xml:space="preserve">appears to </w:t>
      </w:r>
      <w:r w:rsidRPr="002A43B7">
        <w:rPr>
          <w:b/>
          <w:bCs/>
        </w:rPr>
        <w:t xml:space="preserve">hold </w:t>
      </w:r>
      <w:r w:rsidR="00766115">
        <w:rPr>
          <w:b/>
          <w:bCs/>
        </w:rPr>
        <w:t xml:space="preserve">significantly </w:t>
      </w:r>
      <w:r w:rsidRPr="002A43B7">
        <w:rPr>
          <w:b/>
          <w:bCs/>
        </w:rPr>
        <w:t>more young people on remand in youth detention centres than any other state or territory</w:t>
      </w:r>
      <w:r w:rsidRPr="002A43B7">
        <w:rPr>
          <w:rFonts w:ascii="Calibri" w:hAnsi="Calibri" w:cs="Calibri"/>
          <w:color w:val="000000"/>
        </w:rPr>
        <w:t>.</w:t>
      </w:r>
      <w:r>
        <w:rPr>
          <w:rStyle w:val="FootnoteReference"/>
        </w:rPr>
        <w:footnoteReference w:id="36"/>
      </w:r>
      <w:r w:rsidRPr="002A43B7">
        <w:rPr>
          <w:rFonts w:ascii="Calibri" w:hAnsi="Calibri" w:cs="Calibri"/>
          <w:color w:val="000000"/>
        </w:rPr>
        <w:t xml:space="preserve"> </w:t>
      </w:r>
      <w:r w:rsidRPr="004150FD">
        <w:t xml:space="preserve">The average daily number of young people in youth detention who are on remand has increased from 170 </w:t>
      </w:r>
      <w:r>
        <w:t xml:space="preserve">(85%) </w:t>
      </w:r>
      <w:r w:rsidRPr="004150FD">
        <w:t>in 2019</w:t>
      </w:r>
      <w:r w:rsidR="002B3736">
        <w:t>–</w:t>
      </w:r>
      <w:r w:rsidRPr="004150FD">
        <w:t xml:space="preserve">20 to 249 </w:t>
      </w:r>
      <w:r>
        <w:t xml:space="preserve">(88%) </w:t>
      </w:r>
      <w:r w:rsidRPr="004150FD">
        <w:t>in 2022</w:t>
      </w:r>
      <w:r w:rsidR="00136766">
        <w:t>–</w:t>
      </w:r>
      <w:r w:rsidRPr="004150FD">
        <w:t>23.</w:t>
      </w:r>
      <w:r>
        <w:t xml:space="preserve"> In 2022</w:t>
      </w:r>
      <w:r w:rsidR="00136766">
        <w:t>–</w:t>
      </w:r>
      <w:r>
        <w:t>23, the average time held in youth detention on remand held on remand was 51 nights (increasing from 43 nights the previous year).</w:t>
      </w:r>
      <w:r>
        <w:rPr>
          <w:rStyle w:val="FootnoteReference"/>
        </w:rPr>
        <w:footnoteReference w:id="37"/>
      </w:r>
      <w:r w:rsidR="00D64893">
        <w:t xml:space="preserve"> </w:t>
      </w:r>
    </w:p>
    <w:p w14:paraId="3E37836A" w14:textId="6B21A58B" w:rsidR="00CF292C" w:rsidRDefault="005916DC" w:rsidP="00CF292C">
      <w:pPr>
        <w:pStyle w:val="Numberedparagraph"/>
      </w:pPr>
      <w:r>
        <w:t xml:space="preserve">Between 2018 and 2023, </w:t>
      </w:r>
      <w:r w:rsidR="00BE5333">
        <w:t xml:space="preserve">youth </w:t>
      </w:r>
      <w:r w:rsidR="002D2B73">
        <w:t>watch house</w:t>
      </w:r>
      <w:r w:rsidR="00BE5333">
        <w:t xml:space="preserve"> admissions have increased by 452</w:t>
      </w:r>
      <w:r w:rsidR="000A5198">
        <w:t>%</w:t>
      </w:r>
      <w:r w:rsidR="002371C8">
        <w:t xml:space="preserve"> and c</w:t>
      </w:r>
      <w:r w:rsidR="00116780">
        <w:t xml:space="preserve">hildren being held in a </w:t>
      </w:r>
      <w:r w:rsidR="002D2B73">
        <w:t>watch house</w:t>
      </w:r>
      <w:r w:rsidR="00116780">
        <w:t xml:space="preserve"> for more than 1 day has increased by 163</w:t>
      </w:r>
      <w:r w:rsidR="000A5198">
        <w:t>%</w:t>
      </w:r>
      <w:r w:rsidR="00116780">
        <w:t>.</w:t>
      </w:r>
      <w:r w:rsidR="00116780">
        <w:rPr>
          <w:rStyle w:val="FootnoteReference"/>
        </w:rPr>
        <w:footnoteReference w:id="38"/>
      </w:r>
      <w:r w:rsidR="00116780">
        <w:t xml:space="preserve"> </w:t>
      </w:r>
      <w:r w:rsidR="00CF292C">
        <w:t xml:space="preserve">Of the 8,119 children detained </w:t>
      </w:r>
      <w:r w:rsidR="00D8199A" w:rsidRPr="00D6037C">
        <w:t xml:space="preserve">in </w:t>
      </w:r>
      <w:r w:rsidR="002D2B73">
        <w:t>watch house</w:t>
      </w:r>
      <w:r w:rsidR="00D8199A" w:rsidRPr="00D6037C">
        <w:t>s</w:t>
      </w:r>
      <w:r w:rsidR="00CF292C">
        <w:t xml:space="preserve"> in </w:t>
      </w:r>
      <w:r w:rsidR="00130FC5">
        <w:t>2022–23</w:t>
      </w:r>
      <w:r w:rsidR="00CF292C">
        <w:t xml:space="preserve">, 1911 (24%) were held in the </w:t>
      </w:r>
      <w:r w:rsidR="002D2B73">
        <w:t>watch house</w:t>
      </w:r>
      <w:r w:rsidR="00CF292C">
        <w:t xml:space="preserve"> for 2 or more days</w:t>
      </w:r>
      <w:r w:rsidR="009B133A">
        <w:t xml:space="preserve">, </w:t>
      </w:r>
      <w:r w:rsidR="009B133A" w:rsidRPr="009B133A">
        <w:rPr>
          <w:b/>
          <w:bCs/>
        </w:rPr>
        <w:t>c</w:t>
      </w:r>
      <w:r w:rsidR="00CF292C" w:rsidRPr="009B133A">
        <w:rPr>
          <w:b/>
          <w:bCs/>
        </w:rPr>
        <w:t>lose</w:t>
      </w:r>
      <w:r w:rsidR="00CF292C" w:rsidRPr="00FC1175">
        <w:rPr>
          <w:b/>
        </w:rPr>
        <w:t xml:space="preserve"> to 1000 children spent five or more days in the </w:t>
      </w:r>
      <w:r w:rsidR="002D2B73">
        <w:rPr>
          <w:b/>
        </w:rPr>
        <w:t>watch house</w:t>
      </w:r>
      <w:r w:rsidR="00CF292C">
        <w:t xml:space="preserve">, and 146 children spent 15 or more days in the </w:t>
      </w:r>
      <w:r w:rsidR="002D2B73">
        <w:t>watch house</w:t>
      </w:r>
      <w:r w:rsidR="00CF292C">
        <w:t>.</w:t>
      </w:r>
      <w:r w:rsidR="00CF292C">
        <w:rPr>
          <w:rStyle w:val="FootnoteReference"/>
        </w:rPr>
        <w:footnoteReference w:id="39"/>
      </w:r>
      <w:r w:rsidR="00CF292C">
        <w:t xml:space="preserve"> </w:t>
      </w:r>
      <w:r w:rsidR="00BC2D5A">
        <w:t>Daily</w:t>
      </w:r>
      <w:r w:rsidR="006F27C2">
        <w:t xml:space="preserve"> </w:t>
      </w:r>
      <w:r w:rsidR="002D2B73">
        <w:t>watch house</w:t>
      </w:r>
      <w:r w:rsidR="00BC2D5A">
        <w:t xml:space="preserve"> statistics, which have been published by the Queensland Police Service since </w:t>
      </w:r>
      <w:r w:rsidR="006F27C2">
        <w:t>8 August 2024,</w:t>
      </w:r>
      <w:r w:rsidR="00996319">
        <w:t xml:space="preserve"> indicate that as at 10 October 2024, there were </w:t>
      </w:r>
      <w:r w:rsidR="000D37D2">
        <w:t xml:space="preserve">25 children in </w:t>
      </w:r>
      <w:r w:rsidR="002D2B73">
        <w:t>watch house</w:t>
      </w:r>
      <w:r w:rsidR="000D37D2">
        <w:t xml:space="preserve"> custody</w:t>
      </w:r>
      <w:r w:rsidR="006116B0">
        <w:t xml:space="preserve">, </w:t>
      </w:r>
      <w:r w:rsidR="00AA2C0E">
        <w:t>13 who had spent 3</w:t>
      </w:r>
      <w:r w:rsidR="00876EEE">
        <w:t xml:space="preserve"> to </w:t>
      </w:r>
      <w:r w:rsidR="00AA2C0E">
        <w:t xml:space="preserve">7 days in custody, and </w:t>
      </w:r>
      <w:r w:rsidR="007D21A9">
        <w:t xml:space="preserve">5 who had spent </w:t>
      </w:r>
      <w:r w:rsidR="00FE0B7D">
        <w:t xml:space="preserve">more than 7 days in </w:t>
      </w:r>
      <w:r w:rsidR="002D2B73">
        <w:t>watch house</w:t>
      </w:r>
      <w:r w:rsidR="00FE0B7D">
        <w:t xml:space="preserve"> custody.</w:t>
      </w:r>
      <w:r w:rsidR="004C3C90">
        <w:rPr>
          <w:rStyle w:val="FootnoteReference"/>
        </w:rPr>
        <w:footnoteReference w:id="40"/>
      </w:r>
      <w:r w:rsidR="00532D4B">
        <w:t xml:space="preserve"> </w:t>
      </w:r>
      <w:r w:rsidR="002D2B73">
        <w:t>Watch house</w:t>
      </w:r>
      <w:r w:rsidR="00AD6E70">
        <w:t xml:space="preserve"> detention of young people does not appear to </w:t>
      </w:r>
      <w:r w:rsidR="00F772C7">
        <w:t xml:space="preserve">have the same </w:t>
      </w:r>
      <w:r w:rsidR="0048018D">
        <w:t xml:space="preserve">systemic </w:t>
      </w:r>
      <w:r w:rsidR="00F772C7">
        <w:t xml:space="preserve">prevalence in other </w:t>
      </w:r>
      <w:r w:rsidR="0048018D">
        <w:t>jurisdictions.</w:t>
      </w:r>
      <w:r w:rsidR="0048018D">
        <w:rPr>
          <w:rStyle w:val="FootnoteReference"/>
        </w:rPr>
        <w:footnoteReference w:id="41"/>
      </w:r>
    </w:p>
    <w:p w14:paraId="6A5A628C" w14:textId="405C7328" w:rsidR="00474629" w:rsidRDefault="00474629" w:rsidP="00474629">
      <w:pPr>
        <w:pStyle w:val="Numberedparagraph"/>
      </w:pPr>
      <w:r>
        <w:t xml:space="preserve">Since </w:t>
      </w:r>
      <w:r w:rsidR="00130FC5">
        <w:t>2021–22</w:t>
      </w:r>
      <w:r>
        <w:t>, the Department of Youth Justice has used an index (the serious repeat offender index) to identify young offenders who commit disproportionately large numbers of serious offences.</w:t>
      </w:r>
      <w:bookmarkStart w:id="9" w:name="_Ref179987323"/>
      <w:r>
        <w:rPr>
          <w:rStyle w:val="FootnoteReference"/>
        </w:rPr>
        <w:footnoteReference w:id="42"/>
      </w:r>
      <w:bookmarkEnd w:id="9"/>
      <w:r>
        <w:t xml:space="preserve"> From </w:t>
      </w:r>
      <w:r w:rsidR="00130FC5">
        <w:t>2021–22</w:t>
      </w:r>
      <w:r>
        <w:t xml:space="preserve"> to </w:t>
      </w:r>
      <w:r w:rsidR="00130FC5">
        <w:t>2022–23</w:t>
      </w:r>
      <w:r>
        <w:t xml:space="preserve">, there has been an </w:t>
      </w:r>
      <w:r w:rsidRPr="00610A31">
        <w:rPr>
          <w:b/>
          <w:bCs/>
        </w:rPr>
        <w:t>increase in serious repeat offenders</w:t>
      </w:r>
      <w:r>
        <w:t>, from 17</w:t>
      </w:r>
      <w:r w:rsidR="000A5198">
        <w:t>%</w:t>
      </w:r>
      <w:r>
        <w:t xml:space="preserve"> of young people accounting for 48</w:t>
      </w:r>
      <w:r w:rsidR="0004700F">
        <w:t xml:space="preserve">% </w:t>
      </w:r>
      <w:r>
        <w:t>of charges, to 20</w:t>
      </w:r>
      <w:r w:rsidR="000A5198">
        <w:t>%</w:t>
      </w:r>
      <w:r>
        <w:t xml:space="preserve"> of young people accounting for 54.5</w:t>
      </w:r>
      <w:r w:rsidR="000A5198">
        <w:t>%</w:t>
      </w:r>
      <w:r>
        <w:t xml:space="preserve"> of charges.</w:t>
      </w:r>
      <w:r>
        <w:rPr>
          <w:rStyle w:val="FootnoteReference"/>
        </w:rPr>
        <w:footnoteReference w:id="43"/>
      </w:r>
      <w:r>
        <w:t xml:space="preserve"> </w:t>
      </w:r>
    </w:p>
    <w:p w14:paraId="42E4ABE1" w14:textId="1B53CB36" w:rsidR="00474629" w:rsidRDefault="00474629" w:rsidP="00474629">
      <w:pPr>
        <w:pStyle w:val="Numberedparagraph"/>
      </w:pPr>
      <w:r>
        <w:lastRenderedPageBreak/>
        <w:t xml:space="preserve">There are high rates of recidivism among </w:t>
      </w:r>
      <w:r w:rsidRPr="00D6037C">
        <w:t xml:space="preserve">children </w:t>
      </w:r>
      <w:r>
        <w:t xml:space="preserve">released from detention. Between 2019 and 2022, roughly </w:t>
      </w:r>
      <w:r w:rsidRPr="004150FD">
        <w:rPr>
          <w:b/>
          <w:bCs/>
        </w:rPr>
        <w:t>90</w:t>
      </w:r>
      <w:r w:rsidR="000A5198">
        <w:rPr>
          <w:b/>
          <w:bCs/>
        </w:rPr>
        <w:t>%</w:t>
      </w:r>
      <w:r w:rsidRPr="004150FD">
        <w:rPr>
          <w:b/>
          <w:bCs/>
        </w:rPr>
        <w:t xml:space="preserve"> of young people released from detention re-offended</w:t>
      </w:r>
      <w:r>
        <w:t xml:space="preserve"> within 12 months.</w:t>
      </w:r>
      <w:r>
        <w:rPr>
          <w:rStyle w:val="FootnoteReference"/>
        </w:rPr>
        <w:footnoteReference w:id="44"/>
      </w:r>
    </w:p>
    <w:p w14:paraId="1AF08087" w14:textId="77777777" w:rsidR="00335FD3" w:rsidRDefault="00335FD3" w:rsidP="00335FD3">
      <w:pPr>
        <w:pStyle w:val="Numberedparagraph"/>
      </w:pPr>
      <w:r>
        <w:t>As Queensland’s Family and Child Commissioner has emphasised:</w:t>
      </w:r>
    </w:p>
    <w:p w14:paraId="012B048E" w14:textId="71659A0B" w:rsidR="00474629" w:rsidRDefault="00335FD3" w:rsidP="00335FD3">
      <w:pPr>
        <w:pStyle w:val="Quote"/>
      </w:pPr>
      <w:r>
        <w:t>The high rate of offending by a small cohort of young people who already have a history of detention is evidence that our current approach is not the solution to reducing and preventing crime.</w:t>
      </w:r>
      <w:r>
        <w:rPr>
          <w:rStyle w:val="FootnoteReference"/>
        </w:rPr>
        <w:footnoteReference w:id="45"/>
      </w:r>
    </w:p>
    <w:p w14:paraId="371ECF11" w14:textId="770161B2" w:rsidR="00F316C0" w:rsidRPr="00F316C0" w:rsidRDefault="009665FE" w:rsidP="00F316C0">
      <w:pPr>
        <w:pStyle w:val="Heading1"/>
      </w:pPr>
      <w:bookmarkStart w:id="10" w:name="_Toc180746449"/>
      <w:r>
        <w:t>A</w:t>
      </w:r>
      <w:r w:rsidR="61AE9D16">
        <w:t xml:space="preserve"> </w:t>
      </w:r>
      <w:r w:rsidR="00F316C0">
        <w:t xml:space="preserve">human rights </w:t>
      </w:r>
      <w:r>
        <w:t>crisis</w:t>
      </w:r>
      <w:bookmarkEnd w:id="10"/>
    </w:p>
    <w:p w14:paraId="38E8F673" w14:textId="1E8AF804" w:rsidR="00200321" w:rsidRPr="00180838" w:rsidRDefault="00DF2834" w:rsidP="004C0488">
      <w:pPr>
        <w:pStyle w:val="Numberedparagraph"/>
        <w:rPr>
          <w:vertAlign w:val="superscript"/>
          <w:lang w:val="en-US"/>
        </w:rPr>
      </w:pPr>
      <w:r>
        <w:rPr>
          <w:lang w:val="en-US"/>
        </w:rPr>
        <w:t xml:space="preserve">Australia’s obligations under the Convention on the Rights of the Child are clear: </w:t>
      </w:r>
      <w:r w:rsidR="003803B9">
        <w:rPr>
          <w:lang w:val="en-US"/>
        </w:rPr>
        <w:t xml:space="preserve">arrest, </w:t>
      </w:r>
      <w:r w:rsidR="005F1E24">
        <w:rPr>
          <w:lang w:val="en-US"/>
        </w:rPr>
        <w:t xml:space="preserve">detention or imprisonment </w:t>
      </w:r>
      <w:r w:rsidR="003803B9">
        <w:rPr>
          <w:lang w:val="en-US"/>
        </w:rPr>
        <w:t>of children should be used only as a measure of last resort and for the shortest appropriate period of time.</w:t>
      </w:r>
      <w:r w:rsidR="003803B9">
        <w:rPr>
          <w:rStyle w:val="FootnoteReference"/>
          <w:lang w:val="en-US"/>
        </w:rPr>
        <w:footnoteReference w:id="46"/>
      </w:r>
      <w:r w:rsidR="005903DB">
        <w:rPr>
          <w:lang w:val="en-US"/>
        </w:rPr>
        <w:t xml:space="preserve"> </w:t>
      </w:r>
      <w:r w:rsidR="00200321" w:rsidRPr="004C0488">
        <w:rPr>
          <w:lang w:val="en-US"/>
        </w:rPr>
        <w:t>This is because detention</w:t>
      </w:r>
      <w:r w:rsidR="00DB7B5C">
        <w:rPr>
          <w:lang w:val="en-US"/>
        </w:rPr>
        <w:t>, regardless of the conditions in which children are held,</w:t>
      </w:r>
      <w:r w:rsidR="00200321" w:rsidRPr="004C0488">
        <w:rPr>
          <w:lang w:val="en-US"/>
        </w:rPr>
        <w:t xml:space="preserve"> is both counterproductive</w:t>
      </w:r>
      <w:r w:rsidR="000A6102" w:rsidRPr="004C0488">
        <w:rPr>
          <w:lang w:val="en-US"/>
        </w:rPr>
        <w:t xml:space="preserve"> to community safety</w:t>
      </w:r>
      <w:r w:rsidR="00200321" w:rsidRPr="004C0488">
        <w:rPr>
          <w:lang w:val="en-US"/>
        </w:rPr>
        <w:t xml:space="preserve"> and </w:t>
      </w:r>
      <w:r w:rsidR="00771AB8" w:rsidRPr="004C0488">
        <w:rPr>
          <w:lang w:val="en-US"/>
        </w:rPr>
        <w:t xml:space="preserve">particularly </w:t>
      </w:r>
      <w:r w:rsidR="00200321" w:rsidRPr="004C0488">
        <w:rPr>
          <w:lang w:val="en-US"/>
        </w:rPr>
        <w:t>harmful</w:t>
      </w:r>
      <w:r w:rsidR="000A6102" w:rsidRPr="004C0488">
        <w:rPr>
          <w:lang w:val="en-US"/>
        </w:rPr>
        <w:t xml:space="preserve"> to children</w:t>
      </w:r>
      <w:r w:rsidR="00F44796">
        <w:rPr>
          <w:lang w:val="en-US"/>
        </w:rPr>
        <w:t xml:space="preserve"> and their future life prospects</w:t>
      </w:r>
      <w:r w:rsidR="000A6102" w:rsidRPr="004C0488">
        <w:rPr>
          <w:lang w:val="en-US"/>
        </w:rPr>
        <w:t>.</w:t>
      </w:r>
      <w:r w:rsidR="000A6102" w:rsidRPr="009741E8">
        <w:rPr>
          <w:rStyle w:val="FootnoteReference"/>
          <w:lang w:val="en-US"/>
        </w:rPr>
        <w:footnoteReference w:id="47"/>
      </w:r>
    </w:p>
    <w:p w14:paraId="5F155AD3" w14:textId="68176B23" w:rsidR="00180838" w:rsidRPr="00180838" w:rsidRDefault="00180838" w:rsidP="004C0488">
      <w:pPr>
        <w:pStyle w:val="Numberedparagraph"/>
        <w:rPr>
          <w:vertAlign w:val="superscript"/>
          <w:lang w:val="en-US"/>
        </w:rPr>
      </w:pPr>
      <w:r>
        <w:rPr>
          <w:lang w:val="en-US"/>
        </w:rPr>
        <w:t xml:space="preserve">As the Special Rapporteur on Torture has </w:t>
      </w:r>
      <w:proofErr w:type="spellStart"/>
      <w:r>
        <w:rPr>
          <w:lang w:val="en-US"/>
        </w:rPr>
        <w:t>emphasi</w:t>
      </w:r>
      <w:r w:rsidR="001A5FCC">
        <w:rPr>
          <w:lang w:val="en-US"/>
        </w:rPr>
        <w:t>s</w:t>
      </w:r>
      <w:r>
        <w:rPr>
          <w:lang w:val="en-US"/>
        </w:rPr>
        <w:t>ed</w:t>
      </w:r>
      <w:proofErr w:type="spellEnd"/>
      <w:r>
        <w:rPr>
          <w:lang w:val="en-US"/>
        </w:rPr>
        <w:t>:</w:t>
      </w:r>
    </w:p>
    <w:p w14:paraId="076CCFC0" w14:textId="317EE3BF" w:rsidR="00180838" w:rsidRPr="00676ECB" w:rsidRDefault="006D26AF" w:rsidP="00676ECB">
      <w:pPr>
        <w:pStyle w:val="Quote"/>
        <w:rPr>
          <w:lang w:val="en-GB"/>
        </w:rPr>
      </w:pPr>
      <w:r w:rsidRPr="00A41E6B">
        <w:rPr>
          <w:lang w:val="en-GB"/>
        </w:rPr>
        <w:t>Even very short periods of detention can undermine a child’s psychological and physical well-being and compromise cognitive development. Children deprived of liberty are at a heightened risk of suffering depression and anxiety, and frequently exhibit symptoms consistent with post</w:t>
      </w:r>
      <w:r>
        <w:rPr>
          <w:lang w:val="en-GB"/>
        </w:rPr>
        <w:t>-</w:t>
      </w:r>
      <w:r w:rsidRPr="00A41E6B">
        <w:rPr>
          <w:lang w:val="en-GB"/>
        </w:rPr>
        <w:t>traumatic stress disorder. Reports on the effects of depriving children of liberty have found higher rates of suicide and self-harm, mental disorder and developmental problems.</w:t>
      </w:r>
      <w:r w:rsidR="005E1426">
        <w:rPr>
          <w:rStyle w:val="FootnoteReference"/>
          <w:lang w:val="en-GB"/>
        </w:rPr>
        <w:footnoteReference w:id="48"/>
      </w:r>
    </w:p>
    <w:p w14:paraId="1E5DEFDC" w14:textId="3E931C7F" w:rsidR="4BC3A84F" w:rsidRDefault="004C0488" w:rsidP="4BC3A84F">
      <w:pPr>
        <w:pStyle w:val="Numberedparagraph"/>
        <w:rPr>
          <w:lang w:val="en-US"/>
        </w:rPr>
      </w:pPr>
      <w:r>
        <w:rPr>
          <w:lang w:val="en-US"/>
        </w:rPr>
        <w:t>However, in Queensland</w:t>
      </w:r>
      <w:r w:rsidR="001A5FCC">
        <w:rPr>
          <w:lang w:val="en-US"/>
        </w:rPr>
        <w:t>,</w:t>
      </w:r>
      <w:r w:rsidR="000B7FF4">
        <w:rPr>
          <w:lang w:val="en-US"/>
        </w:rPr>
        <w:t xml:space="preserve"> </w:t>
      </w:r>
      <w:r>
        <w:rPr>
          <w:lang w:val="en-US"/>
        </w:rPr>
        <w:t xml:space="preserve">legislative and policy developments have </w:t>
      </w:r>
      <w:r w:rsidR="00DE3BC1">
        <w:rPr>
          <w:lang w:val="en-US"/>
        </w:rPr>
        <w:t>been trending in the opposite direction: towards more frequent</w:t>
      </w:r>
      <w:r w:rsidR="00783E7A">
        <w:rPr>
          <w:lang w:val="en-US"/>
        </w:rPr>
        <w:t xml:space="preserve"> arrest and</w:t>
      </w:r>
      <w:r w:rsidR="00DE3BC1">
        <w:rPr>
          <w:lang w:val="en-US"/>
        </w:rPr>
        <w:t xml:space="preserve"> detention of children for longer periods of time.</w:t>
      </w:r>
      <w:r w:rsidR="00676ECB">
        <w:rPr>
          <w:lang w:val="en-US"/>
        </w:rPr>
        <w:t xml:space="preserve"> </w:t>
      </w:r>
      <w:r w:rsidR="002D72AE">
        <w:rPr>
          <w:lang w:val="en-US"/>
        </w:rPr>
        <w:t xml:space="preserve">Increased </w:t>
      </w:r>
      <w:proofErr w:type="spellStart"/>
      <w:r w:rsidR="002D72AE">
        <w:rPr>
          <w:lang w:val="en-US"/>
        </w:rPr>
        <w:t>criminalisation</w:t>
      </w:r>
      <w:proofErr w:type="spellEnd"/>
      <w:r w:rsidR="00F06278">
        <w:rPr>
          <w:lang w:val="en-US"/>
        </w:rPr>
        <w:t xml:space="preserve"> of children</w:t>
      </w:r>
      <w:r w:rsidR="002D72AE">
        <w:rPr>
          <w:lang w:val="en-US"/>
        </w:rPr>
        <w:t xml:space="preserve"> has</w:t>
      </w:r>
      <w:r w:rsidR="00857C19">
        <w:rPr>
          <w:lang w:val="en-US"/>
        </w:rPr>
        <w:t xml:space="preserve"> in turn</w:t>
      </w:r>
      <w:r w:rsidR="002D72AE">
        <w:rPr>
          <w:lang w:val="en-US"/>
        </w:rPr>
        <w:t xml:space="preserve"> led to further </w:t>
      </w:r>
      <w:r w:rsidR="00845EC1">
        <w:rPr>
          <w:lang w:val="en-US"/>
        </w:rPr>
        <w:t>egregious human rights violations</w:t>
      </w:r>
      <w:r w:rsidR="009A6069">
        <w:rPr>
          <w:lang w:val="en-US"/>
        </w:rPr>
        <w:t xml:space="preserve"> </w:t>
      </w:r>
      <w:r w:rsidR="00171ADE">
        <w:rPr>
          <w:lang w:val="en-US"/>
        </w:rPr>
        <w:t>as the youth incarceration system has been stretched to breaking point.</w:t>
      </w:r>
    </w:p>
    <w:p w14:paraId="035CE3A0" w14:textId="7318F431" w:rsidR="00D6037C" w:rsidRDefault="00F316C0" w:rsidP="00D6037C">
      <w:pPr>
        <w:pStyle w:val="Heading2"/>
      </w:pPr>
      <w:bookmarkStart w:id="11" w:name="_Toc180746450"/>
      <w:r>
        <w:lastRenderedPageBreak/>
        <w:t xml:space="preserve">Detention of children in </w:t>
      </w:r>
      <w:r w:rsidR="002D2B73">
        <w:t>watch house</w:t>
      </w:r>
      <w:r>
        <w:t>s</w:t>
      </w:r>
      <w:bookmarkEnd w:id="11"/>
    </w:p>
    <w:p w14:paraId="62E38A20" w14:textId="5173BECB" w:rsidR="00795146" w:rsidRDefault="00DC253C" w:rsidP="001C2CCD">
      <w:pPr>
        <w:pStyle w:val="Numberedparagraph"/>
      </w:pPr>
      <w:r>
        <w:t xml:space="preserve">Increasing numbers of children in detention for longer </w:t>
      </w:r>
      <w:r w:rsidR="003B5C18">
        <w:t>periods</w:t>
      </w:r>
      <w:r>
        <w:t xml:space="preserve"> has </w:t>
      </w:r>
      <w:r w:rsidR="009B2D24">
        <w:t xml:space="preserve">stretched the capacity of </w:t>
      </w:r>
      <w:r w:rsidR="00C11029">
        <w:t>y</w:t>
      </w:r>
      <w:r w:rsidR="009B2D24">
        <w:t xml:space="preserve">outh </w:t>
      </w:r>
      <w:r w:rsidR="00C11029">
        <w:t>d</w:t>
      </w:r>
      <w:r w:rsidR="009B2D24">
        <w:t xml:space="preserve">etention </w:t>
      </w:r>
      <w:r w:rsidR="00C11029">
        <w:t>c</w:t>
      </w:r>
      <w:r w:rsidR="009B2D24">
        <w:t xml:space="preserve">entres, to the point that there have not been enough beds to accommodate them. This has resulted in </w:t>
      </w:r>
      <w:r w:rsidR="00FC37BD">
        <w:t xml:space="preserve">thousands of </w:t>
      </w:r>
      <w:r w:rsidR="00625494">
        <w:t xml:space="preserve">incidents of </w:t>
      </w:r>
      <w:r w:rsidR="00594AB6">
        <w:t>children, including those as young as 1</w:t>
      </w:r>
      <w:r w:rsidR="006A2538">
        <w:t>0</w:t>
      </w:r>
      <w:r w:rsidR="00594AB6">
        <w:t xml:space="preserve">, being detained in police </w:t>
      </w:r>
      <w:r w:rsidR="002D2B73">
        <w:t>watch house</w:t>
      </w:r>
      <w:r w:rsidR="00594AB6">
        <w:t xml:space="preserve">s for periods of </w:t>
      </w:r>
      <w:r w:rsidR="00625494">
        <w:t xml:space="preserve">more than 24 hours, in some cases for </w:t>
      </w:r>
      <w:r w:rsidR="00D551DC">
        <w:t>over a month</w:t>
      </w:r>
      <w:r w:rsidR="00182437">
        <w:t>.</w:t>
      </w:r>
      <w:r w:rsidR="006F5170">
        <w:rPr>
          <w:rStyle w:val="FootnoteReference"/>
        </w:rPr>
        <w:footnoteReference w:id="49"/>
      </w:r>
    </w:p>
    <w:p w14:paraId="29F1570F" w14:textId="364560F2" w:rsidR="0010458B" w:rsidRDefault="00D51DE5" w:rsidP="00A70CD5">
      <w:pPr>
        <w:pStyle w:val="Numberedparagraph"/>
      </w:pPr>
      <w:r>
        <w:t>Holding a</w:t>
      </w:r>
      <w:r w:rsidR="00F976FD">
        <w:t xml:space="preserve"> child</w:t>
      </w:r>
      <w:r w:rsidR="0082708F">
        <w:t xml:space="preserve"> in a police </w:t>
      </w:r>
      <w:r w:rsidR="002D2B73">
        <w:t>watch house</w:t>
      </w:r>
      <w:r w:rsidR="0082708F">
        <w:t xml:space="preserve"> for more than 24 hours is contrary </w:t>
      </w:r>
      <w:r w:rsidR="00F976FD">
        <w:t xml:space="preserve">to </w:t>
      </w:r>
      <w:r w:rsidR="0008291C">
        <w:t>Australia’s international obligations</w:t>
      </w:r>
      <w:r w:rsidR="00E52AAF">
        <w:rPr>
          <w:rStyle w:val="FootnoteReference"/>
        </w:rPr>
        <w:footnoteReference w:id="50"/>
      </w:r>
      <w:r w:rsidR="0008291C">
        <w:t xml:space="preserve"> and international </w:t>
      </w:r>
      <w:r w:rsidR="00D551DC">
        <w:t xml:space="preserve">minimum </w:t>
      </w:r>
      <w:r w:rsidR="00F976FD">
        <w:t>standards</w:t>
      </w:r>
      <w:r w:rsidR="0008291C">
        <w:t>,</w:t>
      </w:r>
      <w:r w:rsidR="0033381F">
        <w:rPr>
          <w:rStyle w:val="FootnoteReference"/>
        </w:rPr>
        <w:footnoteReference w:id="51"/>
      </w:r>
      <w:r w:rsidR="00996DD2">
        <w:t xml:space="preserve"> and is incompatible with </w:t>
      </w:r>
      <w:r w:rsidR="00AE7267">
        <w:t>Queensland</w:t>
      </w:r>
      <w:r w:rsidR="00213212">
        <w:t>’</w:t>
      </w:r>
      <w:r w:rsidR="00AE7267">
        <w:t xml:space="preserve">s </w:t>
      </w:r>
      <w:r w:rsidR="00996DD2">
        <w:t>obligations u</w:t>
      </w:r>
      <w:r w:rsidR="003E5519">
        <w:t>n</w:t>
      </w:r>
      <w:r w:rsidR="00996DD2">
        <w:t>der the Human Rights Act</w:t>
      </w:r>
      <w:r w:rsidR="0022703D">
        <w:t>.</w:t>
      </w:r>
      <w:r w:rsidR="00532B9C">
        <w:t xml:space="preserve"> </w:t>
      </w:r>
      <w:r w:rsidR="00996DD2">
        <w:t xml:space="preserve">The Queensland Parliament </w:t>
      </w:r>
      <w:r w:rsidR="00680160">
        <w:t>has clearly acknowledged this because</w:t>
      </w:r>
      <w:r w:rsidR="00996DD2">
        <w:t xml:space="preserve"> p</w:t>
      </w:r>
      <w:r w:rsidR="0010458B">
        <w:t xml:space="preserve">rovisions </w:t>
      </w:r>
      <w:r w:rsidR="00D26578">
        <w:t xml:space="preserve">of the </w:t>
      </w:r>
      <w:r w:rsidR="00D26578" w:rsidRPr="00CA3D0F">
        <w:rPr>
          <w:i/>
          <w:iCs/>
        </w:rPr>
        <w:t>Youth Justice Act</w:t>
      </w:r>
      <w:r w:rsidR="00CA3D0F" w:rsidRPr="00CA3D0F">
        <w:rPr>
          <w:i/>
          <w:iCs/>
        </w:rPr>
        <w:t xml:space="preserve"> 1992</w:t>
      </w:r>
      <w:r w:rsidR="00D26578">
        <w:t xml:space="preserve"> </w:t>
      </w:r>
      <w:r w:rsidR="002D33A7">
        <w:t xml:space="preserve">that </w:t>
      </w:r>
      <w:r w:rsidR="00D26578">
        <w:t xml:space="preserve">allow for the prolonged detention of young people in </w:t>
      </w:r>
      <w:r w:rsidR="002D2B73">
        <w:t>watch house</w:t>
      </w:r>
      <w:r w:rsidR="00D26578">
        <w:t xml:space="preserve">s explicitly </w:t>
      </w:r>
      <w:r w:rsidR="00CA3D0F">
        <w:t>state the provisions have effect ‘despite being incompatible with human rights’</w:t>
      </w:r>
      <w:r w:rsidR="000C52A1">
        <w:t>.</w:t>
      </w:r>
      <w:r w:rsidR="000337AC">
        <w:rPr>
          <w:rStyle w:val="FootnoteReference"/>
        </w:rPr>
        <w:footnoteReference w:id="52"/>
      </w:r>
      <w:r w:rsidR="00CA3D0F">
        <w:t xml:space="preserve"> </w:t>
      </w:r>
    </w:p>
    <w:p w14:paraId="2238994B" w14:textId="3B52EC48" w:rsidR="004471A8" w:rsidRDefault="002D2B73" w:rsidP="00EE69A4">
      <w:pPr>
        <w:pStyle w:val="Numberedparagraph"/>
      </w:pPr>
      <w:r>
        <w:t>Watch house</w:t>
      </w:r>
      <w:r w:rsidR="00EE69A4" w:rsidRPr="001C2CCD">
        <w:t xml:space="preserve">s are designed </w:t>
      </w:r>
      <w:r w:rsidR="001544AC">
        <w:t xml:space="preserve">for </w:t>
      </w:r>
      <w:r w:rsidR="00770256">
        <w:t xml:space="preserve">the </w:t>
      </w:r>
      <w:r w:rsidR="00EE69A4" w:rsidRPr="001C2CCD">
        <w:t>temporary accommodation</w:t>
      </w:r>
      <w:r w:rsidR="004471A8">
        <w:t xml:space="preserve"> </w:t>
      </w:r>
      <w:r w:rsidR="00770256">
        <w:t xml:space="preserve">of </w:t>
      </w:r>
      <w:r w:rsidR="00EE69A4" w:rsidRPr="001C2CCD">
        <w:t xml:space="preserve">adults </w:t>
      </w:r>
      <w:r w:rsidR="008213A7">
        <w:t>and</w:t>
      </w:r>
      <w:r w:rsidR="006E587A">
        <w:t xml:space="preserve"> </w:t>
      </w:r>
      <w:r w:rsidR="00A809EF">
        <w:t>are unable to meet the</w:t>
      </w:r>
      <w:r w:rsidR="009A4378">
        <w:t xml:space="preserve"> basic rights and needs of children </w:t>
      </w:r>
      <w:r w:rsidR="004108D8">
        <w:t>for</w:t>
      </w:r>
      <w:r w:rsidR="00CF6A30">
        <w:t xml:space="preserve"> detention</w:t>
      </w:r>
      <w:r w:rsidR="003C1D0E">
        <w:t>, including the requirement</w:t>
      </w:r>
      <w:r w:rsidR="00CF6A30" w:rsidDel="003C1D0E">
        <w:t xml:space="preserve"> that</w:t>
      </w:r>
      <w:r w:rsidR="00CF6A30">
        <w:t>:</w:t>
      </w:r>
    </w:p>
    <w:p w14:paraId="61420D17" w14:textId="3E2B7B72" w:rsidR="009B0EB2" w:rsidRDefault="003F24C0" w:rsidP="00B94ABD">
      <w:pPr>
        <w:pStyle w:val="Bulletedlist"/>
      </w:pPr>
      <w:r>
        <w:t>children be</w:t>
      </w:r>
      <w:r w:rsidR="00846491">
        <w:t xml:space="preserve"> </w:t>
      </w:r>
      <w:r w:rsidR="0044202F">
        <w:t xml:space="preserve">completely </w:t>
      </w:r>
      <w:r w:rsidR="008448AA">
        <w:t>separate</w:t>
      </w:r>
      <w:r w:rsidR="00765186">
        <w:t>d</w:t>
      </w:r>
      <w:r w:rsidR="008448AA">
        <w:t xml:space="preserve"> from adults</w:t>
      </w:r>
      <w:r w:rsidR="00061922">
        <w:t>, except where that is in their best interests</w:t>
      </w:r>
      <w:r w:rsidR="00B94895">
        <w:rPr>
          <w:rStyle w:val="FootnoteReference"/>
        </w:rPr>
        <w:footnoteReference w:id="53"/>
      </w:r>
    </w:p>
    <w:p w14:paraId="363D6A01" w14:textId="6A33F780" w:rsidR="00CF6A30" w:rsidRDefault="00675A4B" w:rsidP="00B94ABD">
      <w:pPr>
        <w:pStyle w:val="Bulletedlist"/>
      </w:pPr>
      <w:r>
        <w:t>centres be</w:t>
      </w:r>
      <w:r w:rsidR="00846491">
        <w:t xml:space="preserve"> </w:t>
      </w:r>
      <w:r w:rsidR="002A7AAF">
        <w:t>staffed by appropriately trained personnel and operated according to child-friendly policies and practices</w:t>
      </w:r>
      <w:r w:rsidR="00635987">
        <w:rPr>
          <w:rStyle w:val="FootnoteReference"/>
        </w:rPr>
        <w:footnoteReference w:id="54"/>
      </w:r>
    </w:p>
    <w:p w14:paraId="10F2C1BC" w14:textId="0955BE8D" w:rsidR="00CC6DF7" w:rsidRDefault="004312DB" w:rsidP="00B94ABD">
      <w:pPr>
        <w:pStyle w:val="Bulletedlist"/>
      </w:pPr>
      <w:r>
        <w:lastRenderedPageBreak/>
        <w:t>children be</w:t>
      </w:r>
      <w:r w:rsidR="00675A4B">
        <w:t xml:space="preserve"> </w:t>
      </w:r>
      <w:r w:rsidR="0076681A">
        <w:t>p</w:t>
      </w:r>
      <w:r w:rsidR="00CC6DF7">
        <w:t>rovide</w:t>
      </w:r>
      <w:r>
        <w:t>d with</w:t>
      </w:r>
      <w:r w:rsidR="00CC6DF7">
        <w:t xml:space="preserve"> daily access to fresh air</w:t>
      </w:r>
      <w:r w:rsidR="00470B4C">
        <w:t>,</w:t>
      </w:r>
      <w:r w:rsidR="00CC6DF7">
        <w:t xml:space="preserve"> exercise</w:t>
      </w:r>
      <w:r w:rsidR="00470B4C">
        <w:t>, and natural light</w:t>
      </w:r>
      <w:r w:rsidR="00DD7BEB">
        <w:rPr>
          <w:rStyle w:val="FootnoteReference"/>
          <w:lang w:val="en-US"/>
        </w:rPr>
        <w:footnoteReference w:id="55"/>
      </w:r>
      <w:r w:rsidR="00CC6DF7">
        <w:t xml:space="preserve"> </w:t>
      </w:r>
    </w:p>
    <w:p w14:paraId="48C71A75" w14:textId="451963A5" w:rsidR="002A7AAF" w:rsidRDefault="00F01217" w:rsidP="00B94ABD">
      <w:pPr>
        <w:pStyle w:val="Bulletedlist"/>
      </w:pPr>
      <w:r>
        <w:t>centres are</w:t>
      </w:r>
      <w:r w:rsidR="00846491">
        <w:t xml:space="preserve"> </w:t>
      </w:r>
      <w:r w:rsidR="00961395">
        <w:t xml:space="preserve">designed </w:t>
      </w:r>
      <w:r w:rsidR="00790D44">
        <w:t xml:space="preserve">in keeping with </w:t>
      </w:r>
      <w:r w:rsidR="00C1625C">
        <w:t>rehabilitative aims</w:t>
      </w:r>
      <w:r w:rsidR="0058640C">
        <w:t xml:space="preserve"> of detention</w:t>
      </w:r>
      <w:r w:rsidR="00C1625C">
        <w:t xml:space="preserve">, </w:t>
      </w:r>
      <w:r w:rsidR="00C335B1">
        <w:t xml:space="preserve">with </w:t>
      </w:r>
      <w:r w:rsidR="00C335B1" w:rsidRPr="00A2231B">
        <w:t xml:space="preserve">due regard to the need of the child for privacy, sensory stimuli, opportunities for association with peers and participation in sports, physical exercise and leisure-time </w:t>
      </w:r>
      <w:r w:rsidR="00C335B1" w:rsidRPr="00D8717F">
        <w:t>activities</w:t>
      </w:r>
      <w:r w:rsidR="00C335B1" w:rsidRPr="00D8717F">
        <w:rPr>
          <w:vertAlign w:val="superscript"/>
        </w:rPr>
        <w:footnoteReference w:id="56"/>
      </w:r>
    </w:p>
    <w:p w14:paraId="671854D4" w14:textId="03EFD69D" w:rsidR="00846491" w:rsidRDefault="00F01217" w:rsidP="00B94ABD">
      <w:pPr>
        <w:pStyle w:val="Bulletedlist"/>
      </w:pPr>
      <w:r>
        <w:t xml:space="preserve">children are provided with </w:t>
      </w:r>
      <w:r w:rsidR="002324CA">
        <w:t xml:space="preserve">adequate health and mental health </w:t>
      </w:r>
      <w:r w:rsidR="00DF2DB9">
        <w:t xml:space="preserve">screening and </w:t>
      </w:r>
      <w:r w:rsidR="002324CA">
        <w:t>services</w:t>
      </w:r>
      <w:r w:rsidR="00ED3592">
        <w:rPr>
          <w:rStyle w:val="FootnoteReference"/>
        </w:rPr>
        <w:footnoteReference w:id="57"/>
      </w:r>
    </w:p>
    <w:p w14:paraId="383EEE76" w14:textId="01EE15F3" w:rsidR="00BD36EC" w:rsidRDefault="005660BC" w:rsidP="00B94ABD">
      <w:pPr>
        <w:pStyle w:val="Bulletedlist"/>
      </w:pPr>
      <w:r>
        <w:t xml:space="preserve">children </w:t>
      </w:r>
      <w:r w:rsidR="007A555E">
        <w:t>frequent</w:t>
      </w:r>
      <w:r>
        <w:t>ly make contact with their</w:t>
      </w:r>
      <w:r w:rsidR="007A555E">
        <w:t xml:space="preserve"> family and community</w:t>
      </w:r>
      <w:r w:rsidR="00920204">
        <w:rPr>
          <w:rStyle w:val="FootnoteReference"/>
        </w:rPr>
        <w:footnoteReference w:id="58"/>
      </w:r>
    </w:p>
    <w:p w14:paraId="3F67DBBB" w14:textId="3B0C604C" w:rsidR="00920204" w:rsidRDefault="005660BC" w:rsidP="00B94ABD">
      <w:pPr>
        <w:pStyle w:val="Bulletedlist"/>
      </w:pPr>
      <w:r>
        <w:t>children be placed in</w:t>
      </w:r>
      <w:r w:rsidR="00D47D20">
        <w:t xml:space="preserve"> single cell </w:t>
      </w:r>
      <w:r w:rsidR="00D01212">
        <w:t>accommodation</w:t>
      </w:r>
      <w:r w:rsidR="0003079A">
        <w:t xml:space="preserve"> overnight</w:t>
      </w:r>
      <w:r w:rsidR="00D01212">
        <w:t>,</w:t>
      </w:r>
      <w:r w:rsidR="0033057E">
        <w:t xml:space="preserve"> with areas for mixing</w:t>
      </w:r>
      <w:r w:rsidR="00E95C5D">
        <w:t xml:space="preserve"> outside </w:t>
      </w:r>
      <w:r w:rsidR="00516F03">
        <w:t>cells</w:t>
      </w:r>
      <w:r w:rsidR="0033057E">
        <w:t>.</w:t>
      </w:r>
      <w:r w:rsidR="00043BF7">
        <w:rPr>
          <w:rStyle w:val="FootnoteReference"/>
        </w:rPr>
        <w:footnoteReference w:id="59"/>
      </w:r>
      <w:r w:rsidR="0033057E">
        <w:t xml:space="preserve"> </w:t>
      </w:r>
      <w:r w:rsidR="00E95C5D">
        <w:t>T</w:t>
      </w:r>
      <w:r w:rsidR="00F861C3">
        <w:t xml:space="preserve">he minimum size for a double room without ensuite </w:t>
      </w:r>
      <w:r w:rsidR="00E95C5D">
        <w:t xml:space="preserve">should be </w:t>
      </w:r>
      <w:r w:rsidR="00F861C3">
        <w:t>11 m</w:t>
      </w:r>
      <w:r w:rsidR="00F861C3" w:rsidRPr="00F861C3">
        <w:rPr>
          <w:vertAlign w:val="superscript"/>
        </w:rPr>
        <w:t>2</w:t>
      </w:r>
      <w:r w:rsidR="00482E26">
        <w:t>.</w:t>
      </w:r>
      <w:r w:rsidR="0084017C">
        <w:rPr>
          <w:rStyle w:val="FootnoteReference"/>
        </w:rPr>
        <w:footnoteReference w:id="60"/>
      </w:r>
    </w:p>
    <w:p w14:paraId="01C3A75D" w14:textId="59F84821" w:rsidR="005C0AA1" w:rsidRPr="00354A81" w:rsidRDefault="003D7843" w:rsidP="00884766">
      <w:pPr>
        <w:pStyle w:val="Numberedparagraph"/>
      </w:pPr>
      <w:r w:rsidRPr="00354A81">
        <w:t xml:space="preserve">The Queensland Family </w:t>
      </w:r>
      <w:r w:rsidR="00600287" w:rsidRPr="00354A81">
        <w:t xml:space="preserve">&amp; </w:t>
      </w:r>
      <w:r w:rsidRPr="00354A81">
        <w:t xml:space="preserve">Child </w:t>
      </w:r>
      <w:r w:rsidR="00600287" w:rsidRPr="00354A81">
        <w:t>Commission found that</w:t>
      </w:r>
      <w:r w:rsidR="002C1A9B" w:rsidRPr="00354A81">
        <w:t xml:space="preserve"> </w:t>
      </w:r>
      <w:r w:rsidR="002D2B73">
        <w:t>watch house</w:t>
      </w:r>
      <w:r w:rsidR="00985179" w:rsidRPr="00354A81">
        <w:t>s were not suitable places to detain young people for extended perio</w:t>
      </w:r>
      <w:r w:rsidR="00354A81" w:rsidRPr="00354A81">
        <w:t>d</w:t>
      </w:r>
      <w:r w:rsidR="00985179" w:rsidRPr="00354A81">
        <w:t>s due to their design, lack of trained staff, and lack of youth</w:t>
      </w:r>
      <w:r w:rsidR="0047384E">
        <w:t>-</w:t>
      </w:r>
      <w:r w:rsidR="00985179" w:rsidRPr="00354A81">
        <w:t>focused policies, services and programs designed to uphold the rights of children while detained</w:t>
      </w:r>
      <w:r w:rsidR="00A35107">
        <w:t xml:space="preserve">, </w:t>
      </w:r>
      <w:r w:rsidR="00303902">
        <w:t xml:space="preserve">contrary to </w:t>
      </w:r>
      <w:r w:rsidR="0048757A">
        <w:t xml:space="preserve">the </w:t>
      </w:r>
      <w:r w:rsidR="00E94B66">
        <w:t xml:space="preserve">Queensland </w:t>
      </w:r>
      <w:r w:rsidR="0048757A">
        <w:t xml:space="preserve">Charter of youth justice principle 19 </w:t>
      </w:r>
      <w:r w:rsidR="00303902">
        <w:t xml:space="preserve">that a child </w:t>
      </w:r>
      <w:r w:rsidR="00B32F8D">
        <w:t>in custody should only be held in a facility suitable for children.</w:t>
      </w:r>
      <w:r w:rsidR="0048757A">
        <w:rPr>
          <w:rStyle w:val="FootnoteReference"/>
        </w:rPr>
        <w:footnoteReference w:id="61"/>
      </w:r>
      <w:r w:rsidR="00985179" w:rsidRPr="00354A81">
        <w:t xml:space="preserve"> </w:t>
      </w:r>
    </w:p>
    <w:p w14:paraId="043D7AAA" w14:textId="1BCA6F63" w:rsidR="000B18A8" w:rsidRDefault="000B18A8" w:rsidP="00884766">
      <w:pPr>
        <w:pStyle w:val="Numberedparagraph"/>
      </w:pPr>
      <w:r>
        <w:t xml:space="preserve">Staff working in </w:t>
      </w:r>
      <w:r w:rsidR="002D2B73">
        <w:t>watch house</w:t>
      </w:r>
      <w:r>
        <w:t>s have public</w:t>
      </w:r>
      <w:r w:rsidR="000E7C03">
        <w:t>ly</w:t>
      </w:r>
      <w:r>
        <w:t xml:space="preserve"> </w:t>
      </w:r>
      <w:r w:rsidR="00C343E7">
        <w:t xml:space="preserve">raised </w:t>
      </w:r>
      <w:r>
        <w:t>concerns about th</w:t>
      </w:r>
      <w:r w:rsidR="000E7C03">
        <w:t xml:space="preserve">e impact of these conditions on children. </w:t>
      </w:r>
      <w:r w:rsidR="005A3EA8">
        <w:t xml:space="preserve">In January 2024 </w:t>
      </w:r>
      <w:r w:rsidR="00D344ED" w:rsidRPr="00E94B66">
        <w:rPr>
          <w:i/>
          <w:iCs/>
        </w:rPr>
        <w:t>The</w:t>
      </w:r>
      <w:r w:rsidRPr="0064386A">
        <w:t xml:space="preserve"> </w:t>
      </w:r>
      <w:r w:rsidRPr="000E7C03">
        <w:rPr>
          <w:i/>
          <w:iCs/>
        </w:rPr>
        <w:t>Guardian</w:t>
      </w:r>
      <w:r w:rsidRPr="0064386A">
        <w:t xml:space="preserve"> reported that </w:t>
      </w:r>
      <w:r w:rsidR="000E7C03">
        <w:t xml:space="preserve">a </w:t>
      </w:r>
      <w:r w:rsidR="00C343E7">
        <w:t xml:space="preserve">senior </w:t>
      </w:r>
      <w:r w:rsidRPr="0064386A">
        <w:t xml:space="preserve">psychologist treating children in Cairns </w:t>
      </w:r>
      <w:r w:rsidR="002D2B73">
        <w:t>watch house</w:t>
      </w:r>
      <w:r w:rsidRPr="0064386A">
        <w:t xml:space="preserve"> </w:t>
      </w:r>
      <w:r w:rsidR="00C343E7">
        <w:t>had warned</w:t>
      </w:r>
      <w:r w:rsidRPr="0064386A">
        <w:t xml:space="preserve"> of ‘horrendous’ and ‘inhumane’ conditions, including claims that young people </w:t>
      </w:r>
      <w:r w:rsidR="00C343E7">
        <w:t>we</w:t>
      </w:r>
      <w:r w:rsidRPr="0064386A">
        <w:t>re not being provided adequate food, medical attention or legal support.</w:t>
      </w:r>
      <w:r w:rsidRPr="0064386A">
        <w:rPr>
          <w:vertAlign w:val="superscript"/>
        </w:rPr>
        <w:footnoteReference w:id="62"/>
      </w:r>
      <w:r w:rsidRPr="0064386A">
        <w:t xml:space="preserve"> </w:t>
      </w:r>
      <w:r w:rsidR="00884766">
        <w:t xml:space="preserve">The psychologist warned of a </w:t>
      </w:r>
      <w:r w:rsidRPr="0064386A">
        <w:t xml:space="preserve">‘massive deterioration’ in children’s physical and mental </w:t>
      </w:r>
      <w:r w:rsidR="00C9707D">
        <w:lastRenderedPageBreak/>
        <w:t xml:space="preserve">health and claimed that the </w:t>
      </w:r>
      <w:r w:rsidR="001C496C">
        <w:t xml:space="preserve">treatment of children in Cairns </w:t>
      </w:r>
      <w:r w:rsidR="002D2B73">
        <w:t>watch house</w:t>
      </w:r>
      <w:r w:rsidR="001C496C">
        <w:t xml:space="preserve"> amounted</w:t>
      </w:r>
      <w:r w:rsidRPr="0064386A">
        <w:t xml:space="preserve"> to child abuse.</w:t>
      </w:r>
      <w:r w:rsidRPr="0064386A">
        <w:rPr>
          <w:vertAlign w:val="superscript"/>
        </w:rPr>
        <w:footnoteReference w:id="63"/>
      </w:r>
    </w:p>
    <w:p w14:paraId="139B2DB5" w14:textId="4625FD62" w:rsidR="00554A7C" w:rsidRDefault="00554A7C" w:rsidP="00554A7C">
      <w:pPr>
        <w:pStyle w:val="Numberedparagraph"/>
      </w:pPr>
      <w:r w:rsidRPr="00E94B66">
        <w:rPr>
          <w:i/>
        </w:rPr>
        <w:t>The</w:t>
      </w:r>
      <w:r>
        <w:t xml:space="preserve"> </w:t>
      </w:r>
      <w:r>
        <w:rPr>
          <w:i/>
          <w:iCs/>
        </w:rPr>
        <w:t xml:space="preserve">Guardian </w:t>
      </w:r>
      <w:r w:rsidR="000C67EB" w:rsidRPr="000C67EB">
        <w:t>also</w:t>
      </w:r>
      <w:r w:rsidR="000C67EB">
        <w:rPr>
          <w:i/>
          <w:iCs/>
        </w:rPr>
        <w:t xml:space="preserve"> </w:t>
      </w:r>
      <w:r>
        <w:t>report</w:t>
      </w:r>
      <w:r w:rsidR="0072789B">
        <w:t>e</w:t>
      </w:r>
      <w:r w:rsidR="003E197A">
        <w:t>d</w:t>
      </w:r>
      <w:r>
        <w:t xml:space="preserve"> </w:t>
      </w:r>
      <w:r w:rsidRPr="00A46264">
        <w:t>that</w:t>
      </w:r>
      <w:r>
        <w:t xml:space="preserve"> a Senior Officer at </w:t>
      </w:r>
      <w:r w:rsidR="005176CD">
        <w:t xml:space="preserve">the </w:t>
      </w:r>
      <w:r>
        <w:t xml:space="preserve">Cairns </w:t>
      </w:r>
      <w:r w:rsidR="002D2B73">
        <w:t>watch house</w:t>
      </w:r>
      <w:r>
        <w:t xml:space="preserve"> has raised concerns in an email to various agencies that police cannot meet expectations for care of children held in </w:t>
      </w:r>
      <w:r w:rsidR="00B77D4C">
        <w:t>the</w:t>
      </w:r>
      <w:r>
        <w:t xml:space="preserve"> </w:t>
      </w:r>
      <w:r w:rsidR="002D2B73">
        <w:t>watch house</w:t>
      </w:r>
      <w:r w:rsidR="00B77D4C">
        <w:t>,</w:t>
      </w:r>
      <w:r>
        <w:t xml:space="preserve"> proposing that staff from external agencies be brought in to engage with and provide necessities to them including snacks, toilet paper and activities. It </w:t>
      </w:r>
      <w:r w:rsidR="00853602">
        <w:t>was</w:t>
      </w:r>
      <w:r>
        <w:t xml:space="preserve"> reported that in the previous week 14 children were held in extended police custody in Cairns, including one who had been kept in the </w:t>
      </w:r>
      <w:r w:rsidR="002D2B73">
        <w:t>watch house</w:t>
      </w:r>
      <w:r>
        <w:t xml:space="preserve"> cells for 18 days.</w:t>
      </w:r>
      <w:r>
        <w:rPr>
          <w:rStyle w:val="FootnoteReference"/>
        </w:rPr>
        <w:footnoteReference w:id="64"/>
      </w:r>
    </w:p>
    <w:p w14:paraId="5B3DF653" w14:textId="2547D1CD" w:rsidR="00792705" w:rsidRDefault="0011426F" w:rsidP="00DB7B52">
      <w:pPr>
        <w:pStyle w:val="Numberedparagraph"/>
      </w:pPr>
      <w:r>
        <w:t xml:space="preserve">In </w:t>
      </w:r>
      <w:r w:rsidR="00792705">
        <w:t>June 2024</w:t>
      </w:r>
      <w:r>
        <w:t xml:space="preserve">, the Deputy State Coroner </w:t>
      </w:r>
      <w:r w:rsidR="005B162E">
        <w:t xml:space="preserve">made findings </w:t>
      </w:r>
      <w:r w:rsidR="00102315">
        <w:t xml:space="preserve">in relation </w:t>
      </w:r>
      <w:r w:rsidR="00EA3029">
        <w:t xml:space="preserve">to </w:t>
      </w:r>
      <w:r w:rsidR="00296387">
        <w:t xml:space="preserve">two </w:t>
      </w:r>
      <w:r w:rsidR="00CC2EC0">
        <w:t xml:space="preserve">adult </w:t>
      </w:r>
      <w:r w:rsidR="00EA3029">
        <w:t xml:space="preserve">deaths in </w:t>
      </w:r>
      <w:r w:rsidR="002D2B73">
        <w:t>watch house</w:t>
      </w:r>
      <w:r w:rsidR="00EA3029">
        <w:t xml:space="preserve"> custody</w:t>
      </w:r>
      <w:r w:rsidR="00296387">
        <w:t>,</w:t>
      </w:r>
      <w:r w:rsidR="000761ED">
        <w:t xml:space="preserve"> whose deaths may have been </w:t>
      </w:r>
      <w:r w:rsidR="009C413F">
        <w:t>avoided</w:t>
      </w:r>
      <w:r w:rsidR="000761ED">
        <w:t xml:space="preserve"> </w:t>
      </w:r>
      <w:r w:rsidR="00EC25A6">
        <w:t xml:space="preserve">if there had been adequate cell checks by </w:t>
      </w:r>
      <w:r w:rsidR="002D2B73">
        <w:t>watch house</w:t>
      </w:r>
      <w:r w:rsidR="00EC25A6">
        <w:t xml:space="preserve"> staff and adequate medical services on site. </w:t>
      </w:r>
      <w:r w:rsidR="006C4508">
        <w:t>The Deputy State Coroner</w:t>
      </w:r>
      <w:r w:rsidR="00A03B04">
        <w:t xml:space="preserve">’s recommendations included </w:t>
      </w:r>
      <w:r w:rsidR="00D60264">
        <w:t xml:space="preserve">amending </w:t>
      </w:r>
      <w:r w:rsidR="00317D46">
        <w:t xml:space="preserve">section 6 of </w:t>
      </w:r>
      <w:r w:rsidR="00D60264">
        <w:t xml:space="preserve">the </w:t>
      </w:r>
      <w:r w:rsidR="00D60264" w:rsidRPr="002977B8">
        <w:rPr>
          <w:i/>
          <w:iCs/>
        </w:rPr>
        <w:t xml:space="preserve">Corrective Services Act </w:t>
      </w:r>
      <w:r w:rsidR="002977B8" w:rsidRPr="002977B8">
        <w:rPr>
          <w:i/>
          <w:iCs/>
        </w:rPr>
        <w:t>2006</w:t>
      </w:r>
      <w:r w:rsidR="002977B8">
        <w:t xml:space="preserve"> (Qld) </w:t>
      </w:r>
      <w:r w:rsidR="001B5B23">
        <w:t xml:space="preserve">to ensure </w:t>
      </w:r>
      <w:r w:rsidR="00D04612">
        <w:t xml:space="preserve">adult </w:t>
      </w:r>
      <w:r w:rsidR="001B5B23">
        <w:t>prisoner</w:t>
      </w:r>
      <w:r w:rsidR="005E6017">
        <w:t>s</w:t>
      </w:r>
      <w:r w:rsidR="00D04612">
        <w:t xml:space="preserve"> </w:t>
      </w:r>
      <w:r w:rsidR="003F3794">
        <w:t xml:space="preserve">do </w:t>
      </w:r>
      <w:r w:rsidR="00D04612">
        <w:t xml:space="preserve">not spend more than 72 hours in a </w:t>
      </w:r>
      <w:r w:rsidR="002D2B73">
        <w:t>watch house</w:t>
      </w:r>
      <w:r w:rsidR="00D04612">
        <w:t>,</w:t>
      </w:r>
      <w:r w:rsidR="00874F47">
        <w:t xml:space="preserve"> rather than</w:t>
      </w:r>
      <w:r w:rsidR="00F558A4">
        <w:t xml:space="preserve"> the</w:t>
      </w:r>
      <w:r w:rsidR="00874F47">
        <w:t xml:space="preserve"> 21 days</w:t>
      </w:r>
      <w:r w:rsidR="005E6017">
        <w:t xml:space="preserve"> currently specified</w:t>
      </w:r>
      <w:r w:rsidR="00874F47">
        <w:t>,</w:t>
      </w:r>
      <w:r w:rsidR="005E6017">
        <w:t xml:space="preserve"> and </w:t>
      </w:r>
      <w:r w:rsidR="00E34E85">
        <w:t xml:space="preserve">additional resourcing to Queensland Police Service to support increased training of </w:t>
      </w:r>
      <w:r w:rsidR="002D2B73">
        <w:t>watch house</w:t>
      </w:r>
      <w:r w:rsidR="00E34E85">
        <w:t xml:space="preserve"> officers and specialised police officers working within Queensland </w:t>
      </w:r>
      <w:r w:rsidR="002D2B73">
        <w:t>watch house</w:t>
      </w:r>
      <w:r w:rsidR="00E34E85">
        <w:t>s.</w:t>
      </w:r>
      <w:r w:rsidR="00DB7B52">
        <w:rPr>
          <w:rStyle w:val="FootnoteReference"/>
        </w:rPr>
        <w:footnoteReference w:id="65"/>
      </w:r>
      <w:r w:rsidR="00D64893">
        <w:t xml:space="preserve"> </w:t>
      </w:r>
      <w:r w:rsidR="008A5D82">
        <w:t xml:space="preserve">No legislative maximum exists at all for detention of children in </w:t>
      </w:r>
      <w:r w:rsidR="002D2B73">
        <w:t>watch house</w:t>
      </w:r>
      <w:r w:rsidR="008A5D82">
        <w:t>s.</w:t>
      </w:r>
    </w:p>
    <w:p w14:paraId="25479046" w14:textId="2A7CDAEB" w:rsidR="00565A1E" w:rsidRPr="00493B98" w:rsidRDefault="00565A1E" w:rsidP="00493B98">
      <w:pPr>
        <w:pStyle w:val="Caseexample"/>
        <w:rPr>
          <w:b/>
          <w:bCs/>
        </w:rPr>
      </w:pPr>
      <w:r w:rsidRPr="00493B98">
        <w:rPr>
          <w:b/>
          <w:bCs/>
        </w:rPr>
        <w:t>Case example</w:t>
      </w:r>
      <w:r w:rsidR="004270EB" w:rsidRPr="00493B98">
        <w:rPr>
          <w:b/>
          <w:bCs/>
        </w:rPr>
        <w:t>: alleged sexual assault of a child</w:t>
      </w:r>
      <w:r w:rsidR="00A56A5B" w:rsidRPr="00493B98">
        <w:rPr>
          <w:b/>
          <w:bCs/>
        </w:rPr>
        <w:t xml:space="preserve"> in a </w:t>
      </w:r>
      <w:r w:rsidR="002D2B73" w:rsidRPr="00493B98">
        <w:rPr>
          <w:b/>
          <w:bCs/>
        </w:rPr>
        <w:t>watch house</w:t>
      </w:r>
    </w:p>
    <w:p w14:paraId="7F997371" w14:textId="669C498F" w:rsidR="00174EE1" w:rsidRPr="00B540C1" w:rsidRDefault="00157424" w:rsidP="00493B98">
      <w:pPr>
        <w:pStyle w:val="Caseexample"/>
      </w:pPr>
      <w:r w:rsidRPr="00B540C1">
        <w:t>In February 2024</w:t>
      </w:r>
      <w:r w:rsidR="00CA1E54" w:rsidRPr="00B540C1">
        <w:t>,</w:t>
      </w:r>
      <w:r w:rsidR="00565A1E" w:rsidRPr="00B540C1">
        <w:t xml:space="preserve"> </w:t>
      </w:r>
      <w:r w:rsidR="00CA1E54" w:rsidRPr="00B540C1">
        <w:t>T</w:t>
      </w:r>
      <w:r w:rsidR="00565A1E" w:rsidRPr="00B540C1">
        <w:t xml:space="preserve">he </w:t>
      </w:r>
      <w:r w:rsidR="00CA1E54" w:rsidRPr="00B540C1">
        <w:t xml:space="preserve">Guardian reported a 13 year old boy had been sexually assaulted </w:t>
      </w:r>
      <w:r w:rsidR="00441CC5" w:rsidRPr="00B540C1">
        <w:t xml:space="preserve">in </w:t>
      </w:r>
      <w:r w:rsidR="002D2B73" w:rsidRPr="00B540C1">
        <w:t>watch house</w:t>
      </w:r>
      <w:r w:rsidR="00441CC5" w:rsidRPr="00B540C1">
        <w:t xml:space="preserve"> custody</w:t>
      </w:r>
      <w:r w:rsidR="00BC7673" w:rsidRPr="00B540C1">
        <w:t xml:space="preserve"> while sharing </w:t>
      </w:r>
      <w:r w:rsidR="004A7DCA" w:rsidRPr="00B540C1">
        <w:t xml:space="preserve">a cell with </w:t>
      </w:r>
      <w:r w:rsidR="004F46FE" w:rsidRPr="00B540C1">
        <w:t>3 other</w:t>
      </w:r>
      <w:r w:rsidR="004A7DCA" w:rsidRPr="00B540C1">
        <w:t xml:space="preserve"> boys</w:t>
      </w:r>
      <w:r w:rsidR="00B726CD" w:rsidRPr="00B540C1">
        <w:t>, including the 16 year old alleged perpetrator</w:t>
      </w:r>
      <w:r w:rsidR="00324CBF" w:rsidRPr="00B540C1">
        <w:t xml:space="preserve">, who had himself been in the </w:t>
      </w:r>
      <w:r w:rsidR="002D2B73" w:rsidRPr="00B540C1">
        <w:t>watch house</w:t>
      </w:r>
      <w:r w:rsidR="00324CBF" w:rsidRPr="00B540C1">
        <w:t xml:space="preserve"> for about 20 days when the incident occurred</w:t>
      </w:r>
      <w:r w:rsidR="00B726CD" w:rsidRPr="00B540C1">
        <w:t>.</w:t>
      </w:r>
      <w:r w:rsidR="00441CC5" w:rsidRPr="00B540C1">
        <w:t xml:space="preserve"> </w:t>
      </w:r>
      <w:r w:rsidR="00A00FB0" w:rsidRPr="00B540C1">
        <w:t>Concerns</w:t>
      </w:r>
      <w:r w:rsidR="00611526" w:rsidRPr="00B540C1">
        <w:t xml:space="preserve"> for the </w:t>
      </w:r>
      <w:r w:rsidR="00324CBF" w:rsidRPr="00B540C1">
        <w:t>victim’s</w:t>
      </w:r>
      <w:r w:rsidR="00611526" w:rsidRPr="00B540C1">
        <w:t xml:space="preserve"> safety </w:t>
      </w:r>
      <w:r w:rsidR="007E04A5" w:rsidRPr="00B540C1">
        <w:t xml:space="preserve">due to his small size </w:t>
      </w:r>
      <w:r w:rsidR="00D462B4" w:rsidRPr="00B540C1">
        <w:t xml:space="preserve">and vulnerability </w:t>
      </w:r>
      <w:r w:rsidR="00A00FB0" w:rsidRPr="00B540C1">
        <w:t xml:space="preserve">had been raised </w:t>
      </w:r>
      <w:r w:rsidR="007C4A49" w:rsidRPr="00B540C1">
        <w:t xml:space="preserve">in the </w:t>
      </w:r>
      <w:r w:rsidR="00491E62" w:rsidRPr="00B540C1">
        <w:t>preceding</w:t>
      </w:r>
      <w:r w:rsidR="007C4A49" w:rsidRPr="00B540C1">
        <w:t xml:space="preserve"> </w:t>
      </w:r>
      <w:r w:rsidR="006C5DE1" w:rsidRPr="00B540C1">
        <w:t xml:space="preserve">days </w:t>
      </w:r>
      <w:r w:rsidR="00A00FB0" w:rsidRPr="00B540C1">
        <w:t>by a psychologist and youth workers</w:t>
      </w:r>
      <w:r w:rsidR="00611526" w:rsidRPr="00B540C1">
        <w:t xml:space="preserve"> to </w:t>
      </w:r>
      <w:r w:rsidR="00E50370" w:rsidRPr="00B540C1">
        <w:t>the Department of Youth Justice</w:t>
      </w:r>
      <w:r w:rsidR="00A0314C" w:rsidRPr="00B540C1">
        <w:t xml:space="preserve"> and others</w:t>
      </w:r>
      <w:r w:rsidR="00B67072" w:rsidRPr="00B540C1">
        <w:t xml:space="preserve">. </w:t>
      </w:r>
      <w:r w:rsidR="004F6BB5" w:rsidRPr="00B540C1">
        <w:t xml:space="preserve">When the victim was </w:t>
      </w:r>
      <w:r w:rsidR="00237372" w:rsidRPr="00B540C1">
        <w:t xml:space="preserve">again arrested, he was </w:t>
      </w:r>
      <w:r w:rsidR="001C1289" w:rsidRPr="00B540C1">
        <w:t xml:space="preserve">initially </w:t>
      </w:r>
      <w:r w:rsidR="00237372" w:rsidRPr="00B540C1">
        <w:t xml:space="preserve">placed in a </w:t>
      </w:r>
      <w:r w:rsidR="002D2B73" w:rsidRPr="00B540C1">
        <w:t>watch house</w:t>
      </w:r>
      <w:r w:rsidR="000D16CE" w:rsidRPr="00B540C1">
        <w:t xml:space="preserve"> </w:t>
      </w:r>
      <w:r w:rsidR="00237372" w:rsidRPr="00B540C1">
        <w:t xml:space="preserve">isolation cell for 5 days </w:t>
      </w:r>
      <w:r w:rsidR="001C1289" w:rsidRPr="00B540C1">
        <w:t>for his own safety</w:t>
      </w:r>
      <w:r w:rsidR="00D10937" w:rsidRPr="00B540C1">
        <w:t>, and then transferred from Cairns to</w:t>
      </w:r>
      <w:r w:rsidR="00C273DE" w:rsidRPr="00B540C1">
        <w:t xml:space="preserve"> the</w:t>
      </w:r>
      <w:r w:rsidR="00D10937" w:rsidRPr="00B540C1">
        <w:t xml:space="preserve"> Pine Rivers</w:t>
      </w:r>
      <w:r w:rsidR="00CD34D1" w:rsidRPr="00B540C1">
        <w:t xml:space="preserve"> </w:t>
      </w:r>
      <w:r w:rsidR="002D2B73" w:rsidRPr="00B540C1">
        <w:t>watch house</w:t>
      </w:r>
      <w:r w:rsidR="00D10937" w:rsidRPr="00B540C1">
        <w:t>, more than</w:t>
      </w:r>
      <w:r w:rsidR="002604CA" w:rsidRPr="00B540C1">
        <w:t xml:space="preserve"> </w:t>
      </w:r>
      <w:r w:rsidR="00D10937" w:rsidRPr="00B540C1">
        <w:t>1</w:t>
      </w:r>
      <w:r w:rsidR="00CD34D1" w:rsidRPr="00B540C1">
        <w:t>,</w:t>
      </w:r>
      <w:r w:rsidR="00D10937" w:rsidRPr="00B540C1">
        <w:t>500km away from carers, kin and other supports.</w:t>
      </w:r>
      <w:r w:rsidR="005D0226" w:rsidRPr="003C0BFA">
        <w:rPr>
          <w:vertAlign w:val="superscript"/>
        </w:rPr>
        <w:footnoteReference w:id="66"/>
      </w:r>
      <w:r w:rsidR="00D10937" w:rsidRPr="003C0BFA">
        <w:rPr>
          <w:vertAlign w:val="superscript"/>
        </w:rPr>
        <w:t xml:space="preserve"> </w:t>
      </w:r>
    </w:p>
    <w:p w14:paraId="325DE74A" w14:textId="77777777" w:rsidR="00E94B66" w:rsidRPr="008C78D7" w:rsidRDefault="00E94B66" w:rsidP="00E94B66">
      <w:pPr>
        <w:ind w:left="567"/>
        <w:rPr>
          <w:color w:val="FFFFFF" w:themeColor="background1"/>
        </w:rPr>
      </w:pPr>
    </w:p>
    <w:p w14:paraId="764ED9EA" w14:textId="729FDC62" w:rsidR="00F80728" w:rsidRPr="003C0BFA" w:rsidRDefault="00F80728" w:rsidP="00965D8A">
      <w:pPr>
        <w:pStyle w:val="Caseexample"/>
        <w:rPr>
          <w:b/>
          <w:bCs/>
        </w:rPr>
      </w:pPr>
      <w:r w:rsidRPr="003C0BFA">
        <w:rPr>
          <w:b/>
          <w:bCs/>
        </w:rPr>
        <w:t xml:space="preserve">Case example: use of batons on a child in a </w:t>
      </w:r>
      <w:r w:rsidR="002D2B73" w:rsidRPr="003C0BFA">
        <w:rPr>
          <w:b/>
          <w:bCs/>
        </w:rPr>
        <w:t>watch house</w:t>
      </w:r>
    </w:p>
    <w:p w14:paraId="199EC7E8" w14:textId="2F4363FF" w:rsidR="00965D8A" w:rsidRPr="008C78D7" w:rsidRDefault="00F80728" w:rsidP="00965D8A">
      <w:pPr>
        <w:pStyle w:val="Caseexample"/>
        <w:rPr>
          <w:rFonts w:cs="Arial"/>
        </w:rPr>
      </w:pPr>
      <w:r w:rsidRPr="008C78D7">
        <w:t>I</w:t>
      </w:r>
      <w:r w:rsidR="00F5784B" w:rsidRPr="008C78D7">
        <w:t xml:space="preserve">n July 2024 </w:t>
      </w:r>
      <w:r w:rsidR="00D72B3F" w:rsidRPr="008C78D7">
        <w:rPr>
          <w:rFonts w:cs="Arial"/>
        </w:rPr>
        <w:t xml:space="preserve">the Australian Broadcasting Corporation published a video </w:t>
      </w:r>
      <w:r w:rsidR="00136B5B" w:rsidRPr="008C78D7">
        <w:rPr>
          <w:rFonts w:cs="Arial"/>
        </w:rPr>
        <w:t xml:space="preserve">from August 2023 </w:t>
      </w:r>
      <w:r w:rsidR="00D72B3F" w:rsidRPr="008C78D7">
        <w:rPr>
          <w:rFonts w:cs="Arial"/>
        </w:rPr>
        <w:t>showing police officers</w:t>
      </w:r>
      <w:r w:rsidR="00CE2EC9" w:rsidRPr="008C78D7">
        <w:rPr>
          <w:rFonts w:cs="Arial"/>
        </w:rPr>
        <w:t xml:space="preserve"> </w:t>
      </w:r>
      <w:r w:rsidR="00A335F0" w:rsidRPr="008C78D7">
        <w:rPr>
          <w:rFonts w:cs="Arial"/>
        </w:rPr>
        <w:t xml:space="preserve">striking a </w:t>
      </w:r>
      <w:r w:rsidR="00D72B3F" w:rsidRPr="008C78D7">
        <w:rPr>
          <w:rFonts w:cs="Arial"/>
        </w:rPr>
        <w:t xml:space="preserve">17-year-old child </w:t>
      </w:r>
      <w:r w:rsidR="00136B5B" w:rsidRPr="008C78D7">
        <w:rPr>
          <w:rFonts w:cs="Arial"/>
        </w:rPr>
        <w:t xml:space="preserve">with a baton 3 times at </w:t>
      </w:r>
      <w:r w:rsidR="00D72B3F" w:rsidRPr="008C78D7">
        <w:rPr>
          <w:rFonts w:cs="Arial"/>
        </w:rPr>
        <w:t xml:space="preserve">Richlands </w:t>
      </w:r>
      <w:r w:rsidR="002D2B73">
        <w:rPr>
          <w:rFonts w:cs="Arial"/>
        </w:rPr>
        <w:t>watch house</w:t>
      </w:r>
      <w:r w:rsidR="00E856FA" w:rsidRPr="008C78D7">
        <w:rPr>
          <w:rFonts w:cs="Arial"/>
        </w:rPr>
        <w:t>, allegedly after he had sworn at officers</w:t>
      </w:r>
      <w:r w:rsidR="00C737EC" w:rsidRPr="008C78D7">
        <w:rPr>
          <w:rFonts w:cs="Arial"/>
        </w:rPr>
        <w:t xml:space="preserve"> but while he appeared to be complying with their directions</w:t>
      </w:r>
      <w:r w:rsidR="00D72B3F" w:rsidRPr="008C78D7">
        <w:rPr>
          <w:rFonts w:cs="Arial"/>
        </w:rPr>
        <w:t>.</w:t>
      </w:r>
      <w:r w:rsidR="00D72B3F" w:rsidRPr="008C78D7">
        <w:rPr>
          <w:rStyle w:val="FootnoteReference"/>
          <w:rFonts w:cs="Arial"/>
          <w:bCs/>
          <w:color w:val="FFFFFF" w:themeColor="background1"/>
        </w:rPr>
        <w:footnoteReference w:id="67"/>
      </w:r>
      <w:r w:rsidR="00504C29" w:rsidRPr="008C78D7">
        <w:rPr>
          <w:rFonts w:cs="Arial"/>
        </w:rPr>
        <w:t xml:space="preserve"> </w:t>
      </w:r>
      <w:r w:rsidR="00CA2B08" w:rsidRPr="008C78D7">
        <w:rPr>
          <w:rFonts w:cs="Arial"/>
        </w:rPr>
        <w:t>The</w:t>
      </w:r>
      <w:r w:rsidR="001D6D6D" w:rsidRPr="008C78D7">
        <w:rPr>
          <w:rFonts w:cs="Arial"/>
        </w:rPr>
        <w:t xml:space="preserve"> video </w:t>
      </w:r>
      <w:r w:rsidR="00F34B94" w:rsidRPr="008C78D7">
        <w:rPr>
          <w:rFonts w:cs="Arial"/>
        </w:rPr>
        <w:t xml:space="preserve">also </w:t>
      </w:r>
      <w:r w:rsidR="001D6D6D" w:rsidRPr="008C78D7">
        <w:rPr>
          <w:rFonts w:cs="Arial"/>
        </w:rPr>
        <w:t xml:space="preserve">shows police officers force him to the ground and handcuff him behind his back. </w:t>
      </w:r>
      <w:r w:rsidR="008B0FF5" w:rsidRPr="008C78D7">
        <w:rPr>
          <w:rFonts w:cs="Arial"/>
        </w:rPr>
        <w:t xml:space="preserve">United Nations minimum </w:t>
      </w:r>
      <w:r w:rsidR="00031011" w:rsidRPr="008C78D7">
        <w:rPr>
          <w:rFonts w:cs="Arial"/>
        </w:rPr>
        <w:t xml:space="preserve">human rights </w:t>
      </w:r>
      <w:r w:rsidR="008B0FF5" w:rsidRPr="008C78D7">
        <w:rPr>
          <w:rFonts w:cs="Arial"/>
        </w:rPr>
        <w:t>standards concerning children emphasise that force can only be used in relation to children ‘in exceptional cases, where all other control methods have been exhausted and failed’ and that the use of weapons</w:t>
      </w:r>
      <w:r w:rsidR="00A335F0" w:rsidRPr="008C78D7">
        <w:rPr>
          <w:rFonts w:cs="Arial"/>
        </w:rPr>
        <w:t xml:space="preserve"> (such as batons)</w:t>
      </w:r>
      <w:r w:rsidR="008B0FF5" w:rsidRPr="008C78D7">
        <w:rPr>
          <w:rFonts w:cs="Arial"/>
        </w:rPr>
        <w:t xml:space="preserve"> by personnel ‘should be prohibited in any facility where juveniles are detained’</w:t>
      </w:r>
      <w:r w:rsidR="00A335F0" w:rsidRPr="008C78D7">
        <w:rPr>
          <w:rFonts w:cs="Arial"/>
        </w:rPr>
        <w:t>.</w:t>
      </w:r>
      <w:r w:rsidR="008B0FF5" w:rsidRPr="008C78D7">
        <w:rPr>
          <w:rStyle w:val="FootnoteReference"/>
          <w:rFonts w:cs="Arial"/>
          <w:bCs/>
          <w:color w:val="FFFFFF" w:themeColor="background1"/>
        </w:rPr>
        <w:footnoteReference w:id="68"/>
      </w:r>
    </w:p>
    <w:p w14:paraId="0D065149" w14:textId="77777777" w:rsidR="003C0BFA" w:rsidRDefault="003C0BFA" w:rsidP="003C0BFA">
      <w:pPr>
        <w:pStyle w:val="Numberedparagraph"/>
        <w:numPr>
          <w:ilvl w:val="0"/>
          <w:numId w:val="0"/>
        </w:numPr>
        <w:ind w:left="567"/>
      </w:pPr>
    </w:p>
    <w:p w14:paraId="17702797" w14:textId="2EE4726B" w:rsidR="000B18A8" w:rsidRPr="000142DC" w:rsidRDefault="00B03104" w:rsidP="00EE69A4">
      <w:pPr>
        <w:pStyle w:val="Numberedparagraph"/>
      </w:pPr>
      <w:r>
        <w:t>In September 2024, t</w:t>
      </w:r>
      <w:r w:rsidR="000142DC" w:rsidRPr="000142DC">
        <w:t>he</w:t>
      </w:r>
      <w:r w:rsidR="000142DC">
        <w:rPr>
          <w:i/>
          <w:iCs/>
        </w:rPr>
        <w:t xml:space="preserve"> </w:t>
      </w:r>
      <w:r w:rsidR="000142DC" w:rsidRPr="000142DC">
        <w:t xml:space="preserve">Inspector of Detention Services </w:t>
      </w:r>
      <w:r w:rsidR="000142DC">
        <w:t xml:space="preserve">published his </w:t>
      </w:r>
      <w:r w:rsidR="00860E51">
        <w:t xml:space="preserve">inspection report on Cairns and Murgon </w:t>
      </w:r>
      <w:r w:rsidR="002D2B73">
        <w:t>watch house</w:t>
      </w:r>
      <w:r w:rsidR="00860E51">
        <w:t>s</w:t>
      </w:r>
      <w:r w:rsidR="003A0DDE">
        <w:t xml:space="preserve">, which were chosen </w:t>
      </w:r>
      <w:r w:rsidR="00B11275">
        <w:t>because both have been used to detain children for long periods.</w:t>
      </w:r>
      <w:r w:rsidR="004627F7">
        <w:rPr>
          <w:rStyle w:val="FootnoteReference"/>
        </w:rPr>
        <w:footnoteReference w:id="69"/>
      </w:r>
      <w:r w:rsidR="00B11275">
        <w:t xml:space="preserve"> </w:t>
      </w:r>
      <w:r>
        <w:t xml:space="preserve">The report </w:t>
      </w:r>
      <w:r w:rsidR="00C14B07">
        <w:t xml:space="preserve">observed a lack of </w:t>
      </w:r>
      <w:r w:rsidR="0035654E">
        <w:t xml:space="preserve">access to </w:t>
      </w:r>
      <w:r w:rsidR="00C14B07">
        <w:t>natural light</w:t>
      </w:r>
      <w:r w:rsidR="0035654E">
        <w:t xml:space="preserve">, </w:t>
      </w:r>
      <w:r w:rsidR="009158AD">
        <w:t>fresh air and exercise</w:t>
      </w:r>
      <w:r w:rsidR="00B865F8">
        <w:t xml:space="preserve"> for detainees</w:t>
      </w:r>
      <w:r w:rsidR="00B406CC">
        <w:t xml:space="preserve">, and that prolonged detention </w:t>
      </w:r>
      <w:r w:rsidR="00C14B07">
        <w:t>in this type of environment could significantly affect their wellbeing.</w:t>
      </w:r>
      <w:r w:rsidR="00BF2BD6">
        <w:t xml:space="preserve"> </w:t>
      </w:r>
      <w:r w:rsidR="00E339F4">
        <w:t>I</w:t>
      </w:r>
      <w:r w:rsidR="00913B70">
        <w:t xml:space="preserve">nsufficient medical screening, </w:t>
      </w:r>
      <w:r w:rsidR="006D1806">
        <w:t>monitoring</w:t>
      </w:r>
      <w:r w:rsidR="00CC5AC1">
        <w:t>, staff training</w:t>
      </w:r>
      <w:r w:rsidR="00AA7013">
        <w:t>, activities for children</w:t>
      </w:r>
      <w:r w:rsidR="006B67B0">
        <w:t xml:space="preserve">, </w:t>
      </w:r>
      <w:r w:rsidR="00F32A43">
        <w:t xml:space="preserve">and coordination of </w:t>
      </w:r>
      <w:r w:rsidR="00A65841">
        <w:t xml:space="preserve">welfare </w:t>
      </w:r>
      <w:r w:rsidR="006308E5">
        <w:t xml:space="preserve">services </w:t>
      </w:r>
      <w:r w:rsidR="008361F9">
        <w:t xml:space="preserve">also </w:t>
      </w:r>
      <w:r w:rsidR="00E339F4">
        <w:t xml:space="preserve">contributed to </w:t>
      </w:r>
      <w:r w:rsidR="00555B82">
        <w:t xml:space="preserve">significant risks of harm </w:t>
      </w:r>
      <w:r w:rsidR="00382B0E">
        <w:t xml:space="preserve">children </w:t>
      </w:r>
      <w:r w:rsidR="004627F7">
        <w:t xml:space="preserve">face by being detained </w:t>
      </w:r>
      <w:r w:rsidR="00555B82">
        <w:t xml:space="preserve">in </w:t>
      </w:r>
      <w:r w:rsidR="002D2B73">
        <w:t>watch house</w:t>
      </w:r>
      <w:r w:rsidR="00555B82">
        <w:t xml:space="preserve">s </w:t>
      </w:r>
      <w:r w:rsidR="00240610">
        <w:t xml:space="preserve">for any period. </w:t>
      </w:r>
      <w:r w:rsidR="00C33E11">
        <w:t>The report</w:t>
      </w:r>
      <w:r w:rsidR="00204A87">
        <w:t xml:space="preserve"> also noted instances of sick children</w:t>
      </w:r>
      <w:r w:rsidR="003B22C4">
        <w:t xml:space="preserve"> and children at risk of self-harm</w:t>
      </w:r>
      <w:r w:rsidR="00204A87">
        <w:t xml:space="preserve"> being held for prolonged periods without </w:t>
      </w:r>
      <w:r w:rsidR="0027758E">
        <w:t>access to</w:t>
      </w:r>
      <w:r w:rsidR="00204A87">
        <w:t xml:space="preserve"> health care.</w:t>
      </w:r>
      <w:r w:rsidR="00F21FD4">
        <w:rPr>
          <w:rStyle w:val="FootnoteReference"/>
        </w:rPr>
        <w:footnoteReference w:id="70"/>
      </w:r>
      <w:r w:rsidR="00204A87">
        <w:t xml:space="preserve"> </w:t>
      </w:r>
    </w:p>
    <w:p w14:paraId="43F26D29" w14:textId="289C2446" w:rsidR="005924C9" w:rsidRDefault="006B642E" w:rsidP="001C2CCD">
      <w:pPr>
        <w:pStyle w:val="Numberedparagraph"/>
      </w:pPr>
      <w:r>
        <w:t xml:space="preserve">At the very least, prolonged detention of children in </w:t>
      </w:r>
      <w:r w:rsidR="002D2B73">
        <w:t>watch house</w:t>
      </w:r>
      <w:r>
        <w:t>s breaches Australia’s obligation</w:t>
      </w:r>
      <w:r w:rsidR="00E07888">
        <w:t xml:space="preserve"> </w:t>
      </w:r>
      <w:r w:rsidR="00493895">
        <w:t>under</w:t>
      </w:r>
      <w:r w:rsidR="003F4031">
        <w:t xml:space="preserve"> article </w:t>
      </w:r>
      <w:r w:rsidR="00312FF0">
        <w:t>10</w:t>
      </w:r>
      <w:r w:rsidR="003F4031">
        <w:t xml:space="preserve"> of</w:t>
      </w:r>
      <w:r w:rsidR="00493895">
        <w:t xml:space="preserve"> the International Covenant on Civil and Political Rights </w:t>
      </w:r>
      <w:r w:rsidR="00440BBC">
        <w:t xml:space="preserve">(ICCPR) </w:t>
      </w:r>
      <w:r w:rsidR="00493895">
        <w:t xml:space="preserve">to </w:t>
      </w:r>
      <w:r w:rsidR="00312FF0">
        <w:t>treat persons deprived of their liberty with humanity and resp</w:t>
      </w:r>
      <w:r w:rsidR="00E07888">
        <w:t>ect for the inherent dignity of the person.</w:t>
      </w:r>
      <w:r w:rsidR="009D7C20">
        <w:rPr>
          <w:rStyle w:val="FootnoteReference"/>
        </w:rPr>
        <w:footnoteReference w:id="71"/>
      </w:r>
      <w:r w:rsidR="00E07888">
        <w:t xml:space="preserve"> </w:t>
      </w:r>
      <w:r w:rsidR="00C23BD2">
        <w:t xml:space="preserve">The Commission is of the view that the combination of </w:t>
      </w:r>
      <w:r w:rsidR="006A5E91">
        <w:t>conditions</w:t>
      </w:r>
      <w:r w:rsidR="00D66490">
        <w:t xml:space="preserve"> means that</w:t>
      </w:r>
      <w:r w:rsidR="00C23BD2">
        <w:t xml:space="preserve"> detention of children in </w:t>
      </w:r>
      <w:r w:rsidR="002D2B73">
        <w:t>watch house</w:t>
      </w:r>
      <w:r w:rsidR="00D66490">
        <w:t>s for long periods of time</w:t>
      </w:r>
      <w:r w:rsidR="00FC363B">
        <w:t>, and certain instances of use of force against children,</w:t>
      </w:r>
      <w:r w:rsidR="00D66490">
        <w:t xml:space="preserve"> </w:t>
      </w:r>
      <w:r w:rsidR="00E07888">
        <w:t xml:space="preserve">also </w:t>
      </w:r>
      <w:r w:rsidR="00440BBC">
        <w:t>raises</w:t>
      </w:r>
      <w:r w:rsidR="00D66490">
        <w:t xml:space="preserve"> the serious risk of </w:t>
      </w:r>
      <w:r>
        <w:t xml:space="preserve">amounting to </w:t>
      </w:r>
      <w:r w:rsidR="00C369FC">
        <w:t xml:space="preserve">cruel, inhuman or degrading </w:t>
      </w:r>
      <w:r w:rsidR="00C369FC">
        <w:lastRenderedPageBreak/>
        <w:t xml:space="preserve">treatment contrary to the </w:t>
      </w:r>
      <w:r w:rsidR="00440BBC">
        <w:t>ICCPR and the Convention Against Torture and other Cruel, Inhuman or Degrading Treatment or Punishment.</w:t>
      </w:r>
      <w:r w:rsidR="001761D1">
        <w:rPr>
          <w:rStyle w:val="FootnoteReference"/>
        </w:rPr>
        <w:footnoteReference w:id="72"/>
      </w:r>
      <w:r w:rsidR="005924C9">
        <w:t xml:space="preserve"> </w:t>
      </w:r>
    </w:p>
    <w:p w14:paraId="2C97A584" w14:textId="5B1AAE8E" w:rsidR="00AB7F93" w:rsidRDefault="005924C9" w:rsidP="001C2CCD">
      <w:pPr>
        <w:pStyle w:val="Numberedparagraph"/>
      </w:pPr>
      <w:r>
        <w:t xml:space="preserve">As the Special Rapporteur on Torture </w:t>
      </w:r>
      <w:r w:rsidR="009451BF">
        <w:t>has emphasised:</w:t>
      </w:r>
    </w:p>
    <w:p w14:paraId="1F4A7D9D" w14:textId="41C5308D" w:rsidR="008860F4" w:rsidRPr="00E2481F" w:rsidRDefault="008860F4" w:rsidP="008860F4">
      <w:pPr>
        <w:pStyle w:val="Quote"/>
      </w:pPr>
      <w:r w:rsidRPr="00E2481F">
        <w:t xml:space="preserve">Owing to their unique physiological and psychological needs, which render them particularly sensitive to deprivation and treatment that otherwise may not constitute torture, children are more vulnerable to ill-treatment and torture than adults. </w:t>
      </w:r>
      <w:r w:rsidR="00F04464">
        <w:t>…</w:t>
      </w:r>
      <w:r w:rsidRPr="00E2481F">
        <w:t xml:space="preserve"> </w:t>
      </w:r>
    </w:p>
    <w:p w14:paraId="15E2AA7A" w14:textId="0BC3C342" w:rsidR="009451BF" w:rsidRDefault="008860F4" w:rsidP="00240C02">
      <w:pPr>
        <w:pStyle w:val="Quote"/>
      </w:pPr>
      <w:r w:rsidRPr="00E2481F">
        <w:t>In determining the seriousness of acts that may constitute ill-treatment or torture, due consideration must be given to physical and mental effects and the age of the victim. In the case of children, higher standards must be applied to classify treatment and punishment as cruel, inhuman or degrading. In addition, the particular vulnerability of children imposes a heightened obligation of due diligence on States to take additional measures to ensure their human rights to life, health, dignity and physical and mental integrity.</w:t>
      </w:r>
      <w:r>
        <w:rPr>
          <w:rStyle w:val="FootnoteReference"/>
        </w:rPr>
        <w:footnoteReference w:id="73"/>
      </w:r>
    </w:p>
    <w:p w14:paraId="65E85A47" w14:textId="27C4731B" w:rsidR="001D791E" w:rsidRDefault="003959AB">
      <w:pPr>
        <w:pStyle w:val="Numberedparagraph"/>
      </w:pPr>
      <w:r>
        <w:t>T</w:t>
      </w:r>
      <w:r w:rsidR="00333FDF">
        <w:t>he Committee on the Rights of the Child has indicated that States should ensure that children are not held in police cells, except as a measure of last resort and for the shortest period of time.</w:t>
      </w:r>
      <w:r w:rsidR="00333FDF">
        <w:rPr>
          <w:rStyle w:val="FootnoteReference"/>
        </w:rPr>
        <w:footnoteReference w:id="74"/>
      </w:r>
      <w:r w:rsidR="00D64893">
        <w:t xml:space="preserve"> </w:t>
      </w:r>
      <w:r w:rsidR="00240C02">
        <w:t xml:space="preserve">In light of the risk of detention in police custody giving rise to torture and ill-treatment, the Special Rapporteur on Torture has recommended that </w:t>
      </w:r>
      <w:r w:rsidR="008F5624" w:rsidRPr="00B10C41">
        <w:t xml:space="preserve">children </w:t>
      </w:r>
      <w:r w:rsidR="008F5624">
        <w:t xml:space="preserve">should not be detained in </w:t>
      </w:r>
      <w:r w:rsidR="008F5624" w:rsidRPr="00B10C41">
        <w:t>law enforcement establishments for more than 24 hours, and only in child-friendly environments</w:t>
      </w:r>
      <w:r w:rsidR="008F5624">
        <w:t>.</w:t>
      </w:r>
      <w:r w:rsidR="008F5624">
        <w:rPr>
          <w:rStyle w:val="FootnoteReference"/>
        </w:rPr>
        <w:footnoteReference w:id="75"/>
      </w:r>
    </w:p>
    <w:p w14:paraId="4C496817" w14:textId="4341E5A7" w:rsidR="003B63DC" w:rsidRPr="003B63DC" w:rsidRDefault="00503D2A" w:rsidP="003B63DC">
      <w:pPr>
        <w:pStyle w:val="Numberedparagraph"/>
        <w:rPr>
          <w:i/>
          <w:iCs/>
        </w:rPr>
      </w:pPr>
      <w:r>
        <w:t xml:space="preserve">On </w:t>
      </w:r>
      <w:r w:rsidR="003B63DC" w:rsidRPr="003B63DC">
        <w:t>6 August 2024</w:t>
      </w:r>
      <w:r>
        <w:t xml:space="preserve">, the Queensland Police Service announced a </w:t>
      </w:r>
      <w:r w:rsidR="003B63DC" w:rsidRPr="003B63DC">
        <w:t xml:space="preserve">wide-ranging review into </w:t>
      </w:r>
      <w:r w:rsidR="002D2B73">
        <w:t>watch house</w:t>
      </w:r>
      <w:r w:rsidR="003B63DC" w:rsidRPr="003B63DC">
        <w:t>s across the State</w:t>
      </w:r>
      <w:r w:rsidR="002E76C5">
        <w:t xml:space="preserve"> to address ‘end-to-end systemic issues’ </w:t>
      </w:r>
      <w:r w:rsidR="00C87904">
        <w:t>in response to increasing complaints</w:t>
      </w:r>
      <w:r w:rsidR="002E76C5">
        <w:t>.</w:t>
      </w:r>
      <w:r w:rsidR="00500685">
        <w:rPr>
          <w:rStyle w:val="FootnoteReference"/>
        </w:rPr>
        <w:footnoteReference w:id="76"/>
      </w:r>
      <w:r w:rsidR="002E76C5">
        <w:t xml:space="preserve"> </w:t>
      </w:r>
      <w:r w:rsidR="0058031E">
        <w:t>Further details</w:t>
      </w:r>
      <w:r w:rsidR="005051DE">
        <w:t>, including the timeframe and Terms of Reference for the review, are</w:t>
      </w:r>
      <w:r w:rsidR="0058031E">
        <w:t xml:space="preserve"> yet to be released</w:t>
      </w:r>
      <w:r w:rsidR="003B63DC">
        <w:t>.</w:t>
      </w:r>
      <w:r w:rsidR="00D64893">
        <w:t xml:space="preserve"> </w:t>
      </w:r>
    </w:p>
    <w:p w14:paraId="3292B9F7" w14:textId="7D18B29E" w:rsidR="006C2D27" w:rsidRDefault="006C2D27" w:rsidP="006C2D27">
      <w:pPr>
        <w:pStyle w:val="Heading2"/>
      </w:pPr>
      <w:bookmarkStart w:id="12" w:name="_Toc180746451"/>
      <w:r>
        <w:lastRenderedPageBreak/>
        <w:t>Discriminat</w:t>
      </w:r>
      <w:r w:rsidR="00B50022">
        <w:t>ion</w:t>
      </w:r>
      <w:bookmarkEnd w:id="12"/>
      <w:r w:rsidR="00B50022">
        <w:t xml:space="preserve"> </w:t>
      </w:r>
    </w:p>
    <w:p w14:paraId="54B69C74" w14:textId="24261BAA" w:rsidR="00DD1567" w:rsidRDefault="00CD2EC2" w:rsidP="009049E8">
      <w:pPr>
        <w:pStyle w:val="Numberedparagraph"/>
        <w:rPr>
          <w:szCs w:val="22"/>
          <w:lang w:val="en-GB"/>
        </w:rPr>
      </w:pPr>
      <w:r>
        <w:rPr>
          <w:szCs w:val="22"/>
          <w:lang w:val="en-GB"/>
        </w:rPr>
        <w:t>Aspects of the</w:t>
      </w:r>
      <w:r w:rsidR="009F4894">
        <w:rPr>
          <w:szCs w:val="22"/>
          <w:lang w:val="en-GB"/>
        </w:rPr>
        <w:t xml:space="preserve"> detention of children in Queensland</w:t>
      </w:r>
      <w:r w:rsidR="007656D8" w:rsidRPr="00754B32">
        <w:rPr>
          <w:szCs w:val="22"/>
          <w:lang w:val="en-GB"/>
        </w:rPr>
        <w:t xml:space="preserve"> </w:t>
      </w:r>
      <w:r>
        <w:rPr>
          <w:szCs w:val="22"/>
          <w:lang w:val="en-GB"/>
        </w:rPr>
        <w:t>identified above operate</w:t>
      </w:r>
      <w:r w:rsidR="004C4517" w:rsidRPr="00754B32">
        <w:rPr>
          <w:szCs w:val="22"/>
          <w:lang w:val="en-GB"/>
        </w:rPr>
        <w:t xml:space="preserve"> </w:t>
      </w:r>
      <w:r w:rsidR="001A39CA" w:rsidRPr="00754B32">
        <w:rPr>
          <w:szCs w:val="22"/>
          <w:lang w:val="en-GB"/>
        </w:rPr>
        <w:t xml:space="preserve">in a way that is discriminatory on the basis of </w:t>
      </w:r>
      <w:r w:rsidR="004E29E6">
        <w:rPr>
          <w:szCs w:val="22"/>
          <w:lang w:val="en-GB"/>
        </w:rPr>
        <w:t xml:space="preserve">protected </w:t>
      </w:r>
      <w:r w:rsidR="00854221">
        <w:rPr>
          <w:szCs w:val="22"/>
          <w:lang w:val="en-GB"/>
        </w:rPr>
        <w:t>characteristics</w:t>
      </w:r>
      <w:r w:rsidR="004E29E6">
        <w:rPr>
          <w:szCs w:val="22"/>
          <w:lang w:val="en-GB"/>
        </w:rPr>
        <w:t>, including</w:t>
      </w:r>
      <w:r w:rsidR="009D0343" w:rsidRPr="00754B32">
        <w:rPr>
          <w:szCs w:val="22"/>
          <w:lang w:val="en-GB"/>
        </w:rPr>
        <w:t xml:space="preserve"> age, disability, and race</w:t>
      </w:r>
      <w:r w:rsidR="00233B2E" w:rsidRPr="00754B32">
        <w:rPr>
          <w:szCs w:val="22"/>
          <w:lang w:val="en-GB"/>
        </w:rPr>
        <w:t xml:space="preserve">. </w:t>
      </w:r>
      <w:r w:rsidR="00667B09">
        <w:rPr>
          <w:szCs w:val="22"/>
          <w:lang w:val="en-GB"/>
        </w:rPr>
        <w:t>Discriminatory treatment</w:t>
      </w:r>
      <w:r w:rsidR="00233B2E" w:rsidRPr="00754B32">
        <w:rPr>
          <w:szCs w:val="22"/>
          <w:lang w:val="en-GB"/>
        </w:rPr>
        <w:t xml:space="preserve"> is </w:t>
      </w:r>
      <w:r w:rsidR="00A865C1" w:rsidRPr="00754B32">
        <w:rPr>
          <w:szCs w:val="22"/>
          <w:lang w:val="en-GB"/>
        </w:rPr>
        <w:t>contrary</w:t>
      </w:r>
      <w:r w:rsidR="00233B2E" w:rsidRPr="00754B32">
        <w:rPr>
          <w:szCs w:val="22"/>
          <w:lang w:val="en-GB"/>
        </w:rPr>
        <w:t xml:space="preserve"> </w:t>
      </w:r>
      <w:r w:rsidR="00F94DD3" w:rsidRPr="00754B32">
        <w:rPr>
          <w:szCs w:val="22"/>
          <w:lang w:val="en-GB"/>
        </w:rPr>
        <w:t>to Queensland and Commonwealth law,</w:t>
      </w:r>
      <w:r w:rsidR="00A865C1" w:rsidRPr="00754B32">
        <w:rPr>
          <w:rStyle w:val="FootnoteReference"/>
          <w:szCs w:val="22"/>
          <w:lang w:val="en-GB"/>
        </w:rPr>
        <w:footnoteReference w:id="77"/>
      </w:r>
      <w:r w:rsidR="00F94DD3" w:rsidRPr="00754B32">
        <w:rPr>
          <w:szCs w:val="22"/>
          <w:lang w:val="en-GB"/>
        </w:rPr>
        <w:t xml:space="preserve"> and </w:t>
      </w:r>
      <w:r w:rsidR="009D0343" w:rsidRPr="00754B32">
        <w:rPr>
          <w:szCs w:val="22"/>
          <w:lang w:val="en-GB"/>
        </w:rPr>
        <w:t xml:space="preserve">to </w:t>
      </w:r>
      <w:r w:rsidR="00111E14" w:rsidRPr="00754B32">
        <w:rPr>
          <w:szCs w:val="22"/>
          <w:lang w:val="en-GB"/>
        </w:rPr>
        <w:t>Australia’s international obligations</w:t>
      </w:r>
      <w:r w:rsidR="00667B09">
        <w:rPr>
          <w:szCs w:val="22"/>
          <w:lang w:val="en-GB"/>
        </w:rPr>
        <w:t>.</w:t>
      </w:r>
      <w:r w:rsidR="00CB3BDC">
        <w:rPr>
          <w:rStyle w:val="FootnoteReference"/>
          <w:szCs w:val="22"/>
          <w:lang w:val="en-GB"/>
        </w:rPr>
        <w:footnoteReference w:id="78"/>
      </w:r>
      <w:r w:rsidR="00111E14" w:rsidRPr="00754B32">
        <w:rPr>
          <w:szCs w:val="22"/>
          <w:lang w:val="en-GB"/>
        </w:rPr>
        <w:t xml:space="preserve"> </w:t>
      </w:r>
    </w:p>
    <w:p w14:paraId="3E055F35" w14:textId="404CF746" w:rsidR="00CD6C33" w:rsidRDefault="005E238F" w:rsidP="00CD6C33">
      <w:pPr>
        <w:pStyle w:val="Numberedparagraph"/>
        <w:rPr>
          <w:szCs w:val="22"/>
          <w:lang w:val="en-GB"/>
        </w:rPr>
      </w:pPr>
      <w:r>
        <w:rPr>
          <w:szCs w:val="22"/>
          <w:lang w:val="en-GB"/>
        </w:rPr>
        <w:t>The drivers of this discrimination are complex</w:t>
      </w:r>
      <w:r w:rsidR="00E15182">
        <w:rPr>
          <w:szCs w:val="22"/>
          <w:lang w:val="en-GB"/>
        </w:rPr>
        <w:t xml:space="preserve"> and</w:t>
      </w:r>
      <w:r w:rsidR="00073B03">
        <w:rPr>
          <w:szCs w:val="22"/>
          <w:lang w:val="en-GB"/>
        </w:rPr>
        <w:t xml:space="preserve"> intersectional (i.e., because of </w:t>
      </w:r>
      <w:r w:rsidR="00C66BD6">
        <w:rPr>
          <w:szCs w:val="22"/>
          <w:lang w:val="en-GB"/>
        </w:rPr>
        <w:t>the</w:t>
      </w:r>
      <w:r>
        <w:rPr>
          <w:szCs w:val="22"/>
          <w:lang w:val="en-GB"/>
        </w:rPr>
        <w:t xml:space="preserve"> </w:t>
      </w:r>
      <w:r w:rsidR="00073B03">
        <w:rPr>
          <w:szCs w:val="22"/>
          <w:lang w:val="en-GB"/>
        </w:rPr>
        <w:t>combined effect of more than one attribute)</w:t>
      </w:r>
      <w:r>
        <w:rPr>
          <w:szCs w:val="22"/>
          <w:lang w:val="en-GB"/>
        </w:rPr>
        <w:t xml:space="preserve">, </w:t>
      </w:r>
      <w:r w:rsidR="00C66BD6">
        <w:rPr>
          <w:szCs w:val="22"/>
          <w:lang w:val="en-GB"/>
        </w:rPr>
        <w:t>as are the</w:t>
      </w:r>
      <w:r>
        <w:rPr>
          <w:szCs w:val="22"/>
          <w:lang w:val="en-GB"/>
        </w:rPr>
        <w:t xml:space="preserve"> </w:t>
      </w:r>
      <w:r w:rsidR="0072442F">
        <w:rPr>
          <w:szCs w:val="22"/>
          <w:lang w:val="en-GB"/>
        </w:rPr>
        <w:t xml:space="preserve">strategies needed to address it. However, there are clear </w:t>
      </w:r>
      <w:r w:rsidR="002F3E16">
        <w:rPr>
          <w:szCs w:val="22"/>
          <w:lang w:val="en-GB"/>
        </w:rPr>
        <w:t xml:space="preserve">ways in which </w:t>
      </w:r>
      <w:r w:rsidR="002F66F7">
        <w:rPr>
          <w:szCs w:val="22"/>
          <w:lang w:val="en-GB"/>
        </w:rPr>
        <w:t xml:space="preserve">youth justice </w:t>
      </w:r>
      <w:r w:rsidR="002F3E16">
        <w:rPr>
          <w:szCs w:val="22"/>
          <w:lang w:val="en-GB"/>
        </w:rPr>
        <w:t xml:space="preserve">legislation </w:t>
      </w:r>
      <w:r w:rsidR="004618C9">
        <w:rPr>
          <w:szCs w:val="22"/>
          <w:lang w:val="en-GB"/>
        </w:rPr>
        <w:t xml:space="preserve">and policy can </w:t>
      </w:r>
      <w:r w:rsidR="00A20D05">
        <w:rPr>
          <w:szCs w:val="22"/>
          <w:lang w:val="en-GB"/>
        </w:rPr>
        <w:t xml:space="preserve">cause or </w:t>
      </w:r>
      <w:r w:rsidR="004618C9">
        <w:rPr>
          <w:szCs w:val="22"/>
          <w:lang w:val="en-GB"/>
        </w:rPr>
        <w:t>exacerbate discrimination</w:t>
      </w:r>
      <w:r w:rsidR="003D4DDE">
        <w:rPr>
          <w:szCs w:val="22"/>
          <w:lang w:val="en-GB"/>
        </w:rPr>
        <w:t>, including by</w:t>
      </w:r>
      <w:r w:rsidR="00CD6C33">
        <w:rPr>
          <w:szCs w:val="22"/>
          <w:lang w:val="en-GB"/>
        </w:rPr>
        <w:t>:</w:t>
      </w:r>
    </w:p>
    <w:p w14:paraId="64607977" w14:textId="0F003D6F" w:rsidR="00CD6C33" w:rsidRDefault="003D4DDE" w:rsidP="00CD6C33">
      <w:pPr>
        <w:pStyle w:val="Bulletedlist"/>
        <w:rPr>
          <w:lang w:val="en-GB"/>
        </w:rPr>
      </w:pPr>
      <w:r w:rsidRPr="00CD6C33">
        <w:rPr>
          <w:lang w:val="en-GB"/>
        </w:rPr>
        <w:t xml:space="preserve">mandating or </w:t>
      </w:r>
      <w:r w:rsidR="001D4709" w:rsidRPr="00CD6C33">
        <w:rPr>
          <w:lang w:val="en-GB"/>
        </w:rPr>
        <w:t>permitting</w:t>
      </w:r>
      <w:r w:rsidRPr="00CD6C33">
        <w:rPr>
          <w:lang w:val="en-GB"/>
        </w:rPr>
        <w:t xml:space="preserve"> </w:t>
      </w:r>
      <w:r w:rsidR="00990D48" w:rsidRPr="00CD6C33">
        <w:rPr>
          <w:lang w:val="en-GB"/>
        </w:rPr>
        <w:t xml:space="preserve">arrest and </w:t>
      </w:r>
      <w:r w:rsidRPr="00CD6C33">
        <w:rPr>
          <w:lang w:val="en-GB"/>
        </w:rPr>
        <w:t xml:space="preserve">detention in circumstances where it is not </w:t>
      </w:r>
      <w:r w:rsidR="00FE77BD" w:rsidRPr="00CD6C33">
        <w:rPr>
          <w:lang w:val="en-GB"/>
        </w:rPr>
        <w:t>justified</w:t>
      </w:r>
      <w:r w:rsidRPr="00CD6C33">
        <w:rPr>
          <w:lang w:val="en-GB"/>
        </w:rPr>
        <w:t xml:space="preserve"> (such</w:t>
      </w:r>
      <w:r w:rsidR="005A695F" w:rsidRPr="00CD6C33">
        <w:rPr>
          <w:lang w:val="en-GB"/>
        </w:rPr>
        <w:t xml:space="preserve"> where</w:t>
      </w:r>
      <w:r w:rsidRPr="00CD6C33">
        <w:rPr>
          <w:lang w:val="en-GB"/>
        </w:rPr>
        <w:t xml:space="preserve"> a child </w:t>
      </w:r>
      <w:r w:rsidR="001D4709" w:rsidRPr="00CD6C33">
        <w:rPr>
          <w:lang w:val="en-GB"/>
        </w:rPr>
        <w:t>is unlikely to have capacity for criminal responsibility</w:t>
      </w:r>
      <w:r w:rsidR="009B58AF" w:rsidRPr="00CD6C33">
        <w:rPr>
          <w:lang w:val="en-GB"/>
        </w:rPr>
        <w:t xml:space="preserve"> or by ‘zero-tolerance’ approaches</w:t>
      </w:r>
      <w:r w:rsidR="005E09BB" w:rsidRPr="00CD6C33">
        <w:rPr>
          <w:lang w:val="en-GB"/>
        </w:rPr>
        <w:t xml:space="preserve"> to </w:t>
      </w:r>
      <w:r w:rsidR="009B58AF" w:rsidRPr="00CD6C33">
        <w:rPr>
          <w:lang w:val="en-GB"/>
        </w:rPr>
        <w:t>breach of bail</w:t>
      </w:r>
      <w:r w:rsidR="00C24C2C" w:rsidRPr="00CD6C33">
        <w:rPr>
          <w:lang w:val="en-GB"/>
        </w:rPr>
        <w:t xml:space="preserve"> by children</w:t>
      </w:r>
      <w:r w:rsidR="00C24C2C">
        <w:rPr>
          <w:rStyle w:val="FootnoteReference"/>
          <w:szCs w:val="22"/>
          <w:lang w:val="en-GB"/>
        </w:rPr>
        <w:footnoteReference w:id="79"/>
      </w:r>
      <w:r w:rsidR="001D4709" w:rsidRPr="00CD6C33">
        <w:rPr>
          <w:lang w:val="en-GB"/>
        </w:rPr>
        <w:t>)</w:t>
      </w:r>
    </w:p>
    <w:p w14:paraId="3FF9B85F" w14:textId="7710952E" w:rsidR="00E11983" w:rsidRDefault="004E6AD7" w:rsidP="00CD6C33">
      <w:pPr>
        <w:pStyle w:val="Bulletedlist"/>
        <w:rPr>
          <w:lang w:val="en-GB"/>
        </w:rPr>
      </w:pPr>
      <w:r w:rsidRPr="00CD6C33">
        <w:rPr>
          <w:lang w:val="en-GB"/>
        </w:rPr>
        <w:t xml:space="preserve">through </w:t>
      </w:r>
      <w:r w:rsidR="00F06647">
        <w:rPr>
          <w:lang w:val="en-GB"/>
        </w:rPr>
        <w:t>insufficient scrutiny of the exercise of discretion as to cautioning and diversion</w:t>
      </w:r>
      <w:r w:rsidR="00AC79CC">
        <w:rPr>
          <w:lang w:val="en-GB"/>
        </w:rPr>
        <w:t>,</w:t>
      </w:r>
      <w:r w:rsidR="00D00564">
        <w:rPr>
          <w:rStyle w:val="FootnoteReference"/>
          <w:lang w:val="en-GB"/>
        </w:rPr>
        <w:footnoteReference w:id="80"/>
      </w:r>
      <w:r w:rsidR="00AC79CC">
        <w:rPr>
          <w:lang w:val="en-GB"/>
        </w:rPr>
        <w:t xml:space="preserve"> </w:t>
      </w:r>
      <w:r w:rsidR="00C34963">
        <w:rPr>
          <w:lang w:val="en-GB"/>
        </w:rPr>
        <w:t>or</w:t>
      </w:r>
      <w:r w:rsidR="00F06647">
        <w:rPr>
          <w:lang w:val="en-GB"/>
        </w:rPr>
        <w:t xml:space="preserve"> </w:t>
      </w:r>
      <w:r w:rsidRPr="00CD6C33">
        <w:rPr>
          <w:lang w:val="en-GB"/>
        </w:rPr>
        <w:t xml:space="preserve">a </w:t>
      </w:r>
      <w:r w:rsidR="00EB77C6" w:rsidRPr="00CD6C33">
        <w:rPr>
          <w:lang w:val="en-GB"/>
        </w:rPr>
        <w:t>lack of appropriately adapted diversion options</w:t>
      </w:r>
      <w:r w:rsidR="00EB77C6">
        <w:rPr>
          <w:rStyle w:val="FootnoteReference"/>
          <w:szCs w:val="22"/>
          <w:lang w:val="en-GB"/>
        </w:rPr>
        <w:footnoteReference w:id="81"/>
      </w:r>
      <w:r w:rsidR="00EB77C6" w:rsidRPr="00CD6C33">
        <w:rPr>
          <w:lang w:val="en-GB"/>
        </w:rPr>
        <w:t xml:space="preserve"> </w:t>
      </w:r>
    </w:p>
    <w:p w14:paraId="077C1282" w14:textId="22F8384E" w:rsidR="00E11983" w:rsidRDefault="009B58AF" w:rsidP="00CD6C33">
      <w:pPr>
        <w:pStyle w:val="Bulletedlist"/>
        <w:rPr>
          <w:lang w:val="en-GB"/>
        </w:rPr>
      </w:pPr>
      <w:r w:rsidRPr="00CD6C33">
        <w:rPr>
          <w:lang w:val="en-GB"/>
        </w:rPr>
        <w:t xml:space="preserve">by failures </w:t>
      </w:r>
      <w:r w:rsidR="00360D74" w:rsidRPr="00CD6C33">
        <w:rPr>
          <w:lang w:val="en-GB"/>
        </w:rPr>
        <w:t xml:space="preserve">to adequately equip </w:t>
      </w:r>
      <w:r w:rsidR="00D52270">
        <w:rPr>
          <w:lang w:val="en-GB"/>
        </w:rPr>
        <w:t>relevant staff</w:t>
      </w:r>
      <w:r w:rsidR="00D00152" w:rsidRPr="00CD6C33">
        <w:rPr>
          <w:lang w:val="en-GB"/>
        </w:rPr>
        <w:t xml:space="preserve"> with training, knowledge or resources to </w:t>
      </w:r>
      <w:r w:rsidR="005910B6" w:rsidRPr="00CD6C33">
        <w:rPr>
          <w:lang w:val="en-GB"/>
        </w:rPr>
        <w:t>interact appropriately with</w:t>
      </w:r>
      <w:r w:rsidR="00DD4010" w:rsidRPr="00CD6C33">
        <w:rPr>
          <w:lang w:val="en-GB"/>
        </w:rPr>
        <w:t xml:space="preserve"> children,</w:t>
      </w:r>
      <w:r w:rsidR="00BB7E78" w:rsidRPr="00CD6C33">
        <w:rPr>
          <w:lang w:val="en-GB"/>
        </w:rPr>
        <w:t xml:space="preserve"> </w:t>
      </w:r>
      <w:r w:rsidR="005910B6" w:rsidRPr="00CD6C33">
        <w:rPr>
          <w:lang w:val="en-GB"/>
        </w:rPr>
        <w:t>including children with intellectual and cognitive disabilities</w:t>
      </w:r>
      <w:r w:rsidR="008F166B">
        <w:rPr>
          <w:rStyle w:val="FootnoteReference"/>
          <w:szCs w:val="22"/>
          <w:lang w:val="en-GB"/>
        </w:rPr>
        <w:footnoteReference w:id="82"/>
      </w:r>
      <w:r w:rsidR="003754F1" w:rsidRPr="00CD6C33">
        <w:rPr>
          <w:lang w:val="en-GB"/>
        </w:rPr>
        <w:t xml:space="preserve"> </w:t>
      </w:r>
    </w:p>
    <w:p w14:paraId="39BB83E7" w14:textId="3FB7C136" w:rsidR="00A63A7D" w:rsidRPr="00CD6C33" w:rsidRDefault="00942339" w:rsidP="00CD6C33">
      <w:pPr>
        <w:pStyle w:val="Bulletedlist"/>
        <w:rPr>
          <w:lang w:val="en-GB"/>
        </w:rPr>
      </w:pPr>
      <w:r w:rsidRPr="00CD6C33">
        <w:rPr>
          <w:lang w:val="en-GB"/>
        </w:rPr>
        <w:t xml:space="preserve">by </w:t>
      </w:r>
      <w:r w:rsidR="004E4296" w:rsidRPr="00CD6C33">
        <w:rPr>
          <w:lang w:val="en-GB"/>
        </w:rPr>
        <w:t>deployment of</w:t>
      </w:r>
      <w:r w:rsidRPr="00CD6C33">
        <w:rPr>
          <w:lang w:val="en-GB"/>
        </w:rPr>
        <w:t xml:space="preserve"> high-visibility or ‘proactive’ </w:t>
      </w:r>
      <w:r w:rsidR="00B3179D" w:rsidRPr="00CD6C33">
        <w:rPr>
          <w:lang w:val="en-GB"/>
        </w:rPr>
        <w:t xml:space="preserve">policing concentrated in particular </w:t>
      </w:r>
      <w:r w:rsidR="005C17D7" w:rsidRPr="00CD6C33">
        <w:rPr>
          <w:lang w:val="en-GB"/>
        </w:rPr>
        <w:t>locations</w:t>
      </w:r>
      <w:r w:rsidR="00D507FD" w:rsidRPr="00CD6C33">
        <w:rPr>
          <w:lang w:val="en-GB"/>
        </w:rPr>
        <w:t xml:space="preserve"> or focussed on particular individuals</w:t>
      </w:r>
      <w:r w:rsidR="004673B3" w:rsidRPr="00CD6C33">
        <w:rPr>
          <w:lang w:val="en-GB"/>
        </w:rPr>
        <w:t xml:space="preserve"> or cohorts</w:t>
      </w:r>
      <w:r w:rsidR="005C17D7" w:rsidRPr="00CD6C33">
        <w:rPr>
          <w:lang w:val="en-GB"/>
        </w:rPr>
        <w:t>.</w:t>
      </w:r>
      <w:r w:rsidR="008F166B">
        <w:rPr>
          <w:rStyle w:val="FootnoteReference"/>
          <w:szCs w:val="22"/>
          <w:lang w:val="en-GB"/>
        </w:rPr>
        <w:footnoteReference w:id="83"/>
      </w:r>
    </w:p>
    <w:p w14:paraId="6E55650F" w14:textId="77777777" w:rsidR="006C2D27" w:rsidRDefault="006C2D27" w:rsidP="006C2D27">
      <w:pPr>
        <w:pStyle w:val="Heading3"/>
        <w:rPr>
          <w:lang w:val="en-GB"/>
        </w:rPr>
      </w:pPr>
      <w:bookmarkStart w:id="13" w:name="_Toc180746452"/>
      <w:r w:rsidRPr="37BE00A7">
        <w:rPr>
          <w:lang w:val="en-GB"/>
        </w:rPr>
        <w:t>Age</w:t>
      </w:r>
      <w:bookmarkEnd w:id="13"/>
    </w:p>
    <w:p w14:paraId="39AB06DC" w14:textId="3A759E4B" w:rsidR="007225F9" w:rsidRPr="00754B32" w:rsidRDefault="009876C9" w:rsidP="00267B4B">
      <w:pPr>
        <w:numPr>
          <w:ilvl w:val="0"/>
          <w:numId w:val="13"/>
        </w:numPr>
        <w:spacing w:before="120" w:after="240" w:line="276" w:lineRule="auto"/>
        <w:rPr>
          <w:rFonts w:cs="Arial"/>
          <w:color w:val="auto"/>
          <w:szCs w:val="22"/>
        </w:rPr>
      </w:pPr>
      <w:r w:rsidRPr="00754B32">
        <w:rPr>
          <w:rFonts w:cs="Arial"/>
          <w:color w:val="auto"/>
          <w:szCs w:val="22"/>
        </w:rPr>
        <w:t>The longstanding position under Australian law</w:t>
      </w:r>
      <w:r w:rsidR="00623CA9" w:rsidRPr="00754B32">
        <w:rPr>
          <w:rFonts w:cs="Arial"/>
          <w:color w:val="auto"/>
          <w:szCs w:val="22"/>
        </w:rPr>
        <w:t>, including in Queensland,</w:t>
      </w:r>
      <w:r w:rsidRPr="00754B32">
        <w:rPr>
          <w:rFonts w:cs="Arial"/>
          <w:color w:val="auto"/>
          <w:szCs w:val="22"/>
        </w:rPr>
        <w:t xml:space="preserve"> is a presumption that a child between the age of 10 and 14 years </w:t>
      </w:r>
      <w:r w:rsidR="00037E05" w:rsidRPr="00754B32">
        <w:rPr>
          <w:rFonts w:cs="Arial"/>
          <w:color w:val="auto"/>
          <w:szCs w:val="22"/>
        </w:rPr>
        <w:t xml:space="preserve">is </w:t>
      </w:r>
      <w:r w:rsidR="00037E05" w:rsidRPr="00754B32">
        <w:rPr>
          <w:rFonts w:cs="Arial"/>
          <w:i/>
          <w:color w:val="auto"/>
          <w:szCs w:val="22"/>
        </w:rPr>
        <w:t>incapable</w:t>
      </w:r>
      <w:r w:rsidR="00037E05" w:rsidRPr="00754B32">
        <w:rPr>
          <w:rFonts w:cs="Arial"/>
          <w:color w:val="auto"/>
          <w:szCs w:val="22"/>
        </w:rPr>
        <w:t xml:space="preserve"> of </w:t>
      </w:r>
      <w:r w:rsidR="00037E05" w:rsidRPr="00754B32">
        <w:rPr>
          <w:rFonts w:cs="Arial"/>
          <w:color w:val="auto"/>
          <w:szCs w:val="22"/>
        </w:rPr>
        <w:lastRenderedPageBreak/>
        <w:t>committing a crime because</w:t>
      </w:r>
      <w:r w:rsidR="00FB1AAF" w:rsidRPr="00754B32">
        <w:rPr>
          <w:rFonts w:cs="Arial"/>
          <w:color w:val="auto"/>
          <w:szCs w:val="22"/>
        </w:rPr>
        <w:t xml:space="preserve"> </w:t>
      </w:r>
      <w:r w:rsidR="002970B3" w:rsidRPr="00754B32">
        <w:rPr>
          <w:rFonts w:cs="Arial"/>
          <w:color w:val="auto"/>
          <w:szCs w:val="22"/>
        </w:rPr>
        <w:t xml:space="preserve">they </w:t>
      </w:r>
      <w:r w:rsidR="00345BE6" w:rsidRPr="00754B32">
        <w:rPr>
          <w:rFonts w:cs="Arial"/>
          <w:color w:val="auto"/>
          <w:szCs w:val="22"/>
        </w:rPr>
        <w:t>have</w:t>
      </w:r>
      <w:r w:rsidR="002970B3" w:rsidRPr="00754B32">
        <w:rPr>
          <w:rFonts w:cs="Arial"/>
          <w:color w:val="auto"/>
          <w:szCs w:val="22"/>
        </w:rPr>
        <w:t xml:space="preserve"> not </w:t>
      </w:r>
      <w:r w:rsidR="00345BE6" w:rsidRPr="00754B32">
        <w:rPr>
          <w:rFonts w:cs="Arial"/>
          <w:color w:val="auto"/>
          <w:szCs w:val="22"/>
        </w:rPr>
        <w:t>developed</w:t>
      </w:r>
      <w:r w:rsidR="002970B3" w:rsidRPr="00754B32">
        <w:rPr>
          <w:rFonts w:cs="Arial"/>
          <w:color w:val="auto"/>
          <w:szCs w:val="22"/>
        </w:rPr>
        <w:t xml:space="preserve"> </w:t>
      </w:r>
      <w:r w:rsidR="00F05293" w:rsidRPr="00754B32">
        <w:rPr>
          <w:rFonts w:cs="Arial"/>
          <w:color w:val="auto"/>
          <w:szCs w:val="22"/>
        </w:rPr>
        <w:t>sufficient understanding of the difference between right and wrong (</w:t>
      </w:r>
      <w:r w:rsidR="00F05293" w:rsidRPr="00754B32">
        <w:rPr>
          <w:rFonts w:cs="Arial"/>
          <w:i/>
          <w:color w:val="auto"/>
          <w:szCs w:val="22"/>
        </w:rPr>
        <w:t>doli incapax</w:t>
      </w:r>
      <w:r w:rsidR="00F05293" w:rsidRPr="00754B32">
        <w:rPr>
          <w:rFonts w:cs="Arial"/>
          <w:color w:val="auto"/>
          <w:szCs w:val="22"/>
        </w:rPr>
        <w:t>).</w:t>
      </w:r>
      <w:r w:rsidR="00DE60D7" w:rsidRPr="00754B32">
        <w:rPr>
          <w:rStyle w:val="FootnoteReference"/>
          <w:rFonts w:cs="Arial"/>
          <w:color w:val="auto"/>
          <w:szCs w:val="22"/>
        </w:rPr>
        <w:footnoteReference w:id="84"/>
      </w:r>
      <w:r w:rsidR="00D64893">
        <w:rPr>
          <w:rFonts w:cs="Arial"/>
          <w:color w:val="auto"/>
          <w:szCs w:val="22"/>
        </w:rPr>
        <w:t xml:space="preserve"> </w:t>
      </w:r>
    </w:p>
    <w:p w14:paraId="55B63272" w14:textId="12C376F5" w:rsidR="002A66E2" w:rsidRPr="008608C2" w:rsidRDefault="003750AD" w:rsidP="008608C2">
      <w:pPr>
        <w:numPr>
          <w:ilvl w:val="0"/>
          <w:numId w:val="13"/>
        </w:numPr>
        <w:spacing w:before="120" w:after="240" w:line="276" w:lineRule="auto"/>
        <w:rPr>
          <w:rFonts w:cs="Arial"/>
          <w:color w:val="auto"/>
          <w:szCs w:val="22"/>
        </w:rPr>
      </w:pPr>
      <w:r w:rsidRPr="00754B32">
        <w:rPr>
          <w:rFonts w:cs="Arial"/>
          <w:color w:val="auto"/>
          <w:szCs w:val="22"/>
        </w:rPr>
        <w:t>T</w:t>
      </w:r>
      <w:r w:rsidR="00787997" w:rsidRPr="00754B32">
        <w:rPr>
          <w:rFonts w:cs="Arial"/>
          <w:color w:val="auto"/>
          <w:szCs w:val="22"/>
        </w:rPr>
        <w:t xml:space="preserve">he </w:t>
      </w:r>
      <w:r w:rsidRPr="00754B32">
        <w:rPr>
          <w:rFonts w:cs="Arial"/>
          <w:color w:val="auto"/>
          <w:szCs w:val="22"/>
        </w:rPr>
        <w:t>United Nations</w:t>
      </w:r>
      <w:r w:rsidR="00787997" w:rsidRPr="00754B32">
        <w:rPr>
          <w:rFonts w:cs="Arial"/>
          <w:color w:val="auto"/>
          <w:szCs w:val="22"/>
        </w:rPr>
        <w:t xml:space="preserve"> Committee on the Rights of the Child has </w:t>
      </w:r>
      <w:r w:rsidR="006125B5" w:rsidRPr="00754B32">
        <w:rPr>
          <w:rFonts w:cs="Arial"/>
          <w:color w:val="auto"/>
          <w:szCs w:val="22"/>
        </w:rPr>
        <w:t xml:space="preserve">emphasised that children </w:t>
      </w:r>
      <w:r w:rsidR="00B414E2" w:rsidRPr="00754B32">
        <w:rPr>
          <w:rFonts w:cs="Arial"/>
          <w:color w:val="auto"/>
          <w:szCs w:val="22"/>
        </w:rPr>
        <w:t>under the age of 14 are ‘unlikely to understand the impact of their actions or to comprehend criminal proceedings’</w:t>
      </w:r>
      <w:r w:rsidR="00FC46B5" w:rsidRPr="00754B32">
        <w:rPr>
          <w:rFonts w:cs="Arial"/>
          <w:color w:val="auto"/>
          <w:szCs w:val="22"/>
        </w:rPr>
        <w:t xml:space="preserve"> and </w:t>
      </w:r>
      <w:r w:rsidR="002722E8" w:rsidRPr="00754B32">
        <w:rPr>
          <w:rFonts w:cs="Arial"/>
          <w:color w:val="auto"/>
          <w:szCs w:val="22"/>
        </w:rPr>
        <w:t xml:space="preserve">that </w:t>
      </w:r>
      <w:r w:rsidR="007E34FC" w:rsidRPr="00754B32">
        <w:rPr>
          <w:rFonts w:cs="Arial"/>
          <w:color w:val="auto"/>
          <w:szCs w:val="22"/>
        </w:rPr>
        <w:t>those entering adolescence</w:t>
      </w:r>
      <w:r w:rsidR="002722E8" w:rsidRPr="00754B32">
        <w:rPr>
          <w:rFonts w:cs="Arial"/>
          <w:color w:val="auto"/>
          <w:szCs w:val="22"/>
        </w:rPr>
        <w:t xml:space="preserve"> are in a unique stage of development impacting ‘risk-taking, certain kinds of decision-making and the ability to control impulses’</w:t>
      </w:r>
      <w:r w:rsidR="007837FA" w:rsidRPr="00754B32">
        <w:rPr>
          <w:rFonts w:cs="Arial"/>
          <w:color w:val="auto"/>
          <w:szCs w:val="22"/>
        </w:rPr>
        <w:t>.</w:t>
      </w:r>
      <w:r w:rsidR="002722E8" w:rsidRPr="00754B32">
        <w:rPr>
          <w:rStyle w:val="FootnoteReference"/>
          <w:rFonts w:cs="Arial"/>
          <w:color w:val="auto"/>
          <w:szCs w:val="22"/>
        </w:rPr>
        <w:footnoteReference w:id="85"/>
      </w:r>
      <w:r w:rsidR="007837FA" w:rsidRPr="00754B32">
        <w:rPr>
          <w:rFonts w:cs="Arial"/>
          <w:color w:val="auto"/>
          <w:szCs w:val="22"/>
        </w:rPr>
        <w:t xml:space="preserve"> </w:t>
      </w:r>
      <w:r w:rsidR="000C0F8B">
        <w:rPr>
          <w:rFonts w:cs="Arial"/>
          <w:color w:val="auto"/>
          <w:szCs w:val="22"/>
        </w:rPr>
        <w:t>The Committee</w:t>
      </w:r>
      <w:r w:rsidR="000C0F8B" w:rsidRPr="00267B4B">
        <w:rPr>
          <w:rFonts w:cs="Arial"/>
          <w:color w:val="auto"/>
          <w:szCs w:val="22"/>
        </w:rPr>
        <w:t xml:space="preserve"> </w:t>
      </w:r>
      <w:r w:rsidR="00267B4B" w:rsidRPr="00267B4B">
        <w:rPr>
          <w:rFonts w:cs="Arial"/>
          <w:color w:val="auto"/>
          <w:szCs w:val="22"/>
        </w:rPr>
        <w:t xml:space="preserve">recommends the minimum of age of </w:t>
      </w:r>
      <w:r w:rsidR="007837FA" w:rsidRPr="00754B32">
        <w:rPr>
          <w:rFonts w:cs="Arial"/>
          <w:color w:val="auto"/>
          <w:szCs w:val="22"/>
        </w:rPr>
        <w:t xml:space="preserve">criminal </w:t>
      </w:r>
      <w:r w:rsidR="00267B4B" w:rsidRPr="00267B4B">
        <w:rPr>
          <w:rFonts w:cs="Arial"/>
          <w:color w:val="auto"/>
          <w:szCs w:val="22"/>
        </w:rPr>
        <w:t>responsibility should be at least 14 years, and suggests the minimum age that a child may be deprived of liberty be 16 years (unless there are genuine public safety or public health concerns).</w:t>
      </w:r>
      <w:r w:rsidR="00267B4B" w:rsidRPr="00267B4B">
        <w:rPr>
          <w:rFonts w:cs="Arial"/>
          <w:color w:val="auto"/>
          <w:szCs w:val="22"/>
          <w:vertAlign w:val="superscript"/>
        </w:rPr>
        <w:footnoteReference w:id="86"/>
      </w:r>
      <w:r w:rsidR="00267B4B" w:rsidRPr="008608C2">
        <w:rPr>
          <w:rFonts w:cs="Arial"/>
          <w:color w:val="auto"/>
          <w:szCs w:val="22"/>
        </w:rPr>
        <w:t xml:space="preserve"> </w:t>
      </w:r>
    </w:p>
    <w:p w14:paraId="15B8BEAF" w14:textId="26F90722" w:rsidR="00267B4B" w:rsidRDefault="00C62F36" w:rsidP="00267B4B">
      <w:pPr>
        <w:numPr>
          <w:ilvl w:val="0"/>
          <w:numId w:val="13"/>
        </w:numPr>
        <w:spacing w:before="120" w:after="240" w:line="276" w:lineRule="auto"/>
        <w:rPr>
          <w:rFonts w:cs="Arial"/>
          <w:color w:val="auto"/>
          <w:szCs w:val="22"/>
        </w:rPr>
      </w:pPr>
      <w:r w:rsidRPr="00754B32">
        <w:rPr>
          <w:rFonts w:cs="Arial"/>
          <w:color w:val="auto"/>
          <w:szCs w:val="22"/>
        </w:rPr>
        <w:t>Despite this</w:t>
      </w:r>
      <w:r w:rsidR="007372F5" w:rsidRPr="00754B32">
        <w:rPr>
          <w:rFonts w:cs="Arial"/>
          <w:color w:val="auto"/>
          <w:szCs w:val="22"/>
        </w:rPr>
        <w:t xml:space="preserve">, </w:t>
      </w:r>
      <w:r w:rsidRPr="00754B32">
        <w:rPr>
          <w:rFonts w:cs="Arial"/>
          <w:color w:val="auto"/>
          <w:szCs w:val="22"/>
        </w:rPr>
        <w:t xml:space="preserve">children </w:t>
      </w:r>
      <w:r w:rsidR="00201BFD" w:rsidRPr="00754B32">
        <w:rPr>
          <w:rFonts w:cs="Arial"/>
          <w:color w:val="auto"/>
          <w:szCs w:val="22"/>
        </w:rPr>
        <w:t>in Queensland</w:t>
      </w:r>
      <w:r w:rsidRPr="00754B32">
        <w:rPr>
          <w:rFonts w:cs="Arial"/>
          <w:color w:val="auto"/>
          <w:szCs w:val="22"/>
        </w:rPr>
        <w:t xml:space="preserve"> between the ages of 10 and 14 are regularly </w:t>
      </w:r>
      <w:r w:rsidR="00CD2EC2">
        <w:rPr>
          <w:rFonts w:cs="Arial"/>
          <w:color w:val="auto"/>
          <w:szCs w:val="22"/>
        </w:rPr>
        <w:t xml:space="preserve">charged, </w:t>
      </w:r>
      <w:r w:rsidR="0074468E" w:rsidRPr="00754B32">
        <w:rPr>
          <w:rFonts w:cs="Arial"/>
          <w:color w:val="auto"/>
          <w:szCs w:val="22"/>
        </w:rPr>
        <w:t>arrested and</w:t>
      </w:r>
      <w:r w:rsidRPr="00754B32">
        <w:rPr>
          <w:rFonts w:cs="Arial"/>
          <w:color w:val="auto"/>
          <w:szCs w:val="22"/>
        </w:rPr>
        <w:t xml:space="preserve"> </w:t>
      </w:r>
      <w:r w:rsidR="00201BFD" w:rsidRPr="00754B32">
        <w:rPr>
          <w:rFonts w:cs="Arial"/>
          <w:color w:val="auto"/>
          <w:szCs w:val="22"/>
        </w:rPr>
        <w:t xml:space="preserve">held in </w:t>
      </w:r>
      <w:r w:rsidR="0074468E" w:rsidRPr="00754B32">
        <w:rPr>
          <w:rFonts w:cs="Arial"/>
          <w:color w:val="auto"/>
          <w:szCs w:val="22"/>
        </w:rPr>
        <w:t>detention</w:t>
      </w:r>
      <w:r w:rsidR="00201BFD" w:rsidRPr="00754B32">
        <w:rPr>
          <w:rFonts w:cs="Arial"/>
          <w:color w:val="auto"/>
          <w:szCs w:val="22"/>
        </w:rPr>
        <w:t xml:space="preserve"> in </w:t>
      </w:r>
      <w:r w:rsidR="000B3719" w:rsidRPr="00754B32">
        <w:rPr>
          <w:rFonts w:cs="Arial"/>
          <w:color w:val="auto"/>
          <w:szCs w:val="22"/>
        </w:rPr>
        <w:t>police</w:t>
      </w:r>
      <w:r w:rsidR="00201BFD" w:rsidRPr="00754B32">
        <w:rPr>
          <w:rFonts w:cs="Arial"/>
          <w:color w:val="auto"/>
          <w:szCs w:val="22"/>
        </w:rPr>
        <w:t xml:space="preserve"> </w:t>
      </w:r>
      <w:r w:rsidR="002D2B73">
        <w:rPr>
          <w:rFonts w:cs="Arial"/>
          <w:color w:val="auto"/>
          <w:szCs w:val="22"/>
        </w:rPr>
        <w:t>watch house</w:t>
      </w:r>
      <w:r w:rsidR="00201BFD" w:rsidRPr="00754B32">
        <w:rPr>
          <w:rFonts w:cs="Arial"/>
          <w:color w:val="auto"/>
          <w:szCs w:val="22"/>
        </w:rPr>
        <w:t>s</w:t>
      </w:r>
      <w:r w:rsidR="00216943" w:rsidRPr="00754B32">
        <w:rPr>
          <w:rFonts w:cs="Arial"/>
          <w:color w:val="auto"/>
          <w:szCs w:val="22"/>
        </w:rPr>
        <w:t xml:space="preserve">, in circumstances where </w:t>
      </w:r>
      <w:r w:rsidR="0074468E" w:rsidRPr="00754B32">
        <w:rPr>
          <w:rFonts w:cs="Arial"/>
          <w:color w:val="auto"/>
          <w:szCs w:val="22"/>
        </w:rPr>
        <w:t xml:space="preserve">both the common law and </w:t>
      </w:r>
      <w:r w:rsidR="007E099B" w:rsidRPr="00754B32">
        <w:rPr>
          <w:rFonts w:cs="Arial"/>
          <w:color w:val="auto"/>
          <w:szCs w:val="22"/>
        </w:rPr>
        <w:t>international human rights law recognises that they are u</w:t>
      </w:r>
      <w:r w:rsidR="002B3F97" w:rsidRPr="00754B32">
        <w:rPr>
          <w:rFonts w:cs="Arial"/>
          <w:color w:val="auto"/>
          <w:szCs w:val="22"/>
        </w:rPr>
        <w:t>nlikely to have the capacity to be criminally responsible for their actions</w:t>
      </w:r>
      <w:r w:rsidR="002E1BA6">
        <w:rPr>
          <w:rFonts w:cs="Arial"/>
          <w:color w:val="auto"/>
          <w:szCs w:val="22"/>
        </w:rPr>
        <w:t xml:space="preserve">, and </w:t>
      </w:r>
      <w:r w:rsidR="00D15F13">
        <w:rPr>
          <w:rFonts w:cs="Arial"/>
          <w:color w:val="auto"/>
          <w:szCs w:val="22"/>
        </w:rPr>
        <w:t xml:space="preserve">at a stage of their development where </w:t>
      </w:r>
      <w:r w:rsidR="002E1BA6">
        <w:rPr>
          <w:rFonts w:cs="Arial"/>
          <w:color w:val="auto"/>
          <w:szCs w:val="22"/>
        </w:rPr>
        <w:t xml:space="preserve">contact with the justice system is </w:t>
      </w:r>
      <w:r w:rsidR="00870743">
        <w:rPr>
          <w:rFonts w:cs="Arial"/>
          <w:color w:val="auto"/>
          <w:szCs w:val="22"/>
        </w:rPr>
        <w:t>particularly</w:t>
      </w:r>
      <w:r w:rsidR="00A231D6">
        <w:rPr>
          <w:rFonts w:cs="Arial"/>
          <w:color w:val="auto"/>
          <w:szCs w:val="22"/>
        </w:rPr>
        <w:t xml:space="preserve"> harmful</w:t>
      </w:r>
      <w:r w:rsidR="002B3F97" w:rsidRPr="00754B32">
        <w:rPr>
          <w:rFonts w:cs="Arial"/>
          <w:color w:val="auto"/>
          <w:szCs w:val="22"/>
        </w:rPr>
        <w:t>.</w:t>
      </w:r>
      <w:r w:rsidR="008C16B8">
        <w:rPr>
          <w:rStyle w:val="FootnoteReference"/>
          <w:rFonts w:cs="Arial"/>
          <w:color w:val="auto"/>
          <w:szCs w:val="22"/>
        </w:rPr>
        <w:footnoteReference w:id="87"/>
      </w:r>
      <w:r w:rsidR="002B3F97" w:rsidRPr="00754B32">
        <w:rPr>
          <w:rFonts w:cs="Arial"/>
          <w:color w:val="auto"/>
          <w:szCs w:val="22"/>
        </w:rPr>
        <w:t xml:space="preserve"> </w:t>
      </w:r>
    </w:p>
    <w:p w14:paraId="2C43F33E" w14:textId="1587A6A9" w:rsidR="00FF13B9" w:rsidRDefault="00FF13B9" w:rsidP="00FF13B9">
      <w:pPr>
        <w:pStyle w:val="Numberedparagraph"/>
        <w:numPr>
          <w:ilvl w:val="0"/>
          <w:numId w:val="13"/>
        </w:numPr>
        <w:rPr>
          <w:szCs w:val="22"/>
          <w:lang w:val="en-GB"/>
        </w:rPr>
      </w:pPr>
      <w:r>
        <w:rPr>
          <w:szCs w:val="22"/>
          <w:lang w:val="en-GB"/>
        </w:rPr>
        <w:t xml:space="preserve">Australian Bureau of Statistics Data shows that, in </w:t>
      </w:r>
      <w:r w:rsidR="00130FC5">
        <w:rPr>
          <w:szCs w:val="22"/>
          <w:lang w:val="en-GB"/>
        </w:rPr>
        <w:t>2022–23</w:t>
      </w:r>
      <w:r>
        <w:rPr>
          <w:szCs w:val="22"/>
          <w:lang w:val="en-GB"/>
        </w:rPr>
        <w:t>, at least:</w:t>
      </w:r>
    </w:p>
    <w:p w14:paraId="45D76E23" w14:textId="77777777" w:rsidR="00FF13B9" w:rsidRDefault="00FF13B9" w:rsidP="00FF13B9">
      <w:pPr>
        <w:pStyle w:val="Bulletedlist"/>
        <w:rPr>
          <w:lang w:val="en-GB"/>
        </w:rPr>
      </w:pPr>
      <w:r>
        <w:rPr>
          <w:lang w:val="en-GB"/>
        </w:rPr>
        <w:t xml:space="preserve">316 </w:t>
      </w:r>
      <w:r w:rsidRPr="006B13F2">
        <w:rPr>
          <w:lang w:val="en-GB"/>
        </w:rPr>
        <w:t>children between the ages of 10 and 1</w:t>
      </w:r>
      <w:r>
        <w:rPr>
          <w:lang w:val="en-GB"/>
        </w:rPr>
        <w:t>1</w:t>
      </w:r>
      <w:r w:rsidRPr="006B13F2">
        <w:rPr>
          <w:lang w:val="en-GB"/>
        </w:rPr>
        <w:t xml:space="preserve"> </w:t>
      </w:r>
    </w:p>
    <w:p w14:paraId="74A8FBAB" w14:textId="77777777" w:rsidR="00FF13B9" w:rsidRDefault="00FF13B9" w:rsidP="00FF13B9">
      <w:pPr>
        <w:pStyle w:val="Bulletedlist"/>
        <w:rPr>
          <w:lang w:val="en-GB"/>
        </w:rPr>
      </w:pPr>
      <w:r>
        <w:rPr>
          <w:lang w:val="en-GB"/>
        </w:rPr>
        <w:t xml:space="preserve">2063 children between the ages 12 and 13 </w:t>
      </w:r>
    </w:p>
    <w:p w14:paraId="11CBCFDA" w14:textId="77777777" w:rsidR="00FF13B9" w:rsidRDefault="00FF13B9" w:rsidP="00FF13B9">
      <w:pPr>
        <w:pStyle w:val="Bulletedlist"/>
        <w:numPr>
          <w:ilvl w:val="0"/>
          <w:numId w:val="0"/>
        </w:numPr>
        <w:rPr>
          <w:lang w:val="en-GB"/>
        </w:rPr>
      </w:pPr>
    </w:p>
    <w:p w14:paraId="52F19411" w14:textId="3BFF632E" w:rsidR="00FF13B9" w:rsidRPr="006B13F2" w:rsidRDefault="00FF13B9" w:rsidP="00FF13B9">
      <w:pPr>
        <w:pStyle w:val="Bulletedlist"/>
        <w:numPr>
          <w:ilvl w:val="0"/>
          <w:numId w:val="0"/>
        </w:numPr>
        <w:ind w:left="567"/>
        <w:rPr>
          <w:lang w:val="en-GB"/>
        </w:rPr>
      </w:pPr>
      <w:r w:rsidRPr="006B13F2">
        <w:rPr>
          <w:lang w:val="en-GB"/>
        </w:rPr>
        <w:t>were proceeded against</w:t>
      </w:r>
      <w:r>
        <w:rPr>
          <w:lang w:val="en-GB"/>
        </w:rPr>
        <w:t xml:space="preserve"> (cautioned, charged or summonsed to court)</w:t>
      </w:r>
      <w:r w:rsidRPr="006B13F2">
        <w:rPr>
          <w:lang w:val="en-GB"/>
        </w:rPr>
        <w:t xml:space="preserve"> by police</w:t>
      </w:r>
      <w:r>
        <w:rPr>
          <w:lang w:val="en-GB"/>
        </w:rPr>
        <w:t xml:space="preserve"> in Queensland</w:t>
      </w:r>
      <w:r w:rsidRPr="006B13F2">
        <w:rPr>
          <w:lang w:val="en-GB"/>
        </w:rPr>
        <w:t>.</w:t>
      </w:r>
      <w:r>
        <w:rPr>
          <w:rStyle w:val="FootnoteReference"/>
          <w:lang w:val="en-GB"/>
        </w:rPr>
        <w:footnoteReference w:id="88"/>
      </w:r>
      <w:r>
        <w:rPr>
          <w:lang w:val="en-GB"/>
        </w:rPr>
        <w:t xml:space="preserve">  This cohort made up 22% of all children proceeded against by police in Queensland during the period.</w:t>
      </w:r>
      <w:r>
        <w:rPr>
          <w:rStyle w:val="FootnoteReference"/>
          <w:lang w:val="en-GB"/>
        </w:rPr>
        <w:footnoteReference w:id="89"/>
      </w:r>
    </w:p>
    <w:p w14:paraId="08685FD4" w14:textId="1FF896C4" w:rsidR="00267B4B" w:rsidRPr="00303F5C" w:rsidRDefault="006F1509" w:rsidP="006C2D27">
      <w:pPr>
        <w:pStyle w:val="Numberedparagraph"/>
        <w:rPr>
          <w:szCs w:val="22"/>
          <w:lang w:val="en-GB"/>
        </w:rPr>
      </w:pPr>
      <w:r w:rsidRPr="00303F5C">
        <w:rPr>
          <w:szCs w:val="22"/>
          <w:lang w:val="en-GB"/>
        </w:rPr>
        <w:t>T</w:t>
      </w:r>
      <w:r w:rsidR="0012117E" w:rsidRPr="00303F5C">
        <w:rPr>
          <w:szCs w:val="22"/>
          <w:lang w:val="en-GB"/>
        </w:rPr>
        <w:t xml:space="preserve">he </w:t>
      </w:r>
      <w:r w:rsidR="00F531B1" w:rsidRPr="00303F5C">
        <w:rPr>
          <w:szCs w:val="22"/>
          <w:lang w:val="en-GB"/>
        </w:rPr>
        <w:t xml:space="preserve">Inspector of Detention Services Report </w:t>
      </w:r>
      <w:r w:rsidR="00EA5168" w:rsidRPr="00303F5C">
        <w:rPr>
          <w:szCs w:val="22"/>
          <w:lang w:val="en-GB"/>
        </w:rPr>
        <w:t xml:space="preserve">on Cairns </w:t>
      </w:r>
      <w:r w:rsidR="00246F72" w:rsidRPr="00303F5C">
        <w:rPr>
          <w:szCs w:val="22"/>
          <w:lang w:val="en-GB"/>
        </w:rPr>
        <w:t xml:space="preserve">and </w:t>
      </w:r>
      <w:proofErr w:type="spellStart"/>
      <w:r w:rsidR="00246F72" w:rsidRPr="00303F5C">
        <w:rPr>
          <w:szCs w:val="22"/>
          <w:lang w:val="en-GB"/>
        </w:rPr>
        <w:t>Murgon</w:t>
      </w:r>
      <w:proofErr w:type="spellEnd"/>
      <w:r w:rsidR="00246F72" w:rsidRPr="00303F5C">
        <w:rPr>
          <w:szCs w:val="22"/>
          <w:lang w:val="en-GB"/>
        </w:rPr>
        <w:t xml:space="preserve"> </w:t>
      </w:r>
      <w:r w:rsidR="002D2B73" w:rsidRPr="00303F5C">
        <w:rPr>
          <w:szCs w:val="22"/>
          <w:lang w:val="en-GB"/>
        </w:rPr>
        <w:t>Watch house</w:t>
      </w:r>
      <w:r w:rsidR="00246F72" w:rsidRPr="00303F5C">
        <w:rPr>
          <w:szCs w:val="22"/>
          <w:lang w:val="en-GB"/>
        </w:rPr>
        <w:t>s</w:t>
      </w:r>
      <w:r w:rsidR="00EA5168" w:rsidRPr="00303F5C">
        <w:rPr>
          <w:szCs w:val="22"/>
          <w:lang w:val="en-GB"/>
        </w:rPr>
        <w:t xml:space="preserve"> showed that </w:t>
      </w:r>
      <w:r w:rsidR="00B9136B" w:rsidRPr="00303F5C">
        <w:rPr>
          <w:szCs w:val="22"/>
          <w:lang w:val="en-GB"/>
        </w:rPr>
        <w:t>between 1 January 2023 and 31 Januar</w:t>
      </w:r>
      <w:r w:rsidR="000C7F8C" w:rsidRPr="00303F5C">
        <w:rPr>
          <w:szCs w:val="22"/>
          <w:lang w:val="en-GB"/>
        </w:rPr>
        <w:t>y 2024</w:t>
      </w:r>
      <w:r w:rsidR="00E90B55" w:rsidRPr="00303F5C">
        <w:rPr>
          <w:szCs w:val="22"/>
          <w:lang w:val="en-GB"/>
        </w:rPr>
        <w:t xml:space="preserve"> in Cairns </w:t>
      </w:r>
      <w:r w:rsidR="002D2B73" w:rsidRPr="00303F5C">
        <w:rPr>
          <w:szCs w:val="22"/>
          <w:lang w:val="en-GB"/>
        </w:rPr>
        <w:t>Watch house</w:t>
      </w:r>
      <w:r w:rsidR="000C7F8C" w:rsidRPr="00303F5C">
        <w:rPr>
          <w:szCs w:val="22"/>
          <w:lang w:val="en-GB"/>
        </w:rPr>
        <w:t>:</w:t>
      </w:r>
    </w:p>
    <w:p w14:paraId="39AA9055" w14:textId="32A2F49D" w:rsidR="000C7F8C" w:rsidRPr="00754B32" w:rsidRDefault="00DE0A3A" w:rsidP="00DE0A3A">
      <w:pPr>
        <w:pStyle w:val="Numberedparagraph"/>
        <w:numPr>
          <w:ilvl w:val="0"/>
          <w:numId w:val="42"/>
        </w:numPr>
        <w:rPr>
          <w:szCs w:val="22"/>
          <w:lang w:val="en-GB"/>
        </w:rPr>
      </w:pPr>
      <w:r w:rsidRPr="00754B32">
        <w:rPr>
          <w:szCs w:val="22"/>
          <w:lang w:val="en-GB"/>
        </w:rPr>
        <w:t>10 year old</w:t>
      </w:r>
      <w:r w:rsidR="00A62D6D" w:rsidRPr="00754B32">
        <w:rPr>
          <w:szCs w:val="22"/>
          <w:lang w:val="en-GB"/>
        </w:rPr>
        <w:t>s</w:t>
      </w:r>
      <w:r w:rsidRPr="00754B32">
        <w:rPr>
          <w:szCs w:val="22"/>
          <w:lang w:val="en-GB"/>
        </w:rPr>
        <w:t xml:space="preserve"> w</w:t>
      </w:r>
      <w:r w:rsidR="00A62D6D" w:rsidRPr="00754B32">
        <w:rPr>
          <w:szCs w:val="22"/>
          <w:lang w:val="en-GB"/>
        </w:rPr>
        <w:t>ere</w:t>
      </w:r>
      <w:r w:rsidRPr="00754B32">
        <w:rPr>
          <w:szCs w:val="22"/>
          <w:lang w:val="en-GB"/>
        </w:rPr>
        <w:t xml:space="preserve"> held for more than </w:t>
      </w:r>
      <w:r w:rsidR="001717A3" w:rsidRPr="00754B32">
        <w:rPr>
          <w:szCs w:val="22"/>
          <w:lang w:val="en-GB"/>
        </w:rPr>
        <w:t>1</w:t>
      </w:r>
      <w:r w:rsidRPr="00754B32">
        <w:rPr>
          <w:szCs w:val="22"/>
          <w:lang w:val="en-GB"/>
        </w:rPr>
        <w:t xml:space="preserve"> day on 4 occasions;</w:t>
      </w:r>
    </w:p>
    <w:p w14:paraId="209A7E12" w14:textId="25F96025" w:rsidR="00A87220" w:rsidRPr="00754B32" w:rsidRDefault="00A62D6D" w:rsidP="00A87220">
      <w:pPr>
        <w:pStyle w:val="Numberedparagraph"/>
        <w:numPr>
          <w:ilvl w:val="0"/>
          <w:numId w:val="42"/>
        </w:numPr>
        <w:rPr>
          <w:szCs w:val="22"/>
          <w:lang w:val="en-GB"/>
        </w:rPr>
      </w:pPr>
      <w:r w:rsidRPr="00754B32">
        <w:rPr>
          <w:szCs w:val="22"/>
          <w:lang w:val="en-GB"/>
        </w:rPr>
        <w:lastRenderedPageBreak/>
        <w:t xml:space="preserve">11 year olds were held for </w:t>
      </w:r>
      <w:r w:rsidR="00A87220" w:rsidRPr="00754B32">
        <w:rPr>
          <w:szCs w:val="22"/>
          <w:lang w:val="en-GB"/>
        </w:rPr>
        <w:t xml:space="preserve">more than </w:t>
      </w:r>
      <w:r w:rsidR="001717A3" w:rsidRPr="00754B32">
        <w:rPr>
          <w:szCs w:val="22"/>
          <w:lang w:val="en-GB"/>
        </w:rPr>
        <w:t>1</w:t>
      </w:r>
      <w:r w:rsidR="00A87220" w:rsidRPr="00754B32">
        <w:rPr>
          <w:szCs w:val="22"/>
          <w:lang w:val="en-GB"/>
        </w:rPr>
        <w:t xml:space="preserve"> day on 7 occasions</w:t>
      </w:r>
      <w:r w:rsidR="00136983" w:rsidRPr="00754B32">
        <w:rPr>
          <w:szCs w:val="22"/>
          <w:lang w:val="en-GB"/>
        </w:rPr>
        <w:t xml:space="preserve"> (with 3 held </w:t>
      </w:r>
      <w:r w:rsidR="00A01AD5" w:rsidRPr="00754B32">
        <w:rPr>
          <w:szCs w:val="22"/>
          <w:lang w:val="en-GB"/>
        </w:rPr>
        <w:t>between</w:t>
      </w:r>
      <w:r w:rsidR="00136983" w:rsidRPr="00754B32">
        <w:rPr>
          <w:szCs w:val="22"/>
          <w:lang w:val="en-GB"/>
        </w:rPr>
        <w:t xml:space="preserve"> 3</w:t>
      </w:r>
      <w:r w:rsidR="00A01AD5" w:rsidRPr="00754B32">
        <w:rPr>
          <w:szCs w:val="22"/>
          <w:lang w:val="en-GB"/>
        </w:rPr>
        <w:t>-6</w:t>
      </w:r>
      <w:r w:rsidR="00136983" w:rsidRPr="00754B32">
        <w:rPr>
          <w:szCs w:val="22"/>
          <w:lang w:val="en-GB"/>
        </w:rPr>
        <w:t xml:space="preserve"> days)</w:t>
      </w:r>
      <w:r w:rsidR="00A87220" w:rsidRPr="00754B32">
        <w:rPr>
          <w:szCs w:val="22"/>
          <w:lang w:val="en-GB"/>
        </w:rPr>
        <w:t>;</w:t>
      </w:r>
    </w:p>
    <w:p w14:paraId="57067A61" w14:textId="36CA1FD7" w:rsidR="00A87220" w:rsidRPr="00754B32" w:rsidRDefault="00A87220" w:rsidP="00A87220">
      <w:pPr>
        <w:pStyle w:val="Numberedparagraph"/>
        <w:numPr>
          <w:ilvl w:val="0"/>
          <w:numId w:val="42"/>
        </w:numPr>
        <w:rPr>
          <w:szCs w:val="22"/>
          <w:lang w:val="en-GB"/>
        </w:rPr>
      </w:pPr>
      <w:r w:rsidRPr="00754B32">
        <w:rPr>
          <w:szCs w:val="22"/>
          <w:lang w:val="en-GB"/>
        </w:rPr>
        <w:t xml:space="preserve">12 year olds were held for more than </w:t>
      </w:r>
      <w:r w:rsidR="001717A3" w:rsidRPr="00754B32">
        <w:rPr>
          <w:szCs w:val="22"/>
          <w:lang w:val="en-GB"/>
        </w:rPr>
        <w:t>1</w:t>
      </w:r>
      <w:r w:rsidRPr="00754B32">
        <w:rPr>
          <w:szCs w:val="22"/>
          <w:lang w:val="en-GB"/>
        </w:rPr>
        <w:t xml:space="preserve"> day on </w:t>
      </w:r>
      <w:r w:rsidR="001717A3" w:rsidRPr="00754B32">
        <w:rPr>
          <w:szCs w:val="22"/>
          <w:lang w:val="en-GB"/>
        </w:rPr>
        <w:t>6</w:t>
      </w:r>
      <w:r w:rsidRPr="00754B32">
        <w:rPr>
          <w:szCs w:val="22"/>
          <w:lang w:val="en-GB"/>
        </w:rPr>
        <w:t xml:space="preserve"> occasions</w:t>
      </w:r>
      <w:r w:rsidR="00136983" w:rsidRPr="00754B32">
        <w:rPr>
          <w:szCs w:val="22"/>
          <w:lang w:val="en-GB"/>
        </w:rPr>
        <w:t xml:space="preserve"> (with </w:t>
      </w:r>
      <w:r w:rsidR="0072666F" w:rsidRPr="00754B32">
        <w:rPr>
          <w:szCs w:val="22"/>
          <w:lang w:val="en-GB"/>
        </w:rPr>
        <w:t xml:space="preserve">1 held for between 3-6 days and 1 held for </w:t>
      </w:r>
      <w:r w:rsidR="000F7266" w:rsidRPr="00754B32">
        <w:rPr>
          <w:szCs w:val="22"/>
          <w:lang w:val="en-GB"/>
        </w:rPr>
        <w:t>between</w:t>
      </w:r>
      <w:r w:rsidR="0072666F" w:rsidRPr="00754B32">
        <w:rPr>
          <w:szCs w:val="22"/>
          <w:lang w:val="en-GB"/>
        </w:rPr>
        <w:t xml:space="preserve"> 7</w:t>
      </w:r>
      <w:r w:rsidR="000F7266" w:rsidRPr="00754B32">
        <w:rPr>
          <w:szCs w:val="22"/>
          <w:lang w:val="en-GB"/>
        </w:rPr>
        <w:t>-14</w:t>
      </w:r>
      <w:r w:rsidR="0072666F" w:rsidRPr="00754B32">
        <w:rPr>
          <w:szCs w:val="22"/>
          <w:lang w:val="en-GB"/>
        </w:rPr>
        <w:t xml:space="preserve"> days)</w:t>
      </w:r>
      <w:r w:rsidRPr="00754B32">
        <w:rPr>
          <w:szCs w:val="22"/>
          <w:lang w:val="en-GB"/>
        </w:rPr>
        <w:t>; and</w:t>
      </w:r>
    </w:p>
    <w:p w14:paraId="0474C08C" w14:textId="65B89672" w:rsidR="00A87220" w:rsidRPr="00754B32" w:rsidRDefault="00A87220" w:rsidP="00A87220">
      <w:pPr>
        <w:pStyle w:val="Numberedparagraph"/>
        <w:numPr>
          <w:ilvl w:val="0"/>
          <w:numId w:val="42"/>
        </w:numPr>
        <w:rPr>
          <w:szCs w:val="22"/>
          <w:lang w:val="en-GB"/>
        </w:rPr>
      </w:pPr>
      <w:r w:rsidRPr="00754B32">
        <w:rPr>
          <w:szCs w:val="22"/>
          <w:lang w:val="en-GB"/>
        </w:rPr>
        <w:t xml:space="preserve">13 year olds were held for more than </w:t>
      </w:r>
      <w:r w:rsidR="001717A3" w:rsidRPr="00754B32">
        <w:rPr>
          <w:szCs w:val="22"/>
          <w:lang w:val="en-GB"/>
        </w:rPr>
        <w:t>1</w:t>
      </w:r>
      <w:r w:rsidRPr="00754B32">
        <w:rPr>
          <w:szCs w:val="22"/>
          <w:lang w:val="en-GB"/>
        </w:rPr>
        <w:t xml:space="preserve"> day on 42 occasions (with </w:t>
      </w:r>
      <w:r w:rsidR="00A01AD5" w:rsidRPr="00754B32">
        <w:rPr>
          <w:szCs w:val="22"/>
          <w:lang w:val="en-GB"/>
        </w:rPr>
        <w:t xml:space="preserve">15 held for between 3-6 days and </w:t>
      </w:r>
      <w:r w:rsidR="000F7266" w:rsidRPr="00754B32">
        <w:rPr>
          <w:szCs w:val="22"/>
          <w:lang w:val="en-GB"/>
        </w:rPr>
        <w:t>2</w:t>
      </w:r>
      <w:r w:rsidRPr="00754B32">
        <w:rPr>
          <w:szCs w:val="22"/>
          <w:lang w:val="en-GB"/>
        </w:rPr>
        <w:t xml:space="preserve"> held for </w:t>
      </w:r>
      <w:r w:rsidR="000F7266" w:rsidRPr="00754B32">
        <w:rPr>
          <w:szCs w:val="22"/>
          <w:lang w:val="en-GB"/>
        </w:rPr>
        <w:t>between</w:t>
      </w:r>
      <w:r w:rsidRPr="00754B32">
        <w:rPr>
          <w:szCs w:val="22"/>
          <w:lang w:val="en-GB"/>
        </w:rPr>
        <w:t xml:space="preserve"> 7</w:t>
      </w:r>
      <w:r w:rsidR="000F7266" w:rsidRPr="00754B32">
        <w:rPr>
          <w:szCs w:val="22"/>
          <w:lang w:val="en-GB"/>
        </w:rPr>
        <w:t>-14</w:t>
      </w:r>
      <w:r w:rsidRPr="00754B32">
        <w:rPr>
          <w:szCs w:val="22"/>
          <w:lang w:val="en-GB"/>
        </w:rPr>
        <w:t xml:space="preserve"> days).</w:t>
      </w:r>
      <w:r w:rsidR="00B45A99">
        <w:rPr>
          <w:rStyle w:val="FootnoteReference"/>
          <w:szCs w:val="22"/>
          <w:lang w:val="en-GB"/>
        </w:rPr>
        <w:footnoteReference w:id="90"/>
      </w:r>
    </w:p>
    <w:p w14:paraId="0EE1BB60" w14:textId="49E9E736" w:rsidR="00E90B55" w:rsidRDefault="00BA1F16" w:rsidP="00847F52">
      <w:pPr>
        <w:pStyle w:val="Numberedparagraph"/>
        <w:rPr>
          <w:lang w:val="en-GB"/>
        </w:rPr>
      </w:pPr>
      <w:bookmarkStart w:id="14" w:name="_Ref180055600"/>
      <w:r>
        <w:rPr>
          <w:lang w:val="en-GB"/>
        </w:rPr>
        <w:t>Throughout</w:t>
      </w:r>
      <w:r w:rsidR="00584CE9">
        <w:rPr>
          <w:lang w:val="en-GB"/>
        </w:rPr>
        <w:t xml:space="preserve"> Queensland, between</w:t>
      </w:r>
      <w:r w:rsidR="00C34AAF">
        <w:rPr>
          <w:lang w:val="en-GB"/>
        </w:rPr>
        <w:t xml:space="preserve"> 1 September 2021 to 30 September 2022</w:t>
      </w:r>
      <w:r w:rsidR="00A362CA">
        <w:rPr>
          <w:lang w:val="en-GB"/>
        </w:rPr>
        <w:t xml:space="preserve"> the following number of unique children</w:t>
      </w:r>
      <w:r w:rsidR="00D762F3">
        <w:rPr>
          <w:lang w:val="en-GB"/>
        </w:rPr>
        <w:t xml:space="preserve"> </w:t>
      </w:r>
      <w:r w:rsidR="00D762F3" w:rsidRPr="00547D54">
        <w:rPr>
          <w:b/>
          <w:bCs/>
          <w:lang w:val="en-GB"/>
        </w:rPr>
        <w:t xml:space="preserve">aged </w:t>
      </w:r>
      <w:r w:rsidR="00547D54">
        <w:rPr>
          <w:b/>
          <w:bCs/>
          <w:lang w:val="en-GB"/>
        </w:rPr>
        <w:t>from 10 to 13</w:t>
      </w:r>
      <w:r w:rsidR="00A362CA">
        <w:rPr>
          <w:lang w:val="en-GB"/>
        </w:rPr>
        <w:t xml:space="preserve"> were held in </w:t>
      </w:r>
      <w:r w:rsidR="00963E85">
        <w:rPr>
          <w:lang w:val="en-GB"/>
        </w:rPr>
        <w:t xml:space="preserve">police </w:t>
      </w:r>
      <w:r w:rsidR="002D2B73">
        <w:rPr>
          <w:lang w:val="en-GB"/>
        </w:rPr>
        <w:t>watch house</w:t>
      </w:r>
      <w:r w:rsidR="00963E85">
        <w:rPr>
          <w:lang w:val="en-GB"/>
        </w:rPr>
        <w:t>s</w:t>
      </w:r>
      <w:r w:rsidR="00D762F3">
        <w:rPr>
          <w:lang w:val="en-GB"/>
        </w:rPr>
        <w:t>:</w:t>
      </w:r>
      <w:bookmarkEnd w:id="14"/>
    </w:p>
    <w:p w14:paraId="069DEA78" w14:textId="5A561C67" w:rsidR="00D762F3" w:rsidRDefault="004B547C" w:rsidP="00D762F3">
      <w:pPr>
        <w:pStyle w:val="Bulletedlist"/>
        <w:rPr>
          <w:lang w:val="en-GB"/>
        </w:rPr>
      </w:pPr>
      <w:r>
        <w:rPr>
          <w:lang w:val="en-GB"/>
        </w:rPr>
        <w:t>less than 6 hours</w:t>
      </w:r>
      <w:r w:rsidR="00DD1D01">
        <w:rPr>
          <w:lang w:val="en-GB"/>
        </w:rPr>
        <w:t>:</w:t>
      </w:r>
      <w:r w:rsidR="003A27BD">
        <w:rPr>
          <w:lang w:val="en-GB"/>
        </w:rPr>
        <w:t xml:space="preserve"> 346</w:t>
      </w:r>
      <w:r w:rsidR="00042070">
        <w:rPr>
          <w:lang w:val="en-GB"/>
        </w:rPr>
        <w:t xml:space="preserve"> children</w:t>
      </w:r>
      <w:r w:rsidR="003A27BD">
        <w:rPr>
          <w:lang w:val="en-GB"/>
        </w:rPr>
        <w:t xml:space="preserve"> (</w:t>
      </w:r>
      <w:r w:rsidR="0009154F">
        <w:rPr>
          <w:lang w:val="en-GB"/>
        </w:rPr>
        <w:t xml:space="preserve">at least </w:t>
      </w:r>
      <w:r w:rsidR="002F47FB">
        <w:rPr>
          <w:lang w:val="en-GB"/>
        </w:rPr>
        <w:t>84% First Nations children)</w:t>
      </w:r>
    </w:p>
    <w:p w14:paraId="1447AE38" w14:textId="496A6DB9" w:rsidR="002F47FB" w:rsidRDefault="00042070" w:rsidP="00D762F3">
      <w:pPr>
        <w:pStyle w:val="Bulletedlist"/>
        <w:rPr>
          <w:lang w:val="en-GB"/>
        </w:rPr>
      </w:pPr>
      <w:r>
        <w:rPr>
          <w:lang w:val="en-GB"/>
        </w:rPr>
        <w:t>overnight</w:t>
      </w:r>
      <w:r w:rsidR="00DD1D01">
        <w:rPr>
          <w:lang w:val="en-GB"/>
        </w:rPr>
        <w:t>:</w:t>
      </w:r>
      <w:r>
        <w:rPr>
          <w:lang w:val="en-GB"/>
        </w:rPr>
        <w:t xml:space="preserve"> </w:t>
      </w:r>
      <w:r w:rsidR="00DD1D01">
        <w:rPr>
          <w:lang w:val="en-GB"/>
        </w:rPr>
        <w:t>242 children (at least 91% First Nations children)</w:t>
      </w:r>
    </w:p>
    <w:p w14:paraId="7FB075B2" w14:textId="08818C56" w:rsidR="00DD1D01" w:rsidRDefault="00DD1D01" w:rsidP="00D762F3">
      <w:pPr>
        <w:pStyle w:val="Bulletedlist"/>
        <w:rPr>
          <w:lang w:val="en-GB"/>
        </w:rPr>
      </w:pPr>
      <w:r>
        <w:rPr>
          <w:lang w:val="en-GB"/>
        </w:rPr>
        <w:t xml:space="preserve">between 2 to 6 days: </w:t>
      </w:r>
      <w:r w:rsidR="00547D54">
        <w:rPr>
          <w:lang w:val="en-GB"/>
        </w:rPr>
        <w:t>72 children (97% First Nations children)</w:t>
      </w:r>
    </w:p>
    <w:p w14:paraId="0893AE72" w14:textId="0EC2AB70" w:rsidR="00547D54" w:rsidRDefault="00547D54" w:rsidP="00D762F3">
      <w:pPr>
        <w:pStyle w:val="Bulletedlist"/>
        <w:rPr>
          <w:lang w:val="en-GB"/>
        </w:rPr>
      </w:pPr>
      <w:r>
        <w:rPr>
          <w:lang w:val="en-GB"/>
        </w:rPr>
        <w:t>more than a week: 8 children (100% First Nations children)</w:t>
      </w:r>
      <w:r w:rsidR="00CD70A0">
        <w:rPr>
          <w:lang w:val="en-GB"/>
        </w:rPr>
        <w:t>.</w:t>
      </w:r>
      <w:r w:rsidR="00CD70A0">
        <w:rPr>
          <w:rStyle w:val="FootnoteReference"/>
          <w:lang w:val="en-GB"/>
        </w:rPr>
        <w:footnoteReference w:id="91"/>
      </w:r>
    </w:p>
    <w:p w14:paraId="091427DA" w14:textId="1EBC95ED" w:rsidR="006403E2" w:rsidRDefault="00A54259" w:rsidP="00847F52">
      <w:pPr>
        <w:pStyle w:val="Numberedparagraph"/>
        <w:rPr>
          <w:lang w:val="en-GB"/>
        </w:rPr>
      </w:pPr>
      <w:r w:rsidRPr="00A54259">
        <w:rPr>
          <w:lang w:val="en-GB"/>
        </w:rPr>
        <w:t xml:space="preserve">In addition, </w:t>
      </w:r>
      <w:r w:rsidR="00D72633">
        <w:rPr>
          <w:lang w:val="en-GB"/>
        </w:rPr>
        <w:t xml:space="preserve">as highlighted elsewhere in this submission, </w:t>
      </w:r>
      <w:r w:rsidRPr="00A54259">
        <w:rPr>
          <w:lang w:val="en-GB"/>
        </w:rPr>
        <w:t xml:space="preserve">children have </w:t>
      </w:r>
      <w:r w:rsidR="00E365B1">
        <w:rPr>
          <w:lang w:val="en-GB"/>
        </w:rPr>
        <w:t>l</w:t>
      </w:r>
      <w:r w:rsidR="002A457C">
        <w:rPr>
          <w:lang w:val="en-GB"/>
        </w:rPr>
        <w:t xml:space="preserve">esser </w:t>
      </w:r>
      <w:r w:rsidR="00E365B1">
        <w:rPr>
          <w:lang w:val="en-GB"/>
        </w:rPr>
        <w:t>protections</w:t>
      </w:r>
      <w:r>
        <w:rPr>
          <w:lang w:val="en-GB"/>
        </w:rPr>
        <w:t xml:space="preserve"> than adults in </w:t>
      </w:r>
      <w:r w:rsidR="00E365B1">
        <w:rPr>
          <w:lang w:val="en-GB"/>
        </w:rPr>
        <w:t xml:space="preserve">some aspects </w:t>
      </w:r>
      <w:r w:rsidR="002A457C">
        <w:rPr>
          <w:lang w:val="en-GB"/>
        </w:rPr>
        <w:t xml:space="preserve">of </w:t>
      </w:r>
      <w:r>
        <w:rPr>
          <w:lang w:val="en-GB"/>
        </w:rPr>
        <w:t>detention</w:t>
      </w:r>
      <w:r w:rsidR="00D72633">
        <w:rPr>
          <w:lang w:val="en-GB"/>
        </w:rPr>
        <w:t xml:space="preserve">. For example, </w:t>
      </w:r>
      <w:r w:rsidR="00E365B1">
        <w:rPr>
          <w:lang w:val="en-GB"/>
        </w:rPr>
        <w:t>legislation provides a 21 day maximum for detention of adults in a</w:t>
      </w:r>
      <w:r w:rsidR="002A457C">
        <w:rPr>
          <w:lang w:val="en-GB"/>
        </w:rPr>
        <w:t xml:space="preserve"> police</w:t>
      </w:r>
      <w:r w:rsidR="00E365B1">
        <w:rPr>
          <w:lang w:val="en-GB"/>
        </w:rPr>
        <w:t xml:space="preserve"> </w:t>
      </w:r>
      <w:r w:rsidR="002D2B73">
        <w:rPr>
          <w:lang w:val="en-GB"/>
        </w:rPr>
        <w:t>watch house</w:t>
      </w:r>
      <w:r w:rsidR="00E365B1">
        <w:rPr>
          <w:lang w:val="en-GB"/>
        </w:rPr>
        <w:t xml:space="preserve">, </w:t>
      </w:r>
      <w:r w:rsidR="006B7AA6">
        <w:rPr>
          <w:lang w:val="en-GB"/>
        </w:rPr>
        <w:t xml:space="preserve">but there is no legislative maximum for children. </w:t>
      </w:r>
      <w:r w:rsidR="002A457C">
        <w:rPr>
          <w:lang w:val="en-GB"/>
        </w:rPr>
        <w:t>C</w:t>
      </w:r>
      <w:r w:rsidR="008A5A57">
        <w:rPr>
          <w:lang w:val="en-GB"/>
        </w:rPr>
        <w:t xml:space="preserve">hildren </w:t>
      </w:r>
      <w:r w:rsidR="00056BE7">
        <w:rPr>
          <w:lang w:val="en-GB"/>
        </w:rPr>
        <w:t>under separation in Queensland Youth Detention centres also have fewer legislative safeguards when separated than adults detained in Queensland prisons.</w:t>
      </w:r>
      <w:r w:rsidR="00056BE7">
        <w:rPr>
          <w:rStyle w:val="FootnoteReference"/>
          <w:lang w:val="en-GB"/>
        </w:rPr>
        <w:footnoteReference w:id="92"/>
      </w:r>
    </w:p>
    <w:p w14:paraId="73F3B1CC" w14:textId="5D448472" w:rsidR="006C2D27" w:rsidRDefault="008B39C1" w:rsidP="006C2D27">
      <w:pPr>
        <w:pStyle w:val="Heading3"/>
        <w:rPr>
          <w:lang w:val="en-US"/>
        </w:rPr>
      </w:pPr>
      <w:bookmarkStart w:id="15" w:name="_Toc180746453"/>
      <w:r w:rsidRPr="37BE00A7">
        <w:rPr>
          <w:lang w:val="en-US"/>
        </w:rPr>
        <w:t>Race</w:t>
      </w:r>
      <w:bookmarkEnd w:id="15"/>
    </w:p>
    <w:p w14:paraId="332692F3" w14:textId="3AB2DA3D" w:rsidR="00467757" w:rsidRDefault="00B80E77" w:rsidP="006C2D27">
      <w:pPr>
        <w:pStyle w:val="Numberedparagraph"/>
        <w:rPr>
          <w:lang w:val="en-US"/>
        </w:rPr>
      </w:pPr>
      <w:r>
        <w:rPr>
          <w:lang w:val="en-US"/>
        </w:rPr>
        <w:t xml:space="preserve">Aboriginal and Torres Strait Islander children make up </w:t>
      </w:r>
      <w:r w:rsidR="00FF4312">
        <w:rPr>
          <w:lang w:val="en-US"/>
        </w:rPr>
        <w:t>approximately 8.2% of children and young people aged 10-17 in Queensland.</w:t>
      </w:r>
      <w:r w:rsidR="00C264F1">
        <w:rPr>
          <w:rStyle w:val="FootnoteReference"/>
          <w:lang w:val="en-US"/>
        </w:rPr>
        <w:footnoteReference w:id="93"/>
      </w:r>
      <w:r w:rsidR="00FF4312">
        <w:rPr>
          <w:lang w:val="en-US"/>
        </w:rPr>
        <w:t xml:space="preserve"> However, i</w:t>
      </w:r>
      <w:r w:rsidR="00BA4938">
        <w:rPr>
          <w:lang w:val="en-US"/>
        </w:rPr>
        <w:t xml:space="preserve">n </w:t>
      </w:r>
      <w:r w:rsidR="00C940C7">
        <w:rPr>
          <w:lang w:val="en-US"/>
        </w:rPr>
        <w:t xml:space="preserve">the first half of 2023, Aboriginal and Torres Strait Islander </w:t>
      </w:r>
      <w:r w:rsidR="00DE2B8C">
        <w:rPr>
          <w:lang w:val="en-US"/>
        </w:rPr>
        <w:t xml:space="preserve">children </w:t>
      </w:r>
      <w:r w:rsidR="00467757">
        <w:rPr>
          <w:lang w:val="en-US"/>
        </w:rPr>
        <w:t>made up:</w:t>
      </w:r>
    </w:p>
    <w:p w14:paraId="2E74454F" w14:textId="1C419A83" w:rsidR="00C84466" w:rsidRDefault="00C84466" w:rsidP="00467757">
      <w:pPr>
        <w:pStyle w:val="Bulletedlist"/>
        <w:rPr>
          <w:lang w:val="en-US"/>
        </w:rPr>
      </w:pPr>
      <w:r>
        <w:rPr>
          <w:lang w:val="en-US"/>
        </w:rPr>
        <w:t xml:space="preserve">66% of children detained in </w:t>
      </w:r>
      <w:r w:rsidR="002D2B73">
        <w:rPr>
          <w:lang w:val="en-US"/>
        </w:rPr>
        <w:t>watch house</w:t>
      </w:r>
      <w:r>
        <w:rPr>
          <w:lang w:val="en-US"/>
        </w:rPr>
        <w:t xml:space="preserve">s </w:t>
      </w:r>
      <w:r w:rsidR="00D86135">
        <w:rPr>
          <w:lang w:val="en-US"/>
        </w:rPr>
        <w:t>for 3 to 7 days</w:t>
      </w:r>
    </w:p>
    <w:p w14:paraId="43821D2E" w14:textId="4B321436" w:rsidR="00AB6D9D" w:rsidRDefault="00AB6D9D" w:rsidP="00467757">
      <w:pPr>
        <w:pStyle w:val="Bulletedlist"/>
        <w:rPr>
          <w:lang w:val="en-US"/>
        </w:rPr>
      </w:pPr>
      <w:r>
        <w:rPr>
          <w:lang w:val="en-US"/>
        </w:rPr>
        <w:t xml:space="preserve">62% of children detained in </w:t>
      </w:r>
      <w:r w:rsidR="002D2B73">
        <w:rPr>
          <w:lang w:val="en-US"/>
        </w:rPr>
        <w:t>watch house</w:t>
      </w:r>
      <w:r>
        <w:rPr>
          <w:lang w:val="en-US"/>
        </w:rPr>
        <w:t>s for 8 to 14 days</w:t>
      </w:r>
    </w:p>
    <w:p w14:paraId="48CA4B1E" w14:textId="7E1F6974" w:rsidR="007A3046" w:rsidRDefault="00D45676" w:rsidP="00467757">
      <w:pPr>
        <w:pStyle w:val="Bulletedlist"/>
        <w:rPr>
          <w:lang w:val="en-US"/>
        </w:rPr>
      </w:pPr>
      <w:r>
        <w:rPr>
          <w:lang w:val="en-US"/>
        </w:rPr>
        <w:t>63</w:t>
      </w:r>
      <w:r w:rsidR="00AB6D9D">
        <w:rPr>
          <w:lang w:val="en-US"/>
        </w:rPr>
        <w:t xml:space="preserve">% of children detained in </w:t>
      </w:r>
      <w:r w:rsidR="002D2B73">
        <w:rPr>
          <w:lang w:val="en-US"/>
        </w:rPr>
        <w:t>watch house</w:t>
      </w:r>
      <w:r w:rsidR="00AB6D9D">
        <w:rPr>
          <w:lang w:val="en-US"/>
        </w:rPr>
        <w:t>s for more than 15 days.</w:t>
      </w:r>
      <w:r w:rsidR="00DD7286">
        <w:rPr>
          <w:rStyle w:val="FootnoteReference"/>
          <w:lang w:val="en-US"/>
        </w:rPr>
        <w:footnoteReference w:id="94"/>
      </w:r>
      <w:r w:rsidR="007A3046">
        <w:rPr>
          <w:lang w:val="en-US"/>
        </w:rPr>
        <w:t xml:space="preserve"> </w:t>
      </w:r>
    </w:p>
    <w:p w14:paraId="6A4F159D" w14:textId="3BE61DAA" w:rsidR="0063463B" w:rsidRPr="0063463B" w:rsidRDefault="00E95B10" w:rsidP="00146296">
      <w:pPr>
        <w:pStyle w:val="Numberedparagraph"/>
        <w:rPr>
          <w:i/>
          <w:iCs/>
          <w:lang w:val="en-US"/>
        </w:rPr>
      </w:pPr>
      <w:r>
        <w:rPr>
          <w:lang w:val="en-US"/>
        </w:rPr>
        <w:t xml:space="preserve">The Inspector of Detention Services </w:t>
      </w:r>
      <w:r w:rsidR="00AA3AF6">
        <w:rPr>
          <w:lang w:val="en-US"/>
        </w:rPr>
        <w:t xml:space="preserve">report of Cairns </w:t>
      </w:r>
      <w:r w:rsidR="003E1D56">
        <w:rPr>
          <w:lang w:val="en-US"/>
        </w:rPr>
        <w:t xml:space="preserve">and </w:t>
      </w:r>
      <w:proofErr w:type="spellStart"/>
      <w:r w:rsidR="003E1D56">
        <w:rPr>
          <w:lang w:val="en-US"/>
        </w:rPr>
        <w:t>Murgon</w:t>
      </w:r>
      <w:proofErr w:type="spellEnd"/>
      <w:r w:rsidR="00AA3AF6">
        <w:rPr>
          <w:lang w:val="en-US"/>
        </w:rPr>
        <w:t xml:space="preserve"> </w:t>
      </w:r>
      <w:r w:rsidR="002D2B73">
        <w:rPr>
          <w:lang w:val="en-US"/>
        </w:rPr>
        <w:t>Watch house</w:t>
      </w:r>
      <w:r w:rsidR="00AA3AF6">
        <w:rPr>
          <w:lang w:val="en-US"/>
        </w:rPr>
        <w:t xml:space="preserve"> reported that, </w:t>
      </w:r>
      <w:r w:rsidR="0063463B">
        <w:rPr>
          <w:lang w:val="en-US"/>
        </w:rPr>
        <w:t xml:space="preserve">for admissions to the </w:t>
      </w:r>
      <w:r w:rsidR="003E1D56">
        <w:rPr>
          <w:lang w:val="en-US"/>
        </w:rPr>
        <w:t>Cairns</w:t>
      </w:r>
      <w:r w:rsidR="0063463B">
        <w:rPr>
          <w:lang w:val="en-US"/>
        </w:rPr>
        <w:t xml:space="preserve"> </w:t>
      </w:r>
      <w:r w:rsidR="002D2B73">
        <w:rPr>
          <w:lang w:val="en-US"/>
        </w:rPr>
        <w:t>watch house</w:t>
      </w:r>
      <w:r w:rsidR="0063463B">
        <w:rPr>
          <w:lang w:val="en-US"/>
        </w:rPr>
        <w:t xml:space="preserve"> during the period of its review</w:t>
      </w:r>
      <w:r w:rsidR="006C0503">
        <w:rPr>
          <w:lang w:val="en-US"/>
        </w:rPr>
        <w:t xml:space="preserve"> (1 January 2023 to 31 January 2024)</w:t>
      </w:r>
      <w:r w:rsidR="0063463B">
        <w:rPr>
          <w:lang w:val="en-US"/>
        </w:rPr>
        <w:t>:</w:t>
      </w:r>
    </w:p>
    <w:p w14:paraId="0F87B923" w14:textId="19D60DB6" w:rsidR="0063463B" w:rsidRPr="0063463B" w:rsidRDefault="0063463B" w:rsidP="00362FEB">
      <w:pPr>
        <w:pStyle w:val="Bulletedlist"/>
        <w:rPr>
          <w:i/>
          <w:iCs/>
          <w:lang w:val="en-US"/>
        </w:rPr>
      </w:pPr>
      <w:r>
        <w:rPr>
          <w:lang w:val="en-US"/>
        </w:rPr>
        <w:lastRenderedPageBreak/>
        <w:t xml:space="preserve">87 </w:t>
      </w:r>
      <w:r w:rsidR="00A20D8C">
        <w:rPr>
          <w:lang w:val="en-US"/>
        </w:rPr>
        <w:t xml:space="preserve">of </w:t>
      </w:r>
      <w:r>
        <w:rPr>
          <w:lang w:val="en-US"/>
        </w:rPr>
        <w:t xml:space="preserve">the </w:t>
      </w:r>
      <w:r w:rsidR="00146296">
        <w:rPr>
          <w:lang w:val="en-US"/>
        </w:rPr>
        <w:t>90 admissions of girls were Aboriginal and/or Torres Strait Islander children</w:t>
      </w:r>
      <w:r w:rsidR="00227818">
        <w:rPr>
          <w:lang w:val="en-US"/>
        </w:rPr>
        <w:t xml:space="preserve"> (97%)</w:t>
      </w:r>
    </w:p>
    <w:p w14:paraId="16D8019C" w14:textId="7193441F" w:rsidR="00E95B10" w:rsidRDefault="00146296" w:rsidP="00574EFB">
      <w:pPr>
        <w:pStyle w:val="Bulletedlist"/>
        <w:rPr>
          <w:lang w:val="en-US"/>
        </w:rPr>
      </w:pPr>
      <w:r w:rsidRPr="00227818">
        <w:t>272 of</w:t>
      </w:r>
      <w:r w:rsidR="00227818">
        <w:t xml:space="preserve"> the</w:t>
      </w:r>
      <w:r w:rsidRPr="00227818">
        <w:t xml:space="preserve"> 292 admissions </w:t>
      </w:r>
      <w:r w:rsidR="00362FEB" w:rsidRPr="00227818">
        <w:t>of boys</w:t>
      </w:r>
      <w:r w:rsidRPr="00227818">
        <w:t xml:space="preserve"> were Aboriginal and/or Torres Strait Islander children</w:t>
      </w:r>
      <w:r w:rsidR="00227818">
        <w:t xml:space="preserve"> (</w:t>
      </w:r>
      <w:r w:rsidR="00AD25E8">
        <w:t>93%).</w:t>
      </w:r>
      <w:r w:rsidR="00303F5C">
        <w:rPr>
          <w:rStyle w:val="FootnoteReference"/>
        </w:rPr>
        <w:footnoteReference w:id="95"/>
      </w:r>
    </w:p>
    <w:p w14:paraId="50724997" w14:textId="011DE41B" w:rsidR="00731141" w:rsidRDefault="00731141" w:rsidP="006C2D27">
      <w:pPr>
        <w:pStyle w:val="Numberedparagraph"/>
        <w:rPr>
          <w:lang w:val="en-US"/>
        </w:rPr>
      </w:pPr>
      <w:r>
        <w:rPr>
          <w:lang w:val="en-US"/>
        </w:rPr>
        <w:t xml:space="preserve">For </w:t>
      </w:r>
      <w:proofErr w:type="spellStart"/>
      <w:r>
        <w:rPr>
          <w:lang w:val="en-US"/>
        </w:rPr>
        <w:t>Murgon</w:t>
      </w:r>
      <w:proofErr w:type="spellEnd"/>
      <w:r>
        <w:rPr>
          <w:lang w:val="en-US"/>
        </w:rPr>
        <w:t xml:space="preserve"> </w:t>
      </w:r>
      <w:r w:rsidR="002D2B73">
        <w:rPr>
          <w:lang w:val="en-US"/>
        </w:rPr>
        <w:t>watch house</w:t>
      </w:r>
      <w:r>
        <w:rPr>
          <w:lang w:val="en-US"/>
        </w:rPr>
        <w:t>, all but one of the 32 admissions of children</w:t>
      </w:r>
      <w:r w:rsidR="008419F2">
        <w:rPr>
          <w:lang w:val="en-US"/>
        </w:rPr>
        <w:t xml:space="preserve"> for more than 24 hours</w:t>
      </w:r>
      <w:r>
        <w:rPr>
          <w:lang w:val="en-US"/>
        </w:rPr>
        <w:t xml:space="preserve"> during the period of its review (1 January to 31 January 2023) were Aboriginal or Torres Strait Islander children.</w:t>
      </w:r>
      <w:r w:rsidR="008516A9">
        <w:rPr>
          <w:rStyle w:val="FootnoteReference"/>
          <w:lang w:val="en-US"/>
        </w:rPr>
        <w:footnoteReference w:id="96"/>
      </w:r>
      <w:r w:rsidR="00CA2302">
        <w:rPr>
          <w:lang w:val="en-US"/>
        </w:rPr>
        <w:t xml:space="preserve"> </w:t>
      </w:r>
    </w:p>
    <w:p w14:paraId="53A620D9" w14:textId="11D67CC7" w:rsidR="00CA2302" w:rsidRDefault="00CA2302" w:rsidP="006C2D27">
      <w:pPr>
        <w:pStyle w:val="Numberedparagraph"/>
        <w:rPr>
          <w:lang w:val="en-US"/>
        </w:rPr>
      </w:pPr>
      <w:r>
        <w:rPr>
          <w:lang w:val="en-US"/>
        </w:rPr>
        <w:t xml:space="preserve">The statistics referred to </w:t>
      </w:r>
      <w:proofErr w:type="spellStart"/>
      <w:r w:rsidR="00482E9C">
        <w:rPr>
          <w:lang w:val="en-US"/>
        </w:rPr>
        <w:t>at</w:t>
      </w:r>
      <w:proofErr w:type="spellEnd"/>
      <w:r w:rsidR="00482E9C">
        <w:rPr>
          <w:lang w:val="en-US"/>
        </w:rPr>
        <w:t xml:space="preserve"> paragraph </w:t>
      </w:r>
      <w:r w:rsidR="00302F98">
        <w:rPr>
          <w:lang w:val="en-US"/>
        </w:rPr>
        <w:t>[</w:t>
      </w:r>
      <w:r w:rsidR="00534EC5">
        <w:rPr>
          <w:lang w:val="en-US"/>
        </w:rPr>
        <w:fldChar w:fldCharType="begin"/>
      </w:r>
      <w:r w:rsidR="00534EC5">
        <w:rPr>
          <w:lang w:val="en-US"/>
        </w:rPr>
        <w:instrText xml:space="preserve"> REF _Ref180055600 \r \h </w:instrText>
      </w:r>
      <w:r w:rsidR="00534EC5">
        <w:rPr>
          <w:lang w:val="en-US"/>
        </w:rPr>
      </w:r>
      <w:r w:rsidR="00534EC5">
        <w:rPr>
          <w:lang w:val="en-US"/>
        </w:rPr>
        <w:fldChar w:fldCharType="separate"/>
      </w:r>
      <w:r w:rsidR="00AF3971">
        <w:rPr>
          <w:lang w:val="en-US"/>
        </w:rPr>
        <w:t>54</w:t>
      </w:r>
      <w:r w:rsidR="00534EC5">
        <w:rPr>
          <w:lang w:val="en-US"/>
        </w:rPr>
        <w:fldChar w:fldCharType="end"/>
      </w:r>
      <w:r w:rsidR="00302F98">
        <w:rPr>
          <w:lang w:val="en-US"/>
        </w:rPr>
        <w:fldChar w:fldCharType="begin"/>
      </w:r>
      <w:r w:rsidR="00302F98">
        <w:rPr>
          <w:lang w:val="en-US"/>
        </w:rPr>
        <w:fldChar w:fldCharType="separate"/>
      </w:r>
      <w:r w:rsidR="0059330F">
        <w:rPr>
          <w:lang w:val="en-US"/>
        </w:rPr>
        <w:t>54</w:t>
      </w:r>
      <w:r w:rsidR="00302F98">
        <w:rPr>
          <w:lang w:val="en-US"/>
        </w:rPr>
        <w:fldChar w:fldCharType="end"/>
      </w:r>
      <w:r w:rsidR="00302F98">
        <w:rPr>
          <w:lang w:val="en-US"/>
        </w:rPr>
        <w:t xml:space="preserve">] also demonstrate the gross over-representation of First Nations children among children aged </w:t>
      </w:r>
      <w:r w:rsidR="003169E0">
        <w:rPr>
          <w:lang w:val="en-US"/>
        </w:rPr>
        <w:t xml:space="preserve">10 to 13 in police </w:t>
      </w:r>
      <w:r w:rsidR="002D2B73">
        <w:rPr>
          <w:lang w:val="en-US"/>
        </w:rPr>
        <w:t>watch house</w:t>
      </w:r>
      <w:r w:rsidR="003169E0">
        <w:rPr>
          <w:lang w:val="en-US"/>
        </w:rPr>
        <w:t xml:space="preserve">s in Queensland, </w:t>
      </w:r>
      <w:r w:rsidR="00C6588D">
        <w:rPr>
          <w:lang w:val="en-US"/>
        </w:rPr>
        <w:t xml:space="preserve">starting at </w:t>
      </w:r>
      <w:r w:rsidR="002A5D6D">
        <w:rPr>
          <w:lang w:val="en-US"/>
        </w:rPr>
        <w:t>84</w:t>
      </w:r>
      <w:r w:rsidR="00A63596">
        <w:rPr>
          <w:lang w:val="en-US"/>
        </w:rPr>
        <w:t xml:space="preserve">% for stays less than six hours and increasing </w:t>
      </w:r>
      <w:r w:rsidR="00D80B68">
        <w:rPr>
          <w:lang w:val="en-US"/>
        </w:rPr>
        <w:t>over time.</w:t>
      </w:r>
      <w:r w:rsidR="00493496">
        <w:rPr>
          <w:rStyle w:val="FootnoteReference"/>
          <w:lang w:val="en-US"/>
        </w:rPr>
        <w:footnoteReference w:id="97"/>
      </w:r>
      <w:r w:rsidR="004D653B">
        <w:rPr>
          <w:lang w:val="en-US"/>
        </w:rPr>
        <w:t xml:space="preserve"> </w:t>
      </w:r>
    </w:p>
    <w:p w14:paraId="66F8E322" w14:textId="0783D790" w:rsidR="006C2D27" w:rsidRDefault="00574EFB" w:rsidP="006C2D27">
      <w:pPr>
        <w:pStyle w:val="Numberedparagraph"/>
        <w:rPr>
          <w:lang w:val="en-US"/>
        </w:rPr>
      </w:pPr>
      <w:r>
        <w:rPr>
          <w:lang w:val="en-US"/>
        </w:rPr>
        <w:t>More broadly, f</w:t>
      </w:r>
      <w:r w:rsidR="006C2D27">
        <w:rPr>
          <w:lang w:val="en-US"/>
        </w:rPr>
        <w:t xml:space="preserve">or </w:t>
      </w:r>
      <w:r w:rsidR="00130FC5">
        <w:rPr>
          <w:lang w:val="en-US"/>
        </w:rPr>
        <w:t>2022–23</w:t>
      </w:r>
      <w:r w:rsidR="006C2D27">
        <w:rPr>
          <w:lang w:val="en-US"/>
        </w:rPr>
        <w:t>:</w:t>
      </w:r>
      <w:r w:rsidR="00130FC5">
        <w:rPr>
          <w:lang w:val="en-US"/>
        </w:rPr>
        <w:t xml:space="preserve"> </w:t>
      </w:r>
    </w:p>
    <w:p w14:paraId="752E6B49" w14:textId="6035DD55" w:rsidR="006C2D27" w:rsidRDefault="006C2D27" w:rsidP="006C2D27">
      <w:pPr>
        <w:pStyle w:val="Numberedparagraph"/>
        <w:numPr>
          <w:ilvl w:val="1"/>
          <w:numId w:val="13"/>
        </w:numPr>
        <w:rPr>
          <w:lang w:val="en-US"/>
        </w:rPr>
      </w:pPr>
      <w:r>
        <w:rPr>
          <w:lang w:val="en-US"/>
        </w:rPr>
        <w:t>First Nations children accounted for 53</w:t>
      </w:r>
      <w:r w:rsidR="000A5198">
        <w:rPr>
          <w:lang w:val="en-US"/>
        </w:rPr>
        <w:t>%</w:t>
      </w:r>
      <w:r>
        <w:rPr>
          <w:lang w:val="en-US"/>
        </w:rPr>
        <w:t xml:space="preserve"> of all distinct young people convicted, and are represented at a higher rate in the 10 to 14 year age group</w:t>
      </w:r>
      <w:r w:rsidR="00534EC5">
        <w:rPr>
          <w:lang w:val="en-US"/>
        </w:rPr>
        <w:t>.</w:t>
      </w:r>
      <w:r>
        <w:rPr>
          <w:rStyle w:val="FootnoteReference"/>
          <w:lang w:val="en-US"/>
        </w:rPr>
        <w:footnoteReference w:id="98"/>
      </w:r>
    </w:p>
    <w:p w14:paraId="10D6CADB" w14:textId="414CA015" w:rsidR="006C2D27" w:rsidRDefault="006C2D27" w:rsidP="006C2D27">
      <w:pPr>
        <w:pStyle w:val="Numberedparagraph"/>
        <w:numPr>
          <w:ilvl w:val="1"/>
          <w:numId w:val="13"/>
        </w:numPr>
        <w:rPr>
          <w:lang w:val="en-US"/>
        </w:rPr>
      </w:pPr>
      <w:r>
        <w:rPr>
          <w:lang w:val="en-US"/>
        </w:rPr>
        <w:t>First Nations children account for between 65 and 71</w:t>
      </w:r>
      <w:r w:rsidR="004B4767">
        <w:rPr>
          <w:lang w:val="en-US"/>
        </w:rPr>
        <w:t xml:space="preserve">% </w:t>
      </w:r>
      <w:r>
        <w:rPr>
          <w:lang w:val="en-US"/>
        </w:rPr>
        <w:t>of children in youth detention on an average day over the last 4 years,</w:t>
      </w:r>
      <w:r>
        <w:rPr>
          <w:rStyle w:val="FootnoteReference"/>
          <w:lang w:val="en-US"/>
        </w:rPr>
        <w:footnoteReference w:id="99"/>
      </w:r>
      <w:r>
        <w:rPr>
          <w:lang w:val="en-US"/>
        </w:rPr>
        <w:t xml:space="preserve"> and in </w:t>
      </w:r>
      <w:r w:rsidR="00130FC5">
        <w:rPr>
          <w:lang w:val="en-US"/>
        </w:rPr>
        <w:t>2021–22</w:t>
      </w:r>
      <w:r>
        <w:rPr>
          <w:lang w:val="en-US"/>
        </w:rPr>
        <w:t xml:space="preserve"> represented 87% of all children aged 10 to 13 years old in detention </w:t>
      </w:r>
      <w:proofErr w:type="spellStart"/>
      <w:r>
        <w:rPr>
          <w:lang w:val="en-US"/>
        </w:rPr>
        <w:t>centres</w:t>
      </w:r>
      <w:proofErr w:type="spellEnd"/>
      <w:r>
        <w:rPr>
          <w:lang w:val="en-US"/>
        </w:rPr>
        <w:t xml:space="preserve"> on an average day.</w:t>
      </w:r>
      <w:r>
        <w:rPr>
          <w:rStyle w:val="FootnoteReference"/>
          <w:lang w:val="en-US"/>
        </w:rPr>
        <w:footnoteReference w:id="100"/>
      </w:r>
    </w:p>
    <w:p w14:paraId="1B30E670" w14:textId="5A7B08F1" w:rsidR="006C2D27" w:rsidRDefault="006C2D27" w:rsidP="006C2D27">
      <w:pPr>
        <w:pStyle w:val="Numberedparagraph"/>
        <w:numPr>
          <w:ilvl w:val="1"/>
          <w:numId w:val="13"/>
        </w:numPr>
        <w:rPr>
          <w:lang w:val="en-US"/>
        </w:rPr>
      </w:pPr>
      <w:r>
        <w:rPr>
          <w:lang w:val="en-US"/>
        </w:rPr>
        <w:t>The average number of First Nations children in detention in Queensland is 45.1 per 10,000 young people in the population (an increase from 41.6 per 10,000 persons in 2021</w:t>
      </w:r>
      <w:r w:rsidR="00136766">
        <w:rPr>
          <w:lang w:val="en-US"/>
        </w:rPr>
        <w:t>–</w:t>
      </w:r>
      <w:r>
        <w:rPr>
          <w:lang w:val="en-US"/>
        </w:rPr>
        <w:t>22), where the national daily average in 202</w:t>
      </w:r>
      <w:r w:rsidR="00136766">
        <w:rPr>
          <w:lang w:val="en-US"/>
        </w:rPr>
        <w:t>1–</w:t>
      </w:r>
      <w:r>
        <w:rPr>
          <w:lang w:val="en-US"/>
        </w:rPr>
        <w:t>22 was 28.3 per 10,000 persons.</w:t>
      </w:r>
      <w:r>
        <w:rPr>
          <w:rStyle w:val="FootnoteReference"/>
          <w:lang w:val="en-US"/>
        </w:rPr>
        <w:footnoteReference w:id="101"/>
      </w:r>
      <w:r>
        <w:rPr>
          <w:lang w:val="en-US"/>
        </w:rPr>
        <w:t xml:space="preserve"> </w:t>
      </w:r>
    </w:p>
    <w:p w14:paraId="511F8F97" w14:textId="7E74E750" w:rsidR="00B45391" w:rsidRDefault="000B5C14" w:rsidP="008F18AC">
      <w:pPr>
        <w:pStyle w:val="Numberedparagraph"/>
        <w:rPr>
          <w:lang w:val="en-US"/>
        </w:rPr>
      </w:pPr>
      <w:r>
        <w:rPr>
          <w:lang w:val="en-US"/>
        </w:rPr>
        <w:t>R</w:t>
      </w:r>
      <w:r w:rsidR="00484A7D">
        <w:rPr>
          <w:lang w:val="en-US"/>
        </w:rPr>
        <w:t xml:space="preserve">oot causes of </w:t>
      </w:r>
      <w:r>
        <w:rPr>
          <w:lang w:val="en-US"/>
        </w:rPr>
        <w:t xml:space="preserve">First Nations people’s </w:t>
      </w:r>
      <w:r w:rsidR="00484A7D">
        <w:rPr>
          <w:lang w:val="en-US"/>
        </w:rPr>
        <w:t xml:space="preserve">contact with the justice system are inextricably linked with dispossession, </w:t>
      </w:r>
      <w:proofErr w:type="spellStart"/>
      <w:r w:rsidR="008428A7">
        <w:rPr>
          <w:lang w:val="en-US"/>
        </w:rPr>
        <w:t>colonisation</w:t>
      </w:r>
      <w:proofErr w:type="spellEnd"/>
      <w:r w:rsidR="00484A7D">
        <w:rPr>
          <w:lang w:val="en-US"/>
        </w:rPr>
        <w:t>, discrimination and experiences of institutional racism.</w:t>
      </w:r>
      <w:r w:rsidR="00F53C26">
        <w:rPr>
          <w:rStyle w:val="FootnoteReference"/>
          <w:lang w:val="en-US"/>
        </w:rPr>
        <w:footnoteReference w:id="102"/>
      </w:r>
      <w:r w:rsidR="00746D28">
        <w:rPr>
          <w:lang w:val="en-US"/>
        </w:rPr>
        <w:t xml:space="preserve"> </w:t>
      </w:r>
      <w:r w:rsidR="00537091">
        <w:rPr>
          <w:lang w:val="en-US"/>
        </w:rPr>
        <w:t>In addition, there is</w:t>
      </w:r>
      <w:r w:rsidR="00143C24">
        <w:rPr>
          <w:lang w:val="en-US"/>
        </w:rPr>
        <w:t xml:space="preserve"> </w:t>
      </w:r>
      <w:r w:rsidR="00781183">
        <w:rPr>
          <w:lang w:val="en-US"/>
        </w:rPr>
        <w:t xml:space="preserve">clear </w:t>
      </w:r>
      <w:r w:rsidR="00143C24">
        <w:rPr>
          <w:lang w:val="en-US"/>
        </w:rPr>
        <w:t xml:space="preserve">evidence of institutional racism within </w:t>
      </w:r>
      <w:r w:rsidR="00F87448">
        <w:rPr>
          <w:lang w:val="en-US"/>
        </w:rPr>
        <w:t xml:space="preserve">Australian </w:t>
      </w:r>
      <w:r w:rsidR="009263DE">
        <w:rPr>
          <w:lang w:val="en-US"/>
        </w:rPr>
        <w:t>criminal justice system</w:t>
      </w:r>
      <w:r w:rsidR="00F87448">
        <w:rPr>
          <w:lang w:val="en-US"/>
        </w:rPr>
        <w:t>s</w:t>
      </w:r>
      <w:r w:rsidR="00A87E39">
        <w:rPr>
          <w:lang w:val="en-US"/>
        </w:rPr>
        <w:t xml:space="preserve">, with </w:t>
      </w:r>
      <w:r w:rsidR="00F87448">
        <w:rPr>
          <w:lang w:val="en-US"/>
        </w:rPr>
        <w:t xml:space="preserve">over-representation of Aboriginal and Torres Strait Islander people increasing at every </w:t>
      </w:r>
      <w:r w:rsidR="00F87448">
        <w:rPr>
          <w:lang w:val="en-US"/>
        </w:rPr>
        <w:lastRenderedPageBreak/>
        <w:t>stage of the criminal justice process</w:t>
      </w:r>
      <w:r w:rsidR="00781183">
        <w:rPr>
          <w:lang w:val="en-US"/>
        </w:rPr>
        <w:t>.</w:t>
      </w:r>
      <w:r w:rsidR="00781183">
        <w:rPr>
          <w:rStyle w:val="FootnoteReference"/>
          <w:lang w:val="en-US"/>
        </w:rPr>
        <w:footnoteReference w:id="103"/>
      </w:r>
      <w:r w:rsidR="00971514">
        <w:rPr>
          <w:lang w:val="en-US"/>
        </w:rPr>
        <w:t xml:space="preserve"> </w:t>
      </w:r>
      <w:r w:rsidR="00567FB8">
        <w:rPr>
          <w:lang w:val="en-US"/>
        </w:rPr>
        <w:t>In relation to children, the Australian Law Reform Commission found</w:t>
      </w:r>
      <w:r w:rsidR="0042476D">
        <w:rPr>
          <w:lang w:val="en-US"/>
        </w:rPr>
        <w:t xml:space="preserve"> that </w:t>
      </w:r>
      <w:r w:rsidR="00241C79">
        <w:rPr>
          <w:lang w:val="en-US"/>
        </w:rPr>
        <w:t>First Nations</w:t>
      </w:r>
      <w:r w:rsidR="0042476D">
        <w:rPr>
          <w:lang w:val="en-US"/>
        </w:rPr>
        <w:t xml:space="preserve"> children are more likely to be arrested than non-Indigenous children, ‘even after factors such as the offence, offending history and background factors are taken into account’.</w:t>
      </w:r>
      <w:r w:rsidR="00BE1FBD">
        <w:rPr>
          <w:rStyle w:val="FootnoteReference"/>
          <w:lang w:val="en-US"/>
        </w:rPr>
        <w:footnoteReference w:id="104"/>
      </w:r>
      <w:r w:rsidR="00187103">
        <w:rPr>
          <w:lang w:val="en-US"/>
        </w:rPr>
        <w:t xml:space="preserve"> </w:t>
      </w:r>
      <w:r w:rsidR="008366E3">
        <w:rPr>
          <w:lang w:val="en-US"/>
        </w:rPr>
        <w:t xml:space="preserve">This is consistent with </w:t>
      </w:r>
      <w:r w:rsidR="00593947">
        <w:rPr>
          <w:lang w:val="en-US"/>
        </w:rPr>
        <w:t>data reported by</w:t>
      </w:r>
      <w:r w:rsidR="00294E57">
        <w:rPr>
          <w:lang w:val="en-US"/>
        </w:rPr>
        <w:t xml:space="preserve"> the </w:t>
      </w:r>
      <w:r w:rsidR="007A4389">
        <w:rPr>
          <w:lang w:val="en-US"/>
        </w:rPr>
        <w:t>Queensland Family and Child Commission</w:t>
      </w:r>
      <w:r w:rsidR="00593947">
        <w:rPr>
          <w:lang w:val="en-US"/>
        </w:rPr>
        <w:t xml:space="preserve"> in 2023</w:t>
      </w:r>
      <w:r w:rsidR="008366E3">
        <w:rPr>
          <w:lang w:val="en-US"/>
        </w:rPr>
        <w:t xml:space="preserve">, </w:t>
      </w:r>
      <w:r w:rsidR="00F62C3E">
        <w:rPr>
          <w:lang w:val="en-US"/>
        </w:rPr>
        <w:t xml:space="preserve">showing </w:t>
      </w:r>
      <w:r w:rsidR="007A4389">
        <w:rPr>
          <w:lang w:val="en-US"/>
        </w:rPr>
        <w:t xml:space="preserve">that </w:t>
      </w:r>
      <w:r w:rsidR="00241C79">
        <w:rPr>
          <w:lang w:val="en-US"/>
        </w:rPr>
        <w:t>First Nations children</w:t>
      </w:r>
      <w:r w:rsidR="00A47CE3">
        <w:rPr>
          <w:lang w:val="en-US"/>
        </w:rPr>
        <w:t xml:space="preserve"> in Queensland</w:t>
      </w:r>
      <w:r w:rsidR="00241C79">
        <w:rPr>
          <w:lang w:val="en-US"/>
        </w:rPr>
        <w:t xml:space="preserve"> ‘are less likely to receive a diversion decision, and less likely to be granted bail’, as well as being disproportionately exposed to the </w:t>
      </w:r>
      <w:r w:rsidR="002D2B73">
        <w:rPr>
          <w:lang w:val="en-US"/>
        </w:rPr>
        <w:t>watch house</w:t>
      </w:r>
      <w:r w:rsidR="00241C79">
        <w:rPr>
          <w:lang w:val="en-US"/>
        </w:rPr>
        <w:t xml:space="preserve"> system.</w:t>
      </w:r>
      <w:r w:rsidR="00E51C78">
        <w:rPr>
          <w:rStyle w:val="FootnoteReference"/>
          <w:lang w:val="en-US"/>
        </w:rPr>
        <w:footnoteReference w:id="105"/>
      </w:r>
    </w:p>
    <w:p w14:paraId="50A94527" w14:textId="77777777" w:rsidR="006C2D27" w:rsidRDefault="006C2D27" w:rsidP="006C2D27">
      <w:pPr>
        <w:pStyle w:val="Heading3"/>
        <w:rPr>
          <w:lang w:val="en-US"/>
        </w:rPr>
      </w:pPr>
      <w:bookmarkStart w:id="16" w:name="_Toc180746454"/>
      <w:r w:rsidRPr="37BE00A7">
        <w:rPr>
          <w:lang w:val="en-US"/>
        </w:rPr>
        <w:t>Disability</w:t>
      </w:r>
      <w:bookmarkEnd w:id="16"/>
    </w:p>
    <w:p w14:paraId="27856781" w14:textId="693FF3CF" w:rsidR="007B2DA0" w:rsidRPr="00353A45" w:rsidRDefault="00567637" w:rsidP="00353A45">
      <w:pPr>
        <w:pStyle w:val="Numberedparagraph"/>
        <w:rPr>
          <w:lang w:val="en-GB"/>
        </w:rPr>
      </w:pPr>
      <w:r>
        <w:rPr>
          <w:lang w:val="en-GB"/>
        </w:rPr>
        <w:t xml:space="preserve">Children </w:t>
      </w:r>
      <w:r w:rsidR="00153F82">
        <w:rPr>
          <w:lang w:val="en-GB"/>
        </w:rPr>
        <w:t xml:space="preserve">with </w:t>
      </w:r>
      <w:r w:rsidR="005E351E">
        <w:rPr>
          <w:lang w:val="en-GB"/>
        </w:rPr>
        <w:t xml:space="preserve">cognitive </w:t>
      </w:r>
      <w:r w:rsidR="00BA705C">
        <w:rPr>
          <w:lang w:val="en-GB"/>
        </w:rPr>
        <w:t xml:space="preserve">or intellectual disabilities </w:t>
      </w:r>
      <w:r w:rsidR="00CE226E">
        <w:rPr>
          <w:lang w:val="en-GB"/>
        </w:rPr>
        <w:t xml:space="preserve">are </w:t>
      </w:r>
      <w:r w:rsidR="008F18AC">
        <w:rPr>
          <w:lang w:val="en-GB"/>
        </w:rPr>
        <w:t xml:space="preserve">also </w:t>
      </w:r>
      <w:r w:rsidR="00705B51">
        <w:rPr>
          <w:lang w:val="en-GB"/>
        </w:rPr>
        <w:t xml:space="preserve">overrepresented </w:t>
      </w:r>
      <w:r w:rsidR="007B2DA0">
        <w:rPr>
          <w:lang w:val="en-GB"/>
        </w:rPr>
        <w:t>in youth detention in</w:t>
      </w:r>
      <w:r w:rsidR="00705B51">
        <w:rPr>
          <w:lang w:val="en-GB"/>
        </w:rPr>
        <w:t xml:space="preserve"> Queensland</w:t>
      </w:r>
      <w:r w:rsidR="007B2DA0">
        <w:rPr>
          <w:lang w:val="en-GB"/>
        </w:rPr>
        <w:t xml:space="preserve">. </w:t>
      </w:r>
      <w:r w:rsidR="00586AAA" w:rsidRPr="00353A45">
        <w:rPr>
          <w:lang w:val="en-GB"/>
        </w:rPr>
        <w:t>T</w:t>
      </w:r>
      <w:r w:rsidR="007B2DA0" w:rsidRPr="00353A45">
        <w:rPr>
          <w:lang w:val="en-GB"/>
        </w:rPr>
        <w:t xml:space="preserve">he </w:t>
      </w:r>
      <w:r w:rsidR="00E602AE" w:rsidRPr="00353A45">
        <w:rPr>
          <w:lang w:val="en-GB"/>
        </w:rPr>
        <w:t xml:space="preserve">Queensland </w:t>
      </w:r>
      <w:r w:rsidR="007B2DA0" w:rsidRPr="00353A45">
        <w:rPr>
          <w:lang w:val="en-GB"/>
        </w:rPr>
        <w:t xml:space="preserve">Youth Justice Census recorded that, of the children </w:t>
      </w:r>
      <w:r w:rsidR="004D315D" w:rsidRPr="00353A45">
        <w:rPr>
          <w:lang w:val="en-GB"/>
        </w:rPr>
        <w:t xml:space="preserve">in </w:t>
      </w:r>
      <w:r w:rsidR="009639C4" w:rsidRPr="00353A45">
        <w:rPr>
          <w:lang w:val="en-GB"/>
        </w:rPr>
        <w:t xml:space="preserve">Queensland </w:t>
      </w:r>
      <w:r w:rsidR="004D315D" w:rsidRPr="00353A45">
        <w:rPr>
          <w:lang w:val="en-GB"/>
        </w:rPr>
        <w:t>youth detention cen</w:t>
      </w:r>
      <w:r w:rsidR="00040EF2" w:rsidRPr="00353A45">
        <w:rPr>
          <w:lang w:val="en-GB"/>
        </w:rPr>
        <w:t xml:space="preserve">tres or police </w:t>
      </w:r>
      <w:r w:rsidR="002D2B73">
        <w:rPr>
          <w:lang w:val="en-GB"/>
        </w:rPr>
        <w:t>watch house</w:t>
      </w:r>
      <w:r w:rsidR="00040EF2" w:rsidRPr="00353A45">
        <w:rPr>
          <w:lang w:val="en-GB"/>
        </w:rPr>
        <w:t>s</w:t>
      </w:r>
      <w:r w:rsidR="000436B7" w:rsidRPr="00353A45">
        <w:rPr>
          <w:lang w:val="en-GB"/>
        </w:rPr>
        <w:t xml:space="preserve"> in 2022</w:t>
      </w:r>
      <w:r w:rsidR="00040EF2" w:rsidRPr="00353A45">
        <w:rPr>
          <w:lang w:val="en-GB"/>
        </w:rPr>
        <w:t>:</w:t>
      </w:r>
    </w:p>
    <w:p w14:paraId="062EFC6F" w14:textId="70F4E083" w:rsidR="00040EF2" w:rsidRPr="002E43A1" w:rsidRDefault="00040EF2" w:rsidP="008458F0">
      <w:pPr>
        <w:pStyle w:val="Bulletedlist"/>
        <w:rPr>
          <w:lang w:val="en-US"/>
        </w:rPr>
      </w:pPr>
      <w:r w:rsidRPr="00443C01">
        <w:t>12</w:t>
      </w:r>
      <w:r w:rsidR="000A5198">
        <w:t>%</w:t>
      </w:r>
      <w:r w:rsidRPr="00443C01">
        <w:t xml:space="preserve"> had diagnosed or suspected FASD </w:t>
      </w:r>
    </w:p>
    <w:p w14:paraId="214429BB" w14:textId="06911957" w:rsidR="002E43A1" w:rsidRPr="00AD3179" w:rsidRDefault="002E43A1" w:rsidP="008458F0">
      <w:pPr>
        <w:pStyle w:val="Bulletedlist"/>
        <w:rPr>
          <w:lang w:val="en-US"/>
        </w:rPr>
      </w:pPr>
      <w:r>
        <w:t>6</w:t>
      </w:r>
      <w:r w:rsidR="000A5198">
        <w:t>%</w:t>
      </w:r>
      <w:r>
        <w:t xml:space="preserve"> had diagnosed or suspected autism spectrum disorder</w:t>
      </w:r>
    </w:p>
    <w:p w14:paraId="460087DC" w14:textId="7C43131C" w:rsidR="00AD3179" w:rsidRPr="00443C01" w:rsidRDefault="00AD3179" w:rsidP="008458F0">
      <w:pPr>
        <w:pStyle w:val="Bulletedlist"/>
        <w:rPr>
          <w:lang w:val="en-US"/>
        </w:rPr>
      </w:pPr>
      <w:r>
        <w:t>19</w:t>
      </w:r>
      <w:r w:rsidR="000A5198">
        <w:t>%</w:t>
      </w:r>
      <w:r>
        <w:t xml:space="preserve"> had a diagnosed or suspected developmental/language disorder</w:t>
      </w:r>
    </w:p>
    <w:p w14:paraId="62DEC7A0" w14:textId="43D89096" w:rsidR="00586E2A" w:rsidRPr="000317D8" w:rsidRDefault="00040EF2" w:rsidP="008458F0">
      <w:pPr>
        <w:pStyle w:val="Bulletedlist"/>
        <w:rPr>
          <w:lang w:val="en-US"/>
        </w:rPr>
      </w:pPr>
      <w:r w:rsidRPr="00443C01">
        <w:t>26</w:t>
      </w:r>
      <w:r w:rsidR="000A5198">
        <w:t>%</w:t>
      </w:r>
      <w:r w:rsidRPr="00443C01">
        <w:t xml:space="preserve"> had diagnosed or suspected cognitive or intellectual disability</w:t>
      </w:r>
      <w:r w:rsidR="007C7FEE">
        <w:t>.</w:t>
      </w:r>
      <w:r w:rsidR="001C4C0C">
        <w:rPr>
          <w:rStyle w:val="FootnoteReference"/>
        </w:rPr>
        <w:footnoteReference w:id="106"/>
      </w:r>
    </w:p>
    <w:p w14:paraId="0117A027" w14:textId="550A3DC8" w:rsidR="008B59F9" w:rsidRPr="008B59F9" w:rsidRDefault="008B59F9" w:rsidP="00C35247">
      <w:pPr>
        <w:pStyle w:val="Numberedparagraph"/>
        <w:rPr>
          <w:lang w:val="en-US"/>
        </w:rPr>
      </w:pPr>
      <w:r>
        <w:rPr>
          <w:lang w:val="en-US"/>
        </w:rPr>
        <w:t xml:space="preserve">It is likely that the numbers of children in detention in Queensland </w:t>
      </w:r>
      <w:r w:rsidR="00F64076">
        <w:rPr>
          <w:lang w:val="en-US"/>
        </w:rPr>
        <w:t xml:space="preserve">are </w:t>
      </w:r>
      <w:r w:rsidR="009D4837">
        <w:rPr>
          <w:lang w:val="en-US"/>
        </w:rPr>
        <w:t xml:space="preserve">even </w:t>
      </w:r>
      <w:r>
        <w:rPr>
          <w:lang w:val="en-US"/>
        </w:rPr>
        <w:t xml:space="preserve">higher than these statistics indicate. </w:t>
      </w:r>
      <w:r>
        <w:rPr>
          <w:lang w:val="en-GB"/>
        </w:rPr>
        <w:t>The Disability Royal Commission found that, although collection of data across Australia is inadequate, ‘the available data indicates that a significant majority of children in youth detention have at least one or more disability’.</w:t>
      </w:r>
      <w:r>
        <w:rPr>
          <w:rStyle w:val="FootnoteReference"/>
          <w:lang w:val="en-GB"/>
        </w:rPr>
        <w:footnoteReference w:id="107"/>
      </w:r>
      <w:r w:rsidR="00874FD4">
        <w:rPr>
          <w:lang w:val="en-GB"/>
        </w:rPr>
        <w:t xml:space="preserve"> </w:t>
      </w:r>
      <w:r w:rsidR="00F64076">
        <w:rPr>
          <w:lang w:val="en-GB"/>
        </w:rPr>
        <w:t>The Commission</w:t>
      </w:r>
      <w:r w:rsidR="00874FD4">
        <w:rPr>
          <w:lang w:val="en-GB"/>
        </w:rPr>
        <w:t xml:space="preserve"> described the detention of First Nations people with a cognitive disability in Australia, particularly in youth detention, as ‘a largely hidden national crisis’.</w:t>
      </w:r>
      <w:r w:rsidR="00874FD4">
        <w:rPr>
          <w:rStyle w:val="FootnoteReference"/>
          <w:lang w:val="en-GB"/>
        </w:rPr>
        <w:footnoteReference w:id="108"/>
      </w:r>
    </w:p>
    <w:p w14:paraId="343A5B07" w14:textId="6C70E930" w:rsidR="00C35247" w:rsidRPr="00C35247" w:rsidRDefault="00434408" w:rsidP="00C35247">
      <w:pPr>
        <w:pStyle w:val="Numberedparagraph"/>
        <w:rPr>
          <w:lang w:val="en-US"/>
        </w:rPr>
      </w:pPr>
      <w:r>
        <w:rPr>
          <w:lang w:val="en-GB"/>
        </w:rPr>
        <w:t>If governments acted consistently</w:t>
      </w:r>
      <w:r w:rsidR="00C35247">
        <w:rPr>
          <w:lang w:val="en-GB"/>
        </w:rPr>
        <w:t xml:space="preserve"> with Australia’s international legal obligations, these children would not be </w:t>
      </w:r>
      <w:r w:rsidR="002D2117">
        <w:rPr>
          <w:lang w:val="en-GB"/>
        </w:rPr>
        <w:t xml:space="preserve">charged or </w:t>
      </w:r>
      <w:r w:rsidR="00C35247">
        <w:rPr>
          <w:lang w:val="en-GB"/>
        </w:rPr>
        <w:t>detained at all. As the Committee on the Rights of the Child has emphasised:</w:t>
      </w:r>
    </w:p>
    <w:p w14:paraId="53FB3AE6" w14:textId="2FAF417A" w:rsidR="00F32A5D" w:rsidRPr="006C2D27" w:rsidRDefault="00F32A5D" w:rsidP="00C35247">
      <w:pPr>
        <w:pStyle w:val="Quote"/>
        <w:rPr>
          <w:lang w:val="en-US"/>
        </w:rPr>
      </w:pPr>
      <w:r>
        <w:rPr>
          <w:lang w:val="en-US"/>
        </w:rPr>
        <w:t xml:space="preserve">Children with developmental delays or neurodevelopmental disorders or disabilities (for example, autism spectrum disorders, fetal alcohol spectrum disorders or acquired brain injuries) should not be in the child justice system at all, even if they have reached the minimum age of criminal responsibility. </w:t>
      </w:r>
      <w:r>
        <w:rPr>
          <w:lang w:val="en-US"/>
        </w:rPr>
        <w:lastRenderedPageBreak/>
        <w:t>If not automatically excluded, such children should be individually assessed.</w:t>
      </w:r>
      <w:r w:rsidR="002C1395">
        <w:rPr>
          <w:rStyle w:val="FootnoteReference"/>
          <w:lang w:val="en-US"/>
        </w:rPr>
        <w:footnoteReference w:id="109"/>
      </w:r>
    </w:p>
    <w:p w14:paraId="36C175D8" w14:textId="3B99BEE3" w:rsidR="00D72645" w:rsidRDefault="001D3B98" w:rsidP="00E21FB9">
      <w:pPr>
        <w:pStyle w:val="Numberedparagraph"/>
        <w:rPr>
          <w:lang w:val="en-US"/>
        </w:rPr>
      </w:pPr>
      <w:r>
        <w:rPr>
          <w:lang w:val="en-US"/>
        </w:rPr>
        <w:t>Reports and review</w:t>
      </w:r>
      <w:r w:rsidR="000437F1">
        <w:rPr>
          <w:lang w:val="en-US"/>
        </w:rPr>
        <w:t>s</w:t>
      </w:r>
      <w:r>
        <w:rPr>
          <w:lang w:val="en-US"/>
        </w:rPr>
        <w:t xml:space="preserve"> have identified a number of interconnected concerns with </w:t>
      </w:r>
      <w:r w:rsidR="00F45E7B">
        <w:rPr>
          <w:lang w:val="en-US"/>
        </w:rPr>
        <w:t>the</w:t>
      </w:r>
      <w:r w:rsidR="00CA2E1A">
        <w:rPr>
          <w:lang w:val="en-US"/>
        </w:rPr>
        <w:t xml:space="preserve"> </w:t>
      </w:r>
      <w:proofErr w:type="spellStart"/>
      <w:r w:rsidR="00CA2E1A">
        <w:rPr>
          <w:lang w:val="en-US"/>
        </w:rPr>
        <w:t>criminalisation</w:t>
      </w:r>
      <w:proofErr w:type="spellEnd"/>
      <w:r w:rsidR="00CA2E1A">
        <w:rPr>
          <w:lang w:val="en-US"/>
        </w:rPr>
        <w:t xml:space="preserve"> and</w:t>
      </w:r>
      <w:r w:rsidR="00F45E7B">
        <w:rPr>
          <w:lang w:val="en-US"/>
        </w:rPr>
        <w:t xml:space="preserve"> detention of children </w:t>
      </w:r>
      <w:r w:rsidR="00365BC6">
        <w:rPr>
          <w:lang w:val="en-US"/>
        </w:rPr>
        <w:t>with cognitive and intellectual disabilities</w:t>
      </w:r>
      <w:r w:rsidR="0039747C">
        <w:rPr>
          <w:lang w:val="en-US"/>
        </w:rPr>
        <w:t xml:space="preserve"> in Queensland</w:t>
      </w:r>
      <w:r w:rsidR="004A4C85">
        <w:rPr>
          <w:lang w:val="en-US"/>
        </w:rPr>
        <w:t>.</w:t>
      </w:r>
    </w:p>
    <w:p w14:paraId="388E6DD8" w14:textId="27B75123" w:rsidR="005C19A1" w:rsidRDefault="004A4C85" w:rsidP="00F467B1">
      <w:pPr>
        <w:pStyle w:val="Numberedparagraph"/>
        <w:rPr>
          <w:lang w:val="en-US"/>
        </w:rPr>
      </w:pPr>
      <w:r>
        <w:rPr>
          <w:lang w:val="en-US"/>
        </w:rPr>
        <w:t xml:space="preserve">First, </w:t>
      </w:r>
      <w:r w:rsidR="00F467B1">
        <w:rPr>
          <w:lang w:val="en-US"/>
        </w:rPr>
        <w:t xml:space="preserve">children who do not have </w:t>
      </w:r>
      <w:r w:rsidR="00A557B4">
        <w:rPr>
          <w:lang w:val="en-US"/>
        </w:rPr>
        <w:t>capacity for criminal responsibility</w:t>
      </w:r>
      <w:r w:rsidR="00907C3A">
        <w:rPr>
          <w:lang w:val="en-US"/>
        </w:rPr>
        <w:t xml:space="preserve"> because of cognitive or intellectual disabilities</w:t>
      </w:r>
      <w:r w:rsidR="00D20322">
        <w:rPr>
          <w:lang w:val="en-US"/>
        </w:rPr>
        <w:t xml:space="preserve"> </w:t>
      </w:r>
      <w:r w:rsidR="002D349B">
        <w:rPr>
          <w:lang w:val="en-US"/>
        </w:rPr>
        <w:t xml:space="preserve">may be </w:t>
      </w:r>
      <w:r w:rsidR="00AE20A4">
        <w:rPr>
          <w:lang w:val="en-US"/>
        </w:rPr>
        <w:t>detained</w:t>
      </w:r>
      <w:r w:rsidR="00A97AEC">
        <w:rPr>
          <w:lang w:val="en-US"/>
        </w:rPr>
        <w:t xml:space="preserve">, including in </w:t>
      </w:r>
      <w:r w:rsidR="002D2B73">
        <w:rPr>
          <w:lang w:val="en-US"/>
        </w:rPr>
        <w:t>watch house</w:t>
      </w:r>
      <w:r w:rsidR="00A97AEC">
        <w:rPr>
          <w:lang w:val="en-US"/>
        </w:rPr>
        <w:t xml:space="preserve">s </w:t>
      </w:r>
      <w:r w:rsidR="00EC29A7">
        <w:rPr>
          <w:lang w:val="en-US"/>
        </w:rPr>
        <w:t>– even in circumstances where they have been previously found unfit for trial.</w:t>
      </w:r>
      <w:r w:rsidR="00D86942">
        <w:rPr>
          <w:rStyle w:val="FootnoteReference"/>
          <w:lang w:val="en-US"/>
        </w:rPr>
        <w:footnoteReference w:id="110"/>
      </w:r>
    </w:p>
    <w:p w14:paraId="2B57824C" w14:textId="28C2BAA8" w:rsidR="00A17303" w:rsidRDefault="0062243C" w:rsidP="00F467B1">
      <w:pPr>
        <w:pStyle w:val="Numberedparagraph"/>
        <w:rPr>
          <w:lang w:val="en-US"/>
        </w:rPr>
      </w:pPr>
      <w:r>
        <w:rPr>
          <w:lang w:val="en-US"/>
        </w:rPr>
        <w:t xml:space="preserve">Second, </w:t>
      </w:r>
      <w:r w:rsidR="00A17303">
        <w:rPr>
          <w:lang w:val="en-US"/>
        </w:rPr>
        <w:t xml:space="preserve">a young person may be </w:t>
      </w:r>
      <w:r w:rsidR="004A51DF">
        <w:rPr>
          <w:lang w:val="en-US"/>
        </w:rPr>
        <w:t xml:space="preserve">arrested and </w:t>
      </w:r>
      <w:r w:rsidR="00A17303">
        <w:rPr>
          <w:lang w:val="en-US"/>
        </w:rPr>
        <w:t>charged with offences</w:t>
      </w:r>
      <w:r w:rsidR="004A51DF">
        <w:rPr>
          <w:lang w:val="en-US"/>
        </w:rPr>
        <w:t xml:space="preserve"> solely</w:t>
      </w:r>
      <w:r w:rsidR="00A17303">
        <w:rPr>
          <w:lang w:val="en-US"/>
        </w:rPr>
        <w:t xml:space="preserve"> arising from </w:t>
      </w:r>
      <w:proofErr w:type="spellStart"/>
      <w:r w:rsidR="00A17303">
        <w:rPr>
          <w:lang w:val="en-US"/>
        </w:rPr>
        <w:t>behaviours</w:t>
      </w:r>
      <w:proofErr w:type="spellEnd"/>
      <w:r w:rsidR="00A17303">
        <w:rPr>
          <w:lang w:val="en-US"/>
        </w:rPr>
        <w:t xml:space="preserve"> associated with their disability – for example because they become agitated and frightened</w:t>
      </w:r>
      <w:r w:rsidR="00EA7EE0">
        <w:rPr>
          <w:lang w:val="en-US"/>
        </w:rPr>
        <w:t xml:space="preserve"> when approached by police</w:t>
      </w:r>
      <w:r w:rsidR="00A17303">
        <w:rPr>
          <w:lang w:val="en-US"/>
        </w:rPr>
        <w:t xml:space="preserve"> and either react physically or try to run away</w:t>
      </w:r>
      <w:r w:rsidR="002C4A6B">
        <w:rPr>
          <w:lang w:val="en-US"/>
        </w:rPr>
        <w:t xml:space="preserve">, or because </w:t>
      </w:r>
      <w:r w:rsidR="00360D74">
        <w:rPr>
          <w:lang w:val="en-US"/>
        </w:rPr>
        <w:t>they take responsibility for offences they did not commit</w:t>
      </w:r>
      <w:r w:rsidR="00A17303">
        <w:rPr>
          <w:lang w:val="en-US"/>
        </w:rPr>
        <w:t>.</w:t>
      </w:r>
      <w:r w:rsidR="006D529F">
        <w:rPr>
          <w:rStyle w:val="FootnoteReference"/>
          <w:lang w:val="en-US"/>
        </w:rPr>
        <w:footnoteReference w:id="111"/>
      </w:r>
      <w:r w:rsidR="00424C81">
        <w:rPr>
          <w:lang w:val="en-US"/>
        </w:rPr>
        <w:t xml:space="preserve"> </w:t>
      </w:r>
    </w:p>
    <w:p w14:paraId="668518F1" w14:textId="06BF94AB" w:rsidR="0062243C" w:rsidRDefault="00A17303" w:rsidP="00F467B1">
      <w:pPr>
        <w:pStyle w:val="Numberedparagraph"/>
        <w:rPr>
          <w:lang w:val="en-US"/>
        </w:rPr>
      </w:pPr>
      <w:r>
        <w:rPr>
          <w:lang w:val="en-US"/>
        </w:rPr>
        <w:t>Third, as the Disability Royal Commission</w:t>
      </w:r>
      <w:r w:rsidR="00C303AB">
        <w:rPr>
          <w:lang w:val="en-US"/>
        </w:rPr>
        <w:t xml:space="preserve"> </w:t>
      </w:r>
      <w:proofErr w:type="spellStart"/>
      <w:r w:rsidR="00F84124">
        <w:rPr>
          <w:lang w:val="en-US"/>
        </w:rPr>
        <w:t>emphasised</w:t>
      </w:r>
      <w:proofErr w:type="spellEnd"/>
      <w:r w:rsidR="00CE4F53">
        <w:rPr>
          <w:lang w:val="en-US"/>
        </w:rPr>
        <w:t xml:space="preserve">, </w:t>
      </w:r>
      <w:r w:rsidR="000C1A93">
        <w:rPr>
          <w:lang w:val="en-US"/>
        </w:rPr>
        <w:t>‘the experience of custody can be significantly more severe for people with disability than for those without disability’</w:t>
      </w:r>
      <w:r w:rsidR="003E4B3B">
        <w:rPr>
          <w:lang w:val="en-US"/>
        </w:rPr>
        <w:t>,</w:t>
      </w:r>
      <w:r w:rsidR="00A041F1">
        <w:rPr>
          <w:rStyle w:val="FootnoteReference"/>
          <w:lang w:val="en-US"/>
        </w:rPr>
        <w:footnoteReference w:id="112"/>
      </w:r>
      <w:r w:rsidR="003E4B3B">
        <w:rPr>
          <w:lang w:val="en-US"/>
        </w:rPr>
        <w:t xml:space="preserve"> </w:t>
      </w:r>
      <w:r w:rsidR="00686DC5">
        <w:rPr>
          <w:lang w:val="en-US"/>
        </w:rPr>
        <w:t>and while in youth detention ‘they are exposed to substantial risks of violence, abuse and neglect’.</w:t>
      </w:r>
      <w:r w:rsidR="00686DC5">
        <w:rPr>
          <w:rStyle w:val="FootnoteReference"/>
          <w:lang w:val="en-US"/>
        </w:rPr>
        <w:footnoteReference w:id="113"/>
      </w:r>
    </w:p>
    <w:p w14:paraId="0776A696" w14:textId="2A8DCA68" w:rsidR="00F423AF" w:rsidRPr="001144D3" w:rsidRDefault="00F423AF" w:rsidP="00F66F74">
      <w:pPr>
        <w:pStyle w:val="Caseexample"/>
        <w:rPr>
          <w:b/>
          <w:bCs/>
          <w:lang w:val="en-US"/>
        </w:rPr>
      </w:pPr>
      <w:r w:rsidRPr="001144D3">
        <w:rPr>
          <w:b/>
          <w:bCs/>
          <w:lang w:val="en-US"/>
        </w:rPr>
        <w:t>Case example</w:t>
      </w:r>
      <w:r w:rsidR="00A56A5B" w:rsidRPr="001144D3">
        <w:rPr>
          <w:b/>
          <w:bCs/>
          <w:lang w:val="en-US"/>
        </w:rPr>
        <w:t>: Detention</w:t>
      </w:r>
      <w:r w:rsidR="00F42233" w:rsidRPr="001144D3">
        <w:rPr>
          <w:b/>
          <w:bCs/>
          <w:lang w:val="en-US"/>
        </w:rPr>
        <w:t>, isolation,</w:t>
      </w:r>
      <w:r w:rsidR="00A56A5B" w:rsidRPr="001144D3">
        <w:rPr>
          <w:b/>
          <w:bCs/>
          <w:lang w:val="en-US"/>
        </w:rPr>
        <w:t xml:space="preserve"> and use of force </w:t>
      </w:r>
      <w:r w:rsidR="00B31AF9" w:rsidRPr="001144D3">
        <w:rPr>
          <w:b/>
          <w:bCs/>
          <w:lang w:val="en-US"/>
        </w:rPr>
        <w:t>on girl with</w:t>
      </w:r>
      <w:r w:rsidR="00F42233" w:rsidRPr="001144D3">
        <w:rPr>
          <w:b/>
          <w:bCs/>
          <w:lang w:val="en-US"/>
        </w:rPr>
        <w:t xml:space="preserve"> mental</w:t>
      </w:r>
      <w:r w:rsidR="00B31AF9" w:rsidRPr="001144D3">
        <w:rPr>
          <w:b/>
          <w:bCs/>
          <w:lang w:val="en-US"/>
        </w:rPr>
        <w:t xml:space="preserve"> </w:t>
      </w:r>
      <w:r w:rsidR="002C3DC3" w:rsidRPr="001144D3">
        <w:rPr>
          <w:b/>
          <w:bCs/>
          <w:lang w:val="en-US"/>
        </w:rPr>
        <w:t>capacity of 5 year old</w:t>
      </w:r>
    </w:p>
    <w:p w14:paraId="67A2B536" w14:textId="32EBD7BB" w:rsidR="00580085" w:rsidRPr="001144D3" w:rsidRDefault="0065147E" w:rsidP="00F66F74">
      <w:pPr>
        <w:pStyle w:val="Caseexample"/>
        <w:rPr>
          <w:lang w:val="en-US"/>
        </w:rPr>
      </w:pPr>
      <w:r w:rsidRPr="001144D3">
        <w:rPr>
          <w:lang w:val="en-US"/>
        </w:rPr>
        <w:t xml:space="preserve">In </w:t>
      </w:r>
      <w:r w:rsidR="00EC122E" w:rsidRPr="001144D3">
        <w:rPr>
          <w:lang w:val="en-US"/>
        </w:rPr>
        <w:t>July 2024</w:t>
      </w:r>
      <w:r w:rsidR="00FA017C">
        <w:rPr>
          <w:lang w:val="en-US"/>
        </w:rPr>
        <w:t>,</w:t>
      </w:r>
      <w:r w:rsidR="00EC122E" w:rsidRPr="001144D3">
        <w:rPr>
          <w:lang w:val="en-US"/>
        </w:rPr>
        <w:t xml:space="preserve"> media reported </w:t>
      </w:r>
      <w:r w:rsidR="004B0B53" w:rsidRPr="001144D3">
        <w:rPr>
          <w:lang w:val="en-US"/>
        </w:rPr>
        <w:t>on the</w:t>
      </w:r>
      <w:r w:rsidR="00913989" w:rsidRPr="001144D3">
        <w:rPr>
          <w:lang w:val="en-US"/>
        </w:rPr>
        <w:t xml:space="preserve"> case of </w:t>
      </w:r>
      <w:r w:rsidR="009C0C12" w:rsidRPr="001144D3">
        <w:rPr>
          <w:lang w:val="en-US"/>
        </w:rPr>
        <w:t>‘Sam’, a 13 year old First Nations girl with severe intellectual disabilities</w:t>
      </w:r>
      <w:r w:rsidR="000A4080" w:rsidRPr="001144D3">
        <w:rPr>
          <w:lang w:val="en-US"/>
        </w:rPr>
        <w:t xml:space="preserve">, </w:t>
      </w:r>
      <w:r w:rsidR="004E439D" w:rsidRPr="001144D3">
        <w:rPr>
          <w:lang w:val="en-US"/>
        </w:rPr>
        <w:t xml:space="preserve">highlighting </w:t>
      </w:r>
      <w:r w:rsidR="007E0F4D" w:rsidRPr="001144D3">
        <w:rPr>
          <w:lang w:val="en-US"/>
        </w:rPr>
        <w:t>how each</w:t>
      </w:r>
      <w:r w:rsidR="00495EDC" w:rsidRPr="001144D3">
        <w:rPr>
          <w:lang w:val="en-US"/>
        </w:rPr>
        <w:t xml:space="preserve"> of these issues can intersect to lead to serious </w:t>
      </w:r>
      <w:r w:rsidR="00E9069E" w:rsidRPr="001144D3">
        <w:rPr>
          <w:lang w:val="en-US"/>
        </w:rPr>
        <w:t xml:space="preserve">human rights </w:t>
      </w:r>
      <w:r w:rsidR="000A4080" w:rsidRPr="001144D3">
        <w:rPr>
          <w:lang w:val="en-US"/>
        </w:rPr>
        <w:t>concern</w:t>
      </w:r>
      <w:r w:rsidR="001408E3" w:rsidRPr="001144D3">
        <w:rPr>
          <w:lang w:val="en-US"/>
        </w:rPr>
        <w:t>s</w:t>
      </w:r>
      <w:r w:rsidR="00E9069E" w:rsidRPr="001144D3">
        <w:rPr>
          <w:lang w:val="en-US"/>
        </w:rPr>
        <w:t xml:space="preserve">. </w:t>
      </w:r>
    </w:p>
    <w:p w14:paraId="32689B67" w14:textId="592DC50F" w:rsidR="00B17087" w:rsidRPr="001144D3" w:rsidRDefault="004D308F" w:rsidP="00F66F74">
      <w:pPr>
        <w:pStyle w:val="Caseexample"/>
      </w:pPr>
      <w:r w:rsidRPr="001144D3">
        <w:t xml:space="preserve">According to </w:t>
      </w:r>
      <w:r w:rsidR="00B60846" w:rsidRPr="001144D3">
        <w:t>reports</w:t>
      </w:r>
      <w:r w:rsidR="00CD2C1C" w:rsidRPr="001144D3">
        <w:t>,</w:t>
      </w:r>
      <w:r w:rsidRPr="001144D3">
        <w:t xml:space="preserve"> </w:t>
      </w:r>
      <w:r w:rsidR="00E63509" w:rsidRPr="001144D3">
        <w:t xml:space="preserve">Sam’s </w:t>
      </w:r>
      <w:r w:rsidR="00DC4D32" w:rsidRPr="001144D3">
        <w:t xml:space="preserve">police file indicates that she has the intellectual capacity of a </w:t>
      </w:r>
      <w:r w:rsidR="000E03C2">
        <w:t>5</w:t>
      </w:r>
      <w:r w:rsidR="00DC4D32" w:rsidRPr="001144D3">
        <w:t xml:space="preserve"> year old</w:t>
      </w:r>
      <w:r w:rsidR="00E20246" w:rsidRPr="001144D3">
        <w:t xml:space="preserve">, and she has twice previously been assessed as unfit to stand trial. </w:t>
      </w:r>
      <w:r w:rsidR="00753E60" w:rsidRPr="001144D3">
        <w:t xml:space="preserve">Despite this, </w:t>
      </w:r>
      <w:r w:rsidRPr="001144D3">
        <w:t>she</w:t>
      </w:r>
      <w:r w:rsidR="00DB6356" w:rsidRPr="001144D3">
        <w:t xml:space="preserve"> is </w:t>
      </w:r>
      <w:r w:rsidR="00DD1F3F" w:rsidRPr="001144D3">
        <w:t>designated</w:t>
      </w:r>
      <w:r w:rsidR="00001921" w:rsidRPr="001144D3">
        <w:t xml:space="preserve"> a</w:t>
      </w:r>
      <w:r w:rsidR="00DB6356" w:rsidRPr="001144D3">
        <w:t xml:space="preserve"> ‘Serious </w:t>
      </w:r>
      <w:r w:rsidR="00C55B59" w:rsidRPr="001144D3">
        <w:t>Repeat Offender</w:t>
      </w:r>
      <w:r w:rsidR="00D33FBE" w:rsidRPr="001144D3">
        <w:t>’</w:t>
      </w:r>
      <w:r w:rsidR="00D26300" w:rsidRPr="001144D3">
        <w:t>.</w:t>
      </w:r>
      <w:r w:rsidR="00943A59" w:rsidRPr="001144D3">
        <w:rPr>
          <w:rStyle w:val="FootnoteReference"/>
        </w:rPr>
        <w:footnoteReference w:id="114"/>
      </w:r>
      <w:r w:rsidR="00EA33EB" w:rsidRPr="001144D3">
        <w:t xml:space="preserve"> </w:t>
      </w:r>
    </w:p>
    <w:p w14:paraId="4BB5E309" w14:textId="68691C7A" w:rsidR="001D6163" w:rsidRPr="001144D3" w:rsidRDefault="00687FA0" w:rsidP="00F66F74">
      <w:pPr>
        <w:pStyle w:val="Caseexample"/>
        <w:rPr>
          <w:lang w:val="en-US"/>
        </w:rPr>
      </w:pPr>
      <w:r>
        <w:rPr>
          <w:lang w:val="en-US"/>
        </w:rPr>
        <w:t xml:space="preserve">Reports indicated that </w:t>
      </w:r>
      <w:r w:rsidR="00285DAC" w:rsidRPr="001144D3">
        <w:rPr>
          <w:lang w:val="en-US"/>
        </w:rPr>
        <w:t xml:space="preserve">Sam has been arrested </w:t>
      </w:r>
      <w:r w:rsidR="00A064CB" w:rsidRPr="001144D3">
        <w:rPr>
          <w:lang w:val="en-US"/>
        </w:rPr>
        <w:t xml:space="preserve">and held in the police </w:t>
      </w:r>
      <w:r w:rsidR="002D2B73" w:rsidRPr="001144D3">
        <w:rPr>
          <w:lang w:val="en-US"/>
        </w:rPr>
        <w:t>watch house</w:t>
      </w:r>
      <w:r w:rsidR="00A064CB" w:rsidRPr="001144D3">
        <w:rPr>
          <w:lang w:val="en-US"/>
        </w:rPr>
        <w:t xml:space="preserve"> at least 10 </w:t>
      </w:r>
      <w:r w:rsidR="00285DAC" w:rsidRPr="001144D3">
        <w:rPr>
          <w:lang w:val="en-US"/>
        </w:rPr>
        <w:t>times since she was 11.</w:t>
      </w:r>
      <w:r w:rsidR="009849DE" w:rsidRPr="001144D3">
        <w:rPr>
          <w:rStyle w:val="FootnoteReference"/>
          <w:lang w:val="en-US"/>
        </w:rPr>
        <w:footnoteReference w:id="115"/>
      </w:r>
      <w:r w:rsidR="001144D3">
        <w:rPr>
          <w:lang w:val="en-US"/>
        </w:rPr>
        <w:t xml:space="preserve"> </w:t>
      </w:r>
      <w:r w:rsidR="00977ED3" w:rsidRPr="001144D3">
        <w:rPr>
          <w:lang w:val="en-US"/>
        </w:rPr>
        <w:t xml:space="preserve">CCTV footage published from one </w:t>
      </w:r>
      <w:r w:rsidR="007E15E6" w:rsidRPr="001144D3">
        <w:rPr>
          <w:lang w:val="en-US"/>
        </w:rPr>
        <w:t>period of detention</w:t>
      </w:r>
      <w:r w:rsidR="00977ED3" w:rsidRPr="001144D3">
        <w:rPr>
          <w:lang w:val="en-US"/>
        </w:rPr>
        <w:t xml:space="preserve"> in a </w:t>
      </w:r>
      <w:r w:rsidR="002D2B73" w:rsidRPr="001144D3">
        <w:rPr>
          <w:lang w:val="en-US"/>
        </w:rPr>
        <w:t>watch house</w:t>
      </w:r>
      <w:r w:rsidR="007E15E6" w:rsidRPr="001144D3">
        <w:rPr>
          <w:lang w:val="en-US"/>
        </w:rPr>
        <w:t xml:space="preserve"> in August 2023 </w:t>
      </w:r>
      <w:r w:rsidR="00977ED3" w:rsidRPr="001144D3">
        <w:rPr>
          <w:lang w:val="en-US"/>
        </w:rPr>
        <w:t xml:space="preserve">shows </w:t>
      </w:r>
      <w:r w:rsidR="00252D12" w:rsidRPr="001144D3">
        <w:rPr>
          <w:lang w:val="en-US"/>
        </w:rPr>
        <w:t xml:space="preserve">officers </w:t>
      </w:r>
      <w:r w:rsidR="00252D12" w:rsidRPr="001144D3">
        <w:rPr>
          <w:lang w:val="en-US"/>
        </w:rPr>
        <w:lastRenderedPageBreak/>
        <w:t xml:space="preserve">attempting to force her into a padded </w:t>
      </w:r>
      <w:r w:rsidR="0014645A" w:rsidRPr="001144D3">
        <w:rPr>
          <w:lang w:val="en-US"/>
        </w:rPr>
        <w:t xml:space="preserve">isolation </w:t>
      </w:r>
      <w:r w:rsidR="00252D12" w:rsidRPr="001144D3">
        <w:rPr>
          <w:lang w:val="en-US"/>
        </w:rPr>
        <w:t>cell</w:t>
      </w:r>
      <w:r w:rsidR="00F00FB7" w:rsidRPr="001144D3">
        <w:rPr>
          <w:lang w:val="en-US"/>
        </w:rPr>
        <w:t xml:space="preserve"> after she </w:t>
      </w:r>
      <w:r w:rsidR="002E4410" w:rsidRPr="001144D3">
        <w:rPr>
          <w:lang w:val="en-US"/>
        </w:rPr>
        <w:t>repeatedly</w:t>
      </w:r>
      <w:r w:rsidR="006E2C51" w:rsidRPr="001144D3">
        <w:rPr>
          <w:lang w:val="en-US"/>
        </w:rPr>
        <w:t xml:space="preserve"> covered the CCTV in her cell with toilet paper</w:t>
      </w:r>
      <w:r w:rsidR="00DE58F9" w:rsidRPr="001144D3">
        <w:rPr>
          <w:lang w:val="en-US"/>
        </w:rPr>
        <w:t>, with one officer saying ‘You were disobeying the rules missy’</w:t>
      </w:r>
      <w:r w:rsidR="00D11805" w:rsidRPr="001144D3">
        <w:rPr>
          <w:lang w:val="en-US"/>
        </w:rPr>
        <w:t>.</w:t>
      </w:r>
      <w:r w:rsidR="002B433D" w:rsidRPr="001144D3">
        <w:rPr>
          <w:rStyle w:val="FootnoteReference"/>
          <w:lang w:val="en-US"/>
        </w:rPr>
        <w:footnoteReference w:id="116"/>
      </w:r>
      <w:r w:rsidR="007E2AF5" w:rsidRPr="001144D3">
        <w:rPr>
          <w:lang w:val="en-US"/>
        </w:rPr>
        <w:t xml:space="preserve"> The video shows her distraught and </w:t>
      </w:r>
      <w:r w:rsidR="000C6E07" w:rsidRPr="001144D3">
        <w:rPr>
          <w:lang w:val="en-US"/>
        </w:rPr>
        <w:t xml:space="preserve">trying to leave the </w:t>
      </w:r>
      <w:r w:rsidR="006E2C51" w:rsidRPr="001144D3">
        <w:rPr>
          <w:lang w:val="en-US"/>
        </w:rPr>
        <w:t>cell</w:t>
      </w:r>
      <w:r w:rsidR="000C6E07" w:rsidRPr="001144D3">
        <w:rPr>
          <w:lang w:val="en-US"/>
        </w:rPr>
        <w:t xml:space="preserve">, and </w:t>
      </w:r>
      <w:r w:rsidR="00CA36AE" w:rsidRPr="001144D3">
        <w:rPr>
          <w:lang w:val="en-US"/>
        </w:rPr>
        <w:t xml:space="preserve">ultimately being injured when police officers try to slam the door shut. </w:t>
      </w:r>
      <w:r w:rsidR="007E22ED" w:rsidRPr="001144D3">
        <w:rPr>
          <w:lang w:val="en-US"/>
        </w:rPr>
        <w:t>She was transported to hospital</w:t>
      </w:r>
      <w:r w:rsidR="00086680" w:rsidRPr="001144D3">
        <w:rPr>
          <w:lang w:val="en-US"/>
        </w:rPr>
        <w:t xml:space="preserve"> in handcuffs and leg chains</w:t>
      </w:r>
      <w:r w:rsidR="00F918F3" w:rsidRPr="001144D3">
        <w:rPr>
          <w:lang w:val="en-US"/>
        </w:rPr>
        <w:t>.</w:t>
      </w:r>
      <w:r w:rsidR="006E2C51" w:rsidRPr="001144D3">
        <w:rPr>
          <w:rStyle w:val="FootnoteReference"/>
          <w:lang w:val="en-US"/>
        </w:rPr>
        <w:footnoteReference w:id="117"/>
      </w:r>
    </w:p>
    <w:p w14:paraId="20DF9AB1" w14:textId="35BF6E0D" w:rsidR="003B0506" w:rsidRPr="001144D3" w:rsidRDefault="003B0506" w:rsidP="00F66F74">
      <w:pPr>
        <w:pStyle w:val="Caseexample"/>
        <w:rPr>
          <w:lang w:val="en-US"/>
        </w:rPr>
      </w:pPr>
      <w:r w:rsidRPr="001144D3">
        <w:rPr>
          <w:lang w:val="en-US"/>
        </w:rPr>
        <w:t>I</w:t>
      </w:r>
      <w:r w:rsidR="00DD6CEE">
        <w:rPr>
          <w:lang w:val="en-US"/>
        </w:rPr>
        <w:t>t is reported that, i</w:t>
      </w:r>
      <w:r w:rsidRPr="001144D3">
        <w:rPr>
          <w:lang w:val="en-US"/>
        </w:rPr>
        <w:t>n October 2023</w:t>
      </w:r>
      <w:r w:rsidR="00DD6CEE">
        <w:rPr>
          <w:lang w:val="en-US"/>
        </w:rPr>
        <w:t>,</w:t>
      </w:r>
      <w:r w:rsidR="00077607" w:rsidRPr="001144D3">
        <w:rPr>
          <w:lang w:val="en-US"/>
        </w:rPr>
        <w:t xml:space="preserve"> Sam was arrested again</w:t>
      </w:r>
      <w:r w:rsidR="00F303C8" w:rsidRPr="001144D3">
        <w:rPr>
          <w:lang w:val="en-US"/>
        </w:rPr>
        <w:t xml:space="preserve"> by </w:t>
      </w:r>
      <w:r w:rsidR="00BF780C" w:rsidRPr="001144D3">
        <w:rPr>
          <w:lang w:val="en-US"/>
        </w:rPr>
        <w:t xml:space="preserve">two </w:t>
      </w:r>
      <w:r w:rsidR="00F303C8" w:rsidRPr="001144D3">
        <w:rPr>
          <w:lang w:val="en-US"/>
        </w:rPr>
        <w:t>officers from Taskforce Guardian – a Queensland Police operation</w:t>
      </w:r>
      <w:r w:rsidR="00DD6CEE">
        <w:rPr>
          <w:lang w:val="en-US"/>
        </w:rPr>
        <w:t xml:space="preserve"> that</w:t>
      </w:r>
      <w:r w:rsidR="00F303C8" w:rsidRPr="001144D3">
        <w:rPr>
          <w:lang w:val="en-US"/>
        </w:rPr>
        <w:t xml:space="preserve"> deploys additional officers to what are described as ‘youth crime hotspots’ with aims including engaging with ‘serious repeat offenders’.</w:t>
      </w:r>
      <w:r w:rsidR="00F303C8" w:rsidRPr="001144D3">
        <w:rPr>
          <w:rStyle w:val="FootnoteReference"/>
          <w:lang w:val="en-US"/>
        </w:rPr>
        <w:footnoteReference w:id="118"/>
      </w:r>
      <w:r w:rsidR="004A39A9" w:rsidRPr="001144D3">
        <w:rPr>
          <w:lang w:val="en-US"/>
        </w:rPr>
        <w:t xml:space="preserve"> According to media reports she was arrested after being</w:t>
      </w:r>
      <w:r w:rsidR="00216962" w:rsidRPr="001144D3">
        <w:rPr>
          <w:lang w:val="en-US"/>
        </w:rPr>
        <w:t xml:space="preserve"> approached in a car</w:t>
      </w:r>
      <w:r w:rsidR="004A6F49">
        <w:rPr>
          <w:lang w:val="en-US"/>
        </w:rPr>
        <w:t xml:space="preserve"> </w:t>
      </w:r>
      <w:r w:rsidR="00216962" w:rsidRPr="001144D3">
        <w:rPr>
          <w:lang w:val="en-US"/>
        </w:rPr>
        <w:t>park by police</w:t>
      </w:r>
      <w:r w:rsidR="00B4303F" w:rsidRPr="001144D3">
        <w:rPr>
          <w:lang w:val="en-US"/>
        </w:rPr>
        <w:t xml:space="preserve"> </w:t>
      </w:r>
      <w:r w:rsidR="0056757B" w:rsidRPr="001144D3">
        <w:rPr>
          <w:lang w:val="en-US"/>
        </w:rPr>
        <w:t>when she ‘panicked and was arrested for resisting police</w:t>
      </w:r>
      <w:r w:rsidR="006A1421" w:rsidRPr="001144D3">
        <w:rPr>
          <w:lang w:val="en-US"/>
        </w:rPr>
        <w:t>’.</w:t>
      </w:r>
      <w:r w:rsidR="00BF780C" w:rsidRPr="001144D3">
        <w:rPr>
          <w:rStyle w:val="FootnoteReference"/>
          <w:lang w:val="en-US"/>
        </w:rPr>
        <w:footnoteReference w:id="119"/>
      </w:r>
      <w:r w:rsidR="00EB2084" w:rsidRPr="001144D3">
        <w:rPr>
          <w:lang w:val="en-US"/>
        </w:rPr>
        <w:t xml:space="preserve"> </w:t>
      </w:r>
      <w:r w:rsidR="00AF1F48" w:rsidRPr="001144D3">
        <w:rPr>
          <w:lang w:val="en-US"/>
        </w:rPr>
        <w:t xml:space="preserve">Police records indicate that she became ‘hyper-agitated’ and ‘dysregulated’ when taken to the </w:t>
      </w:r>
      <w:r w:rsidR="002D2B73" w:rsidRPr="001144D3">
        <w:rPr>
          <w:lang w:val="en-US"/>
        </w:rPr>
        <w:t>watch house</w:t>
      </w:r>
      <w:r w:rsidR="00E3171D">
        <w:rPr>
          <w:lang w:val="en-US"/>
        </w:rPr>
        <w:t>, the reports</w:t>
      </w:r>
      <w:r w:rsidR="00905800">
        <w:rPr>
          <w:lang w:val="en-US"/>
        </w:rPr>
        <w:t xml:space="preserve"> say.</w:t>
      </w:r>
      <w:r w:rsidR="007A211E" w:rsidRPr="001144D3">
        <w:rPr>
          <w:lang w:val="en-US"/>
        </w:rPr>
        <w:t xml:space="preserve"> </w:t>
      </w:r>
      <w:r w:rsidR="00DB724B">
        <w:rPr>
          <w:lang w:val="en-US"/>
        </w:rPr>
        <w:t>CCTV show</w:t>
      </w:r>
      <w:r w:rsidR="004E4489">
        <w:rPr>
          <w:lang w:val="en-US"/>
        </w:rPr>
        <w:t>s</w:t>
      </w:r>
      <w:r w:rsidR="00DB724B">
        <w:rPr>
          <w:lang w:val="en-US"/>
        </w:rPr>
        <w:t xml:space="preserve"> that she was moved to the isolation cell after banging her head</w:t>
      </w:r>
      <w:r w:rsidR="007619F0" w:rsidRPr="001144D3">
        <w:rPr>
          <w:lang w:val="en-US"/>
        </w:rPr>
        <w:t xml:space="preserve"> against the wall</w:t>
      </w:r>
      <w:r w:rsidR="00DA271D" w:rsidRPr="001144D3">
        <w:rPr>
          <w:lang w:val="en-US"/>
        </w:rPr>
        <w:t>, where she urinated on herself, stripped naked</w:t>
      </w:r>
      <w:r w:rsidR="003369B4">
        <w:rPr>
          <w:lang w:val="en-US"/>
        </w:rPr>
        <w:t>,</w:t>
      </w:r>
      <w:r w:rsidR="00DA271D" w:rsidRPr="001144D3">
        <w:rPr>
          <w:lang w:val="en-US"/>
        </w:rPr>
        <w:t xml:space="preserve"> refused a change of clothes</w:t>
      </w:r>
      <w:r w:rsidR="003369B4">
        <w:rPr>
          <w:lang w:val="en-US"/>
        </w:rPr>
        <w:t xml:space="preserve"> and continued to bang her head on the wall and punch herself in the face.</w:t>
      </w:r>
      <w:r w:rsidR="007D19B5">
        <w:rPr>
          <w:rStyle w:val="FootnoteReference"/>
          <w:lang w:val="en-US"/>
        </w:rPr>
        <w:footnoteReference w:id="120"/>
      </w:r>
      <w:r w:rsidR="003369B4">
        <w:rPr>
          <w:lang w:val="en-US"/>
        </w:rPr>
        <w:t xml:space="preserve"> </w:t>
      </w:r>
      <w:r w:rsidR="004E4489">
        <w:rPr>
          <w:lang w:val="en-US"/>
        </w:rPr>
        <w:t>After some time</w:t>
      </w:r>
      <w:r w:rsidR="003369B4">
        <w:rPr>
          <w:lang w:val="en-US"/>
        </w:rPr>
        <w:t>, she was taken to the hospital for assessment</w:t>
      </w:r>
      <w:r w:rsidR="004C7B37">
        <w:rPr>
          <w:lang w:val="en-US"/>
        </w:rPr>
        <w:t xml:space="preserve">, where she was </w:t>
      </w:r>
      <w:r w:rsidR="005771A6">
        <w:rPr>
          <w:lang w:val="en-US"/>
        </w:rPr>
        <w:t>‘diagnosed with ‘</w:t>
      </w:r>
      <w:proofErr w:type="spellStart"/>
      <w:r w:rsidR="005771A6">
        <w:rPr>
          <w:lang w:val="en-US"/>
        </w:rPr>
        <w:t>behavioural</w:t>
      </w:r>
      <w:proofErr w:type="spellEnd"/>
      <w:r w:rsidR="005771A6">
        <w:rPr>
          <w:lang w:val="en-US"/>
        </w:rPr>
        <w:t xml:space="preserve"> agitation’, discharged, and declared fit to return to the watch house’</w:t>
      </w:r>
      <w:r w:rsidR="00597273" w:rsidRPr="00C31A15">
        <w:rPr>
          <w:lang w:val="en-US"/>
        </w:rPr>
        <w:t>.</w:t>
      </w:r>
      <w:r w:rsidR="001B7D32" w:rsidRPr="00C31A15">
        <w:rPr>
          <w:rStyle w:val="FootnoteReference"/>
          <w:lang w:val="en-US"/>
        </w:rPr>
        <w:footnoteReference w:id="121"/>
      </w:r>
      <w:r w:rsidR="00C31A15" w:rsidRPr="00C31A15">
        <w:rPr>
          <w:lang w:val="en-US"/>
        </w:rPr>
        <w:t xml:space="preserve"> </w:t>
      </w:r>
    </w:p>
    <w:p w14:paraId="51DE8697" w14:textId="77777777" w:rsidR="00F66F74" w:rsidRDefault="00F66F74" w:rsidP="00F66F74">
      <w:pPr>
        <w:pStyle w:val="Numberedparagraph"/>
        <w:numPr>
          <w:ilvl w:val="0"/>
          <w:numId w:val="0"/>
        </w:numPr>
        <w:ind w:left="567"/>
        <w:rPr>
          <w:lang w:val="en-US"/>
        </w:rPr>
      </w:pPr>
    </w:p>
    <w:p w14:paraId="6CCC9007" w14:textId="00CCF4F8" w:rsidR="008E42B5" w:rsidRPr="008E42B5" w:rsidRDefault="00F36A7F" w:rsidP="00DD3585">
      <w:pPr>
        <w:pStyle w:val="Numberedparagraph"/>
        <w:rPr>
          <w:lang w:val="en-US"/>
        </w:rPr>
      </w:pPr>
      <w:r>
        <w:rPr>
          <w:lang w:val="en-US"/>
        </w:rPr>
        <w:t>In its draft interim report, the Youth Justice Reform Select Committee</w:t>
      </w:r>
      <w:r w:rsidR="00575752">
        <w:rPr>
          <w:lang w:val="en-US"/>
        </w:rPr>
        <w:t xml:space="preserve"> noted that it had heard ‘concerning anecdotal evidence of children and young [people] with </w:t>
      </w:r>
      <w:r w:rsidR="008E42B5">
        <w:t>complex disabilities being detained in circumstances that</w:t>
      </w:r>
      <w:r w:rsidR="007E3EA6">
        <w:t xml:space="preserve"> put</w:t>
      </w:r>
      <w:r w:rsidR="008E42B5">
        <w:t xml:space="preserve"> them, and the staff </w:t>
      </w:r>
      <w:r w:rsidR="008E42B5">
        <w:lastRenderedPageBreak/>
        <w:t>involved, in traumatic situations and create</w:t>
      </w:r>
      <w:r w:rsidR="00512F9F">
        <w:t>[d]</w:t>
      </w:r>
      <w:r w:rsidR="008E42B5">
        <w:t xml:space="preserve"> a number of safety risks to those involved</w:t>
      </w:r>
      <w:r w:rsidR="00FC7728">
        <w:t>’</w:t>
      </w:r>
      <w:r w:rsidR="008E42B5">
        <w:t>.</w:t>
      </w:r>
      <w:r w:rsidR="00512F9F">
        <w:rPr>
          <w:rStyle w:val="FootnoteReference"/>
        </w:rPr>
        <w:footnoteReference w:id="122"/>
      </w:r>
      <w:r w:rsidR="008E42B5">
        <w:t xml:space="preserve"> It emphasised that:</w:t>
      </w:r>
    </w:p>
    <w:p w14:paraId="7C2A5D3D" w14:textId="3E4DFD48" w:rsidR="00596486" w:rsidRPr="00EA33EB" w:rsidRDefault="002D2B73" w:rsidP="008E42B5">
      <w:pPr>
        <w:pStyle w:val="Quote"/>
        <w:rPr>
          <w:lang w:val="en-US"/>
        </w:rPr>
      </w:pPr>
      <w:r>
        <w:t>Watch house</w:t>
      </w:r>
      <w:r w:rsidR="008E42B5">
        <w:t xml:space="preserve">s and detention centres are not equipped to support children and young people who are living with a significant mental health condition and/or a disability. This is an issue that is </w:t>
      </w:r>
      <w:r w:rsidR="006953AA">
        <w:t>[inextricably] linked to the need for children and young people to receive comprehensive health screening at the earliest opportunity, ideally before they have any formal contact with police or the courts.</w:t>
      </w:r>
      <w:r w:rsidR="006953AA">
        <w:rPr>
          <w:rStyle w:val="FootnoteReference"/>
        </w:rPr>
        <w:footnoteReference w:id="123"/>
      </w:r>
    </w:p>
    <w:p w14:paraId="38BE94D0" w14:textId="1BD76EDE" w:rsidR="00E21FB9" w:rsidRPr="00D6037C" w:rsidRDefault="00723284" w:rsidP="00E21FB9">
      <w:pPr>
        <w:pStyle w:val="Heading2"/>
      </w:pPr>
      <w:bookmarkStart w:id="17" w:name="_Toc180746455"/>
      <w:r>
        <w:t xml:space="preserve">Lockdown, separation and </w:t>
      </w:r>
      <w:r w:rsidR="00AC0610">
        <w:t>solitary confinement</w:t>
      </w:r>
      <w:bookmarkEnd w:id="17"/>
      <w:r w:rsidR="00E21FB9">
        <w:t xml:space="preserve"> </w:t>
      </w:r>
    </w:p>
    <w:p w14:paraId="331507F6" w14:textId="4D7EBE93" w:rsidR="00A67C58" w:rsidRDefault="005B7F65" w:rsidP="00EC68E3">
      <w:pPr>
        <w:pStyle w:val="Numberedparagraph"/>
      </w:pPr>
      <w:r>
        <w:t>The pressures on the youth justice system in Queensland</w:t>
      </w:r>
      <w:r w:rsidR="0067035B">
        <w:t xml:space="preserve"> caused</w:t>
      </w:r>
      <w:r>
        <w:t xml:space="preserve"> by the high incarceration rate</w:t>
      </w:r>
      <w:r w:rsidR="000800CA">
        <w:t xml:space="preserve"> have also led to serious </w:t>
      </w:r>
      <w:r w:rsidR="00D907FD">
        <w:t>human rights concerns around separation</w:t>
      </w:r>
      <w:r w:rsidR="00FD1F2B">
        <w:t xml:space="preserve"> </w:t>
      </w:r>
      <w:r w:rsidR="00546496">
        <w:t>of children</w:t>
      </w:r>
      <w:r w:rsidR="001A2B33">
        <w:t xml:space="preserve"> alone in a locked room for long periods</w:t>
      </w:r>
      <w:r w:rsidR="00546496">
        <w:t xml:space="preserve"> in youth detention</w:t>
      </w:r>
      <w:r w:rsidR="009E59E4">
        <w:t>. This is inherently harmful for children and has s</w:t>
      </w:r>
      <w:r w:rsidR="005E12CF">
        <w:t>ignificant</w:t>
      </w:r>
      <w:r w:rsidR="009E59E4">
        <w:t xml:space="preserve"> consequences </w:t>
      </w:r>
      <w:r w:rsidR="00DF540E">
        <w:t xml:space="preserve">for their access to </w:t>
      </w:r>
      <w:r w:rsidR="007B3762">
        <w:t>education and health services.</w:t>
      </w:r>
    </w:p>
    <w:p w14:paraId="1A15A4A3" w14:textId="6583979E" w:rsidR="005B48F0" w:rsidRDefault="005B48F0" w:rsidP="005B48F0">
      <w:pPr>
        <w:pStyle w:val="Numberedparagraph"/>
      </w:pPr>
      <w:r>
        <w:t xml:space="preserve">In youth detention centres, ‘separation’ or ‘lockdown’ refers to the practice of separating a child in a locked room. Generally, there is a centre-wide lockdown for 12 hours each night while children sleep in their own rooms. However, lockdowns can also occur during the day, and for consecutive days. </w:t>
      </w:r>
      <w:r w:rsidR="0018602B">
        <w:t>During such periods c</w:t>
      </w:r>
      <w:r w:rsidR="00F41BB6">
        <w:t>hildren ‘must be permitted a minimum of 2 hours outside of their room each day unless it is unsafe to do so’.</w:t>
      </w:r>
      <w:r w:rsidR="00F41BB6">
        <w:rPr>
          <w:rStyle w:val="FootnoteReference"/>
        </w:rPr>
        <w:footnoteReference w:id="124"/>
      </w:r>
    </w:p>
    <w:p w14:paraId="41C726E1" w14:textId="6CCACB37" w:rsidR="00B81FFB" w:rsidRDefault="008C317D" w:rsidP="004B5423">
      <w:pPr>
        <w:pStyle w:val="Numberedparagraph"/>
      </w:pPr>
      <w:r>
        <w:t>The Queensland A</w:t>
      </w:r>
      <w:r w:rsidR="003B0732">
        <w:t xml:space="preserve">udit Office analysed the percentage of time Queensland’s 3 youth detention centres spent in lockdown between 7am and 7pm, demonstrating a steady </w:t>
      </w:r>
      <w:r w:rsidR="00FE542A">
        <w:t>increase over time</w:t>
      </w:r>
      <w:r w:rsidR="008352A2">
        <w:t>.</w:t>
      </w:r>
      <w:r w:rsidR="005C0555">
        <w:rPr>
          <w:rStyle w:val="FootnoteReference"/>
        </w:rPr>
        <w:footnoteReference w:id="125"/>
      </w:r>
      <w:r w:rsidR="00896511">
        <w:t xml:space="preserve"> </w:t>
      </w:r>
      <w:r w:rsidR="00F403A3">
        <w:t xml:space="preserve">In </w:t>
      </w:r>
      <w:r w:rsidR="00130FC5">
        <w:t>2022–23</w:t>
      </w:r>
      <w:r w:rsidR="00F403A3">
        <w:t>, 81</w:t>
      </w:r>
      <w:r w:rsidR="000A5198">
        <w:t>%</w:t>
      </w:r>
      <w:r w:rsidR="00F403A3">
        <w:t xml:space="preserve"> of lockdowns were related to staff shortages.</w:t>
      </w:r>
      <w:r w:rsidR="00F403A3">
        <w:rPr>
          <w:rStyle w:val="FootnoteReference"/>
        </w:rPr>
        <w:footnoteReference w:id="126"/>
      </w:r>
      <w:r w:rsidR="00F403A3">
        <w:t xml:space="preserve"> </w:t>
      </w:r>
    </w:p>
    <w:p w14:paraId="03F3041E" w14:textId="10FFD626" w:rsidR="007E1B23" w:rsidRDefault="00ED3BD9" w:rsidP="007E1B23">
      <w:pPr>
        <w:pStyle w:val="Numberedparagraph"/>
        <w:keepNext/>
        <w:numPr>
          <w:ilvl w:val="0"/>
          <w:numId w:val="0"/>
        </w:numPr>
      </w:pPr>
      <w:r w:rsidRPr="00ED3BD9">
        <w:rPr>
          <w:noProof/>
        </w:rPr>
        <w:lastRenderedPageBreak/>
        <w:drawing>
          <wp:inline distT="0" distB="0" distL="0" distR="0" wp14:anchorId="03BFA721" wp14:editId="08B82622">
            <wp:extent cx="5396230" cy="3228975"/>
            <wp:effectExtent l="0" t="0" r="0" b="9525"/>
            <wp:docPr id="223779010" name="Picture 1" descr="Graph showing percentage of time detention centres were in lockdown, 2018-19 and 2022-23. This shows data across Brisbane Youth Detention Centre, Cleveland Youth Detention Centre and West Moreton Youth Detention Centre. The data is summarised in the following paragraph of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79010" name="Picture 1" descr="Graph showing percentage of time detention centres were in lockdown, 2018-19 and 2022-23. This shows data across Brisbane Youth Detention Centre, Cleveland Youth Detention Centre and West Moreton Youth Detention Centre. The data is summarised in the following paragraph of text. "/>
                    <pic:cNvPicPr/>
                  </pic:nvPicPr>
                  <pic:blipFill rotWithShape="1">
                    <a:blip r:embed="rId12"/>
                    <a:srcRect t="6194" b="6315"/>
                    <a:stretch/>
                  </pic:blipFill>
                  <pic:spPr bwMode="auto">
                    <a:xfrm>
                      <a:off x="0" y="0"/>
                      <a:ext cx="5396230" cy="3228975"/>
                    </a:xfrm>
                    <a:prstGeom prst="rect">
                      <a:avLst/>
                    </a:prstGeom>
                    <a:ln>
                      <a:noFill/>
                    </a:ln>
                    <a:extLst>
                      <a:ext uri="{53640926-AAD7-44D8-BBD7-CCE9431645EC}">
                        <a14:shadowObscured xmlns:a14="http://schemas.microsoft.com/office/drawing/2010/main"/>
                      </a:ext>
                    </a:extLst>
                  </pic:spPr>
                </pic:pic>
              </a:graphicData>
            </a:graphic>
          </wp:inline>
        </w:drawing>
      </w:r>
    </w:p>
    <w:p w14:paraId="20594731" w14:textId="16252E9E" w:rsidR="003B0732" w:rsidRPr="00321EA0" w:rsidRDefault="00321EA0" w:rsidP="00321EA0">
      <w:pPr>
        <w:pStyle w:val="Caption"/>
        <w:ind w:left="567"/>
        <w:rPr>
          <w:noProof/>
          <w:color w:val="000000" w:themeColor="text1"/>
          <w:sz w:val="20"/>
          <w:szCs w:val="20"/>
        </w:rPr>
      </w:pPr>
      <w:r w:rsidRPr="008F3092">
        <w:rPr>
          <w:b/>
          <w:bCs/>
          <w:color w:val="000000" w:themeColor="text1"/>
          <w:sz w:val="20"/>
          <w:szCs w:val="20"/>
        </w:rPr>
        <w:t>Figure 1:</w:t>
      </w:r>
      <w:r>
        <w:rPr>
          <w:color w:val="000000" w:themeColor="text1"/>
          <w:sz w:val="20"/>
          <w:szCs w:val="20"/>
        </w:rPr>
        <w:t xml:space="preserve"> Percentage of time detention centres were in lockdown, 2018-2019</w:t>
      </w:r>
      <w:r w:rsidR="008F3092">
        <w:rPr>
          <w:color w:val="000000" w:themeColor="text1"/>
          <w:sz w:val="20"/>
          <w:szCs w:val="20"/>
        </w:rPr>
        <w:t xml:space="preserve"> to </w:t>
      </w:r>
      <w:r w:rsidR="00130FC5">
        <w:rPr>
          <w:color w:val="000000" w:themeColor="text1"/>
          <w:sz w:val="20"/>
          <w:szCs w:val="20"/>
        </w:rPr>
        <w:t>2022–23</w:t>
      </w:r>
      <w:r w:rsidR="008F3092">
        <w:rPr>
          <w:color w:val="000000" w:themeColor="text1"/>
          <w:sz w:val="20"/>
          <w:szCs w:val="20"/>
        </w:rPr>
        <w:t xml:space="preserve"> (T</w:t>
      </w:r>
      <w:r w:rsidR="007E1B23" w:rsidRPr="00321EA0">
        <w:rPr>
          <w:color w:val="000000" w:themeColor="text1"/>
          <w:sz w:val="20"/>
          <w:szCs w:val="20"/>
        </w:rPr>
        <w:t xml:space="preserve">able reproduced from Queensland Audit Office, Reducing serious youth crime (Performance Audit Report 15: </w:t>
      </w:r>
      <w:r w:rsidR="00130FC5">
        <w:rPr>
          <w:color w:val="000000" w:themeColor="text1"/>
          <w:sz w:val="20"/>
          <w:szCs w:val="20"/>
        </w:rPr>
        <w:t>2023–24</w:t>
      </w:r>
      <w:r w:rsidR="007E1B23" w:rsidRPr="00321EA0">
        <w:rPr>
          <w:color w:val="000000" w:themeColor="text1"/>
          <w:sz w:val="20"/>
          <w:szCs w:val="20"/>
        </w:rPr>
        <w:t xml:space="preserve">, 28 June 2024) </w:t>
      </w:r>
      <w:r w:rsidR="007E1B23" w:rsidRPr="00321EA0">
        <w:rPr>
          <w:noProof/>
          <w:color w:val="000000" w:themeColor="text1"/>
          <w:sz w:val="20"/>
          <w:szCs w:val="20"/>
        </w:rPr>
        <w:t>31 (Figure 6D)</w:t>
      </w:r>
      <w:r w:rsidR="008F3092">
        <w:rPr>
          <w:noProof/>
          <w:color w:val="000000" w:themeColor="text1"/>
          <w:sz w:val="20"/>
          <w:szCs w:val="20"/>
        </w:rPr>
        <w:t>)</w:t>
      </w:r>
    </w:p>
    <w:p w14:paraId="53D8988E" w14:textId="77777777" w:rsidR="00321EA0" w:rsidRPr="00321EA0" w:rsidRDefault="00321EA0" w:rsidP="00321EA0"/>
    <w:p w14:paraId="584FD27B" w14:textId="71EEB052" w:rsidR="00E73925" w:rsidRDefault="00784C8A" w:rsidP="007E1B23">
      <w:pPr>
        <w:pStyle w:val="Numberedparagraph"/>
      </w:pPr>
      <w:r>
        <w:t>As shown in the graph above, t</w:t>
      </w:r>
      <w:r w:rsidR="00F403A3">
        <w:t>he</w:t>
      </w:r>
      <w:r w:rsidR="006634D6">
        <w:t xml:space="preserve"> Queensland Audit Office found that from 2018–19 to </w:t>
      </w:r>
      <w:r w:rsidR="00130FC5">
        <w:t>2022–23</w:t>
      </w:r>
      <w:r w:rsidR="006634D6">
        <w:t>, the amount of time spent in lockdown in Cleveland Youth Detention Centre, near Townsville, increased from 12</w:t>
      </w:r>
      <w:r w:rsidR="000A5198">
        <w:t>%</w:t>
      </w:r>
      <w:r w:rsidR="006634D6">
        <w:t xml:space="preserve"> to 81</w:t>
      </w:r>
      <w:r w:rsidR="000A5198">
        <w:t>%</w:t>
      </w:r>
      <w:r w:rsidR="006634D6">
        <w:t>. This was ‘equivalent to 294 days in lockdown in 2022–23’.</w:t>
      </w:r>
      <w:r w:rsidR="006634D6">
        <w:rPr>
          <w:rStyle w:val="FootnoteReference"/>
        </w:rPr>
        <w:footnoteReference w:id="127"/>
      </w:r>
      <w:r w:rsidR="006634D6">
        <w:t xml:space="preserve"> </w:t>
      </w:r>
      <w:r w:rsidR="00D90E50">
        <w:t xml:space="preserve">At Cleveland Youth Detention Centre, only 31 </w:t>
      </w:r>
      <w:r w:rsidR="00396A4C">
        <w:t>children</w:t>
      </w:r>
      <w:r w:rsidR="00354D17">
        <w:t xml:space="preserve"> </w:t>
      </w:r>
      <w:r w:rsidR="00D90E50">
        <w:t>completed rehabilitation programs</w:t>
      </w:r>
      <w:r w:rsidR="00AB37F0">
        <w:t xml:space="preserve"> in 2022</w:t>
      </w:r>
      <w:r w:rsidR="00D90E50">
        <w:t xml:space="preserve">, compared to 215 in 2018. Most </w:t>
      </w:r>
      <w:r w:rsidR="00396A4C">
        <w:t>children</w:t>
      </w:r>
      <w:r w:rsidR="00354D17">
        <w:t xml:space="preserve"> </w:t>
      </w:r>
      <w:r w:rsidR="00D90E50">
        <w:t xml:space="preserve">only received an average </w:t>
      </w:r>
      <w:r w:rsidR="00044820">
        <w:t xml:space="preserve">3 to 5 hours </w:t>
      </w:r>
      <w:r w:rsidR="003D563D">
        <w:t xml:space="preserve">of </w:t>
      </w:r>
      <w:r w:rsidR="001D26C6">
        <w:t>face-to-face</w:t>
      </w:r>
      <w:r w:rsidR="00044820">
        <w:t xml:space="preserve"> education each week from 2021 to 2023. While Brisbane and West Moreton were locked down less frequently</w:t>
      </w:r>
      <w:r w:rsidR="008C0F50">
        <w:t xml:space="preserve"> (approximately 18% of the time)</w:t>
      </w:r>
      <w:r w:rsidR="00044820">
        <w:t xml:space="preserve">, these centres did not accurately and consistently record the number of </w:t>
      </w:r>
      <w:r w:rsidR="005B16A4">
        <w:t>children</w:t>
      </w:r>
      <w:r w:rsidR="00044820">
        <w:t xml:space="preserve"> who completed rehabilitation programs.</w:t>
      </w:r>
      <w:r w:rsidR="00354D17">
        <w:rPr>
          <w:rStyle w:val="FootnoteReference"/>
        </w:rPr>
        <w:footnoteReference w:id="128"/>
      </w:r>
      <w:r w:rsidR="00044820">
        <w:t xml:space="preserve"> </w:t>
      </w:r>
    </w:p>
    <w:p w14:paraId="349C2C6B" w14:textId="08ECCA38" w:rsidR="000774D1" w:rsidRDefault="00ED2EB1" w:rsidP="000774D1">
      <w:pPr>
        <w:pStyle w:val="Numberedparagraph"/>
      </w:pPr>
      <w:r>
        <w:t xml:space="preserve">The Inspector of Detention Services </w:t>
      </w:r>
      <w:r w:rsidR="003D563D">
        <w:t xml:space="preserve">examined more closely </w:t>
      </w:r>
      <w:r w:rsidR="00F26354">
        <w:t>the use of separations caused by staff shortages at Cleveland Youth Detention Centre.</w:t>
      </w:r>
      <w:r w:rsidR="00CE5189">
        <w:t xml:space="preserve"> </w:t>
      </w:r>
      <w:r w:rsidR="008D3174">
        <w:t xml:space="preserve">Two forms of separation were noted – </w:t>
      </w:r>
      <w:r w:rsidR="00754594" w:rsidRPr="00754594">
        <w:t>‘</w:t>
      </w:r>
      <w:r w:rsidR="008D3174" w:rsidRPr="00CE2621">
        <w:t>night mode</w:t>
      </w:r>
      <w:r w:rsidR="00754594" w:rsidRPr="00CE2621">
        <w:t>’</w:t>
      </w:r>
      <w:r w:rsidR="008D3174">
        <w:t xml:space="preserve">, where children </w:t>
      </w:r>
      <w:r w:rsidR="008C731A">
        <w:t xml:space="preserve">are </w:t>
      </w:r>
      <w:r w:rsidR="008D3174">
        <w:t xml:space="preserve">locked in their room, and </w:t>
      </w:r>
      <w:r w:rsidR="00754594" w:rsidRPr="00754594">
        <w:t>‘</w:t>
      </w:r>
      <w:r w:rsidR="008D3174" w:rsidRPr="00CE2621">
        <w:t>continuous cell occupancy</w:t>
      </w:r>
      <w:r w:rsidR="00754594" w:rsidRPr="00CE2621">
        <w:t>’</w:t>
      </w:r>
      <w:r w:rsidR="008D3174">
        <w:t xml:space="preserve">, where children </w:t>
      </w:r>
      <w:r w:rsidR="008C731A">
        <w:t xml:space="preserve">take turns to be </w:t>
      </w:r>
      <w:r w:rsidR="009D0069">
        <w:t>released from their room</w:t>
      </w:r>
      <w:r w:rsidR="008C731A">
        <w:t>s</w:t>
      </w:r>
      <w:r w:rsidR="009D0069">
        <w:t xml:space="preserve"> </w:t>
      </w:r>
      <w:r w:rsidR="008C731A">
        <w:t xml:space="preserve">in small groups </w:t>
      </w:r>
      <w:r w:rsidR="00754594">
        <w:t>in</w:t>
      </w:r>
      <w:r w:rsidR="009D0069">
        <w:t xml:space="preserve">to a </w:t>
      </w:r>
      <w:r w:rsidR="008D3174">
        <w:t xml:space="preserve">common area. </w:t>
      </w:r>
      <w:r w:rsidR="00E16DD5">
        <w:t xml:space="preserve">Throughout 2023, the </w:t>
      </w:r>
      <w:r w:rsidR="001C6D24">
        <w:t>overall number of separations declined, however, the use of night mode separations increased to try to avoid separations occurring on consecutive days</w:t>
      </w:r>
      <w:r w:rsidR="005A3FFC">
        <w:t xml:space="preserve"> (because fewer staff are required to supervise an accommodation unit while it is in night mode).</w:t>
      </w:r>
      <w:r w:rsidR="004A317C">
        <w:t xml:space="preserve"> </w:t>
      </w:r>
      <w:r w:rsidR="00316A9B">
        <w:t xml:space="preserve">Over an 8 day period in October 2023, most units were locked </w:t>
      </w:r>
      <w:r w:rsidR="00316A9B">
        <w:lastRenderedPageBreak/>
        <w:t xml:space="preserve">down </w:t>
      </w:r>
      <w:r w:rsidR="008C685C">
        <w:t>for 3 to 5 days.</w:t>
      </w:r>
      <w:r w:rsidR="004543B8">
        <w:rPr>
          <w:rStyle w:val="FootnoteReference"/>
        </w:rPr>
        <w:footnoteReference w:id="129"/>
      </w:r>
      <w:r w:rsidR="008C685C">
        <w:t xml:space="preserve"> Despite decreases, however, </w:t>
      </w:r>
      <w:r w:rsidR="00D576BB">
        <w:t xml:space="preserve">during 2022–23 </w:t>
      </w:r>
      <w:r w:rsidR="00953A26">
        <w:t xml:space="preserve">many children were separated for more than 20 hours on consecutive days, including 6 children who were separated for more </w:t>
      </w:r>
      <w:r w:rsidR="0038069F">
        <w:t>than 70 days in a row.</w:t>
      </w:r>
      <w:r w:rsidR="00E84831">
        <w:rPr>
          <w:rStyle w:val="FootnoteReference"/>
        </w:rPr>
        <w:footnoteReference w:id="130"/>
      </w:r>
    </w:p>
    <w:p w14:paraId="34151880" w14:textId="097A51AE" w:rsidR="0069197D" w:rsidRDefault="00E84831" w:rsidP="0069197D">
      <w:pPr>
        <w:pStyle w:val="Numberedparagraph"/>
        <w:keepNext/>
        <w:numPr>
          <w:ilvl w:val="0"/>
          <w:numId w:val="0"/>
        </w:numPr>
      </w:pPr>
      <w:r w:rsidRPr="00E84831">
        <w:rPr>
          <w:noProof/>
        </w:rPr>
        <w:drawing>
          <wp:inline distT="0" distB="0" distL="0" distR="0" wp14:anchorId="1FEA3E06" wp14:editId="494E77A4">
            <wp:extent cx="5362575" cy="2676525"/>
            <wp:effectExtent l="0" t="0" r="0" b="9525"/>
            <wp:docPr id="649913535" name="Picture 1" descr="Chart showing number of Children at Cleveland Youth Detention Centre in separation for 20 or more hours on consecutive days in the 2021-22 and 2022-23 financial years. The Table shows the following values for 1 July 2021 to 30 June 2022: 2-10 days: 309; 11-20 days: 144; 21-30 days: 34; 31-40 days: 4; 41-50 days: 4; 51-16 days: 1; 61-70 days: 1; 71+ days: 0. The table shows the following values for 1 July 2022 to 30 June 2023: 2-10 days: 352; 11-20 days: 198; 21-30 days: 69; 41-50 days: 15; 51-60 days: 6; 61-70 days: 3; 71+ day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13535" name="Picture 1" descr="Chart showing number of Children at Cleveland Youth Detention Centre in separation for 20 or more hours on consecutive days in the 2021-22 and 2022-23 financial years. The Table shows the following values for 1 July 2021 to 30 June 2022: 2-10 days: 309; 11-20 days: 144; 21-30 days: 34; 31-40 days: 4; 41-50 days: 4; 51-16 days: 1; 61-70 days: 1; 71+ days: 0. The table shows the following values for 1 July 2022 to 30 June 2023: 2-10 days: 352; 11-20 days: 198; 21-30 days: 69; 41-50 days: 15; 51-60 days: 6; 61-70 days: 3; 71+ days: 6."/>
                    <pic:cNvPicPr/>
                  </pic:nvPicPr>
                  <pic:blipFill rotWithShape="1">
                    <a:blip r:embed="rId13"/>
                    <a:srcRect t="14329"/>
                    <a:stretch/>
                  </pic:blipFill>
                  <pic:spPr bwMode="auto">
                    <a:xfrm>
                      <a:off x="0" y="0"/>
                      <a:ext cx="5363323" cy="2676899"/>
                    </a:xfrm>
                    <a:prstGeom prst="rect">
                      <a:avLst/>
                    </a:prstGeom>
                    <a:ln>
                      <a:noFill/>
                    </a:ln>
                    <a:extLst>
                      <a:ext uri="{53640926-AAD7-44D8-BBD7-CCE9431645EC}">
                        <a14:shadowObscured xmlns:a14="http://schemas.microsoft.com/office/drawing/2010/main"/>
                      </a:ext>
                    </a:extLst>
                  </pic:spPr>
                </pic:pic>
              </a:graphicData>
            </a:graphic>
          </wp:inline>
        </w:drawing>
      </w:r>
    </w:p>
    <w:p w14:paraId="7ECE9F6F" w14:textId="042F5182" w:rsidR="0069197D" w:rsidRPr="006716FA" w:rsidRDefault="0069197D" w:rsidP="0069197D">
      <w:pPr>
        <w:pStyle w:val="Caption"/>
        <w:rPr>
          <w:color w:val="000000" w:themeColor="text1"/>
        </w:rPr>
      </w:pPr>
      <w:r w:rsidRPr="006716FA">
        <w:rPr>
          <w:b/>
          <w:bCs/>
          <w:color w:val="000000" w:themeColor="text1"/>
        </w:rPr>
        <w:t>Figure 2:</w:t>
      </w:r>
      <w:r w:rsidRPr="006716FA">
        <w:rPr>
          <w:color w:val="000000" w:themeColor="text1"/>
        </w:rPr>
        <w:t xml:space="preserve"> Children at Cleveland Youth Detention Centre in separation for 20 or more hours on consecutive days in the </w:t>
      </w:r>
      <w:r w:rsidR="00130FC5">
        <w:rPr>
          <w:color w:val="000000" w:themeColor="text1"/>
        </w:rPr>
        <w:t>2021–22</w:t>
      </w:r>
      <w:r w:rsidRPr="006716FA">
        <w:rPr>
          <w:color w:val="000000" w:themeColor="text1"/>
        </w:rPr>
        <w:t xml:space="preserve"> and </w:t>
      </w:r>
      <w:r w:rsidR="00130FC5">
        <w:rPr>
          <w:color w:val="000000" w:themeColor="text1"/>
        </w:rPr>
        <w:t>2022–23</w:t>
      </w:r>
      <w:r w:rsidRPr="006716FA">
        <w:rPr>
          <w:color w:val="000000" w:themeColor="text1"/>
        </w:rPr>
        <w:t xml:space="preserve"> financial years (</w:t>
      </w:r>
      <w:r w:rsidR="00950C90" w:rsidRPr="006716FA">
        <w:rPr>
          <w:color w:val="000000" w:themeColor="text1"/>
        </w:rPr>
        <w:t xml:space="preserve">reproduced from </w:t>
      </w:r>
      <w:r w:rsidR="00426504" w:rsidRPr="006716FA">
        <w:rPr>
          <w:color w:val="000000" w:themeColor="text1"/>
        </w:rPr>
        <w:t>Queensland Ombudsm</w:t>
      </w:r>
      <w:r w:rsidRPr="006716FA">
        <w:rPr>
          <w:color w:val="000000" w:themeColor="text1"/>
        </w:rPr>
        <w:t>an, Cleveland Youth Detention Centre inspection report: Focus on separation due to staff shortages (27 August 2024) 21).</w:t>
      </w:r>
    </w:p>
    <w:p w14:paraId="1E5BA132" w14:textId="153150DD" w:rsidR="00820968" w:rsidRDefault="004308BF" w:rsidP="000774D1">
      <w:pPr>
        <w:pStyle w:val="Numberedparagraph"/>
        <w:numPr>
          <w:ilvl w:val="0"/>
          <w:numId w:val="0"/>
        </w:numPr>
      </w:pPr>
      <w:r>
        <w:t xml:space="preserve">Children in </w:t>
      </w:r>
      <w:r w:rsidR="002D2B73">
        <w:t>watch house</w:t>
      </w:r>
      <w:r>
        <w:t>s may also be isolated for extended periods</w:t>
      </w:r>
      <w:r w:rsidR="005A30C3">
        <w:t xml:space="preserve">, </w:t>
      </w:r>
      <w:r w:rsidR="008C731A">
        <w:t xml:space="preserve">usually </w:t>
      </w:r>
      <w:r w:rsidR="00214636">
        <w:t xml:space="preserve">where there is only one boy or one girl at the </w:t>
      </w:r>
      <w:r w:rsidR="002D2B73">
        <w:t>watch house</w:t>
      </w:r>
      <w:r w:rsidR="00214636">
        <w:t xml:space="preserve">, or the child </w:t>
      </w:r>
      <w:r w:rsidR="004100AD">
        <w:t>is a risk to, or at risk of harm from, other children in custody.</w:t>
      </w:r>
      <w:r w:rsidR="0053447A">
        <w:rPr>
          <w:rStyle w:val="FootnoteReference"/>
        </w:rPr>
        <w:footnoteReference w:id="131"/>
      </w:r>
      <w:r w:rsidR="004100AD">
        <w:t xml:space="preserve"> </w:t>
      </w:r>
    </w:p>
    <w:p w14:paraId="32DBDEE1" w14:textId="4F2DF320" w:rsidR="00CE2E4F" w:rsidRPr="00642B90" w:rsidRDefault="00CE2E4F" w:rsidP="009B1DDB">
      <w:pPr>
        <w:pStyle w:val="Caseexample"/>
        <w:rPr>
          <w:b/>
          <w:bCs/>
        </w:rPr>
      </w:pPr>
      <w:r w:rsidRPr="00642B90">
        <w:rPr>
          <w:b/>
          <w:bCs/>
        </w:rPr>
        <w:t xml:space="preserve">Case </w:t>
      </w:r>
      <w:r w:rsidR="00642B90" w:rsidRPr="00642B90">
        <w:rPr>
          <w:b/>
          <w:bCs/>
        </w:rPr>
        <w:t>e</w:t>
      </w:r>
      <w:r w:rsidRPr="00642B90">
        <w:rPr>
          <w:b/>
          <w:bCs/>
        </w:rPr>
        <w:t>xamples</w:t>
      </w:r>
      <w:r w:rsidR="002C3DC3" w:rsidRPr="00642B90">
        <w:rPr>
          <w:b/>
          <w:bCs/>
        </w:rPr>
        <w:t xml:space="preserve">: </w:t>
      </w:r>
      <w:r w:rsidR="004A6026">
        <w:rPr>
          <w:b/>
          <w:bCs/>
        </w:rPr>
        <w:t xml:space="preserve">separation and </w:t>
      </w:r>
      <w:r w:rsidR="00642B90" w:rsidRPr="00642B90">
        <w:rPr>
          <w:b/>
          <w:bCs/>
        </w:rPr>
        <w:t>s</w:t>
      </w:r>
      <w:r w:rsidR="002C3DC3" w:rsidRPr="00642B90">
        <w:rPr>
          <w:b/>
          <w:bCs/>
        </w:rPr>
        <w:t xml:space="preserve">olitary confinement in </w:t>
      </w:r>
      <w:r w:rsidR="00642B90" w:rsidRPr="00642B90">
        <w:rPr>
          <w:b/>
          <w:bCs/>
        </w:rPr>
        <w:t>y</w:t>
      </w:r>
      <w:r w:rsidR="002C3DC3" w:rsidRPr="00642B90">
        <w:rPr>
          <w:b/>
          <w:bCs/>
        </w:rPr>
        <w:t xml:space="preserve">outh </w:t>
      </w:r>
      <w:r w:rsidR="00642B90" w:rsidRPr="00642B90">
        <w:rPr>
          <w:b/>
          <w:bCs/>
        </w:rPr>
        <w:t>d</w:t>
      </w:r>
      <w:r w:rsidR="002C3DC3" w:rsidRPr="00642B90">
        <w:rPr>
          <w:b/>
          <w:bCs/>
        </w:rPr>
        <w:t>etention</w:t>
      </w:r>
    </w:p>
    <w:p w14:paraId="38023C4C" w14:textId="17305E4E" w:rsidR="00CE2E4F" w:rsidRPr="009B1DDB" w:rsidRDefault="000C095A" w:rsidP="009B1DDB">
      <w:pPr>
        <w:pStyle w:val="Caseexample"/>
      </w:pPr>
      <w:r>
        <w:t>A</w:t>
      </w:r>
      <w:r w:rsidR="00CE2E4F" w:rsidRPr="009B1DDB">
        <w:t xml:space="preserve"> February 2023 judgment of the Children’s Court of Queensland recorded that a </w:t>
      </w:r>
      <w:r w:rsidR="0082520E">
        <w:t>1</w:t>
      </w:r>
      <w:r w:rsidR="00C26D27">
        <w:t>4</w:t>
      </w:r>
      <w:r w:rsidR="0082520E">
        <w:t xml:space="preserve"> year old </w:t>
      </w:r>
      <w:r w:rsidR="00CE2E4F" w:rsidRPr="009B1DDB">
        <w:t xml:space="preserve">child </w:t>
      </w:r>
      <w:r w:rsidR="0082520E">
        <w:t xml:space="preserve">with </w:t>
      </w:r>
      <w:proofErr w:type="spellStart"/>
      <w:r w:rsidR="0082520E">
        <w:t>Fetal</w:t>
      </w:r>
      <w:proofErr w:type="spellEnd"/>
      <w:r w:rsidR="0082520E">
        <w:t xml:space="preserve"> Alcohol Spectrum Disorder</w:t>
      </w:r>
      <w:r w:rsidR="00A65BEF">
        <w:t xml:space="preserve"> and a history of neglect and abuse</w:t>
      </w:r>
      <w:r w:rsidR="0082520E">
        <w:t xml:space="preserve"> </w:t>
      </w:r>
      <w:r w:rsidR="00CE2E4F" w:rsidRPr="009B1DDB">
        <w:t xml:space="preserve">had been confined to his cell for 20 hours or more on </w:t>
      </w:r>
      <w:r w:rsidR="00B7713F">
        <w:t>78 o</w:t>
      </w:r>
      <w:r>
        <w:t>f</w:t>
      </w:r>
      <w:r w:rsidR="00B7713F">
        <w:t xml:space="preserve"> the 87 </w:t>
      </w:r>
      <w:r w:rsidR="00CE2E4F" w:rsidRPr="009B1DDB">
        <w:t>days for which records were available</w:t>
      </w:r>
      <w:r w:rsidR="00151B46">
        <w:t xml:space="preserve"> during his </w:t>
      </w:r>
      <w:r w:rsidR="00A9290F">
        <w:t>period of remand</w:t>
      </w:r>
      <w:r w:rsidR="00CE2E4F" w:rsidRPr="009B1DDB">
        <w:t xml:space="preserve">. For 10 of those days </w:t>
      </w:r>
      <w:r w:rsidR="00A9340B">
        <w:t xml:space="preserve">he </w:t>
      </w:r>
      <w:r w:rsidR="00CE2E4F" w:rsidRPr="009B1DDB">
        <w:t>had been confined to his cell for 24 hours.</w:t>
      </w:r>
      <w:r w:rsidR="00713F14">
        <w:t xml:space="preserve"> He had been 13 when he committed the offence</w:t>
      </w:r>
      <w:r w:rsidR="00314D5B">
        <w:t xml:space="preserve"> and for part of his time on remand.</w:t>
      </w:r>
      <w:r w:rsidR="00A2406E">
        <w:t xml:space="preserve"> The judgme</w:t>
      </w:r>
      <w:r w:rsidR="00A23688">
        <w:t xml:space="preserve">nt records how, ‘particularly on days when you have been locked in your cell for the entire day, or only let out for a few minutes </w:t>
      </w:r>
      <w:r w:rsidR="00A65BEF">
        <w:t>…</w:t>
      </w:r>
      <w:r w:rsidR="00A23688">
        <w:t xml:space="preserve"> you developed behaviou</w:t>
      </w:r>
      <w:r w:rsidR="00F96F61">
        <w:t>r</w:t>
      </w:r>
      <w:r w:rsidR="00A23688">
        <w:t>al problems’.</w:t>
      </w:r>
      <w:r w:rsidR="00CF7C84">
        <w:rPr>
          <w:rStyle w:val="FootnoteReference"/>
        </w:rPr>
        <w:footnoteReference w:id="132"/>
      </w:r>
      <w:r w:rsidR="00CE2E4F" w:rsidRPr="009B1DDB">
        <w:t xml:space="preserve"> The court stated that the circumstances of his detention were ‘cruel, inappropriate and have served no rehabilitative effect’.</w:t>
      </w:r>
      <w:r w:rsidR="00CE2E4F" w:rsidRPr="009B1DDB">
        <w:rPr>
          <w:rStyle w:val="FootnoteReference"/>
        </w:rPr>
        <w:footnoteReference w:id="133"/>
      </w:r>
      <w:r w:rsidR="00AD0577">
        <w:t xml:space="preserve"> The </w:t>
      </w:r>
      <w:r w:rsidR="0054648E">
        <w:t>judge</w:t>
      </w:r>
      <w:r w:rsidR="00AD0577">
        <w:t xml:space="preserve"> </w:t>
      </w:r>
      <w:r w:rsidR="00485A35">
        <w:t xml:space="preserve">was satisfied that </w:t>
      </w:r>
      <w:r w:rsidR="006772DD">
        <w:t xml:space="preserve">the detention was likely to have caused </w:t>
      </w:r>
      <w:r w:rsidR="006772DD">
        <w:lastRenderedPageBreak/>
        <w:t>the child ‘significant harm’</w:t>
      </w:r>
      <w:r w:rsidR="006772DD">
        <w:rPr>
          <w:rStyle w:val="FootnoteReference"/>
        </w:rPr>
        <w:footnoteReference w:id="134"/>
      </w:r>
      <w:r w:rsidR="00050C79">
        <w:t xml:space="preserve"> and</w:t>
      </w:r>
      <w:r w:rsidR="00485A35">
        <w:t xml:space="preserve"> that</w:t>
      </w:r>
      <w:r w:rsidR="00050C79">
        <w:t xml:space="preserve"> the detention ‘may well have increased the risk of further offending</w:t>
      </w:r>
      <w:r w:rsidR="00485A35">
        <w:t>’ by the child</w:t>
      </w:r>
      <w:r w:rsidR="00050C79">
        <w:t>.</w:t>
      </w:r>
      <w:r w:rsidR="00FC71F2">
        <w:rPr>
          <w:rStyle w:val="FootnoteReference"/>
        </w:rPr>
        <w:footnoteReference w:id="135"/>
      </w:r>
      <w:r w:rsidR="00485A35">
        <w:t xml:space="preserve"> </w:t>
      </w:r>
    </w:p>
    <w:p w14:paraId="48D0124A" w14:textId="77777777" w:rsidR="00CE2E4F" w:rsidRPr="009B1DDB" w:rsidRDefault="00CE2E4F" w:rsidP="009B1DDB">
      <w:pPr>
        <w:pStyle w:val="Caseexample"/>
      </w:pPr>
      <w:r w:rsidRPr="009B1DDB">
        <w:t>In April 2023 a Children’s Court of Queensland judgment recorded how a 13 year old boy on remand was confined in his cell for 23 hours and 59 minutes on 11 days (of a 32 day period of detention). The judge noted that the boy had tried to plead guilty to the charges two days after being detained, and was unlikely to face a sentence of detention for the charges.</w:t>
      </w:r>
      <w:r w:rsidRPr="009B1DDB">
        <w:rPr>
          <w:rStyle w:val="FootnoteReference"/>
        </w:rPr>
        <w:footnoteReference w:id="136"/>
      </w:r>
      <w:r w:rsidRPr="009B1DDB">
        <w:t xml:space="preserve"> He considered that continuing to detain the child in these circumstances was ‘cruel and unusual punishment’.</w:t>
      </w:r>
      <w:r w:rsidRPr="009B1DDB">
        <w:rPr>
          <w:rStyle w:val="FootnoteReference"/>
        </w:rPr>
        <w:footnoteReference w:id="137"/>
      </w:r>
      <w:r w:rsidRPr="009B1DDB">
        <w:t xml:space="preserve"> </w:t>
      </w:r>
    </w:p>
    <w:p w14:paraId="715A8330" w14:textId="5CBABE24" w:rsidR="00CE2E4F" w:rsidRPr="009B1DDB" w:rsidRDefault="00CE2E4F" w:rsidP="009B1DDB">
      <w:pPr>
        <w:pStyle w:val="Caseexample"/>
      </w:pPr>
      <w:r w:rsidRPr="009B1DDB">
        <w:t xml:space="preserve">The </w:t>
      </w:r>
      <w:r w:rsidR="00130FC5">
        <w:t>2022–23</w:t>
      </w:r>
      <w:r w:rsidRPr="009B1DDB">
        <w:t xml:space="preserve"> Annual Report of the Child Death Review Board reported two cases of children who had died – one by suicide and one by drug overdose. Both had experienced long periods of separation in Youth Detention. One of the boys ‘was confined to his cell for more than 22 hours of the day …on 55 of the days he was in detention. On 22 days, he was in his cell for more than 23 hours. The Youth Justice report identified three occurrences of [the boy] spending 24 consecutive hours in his cell without a break and a further consecutive period of 31 hours and nine minutes’.</w:t>
      </w:r>
      <w:r w:rsidRPr="009B1DDB">
        <w:rPr>
          <w:rStyle w:val="FootnoteReference"/>
        </w:rPr>
        <w:footnoteReference w:id="138"/>
      </w:r>
      <w:r w:rsidRPr="009B1DDB">
        <w:t xml:space="preserve"> The other boy spent more than 50% of his 205 days in detention in separation.</w:t>
      </w:r>
      <w:r w:rsidRPr="009B1DDB">
        <w:rPr>
          <w:rStyle w:val="FootnoteReference"/>
        </w:rPr>
        <w:footnoteReference w:id="139"/>
      </w:r>
      <w:r w:rsidRPr="009B1DDB">
        <w:t xml:space="preserve"> </w:t>
      </w:r>
    </w:p>
    <w:p w14:paraId="3E338FBB" w14:textId="77777777" w:rsidR="009B1DDB" w:rsidRDefault="009B1DDB" w:rsidP="009B1DDB">
      <w:pPr>
        <w:pStyle w:val="Numberedparagraph"/>
        <w:numPr>
          <w:ilvl w:val="0"/>
          <w:numId w:val="0"/>
        </w:numPr>
        <w:ind w:left="567"/>
      </w:pPr>
    </w:p>
    <w:p w14:paraId="59CC690A" w14:textId="28A4328A" w:rsidR="00A849FD" w:rsidRDefault="00636C63" w:rsidP="00EC68E3">
      <w:pPr>
        <w:pStyle w:val="Numberedparagraph"/>
      </w:pPr>
      <w:r>
        <w:t xml:space="preserve">According to the </w:t>
      </w:r>
      <w:r w:rsidR="00A849FD">
        <w:t>Child Death Review Board</w:t>
      </w:r>
      <w:r>
        <w:t>,</w:t>
      </w:r>
      <w:r w:rsidR="00A849FD">
        <w:t xml:space="preserve"> </w:t>
      </w:r>
      <w:r>
        <w:t xml:space="preserve">the </w:t>
      </w:r>
      <w:r w:rsidR="00A849FD">
        <w:t>impact</w:t>
      </w:r>
      <w:r>
        <w:t>s</w:t>
      </w:r>
      <w:r w:rsidR="00A849FD">
        <w:t xml:space="preserve"> of separation </w:t>
      </w:r>
      <w:r>
        <w:t xml:space="preserve">in youth detention include </w:t>
      </w:r>
      <w:r w:rsidR="00A849FD">
        <w:t xml:space="preserve">re-traumatising victims of abuse and neglect, exacerbating pre-existing mental health problems, and causing ‘extreme anxiety’. The psychological effects of separation can be amplified for First Nations children and young people due to their specific cultural needs. Separation was also observed to be </w:t>
      </w:r>
      <w:r w:rsidR="007D2E3B">
        <w:t>counterproductive</w:t>
      </w:r>
      <w:r w:rsidR="00A849FD">
        <w:t>: it does not improve behaviour, creates problems with reintegration and fails to address the underlying causes of behaviour.</w:t>
      </w:r>
      <w:r>
        <w:t xml:space="preserve"> In relation to one of the deaths being </w:t>
      </w:r>
      <w:r w:rsidR="00603114">
        <w:t>examined</w:t>
      </w:r>
      <w:r>
        <w:t>, extended separation had significantly impacted the boy’s access to education, therapeutic and cultural programs, social and leisure activities, exercise, fresh air and sunlight, and directly limited his ability to engage in criminogenic programs while on remand.</w:t>
      </w:r>
      <w:r>
        <w:rPr>
          <w:rStyle w:val="FootnoteReference"/>
        </w:rPr>
        <w:footnoteReference w:id="140"/>
      </w:r>
      <w:r>
        <w:t xml:space="preserve"> </w:t>
      </w:r>
    </w:p>
    <w:p w14:paraId="62480FF5" w14:textId="71BB9546" w:rsidR="00FF4563" w:rsidRDefault="00FF4563" w:rsidP="00EC68E3">
      <w:pPr>
        <w:pStyle w:val="Numberedparagraph"/>
      </w:pPr>
      <w:r>
        <w:t xml:space="preserve">The Disability Royal Commission </w:t>
      </w:r>
      <w:r w:rsidR="00337633">
        <w:t>has also emphasised the ‘serious harm caused to children, who are already extremely vulnerable, by confining them for prolonged periods</w:t>
      </w:r>
      <w:r w:rsidR="00D6187D">
        <w:t>’</w:t>
      </w:r>
      <w:r w:rsidR="00337633">
        <w:t>.</w:t>
      </w:r>
      <w:r w:rsidR="00E02313">
        <w:rPr>
          <w:rStyle w:val="FootnoteReference"/>
        </w:rPr>
        <w:footnoteReference w:id="141"/>
      </w:r>
    </w:p>
    <w:p w14:paraId="3AE7F257" w14:textId="6C7270E4" w:rsidR="002B29E2" w:rsidRDefault="001E137A" w:rsidP="00000C5E">
      <w:pPr>
        <w:pStyle w:val="Numberedparagraph"/>
      </w:pPr>
      <w:r>
        <w:lastRenderedPageBreak/>
        <w:t xml:space="preserve">Where separation is for more than 22 hours without meaningful human contact </w:t>
      </w:r>
      <w:r w:rsidR="0071064E">
        <w:t xml:space="preserve">it will be considered under international minimum standards to amount to </w:t>
      </w:r>
      <w:r w:rsidR="00D44A70">
        <w:t>‘solitary confinement’.</w:t>
      </w:r>
      <w:r w:rsidR="003707CA">
        <w:rPr>
          <w:rStyle w:val="FootnoteReference"/>
        </w:rPr>
        <w:footnoteReference w:id="142"/>
      </w:r>
      <w:r w:rsidR="00D64893">
        <w:t xml:space="preserve"> </w:t>
      </w:r>
      <w:r w:rsidR="00AC7034">
        <w:t xml:space="preserve">Meaningful human contact </w:t>
      </w:r>
      <w:r w:rsidR="00AC7034" w:rsidRPr="00AC7034">
        <w:t xml:space="preserve">requires </w:t>
      </w:r>
      <w:r w:rsidR="00000C5E">
        <w:t>more than</w:t>
      </w:r>
      <w:r w:rsidR="00AC7034" w:rsidRPr="00AC7034">
        <w:t xml:space="preserve"> </w:t>
      </w:r>
      <w:r w:rsidR="00000C5E">
        <w:t>‘</w:t>
      </w:r>
      <w:r w:rsidR="00AC7034" w:rsidRPr="00AC7034">
        <w:t>those interactions determined by prison routines, the course of (criminal) investigations or medical necessity</w:t>
      </w:r>
      <w:r w:rsidR="00000C5E">
        <w:t>’</w:t>
      </w:r>
      <w:r w:rsidR="00AC7034" w:rsidRPr="00AC7034">
        <w:t>.</w:t>
      </w:r>
      <w:r w:rsidR="00000C5E">
        <w:rPr>
          <w:rStyle w:val="FootnoteReference"/>
        </w:rPr>
        <w:footnoteReference w:id="143"/>
      </w:r>
      <w:r w:rsidR="00000C5E">
        <w:t xml:space="preserve"> </w:t>
      </w:r>
      <w:r w:rsidR="00EC68E3">
        <w:t xml:space="preserve">At international law, indefinite solitary confinement and prolonged solitary confinement </w:t>
      </w:r>
      <w:r w:rsidR="005A27D3">
        <w:t xml:space="preserve">(greater than 14 consecutive days) </w:t>
      </w:r>
      <w:r w:rsidR="00EC68E3">
        <w:t xml:space="preserve">are prohibited for </w:t>
      </w:r>
      <w:r w:rsidR="00EC68E3" w:rsidRPr="00000C5E">
        <w:rPr>
          <w:i/>
          <w:iCs/>
        </w:rPr>
        <w:t>any</w:t>
      </w:r>
      <w:r w:rsidR="00EC68E3">
        <w:t xml:space="preserve"> prisoner and are considered to amount to torture or other ill-treatment.</w:t>
      </w:r>
      <w:r w:rsidR="00EC68E3">
        <w:rPr>
          <w:rStyle w:val="FootnoteReference"/>
        </w:rPr>
        <w:footnoteReference w:id="144"/>
      </w:r>
      <w:r w:rsidR="00D64893">
        <w:t xml:space="preserve"> </w:t>
      </w:r>
      <w:r w:rsidR="00EC68E3">
        <w:t>International standards also prohibit the imposition of any period of solitary confinement on prisoners with mental or physical disabilities when it would exacerbate their conditions, or the imposition of solitary confinement on children as a disciplinary measure.</w:t>
      </w:r>
      <w:r w:rsidR="00EC68E3">
        <w:rPr>
          <w:rStyle w:val="FootnoteReference"/>
        </w:rPr>
        <w:footnoteReference w:id="145"/>
      </w:r>
      <w:r w:rsidR="00D64893">
        <w:t xml:space="preserve"> </w:t>
      </w:r>
    </w:p>
    <w:p w14:paraId="1200950E" w14:textId="77777777" w:rsidR="00D95B91" w:rsidRDefault="00D95B91" w:rsidP="00D95B91">
      <w:pPr>
        <w:pStyle w:val="Numberedparagraph"/>
      </w:pPr>
      <w:r>
        <w:t>The Australian Human Rights Commission’s submission to the Committee Against Torture said:</w:t>
      </w:r>
    </w:p>
    <w:p w14:paraId="3B62FD4C" w14:textId="0CDE01DD" w:rsidR="00D95B91" w:rsidRPr="00D535AD" w:rsidRDefault="00D95B91" w:rsidP="00D95B91">
      <w:pPr>
        <w:pStyle w:val="Numberedparagraph"/>
        <w:numPr>
          <w:ilvl w:val="0"/>
          <w:numId w:val="0"/>
        </w:numPr>
        <w:ind w:left="720"/>
        <w:rPr>
          <w:sz w:val="20"/>
          <w:szCs w:val="20"/>
        </w:rPr>
      </w:pPr>
      <w:r w:rsidRPr="00D535AD">
        <w:rPr>
          <w:sz w:val="20"/>
          <w:szCs w:val="20"/>
        </w:rPr>
        <w:t>Multiple studies confirm that the use of solitary confinement in institutional settings is often harmful. There is ‘unequivocal evidence’ that solitary confinement has a profound impact on health and wellbeing, and that children and young people are particularly susceptible.</w:t>
      </w:r>
      <w:r w:rsidR="00D64893">
        <w:rPr>
          <w:sz w:val="20"/>
          <w:szCs w:val="20"/>
        </w:rPr>
        <w:t xml:space="preserve"> </w:t>
      </w:r>
      <w:r w:rsidRPr="00D535AD">
        <w:rPr>
          <w:sz w:val="20"/>
          <w:szCs w:val="20"/>
        </w:rPr>
        <w:t>A vast body of research confirms that young people, until around 25 years, are still developing physically, mentally, neurologically and socially, and as a result, solitary confinement poses a serious risk of long-term harm.</w:t>
      </w:r>
      <w:r w:rsidRPr="00D535AD">
        <w:rPr>
          <w:sz w:val="20"/>
          <w:szCs w:val="20"/>
          <w:vertAlign w:val="superscript"/>
        </w:rPr>
        <w:footnoteReference w:id="146"/>
      </w:r>
    </w:p>
    <w:p w14:paraId="5F9C23D3" w14:textId="49937E9D" w:rsidR="00D95B91" w:rsidRDefault="00D95B91" w:rsidP="00D95B91">
      <w:pPr>
        <w:pStyle w:val="Numberedparagraph"/>
      </w:pPr>
      <w:r>
        <w:t xml:space="preserve">The </w:t>
      </w:r>
      <w:r w:rsidRPr="00B62FCD">
        <w:rPr>
          <w:i/>
          <w:iCs/>
        </w:rPr>
        <w:t xml:space="preserve">Istanbul Statement on the Use and </w:t>
      </w:r>
      <w:r w:rsidR="00EE7E07">
        <w:rPr>
          <w:i/>
          <w:iCs/>
        </w:rPr>
        <w:t>E</w:t>
      </w:r>
      <w:r w:rsidRPr="00B62FCD">
        <w:rPr>
          <w:i/>
          <w:iCs/>
        </w:rPr>
        <w:t>ffects of Solitary Confinement</w:t>
      </w:r>
      <w:r>
        <w:t xml:space="preserve"> provides </w:t>
      </w:r>
      <w:r w:rsidRPr="00B62FCD">
        <w:t>‘</w:t>
      </w:r>
      <w:r>
        <w:t>N</w:t>
      </w:r>
      <w:r w:rsidRPr="00B62FCD">
        <w:t>egative health effects can occur after only a few days in solitary confinement, and the health risks rise with each additional day spent in such conditions’.</w:t>
      </w:r>
      <w:r>
        <w:rPr>
          <w:rStyle w:val="FootnoteReference"/>
        </w:rPr>
        <w:footnoteReference w:id="147"/>
      </w:r>
      <w:r>
        <w:t xml:space="preserve"> Similarly, Cleveland Youth Detention Centre psychologists told the Inspector of Detention Services: </w:t>
      </w:r>
    </w:p>
    <w:p w14:paraId="04173FFB" w14:textId="77777777" w:rsidR="00D95B91" w:rsidRPr="00B25A7F" w:rsidRDefault="00D95B91" w:rsidP="00D95B91">
      <w:pPr>
        <w:pStyle w:val="Numberedparagraph"/>
        <w:numPr>
          <w:ilvl w:val="0"/>
          <w:numId w:val="0"/>
        </w:numPr>
        <w:ind w:left="720"/>
        <w:rPr>
          <w:sz w:val="20"/>
          <w:szCs w:val="20"/>
        </w:rPr>
      </w:pPr>
      <w:r w:rsidRPr="00B25A7F">
        <w:rPr>
          <w:sz w:val="20"/>
          <w:szCs w:val="20"/>
        </w:rPr>
        <w:t xml:space="preserve">… the timeframes in which they would see a decline in the mental health of children who were separated depended on each child. It can occur after a day for some but can </w:t>
      </w:r>
      <w:r w:rsidRPr="00B25A7F">
        <w:rPr>
          <w:sz w:val="20"/>
          <w:szCs w:val="20"/>
        </w:rPr>
        <w:lastRenderedPageBreak/>
        <w:t>take longer for others. However, they also advised that the effect is usually noticeable by the second day of separation.</w:t>
      </w:r>
      <w:r>
        <w:rPr>
          <w:rStyle w:val="FootnoteReference"/>
          <w:sz w:val="20"/>
          <w:szCs w:val="20"/>
        </w:rPr>
        <w:footnoteReference w:id="148"/>
      </w:r>
    </w:p>
    <w:p w14:paraId="04821169" w14:textId="418DC574" w:rsidR="00145E93" w:rsidRDefault="00E037BB" w:rsidP="00554D1A">
      <w:pPr>
        <w:pStyle w:val="Numberedparagraph"/>
      </w:pPr>
      <w:r>
        <w:t xml:space="preserve">Depending on the circumstances, the involuntary separation of a child from others in </w:t>
      </w:r>
      <w:r w:rsidR="001F246B">
        <w:t xml:space="preserve">youth detention centres and </w:t>
      </w:r>
      <w:r w:rsidR="002D2B73">
        <w:t>watch house</w:t>
      </w:r>
      <w:r w:rsidR="001F246B">
        <w:t>s</w:t>
      </w:r>
      <w:r>
        <w:t xml:space="preserve"> may amount to</w:t>
      </w:r>
      <w:r w:rsidR="00EF74D7">
        <w:t xml:space="preserve"> inhumane conditions of detention or to</w:t>
      </w:r>
      <w:r>
        <w:t xml:space="preserve"> torture or cruel, inhuman or degrading treatment</w:t>
      </w:r>
      <w:r w:rsidR="0072178C">
        <w:t>.</w:t>
      </w:r>
      <w:r w:rsidR="006E5C70" w:rsidRPr="00367147">
        <w:rPr>
          <w:vertAlign w:val="superscript"/>
        </w:rPr>
        <w:footnoteReference w:id="149"/>
      </w:r>
      <w:r w:rsidR="00D64893">
        <w:t xml:space="preserve"> </w:t>
      </w:r>
      <w:r w:rsidR="006A3043">
        <w:t xml:space="preserve">Involuntary separation </w:t>
      </w:r>
      <w:r w:rsidR="00E02313">
        <w:t xml:space="preserve">is also likely </w:t>
      </w:r>
      <w:r w:rsidR="00FD5372">
        <w:t>to significantly impact other</w:t>
      </w:r>
      <w:r w:rsidR="00370D50">
        <w:t xml:space="preserve"> children’s other rights, including </w:t>
      </w:r>
      <w:r w:rsidR="007A57BF">
        <w:t>rights to health and education.</w:t>
      </w:r>
      <w:r w:rsidR="00FD5372">
        <w:t xml:space="preserve"> </w:t>
      </w:r>
      <w:r w:rsidR="00A45A68">
        <w:t xml:space="preserve">Consistent with this, </w:t>
      </w:r>
      <w:r w:rsidR="00BA2DC3">
        <w:t xml:space="preserve">domestic and international bodies have </w:t>
      </w:r>
      <w:r w:rsidR="00B52BBA">
        <w:t xml:space="preserve">called for </w:t>
      </w:r>
      <w:r w:rsidR="00457440">
        <w:t xml:space="preserve">legislative and policy </w:t>
      </w:r>
      <w:r w:rsidR="00B52BBA">
        <w:t>measures</w:t>
      </w:r>
      <w:r w:rsidR="00FF1EE0">
        <w:t xml:space="preserve"> in Australia</w:t>
      </w:r>
      <w:r w:rsidR="00B52BBA">
        <w:t xml:space="preserve"> to</w:t>
      </w:r>
      <w:r w:rsidR="00145E93">
        <w:t>:</w:t>
      </w:r>
    </w:p>
    <w:p w14:paraId="65B550CB" w14:textId="6B787BAB" w:rsidR="00145E93" w:rsidRDefault="00B52BBA" w:rsidP="00145E93">
      <w:pPr>
        <w:pStyle w:val="Bulletedlist"/>
      </w:pPr>
      <w:r>
        <w:t>prohibit and eli</w:t>
      </w:r>
      <w:r w:rsidR="00632F20">
        <w:t>minate the use of solitary confinement for children</w:t>
      </w:r>
      <w:r w:rsidR="00C7709B">
        <w:rPr>
          <w:rStyle w:val="FootnoteReference"/>
        </w:rPr>
        <w:footnoteReference w:id="150"/>
      </w:r>
    </w:p>
    <w:p w14:paraId="79C46F84" w14:textId="4BAAF45A" w:rsidR="00C24314" w:rsidRDefault="00F05A91" w:rsidP="00145E93">
      <w:pPr>
        <w:pStyle w:val="Bulletedlist"/>
      </w:pPr>
      <w:r>
        <w:t xml:space="preserve">ensure that isolation of children is only used </w:t>
      </w:r>
      <w:r w:rsidR="00DF0198">
        <w:t>when necessary to prevent imminent and serious threat of injury, as a last resort, and for the shortest amount of time</w:t>
      </w:r>
      <w:r w:rsidR="00E56375">
        <w:rPr>
          <w:rStyle w:val="FootnoteReference"/>
        </w:rPr>
        <w:footnoteReference w:id="151"/>
      </w:r>
    </w:p>
    <w:p w14:paraId="40D6CC52" w14:textId="77777777" w:rsidR="004B4B07" w:rsidRDefault="00DB688B" w:rsidP="004B4B07">
      <w:pPr>
        <w:pStyle w:val="Bulletedlist"/>
      </w:pPr>
      <w:r>
        <w:t xml:space="preserve">agree </w:t>
      </w:r>
      <w:r w:rsidR="001A41AF">
        <w:t>nationally consistent definitions and minimum standards for isolation practices in youth justice detention, in accordance with international human rights standards</w:t>
      </w:r>
      <w:r w:rsidR="001A41AF">
        <w:rPr>
          <w:rStyle w:val="FootnoteReference"/>
        </w:rPr>
        <w:footnoteReference w:id="152"/>
      </w:r>
    </w:p>
    <w:p w14:paraId="18DC2C13" w14:textId="4EC2901D" w:rsidR="00512CDC" w:rsidRDefault="004B4B07" w:rsidP="00512CDC">
      <w:pPr>
        <w:pStyle w:val="Bulletedlist"/>
      </w:pPr>
      <w:r>
        <w:t xml:space="preserve">ensure </w:t>
      </w:r>
      <w:r w:rsidR="0046434B">
        <w:t>accurate and disaggregated reporting on the use of isolation on children and young people</w:t>
      </w:r>
      <w:r w:rsidR="009460BF">
        <w:t>, as is already required for adult corrections</w:t>
      </w:r>
      <w:r w:rsidR="0046434B">
        <w:rPr>
          <w:rStyle w:val="FootnoteReference"/>
        </w:rPr>
        <w:footnoteReference w:id="153"/>
      </w:r>
      <w:r w:rsidR="0046434B">
        <w:t>.</w:t>
      </w:r>
    </w:p>
    <w:p w14:paraId="6B773069" w14:textId="691064CF" w:rsidR="008F3ACF" w:rsidRPr="00CA71ED" w:rsidRDefault="00512CDC" w:rsidP="00CA71ED">
      <w:pPr>
        <w:pStyle w:val="Bulletedlist"/>
      </w:pPr>
      <w:r>
        <w:t>require that psychologists are consulted</w:t>
      </w:r>
      <w:r w:rsidR="00F1207F">
        <w:t xml:space="preserve"> about the individual needs of children placed in separation</w:t>
      </w:r>
      <w:r w:rsidR="0007213B">
        <w:t xml:space="preserve"> in youth detention centres</w:t>
      </w:r>
      <w:r w:rsidR="00F1207F">
        <w:t xml:space="preserve"> and their advice is considered and recorded when a period of separation beyond one day is requested,</w:t>
      </w:r>
      <w:r w:rsidR="0007213B">
        <w:t xml:space="preserve"> and for children in </w:t>
      </w:r>
      <w:r w:rsidR="002D2B73">
        <w:t>watch house</w:t>
      </w:r>
      <w:r w:rsidR="0007213B">
        <w:t xml:space="preserve"> isolation to be referred to mental health and/or medical staff and cultural support services</w:t>
      </w:r>
      <w:r w:rsidR="00F1207F">
        <w:t>.</w:t>
      </w:r>
      <w:r w:rsidR="00F1207F">
        <w:rPr>
          <w:rStyle w:val="FootnoteReference"/>
        </w:rPr>
        <w:footnoteReference w:id="154"/>
      </w:r>
      <w:r w:rsidR="008F3ACF">
        <w:br w:type="page"/>
      </w:r>
    </w:p>
    <w:p w14:paraId="7CFD8160" w14:textId="191F93D6" w:rsidR="00D6037C" w:rsidRDefault="00D6037C" w:rsidP="00D86157">
      <w:pPr>
        <w:pStyle w:val="Heading1"/>
      </w:pPr>
      <w:bookmarkStart w:id="18" w:name="_Toc180746456"/>
      <w:r>
        <w:lastRenderedPageBreak/>
        <w:t xml:space="preserve">The need </w:t>
      </w:r>
      <w:r w:rsidR="004C41A2">
        <w:t>to legislate</w:t>
      </w:r>
      <w:r>
        <w:t xml:space="preserve"> national minimum standards</w:t>
      </w:r>
      <w:bookmarkEnd w:id="18"/>
    </w:p>
    <w:p w14:paraId="5D9C8128" w14:textId="0F2D1088" w:rsidR="000A01F2" w:rsidRPr="000A01F2" w:rsidRDefault="00223A98" w:rsidP="00D86157">
      <w:pPr>
        <w:pStyle w:val="Numberedparagraph"/>
      </w:pPr>
      <w:r w:rsidRPr="000A01F2">
        <w:t>In her recent report</w:t>
      </w:r>
      <w:r w:rsidR="00311F4A">
        <w:t xml:space="preserve"> on child justice</w:t>
      </w:r>
      <w:r w:rsidRPr="000A01F2">
        <w:t xml:space="preserve">, the National Children’s Commissioner </w:t>
      </w:r>
      <w:r w:rsidR="00A227A3" w:rsidRPr="000A01F2">
        <w:t>referred to</w:t>
      </w:r>
      <w:r w:rsidR="00F619AC">
        <w:t xml:space="preserve"> the</w:t>
      </w:r>
      <w:r w:rsidR="00A227A3" w:rsidRPr="000A01F2">
        <w:t xml:space="preserve"> </w:t>
      </w:r>
      <w:r w:rsidR="00124E90" w:rsidRPr="000A01F2">
        <w:t>issues considered</w:t>
      </w:r>
      <w:r w:rsidR="00713C8B" w:rsidRPr="000A01F2">
        <w:t xml:space="preserve"> by this Inquiry as</w:t>
      </w:r>
      <w:r w:rsidR="00BB6D01" w:rsidRPr="000A01F2">
        <w:t xml:space="preserve"> </w:t>
      </w:r>
      <w:r w:rsidR="008F39AA" w:rsidRPr="000A01F2">
        <w:t>‘one of the most urgent human rights issues facing Australia today’.</w:t>
      </w:r>
      <w:r w:rsidR="00F619AC">
        <w:rPr>
          <w:rStyle w:val="FootnoteReference"/>
        </w:rPr>
        <w:footnoteReference w:id="155"/>
      </w:r>
      <w:r w:rsidR="008F39AA" w:rsidRPr="000A01F2">
        <w:t xml:space="preserve"> She </w:t>
      </w:r>
      <w:r w:rsidR="00F619AC">
        <w:t>emphasised that</w:t>
      </w:r>
      <w:r w:rsidR="000A01F2" w:rsidRPr="000A01F2">
        <w:t xml:space="preserve"> </w:t>
      </w:r>
    </w:p>
    <w:p w14:paraId="39165B4D" w14:textId="0F07F7CE" w:rsidR="00B54B5C" w:rsidRDefault="000A01F2" w:rsidP="000A01F2">
      <w:pPr>
        <w:pStyle w:val="Quote"/>
      </w:pPr>
      <w:r w:rsidRPr="000A01F2">
        <w:t>Australia continually fails to implement evidence-based reforms to our child justice systems which would reduce offending behaviour and make our communities safer.</w:t>
      </w:r>
      <w:r w:rsidR="00E9030E">
        <w:rPr>
          <w:rStyle w:val="FootnoteReference"/>
        </w:rPr>
        <w:footnoteReference w:id="156"/>
      </w:r>
      <w:r w:rsidR="006F3807" w:rsidRPr="000A01F2">
        <w:t xml:space="preserve"> </w:t>
      </w:r>
    </w:p>
    <w:p w14:paraId="3209CECB" w14:textId="1EFC5425" w:rsidR="000A7715" w:rsidRPr="000A7715" w:rsidRDefault="000A7715" w:rsidP="000A7715">
      <w:pPr>
        <w:pStyle w:val="Numberedparagraph"/>
      </w:pPr>
      <w:r>
        <w:t xml:space="preserve">She has rightly </w:t>
      </w:r>
      <w:r w:rsidR="00CF66B2">
        <w:t>called</w:t>
      </w:r>
      <w:r w:rsidR="00FA2FD3">
        <w:t xml:space="preserve"> for</w:t>
      </w:r>
      <w:r>
        <w:t xml:space="preserve"> a national approach for reform, </w:t>
      </w:r>
      <w:r w:rsidR="003675C3">
        <w:t>with ‘the principles in the [Convention on the Rights of the Child] as a compass to guide our policy decisions, for the wellbeing of Australia’s children and the whole community’.</w:t>
      </w:r>
      <w:r w:rsidR="002C39F5">
        <w:rPr>
          <w:rStyle w:val="FootnoteReference"/>
        </w:rPr>
        <w:footnoteReference w:id="157"/>
      </w:r>
    </w:p>
    <w:p w14:paraId="66C7154B" w14:textId="4C216B18" w:rsidR="00F40EF8" w:rsidRDefault="00B90FBA" w:rsidP="00D86157">
      <w:pPr>
        <w:pStyle w:val="Numberedparagraph"/>
      </w:pPr>
      <w:r>
        <w:t>The Queensland experience shows why</w:t>
      </w:r>
      <w:r w:rsidR="00F40EF8">
        <w:t xml:space="preserve"> a national approach to youth </w:t>
      </w:r>
      <w:r w:rsidR="00544F5D">
        <w:t>justice</w:t>
      </w:r>
      <w:r w:rsidR="007E56D2">
        <w:t xml:space="preserve"> –</w:t>
      </w:r>
      <w:r w:rsidR="00544F5D">
        <w:t xml:space="preserve"> </w:t>
      </w:r>
      <w:r w:rsidR="007E56D2">
        <w:t xml:space="preserve">including </w:t>
      </w:r>
      <w:r w:rsidR="00544F5D">
        <w:t>enforceable national minimum standards</w:t>
      </w:r>
      <w:r w:rsidR="007E56D2">
        <w:t xml:space="preserve"> – is</w:t>
      </w:r>
      <w:r w:rsidR="00544F5D">
        <w:t xml:space="preserve"> essential. </w:t>
      </w:r>
      <w:r w:rsidR="006826E6">
        <w:t xml:space="preserve">Multiple reports </w:t>
      </w:r>
      <w:r w:rsidR="00176834">
        <w:t xml:space="preserve">in Queensland </w:t>
      </w:r>
      <w:r w:rsidR="006826E6">
        <w:t xml:space="preserve">have identified how fragmentation of responsibility </w:t>
      </w:r>
      <w:r w:rsidR="00D4307C">
        <w:t xml:space="preserve">for youth justice </w:t>
      </w:r>
      <w:r w:rsidR="006826E6">
        <w:t>between different agencies has meant that no agency is accountable for success or failure or empowered to direct appropriate use of resources.</w:t>
      </w:r>
      <w:r w:rsidR="006826E6">
        <w:rPr>
          <w:rStyle w:val="FootnoteReference"/>
        </w:rPr>
        <w:footnoteReference w:id="158"/>
      </w:r>
      <w:r w:rsidR="006826E6">
        <w:t xml:space="preserve"> </w:t>
      </w:r>
      <w:r w:rsidR="00544F5D">
        <w:t xml:space="preserve">Despite </w:t>
      </w:r>
      <w:r w:rsidR="00E5752D">
        <w:t xml:space="preserve">clear </w:t>
      </w:r>
      <w:r w:rsidR="00544F5D">
        <w:t>evidence of what works</w:t>
      </w:r>
      <w:r w:rsidR="00485B13">
        <w:t xml:space="preserve"> and what does not, short-term political imperatives </w:t>
      </w:r>
      <w:r w:rsidR="00B471C5">
        <w:t>can</w:t>
      </w:r>
      <w:r w:rsidR="00485B13">
        <w:t xml:space="preserve"> drive decision-makin</w:t>
      </w:r>
      <w:r w:rsidR="00CE391E">
        <w:t>g</w:t>
      </w:r>
      <w:r w:rsidR="005F0E09">
        <w:t xml:space="preserve"> contrary to the evidence</w:t>
      </w:r>
      <w:r w:rsidR="00CE391E">
        <w:t>.</w:t>
      </w:r>
      <w:r w:rsidR="0019439F">
        <w:t xml:space="preserve"> </w:t>
      </w:r>
      <w:r w:rsidR="0041084E">
        <w:t>Short-term, reactive policy responses have</w:t>
      </w:r>
      <w:r w:rsidR="00CE391E">
        <w:t xml:space="preserve"> not just </w:t>
      </w:r>
      <w:r w:rsidR="002648D1">
        <w:t xml:space="preserve">led </w:t>
      </w:r>
      <w:r w:rsidR="00CE391E">
        <w:t>to a failing system, but to serious violations of the rights of some of the most vulnerable members of the community.</w:t>
      </w:r>
    </w:p>
    <w:p w14:paraId="46D3B051" w14:textId="6F6316FA" w:rsidR="00FD623C" w:rsidRDefault="003F69EC" w:rsidP="00D86157">
      <w:pPr>
        <w:pStyle w:val="Numberedparagraph"/>
      </w:pPr>
      <w:r>
        <w:t>From a practical perspective, t</w:t>
      </w:r>
      <w:r w:rsidR="00FD623C">
        <w:t>he benefits of national leadership in this area were recognised in the Atkinson report</w:t>
      </w:r>
      <w:r w:rsidR="004233AB">
        <w:t>:</w:t>
      </w:r>
    </w:p>
    <w:p w14:paraId="4D70A7F5" w14:textId="7A433D93" w:rsidR="00DB12FD" w:rsidRDefault="00DB12FD" w:rsidP="00BC1663">
      <w:pPr>
        <w:pStyle w:val="Quote"/>
      </w:pPr>
      <w:r w:rsidRPr="00DB12FD">
        <w:t xml:space="preserve">A national framework for Youth Justice would see a consistent, evidence-based approach advocated and delivered across Australia through the identification of core service elements, objectives and measurable outcomes. In accord with the </w:t>
      </w:r>
      <w:r w:rsidR="009E4D4A">
        <w:t xml:space="preserve">[Australian Law Reform Commission Report </w:t>
      </w:r>
      <w:r w:rsidR="009E4D4A">
        <w:rPr>
          <w:i/>
          <w:iCs/>
        </w:rPr>
        <w:t>Pathways to Justice</w:t>
      </w:r>
      <w:r w:rsidR="009E4D4A">
        <w:t>]</w:t>
      </w:r>
      <w:r w:rsidRPr="00DB12FD">
        <w:t xml:space="preserve"> and the NT Royal Commission, addressing Aboriginal and Torres Strait Islander over-representation would need to be a priority.</w:t>
      </w:r>
      <w:r w:rsidR="00095113">
        <w:t xml:space="preserve"> …</w:t>
      </w:r>
    </w:p>
    <w:p w14:paraId="7F53C1B8" w14:textId="69501015" w:rsidR="004233AB" w:rsidRDefault="004233AB" w:rsidP="00AA5727">
      <w:pPr>
        <w:pStyle w:val="Quote"/>
      </w:pPr>
      <w:r w:rsidRPr="004233AB">
        <w:lastRenderedPageBreak/>
        <w:t>Elevating youth justice to a national level would facilitate national benchmarking, consistency of legislative frameworks, identification and sharing of best practice and contributing to endeavours to reduce the disproportionate rate of Aboriginal and Torres Strait Islander representation. A national agenda would also ensure the goodwill of governments across Australia is harnessed and the work of departments towards change is directed and supported in a cohesive manner. This would include, for instance, sharing learnings across jurisdictions relevant to other States and Territories</w:t>
      </w:r>
      <w:r w:rsidR="00321BB5">
        <w:t>.</w:t>
      </w:r>
      <w:r w:rsidR="002142DF">
        <w:rPr>
          <w:rStyle w:val="FootnoteReference"/>
        </w:rPr>
        <w:footnoteReference w:id="159"/>
      </w:r>
    </w:p>
    <w:p w14:paraId="357769CB" w14:textId="71690967" w:rsidR="00AE0D80" w:rsidRDefault="00AE0D80" w:rsidP="00AE0D80">
      <w:pPr>
        <w:pStyle w:val="Numberedparagraph"/>
        <w:rPr>
          <w:sz w:val="20"/>
          <w:szCs w:val="20"/>
        </w:rPr>
      </w:pPr>
      <w:r>
        <w:t xml:space="preserve">From a legal perspective, the treatment of many children in the youth justice system is, as </w:t>
      </w:r>
      <w:r w:rsidR="00BC250E">
        <w:t xml:space="preserve">outlined </w:t>
      </w:r>
      <w:r>
        <w:t xml:space="preserve">in in this submission, contrary to Australia’s </w:t>
      </w:r>
      <w:r w:rsidR="00E67FE0">
        <w:t xml:space="preserve">fundamental </w:t>
      </w:r>
      <w:r>
        <w:t>obligations under</w:t>
      </w:r>
      <w:r w:rsidR="00A65F07">
        <w:t xml:space="preserve"> core</w:t>
      </w:r>
      <w:r>
        <w:t xml:space="preserve"> international human rights treaties. These obligations are binding across the whole of Australia’s territory, including its states, and Australia cannot rely on internal law as a justification for a failure to perform its obligations.</w:t>
      </w:r>
      <w:r>
        <w:rPr>
          <w:rStyle w:val="FootnoteReference"/>
        </w:rPr>
        <w:footnoteReference w:id="160"/>
      </w:r>
      <w:r>
        <w:t xml:space="preserve"> </w:t>
      </w:r>
      <w:r w:rsidR="00A65F07">
        <w:t xml:space="preserve">The Commonwealth government </w:t>
      </w:r>
      <w:r>
        <w:t xml:space="preserve">has the power to legislate for </w:t>
      </w:r>
      <w:r w:rsidR="00BB4391">
        <w:t xml:space="preserve">an </w:t>
      </w:r>
      <w:r w:rsidR="00703DE9">
        <w:t xml:space="preserve">enforceable </w:t>
      </w:r>
      <w:r w:rsidR="003A1C62">
        <w:t xml:space="preserve">minimum </w:t>
      </w:r>
      <w:r w:rsidR="00BB4391">
        <w:t>baseline</w:t>
      </w:r>
      <w:r>
        <w:t xml:space="preserve"> in this area,</w:t>
      </w:r>
      <w:r>
        <w:rPr>
          <w:rStyle w:val="FootnoteReference"/>
        </w:rPr>
        <w:footnoteReference w:id="161"/>
      </w:r>
      <w:r>
        <w:t xml:space="preserve"> and the obligation to do so.</w:t>
      </w:r>
      <w:r>
        <w:rPr>
          <w:rStyle w:val="FootnoteReference"/>
        </w:rPr>
        <w:footnoteReference w:id="162"/>
      </w:r>
    </w:p>
    <w:p w14:paraId="2B5F29B3" w14:textId="30FF08C9" w:rsidR="003076C3" w:rsidRDefault="007C27FD" w:rsidP="006B5F84">
      <w:pPr>
        <w:pStyle w:val="Numberedparagraph"/>
      </w:pPr>
      <w:r>
        <w:t xml:space="preserve">To uphold Australia’s international human rights obligations, </w:t>
      </w:r>
      <w:r w:rsidR="00703DE9">
        <w:t xml:space="preserve">including </w:t>
      </w:r>
      <w:r>
        <w:t xml:space="preserve">as reflected in Queensland’s Human Rights Act, the Commission </w:t>
      </w:r>
      <w:r w:rsidR="00F03192">
        <w:t>urges the Commonwealth government to enact</w:t>
      </w:r>
      <w:r>
        <w:t xml:space="preserve"> </w:t>
      </w:r>
      <w:r w:rsidR="00C47A73">
        <w:t xml:space="preserve">national </w:t>
      </w:r>
      <w:r>
        <w:t xml:space="preserve">enforceable </w:t>
      </w:r>
      <w:r w:rsidR="00C47A73">
        <w:t xml:space="preserve">minimum standards </w:t>
      </w:r>
      <w:r w:rsidR="00B7726B">
        <w:t>that cover the following</w:t>
      </w:r>
      <w:r w:rsidR="00C47A73">
        <w:t>:</w:t>
      </w:r>
    </w:p>
    <w:p w14:paraId="642CF618" w14:textId="52B89FE5" w:rsidR="009132BD" w:rsidRDefault="0051619C" w:rsidP="009132BD">
      <w:pPr>
        <w:pStyle w:val="Numberedparagraph"/>
        <w:numPr>
          <w:ilvl w:val="1"/>
          <w:numId w:val="13"/>
        </w:numPr>
        <w:rPr>
          <w:lang w:val="en-US"/>
        </w:rPr>
      </w:pPr>
      <w:r>
        <w:rPr>
          <w:lang w:val="en-US"/>
        </w:rPr>
        <w:t>r</w:t>
      </w:r>
      <w:r w:rsidR="00C47A73">
        <w:rPr>
          <w:lang w:val="en-US"/>
        </w:rPr>
        <w:t xml:space="preserve">aising the minimum age of criminal responsibility to </w:t>
      </w:r>
      <w:r w:rsidR="009132BD" w:rsidRPr="009132BD">
        <w:rPr>
          <w:lang w:val="en-US"/>
        </w:rPr>
        <w:t>14 years</w:t>
      </w:r>
    </w:p>
    <w:p w14:paraId="6771C11E" w14:textId="3050CF0E" w:rsidR="00C1173D" w:rsidRPr="00D31C13" w:rsidRDefault="00C1173D" w:rsidP="00C1173D">
      <w:pPr>
        <w:pStyle w:val="Numberedparagraph"/>
        <w:numPr>
          <w:ilvl w:val="1"/>
          <w:numId w:val="13"/>
        </w:numPr>
        <w:rPr>
          <w:lang w:val="en-US"/>
        </w:rPr>
      </w:pPr>
      <w:r>
        <w:rPr>
          <w:lang w:val="en-US"/>
        </w:rPr>
        <w:t xml:space="preserve">prohibition of solitary confinement </w:t>
      </w:r>
      <w:r w:rsidR="001632D5">
        <w:rPr>
          <w:lang w:val="en-US"/>
        </w:rPr>
        <w:t>of</w:t>
      </w:r>
      <w:r>
        <w:rPr>
          <w:lang w:val="en-US"/>
        </w:rPr>
        <w:t xml:space="preserve"> children</w:t>
      </w:r>
      <w:r w:rsidR="00116B3D">
        <w:rPr>
          <w:lang w:val="en-US"/>
        </w:rPr>
        <w:t>, and any use of isolation of children as a punishment</w:t>
      </w:r>
    </w:p>
    <w:p w14:paraId="23FBE707" w14:textId="77777777" w:rsidR="00A60E6F" w:rsidRDefault="00A60E6F" w:rsidP="00A60E6F">
      <w:pPr>
        <w:pStyle w:val="Numberedparagraph"/>
        <w:numPr>
          <w:ilvl w:val="1"/>
          <w:numId w:val="13"/>
        </w:numPr>
        <w:rPr>
          <w:lang w:val="en-US"/>
        </w:rPr>
      </w:pPr>
      <w:r>
        <w:rPr>
          <w:lang w:val="en-US"/>
        </w:rPr>
        <w:t>age-based and time limits on detention in police facilities</w:t>
      </w:r>
    </w:p>
    <w:p w14:paraId="323DE2E5" w14:textId="4C80353C" w:rsidR="00D31C13" w:rsidRDefault="00D31C13" w:rsidP="00D31C13">
      <w:pPr>
        <w:pStyle w:val="Numberedparagraph"/>
        <w:numPr>
          <w:ilvl w:val="1"/>
          <w:numId w:val="13"/>
        </w:numPr>
        <w:rPr>
          <w:lang w:val="en-US"/>
        </w:rPr>
      </w:pPr>
      <w:r>
        <w:rPr>
          <w:lang w:val="en-US"/>
        </w:rPr>
        <w:t>detention as a measure strictly of last resort</w:t>
      </w:r>
    </w:p>
    <w:p w14:paraId="2BE89DC3" w14:textId="2913AD5E" w:rsidR="00DC42BE" w:rsidRDefault="00DC42BE" w:rsidP="00DC42BE">
      <w:pPr>
        <w:pStyle w:val="Numberedparagraph"/>
        <w:numPr>
          <w:ilvl w:val="1"/>
          <w:numId w:val="13"/>
        </w:numPr>
        <w:rPr>
          <w:lang w:val="en-US"/>
        </w:rPr>
      </w:pPr>
      <w:r>
        <w:rPr>
          <w:lang w:val="en-US"/>
        </w:rPr>
        <w:t>documentation of the exercise of police discretion to charge and arrest children</w:t>
      </w:r>
    </w:p>
    <w:p w14:paraId="24ADFA2B" w14:textId="2FDA8997" w:rsidR="002F52CD" w:rsidRDefault="002F52CD" w:rsidP="00D31C13">
      <w:pPr>
        <w:pStyle w:val="Numberedparagraph"/>
        <w:numPr>
          <w:ilvl w:val="1"/>
          <w:numId w:val="13"/>
        </w:numPr>
        <w:rPr>
          <w:lang w:val="en-US"/>
        </w:rPr>
      </w:pPr>
      <w:r>
        <w:rPr>
          <w:lang w:val="en-US"/>
        </w:rPr>
        <w:t xml:space="preserve">diversion </w:t>
      </w:r>
      <w:r w:rsidR="003422B3">
        <w:rPr>
          <w:lang w:val="en-US"/>
        </w:rPr>
        <w:t>of</w:t>
      </w:r>
      <w:r>
        <w:rPr>
          <w:lang w:val="en-US"/>
        </w:rPr>
        <w:t xml:space="preserve"> children with cognitive or intellectual disability</w:t>
      </w:r>
      <w:r w:rsidR="005F774A">
        <w:rPr>
          <w:lang w:val="en-US"/>
        </w:rPr>
        <w:t xml:space="preserve"> from the justice system</w:t>
      </w:r>
    </w:p>
    <w:p w14:paraId="3C1BD4F8" w14:textId="152F32B3" w:rsidR="009F3164" w:rsidRDefault="00B55230" w:rsidP="009132BD">
      <w:pPr>
        <w:pStyle w:val="Numberedparagraph"/>
        <w:numPr>
          <w:ilvl w:val="1"/>
          <w:numId w:val="13"/>
        </w:numPr>
        <w:rPr>
          <w:lang w:val="en-US"/>
        </w:rPr>
      </w:pPr>
      <w:r>
        <w:rPr>
          <w:lang w:val="en-US"/>
        </w:rPr>
        <w:t xml:space="preserve">time </w:t>
      </w:r>
      <w:r w:rsidR="00737FE7">
        <w:rPr>
          <w:lang w:val="en-US"/>
        </w:rPr>
        <w:t xml:space="preserve">limits </w:t>
      </w:r>
      <w:r w:rsidR="00060AB8">
        <w:rPr>
          <w:lang w:val="en-US"/>
        </w:rPr>
        <w:t>for</w:t>
      </w:r>
      <w:r w:rsidR="00737FE7">
        <w:rPr>
          <w:lang w:val="en-US"/>
        </w:rPr>
        <w:t xml:space="preserve"> pre-trial detention</w:t>
      </w:r>
    </w:p>
    <w:p w14:paraId="59BD7895" w14:textId="746C8ABC" w:rsidR="005511D2" w:rsidRDefault="001F08FC" w:rsidP="009132BD">
      <w:pPr>
        <w:pStyle w:val="Numberedparagraph"/>
        <w:numPr>
          <w:ilvl w:val="1"/>
          <w:numId w:val="13"/>
        </w:numPr>
        <w:rPr>
          <w:lang w:val="en-US"/>
        </w:rPr>
      </w:pPr>
      <w:r>
        <w:rPr>
          <w:lang w:val="en-US"/>
        </w:rPr>
        <w:t xml:space="preserve">health and </w:t>
      </w:r>
      <w:r w:rsidR="00E60E4B">
        <w:rPr>
          <w:lang w:val="en-US"/>
        </w:rPr>
        <w:t>disability screening and assessment</w:t>
      </w:r>
      <w:r>
        <w:rPr>
          <w:lang w:val="en-US"/>
        </w:rPr>
        <w:t xml:space="preserve"> on admission to any detention facility</w:t>
      </w:r>
    </w:p>
    <w:p w14:paraId="0AC7E876" w14:textId="2C889F5D" w:rsidR="002820E1" w:rsidRDefault="002820E1" w:rsidP="009132BD">
      <w:pPr>
        <w:pStyle w:val="Numberedparagraph"/>
        <w:numPr>
          <w:ilvl w:val="1"/>
          <w:numId w:val="13"/>
        </w:numPr>
        <w:rPr>
          <w:lang w:val="en-US"/>
        </w:rPr>
      </w:pPr>
      <w:r>
        <w:rPr>
          <w:lang w:val="en-US"/>
        </w:rPr>
        <w:lastRenderedPageBreak/>
        <w:t>the use of</w:t>
      </w:r>
      <w:r w:rsidR="006179D8">
        <w:rPr>
          <w:lang w:val="en-US"/>
        </w:rPr>
        <w:t>, and reporting on,</w:t>
      </w:r>
      <w:r w:rsidR="00CD0494">
        <w:rPr>
          <w:lang w:val="en-US"/>
        </w:rPr>
        <w:t xml:space="preserve"> </w:t>
      </w:r>
      <w:r>
        <w:rPr>
          <w:lang w:val="en-US"/>
        </w:rPr>
        <w:t>force, restraints</w:t>
      </w:r>
      <w:r w:rsidR="005D4FE6">
        <w:rPr>
          <w:lang w:val="en-US"/>
        </w:rPr>
        <w:t>, and isolation</w:t>
      </w:r>
      <w:r w:rsidR="00060AB8">
        <w:rPr>
          <w:lang w:val="en-US"/>
        </w:rPr>
        <w:t xml:space="preserve"> or separation</w:t>
      </w:r>
    </w:p>
    <w:p w14:paraId="3F345E00" w14:textId="637E8C11" w:rsidR="002820E1" w:rsidRDefault="0062760B" w:rsidP="002820E1">
      <w:pPr>
        <w:pStyle w:val="Numberedparagraph"/>
        <w:numPr>
          <w:ilvl w:val="1"/>
          <w:numId w:val="13"/>
        </w:numPr>
        <w:rPr>
          <w:lang w:val="en-US"/>
        </w:rPr>
      </w:pPr>
      <w:r>
        <w:rPr>
          <w:lang w:val="en-US"/>
        </w:rPr>
        <w:t>requirements</w:t>
      </w:r>
      <w:r w:rsidR="000646CC">
        <w:rPr>
          <w:lang w:val="en-US"/>
        </w:rPr>
        <w:t xml:space="preserve"> for </w:t>
      </w:r>
      <w:r>
        <w:rPr>
          <w:lang w:val="en-US"/>
        </w:rPr>
        <w:t>minimum</w:t>
      </w:r>
      <w:r w:rsidR="000646CC">
        <w:rPr>
          <w:lang w:val="en-US"/>
        </w:rPr>
        <w:t xml:space="preserve"> </w:t>
      </w:r>
      <w:r w:rsidR="00BE6394">
        <w:rPr>
          <w:lang w:val="en-US"/>
        </w:rPr>
        <w:t>conditions of detention</w:t>
      </w:r>
      <w:r w:rsidR="002820E1">
        <w:rPr>
          <w:lang w:val="en-US"/>
        </w:rPr>
        <w:t xml:space="preserve"> for children</w:t>
      </w:r>
    </w:p>
    <w:p w14:paraId="4FDB3BAD" w14:textId="6EFED936" w:rsidR="003E28A5" w:rsidRPr="002820E1" w:rsidRDefault="003E28A5" w:rsidP="002820E1">
      <w:pPr>
        <w:pStyle w:val="Numberedparagraph"/>
        <w:numPr>
          <w:ilvl w:val="1"/>
          <w:numId w:val="13"/>
        </w:numPr>
        <w:rPr>
          <w:lang w:val="en-US"/>
        </w:rPr>
      </w:pPr>
      <w:r>
        <w:rPr>
          <w:lang w:val="en-US"/>
        </w:rPr>
        <w:t>staffing</w:t>
      </w:r>
      <w:r w:rsidR="009B1322">
        <w:rPr>
          <w:lang w:val="en-US"/>
        </w:rPr>
        <w:t xml:space="preserve"> and training of staff in</w:t>
      </w:r>
      <w:r>
        <w:rPr>
          <w:lang w:val="en-US"/>
        </w:rPr>
        <w:t xml:space="preserve"> </w:t>
      </w:r>
      <w:r w:rsidR="009B1322">
        <w:rPr>
          <w:lang w:val="en-US"/>
        </w:rPr>
        <w:t>any facility in which children are detained</w:t>
      </w:r>
    </w:p>
    <w:p w14:paraId="7FF2D400" w14:textId="77777777" w:rsidR="000E36A6" w:rsidRDefault="00457950" w:rsidP="000E36A6">
      <w:pPr>
        <w:pStyle w:val="Numberedparagraph"/>
        <w:numPr>
          <w:ilvl w:val="1"/>
          <w:numId w:val="13"/>
        </w:numPr>
        <w:rPr>
          <w:lang w:val="en-US"/>
        </w:rPr>
      </w:pPr>
      <w:r>
        <w:rPr>
          <w:lang w:val="en-US"/>
        </w:rPr>
        <w:t xml:space="preserve">nationally </w:t>
      </w:r>
      <w:r w:rsidR="003076C3">
        <w:rPr>
          <w:lang w:val="en-US"/>
        </w:rPr>
        <w:t xml:space="preserve">consistent reporting </w:t>
      </w:r>
      <w:r w:rsidR="00FE7D68">
        <w:rPr>
          <w:lang w:val="en-US"/>
        </w:rPr>
        <w:t>on key datapoints including rates of charging, arrest, diversion, remand, incarceration</w:t>
      </w:r>
      <w:r w:rsidR="008C6EE9">
        <w:rPr>
          <w:lang w:val="en-US"/>
        </w:rPr>
        <w:t xml:space="preserve">, </w:t>
      </w:r>
      <w:r w:rsidR="00F51B36">
        <w:rPr>
          <w:lang w:val="en-US"/>
        </w:rPr>
        <w:t>time in cell,</w:t>
      </w:r>
      <w:r w:rsidR="00FE7D68">
        <w:rPr>
          <w:lang w:val="en-US"/>
        </w:rPr>
        <w:t xml:space="preserve"> and reoffending</w:t>
      </w:r>
      <w:r w:rsidR="005511D2">
        <w:rPr>
          <w:lang w:val="en-US"/>
        </w:rPr>
        <w:t xml:space="preserve"> disaggregated by key demographics</w:t>
      </w:r>
    </w:p>
    <w:p w14:paraId="07A802EF" w14:textId="180D7AAD" w:rsidR="00D93479" w:rsidRPr="00D93479" w:rsidRDefault="00D93479" w:rsidP="000E36A6">
      <w:pPr>
        <w:pStyle w:val="Numberedparagraph"/>
        <w:numPr>
          <w:ilvl w:val="1"/>
          <w:numId w:val="13"/>
        </w:numPr>
        <w:rPr>
          <w:lang w:val="en-US"/>
        </w:rPr>
      </w:pPr>
      <w:r>
        <w:rPr>
          <w:lang w:val="en-US"/>
        </w:rPr>
        <w:t xml:space="preserve">nationally-consistent standards for monitoring </w:t>
      </w:r>
      <w:r w:rsidR="00CA3A2E">
        <w:rPr>
          <w:lang w:val="en-US"/>
        </w:rPr>
        <w:t>facilities where children are detained</w:t>
      </w:r>
    </w:p>
    <w:p w14:paraId="3EB4BECB" w14:textId="4AC877C8" w:rsidR="00767C75" w:rsidRPr="000E36A6" w:rsidRDefault="000E36A6" w:rsidP="000E36A6">
      <w:pPr>
        <w:pStyle w:val="Numberedparagraph"/>
        <w:numPr>
          <w:ilvl w:val="1"/>
          <w:numId w:val="13"/>
        </w:numPr>
        <w:rPr>
          <w:lang w:val="en-US"/>
        </w:rPr>
      </w:pPr>
      <w:r w:rsidRPr="000E36A6">
        <w:rPr>
          <w:lang w:val="en-GB"/>
        </w:rPr>
        <w:t xml:space="preserve">full implementation of the Optional Protocol to the Convention against Torture and Other Cruel, Inhuman or Degrading Treatment or Punishment. </w:t>
      </w:r>
    </w:p>
    <w:p w14:paraId="5170376C" w14:textId="59C3A509" w:rsidR="008C5112" w:rsidRDefault="00917416" w:rsidP="00DB1F08">
      <w:pPr>
        <w:pStyle w:val="Numberedparagraph"/>
      </w:pPr>
      <w:r>
        <w:t>Many of t</w:t>
      </w:r>
      <w:r w:rsidR="00F93D55">
        <w:t>he above</w:t>
      </w:r>
      <w:r w:rsidR="00010B5E">
        <w:t xml:space="preserve"> </w:t>
      </w:r>
      <w:r w:rsidR="001162D5">
        <w:t>proposed</w:t>
      </w:r>
      <w:r w:rsidR="00010B5E">
        <w:t xml:space="preserve"> minimum standards</w:t>
      </w:r>
      <w:r w:rsidR="008B52BD">
        <w:t xml:space="preserve"> – grounded in international human rights obligations – </w:t>
      </w:r>
      <w:r w:rsidR="00544BBB">
        <w:t>are</w:t>
      </w:r>
      <w:r w:rsidR="008B52BD">
        <w:t xml:space="preserve"> </w:t>
      </w:r>
      <w:r w:rsidR="007D208C">
        <w:t>already the subject of</w:t>
      </w:r>
      <w:r w:rsidR="00544BBB">
        <w:t xml:space="preserve"> recommendations to government</w:t>
      </w:r>
      <w:r w:rsidR="00714D11">
        <w:t xml:space="preserve"> </w:t>
      </w:r>
      <w:r w:rsidR="00273FF5">
        <w:t xml:space="preserve">arising out of </w:t>
      </w:r>
      <w:r w:rsidR="00350DE5">
        <w:t xml:space="preserve">the detailed work of </w:t>
      </w:r>
      <w:r w:rsidR="00273FF5">
        <w:t>royal commissions and inquiries</w:t>
      </w:r>
      <w:r w:rsidR="00D57C4E">
        <w:t xml:space="preserve"> over decades</w:t>
      </w:r>
      <w:r w:rsidR="00273FF5">
        <w:t>.</w:t>
      </w:r>
      <w:r w:rsidR="00273FF5">
        <w:rPr>
          <w:rStyle w:val="FootnoteReference"/>
        </w:rPr>
        <w:footnoteReference w:id="163"/>
      </w:r>
      <w:r w:rsidR="00AF7400">
        <w:t xml:space="preserve"> </w:t>
      </w:r>
      <w:r w:rsidR="00E20979">
        <w:t xml:space="preserve">Others </w:t>
      </w:r>
      <w:r w:rsidR="00737CEC">
        <w:t>have models</w:t>
      </w:r>
      <w:r w:rsidR="007D208C">
        <w:t xml:space="preserve"> in existing state-based standards, such as the</w:t>
      </w:r>
      <w:r w:rsidR="00847CEB">
        <w:t xml:space="preserve"> Queensland Inspector of Detention Service’s </w:t>
      </w:r>
      <w:r w:rsidR="00994324">
        <w:rPr>
          <w:i/>
          <w:iCs/>
        </w:rPr>
        <w:t>Inspection Standards for Queensland youth detention centres</w:t>
      </w:r>
      <w:r w:rsidR="00994324">
        <w:t>.</w:t>
      </w:r>
      <w:r w:rsidR="004B785D">
        <w:rPr>
          <w:rStyle w:val="FootnoteReference"/>
        </w:rPr>
        <w:footnoteReference w:id="164"/>
      </w:r>
      <w:r w:rsidR="0025552F">
        <w:t xml:space="preserve"> </w:t>
      </w:r>
      <w:r w:rsidR="002E732B">
        <w:t xml:space="preserve">As the Atkinson report notes, </w:t>
      </w:r>
      <w:r w:rsidR="00B13CE8">
        <w:t xml:space="preserve">history </w:t>
      </w:r>
      <w:r w:rsidR="00A24A99">
        <w:t>has shown</w:t>
      </w:r>
      <w:r w:rsidR="00B13CE8">
        <w:t xml:space="preserve"> that a national agenda is important to </w:t>
      </w:r>
      <w:r w:rsidR="00357DC3">
        <w:t xml:space="preserve">deliver change and </w:t>
      </w:r>
      <w:r w:rsidR="006F695F">
        <w:t xml:space="preserve">desired </w:t>
      </w:r>
      <w:r w:rsidR="00357DC3">
        <w:t xml:space="preserve">outcomes, while the lack of </w:t>
      </w:r>
      <w:r w:rsidR="001E2B50">
        <w:t xml:space="preserve">a holistic and systemic approach leads to </w:t>
      </w:r>
      <w:r w:rsidR="001347CB">
        <w:t>fragmentation and failures of implementation.</w:t>
      </w:r>
      <w:r w:rsidR="00DE2BA8">
        <w:rPr>
          <w:rStyle w:val="FootnoteReference"/>
        </w:rPr>
        <w:footnoteReference w:id="165"/>
      </w:r>
      <w:r w:rsidR="004241F1">
        <w:t xml:space="preserve"> In this case, those failures of implementation are</w:t>
      </w:r>
      <w:r w:rsidR="000721E8">
        <w:t xml:space="preserve"> </w:t>
      </w:r>
      <w:r w:rsidR="004241F1">
        <w:t xml:space="preserve">leading to </w:t>
      </w:r>
      <w:r w:rsidR="00A605F4">
        <w:t>serious violations</w:t>
      </w:r>
      <w:r w:rsidR="004241F1">
        <w:t xml:space="preserve"> of the most basic rights of Australian children</w:t>
      </w:r>
      <w:r w:rsidR="00897336">
        <w:t xml:space="preserve"> –</w:t>
      </w:r>
      <w:r w:rsidR="00611282">
        <w:t xml:space="preserve"> violations that the Commonwealth government can, and must, put </w:t>
      </w:r>
      <w:r w:rsidR="000F4805">
        <w:t>an end to.</w:t>
      </w:r>
    </w:p>
    <w:p w14:paraId="460A6541" w14:textId="73B0ADE2" w:rsidR="00C971D4" w:rsidRPr="00D86157" w:rsidRDefault="00C971D4" w:rsidP="00A51EC3">
      <w:pPr>
        <w:pStyle w:val="Numberedparagraph"/>
        <w:numPr>
          <w:ilvl w:val="0"/>
          <w:numId w:val="0"/>
        </w:numPr>
        <w:ind w:left="567"/>
      </w:pPr>
    </w:p>
    <w:sectPr w:rsidR="00C971D4" w:rsidRPr="00D86157" w:rsidSect="00CB0BBF">
      <w:headerReference w:type="default" r:id="rId14"/>
      <w:headerReference w:type="first" r:id="rId15"/>
      <w:footerReference w:type="first" r:id="rId16"/>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237E1" w14:textId="77777777" w:rsidR="007A3C78" w:rsidRDefault="007A3C78" w:rsidP="0034134D">
      <w:r>
        <w:separator/>
      </w:r>
    </w:p>
  </w:endnote>
  <w:endnote w:type="continuationSeparator" w:id="0">
    <w:p w14:paraId="63C335AC" w14:textId="77777777" w:rsidR="007A3C78" w:rsidRDefault="007A3C78" w:rsidP="0034134D">
      <w:r>
        <w:continuationSeparator/>
      </w:r>
    </w:p>
  </w:endnote>
  <w:endnote w:type="continuationNotice" w:id="1">
    <w:p w14:paraId="34DED571" w14:textId="77777777" w:rsidR="007A3C78" w:rsidRDefault="007A3C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9CC8"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6B535E1C" wp14:editId="784E4484">
          <wp:extent cx="5463606" cy="48027"/>
          <wp:effectExtent l="0" t="0" r="0" b="9525"/>
          <wp:docPr id="1449980136" name="Picture 144998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F89A" w14:textId="77777777" w:rsidR="007C510E" w:rsidRDefault="007C510E" w:rsidP="000731D3">
    <w:pPr>
      <w:pStyle w:val="Footer"/>
      <w:pBdr>
        <w:top w:val="single" w:sz="4" w:space="1" w:color="auto"/>
      </w:pBdr>
      <w:jc w:val="right"/>
      <w:rPr>
        <w:rFonts w:cs="Arial"/>
        <w:sz w:val="20"/>
        <w:szCs w:val="20"/>
      </w:rPr>
    </w:pPr>
  </w:p>
  <w:p w14:paraId="18990ACF"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50250" w14:textId="77777777" w:rsidR="007A3C78" w:rsidRDefault="007A3C78" w:rsidP="0034134D">
      <w:r>
        <w:separator/>
      </w:r>
    </w:p>
  </w:footnote>
  <w:footnote w:type="continuationSeparator" w:id="0">
    <w:p w14:paraId="411CC6F2" w14:textId="77777777" w:rsidR="007A3C78" w:rsidRDefault="007A3C78" w:rsidP="0034134D">
      <w:r>
        <w:continuationSeparator/>
      </w:r>
    </w:p>
  </w:footnote>
  <w:footnote w:type="continuationNotice" w:id="1">
    <w:p w14:paraId="5DB8C0EC" w14:textId="77777777" w:rsidR="007A3C78" w:rsidRDefault="007A3C78">
      <w:pPr>
        <w:spacing w:after="0"/>
      </w:pPr>
    </w:p>
  </w:footnote>
  <w:footnote w:id="2">
    <w:p w14:paraId="1A43005E" w14:textId="37000E11" w:rsidR="00904251" w:rsidRPr="00904251" w:rsidRDefault="00904251">
      <w:pPr>
        <w:pStyle w:val="FootnoteText"/>
        <w:rPr>
          <w:lang w:val="en-GB"/>
        </w:rPr>
      </w:pPr>
      <w:r>
        <w:rPr>
          <w:rStyle w:val="FootnoteReference"/>
        </w:rPr>
        <w:footnoteRef/>
      </w:r>
      <w:r>
        <w:t xml:space="preserve"> </w:t>
      </w:r>
      <w:r w:rsidR="002673E2">
        <w:rPr>
          <w:lang w:val="en-GB"/>
        </w:rPr>
        <w:t>Including the Convention on the Rights of the Child</w:t>
      </w:r>
      <w:r w:rsidR="00BE4C30">
        <w:rPr>
          <w:lang w:val="en-GB"/>
        </w:rPr>
        <w:t xml:space="preserve">, </w:t>
      </w:r>
      <w:r w:rsidR="002673E2">
        <w:rPr>
          <w:lang w:val="en-GB"/>
        </w:rPr>
        <w:t>the Convention against Torture and Other Cruel, Inhuman or Degrading Treatment or Punishment, the Convention on the Rights of Persons with Disabilities, the Convention on the Elimination of All Forms of Racial Discrimination, the International Covenant on Civil and Political Rights</w:t>
      </w:r>
      <w:r w:rsidR="00BE4C30">
        <w:rPr>
          <w:lang w:val="en-GB"/>
        </w:rPr>
        <w:t>, and the International Covenant on Economic, Social and Cultural Rights</w:t>
      </w:r>
      <w:r w:rsidR="002673E2">
        <w:rPr>
          <w:lang w:val="en-GB"/>
        </w:rPr>
        <w:t xml:space="preserve">. </w:t>
      </w:r>
    </w:p>
  </w:footnote>
  <w:footnote w:id="3">
    <w:p w14:paraId="73CBCAAB" w14:textId="71F10A81" w:rsidR="00910945" w:rsidRPr="00910945" w:rsidRDefault="00910945">
      <w:pPr>
        <w:pStyle w:val="FootnoteText"/>
        <w:rPr>
          <w:lang w:val="en-GB"/>
        </w:rPr>
      </w:pPr>
      <w:r>
        <w:rPr>
          <w:rStyle w:val="FootnoteReference"/>
        </w:rPr>
        <w:footnoteRef/>
      </w:r>
      <w:r>
        <w:t xml:space="preserve"> </w:t>
      </w:r>
      <w:r>
        <w:rPr>
          <w:lang w:val="en-GB"/>
        </w:rPr>
        <w:t>Australian Constitution, s 51(xxix)</w:t>
      </w:r>
      <w:r w:rsidR="00676A86">
        <w:rPr>
          <w:lang w:val="en-GB"/>
        </w:rPr>
        <w:t>.</w:t>
      </w:r>
    </w:p>
  </w:footnote>
  <w:footnote w:id="4">
    <w:p w14:paraId="7986CCAD" w14:textId="0CF9920D" w:rsidR="00F61211" w:rsidRPr="00F61211" w:rsidRDefault="00F61211">
      <w:pPr>
        <w:pStyle w:val="FootnoteText"/>
        <w:rPr>
          <w:lang w:val="en-GB"/>
        </w:rPr>
      </w:pPr>
      <w:r>
        <w:rPr>
          <w:rStyle w:val="FootnoteReference"/>
        </w:rPr>
        <w:footnoteRef/>
      </w:r>
      <w:r>
        <w:t xml:space="preserve"> </w:t>
      </w:r>
      <w:r w:rsidR="005D03E8">
        <w:rPr>
          <w:lang w:val="en-GB"/>
        </w:rPr>
        <w:t xml:space="preserve">Australian Law Reform Commission, </w:t>
      </w:r>
      <w:r w:rsidR="005D03E8">
        <w:rPr>
          <w:i/>
          <w:iCs/>
          <w:lang w:val="en-GB"/>
        </w:rPr>
        <w:t>Pathways to Justice – Inquiry into the Incarceration Rate of Aboriginal and Torres Strait Islander Peoples</w:t>
      </w:r>
      <w:r w:rsidR="005D03E8">
        <w:rPr>
          <w:lang w:val="en-GB"/>
        </w:rPr>
        <w:t xml:space="preserve"> (Report No 133, 28 March 2018)</w:t>
      </w:r>
      <w:r w:rsidR="003200AF">
        <w:rPr>
          <w:lang w:val="en-GB"/>
        </w:rPr>
        <w:t xml:space="preserve"> (</w:t>
      </w:r>
      <w:r w:rsidR="003200AF" w:rsidRPr="003200AF">
        <w:rPr>
          <w:b/>
          <w:bCs/>
          <w:i/>
          <w:iCs/>
          <w:lang w:val="en-GB"/>
        </w:rPr>
        <w:t>Pathways to Justice</w:t>
      </w:r>
      <w:r w:rsidR="003200AF">
        <w:rPr>
          <w:lang w:val="en-GB"/>
        </w:rPr>
        <w:t>)</w:t>
      </w:r>
      <w:r w:rsidR="005D03E8">
        <w:rPr>
          <w:lang w:val="en-GB"/>
        </w:rPr>
        <w:t xml:space="preserve"> rec 4</w:t>
      </w:r>
      <w:r w:rsidR="0007339D">
        <w:rPr>
          <w:rFonts w:cs="Arial"/>
          <w:lang w:val="en-GB"/>
        </w:rPr>
        <w:t>–</w:t>
      </w:r>
      <w:r w:rsidR="005D03E8">
        <w:rPr>
          <w:lang w:val="en-GB"/>
        </w:rPr>
        <w:t>1.</w:t>
      </w:r>
    </w:p>
  </w:footnote>
  <w:footnote w:id="5">
    <w:p w14:paraId="70A576F6" w14:textId="0CB25355" w:rsidR="00A74654" w:rsidRDefault="00A74654" w:rsidP="00A74654">
      <w:pPr>
        <w:pStyle w:val="FootnoteText"/>
      </w:pPr>
      <w:r w:rsidRPr="00E175C4">
        <w:rPr>
          <w:rStyle w:val="FootnoteReference"/>
          <w:rFonts w:cs="Arial"/>
        </w:rPr>
        <w:footnoteRef/>
      </w:r>
      <w:r w:rsidRPr="00E175C4">
        <w:rPr>
          <w:rFonts w:cs="Arial"/>
        </w:rPr>
        <w:t xml:space="preserve"> </w:t>
      </w:r>
      <w:r w:rsidR="00921B04">
        <w:rPr>
          <w:rFonts w:cs="Arial"/>
        </w:rPr>
        <w:t>Where possible, the Commission publishes its submissions</w:t>
      </w:r>
      <w:r w:rsidR="00356880">
        <w:rPr>
          <w:rFonts w:cs="Arial"/>
        </w:rPr>
        <w:t xml:space="preserve">, which can be found here: </w:t>
      </w:r>
      <w:hyperlink r:id="rId1" w:history="1">
        <w:r w:rsidR="00356880" w:rsidRPr="004B34C5">
          <w:rPr>
            <w:rStyle w:val="Hyperlink"/>
            <w:rFonts w:cs="Arial"/>
          </w:rPr>
          <w:t>https://www.qhrc.qld.gov.au/resources/submissions</w:t>
        </w:r>
      </w:hyperlink>
      <w:r w:rsidR="00356880">
        <w:rPr>
          <w:rFonts w:cs="Arial"/>
        </w:rPr>
        <w:t xml:space="preserve">. </w:t>
      </w:r>
    </w:p>
  </w:footnote>
  <w:footnote w:id="6">
    <w:p w14:paraId="37D12762" w14:textId="5591BE28" w:rsidR="0069743E" w:rsidRPr="0069743E" w:rsidRDefault="0069743E">
      <w:pPr>
        <w:pStyle w:val="FootnoteText"/>
        <w:rPr>
          <w:lang w:val="en-GB"/>
        </w:rPr>
      </w:pPr>
      <w:r>
        <w:rPr>
          <w:rStyle w:val="FootnoteReference"/>
        </w:rPr>
        <w:footnoteRef/>
      </w:r>
      <w:r>
        <w:t xml:space="preserve"> </w:t>
      </w:r>
      <w:r w:rsidR="00EB6083">
        <w:rPr>
          <w:i/>
          <w:iCs/>
          <w:lang w:val="en-GB"/>
        </w:rPr>
        <w:t>Human Rights Act 2019</w:t>
      </w:r>
      <w:r w:rsidR="00EB6083">
        <w:rPr>
          <w:lang w:val="en-GB"/>
        </w:rPr>
        <w:t xml:space="preserve"> (Qld) s </w:t>
      </w:r>
      <w:r w:rsidR="00D62005">
        <w:rPr>
          <w:lang w:val="en-GB"/>
        </w:rPr>
        <w:t>58(1).</w:t>
      </w:r>
    </w:p>
  </w:footnote>
  <w:footnote w:id="7">
    <w:p w14:paraId="393D2459" w14:textId="576146A5" w:rsidR="00041889" w:rsidRPr="00041889" w:rsidRDefault="00041889">
      <w:pPr>
        <w:pStyle w:val="FootnoteText"/>
        <w:rPr>
          <w:lang w:val="en-GB"/>
        </w:rPr>
      </w:pPr>
      <w:r>
        <w:rPr>
          <w:rStyle w:val="FootnoteReference"/>
        </w:rPr>
        <w:footnoteRef/>
      </w:r>
      <w:r>
        <w:t xml:space="preserve"> </w:t>
      </w:r>
      <w:r>
        <w:rPr>
          <w:i/>
          <w:iCs/>
          <w:lang w:val="en-GB"/>
        </w:rPr>
        <w:t>Human Rights Act 2019</w:t>
      </w:r>
      <w:r>
        <w:rPr>
          <w:lang w:val="en-GB"/>
        </w:rPr>
        <w:t xml:space="preserve"> (Qld) s 5(2)(</w:t>
      </w:r>
      <w:r w:rsidR="00143805">
        <w:rPr>
          <w:lang w:val="en-GB"/>
        </w:rPr>
        <w:t>a).</w:t>
      </w:r>
    </w:p>
  </w:footnote>
  <w:footnote w:id="8">
    <w:p w14:paraId="41ECC08C" w14:textId="595F57AF" w:rsidR="002F6342" w:rsidRPr="002F6342" w:rsidRDefault="002F6342">
      <w:pPr>
        <w:pStyle w:val="FootnoteText"/>
        <w:rPr>
          <w:lang w:val="en-GB"/>
        </w:rPr>
      </w:pPr>
      <w:r>
        <w:rPr>
          <w:rStyle w:val="FootnoteReference"/>
        </w:rPr>
        <w:footnoteRef/>
      </w:r>
      <w:r>
        <w:t xml:space="preserve"> </w:t>
      </w:r>
      <w:r w:rsidR="00143805">
        <w:rPr>
          <w:i/>
          <w:iCs/>
          <w:lang w:val="en-GB"/>
        </w:rPr>
        <w:t>Human Rights Act 2019</w:t>
      </w:r>
      <w:r w:rsidR="00143805">
        <w:rPr>
          <w:lang w:val="en-GB"/>
        </w:rPr>
        <w:t xml:space="preserve"> (Qld) s 48.</w:t>
      </w:r>
    </w:p>
  </w:footnote>
  <w:footnote w:id="9">
    <w:p w14:paraId="74D519BE" w14:textId="77777777" w:rsidR="00D8199A" w:rsidRDefault="00D8199A" w:rsidP="00D8199A">
      <w:pPr>
        <w:pStyle w:val="FootnoteText"/>
      </w:pPr>
      <w:r w:rsidRPr="00E175C4">
        <w:rPr>
          <w:rStyle w:val="FootnoteReference"/>
          <w:rFonts w:cs="Arial"/>
        </w:rPr>
        <w:footnoteRef/>
      </w:r>
      <w:r w:rsidRPr="00E175C4">
        <w:rPr>
          <w:rFonts w:cs="Arial"/>
        </w:rPr>
        <w:t xml:space="preserve"> Bob Atkinson, </w:t>
      </w:r>
      <w:r w:rsidRPr="00E175C4">
        <w:rPr>
          <w:rFonts w:cs="Arial"/>
          <w:i/>
        </w:rPr>
        <w:t xml:space="preserve">Report on Youth Justice </w:t>
      </w:r>
      <w:r w:rsidRPr="00E175C4">
        <w:rPr>
          <w:rFonts w:cs="Arial"/>
        </w:rPr>
        <w:t>(Version 2, 8 June 2018).</w:t>
      </w:r>
    </w:p>
  </w:footnote>
  <w:footnote w:id="10">
    <w:p w14:paraId="2E499499" w14:textId="77777777" w:rsidR="00D8199A" w:rsidRDefault="00D8199A" w:rsidP="00D8199A">
      <w:pPr>
        <w:pStyle w:val="FootnoteText"/>
      </w:pPr>
      <w:r w:rsidRPr="00E175C4">
        <w:rPr>
          <w:rStyle w:val="FootnoteReference"/>
          <w:rFonts w:cs="Arial"/>
        </w:rPr>
        <w:footnoteRef/>
      </w:r>
      <w:r w:rsidRPr="00E175C4">
        <w:rPr>
          <w:rFonts w:cs="Arial"/>
        </w:rPr>
        <w:t xml:space="preserve"> </w:t>
      </w:r>
      <w:r w:rsidRPr="00E175C4">
        <w:rPr>
          <w:rFonts w:cs="Arial"/>
          <w:lang w:val="en-GB"/>
        </w:rPr>
        <w:t>These included poverty, a home environment characterised by neglect, domestic and family violence, and/or traumatic events; poor school attendance, and lack of access to vocational training and employment; undiagnosed and/or untreated health issues or unsupported disability issues, such as mental health concerns, childhood trauma, and cognitive and intellectual disability; and substance abuse.</w:t>
      </w:r>
    </w:p>
  </w:footnote>
  <w:footnote w:id="11">
    <w:p w14:paraId="57D66DC0" w14:textId="77777777" w:rsidR="00D8199A" w:rsidRDefault="00D8199A" w:rsidP="00D8199A">
      <w:pPr>
        <w:pStyle w:val="FootnoteText"/>
      </w:pPr>
      <w:r w:rsidRPr="00E175C4">
        <w:rPr>
          <w:rStyle w:val="FootnoteReference"/>
          <w:rFonts w:cs="Arial"/>
        </w:rPr>
        <w:footnoteRef/>
      </w:r>
      <w:r w:rsidRPr="00E175C4">
        <w:rPr>
          <w:rFonts w:cs="Arial"/>
        </w:rPr>
        <w:t xml:space="preserve"> </w:t>
      </w:r>
      <w:r w:rsidRPr="00E175C4">
        <w:rPr>
          <w:rFonts w:cs="Arial"/>
          <w:lang w:val="en-GB"/>
        </w:rPr>
        <w:t>These included youth justice system that has evolved from an adult criminal justice approach; no coordinated multi-agency approach to support at-risk children and their families, and lack of information sharing across systems; a shortage of after-hours services, both government and NGOs; youth justice processes that result in young people and children being detained and disconnected from protective factors, such as family, community, and school; and the need for reform targeting the over-representation of Aboriginal and Torres Strait Islander children in the youth justice system.</w:t>
      </w:r>
    </w:p>
  </w:footnote>
  <w:footnote w:id="12">
    <w:p w14:paraId="572AF92F" w14:textId="34E1F937" w:rsidR="00A739A7" w:rsidRPr="00A739A7" w:rsidRDefault="00A739A7">
      <w:pPr>
        <w:pStyle w:val="FootnoteText"/>
        <w:rPr>
          <w:lang w:val="en-GB"/>
        </w:rPr>
      </w:pPr>
      <w:r>
        <w:rPr>
          <w:rStyle w:val="FootnoteReference"/>
        </w:rPr>
        <w:footnoteRef/>
      </w:r>
      <w:r>
        <w:t xml:space="preserve"> </w:t>
      </w:r>
      <w:r w:rsidRPr="00E175C4">
        <w:rPr>
          <w:rFonts w:cs="Arial"/>
        </w:rPr>
        <w:t xml:space="preserve">Queensland Government, </w:t>
      </w:r>
      <w:r w:rsidRPr="00E175C4">
        <w:rPr>
          <w:rFonts w:cs="Arial"/>
          <w:i/>
          <w:iCs/>
        </w:rPr>
        <w:t>Working Together, Changing the Story</w:t>
      </w:r>
      <w:r>
        <w:rPr>
          <w:rFonts w:cs="Arial"/>
          <w:i/>
          <w:iCs/>
        </w:rPr>
        <w:t xml:space="preserve"> </w:t>
      </w:r>
      <w:r w:rsidRPr="00E175C4">
        <w:rPr>
          <w:rFonts w:cs="Arial"/>
        </w:rPr>
        <w:t>(Youth Justice Strategy 2019-2023) and Queensland Government</w:t>
      </w:r>
      <w:r w:rsidRPr="00E175C4">
        <w:rPr>
          <w:rFonts w:cs="Arial"/>
          <w:i/>
          <w:iCs/>
        </w:rPr>
        <w:t>, Working Together: Changing the Story</w:t>
      </w:r>
      <w:r w:rsidRPr="00E175C4">
        <w:rPr>
          <w:rFonts w:cs="Arial"/>
        </w:rPr>
        <w:t xml:space="preserve"> (Youth Justice Strategy Action Plan 2019- 2021).</w:t>
      </w:r>
    </w:p>
  </w:footnote>
  <w:footnote w:id="13">
    <w:p w14:paraId="3FF9B2B6" w14:textId="12D29D1C" w:rsidR="00A519E4" w:rsidRDefault="00A519E4" w:rsidP="00A519E4">
      <w:pPr>
        <w:pStyle w:val="FootnoteText"/>
      </w:pPr>
      <w:r w:rsidRPr="00E175C4">
        <w:rPr>
          <w:rStyle w:val="FootnoteReference"/>
          <w:rFonts w:cs="Arial"/>
        </w:rPr>
        <w:footnoteRef/>
      </w:r>
      <w:r w:rsidRPr="00E175C4">
        <w:rPr>
          <w:rFonts w:cs="Arial"/>
        </w:rPr>
        <w:t xml:space="preserve"> </w:t>
      </w:r>
      <w:r w:rsidR="00A739A7">
        <w:t xml:space="preserve">Amendments to the </w:t>
      </w:r>
      <w:r w:rsidR="00A739A7" w:rsidRPr="00C0411D">
        <w:rPr>
          <w:i/>
          <w:iCs/>
        </w:rPr>
        <w:t>Youth Justice Act 1992</w:t>
      </w:r>
      <w:r w:rsidR="00A739A7">
        <w:t xml:space="preserve"> (Qld) by the </w:t>
      </w:r>
      <w:r w:rsidR="00A739A7" w:rsidRPr="00C0411D">
        <w:rPr>
          <w:i/>
        </w:rPr>
        <w:t xml:space="preserve">Youth Justice and Other Legislation Amendment Act 2019 </w:t>
      </w:r>
      <w:r w:rsidR="00A739A7" w:rsidRPr="00C0411D">
        <w:rPr>
          <w:iCs/>
        </w:rPr>
        <w:t>(Qld)</w:t>
      </w:r>
      <w:r w:rsidR="00A739A7" w:rsidRPr="00C0411D">
        <w:t>.</w:t>
      </w:r>
    </w:p>
  </w:footnote>
  <w:footnote w:id="14">
    <w:p w14:paraId="7D7EA5FE" w14:textId="77777777" w:rsidR="008937FE" w:rsidRPr="00F7702E" w:rsidRDefault="008937FE" w:rsidP="008937FE">
      <w:pPr>
        <w:pStyle w:val="FootnoteText"/>
        <w:rPr>
          <w:lang w:val="en-GB"/>
        </w:rPr>
      </w:pPr>
      <w:r>
        <w:rPr>
          <w:rStyle w:val="FootnoteReference"/>
        </w:rPr>
        <w:footnoteRef/>
      </w:r>
      <w:r>
        <w:t xml:space="preserve"> See </w:t>
      </w:r>
      <w:r w:rsidRPr="00F7702E">
        <w:t>Criminal Law (Raising the Age of Responsibility) Amendment Bill 2021</w:t>
      </w:r>
      <w:r>
        <w:t xml:space="preserve"> (Qld) and </w:t>
      </w:r>
      <w:r w:rsidRPr="00CD5032">
        <w:t xml:space="preserve">Community Support and Services Committee, Queensland Parliament, </w:t>
      </w:r>
      <w:r w:rsidRPr="00CD5032">
        <w:rPr>
          <w:i/>
          <w:iCs/>
        </w:rPr>
        <w:t>Criminal Law (Raising the age of Responsibility) Amendment Bill 2021</w:t>
      </w:r>
      <w:r w:rsidRPr="00CD5032">
        <w:t xml:space="preserve"> (Report No 16, 15 March 2022).</w:t>
      </w:r>
    </w:p>
  </w:footnote>
  <w:footnote w:id="15">
    <w:p w14:paraId="32C9A801" w14:textId="2446C3B1" w:rsidR="00A739A7" w:rsidRPr="004800C8" w:rsidRDefault="00A739A7" w:rsidP="00A739A7">
      <w:pPr>
        <w:pStyle w:val="FootnoteText"/>
        <w:rPr>
          <w:lang w:val="en-GB"/>
        </w:rPr>
      </w:pPr>
      <w:r>
        <w:rPr>
          <w:rStyle w:val="FootnoteReference"/>
        </w:rPr>
        <w:footnoteRef/>
      </w:r>
      <w:r>
        <w:t xml:space="preserve"> </w:t>
      </w:r>
      <w:r w:rsidRPr="004800C8">
        <w:t xml:space="preserve">Bob Atkinson, </w:t>
      </w:r>
      <w:r w:rsidRPr="001C1AE4">
        <w:rPr>
          <w:i/>
          <w:iCs/>
        </w:rPr>
        <w:t>Youth Justice Reforms Review: Final Report</w:t>
      </w:r>
      <w:r w:rsidRPr="004800C8">
        <w:t xml:space="preserve"> (March 2022)</w:t>
      </w:r>
      <w:r>
        <w:t xml:space="preserve"> 17</w:t>
      </w:r>
      <w:r w:rsidR="0034379F">
        <w:t>.</w:t>
      </w:r>
      <w:r>
        <w:t xml:space="preserve"> </w:t>
      </w:r>
    </w:p>
  </w:footnote>
  <w:footnote w:id="16">
    <w:p w14:paraId="7D3EF026" w14:textId="048D4400" w:rsidR="00A739A7" w:rsidRPr="003A1A41" w:rsidRDefault="00A739A7" w:rsidP="00A739A7">
      <w:pPr>
        <w:pStyle w:val="FootnoteText"/>
        <w:rPr>
          <w:lang w:val="en-GB"/>
        </w:rPr>
      </w:pPr>
      <w:r>
        <w:rPr>
          <w:rStyle w:val="FootnoteReference"/>
        </w:rPr>
        <w:footnoteRef/>
      </w:r>
      <w:r>
        <w:t xml:space="preserve"> </w:t>
      </w:r>
      <w:r w:rsidR="00A46FFC">
        <w:t>Ibid</w:t>
      </w:r>
      <w:r>
        <w:t xml:space="preserve"> </w:t>
      </w:r>
      <w:r>
        <w:rPr>
          <w:lang w:val="en-GB"/>
        </w:rPr>
        <w:t>154</w:t>
      </w:r>
      <w:r w:rsidR="00194235">
        <w:rPr>
          <w:rFonts w:cs="Arial"/>
          <w:lang w:val="en-GB"/>
        </w:rPr>
        <w:t>–</w:t>
      </w:r>
      <w:r>
        <w:rPr>
          <w:lang w:val="en-GB"/>
        </w:rPr>
        <w:t>158.</w:t>
      </w:r>
    </w:p>
  </w:footnote>
  <w:footnote w:id="17">
    <w:p w14:paraId="383F069F" w14:textId="77777777" w:rsidR="009D17B9" w:rsidRDefault="009D17B9" w:rsidP="009D17B9">
      <w:pPr>
        <w:pStyle w:val="FootnoteText"/>
      </w:pPr>
      <w:r>
        <w:rPr>
          <w:rStyle w:val="FootnoteReference"/>
        </w:rPr>
        <w:footnoteRef/>
      </w:r>
      <w:r>
        <w:t xml:space="preserve"> </w:t>
      </w:r>
      <w:r w:rsidRPr="005A2B50">
        <w:t>Attorney-General and Minister for Justice, Minister for Women and Minister for the Prevention of Domestic and Family Violence</w:t>
      </w:r>
      <w:r>
        <w:t>, ‘</w:t>
      </w:r>
      <w:r w:rsidRPr="005A2B50">
        <w:t>Queensland’s Inaugural First Nations Justice Officer Appointed</w:t>
      </w:r>
      <w:r>
        <w:t>’ (Media Statement, 16 January 2023).</w:t>
      </w:r>
    </w:p>
  </w:footnote>
  <w:footnote w:id="18">
    <w:p w14:paraId="4EAB4DE4" w14:textId="7909C6C8" w:rsidR="005B6B3B" w:rsidRPr="005B6B3B" w:rsidRDefault="005B6B3B">
      <w:pPr>
        <w:pStyle w:val="FootnoteText"/>
        <w:rPr>
          <w:lang w:val="en-GB"/>
        </w:rPr>
      </w:pPr>
      <w:r>
        <w:rPr>
          <w:rStyle w:val="FootnoteReference"/>
        </w:rPr>
        <w:footnoteRef/>
      </w:r>
      <w:r w:rsidR="00C765BB">
        <w:t>‘Justice reinvestment’</w:t>
      </w:r>
      <w:r w:rsidR="000E23BE">
        <w:t xml:space="preserve">, </w:t>
      </w:r>
      <w:r w:rsidR="000E23BE" w:rsidRPr="000E23BE">
        <w:rPr>
          <w:i/>
          <w:iCs/>
        </w:rPr>
        <w:t>Department of Justice and Attorney-General</w:t>
      </w:r>
      <w:r w:rsidR="00C765BB">
        <w:t xml:space="preserve"> (Web </w:t>
      </w:r>
      <w:r w:rsidR="00C86234">
        <w:t>P</w:t>
      </w:r>
      <w:r w:rsidR="00C765BB">
        <w:t xml:space="preserve">age, 17 July 2024) </w:t>
      </w:r>
      <w:r>
        <w:t>&lt;</w:t>
      </w:r>
      <w:hyperlink r:id="rId2" w:history="1">
        <w:r w:rsidRPr="00961772">
          <w:rPr>
            <w:rStyle w:val="Hyperlink"/>
          </w:rPr>
          <w:t>https://www.justice.qld.gov.au/about-us/services/first-nations-justice-office/priorities/justice-reinvestment</w:t>
        </w:r>
      </w:hyperlink>
      <w:r>
        <w:t>&gt;</w:t>
      </w:r>
    </w:p>
  </w:footnote>
  <w:footnote w:id="19">
    <w:p w14:paraId="79793C8E" w14:textId="76FFC925" w:rsidR="00A66CF6" w:rsidRPr="00A66CF6" w:rsidRDefault="00A66CF6">
      <w:pPr>
        <w:pStyle w:val="FootnoteText"/>
        <w:rPr>
          <w:lang w:val="en-GB"/>
        </w:rPr>
      </w:pPr>
      <w:r>
        <w:rPr>
          <w:rStyle w:val="FootnoteReference"/>
        </w:rPr>
        <w:footnoteRef/>
      </w:r>
      <w:r>
        <w:t xml:space="preserve"> </w:t>
      </w:r>
      <w:r w:rsidR="00E701BC">
        <w:rPr>
          <w:lang w:val="en-GB"/>
        </w:rPr>
        <w:t>Inspect</w:t>
      </w:r>
      <w:r w:rsidR="00DD7C74">
        <w:rPr>
          <w:lang w:val="en-GB"/>
        </w:rPr>
        <w:t>or</w:t>
      </w:r>
      <w:r w:rsidR="00E701BC">
        <w:rPr>
          <w:lang w:val="en-GB"/>
        </w:rPr>
        <w:t xml:space="preserve"> of Detention Services, Queensland Ombudsman, </w:t>
      </w:r>
      <w:r w:rsidR="00E701BC" w:rsidRPr="00E701BC">
        <w:rPr>
          <w:i/>
          <w:iCs/>
          <w:lang w:val="en-GB"/>
        </w:rPr>
        <w:t>Inspection standards for Queensland youth detention centres</w:t>
      </w:r>
      <w:r w:rsidR="00E701BC">
        <w:rPr>
          <w:lang w:val="en-GB"/>
        </w:rPr>
        <w:t xml:space="preserve"> (August 2023).</w:t>
      </w:r>
    </w:p>
  </w:footnote>
  <w:footnote w:id="20">
    <w:p w14:paraId="016E267C" w14:textId="1898E6F0" w:rsidR="00DD2C1A" w:rsidRPr="00DD2C1A" w:rsidRDefault="00DD2C1A">
      <w:pPr>
        <w:pStyle w:val="FootnoteText"/>
        <w:rPr>
          <w:lang w:val="en-GB"/>
        </w:rPr>
      </w:pPr>
      <w:r>
        <w:rPr>
          <w:rStyle w:val="FootnoteReference"/>
        </w:rPr>
        <w:footnoteRef/>
      </w:r>
      <w:r>
        <w:t xml:space="preserve"> </w:t>
      </w:r>
      <w:r w:rsidR="001E23B4">
        <w:rPr>
          <w:lang w:val="en-GB"/>
        </w:rPr>
        <w:t>Inspect</w:t>
      </w:r>
      <w:r w:rsidR="00DD7C74">
        <w:rPr>
          <w:lang w:val="en-GB"/>
        </w:rPr>
        <w:t>or</w:t>
      </w:r>
      <w:r w:rsidR="001E23B4">
        <w:rPr>
          <w:lang w:val="en-GB"/>
        </w:rPr>
        <w:t xml:space="preserve"> of Detention Services, Queensland Ombudsman, </w:t>
      </w:r>
      <w:r w:rsidR="001E23B4" w:rsidRPr="00E70707">
        <w:rPr>
          <w:i/>
          <w:iCs/>
          <w:lang w:val="en-GB"/>
        </w:rPr>
        <w:t>Cleveland Youth Detention Centre inspection report: Focus on separation due to staff shortages</w:t>
      </w:r>
      <w:r w:rsidR="001E23B4">
        <w:rPr>
          <w:lang w:val="en-GB"/>
        </w:rPr>
        <w:t xml:space="preserve"> (27 August 2024); </w:t>
      </w:r>
      <w:r>
        <w:rPr>
          <w:lang w:val="en-GB"/>
        </w:rPr>
        <w:t>Inspect</w:t>
      </w:r>
      <w:r w:rsidR="00DD7C74">
        <w:rPr>
          <w:lang w:val="en-GB"/>
        </w:rPr>
        <w:t>or</w:t>
      </w:r>
      <w:r>
        <w:rPr>
          <w:lang w:val="en-GB"/>
        </w:rPr>
        <w:t xml:space="preserve"> of Detention Services, Queensland Ombudsman,</w:t>
      </w:r>
      <w:r w:rsidR="008D1C09">
        <w:rPr>
          <w:lang w:val="en-GB"/>
        </w:rPr>
        <w:t xml:space="preserve"> </w:t>
      </w:r>
      <w:r w:rsidR="008D1C09" w:rsidRPr="001E23B4">
        <w:rPr>
          <w:i/>
          <w:iCs/>
          <w:lang w:val="en-GB"/>
        </w:rPr>
        <w:t xml:space="preserve">Cairns and </w:t>
      </w:r>
      <w:r w:rsidR="008D1C09" w:rsidRPr="001E23B4">
        <w:rPr>
          <w:i/>
          <w:iCs/>
          <w:lang w:val="en-GB"/>
        </w:rPr>
        <w:t xml:space="preserve">Murgon </w:t>
      </w:r>
      <w:r w:rsidR="002D2B73">
        <w:rPr>
          <w:i/>
          <w:iCs/>
          <w:lang w:val="en-GB"/>
        </w:rPr>
        <w:t>watch house</w:t>
      </w:r>
      <w:r w:rsidR="008D1C09" w:rsidRPr="001E23B4">
        <w:rPr>
          <w:i/>
          <w:iCs/>
          <w:lang w:val="en-GB"/>
        </w:rPr>
        <w:t>s inspection report: Focus on detention on children</w:t>
      </w:r>
      <w:r w:rsidR="008D1C09">
        <w:rPr>
          <w:lang w:val="en-GB"/>
        </w:rPr>
        <w:t xml:space="preserve"> </w:t>
      </w:r>
      <w:r w:rsidR="001E23B4">
        <w:rPr>
          <w:lang w:val="en-GB"/>
        </w:rPr>
        <w:t>(11 September 2024)</w:t>
      </w:r>
      <w:r w:rsidR="009472C2">
        <w:rPr>
          <w:lang w:val="en-GB"/>
        </w:rPr>
        <w:t>.</w:t>
      </w:r>
    </w:p>
  </w:footnote>
  <w:footnote w:id="21">
    <w:p w14:paraId="325F6A10" w14:textId="13E40A30" w:rsidR="00751E6A" w:rsidRPr="00751E6A" w:rsidRDefault="00751E6A">
      <w:pPr>
        <w:pStyle w:val="FootnoteText"/>
        <w:rPr>
          <w:lang w:val="en-GB"/>
        </w:rPr>
      </w:pPr>
      <w:r>
        <w:rPr>
          <w:rStyle w:val="FootnoteReference"/>
        </w:rPr>
        <w:footnoteRef/>
      </w:r>
      <w:r>
        <w:t xml:space="preserve"> </w:t>
      </w:r>
      <w:r w:rsidR="0033207C">
        <w:t xml:space="preserve">Youth Justice Reform Select Committee, Queensland Parliament, </w:t>
      </w:r>
      <w:r w:rsidR="0033207C" w:rsidRPr="0033207C">
        <w:rPr>
          <w:i/>
          <w:iCs/>
        </w:rPr>
        <w:t>Draft Confidential – Interim Report: Inquiry into ongoing reforms to the youth justice system and support for victims of crime</w:t>
      </w:r>
      <w:r w:rsidR="0033207C">
        <w:t xml:space="preserve"> (Report No 1, 57</w:t>
      </w:r>
      <w:r w:rsidR="0033207C" w:rsidRPr="0033207C">
        <w:rPr>
          <w:vertAlign w:val="superscript"/>
        </w:rPr>
        <w:t>th</w:t>
      </w:r>
      <w:r w:rsidR="0033207C">
        <w:t xml:space="preserve"> Parliament, April 2024)</w:t>
      </w:r>
      <w:r w:rsidR="00C01FA2">
        <w:t xml:space="preserve"> (</w:t>
      </w:r>
      <w:r w:rsidR="00C01FA2" w:rsidRPr="00C01FA2">
        <w:rPr>
          <w:b/>
          <w:bCs/>
          <w:i/>
          <w:iCs/>
        </w:rPr>
        <w:t>Select Committee draft report</w:t>
      </w:r>
      <w:r w:rsidR="00C01FA2">
        <w:t>)</w:t>
      </w:r>
      <w:r w:rsidR="0033207C">
        <w:t xml:space="preserve">. </w:t>
      </w:r>
    </w:p>
  </w:footnote>
  <w:footnote w:id="22">
    <w:p w14:paraId="3EA8EF44" w14:textId="21348348" w:rsidR="00220380" w:rsidRPr="00220380" w:rsidRDefault="00220380">
      <w:pPr>
        <w:pStyle w:val="FootnoteText"/>
        <w:rPr>
          <w:lang w:val="en-GB"/>
        </w:rPr>
      </w:pPr>
      <w:r>
        <w:rPr>
          <w:rStyle w:val="FootnoteReference"/>
        </w:rPr>
        <w:footnoteRef/>
      </w:r>
      <w:r>
        <w:t xml:space="preserve"> </w:t>
      </w:r>
      <w:r w:rsidR="00E57CAE">
        <w:rPr>
          <w:lang w:val="en-GB"/>
        </w:rPr>
        <w:t xml:space="preserve">Sandy Bolton MP, </w:t>
      </w:r>
      <w:r w:rsidR="00210FA6" w:rsidRPr="00210FA6">
        <w:rPr>
          <w:lang w:val="en-GB"/>
        </w:rPr>
        <w:t>‘</w:t>
      </w:r>
      <w:r w:rsidR="00E57CAE" w:rsidRPr="00210FA6">
        <w:rPr>
          <w:lang w:val="en-GB"/>
        </w:rPr>
        <w:t xml:space="preserve">Chair’s </w:t>
      </w:r>
      <w:r w:rsidR="00210FA6" w:rsidRPr="00210FA6">
        <w:rPr>
          <w:lang w:val="en-GB"/>
        </w:rPr>
        <w:t>Foreword’ (tabled 2 May 2024) to accompany Youth Justice Reform Select Committee, Queensland Parliament,</w:t>
      </w:r>
      <w:r w:rsidR="00E57CAE" w:rsidRPr="00210FA6">
        <w:rPr>
          <w:lang w:val="en-GB"/>
        </w:rPr>
        <w:t xml:space="preserve"> </w:t>
      </w:r>
      <w:r w:rsidR="00E57CAE">
        <w:rPr>
          <w:i/>
          <w:iCs/>
          <w:lang w:val="en-GB"/>
        </w:rPr>
        <w:t>Draft Interim Report</w:t>
      </w:r>
      <w:r w:rsidR="00210FA6" w:rsidRPr="00210FA6">
        <w:rPr>
          <w:i/>
          <w:iCs/>
          <w:lang w:val="en-GB"/>
        </w:rPr>
        <w:t xml:space="preserve">: </w:t>
      </w:r>
      <w:r w:rsidR="00E57CAE">
        <w:rPr>
          <w:i/>
          <w:iCs/>
          <w:lang w:val="en-GB"/>
        </w:rPr>
        <w:t xml:space="preserve">Inquiry into </w:t>
      </w:r>
      <w:r w:rsidR="00210FA6" w:rsidRPr="00210FA6">
        <w:rPr>
          <w:i/>
          <w:iCs/>
          <w:lang w:val="en-GB"/>
        </w:rPr>
        <w:t>ongoing reforms to the youth justice system and support for victims of crime</w:t>
      </w:r>
      <w:r w:rsidR="00210FA6" w:rsidRPr="00210FA6">
        <w:rPr>
          <w:lang w:val="en-GB"/>
        </w:rPr>
        <w:t xml:space="preserve"> (Report No.1, 57</w:t>
      </w:r>
      <w:r w:rsidR="00210FA6" w:rsidRPr="00210FA6">
        <w:rPr>
          <w:vertAlign w:val="superscript"/>
          <w:lang w:val="en-GB"/>
        </w:rPr>
        <w:t>th</w:t>
      </w:r>
      <w:r w:rsidR="00210FA6" w:rsidRPr="00210FA6">
        <w:rPr>
          <w:lang w:val="en-GB"/>
        </w:rPr>
        <w:t xml:space="preserve"> Parliament, April 2024)</w:t>
      </w:r>
      <w:r w:rsidR="00344734">
        <w:rPr>
          <w:lang w:val="en-GB"/>
        </w:rPr>
        <w:t xml:space="preserve"> </w:t>
      </w:r>
      <w:r w:rsidR="00873D02">
        <w:rPr>
          <w:lang w:val="en-GB"/>
        </w:rPr>
        <w:t>&lt;</w:t>
      </w:r>
      <w:hyperlink r:id="rId3" w:history="1">
        <w:r w:rsidR="00873D02" w:rsidRPr="00873D02">
          <w:rPr>
            <w:rStyle w:val="Hyperlink"/>
            <w:lang w:val="en-GB"/>
          </w:rPr>
          <w:t>https://documents.parliament.qld.gov.au/tp/2024/5724T736-BBBD.pdf</w:t>
        </w:r>
      </w:hyperlink>
      <w:r w:rsidR="00873D02">
        <w:rPr>
          <w:lang w:val="en-GB"/>
        </w:rPr>
        <w:t>&gt;</w:t>
      </w:r>
      <w:r w:rsidR="00E259C8">
        <w:rPr>
          <w:lang w:val="en-GB"/>
        </w:rPr>
        <w:t>.</w:t>
      </w:r>
      <w:r w:rsidR="000D77E2">
        <w:rPr>
          <w:lang w:val="en-GB"/>
        </w:rPr>
        <w:t xml:space="preserve"> </w:t>
      </w:r>
    </w:p>
  </w:footnote>
  <w:footnote w:id="23">
    <w:p w14:paraId="08F71619" w14:textId="713DB710" w:rsidR="00591851" w:rsidRPr="00F52294" w:rsidRDefault="00591851" w:rsidP="00591851">
      <w:pPr>
        <w:pStyle w:val="FootnoteText"/>
      </w:pPr>
      <w:r>
        <w:rPr>
          <w:rStyle w:val="FootnoteReference"/>
        </w:rPr>
        <w:footnoteRef/>
      </w:r>
      <w:r>
        <w:t xml:space="preserve"> </w:t>
      </w:r>
      <w:r w:rsidRPr="009A3F60">
        <w:rPr>
          <w:i/>
        </w:rPr>
        <w:t>Queensland Government</w:t>
      </w:r>
      <w:r w:rsidRPr="004230BC">
        <w:rPr>
          <w:i/>
          <w:iCs/>
        </w:rPr>
        <w:t>,</w:t>
      </w:r>
      <w:r w:rsidRPr="009A3F60">
        <w:rPr>
          <w:i/>
        </w:rPr>
        <w:t xml:space="preserve"> Response to the Interim Report: Inquiry into ongoing reform to the youth justice system and support for victims of crime</w:t>
      </w:r>
      <w:r w:rsidRPr="004230BC">
        <w:rPr>
          <w:i/>
          <w:iCs/>
        </w:rPr>
        <w:t xml:space="preserve"> (</w:t>
      </w:r>
      <w:r w:rsidRPr="004230BC">
        <w:rPr>
          <w:i/>
        </w:rPr>
        <w:t xml:space="preserve">tabled </w:t>
      </w:r>
      <w:r w:rsidRPr="004230BC">
        <w:rPr>
          <w:i/>
          <w:iCs/>
        </w:rPr>
        <w:t xml:space="preserve">1 May 2024 </w:t>
      </w:r>
      <w:r w:rsidRPr="004230BC">
        <w:rPr>
          <w:i/>
        </w:rPr>
        <w:t>by Mark Ryan MP</w:t>
      </w:r>
      <w:r w:rsidRPr="004230BC">
        <w:rPr>
          <w:i/>
          <w:iCs/>
        </w:rPr>
        <w:t>)</w:t>
      </w:r>
      <w:r>
        <w:rPr>
          <w:i/>
        </w:rPr>
        <w:t xml:space="preserve"> </w:t>
      </w:r>
      <w:r>
        <w:t>&lt;</w:t>
      </w:r>
      <w:hyperlink r:id="rId4" w:history="1">
        <w:r w:rsidRPr="00F25140">
          <w:rPr>
            <w:rStyle w:val="Hyperlink"/>
          </w:rPr>
          <w:t>https://www.parliament.qld.gov.au/Work-of-the-Assembly/Tabled-Papers/docs/5724T725/5724t725-b9b9.pdf</w:t>
        </w:r>
      </w:hyperlink>
      <w:r>
        <w:t xml:space="preserve">&gt;; Queensland Government, </w:t>
      </w:r>
      <w:r w:rsidRPr="001709BE">
        <w:t xml:space="preserve">‘Community Safety Plan for Queensland’ (Web Page, </w:t>
      </w:r>
      <w:r>
        <w:t>30 April 2024</w:t>
      </w:r>
      <w:r w:rsidRPr="001709BE">
        <w:t>) &lt;</w:t>
      </w:r>
      <w:hyperlink r:id="rId5" w:history="1">
        <w:r w:rsidR="00B6372E" w:rsidRPr="000065B1">
          <w:rPr>
            <w:rStyle w:val="Hyperlink"/>
          </w:rPr>
          <w:t>https://www.qld.gov.au/about/community-safety</w:t>
        </w:r>
      </w:hyperlink>
      <w:r w:rsidRPr="001709BE">
        <w:t>&gt;.</w:t>
      </w:r>
    </w:p>
  </w:footnote>
  <w:footnote w:id="24">
    <w:p w14:paraId="3EDEF3F8" w14:textId="1B08610B" w:rsidR="00D8199A" w:rsidRPr="00D52F97" w:rsidRDefault="00D8199A" w:rsidP="00D8199A">
      <w:pPr>
        <w:pStyle w:val="FootnoteText"/>
        <w:rPr>
          <w:rFonts w:cs="Arial"/>
          <w:lang w:val="en-US"/>
        </w:rPr>
      </w:pPr>
      <w:r w:rsidRPr="0054057E">
        <w:rPr>
          <w:rStyle w:val="FootnoteReference"/>
          <w:rFonts w:cs="Arial"/>
        </w:rPr>
        <w:footnoteRef/>
      </w:r>
      <w:r w:rsidRPr="0054057E">
        <w:rPr>
          <w:rFonts w:cs="Arial"/>
        </w:rPr>
        <w:t xml:space="preserve"> </w:t>
      </w:r>
      <w:r w:rsidR="00D52F97" w:rsidRPr="00D52F97">
        <w:rPr>
          <w:rFonts w:cs="Arial"/>
        </w:rPr>
        <w:t>Anastasia Palaszczuk, Mark Ryan and Di Farmer, ‘</w:t>
      </w:r>
      <w:r w:rsidR="00D52F97" w:rsidRPr="00D52F97">
        <w:rPr>
          <w:rFonts w:cs="Arial"/>
          <w:lang w:val="en-US"/>
        </w:rPr>
        <w:t>Hard Line on Youth Crime’ (Joint Statement, Queensland Government, 10 March 2020).</w:t>
      </w:r>
    </w:p>
  </w:footnote>
  <w:footnote w:id="25">
    <w:p w14:paraId="0FA0D2CD" w14:textId="55B948BA" w:rsidR="00E31C99" w:rsidRPr="00E31C99" w:rsidRDefault="00E31C99">
      <w:pPr>
        <w:pStyle w:val="FootnoteText"/>
        <w:rPr>
          <w:lang w:val="en-GB"/>
        </w:rPr>
      </w:pPr>
      <w:r>
        <w:rPr>
          <w:rStyle w:val="FootnoteReference"/>
        </w:rPr>
        <w:footnoteRef/>
      </w:r>
      <w:r>
        <w:t xml:space="preserve"> </w:t>
      </w:r>
      <w:r w:rsidR="00BC3D3A">
        <w:t xml:space="preserve">Amendments to the </w:t>
      </w:r>
      <w:r w:rsidR="00BC3D3A" w:rsidRPr="006C63C2">
        <w:rPr>
          <w:i/>
          <w:iCs/>
        </w:rPr>
        <w:t xml:space="preserve">Youth Justice Act </w:t>
      </w:r>
      <w:r w:rsidR="006C63C2" w:rsidRPr="006C63C2">
        <w:rPr>
          <w:i/>
          <w:iCs/>
        </w:rPr>
        <w:t>1992</w:t>
      </w:r>
      <w:r w:rsidR="006C63C2">
        <w:t xml:space="preserve"> (Qld) </w:t>
      </w:r>
      <w:r w:rsidR="00BC3D3A">
        <w:t xml:space="preserve">by the </w:t>
      </w:r>
      <w:r w:rsidR="00BC3D3A" w:rsidRPr="00AB56C4">
        <w:rPr>
          <w:i/>
        </w:rPr>
        <w:t>Community Services Industry (Portable Long Service Leave) Act 2020</w:t>
      </w:r>
      <w:r w:rsidR="00BC3D3A">
        <w:rPr>
          <w:i/>
        </w:rPr>
        <w:t xml:space="preserve"> </w:t>
      </w:r>
      <w:r w:rsidR="00BC3D3A">
        <w:rPr>
          <w:iCs/>
        </w:rPr>
        <w:t>(Qld)</w:t>
      </w:r>
      <w:r w:rsidR="00BC3D3A">
        <w:t>.</w:t>
      </w:r>
    </w:p>
  </w:footnote>
  <w:footnote w:id="26">
    <w:p w14:paraId="3F43EE49" w14:textId="5C38B7A7" w:rsidR="00E31C99" w:rsidRPr="00BB7190" w:rsidRDefault="00E31C99">
      <w:pPr>
        <w:pStyle w:val="FootnoteText"/>
        <w:rPr>
          <w:iCs/>
          <w:lang w:val="en-GB"/>
        </w:rPr>
      </w:pPr>
      <w:r>
        <w:rPr>
          <w:rStyle w:val="FootnoteReference"/>
        </w:rPr>
        <w:footnoteRef/>
      </w:r>
      <w:r>
        <w:t xml:space="preserve"> </w:t>
      </w:r>
      <w:r w:rsidR="00D2023B">
        <w:t xml:space="preserve">Amendments to the </w:t>
      </w:r>
      <w:r w:rsidR="00D2023B" w:rsidRPr="006C63C2">
        <w:rPr>
          <w:i/>
          <w:iCs/>
        </w:rPr>
        <w:t>Youth Justice Act 1992</w:t>
      </w:r>
      <w:r w:rsidR="00D2023B">
        <w:t xml:space="preserve"> (Qld) by the</w:t>
      </w:r>
      <w:r w:rsidR="00BB7190">
        <w:t xml:space="preserve"> </w:t>
      </w:r>
      <w:r w:rsidR="00BB7190" w:rsidRPr="00AB56C4">
        <w:rPr>
          <w:i/>
        </w:rPr>
        <w:t>Youth Justice and Other Legislation Amendment Act 2021</w:t>
      </w:r>
      <w:r w:rsidR="00BB7190">
        <w:rPr>
          <w:i/>
        </w:rPr>
        <w:t xml:space="preserve"> </w:t>
      </w:r>
      <w:r w:rsidR="00BB7190">
        <w:rPr>
          <w:iCs/>
        </w:rPr>
        <w:t>(Qld).</w:t>
      </w:r>
    </w:p>
  </w:footnote>
  <w:footnote w:id="27">
    <w:p w14:paraId="64BCFAF5" w14:textId="77777777" w:rsidR="00E05AA4" w:rsidRPr="005A2B50" w:rsidRDefault="00E05AA4" w:rsidP="00E05AA4">
      <w:pPr>
        <w:pStyle w:val="FootnoteText"/>
        <w:rPr>
          <w:lang w:val="en-US"/>
        </w:rPr>
      </w:pPr>
      <w:r>
        <w:rPr>
          <w:rStyle w:val="FootnoteReference"/>
        </w:rPr>
        <w:footnoteRef/>
      </w:r>
      <w:r>
        <w:t xml:space="preserve"> Warren Barnsley, </w:t>
      </w:r>
      <w:r>
        <w:rPr>
          <w:lang w:val="en-US"/>
        </w:rPr>
        <w:t>‘</w:t>
      </w:r>
      <w:r w:rsidRPr="00451BF4">
        <w:t>Annastacia Palaszczuk announces 10 new measures to fight youth crime in Queensland after alleged murder of Emma Lovell</w:t>
      </w:r>
      <w:r>
        <w:t xml:space="preserve">’, </w:t>
      </w:r>
      <w:r w:rsidRPr="00451BF4">
        <w:rPr>
          <w:i/>
          <w:iCs/>
        </w:rPr>
        <w:t>7 News</w:t>
      </w:r>
      <w:r>
        <w:t xml:space="preserve"> (online, 29 December 2022) &lt;</w:t>
      </w:r>
      <w:hyperlink r:id="rId6" w:history="1">
        <w:r w:rsidRPr="00A67D72">
          <w:rPr>
            <w:rStyle w:val="Hyperlink"/>
          </w:rPr>
          <w:t>https://7news.com.au/news/qld/annastacia-palaszczuk-announces-10-new-measures-to-fight-youth-crime-in-queensland-after-alleged-murder-of-emma-lovell-c-9299070</w:t>
        </w:r>
      </w:hyperlink>
      <w:r>
        <w:t xml:space="preserve">&gt;. </w:t>
      </w:r>
    </w:p>
  </w:footnote>
  <w:footnote w:id="28">
    <w:p w14:paraId="18B4CA35" w14:textId="295D9471" w:rsidR="00B55F36" w:rsidRPr="00B55F36" w:rsidRDefault="00B55F36">
      <w:pPr>
        <w:pStyle w:val="FootnoteText"/>
        <w:rPr>
          <w:lang w:val="en-GB"/>
        </w:rPr>
      </w:pPr>
      <w:r>
        <w:rPr>
          <w:rStyle w:val="FootnoteReference"/>
        </w:rPr>
        <w:footnoteRef/>
      </w:r>
      <w:r>
        <w:t xml:space="preserve"> </w:t>
      </w:r>
      <w:r>
        <w:rPr>
          <w:lang w:val="en-GB"/>
        </w:rPr>
        <w:t xml:space="preserve">Amendments to </w:t>
      </w:r>
      <w:r w:rsidR="00CC1881">
        <w:rPr>
          <w:lang w:val="en-GB"/>
        </w:rPr>
        <w:t xml:space="preserve">s 29 of the </w:t>
      </w:r>
      <w:r w:rsidRPr="00C45189">
        <w:rPr>
          <w:i/>
          <w:iCs/>
          <w:lang w:val="en-GB"/>
        </w:rPr>
        <w:t>Bail Act 1980</w:t>
      </w:r>
      <w:r>
        <w:rPr>
          <w:lang w:val="en-GB"/>
        </w:rPr>
        <w:t xml:space="preserve"> (Qld) and </w:t>
      </w:r>
      <w:r w:rsidR="00B97CBB">
        <w:rPr>
          <w:lang w:val="en-GB"/>
        </w:rPr>
        <w:t>ss 150A</w:t>
      </w:r>
      <w:r w:rsidR="0032203B">
        <w:rPr>
          <w:lang w:val="en-GB"/>
        </w:rPr>
        <w:t>, 150B</w:t>
      </w:r>
      <w:r w:rsidR="00CC1881">
        <w:rPr>
          <w:lang w:val="en-GB"/>
        </w:rPr>
        <w:t xml:space="preserve"> of the</w:t>
      </w:r>
      <w:r w:rsidR="00B97CBB">
        <w:rPr>
          <w:lang w:val="en-GB"/>
        </w:rPr>
        <w:t xml:space="preserve"> </w:t>
      </w:r>
      <w:r w:rsidRPr="00C45189">
        <w:rPr>
          <w:i/>
          <w:iCs/>
          <w:lang w:val="en-GB"/>
        </w:rPr>
        <w:t>Youth Justice Act 1992</w:t>
      </w:r>
      <w:r>
        <w:rPr>
          <w:lang w:val="en-GB"/>
        </w:rPr>
        <w:t xml:space="preserve"> (Qld) by the </w:t>
      </w:r>
      <w:r w:rsidR="00C45189" w:rsidRPr="00C45189">
        <w:rPr>
          <w:i/>
          <w:iCs/>
        </w:rPr>
        <w:t>Strengthening Community Safety Act 2023</w:t>
      </w:r>
      <w:r w:rsidR="00C45189">
        <w:t xml:space="preserve"> (Qld).</w:t>
      </w:r>
    </w:p>
  </w:footnote>
  <w:footnote w:id="29">
    <w:p w14:paraId="2A18A1EB" w14:textId="6648002B" w:rsidR="00CB0540" w:rsidRPr="00CB0540" w:rsidRDefault="00CB0540">
      <w:pPr>
        <w:pStyle w:val="FootnoteText"/>
        <w:rPr>
          <w:lang w:val="en-GB"/>
        </w:rPr>
      </w:pPr>
      <w:r>
        <w:rPr>
          <w:rStyle w:val="FootnoteReference"/>
        </w:rPr>
        <w:footnoteRef/>
      </w:r>
      <w:r>
        <w:t xml:space="preserve"> </w:t>
      </w:r>
      <w:r w:rsidR="005C7A59">
        <w:t xml:space="preserve">Department of Youth Justice, </w:t>
      </w:r>
      <w:r w:rsidR="005C7A59" w:rsidRPr="008333FD">
        <w:rPr>
          <w:i/>
        </w:rPr>
        <w:t>Taskforce Guardian</w:t>
      </w:r>
      <w:r w:rsidR="005C7A59">
        <w:t xml:space="preserve"> (Web Page, 12 September 2024) &lt;</w:t>
      </w:r>
      <w:hyperlink r:id="rId7" w:history="1">
        <w:r w:rsidR="005C7A59" w:rsidRPr="00F25140">
          <w:rPr>
            <w:rStyle w:val="Hyperlink"/>
          </w:rPr>
          <w:t>https://desbt.qld.gov.au/youth-justice/parents-guardians/programs-initiatives/initiatives/taskforce-guardian</w:t>
        </w:r>
      </w:hyperlink>
      <w:r w:rsidR="005C7A59">
        <w:t xml:space="preserve">&gt;; </w:t>
      </w:r>
      <w:r w:rsidR="00632F92">
        <w:t>Di Farmer</w:t>
      </w:r>
      <w:r w:rsidR="00EC7D5C">
        <w:t>,</w:t>
      </w:r>
      <w:r>
        <w:t xml:space="preserve"> </w:t>
      </w:r>
      <w:r w:rsidR="00641EE2">
        <w:t>‘</w:t>
      </w:r>
      <w:r w:rsidR="00A3090A">
        <w:t>First of five new 24/7 Co-responder teams rolled out</w:t>
      </w:r>
      <w:r w:rsidR="00641EE2">
        <w:t>’</w:t>
      </w:r>
      <w:r>
        <w:t xml:space="preserve"> </w:t>
      </w:r>
      <w:r w:rsidR="00601E76">
        <w:t>(Media Statement,</w:t>
      </w:r>
      <w:r>
        <w:t xml:space="preserve"> </w:t>
      </w:r>
      <w:r w:rsidR="00A3090A">
        <w:t>20 May 2023) &lt;</w:t>
      </w:r>
      <w:hyperlink r:id="rId8" w:history="1">
        <w:r w:rsidR="008027E8" w:rsidRPr="0091058E">
          <w:rPr>
            <w:rStyle w:val="Hyperlink"/>
          </w:rPr>
          <w:t>https://statements.qld.gov.au/statements/97762</w:t>
        </w:r>
      </w:hyperlink>
      <w:r w:rsidR="00A3090A">
        <w:t>&gt;</w:t>
      </w:r>
      <w:r w:rsidR="0091058E">
        <w:t>.</w:t>
      </w:r>
    </w:p>
  </w:footnote>
  <w:footnote w:id="30">
    <w:p w14:paraId="6D91C8C8" w14:textId="1438F4DE" w:rsidR="00D82F64" w:rsidRPr="00D82F64" w:rsidRDefault="00D82F64">
      <w:pPr>
        <w:pStyle w:val="FootnoteText"/>
        <w:rPr>
          <w:lang w:val="en-GB"/>
        </w:rPr>
      </w:pPr>
      <w:r>
        <w:rPr>
          <w:rStyle w:val="FootnoteReference"/>
        </w:rPr>
        <w:footnoteRef/>
      </w:r>
      <w:r>
        <w:t xml:space="preserve"> </w:t>
      </w:r>
      <w:r>
        <w:rPr>
          <w:lang w:val="en-GB"/>
        </w:rPr>
        <w:t xml:space="preserve">Amendments to </w:t>
      </w:r>
      <w:r w:rsidR="00200357" w:rsidRPr="008402B4">
        <w:rPr>
          <w:lang w:val="en-GB"/>
        </w:rPr>
        <w:t xml:space="preserve">s </w:t>
      </w:r>
      <w:r w:rsidR="009E6D34" w:rsidRPr="008402B4">
        <w:rPr>
          <w:lang w:val="en-GB"/>
        </w:rPr>
        <w:t>640</w:t>
      </w:r>
      <w:r w:rsidR="00200357" w:rsidRPr="008402B4">
        <w:rPr>
          <w:lang w:val="en-GB"/>
        </w:rPr>
        <w:t xml:space="preserve"> of the</w:t>
      </w:r>
      <w:r w:rsidRPr="008402B4">
        <w:rPr>
          <w:lang w:val="en-GB"/>
        </w:rPr>
        <w:t xml:space="preserve"> </w:t>
      </w:r>
      <w:r w:rsidR="00C47AD7" w:rsidRPr="008402B4">
        <w:rPr>
          <w:i/>
          <w:iCs/>
          <w:lang w:val="en-GB"/>
        </w:rPr>
        <w:t>Police Powers and Responsibilities Act 2000</w:t>
      </w:r>
      <w:r w:rsidRPr="008402B4">
        <w:rPr>
          <w:lang w:val="en-GB"/>
        </w:rPr>
        <w:t xml:space="preserve"> (Qld)</w:t>
      </w:r>
      <w:r>
        <w:rPr>
          <w:lang w:val="en-GB"/>
        </w:rPr>
        <w:t xml:space="preserve"> and ss 56</w:t>
      </w:r>
      <w:r w:rsidR="00866459">
        <w:rPr>
          <w:lang w:val="en-GB"/>
        </w:rPr>
        <w:t>, 210</w:t>
      </w:r>
      <w:r w:rsidR="00CC0364">
        <w:rPr>
          <w:lang w:val="en-GB"/>
        </w:rPr>
        <w:t>, 246A</w:t>
      </w:r>
      <w:r w:rsidR="005B411A">
        <w:rPr>
          <w:lang w:val="en-GB"/>
        </w:rPr>
        <w:t>, 262</w:t>
      </w:r>
      <w:r w:rsidR="00384E60">
        <w:rPr>
          <w:lang w:val="en-GB"/>
        </w:rPr>
        <w:t xml:space="preserve"> of the</w:t>
      </w:r>
      <w:r>
        <w:rPr>
          <w:lang w:val="en-GB"/>
        </w:rPr>
        <w:t xml:space="preserve"> </w:t>
      </w:r>
      <w:r w:rsidRPr="00C45189">
        <w:rPr>
          <w:i/>
          <w:iCs/>
          <w:lang w:val="en-GB"/>
        </w:rPr>
        <w:t>Youth Justice Act 1992</w:t>
      </w:r>
      <w:r>
        <w:rPr>
          <w:lang w:val="en-GB"/>
        </w:rPr>
        <w:t xml:space="preserve"> (Qld) </w:t>
      </w:r>
      <w:r w:rsidR="006258FA">
        <w:rPr>
          <w:lang w:val="en-GB"/>
        </w:rPr>
        <w:t xml:space="preserve">by the </w:t>
      </w:r>
      <w:r w:rsidR="006258FA" w:rsidRPr="006258FA">
        <w:rPr>
          <w:i/>
          <w:iCs/>
        </w:rPr>
        <w:t xml:space="preserve">Child Protection (Offender Reporting and Offender Prohibition Order) and Other Legislation </w:t>
      </w:r>
      <w:r w:rsidR="00E16940">
        <w:rPr>
          <w:i/>
          <w:iCs/>
        </w:rPr>
        <w:t xml:space="preserve">Amendment </w:t>
      </w:r>
      <w:r w:rsidR="006258FA" w:rsidRPr="006258FA">
        <w:rPr>
          <w:i/>
          <w:iCs/>
        </w:rPr>
        <w:t>Act 2023</w:t>
      </w:r>
      <w:r w:rsidR="006258FA">
        <w:t xml:space="preserve"> (Qld).</w:t>
      </w:r>
    </w:p>
  </w:footnote>
  <w:footnote w:id="31">
    <w:p w14:paraId="0FFEE54E" w14:textId="77777777" w:rsidR="009F08DE" w:rsidRPr="00AD5F5C" w:rsidRDefault="009F08DE" w:rsidP="009F08DE">
      <w:pPr>
        <w:pStyle w:val="FootnoteText"/>
        <w:rPr>
          <w:lang w:val="en-GB"/>
        </w:rPr>
      </w:pPr>
      <w:r>
        <w:rPr>
          <w:rStyle w:val="FootnoteReference"/>
        </w:rPr>
        <w:footnoteRef/>
      </w:r>
      <w:r>
        <w:t xml:space="preserve"> </w:t>
      </w:r>
      <w:r w:rsidRPr="00C45189">
        <w:rPr>
          <w:i/>
          <w:iCs/>
          <w:lang w:val="en-GB"/>
        </w:rPr>
        <w:t>Youth Justice Act 1992</w:t>
      </w:r>
      <w:r>
        <w:rPr>
          <w:lang w:val="en-GB"/>
        </w:rPr>
        <w:t xml:space="preserve"> (Qld) s 262A. Section 58 of the </w:t>
      </w:r>
      <w:r w:rsidRPr="00AD5F5C">
        <w:rPr>
          <w:i/>
          <w:iCs/>
          <w:lang w:val="en-GB"/>
        </w:rPr>
        <w:t>Human Rights Act 2019</w:t>
      </w:r>
      <w:r>
        <w:rPr>
          <w:lang w:val="en-GB"/>
        </w:rPr>
        <w:t xml:space="preserve"> (Qld) places obligations on public entities to act and decide compatibly with human rights, and to give proper consideration to human rights when making decisions.</w:t>
      </w:r>
    </w:p>
  </w:footnote>
  <w:footnote w:id="32">
    <w:p w14:paraId="478ED300" w14:textId="5EA778C4" w:rsidR="00744499" w:rsidRPr="00744499" w:rsidRDefault="00744499">
      <w:pPr>
        <w:pStyle w:val="FootnoteText"/>
        <w:rPr>
          <w:lang w:val="en-GB"/>
        </w:rPr>
      </w:pPr>
      <w:r>
        <w:rPr>
          <w:rStyle w:val="FootnoteReference"/>
        </w:rPr>
        <w:footnoteRef/>
      </w:r>
      <w:r>
        <w:t xml:space="preserve"> </w:t>
      </w:r>
      <w:r w:rsidRPr="00744499">
        <w:rPr>
          <w:i/>
          <w:iCs/>
          <w:lang w:val="en-GB"/>
        </w:rPr>
        <w:t>Queensland Community Safety Act 2024</w:t>
      </w:r>
      <w:r>
        <w:rPr>
          <w:lang w:val="en-GB"/>
        </w:rPr>
        <w:t xml:space="preserve"> (Qld)</w:t>
      </w:r>
      <w:r w:rsidR="00DC79C7">
        <w:rPr>
          <w:lang w:val="en-GB"/>
        </w:rPr>
        <w:t xml:space="preserve">. See </w:t>
      </w:r>
      <w:r w:rsidR="0002388A">
        <w:rPr>
          <w:lang w:val="en-GB"/>
        </w:rPr>
        <w:t>also</w:t>
      </w:r>
      <w:r w:rsidR="00DC79C7">
        <w:rPr>
          <w:lang w:val="en-GB"/>
        </w:rPr>
        <w:t xml:space="preserve"> </w:t>
      </w:r>
      <w:r w:rsidR="00870CBD">
        <w:rPr>
          <w:lang w:val="en-GB"/>
        </w:rPr>
        <w:t xml:space="preserve">Queensland Human Rights Commission, Submission No 212 to </w:t>
      </w:r>
      <w:r w:rsidR="00870CBD" w:rsidRPr="00870CBD">
        <w:rPr>
          <w:lang w:val="en-GB"/>
        </w:rPr>
        <w:t>Community Safety and Legal Affairs Committee</w:t>
      </w:r>
      <w:r w:rsidR="00334E41">
        <w:rPr>
          <w:lang w:val="en-GB"/>
        </w:rPr>
        <w:t xml:space="preserve">, Queensland Parliament, </w:t>
      </w:r>
      <w:r w:rsidR="00334E41" w:rsidRPr="00334E41">
        <w:rPr>
          <w:i/>
          <w:iCs/>
          <w:lang w:val="en-GB"/>
        </w:rPr>
        <w:t>Queensland Community Safety Bill 2024</w:t>
      </w:r>
      <w:r w:rsidR="00DC79C7">
        <w:rPr>
          <w:lang w:val="en-GB"/>
        </w:rPr>
        <w:t xml:space="preserve"> </w:t>
      </w:r>
      <w:r w:rsidR="0063594C">
        <w:rPr>
          <w:lang w:val="en-GB"/>
        </w:rPr>
        <w:t>(</w:t>
      </w:r>
      <w:r w:rsidR="00C17DF8">
        <w:rPr>
          <w:lang w:val="en-GB"/>
        </w:rPr>
        <w:t>17 May 2024)</w:t>
      </w:r>
      <w:r w:rsidR="00B93B43">
        <w:rPr>
          <w:lang w:val="en-GB"/>
        </w:rPr>
        <w:t xml:space="preserve">. </w:t>
      </w:r>
    </w:p>
  </w:footnote>
  <w:footnote w:id="33">
    <w:p w14:paraId="2EBF129C" w14:textId="470075B5" w:rsidR="00C25547" w:rsidRPr="00293622" w:rsidRDefault="00C25547">
      <w:pPr>
        <w:pStyle w:val="FootnoteText"/>
        <w:rPr>
          <w:lang w:val="en-GB"/>
        </w:rPr>
      </w:pPr>
      <w:r>
        <w:rPr>
          <w:rStyle w:val="FootnoteReference"/>
        </w:rPr>
        <w:footnoteRef/>
      </w:r>
      <w:r>
        <w:t xml:space="preserve"> </w:t>
      </w:r>
      <w:r w:rsidR="00293622">
        <w:rPr>
          <w:lang w:val="en-GB"/>
        </w:rPr>
        <w:t>Queensland Police Force, ‘Taskforce Guardian marks 100</w:t>
      </w:r>
      <w:r w:rsidR="00293622" w:rsidRPr="00293622">
        <w:rPr>
          <w:vertAlign w:val="superscript"/>
          <w:lang w:val="en-GB"/>
        </w:rPr>
        <w:t>th</w:t>
      </w:r>
      <w:r w:rsidR="00293622">
        <w:rPr>
          <w:lang w:val="en-GB"/>
        </w:rPr>
        <w:t xml:space="preserve"> deployment’ (Press Release, 15 October 2024) </w:t>
      </w:r>
      <w:r w:rsidR="007B00D6">
        <w:rPr>
          <w:lang w:val="en-GB"/>
        </w:rPr>
        <w:t>&lt;</w:t>
      </w:r>
      <w:r w:rsidR="007B00D6" w:rsidRPr="007B00D6">
        <w:t xml:space="preserve"> </w:t>
      </w:r>
      <w:r w:rsidR="007B00D6" w:rsidRPr="007B00D6">
        <w:rPr>
          <w:lang w:val="en-GB"/>
        </w:rPr>
        <w:t>https://mypolice.qld.gov.au/news/2024/10/15/taskforce-guardian-marks-100th-deployment/</w:t>
      </w:r>
      <w:r w:rsidR="007B00D6">
        <w:rPr>
          <w:lang w:val="en-GB"/>
        </w:rPr>
        <w:t>&gt;.</w:t>
      </w:r>
    </w:p>
  </w:footnote>
  <w:footnote w:id="34">
    <w:p w14:paraId="72B94F86" w14:textId="0836653F" w:rsidR="00CF292C" w:rsidRPr="00542071" w:rsidRDefault="00CF292C" w:rsidP="00CF292C">
      <w:pPr>
        <w:pStyle w:val="FootnoteText"/>
        <w:rPr>
          <w:lang w:val="en-GB"/>
        </w:rPr>
      </w:pPr>
      <w:r>
        <w:rPr>
          <w:rStyle w:val="FootnoteReference"/>
        </w:rPr>
        <w:footnoteRef/>
      </w:r>
      <w:r>
        <w:t xml:space="preserve"> </w:t>
      </w:r>
      <w:r w:rsidR="00FD2ACD" w:rsidRPr="00FD2ACD">
        <w:t xml:space="preserve">Queensland Audit Office, </w:t>
      </w:r>
      <w:r w:rsidR="00FD2ACD" w:rsidRPr="00FD2ACD">
        <w:rPr>
          <w:i/>
          <w:iCs/>
        </w:rPr>
        <w:t>Reducing serious youth crime</w:t>
      </w:r>
      <w:r w:rsidR="00FD2ACD" w:rsidRPr="00FD2ACD">
        <w:t xml:space="preserve"> (Performance Audit Report 15: </w:t>
      </w:r>
      <w:r w:rsidR="00130FC5">
        <w:t>2023–24</w:t>
      </w:r>
      <w:r w:rsidR="00FD2ACD" w:rsidRPr="00FD2ACD">
        <w:t>, 28 June 2024)</w:t>
      </w:r>
      <w:r>
        <w:rPr>
          <w:lang w:val="en-GB"/>
        </w:rPr>
        <w:t xml:space="preserve"> 7.</w:t>
      </w:r>
    </w:p>
  </w:footnote>
  <w:footnote w:id="35">
    <w:p w14:paraId="131349DF" w14:textId="68A9B09C" w:rsidR="00CF292C" w:rsidRPr="002A43B7" w:rsidRDefault="00CF292C" w:rsidP="00CF292C">
      <w:pPr>
        <w:pStyle w:val="FootnoteText"/>
        <w:rPr>
          <w:lang w:val="en-GB"/>
        </w:rPr>
      </w:pPr>
      <w:r>
        <w:rPr>
          <w:rStyle w:val="FootnoteReference"/>
        </w:rPr>
        <w:footnoteRef/>
      </w:r>
      <w:r>
        <w:t xml:space="preserve"> </w:t>
      </w:r>
      <w:r w:rsidR="003C52F7">
        <w:t xml:space="preserve">Productivity Commission, </w:t>
      </w:r>
      <w:r w:rsidR="003C52F7">
        <w:rPr>
          <w:i/>
          <w:iCs/>
        </w:rPr>
        <w:t xml:space="preserve">Report on Government Services </w:t>
      </w:r>
      <w:r w:rsidR="003C52F7" w:rsidRPr="003C52F7">
        <w:rPr>
          <w:i/>
          <w:iCs/>
        </w:rPr>
        <w:t>2024</w:t>
      </w:r>
      <w:r w:rsidR="003C52F7">
        <w:t xml:space="preserve">, </w:t>
      </w:r>
      <w:r w:rsidR="00AF7F1C">
        <w:t>‘Table 17A.3: Young people aged 10-17 years in detention, by sex’ (</w:t>
      </w:r>
      <w:r w:rsidR="00D97D03">
        <w:t>Report, 22 January 2024) &lt;</w:t>
      </w:r>
      <w:r w:rsidR="006C520A" w:rsidRPr="006C520A">
        <w:t>https://www.pc.gov.au/ongoing/</w:t>
      </w:r>
      <w:r w:rsidR="000E0DD1">
        <w:t xml:space="preserve"> </w:t>
      </w:r>
      <w:r w:rsidR="006C520A" w:rsidRPr="006C520A">
        <w:t>report-on-government-services/2024/community-services/youth-justice</w:t>
      </w:r>
      <w:r w:rsidR="006C520A">
        <w:t xml:space="preserve">&gt;. </w:t>
      </w:r>
      <w:r w:rsidR="00176B97" w:rsidRPr="003C52F7">
        <w:t>The</w:t>
      </w:r>
      <w:r w:rsidR="00176B97">
        <w:t xml:space="preserve"> lower number </w:t>
      </w:r>
      <w:r w:rsidR="00AC212C">
        <w:t>was</w:t>
      </w:r>
      <w:r w:rsidR="00176B97">
        <w:t xml:space="preserve"> apparent before the Covid-19 pandemic: </w:t>
      </w:r>
      <w:r w:rsidR="00AC212C">
        <w:t>in 2019, the daily average was 200 children</w:t>
      </w:r>
      <w:r w:rsidR="00487813">
        <w:t>:</w:t>
      </w:r>
      <w:r w:rsidR="00AC212C">
        <w:t xml:space="preserve"> </w:t>
      </w:r>
      <w:r w:rsidR="0057353A">
        <w:rPr>
          <w:lang w:val="en-GB"/>
        </w:rPr>
        <w:t xml:space="preserve">Childrens Court of Queensland, </w:t>
      </w:r>
      <w:r w:rsidR="0057353A" w:rsidRPr="00AB2984">
        <w:rPr>
          <w:i/>
          <w:iCs/>
          <w:lang w:val="en-GB"/>
        </w:rPr>
        <w:t xml:space="preserve">Annual report </w:t>
      </w:r>
      <w:r w:rsidR="00130FC5">
        <w:rPr>
          <w:i/>
          <w:iCs/>
          <w:lang w:val="en-GB"/>
        </w:rPr>
        <w:t>2022–23</w:t>
      </w:r>
      <w:r w:rsidR="0057353A">
        <w:rPr>
          <w:lang w:val="en-GB"/>
        </w:rPr>
        <w:t xml:space="preserve"> 48 </w:t>
      </w:r>
      <w:r>
        <w:rPr>
          <w:lang w:val="en-GB"/>
        </w:rPr>
        <w:t>[30]</w:t>
      </w:r>
      <w:r w:rsidR="00766183">
        <w:rPr>
          <w:lang w:val="en-GB"/>
        </w:rPr>
        <w:t>.</w:t>
      </w:r>
      <w:r w:rsidR="002E6AFF">
        <w:rPr>
          <w:lang w:val="en-GB"/>
        </w:rPr>
        <w:t xml:space="preserve"> </w:t>
      </w:r>
    </w:p>
  </w:footnote>
  <w:footnote w:id="36">
    <w:p w14:paraId="6605AB6E" w14:textId="77777777" w:rsidR="00CF292C" w:rsidRPr="00C8418D" w:rsidRDefault="00CF292C" w:rsidP="00CF292C">
      <w:pPr>
        <w:pStyle w:val="FootnoteText"/>
        <w:rPr>
          <w:lang w:val="en-GB"/>
        </w:rPr>
      </w:pPr>
      <w:r>
        <w:rPr>
          <w:rStyle w:val="FootnoteReference"/>
        </w:rPr>
        <w:footnoteRef/>
      </w:r>
      <w:r>
        <w:t xml:space="preserve"> </w:t>
      </w:r>
      <w:r w:rsidRPr="00C01FA2">
        <w:rPr>
          <w:i/>
          <w:iCs/>
          <w:lang w:val="en-GB"/>
        </w:rPr>
        <w:t>Select Committee draft report</w:t>
      </w:r>
      <w:r>
        <w:rPr>
          <w:lang w:val="en-GB"/>
        </w:rPr>
        <w:t xml:space="preserve"> 49.</w:t>
      </w:r>
    </w:p>
  </w:footnote>
  <w:footnote w:id="37">
    <w:p w14:paraId="028E7661" w14:textId="355467B4" w:rsidR="00CF292C" w:rsidRPr="004150FD" w:rsidRDefault="00CF292C" w:rsidP="00CF292C">
      <w:pPr>
        <w:pStyle w:val="FootnoteText"/>
        <w:rPr>
          <w:lang w:val="en-GB"/>
        </w:rPr>
      </w:pPr>
      <w:r>
        <w:rPr>
          <w:rStyle w:val="FootnoteReference"/>
        </w:rPr>
        <w:footnoteRef/>
      </w:r>
      <w:r>
        <w:t xml:space="preserve"> </w:t>
      </w:r>
      <w:r>
        <w:rPr>
          <w:lang w:val="en-GB"/>
        </w:rPr>
        <w:t xml:space="preserve">Childrens Court </w:t>
      </w:r>
      <w:r w:rsidR="00AB2984">
        <w:rPr>
          <w:lang w:val="en-GB"/>
        </w:rPr>
        <w:t xml:space="preserve">of Queensland, </w:t>
      </w:r>
      <w:r w:rsidRPr="00AB2984">
        <w:rPr>
          <w:i/>
          <w:iCs/>
          <w:lang w:val="en-GB"/>
        </w:rPr>
        <w:t xml:space="preserve">Annual report </w:t>
      </w:r>
      <w:r w:rsidR="00130FC5">
        <w:rPr>
          <w:i/>
          <w:iCs/>
          <w:lang w:val="en-GB"/>
        </w:rPr>
        <w:t>2022–23</w:t>
      </w:r>
      <w:r>
        <w:rPr>
          <w:lang w:val="en-GB"/>
        </w:rPr>
        <w:t xml:space="preserve"> 48.</w:t>
      </w:r>
    </w:p>
  </w:footnote>
  <w:footnote w:id="38">
    <w:p w14:paraId="2B9A837E" w14:textId="2E4F7284" w:rsidR="00116780" w:rsidRPr="00116780" w:rsidRDefault="00116780">
      <w:pPr>
        <w:pStyle w:val="FootnoteText"/>
        <w:rPr>
          <w:lang w:val="en-GB"/>
        </w:rPr>
      </w:pPr>
      <w:r>
        <w:rPr>
          <w:rStyle w:val="FootnoteReference"/>
        </w:rPr>
        <w:footnoteRef/>
      </w:r>
      <w:r>
        <w:t xml:space="preserve"> </w:t>
      </w:r>
      <w:r w:rsidR="00BC7CB6" w:rsidRPr="00BC7CB6">
        <w:rPr>
          <w:lang w:val="en-GB"/>
        </w:rPr>
        <w:t xml:space="preserve">Queensland Family &amp; Child Commission, </w:t>
      </w:r>
      <w:r w:rsidR="00BC7CB6" w:rsidRPr="00BC7CB6">
        <w:rPr>
          <w:i/>
          <w:iCs/>
          <w:lang w:val="en-GB"/>
        </w:rPr>
        <w:t xml:space="preserve">Who’s responsible: Understanding why young people are being held longer in Queensland </w:t>
      </w:r>
      <w:r w:rsidR="002D2B73">
        <w:rPr>
          <w:i/>
          <w:iCs/>
          <w:lang w:val="en-GB"/>
        </w:rPr>
        <w:t>watch house</w:t>
      </w:r>
      <w:r w:rsidR="00BC7CB6" w:rsidRPr="00BC7CB6">
        <w:rPr>
          <w:i/>
          <w:iCs/>
          <w:lang w:val="en-GB"/>
        </w:rPr>
        <w:t>s</w:t>
      </w:r>
      <w:r w:rsidR="00BC7CB6" w:rsidRPr="00BC7CB6">
        <w:rPr>
          <w:lang w:val="en-GB"/>
        </w:rPr>
        <w:t xml:space="preserve"> (30 November 2023)</w:t>
      </w:r>
      <w:r>
        <w:rPr>
          <w:lang w:val="en-GB"/>
        </w:rPr>
        <w:t xml:space="preserve"> </w:t>
      </w:r>
      <w:r w:rsidR="00F37773">
        <w:rPr>
          <w:lang w:val="en-GB"/>
        </w:rPr>
        <w:t>4</w:t>
      </w:r>
      <w:r w:rsidR="009A1D1D">
        <w:rPr>
          <w:lang w:val="en-GB"/>
        </w:rPr>
        <w:t xml:space="preserve"> (</w:t>
      </w:r>
      <w:r w:rsidR="009A1D1D">
        <w:rPr>
          <w:b/>
          <w:bCs/>
          <w:i/>
          <w:iCs/>
          <w:lang w:val="en-GB"/>
        </w:rPr>
        <w:t>Who’s responsible</w:t>
      </w:r>
      <w:r w:rsidR="009A1D1D">
        <w:rPr>
          <w:lang w:val="en-GB"/>
        </w:rPr>
        <w:t>)</w:t>
      </w:r>
      <w:r w:rsidR="00F37773">
        <w:rPr>
          <w:lang w:val="en-GB"/>
        </w:rPr>
        <w:t>.</w:t>
      </w:r>
    </w:p>
  </w:footnote>
  <w:footnote w:id="39">
    <w:p w14:paraId="2E600B6E" w14:textId="6885C23E" w:rsidR="00CF292C" w:rsidRPr="00610A31" w:rsidRDefault="00CF292C" w:rsidP="00CF292C">
      <w:pPr>
        <w:pStyle w:val="FootnoteText"/>
        <w:rPr>
          <w:lang w:val="en-GB"/>
        </w:rPr>
      </w:pPr>
      <w:r>
        <w:rPr>
          <w:rStyle w:val="FootnoteReference"/>
        </w:rPr>
        <w:footnoteRef/>
      </w:r>
      <w:r>
        <w:t xml:space="preserve"> </w:t>
      </w:r>
      <w:r w:rsidR="009C22D2">
        <w:rPr>
          <w:lang w:val="en-GB"/>
        </w:rPr>
        <w:t xml:space="preserve">Childrens Court of Queensland, </w:t>
      </w:r>
      <w:r w:rsidR="009C22D2" w:rsidRPr="00AB2984">
        <w:rPr>
          <w:i/>
          <w:iCs/>
          <w:lang w:val="en-GB"/>
        </w:rPr>
        <w:t xml:space="preserve">Annual report </w:t>
      </w:r>
      <w:r w:rsidR="00130FC5">
        <w:rPr>
          <w:i/>
          <w:iCs/>
          <w:lang w:val="en-GB"/>
        </w:rPr>
        <w:t>2022–23</w:t>
      </w:r>
      <w:r>
        <w:rPr>
          <w:lang w:val="en-GB"/>
        </w:rPr>
        <w:t xml:space="preserve"> 49.</w:t>
      </w:r>
    </w:p>
  </w:footnote>
  <w:footnote w:id="40">
    <w:p w14:paraId="5ED3EC16" w14:textId="04521F7D" w:rsidR="004C3C90" w:rsidRPr="004C3C90" w:rsidRDefault="004C3C90">
      <w:pPr>
        <w:pStyle w:val="FootnoteText"/>
        <w:rPr>
          <w:lang w:val="en-GB"/>
        </w:rPr>
      </w:pPr>
      <w:r>
        <w:rPr>
          <w:rStyle w:val="FootnoteReference"/>
        </w:rPr>
        <w:footnoteRef/>
      </w:r>
      <w:r>
        <w:t xml:space="preserve"> Queensland Police Service, </w:t>
      </w:r>
      <w:r w:rsidR="00976971">
        <w:t xml:space="preserve">‘Persons in Queensland Police </w:t>
      </w:r>
      <w:r w:rsidR="002D2B73">
        <w:t>Watch house</w:t>
      </w:r>
      <w:r w:rsidR="00976971">
        <w:t xml:space="preserve"> Custody’, </w:t>
      </w:r>
      <w:r w:rsidR="002D2B73">
        <w:rPr>
          <w:i/>
          <w:iCs/>
        </w:rPr>
        <w:t>Watch house</w:t>
      </w:r>
      <w:r w:rsidR="00803B8A" w:rsidRPr="00803B8A">
        <w:rPr>
          <w:i/>
          <w:iCs/>
        </w:rPr>
        <w:t xml:space="preserve"> data</w:t>
      </w:r>
      <w:r w:rsidR="00803B8A">
        <w:t xml:space="preserve"> </w:t>
      </w:r>
      <w:r>
        <w:t>(web page, 10 October 2024</w:t>
      </w:r>
      <w:r w:rsidR="00976971">
        <w:t xml:space="preserve"> 06:00</w:t>
      </w:r>
      <w:r>
        <w:t>) &lt;</w:t>
      </w:r>
      <w:hyperlink r:id="rId9" w:history="1">
        <w:r w:rsidRPr="00C81647">
          <w:rPr>
            <w:rStyle w:val="Hyperlink"/>
          </w:rPr>
          <w:t>https://www.police.qld.gov.au/qps-corporate-documents/reports-and-publications/</w:t>
        </w:r>
        <w:r w:rsidR="002D2B73">
          <w:rPr>
            <w:rStyle w:val="Hyperlink"/>
          </w:rPr>
          <w:t>watch house</w:t>
        </w:r>
        <w:r w:rsidRPr="00C81647">
          <w:rPr>
            <w:rStyle w:val="Hyperlink"/>
          </w:rPr>
          <w:t>-data</w:t>
        </w:r>
      </w:hyperlink>
      <w:r>
        <w:t>&gt;</w:t>
      </w:r>
      <w:r w:rsidR="00867746">
        <w:t>.</w:t>
      </w:r>
    </w:p>
  </w:footnote>
  <w:footnote w:id="41">
    <w:p w14:paraId="450F24BE" w14:textId="2F675C85" w:rsidR="0048018D" w:rsidRPr="0048018D" w:rsidRDefault="0048018D">
      <w:pPr>
        <w:pStyle w:val="FootnoteText"/>
        <w:rPr>
          <w:lang w:val="en-GB"/>
        </w:rPr>
      </w:pPr>
      <w:r>
        <w:rPr>
          <w:rStyle w:val="FootnoteReference"/>
        </w:rPr>
        <w:footnoteRef/>
      </w:r>
      <w:r w:rsidR="00514E1E" w:rsidRPr="00BC7CB6">
        <w:rPr>
          <w:lang w:val="en-GB"/>
        </w:rPr>
        <w:t xml:space="preserve"> </w:t>
      </w:r>
      <w:r w:rsidR="00514E1E" w:rsidRPr="00BC7CB6">
        <w:rPr>
          <w:i/>
          <w:iCs/>
          <w:lang w:val="en-GB"/>
        </w:rPr>
        <w:t>Who’s responsible</w:t>
      </w:r>
      <w:r w:rsidR="0069668E">
        <w:rPr>
          <w:i/>
          <w:iCs/>
          <w:lang w:val="en-GB"/>
        </w:rPr>
        <w:t xml:space="preserve"> </w:t>
      </w:r>
      <w:r w:rsidR="0015762C">
        <w:rPr>
          <w:lang w:val="en-GB"/>
        </w:rPr>
        <w:t>24</w:t>
      </w:r>
      <w:r w:rsidR="00514E1E">
        <w:rPr>
          <w:lang w:val="en-GB"/>
        </w:rPr>
        <w:t>.</w:t>
      </w:r>
    </w:p>
  </w:footnote>
  <w:footnote w:id="42">
    <w:p w14:paraId="28838016" w14:textId="4FD643BF" w:rsidR="00474629" w:rsidRPr="007558D1" w:rsidRDefault="00474629" w:rsidP="00474629">
      <w:pPr>
        <w:pStyle w:val="FootnoteText"/>
        <w:rPr>
          <w:lang w:val="en-GB"/>
        </w:rPr>
      </w:pPr>
      <w:r>
        <w:rPr>
          <w:rStyle w:val="FootnoteReference"/>
        </w:rPr>
        <w:footnoteRef/>
      </w:r>
      <w:r>
        <w:t xml:space="preserve"> </w:t>
      </w:r>
      <w:r>
        <w:rPr>
          <w:lang w:val="en-GB"/>
        </w:rPr>
        <w:t xml:space="preserve">The Serious Repeat Offender Index (SROI) is a ‘point in time’ measurement that represents the volume/seriousness of a young person’s recent offending behaviour. SROI scores take into account the young person’s age at that measurement date, as well as the young person’s offending (including seriousness, frequency, clustering and recency) and custody nights in the last 24 months. Higher index scores indicate more serious/frequent offending behaviour and young people with a score of 6 or above are considered a ‘serious repeat offender’: </w:t>
      </w:r>
      <w:r>
        <w:rPr>
          <w:lang w:val="en-GB"/>
        </w:rPr>
        <w:t xml:space="preserve">Childrens Court of Queensland, </w:t>
      </w:r>
      <w:r w:rsidRPr="00AB2984">
        <w:rPr>
          <w:i/>
          <w:iCs/>
          <w:lang w:val="en-GB"/>
        </w:rPr>
        <w:t xml:space="preserve">Annual report </w:t>
      </w:r>
      <w:r w:rsidR="00130FC5">
        <w:rPr>
          <w:i/>
          <w:iCs/>
          <w:lang w:val="en-GB"/>
        </w:rPr>
        <w:t>2022–23</w:t>
      </w:r>
      <w:r>
        <w:rPr>
          <w:lang w:val="en-GB"/>
        </w:rPr>
        <w:t xml:space="preserve"> 19-20.</w:t>
      </w:r>
    </w:p>
  </w:footnote>
  <w:footnote w:id="43">
    <w:p w14:paraId="57D58829" w14:textId="7CB713C6" w:rsidR="00474629" w:rsidRPr="00610A31" w:rsidRDefault="00474629" w:rsidP="00474629">
      <w:pPr>
        <w:pStyle w:val="FootnoteText"/>
        <w:rPr>
          <w:lang w:val="en-GB"/>
        </w:rPr>
      </w:pPr>
      <w:r w:rsidRPr="00483BD4">
        <w:rPr>
          <w:rStyle w:val="FootnoteReference"/>
        </w:rPr>
        <w:footnoteRef/>
      </w:r>
      <w:r w:rsidRPr="00483BD4">
        <w:t xml:space="preserve"> </w:t>
      </w:r>
      <w:r w:rsidRPr="00483BD4">
        <w:rPr>
          <w:lang w:val="en-GB"/>
        </w:rPr>
        <w:t xml:space="preserve">Childrens Court of Queensland, </w:t>
      </w:r>
      <w:r w:rsidRPr="00483BD4">
        <w:rPr>
          <w:i/>
          <w:lang w:val="en-GB"/>
        </w:rPr>
        <w:t xml:space="preserve">Annual report </w:t>
      </w:r>
      <w:r w:rsidR="00130FC5">
        <w:rPr>
          <w:i/>
          <w:lang w:val="en-GB"/>
        </w:rPr>
        <w:t>2022–23</w:t>
      </w:r>
      <w:r w:rsidRPr="00483BD4">
        <w:rPr>
          <w:lang w:val="en-GB"/>
        </w:rPr>
        <w:t xml:space="preserve"> [3]-[4]. This definition of serious repeat offender is a separate to a person who is declared a serious repeat offender by the Magistrates Court under s 150A of the </w:t>
      </w:r>
      <w:r w:rsidRPr="00483BD4">
        <w:rPr>
          <w:i/>
          <w:lang w:val="en-GB"/>
        </w:rPr>
        <w:t>Youth Justice Act 1992</w:t>
      </w:r>
      <w:r w:rsidRPr="00483BD4">
        <w:rPr>
          <w:lang w:val="en-GB"/>
        </w:rPr>
        <w:t xml:space="preserve"> (Qld).</w:t>
      </w:r>
    </w:p>
  </w:footnote>
  <w:footnote w:id="44">
    <w:p w14:paraId="59A2C1F6" w14:textId="43FB7618" w:rsidR="00474629" w:rsidRPr="00C8418D" w:rsidRDefault="00474629" w:rsidP="00474629">
      <w:pPr>
        <w:pStyle w:val="FootnoteText"/>
        <w:rPr>
          <w:lang w:val="en-GB"/>
        </w:rPr>
      </w:pPr>
      <w:r>
        <w:rPr>
          <w:rStyle w:val="FootnoteReference"/>
        </w:rPr>
        <w:footnoteRef/>
      </w:r>
      <w:r>
        <w:t xml:space="preserve"> </w:t>
      </w:r>
      <w:r w:rsidRPr="00C01FA2">
        <w:rPr>
          <w:i/>
          <w:iCs/>
          <w:lang w:val="en-GB"/>
        </w:rPr>
        <w:t>Select Committee draft report</w:t>
      </w:r>
      <w:r>
        <w:rPr>
          <w:lang w:val="en-GB"/>
        </w:rPr>
        <w:t xml:space="preserve"> 43; See also </w:t>
      </w:r>
      <w:r w:rsidRPr="00BC7CB6">
        <w:rPr>
          <w:i/>
          <w:iCs/>
          <w:lang w:val="en-GB"/>
        </w:rPr>
        <w:t>Who’s responsible</w:t>
      </w:r>
      <w:r w:rsidR="00A22AEE">
        <w:rPr>
          <w:i/>
          <w:iCs/>
          <w:lang w:val="en-GB"/>
        </w:rPr>
        <w:t xml:space="preserve"> </w:t>
      </w:r>
      <w:r>
        <w:rPr>
          <w:lang w:val="en-GB"/>
        </w:rPr>
        <w:t xml:space="preserve">62. </w:t>
      </w:r>
    </w:p>
  </w:footnote>
  <w:footnote w:id="45">
    <w:p w14:paraId="61D39ABF" w14:textId="667536BE" w:rsidR="00335FD3" w:rsidRPr="00335FD3" w:rsidRDefault="00335FD3">
      <w:pPr>
        <w:pStyle w:val="FootnoteText"/>
        <w:rPr>
          <w:lang w:val="en-GB"/>
        </w:rPr>
      </w:pPr>
      <w:r>
        <w:rPr>
          <w:rStyle w:val="FootnoteReference"/>
        </w:rPr>
        <w:footnoteRef/>
      </w:r>
      <w:r>
        <w:t xml:space="preserve"> </w:t>
      </w:r>
      <w:r w:rsidRPr="00BC7CB6">
        <w:rPr>
          <w:i/>
          <w:iCs/>
          <w:lang w:val="en-GB"/>
        </w:rPr>
        <w:t>Who’s responsible</w:t>
      </w:r>
      <w:r w:rsidR="00A22AEE">
        <w:rPr>
          <w:i/>
          <w:iCs/>
          <w:lang w:val="en-GB"/>
        </w:rPr>
        <w:t xml:space="preserve"> </w:t>
      </w:r>
      <w:r w:rsidR="00952EA8">
        <w:rPr>
          <w:lang w:val="en-GB"/>
        </w:rPr>
        <w:t>5.</w:t>
      </w:r>
    </w:p>
  </w:footnote>
  <w:footnote w:id="46">
    <w:p w14:paraId="70034D6F" w14:textId="2D183953" w:rsidR="003803B9" w:rsidRPr="003803B9" w:rsidRDefault="003803B9">
      <w:pPr>
        <w:pStyle w:val="FootnoteText"/>
        <w:rPr>
          <w:lang w:val="en-GB"/>
        </w:rPr>
      </w:pPr>
      <w:r>
        <w:rPr>
          <w:rStyle w:val="FootnoteReference"/>
        </w:rPr>
        <w:footnoteRef/>
      </w:r>
      <w:r>
        <w:t xml:space="preserve"> </w:t>
      </w:r>
      <w:r w:rsidR="00CB618E" w:rsidRPr="00507A1D">
        <w:rPr>
          <w:i/>
          <w:iCs/>
          <w:lang w:val="en-GB"/>
        </w:rPr>
        <w:t>Convention on the Rights of the Child</w:t>
      </w:r>
      <w:r w:rsidR="00CB618E">
        <w:rPr>
          <w:lang w:val="en-GB"/>
        </w:rPr>
        <w:t>, art 37 (b).</w:t>
      </w:r>
    </w:p>
  </w:footnote>
  <w:footnote w:id="47">
    <w:p w14:paraId="07DF0262" w14:textId="16BEA6B4" w:rsidR="000A6102" w:rsidRDefault="000A6102" w:rsidP="000A6102">
      <w:pPr>
        <w:pStyle w:val="FootnoteText"/>
      </w:pPr>
      <w:r>
        <w:rPr>
          <w:rStyle w:val="FootnoteReference"/>
        </w:rPr>
        <w:footnoteRef/>
      </w:r>
      <w:r>
        <w:t xml:space="preserve"> </w:t>
      </w:r>
      <w:r w:rsidR="000C4066" w:rsidRPr="00E90785">
        <w:rPr>
          <w:rFonts w:cs="Arial"/>
          <w:lang w:val="en-US"/>
        </w:rPr>
        <w:t xml:space="preserve">Committee on the Rights of the Child, </w:t>
      </w:r>
      <w:r w:rsidR="000C4066" w:rsidRPr="00884160">
        <w:rPr>
          <w:rFonts w:cs="Arial"/>
          <w:i/>
          <w:iCs/>
          <w:lang w:val="en-US"/>
        </w:rPr>
        <w:t>General comment No. 24 (2019) on children’s rights in the child justice system</w:t>
      </w:r>
      <w:r w:rsidR="000C4066" w:rsidRPr="00E90785">
        <w:rPr>
          <w:rFonts w:cs="Arial"/>
          <w:lang w:val="en-US"/>
        </w:rPr>
        <w:t xml:space="preserve">, UN Doc CRC/C/GC/24 (18 September 2019) </w:t>
      </w:r>
      <w:r w:rsidR="000C4066">
        <w:rPr>
          <w:rFonts w:cs="Arial"/>
          <w:lang w:val="en-US"/>
        </w:rPr>
        <w:t>[22]-[23]. (</w:t>
      </w:r>
      <w:r w:rsidR="000C4066" w:rsidRPr="000C4066">
        <w:rPr>
          <w:rFonts w:cs="Arial"/>
          <w:b/>
          <w:bCs/>
          <w:i/>
          <w:iCs/>
          <w:lang w:val="en-US"/>
        </w:rPr>
        <w:t>CRC</w:t>
      </w:r>
      <w:r w:rsidR="000C4066" w:rsidRPr="000C4066">
        <w:rPr>
          <w:rFonts w:cs="Arial"/>
          <w:b/>
          <w:bCs/>
          <w:lang w:val="en-US"/>
        </w:rPr>
        <w:t xml:space="preserve"> </w:t>
      </w:r>
      <w:r w:rsidR="000C4066" w:rsidRPr="000C4066">
        <w:rPr>
          <w:rFonts w:cs="Arial"/>
          <w:b/>
          <w:bCs/>
          <w:i/>
          <w:iCs/>
          <w:lang w:val="en-US"/>
        </w:rPr>
        <w:t>General Comment No 24</w:t>
      </w:r>
      <w:r w:rsidR="000C4066">
        <w:rPr>
          <w:rFonts w:cs="Arial"/>
          <w:lang w:val="en-US"/>
        </w:rPr>
        <w:t>)</w:t>
      </w:r>
      <w:r>
        <w:t xml:space="preserve"> [2].</w:t>
      </w:r>
      <w:r w:rsidR="00F75EAE">
        <w:t xml:space="preserve"> UN Human Rights Council, </w:t>
      </w:r>
      <w:r w:rsidR="00F75EAE" w:rsidRPr="00777386">
        <w:rPr>
          <w:i/>
        </w:rPr>
        <w:t xml:space="preserve">Report of the Special Rapporteur on the right of everyone to the enjoyment of the highest attainable standard of physical and mental </w:t>
      </w:r>
      <w:r w:rsidR="00F75EAE" w:rsidRPr="00777386">
        <w:rPr>
          <w:i/>
          <w:iCs/>
        </w:rPr>
        <w:t>health</w:t>
      </w:r>
      <w:r w:rsidR="00777386">
        <w:t>,</w:t>
      </w:r>
      <w:r w:rsidR="00F75EAE">
        <w:t xml:space="preserve"> </w:t>
      </w:r>
      <w:r w:rsidR="00777386">
        <w:t xml:space="preserve">UN Doc </w:t>
      </w:r>
      <w:r w:rsidR="00F75EAE">
        <w:t>A/HRC/38/36</w:t>
      </w:r>
      <w:r w:rsidR="00777386">
        <w:t xml:space="preserve"> (</w:t>
      </w:r>
      <w:r w:rsidR="00F75EAE">
        <w:t>10 April 2018) [63]-[69]</w:t>
      </w:r>
      <w:r w:rsidR="00EA7F53">
        <w:t xml:space="preserve">. Juan E Mendez, </w:t>
      </w:r>
      <w:r w:rsidR="00EA7F53" w:rsidRPr="0064735E">
        <w:rPr>
          <w:i/>
          <w:iCs/>
        </w:rPr>
        <w:t>Report of the Special Rapporteur on torture and other cruel, inhuman or degrading treatment or punishment</w:t>
      </w:r>
      <w:r w:rsidR="00EA7F53">
        <w:t>, UN Doc A/HRC/28/68 (5 March 2015)</w:t>
      </w:r>
      <w:r w:rsidR="00C5712E">
        <w:t xml:space="preserve"> [33].</w:t>
      </w:r>
    </w:p>
  </w:footnote>
  <w:footnote w:id="48">
    <w:p w14:paraId="71A9E8BC" w14:textId="4B1FF00D" w:rsidR="005E1426" w:rsidRPr="005E1426" w:rsidRDefault="005E1426">
      <w:pPr>
        <w:pStyle w:val="FootnoteText"/>
        <w:rPr>
          <w:lang w:val="en-GB"/>
        </w:rPr>
      </w:pPr>
      <w:r>
        <w:rPr>
          <w:rStyle w:val="FootnoteReference"/>
        </w:rPr>
        <w:footnoteRef/>
      </w:r>
      <w:r>
        <w:t xml:space="preserve"> </w:t>
      </w:r>
      <w:r w:rsidR="006B3520">
        <w:t xml:space="preserve">Juan E Mendez, </w:t>
      </w:r>
      <w:r w:rsidR="006B3520" w:rsidRPr="0064735E">
        <w:rPr>
          <w:i/>
          <w:iCs/>
        </w:rPr>
        <w:t>Report of the Special Rapporteur on torture and other cruel, inhuman or degrading treatment or punishment</w:t>
      </w:r>
      <w:r w:rsidR="006B3520">
        <w:t>, UN Doc A/HRC/28/68 (5 March 2015).</w:t>
      </w:r>
    </w:p>
  </w:footnote>
  <w:footnote w:id="49">
    <w:p w14:paraId="14800563" w14:textId="10F41C13" w:rsidR="006F5170" w:rsidRPr="006F5170" w:rsidRDefault="006F5170">
      <w:pPr>
        <w:pStyle w:val="FootnoteText"/>
        <w:rPr>
          <w:lang w:val="en-GB"/>
        </w:rPr>
      </w:pPr>
      <w:r>
        <w:rPr>
          <w:rStyle w:val="FootnoteReference"/>
        </w:rPr>
        <w:footnoteRef/>
      </w:r>
      <w:r>
        <w:t xml:space="preserve"> </w:t>
      </w:r>
      <w:r w:rsidR="00C320D1" w:rsidRPr="00BC7CB6">
        <w:rPr>
          <w:i/>
          <w:iCs/>
          <w:lang w:val="en-GB"/>
        </w:rPr>
        <w:t xml:space="preserve">Who’s responsible </w:t>
      </w:r>
      <w:r w:rsidR="000C6817">
        <w:rPr>
          <w:lang w:val="en-GB"/>
        </w:rPr>
        <w:t>4</w:t>
      </w:r>
      <w:r w:rsidR="00A22AEE">
        <w:rPr>
          <w:lang w:val="en-GB"/>
        </w:rPr>
        <w:t>.</w:t>
      </w:r>
      <w:r w:rsidR="006A2538">
        <w:rPr>
          <w:lang w:val="en-GB"/>
        </w:rPr>
        <w:t xml:space="preserve"> </w:t>
      </w:r>
      <w:r w:rsidR="00CE0F38">
        <w:rPr>
          <w:lang w:val="en-GB"/>
        </w:rPr>
        <w:t xml:space="preserve">See also </w:t>
      </w:r>
      <w:r w:rsidR="00696FB9">
        <w:rPr>
          <w:lang w:val="en-GB"/>
        </w:rPr>
        <w:t>Inspect</w:t>
      </w:r>
      <w:r w:rsidR="00DD7C74">
        <w:rPr>
          <w:lang w:val="en-GB"/>
        </w:rPr>
        <w:t>or</w:t>
      </w:r>
      <w:r w:rsidR="00696FB9">
        <w:rPr>
          <w:lang w:val="en-GB"/>
        </w:rPr>
        <w:t xml:space="preserve"> of Detention Services, Queensland Ombudsman,</w:t>
      </w:r>
      <w:r w:rsidR="004F1546">
        <w:rPr>
          <w:lang w:val="en-GB"/>
        </w:rPr>
        <w:t xml:space="preserve"> </w:t>
      </w:r>
      <w:r w:rsidR="00CE0F38" w:rsidRPr="001E23B4">
        <w:rPr>
          <w:i/>
          <w:iCs/>
          <w:lang w:val="en-GB"/>
        </w:rPr>
        <w:t xml:space="preserve">Cairns and </w:t>
      </w:r>
      <w:r w:rsidR="00CE0F38" w:rsidRPr="001E23B4">
        <w:rPr>
          <w:i/>
          <w:iCs/>
          <w:lang w:val="en-GB"/>
        </w:rPr>
        <w:t xml:space="preserve">Murgon </w:t>
      </w:r>
      <w:r w:rsidR="002D2B73">
        <w:rPr>
          <w:i/>
          <w:iCs/>
          <w:lang w:val="en-GB"/>
        </w:rPr>
        <w:t>watch house</w:t>
      </w:r>
      <w:r w:rsidR="00CE0F38" w:rsidRPr="001E23B4">
        <w:rPr>
          <w:i/>
          <w:iCs/>
          <w:lang w:val="en-GB"/>
        </w:rPr>
        <w:t>s inspection report: Focus on detention on children</w:t>
      </w:r>
      <w:r w:rsidR="00CE0F38">
        <w:rPr>
          <w:lang w:val="en-GB"/>
        </w:rPr>
        <w:t xml:space="preserve"> (11 September 2024) </w:t>
      </w:r>
      <w:r w:rsidR="00FB67D8">
        <w:rPr>
          <w:lang w:val="en-GB"/>
        </w:rPr>
        <w:t>14</w:t>
      </w:r>
      <w:r w:rsidR="00FB1A54">
        <w:rPr>
          <w:lang w:val="en-US"/>
        </w:rPr>
        <w:t>–</w:t>
      </w:r>
      <w:r w:rsidR="00391C60">
        <w:rPr>
          <w:lang w:val="en-GB"/>
        </w:rPr>
        <w:t>16</w:t>
      </w:r>
      <w:r w:rsidR="00FB67D8">
        <w:rPr>
          <w:lang w:val="en-GB"/>
        </w:rPr>
        <w:t>.</w:t>
      </w:r>
    </w:p>
  </w:footnote>
  <w:footnote w:id="50">
    <w:p w14:paraId="7253668E" w14:textId="08417E1F" w:rsidR="00E52AAF" w:rsidRPr="00E52AAF" w:rsidRDefault="00E52AAF">
      <w:pPr>
        <w:pStyle w:val="FootnoteText"/>
        <w:rPr>
          <w:lang w:val="en-GB"/>
        </w:rPr>
      </w:pPr>
      <w:r>
        <w:rPr>
          <w:rStyle w:val="FootnoteReference"/>
        </w:rPr>
        <w:footnoteRef/>
      </w:r>
      <w:r>
        <w:t xml:space="preserve"> </w:t>
      </w:r>
      <w:r w:rsidR="00DA01B4">
        <w:t xml:space="preserve">In particular, Australia’s obligations under the </w:t>
      </w:r>
      <w:r w:rsidR="008E2125" w:rsidRPr="008E2125">
        <w:t>International Covenant on Civil and Political Rights;</w:t>
      </w:r>
      <w:r w:rsidR="008E2125">
        <w:t xml:space="preserve"> </w:t>
      </w:r>
      <w:r w:rsidR="00770EAB" w:rsidRPr="00770EAB">
        <w:t>the Convention against Torture and Other Cruel, Inhuman or Degrading Treatment or Punishment</w:t>
      </w:r>
      <w:r w:rsidR="00770EAB">
        <w:t xml:space="preserve">; and </w:t>
      </w:r>
      <w:r w:rsidR="00F171B8" w:rsidRPr="00F171B8">
        <w:t>the Convention on the Rights of the Child</w:t>
      </w:r>
      <w:r w:rsidR="00F171B8">
        <w:t xml:space="preserve">. </w:t>
      </w:r>
      <w:r w:rsidR="00BB52E0">
        <w:t xml:space="preserve">Guidance on </w:t>
      </w:r>
      <w:r w:rsidR="00046738">
        <w:t>how children’s rights can best be implemented while promoting public safety</w:t>
      </w:r>
      <w:r w:rsidR="00BB52E0">
        <w:t xml:space="preserve"> is given by the Committee on </w:t>
      </w:r>
      <w:r w:rsidR="00C64503">
        <w:t xml:space="preserve">the </w:t>
      </w:r>
      <w:r w:rsidR="00BB52E0">
        <w:t>Rights o</w:t>
      </w:r>
      <w:r w:rsidR="00C64503">
        <w:t>f</w:t>
      </w:r>
      <w:r w:rsidR="00BB52E0">
        <w:t xml:space="preserve"> the Child </w:t>
      </w:r>
      <w:r w:rsidR="00C64503">
        <w:t xml:space="preserve">in their </w:t>
      </w:r>
      <w:r w:rsidR="00C64503" w:rsidRPr="00B70BAB">
        <w:rPr>
          <w:i/>
        </w:rPr>
        <w:t>General Comment No 24</w:t>
      </w:r>
      <w:r w:rsidR="00046738">
        <w:t>. The Committee is a treaty body that monitors implementation of the Convention on the Rights of the Child</w:t>
      </w:r>
      <w:r w:rsidR="005239DF">
        <w:t>, and its</w:t>
      </w:r>
      <w:r w:rsidR="00046738">
        <w:t xml:space="preserve"> insights are drawn from its review of practice across numerous states</w:t>
      </w:r>
      <w:r w:rsidR="00BD2091">
        <w:t xml:space="preserve"> and</w:t>
      </w:r>
      <w:r w:rsidR="00046738">
        <w:t xml:space="preserve"> experience in applying the Convention to individual complaints</w:t>
      </w:r>
      <w:r w:rsidR="009B2746">
        <w:t xml:space="preserve">. The Committee </w:t>
      </w:r>
      <w:r w:rsidR="00F87702">
        <w:t xml:space="preserve">was </w:t>
      </w:r>
      <w:r w:rsidR="00CA2197">
        <w:t xml:space="preserve">informed </w:t>
      </w:r>
      <w:r w:rsidR="00046738">
        <w:t xml:space="preserve">by the views of States and non-governmental </w:t>
      </w:r>
      <w:r w:rsidR="00AC07B2">
        <w:t>organisations during the drafting of the General Comment</w:t>
      </w:r>
      <w:r w:rsidR="008D65D4">
        <w:t xml:space="preserve">, including comments from the Australian Government. See </w:t>
      </w:r>
      <w:r w:rsidR="00306ABB">
        <w:t xml:space="preserve">Australian Government, </w:t>
      </w:r>
      <w:r w:rsidR="00004E25">
        <w:t xml:space="preserve">Submission to </w:t>
      </w:r>
      <w:r w:rsidR="00215DFD">
        <w:t>United Nations</w:t>
      </w:r>
      <w:r w:rsidR="00004E25">
        <w:t xml:space="preserve"> Committee on the Rights of the Child, </w:t>
      </w:r>
      <w:r w:rsidR="00443275" w:rsidRPr="00443275">
        <w:rPr>
          <w:i/>
          <w:iCs/>
        </w:rPr>
        <w:t>Draft General Comment No. 24, replacing General Comment No. 10 on Children’s rights in juvenile justice</w:t>
      </w:r>
      <w:r w:rsidR="00443275">
        <w:t xml:space="preserve"> (2018)</w:t>
      </w:r>
      <w:r w:rsidR="00666529">
        <w:t xml:space="preserve"> </w:t>
      </w:r>
      <w:r w:rsidR="00666529" w:rsidRPr="00666529">
        <w:t>&lt;</w:t>
      </w:r>
      <w:hyperlink r:id="rId10" w:history="1">
        <w:r w:rsidR="00666529" w:rsidRPr="00666529">
          <w:rPr>
            <w:rStyle w:val="Hyperlink"/>
          </w:rPr>
          <w:t>https://www.ohchr.org/Documents/HRBodies/CRC/GC10/Australia.docx</w:t>
        </w:r>
      </w:hyperlink>
      <w:r w:rsidR="00666529" w:rsidRPr="00666529">
        <w:t>&gt;.</w:t>
      </w:r>
    </w:p>
  </w:footnote>
  <w:footnote w:id="51">
    <w:p w14:paraId="30E78080" w14:textId="1678F3C6" w:rsidR="0033381F" w:rsidRPr="0033381F" w:rsidRDefault="0033381F">
      <w:pPr>
        <w:pStyle w:val="FootnoteText"/>
        <w:rPr>
          <w:lang w:val="en-GB"/>
        </w:rPr>
      </w:pPr>
      <w:r>
        <w:rPr>
          <w:rStyle w:val="FootnoteReference"/>
        </w:rPr>
        <w:footnoteRef/>
      </w:r>
      <w:r>
        <w:t xml:space="preserve"> </w:t>
      </w:r>
      <w:r w:rsidRPr="00B62021">
        <w:rPr>
          <w:i/>
          <w:iCs/>
        </w:rPr>
        <w:t>CRC General Comment No 24</w:t>
      </w:r>
      <w:r>
        <w:t xml:space="preserve"> [85]; </w:t>
      </w:r>
      <w:r w:rsidR="001A1F03" w:rsidRPr="0060315B">
        <w:rPr>
          <w:i/>
        </w:rPr>
        <w:t>United Nations Standard Minimum Rules for the Treatment of Prisoners</w:t>
      </w:r>
      <w:r w:rsidR="001A1F03" w:rsidRPr="0060315B">
        <w:t xml:space="preserve"> </w:t>
      </w:r>
      <w:r w:rsidR="001A1F03" w:rsidRPr="00947465">
        <w:rPr>
          <w:i/>
        </w:rPr>
        <w:t>(</w:t>
      </w:r>
      <w:r w:rsidR="001A1F03" w:rsidRPr="001A1F03">
        <w:rPr>
          <w:b/>
          <w:bCs/>
          <w:i/>
        </w:rPr>
        <w:t>the Nelson Mandela Rules</w:t>
      </w:r>
      <w:r w:rsidR="001A1F03" w:rsidRPr="00947465">
        <w:rPr>
          <w:i/>
        </w:rPr>
        <w:t xml:space="preserve">) </w:t>
      </w:r>
      <w:r w:rsidR="001A1F03" w:rsidRPr="003D0351">
        <w:t xml:space="preserve">UN Doc </w:t>
      </w:r>
      <w:r w:rsidR="001A1F03">
        <w:t xml:space="preserve">A/RES/70/175 (17 December 2015); </w:t>
      </w:r>
      <w:r w:rsidR="001F3BC5">
        <w:t xml:space="preserve">United Nations, </w:t>
      </w:r>
      <w:r w:rsidR="005B0DE3">
        <w:rPr>
          <w:i/>
          <w:iCs/>
        </w:rPr>
        <w:t>Standard Minimum Rules fo</w:t>
      </w:r>
      <w:r w:rsidR="00F82D14">
        <w:rPr>
          <w:i/>
          <w:iCs/>
        </w:rPr>
        <w:t>r</w:t>
      </w:r>
      <w:r w:rsidR="005B0DE3">
        <w:rPr>
          <w:i/>
          <w:iCs/>
        </w:rPr>
        <w:t xml:space="preserve"> the Administration of Juvenile Justice</w:t>
      </w:r>
      <w:r w:rsidR="001F3BC5">
        <w:rPr>
          <w:i/>
        </w:rPr>
        <w:t xml:space="preserve"> </w:t>
      </w:r>
      <w:r w:rsidR="00030ED3" w:rsidRPr="00325B9D">
        <w:rPr>
          <w:i/>
        </w:rPr>
        <w:t>(</w:t>
      </w:r>
      <w:r w:rsidR="00325B9D" w:rsidRPr="00541800">
        <w:rPr>
          <w:b/>
          <w:bCs/>
          <w:i/>
          <w:iCs/>
        </w:rPr>
        <w:t xml:space="preserve">The </w:t>
      </w:r>
      <w:r w:rsidR="00E95897" w:rsidRPr="00541800">
        <w:rPr>
          <w:b/>
          <w:bCs/>
          <w:i/>
        </w:rPr>
        <w:t>Beijing Rules</w:t>
      </w:r>
      <w:r w:rsidR="00E95897" w:rsidRPr="00DF672E">
        <w:rPr>
          <w:i/>
        </w:rPr>
        <w:t>)</w:t>
      </w:r>
      <w:r w:rsidR="00423679">
        <w:t xml:space="preserve">, GA Res </w:t>
      </w:r>
      <w:r w:rsidR="008C7D34">
        <w:t>40/33</w:t>
      </w:r>
      <w:r w:rsidR="00E95897">
        <w:t xml:space="preserve">, UN Doc </w:t>
      </w:r>
      <w:r w:rsidR="00FE4298" w:rsidRPr="00FE4298">
        <w:t>A/RES/40/33</w:t>
      </w:r>
      <w:r w:rsidR="00295C90">
        <w:rPr>
          <w:i/>
          <w:iCs/>
        </w:rPr>
        <w:t xml:space="preserve"> </w:t>
      </w:r>
      <w:r w:rsidR="00295C90">
        <w:t>(29 November 1985)</w:t>
      </w:r>
      <w:r w:rsidR="001F3BC5">
        <w:t xml:space="preserve"> </w:t>
      </w:r>
      <w:r w:rsidR="00BC70E8">
        <w:t>r 13</w:t>
      </w:r>
      <w:r w:rsidR="0098018A">
        <w:t>;</w:t>
      </w:r>
      <w:r w:rsidR="00D37F73">
        <w:t xml:space="preserve"> </w:t>
      </w:r>
      <w:r w:rsidR="00D37F73">
        <w:rPr>
          <w:i/>
        </w:rPr>
        <w:t xml:space="preserve">United Nations Rules for the Protection of Juveniles Deprived of their Liberty </w:t>
      </w:r>
      <w:r w:rsidR="00D37F73">
        <w:rPr>
          <w:iCs/>
        </w:rPr>
        <w:t>(</w:t>
      </w:r>
      <w:r w:rsidR="00D37F73" w:rsidRPr="00D37F73">
        <w:rPr>
          <w:b/>
          <w:bCs/>
          <w:i/>
        </w:rPr>
        <w:t>Havana Rules</w:t>
      </w:r>
      <w:r w:rsidR="00D37F73">
        <w:rPr>
          <w:iCs/>
        </w:rPr>
        <w:t xml:space="preserve">) </w:t>
      </w:r>
      <w:r w:rsidR="00D37F73">
        <w:t>UN Doc A/RES/45/113 (14 December 1990).</w:t>
      </w:r>
    </w:p>
  </w:footnote>
  <w:footnote w:id="52">
    <w:p w14:paraId="5CC23879" w14:textId="74663601" w:rsidR="000337AC" w:rsidRPr="000337AC" w:rsidRDefault="000337AC">
      <w:pPr>
        <w:pStyle w:val="FootnoteText"/>
        <w:rPr>
          <w:lang w:val="en-GB"/>
        </w:rPr>
      </w:pPr>
      <w:r>
        <w:rPr>
          <w:rStyle w:val="FootnoteReference"/>
        </w:rPr>
        <w:footnoteRef/>
      </w:r>
      <w:r>
        <w:t xml:space="preserve"> </w:t>
      </w:r>
      <w:r>
        <w:rPr>
          <w:lang w:val="en-GB"/>
        </w:rPr>
        <w:t xml:space="preserve">See, eg, </w:t>
      </w:r>
      <w:r w:rsidR="007D0C94" w:rsidRPr="00C45189">
        <w:rPr>
          <w:i/>
          <w:iCs/>
          <w:lang w:val="en-GB"/>
        </w:rPr>
        <w:t>Youth Justice Act 1992</w:t>
      </w:r>
      <w:r w:rsidR="007D0C94">
        <w:rPr>
          <w:lang w:val="en-GB"/>
        </w:rPr>
        <w:t xml:space="preserve"> (Qld) ss 56, 210, 246A, 262.</w:t>
      </w:r>
    </w:p>
  </w:footnote>
  <w:footnote w:id="53">
    <w:p w14:paraId="5E9E3551" w14:textId="16D51F10" w:rsidR="00B94895" w:rsidRPr="00146CB3" w:rsidRDefault="00B94895" w:rsidP="00B94895">
      <w:pPr>
        <w:pStyle w:val="FootnoteText"/>
        <w:rPr>
          <w:lang w:val="en-GB"/>
        </w:rPr>
      </w:pPr>
      <w:r>
        <w:rPr>
          <w:rStyle w:val="FootnoteReference"/>
        </w:rPr>
        <w:footnoteRef/>
      </w:r>
      <w:r>
        <w:t xml:space="preserve"> </w:t>
      </w:r>
      <w:r w:rsidRPr="00B62021">
        <w:rPr>
          <w:i/>
          <w:iCs/>
        </w:rPr>
        <w:t>CRC General Comment No 24</w:t>
      </w:r>
      <w:r>
        <w:t xml:space="preserve"> [92]</w:t>
      </w:r>
      <w:r w:rsidR="00CD7474">
        <w:t>;</w:t>
      </w:r>
      <w:r>
        <w:t xml:space="preserve"> </w:t>
      </w:r>
      <w:r w:rsidR="007706F2">
        <w:rPr>
          <w:i/>
          <w:iCs/>
        </w:rPr>
        <w:t>Human Rights Act 2019</w:t>
      </w:r>
      <w:r w:rsidR="007706F2">
        <w:t xml:space="preserve"> (Qld)</w:t>
      </w:r>
      <w:r>
        <w:t xml:space="preserve"> s 33(1). </w:t>
      </w:r>
    </w:p>
  </w:footnote>
  <w:footnote w:id="54">
    <w:p w14:paraId="663CF7B2" w14:textId="1FB9BD96" w:rsidR="00635987" w:rsidRPr="00B62021" w:rsidRDefault="00635987" w:rsidP="00635987">
      <w:pPr>
        <w:pStyle w:val="FootnoteText"/>
        <w:rPr>
          <w:lang w:val="en-GB"/>
        </w:rPr>
      </w:pPr>
      <w:r>
        <w:rPr>
          <w:rStyle w:val="FootnoteReference"/>
        </w:rPr>
        <w:footnoteRef/>
      </w:r>
      <w:r>
        <w:t xml:space="preserve"> </w:t>
      </w:r>
      <w:r w:rsidRPr="00B62021">
        <w:rPr>
          <w:i/>
          <w:iCs/>
        </w:rPr>
        <w:t>CRC General Comment No 24</w:t>
      </w:r>
      <w:r>
        <w:t xml:space="preserve"> [92]</w:t>
      </w:r>
      <w:r>
        <w:rPr>
          <w:lang w:val="en-GB"/>
        </w:rPr>
        <w:t xml:space="preserve">, </w:t>
      </w:r>
      <w:r w:rsidRPr="00A515BC">
        <w:rPr>
          <w:i/>
          <w:iCs/>
          <w:lang w:val="en-GB"/>
        </w:rPr>
        <w:t>Havana Rules</w:t>
      </w:r>
      <w:r>
        <w:rPr>
          <w:lang w:val="en-GB"/>
        </w:rPr>
        <w:t xml:space="preserve"> r 31, 85</w:t>
      </w:r>
      <w:r w:rsidR="00815922">
        <w:rPr>
          <w:lang w:val="en-GB"/>
        </w:rPr>
        <w:t>.</w:t>
      </w:r>
      <w:r>
        <w:rPr>
          <w:lang w:val="en-GB"/>
        </w:rPr>
        <w:t xml:space="preserve"> See also</w:t>
      </w:r>
      <w:r w:rsidRPr="00DD2534">
        <w:rPr>
          <w:lang w:val="en-US"/>
        </w:rPr>
        <w:t xml:space="preserve"> </w:t>
      </w:r>
      <w:r>
        <w:rPr>
          <w:lang w:val="en-US"/>
        </w:rPr>
        <w:t xml:space="preserve">European Committee for the Prevention of Torture and Inhuman or Degrading Treatment or Punishment (CPT), </w:t>
      </w:r>
      <w:r w:rsidRPr="001E30AD">
        <w:rPr>
          <w:i/>
          <w:iCs/>
          <w:lang w:val="en-US"/>
        </w:rPr>
        <w:t>Juveniles deprived of their liberty under criminal legislation</w:t>
      </w:r>
      <w:r w:rsidRPr="001E30AD">
        <w:rPr>
          <w:lang w:val="en-US"/>
        </w:rPr>
        <w:t>,</w:t>
      </w:r>
      <w:r w:rsidRPr="00B91795">
        <w:rPr>
          <w:lang w:val="en-US"/>
        </w:rPr>
        <w:t xml:space="preserve"> </w:t>
      </w:r>
      <w:r w:rsidRPr="001E30AD">
        <w:rPr>
          <w:lang w:val="en-US"/>
        </w:rPr>
        <w:t>extract from the 24</w:t>
      </w:r>
      <w:r w:rsidRPr="001E30AD">
        <w:rPr>
          <w:vertAlign w:val="superscript"/>
          <w:lang w:val="en-US"/>
        </w:rPr>
        <w:t>th</w:t>
      </w:r>
      <w:r w:rsidRPr="001E30AD">
        <w:rPr>
          <w:lang w:val="en-US"/>
        </w:rPr>
        <w:t xml:space="preserve"> General Report of the CPT</w:t>
      </w:r>
      <w:r>
        <w:rPr>
          <w:lang w:val="en-US"/>
        </w:rPr>
        <w:t xml:space="preserve"> (published in 2015) (‘</w:t>
      </w:r>
      <w:r w:rsidRPr="00911EFD">
        <w:rPr>
          <w:b/>
          <w:bCs/>
          <w:i/>
          <w:iCs/>
          <w:lang w:val="en-US"/>
        </w:rPr>
        <w:t>CPT Juveniles deprived of their liberty</w:t>
      </w:r>
      <w:r w:rsidRPr="001E30AD">
        <w:rPr>
          <w:i/>
          <w:iCs/>
          <w:lang w:val="en-US"/>
        </w:rPr>
        <w:t>’</w:t>
      </w:r>
      <w:r>
        <w:rPr>
          <w:lang w:val="en-US"/>
        </w:rPr>
        <w:t xml:space="preserve">) </w:t>
      </w:r>
      <w:r w:rsidRPr="00A741FB">
        <w:t>[101].</w:t>
      </w:r>
    </w:p>
  </w:footnote>
  <w:footnote w:id="55">
    <w:p w14:paraId="6C279732" w14:textId="2164F54D" w:rsidR="00DD7BEB" w:rsidRDefault="00DD7BEB" w:rsidP="00DD7BEB">
      <w:pPr>
        <w:pStyle w:val="FootnoteText"/>
        <w:rPr>
          <w:lang w:val="en-US"/>
        </w:rPr>
      </w:pPr>
      <w:r>
        <w:rPr>
          <w:rStyle w:val="FootnoteReference"/>
        </w:rPr>
        <w:footnoteRef/>
      </w:r>
      <w:r>
        <w:t xml:space="preserve"> </w:t>
      </w:r>
      <w:r>
        <w:rPr>
          <w:i/>
        </w:rPr>
        <w:t>Nelson</w:t>
      </w:r>
      <w:r>
        <w:t xml:space="preserve"> </w:t>
      </w:r>
      <w:r>
        <w:rPr>
          <w:i/>
        </w:rPr>
        <w:t>Mandela Rules</w:t>
      </w:r>
      <w:r w:rsidR="00E16F4E">
        <w:rPr>
          <w:i/>
        </w:rPr>
        <w:t xml:space="preserve"> </w:t>
      </w:r>
      <w:r>
        <w:t>rr 14(a), 23(1), 42</w:t>
      </w:r>
      <w:r w:rsidR="00577123">
        <w:t>;</w:t>
      </w:r>
      <w:r w:rsidR="002A0674" w:rsidRPr="002A0674">
        <w:rPr>
          <w:i/>
          <w:iCs/>
        </w:rPr>
        <w:t xml:space="preserve"> </w:t>
      </w:r>
      <w:r w:rsidR="002A0674" w:rsidRPr="00852323">
        <w:rPr>
          <w:i/>
          <w:iCs/>
        </w:rPr>
        <w:t>Havana Rules</w:t>
      </w:r>
      <w:r w:rsidR="00D64893">
        <w:t xml:space="preserve"> </w:t>
      </w:r>
      <w:r w:rsidR="002A0674" w:rsidRPr="00852323">
        <w:t>r 47.</w:t>
      </w:r>
    </w:p>
  </w:footnote>
  <w:footnote w:id="56">
    <w:p w14:paraId="0CC92DA5" w14:textId="77777777" w:rsidR="00C335B1" w:rsidRDefault="00C335B1" w:rsidP="00C96CB8">
      <w:pPr>
        <w:pStyle w:val="FootnoteText"/>
      </w:pPr>
      <w:r>
        <w:rPr>
          <w:rStyle w:val="FootnoteReference"/>
          <w:rFonts w:cs="Cordia New"/>
        </w:rPr>
        <w:footnoteRef/>
      </w:r>
      <w:r>
        <w:rPr>
          <w:lang w:val="en-GB"/>
        </w:rPr>
        <w:fldChar w:fldCharType="begin"/>
      </w:r>
      <w:r>
        <w:rPr>
          <w:lang w:val="en-GB"/>
        </w:rPr>
        <w:instrText xml:space="preserve"> ADDIN ZOTERO_ITEM CSL_CITATION {"citationID":"jvmpOyrH","properties":{"formattedCitation":"{\\i{}Havana Rules} (n 1) r 32; {\\i{}CRC General Comment No 24} (n 1) [95].","plainCitation":"Havana Rules (n 1) r 32; CRC General Comment No 24 (n 1) [95].","noteIndex":21},"citationItems":[{"id":6,"uris":["http://zotero.org/users/12619434/items/EKY93CSI"],"itemData":{"id":6,"type":"legislation","container-title":"adopted 14 December 1990","language":"en","number":"GA Res","title":"&lt;i&gt;UN General Assembly,&lt;/i&gt; United Nations Rules for the Protection of Juveniles Deprived of their Liberty&lt;i&gt;, GA Res 45/113&lt;/i&gt;","title-short":"Havana Rules","author":[{"literal":"United Nations"}],"accessed":{"date-parts":[["2023",10,5]]}},"locator":"r 32","label":"page"},{"id":10,"uris":["http://zotero.org/users/12619434/items/6HRM6M5D"],"itemData":{"id":10,"type":"legislation","container-title":"2019","title":"&lt;i&gt;Committee on the Rights of the Child, &lt;/i&gt;General Comment  No 24 on children's rights in the child justice system","title-short":"CRC General Comment No 24","issued":{"literal":"&lt;i&gt;, UN Doc CRC/C/GC/24&lt;/i&gt;"}},"locator":"[95]","label":"page"}],"schema":"https://github.com/citation-style-language/schema/raw/master/csl-citation.json"} </w:instrText>
      </w:r>
      <w:r>
        <w:rPr>
          <w:lang w:val="en-GB"/>
        </w:rPr>
        <w:fldChar w:fldCharType="separate"/>
      </w:r>
      <w:r w:rsidRPr="002A157A">
        <w:t xml:space="preserve"> </w:t>
      </w:r>
      <w:r w:rsidRPr="002A157A">
        <w:rPr>
          <w:i/>
          <w:iCs/>
        </w:rPr>
        <w:t>CRC General Comment No 24</w:t>
      </w:r>
      <w:r w:rsidRPr="002A157A">
        <w:t xml:space="preserve"> [95</w:t>
      </w:r>
      <w:r>
        <w:t>(b)</w:t>
      </w:r>
      <w:r w:rsidRPr="002A157A">
        <w:t>]</w:t>
      </w:r>
      <w:r>
        <w:rPr>
          <w:lang w:val="en-GB"/>
        </w:rPr>
        <w:fldChar w:fldCharType="end"/>
      </w:r>
      <w:r>
        <w:rPr>
          <w:lang w:val="en-GB"/>
        </w:rPr>
        <w:t xml:space="preserve">; </w:t>
      </w:r>
      <w:r w:rsidRPr="00DD2534">
        <w:rPr>
          <w:i/>
          <w:iCs/>
          <w:lang w:val="en-GB"/>
        </w:rPr>
        <w:t>Havana Rules</w:t>
      </w:r>
      <w:r>
        <w:rPr>
          <w:lang w:val="en-GB"/>
        </w:rPr>
        <w:t xml:space="preserve"> r 32.</w:t>
      </w:r>
    </w:p>
  </w:footnote>
  <w:footnote w:id="57">
    <w:p w14:paraId="011A37E0" w14:textId="0A0844ED" w:rsidR="00ED3592" w:rsidRPr="00236AA8" w:rsidRDefault="00ED3592" w:rsidP="00ED3592">
      <w:pPr>
        <w:pStyle w:val="FootnoteText"/>
        <w:rPr>
          <w:lang w:val="en-GB"/>
        </w:rPr>
      </w:pPr>
      <w:r>
        <w:rPr>
          <w:rStyle w:val="FootnoteReference"/>
        </w:rPr>
        <w:footnoteRef/>
      </w:r>
      <w:r>
        <w:t xml:space="preserve"> </w:t>
      </w:r>
      <w:r w:rsidRPr="002A157A">
        <w:rPr>
          <w:i/>
          <w:iCs/>
        </w:rPr>
        <w:t>CRC General Comment No 24</w:t>
      </w:r>
      <w:r w:rsidRPr="002A157A">
        <w:t xml:space="preserve"> [95</w:t>
      </w:r>
      <w:r>
        <w:t>(d)</w:t>
      </w:r>
      <w:r w:rsidRPr="002A157A">
        <w:t>]</w:t>
      </w:r>
      <w:r>
        <w:t xml:space="preserve">; </w:t>
      </w:r>
      <w:r w:rsidRPr="004D0B0E">
        <w:rPr>
          <w:i/>
          <w:iCs/>
        </w:rPr>
        <w:t>Havana Rules</w:t>
      </w:r>
      <w:r>
        <w:t xml:space="preserve"> </w:t>
      </w:r>
      <w:r>
        <w:t>r</w:t>
      </w:r>
      <w:r w:rsidR="004E4F4A">
        <w:t>r</w:t>
      </w:r>
      <w:r>
        <w:t xml:space="preserve"> 49</w:t>
      </w:r>
      <w:r w:rsidR="004E4F4A">
        <w:rPr>
          <w:lang w:val="en-US"/>
        </w:rPr>
        <w:t>–</w:t>
      </w:r>
      <w:r>
        <w:t>51.</w:t>
      </w:r>
    </w:p>
  </w:footnote>
  <w:footnote w:id="58">
    <w:p w14:paraId="6576E6AB" w14:textId="2A703131" w:rsidR="00920204" w:rsidRPr="00920204" w:rsidRDefault="00920204">
      <w:pPr>
        <w:pStyle w:val="FootnoteText"/>
        <w:rPr>
          <w:lang w:val="en-GB"/>
        </w:rPr>
      </w:pPr>
      <w:r>
        <w:rPr>
          <w:rStyle w:val="FootnoteReference"/>
        </w:rPr>
        <w:footnoteRef/>
      </w:r>
      <w:r>
        <w:t xml:space="preserve"> </w:t>
      </w:r>
      <w:r w:rsidR="0077452B" w:rsidRPr="002A157A">
        <w:rPr>
          <w:i/>
          <w:iCs/>
        </w:rPr>
        <w:t>CRC General Comment No 24</w:t>
      </w:r>
      <w:r w:rsidR="0077452B" w:rsidRPr="002A157A">
        <w:t xml:space="preserve"> </w:t>
      </w:r>
      <w:r w:rsidR="0077452B">
        <w:t>[94]</w:t>
      </w:r>
      <w:r w:rsidR="00145D90">
        <w:t>, [95(e)]</w:t>
      </w:r>
      <w:r w:rsidR="0077452B">
        <w:t xml:space="preserve">. </w:t>
      </w:r>
    </w:p>
  </w:footnote>
  <w:footnote w:id="59">
    <w:p w14:paraId="4FEC40B0" w14:textId="1B25CAC2" w:rsidR="00043BF7" w:rsidRPr="00043BF7" w:rsidRDefault="00043BF7">
      <w:pPr>
        <w:pStyle w:val="FootnoteText"/>
        <w:rPr>
          <w:lang w:val="en-GB"/>
        </w:rPr>
      </w:pPr>
      <w:r>
        <w:rPr>
          <w:rStyle w:val="FootnoteReference"/>
        </w:rPr>
        <w:footnoteRef/>
      </w:r>
      <w:r>
        <w:t xml:space="preserve"> </w:t>
      </w:r>
      <w:r w:rsidRPr="00043BF7">
        <w:rPr>
          <w:i/>
          <w:iCs/>
        </w:rPr>
        <w:t>Havana Rules</w:t>
      </w:r>
      <w:r>
        <w:t xml:space="preserve"> </w:t>
      </w:r>
      <w:r w:rsidR="0004044A">
        <w:t xml:space="preserve">r </w:t>
      </w:r>
      <w:r>
        <w:t xml:space="preserve">33, </w:t>
      </w:r>
      <w:r w:rsidR="00797DBD" w:rsidRPr="00797DBD">
        <w:rPr>
          <w:i/>
          <w:iCs/>
        </w:rPr>
        <w:t>Nelson</w:t>
      </w:r>
      <w:r w:rsidR="00797DBD">
        <w:t xml:space="preserve"> </w:t>
      </w:r>
      <w:r w:rsidRPr="00043BF7">
        <w:rPr>
          <w:i/>
          <w:iCs/>
        </w:rPr>
        <w:t>Mandela Rules</w:t>
      </w:r>
      <w:r>
        <w:t xml:space="preserve"> </w:t>
      </w:r>
      <w:r>
        <w:t>rr 12, 113.</w:t>
      </w:r>
    </w:p>
  </w:footnote>
  <w:footnote w:id="60">
    <w:p w14:paraId="49F5F59D" w14:textId="51E2FEE6" w:rsidR="0084017C" w:rsidRPr="0081142D" w:rsidRDefault="0084017C" w:rsidP="0084017C">
      <w:pPr>
        <w:pStyle w:val="FootnoteText"/>
        <w:rPr>
          <w:lang w:val="en-GB"/>
        </w:rPr>
      </w:pPr>
      <w:r>
        <w:rPr>
          <w:rStyle w:val="FootnoteReference"/>
        </w:rPr>
        <w:footnoteRef/>
      </w:r>
      <w:r>
        <w:t xml:space="preserve"> </w:t>
      </w:r>
      <w:r w:rsidRPr="0081142D">
        <w:t xml:space="preserve">Australian Juvenile Justice Administrators’ Forum, </w:t>
      </w:r>
      <w:r w:rsidRPr="0081142D">
        <w:rPr>
          <w:i/>
          <w:iCs/>
        </w:rPr>
        <w:t>Design Guidelines for Juvenile Justice Facilities in Australia and New Zealand</w:t>
      </w:r>
      <w:r w:rsidRPr="0081142D">
        <w:t xml:space="preserve"> (Department of Human Services Victoria, May 1996) 59 [6.105].</w:t>
      </w:r>
    </w:p>
  </w:footnote>
  <w:footnote w:id="61">
    <w:p w14:paraId="761CD261" w14:textId="04697014" w:rsidR="0048757A" w:rsidRPr="0048757A" w:rsidRDefault="0048757A">
      <w:pPr>
        <w:pStyle w:val="FootnoteText"/>
        <w:rPr>
          <w:lang w:val="en-GB"/>
        </w:rPr>
      </w:pPr>
      <w:r>
        <w:rPr>
          <w:rStyle w:val="FootnoteReference"/>
        </w:rPr>
        <w:footnoteRef/>
      </w:r>
      <w:r>
        <w:t xml:space="preserve"> </w:t>
      </w:r>
      <w:r w:rsidR="00D01FD4" w:rsidRPr="00BC7CB6">
        <w:rPr>
          <w:i/>
          <w:iCs/>
          <w:lang w:val="en-GB"/>
        </w:rPr>
        <w:t xml:space="preserve">Who’s responsible </w:t>
      </w:r>
      <w:r w:rsidR="00D01FD4">
        <w:rPr>
          <w:lang w:val="en-GB"/>
        </w:rPr>
        <w:t>4</w:t>
      </w:r>
      <w:r w:rsidR="00126F19">
        <w:rPr>
          <w:lang w:val="en-GB"/>
        </w:rPr>
        <w:t>3-46. See also</w:t>
      </w:r>
      <w:r w:rsidR="002F33BB">
        <w:rPr>
          <w:lang w:val="en-GB"/>
        </w:rPr>
        <w:t xml:space="preserve"> </w:t>
      </w:r>
      <w:r w:rsidR="00D33879" w:rsidRPr="00D33879">
        <w:rPr>
          <w:i/>
          <w:iCs/>
          <w:lang w:val="en-GB"/>
        </w:rPr>
        <w:t>Youth Justice Act 1992</w:t>
      </w:r>
      <w:r w:rsidR="00D33879">
        <w:rPr>
          <w:lang w:val="en-GB"/>
        </w:rPr>
        <w:t xml:space="preserve"> (Qld) Schedule 1 (Charter of youth justice principles).</w:t>
      </w:r>
    </w:p>
  </w:footnote>
  <w:footnote w:id="62">
    <w:p w14:paraId="45977E42" w14:textId="65DCA23E" w:rsidR="000B18A8" w:rsidRDefault="000B18A8" w:rsidP="000B18A8">
      <w:pPr>
        <w:pStyle w:val="FootnoteText"/>
      </w:pPr>
      <w:r>
        <w:rPr>
          <w:rStyle w:val="FootnoteReference"/>
        </w:rPr>
        <w:footnoteRef/>
      </w:r>
      <w:r>
        <w:t xml:space="preserve"> Ben Smee, ‘Psychologist treating children in Cairns </w:t>
      </w:r>
      <w:r w:rsidR="002D2B73">
        <w:t>watch house</w:t>
      </w:r>
      <w:r>
        <w:t xml:space="preserve"> warns of ‘horrendous’ and ‘inhumane’ conditions</w:t>
      </w:r>
      <w:r w:rsidR="00554B54">
        <w:t>’,</w:t>
      </w:r>
      <w:r>
        <w:t xml:space="preserve"> </w:t>
      </w:r>
      <w:r>
        <w:rPr>
          <w:i/>
          <w:iCs/>
        </w:rPr>
        <w:t xml:space="preserve">The Guardian </w:t>
      </w:r>
      <w:r>
        <w:t>(</w:t>
      </w:r>
      <w:r w:rsidR="00554B54">
        <w:t xml:space="preserve">online, </w:t>
      </w:r>
      <w:r>
        <w:t xml:space="preserve">16 January 2024) </w:t>
      </w:r>
      <w:r w:rsidR="009E6EC2">
        <w:t>&lt;</w:t>
      </w:r>
      <w:hyperlink r:id="rId11" w:history="1">
        <w:r w:rsidR="009E6EC2" w:rsidRPr="004B34C5">
          <w:rPr>
            <w:rStyle w:val="Hyperlink"/>
          </w:rPr>
          <w:t>https://www.theguardian.com/australia-news/2024/jan/16/cairns-police-</w:t>
        </w:r>
        <w:r w:rsidR="002D2B73">
          <w:rPr>
            <w:rStyle w:val="Hyperlink"/>
          </w:rPr>
          <w:t>watch house</w:t>
        </w:r>
        <w:r w:rsidR="009E6EC2" w:rsidRPr="004B34C5">
          <w:rPr>
            <w:rStyle w:val="Hyperlink"/>
          </w:rPr>
          <w:t>-queensland-youth-detention</w:t>
        </w:r>
      </w:hyperlink>
      <w:r w:rsidR="009E6EC2">
        <w:t>&gt;;</w:t>
      </w:r>
      <w:r w:rsidR="00C9707D" w:rsidRPr="00C9707D">
        <w:t xml:space="preserve"> </w:t>
      </w:r>
      <w:r w:rsidR="00C9707D">
        <w:t>Ben Smee, ‘</w:t>
      </w:r>
      <w:r w:rsidR="00C9707D" w:rsidRPr="00C43C6B">
        <w:t xml:space="preserve">Cairns </w:t>
      </w:r>
      <w:r w:rsidR="002D2B73">
        <w:t>watch house</w:t>
      </w:r>
      <w:r w:rsidR="00C9707D" w:rsidRPr="00C43C6B">
        <w:t xml:space="preserve"> worker sounds alarm over ‘massive deterioration’ in children’s physical and mental health</w:t>
      </w:r>
      <w:r w:rsidR="00C9707D">
        <w:t xml:space="preserve">’, </w:t>
      </w:r>
      <w:r w:rsidR="00C9707D">
        <w:rPr>
          <w:i/>
          <w:iCs/>
        </w:rPr>
        <w:t>The Guardian</w:t>
      </w:r>
      <w:r w:rsidR="00C9707D">
        <w:t xml:space="preserve"> (online</w:t>
      </w:r>
      <w:r w:rsidR="00554B54">
        <w:t>,</w:t>
      </w:r>
      <w:r w:rsidR="00C9707D">
        <w:t xml:space="preserve"> 24 January 2024)</w:t>
      </w:r>
      <w:r w:rsidR="009E6EC2">
        <w:t xml:space="preserve"> &lt;</w:t>
      </w:r>
      <w:hyperlink r:id="rId12" w:history="1">
        <w:r w:rsidR="009E6EC2" w:rsidRPr="004B34C5">
          <w:rPr>
            <w:rStyle w:val="Hyperlink"/>
          </w:rPr>
          <w:t>https://www.theguardian.com/society/2024/jan/23/queensland-youth-detention-cairns-</w:t>
        </w:r>
        <w:r w:rsidR="002D2B73">
          <w:rPr>
            <w:rStyle w:val="Hyperlink"/>
          </w:rPr>
          <w:t>watch house</w:t>
        </w:r>
        <w:r w:rsidR="009E6EC2" w:rsidRPr="004B34C5">
          <w:rPr>
            <w:rStyle w:val="Hyperlink"/>
          </w:rPr>
          <w:t>-children-physical-mental-health</w:t>
        </w:r>
      </w:hyperlink>
      <w:r w:rsidR="00554B54">
        <w:t>&gt;</w:t>
      </w:r>
      <w:r w:rsidR="00C9707D">
        <w:t>.</w:t>
      </w:r>
    </w:p>
  </w:footnote>
  <w:footnote w:id="63">
    <w:p w14:paraId="52E75E67" w14:textId="79752EE2" w:rsidR="000B18A8" w:rsidRDefault="000B18A8" w:rsidP="000B18A8">
      <w:pPr>
        <w:pStyle w:val="FootnoteText"/>
      </w:pPr>
      <w:r>
        <w:rPr>
          <w:rStyle w:val="FootnoteReference"/>
        </w:rPr>
        <w:footnoteRef/>
      </w:r>
      <w:r>
        <w:t xml:space="preserve"> Peter McCutcheon, ‘Kids Locked Up’, 7.30, </w:t>
      </w:r>
      <w:r w:rsidRPr="00207AFD">
        <w:rPr>
          <w:i/>
        </w:rPr>
        <w:t>ABC</w:t>
      </w:r>
      <w:r>
        <w:t xml:space="preserve"> (</w:t>
      </w:r>
      <w:r w:rsidR="00207AFD">
        <w:t xml:space="preserve">online, </w:t>
      </w:r>
      <w:r>
        <w:t xml:space="preserve">24 January 2024) </w:t>
      </w:r>
      <w:hyperlink r:id="rId13" w:history="1">
        <w:r w:rsidRPr="00A06DFE">
          <w:rPr>
            <w:rStyle w:val="Hyperlink"/>
          </w:rPr>
          <w:t>https://www.abc.net.au/news/2024-01-24/queensland-children-in-adult-</w:t>
        </w:r>
        <w:r w:rsidR="002D2B73">
          <w:rPr>
            <w:rStyle w:val="Hyperlink"/>
          </w:rPr>
          <w:t>watch house</w:t>
        </w:r>
        <w:r w:rsidRPr="00A06DFE">
          <w:rPr>
            <w:rStyle w:val="Hyperlink"/>
          </w:rPr>
          <w:t>s-amounts-to-child-abuse/103386204</w:t>
        </w:r>
      </w:hyperlink>
      <w:r>
        <w:t xml:space="preserve">. </w:t>
      </w:r>
    </w:p>
  </w:footnote>
  <w:footnote w:id="64">
    <w:p w14:paraId="6895B49F" w14:textId="121DCF38" w:rsidR="00554A7C" w:rsidRDefault="00554A7C" w:rsidP="00554A7C">
      <w:pPr>
        <w:pStyle w:val="FootnoteText"/>
      </w:pPr>
      <w:r>
        <w:rPr>
          <w:rStyle w:val="FootnoteReference"/>
        </w:rPr>
        <w:footnoteRef/>
      </w:r>
      <w:r>
        <w:t xml:space="preserve"> Ben Smee, ‘</w:t>
      </w:r>
      <w:r w:rsidRPr="00C775EF">
        <w:t xml:space="preserve">Police ‘cannot meet’ expectations for children in custody amid Cairns </w:t>
      </w:r>
      <w:r w:rsidR="002D2B73">
        <w:t>watch house</w:t>
      </w:r>
      <w:r w:rsidRPr="00C775EF">
        <w:t xml:space="preserve"> overcrowding</w:t>
      </w:r>
      <w:r>
        <w:t xml:space="preserve">’ </w:t>
      </w:r>
      <w:r>
        <w:rPr>
          <w:i/>
          <w:iCs/>
        </w:rPr>
        <w:t>The Guardian</w:t>
      </w:r>
      <w:r w:rsidRPr="00C775EF">
        <w:t xml:space="preserve"> (</w:t>
      </w:r>
      <w:r>
        <w:t>online</w:t>
      </w:r>
      <w:r w:rsidR="00207AFD">
        <w:t>,</w:t>
      </w:r>
      <w:r>
        <w:t xml:space="preserve"> </w:t>
      </w:r>
      <w:r w:rsidRPr="00C775EF">
        <w:t>15</w:t>
      </w:r>
      <w:r>
        <w:t xml:space="preserve"> January 2024), </w:t>
      </w:r>
      <w:hyperlink r:id="rId14" w:history="1">
        <w:r w:rsidRPr="00D7443F">
          <w:rPr>
            <w:rStyle w:val="Hyperlink"/>
          </w:rPr>
          <w:t>https://www.theguardian.com/australia-news/2024/jan/15/police-cannot-meet-expectations-for-children-in-custody-amid-cairns-</w:t>
        </w:r>
        <w:r w:rsidR="002D2B73">
          <w:rPr>
            <w:rStyle w:val="Hyperlink"/>
          </w:rPr>
          <w:t>watch house</w:t>
        </w:r>
        <w:r w:rsidRPr="00D7443F">
          <w:rPr>
            <w:rStyle w:val="Hyperlink"/>
          </w:rPr>
          <w:t>-overcrowding</w:t>
        </w:r>
      </w:hyperlink>
      <w:r>
        <w:t>,</w:t>
      </w:r>
    </w:p>
  </w:footnote>
  <w:footnote w:id="65">
    <w:p w14:paraId="395B8C9A" w14:textId="15E6AC4D" w:rsidR="00DB7B52" w:rsidRPr="00DB7B52" w:rsidRDefault="00DB7B52">
      <w:pPr>
        <w:pStyle w:val="FootnoteText"/>
        <w:rPr>
          <w:lang w:val="en-GB"/>
        </w:rPr>
      </w:pPr>
      <w:r>
        <w:rPr>
          <w:rStyle w:val="FootnoteReference"/>
        </w:rPr>
        <w:footnoteRef/>
      </w:r>
      <w:r>
        <w:t xml:space="preserve"> </w:t>
      </w:r>
      <w:r w:rsidR="00AB0852" w:rsidRPr="0081677A">
        <w:rPr>
          <w:i/>
          <w:iCs/>
        </w:rPr>
        <w:t>I</w:t>
      </w:r>
      <w:r w:rsidRPr="0081677A">
        <w:rPr>
          <w:i/>
          <w:iCs/>
        </w:rPr>
        <w:t>nquest into</w:t>
      </w:r>
      <w:r w:rsidR="0081677A" w:rsidRPr="0081677A">
        <w:rPr>
          <w:i/>
          <w:iCs/>
        </w:rPr>
        <w:t xml:space="preserve"> the deaths of</w:t>
      </w:r>
      <w:r w:rsidRPr="0081677A">
        <w:rPr>
          <w:i/>
          <w:iCs/>
        </w:rPr>
        <w:t xml:space="preserve"> Shiralee Deanne </w:t>
      </w:r>
      <w:r w:rsidRPr="0081677A">
        <w:rPr>
          <w:i/>
          <w:iCs/>
        </w:rPr>
        <w:t>Tilberoo and Vlasta Wylucki</w:t>
      </w:r>
      <w:r w:rsidRPr="00DB7B52">
        <w:t xml:space="preserve"> </w:t>
      </w:r>
      <w:r w:rsidR="004947F1">
        <w:t xml:space="preserve">(Coroners Court </w:t>
      </w:r>
      <w:r w:rsidR="00C537EB">
        <w:t xml:space="preserve">of </w:t>
      </w:r>
      <w:r w:rsidR="004947F1">
        <w:t>Queensland, Deputy State Coroner Gall</w:t>
      </w:r>
      <w:r w:rsidR="00C537EB">
        <w:t>a</w:t>
      </w:r>
      <w:r w:rsidR="004947F1">
        <w:t>gher,</w:t>
      </w:r>
      <w:r w:rsidR="00C537EB">
        <w:t xml:space="preserve"> 27 June 2024</w:t>
      </w:r>
      <w:r w:rsidR="00DE30A5">
        <w:t>)</w:t>
      </w:r>
      <w:r w:rsidR="00C537EB">
        <w:t>.</w:t>
      </w:r>
      <w:r w:rsidR="004947F1">
        <w:t xml:space="preserve"> </w:t>
      </w:r>
    </w:p>
  </w:footnote>
  <w:footnote w:id="66">
    <w:p w14:paraId="3FA958C1" w14:textId="173D9607" w:rsidR="005D0226" w:rsidRDefault="005D0226" w:rsidP="005D0226">
      <w:pPr>
        <w:pStyle w:val="FootnoteText"/>
      </w:pPr>
      <w:r>
        <w:rPr>
          <w:rStyle w:val="FootnoteReference"/>
        </w:rPr>
        <w:footnoteRef/>
      </w:r>
      <w:r>
        <w:t xml:space="preserve"> </w:t>
      </w:r>
      <w:r w:rsidR="00876BE5">
        <w:t>Ben Smee, ‘</w:t>
      </w:r>
      <w:r w:rsidR="00454355" w:rsidRPr="00454355">
        <w:t xml:space="preserve">Boy, 13, allegedly sexually assaulted while being held in crowded Cairns </w:t>
      </w:r>
      <w:r w:rsidR="002D2B73">
        <w:t>watch house</w:t>
      </w:r>
      <w:r w:rsidR="00454355" w:rsidRPr="00454355">
        <w:t xml:space="preserve"> cell</w:t>
      </w:r>
      <w:r w:rsidR="00454355">
        <w:t xml:space="preserve">’, </w:t>
      </w:r>
      <w:r w:rsidR="00454355" w:rsidRPr="00454355">
        <w:rPr>
          <w:i/>
          <w:iCs/>
        </w:rPr>
        <w:t>The Guardian</w:t>
      </w:r>
      <w:r w:rsidR="00454355">
        <w:t xml:space="preserve"> (online, 15 February</w:t>
      </w:r>
      <w:r w:rsidR="004036B9">
        <w:t xml:space="preserve"> </w:t>
      </w:r>
      <w:r w:rsidR="00454355">
        <w:t>2024)</w:t>
      </w:r>
      <w:r w:rsidR="004036B9">
        <w:t xml:space="preserve"> &lt;</w:t>
      </w:r>
      <w:hyperlink r:id="rId15" w:history="1">
        <w:r w:rsidR="004036B9" w:rsidRPr="004B34C5">
          <w:rPr>
            <w:rStyle w:val="Hyperlink"/>
          </w:rPr>
          <w:t>https://www.theguardian.com/australia-news/2024/feb/15/boy-13-cairns-</w:t>
        </w:r>
        <w:r w:rsidR="002D2B73">
          <w:rPr>
            <w:rStyle w:val="Hyperlink"/>
          </w:rPr>
          <w:t>watch house</w:t>
        </w:r>
        <w:r w:rsidR="004036B9" w:rsidRPr="004B34C5">
          <w:rPr>
            <w:rStyle w:val="Hyperlink"/>
          </w:rPr>
          <w:t>-cell-alleged-sexual-assault</w:t>
        </w:r>
      </w:hyperlink>
      <w:r w:rsidR="004036B9">
        <w:t>&gt;</w:t>
      </w:r>
      <w:r w:rsidR="00454355">
        <w:t xml:space="preserve">; </w:t>
      </w:r>
      <w:r>
        <w:t>Ben Smee, ‘</w:t>
      </w:r>
      <w:r w:rsidRPr="0054134E">
        <w:t xml:space="preserve">Concerns for 13-year-old in Queensland </w:t>
      </w:r>
      <w:r w:rsidR="002D2B73">
        <w:t>watch house</w:t>
      </w:r>
      <w:r w:rsidRPr="0054134E">
        <w:t xml:space="preserve"> ignored days before alleged sexual assault</w:t>
      </w:r>
      <w:r>
        <w:t xml:space="preserve">’, </w:t>
      </w:r>
      <w:r>
        <w:rPr>
          <w:i/>
          <w:iCs/>
        </w:rPr>
        <w:t>The Guardian</w:t>
      </w:r>
      <w:r>
        <w:t xml:space="preserve"> (online, 9 July 2024)</w:t>
      </w:r>
      <w:r w:rsidR="0098308C">
        <w:t xml:space="preserve"> &lt;</w:t>
      </w:r>
      <w:hyperlink r:id="rId16" w:history="1">
        <w:r w:rsidR="0098308C" w:rsidRPr="004036B9">
          <w:rPr>
            <w:rStyle w:val="Hyperlink"/>
          </w:rPr>
          <w:t>https://www.theguardian.com/australia-news/article/2024/jul/09/concerns-over-13-year-old-in-queensland-</w:t>
        </w:r>
        <w:r w:rsidR="002D2B73">
          <w:rPr>
            <w:rStyle w:val="Hyperlink"/>
          </w:rPr>
          <w:t>watch house</w:t>
        </w:r>
        <w:r w:rsidR="0098308C" w:rsidRPr="004036B9">
          <w:rPr>
            <w:rStyle w:val="Hyperlink"/>
          </w:rPr>
          <w:t>-ignored-days-before-alleged-sexual-assault</w:t>
        </w:r>
      </w:hyperlink>
      <w:r w:rsidR="0098308C">
        <w:t>&gt;</w:t>
      </w:r>
      <w:r>
        <w:t>.</w:t>
      </w:r>
    </w:p>
  </w:footnote>
  <w:footnote w:id="67">
    <w:p w14:paraId="7B88051F" w14:textId="00198831" w:rsidR="00D72B3F" w:rsidRPr="00B063E0" w:rsidRDefault="00D72B3F" w:rsidP="00D72B3F">
      <w:pPr>
        <w:pStyle w:val="FootnoteText"/>
        <w:rPr>
          <w:lang w:val="en-GB"/>
        </w:rPr>
      </w:pPr>
      <w:r>
        <w:rPr>
          <w:rStyle w:val="FootnoteReference"/>
        </w:rPr>
        <w:footnoteRef/>
      </w:r>
      <w:r>
        <w:t xml:space="preserve"> Alexander Blucher </w:t>
      </w:r>
      <w:r w:rsidR="000B7D7F">
        <w:t>‘</w:t>
      </w:r>
      <w:r>
        <w:t xml:space="preserve">‘Jason’ was beaten repeatedly with a baton in a </w:t>
      </w:r>
      <w:r w:rsidR="002D2B73">
        <w:t>watch house</w:t>
      </w:r>
      <w:r>
        <w:t>. An investigation found the use of force was ‘reasonable’</w:t>
      </w:r>
      <w:r w:rsidR="000B7D7F">
        <w:t>’</w:t>
      </w:r>
      <w:r>
        <w:t xml:space="preserve"> </w:t>
      </w:r>
      <w:r w:rsidRPr="001B74D9">
        <w:rPr>
          <w:i/>
        </w:rPr>
        <w:t>ABC News</w:t>
      </w:r>
      <w:r>
        <w:t xml:space="preserve"> </w:t>
      </w:r>
      <w:r w:rsidR="001B74D9">
        <w:t>(</w:t>
      </w:r>
      <w:r>
        <w:t xml:space="preserve">online, 10 July 2024), </w:t>
      </w:r>
      <w:hyperlink r:id="rId17" w:history="1">
        <w:r w:rsidRPr="00B31360">
          <w:rPr>
            <w:rStyle w:val="Hyperlink"/>
          </w:rPr>
          <w:t>https://www.abc.net.au/news/2024-07-10/indigenous-teenager-beaten-brisbane-police-</w:t>
        </w:r>
        <w:r w:rsidR="002D2B73">
          <w:rPr>
            <w:rStyle w:val="Hyperlink"/>
          </w:rPr>
          <w:t>watch house</w:t>
        </w:r>
        <w:r w:rsidRPr="00B31360">
          <w:rPr>
            <w:rStyle w:val="Hyperlink"/>
          </w:rPr>
          <w:t>-</w:t>
        </w:r>
        <w:r w:rsidRPr="00B31360">
          <w:rPr>
            <w:rStyle w:val="Hyperlink"/>
          </w:rPr>
          <w:t>cctv/104070840</w:t>
        </w:r>
      </w:hyperlink>
      <w:r>
        <w:t xml:space="preserve">. </w:t>
      </w:r>
    </w:p>
  </w:footnote>
  <w:footnote w:id="68">
    <w:p w14:paraId="6FD2074C" w14:textId="5D7570F9" w:rsidR="008B0FF5" w:rsidRPr="001328D4" w:rsidRDefault="008B0FF5" w:rsidP="008B0FF5">
      <w:pPr>
        <w:pStyle w:val="FootnoteText"/>
        <w:rPr>
          <w:lang w:val="en-GB"/>
        </w:rPr>
      </w:pPr>
      <w:r>
        <w:rPr>
          <w:rStyle w:val="FootnoteReference"/>
        </w:rPr>
        <w:footnoteRef/>
      </w:r>
      <w:r>
        <w:t xml:space="preserve"> </w:t>
      </w:r>
      <w:r w:rsidR="00536022" w:rsidRPr="00536022">
        <w:rPr>
          <w:i/>
          <w:iCs/>
        </w:rPr>
        <w:t>Havana Rules</w:t>
      </w:r>
      <w:r w:rsidR="00536022">
        <w:t xml:space="preserve"> </w:t>
      </w:r>
      <w:r w:rsidR="00536022">
        <w:t>rr</w:t>
      </w:r>
      <w:r>
        <w:t xml:space="preserve"> 64 and 65. See also </w:t>
      </w:r>
      <w:r w:rsidR="001B74D9" w:rsidRPr="001B74D9">
        <w:rPr>
          <w:i/>
          <w:iCs/>
        </w:rPr>
        <w:t>Nelson Mandela Rules</w:t>
      </w:r>
      <w:r w:rsidR="001B74D9">
        <w:t xml:space="preserve"> r </w:t>
      </w:r>
      <w:r>
        <w:t>82(3).</w:t>
      </w:r>
    </w:p>
  </w:footnote>
  <w:footnote w:id="69">
    <w:p w14:paraId="06825755" w14:textId="54FE7A32" w:rsidR="004627F7" w:rsidRPr="004627F7" w:rsidRDefault="004627F7">
      <w:pPr>
        <w:pStyle w:val="FootnoteText"/>
        <w:rPr>
          <w:lang w:val="en-GB"/>
        </w:rPr>
      </w:pPr>
      <w:r>
        <w:rPr>
          <w:rStyle w:val="FootnoteReference"/>
        </w:rPr>
        <w:footnoteRef/>
      </w:r>
      <w:r>
        <w:t xml:space="preserve"> </w:t>
      </w:r>
      <w:r>
        <w:rPr>
          <w:lang w:val="en-GB"/>
        </w:rPr>
        <w:t>Inspect</w:t>
      </w:r>
      <w:r w:rsidR="00556568">
        <w:rPr>
          <w:lang w:val="en-GB"/>
        </w:rPr>
        <w:t>or</w:t>
      </w:r>
      <w:r>
        <w:rPr>
          <w:lang w:val="en-GB"/>
        </w:rPr>
        <w:t xml:space="preserve"> of Detention Services, Queensland Ombudsman, </w:t>
      </w:r>
      <w:r w:rsidRPr="001E23B4">
        <w:rPr>
          <w:i/>
          <w:iCs/>
          <w:lang w:val="en-GB"/>
        </w:rPr>
        <w:t xml:space="preserve">Cairns and </w:t>
      </w:r>
      <w:r w:rsidRPr="001E23B4">
        <w:rPr>
          <w:i/>
          <w:iCs/>
          <w:lang w:val="en-GB"/>
        </w:rPr>
        <w:t xml:space="preserve">Murgon </w:t>
      </w:r>
      <w:r w:rsidR="002D2B73">
        <w:rPr>
          <w:i/>
          <w:iCs/>
          <w:lang w:val="en-GB"/>
        </w:rPr>
        <w:t>watch house</w:t>
      </w:r>
      <w:r w:rsidRPr="001E23B4">
        <w:rPr>
          <w:i/>
          <w:iCs/>
          <w:lang w:val="en-GB"/>
        </w:rPr>
        <w:t>s inspection report: Focus on detention on children</w:t>
      </w:r>
      <w:r>
        <w:rPr>
          <w:lang w:val="en-GB"/>
        </w:rPr>
        <w:t xml:space="preserve"> (11 September 2024)</w:t>
      </w:r>
      <w:r w:rsidR="006A60A7">
        <w:rPr>
          <w:lang w:val="en-GB"/>
        </w:rPr>
        <w:t xml:space="preserve"> 11</w:t>
      </w:r>
      <w:r>
        <w:rPr>
          <w:lang w:val="en-GB"/>
        </w:rPr>
        <w:t>.</w:t>
      </w:r>
    </w:p>
  </w:footnote>
  <w:footnote w:id="70">
    <w:p w14:paraId="035476AB" w14:textId="167F3267" w:rsidR="00F21FD4" w:rsidRPr="00F21FD4" w:rsidRDefault="00F21FD4">
      <w:pPr>
        <w:pStyle w:val="FootnoteText"/>
        <w:rPr>
          <w:lang w:val="en-GB"/>
        </w:rPr>
      </w:pPr>
      <w:r>
        <w:rPr>
          <w:rStyle w:val="FootnoteReference"/>
        </w:rPr>
        <w:footnoteRef/>
      </w:r>
      <w:r>
        <w:t xml:space="preserve"> </w:t>
      </w:r>
      <w:r w:rsidR="00D44B71">
        <w:rPr>
          <w:lang w:val="en-GB"/>
        </w:rPr>
        <w:t>Ibid</w:t>
      </w:r>
      <w:r w:rsidR="006E4EA5">
        <w:rPr>
          <w:lang w:val="en-GB"/>
        </w:rPr>
        <w:t xml:space="preserve"> </w:t>
      </w:r>
      <w:r w:rsidR="00C91318">
        <w:rPr>
          <w:lang w:val="en-GB"/>
        </w:rPr>
        <w:t>37</w:t>
      </w:r>
      <w:r w:rsidR="00C91318">
        <w:rPr>
          <w:rFonts w:cs="Arial"/>
          <w:lang w:val="en-GB"/>
        </w:rPr>
        <w:t>–</w:t>
      </w:r>
      <w:r w:rsidR="00C91318">
        <w:rPr>
          <w:lang w:val="en-GB"/>
        </w:rPr>
        <w:t xml:space="preserve">38, </w:t>
      </w:r>
      <w:r w:rsidR="006E4EA5">
        <w:rPr>
          <w:lang w:val="en-GB"/>
        </w:rPr>
        <w:t>46.</w:t>
      </w:r>
    </w:p>
  </w:footnote>
  <w:footnote w:id="71">
    <w:p w14:paraId="6A8694F3" w14:textId="0C3A92C3" w:rsidR="009D7C20" w:rsidRPr="009D7C20" w:rsidRDefault="009D7C20">
      <w:pPr>
        <w:pStyle w:val="FootnoteText"/>
        <w:rPr>
          <w:lang w:val="en-GB"/>
        </w:rPr>
      </w:pPr>
      <w:r>
        <w:rPr>
          <w:rStyle w:val="FootnoteReference"/>
        </w:rPr>
        <w:footnoteRef/>
      </w:r>
      <w:r>
        <w:t xml:space="preserve"> </w:t>
      </w:r>
      <w:r>
        <w:rPr>
          <w:lang w:val="en-GB"/>
        </w:rPr>
        <w:t xml:space="preserve">See also </w:t>
      </w:r>
      <w:r w:rsidRPr="009D7C20">
        <w:rPr>
          <w:i/>
          <w:iCs/>
          <w:lang w:val="en-GB"/>
        </w:rPr>
        <w:t>Human Rights Act 2019</w:t>
      </w:r>
      <w:r>
        <w:rPr>
          <w:lang w:val="en-GB"/>
        </w:rPr>
        <w:t xml:space="preserve"> (Qld) s 30.</w:t>
      </w:r>
    </w:p>
  </w:footnote>
  <w:footnote w:id="72">
    <w:p w14:paraId="6B1457EA" w14:textId="00519C5E" w:rsidR="001761D1" w:rsidRPr="001761D1" w:rsidRDefault="001761D1">
      <w:pPr>
        <w:pStyle w:val="FootnoteText"/>
        <w:rPr>
          <w:lang w:val="en-GB"/>
        </w:rPr>
      </w:pPr>
      <w:r>
        <w:rPr>
          <w:rStyle w:val="FootnoteReference"/>
        </w:rPr>
        <w:footnoteRef/>
      </w:r>
      <w:r>
        <w:t xml:space="preserve"> </w:t>
      </w:r>
      <w:r w:rsidR="00D04A97">
        <w:t xml:space="preserve">For consideration of how </w:t>
      </w:r>
      <w:r w:rsidR="00EB52F0">
        <w:t xml:space="preserve">a combination of </w:t>
      </w:r>
      <w:r w:rsidR="001B54B7">
        <w:t xml:space="preserve">inadequate </w:t>
      </w:r>
      <w:r w:rsidR="005D7746">
        <w:t>conditions of detention can amount to inhuman or degrading treatment in the context of the European Convention on Human Rights see</w:t>
      </w:r>
      <w:r w:rsidR="001B54B7">
        <w:t xml:space="preserve"> </w:t>
      </w:r>
      <w:r w:rsidR="001B54B7">
        <w:rPr>
          <w:i/>
          <w:iCs/>
        </w:rPr>
        <w:t xml:space="preserve">Ananyev </w:t>
      </w:r>
      <w:r w:rsidR="00A91EFC">
        <w:rPr>
          <w:i/>
          <w:iCs/>
        </w:rPr>
        <w:t>v Russia</w:t>
      </w:r>
      <w:r w:rsidR="00A91EFC">
        <w:t xml:space="preserve"> </w:t>
      </w:r>
      <w:r w:rsidR="00A3002C">
        <w:t xml:space="preserve">(European Court of Human Rights, First Section, Application Nos </w:t>
      </w:r>
      <w:r w:rsidR="00996ECC">
        <w:t>42</w:t>
      </w:r>
      <w:r w:rsidR="00496D3D">
        <w:t xml:space="preserve">525/07 and </w:t>
      </w:r>
      <w:r w:rsidR="00B048BF">
        <w:t>60800/08</w:t>
      </w:r>
      <w:r w:rsidR="00481ACD">
        <w:t>, 10 January 2012</w:t>
      </w:r>
      <w:r w:rsidR="00685CF4">
        <w:t>).</w:t>
      </w:r>
      <w:r w:rsidR="009970F7">
        <w:t xml:space="preserve"> In relation to children in particular see </w:t>
      </w:r>
      <w:r w:rsidR="002C393C" w:rsidRPr="00E2481F">
        <w:rPr>
          <w:szCs w:val="20"/>
        </w:rPr>
        <w:t xml:space="preserve">Juan E. Méndez, </w:t>
      </w:r>
      <w:r w:rsidR="002C393C" w:rsidRPr="007951E8">
        <w:rPr>
          <w:i/>
          <w:iCs/>
          <w:szCs w:val="20"/>
        </w:rPr>
        <w:t>Report of the Special Rapporteur on torture and other cruel, inhuman or degrading treatment or punishment</w:t>
      </w:r>
      <w:r w:rsidR="002C393C" w:rsidRPr="00E2481F">
        <w:rPr>
          <w:szCs w:val="20"/>
        </w:rPr>
        <w:t xml:space="preserve">, </w:t>
      </w:r>
      <w:r w:rsidR="002C393C" w:rsidRPr="00574EC4">
        <w:rPr>
          <w:szCs w:val="20"/>
        </w:rPr>
        <w:t xml:space="preserve">UN Doc </w:t>
      </w:r>
      <w:r w:rsidR="002C393C" w:rsidRPr="00E2481F">
        <w:rPr>
          <w:szCs w:val="20"/>
        </w:rPr>
        <w:t>A/HRC/28/68</w:t>
      </w:r>
      <w:r w:rsidR="002C393C" w:rsidRPr="00574EC4">
        <w:rPr>
          <w:szCs w:val="20"/>
        </w:rPr>
        <w:t xml:space="preserve"> (</w:t>
      </w:r>
      <w:r w:rsidR="002C393C" w:rsidRPr="00E2481F">
        <w:rPr>
          <w:szCs w:val="20"/>
        </w:rPr>
        <w:t>5 March 2015) [</w:t>
      </w:r>
      <w:r w:rsidR="002C393C">
        <w:rPr>
          <w:szCs w:val="20"/>
        </w:rPr>
        <w:t>71]</w:t>
      </w:r>
      <w:r w:rsidR="002C393C">
        <w:rPr>
          <w:rFonts w:cs="Arial"/>
          <w:szCs w:val="20"/>
        </w:rPr>
        <w:t>–</w:t>
      </w:r>
      <w:r w:rsidR="002C393C">
        <w:rPr>
          <w:szCs w:val="20"/>
        </w:rPr>
        <w:t>[72</w:t>
      </w:r>
      <w:r w:rsidR="002C393C" w:rsidRPr="00E2481F">
        <w:rPr>
          <w:szCs w:val="20"/>
        </w:rPr>
        <w:t>]</w:t>
      </w:r>
      <w:r w:rsidR="00EA486A">
        <w:rPr>
          <w:szCs w:val="20"/>
        </w:rPr>
        <w:t>, [76]</w:t>
      </w:r>
      <w:r w:rsidR="006D667F">
        <w:rPr>
          <w:szCs w:val="20"/>
        </w:rPr>
        <w:t>, [78]</w:t>
      </w:r>
      <w:r w:rsidR="002C393C" w:rsidRPr="00E2481F">
        <w:rPr>
          <w:szCs w:val="20"/>
        </w:rPr>
        <w:t>.</w:t>
      </w:r>
      <w:r w:rsidR="002C393C">
        <w:t xml:space="preserve"> </w:t>
      </w:r>
      <w:r w:rsidR="00685CF4">
        <w:t>S</w:t>
      </w:r>
      <w:r w:rsidR="009D7C20">
        <w:rPr>
          <w:lang w:val="en-GB"/>
        </w:rPr>
        <w:t xml:space="preserve">ee also </w:t>
      </w:r>
      <w:r w:rsidR="009D7C20" w:rsidRPr="009D7C20">
        <w:rPr>
          <w:i/>
          <w:iCs/>
          <w:lang w:val="en-GB"/>
        </w:rPr>
        <w:t>Human Rights Act 2019</w:t>
      </w:r>
      <w:r w:rsidR="009D7C20">
        <w:rPr>
          <w:lang w:val="en-GB"/>
        </w:rPr>
        <w:t xml:space="preserve"> (Qld) s 17(b).</w:t>
      </w:r>
    </w:p>
  </w:footnote>
  <w:footnote w:id="73">
    <w:p w14:paraId="3719E92E" w14:textId="5F8D6E74" w:rsidR="0066143D" w:rsidRPr="0066143D" w:rsidRDefault="008860F4" w:rsidP="00574EC4">
      <w:pPr>
        <w:rPr>
          <w:sz w:val="20"/>
          <w:szCs w:val="20"/>
        </w:rPr>
      </w:pPr>
      <w:r w:rsidRPr="00E2481F">
        <w:rPr>
          <w:rStyle w:val="FootnoteReference"/>
          <w:sz w:val="20"/>
          <w:szCs w:val="20"/>
        </w:rPr>
        <w:footnoteRef/>
      </w:r>
      <w:r w:rsidRPr="00E2481F">
        <w:rPr>
          <w:sz w:val="20"/>
          <w:szCs w:val="20"/>
        </w:rPr>
        <w:t xml:space="preserve"> </w:t>
      </w:r>
      <w:r w:rsidR="007951E8" w:rsidRPr="00E2481F">
        <w:rPr>
          <w:sz w:val="20"/>
          <w:szCs w:val="20"/>
        </w:rPr>
        <w:t xml:space="preserve">Juan E. Méndez, </w:t>
      </w:r>
      <w:r w:rsidR="007951E8" w:rsidRPr="007951E8">
        <w:rPr>
          <w:i/>
          <w:iCs/>
          <w:sz w:val="20"/>
          <w:szCs w:val="20"/>
        </w:rPr>
        <w:t>Report of the Special Rapporteur on torture and other cruel, inhuman or degrading treatment or punishment</w:t>
      </w:r>
      <w:r w:rsidR="007951E8" w:rsidRPr="00E2481F">
        <w:rPr>
          <w:sz w:val="20"/>
          <w:szCs w:val="20"/>
        </w:rPr>
        <w:t xml:space="preserve">, </w:t>
      </w:r>
      <w:r w:rsidR="007951E8" w:rsidRPr="00574EC4">
        <w:rPr>
          <w:sz w:val="20"/>
          <w:szCs w:val="20"/>
        </w:rPr>
        <w:t xml:space="preserve">UN Doc </w:t>
      </w:r>
      <w:r w:rsidR="007951E8" w:rsidRPr="00E2481F">
        <w:rPr>
          <w:sz w:val="20"/>
          <w:szCs w:val="20"/>
        </w:rPr>
        <w:t>A/HRC/28/68</w:t>
      </w:r>
      <w:r w:rsidR="007951E8" w:rsidRPr="00574EC4">
        <w:rPr>
          <w:sz w:val="20"/>
          <w:szCs w:val="20"/>
        </w:rPr>
        <w:t xml:space="preserve"> (</w:t>
      </w:r>
      <w:r w:rsidR="007951E8" w:rsidRPr="00E2481F">
        <w:rPr>
          <w:sz w:val="20"/>
          <w:szCs w:val="20"/>
        </w:rPr>
        <w:t>5 March 2015)</w:t>
      </w:r>
      <w:r w:rsidRPr="00E2481F">
        <w:rPr>
          <w:sz w:val="20"/>
          <w:szCs w:val="20"/>
        </w:rPr>
        <w:t xml:space="preserve"> [33], [59]</w:t>
      </w:r>
      <w:r w:rsidR="009863E0">
        <w:rPr>
          <w:rFonts w:cs="Arial"/>
          <w:sz w:val="20"/>
          <w:szCs w:val="20"/>
        </w:rPr>
        <w:t>–</w:t>
      </w:r>
      <w:r w:rsidRPr="00E2481F">
        <w:rPr>
          <w:sz w:val="20"/>
          <w:szCs w:val="20"/>
        </w:rPr>
        <w:t>[60].</w:t>
      </w:r>
    </w:p>
  </w:footnote>
  <w:footnote w:id="74">
    <w:p w14:paraId="0D9644B2" w14:textId="77777777" w:rsidR="00333FDF" w:rsidRPr="00F15A85" w:rsidRDefault="00333FDF" w:rsidP="00333FDF">
      <w:pPr>
        <w:pStyle w:val="FootnoteText"/>
        <w:rPr>
          <w:lang w:val="en-GB"/>
        </w:rPr>
      </w:pPr>
      <w:r>
        <w:rPr>
          <w:rStyle w:val="FootnoteReference"/>
        </w:rPr>
        <w:footnoteRef/>
      </w:r>
      <w:r>
        <w:t xml:space="preserve"> </w:t>
      </w:r>
      <w:r w:rsidRPr="00F15A85">
        <w:rPr>
          <w:i/>
          <w:iCs/>
          <w:lang w:val="en-GB"/>
        </w:rPr>
        <w:t>CRC General Comment No 24</w:t>
      </w:r>
      <w:r>
        <w:rPr>
          <w:lang w:val="en-GB"/>
        </w:rPr>
        <w:t xml:space="preserve"> [85].</w:t>
      </w:r>
    </w:p>
  </w:footnote>
  <w:footnote w:id="75">
    <w:p w14:paraId="6C6D9BD6" w14:textId="16BB8961" w:rsidR="008F5624" w:rsidRPr="008F5624" w:rsidRDefault="008F5624">
      <w:pPr>
        <w:pStyle w:val="FootnoteText"/>
        <w:rPr>
          <w:lang w:val="en-GB"/>
        </w:rPr>
      </w:pPr>
      <w:r>
        <w:rPr>
          <w:rStyle w:val="FootnoteReference"/>
        </w:rPr>
        <w:footnoteRef/>
      </w:r>
      <w:r>
        <w:t xml:space="preserve"> </w:t>
      </w:r>
      <w:r w:rsidR="00BB7D68" w:rsidRPr="00E2481F">
        <w:rPr>
          <w:szCs w:val="20"/>
        </w:rPr>
        <w:t>Juan E. Méndez’</w:t>
      </w:r>
      <w:r w:rsidR="00646866" w:rsidRPr="00E2481F">
        <w:rPr>
          <w:szCs w:val="20"/>
        </w:rPr>
        <w:t xml:space="preserve">, </w:t>
      </w:r>
      <w:r w:rsidR="00646866" w:rsidRPr="007951E8">
        <w:rPr>
          <w:i/>
          <w:iCs/>
          <w:szCs w:val="20"/>
        </w:rPr>
        <w:t>Report of the Special Rapporteur on torture and other cruel, inhuman or degrading treatment or punishment</w:t>
      </w:r>
      <w:r w:rsidR="00646866" w:rsidRPr="00E2481F">
        <w:rPr>
          <w:szCs w:val="20"/>
        </w:rPr>
        <w:t xml:space="preserve">, </w:t>
      </w:r>
      <w:r w:rsidR="007951E8">
        <w:rPr>
          <w:szCs w:val="20"/>
        </w:rPr>
        <w:t xml:space="preserve">UN Doc </w:t>
      </w:r>
      <w:r w:rsidR="00646866" w:rsidRPr="00E2481F">
        <w:rPr>
          <w:szCs w:val="20"/>
        </w:rPr>
        <w:t>A/HRC/28/68</w:t>
      </w:r>
      <w:r w:rsidR="007951E8">
        <w:rPr>
          <w:szCs w:val="20"/>
        </w:rPr>
        <w:t xml:space="preserve"> (</w:t>
      </w:r>
      <w:r w:rsidR="00646866" w:rsidRPr="00E2481F">
        <w:rPr>
          <w:szCs w:val="20"/>
        </w:rPr>
        <w:t>5 March 2015)</w:t>
      </w:r>
      <w:r w:rsidR="00646866">
        <w:rPr>
          <w:lang w:val="en-GB"/>
        </w:rPr>
        <w:t xml:space="preserve"> </w:t>
      </w:r>
      <w:r>
        <w:rPr>
          <w:lang w:val="en-GB"/>
        </w:rPr>
        <w:t>[</w:t>
      </w:r>
      <w:r w:rsidR="00B66EC9">
        <w:rPr>
          <w:lang w:val="en-GB"/>
        </w:rPr>
        <w:t>85(k)].</w:t>
      </w:r>
    </w:p>
  </w:footnote>
  <w:footnote w:id="76">
    <w:p w14:paraId="7AEC850C" w14:textId="254CCA44" w:rsidR="00500685" w:rsidRPr="00500685" w:rsidRDefault="00500685">
      <w:pPr>
        <w:pStyle w:val="FootnoteText"/>
        <w:rPr>
          <w:lang w:val="en-GB"/>
        </w:rPr>
      </w:pPr>
      <w:r>
        <w:rPr>
          <w:rStyle w:val="FootnoteReference"/>
        </w:rPr>
        <w:footnoteRef/>
      </w:r>
      <w:r>
        <w:t xml:space="preserve"> </w:t>
      </w:r>
      <w:r w:rsidR="00540014">
        <w:rPr>
          <w:lang w:val="en-GB"/>
        </w:rPr>
        <w:t>Jemima Burt and Julia Andre, ‘</w:t>
      </w:r>
      <w:r w:rsidR="0058031E" w:rsidRPr="0058031E">
        <w:rPr>
          <w:lang w:val="en-GB"/>
        </w:rPr>
        <w:t xml:space="preserve">Review into Queensland police </w:t>
      </w:r>
      <w:r w:rsidR="002D2B73">
        <w:rPr>
          <w:lang w:val="en-GB"/>
        </w:rPr>
        <w:t>watch house</w:t>
      </w:r>
      <w:r w:rsidR="0058031E" w:rsidRPr="0058031E">
        <w:rPr>
          <w:lang w:val="en-GB"/>
        </w:rPr>
        <w:t>s to probe 'end-to-end systemic issues'</w:t>
      </w:r>
      <w:r w:rsidR="0058031E">
        <w:rPr>
          <w:lang w:val="en-GB"/>
        </w:rPr>
        <w:t xml:space="preserve">, </w:t>
      </w:r>
      <w:r w:rsidR="0058031E" w:rsidRPr="006D705B">
        <w:rPr>
          <w:i/>
          <w:lang w:val="en-GB"/>
        </w:rPr>
        <w:t>ABC News</w:t>
      </w:r>
      <w:r w:rsidR="0058031E">
        <w:rPr>
          <w:lang w:val="en-GB"/>
        </w:rPr>
        <w:t xml:space="preserve"> (online, 6 August 2024) &lt;</w:t>
      </w:r>
      <w:hyperlink r:id="rId18" w:history="1">
        <w:r w:rsidR="0058031E" w:rsidRPr="0058031E">
          <w:rPr>
            <w:rStyle w:val="Hyperlink"/>
            <w:lang w:val="en-GB"/>
          </w:rPr>
          <w:t>https://www.abc.net.au/news/2024-08-06/review-queensland-police-</w:t>
        </w:r>
        <w:r w:rsidR="002D2B73">
          <w:rPr>
            <w:rStyle w:val="Hyperlink"/>
            <w:lang w:val="en-GB"/>
          </w:rPr>
          <w:t>watch house</w:t>
        </w:r>
        <w:r w:rsidR="0058031E" w:rsidRPr="0058031E">
          <w:rPr>
            <w:rStyle w:val="Hyperlink"/>
            <w:lang w:val="en-GB"/>
          </w:rPr>
          <w:t>s-systemic-issues/104188082</w:t>
        </w:r>
      </w:hyperlink>
      <w:r w:rsidR="0058031E">
        <w:rPr>
          <w:lang w:val="en-GB"/>
        </w:rPr>
        <w:t>&gt;.</w:t>
      </w:r>
    </w:p>
  </w:footnote>
  <w:footnote w:id="77">
    <w:p w14:paraId="0BAD56A7" w14:textId="55525FA7" w:rsidR="00A865C1" w:rsidRPr="00A865C1" w:rsidRDefault="00A865C1">
      <w:pPr>
        <w:pStyle w:val="FootnoteText"/>
        <w:rPr>
          <w:lang w:val="en-GB"/>
        </w:rPr>
      </w:pPr>
      <w:r w:rsidRPr="00A13D88">
        <w:rPr>
          <w:rStyle w:val="FootnoteReference"/>
        </w:rPr>
        <w:footnoteRef/>
      </w:r>
      <w:r w:rsidRPr="00A13D88">
        <w:t xml:space="preserve"> </w:t>
      </w:r>
      <w:r w:rsidRPr="00A13D88">
        <w:rPr>
          <w:lang w:val="en-GB"/>
        </w:rPr>
        <w:t xml:space="preserve">Including under the </w:t>
      </w:r>
      <w:r w:rsidR="00A036EB" w:rsidRPr="00A13D88">
        <w:rPr>
          <w:i/>
          <w:lang w:val="en-GB"/>
        </w:rPr>
        <w:t>Anti-Discrimination Act 1991</w:t>
      </w:r>
      <w:r w:rsidR="00A036EB" w:rsidRPr="00A13D88">
        <w:rPr>
          <w:lang w:val="en-GB"/>
        </w:rPr>
        <w:t xml:space="preserve"> (Qld), </w:t>
      </w:r>
      <w:r w:rsidR="006A1682" w:rsidRPr="00A13D88">
        <w:rPr>
          <w:i/>
          <w:lang w:val="en-GB"/>
        </w:rPr>
        <w:t>Age Discrimination Act 2004</w:t>
      </w:r>
      <w:r w:rsidR="006A1682" w:rsidRPr="00A13D88">
        <w:rPr>
          <w:lang w:val="en-GB"/>
        </w:rPr>
        <w:t xml:space="preserve"> (</w:t>
      </w:r>
      <w:r w:rsidR="006A1682" w:rsidRPr="00A13D88">
        <w:rPr>
          <w:lang w:val="en-GB"/>
        </w:rPr>
        <w:t>Cth)</w:t>
      </w:r>
      <w:r w:rsidR="00A13D88">
        <w:rPr>
          <w:lang w:val="en-GB"/>
        </w:rPr>
        <w:t>,</w:t>
      </w:r>
      <w:r w:rsidR="006A1682" w:rsidRPr="00A13D88">
        <w:rPr>
          <w:lang w:val="en-GB"/>
        </w:rPr>
        <w:t xml:space="preserve"> </w:t>
      </w:r>
      <w:r w:rsidR="007B1261" w:rsidRPr="00A13D88">
        <w:rPr>
          <w:i/>
          <w:lang w:val="en-GB"/>
        </w:rPr>
        <w:t>Racial Discrimination Act 1975</w:t>
      </w:r>
      <w:r w:rsidR="007B1261" w:rsidRPr="00A13D88">
        <w:rPr>
          <w:lang w:val="en-GB"/>
        </w:rPr>
        <w:t xml:space="preserve"> (Cth), and </w:t>
      </w:r>
      <w:r w:rsidR="006A035C" w:rsidRPr="00A13D88">
        <w:rPr>
          <w:i/>
          <w:iCs/>
          <w:lang w:val="en-GB"/>
        </w:rPr>
        <w:t>Disability Discrimination Act 1992</w:t>
      </w:r>
      <w:r w:rsidR="006A035C" w:rsidRPr="00A13D88">
        <w:rPr>
          <w:lang w:val="en-GB"/>
        </w:rPr>
        <w:t xml:space="preserve"> (Cth).</w:t>
      </w:r>
    </w:p>
  </w:footnote>
  <w:footnote w:id="78">
    <w:p w14:paraId="6EB3F85A" w14:textId="259CF6EE" w:rsidR="00CB3BDC" w:rsidRPr="00CB3BDC" w:rsidRDefault="00CB3BDC">
      <w:pPr>
        <w:pStyle w:val="FootnoteText"/>
        <w:rPr>
          <w:lang w:val="en-GB"/>
        </w:rPr>
      </w:pPr>
      <w:r>
        <w:rPr>
          <w:rStyle w:val="FootnoteReference"/>
        </w:rPr>
        <w:footnoteRef/>
      </w:r>
      <w:r>
        <w:t xml:space="preserve"> Including under the </w:t>
      </w:r>
      <w:r w:rsidRPr="00754B32">
        <w:rPr>
          <w:szCs w:val="22"/>
          <w:lang w:val="en-GB"/>
        </w:rPr>
        <w:t>under the IC</w:t>
      </w:r>
      <w:r>
        <w:rPr>
          <w:szCs w:val="22"/>
          <w:lang w:val="en-GB"/>
        </w:rPr>
        <w:t>C</w:t>
      </w:r>
      <w:r w:rsidRPr="00754B32">
        <w:rPr>
          <w:szCs w:val="22"/>
          <w:lang w:val="en-GB"/>
        </w:rPr>
        <w:t>PR, the Convention on the Rights of the Child, the Convention on the Rights of Persons with Disability (CRPD)</w:t>
      </w:r>
      <w:r w:rsidR="00EB6489">
        <w:rPr>
          <w:szCs w:val="22"/>
          <w:lang w:val="en-GB"/>
        </w:rPr>
        <w:t>,</w:t>
      </w:r>
      <w:r w:rsidR="004D1D46">
        <w:rPr>
          <w:szCs w:val="22"/>
          <w:lang w:val="en-GB"/>
        </w:rPr>
        <w:t xml:space="preserve"> and</w:t>
      </w:r>
      <w:r w:rsidRPr="00754B32">
        <w:rPr>
          <w:szCs w:val="22"/>
          <w:lang w:val="en-GB"/>
        </w:rPr>
        <w:t xml:space="preserve"> the Convention on the Elimination of all Forms of Racial Discrimination (ICERD).</w:t>
      </w:r>
    </w:p>
  </w:footnote>
  <w:footnote w:id="79">
    <w:p w14:paraId="2D99FFA8" w14:textId="5483BED1" w:rsidR="00C24C2C" w:rsidRPr="00C24C2C" w:rsidRDefault="00C24C2C">
      <w:pPr>
        <w:pStyle w:val="FootnoteText"/>
        <w:rPr>
          <w:lang w:val="en-GB"/>
        </w:rPr>
      </w:pPr>
      <w:r>
        <w:rPr>
          <w:rStyle w:val="FootnoteReference"/>
        </w:rPr>
        <w:footnoteRef/>
      </w:r>
      <w:r>
        <w:t xml:space="preserve"> </w:t>
      </w:r>
      <w:r w:rsidR="00EA01B5">
        <w:rPr>
          <w:lang w:val="en-GB"/>
        </w:rPr>
        <w:t xml:space="preserve">See, </w:t>
      </w:r>
      <w:r w:rsidR="00B23147">
        <w:rPr>
          <w:lang w:val="en-GB"/>
        </w:rPr>
        <w:t>for example,</w:t>
      </w:r>
      <w:r w:rsidR="00EA01B5">
        <w:rPr>
          <w:lang w:val="en-GB"/>
        </w:rPr>
        <w:t xml:space="preserve"> </w:t>
      </w:r>
      <w:r w:rsidR="000060B1">
        <w:rPr>
          <w:lang w:val="en-GB"/>
        </w:rPr>
        <w:t>references to a ‘zero-tolerance’ approach being taken to children accused of breaching bail</w:t>
      </w:r>
      <w:r w:rsidR="00E873A2">
        <w:rPr>
          <w:lang w:val="en-GB"/>
        </w:rPr>
        <w:t xml:space="preserve"> in May 2024: </w:t>
      </w:r>
      <w:r w:rsidR="00C8593C">
        <w:rPr>
          <w:lang w:val="en-GB"/>
        </w:rPr>
        <w:t>Ben Smee, ‘</w:t>
      </w:r>
      <w:r w:rsidR="00C8593C" w:rsidRPr="00C8593C">
        <w:rPr>
          <w:lang w:val="en-GB"/>
        </w:rPr>
        <w:t>How Queenslan</w:t>
      </w:r>
      <w:r w:rsidR="00C8593C">
        <w:rPr>
          <w:lang w:val="en-GB"/>
        </w:rPr>
        <w:t>d’s youth crime crackdown is forcing vulnerable kids into ‘brutal’ detention system’</w:t>
      </w:r>
      <w:r w:rsidR="00C54C1F">
        <w:rPr>
          <w:lang w:val="en-GB"/>
        </w:rPr>
        <w:t xml:space="preserve">, </w:t>
      </w:r>
      <w:r w:rsidR="00C54C1F">
        <w:rPr>
          <w:i/>
          <w:iCs/>
          <w:lang w:val="en-GB"/>
        </w:rPr>
        <w:t>The Guardian</w:t>
      </w:r>
      <w:r w:rsidR="00912BC4">
        <w:rPr>
          <w:lang w:val="en-GB"/>
        </w:rPr>
        <w:t xml:space="preserve"> </w:t>
      </w:r>
      <w:r w:rsidR="007D37E3">
        <w:rPr>
          <w:lang w:val="en-GB"/>
        </w:rPr>
        <w:t xml:space="preserve">(online, </w:t>
      </w:r>
      <w:r w:rsidR="00A553D1">
        <w:rPr>
          <w:lang w:val="en-GB"/>
        </w:rPr>
        <w:t>15 July 2024)</w:t>
      </w:r>
      <w:r w:rsidR="008C12F8">
        <w:rPr>
          <w:lang w:val="en-GB"/>
        </w:rPr>
        <w:t xml:space="preserve">. </w:t>
      </w:r>
      <w:r w:rsidR="008D3272">
        <w:rPr>
          <w:lang w:val="en-GB"/>
        </w:rPr>
        <w:t xml:space="preserve">See further </w:t>
      </w:r>
      <w:r w:rsidR="00C70260" w:rsidRPr="003200AF">
        <w:rPr>
          <w:i/>
          <w:iCs/>
          <w:lang w:val="en-GB"/>
        </w:rPr>
        <w:t>Pathways to Justice</w:t>
      </w:r>
      <w:r w:rsidR="008D3272">
        <w:rPr>
          <w:lang w:val="en-GB"/>
        </w:rPr>
        <w:t xml:space="preserve"> </w:t>
      </w:r>
      <w:r w:rsidR="00774FB5">
        <w:rPr>
          <w:lang w:val="en-GB"/>
        </w:rPr>
        <w:t>452</w:t>
      </w:r>
      <w:r w:rsidR="009B353C">
        <w:rPr>
          <w:rFonts w:cs="Arial"/>
          <w:lang w:val="en-GB"/>
        </w:rPr>
        <w:t>–</w:t>
      </w:r>
      <w:r w:rsidR="009B353C">
        <w:rPr>
          <w:lang w:val="en-GB"/>
        </w:rPr>
        <w:t xml:space="preserve">6. </w:t>
      </w:r>
    </w:p>
  </w:footnote>
  <w:footnote w:id="80">
    <w:p w14:paraId="5237F73A" w14:textId="2939F6F0" w:rsidR="00D00564" w:rsidRPr="00D00564" w:rsidRDefault="00D00564">
      <w:pPr>
        <w:pStyle w:val="FootnoteText"/>
        <w:rPr>
          <w:lang w:val="en-GB"/>
        </w:rPr>
      </w:pPr>
      <w:r>
        <w:rPr>
          <w:rStyle w:val="FootnoteReference"/>
        </w:rPr>
        <w:footnoteRef/>
      </w:r>
      <w:r>
        <w:t xml:space="preserve"> </w:t>
      </w:r>
      <w:r w:rsidRPr="00347D57">
        <w:rPr>
          <w:i/>
          <w:iCs/>
          <w:lang w:val="en-GB"/>
        </w:rPr>
        <w:t>Pathways to Justice</w:t>
      </w:r>
      <w:r>
        <w:rPr>
          <w:lang w:val="en-GB"/>
        </w:rPr>
        <w:t xml:space="preserve"> 452</w:t>
      </w:r>
      <w:r>
        <w:rPr>
          <w:rFonts w:cs="Arial"/>
          <w:lang w:val="en-GB"/>
        </w:rPr>
        <w:t>–</w:t>
      </w:r>
      <w:r>
        <w:rPr>
          <w:lang w:val="en-GB"/>
        </w:rPr>
        <w:t xml:space="preserve">8; Don </w:t>
      </w:r>
      <w:r w:rsidRPr="00C0566B">
        <w:t xml:space="preserve">Weatherburn &amp; </w:t>
      </w:r>
      <w:r>
        <w:t xml:space="preserve">Brendan </w:t>
      </w:r>
      <w:r w:rsidRPr="00C0566B">
        <w:t xml:space="preserve">Thomas </w:t>
      </w:r>
      <w:r>
        <w:t>‘</w:t>
      </w:r>
      <w:r w:rsidRPr="00C0566B">
        <w:t>The influence of Indigenous status on the issue of police cautions</w:t>
      </w:r>
      <w:r>
        <w:t>’ (2023) 56(2-3)</w:t>
      </w:r>
      <w:r w:rsidRPr="00C0566B">
        <w:t> </w:t>
      </w:r>
      <w:r w:rsidRPr="00C0566B">
        <w:rPr>
          <w:i/>
          <w:iCs/>
        </w:rPr>
        <w:t>Journal of Criminology</w:t>
      </w:r>
      <w:r w:rsidRPr="00C0566B">
        <w:t xml:space="preserve"> 253</w:t>
      </w:r>
      <w:r>
        <w:t>.</w:t>
      </w:r>
    </w:p>
  </w:footnote>
  <w:footnote w:id="81">
    <w:p w14:paraId="235750DC" w14:textId="6EBFC762" w:rsidR="00EB77C6" w:rsidRPr="00EB77C6" w:rsidRDefault="00EB77C6">
      <w:pPr>
        <w:pStyle w:val="FootnoteText"/>
        <w:rPr>
          <w:lang w:val="en-GB"/>
        </w:rPr>
      </w:pPr>
      <w:r>
        <w:rPr>
          <w:rStyle w:val="FootnoteReference"/>
        </w:rPr>
        <w:footnoteRef/>
      </w:r>
      <w:r w:rsidR="00D00564">
        <w:t xml:space="preserve"> </w:t>
      </w:r>
      <w:r w:rsidR="00CA3238" w:rsidRPr="00201389">
        <w:rPr>
          <w:i/>
          <w:iCs/>
        </w:rPr>
        <w:t>Royal Commission into Violence, Abuse, Neglect and Exploitation of People with Disability</w:t>
      </w:r>
      <w:r w:rsidR="00CA3238" w:rsidRPr="00201389">
        <w:t xml:space="preserve"> (Final Report,</w:t>
      </w:r>
      <w:r w:rsidR="00CA3238" w:rsidRPr="00201389">
        <w:rPr>
          <w:i/>
          <w:iCs/>
        </w:rPr>
        <w:t xml:space="preserve"> </w:t>
      </w:r>
      <w:r w:rsidR="00CA3238" w:rsidRPr="00201389">
        <w:t xml:space="preserve">September 2023) vol 8 </w:t>
      </w:r>
      <w:r w:rsidR="00201389" w:rsidRPr="00201389">
        <w:t>310</w:t>
      </w:r>
      <w:r w:rsidR="00201389" w:rsidRPr="00201389">
        <w:rPr>
          <w:rFonts w:cs="Arial"/>
        </w:rPr>
        <w:t>–</w:t>
      </w:r>
      <w:r w:rsidR="00201389" w:rsidRPr="00201389">
        <w:t>11</w:t>
      </w:r>
      <w:r w:rsidR="00CA3238" w:rsidRPr="00201389">
        <w:t xml:space="preserve"> (</w:t>
      </w:r>
      <w:r w:rsidR="00CA3238" w:rsidRPr="00201389">
        <w:rPr>
          <w:b/>
          <w:bCs/>
          <w:i/>
          <w:iCs/>
        </w:rPr>
        <w:t>DRC Final Report vol 8</w:t>
      </w:r>
      <w:r w:rsidR="00CA3238" w:rsidRPr="00201389">
        <w:t>).</w:t>
      </w:r>
    </w:p>
  </w:footnote>
  <w:footnote w:id="82">
    <w:p w14:paraId="144849F6" w14:textId="033FAD93" w:rsidR="008F166B" w:rsidRPr="0015069C" w:rsidRDefault="008F166B">
      <w:pPr>
        <w:pStyle w:val="FootnoteText"/>
        <w:rPr>
          <w:lang w:val="en-GB"/>
        </w:rPr>
      </w:pPr>
      <w:r>
        <w:rPr>
          <w:rStyle w:val="FootnoteReference"/>
        </w:rPr>
        <w:footnoteRef/>
      </w:r>
      <w:r>
        <w:t xml:space="preserve"> </w:t>
      </w:r>
      <w:r w:rsidR="00C2706E" w:rsidRPr="00C2706E">
        <w:t>See, eg,</w:t>
      </w:r>
      <w:r w:rsidR="00B121D4" w:rsidRPr="00201389">
        <w:t xml:space="preserve"> </w:t>
      </w:r>
      <w:r w:rsidR="00E52D5C">
        <w:rPr>
          <w:lang w:val="en-GB"/>
        </w:rPr>
        <w:t xml:space="preserve">Inspector of Detention Services, Queensland Ombudsman, </w:t>
      </w:r>
      <w:r w:rsidR="00E52D5C" w:rsidRPr="001E23B4">
        <w:rPr>
          <w:i/>
          <w:iCs/>
          <w:lang w:val="en-GB"/>
        </w:rPr>
        <w:t xml:space="preserve">Cairns and </w:t>
      </w:r>
      <w:r w:rsidR="00E52D5C" w:rsidRPr="001E23B4">
        <w:rPr>
          <w:i/>
          <w:iCs/>
          <w:lang w:val="en-GB"/>
        </w:rPr>
        <w:t xml:space="preserve">Murgon </w:t>
      </w:r>
      <w:r w:rsidR="00E52D5C">
        <w:rPr>
          <w:i/>
          <w:iCs/>
          <w:lang w:val="en-GB"/>
        </w:rPr>
        <w:t>watch house</w:t>
      </w:r>
      <w:r w:rsidR="00E52D5C" w:rsidRPr="001E23B4">
        <w:rPr>
          <w:i/>
          <w:iCs/>
          <w:lang w:val="en-GB"/>
        </w:rPr>
        <w:t>s inspection report: Focus on detention on children</w:t>
      </w:r>
      <w:r w:rsidR="00E52D5C">
        <w:rPr>
          <w:lang w:val="en-GB"/>
        </w:rPr>
        <w:t xml:space="preserve"> (11 September 2024)</w:t>
      </w:r>
      <w:r w:rsidR="00C2706E">
        <w:rPr>
          <w:lang w:val="en-GB"/>
        </w:rPr>
        <w:t xml:space="preserve"> </w:t>
      </w:r>
      <w:r w:rsidR="00561388">
        <w:rPr>
          <w:lang w:val="en-GB"/>
        </w:rPr>
        <w:t>5, 59</w:t>
      </w:r>
      <w:r w:rsidR="00561388">
        <w:rPr>
          <w:rFonts w:cs="Arial"/>
          <w:lang w:val="en-GB"/>
        </w:rPr>
        <w:t>–</w:t>
      </w:r>
      <w:r w:rsidR="00561388">
        <w:rPr>
          <w:lang w:val="en-GB"/>
        </w:rPr>
        <w:t>60</w:t>
      </w:r>
      <w:r w:rsidR="0015069C">
        <w:rPr>
          <w:lang w:val="en-GB"/>
        </w:rPr>
        <w:t xml:space="preserve">; </w:t>
      </w:r>
      <w:r w:rsidR="0015069C">
        <w:rPr>
          <w:i/>
          <w:iCs/>
          <w:lang w:val="en-GB"/>
        </w:rPr>
        <w:t>DRC Final Report vol 8</w:t>
      </w:r>
      <w:r w:rsidR="0015069C">
        <w:rPr>
          <w:lang w:val="en-GB"/>
        </w:rPr>
        <w:t xml:space="preserve"> </w:t>
      </w:r>
      <w:r w:rsidR="002D551D">
        <w:rPr>
          <w:lang w:val="en-GB"/>
        </w:rPr>
        <w:t>110</w:t>
      </w:r>
      <w:r w:rsidR="00E84298">
        <w:rPr>
          <w:rFonts w:cs="Arial"/>
          <w:lang w:val="en-GB"/>
        </w:rPr>
        <w:t>–</w:t>
      </w:r>
      <w:r w:rsidR="00E84298">
        <w:rPr>
          <w:lang w:val="en-GB"/>
        </w:rPr>
        <w:t>12.</w:t>
      </w:r>
    </w:p>
  </w:footnote>
  <w:footnote w:id="83">
    <w:p w14:paraId="61392596" w14:textId="7058CC1C" w:rsidR="008F166B" w:rsidRPr="00C70260" w:rsidRDefault="008F166B">
      <w:pPr>
        <w:pStyle w:val="FootnoteText"/>
        <w:rPr>
          <w:lang w:val="en-GB"/>
        </w:rPr>
      </w:pPr>
      <w:r>
        <w:rPr>
          <w:rStyle w:val="FootnoteReference"/>
        </w:rPr>
        <w:footnoteRef/>
      </w:r>
      <w:r>
        <w:t xml:space="preserve"> </w:t>
      </w:r>
      <w:r w:rsidR="00056A79">
        <w:t>Law Enforcement Conduct Commission</w:t>
      </w:r>
      <w:r w:rsidR="001728AB">
        <w:t xml:space="preserve"> (NSW)</w:t>
      </w:r>
      <w:r w:rsidR="00B43C79">
        <w:t xml:space="preserve">, </w:t>
      </w:r>
      <w:r w:rsidR="00B43C79">
        <w:rPr>
          <w:i/>
          <w:iCs/>
        </w:rPr>
        <w:t>An Investigation into the use of the NSW Police Force Suspect Targeting Management Plan on children and young people</w:t>
      </w:r>
      <w:r w:rsidR="005F26C7">
        <w:rPr>
          <w:i/>
          <w:iCs/>
        </w:rPr>
        <w:t xml:space="preserve"> </w:t>
      </w:r>
      <w:r w:rsidR="001728AB">
        <w:t xml:space="preserve">(Final Report, October 2023); </w:t>
      </w:r>
      <w:r w:rsidR="00737695" w:rsidRPr="00752F3A">
        <w:rPr>
          <w:i/>
          <w:lang w:val="en-GB"/>
        </w:rPr>
        <w:t xml:space="preserve">DRC </w:t>
      </w:r>
      <w:r w:rsidR="00752F3A" w:rsidRPr="00752F3A">
        <w:rPr>
          <w:i/>
          <w:iCs/>
          <w:lang w:val="en-GB"/>
        </w:rPr>
        <w:t>Final Report</w:t>
      </w:r>
      <w:r w:rsidR="009508EB">
        <w:rPr>
          <w:lang w:val="en-GB"/>
        </w:rPr>
        <w:t xml:space="preserve"> </w:t>
      </w:r>
      <w:r w:rsidR="003D1159">
        <w:rPr>
          <w:i/>
          <w:iCs/>
          <w:lang w:val="en-GB"/>
        </w:rPr>
        <w:t xml:space="preserve">vol 8 </w:t>
      </w:r>
      <w:r w:rsidR="00CB216E">
        <w:rPr>
          <w:lang w:val="en-GB"/>
        </w:rPr>
        <w:t>39</w:t>
      </w:r>
      <w:r w:rsidR="00BF7B47">
        <w:rPr>
          <w:lang w:val="en-US"/>
        </w:rPr>
        <w:t>–</w:t>
      </w:r>
      <w:r w:rsidR="009508EB">
        <w:rPr>
          <w:lang w:val="en-GB"/>
        </w:rPr>
        <w:t>42</w:t>
      </w:r>
      <w:r w:rsidR="00C70260">
        <w:rPr>
          <w:lang w:val="en-GB"/>
        </w:rPr>
        <w:t xml:space="preserve">; </w:t>
      </w:r>
      <w:r w:rsidR="00C70260">
        <w:rPr>
          <w:i/>
          <w:iCs/>
          <w:lang w:val="en-GB"/>
        </w:rPr>
        <w:t>Pathways to Justice</w:t>
      </w:r>
      <w:r w:rsidR="00C70260">
        <w:rPr>
          <w:lang w:val="en-GB"/>
        </w:rPr>
        <w:t xml:space="preserve"> </w:t>
      </w:r>
      <w:r w:rsidR="00FB1769">
        <w:rPr>
          <w:lang w:val="en-GB"/>
        </w:rPr>
        <w:t>455</w:t>
      </w:r>
      <w:r w:rsidR="00FB1769">
        <w:rPr>
          <w:rFonts w:cs="Arial"/>
          <w:lang w:val="en-GB"/>
        </w:rPr>
        <w:t>–</w:t>
      </w:r>
      <w:r w:rsidR="00FB1769">
        <w:rPr>
          <w:lang w:val="en-GB"/>
        </w:rPr>
        <w:t>6.</w:t>
      </w:r>
    </w:p>
  </w:footnote>
  <w:footnote w:id="84">
    <w:p w14:paraId="22222AAA" w14:textId="19DCB665" w:rsidR="00DE60D7" w:rsidRPr="00DE60D7" w:rsidRDefault="00DE60D7">
      <w:pPr>
        <w:pStyle w:val="FootnoteText"/>
        <w:rPr>
          <w:lang w:val="en-GB"/>
        </w:rPr>
      </w:pPr>
      <w:r>
        <w:rPr>
          <w:rStyle w:val="FootnoteReference"/>
        </w:rPr>
        <w:footnoteRef/>
      </w:r>
      <w:r>
        <w:t xml:space="preserve"> </w:t>
      </w:r>
      <w:r w:rsidRPr="004C112E">
        <w:rPr>
          <w:rFonts w:cs="Arial"/>
          <w:color w:val="auto"/>
          <w:szCs w:val="20"/>
        </w:rPr>
        <w:t>Under common law, although a child between the age of 10 and 14 years can be charged with a criminal offence, the prosecution must rebut a presumption that they</w:t>
      </w:r>
      <w:r w:rsidR="0007264C" w:rsidRPr="004C112E">
        <w:rPr>
          <w:rFonts w:cs="Arial"/>
          <w:color w:val="auto"/>
          <w:szCs w:val="20"/>
        </w:rPr>
        <w:t xml:space="preserve"> are not criminally responsible</w:t>
      </w:r>
      <w:r w:rsidR="00326E19" w:rsidRPr="004C112E">
        <w:rPr>
          <w:rFonts w:cs="Arial"/>
          <w:color w:val="auto"/>
          <w:szCs w:val="20"/>
        </w:rPr>
        <w:t xml:space="preserve"> by proving that they have the necessary understanding</w:t>
      </w:r>
      <w:r w:rsidR="0007264C" w:rsidRPr="004C112E">
        <w:rPr>
          <w:rFonts w:cs="Arial"/>
          <w:color w:val="auto"/>
          <w:szCs w:val="20"/>
        </w:rPr>
        <w:t>.</w:t>
      </w:r>
    </w:p>
  </w:footnote>
  <w:footnote w:id="85">
    <w:p w14:paraId="3924B9CF" w14:textId="4CBA05A6" w:rsidR="002722E8" w:rsidRPr="002722E8" w:rsidRDefault="002722E8">
      <w:pPr>
        <w:pStyle w:val="FootnoteText"/>
        <w:rPr>
          <w:lang w:val="en-GB"/>
        </w:rPr>
      </w:pPr>
      <w:r>
        <w:rPr>
          <w:rStyle w:val="FootnoteReference"/>
        </w:rPr>
        <w:footnoteRef/>
      </w:r>
      <w:r>
        <w:t xml:space="preserve"> </w:t>
      </w:r>
      <w:r w:rsidRPr="000C4066">
        <w:rPr>
          <w:rFonts w:cs="Arial"/>
          <w:i/>
          <w:iCs/>
          <w:lang w:val="en-US"/>
        </w:rPr>
        <w:t>CRC</w:t>
      </w:r>
      <w:r w:rsidRPr="000C4066">
        <w:rPr>
          <w:rFonts w:cs="Arial"/>
          <w:lang w:val="en-US"/>
        </w:rPr>
        <w:t xml:space="preserve"> </w:t>
      </w:r>
      <w:r w:rsidRPr="000C4066">
        <w:rPr>
          <w:rFonts w:cs="Arial"/>
          <w:i/>
          <w:lang w:val="en-US"/>
        </w:rPr>
        <w:t xml:space="preserve">General Comment </w:t>
      </w:r>
      <w:r w:rsidRPr="000C4066">
        <w:rPr>
          <w:rFonts w:cs="Arial"/>
          <w:i/>
          <w:iCs/>
          <w:lang w:val="en-US"/>
        </w:rPr>
        <w:t xml:space="preserve">No </w:t>
      </w:r>
      <w:r w:rsidRPr="000C4066">
        <w:rPr>
          <w:rFonts w:cs="Arial"/>
          <w:i/>
          <w:lang w:val="en-US"/>
        </w:rPr>
        <w:t>24</w:t>
      </w:r>
      <w:r>
        <w:rPr>
          <w:lang w:val="en-GB"/>
        </w:rPr>
        <w:t xml:space="preserve"> [22].</w:t>
      </w:r>
    </w:p>
  </w:footnote>
  <w:footnote w:id="86">
    <w:p w14:paraId="1B96F798" w14:textId="70EF7F6C" w:rsidR="00267B4B" w:rsidRDefault="00267B4B" w:rsidP="00267B4B">
      <w:pPr>
        <w:pStyle w:val="FootnoteText"/>
      </w:pPr>
      <w:r>
        <w:rPr>
          <w:rStyle w:val="FootnoteReference"/>
        </w:rPr>
        <w:footnoteRef/>
      </w:r>
      <w:r>
        <w:t xml:space="preserve"> </w:t>
      </w:r>
      <w:r w:rsidR="00752F3A" w:rsidRPr="00752F3A">
        <w:rPr>
          <w:i/>
          <w:iCs/>
        </w:rPr>
        <w:t>CRC</w:t>
      </w:r>
      <w:r w:rsidR="00752F3A">
        <w:t xml:space="preserve"> </w:t>
      </w:r>
      <w:r w:rsidRPr="0050254D">
        <w:rPr>
          <w:i/>
        </w:rPr>
        <w:t xml:space="preserve">General Comment No 24 </w:t>
      </w:r>
      <w:r w:rsidRPr="00BB1983">
        <w:t>[22]</w:t>
      </w:r>
      <w:r>
        <w:t xml:space="preserve">, [89]. </w:t>
      </w:r>
    </w:p>
  </w:footnote>
  <w:footnote w:id="87">
    <w:p w14:paraId="0159E34C" w14:textId="0A1B4DCF" w:rsidR="008C16B8" w:rsidRPr="008C16B8" w:rsidRDefault="008C16B8">
      <w:pPr>
        <w:pStyle w:val="FootnoteText"/>
        <w:rPr>
          <w:lang w:val="en-GB"/>
        </w:rPr>
      </w:pPr>
      <w:r>
        <w:rPr>
          <w:rStyle w:val="FootnoteReference"/>
        </w:rPr>
        <w:footnoteRef/>
      </w:r>
      <w:r>
        <w:t xml:space="preserve"> </w:t>
      </w:r>
      <w:r w:rsidRPr="00201389">
        <w:rPr>
          <w:i/>
          <w:iCs/>
        </w:rPr>
        <w:t>DRC Final Report vol 8</w:t>
      </w:r>
      <w:r>
        <w:rPr>
          <w:i/>
          <w:iCs/>
        </w:rPr>
        <w:t xml:space="preserve"> </w:t>
      </w:r>
      <w:r w:rsidR="00457FD4">
        <w:t>311.</w:t>
      </w:r>
    </w:p>
  </w:footnote>
  <w:footnote w:id="88">
    <w:p w14:paraId="18CA4105" w14:textId="3D94A121" w:rsidR="00FF13B9" w:rsidRPr="006B13F2" w:rsidRDefault="00FF13B9" w:rsidP="00FF13B9">
      <w:pPr>
        <w:pStyle w:val="FootnoteText"/>
        <w:rPr>
          <w:lang w:val="en-GB"/>
        </w:rPr>
      </w:pPr>
      <w:r>
        <w:rPr>
          <w:rStyle w:val="FootnoteReference"/>
        </w:rPr>
        <w:footnoteRef/>
      </w:r>
      <w:r>
        <w:t xml:space="preserve"> </w:t>
      </w:r>
      <w:r>
        <w:rPr>
          <w:lang w:val="en-GB"/>
        </w:rPr>
        <w:t xml:space="preserve">Australian Bureau of Statistics, </w:t>
      </w:r>
      <w:r>
        <w:rPr>
          <w:i/>
          <w:iCs/>
          <w:lang w:val="en-GB"/>
        </w:rPr>
        <w:t xml:space="preserve">Recorded Crime – Offenders, </w:t>
      </w:r>
      <w:r w:rsidR="00130FC5">
        <w:rPr>
          <w:i/>
          <w:iCs/>
          <w:lang w:val="en-GB"/>
        </w:rPr>
        <w:t>2022–23</w:t>
      </w:r>
      <w:r>
        <w:rPr>
          <w:i/>
          <w:iCs/>
          <w:lang w:val="en-GB"/>
        </w:rPr>
        <w:t xml:space="preserve">, </w:t>
      </w:r>
      <w:r>
        <w:rPr>
          <w:lang w:val="en-GB"/>
        </w:rPr>
        <w:t xml:space="preserve">‘Table 25 Youth offenders, Number of times proceeded against by police by age, Selected states and territories, </w:t>
      </w:r>
      <w:r w:rsidR="00130FC5">
        <w:rPr>
          <w:lang w:val="en-GB"/>
        </w:rPr>
        <w:t>2022–23</w:t>
      </w:r>
      <w:r>
        <w:rPr>
          <w:lang w:val="en-GB"/>
        </w:rPr>
        <w:t>’ (released 8 February 2024) &lt;</w:t>
      </w:r>
      <w:r w:rsidRPr="006B13F2">
        <w:rPr>
          <w:lang w:val="en-GB"/>
        </w:rPr>
        <w:t>https://www.abs.gov.au/statistics/people/crime-and-justice/recorded-crime-offenders/latest-release#data-downloads</w:t>
      </w:r>
      <w:r>
        <w:rPr>
          <w:lang w:val="en-GB"/>
        </w:rPr>
        <w:t>&gt;.</w:t>
      </w:r>
      <w:r w:rsidRPr="00812DD2">
        <w:rPr>
          <w:lang w:val="en-GB"/>
        </w:rPr>
        <w:t xml:space="preserve"> </w:t>
      </w:r>
      <w:r>
        <w:rPr>
          <w:lang w:val="en-GB"/>
        </w:rPr>
        <w:t xml:space="preserve">Note, the data excludes proceedings for breach of bail: Australian Bureau of Statistics, </w:t>
      </w:r>
      <w:r>
        <w:rPr>
          <w:i/>
          <w:iCs/>
          <w:lang w:val="en-GB"/>
        </w:rPr>
        <w:t xml:space="preserve">Recorded Crime – Offenders Methodology, Reference period </w:t>
      </w:r>
      <w:r w:rsidR="00130FC5">
        <w:rPr>
          <w:i/>
          <w:iCs/>
          <w:lang w:val="en-GB"/>
        </w:rPr>
        <w:t>2022–23</w:t>
      </w:r>
      <w:r>
        <w:rPr>
          <w:i/>
          <w:iCs/>
          <w:lang w:val="en-GB"/>
        </w:rPr>
        <w:t xml:space="preserve"> Financial Year</w:t>
      </w:r>
      <w:r>
        <w:rPr>
          <w:lang w:val="en-GB"/>
        </w:rPr>
        <w:t xml:space="preserve"> (online, 8 February 2024) &lt;</w:t>
      </w:r>
      <w:r w:rsidRPr="00812DD2">
        <w:rPr>
          <w:lang w:val="en-GB"/>
        </w:rPr>
        <w:t>https://www.abs.gov.au/methodologies/recorded-crime-offenders-methodology/</w:t>
      </w:r>
      <w:r w:rsidR="00130FC5">
        <w:rPr>
          <w:lang w:val="en-GB"/>
        </w:rPr>
        <w:t>2022–23</w:t>
      </w:r>
      <w:r w:rsidRPr="00812DD2">
        <w:rPr>
          <w:lang w:val="en-GB"/>
        </w:rPr>
        <w:t>#data-collection</w:t>
      </w:r>
      <w:r>
        <w:rPr>
          <w:lang w:val="en-GB"/>
        </w:rPr>
        <w:t>&gt;.</w:t>
      </w:r>
    </w:p>
  </w:footnote>
  <w:footnote w:id="89">
    <w:p w14:paraId="222D256D" w14:textId="77777777" w:rsidR="00FF13B9" w:rsidRPr="00197EFE" w:rsidRDefault="00FF13B9" w:rsidP="00FF13B9">
      <w:pPr>
        <w:pStyle w:val="FootnoteText"/>
        <w:rPr>
          <w:lang w:val="en-GB"/>
        </w:rPr>
      </w:pPr>
      <w:r>
        <w:rPr>
          <w:rStyle w:val="FootnoteReference"/>
        </w:rPr>
        <w:footnoteRef/>
      </w:r>
      <w:r>
        <w:t xml:space="preserve"> </w:t>
      </w:r>
      <w:r>
        <w:rPr>
          <w:lang w:val="en-GB"/>
        </w:rPr>
        <w:t xml:space="preserve">Ibid. </w:t>
      </w:r>
    </w:p>
  </w:footnote>
  <w:footnote w:id="90">
    <w:p w14:paraId="75707EC9" w14:textId="2B1D4999" w:rsidR="00B45A99" w:rsidRPr="00B45A99" w:rsidRDefault="00B45A99">
      <w:pPr>
        <w:pStyle w:val="FootnoteText"/>
        <w:rPr>
          <w:lang w:val="en-GB"/>
        </w:rPr>
      </w:pPr>
      <w:r>
        <w:rPr>
          <w:rStyle w:val="FootnoteReference"/>
        </w:rPr>
        <w:footnoteRef/>
      </w:r>
      <w:r>
        <w:t xml:space="preserve"> </w:t>
      </w:r>
      <w:r w:rsidR="00903010">
        <w:rPr>
          <w:lang w:val="en-GB"/>
        </w:rPr>
        <w:t xml:space="preserve">Inspector of Detention Services, Queensland Ombudsman, </w:t>
      </w:r>
      <w:r w:rsidR="00903010" w:rsidRPr="001E23B4">
        <w:rPr>
          <w:i/>
          <w:iCs/>
          <w:lang w:val="en-GB"/>
        </w:rPr>
        <w:t xml:space="preserve">Cairns and </w:t>
      </w:r>
      <w:r w:rsidR="00903010" w:rsidRPr="001E23B4">
        <w:rPr>
          <w:i/>
          <w:iCs/>
          <w:lang w:val="en-GB"/>
        </w:rPr>
        <w:t xml:space="preserve">Murgon </w:t>
      </w:r>
      <w:r w:rsidR="00903010">
        <w:rPr>
          <w:i/>
          <w:iCs/>
          <w:lang w:val="en-GB"/>
        </w:rPr>
        <w:t>watch house</w:t>
      </w:r>
      <w:r w:rsidR="00903010" w:rsidRPr="001E23B4">
        <w:rPr>
          <w:i/>
          <w:iCs/>
          <w:lang w:val="en-GB"/>
        </w:rPr>
        <w:t>s inspection report: Focus on detention on children</w:t>
      </w:r>
      <w:r w:rsidR="00903010">
        <w:rPr>
          <w:lang w:val="en-GB"/>
        </w:rPr>
        <w:t xml:space="preserve"> (11 September 2024)</w:t>
      </w:r>
      <w:r w:rsidR="00E742F5">
        <w:rPr>
          <w:lang w:val="en-GB"/>
        </w:rPr>
        <w:t xml:space="preserve"> 15.</w:t>
      </w:r>
    </w:p>
  </w:footnote>
  <w:footnote w:id="91">
    <w:p w14:paraId="5D37A2BB" w14:textId="7FB9F861" w:rsidR="00CD70A0" w:rsidRPr="0067597A" w:rsidRDefault="00CD70A0">
      <w:pPr>
        <w:pStyle w:val="FootnoteText"/>
      </w:pPr>
      <w:r>
        <w:rPr>
          <w:rStyle w:val="FootnoteReference"/>
        </w:rPr>
        <w:footnoteRef/>
      </w:r>
      <w:r>
        <w:t xml:space="preserve"> </w:t>
      </w:r>
      <w:r w:rsidR="00EE5673" w:rsidRPr="00EE5673">
        <w:t>Queensland Parliament,</w:t>
      </w:r>
      <w:r w:rsidR="00CD7978" w:rsidRPr="00CD7978">
        <w:t xml:space="preserve"> </w:t>
      </w:r>
      <w:r w:rsidR="00CD7978" w:rsidRPr="00EE5673">
        <w:rPr>
          <w:i/>
        </w:rPr>
        <w:t>Question on Notice</w:t>
      </w:r>
      <w:r w:rsidR="00EE5673" w:rsidRPr="00EE5673">
        <w:rPr>
          <w:i/>
          <w:iCs/>
        </w:rPr>
        <w:t>,</w:t>
      </w:r>
      <w:r w:rsidR="00CD7978" w:rsidRPr="00CD7978">
        <w:t xml:space="preserve"> No</w:t>
      </w:r>
      <w:r w:rsidR="00EE5673" w:rsidRPr="00EE5673">
        <w:t>.</w:t>
      </w:r>
      <w:r w:rsidR="00CD7978" w:rsidRPr="00CD7978">
        <w:t xml:space="preserve"> 1016 </w:t>
      </w:r>
      <w:r w:rsidR="00EE5673" w:rsidRPr="00EE5673">
        <w:t>‘</w:t>
      </w:r>
      <w:r w:rsidR="00CD7978" w:rsidRPr="00EE5673">
        <w:t xml:space="preserve">Young people detained in police </w:t>
      </w:r>
      <w:r w:rsidR="002D2B73" w:rsidRPr="00EE5673">
        <w:t>watch house</w:t>
      </w:r>
      <w:r w:rsidR="00CD7978" w:rsidRPr="00EE5673">
        <w:t xml:space="preserve">s in </w:t>
      </w:r>
      <w:r w:rsidR="00EE5673" w:rsidRPr="00EE5673">
        <w:t xml:space="preserve">Queensland’ asked 12 October 2022 (M Berkman) </w:t>
      </w:r>
      <w:r w:rsidR="00CD7978" w:rsidRPr="00CD7978">
        <w:t>tabled 11 November 2022</w:t>
      </w:r>
      <w:r w:rsidR="00EE5673" w:rsidRPr="00EE5673">
        <w:t xml:space="preserve"> (Hon M Ryan).</w:t>
      </w:r>
    </w:p>
  </w:footnote>
  <w:footnote w:id="92">
    <w:p w14:paraId="7FD48130" w14:textId="50302324" w:rsidR="00056BE7" w:rsidRPr="00056BE7" w:rsidRDefault="00056BE7">
      <w:pPr>
        <w:pStyle w:val="FootnoteText"/>
        <w:rPr>
          <w:lang w:val="en-GB"/>
        </w:rPr>
      </w:pPr>
      <w:r>
        <w:rPr>
          <w:rStyle w:val="FootnoteReference"/>
        </w:rPr>
        <w:footnoteRef/>
      </w:r>
      <w:r>
        <w:t xml:space="preserve"> </w:t>
      </w:r>
      <w:r>
        <w:rPr>
          <w:lang w:val="en-GB"/>
        </w:rPr>
        <w:t xml:space="preserve">Inspector </w:t>
      </w:r>
      <w:r w:rsidR="00A5223A">
        <w:rPr>
          <w:lang w:val="en-GB"/>
        </w:rPr>
        <w:t>of Detention Services</w:t>
      </w:r>
      <w:r w:rsidR="00EF5AC2">
        <w:rPr>
          <w:lang w:val="en-GB"/>
        </w:rPr>
        <w:t xml:space="preserve">, </w:t>
      </w:r>
      <w:r w:rsidR="00EF5AC2">
        <w:rPr>
          <w:i/>
          <w:iCs/>
          <w:lang w:val="en-GB"/>
        </w:rPr>
        <w:t>Cleveland Youth Detention Centre inspection report: Focus on separation due to staff shortages</w:t>
      </w:r>
      <w:r w:rsidR="00EF5AC2">
        <w:rPr>
          <w:lang w:val="en-GB"/>
        </w:rPr>
        <w:t xml:space="preserve"> (Report, August 2024)</w:t>
      </w:r>
      <w:r w:rsidR="00191554">
        <w:rPr>
          <w:lang w:val="en-GB"/>
        </w:rPr>
        <w:t xml:space="preserve"> 5</w:t>
      </w:r>
      <w:r w:rsidR="003122E0">
        <w:rPr>
          <w:lang w:val="en-GB"/>
        </w:rPr>
        <w:t>3.</w:t>
      </w:r>
    </w:p>
  </w:footnote>
  <w:footnote w:id="93">
    <w:p w14:paraId="7A6B2595" w14:textId="123B52BE" w:rsidR="00C264F1" w:rsidRPr="00C264F1" w:rsidRDefault="00C264F1">
      <w:pPr>
        <w:pStyle w:val="FootnoteText"/>
        <w:rPr>
          <w:lang w:val="en-GB"/>
        </w:rPr>
      </w:pPr>
      <w:r>
        <w:rPr>
          <w:rStyle w:val="FootnoteReference"/>
        </w:rPr>
        <w:footnoteRef/>
      </w:r>
      <w:r>
        <w:t xml:space="preserve"> </w:t>
      </w:r>
      <w:r w:rsidR="00473947" w:rsidRPr="00473947">
        <w:rPr>
          <w:i/>
          <w:iCs/>
          <w:lang w:val="en-GB"/>
        </w:rPr>
        <w:t>Who’s responsible</w:t>
      </w:r>
      <w:r w:rsidR="00A22AEE">
        <w:rPr>
          <w:i/>
          <w:iCs/>
          <w:lang w:val="en-GB"/>
        </w:rPr>
        <w:t xml:space="preserve"> </w:t>
      </w:r>
      <w:r w:rsidR="00926FF7">
        <w:t>40.</w:t>
      </w:r>
    </w:p>
  </w:footnote>
  <w:footnote w:id="94">
    <w:p w14:paraId="7E4EF4B7" w14:textId="5999407D" w:rsidR="00DD7286" w:rsidRPr="00DD7286" w:rsidRDefault="00DD7286">
      <w:pPr>
        <w:pStyle w:val="FootnoteText"/>
        <w:rPr>
          <w:lang w:val="en-GB"/>
        </w:rPr>
      </w:pPr>
      <w:r>
        <w:rPr>
          <w:rStyle w:val="FootnoteReference"/>
        </w:rPr>
        <w:footnoteRef/>
      </w:r>
      <w:r>
        <w:t xml:space="preserve"> </w:t>
      </w:r>
      <w:r w:rsidR="00A22AEE" w:rsidRPr="00A22AEE">
        <w:rPr>
          <w:i/>
          <w:iCs/>
        </w:rPr>
        <w:t>Who’s</w:t>
      </w:r>
      <w:r w:rsidR="00A22AEE">
        <w:t xml:space="preserve"> </w:t>
      </w:r>
      <w:r w:rsidR="00473947" w:rsidRPr="00473947">
        <w:rPr>
          <w:i/>
          <w:iCs/>
          <w:lang w:val="en-GB"/>
        </w:rPr>
        <w:t>responsible</w:t>
      </w:r>
      <w:r w:rsidR="00A22AEE">
        <w:rPr>
          <w:i/>
          <w:iCs/>
          <w:lang w:val="en-GB"/>
        </w:rPr>
        <w:t xml:space="preserve"> </w:t>
      </w:r>
      <w:r w:rsidR="008355B6">
        <w:t>42.</w:t>
      </w:r>
    </w:p>
  </w:footnote>
  <w:footnote w:id="95">
    <w:p w14:paraId="39A9404A" w14:textId="5FA01FCF" w:rsidR="00303F5C" w:rsidRPr="00303F5C" w:rsidRDefault="00303F5C">
      <w:pPr>
        <w:pStyle w:val="FootnoteText"/>
        <w:rPr>
          <w:lang w:val="en-GB"/>
        </w:rPr>
      </w:pPr>
      <w:r>
        <w:rPr>
          <w:rStyle w:val="FootnoteReference"/>
        </w:rPr>
        <w:footnoteRef/>
      </w:r>
      <w:r>
        <w:t xml:space="preserve"> </w:t>
      </w:r>
      <w:r w:rsidR="003D3CB1">
        <w:rPr>
          <w:lang w:val="en-GB"/>
        </w:rPr>
        <w:t xml:space="preserve">Inspector of Detention Services, Queensland Ombudsman, </w:t>
      </w:r>
      <w:r w:rsidR="003D3CB1" w:rsidRPr="001E23B4">
        <w:rPr>
          <w:i/>
          <w:iCs/>
          <w:lang w:val="en-GB"/>
        </w:rPr>
        <w:t xml:space="preserve">Cairns and </w:t>
      </w:r>
      <w:r w:rsidR="003D3CB1" w:rsidRPr="001E23B4">
        <w:rPr>
          <w:i/>
          <w:iCs/>
          <w:lang w:val="en-GB"/>
        </w:rPr>
        <w:t xml:space="preserve">Murgon </w:t>
      </w:r>
      <w:r w:rsidR="003D3CB1">
        <w:rPr>
          <w:i/>
          <w:iCs/>
          <w:lang w:val="en-GB"/>
        </w:rPr>
        <w:t>watch house</w:t>
      </w:r>
      <w:r w:rsidR="003D3CB1" w:rsidRPr="001E23B4">
        <w:rPr>
          <w:i/>
          <w:iCs/>
          <w:lang w:val="en-GB"/>
        </w:rPr>
        <w:t>s inspection report: Focus on detention on children</w:t>
      </w:r>
      <w:r w:rsidR="003D3CB1">
        <w:rPr>
          <w:lang w:val="en-GB"/>
        </w:rPr>
        <w:t xml:space="preserve"> (11 September 2024) 15.</w:t>
      </w:r>
    </w:p>
  </w:footnote>
  <w:footnote w:id="96">
    <w:p w14:paraId="72C49574" w14:textId="2589E38B" w:rsidR="008516A9" w:rsidRPr="008516A9" w:rsidRDefault="008516A9">
      <w:pPr>
        <w:pStyle w:val="FootnoteText"/>
        <w:rPr>
          <w:lang w:val="en-GB"/>
        </w:rPr>
      </w:pPr>
      <w:r>
        <w:rPr>
          <w:rStyle w:val="FootnoteReference"/>
        </w:rPr>
        <w:footnoteRef/>
      </w:r>
      <w:r>
        <w:t xml:space="preserve"> </w:t>
      </w:r>
      <w:r>
        <w:rPr>
          <w:lang w:val="en-GB"/>
        </w:rPr>
        <w:t>Ibid 16.</w:t>
      </w:r>
    </w:p>
  </w:footnote>
  <w:footnote w:id="97">
    <w:p w14:paraId="018C2B12" w14:textId="5859DD25" w:rsidR="00493496" w:rsidRPr="00493496" w:rsidRDefault="00493496">
      <w:pPr>
        <w:pStyle w:val="FootnoteText"/>
        <w:rPr>
          <w:lang w:val="en-GB"/>
        </w:rPr>
      </w:pPr>
      <w:r>
        <w:rPr>
          <w:rStyle w:val="FootnoteReference"/>
        </w:rPr>
        <w:footnoteRef/>
      </w:r>
      <w:r>
        <w:t xml:space="preserve"> </w:t>
      </w:r>
      <w:r w:rsidR="00C1361C">
        <w:t xml:space="preserve">This data covers the period </w:t>
      </w:r>
      <w:r w:rsidR="00C1361C">
        <w:rPr>
          <w:lang w:val="en-GB"/>
        </w:rPr>
        <w:t>1 September 2021 to 30 September 2022.</w:t>
      </w:r>
    </w:p>
  </w:footnote>
  <w:footnote w:id="98">
    <w:p w14:paraId="4C359702" w14:textId="47E4A3BB" w:rsidR="006C2D27" w:rsidRPr="00827EF2" w:rsidRDefault="006C2D27" w:rsidP="006C2D27">
      <w:pPr>
        <w:pStyle w:val="FootnoteText"/>
        <w:rPr>
          <w:lang w:val="en-GB"/>
        </w:rPr>
      </w:pPr>
      <w:r>
        <w:rPr>
          <w:rStyle w:val="FootnoteReference"/>
        </w:rPr>
        <w:footnoteRef/>
      </w:r>
      <w:r>
        <w:t xml:space="preserve"> </w:t>
      </w:r>
      <w:r>
        <w:rPr>
          <w:lang w:val="en-GB"/>
        </w:rPr>
        <w:t xml:space="preserve">Childrens Court of Queensland, </w:t>
      </w:r>
      <w:r w:rsidRPr="00AB2984">
        <w:rPr>
          <w:i/>
          <w:iCs/>
          <w:lang w:val="en-GB"/>
        </w:rPr>
        <w:t xml:space="preserve">Annual report </w:t>
      </w:r>
      <w:r w:rsidR="00130FC5">
        <w:rPr>
          <w:i/>
          <w:iCs/>
          <w:lang w:val="en-GB"/>
        </w:rPr>
        <w:t>2022–23</w:t>
      </w:r>
      <w:r>
        <w:rPr>
          <w:i/>
          <w:iCs/>
          <w:lang w:val="en-GB"/>
        </w:rPr>
        <w:t xml:space="preserve"> </w:t>
      </w:r>
      <w:r w:rsidRPr="00FF2B0F">
        <w:rPr>
          <w:lang w:val="en-GB"/>
        </w:rPr>
        <w:t>[18]</w:t>
      </w:r>
      <w:r>
        <w:rPr>
          <w:lang w:val="en-GB"/>
        </w:rPr>
        <w:t>.</w:t>
      </w:r>
    </w:p>
  </w:footnote>
  <w:footnote w:id="99">
    <w:p w14:paraId="3EEEFC05" w14:textId="66FE0FD5" w:rsidR="006C2D27" w:rsidRPr="00CE23AF" w:rsidRDefault="006C2D27" w:rsidP="006C2D27">
      <w:pPr>
        <w:pStyle w:val="FootnoteText"/>
        <w:rPr>
          <w:lang w:val="en-GB"/>
        </w:rPr>
      </w:pPr>
      <w:r>
        <w:rPr>
          <w:rStyle w:val="FootnoteReference"/>
        </w:rPr>
        <w:footnoteRef/>
      </w:r>
      <w:r>
        <w:t xml:space="preserve"> </w:t>
      </w:r>
      <w:r>
        <w:rPr>
          <w:lang w:val="en-GB"/>
        </w:rPr>
        <w:t xml:space="preserve">Childrens Court of Queensland, </w:t>
      </w:r>
      <w:r w:rsidRPr="00AB2984">
        <w:rPr>
          <w:i/>
          <w:iCs/>
          <w:lang w:val="en-GB"/>
        </w:rPr>
        <w:t xml:space="preserve">Annual report </w:t>
      </w:r>
      <w:r w:rsidR="00130FC5">
        <w:rPr>
          <w:i/>
          <w:iCs/>
          <w:lang w:val="en-GB"/>
        </w:rPr>
        <w:t>2022–23</w:t>
      </w:r>
      <w:r>
        <w:rPr>
          <w:i/>
          <w:iCs/>
          <w:lang w:val="en-GB"/>
        </w:rPr>
        <w:t xml:space="preserve"> </w:t>
      </w:r>
      <w:r w:rsidRPr="00FF2B0F">
        <w:rPr>
          <w:lang w:val="en-GB"/>
        </w:rPr>
        <w:t>[18]</w:t>
      </w:r>
      <w:r>
        <w:rPr>
          <w:lang w:val="en-GB"/>
        </w:rPr>
        <w:t>.</w:t>
      </w:r>
    </w:p>
  </w:footnote>
  <w:footnote w:id="100">
    <w:p w14:paraId="714732EA" w14:textId="77777777" w:rsidR="006C2D27" w:rsidRPr="003303FA" w:rsidRDefault="006C2D27" w:rsidP="006C2D27">
      <w:pPr>
        <w:pStyle w:val="FootnoteText"/>
        <w:rPr>
          <w:lang w:val="en-GB"/>
        </w:rPr>
      </w:pPr>
      <w:r>
        <w:rPr>
          <w:rStyle w:val="FootnoteReference"/>
        </w:rPr>
        <w:footnoteRef/>
      </w:r>
      <w:r>
        <w:t xml:space="preserve"> </w:t>
      </w:r>
      <w:r w:rsidRPr="00222BE8">
        <w:rPr>
          <w:i/>
          <w:iCs/>
          <w:lang w:val="en-GB"/>
        </w:rPr>
        <w:t>Select Committee draft report</w:t>
      </w:r>
      <w:r>
        <w:rPr>
          <w:lang w:val="en-GB"/>
        </w:rPr>
        <w:t xml:space="preserve"> 9.</w:t>
      </w:r>
    </w:p>
  </w:footnote>
  <w:footnote w:id="101">
    <w:p w14:paraId="537938D0" w14:textId="405CDFEB" w:rsidR="006C2D27" w:rsidRPr="00E61D4D" w:rsidRDefault="006C2D27" w:rsidP="006C2D27">
      <w:pPr>
        <w:pStyle w:val="FootnoteText"/>
        <w:rPr>
          <w:lang w:val="en-GB"/>
        </w:rPr>
      </w:pPr>
      <w:r>
        <w:rPr>
          <w:rStyle w:val="FootnoteReference"/>
        </w:rPr>
        <w:footnoteRef/>
      </w:r>
      <w:r>
        <w:t xml:space="preserve"> </w:t>
      </w:r>
      <w:r>
        <w:rPr>
          <w:lang w:val="en-GB"/>
        </w:rPr>
        <w:t>Children</w:t>
      </w:r>
      <w:r w:rsidR="008458F0">
        <w:rPr>
          <w:lang w:val="en-GB"/>
        </w:rPr>
        <w:t>’</w:t>
      </w:r>
      <w:r>
        <w:rPr>
          <w:lang w:val="en-GB"/>
        </w:rPr>
        <w:t xml:space="preserve">s Court of Queensland, </w:t>
      </w:r>
      <w:r w:rsidRPr="00AB2984">
        <w:rPr>
          <w:i/>
          <w:iCs/>
          <w:lang w:val="en-GB"/>
        </w:rPr>
        <w:t xml:space="preserve">Annual report </w:t>
      </w:r>
      <w:r w:rsidR="00130FC5">
        <w:rPr>
          <w:i/>
          <w:iCs/>
          <w:lang w:val="en-GB"/>
        </w:rPr>
        <w:t>2022–23</w:t>
      </w:r>
      <w:r>
        <w:rPr>
          <w:i/>
          <w:iCs/>
          <w:lang w:val="en-GB"/>
        </w:rPr>
        <w:t xml:space="preserve"> </w:t>
      </w:r>
      <w:r>
        <w:rPr>
          <w:lang w:val="en-GB"/>
        </w:rPr>
        <w:t>[18]</w:t>
      </w:r>
      <w:r>
        <w:rPr>
          <w:i/>
          <w:iCs/>
          <w:lang w:val="en-GB"/>
        </w:rPr>
        <w:t>.</w:t>
      </w:r>
    </w:p>
  </w:footnote>
  <w:footnote w:id="102">
    <w:p w14:paraId="65ACD196" w14:textId="2526684B" w:rsidR="00F53C26" w:rsidRPr="00F53C26" w:rsidRDefault="00F53C26">
      <w:pPr>
        <w:pStyle w:val="FootnoteText"/>
        <w:rPr>
          <w:lang w:val="en-GB"/>
        </w:rPr>
      </w:pPr>
      <w:r>
        <w:rPr>
          <w:rStyle w:val="FootnoteReference"/>
        </w:rPr>
        <w:footnoteRef/>
      </w:r>
      <w:r>
        <w:t xml:space="preserve"> </w:t>
      </w:r>
      <w:r w:rsidR="008B2DBF" w:rsidRPr="005B316C">
        <w:rPr>
          <w:i/>
          <w:iCs/>
          <w:lang w:val="en-GB"/>
        </w:rPr>
        <w:t>Select Committee draft report</w:t>
      </w:r>
      <w:r w:rsidR="008B2DBF" w:rsidRPr="005B316C">
        <w:rPr>
          <w:lang w:val="en-GB"/>
        </w:rPr>
        <w:t xml:space="preserve"> 9; </w:t>
      </w:r>
      <w:r w:rsidR="008B2DBF" w:rsidRPr="005B316C">
        <w:t>National Children’s Commissioner, Australian Human Rights Commission, ‘</w:t>
      </w:r>
      <w:r w:rsidR="008B2DBF" w:rsidRPr="005B316C">
        <w:rPr>
          <w:rFonts w:cs="Arial"/>
          <w:i/>
          <w:iCs/>
        </w:rPr>
        <w:t>Help Way Earlier!’ How Australia can transform child justice to improve safety and wellbeing</w:t>
      </w:r>
      <w:r w:rsidR="008B2DBF" w:rsidRPr="005B316C">
        <w:rPr>
          <w:rFonts w:cs="Arial"/>
        </w:rPr>
        <w:t xml:space="preserve"> (21 June 2024) 98–101.</w:t>
      </w:r>
    </w:p>
  </w:footnote>
  <w:footnote w:id="103">
    <w:p w14:paraId="034924CA" w14:textId="0842286D" w:rsidR="00781183" w:rsidRPr="00781183" w:rsidRDefault="00781183">
      <w:pPr>
        <w:pStyle w:val="FootnoteText"/>
        <w:rPr>
          <w:lang w:val="en-GB"/>
        </w:rPr>
      </w:pPr>
      <w:r>
        <w:rPr>
          <w:rStyle w:val="FootnoteReference"/>
        </w:rPr>
        <w:footnoteRef/>
      </w:r>
      <w:r>
        <w:t xml:space="preserve"> </w:t>
      </w:r>
      <w:r w:rsidR="00186FAB">
        <w:rPr>
          <w:i/>
          <w:iCs/>
          <w:lang w:val="en-GB"/>
        </w:rPr>
        <w:t>Pathways to Justice</w:t>
      </w:r>
      <w:r w:rsidR="00FB715C">
        <w:rPr>
          <w:lang w:val="en-GB"/>
        </w:rPr>
        <w:t xml:space="preserve"> </w:t>
      </w:r>
      <w:r w:rsidR="000271FD">
        <w:rPr>
          <w:lang w:val="en-GB"/>
        </w:rPr>
        <w:t xml:space="preserve">26, </w:t>
      </w:r>
      <w:r w:rsidR="000271FD">
        <w:rPr>
          <w:lang w:val="en-GB"/>
        </w:rPr>
        <w:t>ch 3.</w:t>
      </w:r>
    </w:p>
  </w:footnote>
  <w:footnote w:id="104">
    <w:p w14:paraId="66129033" w14:textId="2F489DA7" w:rsidR="00BE1FBD" w:rsidRPr="00BE1FBD" w:rsidRDefault="00BE1FBD">
      <w:pPr>
        <w:pStyle w:val="FootnoteText"/>
        <w:rPr>
          <w:lang w:val="en-GB"/>
        </w:rPr>
      </w:pPr>
      <w:r>
        <w:rPr>
          <w:rStyle w:val="FootnoteReference"/>
        </w:rPr>
        <w:footnoteRef/>
      </w:r>
      <w:r>
        <w:t xml:space="preserve"> </w:t>
      </w:r>
      <w:r>
        <w:rPr>
          <w:lang w:val="en-GB"/>
        </w:rPr>
        <w:t>Ibid, 453.</w:t>
      </w:r>
    </w:p>
  </w:footnote>
  <w:footnote w:id="105">
    <w:p w14:paraId="568D1375" w14:textId="768ADDD4" w:rsidR="00E51C78" w:rsidRPr="00E51C78" w:rsidRDefault="00E51C78">
      <w:pPr>
        <w:pStyle w:val="FootnoteText"/>
        <w:rPr>
          <w:lang w:val="en-GB"/>
        </w:rPr>
      </w:pPr>
      <w:r>
        <w:rPr>
          <w:rStyle w:val="FootnoteReference"/>
        </w:rPr>
        <w:footnoteRef/>
      </w:r>
      <w:r>
        <w:t xml:space="preserve"> </w:t>
      </w:r>
      <w:r w:rsidRPr="00473947">
        <w:rPr>
          <w:i/>
          <w:iCs/>
          <w:lang w:val="en-GB"/>
        </w:rPr>
        <w:t>Who’s responsible</w:t>
      </w:r>
      <w:r w:rsidR="00A22AEE">
        <w:rPr>
          <w:i/>
          <w:iCs/>
          <w:lang w:val="en-GB"/>
        </w:rPr>
        <w:t xml:space="preserve"> </w:t>
      </w:r>
      <w:r>
        <w:t>5.</w:t>
      </w:r>
    </w:p>
  </w:footnote>
  <w:footnote w:id="106">
    <w:p w14:paraId="57A52DE5" w14:textId="6168D055" w:rsidR="001C4C0C" w:rsidRPr="001C4C0C" w:rsidRDefault="001C4C0C">
      <w:pPr>
        <w:pStyle w:val="FootnoteText"/>
        <w:rPr>
          <w:lang w:val="en-GB"/>
        </w:rPr>
      </w:pPr>
      <w:r>
        <w:rPr>
          <w:rStyle w:val="FootnoteReference"/>
        </w:rPr>
        <w:footnoteRef/>
      </w:r>
      <w:r>
        <w:t xml:space="preserve"> </w:t>
      </w:r>
      <w:r w:rsidR="0072527D">
        <w:t>Department of Children, Youth Justice and Multicultural Affairs</w:t>
      </w:r>
      <w:r w:rsidR="00AB2DCA">
        <w:t>, ‘</w:t>
      </w:r>
      <w:r w:rsidR="005D25B0">
        <w:t>Young people in youth justice custody</w:t>
      </w:r>
      <w:r w:rsidR="00AB2DCA">
        <w:t xml:space="preserve"> (2018 to 2022)</w:t>
      </w:r>
      <w:r w:rsidR="00EE73AD">
        <w:t>’</w:t>
      </w:r>
      <w:r w:rsidR="005D25B0">
        <w:t>,</w:t>
      </w:r>
      <w:r w:rsidR="0072527D">
        <w:t xml:space="preserve"> </w:t>
      </w:r>
      <w:r w:rsidR="0072527D" w:rsidRPr="00AB2DCA">
        <w:rPr>
          <w:i/>
        </w:rPr>
        <w:t>Youth Justice Census Summary</w:t>
      </w:r>
      <w:r w:rsidR="0072527D">
        <w:t xml:space="preserve"> </w:t>
      </w:r>
      <w:r w:rsidR="00EE73AD">
        <w:t>&lt;</w:t>
      </w:r>
      <w:hyperlink r:id="rId19" w:history="1">
        <w:r w:rsidR="00EE73AD" w:rsidRPr="00F25140">
          <w:rPr>
            <w:rStyle w:val="Hyperlink"/>
          </w:rPr>
          <w:t>https://desbt.qld.gov.au/youth-justice/data</w:t>
        </w:r>
      </w:hyperlink>
      <w:r w:rsidR="00EE73AD">
        <w:t>&gt;.</w:t>
      </w:r>
    </w:p>
  </w:footnote>
  <w:footnote w:id="107">
    <w:p w14:paraId="174685FE" w14:textId="7E7F1CA9" w:rsidR="008B59F9" w:rsidRPr="00AC6A49" w:rsidRDefault="008B59F9" w:rsidP="008B59F9">
      <w:pPr>
        <w:pStyle w:val="FootnoteText"/>
        <w:rPr>
          <w:lang w:val="en-GB"/>
        </w:rPr>
      </w:pPr>
      <w:r>
        <w:rPr>
          <w:rStyle w:val="FootnoteReference"/>
        </w:rPr>
        <w:footnoteRef/>
      </w:r>
      <w:r>
        <w:t xml:space="preserve"> </w:t>
      </w:r>
      <w:r w:rsidR="00830976" w:rsidRPr="000D61C4">
        <w:rPr>
          <w:i/>
          <w:iCs/>
        </w:rPr>
        <w:t>DRC Final Report vol</w:t>
      </w:r>
      <w:r w:rsidR="00830976">
        <w:rPr>
          <w:i/>
          <w:iCs/>
        </w:rPr>
        <w:t xml:space="preserve"> 8 </w:t>
      </w:r>
      <w:r>
        <w:rPr>
          <w:lang w:val="en-GB"/>
        </w:rPr>
        <w:t>81</w:t>
      </w:r>
      <w:r w:rsidR="002C2908">
        <w:rPr>
          <w:lang w:val="en-GB"/>
        </w:rPr>
        <w:t>.</w:t>
      </w:r>
      <w:r w:rsidR="003414B8">
        <w:rPr>
          <w:lang w:val="en-GB"/>
        </w:rPr>
        <w:t xml:space="preserve"> </w:t>
      </w:r>
      <w:r w:rsidR="008E14FD" w:rsidRPr="004446B5">
        <w:rPr>
          <w:lang w:val="en-GB"/>
        </w:rPr>
        <w:t xml:space="preserve">The Royal Commission notes that </w:t>
      </w:r>
      <w:r w:rsidR="00DC5772" w:rsidRPr="004446B5">
        <w:rPr>
          <w:lang w:val="en-GB"/>
        </w:rPr>
        <w:t>‘[</w:t>
      </w:r>
      <w:r w:rsidR="008E14FD" w:rsidRPr="004446B5">
        <w:rPr>
          <w:lang w:val="en-GB"/>
        </w:rPr>
        <w:t>n</w:t>
      </w:r>
      <w:r w:rsidR="00DC5772" w:rsidRPr="004446B5">
        <w:rPr>
          <w:lang w:val="en-GB"/>
        </w:rPr>
        <w:t>]</w:t>
      </w:r>
      <w:r w:rsidR="008E14FD" w:rsidRPr="004446B5">
        <w:rPr>
          <w:lang w:val="en-GB"/>
        </w:rPr>
        <w:t>o corrective services or youth justice agency uses a culturally-validated screening tool to identify disability in First Nations people</w:t>
      </w:r>
      <w:r w:rsidR="00DC5772" w:rsidRPr="004446B5">
        <w:rPr>
          <w:lang w:val="en-GB"/>
        </w:rPr>
        <w:t xml:space="preserve"> in custody’</w:t>
      </w:r>
      <w:r w:rsidR="00DB6835" w:rsidRPr="004446B5">
        <w:rPr>
          <w:lang w:val="en-GB"/>
        </w:rPr>
        <w:t>, despite their necessity to ensure First Nations people with disability receive the supports they require while in custody and to plan for the supports required upon release form custody:</w:t>
      </w:r>
      <w:r w:rsidR="00DB6835" w:rsidRPr="004446B5">
        <w:rPr>
          <w:i/>
        </w:rPr>
        <w:t xml:space="preserve"> DRC Final Report vol 8</w:t>
      </w:r>
      <w:r w:rsidR="008E14FD" w:rsidRPr="004446B5">
        <w:rPr>
          <w:lang w:val="en-GB"/>
        </w:rPr>
        <w:t xml:space="preserve"> 34</w:t>
      </w:r>
      <w:r w:rsidR="00DB6835" w:rsidRPr="004446B5">
        <w:rPr>
          <w:lang w:val="en-GB"/>
        </w:rPr>
        <w:t xml:space="preserve">, </w:t>
      </w:r>
      <w:r w:rsidR="00F60CD0" w:rsidRPr="004446B5">
        <w:rPr>
          <w:lang w:val="en-GB"/>
        </w:rPr>
        <w:t>192.</w:t>
      </w:r>
    </w:p>
  </w:footnote>
  <w:footnote w:id="108">
    <w:p w14:paraId="5AFB49AF" w14:textId="6CCE46C5" w:rsidR="00874FD4" w:rsidRPr="00797F94" w:rsidRDefault="00874FD4" w:rsidP="00874FD4">
      <w:pPr>
        <w:pStyle w:val="FootnoteText"/>
        <w:rPr>
          <w:lang w:val="en-GB"/>
        </w:rPr>
      </w:pPr>
      <w:r>
        <w:rPr>
          <w:rStyle w:val="FootnoteReference"/>
        </w:rPr>
        <w:footnoteRef/>
      </w:r>
      <w:r>
        <w:t xml:space="preserve"> </w:t>
      </w:r>
      <w:r w:rsidR="00830976" w:rsidRPr="000D61C4">
        <w:rPr>
          <w:i/>
          <w:iCs/>
        </w:rPr>
        <w:t>DRC Final Report vol</w:t>
      </w:r>
      <w:r w:rsidR="00830976">
        <w:rPr>
          <w:i/>
          <w:iCs/>
        </w:rPr>
        <w:t xml:space="preserve"> 8 </w:t>
      </w:r>
      <w:r>
        <w:rPr>
          <w:lang w:val="en-GB"/>
        </w:rPr>
        <w:t>33</w:t>
      </w:r>
      <w:r w:rsidR="004446B5">
        <w:rPr>
          <w:lang w:val="en-GB"/>
        </w:rPr>
        <w:t>.</w:t>
      </w:r>
    </w:p>
  </w:footnote>
  <w:footnote w:id="109">
    <w:p w14:paraId="716FBCE9" w14:textId="4621C91A" w:rsidR="002C1395" w:rsidRPr="002C1395" w:rsidRDefault="002C1395">
      <w:pPr>
        <w:pStyle w:val="FootnoteText"/>
        <w:rPr>
          <w:lang w:val="en-GB"/>
        </w:rPr>
      </w:pPr>
      <w:r>
        <w:rPr>
          <w:rStyle w:val="FootnoteReference"/>
        </w:rPr>
        <w:footnoteRef/>
      </w:r>
      <w:r>
        <w:t xml:space="preserve"> </w:t>
      </w:r>
      <w:r w:rsidRPr="00830976">
        <w:rPr>
          <w:i/>
        </w:rPr>
        <w:t xml:space="preserve">CRC </w:t>
      </w:r>
      <w:r w:rsidRPr="00830976">
        <w:rPr>
          <w:i/>
          <w:lang w:val="en-GB"/>
        </w:rPr>
        <w:t>General Comment 24</w:t>
      </w:r>
      <w:r>
        <w:rPr>
          <w:lang w:val="en-GB"/>
        </w:rPr>
        <w:t>.</w:t>
      </w:r>
    </w:p>
  </w:footnote>
  <w:footnote w:id="110">
    <w:p w14:paraId="6D4E71D9" w14:textId="0BBF45CC" w:rsidR="00D86942" w:rsidRPr="00D86942" w:rsidRDefault="00D86942">
      <w:pPr>
        <w:pStyle w:val="FootnoteText"/>
        <w:rPr>
          <w:lang w:val="en-GB"/>
        </w:rPr>
      </w:pPr>
      <w:r>
        <w:rPr>
          <w:rStyle w:val="FootnoteReference"/>
        </w:rPr>
        <w:footnoteRef/>
      </w:r>
      <w:r>
        <w:t xml:space="preserve"> </w:t>
      </w:r>
      <w:r w:rsidR="00165AF3" w:rsidRPr="00222BE8">
        <w:rPr>
          <w:i/>
          <w:iCs/>
          <w:lang w:val="en-GB"/>
        </w:rPr>
        <w:t>Select Committee draft report</w:t>
      </w:r>
      <w:r w:rsidR="00165AF3">
        <w:rPr>
          <w:lang w:val="en-GB"/>
        </w:rPr>
        <w:t xml:space="preserve"> 9</w:t>
      </w:r>
      <w:r w:rsidR="0043480E">
        <w:rPr>
          <w:lang w:val="en-GB"/>
        </w:rPr>
        <w:t xml:space="preserve">, </w:t>
      </w:r>
      <w:r w:rsidR="00EC723B">
        <w:rPr>
          <w:lang w:val="en-GB"/>
        </w:rPr>
        <w:t>70</w:t>
      </w:r>
      <w:r w:rsidR="00EC723B">
        <w:rPr>
          <w:rFonts w:cs="Arial"/>
          <w:lang w:val="en-GB"/>
        </w:rPr>
        <w:t>–</w:t>
      </w:r>
      <w:r w:rsidR="00EC723B">
        <w:rPr>
          <w:lang w:val="en-GB"/>
        </w:rPr>
        <w:t>1.</w:t>
      </w:r>
    </w:p>
  </w:footnote>
  <w:footnote w:id="111">
    <w:p w14:paraId="5266711B" w14:textId="044BC2D6" w:rsidR="006D529F" w:rsidRPr="006D529F" w:rsidRDefault="006D529F">
      <w:pPr>
        <w:pStyle w:val="FootnoteText"/>
        <w:rPr>
          <w:lang w:val="en-GB"/>
        </w:rPr>
      </w:pPr>
      <w:r>
        <w:rPr>
          <w:rStyle w:val="FootnoteReference"/>
        </w:rPr>
        <w:footnoteRef/>
      </w:r>
      <w:r>
        <w:t xml:space="preserve"> </w:t>
      </w:r>
      <w:r w:rsidRPr="000D61C4">
        <w:rPr>
          <w:i/>
        </w:rPr>
        <w:t xml:space="preserve">DRC </w:t>
      </w:r>
      <w:r w:rsidR="0026520B" w:rsidRPr="000D61C4">
        <w:rPr>
          <w:i/>
        </w:rPr>
        <w:t xml:space="preserve">Final </w:t>
      </w:r>
      <w:r w:rsidRPr="000D61C4">
        <w:rPr>
          <w:i/>
        </w:rPr>
        <w:t xml:space="preserve">Report </w:t>
      </w:r>
      <w:r w:rsidR="00830976" w:rsidRPr="000D61C4">
        <w:rPr>
          <w:i/>
          <w:iCs/>
        </w:rPr>
        <w:t>vol</w:t>
      </w:r>
      <w:r w:rsidR="00830976">
        <w:rPr>
          <w:i/>
          <w:iCs/>
        </w:rPr>
        <w:t xml:space="preserve"> 8</w:t>
      </w:r>
      <w:r>
        <w:rPr>
          <w:lang w:val="en-GB"/>
        </w:rPr>
        <w:t xml:space="preserve"> </w:t>
      </w:r>
      <w:r w:rsidR="00A40F73">
        <w:rPr>
          <w:lang w:val="en-GB"/>
        </w:rPr>
        <w:t>39</w:t>
      </w:r>
      <w:r w:rsidR="00573A72">
        <w:rPr>
          <w:rFonts w:cs="Arial"/>
          <w:lang w:val="en-GB"/>
        </w:rPr>
        <w:t>–</w:t>
      </w:r>
      <w:r>
        <w:rPr>
          <w:lang w:val="en-GB"/>
        </w:rPr>
        <w:t>42.</w:t>
      </w:r>
    </w:p>
  </w:footnote>
  <w:footnote w:id="112">
    <w:p w14:paraId="4381AE71" w14:textId="5AD6423C" w:rsidR="00A041F1" w:rsidRPr="00A041F1" w:rsidRDefault="00A041F1">
      <w:pPr>
        <w:pStyle w:val="FootnoteText"/>
        <w:rPr>
          <w:lang w:val="en-GB"/>
        </w:rPr>
      </w:pPr>
      <w:r>
        <w:rPr>
          <w:rStyle w:val="FootnoteReference"/>
        </w:rPr>
        <w:footnoteRef/>
      </w:r>
      <w:r>
        <w:t xml:space="preserve"> </w:t>
      </w:r>
      <w:r w:rsidRPr="000D61C4">
        <w:rPr>
          <w:i/>
        </w:rPr>
        <w:t xml:space="preserve">DRC </w:t>
      </w:r>
      <w:r w:rsidR="0026520B" w:rsidRPr="000D61C4">
        <w:rPr>
          <w:i/>
        </w:rPr>
        <w:t xml:space="preserve">Final </w:t>
      </w:r>
      <w:r w:rsidRPr="000D61C4">
        <w:rPr>
          <w:i/>
        </w:rPr>
        <w:t xml:space="preserve">Report </w:t>
      </w:r>
      <w:r w:rsidR="00830976" w:rsidRPr="000D61C4">
        <w:rPr>
          <w:i/>
          <w:iCs/>
        </w:rPr>
        <w:t>vol</w:t>
      </w:r>
      <w:r w:rsidR="00830976">
        <w:rPr>
          <w:i/>
          <w:iCs/>
        </w:rPr>
        <w:t xml:space="preserve"> 8</w:t>
      </w:r>
      <w:r w:rsidR="0026520B">
        <w:rPr>
          <w:lang w:val="en-GB"/>
        </w:rPr>
        <w:t xml:space="preserve"> </w:t>
      </w:r>
      <w:r w:rsidR="00686DC5">
        <w:rPr>
          <w:lang w:val="en-GB"/>
        </w:rPr>
        <w:t>81</w:t>
      </w:r>
      <w:r w:rsidR="00234421">
        <w:rPr>
          <w:lang w:val="en-GB"/>
        </w:rPr>
        <w:t>.</w:t>
      </w:r>
    </w:p>
  </w:footnote>
  <w:footnote w:id="113">
    <w:p w14:paraId="17EAB0A6" w14:textId="59CED68A" w:rsidR="00686DC5" w:rsidRPr="00686DC5" w:rsidRDefault="00686DC5">
      <w:pPr>
        <w:pStyle w:val="FootnoteText"/>
        <w:rPr>
          <w:lang w:val="en-GB"/>
        </w:rPr>
      </w:pPr>
      <w:r>
        <w:rPr>
          <w:rStyle w:val="FootnoteReference"/>
        </w:rPr>
        <w:footnoteRef/>
      </w:r>
      <w:r>
        <w:t xml:space="preserve"> </w:t>
      </w:r>
      <w:r w:rsidRPr="00752F3A">
        <w:rPr>
          <w:i/>
          <w:lang w:val="en-GB"/>
        </w:rPr>
        <w:t xml:space="preserve">DRC </w:t>
      </w:r>
      <w:r w:rsidR="0026520B" w:rsidRPr="00752F3A">
        <w:rPr>
          <w:i/>
          <w:iCs/>
          <w:lang w:val="en-GB"/>
        </w:rPr>
        <w:t xml:space="preserve">Final </w:t>
      </w:r>
      <w:r w:rsidRPr="00752F3A">
        <w:rPr>
          <w:i/>
          <w:lang w:val="en-GB"/>
        </w:rPr>
        <w:t>Report</w:t>
      </w:r>
      <w:r>
        <w:rPr>
          <w:lang w:val="en-GB"/>
        </w:rPr>
        <w:t xml:space="preserve"> </w:t>
      </w:r>
      <w:r w:rsidR="004E070F" w:rsidRPr="004E070F">
        <w:rPr>
          <w:i/>
          <w:iCs/>
          <w:lang w:val="en-GB"/>
        </w:rPr>
        <w:t>vol</w:t>
      </w:r>
      <w:r w:rsidRPr="004E070F">
        <w:rPr>
          <w:i/>
          <w:lang w:val="en-GB"/>
        </w:rPr>
        <w:t xml:space="preserve"> 8</w:t>
      </w:r>
      <w:r>
        <w:rPr>
          <w:lang w:val="en-GB"/>
        </w:rPr>
        <w:t xml:space="preserve"> 81</w:t>
      </w:r>
    </w:p>
  </w:footnote>
  <w:footnote w:id="114">
    <w:p w14:paraId="2BBDF0CA" w14:textId="29259A8A" w:rsidR="00943A59" w:rsidRPr="00943A59" w:rsidRDefault="00943A59">
      <w:pPr>
        <w:pStyle w:val="FootnoteText"/>
        <w:rPr>
          <w:lang w:val="en-GB"/>
        </w:rPr>
      </w:pPr>
      <w:r w:rsidRPr="0067035B">
        <w:rPr>
          <w:rStyle w:val="FootnoteReference"/>
        </w:rPr>
        <w:footnoteRef/>
      </w:r>
      <w:r w:rsidRPr="0067035B">
        <w:t xml:space="preserve"> </w:t>
      </w:r>
      <w:r w:rsidR="004E0F0A" w:rsidRPr="0067035B">
        <w:rPr>
          <w:lang w:val="en-GB"/>
        </w:rPr>
        <w:t xml:space="preserve">In Queensland, a serious repeat offender is identified by the Department of Youth Justice </w:t>
      </w:r>
      <w:r w:rsidR="006367EB" w:rsidRPr="0067035B">
        <w:rPr>
          <w:lang w:val="en-GB"/>
        </w:rPr>
        <w:t>using</w:t>
      </w:r>
      <w:r w:rsidR="004E0F0A" w:rsidRPr="0067035B">
        <w:rPr>
          <w:lang w:val="en-GB"/>
        </w:rPr>
        <w:t xml:space="preserve"> the ‘serious repeat offender index’</w:t>
      </w:r>
      <w:r w:rsidR="00FC7D15" w:rsidRPr="0067035B">
        <w:rPr>
          <w:lang w:val="en-GB"/>
        </w:rPr>
        <w:t xml:space="preserve"> </w:t>
      </w:r>
      <w:r w:rsidR="00C52BE4" w:rsidRPr="0067035B">
        <w:rPr>
          <w:lang w:val="en-GB"/>
        </w:rPr>
        <w:t xml:space="preserve">(SROI) </w:t>
      </w:r>
      <w:r w:rsidR="00FC7D15" w:rsidRPr="0067035B">
        <w:rPr>
          <w:lang w:val="en-GB"/>
        </w:rPr>
        <w:t xml:space="preserve">which measures the volume/seriousness of a young person’s recent offending behaviour. More information </w:t>
      </w:r>
      <w:r w:rsidR="00C52BE4" w:rsidRPr="0067035B">
        <w:rPr>
          <w:lang w:val="en-GB"/>
        </w:rPr>
        <w:t xml:space="preserve">on SROI </w:t>
      </w:r>
      <w:r w:rsidR="00FC7D15" w:rsidRPr="0067035B">
        <w:rPr>
          <w:lang w:val="en-GB"/>
        </w:rPr>
        <w:t xml:space="preserve">is detailed at footnote </w:t>
      </w:r>
      <w:r w:rsidR="0067035B" w:rsidRPr="0067035B">
        <w:rPr>
          <w:lang w:val="en-GB"/>
        </w:rPr>
        <w:fldChar w:fldCharType="begin"/>
      </w:r>
      <w:r w:rsidR="0067035B" w:rsidRPr="0067035B">
        <w:rPr>
          <w:lang w:val="en-GB"/>
        </w:rPr>
        <w:instrText xml:space="preserve"> NOTEREF _Ref179987323 \h </w:instrText>
      </w:r>
      <w:r w:rsidR="0067035B">
        <w:rPr>
          <w:lang w:val="en-GB"/>
        </w:rPr>
        <w:instrText xml:space="preserve"> \* MERGEFORMAT </w:instrText>
      </w:r>
      <w:r w:rsidR="0067035B" w:rsidRPr="0067035B">
        <w:rPr>
          <w:lang w:val="en-GB"/>
        </w:rPr>
      </w:r>
      <w:r w:rsidR="0067035B" w:rsidRPr="0067035B">
        <w:rPr>
          <w:lang w:val="en-GB"/>
        </w:rPr>
        <w:fldChar w:fldCharType="separate"/>
      </w:r>
      <w:r w:rsidR="00AF3971">
        <w:rPr>
          <w:lang w:val="en-GB"/>
        </w:rPr>
        <w:t>41</w:t>
      </w:r>
      <w:r w:rsidR="0067035B" w:rsidRPr="0067035B">
        <w:rPr>
          <w:lang w:val="en-GB"/>
        </w:rPr>
        <w:fldChar w:fldCharType="end"/>
      </w:r>
      <w:r w:rsidR="00FC7D15" w:rsidRPr="0067035B">
        <w:rPr>
          <w:lang w:val="en-GB"/>
        </w:rPr>
        <w:t xml:space="preserve"> above.</w:t>
      </w:r>
    </w:p>
  </w:footnote>
  <w:footnote w:id="115">
    <w:p w14:paraId="45DCC884" w14:textId="5FDC288B" w:rsidR="009849DE" w:rsidRPr="009849DE" w:rsidRDefault="009849DE">
      <w:pPr>
        <w:pStyle w:val="FootnoteText"/>
        <w:rPr>
          <w:lang w:val="en-GB"/>
        </w:rPr>
      </w:pPr>
      <w:r>
        <w:rPr>
          <w:rStyle w:val="FootnoteReference"/>
        </w:rPr>
        <w:footnoteRef/>
      </w:r>
      <w:r>
        <w:t xml:space="preserve"> </w:t>
      </w:r>
      <w:r w:rsidR="0041774A">
        <w:t>Ben Smee, ‘</w:t>
      </w:r>
      <w:r w:rsidR="00EA78EE" w:rsidRPr="0041774A">
        <w:t>At 14, Sam has the mental capacity of a five-year-old. So what’s she doing in a Queensland police cell?</w:t>
      </w:r>
      <w:r w:rsidR="0041774A">
        <w:t xml:space="preserve">’ </w:t>
      </w:r>
      <w:r w:rsidR="0041774A" w:rsidRPr="0041774A">
        <w:rPr>
          <w:i/>
          <w:iCs/>
        </w:rPr>
        <w:t>The Guardian</w:t>
      </w:r>
      <w:r w:rsidR="0041774A">
        <w:t xml:space="preserve"> (Online, 18 July 2024) &lt;</w:t>
      </w:r>
      <w:r w:rsidR="0041774A" w:rsidRPr="0041774A">
        <w:t xml:space="preserve"> </w:t>
      </w:r>
      <w:hyperlink r:id="rId20" w:history="1">
        <w:r w:rsidR="0041774A" w:rsidRPr="0041774A">
          <w:rPr>
            <w:rStyle w:val="Hyperlink"/>
          </w:rPr>
          <w:t>https://www.theguardian.com/australia-news/article/2024/jul/18/at-14-sam-has-the-mental-capacity-of-a-five-year-old-so-what-is-she-doing-in-a-queensland-police-cell-ntwnfb</w:t>
        </w:r>
      </w:hyperlink>
      <w:r w:rsidR="0041774A">
        <w:t>&gt;</w:t>
      </w:r>
    </w:p>
  </w:footnote>
  <w:footnote w:id="116">
    <w:p w14:paraId="7239B344" w14:textId="5D75D4BD" w:rsidR="002B433D" w:rsidRPr="002B433D" w:rsidRDefault="002B433D">
      <w:pPr>
        <w:pStyle w:val="FootnoteText"/>
        <w:rPr>
          <w:lang w:val="en-GB"/>
        </w:rPr>
      </w:pPr>
      <w:r>
        <w:rPr>
          <w:rStyle w:val="FootnoteReference"/>
        </w:rPr>
        <w:footnoteRef/>
      </w:r>
      <w:r>
        <w:t xml:space="preserve"> </w:t>
      </w:r>
      <w:r w:rsidR="00E878D6">
        <w:t xml:space="preserve">Madeleine </w:t>
      </w:r>
      <w:r w:rsidR="00E878D6">
        <w:t>Wedes</w:t>
      </w:r>
      <w:r w:rsidR="00581558">
        <w:t>weiler &amp; Jennifer Lau ‘</w:t>
      </w:r>
      <w:r w:rsidR="003F6303">
        <w:t xml:space="preserve">Exclusive footage shows children being placed in isolation cells in Queensland’ </w:t>
      </w:r>
      <w:r w:rsidR="003F6303">
        <w:rPr>
          <w:i/>
          <w:iCs/>
        </w:rPr>
        <w:t>SBS</w:t>
      </w:r>
      <w:r w:rsidR="00FA0F23">
        <w:rPr>
          <w:i/>
          <w:iCs/>
        </w:rPr>
        <w:t xml:space="preserve"> </w:t>
      </w:r>
      <w:r w:rsidR="003F6303">
        <w:rPr>
          <w:i/>
          <w:iCs/>
        </w:rPr>
        <w:t>News</w:t>
      </w:r>
      <w:r w:rsidR="00212565">
        <w:rPr>
          <w:i/>
          <w:iCs/>
        </w:rPr>
        <w:t xml:space="preserve"> </w:t>
      </w:r>
      <w:r w:rsidR="00212565">
        <w:t>(Online,</w:t>
      </w:r>
      <w:r w:rsidR="00FA0F23">
        <w:t xml:space="preserve"> 17 July 2024)</w:t>
      </w:r>
      <w:r w:rsidR="00212565">
        <w:t xml:space="preserve"> </w:t>
      </w:r>
      <w:r w:rsidR="00FA0F23">
        <w:t>&lt;</w:t>
      </w:r>
      <w:r w:rsidR="00FA0F23" w:rsidRPr="00FA0F23">
        <w:t>https://www.sbs.com.au/news/article/exclusive-footage-shows-children-being-placed-in-isolation-cells-in-queensland/s23wwwygw</w:t>
      </w:r>
      <w:r w:rsidR="00FA0F23">
        <w:t xml:space="preserve">&gt;; </w:t>
      </w:r>
      <w:r w:rsidR="0041774A">
        <w:t>Ben Smee, ‘</w:t>
      </w:r>
      <w:r w:rsidR="006C3BE4" w:rsidRPr="0041774A">
        <w:t xml:space="preserve">Screaming, freezing, struggling to breathe: confronting Queensland </w:t>
      </w:r>
      <w:r w:rsidR="002D2B73">
        <w:t>watch house</w:t>
      </w:r>
      <w:r w:rsidR="006C3BE4" w:rsidRPr="0041774A">
        <w:t xml:space="preserve"> footage exposes anguish of children locked in isolation cells</w:t>
      </w:r>
      <w:r w:rsidR="0041774A">
        <w:t xml:space="preserve">’, </w:t>
      </w:r>
      <w:r w:rsidR="0041774A" w:rsidRPr="0041774A">
        <w:rPr>
          <w:i/>
          <w:iCs/>
        </w:rPr>
        <w:t>The Guardian</w:t>
      </w:r>
      <w:r w:rsidR="0041774A">
        <w:t xml:space="preserve"> (Online, </w:t>
      </w:r>
      <w:r w:rsidR="00353B14">
        <w:t xml:space="preserve">17 July 2024) </w:t>
      </w:r>
      <w:r w:rsidR="001E3EDC">
        <w:t>&lt;</w:t>
      </w:r>
      <w:hyperlink r:id="rId21" w:history="1">
        <w:r w:rsidR="009F57D7" w:rsidRPr="00F25140">
          <w:rPr>
            <w:rStyle w:val="Hyperlink"/>
          </w:rPr>
          <w:t>https://www.theguardian.com/australia-news/article/2024/jul/17/queensland-youth-crime-</w:t>
        </w:r>
        <w:r w:rsidR="002D2B73">
          <w:rPr>
            <w:rStyle w:val="Hyperlink"/>
          </w:rPr>
          <w:t>watch house</w:t>
        </w:r>
        <w:r w:rsidR="009F57D7" w:rsidRPr="00F25140">
          <w:rPr>
            <w:rStyle w:val="Hyperlink"/>
          </w:rPr>
          <w:t>-footage-police-treatment-ntwnfb</w:t>
        </w:r>
      </w:hyperlink>
      <w:r w:rsidR="009F57D7">
        <w:t>&gt;</w:t>
      </w:r>
    </w:p>
  </w:footnote>
  <w:footnote w:id="117">
    <w:p w14:paraId="19FA99C5" w14:textId="64402FCD" w:rsidR="006E2C51" w:rsidRPr="006E2C51" w:rsidRDefault="006E2C51">
      <w:pPr>
        <w:pStyle w:val="FootnoteText"/>
        <w:rPr>
          <w:lang w:val="en-GB"/>
        </w:rPr>
      </w:pPr>
      <w:r>
        <w:rPr>
          <w:rStyle w:val="FootnoteReference"/>
        </w:rPr>
        <w:footnoteRef/>
      </w:r>
      <w:r>
        <w:t xml:space="preserve"> </w:t>
      </w:r>
      <w:r w:rsidR="001E3EDC">
        <w:t>Ibid.</w:t>
      </w:r>
    </w:p>
  </w:footnote>
  <w:footnote w:id="118">
    <w:p w14:paraId="3F30F495" w14:textId="3D1FC46D" w:rsidR="00F303C8" w:rsidRPr="00927691" w:rsidRDefault="00F303C8" w:rsidP="00F303C8">
      <w:pPr>
        <w:pStyle w:val="FootnoteText"/>
        <w:rPr>
          <w:lang w:val="en-GB"/>
        </w:rPr>
      </w:pPr>
      <w:r>
        <w:rPr>
          <w:rStyle w:val="FootnoteReference"/>
        </w:rPr>
        <w:footnoteRef/>
      </w:r>
      <w:r w:rsidR="00927691">
        <w:t xml:space="preserve"> </w:t>
      </w:r>
      <w:r w:rsidR="00D760E4">
        <w:t xml:space="preserve">Department of Youth Justice, </w:t>
      </w:r>
      <w:r w:rsidR="00D760E4" w:rsidRPr="008333FD">
        <w:rPr>
          <w:i/>
        </w:rPr>
        <w:t>Taskforce Guardian</w:t>
      </w:r>
      <w:r w:rsidR="00D760E4">
        <w:t xml:space="preserve"> </w:t>
      </w:r>
      <w:r w:rsidR="00DC5D29">
        <w:t>(Web Page, 12 September 2024) &lt;</w:t>
      </w:r>
      <w:hyperlink r:id="rId22" w:history="1">
        <w:r w:rsidR="00363A15" w:rsidRPr="00F25140">
          <w:rPr>
            <w:rStyle w:val="Hyperlink"/>
          </w:rPr>
          <w:t>https://desbt.qld.gov.au/youth-justice/parents-guardians/programs-initiatives/initiatives/taskforce-guardian</w:t>
        </w:r>
      </w:hyperlink>
      <w:r w:rsidR="00DC5D29">
        <w:t>&gt;</w:t>
      </w:r>
      <w:r w:rsidR="00EA7751">
        <w:t>.</w:t>
      </w:r>
    </w:p>
  </w:footnote>
  <w:footnote w:id="119">
    <w:p w14:paraId="35A047F5" w14:textId="0F7A6026" w:rsidR="00BF780C" w:rsidRPr="00BF780C" w:rsidRDefault="00BF780C">
      <w:pPr>
        <w:pStyle w:val="FootnoteText"/>
        <w:rPr>
          <w:lang w:val="en-GB"/>
        </w:rPr>
      </w:pPr>
      <w:r>
        <w:rPr>
          <w:rStyle w:val="FootnoteReference"/>
        </w:rPr>
        <w:footnoteRef/>
      </w:r>
      <w:r>
        <w:t xml:space="preserve"> </w:t>
      </w:r>
      <w:r w:rsidR="001872B9">
        <w:t>Ben Smee, ‘</w:t>
      </w:r>
      <w:r w:rsidR="001872B9" w:rsidRPr="0041774A">
        <w:t>At 14, Sam has the mental capacity of a five-year-old. So what’s she doing in a Queensland police cell?</w:t>
      </w:r>
      <w:r w:rsidR="001872B9">
        <w:t xml:space="preserve">’ </w:t>
      </w:r>
      <w:r w:rsidR="001872B9" w:rsidRPr="0041774A">
        <w:rPr>
          <w:i/>
          <w:iCs/>
        </w:rPr>
        <w:t>The Guardian</w:t>
      </w:r>
      <w:r w:rsidR="001872B9">
        <w:t xml:space="preserve"> (Online, 18 July 2024) &lt;</w:t>
      </w:r>
      <w:r w:rsidR="001872B9" w:rsidRPr="0041774A">
        <w:t xml:space="preserve"> </w:t>
      </w:r>
      <w:hyperlink r:id="rId23" w:history="1">
        <w:r w:rsidR="001872B9" w:rsidRPr="0041774A">
          <w:rPr>
            <w:rStyle w:val="Hyperlink"/>
          </w:rPr>
          <w:t>https://www.theguardian.com/australia-news/article/2024/jul/18/at-14-sam-has-the-mental-capacity-of-a-five-year-old-so-what-is-she-doing-in-a-queensland-police-cell-ntwnfb</w:t>
        </w:r>
      </w:hyperlink>
      <w:r w:rsidR="001872B9">
        <w:t>&gt;.</w:t>
      </w:r>
      <w:r w:rsidR="004C0110">
        <w:t xml:space="preserve"> The report states that the ‘charge sheet alleges she was violent, dropped her weight and kicked the door of a police car’.</w:t>
      </w:r>
    </w:p>
  </w:footnote>
  <w:footnote w:id="120">
    <w:p w14:paraId="09F2EAF7" w14:textId="1C5624C4" w:rsidR="007D19B5" w:rsidRPr="007D19B5" w:rsidRDefault="007D19B5">
      <w:pPr>
        <w:pStyle w:val="FootnoteText"/>
        <w:rPr>
          <w:lang w:val="en-GB"/>
        </w:rPr>
      </w:pPr>
      <w:r>
        <w:rPr>
          <w:rStyle w:val="FootnoteReference"/>
        </w:rPr>
        <w:footnoteRef/>
      </w:r>
      <w:r>
        <w:t xml:space="preserve"> </w:t>
      </w:r>
      <w:r w:rsidR="00396640">
        <w:t xml:space="preserve">Madeleine </w:t>
      </w:r>
      <w:r w:rsidR="00396640">
        <w:t xml:space="preserve">Wedesweiler &amp; Jennifer Lau ‘Exclusive footage shows children being placed in isolation cells in Queensland’ </w:t>
      </w:r>
      <w:r w:rsidR="00396640">
        <w:rPr>
          <w:i/>
          <w:iCs/>
        </w:rPr>
        <w:t xml:space="preserve">SBS News </w:t>
      </w:r>
      <w:r w:rsidR="00396640">
        <w:t>(Online, 17 July 2024) &lt;</w:t>
      </w:r>
      <w:hyperlink r:id="rId24" w:history="1">
        <w:r w:rsidR="00396640" w:rsidRPr="00396640">
          <w:rPr>
            <w:rStyle w:val="Hyperlink"/>
          </w:rPr>
          <w:t>https://www.sbs.com.au/news/article/exclusive-footage-shows-children-being-placed-in-isolation-cells-in-queensland/s23wwwygw</w:t>
        </w:r>
      </w:hyperlink>
      <w:r w:rsidR="00396640">
        <w:t>&gt;.</w:t>
      </w:r>
    </w:p>
  </w:footnote>
  <w:footnote w:id="121">
    <w:p w14:paraId="125948D7" w14:textId="2FCD2DB9" w:rsidR="001B7D32" w:rsidRPr="001B7D32" w:rsidRDefault="001B7D32">
      <w:pPr>
        <w:pStyle w:val="FootnoteText"/>
        <w:rPr>
          <w:lang w:val="en-GB"/>
        </w:rPr>
      </w:pPr>
      <w:r>
        <w:rPr>
          <w:rStyle w:val="FootnoteReference"/>
        </w:rPr>
        <w:footnoteRef/>
      </w:r>
      <w:r>
        <w:t xml:space="preserve"> </w:t>
      </w:r>
      <w:r w:rsidR="00D133A0">
        <w:t>Ben Smee, ‘</w:t>
      </w:r>
      <w:r w:rsidR="00CE4C7C" w:rsidRPr="00D133A0">
        <w:t xml:space="preserve">Screaming, freezing, struggling to breathe: confronting Queensland </w:t>
      </w:r>
      <w:r w:rsidR="002D2B73">
        <w:t>watch house</w:t>
      </w:r>
      <w:r w:rsidR="00CE4C7C" w:rsidRPr="00D133A0">
        <w:t xml:space="preserve"> footage exposes anguish of children locked in isolation cells</w:t>
      </w:r>
      <w:r w:rsidR="00D133A0">
        <w:t xml:space="preserve">’, </w:t>
      </w:r>
      <w:r w:rsidR="00D133A0" w:rsidRPr="00D133A0">
        <w:rPr>
          <w:i/>
          <w:iCs/>
        </w:rPr>
        <w:t>The Guardian</w:t>
      </w:r>
      <w:r w:rsidR="00D133A0">
        <w:t xml:space="preserve"> (Online, 17 July 2024) &lt;</w:t>
      </w:r>
      <w:r w:rsidR="00D133A0" w:rsidRPr="00D133A0">
        <w:t xml:space="preserve"> </w:t>
      </w:r>
      <w:hyperlink r:id="rId25" w:history="1">
        <w:r w:rsidR="00D133A0" w:rsidRPr="0088739D">
          <w:rPr>
            <w:rStyle w:val="Hyperlink"/>
          </w:rPr>
          <w:t>https://www.theguardian.com/australia-news/article/2024/jul/17/queensland-youth-crime-</w:t>
        </w:r>
        <w:r w:rsidR="002D2B73" w:rsidRPr="0088739D">
          <w:rPr>
            <w:rStyle w:val="Hyperlink"/>
          </w:rPr>
          <w:t>watch house</w:t>
        </w:r>
        <w:r w:rsidR="00D133A0" w:rsidRPr="0088739D">
          <w:rPr>
            <w:rStyle w:val="Hyperlink"/>
          </w:rPr>
          <w:t>-footage-police-treatment-</w:t>
        </w:r>
        <w:r w:rsidR="00D133A0" w:rsidRPr="0088739D">
          <w:rPr>
            <w:rStyle w:val="Hyperlink"/>
          </w:rPr>
          <w:t>ntwnfb</w:t>
        </w:r>
      </w:hyperlink>
      <w:r w:rsidR="00D133A0" w:rsidRPr="0088739D">
        <w:t>&gt;</w:t>
      </w:r>
      <w:r w:rsidR="00396640">
        <w:t>.</w:t>
      </w:r>
    </w:p>
  </w:footnote>
  <w:footnote w:id="122">
    <w:p w14:paraId="170D9EE8" w14:textId="2552D0A2" w:rsidR="00512F9F" w:rsidRPr="00512F9F" w:rsidRDefault="00512F9F">
      <w:pPr>
        <w:pStyle w:val="FootnoteText"/>
        <w:rPr>
          <w:lang w:val="en-GB"/>
        </w:rPr>
      </w:pPr>
      <w:r>
        <w:rPr>
          <w:rStyle w:val="FootnoteReference"/>
        </w:rPr>
        <w:footnoteRef/>
      </w:r>
      <w:r>
        <w:t xml:space="preserve"> </w:t>
      </w:r>
      <w:r w:rsidRPr="00222BE8">
        <w:rPr>
          <w:i/>
          <w:lang w:val="en-GB"/>
        </w:rPr>
        <w:t xml:space="preserve">Select Committee </w:t>
      </w:r>
      <w:r w:rsidRPr="00222BE8">
        <w:rPr>
          <w:i/>
          <w:iCs/>
          <w:lang w:val="en-GB"/>
        </w:rPr>
        <w:t>draft report</w:t>
      </w:r>
      <w:r>
        <w:rPr>
          <w:lang w:val="en-GB"/>
        </w:rPr>
        <w:t xml:space="preserve"> </w:t>
      </w:r>
      <w:r>
        <w:t>71.</w:t>
      </w:r>
    </w:p>
  </w:footnote>
  <w:footnote w:id="123">
    <w:p w14:paraId="09BA9B51" w14:textId="1887D5B0" w:rsidR="006953AA" w:rsidRPr="006953AA" w:rsidRDefault="006953AA">
      <w:pPr>
        <w:pStyle w:val="FootnoteText"/>
        <w:rPr>
          <w:lang w:val="en-GB"/>
        </w:rPr>
      </w:pPr>
      <w:r>
        <w:rPr>
          <w:rStyle w:val="FootnoteReference"/>
        </w:rPr>
        <w:footnoteRef/>
      </w:r>
      <w:r w:rsidR="00E32ABD">
        <w:t xml:space="preserve"> </w:t>
      </w:r>
      <w:r w:rsidR="00512F9F">
        <w:rPr>
          <w:iCs/>
          <w:lang w:val="en-GB"/>
        </w:rPr>
        <w:t>Ibid.</w:t>
      </w:r>
    </w:p>
  </w:footnote>
  <w:footnote w:id="124">
    <w:p w14:paraId="3496D2A4" w14:textId="31260992" w:rsidR="00F41BB6" w:rsidRPr="0091503E" w:rsidRDefault="00F41BB6" w:rsidP="00F41BB6">
      <w:pPr>
        <w:pStyle w:val="FootnoteText"/>
        <w:rPr>
          <w:lang w:val="en-GB"/>
        </w:rPr>
      </w:pPr>
      <w:r>
        <w:rPr>
          <w:rStyle w:val="FootnoteReference"/>
        </w:rPr>
        <w:footnoteRef/>
      </w:r>
      <w:r>
        <w:t xml:space="preserve"> </w:t>
      </w:r>
      <w:r w:rsidRPr="005C0555">
        <w:t xml:space="preserve">Queensland Audit Office, </w:t>
      </w:r>
      <w:r w:rsidRPr="00CF5402">
        <w:rPr>
          <w:i/>
        </w:rPr>
        <w:t>Reducing serious youth crime</w:t>
      </w:r>
      <w:r w:rsidRPr="005C0555">
        <w:t xml:space="preserve"> (Performance Audit Report 15: </w:t>
      </w:r>
      <w:r w:rsidR="00130FC5">
        <w:t>2023–24</w:t>
      </w:r>
      <w:r w:rsidRPr="005C0555">
        <w:t xml:space="preserve">, 28 June 2024) </w:t>
      </w:r>
      <w:r>
        <w:t>31</w:t>
      </w:r>
      <w:r w:rsidRPr="005C0555">
        <w:t>.</w:t>
      </w:r>
    </w:p>
  </w:footnote>
  <w:footnote w:id="125">
    <w:p w14:paraId="2614B698" w14:textId="0DA46D73" w:rsidR="005C0555" w:rsidRPr="005C0555" w:rsidRDefault="005C0555">
      <w:pPr>
        <w:pStyle w:val="FootnoteText"/>
        <w:rPr>
          <w:lang w:val="en-GB"/>
        </w:rPr>
      </w:pPr>
      <w:r>
        <w:rPr>
          <w:rStyle w:val="FootnoteReference"/>
        </w:rPr>
        <w:footnoteRef/>
      </w:r>
      <w:r>
        <w:t xml:space="preserve"> </w:t>
      </w:r>
      <w:r w:rsidR="00DC7BD1">
        <w:t>Ibid</w:t>
      </w:r>
      <w:r w:rsidRPr="005C0555">
        <w:t xml:space="preserve"> </w:t>
      </w:r>
      <w:r>
        <w:t>31-32</w:t>
      </w:r>
      <w:r w:rsidRPr="005C0555">
        <w:t>.</w:t>
      </w:r>
    </w:p>
  </w:footnote>
  <w:footnote w:id="126">
    <w:p w14:paraId="587C5E0B" w14:textId="77777777" w:rsidR="00F403A3" w:rsidRPr="00151F16" w:rsidRDefault="00F403A3" w:rsidP="00F403A3">
      <w:pPr>
        <w:pStyle w:val="FootnoteText"/>
        <w:rPr>
          <w:lang w:val="en-GB"/>
        </w:rPr>
      </w:pPr>
      <w:r>
        <w:rPr>
          <w:rStyle w:val="FootnoteReference"/>
        </w:rPr>
        <w:footnoteRef/>
      </w:r>
      <w:r>
        <w:t xml:space="preserve"> Ibid 32.</w:t>
      </w:r>
    </w:p>
  </w:footnote>
  <w:footnote w:id="127">
    <w:p w14:paraId="6C62511B" w14:textId="77777777" w:rsidR="006634D6" w:rsidRPr="00B63AB7" w:rsidRDefault="006634D6" w:rsidP="006634D6">
      <w:pPr>
        <w:pStyle w:val="FootnoteText"/>
        <w:rPr>
          <w:lang w:val="en-GB"/>
        </w:rPr>
      </w:pPr>
      <w:r>
        <w:rPr>
          <w:rStyle w:val="FootnoteReference"/>
        </w:rPr>
        <w:footnoteRef/>
      </w:r>
      <w:r>
        <w:t xml:space="preserve"> Ibid.</w:t>
      </w:r>
    </w:p>
  </w:footnote>
  <w:footnote w:id="128">
    <w:p w14:paraId="584DC467" w14:textId="700A9B47" w:rsidR="00354D17" w:rsidRPr="00354D17" w:rsidRDefault="00354D17">
      <w:pPr>
        <w:pStyle w:val="FootnoteText"/>
        <w:rPr>
          <w:lang w:val="en-GB"/>
        </w:rPr>
      </w:pPr>
      <w:r>
        <w:rPr>
          <w:rStyle w:val="FootnoteReference"/>
        </w:rPr>
        <w:footnoteRef/>
      </w:r>
      <w:r>
        <w:t xml:space="preserve"> </w:t>
      </w:r>
      <w:r w:rsidR="00E1410E">
        <w:rPr>
          <w:lang w:val="en-GB"/>
        </w:rPr>
        <w:t>Ibid.</w:t>
      </w:r>
    </w:p>
  </w:footnote>
  <w:footnote w:id="129">
    <w:p w14:paraId="24F83A7A" w14:textId="206BC13D" w:rsidR="004543B8" w:rsidRPr="004543B8" w:rsidRDefault="004543B8">
      <w:pPr>
        <w:pStyle w:val="FootnoteText"/>
        <w:rPr>
          <w:lang w:val="en-GB"/>
        </w:rPr>
      </w:pPr>
      <w:r>
        <w:rPr>
          <w:rStyle w:val="FootnoteReference"/>
        </w:rPr>
        <w:footnoteRef/>
      </w:r>
      <w:r>
        <w:t xml:space="preserve"> </w:t>
      </w:r>
      <w:r>
        <w:rPr>
          <w:lang w:val="en-GB"/>
        </w:rPr>
        <w:t xml:space="preserve">Inspector of Detention Services, Queensland Ombudsman, </w:t>
      </w:r>
      <w:r w:rsidRPr="00E70707">
        <w:rPr>
          <w:i/>
          <w:iCs/>
          <w:lang w:val="en-GB"/>
        </w:rPr>
        <w:t>Cleveland Youth Detention Centre inspection report: Focus on separation due to staff shortages</w:t>
      </w:r>
      <w:r>
        <w:rPr>
          <w:lang w:val="en-GB"/>
        </w:rPr>
        <w:t xml:space="preserve"> (27 August 2024) </w:t>
      </w:r>
      <w:r w:rsidR="006F2093">
        <w:rPr>
          <w:lang w:val="en-GB"/>
        </w:rPr>
        <w:t>19</w:t>
      </w:r>
      <w:r>
        <w:rPr>
          <w:lang w:val="en-GB"/>
        </w:rPr>
        <w:t>.</w:t>
      </w:r>
    </w:p>
  </w:footnote>
  <w:footnote w:id="130">
    <w:p w14:paraId="48A96C93" w14:textId="448ED149" w:rsidR="00E84831" w:rsidRPr="00E84831" w:rsidRDefault="00E84831">
      <w:pPr>
        <w:pStyle w:val="FootnoteText"/>
        <w:rPr>
          <w:lang w:val="en-GB"/>
        </w:rPr>
      </w:pPr>
      <w:r>
        <w:rPr>
          <w:rStyle w:val="FootnoteReference"/>
        </w:rPr>
        <w:footnoteRef/>
      </w:r>
      <w:r>
        <w:t xml:space="preserve"> </w:t>
      </w:r>
      <w:r w:rsidR="004543B8">
        <w:rPr>
          <w:lang w:val="en-GB"/>
        </w:rPr>
        <w:t>Ibid</w:t>
      </w:r>
      <w:r w:rsidR="0053447A">
        <w:rPr>
          <w:lang w:val="en-GB"/>
        </w:rPr>
        <w:t xml:space="preserve"> </w:t>
      </w:r>
      <w:r w:rsidR="002329B4">
        <w:rPr>
          <w:lang w:val="en-GB"/>
        </w:rPr>
        <w:t>16-</w:t>
      </w:r>
      <w:r w:rsidR="00862608">
        <w:rPr>
          <w:lang w:val="en-GB"/>
        </w:rPr>
        <w:t>21</w:t>
      </w:r>
      <w:r w:rsidR="00707DFD">
        <w:rPr>
          <w:lang w:val="en-GB"/>
        </w:rPr>
        <w:t>.</w:t>
      </w:r>
    </w:p>
  </w:footnote>
  <w:footnote w:id="131">
    <w:p w14:paraId="2F84EF1A" w14:textId="49CE759A" w:rsidR="0053447A" w:rsidRPr="0053447A" w:rsidRDefault="0053447A">
      <w:pPr>
        <w:pStyle w:val="FootnoteText"/>
        <w:rPr>
          <w:lang w:val="en-GB"/>
        </w:rPr>
      </w:pPr>
      <w:r>
        <w:rPr>
          <w:rStyle w:val="FootnoteReference"/>
        </w:rPr>
        <w:footnoteRef/>
      </w:r>
      <w:r>
        <w:t xml:space="preserve"> </w:t>
      </w:r>
      <w:r w:rsidR="00862608">
        <w:rPr>
          <w:lang w:val="en-GB"/>
        </w:rPr>
        <w:t>Inspect</w:t>
      </w:r>
      <w:r w:rsidR="00556568">
        <w:rPr>
          <w:lang w:val="en-GB"/>
        </w:rPr>
        <w:t>or</w:t>
      </w:r>
      <w:r w:rsidR="00862608">
        <w:rPr>
          <w:lang w:val="en-GB"/>
        </w:rPr>
        <w:t xml:space="preserve"> of Detention Services, Queensland Ombudsman, </w:t>
      </w:r>
      <w:r w:rsidR="00862608" w:rsidRPr="001E23B4">
        <w:rPr>
          <w:i/>
          <w:iCs/>
          <w:lang w:val="en-GB"/>
        </w:rPr>
        <w:t xml:space="preserve">Cairns and </w:t>
      </w:r>
      <w:r w:rsidR="00862608" w:rsidRPr="001E23B4">
        <w:rPr>
          <w:i/>
          <w:iCs/>
          <w:lang w:val="en-GB"/>
        </w:rPr>
        <w:t xml:space="preserve">Murgon </w:t>
      </w:r>
      <w:r w:rsidR="002D2B73">
        <w:rPr>
          <w:i/>
          <w:iCs/>
          <w:lang w:val="en-GB"/>
        </w:rPr>
        <w:t>watch house</w:t>
      </w:r>
      <w:r w:rsidR="00862608" w:rsidRPr="001E23B4">
        <w:rPr>
          <w:i/>
          <w:iCs/>
          <w:lang w:val="en-GB"/>
        </w:rPr>
        <w:t>s inspection report: Focus on detention on children</w:t>
      </w:r>
      <w:r w:rsidR="00862608">
        <w:rPr>
          <w:lang w:val="en-GB"/>
        </w:rPr>
        <w:t xml:space="preserve"> (11 September 2024)</w:t>
      </w:r>
      <w:r w:rsidR="006954D8">
        <w:rPr>
          <w:lang w:val="en-GB"/>
        </w:rPr>
        <w:t xml:space="preserve"> 50-55.</w:t>
      </w:r>
    </w:p>
  </w:footnote>
  <w:footnote w:id="132">
    <w:p w14:paraId="1B5B7566" w14:textId="32872838" w:rsidR="00CF7C84" w:rsidRPr="00CF7C84" w:rsidRDefault="00CF7C84">
      <w:pPr>
        <w:pStyle w:val="FootnoteText"/>
        <w:rPr>
          <w:lang w:val="en-GB"/>
        </w:rPr>
      </w:pPr>
      <w:r>
        <w:rPr>
          <w:rStyle w:val="FootnoteReference"/>
        </w:rPr>
        <w:footnoteRef/>
      </w:r>
      <w:r>
        <w:t xml:space="preserve"> </w:t>
      </w:r>
      <w:r w:rsidRPr="00261CFC">
        <w:rPr>
          <w:i/>
          <w:iCs/>
        </w:rPr>
        <w:t xml:space="preserve">R v TA </w:t>
      </w:r>
      <w:r w:rsidRPr="00261CFC">
        <w:t xml:space="preserve">[2023] </w:t>
      </w:r>
      <w:r w:rsidRPr="00261CFC">
        <w:t>QChC 2</w:t>
      </w:r>
      <w:r>
        <w:t>, 5.</w:t>
      </w:r>
    </w:p>
  </w:footnote>
  <w:footnote w:id="133">
    <w:p w14:paraId="3867AE44" w14:textId="6578E458" w:rsidR="00CE2E4F" w:rsidRPr="00CA0FA7" w:rsidRDefault="00CE2E4F" w:rsidP="00CE2E4F">
      <w:pPr>
        <w:pStyle w:val="FootnoteText"/>
        <w:rPr>
          <w:lang w:val="en-GB"/>
        </w:rPr>
      </w:pPr>
      <w:r>
        <w:rPr>
          <w:rStyle w:val="FootnoteReference"/>
        </w:rPr>
        <w:footnoteRef/>
      </w:r>
      <w:r>
        <w:t xml:space="preserve"> </w:t>
      </w:r>
      <w:r w:rsidR="00FC71F2">
        <w:t>Ibid.</w:t>
      </w:r>
    </w:p>
  </w:footnote>
  <w:footnote w:id="134">
    <w:p w14:paraId="50A38EA2" w14:textId="38FD002E" w:rsidR="006772DD" w:rsidRPr="006772DD" w:rsidRDefault="006772DD">
      <w:pPr>
        <w:pStyle w:val="FootnoteText"/>
        <w:rPr>
          <w:lang w:val="en-GB"/>
        </w:rPr>
      </w:pPr>
      <w:r>
        <w:rPr>
          <w:rStyle w:val="FootnoteReference"/>
        </w:rPr>
        <w:footnoteRef/>
      </w:r>
      <w:r>
        <w:t xml:space="preserve"> Ibid 4.</w:t>
      </w:r>
    </w:p>
  </w:footnote>
  <w:footnote w:id="135">
    <w:p w14:paraId="37E7CA33" w14:textId="59F51C27" w:rsidR="00FC71F2" w:rsidRPr="00FC71F2" w:rsidRDefault="00FC71F2">
      <w:pPr>
        <w:pStyle w:val="FootnoteText"/>
        <w:rPr>
          <w:lang w:val="en-GB"/>
        </w:rPr>
      </w:pPr>
      <w:r>
        <w:rPr>
          <w:rStyle w:val="FootnoteReference"/>
        </w:rPr>
        <w:footnoteRef/>
      </w:r>
      <w:r>
        <w:t xml:space="preserve"> Ibid 6.</w:t>
      </w:r>
    </w:p>
  </w:footnote>
  <w:footnote w:id="136">
    <w:p w14:paraId="7C953AD8" w14:textId="77777777" w:rsidR="00CE2E4F" w:rsidRPr="00533376" w:rsidRDefault="00CE2E4F" w:rsidP="00CE2E4F">
      <w:pPr>
        <w:pStyle w:val="FootnoteText"/>
        <w:rPr>
          <w:lang w:val="en-GB"/>
        </w:rPr>
      </w:pPr>
      <w:r>
        <w:rPr>
          <w:rStyle w:val="FootnoteReference"/>
        </w:rPr>
        <w:footnoteRef/>
      </w:r>
      <w:r>
        <w:t xml:space="preserve"> </w:t>
      </w:r>
      <w:r w:rsidRPr="00417DCE">
        <w:rPr>
          <w:i/>
          <w:iCs/>
          <w:lang w:val="en-GB"/>
        </w:rPr>
        <w:t>R v Nathan (a pseudonym)</w:t>
      </w:r>
      <w:r>
        <w:rPr>
          <w:lang w:val="en-GB"/>
        </w:rPr>
        <w:t xml:space="preserve"> [2023] </w:t>
      </w:r>
      <w:r>
        <w:rPr>
          <w:lang w:val="en-GB"/>
        </w:rPr>
        <w:t>QChC 4.</w:t>
      </w:r>
    </w:p>
  </w:footnote>
  <w:footnote w:id="137">
    <w:p w14:paraId="03FF7000" w14:textId="0F0A6C10" w:rsidR="00CE2E4F" w:rsidRPr="00843E51" w:rsidRDefault="00CE2E4F" w:rsidP="00CE2E4F">
      <w:pPr>
        <w:pStyle w:val="FootnoteText"/>
        <w:rPr>
          <w:lang w:val="en-GB"/>
        </w:rPr>
      </w:pPr>
      <w:r>
        <w:rPr>
          <w:rStyle w:val="FootnoteReference"/>
        </w:rPr>
        <w:footnoteRef/>
      </w:r>
      <w:r>
        <w:t xml:space="preserve"> </w:t>
      </w:r>
      <w:r w:rsidR="00693FD2">
        <w:rPr>
          <w:lang w:val="en-GB"/>
        </w:rPr>
        <w:t>Ibid</w:t>
      </w:r>
      <w:r>
        <w:rPr>
          <w:lang w:val="en-GB"/>
        </w:rPr>
        <w:t xml:space="preserve"> [18].</w:t>
      </w:r>
    </w:p>
  </w:footnote>
  <w:footnote w:id="138">
    <w:p w14:paraId="79786978" w14:textId="1A3A3ACC" w:rsidR="00CE2E4F" w:rsidRPr="005B2127" w:rsidRDefault="00CE2E4F" w:rsidP="00CE2E4F">
      <w:pPr>
        <w:pStyle w:val="FootnoteText"/>
        <w:rPr>
          <w:lang w:val="en-GB"/>
        </w:rPr>
      </w:pPr>
      <w:r>
        <w:rPr>
          <w:rStyle w:val="FootnoteReference"/>
        </w:rPr>
        <w:footnoteRef/>
      </w:r>
      <w:r>
        <w:t xml:space="preserve"> Child Death Review Board, Queensland Family &amp; Child Commission, </w:t>
      </w:r>
      <w:r w:rsidRPr="00A849FD">
        <w:rPr>
          <w:i/>
        </w:rPr>
        <w:t xml:space="preserve">Annual Report </w:t>
      </w:r>
      <w:r w:rsidR="00130FC5">
        <w:rPr>
          <w:i/>
        </w:rPr>
        <w:t>2022–23</w:t>
      </w:r>
      <w:r>
        <w:rPr>
          <w:lang w:val="en-GB"/>
        </w:rPr>
        <w:t xml:space="preserve"> 38.</w:t>
      </w:r>
    </w:p>
  </w:footnote>
  <w:footnote w:id="139">
    <w:p w14:paraId="1B7306A6" w14:textId="5F026F34" w:rsidR="00CE2E4F" w:rsidRPr="00A23405" w:rsidRDefault="00CE2E4F" w:rsidP="00CE2E4F">
      <w:pPr>
        <w:pStyle w:val="FootnoteText"/>
        <w:rPr>
          <w:lang w:val="en-GB"/>
        </w:rPr>
      </w:pPr>
      <w:r>
        <w:rPr>
          <w:rStyle w:val="FootnoteReference"/>
        </w:rPr>
        <w:footnoteRef/>
      </w:r>
      <w:r>
        <w:t xml:space="preserve"> Ibid</w:t>
      </w:r>
      <w:r w:rsidR="00C121CD">
        <w:t>.</w:t>
      </w:r>
    </w:p>
  </w:footnote>
  <w:footnote w:id="140">
    <w:p w14:paraId="174FB5A6" w14:textId="31D8A36E" w:rsidR="00636C63" w:rsidRPr="00A849FD" w:rsidRDefault="00636C63" w:rsidP="00636C63">
      <w:pPr>
        <w:pStyle w:val="FootnoteText"/>
        <w:rPr>
          <w:lang w:val="en-GB"/>
        </w:rPr>
      </w:pPr>
      <w:r>
        <w:rPr>
          <w:rStyle w:val="FootnoteReference"/>
        </w:rPr>
        <w:footnoteRef/>
      </w:r>
      <w:r>
        <w:t xml:space="preserve"> </w:t>
      </w:r>
      <w:r w:rsidR="00C121CD">
        <w:t>Ibid</w:t>
      </w:r>
      <w:r w:rsidRPr="00A849FD">
        <w:rPr>
          <w:i/>
          <w:iCs/>
        </w:rPr>
        <w:t xml:space="preserve"> </w:t>
      </w:r>
      <w:r>
        <w:rPr>
          <w:lang w:val="en-GB"/>
        </w:rPr>
        <w:t>38-40.</w:t>
      </w:r>
    </w:p>
  </w:footnote>
  <w:footnote w:id="141">
    <w:p w14:paraId="48EB0118" w14:textId="7E7470FF" w:rsidR="00E02313" w:rsidRPr="00E02313" w:rsidRDefault="00E02313">
      <w:pPr>
        <w:pStyle w:val="FootnoteText"/>
        <w:rPr>
          <w:lang w:val="en-GB"/>
        </w:rPr>
      </w:pPr>
      <w:r>
        <w:rPr>
          <w:rStyle w:val="FootnoteReference"/>
        </w:rPr>
        <w:footnoteRef/>
      </w:r>
      <w:r>
        <w:t xml:space="preserve"> </w:t>
      </w:r>
      <w:r w:rsidRPr="00752F3A">
        <w:rPr>
          <w:i/>
          <w:lang w:val="en-GB"/>
        </w:rPr>
        <w:t xml:space="preserve">DRC </w:t>
      </w:r>
      <w:r w:rsidR="00731C44" w:rsidRPr="00752F3A">
        <w:rPr>
          <w:i/>
          <w:iCs/>
          <w:lang w:val="en-GB"/>
        </w:rPr>
        <w:t>Final Report</w:t>
      </w:r>
      <w:r w:rsidR="00731C44">
        <w:rPr>
          <w:lang w:val="en-GB"/>
        </w:rPr>
        <w:t xml:space="preserve"> </w:t>
      </w:r>
      <w:r w:rsidR="00731C44" w:rsidRPr="004E070F">
        <w:rPr>
          <w:i/>
          <w:iCs/>
          <w:lang w:val="en-GB"/>
        </w:rPr>
        <w:t>vol</w:t>
      </w:r>
      <w:r w:rsidR="00D70C9F" w:rsidRPr="004E070F">
        <w:rPr>
          <w:i/>
          <w:lang w:val="en-GB"/>
        </w:rPr>
        <w:t xml:space="preserve"> 8</w:t>
      </w:r>
      <w:r w:rsidR="00D70C9F">
        <w:rPr>
          <w:lang w:val="en-GB"/>
        </w:rPr>
        <w:t xml:space="preserve"> 99</w:t>
      </w:r>
    </w:p>
  </w:footnote>
  <w:footnote w:id="142">
    <w:p w14:paraId="143EF901" w14:textId="1E5A08A2" w:rsidR="003707CA" w:rsidRPr="003707CA" w:rsidRDefault="003707CA">
      <w:pPr>
        <w:pStyle w:val="FootnoteText"/>
        <w:rPr>
          <w:lang w:val="en-GB"/>
        </w:rPr>
      </w:pPr>
      <w:r>
        <w:rPr>
          <w:rStyle w:val="FootnoteReference"/>
        </w:rPr>
        <w:footnoteRef/>
      </w:r>
      <w:r>
        <w:t xml:space="preserve"> </w:t>
      </w:r>
      <w:r w:rsidR="00731C44" w:rsidRPr="00731C44">
        <w:rPr>
          <w:i/>
          <w:iCs/>
        </w:rPr>
        <w:t>Nelson</w:t>
      </w:r>
      <w:r w:rsidRPr="00731C44">
        <w:rPr>
          <w:i/>
        </w:rPr>
        <w:t xml:space="preserve"> </w:t>
      </w:r>
      <w:r w:rsidRPr="00731C44">
        <w:rPr>
          <w:i/>
          <w:lang w:val="en-GB"/>
        </w:rPr>
        <w:t>Mandela Rules</w:t>
      </w:r>
      <w:r w:rsidR="002B16A3">
        <w:rPr>
          <w:lang w:val="en-GB"/>
        </w:rPr>
        <w:t xml:space="preserve"> r 44.</w:t>
      </w:r>
    </w:p>
  </w:footnote>
  <w:footnote w:id="143">
    <w:p w14:paraId="0C6CAD3B" w14:textId="5A17BCE3" w:rsidR="0071098C" w:rsidRPr="0071098C" w:rsidRDefault="00000C5E" w:rsidP="0071098C">
      <w:pPr>
        <w:pStyle w:val="FootnoteText"/>
      </w:pPr>
      <w:r>
        <w:rPr>
          <w:rStyle w:val="FootnoteReference"/>
        </w:rPr>
        <w:footnoteRef/>
      </w:r>
      <w:r>
        <w:t xml:space="preserve"> </w:t>
      </w:r>
      <w:r w:rsidR="0071098C" w:rsidRPr="0071098C">
        <w:t xml:space="preserve">Penal Reform International Head Office and Human Rights Centre University of Essex, </w:t>
      </w:r>
      <w:r w:rsidR="0071098C" w:rsidRPr="0071098C">
        <w:rPr>
          <w:i/>
        </w:rPr>
        <w:t xml:space="preserve">Essex Paper 3: Initial guidance on the interpretation and implementation of the UN Nelson Mandela Rules, </w:t>
      </w:r>
      <w:r w:rsidR="0071098C" w:rsidRPr="0071098C">
        <w:t xml:space="preserve">2017, 88-89. </w:t>
      </w:r>
    </w:p>
    <w:p w14:paraId="7D61BF14" w14:textId="403E6C9A" w:rsidR="00000C5E" w:rsidRPr="00000C5E" w:rsidRDefault="00000C5E">
      <w:pPr>
        <w:pStyle w:val="FootnoteText"/>
        <w:rPr>
          <w:lang w:val="en-GB"/>
        </w:rPr>
      </w:pPr>
    </w:p>
  </w:footnote>
  <w:footnote w:id="144">
    <w:p w14:paraId="56187FDA" w14:textId="05BD3E15" w:rsidR="00EC68E3" w:rsidRPr="007C36F1" w:rsidRDefault="00EC68E3" w:rsidP="00EC68E3">
      <w:pPr>
        <w:pStyle w:val="FootnoteText"/>
        <w:rPr>
          <w:lang w:val="en-GB"/>
        </w:rPr>
      </w:pPr>
      <w:r>
        <w:rPr>
          <w:rStyle w:val="FootnoteReference"/>
        </w:rPr>
        <w:footnoteRef/>
      </w:r>
      <w:r>
        <w:t xml:space="preserve"> </w:t>
      </w:r>
      <w:r w:rsidR="000A4504" w:rsidRPr="000A4504">
        <w:rPr>
          <w:i/>
          <w:iCs/>
        </w:rPr>
        <w:t>Nelson</w:t>
      </w:r>
      <w:r>
        <w:t xml:space="preserve"> </w:t>
      </w:r>
      <w:r w:rsidRPr="0060252C">
        <w:rPr>
          <w:i/>
          <w:iCs/>
        </w:rPr>
        <w:t>Mandela Rules</w:t>
      </w:r>
      <w:r w:rsidRPr="00B77191">
        <w:t xml:space="preserve"> </w:t>
      </w:r>
      <w:r w:rsidR="00360EEC">
        <w:t>r</w:t>
      </w:r>
      <w:r w:rsidRPr="00B77191">
        <w:t xml:space="preserve"> 43; Human Rights Council, </w:t>
      </w:r>
      <w:r w:rsidRPr="00B77191">
        <w:rPr>
          <w:i/>
          <w:iCs/>
        </w:rPr>
        <w:t>Report of the Special Rapporteur on torture and other cruel, inhuman or degrading treatment or punishment</w:t>
      </w:r>
      <w:r w:rsidR="000A4504">
        <w:t xml:space="preserve">, </w:t>
      </w:r>
      <w:r w:rsidRPr="00B77191">
        <w:t>UN Doc A/HRC/43/49</w:t>
      </w:r>
      <w:r w:rsidR="000A4504">
        <w:t xml:space="preserve"> (</w:t>
      </w:r>
      <w:r w:rsidRPr="00B77191">
        <w:t>20 March 2020) [57].</w:t>
      </w:r>
    </w:p>
  </w:footnote>
  <w:footnote w:id="145">
    <w:p w14:paraId="04EDA4AB" w14:textId="21D10E1C" w:rsidR="00EC68E3" w:rsidRPr="00B77191" w:rsidRDefault="00EC68E3" w:rsidP="00EC68E3">
      <w:pPr>
        <w:pStyle w:val="FootnoteText"/>
        <w:rPr>
          <w:lang w:val="en-GB"/>
        </w:rPr>
      </w:pPr>
      <w:r>
        <w:rPr>
          <w:rStyle w:val="FootnoteReference"/>
        </w:rPr>
        <w:footnoteRef/>
      </w:r>
      <w:r>
        <w:t xml:space="preserve"> </w:t>
      </w:r>
      <w:r w:rsidR="000A4504" w:rsidRPr="000A4504">
        <w:rPr>
          <w:i/>
          <w:iCs/>
        </w:rPr>
        <w:t>N</w:t>
      </w:r>
      <w:r w:rsidR="000A4504">
        <w:rPr>
          <w:i/>
          <w:iCs/>
        </w:rPr>
        <w:t>e</w:t>
      </w:r>
      <w:r w:rsidR="000A4504" w:rsidRPr="000A4504">
        <w:rPr>
          <w:i/>
          <w:iCs/>
        </w:rPr>
        <w:t>lson</w:t>
      </w:r>
      <w:r>
        <w:t xml:space="preserve"> </w:t>
      </w:r>
      <w:r w:rsidRPr="0060252C">
        <w:rPr>
          <w:i/>
          <w:iCs/>
          <w:lang w:val="en-GB"/>
        </w:rPr>
        <w:t>Mandela</w:t>
      </w:r>
      <w:r w:rsidRPr="0060252C">
        <w:rPr>
          <w:i/>
          <w:iCs/>
        </w:rPr>
        <w:t xml:space="preserve"> Rules</w:t>
      </w:r>
      <w:r w:rsidRPr="00723302">
        <w:t xml:space="preserve">, </w:t>
      </w:r>
      <w:r w:rsidR="0060252C">
        <w:t>r</w:t>
      </w:r>
      <w:r w:rsidRPr="00723302">
        <w:t xml:space="preserve"> 44; </w:t>
      </w:r>
      <w:r w:rsidRPr="0060252C">
        <w:rPr>
          <w:i/>
          <w:iCs/>
        </w:rPr>
        <w:t>Havana Rules</w:t>
      </w:r>
      <w:r w:rsidRPr="00723302">
        <w:t xml:space="preserve"> </w:t>
      </w:r>
      <w:r w:rsidR="0060252C">
        <w:t xml:space="preserve">r </w:t>
      </w:r>
      <w:r w:rsidRPr="00723302">
        <w:t>67.</w:t>
      </w:r>
    </w:p>
  </w:footnote>
  <w:footnote w:id="146">
    <w:p w14:paraId="539DDCC0" w14:textId="7E9F936B" w:rsidR="00D95B91" w:rsidRDefault="00D95B91" w:rsidP="00081938">
      <w:pPr>
        <w:pStyle w:val="FootnoteText"/>
      </w:pPr>
      <w:r w:rsidRPr="00A918C5">
        <w:rPr>
          <w:rFonts w:cs="Arial"/>
          <w:szCs w:val="20"/>
          <w:vertAlign w:val="superscript"/>
        </w:rPr>
        <w:footnoteRef/>
      </w:r>
      <w:r w:rsidRPr="000C23D7">
        <w:rPr>
          <w:rFonts w:cs="Arial"/>
          <w:szCs w:val="20"/>
        </w:rPr>
        <w:t xml:space="preserve"> </w:t>
      </w:r>
      <w:r w:rsidRPr="00081938">
        <w:rPr>
          <w:lang w:val="en-GB"/>
        </w:rPr>
        <w:t>Australian</w:t>
      </w:r>
      <w:r>
        <w:rPr>
          <w:rFonts w:cs="Arial"/>
          <w:szCs w:val="20"/>
        </w:rPr>
        <w:t xml:space="preserve"> Human Rights Commission</w:t>
      </w:r>
      <w:r w:rsidRPr="000C23D7">
        <w:rPr>
          <w:rFonts w:cs="Arial"/>
          <w:szCs w:val="20"/>
        </w:rPr>
        <w:t xml:space="preserve">, </w:t>
      </w:r>
      <w:r w:rsidR="008F20C2">
        <w:rPr>
          <w:rFonts w:cs="Arial"/>
          <w:szCs w:val="20"/>
        </w:rPr>
        <w:t>Submission to the UN Committee Against Torture,</w:t>
      </w:r>
      <w:r w:rsidRPr="000C23D7">
        <w:rPr>
          <w:rFonts w:cs="Arial"/>
          <w:szCs w:val="20"/>
        </w:rPr>
        <w:t xml:space="preserve"> </w:t>
      </w:r>
      <w:r w:rsidRPr="006C2A3F">
        <w:rPr>
          <w:rFonts w:cs="Arial"/>
          <w:i/>
          <w:iCs/>
          <w:szCs w:val="20"/>
        </w:rPr>
        <w:t xml:space="preserve">Follow Up Procedures to Australia's Sixth Periodic Review </w:t>
      </w:r>
      <w:r w:rsidRPr="000C23D7">
        <w:rPr>
          <w:rFonts w:cs="Arial"/>
          <w:szCs w:val="20"/>
        </w:rPr>
        <w:t>(15 September 2023) [77] (internal citations omitted). See also National Children’s Commissioner,</w:t>
      </w:r>
      <w:r>
        <w:rPr>
          <w:rFonts w:cs="Arial"/>
          <w:szCs w:val="20"/>
        </w:rPr>
        <w:t xml:space="preserve"> Australian Human Rights Commission, </w:t>
      </w:r>
      <w:r w:rsidRPr="007A3F65">
        <w:rPr>
          <w:rFonts w:cs="Arial"/>
          <w:szCs w:val="20"/>
        </w:rPr>
        <w:t>Submission No 11 to Youth Justice Reform Select Committee,</w:t>
      </w:r>
      <w:r>
        <w:rPr>
          <w:rFonts w:cs="Arial"/>
          <w:szCs w:val="20"/>
        </w:rPr>
        <w:t xml:space="preserve"> Queensland Parliament,</w:t>
      </w:r>
      <w:r>
        <w:rPr>
          <w:rFonts w:cs="Arial"/>
          <w:i/>
          <w:iCs/>
          <w:szCs w:val="20"/>
        </w:rPr>
        <w:t xml:space="preserve"> </w:t>
      </w:r>
      <w:r w:rsidRPr="009B170C">
        <w:rPr>
          <w:rFonts w:cs="Arial"/>
          <w:i/>
          <w:iCs/>
          <w:szCs w:val="20"/>
        </w:rPr>
        <w:t>Inquiry into Youth Justice Reform in Queensland</w:t>
      </w:r>
      <w:r w:rsidRPr="000C23D7">
        <w:rPr>
          <w:rFonts w:cs="Arial"/>
          <w:szCs w:val="20"/>
        </w:rPr>
        <w:t xml:space="preserve"> (</w:t>
      </w:r>
      <w:r>
        <w:rPr>
          <w:rFonts w:cs="Arial"/>
          <w:szCs w:val="20"/>
        </w:rPr>
        <w:t xml:space="preserve">15 </w:t>
      </w:r>
      <w:r w:rsidRPr="000C23D7">
        <w:rPr>
          <w:rFonts w:cs="Arial"/>
          <w:szCs w:val="20"/>
        </w:rPr>
        <w:t>November 2023)</w:t>
      </w:r>
      <w:r>
        <w:rPr>
          <w:rFonts w:cs="Arial"/>
          <w:szCs w:val="20"/>
        </w:rPr>
        <w:t xml:space="preserve"> 4</w:t>
      </w:r>
      <w:r w:rsidR="006162EF">
        <w:rPr>
          <w:rFonts w:cs="Arial"/>
          <w:szCs w:val="20"/>
        </w:rPr>
        <w:t>–</w:t>
      </w:r>
      <w:r>
        <w:rPr>
          <w:rFonts w:cs="Arial"/>
          <w:szCs w:val="20"/>
        </w:rPr>
        <w:t>5</w:t>
      </w:r>
      <w:r w:rsidRPr="000C23D7">
        <w:rPr>
          <w:rFonts w:cs="Arial"/>
          <w:szCs w:val="20"/>
        </w:rPr>
        <w:t>.</w:t>
      </w:r>
    </w:p>
  </w:footnote>
  <w:footnote w:id="147">
    <w:p w14:paraId="6A2A85AB" w14:textId="77777777" w:rsidR="00D95B91" w:rsidRPr="00B62FCD" w:rsidRDefault="00D95B91" w:rsidP="00D95B91">
      <w:pPr>
        <w:pStyle w:val="FootnoteText"/>
        <w:rPr>
          <w:lang w:val="en-GB"/>
        </w:rPr>
      </w:pPr>
      <w:r>
        <w:rPr>
          <w:rStyle w:val="FootnoteReference"/>
        </w:rPr>
        <w:footnoteRef/>
      </w:r>
      <w:r>
        <w:t xml:space="preserve"> </w:t>
      </w:r>
      <w:r w:rsidRPr="00081938">
        <w:rPr>
          <w:lang w:val="en-GB"/>
        </w:rPr>
        <w:t>Adopted</w:t>
      </w:r>
      <w:r>
        <w:t xml:space="preserve"> on 9 December 2007 at the International Psychological Trauma Symposium,</w:t>
      </w:r>
      <w:r w:rsidRPr="00E55137">
        <w:t xml:space="preserve"> </w:t>
      </w:r>
      <w:r>
        <w:t xml:space="preserve">Istanbul, and annexed to Manfred Nowak, </w:t>
      </w:r>
      <w:r w:rsidRPr="00E55137">
        <w:rPr>
          <w:i/>
          <w:iCs/>
        </w:rPr>
        <w:t>Interim report of the Special Rapporteur on torture and other cruel, inhuman or degrading treatment or punishment</w:t>
      </w:r>
      <w:r>
        <w:t xml:space="preserve">, UN Doc A/63/175 (28 July 2008) 2. </w:t>
      </w:r>
    </w:p>
  </w:footnote>
  <w:footnote w:id="148">
    <w:p w14:paraId="7C56DBBE" w14:textId="77777777" w:rsidR="00D95B91" w:rsidRPr="00B25A7F" w:rsidRDefault="00D95B91" w:rsidP="00D95B91">
      <w:pPr>
        <w:pStyle w:val="FootnoteText"/>
        <w:rPr>
          <w:lang w:val="en-GB"/>
        </w:rPr>
      </w:pPr>
      <w:r>
        <w:rPr>
          <w:rStyle w:val="FootnoteReference"/>
        </w:rPr>
        <w:footnoteRef/>
      </w:r>
      <w:r>
        <w:t xml:space="preserve"> </w:t>
      </w:r>
      <w:r>
        <w:rPr>
          <w:lang w:val="en-GB"/>
        </w:rPr>
        <w:t xml:space="preserve">Inspector of Detention Services, Queensland Ombudsman, </w:t>
      </w:r>
      <w:r w:rsidRPr="00E70707">
        <w:rPr>
          <w:i/>
          <w:iCs/>
          <w:lang w:val="en-GB"/>
        </w:rPr>
        <w:t>Cleveland Youth Detention Centre inspection report: Focus on separation due to staff shortages</w:t>
      </w:r>
      <w:r>
        <w:rPr>
          <w:lang w:val="en-GB"/>
        </w:rPr>
        <w:t xml:space="preserve"> (27 August 2024) 29.</w:t>
      </w:r>
    </w:p>
  </w:footnote>
  <w:footnote w:id="149">
    <w:p w14:paraId="415A78C8" w14:textId="61A73FC8" w:rsidR="006E5C70" w:rsidRDefault="006E5C70" w:rsidP="006E5C70">
      <w:pPr>
        <w:pStyle w:val="FootnoteText"/>
      </w:pPr>
      <w:r w:rsidRPr="00361F34">
        <w:rPr>
          <w:rStyle w:val="FootnoteReference"/>
          <w:rFonts w:cs="Arial"/>
        </w:rPr>
        <w:footnoteRef/>
      </w:r>
      <w:r w:rsidRPr="00361F34">
        <w:rPr>
          <w:rFonts w:cs="Arial"/>
        </w:rPr>
        <w:t xml:space="preserve"> </w:t>
      </w:r>
      <w:r w:rsidRPr="00361F34">
        <w:rPr>
          <w:rFonts w:cs="Arial"/>
          <w:lang w:val="en-GB"/>
        </w:rPr>
        <w:t xml:space="preserve">See further </w:t>
      </w:r>
      <w:r w:rsidR="000C6AB1">
        <w:t xml:space="preserve">Juan E Mendez, </w:t>
      </w:r>
      <w:r w:rsidR="000C6AB1" w:rsidRPr="0064735E">
        <w:rPr>
          <w:i/>
          <w:iCs/>
        </w:rPr>
        <w:t>Report of the Special Rapporteur on torture and other cruel, inhuman or degrading treatment or punishment</w:t>
      </w:r>
      <w:r w:rsidR="000C6AB1">
        <w:t>, UN Doc A/HRC/28/68 (5 March 2015)</w:t>
      </w:r>
      <w:r w:rsidR="00D23CEA">
        <w:t xml:space="preserve"> [44]</w:t>
      </w:r>
      <w:r w:rsidR="000C6AB1">
        <w:t>.</w:t>
      </w:r>
    </w:p>
  </w:footnote>
  <w:footnote w:id="150">
    <w:p w14:paraId="1AE5C079" w14:textId="5CC1A6E1" w:rsidR="00C7709B" w:rsidRPr="00C7709B" w:rsidRDefault="00C7709B">
      <w:pPr>
        <w:pStyle w:val="FootnoteText"/>
        <w:rPr>
          <w:lang w:val="en-GB"/>
        </w:rPr>
      </w:pPr>
      <w:r>
        <w:rPr>
          <w:rStyle w:val="FootnoteReference"/>
        </w:rPr>
        <w:footnoteRef/>
      </w:r>
      <w:r>
        <w:t xml:space="preserve"> </w:t>
      </w:r>
      <w:r w:rsidRPr="00361F34">
        <w:rPr>
          <w:rFonts w:cs="Arial"/>
          <w:lang w:val="en-GB"/>
        </w:rPr>
        <w:t xml:space="preserve">Committee Against Torture, </w:t>
      </w:r>
      <w:r w:rsidRPr="00060441">
        <w:rPr>
          <w:rFonts w:cs="Arial"/>
          <w:i/>
          <w:iCs/>
        </w:rPr>
        <w:t>Concluding observations on the sixth periodic reports of Australia</w:t>
      </w:r>
      <w:r w:rsidR="00C541C2">
        <w:rPr>
          <w:rFonts w:cs="Arial"/>
          <w:i/>
          <w:iCs/>
        </w:rPr>
        <w:t>,</w:t>
      </w:r>
      <w:r>
        <w:rPr>
          <w:rFonts w:cs="Arial"/>
        </w:rPr>
        <w:t xml:space="preserve"> UN Doc CAT/C/AUS/CO/6 (5 December 2022) [38(d)];</w:t>
      </w:r>
      <w:r w:rsidR="00FC01DC" w:rsidRPr="00FC01DC">
        <w:t xml:space="preserve"> </w:t>
      </w:r>
      <w:r w:rsidR="00FC01DC">
        <w:t>National Children’s Commissioner, Australian Human Rights Commission, ‘</w:t>
      </w:r>
      <w:r w:rsidR="00FC01DC" w:rsidRPr="002B29E2">
        <w:rPr>
          <w:rFonts w:cs="Arial"/>
          <w:i/>
          <w:iCs/>
        </w:rPr>
        <w:t>Help Way Earlier</w:t>
      </w:r>
      <w:r w:rsidR="00FC01DC">
        <w:rPr>
          <w:rFonts w:cs="Arial"/>
          <w:i/>
          <w:iCs/>
        </w:rPr>
        <w:t>!’</w:t>
      </w:r>
      <w:r w:rsidR="00FC01DC" w:rsidRPr="002B29E2">
        <w:rPr>
          <w:rFonts w:cs="Arial"/>
          <w:i/>
          <w:iCs/>
        </w:rPr>
        <w:t xml:space="preserve"> How Australia can transform child justice to improve safety and wellbeing</w:t>
      </w:r>
      <w:r w:rsidR="00FC01DC" w:rsidRPr="000C23D7">
        <w:rPr>
          <w:rFonts w:cs="Arial"/>
        </w:rPr>
        <w:t xml:space="preserve"> (</w:t>
      </w:r>
      <w:r w:rsidR="00FC01DC">
        <w:rPr>
          <w:rFonts w:cs="Arial"/>
        </w:rPr>
        <w:t xml:space="preserve">21 June </w:t>
      </w:r>
      <w:r w:rsidR="00FC01DC" w:rsidRPr="000C23D7">
        <w:rPr>
          <w:rFonts w:cs="Arial"/>
        </w:rPr>
        <w:t>2024) 91</w:t>
      </w:r>
      <w:r w:rsidR="00FC01DC">
        <w:rPr>
          <w:rFonts w:cs="Arial"/>
        </w:rPr>
        <w:t xml:space="preserve">; </w:t>
      </w:r>
      <w:r w:rsidR="00FC01DC" w:rsidRPr="000D61C4">
        <w:rPr>
          <w:i/>
          <w:iCs/>
        </w:rPr>
        <w:t xml:space="preserve">DRC </w:t>
      </w:r>
      <w:r w:rsidR="00FC01DC" w:rsidRPr="000D61C4">
        <w:rPr>
          <w:i/>
        </w:rPr>
        <w:t>Final Report vol 8</w:t>
      </w:r>
      <w:r w:rsidR="00FC01DC">
        <w:t>, 18 (</w:t>
      </w:r>
      <w:r w:rsidR="00FC01DC">
        <w:rPr>
          <w:lang w:val="en-GB"/>
        </w:rPr>
        <w:t>Recommendation 8.3).</w:t>
      </w:r>
    </w:p>
  </w:footnote>
  <w:footnote w:id="151">
    <w:p w14:paraId="786D009A" w14:textId="3A345EAF" w:rsidR="00E56375" w:rsidRPr="00E56375" w:rsidRDefault="00E56375">
      <w:pPr>
        <w:pStyle w:val="FootnoteText"/>
        <w:rPr>
          <w:lang w:val="en-GB"/>
        </w:rPr>
      </w:pPr>
      <w:r>
        <w:rPr>
          <w:rStyle w:val="FootnoteReference"/>
        </w:rPr>
        <w:footnoteRef/>
      </w:r>
      <w:r>
        <w:t xml:space="preserve"> </w:t>
      </w:r>
      <w:r w:rsidR="00DE7536" w:rsidRPr="00DE7536">
        <w:t>Commissioner for Children and Young People, Western Australia, ANZCCGA Joint</w:t>
      </w:r>
      <w:r w:rsidR="00DE7536" w:rsidRPr="00DE7536">
        <w:br/>
        <w:t>Statement on isolation in Youth Detention (Web Page, 22 February 2024)</w:t>
      </w:r>
      <w:r w:rsidR="00D830EB">
        <w:t xml:space="preserve"> </w:t>
      </w:r>
      <w:r w:rsidR="00DE7536" w:rsidRPr="00DE7536">
        <w:t>&lt;</w:t>
      </w:r>
      <w:hyperlink r:id="rId26" w:history="1">
        <w:r w:rsidR="00DE7536" w:rsidRPr="00B7777A">
          <w:rPr>
            <w:rStyle w:val="Hyperlink"/>
          </w:rPr>
          <w:t>https://www.ccyp.wa.gov.au/news/anzccga-joint-statement-on-isolation-in-youth-detention</w:t>
        </w:r>
      </w:hyperlink>
      <w:r w:rsidR="00DE7536" w:rsidRPr="00DE7536">
        <w:t>&gt;</w:t>
      </w:r>
      <w:r w:rsidR="00D830EB">
        <w:t xml:space="preserve"> (</w:t>
      </w:r>
      <w:r w:rsidR="00D830EB" w:rsidRPr="00D830EB">
        <w:rPr>
          <w:b/>
          <w:bCs/>
          <w:i/>
          <w:iCs/>
        </w:rPr>
        <w:t>ANZCCGA Joint Statement</w:t>
      </w:r>
      <w:r w:rsidR="00D830EB">
        <w:t>)</w:t>
      </w:r>
      <w:r w:rsidR="00DE7536" w:rsidRPr="00DE7536">
        <w:t>;</w:t>
      </w:r>
      <w:r w:rsidR="00DE7536" w:rsidRPr="00DE7536">
        <w:br/>
      </w:r>
      <w:r w:rsidR="00D830EB" w:rsidRPr="00752F3A">
        <w:rPr>
          <w:i/>
          <w:lang w:val="en-GB"/>
        </w:rPr>
        <w:t xml:space="preserve">DRC </w:t>
      </w:r>
      <w:r w:rsidR="00D830EB" w:rsidRPr="00752F3A">
        <w:rPr>
          <w:i/>
          <w:iCs/>
          <w:lang w:val="en-GB"/>
        </w:rPr>
        <w:t>Final Report</w:t>
      </w:r>
      <w:r w:rsidR="00D830EB">
        <w:rPr>
          <w:lang w:val="en-GB"/>
        </w:rPr>
        <w:t xml:space="preserve"> </w:t>
      </w:r>
      <w:r w:rsidR="00D830EB" w:rsidRPr="004E070F">
        <w:rPr>
          <w:i/>
          <w:iCs/>
          <w:lang w:val="en-GB"/>
        </w:rPr>
        <w:t>vol</w:t>
      </w:r>
      <w:r w:rsidR="00D830EB" w:rsidRPr="004E070F">
        <w:rPr>
          <w:i/>
          <w:lang w:val="en-GB"/>
        </w:rPr>
        <w:t xml:space="preserve"> 8</w:t>
      </w:r>
      <w:r w:rsidR="00D830EB">
        <w:rPr>
          <w:lang w:val="en-GB"/>
        </w:rPr>
        <w:t xml:space="preserve"> </w:t>
      </w:r>
      <w:r w:rsidR="00DE7536" w:rsidRPr="00DE7536">
        <w:t>18 (Recommendation 8.3).</w:t>
      </w:r>
    </w:p>
  </w:footnote>
  <w:footnote w:id="152">
    <w:p w14:paraId="099D35DF" w14:textId="7D8B746F" w:rsidR="001A41AF" w:rsidRPr="001A41AF" w:rsidRDefault="001A41AF">
      <w:pPr>
        <w:pStyle w:val="FootnoteText"/>
        <w:rPr>
          <w:lang w:val="en-GB"/>
        </w:rPr>
      </w:pPr>
      <w:r>
        <w:rPr>
          <w:rStyle w:val="FootnoteReference"/>
        </w:rPr>
        <w:footnoteRef/>
      </w:r>
      <w:r>
        <w:t xml:space="preserve"> Commissioner for Children and Young People, Western Australia, </w:t>
      </w:r>
      <w:r w:rsidRPr="00743575">
        <w:rPr>
          <w:i/>
          <w:iCs/>
        </w:rPr>
        <w:t>ANZCCGA Joint Statement on isolation in Youth Detention</w:t>
      </w:r>
      <w:r>
        <w:t xml:space="preserve"> (Web Page, 22 February 2024) &lt;</w:t>
      </w:r>
      <w:hyperlink r:id="rId27" w:history="1">
        <w:r w:rsidRPr="00F97EC4">
          <w:rPr>
            <w:rStyle w:val="Hyperlink"/>
          </w:rPr>
          <w:t>https://www.ccyp.wa.gov.au/news/anzccga-joint-statement-on-isolation-in-youth-detention</w:t>
        </w:r>
      </w:hyperlink>
      <w:r>
        <w:t>&gt;</w:t>
      </w:r>
    </w:p>
  </w:footnote>
  <w:footnote w:id="153">
    <w:p w14:paraId="56FEDC41" w14:textId="6CC05276" w:rsidR="0046434B" w:rsidRPr="0046434B" w:rsidRDefault="0046434B">
      <w:pPr>
        <w:pStyle w:val="FootnoteText"/>
        <w:rPr>
          <w:lang w:val="en-GB"/>
        </w:rPr>
      </w:pPr>
      <w:r>
        <w:rPr>
          <w:rStyle w:val="FootnoteReference"/>
        </w:rPr>
        <w:footnoteRef/>
      </w:r>
      <w:r>
        <w:t xml:space="preserve"> Child Death Review Board, Queensland Family &amp; Child Commission, </w:t>
      </w:r>
      <w:r w:rsidRPr="00A849FD">
        <w:rPr>
          <w:i/>
          <w:iCs/>
        </w:rPr>
        <w:t xml:space="preserve">Annual Report </w:t>
      </w:r>
      <w:r w:rsidR="00130FC5">
        <w:rPr>
          <w:i/>
          <w:iCs/>
        </w:rPr>
        <w:t>2022–23</w:t>
      </w:r>
      <w:r w:rsidRPr="00A849FD">
        <w:rPr>
          <w:i/>
          <w:iCs/>
        </w:rPr>
        <w:t xml:space="preserve"> </w:t>
      </w:r>
      <w:r>
        <w:rPr>
          <w:lang w:val="en-GB"/>
        </w:rPr>
        <w:t>40;</w:t>
      </w:r>
      <w:r w:rsidRPr="00D830EB">
        <w:t xml:space="preserve"> </w:t>
      </w:r>
      <w:r w:rsidRPr="00743575">
        <w:rPr>
          <w:i/>
          <w:iCs/>
        </w:rPr>
        <w:t>ANZCCGA Joint Statement</w:t>
      </w:r>
      <w:r w:rsidR="00F1207F">
        <w:t xml:space="preserve">; </w:t>
      </w:r>
      <w:r w:rsidR="00F1207F">
        <w:rPr>
          <w:lang w:val="en-GB"/>
        </w:rPr>
        <w:t>Inspect</w:t>
      </w:r>
      <w:r w:rsidR="00556568">
        <w:rPr>
          <w:lang w:val="en-GB"/>
        </w:rPr>
        <w:t>or</w:t>
      </w:r>
      <w:r w:rsidR="00F1207F">
        <w:rPr>
          <w:lang w:val="en-GB"/>
        </w:rPr>
        <w:t xml:space="preserve"> of Detention Services, Queensland Ombudsman, </w:t>
      </w:r>
      <w:r w:rsidR="00F1207F" w:rsidRPr="00E70707">
        <w:rPr>
          <w:i/>
          <w:iCs/>
          <w:lang w:val="en-GB"/>
        </w:rPr>
        <w:t>Cleveland Youth Detention Centre inspection report: Focus on separation due to staff shortages</w:t>
      </w:r>
      <w:r w:rsidR="00F1207F">
        <w:rPr>
          <w:lang w:val="en-GB"/>
        </w:rPr>
        <w:t xml:space="preserve"> (27 August 2024) 8</w:t>
      </w:r>
      <w:r w:rsidR="00017D56">
        <w:rPr>
          <w:rFonts w:cs="Arial"/>
          <w:lang w:val="en-GB"/>
        </w:rPr>
        <w:t>–</w:t>
      </w:r>
      <w:r w:rsidR="00F1207F">
        <w:rPr>
          <w:lang w:val="en-GB"/>
        </w:rPr>
        <w:t>9 (Recommendations 12 and 15).</w:t>
      </w:r>
    </w:p>
  </w:footnote>
  <w:footnote w:id="154">
    <w:p w14:paraId="0101379C" w14:textId="79310C0C" w:rsidR="00F1207F" w:rsidRPr="00F1207F" w:rsidRDefault="00F1207F">
      <w:pPr>
        <w:pStyle w:val="FootnoteText"/>
        <w:rPr>
          <w:lang w:val="en-GB"/>
        </w:rPr>
      </w:pPr>
      <w:r>
        <w:rPr>
          <w:rStyle w:val="FootnoteReference"/>
        </w:rPr>
        <w:footnoteRef/>
      </w:r>
      <w:r>
        <w:t xml:space="preserve"> </w:t>
      </w:r>
      <w:r>
        <w:rPr>
          <w:lang w:val="en-GB"/>
        </w:rPr>
        <w:t>Inspect</w:t>
      </w:r>
      <w:r w:rsidR="00556568">
        <w:rPr>
          <w:lang w:val="en-GB"/>
        </w:rPr>
        <w:t>or</w:t>
      </w:r>
      <w:r>
        <w:rPr>
          <w:lang w:val="en-GB"/>
        </w:rPr>
        <w:t xml:space="preserve"> of Detention Services, Queensland Ombudsman, </w:t>
      </w:r>
      <w:r w:rsidRPr="00E70707">
        <w:rPr>
          <w:i/>
          <w:iCs/>
          <w:lang w:val="en-GB"/>
        </w:rPr>
        <w:t>Cleveland Youth Detention Centre inspection report: Focus on separation due to staff shortages</w:t>
      </w:r>
      <w:r>
        <w:rPr>
          <w:lang w:val="en-GB"/>
        </w:rPr>
        <w:t xml:space="preserve"> (27 August 2024) 7 </w:t>
      </w:r>
      <w:r>
        <w:t>(</w:t>
      </w:r>
      <w:r>
        <w:rPr>
          <w:lang w:val="en-GB"/>
        </w:rPr>
        <w:t>Recommendation 4)</w:t>
      </w:r>
      <w:r w:rsidR="0007213B">
        <w:rPr>
          <w:lang w:val="en-GB"/>
        </w:rPr>
        <w:t>; Inspect</w:t>
      </w:r>
      <w:r w:rsidR="00556568">
        <w:rPr>
          <w:lang w:val="en-GB"/>
        </w:rPr>
        <w:t>or</w:t>
      </w:r>
      <w:r w:rsidR="0007213B">
        <w:rPr>
          <w:lang w:val="en-GB"/>
        </w:rPr>
        <w:t xml:space="preserve"> of Detention Services, Queensland Ombudsman, </w:t>
      </w:r>
      <w:r w:rsidR="0007213B" w:rsidRPr="001E23B4">
        <w:rPr>
          <w:i/>
          <w:iCs/>
          <w:lang w:val="en-GB"/>
        </w:rPr>
        <w:t xml:space="preserve">Cairns and </w:t>
      </w:r>
      <w:r w:rsidR="0007213B" w:rsidRPr="001E23B4">
        <w:rPr>
          <w:i/>
          <w:iCs/>
          <w:lang w:val="en-GB"/>
        </w:rPr>
        <w:t xml:space="preserve">Murgon </w:t>
      </w:r>
      <w:r w:rsidR="002D2B73">
        <w:rPr>
          <w:i/>
          <w:iCs/>
          <w:lang w:val="en-GB"/>
        </w:rPr>
        <w:t>watch house</w:t>
      </w:r>
      <w:r w:rsidR="0007213B" w:rsidRPr="001E23B4">
        <w:rPr>
          <w:i/>
          <w:iCs/>
          <w:lang w:val="en-GB"/>
        </w:rPr>
        <w:t>s inspection report: Focus on detention on children</w:t>
      </w:r>
      <w:r w:rsidR="0007213B">
        <w:rPr>
          <w:lang w:val="en-GB"/>
        </w:rPr>
        <w:t xml:space="preserve"> (11 September 2024) 8 (Recommendation 9).</w:t>
      </w:r>
    </w:p>
  </w:footnote>
  <w:footnote w:id="155">
    <w:p w14:paraId="6A120BB5" w14:textId="3673AEDC" w:rsidR="00F619AC" w:rsidRPr="00ED676B" w:rsidRDefault="00F619AC">
      <w:pPr>
        <w:pStyle w:val="FootnoteText"/>
        <w:rPr>
          <w:lang w:val="en-GB"/>
        </w:rPr>
      </w:pPr>
      <w:r>
        <w:rPr>
          <w:rStyle w:val="FootnoteReference"/>
        </w:rPr>
        <w:footnoteRef/>
      </w:r>
      <w:r>
        <w:t xml:space="preserve"> </w:t>
      </w:r>
      <w:r w:rsidR="00ED676B" w:rsidRPr="002B29E2">
        <w:rPr>
          <w:rFonts w:cs="Arial"/>
          <w:i/>
          <w:iCs/>
        </w:rPr>
        <w:t>Help Way Earlier</w:t>
      </w:r>
      <w:r w:rsidR="00ED676B">
        <w:rPr>
          <w:rFonts w:cs="Arial"/>
          <w:i/>
          <w:iCs/>
        </w:rPr>
        <w:t xml:space="preserve"> </w:t>
      </w:r>
      <w:r w:rsidR="00E9030E">
        <w:rPr>
          <w:rFonts w:cs="Arial"/>
        </w:rPr>
        <w:t>8.</w:t>
      </w:r>
    </w:p>
  </w:footnote>
  <w:footnote w:id="156">
    <w:p w14:paraId="3FBA510F" w14:textId="293651C7" w:rsidR="00E9030E" w:rsidRPr="00E9030E" w:rsidRDefault="00E9030E">
      <w:pPr>
        <w:pStyle w:val="FootnoteText"/>
        <w:rPr>
          <w:lang w:val="en-GB"/>
        </w:rPr>
      </w:pPr>
      <w:r>
        <w:rPr>
          <w:rStyle w:val="FootnoteReference"/>
        </w:rPr>
        <w:footnoteRef/>
      </w:r>
      <w:r>
        <w:t xml:space="preserve"> </w:t>
      </w:r>
      <w:r>
        <w:rPr>
          <w:lang w:val="en-GB"/>
        </w:rPr>
        <w:t>Ibid.</w:t>
      </w:r>
    </w:p>
  </w:footnote>
  <w:footnote w:id="157">
    <w:p w14:paraId="5134D92C" w14:textId="1C06BE0E" w:rsidR="002C39F5" w:rsidRPr="002C39F5" w:rsidRDefault="002C39F5">
      <w:pPr>
        <w:pStyle w:val="FootnoteText"/>
        <w:rPr>
          <w:lang w:val="en-GB"/>
        </w:rPr>
      </w:pPr>
      <w:r>
        <w:rPr>
          <w:rStyle w:val="FootnoteReference"/>
        </w:rPr>
        <w:footnoteRef/>
      </w:r>
      <w:r>
        <w:t xml:space="preserve"> </w:t>
      </w:r>
      <w:r w:rsidR="00921084">
        <w:rPr>
          <w:lang w:val="en-GB"/>
        </w:rPr>
        <w:t>Ibid</w:t>
      </w:r>
      <w:r w:rsidR="00831193">
        <w:rPr>
          <w:lang w:val="en-GB"/>
        </w:rPr>
        <w:t xml:space="preserve"> 5.</w:t>
      </w:r>
    </w:p>
  </w:footnote>
  <w:footnote w:id="158">
    <w:p w14:paraId="745DBFC2" w14:textId="722D683F" w:rsidR="006826E6" w:rsidRPr="000C0883" w:rsidRDefault="006826E6" w:rsidP="006826E6">
      <w:pPr>
        <w:pStyle w:val="FootnoteText"/>
        <w:rPr>
          <w:lang w:val="en-GB"/>
        </w:rPr>
      </w:pPr>
      <w:r>
        <w:rPr>
          <w:rStyle w:val="FootnoteReference"/>
        </w:rPr>
        <w:footnoteRef/>
      </w:r>
      <w:r>
        <w:t xml:space="preserve"> Queensland Audit Office, </w:t>
      </w:r>
      <w:r w:rsidRPr="00A979C2">
        <w:rPr>
          <w:i/>
          <w:iCs/>
          <w:lang w:val="en-GB"/>
        </w:rPr>
        <w:t>Reducing serious youth crime Report 15:</w:t>
      </w:r>
      <w:r w:rsidR="00130FC5">
        <w:rPr>
          <w:i/>
          <w:iCs/>
          <w:lang w:val="en-GB"/>
        </w:rPr>
        <w:t>2023–24</w:t>
      </w:r>
      <w:r>
        <w:rPr>
          <w:lang w:val="en-GB"/>
        </w:rPr>
        <w:t xml:space="preserve"> (Performance Audit Report, 28 June 2024) 1; </w:t>
      </w:r>
      <w:r w:rsidR="007649BF" w:rsidRPr="00BC7CB6">
        <w:rPr>
          <w:lang w:val="en-GB"/>
        </w:rPr>
        <w:t xml:space="preserve">Queensland Family &amp; Child Commission, </w:t>
      </w:r>
      <w:r w:rsidR="007649BF" w:rsidRPr="00BC7CB6">
        <w:rPr>
          <w:i/>
          <w:iCs/>
          <w:lang w:val="en-GB"/>
        </w:rPr>
        <w:t xml:space="preserve">Who’s responsible: Understanding why young people are being held longer in Queensland </w:t>
      </w:r>
      <w:r w:rsidR="007649BF">
        <w:rPr>
          <w:i/>
          <w:iCs/>
          <w:lang w:val="en-GB"/>
        </w:rPr>
        <w:t>watch house</w:t>
      </w:r>
      <w:r w:rsidR="007649BF" w:rsidRPr="00BC7CB6">
        <w:rPr>
          <w:i/>
          <w:iCs/>
          <w:lang w:val="en-GB"/>
        </w:rPr>
        <w:t>s</w:t>
      </w:r>
      <w:r w:rsidR="007649BF" w:rsidRPr="00BC7CB6">
        <w:rPr>
          <w:lang w:val="en-GB"/>
        </w:rPr>
        <w:t xml:space="preserve"> (30 November 2023)</w:t>
      </w:r>
      <w:r w:rsidR="007649BF">
        <w:rPr>
          <w:lang w:val="en-GB"/>
        </w:rPr>
        <w:t xml:space="preserve"> 62.</w:t>
      </w:r>
    </w:p>
  </w:footnote>
  <w:footnote w:id="159">
    <w:p w14:paraId="1967B2D2" w14:textId="22C0DB13" w:rsidR="002142DF" w:rsidRPr="002142DF" w:rsidRDefault="002142DF">
      <w:pPr>
        <w:pStyle w:val="FootnoteText"/>
        <w:rPr>
          <w:lang w:val="en-GB"/>
        </w:rPr>
      </w:pPr>
      <w:r>
        <w:rPr>
          <w:rStyle w:val="FootnoteReference"/>
        </w:rPr>
        <w:footnoteRef/>
      </w:r>
      <w:r>
        <w:t xml:space="preserve"> </w:t>
      </w:r>
      <w:r w:rsidR="0016339F" w:rsidRPr="00E175C4">
        <w:rPr>
          <w:rFonts w:cs="Arial"/>
        </w:rPr>
        <w:t xml:space="preserve">Bob Atkinson, </w:t>
      </w:r>
      <w:r w:rsidR="0016339F" w:rsidRPr="00E175C4">
        <w:rPr>
          <w:rFonts w:cs="Arial"/>
          <w:i/>
        </w:rPr>
        <w:t xml:space="preserve">Report on Youth Justice </w:t>
      </w:r>
      <w:r w:rsidR="0016339F" w:rsidRPr="00E175C4">
        <w:rPr>
          <w:rFonts w:cs="Arial"/>
        </w:rPr>
        <w:t>(Version 2, 8 June 2018)</w:t>
      </w:r>
      <w:r w:rsidR="0016339F">
        <w:rPr>
          <w:rFonts w:cs="Arial"/>
        </w:rPr>
        <w:t xml:space="preserve"> </w:t>
      </w:r>
      <w:r w:rsidR="008B4A1E">
        <w:rPr>
          <w:lang w:val="en-GB"/>
        </w:rPr>
        <w:t>112</w:t>
      </w:r>
      <w:r w:rsidR="008B4A1E">
        <w:rPr>
          <w:rFonts w:cs="Arial"/>
          <w:lang w:val="en-GB"/>
        </w:rPr>
        <w:t>–</w:t>
      </w:r>
      <w:r w:rsidR="008B4A1E">
        <w:rPr>
          <w:lang w:val="en-GB"/>
        </w:rPr>
        <w:t>13.</w:t>
      </w:r>
    </w:p>
  </w:footnote>
  <w:footnote w:id="160">
    <w:p w14:paraId="41226FFB" w14:textId="5D5FD440" w:rsidR="00AE0D80" w:rsidRPr="008F2581" w:rsidRDefault="00AE0D80" w:rsidP="00AE0D80">
      <w:pPr>
        <w:pStyle w:val="FootnoteText"/>
        <w:rPr>
          <w:lang w:val="en-GB"/>
        </w:rPr>
      </w:pPr>
      <w:r>
        <w:rPr>
          <w:rStyle w:val="FootnoteReference"/>
        </w:rPr>
        <w:footnoteRef/>
      </w:r>
      <w:r>
        <w:t xml:space="preserve"> </w:t>
      </w:r>
      <w:r w:rsidRPr="00093001">
        <w:rPr>
          <w:lang w:val="en-GB"/>
        </w:rPr>
        <w:t>Vienna Convention on the Law of Treaties, arts 27 and 29.</w:t>
      </w:r>
      <w:r>
        <w:rPr>
          <w:lang w:val="en-GB"/>
        </w:rPr>
        <w:t xml:space="preserve"> See further </w:t>
      </w:r>
      <w:r w:rsidR="00196045">
        <w:rPr>
          <w:lang w:val="en-GB"/>
        </w:rPr>
        <w:t>UN</w:t>
      </w:r>
      <w:r>
        <w:rPr>
          <w:lang w:val="en-GB"/>
        </w:rPr>
        <w:t xml:space="preserve"> Human Rights Committee, </w:t>
      </w:r>
      <w:r>
        <w:rPr>
          <w:i/>
          <w:iCs/>
          <w:lang w:val="en-GB"/>
        </w:rPr>
        <w:t>General Comment No 31: The Nature of the General Legal Obligation Imposed on States Parties to the Covenant</w:t>
      </w:r>
      <w:r w:rsidR="00196045">
        <w:rPr>
          <w:lang w:val="en-GB"/>
        </w:rPr>
        <w:t xml:space="preserve">, </w:t>
      </w:r>
      <w:r>
        <w:rPr>
          <w:lang w:val="en-GB"/>
        </w:rPr>
        <w:t>UN Doc CCPR/C/21/Rev.1/Add.13</w:t>
      </w:r>
      <w:r w:rsidR="00196045">
        <w:rPr>
          <w:lang w:val="en-GB"/>
        </w:rPr>
        <w:t xml:space="preserve"> (</w:t>
      </w:r>
      <w:r>
        <w:rPr>
          <w:lang w:val="en-GB"/>
        </w:rPr>
        <w:t>26 May 2004)</w:t>
      </w:r>
      <w:r>
        <w:rPr>
          <w:i/>
          <w:iCs/>
          <w:lang w:val="en-GB"/>
        </w:rPr>
        <w:t xml:space="preserve"> </w:t>
      </w:r>
      <w:r>
        <w:rPr>
          <w:lang w:val="en-GB"/>
        </w:rPr>
        <w:t>[4].</w:t>
      </w:r>
    </w:p>
  </w:footnote>
  <w:footnote w:id="161">
    <w:p w14:paraId="612EC4DA" w14:textId="05B34241" w:rsidR="00AE0D80" w:rsidRPr="009C3EF6" w:rsidRDefault="00AE0D80" w:rsidP="00AE0D80">
      <w:pPr>
        <w:pStyle w:val="FootnoteText"/>
        <w:rPr>
          <w:lang w:val="en-GB"/>
        </w:rPr>
      </w:pPr>
      <w:r>
        <w:rPr>
          <w:rStyle w:val="FootnoteReference"/>
        </w:rPr>
        <w:footnoteRef/>
      </w:r>
      <w:r>
        <w:t xml:space="preserve"> </w:t>
      </w:r>
      <w:r w:rsidR="005D7FE7" w:rsidRPr="005D7FE7">
        <w:rPr>
          <w:i/>
          <w:iCs/>
        </w:rPr>
        <w:t>Australian</w:t>
      </w:r>
      <w:r w:rsidRPr="005D7FE7">
        <w:rPr>
          <w:i/>
        </w:rPr>
        <w:t xml:space="preserve"> </w:t>
      </w:r>
      <w:r w:rsidRPr="00EC682B">
        <w:rPr>
          <w:i/>
        </w:rPr>
        <w:t>Constitution</w:t>
      </w:r>
      <w:r>
        <w:t xml:space="preserve"> ss 51(xxix) and 109.</w:t>
      </w:r>
    </w:p>
  </w:footnote>
  <w:footnote w:id="162">
    <w:p w14:paraId="5A42C2C6" w14:textId="77777777" w:rsidR="00AE0D80" w:rsidRPr="005B53A7" w:rsidRDefault="00AE0D80" w:rsidP="00AE0D80">
      <w:pPr>
        <w:pStyle w:val="FootnoteText"/>
        <w:rPr>
          <w:lang w:val="en-GB"/>
        </w:rPr>
      </w:pPr>
      <w:r>
        <w:rPr>
          <w:rStyle w:val="FootnoteReference"/>
        </w:rPr>
        <w:footnoteRef/>
      </w:r>
      <w:r>
        <w:t xml:space="preserve"> </w:t>
      </w:r>
      <w:r w:rsidRPr="00093001">
        <w:rPr>
          <w:lang w:val="en-GB"/>
        </w:rPr>
        <w:t xml:space="preserve">Vienna Convention on the Law of Treaties, </w:t>
      </w:r>
      <w:r>
        <w:rPr>
          <w:lang w:val="en-GB"/>
        </w:rPr>
        <w:t>art 26.</w:t>
      </w:r>
    </w:p>
  </w:footnote>
  <w:footnote w:id="163">
    <w:p w14:paraId="72E500B5" w14:textId="346CE7B6" w:rsidR="00273FF5" w:rsidRPr="00150415" w:rsidRDefault="00273FF5">
      <w:pPr>
        <w:pStyle w:val="FootnoteText"/>
        <w:rPr>
          <w:lang w:val="en-GB"/>
        </w:rPr>
      </w:pPr>
      <w:r>
        <w:rPr>
          <w:rStyle w:val="FootnoteReference"/>
        </w:rPr>
        <w:footnoteRef/>
      </w:r>
      <w:r>
        <w:t xml:space="preserve"> </w:t>
      </w:r>
      <w:r w:rsidRPr="001533B8">
        <w:rPr>
          <w:lang w:val="en-GB"/>
        </w:rPr>
        <w:t xml:space="preserve">For example, </w:t>
      </w:r>
      <w:r w:rsidRPr="00415E20">
        <w:t>Royal Commission into Aboriginal Deaths in Custody</w:t>
      </w:r>
      <w:r w:rsidR="00415E20">
        <w:t xml:space="preserve"> (1991)</w:t>
      </w:r>
      <w:r w:rsidRPr="001533B8">
        <w:t>,</w:t>
      </w:r>
      <w:r w:rsidR="00FA1C74">
        <w:t xml:space="preserve"> rec</w:t>
      </w:r>
      <w:r w:rsidR="006550D9">
        <w:t>s</w:t>
      </w:r>
      <w:r w:rsidR="00FA1C74">
        <w:t xml:space="preserve"> 47, </w:t>
      </w:r>
      <w:r w:rsidR="00F0027C">
        <w:t>87</w:t>
      </w:r>
      <w:r w:rsidR="00CA4E42">
        <w:t>,</w:t>
      </w:r>
      <w:r w:rsidR="006550D9">
        <w:t xml:space="preserve"> 88, </w:t>
      </w:r>
      <w:r w:rsidR="00F16FA6">
        <w:t xml:space="preserve">92, </w:t>
      </w:r>
      <w:r w:rsidR="00967824">
        <w:t xml:space="preserve">96, </w:t>
      </w:r>
      <w:r w:rsidR="00E66416">
        <w:t>11</w:t>
      </w:r>
      <w:r w:rsidR="00FB7FDB">
        <w:t>5</w:t>
      </w:r>
      <w:r w:rsidR="00E66416">
        <w:t>,</w:t>
      </w:r>
      <w:r w:rsidR="00FE4539">
        <w:t xml:space="preserve"> 127, </w:t>
      </w:r>
      <w:r w:rsidR="008443D1">
        <w:t xml:space="preserve">150, </w:t>
      </w:r>
      <w:r w:rsidR="00CA382A">
        <w:t>151, 152</w:t>
      </w:r>
      <w:r w:rsidR="00206D39">
        <w:t>, 154</w:t>
      </w:r>
      <w:r w:rsidR="00C178B5">
        <w:t xml:space="preserve">, 163, </w:t>
      </w:r>
      <w:r w:rsidR="004B5AF1">
        <w:t xml:space="preserve">215, </w:t>
      </w:r>
      <w:r w:rsidR="004750C1">
        <w:t xml:space="preserve">235, </w:t>
      </w:r>
      <w:r w:rsidR="005A4C1B">
        <w:t xml:space="preserve">239, </w:t>
      </w:r>
      <w:r w:rsidR="00AA543F">
        <w:t>240</w:t>
      </w:r>
      <w:r w:rsidR="00F67197">
        <w:t>, 242</w:t>
      </w:r>
      <w:r w:rsidR="00582046">
        <w:t>;</w:t>
      </w:r>
      <w:r w:rsidR="00E66416">
        <w:t xml:space="preserve"> </w:t>
      </w:r>
      <w:r w:rsidR="00210431" w:rsidRPr="001533B8">
        <w:rPr>
          <w:i/>
          <w:iCs/>
        </w:rPr>
        <w:t>DRC Final Report vol 8</w:t>
      </w:r>
      <w:r w:rsidR="009479BC" w:rsidRPr="001533B8">
        <w:t xml:space="preserve"> </w:t>
      </w:r>
      <w:r w:rsidR="00DF441F" w:rsidRPr="001533B8">
        <w:t xml:space="preserve">recs </w:t>
      </w:r>
      <w:r w:rsidR="00565A64" w:rsidRPr="001533B8">
        <w:t xml:space="preserve">8.1, </w:t>
      </w:r>
      <w:r w:rsidR="007D40F8" w:rsidRPr="001533B8">
        <w:t xml:space="preserve">8.2, </w:t>
      </w:r>
      <w:r w:rsidR="0009740A" w:rsidRPr="001533B8">
        <w:t xml:space="preserve">8.3, 8.4, 8.5, </w:t>
      </w:r>
      <w:r w:rsidR="009479BC" w:rsidRPr="001533B8">
        <w:t xml:space="preserve">8.14, </w:t>
      </w:r>
      <w:r w:rsidR="00C95096" w:rsidRPr="001533B8">
        <w:t xml:space="preserve">8.15, </w:t>
      </w:r>
      <w:r w:rsidR="00701B7B" w:rsidRPr="001533B8">
        <w:t xml:space="preserve">8.16, </w:t>
      </w:r>
      <w:r w:rsidR="007D0A18" w:rsidRPr="001533B8">
        <w:t xml:space="preserve">8.20, </w:t>
      </w:r>
      <w:r w:rsidR="00FE0271" w:rsidRPr="001533B8">
        <w:t xml:space="preserve">8.21, </w:t>
      </w:r>
      <w:r w:rsidR="00330075" w:rsidRPr="001533B8">
        <w:t>8.22;</w:t>
      </w:r>
      <w:r w:rsidR="001B5FE0" w:rsidRPr="001533B8">
        <w:t xml:space="preserve"> </w:t>
      </w:r>
      <w:r w:rsidR="001B5FE0" w:rsidRPr="001533B8">
        <w:rPr>
          <w:i/>
          <w:iCs/>
        </w:rPr>
        <w:t>Pathways to Justice</w:t>
      </w:r>
      <w:r w:rsidR="007211DF" w:rsidRPr="001533B8">
        <w:t>, rec 14</w:t>
      </w:r>
      <w:r w:rsidR="007211DF" w:rsidRPr="001533B8">
        <w:rPr>
          <w:rFonts w:cs="Arial"/>
        </w:rPr>
        <w:t>–</w:t>
      </w:r>
      <w:r w:rsidR="007211DF" w:rsidRPr="001533B8">
        <w:t>1</w:t>
      </w:r>
      <w:r w:rsidR="00150415">
        <w:t xml:space="preserve">; </w:t>
      </w:r>
      <w:r w:rsidR="00150415">
        <w:rPr>
          <w:i/>
          <w:iCs/>
        </w:rPr>
        <w:t>Help Way Earlier</w:t>
      </w:r>
      <w:r w:rsidR="00150415">
        <w:t xml:space="preserve">, recs </w:t>
      </w:r>
      <w:r w:rsidR="0065388A">
        <w:t xml:space="preserve">15, </w:t>
      </w:r>
      <w:r w:rsidR="00F92B46">
        <w:t xml:space="preserve">17, </w:t>
      </w:r>
      <w:r w:rsidR="00245DD7">
        <w:t xml:space="preserve">19, </w:t>
      </w:r>
      <w:r w:rsidR="00924166">
        <w:t xml:space="preserve">20, </w:t>
      </w:r>
      <w:r w:rsidR="003333B8">
        <w:t xml:space="preserve">21, </w:t>
      </w:r>
      <w:r w:rsidR="00B455C7">
        <w:t>22</w:t>
      </w:r>
      <w:r w:rsidR="00EF1912">
        <w:t>.</w:t>
      </w:r>
    </w:p>
  </w:footnote>
  <w:footnote w:id="164">
    <w:p w14:paraId="573A7AF6" w14:textId="474C9C23" w:rsidR="004B785D" w:rsidRPr="004B785D" w:rsidRDefault="004B785D">
      <w:pPr>
        <w:pStyle w:val="FootnoteText"/>
        <w:rPr>
          <w:lang w:val="en-GB"/>
        </w:rPr>
      </w:pPr>
      <w:r>
        <w:rPr>
          <w:rStyle w:val="FootnoteReference"/>
        </w:rPr>
        <w:footnoteRef/>
      </w:r>
      <w:r>
        <w:t xml:space="preserve"> </w:t>
      </w:r>
      <w:r w:rsidR="00652F69">
        <w:rPr>
          <w:lang w:val="en-GB"/>
        </w:rPr>
        <w:t xml:space="preserve">Inspector of Detention Services, Queensland Ombudsman, </w:t>
      </w:r>
      <w:r w:rsidR="00652F69" w:rsidRPr="00E701BC">
        <w:rPr>
          <w:i/>
          <w:iCs/>
          <w:lang w:val="en-GB"/>
        </w:rPr>
        <w:t>Inspection standards for Queensland youth detention centres</w:t>
      </w:r>
      <w:r w:rsidR="00652F69">
        <w:rPr>
          <w:lang w:val="en-GB"/>
        </w:rPr>
        <w:t xml:space="preserve"> (August 2023).</w:t>
      </w:r>
    </w:p>
  </w:footnote>
  <w:footnote w:id="165">
    <w:p w14:paraId="7F139CC4" w14:textId="0E66152E" w:rsidR="00DE2BA8" w:rsidRPr="00DE2BA8" w:rsidRDefault="00DE2BA8">
      <w:pPr>
        <w:pStyle w:val="FootnoteText"/>
        <w:rPr>
          <w:lang w:val="en-GB"/>
        </w:rPr>
      </w:pPr>
      <w:r>
        <w:rPr>
          <w:rStyle w:val="FootnoteReference"/>
        </w:rPr>
        <w:footnoteRef/>
      </w:r>
      <w:r>
        <w:t xml:space="preserve"> </w:t>
      </w:r>
      <w:r w:rsidR="0016339F" w:rsidRPr="00E175C4">
        <w:rPr>
          <w:rFonts w:cs="Arial"/>
        </w:rPr>
        <w:t xml:space="preserve">Bob Atkinson, </w:t>
      </w:r>
      <w:r w:rsidR="0016339F" w:rsidRPr="00E175C4">
        <w:rPr>
          <w:rFonts w:cs="Arial"/>
          <w:i/>
        </w:rPr>
        <w:t xml:space="preserve">Report on Youth Justice </w:t>
      </w:r>
      <w:r w:rsidR="0016339F" w:rsidRPr="00E175C4">
        <w:rPr>
          <w:rFonts w:cs="Arial"/>
        </w:rPr>
        <w:t>(Version 2, 8 June 2018)</w:t>
      </w:r>
      <w:r w:rsidR="0016339F">
        <w:rPr>
          <w:rFonts w:cs="Arial"/>
        </w:rPr>
        <w:t xml:space="preserve"> </w:t>
      </w:r>
      <w:r w:rsidR="00BF0E1B">
        <w:t>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0456" w14:textId="77777777" w:rsidR="007C510E" w:rsidRDefault="007C510E" w:rsidP="00260847">
    <w:pPr>
      <w:pStyle w:val="Header"/>
      <w:tabs>
        <w:tab w:val="clear" w:pos="4513"/>
        <w:tab w:val="clear" w:pos="9026"/>
      </w:tabs>
      <w:spacing w:before="240"/>
    </w:pPr>
  </w:p>
  <w:p w14:paraId="69D1276A"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03B77" w14:textId="77777777" w:rsidR="007C510E" w:rsidRPr="000731D3" w:rsidRDefault="007C510E"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4D3D"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29D01A84" w14:textId="77777777" w:rsidR="007C510E" w:rsidRPr="000731D3" w:rsidRDefault="007C510E" w:rsidP="000731D3">
    <w:pPr>
      <w:pStyle w:val="Header"/>
      <w:pBdr>
        <w:bottom w:val="single" w:sz="4" w:space="1" w:color="auto"/>
      </w:pBdr>
      <w:rPr>
        <w:rFonts w:cs="Arial"/>
        <w:sz w:val="20"/>
        <w:szCs w:val="20"/>
      </w:rPr>
    </w:pPr>
  </w:p>
  <w:p w14:paraId="2F960F73"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A02A0"/>
    <w:multiLevelType w:val="hybridMultilevel"/>
    <w:tmpl w:val="C6D8E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510EE5"/>
    <w:multiLevelType w:val="hybridMultilevel"/>
    <w:tmpl w:val="FFFFFFFF"/>
    <w:lvl w:ilvl="0" w:tplc="0C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6B6505"/>
    <w:multiLevelType w:val="hybridMultilevel"/>
    <w:tmpl w:val="445CF334"/>
    <w:lvl w:ilvl="0" w:tplc="288849EC">
      <w:start w:val="23"/>
      <w:numFmt w:val="bullet"/>
      <w:lvlText w:val=""/>
      <w:lvlJc w:val="left"/>
      <w:pPr>
        <w:ind w:left="927" w:hanging="360"/>
      </w:pPr>
      <w:rPr>
        <w:rFonts w:ascii="Symbol" w:eastAsiaTheme="minorHAnsi" w:hAnsi="Symbol"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10250E7E"/>
    <w:multiLevelType w:val="multilevel"/>
    <w:tmpl w:val="81A06D18"/>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2"/>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115943F6"/>
    <w:multiLevelType w:val="hybridMultilevel"/>
    <w:tmpl w:val="EF1809F4"/>
    <w:lvl w:ilvl="0" w:tplc="670CC49E">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93139"/>
    <w:multiLevelType w:val="hybridMultilevel"/>
    <w:tmpl w:val="633698B2"/>
    <w:lvl w:ilvl="0" w:tplc="29E8026E">
      <w:start w:val="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E3E3C"/>
    <w:multiLevelType w:val="hybridMultilevel"/>
    <w:tmpl w:val="184EB98A"/>
    <w:lvl w:ilvl="0" w:tplc="208856C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5471A3"/>
    <w:multiLevelType w:val="hybridMultilevel"/>
    <w:tmpl w:val="66DEE4C6"/>
    <w:lvl w:ilvl="0" w:tplc="9A38DDA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338B2064"/>
    <w:multiLevelType w:val="hybridMultilevel"/>
    <w:tmpl w:val="FFFFFFFF"/>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397B5BF5"/>
    <w:multiLevelType w:val="hybridMultilevel"/>
    <w:tmpl w:val="2BD278A4"/>
    <w:lvl w:ilvl="0" w:tplc="C71C2420">
      <w:start w:val="1"/>
      <w:numFmt w:val="bullet"/>
      <w:lvlText w:val="•"/>
      <w:lvlJc w:val="left"/>
      <w:pPr>
        <w:tabs>
          <w:tab w:val="num" w:pos="720"/>
        </w:tabs>
        <w:ind w:left="720" w:hanging="360"/>
      </w:pPr>
      <w:rPr>
        <w:rFonts w:ascii="Arial" w:hAnsi="Arial" w:hint="default"/>
      </w:rPr>
    </w:lvl>
    <w:lvl w:ilvl="1" w:tplc="30BAD29E" w:tentative="1">
      <w:start w:val="1"/>
      <w:numFmt w:val="bullet"/>
      <w:lvlText w:val="•"/>
      <w:lvlJc w:val="left"/>
      <w:pPr>
        <w:tabs>
          <w:tab w:val="num" w:pos="1440"/>
        </w:tabs>
        <w:ind w:left="1440" w:hanging="360"/>
      </w:pPr>
      <w:rPr>
        <w:rFonts w:ascii="Arial" w:hAnsi="Arial" w:hint="default"/>
      </w:rPr>
    </w:lvl>
    <w:lvl w:ilvl="2" w:tplc="9E0A8F0E" w:tentative="1">
      <w:start w:val="1"/>
      <w:numFmt w:val="bullet"/>
      <w:lvlText w:val="•"/>
      <w:lvlJc w:val="left"/>
      <w:pPr>
        <w:tabs>
          <w:tab w:val="num" w:pos="2160"/>
        </w:tabs>
        <w:ind w:left="2160" w:hanging="360"/>
      </w:pPr>
      <w:rPr>
        <w:rFonts w:ascii="Arial" w:hAnsi="Arial" w:hint="default"/>
      </w:rPr>
    </w:lvl>
    <w:lvl w:ilvl="3" w:tplc="AFF85146" w:tentative="1">
      <w:start w:val="1"/>
      <w:numFmt w:val="bullet"/>
      <w:lvlText w:val="•"/>
      <w:lvlJc w:val="left"/>
      <w:pPr>
        <w:tabs>
          <w:tab w:val="num" w:pos="2880"/>
        </w:tabs>
        <w:ind w:left="2880" w:hanging="360"/>
      </w:pPr>
      <w:rPr>
        <w:rFonts w:ascii="Arial" w:hAnsi="Arial" w:hint="default"/>
      </w:rPr>
    </w:lvl>
    <w:lvl w:ilvl="4" w:tplc="684806A4" w:tentative="1">
      <w:start w:val="1"/>
      <w:numFmt w:val="bullet"/>
      <w:lvlText w:val="•"/>
      <w:lvlJc w:val="left"/>
      <w:pPr>
        <w:tabs>
          <w:tab w:val="num" w:pos="3600"/>
        </w:tabs>
        <w:ind w:left="3600" w:hanging="360"/>
      </w:pPr>
      <w:rPr>
        <w:rFonts w:ascii="Arial" w:hAnsi="Arial" w:hint="default"/>
      </w:rPr>
    </w:lvl>
    <w:lvl w:ilvl="5" w:tplc="2160C42C" w:tentative="1">
      <w:start w:val="1"/>
      <w:numFmt w:val="bullet"/>
      <w:lvlText w:val="•"/>
      <w:lvlJc w:val="left"/>
      <w:pPr>
        <w:tabs>
          <w:tab w:val="num" w:pos="4320"/>
        </w:tabs>
        <w:ind w:left="4320" w:hanging="360"/>
      </w:pPr>
      <w:rPr>
        <w:rFonts w:ascii="Arial" w:hAnsi="Arial" w:hint="default"/>
      </w:rPr>
    </w:lvl>
    <w:lvl w:ilvl="6" w:tplc="79E251E4" w:tentative="1">
      <w:start w:val="1"/>
      <w:numFmt w:val="bullet"/>
      <w:lvlText w:val="•"/>
      <w:lvlJc w:val="left"/>
      <w:pPr>
        <w:tabs>
          <w:tab w:val="num" w:pos="5040"/>
        </w:tabs>
        <w:ind w:left="5040" w:hanging="360"/>
      </w:pPr>
      <w:rPr>
        <w:rFonts w:ascii="Arial" w:hAnsi="Arial" w:hint="default"/>
      </w:rPr>
    </w:lvl>
    <w:lvl w:ilvl="7" w:tplc="F94ED64E" w:tentative="1">
      <w:start w:val="1"/>
      <w:numFmt w:val="bullet"/>
      <w:lvlText w:val="•"/>
      <w:lvlJc w:val="left"/>
      <w:pPr>
        <w:tabs>
          <w:tab w:val="num" w:pos="5760"/>
        </w:tabs>
        <w:ind w:left="5760" w:hanging="360"/>
      </w:pPr>
      <w:rPr>
        <w:rFonts w:ascii="Arial" w:hAnsi="Arial" w:hint="default"/>
      </w:rPr>
    </w:lvl>
    <w:lvl w:ilvl="8" w:tplc="E764A3E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95369C"/>
    <w:multiLevelType w:val="hybridMultilevel"/>
    <w:tmpl w:val="6FD847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8D5603"/>
    <w:multiLevelType w:val="hybridMultilevel"/>
    <w:tmpl w:val="059EE520"/>
    <w:lvl w:ilvl="0" w:tplc="D59C799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417ED6"/>
    <w:multiLevelType w:val="hybridMultilevel"/>
    <w:tmpl w:val="6BCE279A"/>
    <w:lvl w:ilvl="0" w:tplc="2CA4F9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8358C7"/>
    <w:multiLevelType w:val="hybridMultilevel"/>
    <w:tmpl w:val="20E07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86B6DB0"/>
    <w:multiLevelType w:val="hybridMultilevel"/>
    <w:tmpl w:val="9438A2A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1"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011941"/>
    <w:multiLevelType w:val="hybridMultilevel"/>
    <w:tmpl w:val="2C8EC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DA20E2"/>
    <w:multiLevelType w:val="hybridMultilevel"/>
    <w:tmpl w:val="FFFFFFFF"/>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570D4965"/>
    <w:multiLevelType w:val="hybridMultilevel"/>
    <w:tmpl w:val="FFFFFFFF"/>
    <w:lvl w:ilvl="0" w:tplc="A73296EA">
      <w:start w:val="13"/>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F495B"/>
    <w:multiLevelType w:val="hybridMultilevel"/>
    <w:tmpl w:val="01602FBC"/>
    <w:lvl w:ilvl="0" w:tplc="5A8AC08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CE4C32"/>
    <w:multiLevelType w:val="hybridMultilevel"/>
    <w:tmpl w:val="922C0A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B02C58"/>
    <w:multiLevelType w:val="hybridMultilevel"/>
    <w:tmpl w:val="D456863A"/>
    <w:lvl w:ilvl="0" w:tplc="E1B201E8">
      <w:start w:val="1"/>
      <w:numFmt w:val="bullet"/>
      <w:lvlText w:val="•"/>
      <w:lvlJc w:val="left"/>
      <w:pPr>
        <w:tabs>
          <w:tab w:val="num" w:pos="720"/>
        </w:tabs>
        <w:ind w:left="720" w:hanging="360"/>
      </w:pPr>
      <w:rPr>
        <w:rFonts w:ascii="Arial" w:hAnsi="Arial" w:hint="default"/>
      </w:rPr>
    </w:lvl>
    <w:lvl w:ilvl="1" w:tplc="6CF0A6B0" w:tentative="1">
      <w:start w:val="1"/>
      <w:numFmt w:val="bullet"/>
      <w:lvlText w:val="•"/>
      <w:lvlJc w:val="left"/>
      <w:pPr>
        <w:tabs>
          <w:tab w:val="num" w:pos="1440"/>
        </w:tabs>
        <w:ind w:left="1440" w:hanging="360"/>
      </w:pPr>
      <w:rPr>
        <w:rFonts w:ascii="Arial" w:hAnsi="Arial" w:hint="default"/>
      </w:rPr>
    </w:lvl>
    <w:lvl w:ilvl="2" w:tplc="1A8CEC8A" w:tentative="1">
      <w:start w:val="1"/>
      <w:numFmt w:val="bullet"/>
      <w:lvlText w:val="•"/>
      <w:lvlJc w:val="left"/>
      <w:pPr>
        <w:tabs>
          <w:tab w:val="num" w:pos="2160"/>
        </w:tabs>
        <w:ind w:left="2160" w:hanging="360"/>
      </w:pPr>
      <w:rPr>
        <w:rFonts w:ascii="Arial" w:hAnsi="Arial" w:hint="default"/>
      </w:rPr>
    </w:lvl>
    <w:lvl w:ilvl="3" w:tplc="2B581CD2" w:tentative="1">
      <w:start w:val="1"/>
      <w:numFmt w:val="bullet"/>
      <w:lvlText w:val="•"/>
      <w:lvlJc w:val="left"/>
      <w:pPr>
        <w:tabs>
          <w:tab w:val="num" w:pos="2880"/>
        </w:tabs>
        <w:ind w:left="2880" w:hanging="360"/>
      </w:pPr>
      <w:rPr>
        <w:rFonts w:ascii="Arial" w:hAnsi="Arial" w:hint="default"/>
      </w:rPr>
    </w:lvl>
    <w:lvl w:ilvl="4" w:tplc="1DF83B0A" w:tentative="1">
      <w:start w:val="1"/>
      <w:numFmt w:val="bullet"/>
      <w:lvlText w:val="•"/>
      <w:lvlJc w:val="left"/>
      <w:pPr>
        <w:tabs>
          <w:tab w:val="num" w:pos="3600"/>
        </w:tabs>
        <w:ind w:left="3600" w:hanging="360"/>
      </w:pPr>
      <w:rPr>
        <w:rFonts w:ascii="Arial" w:hAnsi="Arial" w:hint="default"/>
      </w:rPr>
    </w:lvl>
    <w:lvl w:ilvl="5" w:tplc="4DF2B8BC" w:tentative="1">
      <w:start w:val="1"/>
      <w:numFmt w:val="bullet"/>
      <w:lvlText w:val="•"/>
      <w:lvlJc w:val="left"/>
      <w:pPr>
        <w:tabs>
          <w:tab w:val="num" w:pos="4320"/>
        </w:tabs>
        <w:ind w:left="4320" w:hanging="360"/>
      </w:pPr>
      <w:rPr>
        <w:rFonts w:ascii="Arial" w:hAnsi="Arial" w:hint="default"/>
      </w:rPr>
    </w:lvl>
    <w:lvl w:ilvl="6" w:tplc="7752048C" w:tentative="1">
      <w:start w:val="1"/>
      <w:numFmt w:val="bullet"/>
      <w:lvlText w:val="•"/>
      <w:lvlJc w:val="left"/>
      <w:pPr>
        <w:tabs>
          <w:tab w:val="num" w:pos="5040"/>
        </w:tabs>
        <w:ind w:left="5040" w:hanging="360"/>
      </w:pPr>
      <w:rPr>
        <w:rFonts w:ascii="Arial" w:hAnsi="Arial" w:hint="default"/>
      </w:rPr>
    </w:lvl>
    <w:lvl w:ilvl="7" w:tplc="DFFA3DF2" w:tentative="1">
      <w:start w:val="1"/>
      <w:numFmt w:val="bullet"/>
      <w:lvlText w:val="•"/>
      <w:lvlJc w:val="left"/>
      <w:pPr>
        <w:tabs>
          <w:tab w:val="num" w:pos="5760"/>
        </w:tabs>
        <w:ind w:left="5760" w:hanging="360"/>
      </w:pPr>
      <w:rPr>
        <w:rFonts w:ascii="Arial" w:hAnsi="Arial" w:hint="default"/>
      </w:rPr>
    </w:lvl>
    <w:lvl w:ilvl="8" w:tplc="F942205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E535CE"/>
    <w:multiLevelType w:val="hybridMultilevel"/>
    <w:tmpl w:val="2278BD96"/>
    <w:lvl w:ilvl="0" w:tplc="BC3AA8E0">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D3A4DB4"/>
    <w:multiLevelType w:val="multilevel"/>
    <w:tmpl w:val="85962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F33320"/>
    <w:multiLevelType w:val="hybridMultilevel"/>
    <w:tmpl w:val="6022941A"/>
    <w:lvl w:ilvl="0" w:tplc="249E0EA6">
      <w:start w:val="5"/>
      <w:numFmt w:val="bullet"/>
      <w:lvlText w:val="-"/>
      <w:lvlJc w:val="left"/>
      <w:pPr>
        <w:ind w:left="720" w:hanging="360"/>
      </w:pPr>
      <w:rPr>
        <w:rFonts w:ascii="Arial" w:eastAsia="Apto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7A45743"/>
    <w:multiLevelType w:val="hybridMultilevel"/>
    <w:tmpl w:val="5DCAA2F8"/>
    <w:lvl w:ilvl="0" w:tplc="CDA2761A">
      <w:start w:val="1"/>
      <w:numFmt w:val="decimal"/>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35"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6" w15:restartNumberingAfterBreak="0">
    <w:nsid w:val="68AA124A"/>
    <w:multiLevelType w:val="hybridMultilevel"/>
    <w:tmpl w:val="B49C6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8" w15:restartNumberingAfterBreak="0">
    <w:nsid w:val="6EAC0930"/>
    <w:multiLevelType w:val="hybridMultilevel"/>
    <w:tmpl w:val="2D4C06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682651"/>
    <w:multiLevelType w:val="hybridMultilevel"/>
    <w:tmpl w:val="4AA4C7B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41"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798371A4"/>
    <w:multiLevelType w:val="hybridMultilevel"/>
    <w:tmpl w:val="C0062A74"/>
    <w:lvl w:ilvl="0" w:tplc="0C090001">
      <w:start w:val="1"/>
      <w:numFmt w:val="bullet"/>
      <w:lvlText w:val=""/>
      <w:lvlJc w:val="left"/>
      <w:pPr>
        <w:ind w:left="1351" w:hanging="360"/>
      </w:pPr>
      <w:rPr>
        <w:rFonts w:ascii="Symbol" w:hAnsi="Symbol" w:hint="default"/>
      </w:rPr>
    </w:lvl>
    <w:lvl w:ilvl="1" w:tplc="0C090003" w:tentative="1">
      <w:start w:val="1"/>
      <w:numFmt w:val="bullet"/>
      <w:lvlText w:val="o"/>
      <w:lvlJc w:val="left"/>
      <w:pPr>
        <w:ind w:left="2071" w:hanging="360"/>
      </w:pPr>
      <w:rPr>
        <w:rFonts w:ascii="Courier New" w:hAnsi="Courier New" w:cs="Courier New" w:hint="default"/>
      </w:rPr>
    </w:lvl>
    <w:lvl w:ilvl="2" w:tplc="0C090005" w:tentative="1">
      <w:start w:val="1"/>
      <w:numFmt w:val="bullet"/>
      <w:lvlText w:val=""/>
      <w:lvlJc w:val="left"/>
      <w:pPr>
        <w:ind w:left="2791" w:hanging="360"/>
      </w:pPr>
      <w:rPr>
        <w:rFonts w:ascii="Wingdings" w:hAnsi="Wingdings" w:hint="default"/>
      </w:rPr>
    </w:lvl>
    <w:lvl w:ilvl="3" w:tplc="0C090001" w:tentative="1">
      <w:start w:val="1"/>
      <w:numFmt w:val="bullet"/>
      <w:lvlText w:val=""/>
      <w:lvlJc w:val="left"/>
      <w:pPr>
        <w:ind w:left="3511" w:hanging="360"/>
      </w:pPr>
      <w:rPr>
        <w:rFonts w:ascii="Symbol" w:hAnsi="Symbol" w:hint="default"/>
      </w:rPr>
    </w:lvl>
    <w:lvl w:ilvl="4" w:tplc="0C090003" w:tentative="1">
      <w:start w:val="1"/>
      <w:numFmt w:val="bullet"/>
      <w:lvlText w:val="o"/>
      <w:lvlJc w:val="left"/>
      <w:pPr>
        <w:ind w:left="4231" w:hanging="360"/>
      </w:pPr>
      <w:rPr>
        <w:rFonts w:ascii="Courier New" w:hAnsi="Courier New" w:cs="Courier New" w:hint="default"/>
      </w:rPr>
    </w:lvl>
    <w:lvl w:ilvl="5" w:tplc="0C090005" w:tentative="1">
      <w:start w:val="1"/>
      <w:numFmt w:val="bullet"/>
      <w:lvlText w:val=""/>
      <w:lvlJc w:val="left"/>
      <w:pPr>
        <w:ind w:left="4951" w:hanging="360"/>
      </w:pPr>
      <w:rPr>
        <w:rFonts w:ascii="Wingdings" w:hAnsi="Wingdings" w:hint="default"/>
      </w:rPr>
    </w:lvl>
    <w:lvl w:ilvl="6" w:tplc="0C090001" w:tentative="1">
      <w:start w:val="1"/>
      <w:numFmt w:val="bullet"/>
      <w:lvlText w:val=""/>
      <w:lvlJc w:val="left"/>
      <w:pPr>
        <w:ind w:left="5671" w:hanging="360"/>
      </w:pPr>
      <w:rPr>
        <w:rFonts w:ascii="Symbol" w:hAnsi="Symbol" w:hint="default"/>
      </w:rPr>
    </w:lvl>
    <w:lvl w:ilvl="7" w:tplc="0C090003" w:tentative="1">
      <w:start w:val="1"/>
      <w:numFmt w:val="bullet"/>
      <w:lvlText w:val="o"/>
      <w:lvlJc w:val="left"/>
      <w:pPr>
        <w:ind w:left="6391" w:hanging="360"/>
      </w:pPr>
      <w:rPr>
        <w:rFonts w:ascii="Courier New" w:hAnsi="Courier New" w:cs="Courier New" w:hint="default"/>
      </w:rPr>
    </w:lvl>
    <w:lvl w:ilvl="8" w:tplc="0C090005" w:tentative="1">
      <w:start w:val="1"/>
      <w:numFmt w:val="bullet"/>
      <w:lvlText w:val=""/>
      <w:lvlJc w:val="left"/>
      <w:pPr>
        <w:ind w:left="7111" w:hanging="360"/>
      </w:pPr>
      <w:rPr>
        <w:rFonts w:ascii="Wingdings" w:hAnsi="Wingdings" w:hint="default"/>
      </w:rPr>
    </w:lvl>
  </w:abstractNum>
  <w:num w:numId="1" w16cid:durableId="2089304874">
    <w:abstractNumId w:val="30"/>
  </w:num>
  <w:num w:numId="2" w16cid:durableId="1656227489">
    <w:abstractNumId w:val="17"/>
  </w:num>
  <w:num w:numId="3" w16cid:durableId="574364224">
    <w:abstractNumId w:val="40"/>
  </w:num>
  <w:num w:numId="4" w16cid:durableId="527109048">
    <w:abstractNumId w:val="18"/>
  </w:num>
  <w:num w:numId="5" w16cid:durableId="1670208723">
    <w:abstractNumId w:val="21"/>
  </w:num>
  <w:num w:numId="6" w16cid:durableId="225726173">
    <w:abstractNumId w:val="32"/>
  </w:num>
  <w:num w:numId="7" w16cid:durableId="1783039206">
    <w:abstractNumId w:val="0"/>
  </w:num>
  <w:num w:numId="8" w16cid:durableId="1187060151">
    <w:abstractNumId w:val="19"/>
  </w:num>
  <w:num w:numId="9" w16cid:durableId="470709753">
    <w:abstractNumId w:val="37"/>
  </w:num>
  <w:num w:numId="10" w16cid:durableId="208759485">
    <w:abstractNumId w:val="41"/>
  </w:num>
  <w:num w:numId="11" w16cid:durableId="515079098">
    <w:abstractNumId w:val="33"/>
  </w:num>
  <w:num w:numId="12" w16cid:durableId="557134786">
    <w:abstractNumId w:val="20"/>
  </w:num>
  <w:num w:numId="13" w16cid:durableId="1334379581">
    <w:abstractNumId w:val="4"/>
  </w:num>
  <w:num w:numId="14" w16cid:durableId="882793053">
    <w:abstractNumId w:val="9"/>
  </w:num>
  <w:num w:numId="15" w16cid:durableId="1953828701">
    <w:abstractNumId w:val="18"/>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138038055">
    <w:abstractNumId w:val="35"/>
  </w:num>
  <w:num w:numId="17" w16cid:durableId="1987002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46073">
    <w:abstractNumId w:val="28"/>
  </w:num>
  <w:num w:numId="19" w16cid:durableId="1232816089">
    <w:abstractNumId w:val="5"/>
  </w:num>
  <w:num w:numId="20" w16cid:durableId="391126182">
    <w:abstractNumId w:val="15"/>
  </w:num>
  <w:num w:numId="21" w16cid:durableId="257952578">
    <w:abstractNumId w:val="3"/>
  </w:num>
  <w:num w:numId="22" w16cid:durableId="300233705">
    <w:abstractNumId w:val="12"/>
  </w:num>
  <w:num w:numId="23" w16cid:durableId="2020767221">
    <w:abstractNumId w:val="6"/>
  </w:num>
  <w:num w:numId="24" w16cid:durableId="1039160080">
    <w:abstractNumId w:val="11"/>
  </w:num>
  <w:num w:numId="25" w16cid:durableId="1552036954">
    <w:abstractNumId w:val="27"/>
  </w:num>
  <w:num w:numId="26" w16cid:durableId="1948778927">
    <w:abstractNumId w:val="16"/>
  </w:num>
  <w:num w:numId="27" w16cid:durableId="347683903">
    <w:abstractNumId w:val="1"/>
  </w:num>
  <w:num w:numId="28" w16cid:durableId="2019654531">
    <w:abstractNumId w:val="25"/>
  </w:num>
  <w:num w:numId="29" w16cid:durableId="1525747544">
    <w:abstractNumId w:val="26"/>
  </w:num>
  <w:num w:numId="30" w16cid:durableId="1123578580">
    <w:abstractNumId w:val="31"/>
  </w:num>
  <w:num w:numId="31" w16cid:durableId="944775886">
    <w:abstractNumId w:val="24"/>
  </w:num>
  <w:num w:numId="32" w16cid:durableId="1938899569">
    <w:abstractNumId w:val="23"/>
  </w:num>
  <w:num w:numId="33" w16cid:durableId="1041125615">
    <w:abstractNumId w:val="2"/>
  </w:num>
  <w:num w:numId="34" w16cid:durableId="187565889">
    <w:abstractNumId w:val="13"/>
  </w:num>
  <w:num w:numId="35" w16cid:durableId="370155850">
    <w:abstractNumId w:val="8"/>
  </w:num>
  <w:num w:numId="36" w16cid:durableId="1738432086">
    <w:abstractNumId w:val="22"/>
  </w:num>
  <w:num w:numId="37" w16cid:durableId="1761101585">
    <w:abstractNumId w:val="14"/>
  </w:num>
  <w:num w:numId="38" w16cid:durableId="1386565459">
    <w:abstractNumId w:val="34"/>
  </w:num>
  <w:num w:numId="39" w16cid:durableId="1019549611">
    <w:abstractNumId w:val="29"/>
  </w:num>
  <w:num w:numId="40" w16cid:durableId="727991523">
    <w:abstractNumId w:val="38"/>
  </w:num>
  <w:num w:numId="41" w16cid:durableId="681976503">
    <w:abstractNumId w:val="4"/>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rPr>
          <w:rFonts w:ascii="Arial" w:eastAsiaTheme="minorEastAsia" w:hAnsi="Arial" w:cs="Arial"/>
        </w:r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736008052">
    <w:abstractNumId w:val="39"/>
  </w:num>
  <w:num w:numId="43" w16cid:durableId="1662583412">
    <w:abstractNumId w:val="10"/>
  </w:num>
  <w:num w:numId="44" w16cid:durableId="218518613">
    <w:abstractNumId w:val="7"/>
  </w:num>
  <w:num w:numId="45" w16cid:durableId="1195121768">
    <w:abstractNumId w:val="36"/>
  </w:num>
  <w:num w:numId="46" w16cid:durableId="67839328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66"/>
    <w:rsid w:val="00000A72"/>
    <w:rsid w:val="00000C5E"/>
    <w:rsid w:val="000017F9"/>
    <w:rsid w:val="00001921"/>
    <w:rsid w:val="00001DFD"/>
    <w:rsid w:val="00001E1D"/>
    <w:rsid w:val="00002125"/>
    <w:rsid w:val="00002AF0"/>
    <w:rsid w:val="00002C5E"/>
    <w:rsid w:val="00002E9E"/>
    <w:rsid w:val="00002F05"/>
    <w:rsid w:val="000032E3"/>
    <w:rsid w:val="000035E7"/>
    <w:rsid w:val="0000392B"/>
    <w:rsid w:val="00003E55"/>
    <w:rsid w:val="000043CB"/>
    <w:rsid w:val="00004D9C"/>
    <w:rsid w:val="00004E25"/>
    <w:rsid w:val="00004E38"/>
    <w:rsid w:val="00004E5C"/>
    <w:rsid w:val="0000512D"/>
    <w:rsid w:val="00005148"/>
    <w:rsid w:val="000051E4"/>
    <w:rsid w:val="000056F9"/>
    <w:rsid w:val="000060B1"/>
    <w:rsid w:val="00006358"/>
    <w:rsid w:val="00007BC5"/>
    <w:rsid w:val="0001006B"/>
    <w:rsid w:val="0001072A"/>
    <w:rsid w:val="000108B1"/>
    <w:rsid w:val="00010B5E"/>
    <w:rsid w:val="00010FE6"/>
    <w:rsid w:val="000119EB"/>
    <w:rsid w:val="000121F6"/>
    <w:rsid w:val="00012D19"/>
    <w:rsid w:val="0001367E"/>
    <w:rsid w:val="00013E24"/>
    <w:rsid w:val="00013E75"/>
    <w:rsid w:val="000140DA"/>
    <w:rsid w:val="000142DC"/>
    <w:rsid w:val="00014AB8"/>
    <w:rsid w:val="000151A5"/>
    <w:rsid w:val="0001574E"/>
    <w:rsid w:val="00015894"/>
    <w:rsid w:val="0001644D"/>
    <w:rsid w:val="00016FD9"/>
    <w:rsid w:val="0001741A"/>
    <w:rsid w:val="00017467"/>
    <w:rsid w:val="000174E0"/>
    <w:rsid w:val="0001757F"/>
    <w:rsid w:val="000175AD"/>
    <w:rsid w:val="00017D56"/>
    <w:rsid w:val="00017E87"/>
    <w:rsid w:val="000200FF"/>
    <w:rsid w:val="000202AC"/>
    <w:rsid w:val="00020AA5"/>
    <w:rsid w:val="0002127D"/>
    <w:rsid w:val="000214E1"/>
    <w:rsid w:val="00021660"/>
    <w:rsid w:val="00022F90"/>
    <w:rsid w:val="00023427"/>
    <w:rsid w:val="0002351E"/>
    <w:rsid w:val="000236EE"/>
    <w:rsid w:val="00023781"/>
    <w:rsid w:val="0002388A"/>
    <w:rsid w:val="00023D00"/>
    <w:rsid w:val="00024413"/>
    <w:rsid w:val="0002459A"/>
    <w:rsid w:val="00024DC3"/>
    <w:rsid w:val="000259A0"/>
    <w:rsid w:val="00025C0A"/>
    <w:rsid w:val="0002622A"/>
    <w:rsid w:val="000262E0"/>
    <w:rsid w:val="00026333"/>
    <w:rsid w:val="00026486"/>
    <w:rsid w:val="000271FD"/>
    <w:rsid w:val="000279A6"/>
    <w:rsid w:val="00027ADA"/>
    <w:rsid w:val="0003014A"/>
    <w:rsid w:val="0003039F"/>
    <w:rsid w:val="000305A1"/>
    <w:rsid w:val="0003063A"/>
    <w:rsid w:val="0003079A"/>
    <w:rsid w:val="00030ED3"/>
    <w:rsid w:val="00030F8F"/>
    <w:rsid w:val="00031011"/>
    <w:rsid w:val="00031552"/>
    <w:rsid w:val="000316E8"/>
    <w:rsid w:val="000317D8"/>
    <w:rsid w:val="00031DF5"/>
    <w:rsid w:val="00032A8C"/>
    <w:rsid w:val="00033254"/>
    <w:rsid w:val="000337AC"/>
    <w:rsid w:val="000342DE"/>
    <w:rsid w:val="0003530E"/>
    <w:rsid w:val="000379FE"/>
    <w:rsid w:val="00037CDD"/>
    <w:rsid w:val="00037E05"/>
    <w:rsid w:val="00037F1A"/>
    <w:rsid w:val="0004007B"/>
    <w:rsid w:val="0004044A"/>
    <w:rsid w:val="000409F4"/>
    <w:rsid w:val="00040EF2"/>
    <w:rsid w:val="00041889"/>
    <w:rsid w:val="00041C65"/>
    <w:rsid w:val="00041E58"/>
    <w:rsid w:val="00042070"/>
    <w:rsid w:val="00042262"/>
    <w:rsid w:val="000425E0"/>
    <w:rsid w:val="00042DB8"/>
    <w:rsid w:val="00043438"/>
    <w:rsid w:val="000436B7"/>
    <w:rsid w:val="000436FB"/>
    <w:rsid w:val="000437F1"/>
    <w:rsid w:val="00043BF7"/>
    <w:rsid w:val="000446F5"/>
    <w:rsid w:val="00044820"/>
    <w:rsid w:val="00044A7F"/>
    <w:rsid w:val="0004512D"/>
    <w:rsid w:val="00045855"/>
    <w:rsid w:val="00045B46"/>
    <w:rsid w:val="0004650F"/>
    <w:rsid w:val="00046631"/>
    <w:rsid w:val="00046738"/>
    <w:rsid w:val="00046FBE"/>
    <w:rsid w:val="0004700F"/>
    <w:rsid w:val="000477C8"/>
    <w:rsid w:val="00047983"/>
    <w:rsid w:val="00047C67"/>
    <w:rsid w:val="0005000A"/>
    <w:rsid w:val="00050C79"/>
    <w:rsid w:val="0005123B"/>
    <w:rsid w:val="00052502"/>
    <w:rsid w:val="00052D32"/>
    <w:rsid w:val="00054120"/>
    <w:rsid w:val="00054D9F"/>
    <w:rsid w:val="000557E2"/>
    <w:rsid w:val="00055D49"/>
    <w:rsid w:val="00056817"/>
    <w:rsid w:val="00056960"/>
    <w:rsid w:val="00056A79"/>
    <w:rsid w:val="00056BE7"/>
    <w:rsid w:val="00056F45"/>
    <w:rsid w:val="00057023"/>
    <w:rsid w:val="00057063"/>
    <w:rsid w:val="00057D21"/>
    <w:rsid w:val="00060441"/>
    <w:rsid w:val="00060AB8"/>
    <w:rsid w:val="00060E00"/>
    <w:rsid w:val="00060E35"/>
    <w:rsid w:val="0006115E"/>
    <w:rsid w:val="0006189B"/>
    <w:rsid w:val="00061922"/>
    <w:rsid w:val="00061AE8"/>
    <w:rsid w:val="00061BB4"/>
    <w:rsid w:val="000622FD"/>
    <w:rsid w:val="00062694"/>
    <w:rsid w:val="00062ECB"/>
    <w:rsid w:val="00063218"/>
    <w:rsid w:val="0006381B"/>
    <w:rsid w:val="000638CB"/>
    <w:rsid w:val="00063AC5"/>
    <w:rsid w:val="00063EDF"/>
    <w:rsid w:val="00064109"/>
    <w:rsid w:val="0006414C"/>
    <w:rsid w:val="000644E5"/>
    <w:rsid w:val="000646CC"/>
    <w:rsid w:val="00064716"/>
    <w:rsid w:val="00065051"/>
    <w:rsid w:val="000654AD"/>
    <w:rsid w:val="00065837"/>
    <w:rsid w:val="00065BCE"/>
    <w:rsid w:val="00065C96"/>
    <w:rsid w:val="00065E56"/>
    <w:rsid w:val="00067759"/>
    <w:rsid w:val="00067D4C"/>
    <w:rsid w:val="00067E62"/>
    <w:rsid w:val="00070AE8"/>
    <w:rsid w:val="00071301"/>
    <w:rsid w:val="00071BC2"/>
    <w:rsid w:val="00071DE0"/>
    <w:rsid w:val="0007213B"/>
    <w:rsid w:val="000721E8"/>
    <w:rsid w:val="00072457"/>
    <w:rsid w:val="0007264C"/>
    <w:rsid w:val="0007295D"/>
    <w:rsid w:val="00072980"/>
    <w:rsid w:val="00072ABE"/>
    <w:rsid w:val="00072CE6"/>
    <w:rsid w:val="000731D3"/>
    <w:rsid w:val="00073240"/>
    <w:rsid w:val="00073316"/>
    <w:rsid w:val="0007339D"/>
    <w:rsid w:val="00073B03"/>
    <w:rsid w:val="00074194"/>
    <w:rsid w:val="0007428B"/>
    <w:rsid w:val="00074ED1"/>
    <w:rsid w:val="00074EF0"/>
    <w:rsid w:val="000750B3"/>
    <w:rsid w:val="00075387"/>
    <w:rsid w:val="000757FA"/>
    <w:rsid w:val="00075AB0"/>
    <w:rsid w:val="00075B22"/>
    <w:rsid w:val="00075F65"/>
    <w:rsid w:val="000761ED"/>
    <w:rsid w:val="000763E1"/>
    <w:rsid w:val="0007682B"/>
    <w:rsid w:val="000774D1"/>
    <w:rsid w:val="0007756C"/>
    <w:rsid w:val="00077607"/>
    <w:rsid w:val="00077D35"/>
    <w:rsid w:val="000800CA"/>
    <w:rsid w:val="00080719"/>
    <w:rsid w:val="00080ACD"/>
    <w:rsid w:val="00080B85"/>
    <w:rsid w:val="00080D92"/>
    <w:rsid w:val="0008107E"/>
    <w:rsid w:val="00081938"/>
    <w:rsid w:val="00081A2B"/>
    <w:rsid w:val="000821C9"/>
    <w:rsid w:val="0008291C"/>
    <w:rsid w:val="00083485"/>
    <w:rsid w:val="0008350A"/>
    <w:rsid w:val="000845A7"/>
    <w:rsid w:val="00084923"/>
    <w:rsid w:val="00085556"/>
    <w:rsid w:val="0008578E"/>
    <w:rsid w:val="0008593C"/>
    <w:rsid w:val="00085964"/>
    <w:rsid w:val="000860E5"/>
    <w:rsid w:val="00086680"/>
    <w:rsid w:val="000869F3"/>
    <w:rsid w:val="00087E9B"/>
    <w:rsid w:val="000900D2"/>
    <w:rsid w:val="0009111C"/>
    <w:rsid w:val="0009154F"/>
    <w:rsid w:val="00091FCE"/>
    <w:rsid w:val="00092147"/>
    <w:rsid w:val="00092215"/>
    <w:rsid w:val="00092282"/>
    <w:rsid w:val="000922AC"/>
    <w:rsid w:val="00092AA5"/>
    <w:rsid w:val="00092CAD"/>
    <w:rsid w:val="00093001"/>
    <w:rsid w:val="00094686"/>
    <w:rsid w:val="00095113"/>
    <w:rsid w:val="000951A8"/>
    <w:rsid w:val="00095FBB"/>
    <w:rsid w:val="0009631F"/>
    <w:rsid w:val="00096517"/>
    <w:rsid w:val="00096A2F"/>
    <w:rsid w:val="0009740A"/>
    <w:rsid w:val="0009744B"/>
    <w:rsid w:val="0009786C"/>
    <w:rsid w:val="00097A98"/>
    <w:rsid w:val="000A01F2"/>
    <w:rsid w:val="000A0AF4"/>
    <w:rsid w:val="000A15C3"/>
    <w:rsid w:val="000A1BF8"/>
    <w:rsid w:val="000A201B"/>
    <w:rsid w:val="000A21F0"/>
    <w:rsid w:val="000A30A1"/>
    <w:rsid w:val="000A311E"/>
    <w:rsid w:val="000A31BA"/>
    <w:rsid w:val="000A3A80"/>
    <w:rsid w:val="000A3F70"/>
    <w:rsid w:val="000A4080"/>
    <w:rsid w:val="000A4504"/>
    <w:rsid w:val="000A4B7A"/>
    <w:rsid w:val="000A4FF1"/>
    <w:rsid w:val="000A5198"/>
    <w:rsid w:val="000A53C5"/>
    <w:rsid w:val="000A59CA"/>
    <w:rsid w:val="000A5C93"/>
    <w:rsid w:val="000A6102"/>
    <w:rsid w:val="000A62D4"/>
    <w:rsid w:val="000A687B"/>
    <w:rsid w:val="000A6D99"/>
    <w:rsid w:val="000A70B5"/>
    <w:rsid w:val="000A70BD"/>
    <w:rsid w:val="000A7715"/>
    <w:rsid w:val="000A7914"/>
    <w:rsid w:val="000B1150"/>
    <w:rsid w:val="000B16C0"/>
    <w:rsid w:val="000B18A8"/>
    <w:rsid w:val="000B277E"/>
    <w:rsid w:val="000B30E4"/>
    <w:rsid w:val="000B36AF"/>
    <w:rsid w:val="000B3719"/>
    <w:rsid w:val="000B382B"/>
    <w:rsid w:val="000B3C19"/>
    <w:rsid w:val="000B4015"/>
    <w:rsid w:val="000B4880"/>
    <w:rsid w:val="000B49CB"/>
    <w:rsid w:val="000B5C14"/>
    <w:rsid w:val="000B6394"/>
    <w:rsid w:val="000B64F5"/>
    <w:rsid w:val="000B6518"/>
    <w:rsid w:val="000B6B6A"/>
    <w:rsid w:val="000B6B74"/>
    <w:rsid w:val="000B6C72"/>
    <w:rsid w:val="000B794F"/>
    <w:rsid w:val="000B7A51"/>
    <w:rsid w:val="000B7D7F"/>
    <w:rsid w:val="000B7FF4"/>
    <w:rsid w:val="000C021A"/>
    <w:rsid w:val="000C0284"/>
    <w:rsid w:val="000C0405"/>
    <w:rsid w:val="000C0883"/>
    <w:rsid w:val="000C095A"/>
    <w:rsid w:val="000C0F8B"/>
    <w:rsid w:val="000C15C3"/>
    <w:rsid w:val="000C1A93"/>
    <w:rsid w:val="000C1DDA"/>
    <w:rsid w:val="000C1E26"/>
    <w:rsid w:val="000C2B5C"/>
    <w:rsid w:val="000C2EF6"/>
    <w:rsid w:val="000C3B47"/>
    <w:rsid w:val="000C4066"/>
    <w:rsid w:val="000C416A"/>
    <w:rsid w:val="000C4212"/>
    <w:rsid w:val="000C4403"/>
    <w:rsid w:val="000C4475"/>
    <w:rsid w:val="000C4639"/>
    <w:rsid w:val="000C4947"/>
    <w:rsid w:val="000C52A1"/>
    <w:rsid w:val="000C53E3"/>
    <w:rsid w:val="000C67EB"/>
    <w:rsid w:val="000C67ED"/>
    <w:rsid w:val="000C6817"/>
    <w:rsid w:val="000C6884"/>
    <w:rsid w:val="000C68A0"/>
    <w:rsid w:val="000C6AB1"/>
    <w:rsid w:val="000C6E07"/>
    <w:rsid w:val="000C705A"/>
    <w:rsid w:val="000C79C7"/>
    <w:rsid w:val="000C7CC7"/>
    <w:rsid w:val="000C7F8C"/>
    <w:rsid w:val="000D0081"/>
    <w:rsid w:val="000D00BE"/>
    <w:rsid w:val="000D0386"/>
    <w:rsid w:val="000D09C9"/>
    <w:rsid w:val="000D0CAC"/>
    <w:rsid w:val="000D159E"/>
    <w:rsid w:val="000D16CE"/>
    <w:rsid w:val="000D2754"/>
    <w:rsid w:val="000D2CD0"/>
    <w:rsid w:val="000D2F1E"/>
    <w:rsid w:val="000D372B"/>
    <w:rsid w:val="000D37D2"/>
    <w:rsid w:val="000D3846"/>
    <w:rsid w:val="000D3B6B"/>
    <w:rsid w:val="000D3C4F"/>
    <w:rsid w:val="000D401C"/>
    <w:rsid w:val="000D495F"/>
    <w:rsid w:val="000D49A5"/>
    <w:rsid w:val="000D4A19"/>
    <w:rsid w:val="000D4D63"/>
    <w:rsid w:val="000D4FAB"/>
    <w:rsid w:val="000D51E3"/>
    <w:rsid w:val="000D61C4"/>
    <w:rsid w:val="000D62BA"/>
    <w:rsid w:val="000D6494"/>
    <w:rsid w:val="000D67E0"/>
    <w:rsid w:val="000D6DB3"/>
    <w:rsid w:val="000D7400"/>
    <w:rsid w:val="000D7739"/>
    <w:rsid w:val="000D77E2"/>
    <w:rsid w:val="000D7B5B"/>
    <w:rsid w:val="000E005F"/>
    <w:rsid w:val="000E0147"/>
    <w:rsid w:val="000E03C2"/>
    <w:rsid w:val="000E0742"/>
    <w:rsid w:val="000E0DD1"/>
    <w:rsid w:val="000E0FE9"/>
    <w:rsid w:val="000E1039"/>
    <w:rsid w:val="000E1B7A"/>
    <w:rsid w:val="000E23BE"/>
    <w:rsid w:val="000E3588"/>
    <w:rsid w:val="000E36A6"/>
    <w:rsid w:val="000E3C6E"/>
    <w:rsid w:val="000E3FB0"/>
    <w:rsid w:val="000E4062"/>
    <w:rsid w:val="000E41D6"/>
    <w:rsid w:val="000E4DFB"/>
    <w:rsid w:val="000E5D62"/>
    <w:rsid w:val="000E5DF5"/>
    <w:rsid w:val="000E61D3"/>
    <w:rsid w:val="000E642B"/>
    <w:rsid w:val="000E6A79"/>
    <w:rsid w:val="000E7565"/>
    <w:rsid w:val="000E7791"/>
    <w:rsid w:val="000E77CE"/>
    <w:rsid w:val="000E7C03"/>
    <w:rsid w:val="000E7C8B"/>
    <w:rsid w:val="000F0518"/>
    <w:rsid w:val="000F0853"/>
    <w:rsid w:val="000F0B78"/>
    <w:rsid w:val="000F0BC1"/>
    <w:rsid w:val="000F11EC"/>
    <w:rsid w:val="000F210E"/>
    <w:rsid w:val="000F2FE2"/>
    <w:rsid w:val="000F4098"/>
    <w:rsid w:val="000F42F4"/>
    <w:rsid w:val="000F4717"/>
    <w:rsid w:val="000F4805"/>
    <w:rsid w:val="000F4FE3"/>
    <w:rsid w:val="000F6045"/>
    <w:rsid w:val="000F6066"/>
    <w:rsid w:val="000F6108"/>
    <w:rsid w:val="000F6A5B"/>
    <w:rsid w:val="000F6E53"/>
    <w:rsid w:val="000F6F28"/>
    <w:rsid w:val="000F7266"/>
    <w:rsid w:val="000F7997"/>
    <w:rsid w:val="0010091A"/>
    <w:rsid w:val="001009DB"/>
    <w:rsid w:val="00100CFF"/>
    <w:rsid w:val="00100DFC"/>
    <w:rsid w:val="00101654"/>
    <w:rsid w:val="001016F9"/>
    <w:rsid w:val="0010186F"/>
    <w:rsid w:val="0010189F"/>
    <w:rsid w:val="00101CC0"/>
    <w:rsid w:val="0010226A"/>
    <w:rsid w:val="00102315"/>
    <w:rsid w:val="00102349"/>
    <w:rsid w:val="00102720"/>
    <w:rsid w:val="0010278F"/>
    <w:rsid w:val="00102FCB"/>
    <w:rsid w:val="0010325C"/>
    <w:rsid w:val="00104022"/>
    <w:rsid w:val="0010458B"/>
    <w:rsid w:val="00105217"/>
    <w:rsid w:val="001057FE"/>
    <w:rsid w:val="00106403"/>
    <w:rsid w:val="001066BD"/>
    <w:rsid w:val="00106738"/>
    <w:rsid w:val="0010673F"/>
    <w:rsid w:val="00107039"/>
    <w:rsid w:val="0010707C"/>
    <w:rsid w:val="001079FF"/>
    <w:rsid w:val="00107E19"/>
    <w:rsid w:val="001101EC"/>
    <w:rsid w:val="001103AE"/>
    <w:rsid w:val="001103B8"/>
    <w:rsid w:val="00110618"/>
    <w:rsid w:val="00110646"/>
    <w:rsid w:val="001112B8"/>
    <w:rsid w:val="00111996"/>
    <w:rsid w:val="00111E14"/>
    <w:rsid w:val="00112591"/>
    <w:rsid w:val="00113126"/>
    <w:rsid w:val="00113253"/>
    <w:rsid w:val="00113302"/>
    <w:rsid w:val="0011335E"/>
    <w:rsid w:val="00114032"/>
    <w:rsid w:val="0011426F"/>
    <w:rsid w:val="001144D3"/>
    <w:rsid w:val="00114C67"/>
    <w:rsid w:val="00114CD6"/>
    <w:rsid w:val="00115705"/>
    <w:rsid w:val="001157DD"/>
    <w:rsid w:val="00115B28"/>
    <w:rsid w:val="001162D5"/>
    <w:rsid w:val="00116780"/>
    <w:rsid w:val="0011679F"/>
    <w:rsid w:val="00116B3D"/>
    <w:rsid w:val="00116CD3"/>
    <w:rsid w:val="001176F2"/>
    <w:rsid w:val="00117999"/>
    <w:rsid w:val="001179F0"/>
    <w:rsid w:val="001202B8"/>
    <w:rsid w:val="00120417"/>
    <w:rsid w:val="001204E3"/>
    <w:rsid w:val="001207B3"/>
    <w:rsid w:val="00120A76"/>
    <w:rsid w:val="00120AE9"/>
    <w:rsid w:val="0012117E"/>
    <w:rsid w:val="00121E6F"/>
    <w:rsid w:val="001224E5"/>
    <w:rsid w:val="001226A0"/>
    <w:rsid w:val="001233C5"/>
    <w:rsid w:val="001237FA"/>
    <w:rsid w:val="00124A35"/>
    <w:rsid w:val="00124E90"/>
    <w:rsid w:val="00124FF1"/>
    <w:rsid w:val="0012585E"/>
    <w:rsid w:val="00126A8B"/>
    <w:rsid w:val="00126F19"/>
    <w:rsid w:val="00126F68"/>
    <w:rsid w:val="00127E8E"/>
    <w:rsid w:val="00127ED0"/>
    <w:rsid w:val="001304EE"/>
    <w:rsid w:val="00130FC5"/>
    <w:rsid w:val="001310CD"/>
    <w:rsid w:val="001314A0"/>
    <w:rsid w:val="001318A9"/>
    <w:rsid w:val="0013196F"/>
    <w:rsid w:val="001321F5"/>
    <w:rsid w:val="0013226D"/>
    <w:rsid w:val="001322AC"/>
    <w:rsid w:val="00132389"/>
    <w:rsid w:val="00132BB4"/>
    <w:rsid w:val="00132E39"/>
    <w:rsid w:val="00132EDF"/>
    <w:rsid w:val="00133153"/>
    <w:rsid w:val="0013315B"/>
    <w:rsid w:val="0013361E"/>
    <w:rsid w:val="001336E0"/>
    <w:rsid w:val="00133C55"/>
    <w:rsid w:val="00133DB3"/>
    <w:rsid w:val="0013409D"/>
    <w:rsid w:val="001346E6"/>
    <w:rsid w:val="001347CB"/>
    <w:rsid w:val="00134E25"/>
    <w:rsid w:val="001351E4"/>
    <w:rsid w:val="001358DA"/>
    <w:rsid w:val="00136082"/>
    <w:rsid w:val="00136327"/>
    <w:rsid w:val="00136766"/>
    <w:rsid w:val="00136983"/>
    <w:rsid w:val="00136A50"/>
    <w:rsid w:val="00136B5B"/>
    <w:rsid w:val="001372E4"/>
    <w:rsid w:val="00137318"/>
    <w:rsid w:val="00137754"/>
    <w:rsid w:val="00137BB7"/>
    <w:rsid w:val="00140749"/>
    <w:rsid w:val="001408E3"/>
    <w:rsid w:val="00141BAE"/>
    <w:rsid w:val="00141DD9"/>
    <w:rsid w:val="00142627"/>
    <w:rsid w:val="00142830"/>
    <w:rsid w:val="001429EA"/>
    <w:rsid w:val="00142A02"/>
    <w:rsid w:val="00143707"/>
    <w:rsid w:val="00143805"/>
    <w:rsid w:val="00143C24"/>
    <w:rsid w:val="00143E29"/>
    <w:rsid w:val="00143FF6"/>
    <w:rsid w:val="001447D7"/>
    <w:rsid w:val="00144BA4"/>
    <w:rsid w:val="00145139"/>
    <w:rsid w:val="001451E6"/>
    <w:rsid w:val="0014537D"/>
    <w:rsid w:val="00145D90"/>
    <w:rsid w:val="00145E93"/>
    <w:rsid w:val="0014615A"/>
    <w:rsid w:val="0014622A"/>
    <w:rsid w:val="00146296"/>
    <w:rsid w:val="0014645A"/>
    <w:rsid w:val="001465F3"/>
    <w:rsid w:val="001467CC"/>
    <w:rsid w:val="00146BD5"/>
    <w:rsid w:val="001476DD"/>
    <w:rsid w:val="00147D1D"/>
    <w:rsid w:val="00147FD0"/>
    <w:rsid w:val="00150415"/>
    <w:rsid w:val="0015069C"/>
    <w:rsid w:val="00151B46"/>
    <w:rsid w:val="00151C8D"/>
    <w:rsid w:val="00151F16"/>
    <w:rsid w:val="001522F4"/>
    <w:rsid w:val="00152729"/>
    <w:rsid w:val="00152A07"/>
    <w:rsid w:val="00153173"/>
    <w:rsid w:val="001533B8"/>
    <w:rsid w:val="00153A1F"/>
    <w:rsid w:val="00153A56"/>
    <w:rsid w:val="00153F82"/>
    <w:rsid w:val="001544AC"/>
    <w:rsid w:val="00155467"/>
    <w:rsid w:val="00155B5F"/>
    <w:rsid w:val="00155DF5"/>
    <w:rsid w:val="00156563"/>
    <w:rsid w:val="00156A38"/>
    <w:rsid w:val="00157424"/>
    <w:rsid w:val="0015756D"/>
    <w:rsid w:val="0015762C"/>
    <w:rsid w:val="0015789A"/>
    <w:rsid w:val="001578BD"/>
    <w:rsid w:val="00157A6E"/>
    <w:rsid w:val="00160144"/>
    <w:rsid w:val="00161296"/>
    <w:rsid w:val="00161664"/>
    <w:rsid w:val="001620DF"/>
    <w:rsid w:val="00162D58"/>
    <w:rsid w:val="00163191"/>
    <w:rsid w:val="001632D5"/>
    <w:rsid w:val="0016339F"/>
    <w:rsid w:val="0016342C"/>
    <w:rsid w:val="00163F1B"/>
    <w:rsid w:val="00164294"/>
    <w:rsid w:val="00164649"/>
    <w:rsid w:val="00165218"/>
    <w:rsid w:val="001655DE"/>
    <w:rsid w:val="00165AF3"/>
    <w:rsid w:val="00165C6C"/>
    <w:rsid w:val="00166149"/>
    <w:rsid w:val="001674F3"/>
    <w:rsid w:val="00170410"/>
    <w:rsid w:val="001709BE"/>
    <w:rsid w:val="00171135"/>
    <w:rsid w:val="001717A3"/>
    <w:rsid w:val="00171ADE"/>
    <w:rsid w:val="001723FF"/>
    <w:rsid w:val="00172597"/>
    <w:rsid w:val="001728AB"/>
    <w:rsid w:val="001729DF"/>
    <w:rsid w:val="00172C69"/>
    <w:rsid w:val="00172DD6"/>
    <w:rsid w:val="00172ED4"/>
    <w:rsid w:val="001733E6"/>
    <w:rsid w:val="00173C0C"/>
    <w:rsid w:val="00173CC2"/>
    <w:rsid w:val="00173CE9"/>
    <w:rsid w:val="00173EAB"/>
    <w:rsid w:val="00174EE1"/>
    <w:rsid w:val="00175038"/>
    <w:rsid w:val="001751F2"/>
    <w:rsid w:val="001752DB"/>
    <w:rsid w:val="0017545C"/>
    <w:rsid w:val="001761D1"/>
    <w:rsid w:val="00176834"/>
    <w:rsid w:val="00176B97"/>
    <w:rsid w:val="00176F06"/>
    <w:rsid w:val="00177055"/>
    <w:rsid w:val="00177139"/>
    <w:rsid w:val="00177C99"/>
    <w:rsid w:val="001801AB"/>
    <w:rsid w:val="00180838"/>
    <w:rsid w:val="0018176E"/>
    <w:rsid w:val="00182437"/>
    <w:rsid w:val="0018249E"/>
    <w:rsid w:val="001825CB"/>
    <w:rsid w:val="00182865"/>
    <w:rsid w:val="00182E06"/>
    <w:rsid w:val="00183736"/>
    <w:rsid w:val="0018381C"/>
    <w:rsid w:val="00183A8B"/>
    <w:rsid w:val="0018415A"/>
    <w:rsid w:val="001847F1"/>
    <w:rsid w:val="001847FB"/>
    <w:rsid w:val="001848D0"/>
    <w:rsid w:val="00185767"/>
    <w:rsid w:val="00185AB3"/>
    <w:rsid w:val="0018602B"/>
    <w:rsid w:val="001866A6"/>
    <w:rsid w:val="00186C94"/>
    <w:rsid w:val="00186FAB"/>
    <w:rsid w:val="001870B7"/>
    <w:rsid w:val="001870E6"/>
    <w:rsid w:val="00187103"/>
    <w:rsid w:val="001871A9"/>
    <w:rsid w:val="00187223"/>
    <w:rsid w:val="001872B9"/>
    <w:rsid w:val="00187579"/>
    <w:rsid w:val="00187934"/>
    <w:rsid w:val="00191554"/>
    <w:rsid w:val="00191671"/>
    <w:rsid w:val="001916E4"/>
    <w:rsid w:val="0019203A"/>
    <w:rsid w:val="00193D12"/>
    <w:rsid w:val="00194235"/>
    <w:rsid w:val="0019424E"/>
    <w:rsid w:val="0019439F"/>
    <w:rsid w:val="00194413"/>
    <w:rsid w:val="001946F4"/>
    <w:rsid w:val="00194B1E"/>
    <w:rsid w:val="00194DA9"/>
    <w:rsid w:val="00194FC3"/>
    <w:rsid w:val="00195E9F"/>
    <w:rsid w:val="00196045"/>
    <w:rsid w:val="001964EA"/>
    <w:rsid w:val="00196822"/>
    <w:rsid w:val="0019699C"/>
    <w:rsid w:val="001972D8"/>
    <w:rsid w:val="0019743D"/>
    <w:rsid w:val="0019764E"/>
    <w:rsid w:val="00197A09"/>
    <w:rsid w:val="00197A41"/>
    <w:rsid w:val="00197C15"/>
    <w:rsid w:val="00197D1D"/>
    <w:rsid w:val="001A0191"/>
    <w:rsid w:val="001A0CAB"/>
    <w:rsid w:val="001A12BD"/>
    <w:rsid w:val="001A1511"/>
    <w:rsid w:val="001A16CA"/>
    <w:rsid w:val="001A17EB"/>
    <w:rsid w:val="001A1F03"/>
    <w:rsid w:val="001A1F86"/>
    <w:rsid w:val="001A2B33"/>
    <w:rsid w:val="001A351E"/>
    <w:rsid w:val="001A39CA"/>
    <w:rsid w:val="001A41AF"/>
    <w:rsid w:val="001A4466"/>
    <w:rsid w:val="001A4FDC"/>
    <w:rsid w:val="001A4FF1"/>
    <w:rsid w:val="001A5873"/>
    <w:rsid w:val="001A5BC9"/>
    <w:rsid w:val="001A5C03"/>
    <w:rsid w:val="001A5FCC"/>
    <w:rsid w:val="001A703C"/>
    <w:rsid w:val="001A75DF"/>
    <w:rsid w:val="001A78E9"/>
    <w:rsid w:val="001B154A"/>
    <w:rsid w:val="001B1A03"/>
    <w:rsid w:val="001B1A27"/>
    <w:rsid w:val="001B1CE0"/>
    <w:rsid w:val="001B1D5A"/>
    <w:rsid w:val="001B1FC0"/>
    <w:rsid w:val="001B21E5"/>
    <w:rsid w:val="001B23F0"/>
    <w:rsid w:val="001B312E"/>
    <w:rsid w:val="001B3460"/>
    <w:rsid w:val="001B3690"/>
    <w:rsid w:val="001B3C57"/>
    <w:rsid w:val="001B4152"/>
    <w:rsid w:val="001B4538"/>
    <w:rsid w:val="001B476C"/>
    <w:rsid w:val="001B4855"/>
    <w:rsid w:val="001B4A7A"/>
    <w:rsid w:val="001B4BFF"/>
    <w:rsid w:val="001B519F"/>
    <w:rsid w:val="001B5470"/>
    <w:rsid w:val="001B54B7"/>
    <w:rsid w:val="001B57C6"/>
    <w:rsid w:val="001B5B23"/>
    <w:rsid w:val="001B5FE0"/>
    <w:rsid w:val="001B6CF4"/>
    <w:rsid w:val="001B6F29"/>
    <w:rsid w:val="001B713A"/>
    <w:rsid w:val="001B74D9"/>
    <w:rsid w:val="001B7D32"/>
    <w:rsid w:val="001B7E67"/>
    <w:rsid w:val="001B7EA2"/>
    <w:rsid w:val="001C01FD"/>
    <w:rsid w:val="001C0323"/>
    <w:rsid w:val="001C04AF"/>
    <w:rsid w:val="001C088E"/>
    <w:rsid w:val="001C10AD"/>
    <w:rsid w:val="001C127F"/>
    <w:rsid w:val="001C1289"/>
    <w:rsid w:val="001C1482"/>
    <w:rsid w:val="001C18AC"/>
    <w:rsid w:val="001C1AE4"/>
    <w:rsid w:val="001C2109"/>
    <w:rsid w:val="001C2CCD"/>
    <w:rsid w:val="001C2FAF"/>
    <w:rsid w:val="001C3122"/>
    <w:rsid w:val="001C3626"/>
    <w:rsid w:val="001C3878"/>
    <w:rsid w:val="001C39DD"/>
    <w:rsid w:val="001C3CB5"/>
    <w:rsid w:val="001C4270"/>
    <w:rsid w:val="001C496C"/>
    <w:rsid w:val="001C49F0"/>
    <w:rsid w:val="001C4C0C"/>
    <w:rsid w:val="001C5C30"/>
    <w:rsid w:val="001C5E37"/>
    <w:rsid w:val="001C614B"/>
    <w:rsid w:val="001C629E"/>
    <w:rsid w:val="001C6D24"/>
    <w:rsid w:val="001C7069"/>
    <w:rsid w:val="001C7116"/>
    <w:rsid w:val="001C7389"/>
    <w:rsid w:val="001C77FF"/>
    <w:rsid w:val="001C7814"/>
    <w:rsid w:val="001D08A8"/>
    <w:rsid w:val="001D0D7C"/>
    <w:rsid w:val="001D13F4"/>
    <w:rsid w:val="001D1B90"/>
    <w:rsid w:val="001D2286"/>
    <w:rsid w:val="001D26C6"/>
    <w:rsid w:val="001D3930"/>
    <w:rsid w:val="001D3B98"/>
    <w:rsid w:val="001D3FBE"/>
    <w:rsid w:val="001D4709"/>
    <w:rsid w:val="001D50C0"/>
    <w:rsid w:val="001D5349"/>
    <w:rsid w:val="001D6056"/>
    <w:rsid w:val="001D6163"/>
    <w:rsid w:val="001D65E9"/>
    <w:rsid w:val="001D6CEB"/>
    <w:rsid w:val="001D6D6D"/>
    <w:rsid w:val="001D6D86"/>
    <w:rsid w:val="001D6F34"/>
    <w:rsid w:val="001D7758"/>
    <w:rsid w:val="001D791E"/>
    <w:rsid w:val="001D79DA"/>
    <w:rsid w:val="001D7BF3"/>
    <w:rsid w:val="001E02AB"/>
    <w:rsid w:val="001E0405"/>
    <w:rsid w:val="001E0416"/>
    <w:rsid w:val="001E137A"/>
    <w:rsid w:val="001E1380"/>
    <w:rsid w:val="001E176F"/>
    <w:rsid w:val="001E23B4"/>
    <w:rsid w:val="001E26BB"/>
    <w:rsid w:val="001E2926"/>
    <w:rsid w:val="001E2B50"/>
    <w:rsid w:val="001E2FA1"/>
    <w:rsid w:val="001E2FFE"/>
    <w:rsid w:val="001E3A26"/>
    <w:rsid w:val="001E3AC8"/>
    <w:rsid w:val="001E3DED"/>
    <w:rsid w:val="001E3EDC"/>
    <w:rsid w:val="001E41E3"/>
    <w:rsid w:val="001E427F"/>
    <w:rsid w:val="001E42CB"/>
    <w:rsid w:val="001E4E9D"/>
    <w:rsid w:val="001E4F53"/>
    <w:rsid w:val="001E6374"/>
    <w:rsid w:val="001E63A4"/>
    <w:rsid w:val="001E7011"/>
    <w:rsid w:val="001E747B"/>
    <w:rsid w:val="001E765D"/>
    <w:rsid w:val="001E7B2A"/>
    <w:rsid w:val="001E7DD5"/>
    <w:rsid w:val="001E7DE7"/>
    <w:rsid w:val="001F05AA"/>
    <w:rsid w:val="001F0790"/>
    <w:rsid w:val="001F08FC"/>
    <w:rsid w:val="001F095F"/>
    <w:rsid w:val="001F0BFA"/>
    <w:rsid w:val="001F246B"/>
    <w:rsid w:val="001F2B42"/>
    <w:rsid w:val="001F37C2"/>
    <w:rsid w:val="001F37C9"/>
    <w:rsid w:val="001F3A3B"/>
    <w:rsid w:val="001F3BC5"/>
    <w:rsid w:val="001F3F19"/>
    <w:rsid w:val="001F40A2"/>
    <w:rsid w:val="001F4A12"/>
    <w:rsid w:val="001F4E19"/>
    <w:rsid w:val="001F4ED9"/>
    <w:rsid w:val="001F5319"/>
    <w:rsid w:val="001F5443"/>
    <w:rsid w:val="001F5475"/>
    <w:rsid w:val="001F572C"/>
    <w:rsid w:val="001F572E"/>
    <w:rsid w:val="001F5F4B"/>
    <w:rsid w:val="001F5F9D"/>
    <w:rsid w:val="001F6D39"/>
    <w:rsid w:val="001F6E69"/>
    <w:rsid w:val="001F740D"/>
    <w:rsid w:val="001F786F"/>
    <w:rsid w:val="001F7BC6"/>
    <w:rsid w:val="00200246"/>
    <w:rsid w:val="00200321"/>
    <w:rsid w:val="00200357"/>
    <w:rsid w:val="00201389"/>
    <w:rsid w:val="00201416"/>
    <w:rsid w:val="00201BFD"/>
    <w:rsid w:val="002028BD"/>
    <w:rsid w:val="00202F49"/>
    <w:rsid w:val="002030EA"/>
    <w:rsid w:val="00203481"/>
    <w:rsid w:val="00203563"/>
    <w:rsid w:val="002036FD"/>
    <w:rsid w:val="00203A42"/>
    <w:rsid w:val="00203B64"/>
    <w:rsid w:val="00203D48"/>
    <w:rsid w:val="0020426B"/>
    <w:rsid w:val="002045B3"/>
    <w:rsid w:val="00204740"/>
    <w:rsid w:val="002047FB"/>
    <w:rsid w:val="00204A87"/>
    <w:rsid w:val="00204E53"/>
    <w:rsid w:val="00204ED7"/>
    <w:rsid w:val="00205127"/>
    <w:rsid w:val="00205307"/>
    <w:rsid w:val="002053CE"/>
    <w:rsid w:val="00205873"/>
    <w:rsid w:val="00205B88"/>
    <w:rsid w:val="00205DC1"/>
    <w:rsid w:val="002068EE"/>
    <w:rsid w:val="00206BE4"/>
    <w:rsid w:val="00206CFF"/>
    <w:rsid w:val="00206D39"/>
    <w:rsid w:val="00206F16"/>
    <w:rsid w:val="00207422"/>
    <w:rsid w:val="0020781C"/>
    <w:rsid w:val="0020795C"/>
    <w:rsid w:val="00207AFD"/>
    <w:rsid w:val="00210431"/>
    <w:rsid w:val="002106B1"/>
    <w:rsid w:val="00210DDC"/>
    <w:rsid w:val="00210FA6"/>
    <w:rsid w:val="00210FC6"/>
    <w:rsid w:val="00211041"/>
    <w:rsid w:val="002113B2"/>
    <w:rsid w:val="00211846"/>
    <w:rsid w:val="002122FD"/>
    <w:rsid w:val="00212565"/>
    <w:rsid w:val="002126FE"/>
    <w:rsid w:val="00212A4F"/>
    <w:rsid w:val="00212BE7"/>
    <w:rsid w:val="00213212"/>
    <w:rsid w:val="00213350"/>
    <w:rsid w:val="00213BA5"/>
    <w:rsid w:val="002142DF"/>
    <w:rsid w:val="0021438B"/>
    <w:rsid w:val="00214636"/>
    <w:rsid w:val="0021465F"/>
    <w:rsid w:val="002153F2"/>
    <w:rsid w:val="00215DFD"/>
    <w:rsid w:val="00215FF7"/>
    <w:rsid w:val="00216237"/>
    <w:rsid w:val="00216943"/>
    <w:rsid w:val="00216962"/>
    <w:rsid w:val="00216FC1"/>
    <w:rsid w:val="0021783A"/>
    <w:rsid w:val="00217EC1"/>
    <w:rsid w:val="00220380"/>
    <w:rsid w:val="00220A30"/>
    <w:rsid w:val="00220BDE"/>
    <w:rsid w:val="00220C28"/>
    <w:rsid w:val="002213C4"/>
    <w:rsid w:val="00221A19"/>
    <w:rsid w:val="00221B58"/>
    <w:rsid w:val="00222BE8"/>
    <w:rsid w:val="00222EDA"/>
    <w:rsid w:val="00223200"/>
    <w:rsid w:val="00223532"/>
    <w:rsid w:val="00223643"/>
    <w:rsid w:val="0022386A"/>
    <w:rsid w:val="00223A98"/>
    <w:rsid w:val="00224457"/>
    <w:rsid w:val="0022482B"/>
    <w:rsid w:val="002254AD"/>
    <w:rsid w:val="00225EC8"/>
    <w:rsid w:val="002266FD"/>
    <w:rsid w:val="0022703D"/>
    <w:rsid w:val="00227178"/>
    <w:rsid w:val="00227818"/>
    <w:rsid w:val="00227E91"/>
    <w:rsid w:val="00227EC9"/>
    <w:rsid w:val="00227FD2"/>
    <w:rsid w:val="00230637"/>
    <w:rsid w:val="00230A7B"/>
    <w:rsid w:val="00230CDA"/>
    <w:rsid w:val="00230E5C"/>
    <w:rsid w:val="00231147"/>
    <w:rsid w:val="0023193A"/>
    <w:rsid w:val="00231F9B"/>
    <w:rsid w:val="00231F9F"/>
    <w:rsid w:val="0023206A"/>
    <w:rsid w:val="002324CA"/>
    <w:rsid w:val="002329B4"/>
    <w:rsid w:val="00232EC0"/>
    <w:rsid w:val="00232ED9"/>
    <w:rsid w:val="002332B7"/>
    <w:rsid w:val="00233874"/>
    <w:rsid w:val="0023399F"/>
    <w:rsid w:val="00233A53"/>
    <w:rsid w:val="00233B2E"/>
    <w:rsid w:val="00233F52"/>
    <w:rsid w:val="00234421"/>
    <w:rsid w:val="0023496D"/>
    <w:rsid w:val="002349E3"/>
    <w:rsid w:val="00234C7D"/>
    <w:rsid w:val="00234FAA"/>
    <w:rsid w:val="00235527"/>
    <w:rsid w:val="002358C0"/>
    <w:rsid w:val="00235A3C"/>
    <w:rsid w:val="00235BDC"/>
    <w:rsid w:val="0023607C"/>
    <w:rsid w:val="002371C8"/>
    <w:rsid w:val="00237372"/>
    <w:rsid w:val="00237C7B"/>
    <w:rsid w:val="00237DCB"/>
    <w:rsid w:val="00240139"/>
    <w:rsid w:val="0024036A"/>
    <w:rsid w:val="00240610"/>
    <w:rsid w:val="0024088A"/>
    <w:rsid w:val="00240BF2"/>
    <w:rsid w:val="00240C02"/>
    <w:rsid w:val="00240EF9"/>
    <w:rsid w:val="00240FB1"/>
    <w:rsid w:val="0024194E"/>
    <w:rsid w:val="00241C79"/>
    <w:rsid w:val="002423ED"/>
    <w:rsid w:val="00242891"/>
    <w:rsid w:val="00242A8E"/>
    <w:rsid w:val="00243043"/>
    <w:rsid w:val="00243EC1"/>
    <w:rsid w:val="00243F35"/>
    <w:rsid w:val="002444C8"/>
    <w:rsid w:val="002447E2"/>
    <w:rsid w:val="00244E16"/>
    <w:rsid w:val="002452D1"/>
    <w:rsid w:val="0024557C"/>
    <w:rsid w:val="002458C7"/>
    <w:rsid w:val="00245A75"/>
    <w:rsid w:val="00245DD7"/>
    <w:rsid w:val="00245E8D"/>
    <w:rsid w:val="00246F72"/>
    <w:rsid w:val="00247048"/>
    <w:rsid w:val="002474EB"/>
    <w:rsid w:val="00247EF3"/>
    <w:rsid w:val="00250011"/>
    <w:rsid w:val="00250CE3"/>
    <w:rsid w:val="0025140B"/>
    <w:rsid w:val="002518C7"/>
    <w:rsid w:val="0025280C"/>
    <w:rsid w:val="00252D12"/>
    <w:rsid w:val="002533D8"/>
    <w:rsid w:val="002534A5"/>
    <w:rsid w:val="00253658"/>
    <w:rsid w:val="00253B42"/>
    <w:rsid w:val="00253BEF"/>
    <w:rsid w:val="00253F9C"/>
    <w:rsid w:val="0025466D"/>
    <w:rsid w:val="00254F38"/>
    <w:rsid w:val="002552CB"/>
    <w:rsid w:val="0025552F"/>
    <w:rsid w:val="002555D7"/>
    <w:rsid w:val="002556C6"/>
    <w:rsid w:val="00255F0B"/>
    <w:rsid w:val="002564AE"/>
    <w:rsid w:val="002573BD"/>
    <w:rsid w:val="00260158"/>
    <w:rsid w:val="002604CA"/>
    <w:rsid w:val="002604EB"/>
    <w:rsid w:val="00260847"/>
    <w:rsid w:val="00260AF3"/>
    <w:rsid w:val="00261C17"/>
    <w:rsid w:val="00261CFC"/>
    <w:rsid w:val="00262447"/>
    <w:rsid w:val="00262875"/>
    <w:rsid w:val="00262DD7"/>
    <w:rsid w:val="00263B03"/>
    <w:rsid w:val="00263F96"/>
    <w:rsid w:val="0026485C"/>
    <w:rsid w:val="002648D1"/>
    <w:rsid w:val="00264D74"/>
    <w:rsid w:val="00264DDE"/>
    <w:rsid w:val="00264E3A"/>
    <w:rsid w:val="0026520B"/>
    <w:rsid w:val="0026547D"/>
    <w:rsid w:val="00266131"/>
    <w:rsid w:val="0026669B"/>
    <w:rsid w:val="002667AF"/>
    <w:rsid w:val="00266DAC"/>
    <w:rsid w:val="00267041"/>
    <w:rsid w:val="0026718B"/>
    <w:rsid w:val="002673E2"/>
    <w:rsid w:val="00267ACA"/>
    <w:rsid w:val="00267B4B"/>
    <w:rsid w:val="00267ECA"/>
    <w:rsid w:val="00270407"/>
    <w:rsid w:val="0027117E"/>
    <w:rsid w:val="002716D5"/>
    <w:rsid w:val="002720A1"/>
    <w:rsid w:val="002722E8"/>
    <w:rsid w:val="0027270F"/>
    <w:rsid w:val="00272C89"/>
    <w:rsid w:val="00272F6F"/>
    <w:rsid w:val="002738C8"/>
    <w:rsid w:val="00273E98"/>
    <w:rsid w:val="00273FF5"/>
    <w:rsid w:val="00274176"/>
    <w:rsid w:val="00274D18"/>
    <w:rsid w:val="002752F7"/>
    <w:rsid w:val="002763BA"/>
    <w:rsid w:val="0027649A"/>
    <w:rsid w:val="0027654F"/>
    <w:rsid w:val="002766CC"/>
    <w:rsid w:val="00276918"/>
    <w:rsid w:val="00276A23"/>
    <w:rsid w:val="00276BD3"/>
    <w:rsid w:val="00276CE6"/>
    <w:rsid w:val="00276D04"/>
    <w:rsid w:val="00277229"/>
    <w:rsid w:val="00277494"/>
    <w:rsid w:val="0027758E"/>
    <w:rsid w:val="00277797"/>
    <w:rsid w:val="00277E94"/>
    <w:rsid w:val="00280182"/>
    <w:rsid w:val="00281B99"/>
    <w:rsid w:val="002820E1"/>
    <w:rsid w:val="002821E3"/>
    <w:rsid w:val="0028245C"/>
    <w:rsid w:val="00282C1A"/>
    <w:rsid w:val="00282D2D"/>
    <w:rsid w:val="00282D81"/>
    <w:rsid w:val="00283005"/>
    <w:rsid w:val="002833F7"/>
    <w:rsid w:val="00283D88"/>
    <w:rsid w:val="00284C9D"/>
    <w:rsid w:val="00284FF0"/>
    <w:rsid w:val="00285061"/>
    <w:rsid w:val="00285278"/>
    <w:rsid w:val="00285C05"/>
    <w:rsid w:val="00285DAC"/>
    <w:rsid w:val="00285E87"/>
    <w:rsid w:val="00285F90"/>
    <w:rsid w:val="00287E41"/>
    <w:rsid w:val="00287F96"/>
    <w:rsid w:val="0029042C"/>
    <w:rsid w:val="00290448"/>
    <w:rsid w:val="002906D0"/>
    <w:rsid w:val="002907D2"/>
    <w:rsid w:val="00290842"/>
    <w:rsid w:val="00290E0B"/>
    <w:rsid w:val="00291BF6"/>
    <w:rsid w:val="00291ED3"/>
    <w:rsid w:val="00292C50"/>
    <w:rsid w:val="00292DCF"/>
    <w:rsid w:val="00292EAA"/>
    <w:rsid w:val="00293442"/>
    <w:rsid w:val="00293622"/>
    <w:rsid w:val="00293A5C"/>
    <w:rsid w:val="00293B33"/>
    <w:rsid w:val="00293BFD"/>
    <w:rsid w:val="002942A2"/>
    <w:rsid w:val="00294815"/>
    <w:rsid w:val="00294A81"/>
    <w:rsid w:val="00294CEB"/>
    <w:rsid w:val="00294E19"/>
    <w:rsid w:val="00294E57"/>
    <w:rsid w:val="00295188"/>
    <w:rsid w:val="00295A5D"/>
    <w:rsid w:val="00295C2E"/>
    <w:rsid w:val="00295C90"/>
    <w:rsid w:val="00296163"/>
    <w:rsid w:val="00296387"/>
    <w:rsid w:val="002966D2"/>
    <w:rsid w:val="00296855"/>
    <w:rsid w:val="00296A87"/>
    <w:rsid w:val="00296F10"/>
    <w:rsid w:val="002970B3"/>
    <w:rsid w:val="002977B8"/>
    <w:rsid w:val="0029791F"/>
    <w:rsid w:val="002A00AB"/>
    <w:rsid w:val="002A03F1"/>
    <w:rsid w:val="002A0674"/>
    <w:rsid w:val="002A1683"/>
    <w:rsid w:val="002A1C55"/>
    <w:rsid w:val="002A22B4"/>
    <w:rsid w:val="002A3FCE"/>
    <w:rsid w:val="002A4040"/>
    <w:rsid w:val="002A4422"/>
    <w:rsid w:val="002A457C"/>
    <w:rsid w:val="002A5381"/>
    <w:rsid w:val="002A58C9"/>
    <w:rsid w:val="002A5975"/>
    <w:rsid w:val="002A5D6D"/>
    <w:rsid w:val="002A6689"/>
    <w:rsid w:val="002A66E2"/>
    <w:rsid w:val="002A6B8A"/>
    <w:rsid w:val="002A71ED"/>
    <w:rsid w:val="002A7AAF"/>
    <w:rsid w:val="002A7BF6"/>
    <w:rsid w:val="002B04FB"/>
    <w:rsid w:val="002B0D1D"/>
    <w:rsid w:val="002B1007"/>
    <w:rsid w:val="002B105D"/>
    <w:rsid w:val="002B10C0"/>
    <w:rsid w:val="002B147D"/>
    <w:rsid w:val="002B16A3"/>
    <w:rsid w:val="002B1F73"/>
    <w:rsid w:val="002B2255"/>
    <w:rsid w:val="002B23B0"/>
    <w:rsid w:val="002B2537"/>
    <w:rsid w:val="002B291F"/>
    <w:rsid w:val="002B29E2"/>
    <w:rsid w:val="002B2A0D"/>
    <w:rsid w:val="002B2F28"/>
    <w:rsid w:val="002B3113"/>
    <w:rsid w:val="002B36B7"/>
    <w:rsid w:val="002B3736"/>
    <w:rsid w:val="002B3A02"/>
    <w:rsid w:val="002B3A57"/>
    <w:rsid w:val="002B3E40"/>
    <w:rsid w:val="002B3F97"/>
    <w:rsid w:val="002B41ED"/>
    <w:rsid w:val="002B433D"/>
    <w:rsid w:val="002B4489"/>
    <w:rsid w:val="002B4E06"/>
    <w:rsid w:val="002B4E0F"/>
    <w:rsid w:val="002B500B"/>
    <w:rsid w:val="002B607A"/>
    <w:rsid w:val="002B63D8"/>
    <w:rsid w:val="002B65D4"/>
    <w:rsid w:val="002B667E"/>
    <w:rsid w:val="002B6A41"/>
    <w:rsid w:val="002B6A6A"/>
    <w:rsid w:val="002C0A0E"/>
    <w:rsid w:val="002C0A54"/>
    <w:rsid w:val="002C0BAA"/>
    <w:rsid w:val="002C1395"/>
    <w:rsid w:val="002C143E"/>
    <w:rsid w:val="002C16B7"/>
    <w:rsid w:val="002C18F9"/>
    <w:rsid w:val="002C1A4E"/>
    <w:rsid w:val="002C1A9B"/>
    <w:rsid w:val="002C1BB4"/>
    <w:rsid w:val="002C1DE7"/>
    <w:rsid w:val="002C2089"/>
    <w:rsid w:val="002C20DA"/>
    <w:rsid w:val="002C229A"/>
    <w:rsid w:val="002C2460"/>
    <w:rsid w:val="002C2908"/>
    <w:rsid w:val="002C30DE"/>
    <w:rsid w:val="002C35A4"/>
    <w:rsid w:val="002C393C"/>
    <w:rsid w:val="002C3983"/>
    <w:rsid w:val="002C39F5"/>
    <w:rsid w:val="002C3DC3"/>
    <w:rsid w:val="002C3F01"/>
    <w:rsid w:val="002C41CA"/>
    <w:rsid w:val="002C4673"/>
    <w:rsid w:val="002C4754"/>
    <w:rsid w:val="002C4863"/>
    <w:rsid w:val="002C499C"/>
    <w:rsid w:val="002C4A6B"/>
    <w:rsid w:val="002C4C06"/>
    <w:rsid w:val="002C50AC"/>
    <w:rsid w:val="002C54E3"/>
    <w:rsid w:val="002C5A14"/>
    <w:rsid w:val="002C5A1D"/>
    <w:rsid w:val="002C5BAD"/>
    <w:rsid w:val="002C5F75"/>
    <w:rsid w:val="002C62B3"/>
    <w:rsid w:val="002C66F4"/>
    <w:rsid w:val="002C6BB1"/>
    <w:rsid w:val="002C6C98"/>
    <w:rsid w:val="002C777B"/>
    <w:rsid w:val="002C7B40"/>
    <w:rsid w:val="002D0DDD"/>
    <w:rsid w:val="002D206F"/>
    <w:rsid w:val="002D2117"/>
    <w:rsid w:val="002D267F"/>
    <w:rsid w:val="002D26E9"/>
    <w:rsid w:val="002D2A64"/>
    <w:rsid w:val="002D2B73"/>
    <w:rsid w:val="002D2CDF"/>
    <w:rsid w:val="002D2FED"/>
    <w:rsid w:val="002D33A7"/>
    <w:rsid w:val="002D349B"/>
    <w:rsid w:val="002D3FF8"/>
    <w:rsid w:val="002D46A2"/>
    <w:rsid w:val="002D532D"/>
    <w:rsid w:val="002D551D"/>
    <w:rsid w:val="002D559D"/>
    <w:rsid w:val="002D55C3"/>
    <w:rsid w:val="002D5ADD"/>
    <w:rsid w:val="002D6969"/>
    <w:rsid w:val="002D6AB6"/>
    <w:rsid w:val="002D72AE"/>
    <w:rsid w:val="002D7E7A"/>
    <w:rsid w:val="002E0006"/>
    <w:rsid w:val="002E08FF"/>
    <w:rsid w:val="002E0CB1"/>
    <w:rsid w:val="002E12B7"/>
    <w:rsid w:val="002E12F6"/>
    <w:rsid w:val="002E17F9"/>
    <w:rsid w:val="002E1BA6"/>
    <w:rsid w:val="002E1DA1"/>
    <w:rsid w:val="002E2D74"/>
    <w:rsid w:val="002E3BAE"/>
    <w:rsid w:val="002E3CB8"/>
    <w:rsid w:val="002E3DA2"/>
    <w:rsid w:val="002E3F6E"/>
    <w:rsid w:val="002E3F87"/>
    <w:rsid w:val="002E425D"/>
    <w:rsid w:val="002E433B"/>
    <w:rsid w:val="002E43A1"/>
    <w:rsid w:val="002E4410"/>
    <w:rsid w:val="002E452E"/>
    <w:rsid w:val="002E58B1"/>
    <w:rsid w:val="002E5A8B"/>
    <w:rsid w:val="002E6757"/>
    <w:rsid w:val="002E6AFF"/>
    <w:rsid w:val="002E6FAD"/>
    <w:rsid w:val="002E6FC3"/>
    <w:rsid w:val="002E711B"/>
    <w:rsid w:val="002E71B8"/>
    <w:rsid w:val="002E732B"/>
    <w:rsid w:val="002E7555"/>
    <w:rsid w:val="002E76C5"/>
    <w:rsid w:val="002E76F7"/>
    <w:rsid w:val="002E786A"/>
    <w:rsid w:val="002F02E4"/>
    <w:rsid w:val="002F0319"/>
    <w:rsid w:val="002F0452"/>
    <w:rsid w:val="002F0EBA"/>
    <w:rsid w:val="002F159B"/>
    <w:rsid w:val="002F18CF"/>
    <w:rsid w:val="002F1AF9"/>
    <w:rsid w:val="002F33BB"/>
    <w:rsid w:val="002F39E5"/>
    <w:rsid w:val="002F3E16"/>
    <w:rsid w:val="002F4204"/>
    <w:rsid w:val="002F42D9"/>
    <w:rsid w:val="002F4599"/>
    <w:rsid w:val="002F4742"/>
    <w:rsid w:val="002F47FB"/>
    <w:rsid w:val="002F51EB"/>
    <w:rsid w:val="002F52CD"/>
    <w:rsid w:val="002F5363"/>
    <w:rsid w:val="002F5575"/>
    <w:rsid w:val="002F601A"/>
    <w:rsid w:val="002F6342"/>
    <w:rsid w:val="002F66F7"/>
    <w:rsid w:val="002F71D1"/>
    <w:rsid w:val="002F75A8"/>
    <w:rsid w:val="002F7C07"/>
    <w:rsid w:val="0030043B"/>
    <w:rsid w:val="00300937"/>
    <w:rsid w:val="00300B43"/>
    <w:rsid w:val="0030139E"/>
    <w:rsid w:val="00302F98"/>
    <w:rsid w:val="00303902"/>
    <w:rsid w:val="00303E48"/>
    <w:rsid w:val="00303F5C"/>
    <w:rsid w:val="003048E5"/>
    <w:rsid w:val="00304995"/>
    <w:rsid w:val="00305A30"/>
    <w:rsid w:val="00305C19"/>
    <w:rsid w:val="00306ABB"/>
    <w:rsid w:val="00307042"/>
    <w:rsid w:val="003074AB"/>
    <w:rsid w:val="00307541"/>
    <w:rsid w:val="003076C3"/>
    <w:rsid w:val="00307784"/>
    <w:rsid w:val="00307820"/>
    <w:rsid w:val="00307BCC"/>
    <w:rsid w:val="00310CB2"/>
    <w:rsid w:val="003111F1"/>
    <w:rsid w:val="003112E6"/>
    <w:rsid w:val="003117A2"/>
    <w:rsid w:val="00311AE6"/>
    <w:rsid w:val="00311F4A"/>
    <w:rsid w:val="003122E0"/>
    <w:rsid w:val="0031295E"/>
    <w:rsid w:val="00312C2A"/>
    <w:rsid w:val="00312D35"/>
    <w:rsid w:val="00312FF0"/>
    <w:rsid w:val="0031345B"/>
    <w:rsid w:val="003137F3"/>
    <w:rsid w:val="00313912"/>
    <w:rsid w:val="00313F38"/>
    <w:rsid w:val="00314046"/>
    <w:rsid w:val="00314370"/>
    <w:rsid w:val="00314839"/>
    <w:rsid w:val="00314A22"/>
    <w:rsid w:val="00314D5B"/>
    <w:rsid w:val="0031547E"/>
    <w:rsid w:val="0031594F"/>
    <w:rsid w:val="003159A6"/>
    <w:rsid w:val="00315C96"/>
    <w:rsid w:val="00316232"/>
    <w:rsid w:val="0031678A"/>
    <w:rsid w:val="00316848"/>
    <w:rsid w:val="003168E5"/>
    <w:rsid w:val="003169E0"/>
    <w:rsid w:val="00316A9B"/>
    <w:rsid w:val="00316B6C"/>
    <w:rsid w:val="003174C1"/>
    <w:rsid w:val="00317D27"/>
    <w:rsid w:val="00317D46"/>
    <w:rsid w:val="00317FB6"/>
    <w:rsid w:val="003200AF"/>
    <w:rsid w:val="00320413"/>
    <w:rsid w:val="003204FA"/>
    <w:rsid w:val="00320BD5"/>
    <w:rsid w:val="0032118B"/>
    <w:rsid w:val="00321445"/>
    <w:rsid w:val="00321BB5"/>
    <w:rsid w:val="00321CC0"/>
    <w:rsid w:val="00321EA0"/>
    <w:rsid w:val="0032203B"/>
    <w:rsid w:val="003221F6"/>
    <w:rsid w:val="00322476"/>
    <w:rsid w:val="00323676"/>
    <w:rsid w:val="003236BD"/>
    <w:rsid w:val="00323943"/>
    <w:rsid w:val="00323AA8"/>
    <w:rsid w:val="0032401C"/>
    <w:rsid w:val="00324CBF"/>
    <w:rsid w:val="00325126"/>
    <w:rsid w:val="0032516B"/>
    <w:rsid w:val="00325184"/>
    <w:rsid w:val="0032519F"/>
    <w:rsid w:val="00325B9D"/>
    <w:rsid w:val="00326610"/>
    <w:rsid w:val="00326636"/>
    <w:rsid w:val="00326D82"/>
    <w:rsid w:val="00326E19"/>
    <w:rsid w:val="00327189"/>
    <w:rsid w:val="0032723D"/>
    <w:rsid w:val="00327555"/>
    <w:rsid w:val="0032782E"/>
    <w:rsid w:val="00330075"/>
    <w:rsid w:val="003303FA"/>
    <w:rsid w:val="0033057E"/>
    <w:rsid w:val="003306C8"/>
    <w:rsid w:val="00330BA9"/>
    <w:rsid w:val="00331CC7"/>
    <w:rsid w:val="00331E28"/>
    <w:rsid w:val="0033207C"/>
    <w:rsid w:val="003320A1"/>
    <w:rsid w:val="0033216F"/>
    <w:rsid w:val="00332651"/>
    <w:rsid w:val="00332B32"/>
    <w:rsid w:val="00332BB3"/>
    <w:rsid w:val="00332DB2"/>
    <w:rsid w:val="003333B8"/>
    <w:rsid w:val="0033381F"/>
    <w:rsid w:val="003339DE"/>
    <w:rsid w:val="00333FDF"/>
    <w:rsid w:val="003346EE"/>
    <w:rsid w:val="00334907"/>
    <w:rsid w:val="003349C1"/>
    <w:rsid w:val="00334AA2"/>
    <w:rsid w:val="00334CAD"/>
    <w:rsid w:val="00334E41"/>
    <w:rsid w:val="00334E5C"/>
    <w:rsid w:val="0033502E"/>
    <w:rsid w:val="003357B8"/>
    <w:rsid w:val="00335E1B"/>
    <w:rsid w:val="00335FD3"/>
    <w:rsid w:val="003368DC"/>
    <w:rsid w:val="003369B4"/>
    <w:rsid w:val="003370D0"/>
    <w:rsid w:val="00337274"/>
    <w:rsid w:val="003374E8"/>
    <w:rsid w:val="00337633"/>
    <w:rsid w:val="00337C5A"/>
    <w:rsid w:val="00337CA2"/>
    <w:rsid w:val="00340194"/>
    <w:rsid w:val="003405CF"/>
    <w:rsid w:val="003409E7"/>
    <w:rsid w:val="0034134D"/>
    <w:rsid w:val="003414B8"/>
    <w:rsid w:val="003422B3"/>
    <w:rsid w:val="00342CAD"/>
    <w:rsid w:val="0034302F"/>
    <w:rsid w:val="003431D7"/>
    <w:rsid w:val="003436EF"/>
    <w:rsid w:val="0034379F"/>
    <w:rsid w:val="00344734"/>
    <w:rsid w:val="00344F59"/>
    <w:rsid w:val="003450BB"/>
    <w:rsid w:val="003450D7"/>
    <w:rsid w:val="00345A22"/>
    <w:rsid w:val="00345BE6"/>
    <w:rsid w:val="0034647E"/>
    <w:rsid w:val="00347427"/>
    <w:rsid w:val="003476BB"/>
    <w:rsid w:val="00347D57"/>
    <w:rsid w:val="00350197"/>
    <w:rsid w:val="003509F4"/>
    <w:rsid w:val="00350D39"/>
    <w:rsid w:val="00350DE5"/>
    <w:rsid w:val="00351DD4"/>
    <w:rsid w:val="0035218C"/>
    <w:rsid w:val="003536F9"/>
    <w:rsid w:val="00353A45"/>
    <w:rsid w:val="00353B14"/>
    <w:rsid w:val="00353CF0"/>
    <w:rsid w:val="00353F90"/>
    <w:rsid w:val="00354450"/>
    <w:rsid w:val="003544FD"/>
    <w:rsid w:val="00354546"/>
    <w:rsid w:val="00354A81"/>
    <w:rsid w:val="00354C46"/>
    <w:rsid w:val="00354CE4"/>
    <w:rsid w:val="00354D17"/>
    <w:rsid w:val="00354D62"/>
    <w:rsid w:val="00354DEB"/>
    <w:rsid w:val="00354EAD"/>
    <w:rsid w:val="00354EF5"/>
    <w:rsid w:val="00355156"/>
    <w:rsid w:val="0035517B"/>
    <w:rsid w:val="0035552D"/>
    <w:rsid w:val="00355763"/>
    <w:rsid w:val="00355A84"/>
    <w:rsid w:val="00356013"/>
    <w:rsid w:val="003560BB"/>
    <w:rsid w:val="003563A5"/>
    <w:rsid w:val="0035645E"/>
    <w:rsid w:val="0035654D"/>
    <w:rsid w:val="0035654E"/>
    <w:rsid w:val="00356880"/>
    <w:rsid w:val="00356B9E"/>
    <w:rsid w:val="0035705E"/>
    <w:rsid w:val="0035707C"/>
    <w:rsid w:val="00357901"/>
    <w:rsid w:val="00357B5D"/>
    <w:rsid w:val="00357BA5"/>
    <w:rsid w:val="00357D3D"/>
    <w:rsid w:val="00357DC3"/>
    <w:rsid w:val="00360A99"/>
    <w:rsid w:val="00360D74"/>
    <w:rsid w:val="00360EEC"/>
    <w:rsid w:val="00360F4F"/>
    <w:rsid w:val="00361D3B"/>
    <w:rsid w:val="00361FE5"/>
    <w:rsid w:val="003622AC"/>
    <w:rsid w:val="00362552"/>
    <w:rsid w:val="003628A7"/>
    <w:rsid w:val="00362EA7"/>
    <w:rsid w:val="00362FEB"/>
    <w:rsid w:val="00363A15"/>
    <w:rsid w:val="00364816"/>
    <w:rsid w:val="00364B03"/>
    <w:rsid w:val="00364FF9"/>
    <w:rsid w:val="0036577E"/>
    <w:rsid w:val="003657FF"/>
    <w:rsid w:val="00365BC6"/>
    <w:rsid w:val="003662E1"/>
    <w:rsid w:val="00366934"/>
    <w:rsid w:val="00367147"/>
    <w:rsid w:val="00367263"/>
    <w:rsid w:val="00367496"/>
    <w:rsid w:val="003675C3"/>
    <w:rsid w:val="00367F1B"/>
    <w:rsid w:val="00370288"/>
    <w:rsid w:val="00370336"/>
    <w:rsid w:val="0037051F"/>
    <w:rsid w:val="0037057E"/>
    <w:rsid w:val="003707CA"/>
    <w:rsid w:val="003709EF"/>
    <w:rsid w:val="00370D50"/>
    <w:rsid w:val="00370EC3"/>
    <w:rsid w:val="003717E5"/>
    <w:rsid w:val="00371825"/>
    <w:rsid w:val="00371E78"/>
    <w:rsid w:val="003722F3"/>
    <w:rsid w:val="00372A96"/>
    <w:rsid w:val="00372CB3"/>
    <w:rsid w:val="00373024"/>
    <w:rsid w:val="00373EF5"/>
    <w:rsid w:val="00374BFA"/>
    <w:rsid w:val="003750AD"/>
    <w:rsid w:val="003751EA"/>
    <w:rsid w:val="00375357"/>
    <w:rsid w:val="003754F1"/>
    <w:rsid w:val="0037574A"/>
    <w:rsid w:val="00375FE7"/>
    <w:rsid w:val="003765EB"/>
    <w:rsid w:val="00376C7A"/>
    <w:rsid w:val="003774F8"/>
    <w:rsid w:val="00380010"/>
    <w:rsid w:val="003803B9"/>
    <w:rsid w:val="003804D5"/>
    <w:rsid w:val="0038069F"/>
    <w:rsid w:val="0038088E"/>
    <w:rsid w:val="00380C2F"/>
    <w:rsid w:val="00381C18"/>
    <w:rsid w:val="00381E05"/>
    <w:rsid w:val="00382667"/>
    <w:rsid w:val="00382B0E"/>
    <w:rsid w:val="00382E1F"/>
    <w:rsid w:val="003839E9"/>
    <w:rsid w:val="00383DCD"/>
    <w:rsid w:val="00384738"/>
    <w:rsid w:val="003847F0"/>
    <w:rsid w:val="00384E2D"/>
    <w:rsid w:val="00384E60"/>
    <w:rsid w:val="00385253"/>
    <w:rsid w:val="0038579A"/>
    <w:rsid w:val="00385C85"/>
    <w:rsid w:val="00386BE2"/>
    <w:rsid w:val="00391C60"/>
    <w:rsid w:val="00392522"/>
    <w:rsid w:val="00392A43"/>
    <w:rsid w:val="00392CEA"/>
    <w:rsid w:val="00392D15"/>
    <w:rsid w:val="00392D19"/>
    <w:rsid w:val="003931F4"/>
    <w:rsid w:val="00393581"/>
    <w:rsid w:val="00393C15"/>
    <w:rsid w:val="00394C66"/>
    <w:rsid w:val="00394DA2"/>
    <w:rsid w:val="00395332"/>
    <w:rsid w:val="003959AB"/>
    <w:rsid w:val="003962F7"/>
    <w:rsid w:val="00396640"/>
    <w:rsid w:val="00396A4C"/>
    <w:rsid w:val="00396CC8"/>
    <w:rsid w:val="00396FE7"/>
    <w:rsid w:val="0039747C"/>
    <w:rsid w:val="00397661"/>
    <w:rsid w:val="003A01DC"/>
    <w:rsid w:val="003A08AF"/>
    <w:rsid w:val="003A0973"/>
    <w:rsid w:val="003A0DDE"/>
    <w:rsid w:val="003A11CF"/>
    <w:rsid w:val="003A1852"/>
    <w:rsid w:val="003A18AC"/>
    <w:rsid w:val="003A1A41"/>
    <w:rsid w:val="003A1A92"/>
    <w:rsid w:val="003A1C62"/>
    <w:rsid w:val="003A1DEF"/>
    <w:rsid w:val="003A2167"/>
    <w:rsid w:val="003A25F6"/>
    <w:rsid w:val="003A27BD"/>
    <w:rsid w:val="003A292B"/>
    <w:rsid w:val="003A293F"/>
    <w:rsid w:val="003A2B89"/>
    <w:rsid w:val="003A302A"/>
    <w:rsid w:val="003A311F"/>
    <w:rsid w:val="003A31CF"/>
    <w:rsid w:val="003A332A"/>
    <w:rsid w:val="003A3407"/>
    <w:rsid w:val="003A3692"/>
    <w:rsid w:val="003A37E3"/>
    <w:rsid w:val="003A3BC6"/>
    <w:rsid w:val="003A3BD1"/>
    <w:rsid w:val="003A477D"/>
    <w:rsid w:val="003A5168"/>
    <w:rsid w:val="003A5BA8"/>
    <w:rsid w:val="003A5BB2"/>
    <w:rsid w:val="003A62D5"/>
    <w:rsid w:val="003A666E"/>
    <w:rsid w:val="003A6D3B"/>
    <w:rsid w:val="003A6DD4"/>
    <w:rsid w:val="003A774A"/>
    <w:rsid w:val="003B0179"/>
    <w:rsid w:val="003B0270"/>
    <w:rsid w:val="003B0279"/>
    <w:rsid w:val="003B0506"/>
    <w:rsid w:val="003B0732"/>
    <w:rsid w:val="003B093E"/>
    <w:rsid w:val="003B0C92"/>
    <w:rsid w:val="003B197E"/>
    <w:rsid w:val="003B19C2"/>
    <w:rsid w:val="003B2280"/>
    <w:rsid w:val="003B22C4"/>
    <w:rsid w:val="003B27E5"/>
    <w:rsid w:val="003B2D24"/>
    <w:rsid w:val="003B32B3"/>
    <w:rsid w:val="003B35C3"/>
    <w:rsid w:val="003B369C"/>
    <w:rsid w:val="003B37CC"/>
    <w:rsid w:val="003B3AAD"/>
    <w:rsid w:val="003B3EA1"/>
    <w:rsid w:val="003B4A69"/>
    <w:rsid w:val="003B4C8E"/>
    <w:rsid w:val="003B516B"/>
    <w:rsid w:val="003B5C18"/>
    <w:rsid w:val="003B63DC"/>
    <w:rsid w:val="003B700C"/>
    <w:rsid w:val="003B74E1"/>
    <w:rsid w:val="003B79A2"/>
    <w:rsid w:val="003C052A"/>
    <w:rsid w:val="003C0B90"/>
    <w:rsid w:val="003C0BFA"/>
    <w:rsid w:val="003C0D7B"/>
    <w:rsid w:val="003C1269"/>
    <w:rsid w:val="003C1C00"/>
    <w:rsid w:val="003C1D0E"/>
    <w:rsid w:val="003C2709"/>
    <w:rsid w:val="003C298E"/>
    <w:rsid w:val="003C29B7"/>
    <w:rsid w:val="003C33CE"/>
    <w:rsid w:val="003C3762"/>
    <w:rsid w:val="003C3AE6"/>
    <w:rsid w:val="003C3B7A"/>
    <w:rsid w:val="003C3D5C"/>
    <w:rsid w:val="003C3E1D"/>
    <w:rsid w:val="003C42D2"/>
    <w:rsid w:val="003C443B"/>
    <w:rsid w:val="003C4441"/>
    <w:rsid w:val="003C4481"/>
    <w:rsid w:val="003C4EF6"/>
    <w:rsid w:val="003C52F7"/>
    <w:rsid w:val="003C5686"/>
    <w:rsid w:val="003C6148"/>
    <w:rsid w:val="003C6627"/>
    <w:rsid w:val="003C6A61"/>
    <w:rsid w:val="003C6D96"/>
    <w:rsid w:val="003C6E39"/>
    <w:rsid w:val="003C7B39"/>
    <w:rsid w:val="003D0644"/>
    <w:rsid w:val="003D080A"/>
    <w:rsid w:val="003D08A4"/>
    <w:rsid w:val="003D1159"/>
    <w:rsid w:val="003D247D"/>
    <w:rsid w:val="003D2518"/>
    <w:rsid w:val="003D2FAD"/>
    <w:rsid w:val="003D3AAC"/>
    <w:rsid w:val="003D3CB1"/>
    <w:rsid w:val="003D4DDE"/>
    <w:rsid w:val="003D558E"/>
    <w:rsid w:val="003D563D"/>
    <w:rsid w:val="003D599D"/>
    <w:rsid w:val="003D5CC4"/>
    <w:rsid w:val="003D5DA0"/>
    <w:rsid w:val="003D625C"/>
    <w:rsid w:val="003D6811"/>
    <w:rsid w:val="003D722B"/>
    <w:rsid w:val="003D7658"/>
    <w:rsid w:val="003D76D3"/>
    <w:rsid w:val="003D7843"/>
    <w:rsid w:val="003D7EDD"/>
    <w:rsid w:val="003E01E8"/>
    <w:rsid w:val="003E0AED"/>
    <w:rsid w:val="003E0BB6"/>
    <w:rsid w:val="003E0F1B"/>
    <w:rsid w:val="003E0FAB"/>
    <w:rsid w:val="003E1705"/>
    <w:rsid w:val="003E197A"/>
    <w:rsid w:val="003E1996"/>
    <w:rsid w:val="003E1B68"/>
    <w:rsid w:val="003E1D56"/>
    <w:rsid w:val="003E2027"/>
    <w:rsid w:val="003E224E"/>
    <w:rsid w:val="003E2820"/>
    <w:rsid w:val="003E28A5"/>
    <w:rsid w:val="003E28FF"/>
    <w:rsid w:val="003E2B17"/>
    <w:rsid w:val="003E2E88"/>
    <w:rsid w:val="003E320D"/>
    <w:rsid w:val="003E3FEA"/>
    <w:rsid w:val="003E4B3B"/>
    <w:rsid w:val="003E5519"/>
    <w:rsid w:val="003E565C"/>
    <w:rsid w:val="003E57AD"/>
    <w:rsid w:val="003E6941"/>
    <w:rsid w:val="003E7459"/>
    <w:rsid w:val="003F0449"/>
    <w:rsid w:val="003F0A91"/>
    <w:rsid w:val="003F160C"/>
    <w:rsid w:val="003F1E8E"/>
    <w:rsid w:val="003F2016"/>
    <w:rsid w:val="003F20E4"/>
    <w:rsid w:val="003F24C0"/>
    <w:rsid w:val="003F26CF"/>
    <w:rsid w:val="003F287C"/>
    <w:rsid w:val="003F28E2"/>
    <w:rsid w:val="003F2AE8"/>
    <w:rsid w:val="003F3794"/>
    <w:rsid w:val="003F3D8A"/>
    <w:rsid w:val="003F4031"/>
    <w:rsid w:val="003F53EE"/>
    <w:rsid w:val="003F54B1"/>
    <w:rsid w:val="003F5A91"/>
    <w:rsid w:val="003F6303"/>
    <w:rsid w:val="003F65DF"/>
    <w:rsid w:val="003F69EC"/>
    <w:rsid w:val="003F6F7E"/>
    <w:rsid w:val="003F7067"/>
    <w:rsid w:val="003F70FE"/>
    <w:rsid w:val="003F7162"/>
    <w:rsid w:val="003F7685"/>
    <w:rsid w:val="003F7D23"/>
    <w:rsid w:val="003F7D59"/>
    <w:rsid w:val="003F7E26"/>
    <w:rsid w:val="003F7E67"/>
    <w:rsid w:val="004001DC"/>
    <w:rsid w:val="00400B3A"/>
    <w:rsid w:val="00400D6E"/>
    <w:rsid w:val="00400EED"/>
    <w:rsid w:val="00401A09"/>
    <w:rsid w:val="00401BB3"/>
    <w:rsid w:val="0040213D"/>
    <w:rsid w:val="00403525"/>
    <w:rsid w:val="004036B9"/>
    <w:rsid w:val="00403AE9"/>
    <w:rsid w:val="00404239"/>
    <w:rsid w:val="004048BB"/>
    <w:rsid w:val="00404A3F"/>
    <w:rsid w:val="00405314"/>
    <w:rsid w:val="0040633D"/>
    <w:rsid w:val="004066F2"/>
    <w:rsid w:val="004068FF"/>
    <w:rsid w:val="00406960"/>
    <w:rsid w:val="00406B54"/>
    <w:rsid w:val="004100AD"/>
    <w:rsid w:val="0041084E"/>
    <w:rsid w:val="004108D8"/>
    <w:rsid w:val="004114C5"/>
    <w:rsid w:val="00412F62"/>
    <w:rsid w:val="00413075"/>
    <w:rsid w:val="004136EE"/>
    <w:rsid w:val="00413C8A"/>
    <w:rsid w:val="00414684"/>
    <w:rsid w:val="00414A9D"/>
    <w:rsid w:val="00415132"/>
    <w:rsid w:val="00415C8F"/>
    <w:rsid w:val="00415CD9"/>
    <w:rsid w:val="00415E20"/>
    <w:rsid w:val="004167BF"/>
    <w:rsid w:val="0041699B"/>
    <w:rsid w:val="00416B3D"/>
    <w:rsid w:val="0041774A"/>
    <w:rsid w:val="00417A91"/>
    <w:rsid w:val="00417DCE"/>
    <w:rsid w:val="00417EBF"/>
    <w:rsid w:val="004201DA"/>
    <w:rsid w:val="0042063C"/>
    <w:rsid w:val="00420C4A"/>
    <w:rsid w:val="00421429"/>
    <w:rsid w:val="0042156F"/>
    <w:rsid w:val="004229D4"/>
    <w:rsid w:val="00422A1F"/>
    <w:rsid w:val="00422F5C"/>
    <w:rsid w:val="00422FA1"/>
    <w:rsid w:val="00422FE8"/>
    <w:rsid w:val="004230BC"/>
    <w:rsid w:val="004233AB"/>
    <w:rsid w:val="00423405"/>
    <w:rsid w:val="00423634"/>
    <w:rsid w:val="00423679"/>
    <w:rsid w:val="004238F8"/>
    <w:rsid w:val="004239B4"/>
    <w:rsid w:val="004241F1"/>
    <w:rsid w:val="0042476D"/>
    <w:rsid w:val="00424C81"/>
    <w:rsid w:val="00424E4F"/>
    <w:rsid w:val="00425354"/>
    <w:rsid w:val="00425513"/>
    <w:rsid w:val="00426348"/>
    <w:rsid w:val="00426504"/>
    <w:rsid w:val="004266AC"/>
    <w:rsid w:val="004270EB"/>
    <w:rsid w:val="0043016F"/>
    <w:rsid w:val="004306B1"/>
    <w:rsid w:val="004308BF"/>
    <w:rsid w:val="00430958"/>
    <w:rsid w:val="00430D95"/>
    <w:rsid w:val="004312DB"/>
    <w:rsid w:val="004314B2"/>
    <w:rsid w:val="0043190B"/>
    <w:rsid w:val="00431AB0"/>
    <w:rsid w:val="00431D51"/>
    <w:rsid w:val="0043262F"/>
    <w:rsid w:val="0043344F"/>
    <w:rsid w:val="00433A11"/>
    <w:rsid w:val="00434408"/>
    <w:rsid w:val="0043453B"/>
    <w:rsid w:val="0043480E"/>
    <w:rsid w:val="00434877"/>
    <w:rsid w:val="00434BF0"/>
    <w:rsid w:val="00435B0F"/>
    <w:rsid w:val="00437B97"/>
    <w:rsid w:val="0044022B"/>
    <w:rsid w:val="00440271"/>
    <w:rsid w:val="00440BBC"/>
    <w:rsid w:val="00441038"/>
    <w:rsid w:val="004418EC"/>
    <w:rsid w:val="00441CC5"/>
    <w:rsid w:val="00441EA1"/>
    <w:rsid w:val="0044202F"/>
    <w:rsid w:val="0044220E"/>
    <w:rsid w:val="004424F3"/>
    <w:rsid w:val="004427F6"/>
    <w:rsid w:val="004428E9"/>
    <w:rsid w:val="00443220"/>
    <w:rsid w:val="00443275"/>
    <w:rsid w:val="0044338F"/>
    <w:rsid w:val="004438C5"/>
    <w:rsid w:val="00443C01"/>
    <w:rsid w:val="00443C0A"/>
    <w:rsid w:val="00443E70"/>
    <w:rsid w:val="00444640"/>
    <w:rsid w:val="004446B5"/>
    <w:rsid w:val="00444AF3"/>
    <w:rsid w:val="00444B34"/>
    <w:rsid w:val="00445003"/>
    <w:rsid w:val="00445753"/>
    <w:rsid w:val="00445BE3"/>
    <w:rsid w:val="00446235"/>
    <w:rsid w:val="00446DBB"/>
    <w:rsid w:val="004471A8"/>
    <w:rsid w:val="004473F3"/>
    <w:rsid w:val="00450025"/>
    <w:rsid w:val="00450EFB"/>
    <w:rsid w:val="00450FF1"/>
    <w:rsid w:val="00451416"/>
    <w:rsid w:val="004514FD"/>
    <w:rsid w:val="00451CED"/>
    <w:rsid w:val="00452597"/>
    <w:rsid w:val="0045278D"/>
    <w:rsid w:val="00452A6F"/>
    <w:rsid w:val="004535D8"/>
    <w:rsid w:val="004538FC"/>
    <w:rsid w:val="00453B21"/>
    <w:rsid w:val="00454355"/>
    <w:rsid w:val="004543B8"/>
    <w:rsid w:val="0045478B"/>
    <w:rsid w:val="00454920"/>
    <w:rsid w:val="0045506B"/>
    <w:rsid w:val="00455827"/>
    <w:rsid w:val="00455837"/>
    <w:rsid w:val="004567F9"/>
    <w:rsid w:val="00456E40"/>
    <w:rsid w:val="0045700D"/>
    <w:rsid w:val="00457270"/>
    <w:rsid w:val="00457440"/>
    <w:rsid w:val="0045765D"/>
    <w:rsid w:val="00457950"/>
    <w:rsid w:val="00457FD4"/>
    <w:rsid w:val="0046024E"/>
    <w:rsid w:val="004603CB"/>
    <w:rsid w:val="00460F7C"/>
    <w:rsid w:val="004618C9"/>
    <w:rsid w:val="00461AD7"/>
    <w:rsid w:val="00461C4B"/>
    <w:rsid w:val="0046211D"/>
    <w:rsid w:val="004627F7"/>
    <w:rsid w:val="00463240"/>
    <w:rsid w:val="0046361A"/>
    <w:rsid w:val="004638C9"/>
    <w:rsid w:val="00463998"/>
    <w:rsid w:val="004639A5"/>
    <w:rsid w:val="00463AC7"/>
    <w:rsid w:val="00463B11"/>
    <w:rsid w:val="00463BEF"/>
    <w:rsid w:val="00463DAD"/>
    <w:rsid w:val="00463E4E"/>
    <w:rsid w:val="0046434B"/>
    <w:rsid w:val="00465079"/>
    <w:rsid w:val="0046533B"/>
    <w:rsid w:val="00465901"/>
    <w:rsid w:val="00465954"/>
    <w:rsid w:val="00465F31"/>
    <w:rsid w:val="00466187"/>
    <w:rsid w:val="00466216"/>
    <w:rsid w:val="0046654B"/>
    <w:rsid w:val="00466759"/>
    <w:rsid w:val="00466B50"/>
    <w:rsid w:val="00467396"/>
    <w:rsid w:val="004673B3"/>
    <w:rsid w:val="0046765E"/>
    <w:rsid w:val="00467757"/>
    <w:rsid w:val="00467BC1"/>
    <w:rsid w:val="0047058E"/>
    <w:rsid w:val="00470AB2"/>
    <w:rsid w:val="00470B45"/>
    <w:rsid w:val="00470B4C"/>
    <w:rsid w:val="00472704"/>
    <w:rsid w:val="004728AD"/>
    <w:rsid w:val="00472F04"/>
    <w:rsid w:val="004733D4"/>
    <w:rsid w:val="0047384E"/>
    <w:rsid w:val="00473947"/>
    <w:rsid w:val="00473D85"/>
    <w:rsid w:val="004741B6"/>
    <w:rsid w:val="004744CD"/>
    <w:rsid w:val="00474629"/>
    <w:rsid w:val="004750C1"/>
    <w:rsid w:val="004758BB"/>
    <w:rsid w:val="004759B6"/>
    <w:rsid w:val="00475B87"/>
    <w:rsid w:val="00475C2F"/>
    <w:rsid w:val="00476136"/>
    <w:rsid w:val="00476463"/>
    <w:rsid w:val="004777D9"/>
    <w:rsid w:val="00477CB7"/>
    <w:rsid w:val="004800C8"/>
    <w:rsid w:val="0048018D"/>
    <w:rsid w:val="00480378"/>
    <w:rsid w:val="004808FE"/>
    <w:rsid w:val="00480FD0"/>
    <w:rsid w:val="00481227"/>
    <w:rsid w:val="004813E6"/>
    <w:rsid w:val="00481ACD"/>
    <w:rsid w:val="004820D0"/>
    <w:rsid w:val="00482C39"/>
    <w:rsid w:val="00482E26"/>
    <w:rsid w:val="00482E9C"/>
    <w:rsid w:val="0048308C"/>
    <w:rsid w:val="0048339F"/>
    <w:rsid w:val="0048368A"/>
    <w:rsid w:val="00483BD4"/>
    <w:rsid w:val="00484A7D"/>
    <w:rsid w:val="00484C2F"/>
    <w:rsid w:val="00485167"/>
    <w:rsid w:val="004857D8"/>
    <w:rsid w:val="004857DF"/>
    <w:rsid w:val="00485A35"/>
    <w:rsid w:val="00485B13"/>
    <w:rsid w:val="00485B18"/>
    <w:rsid w:val="00485DDF"/>
    <w:rsid w:val="00487333"/>
    <w:rsid w:val="0048757A"/>
    <w:rsid w:val="00487813"/>
    <w:rsid w:val="00487FAC"/>
    <w:rsid w:val="00491E62"/>
    <w:rsid w:val="00492405"/>
    <w:rsid w:val="0049264A"/>
    <w:rsid w:val="004929C8"/>
    <w:rsid w:val="00493496"/>
    <w:rsid w:val="00493895"/>
    <w:rsid w:val="00493B98"/>
    <w:rsid w:val="00493F5E"/>
    <w:rsid w:val="004947F1"/>
    <w:rsid w:val="00494C74"/>
    <w:rsid w:val="004950B8"/>
    <w:rsid w:val="00495D8E"/>
    <w:rsid w:val="00495E83"/>
    <w:rsid w:val="00495EDC"/>
    <w:rsid w:val="00496C66"/>
    <w:rsid w:val="00496D3D"/>
    <w:rsid w:val="0049777B"/>
    <w:rsid w:val="00497864"/>
    <w:rsid w:val="00497C87"/>
    <w:rsid w:val="00497E8F"/>
    <w:rsid w:val="004A017D"/>
    <w:rsid w:val="004A04FE"/>
    <w:rsid w:val="004A1065"/>
    <w:rsid w:val="004A14EC"/>
    <w:rsid w:val="004A203E"/>
    <w:rsid w:val="004A2088"/>
    <w:rsid w:val="004A2375"/>
    <w:rsid w:val="004A2CDE"/>
    <w:rsid w:val="004A2D48"/>
    <w:rsid w:val="004A2EE8"/>
    <w:rsid w:val="004A317C"/>
    <w:rsid w:val="004A39A7"/>
    <w:rsid w:val="004A39A9"/>
    <w:rsid w:val="004A458F"/>
    <w:rsid w:val="004A4837"/>
    <w:rsid w:val="004A4C85"/>
    <w:rsid w:val="004A51DF"/>
    <w:rsid w:val="004A5370"/>
    <w:rsid w:val="004A539D"/>
    <w:rsid w:val="004A5A11"/>
    <w:rsid w:val="004A5E23"/>
    <w:rsid w:val="004A5E67"/>
    <w:rsid w:val="004A6026"/>
    <w:rsid w:val="004A630E"/>
    <w:rsid w:val="004A668F"/>
    <w:rsid w:val="004A6763"/>
    <w:rsid w:val="004A6F49"/>
    <w:rsid w:val="004A6F71"/>
    <w:rsid w:val="004A72CB"/>
    <w:rsid w:val="004A7DCA"/>
    <w:rsid w:val="004B0599"/>
    <w:rsid w:val="004B0B53"/>
    <w:rsid w:val="004B1311"/>
    <w:rsid w:val="004B19E6"/>
    <w:rsid w:val="004B1D73"/>
    <w:rsid w:val="004B21FA"/>
    <w:rsid w:val="004B2730"/>
    <w:rsid w:val="004B374A"/>
    <w:rsid w:val="004B3FC7"/>
    <w:rsid w:val="004B417B"/>
    <w:rsid w:val="004B4767"/>
    <w:rsid w:val="004B480B"/>
    <w:rsid w:val="004B4B07"/>
    <w:rsid w:val="004B4ED4"/>
    <w:rsid w:val="004B5423"/>
    <w:rsid w:val="004B547C"/>
    <w:rsid w:val="004B5AF1"/>
    <w:rsid w:val="004B6D50"/>
    <w:rsid w:val="004B718A"/>
    <w:rsid w:val="004B71D9"/>
    <w:rsid w:val="004B71ED"/>
    <w:rsid w:val="004B785D"/>
    <w:rsid w:val="004C003E"/>
    <w:rsid w:val="004C0110"/>
    <w:rsid w:val="004C015F"/>
    <w:rsid w:val="004C0488"/>
    <w:rsid w:val="004C0688"/>
    <w:rsid w:val="004C07FB"/>
    <w:rsid w:val="004C112E"/>
    <w:rsid w:val="004C1161"/>
    <w:rsid w:val="004C11AD"/>
    <w:rsid w:val="004C17FC"/>
    <w:rsid w:val="004C1EF9"/>
    <w:rsid w:val="004C202F"/>
    <w:rsid w:val="004C2082"/>
    <w:rsid w:val="004C283D"/>
    <w:rsid w:val="004C2886"/>
    <w:rsid w:val="004C3463"/>
    <w:rsid w:val="004C3C90"/>
    <w:rsid w:val="004C3F09"/>
    <w:rsid w:val="004C41A2"/>
    <w:rsid w:val="004C44CA"/>
    <w:rsid w:val="004C4517"/>
    <w:rsid w:val="004C512D"/>
    <w:rsid w:val="004C53F5"/>
    <w:rsid w:val="004C58B9"/>
    <w:rsid w:val="004C5BCC"/>
    <w:rsid w:val="004C674A"/>
    <w:rsid w:val="004C68F6"/>
    <w:rsid w:val="004C7411"/>
    <w:rsid w:val="004C785F"/>
    <w:rsid w:val="004C7B37"/>
    <w:rsid w:val="004D0375"/>
    <w:rsid w:val="004D0870"/>
    <w:rsid w:val="004D19AE"/>
    <w:rsid w:val="004D1D46"/>
    <w:rsid w:val="004D1EE0"/>
    <w:rsid w:val="004D20EE"/>
    <w:rsid w:val="004D2347"/>
    <w:rsid w:val="004D24AD"/>
    <w:rsid w:val="004D2F74"/>
    <w:rsid w:val="004D308F"/>
    <w:rsid w:val="004D315D"/>
    <w:rsid w:val="004D34E0"/>
    <w:rsid w:val="004D3F29"/>
    <w:rsid w:val="004D4622"/>
    <w:rsid w:val="004D4635"/>
    <w:rsid w:val="004D4E7C"/>
    <w:rsid w:val="004D4FCA"/>
    <w:rsid w:val="004D50DB"/>
    <w:rsid w:val="004D54A0"/>
    <w:rsid w:val="004D5803"/>
    <w:rsid w:val="004D5C1A"/>
    <w:rsid w:val="004D653B"/>
    <w:rsid w:val="004D659B"/>
    <w:rsid w:val="004D6762"/>
    <w:rsid w:val="004D69AF"/>
    <w:rsid w:val="004D6A2F"/>
    <w:rsid w:val="004D6E12"/>
    <w:rsid w:val="004D7063"/>
    <w:rsid w:val="004D71A2"/>
    <w:rsid w:val="004D79D5"/>
    <w:rsid w:val="004E04B5"/>
    <w:rsid w:val="004E070F"/>
    <w:rsid w:val="004E079B"/>
    <w:rsid w:val="004E0818"/>
    <w:rsid w:val="004E091E"/>
    <w:rsid w:val="004E0BC9"/>
    <w:rsid w:val="004E0BE7"/>
    <w:rsid w:val="004E0DFE"/>
    <w:rsid w:val="004E0E29"/>
    <w:rsid w:val="004E0E67"/>
    <w:rsid w:val="004E0F0A"/>
    <w:rsid w:val="004E13C2"/>
    <w:rsid w:val="004E157C"/>
    <w:rsid w:val="004E1791"/>
    <w:rsid w:val="004E1A14"/>
    <w:rsid w:val="004E1DD2"/>
    <w:rsid w:val="004E2110"/>
    <w:rsid w:val="004E2426"/>
    <w:rsid w:val="004E29E6"/>
    <w:rsid w:val="004E2C27"/>
    <w:rsid w:val="004E35D8"/>
    <w:rsid w:val="004E3D6B"/>
    <w:rsid w:val="004E4296"/>
    <w:rsid w:val="004E439D"/>
    <w:rsid w:val="004E4470"/>
    <w:rsid w:val="004E4489"/>
    <w:rsid w:val="004E4D9B"/>
    <w:rsid w:val="004E4F4A"/>
    <w:rsid w:val="004E5011"/>
    <w:rsid w:val="004E512C"/>
    <w:rsid w:val="004E5199"/>
    <w:rsid w:val="004E51A8"/>
    <w:rsid w:val="004E57FC"/>
    <w:rsid w:val="004E58B6"/>
    <w:rsid w:val="004E58C1"/>
    <w:rsid w:val="004E5950"/>
    <w:rsid w:val="004E66E1"/>
    <w:rsid w:val="004E6AD7"/>
    <w:rsid w:val="004E6ED8"/>
    <w:rsid w:val="004E714F"/>
    <w:rsid w:val="004E734A"/>
    <w:rsid w:val="004E7A87"/>
    <w:rsid w:val="004F04E2"/>
    <w:rsid w:val="004F0706"/>
    <w:rsid w:val="004F08EC"/>
    <w:rsid w:val="004F1546"/>
    <w:rsid w:val="004F178A"/>
    <w:rsid w:val="004F18BC"/>
    <w:rsid w:val="004F1E24"/>
    <w:rsid w:val="004F28F8"/>
    <w:rsid w:val="004F2CB8"/>
    <w:rsid w:val="004F3FFB"/>
    <w:rsid w:val="004F44CE"/>
    <w:rsid w:val="004F4507"/>
    <w:rsid w:val="004F46FE"/>
    <w:rsid w:val="004F4CB1"/>
    <w:rsid w:val="004F4E67"/>
    <w:rsid w:val="004F4F1B"/>
    <w:rsid w:val="004F5488"/>
    <w:rsid w:val="004F57A3"/>
    <w:rsid w:val="004F5D96"/>
    <w:rsid w:val="004F5E4A"/>
    <w:rsid w:val="004F6BB5"/>
    <w:rsid w:val="004F750A"/>
    <w:rsid w:val="004F7645"/>
    <w:rsid w:val="004F7F73"/>
    <w:rsid w:val="0050001F"/>
    <w:rsid w:val="005000BD"/>
    <w:rsid w:val="00500685"/>
    <w:rsid w:val="005007FD"/>
    <w:rsid w:val="0050096A"/>
    <w:rsid w:val="005009D5"/>
    <w:rsid w:val="005017AB"/>
    <w:rsid w:val="00501995"/>
    <w:rsid w:val="00501A3E"/>
    <w:rsid w:val="005026FC"/>
    <w:rsid w:val="00502771"/>
    <w:rsid w:val="00502924"/>
    <w:rsid w:val="00502DBB"/>
    <w:rsid w:val="005038EF"/>
    <w:rsid w:val="00503A11"/>
    <w:rsid w:val="00503D2A"/>
    <w:rsid w:val="00504C29"/>
    <w:rsid w:val="005051DE"/>
    <w:rsid w:val="00505901"/>
    <w:rsid w:val="0050709D"/>
    <w:rsid w:val="00507191"/>
    <w:rsid w:val="0050777D"/>
    <w:rsid w:val="00507A1D"/>
    <w:rsid w:val="0051094C"/>
    <w:rsid w:val="00510CC8"/>
    <w:rsid w:val="00510DC6"/>
    <w:rsid w:val="00510DF1"/>
    <w:rsid w:val="005111E5"/>
    <w:rsid w:val="005118BB"/>
    <w:rsid w:val="00511AEC"/>
    <w:rsid w:val="00512377"/>
    <w:rsid w:val="005123E0"/>
    <w:rsid w:val="005126CB"/>
    <w:rsid w:val="005128C3"/>
    <w:rsid w:val="00512A1C"/>
    <w:rsid w:val="00512CDC"/>
    <w:rsid w:val="00512E56"/>
    <w:rsid w:val="00512F9F"/>
    <w:rsid w:val="00513233"/>
    <w:rsid w:val="00513FA6"/>
    <w:rsid w:val="00514564"/>
    <w:rsid w:val="005145EC"/>
    <w:rsid w:val="00514986"/>
    <w:rsid w:val="00514B3B"/>
    <w:rsid w:val="00514E1E"/>
    <w:rsid w:val="00515372"/>
    <w:rsid w:val="005153DA"/>
    <w:rsid w:val="005158B8"/>
    <w:rsid w:val="0051619C"/>
    <w:rsid w:val="00516283"/>
    <w:rsid w:val="0051699D"/>
    <w:rsid w:val="00516E5F"/>
    <w:rsid w:val="00516F03"/>
    <w:rsid w:val="00517055"/>
    <w:rsid w:val="00517461"/>
    <w:rsid w:val="005176CD"/>
    <w:rsid w:val="00517926"/>
    <w:rsid w:val="00517D74"/>
    <w:rsid w:val="0052039F"/>
    <w:rsid w:val="00520EA4"/>
    <w:rsid w:val="00521054"/>
    <w:rsid w:val="005210FD"/>
    <w:rsid w:val="0052119F"/>
    <w:rsid w:val="00522466"/>
    <w:rsid w:val="00522532"/>
    <w:rsid w:val="00522543"/>
    <w:rsid w:val="00522AF5"/>
    <w:rsid w:val="005239DF"/>
    <w:rsid w:val="0052417A"/>
    <w:rsid w:val="00524AFE"/>
    <w:rsid w:val="00525346"/>
    <w:rsid w:val="0052538A"/>
    <w:rsid w:val="005264C6"/>
    <w:rsid w:val="005265B6"/>
    <w:rsid w:val="005268B7"/>
    <w:rsid w:val="00526C0E"/>
    <w:rsid w:val="005277A4"/>
    <w:rsid w:val="0052781F"/>
    <w:rsid w:val="00527CF5"/>
    <w:rsid w:val="00530AA7"/>
    <w:rsid w:val="0053123A"/>
    <w:rsid w:val="00531DDE"/>
    <w:rsid w:val="0053245F"/>
    <w:rsid w:val="00532B9C"/>
    <w:rsid w:val="00532C69"/>
    <w:rsid w:val="00532D4B"/>
    <w:rsid w:val="005330C8"/>
    <w:rsid w:val="00533376"/>
    <w:rsid w:val="00533613"/>
    <w:rsid w:val="00533737"/>
    <w:rsid w:val="0053447A"/>
    <w:rsid w:val="00534EC5"/>
    <w:rsid w:val="00535311"/>
    <w:rsid w:val="00535947"/>
    <w:rsid w:val="00535FB2"/>
    <w:rsid w:val="00536022"/>
    <w:rsid w:val="005362DC"/>
    <w:rsid w:val="005363ED"/>
    <w:rsid w:val="0053655B"/>
    <w:rsid w:val="005368CF"/>
    <w:rsid w:val="00537070"/>
    <w:rsid w:val="00537091"/>
    <w:rsid w:val="0053709C"/>
    <w:rsid w:val="005370B8"/>
    <w:rsid w:val="00537278"/>
    <w:rsid w:val="00537E97"/>
    <w:rsid w:val="00540014"/>
    <w:rsid w:val="00540371"/>
    <w:rsid w:val="00541800"/>
    <w:rsid w:val="005422CE"/>
    <w:rsid w:val="00542B11"/>
    <w:rsid w:val="00543FA2"/>
    <w:rsid w:val="0054437D"/>
    <w:rsid w:val="00544556"/>
    <w:rsid w:val="00544BBB"/>
    <w:rsid w:val="00544F5D"/>
    <w:rsid w:val="005461A8"/>
    <w:rsid w:val="005461C1"/>
    <w:rsid w:val="0054648E"/>
    <w:rsid w:val="00546496"/>
    <w:rsid w:val="00546508"/>
    <w:rsid w:val="005476CD"/>
    <w:rsid w:val="0054779A"/>
    <w:rsid w:val="00547D54"/>
    <w:rsid w:val="005505C7"/>
    <w:rsid w:val="005506F1"/>
    <w:rsid w:val="00550802"/>
    <w:rsid w:val="005511A2"/>
    <w:rsid w:val="005511D2"/>
    <w:rsid w:val="005512EF"/>
    <w:rsid w:val="00552109"/>
    <w:rsid w:val="00552EF2"/>
    <w:rsid w:val="00553699"/>
    <w:rsid w:val="00554A7C"/>
    <w:rsid w:val="00554A98"/>
    <w:rsid w:val="00554B54"/>
    <w:rsid w:val="00554B63"/>
    <w:rsid w:val="00554D1A"/>
    <w:rsid w:val="00555B82"/>
    <w:rsid w:val="0055608F"/>
    <w:rsid w:val="00556568"/>
    <w:rsid w:val="00556570"/>
    <w:rsid w:val="00556B00"/>
    <w:rsid w:val="00556B6F"/>
    <w:rsid w:val="00556D69"/>
    <w:rsid w:val="0055767D"/>
    <w:rsid w:val="00557DC1"/>
    <w:rsid w:val="005602F5"/>
    <w:rsid w:val="005605DC"/>
    <w:rsid w:val="00560B3C"/>
    <w:rsid w:val="00561388"/>
    <w:rsid w:val="005620CE"/>
    <w:rsid w:val="00562D7D"/>
    <w:rsid w:val="00563898"/>
    <w:rsid w:val="005638F0"/>
    <w:rsid w:val="00563AD0"/>
    <w:rsid w:val="00564426"/>
    <w:rsid w:val="00564437"/>
    <w:rsid w:val="0056452B"/>
    <w:rsid w:val="00565A1E"/>
    <w:rsid w:val="00565A64"/>
    <w:rsid w:val="00565BD4"/>
    <w:rsid w:val="005660BC"/>
    <w:rsid w:val="00566700"/>
    <w:rsid w:val="00566E7A"/>
    <w:rsid w:val="00566F0B"/>
    <w:rsid w:val="0056757B"/>
    <w:rsid w:val="00567637"/>
    <w:rsid w:val="00567FB8"/>
    <w:rsid w:val="0057026A"/>
    <w:rsid w:val="00570669"/>
    <w:rsid w:val="00570923"/>
    <w:rsid w:val="0057174A"/>
    <w:rsid w:val="005718C8"/>
    <w:rsid w:val="00571A4C"/>
    <w:rsid w:val="00571B74"/>
    <w:rsid w:val="00571D3F"/>
    <w:rsid w:val="005720C3"/>
    <w:rsid w:val="0057270D"/>
    <w:rsid w:val="00572BFE"/>
    <w:rsid w:val="0057353A"/>
    <w:rsid w:val="00573A72"/>
    <w:rsid w:val="00574B8E"/>
    <w:rsid w:val="00574D71"/>
    <w:rsid w:val="00574EC4"/>
    <w:rsid w:val="00574EFB"/>
    <w:rsid w:val="005750B3"/>
    <w:rsid w:val="005754A0"/>
    <w:rsid w:val="00575752"/>
    <w:rsid w:val="005768C0"/>
    <w:rsid w:val="00577123"/>
    <w:rsid w:val="0057717E"/>
    <w:rsid w:val="005771A6"/>
    <w:rsid w:val="00577947"/>
    <w:rsid w:val="00577BD6"/>
    <w:rsid w:val="00580083"/>
    <w:rsid w:val="00580085"/>
    <w:rsid w:val="0058031E"/>
    <w:rsid w:val="00580F09"/>
    <w:rsid w:val="00581558"/>
    <w:rsid w:val="00581D9B"/>
    <w:rsid w:val="00582046"/>
    <w:rsid w:val="00582A18"/>
    <w:rsid w:val="0058333F"/>
    <w:rsid w:val="005836F9"/>
    <w:rsid w:val="0058385C"/>
    <w:rsid w:val="00583BAF"/>
    <w:rsid w:val="00583F21"/>
    <w:rsid w:val="00583F96"/>
    <w:rsid w:val="00584541"/>
    <w:rsid w:val="005847EB"/>
    <w:rsid w:val="00584996"/>
    <w:rsid w:val="00584CE9"/>
    <w:rsid w:val="00584ED2"/>
    <w:rsid w:val="0058640C"/>
    <w:rsid w:val="005869B5"/>
    <w:rsid w:val="00586AAA"/>
    <w:rsid w:val="00586D4B"/>
    <w:rsid w:val="00586E2A"/>
    <w:rsid w:val="005903DB"/>
    <w:rsid w:val="00590971"/>
    <w:rsid w:val="005910B6"/>
    <w:rsid w:val="005911FC"/>
    <w:rsid w:val="005914D0"/>
    <w:rsid w:val="005916DC"/>
    <w:rsid w:val="005916EB"/>
    <w:rsid w:val="00591851"/>
    <w:rsid w:val="00591EBD"/>
    <w:rsid w:val="005924C9"/>
    <w:rsid w:val="005924D6"/>
    <w:rsid w:val="0059259E"/>
    <w:rsid w:val="00592766"/>
    <w:rsid w:val="0059307F"/>
    <w:rsid w:val="0059320D"/>
    <w:rsid w:val="0059330F"/>
    <w:rsid w:val="0059377C"/>
    <w:rsid w:val="00593947"/>
    <w:rsid w:val="00593E2A"/>
    <w:rsid w:val="00594985"/>
    <w:rsid w:val="00594AB6"/>
    <w:rsid w:val="005953F5"/>
    <w:rsid w:val="00596486"/>
    <w:rsid w:val="005964DE"/>
    <w:rsid w:val="00596509"/>
    <w:rsid w:val="005965D0"/>
    <w:rsid w:val="00597273"/>
    <w:rsid w:val="00597C4F"/>
    <w:rsid w:val="005A0CCF"/>
    <w:rsid w:val="005A1B0A"/>
    <w:rsid w:val="005A2122"/>
    <w:rsid w:val="005A27D3"/>
    <w:rsid w:val="005A28CE"/>
    <w:rsid w:val="005A2EED"/>
    <w:rsid w:val="005A30C3"/>
    <w:rsid w:val="005A38C7"/>
    <w:rsid w:val="005A3EA8"/>
    <w:rsid w:val="005A3F60"/>
    <w:rsid w:val="005A3FFC"/>
    <w:rsid w:val="005A4028"/>
    <w:rsid w:val="005A4633"/>
    <w:rsid w:val="005A499F"/>
    <w:rsid w:val="005A4A39"/>
    <w:rsid w:val="005A4C1B"/>
    <w:rsid w:val="005A5675"/>
    <w:rsid w:val="005A59BB"/>
    <w:rsid w:val="005A5D79"/>
    <w:rsid w:val="005A695F"/>
    <w:rsid w:val="005A6B6E"/>
    <w:rsid w:val="005A6FCE"/>
    <w:rsid w:val="005B04C3"/>
    <w:rsid w:val="005B0540"/>
    <w:rsid w:val="005B0B0B"/>
    <w:rsid w:val="005B0DE3"/>
    <w:rsid w:val="005B162E"/>
    <w:rsid w:val="005B16A4"/>
    <w:rsid w:val="005B17A5"/>
    <w:rsid w:val="005B1CB1"/>
    <w:rsid w:val="005B1F62"/>
    <w:rsid w:val="005B2127"/>
    <w:rsid w:val="005B2596"/>
    <w:rsid w:val="005B2665"/>
    <w:rsid w:val="005B2FCC"/>
    <w:rsid w:val="005B303E"/>
    <w:rsid w:val="005B30DC"/>
    <w:rsid w:val="005B3134"/>
    <w:rsid w:val="005B38E0"/>
    <w:rsid w:val="005B3D12"/>
    <w:rsid w:val="005B404C"/>
    <w:rsid w:val="005B40A2"/>
    <w:rsid w:val="005B411A"/>
    <w:rsid w:val="005B48F0"/>
    <w:rsid w:val="005B49B5"/>
    <w:rsid w:val="005B53A7"/>
    <w:rsid w:val="005B6288"/>
    <w:rsid w:val="005B6369"/>
    <w:rsid w:val="005B68CB"/>
    <w:rsid w:val="005B6AE5"/>
    <w:rsid w:val="005B6B3B"/>
    <w:rsid w:val="005B7E50"/>
    <w:rsid w:val="005B7F65"/>
    <w:rsid w:val="005C04FE"/>
    <w:rsid w:val="005C0555"/>
    <w:rsid w:val="005C0780"/>
    <w:rsid w:val="005C09F5"/>
    <w:rsid w:val="005C0AA1"/>
    <w:rsid w:val="005C17D7"/>
    <w:rsid w:val="005C19A1"/>
    <w:rsid w:val="005C3249"/>
    <w:rsid w:val="005C364C"/>
    <w:rsid w:val="005C39A0"/>
    <w:rsid w:val="005C3FB8"/>
    <w:rsid w:val="005C4780"/>
    <w:rsid w:val="005C51B9"/>
    <w:rsid w:val="005C5E00"/>
    <w:rsid w:val="005C628F"/>
    <w:rsid w:val="005C6A53"/>
    <w:rsid w:val="005C6B48"/>
    <w:rsid w:val="005C6E70"/>
    <w:rsid w:val="005C6F7D"/>
    <w:rsid w:val="005C77E8"/>
    <w:rsid w:val="005C7A59"/>
    <w:rsid w:val="005D0226"/>
    <w:rsid w:val="005D03E8"/>
    <w:rsid w:val="005D0716"/>
    <w:rsid w:val="005D0915"/>
    <w:rsid w:val="005D0966"/>
    <w:rsid w:val="005D1386"/>
    <w:rsid w:val="005D13C9"/>
    <w:rsid w:val="005D1BE2"/>
    <w:rsid w:val="005D21A4"/>
    <w:rsid w:val="005D25B0"/>
    <w:rsid w:val="005D294F"/>
    <w:rsid w:val="005D2B62"/>
    <w:rsid w:val="005D3110"/>
    <w:rsid w:val="005D370C"/>
    <w:rsid w:val="005D37B5"/>
    <w:rsid w:val="005D38B7"/>
    <w:rsid w:val="005D3ADE"/>
    <w:rsid w:val="005D3CD6"/>
    <w:rsid w:val="005D3E2B"/>
    <w:rsid w:val="005D3EC5"/>
    <w:rsid w:val="005D3F08"/>
    <w:rsid w:val="005D3FD3"/>
    <w:rsid w:val="005D4A1A"/>
    <w:rsid w:val="005D4C8A"/>
    <w:rsid w:val="005D4CB0"/>
    <w:rsid w:val="005D4E67"/>
    <w:rsid w:val="005D4FE6"/>
    <w:rsid w:val="005D53BA"/>
    <w:rsid w:val="005D5A16"/>
    <w:rsid w:val="005D5F16"/>
    <w:rsid w:val="005D5FC8"/>
    <w:rsid w:val="005D760E"/>
    <w:rsid w:val="005D7746"/>
    <w:rsid w:val="005D781E"/>
    <w:rsid w:val="005D7D2B"/>
    <w:rsid w:val="005D7DAC"/>
    <w:rsid w:val="005D7FE7"/>
    <w:rsid w:val="005E0587"/>
    <w:rsid w:val="005E060F"/>
    <w:rsid w:val="005E09BB"/>
    <w:rsid w:val="005E0B66"/>
    <w:rsid w:val="005E12CF"/>
    <w:rsid w:val="005E1426"/>
    <w:rsid w:val="005E15DA"/>
    <w:rsid w:val="005E238F"/>
    <w:rsid w:val="005E2AC1"/>
    <w:rsid w:val="005E2CE5"/>
    <w:rsid w:val="005E3418"/>
    <w:rsid w:val="005E351E"/>
    <w:rsid w:val="005E3F4A"/>
    <w:rsid w:val="005E4392"/>
    <w:rsid w:val="005E452A"/>
    <w:rsid w:val="005E48BB"/>
    <w:rsid w:val="005E5078"/>
    <w:rsid w:val="005E5159"/>
    <w:rsid w:val="005E5593"/>
    <w:rsid w:val="005E5800"/>
    <w:rsid w:val="005E59A7"/>
    <w:rsid w:val="005E5E6A"/>
    <w:rsid w:val="005E6017"/>
    <w:rsid w:val="005E638A"/>
    <w:rsid w:val="005E63E5"/>
    <w:rsid w:val="005E6BF3"/>
    <w:rsid w:val="005E6D8A"/>
    <w:rsid w:val="005E6EA1"/>
    <w:rsid w:val="005E74D4"/>
    <w:rsid w:val="005E7F26"/>
    <w:rsid w:val="005E7F4F"/>
    <w:rsid w:val="005F02D0"/>
    <w:rsid w:val="005F0390"/>
    <w:rsid w:val="005F0E09"/>
    <w:rsid w:val="005F0F47"/>
    <w:rsid w:val="005F17DC"/>
    <w:rsid w:val="005F1C14"/>
    <w:rsid w:val="005F1E24"/>
    <w:rsid w:val="005F1EC7"/>
    <w:rsid w:val="005F26C7"/>
    <w:rsid w:val="005F2A41"/>
    <w:rsid w:val="005F3013"/>
    <w:rsid w:val="005F3A16"/>
    <w:rsid w:val="005F4057"/>
    <w:rsid w:val="005F41CA"/>
    <w:rsid w:val="005F4FAF"/>
    <w:rsid w:val="005F53AB"/>
    <w:rsid w:val="005F5788"/>
    <w:rsid w:val="005F6457"/>
    <w:rsid w:val="005F6EAF"/>
    <w:rsid w:val="005F74C2"/>
    <w:rsid w:val="005F774A"/>
    <w:rsid w:val="005F7752"/>
    <w:rsid w:val="005F7904"/>
    <w:rsid w:val="00600287"/>
    <w:rsid w:val="00600398"/>
    <w:rsid w:val="006008ED"/>
    <w:rsid w:val="00600B04"/>
    <w:rsid w:val="00601CA8"/>
    <w:rsid w:val="00601E76"/>
    <w:rsid w:val="0060215A"/>
    <w:rsid w:val="006022A1"/>
    <w:rsid w:val="006022B9"/>
    <w:rsid w:val="0060252C"/>
    <w:rsid w:val="00602556"/>
    <w:rsid w:val="00602DC3"/>
    <w:rsid w:val="00602E8B"/>
    <w:rsid w:val="00603114"/>
    <w:rsid w:val="00603A7A"/>
    <w:rsid w:val="00603E8F"/>
    <w:rsid w:val="006041B8"/>
    <w:rsid w:val="00605118"/>
    <w:rsid w:val="006063EF"/>
    <w:rsid w:val="0060652F"/>
    <w:rsid w:val="00606558"/>
    <w:rsid w:val="00606E8C"/>
    <w:rsid w:val="006071AD"/>
    <w:rsid w:val="00607305"/>
    <w:rsid w:val="006073AB"/>
    <w:rsid w:val="006076B6"/>
    <w:rsid w:val="00610306"/>
    <w:rsid w:val="006109F1"/>
    <w:rsid w:val="00610AF6"/>
    <w:rsid w:val="00610DBE"/>
    <w:rsid w:val="00611282"/>
    <w:rsid w:val="006112C8"/>
    <w:rsid w:val="00611526"/>
    <w:rsid w:val="006116B0"/>
    <w:rsid w:val="00611969"/>
    <w:rsid w:val="00611D79"/>
    <w:rsid w:val="006125A2"/>
    <w:rsid w:val="006125B5"/>
    <w:rsid w:val="00612E3A"/>
    <w:rsid w:val="006133E9"/>
    <w:rsid w:val="006146C0"/>
    <w:rsid w:val="00614C0D"/>
    <w:rsid w:val="0061503A"/>
    <w:rsid w:val="00615799"/>
    <w:rsid w:val="00615FEA"/>
    <w:rsid w:val="006162EF"/>
    <w:rsid w:val="006179D8"/>
    <w:rsid w:val="00617BD9"/>
    <w:rsid w:val="00617E4F"/>
    <w:rsid w:val="00620638"/>
    <w:rsid w:val="00620EB7"/>
    <w:rsid w:val="0062216C"/>
    <w:rsid w:val="006222FC"/>
    <w:rsid w:val="00622425"/>
    <w:rsid w:val="0062243C"/>
    <w:rsid w:val="006229B6"/>
    <w:rsid w:val="00622DBA"/>
    <w:rsid w:val="00623216"/>
    <w:rsid w:val="00623BDF"/>
    <w:rsid w:val="00623CA9"/>
    <w:rsid w:val="0062457C"/>
    <w:rsid w:val="00624A60"/>
    <w:rsid w:val="00624C54"/>
    <w:rsid w:val="00624EB1"/>
    <w:rsid w:val="00625494"/>
    <w:rsid w:val="006254C9"/>
    <w:rsid w:val="006258FA"/>
    <w:rsid w:val="00625B73"/>
    <w:rsid w:val="00626073"/>
    <w:rsid w:val="00626478"/>
    <w:rsid w:val="006266E0"/>
    <w:rsid w:val="00626F32"/>
    <w:rsid w:val="00627334"/>
    <w:rsid w:val="0062736D"/>
    <w:rsid w:val="0062760B"/>
    <w:rsid w:val="00627F23"/>
    <w:rsid w:val="006308E5"/>
    <w:rsid w:val="00630CCB"/>
    <w:rsid w:val="00630F28"/>
    <w:rsid w:val="00631172"/>
    <w:rsid w:val="006312FC"/>
    <w:rsid w:val="00631592"/>
    <w:rsid w:val="006315B7"/>
    <w:rsid w:val="006316F0"/>
    <w:rsid w:val="0063215A"/>
    <w:rsid w:val="0063226D"/>
    <w:rsid w:val="00632A8D"/>
    <w:rsid w:val="00632DF6"/>
    <w:rsid w:val="00632F20"/>
    <w:rsid w:val="00632F28"/>
    <w:rsid w:val="00632F92"/>
    <w:rsid w:val="00633124"/>
    <w:rsid w:val="006333E7"/>
    <w:rsid w:val="006335BE"/>
    <w:rsid w:val="00634184"/>
    <w:rsid w:val="0063463B"/>
    <w:rsid w:val="006350E1"/>
    <w:rsid w:val="006353EF"/>
    <w:rsid w:val="0063594C"/>
    <w:rsid w:val="00635987"/>
    <w:rsid w:val="006360D6"/>
    <w:rsid w:val="00636481"/>
    <w:rsid w:val="006364BB"/>
    <w:rsid w:val="006367EB"/>
    <w:rsid w:val="006368F8"/>
    <w:rsid w:val="00636C63"/>
    <w:rsid w:val="006371B3"/>
    <w:rsid w:val="0063732E"/>
    <w:rsid w:val="00640334"/>
    <w:rsid w:val="006403E2"/>
    <w:rsid w:val="006416B4"/>
    <w:rsid w:val="00641EE2"/>
    <w:rsid w:val="006421DE"/>
    <w:rsid w:val="00642754"/>
    <w:rsid w:val="00642B90"/>
    <w:rsid w:val="0064301E"/>
    <w:rsid w:val="0064373F"/>
    <w:rsid w:val="00643860"/>
    <w:rsid w:val="0064386A"/>
    <w:rsid w:val="0064396F"/>
    <w:rsid w:val="00643E7D"/>
    <w:rsid w:val="00644E93"/>
    <w:rsid w:val="00644F25"/>
    <w:rsid w:val="00645AAD"/>
    <w:rsid w:val="006465B2"/>
    <w:rsid w:val="006466AD"/>
    <w:rsid w:val="006466FC"/>
    <w:rsid w:val="00646866"/>
    <w:rsid w:val="00646E58"/>
    <w:rsid w:val="00646EE3"/>
    <w:rsid w:val="0064735E"/>
    <w:rsid w:val="00647694"/>
    <w:rsid w:val="006476E4"/>
    <w:rsid w:val="006476FD"/>
    <w:rsid w:val="00650422"/>
    <w:rsid w:val="0065061E"/>
    <w:rsid w:val="006509DB"/>
    <w:rsid w:val="00650ADE"/>
    <w:rsid w:val="0065115A"/>
    <w:rsid w:val="0065147E"/>
    <w:rsid w:val="00651C9B"/>
    <w:rsid w:val="00652826"/>
    <w:rsid w:val="006529A3"/>
    <w:rsid w:val="00652B43"/>
    <w:rsid w:val="00652F69"/>
    <w:rsid w:val="006532B8"/>
    <w:rsid w:val="0065388A"/>
    <w:rsid w:val="00653BA9"/>
    <w:rsid w:val="0065467D"/>
    <w:rsid w:val="00654AEB"/>
    <w:rsid w:val="00654B48"/>
    <w:rsid w:val="00654BE1"/>
    <w:rsid w:val="006550A2"/>
    <w:rsid w:val="006550C0"/>
    <w:rsid w:val="006550D9"/>
    <w:rsid w:val="006550E9"/>
    <w:rsid w:val="00655720"/>
    <w:rsid w:val="006561ED"/>
    <w:rsid w:val="00657443"/>
    <w:rsid w:val="00657BB5"/>
    <w:rsid w:val="00660F1B"/>
    <w:rsid w:val="006611A5"/>
    <w:rsid w:val="0066143D"/>
    <w:rsid w:val="00661A2A"/>
    <w:rsid w:val="00661B14"/>
    <w:rsid w:val="00661B58"/>
    <w:rsid w:val="00661DE2"/>
    <w:rsid w:val="00662371"/>
    <w:rsid w:val="0066285C"/>
    <w:rsid w:val="0066318F"/>
    <w:rsid w:val="0066344A"/>
    <w:rsid w:val="006634D6"/>
    <w:rsid w:val="00664A40"/>
    <w:rsid w:val="00664DE0"/>
    <w:rsid w:val="00665719"/>
    <w:rsid w:val="00666324"/>
    <w:rsid w:val="00666529"/>
    <w:rsid w:val="00666957"/>
    <w:rsid w:val="00666CB2"/>
    <w:rsid w:val="0066703C"/>
    <w:rsid w:val="00667B09"/>
    <w:rsid w:val="00667CE3"/>
    <w:rsid w:val="006701E7"/>
    <w:rsid w:val="0067035B"/>
    <w:rsid w:val="006703B4"/>
    <w:rsid w:val="00670DD4"/>
    <w:rsid w:val="006716FA"/>
    <w:rsid w:val="006719F2"/>
    <w:rsid w:val="00671F05"/>
    <w:rsid w:val="00671F23"/>
    <w:rsid w:val="00672149"/>
    <w:rsid w:val="006725C9"/>
    <w:rsid w:val="00672A72"/>
    <w:rsid w:val="00672DEC"/>
    <w:rsid w:val="00672E3F"/>
    <w:rsid w:val="00673A17"/>
    <w:rsid w:val="00673CEE"/>
    <w:rsid w:val="00674332"/>
    <w:rsid w:val="006743AB"/>
    <w:rsid w:val="00674413"/>
    <w:rsid w:val="006748F8"/>
    <w:rsid w:val="006750BF"/>
    <w:rsid w:val="00675414"/>
    <w:rsid w:val="006757E3"/>
    <w:rsid w:val="0067597A"/>
    <w:rsid w:val="00675A4B"/>
    <w:rsid w:val="00675A82"/>
    <w:rsid w:val="00675B88"/>
    <w:rsid w:val="00675D6E"/>
    <w:rsid w:val="00676527"/>
    <w:rsid w:val="006769BF"/>
    <w:rsid w:val="00676A86"/>
    <w:rsid w:val="00676ECB"/>
    <w:rsid w:val="006772BE"/>
    <w:rsid w:val="006772DD"/>
    <w:rsid w:val="00677370"/>
    <w:rsid w:val="00677DC4"/>
    <w:rsid w:val="00677E99"/>
    <w:rsid w:val="00680160"/>
    <w:rsid w:val="00680245"/>
    <w:rsid w:val="00680432"/>
    <w:rsid w:val="00680479"/>
    <w:rsid w:val="00680EAF"/>
    <w:rsid w:val="00681033"/>
    <w:rsid w:val="00681BED"/>
    <w:rsid w:val="00681D8B"/>
    <w:rsid w:val="006826E6"/>
    <w:rsid w:val="006830F9"/>
    <w:rsid w:val="0068352D"/>
    <w:rsid w:val="00683D9C"/>
    <w:rsid w:val="00683E54"/>
    <w:rsid w:val="00684386"/>
    <w:rsid w:val="006854D9"/>
    <w:rsid w:val="00685CF4"/>
    <w:rsid w:val="00686069"/>
    <w:rsid w:val="00686199"/>
    <w:rsid w:val="00686D6A"/>
    <w:rsid w:val="00686DC5"/>
    <w:rsid w:val="00686F7A"/>
    <w:rsid w:val="00687055"/>
    <w:rsid w:val="006872B1"/>
    <w:rsid w:val="00687FA0"/>
    <w:rsid w:val="006910BA"/>
    <w:rsid w:val="0069139C"/>
    <w:rsid w:val="0069163D"/>
    <w:rsid w:val="00691743"/>
    <w:rsid w:val="006918C0"/>
    <w:rsid w:val="0069197D"/>
    <w:rsid w:val="00691A58"/>
    <w:rsid w:val="00691B25"/>
    <w:rsid w:val="0069228F"/>
    <w:rsid w:val="00692865"/>
    <w:rsid w:val="00692FF5"/>
    <w:rsid w:val="00693ABC"/>
    <w:rsid w:val="00693E81"/>
    <w:rsid w:val="00693FD2"/>
    <w:rsid w:val="00694221"/>
    <w:rsid w:val="00694448"/>
    <w:rsid w:val="00694840"/>
    <w:rsid w:val="006953AA"/>
    <w:rsid w:val="006954C3"/>
    <w:rsid w:val="006954D8"/>
    <w:rsid w:val="00695D84"/>
    <w:rsid w:val="00695E01"/>
    <w:rsid w:val="0069668E"/>
    <w:rsid w:val="00696FB9"/>
    <w:rsid w:val="0069743E"/>
    <w:rsid w:val="006974E1"/>
    <w:rsid w:val="00697524"/>
    <w:rsid w:val="006979AB"/>
    <w:rsid w:val="00697D5F"/>
    <w:rsid w:val="00697DC1"/>
    <w:rsid w:val="00697E1D"/>
    <w:rsid w:val="006A035C"/>
    <w:rsid w:val="006A07D3"/>
    <w:rsid w:val="006A1421"/>
    <w:rsid w:val="006A1682"/>
    <w:rsid w:val="006A1BEA"/>
    <w:rsid w:val="006A1DBC"/>
    <w:rsid w:val="006A2538"/>
    <w:rsid w:val="006A287C"/>
    <w:rsid w:val="006A3043"/>
    <w:rsid w:val="006A3238"/>
    <w:rsid w:val="006A37C4"/>
    <w:rsid w:val="006A3933"/>
    <w:rsid w:val="006A3947"/>
    <w:rsid w:val="006A39A0"/>
    <w:rsid w:val="006A3B48"/>
    <w:rsid w:val="006A3D96"/>
    <w:rsid w:val="006A4006"/>
    <w:rsid w:val="006A42B0"/>
    <w:rsid w:val="006A42C0"/>
    <w:rsid w:val="006A4319"/>
    <w:rsid w:val="006A4423"/>
    <w:rsid w:val="006A4E1E"/>
    <w:rsid w:val="006A54F0"/>
    <w:rsid w:val="006A569D"/>
    <w:rsid w:val="006A59FB"/>
    <w:rsid w:val="006A5BF8"/>
    <w:rsid w:val="006A5E91"/>
    <w:rsid w:val="006A60A7"/>
    <w:rsid w:val="006A615E"/>
    <w:rsid w:val="006A6178"/>
    <w:rsid w:val="006A639C"/>
    <w:rsid w:val="006A681C"/>
    <w:rsid w:val="006A6C80"/>
    <w:rsid w:val="006A71E8"/>
    <w:rsid w:val="006A78A2"/>
    <w:rsid w:val="006A7B19"/>
    <w:rsid w:val="006A7B3A"/>
    <w:rsid w:val="006A7E4D"/>
    <w:rsid w:val="006A7F1F"/>
    <w:rsid w:val="006B0178"/>
    <w:rsid w:val="006B0489"/>
    <w:rsid w:val="006B169B"/>
    <w:rsid w:val="006B179B"/>
    <w:rsid w:val="006B1E16"/>
    <w:rsid w:val="006B1E85"/>
    <w:rsid w:val="006B212F"/>
    <w:rsid w:val="006B2385"/>
    <w:rsid w:val="006B243A"/>
    <w:rsid w:val="006B249B"/>
    <w:rsid w:val="006B273B"/>
    <w:rsid w:val="006B2962"/>
    <w:rsid w:val="006B34D4"/>
    <w:rsid w:val="006B3520"/>
    <w:rsid w:val="006B3613"/>
    <w:rsid w:val="006B3C63"/>
    <w:rsid w:val="006B4E28"/>
    <w:rsid w:val="006B51E4"/>
    <w:rsid w:val="006B51F5"/>
    <w:rsid w:val="006B5342"/>
    <w:rsid w:val="006B5E25"/>
    <w:rsid w:val="006B5EE3"/>
    <w:rsid w:val="006B5F84"/>
    <w:rsid w:val="006B61B8"/>
    <w:rsid w:val="006B642E"/>
    <w:rsid w:val="006B6506"/>
    <w:rsid w:val="006B65C2"/>
    <w:rsid w:val="006B677A"/>
    <w:rsid w:val="006B67B0"/>
    <w:rsid w:val="006B67B9"/>
    <w:rsid w:val="006B6C2D"/>
    <w:rsid w:val="006B7AA6"/>
    <w:rsid w:val="006C0503"/>
    <w:rsid w:val="006C0FB3"/>
    <w:rsid w:val="006C0FE0"/>
    <w:rsid w:val="006C1103"/>
    <w:rsid w:val="006C2A3F"/>
    <w:rsid w:val="006C2D27"/>
    <w:rsid w:val="006C2FC4"/>
    <w:rsid w:val="006C369A"/>
    <w:rsid w:val="006C3AF5"/>
    <w:rsid w:val="006C3BE4"/>
    <w:rsid w:val="006C4508"/>
    <w:rsid w:val="006C520A"/>
    <w:rsid w:val="006C5427"/>
    <w:rsid w:val="006C571F"/>
    <w:rsid w:val="006C5DE1"/>
    <w:rsid w:val="006C63C2"/>
    <w:rsid w:val="006C712A"/>
    <w:rsid w:val="006D0190"/>
    <w:rsid w:val="006D0517"/>
    <w:rsid w:val="006D09CF"/>
    <w:rsid w:val="006D0CD6"/>
    <w:rsid w:val="006D0FDC"/>
    <w:rsid w:val="006D12E8"/>
    <w:rsid w:val="006D1806"/>
    <w:rsid w:val="006D1E64"/>
    <w:rsid w:val="006D2127"/>
    <w:rsid w:val="006D26AF"/>
    <w:rsid w:val="006D298C"/>
    <w:rsid w:val="006D32E8"/>
    <w:rsid w:val="006D3D02"/>
    <w:rsid w:val="006D4254"/>
    <w:rsid w:val="006D46C6"/>
    <w:rsid w:val="006D529F"/>
    <w:rsid w:val="006D5492"/>
    <w:rsid w:val="006D560C"/>
    <w:rsid w:val="006D59FD"/>
    <w:rsid w:val="006D616D"/>
    <w:rsid w:val="006D6411"/>
    <w:rsid w:val="006D667F"/>
    <w:rsid w:val="006D69B8"/>
    <w:rsid w:val="006D705B"/>
    <w:rsid w:val="006D7A97"/>
    <w:rsid w:val="006D7AE4"/>
    <w:rsid w:val="006E0054"/>
    <w:rsid w:val="006E0224"/>
    <w:rsid w:val="006E09D6"/>
    <w:rsid w:val="006E0CB5"/>
    <w:rsid w:val="006E0E04"/>
    <w:rsid w:val="006E1AE5"/>
    <w:rsid w:val="006E1ECD"/>
    <w:rsid w:val="006E2231"/>
    <w:rsid w:val="006E23EF"/>
    <w:rsid w:val="006E2AD6"/>
    <w:rsid w:val="006E2C51"/>
    <w:rsid w:val="006E3382"/>
    <w:rsid w:val="006E352B"/>
    <w:rsid w:val="006E3629"/>
    <w:rsid w:val="006E3B6A"/>
    <w:rsid w:val="006E3D06"/>
    <w:rsid w:val="006E4103"/>
    <w:rsid w:val="006E4553"/>
    <w:rsid w:val="006E459D"/>
    <w:rsid w:val="006E48C9"/>
    <w:rsid w:val="006E4E05"/>
    <w:rsid w:val="006E4EA5"/>
    <w:rsid w:val="006E55B6"/>
    <w:rsid w:val="006E5766"/>
    <w:rsid w:val="006E5790"/>
    <w:rsid w:val="006E587A"/>
    <w:rsid w:val="006E5C70"/>
    <w:rsid w:val="006E6CA1"/>
    <w:rsid w:val="006E6DB9"/>
    <w:rsid w:val="006E7ACA"/>
    <w:rsid w:val="006F04E2"/>
    <w:rsid w:val="006F0893"/>
    <w:rsid w:val="006F0979"/>
    <w:rsid w:val="006F1509"/>
    <w:rsid w:val="006F1547"/>
    <w:rsid w:val="006F179F"/>
    <w:rsid w:val="006F1EFD"/>
    <w:rsid w:val="006F1F8D"/>
    <w:rsid w:val="006F2093"/>
    <w:rsid w:val="006F263F"/>
    <w:rsid w:val="006F27C2"/>
    <w:rsid w:val="006F2ACC"/>
    <w:rsid w:val="006F2CA1"/>
    <w:rsid w:val="006F2F58"/>
    <w:rsid w:val="006F3807"/>
    <w:rsid w:val="006F5170"/>
    <w:rsid w:val="006F5BD9"/>
    <w:rsid w:val="006F695F"/>
    <w:rsid w:val="006F7C75"/>
    <w:rsid w:val="006F7E81"/>
    <w:rsid w:val="007000D1"/>
    <w:rsid w:val="00701243"/>
    <w:rsid w:val="007013CD"/>
    <w:rsid w:val="00701B7B"/>
    <w:rsid w:val="00701BE5"/>
    <w:rsid w:val="00701C38"/>
    <w:rsid w:val="0070323B"/>
    <w:rsid w:val="0070358A"/>
    <w:rsid w:val="0070397E"/>
    <w:rsid w:val="00703AF9"/>
    <w:rsid w:val="00703DE9"/>
    <w:rsid w:val="0070401B"/>
    <w:rsid w:val="007046A5"/>
    <w:rsid w:val="00704904"/>
    <w:rsid w:val="00705160"/>
    <w:rsid w:val="007052D7"/>
    <w:rsid w:val="00705601"/>
    <w:rsid w:val="00705847"/>
    <w:rsid w:val="00705B51"/>
    <w:rsid w:val="007069A1"/>
    <w:rsid w:val="00706A05"/>
    <w:rsid w:val="00706A7A"/>
    <w:rsid w:val="00706E42"/>
    <w:rsid w:val="00707167"/>
    <w:rsid w:val="007075DE"/>
    <w:rsid w:val="00707C37"/>
    <w:rsid w:val="00707DFD"/>
    <w:rsid w:val="0071064E"/>
    <w:rsid w:val="00710980"/>
    <w:rsid w:val="0071098C"/>
    <w:rsid w:val="007113BF"/>
    <w:rsid w:val="0071177B"/>
    <w:rsid w:val="00711BA1"/>
    <w:rsid w:val="0071224C"/>
    <w:rsid w:val="00712C4F"/>
    <w:rsid w:val="00712D37"/>
    <w:rsid w:val="00713C8B"/>
    <w:rsid w:val="00713F14"/>
    <w:rsid w:val="00713FB0"/>
    <w:rsid w:val="00714751"/>
    <w:rsid w:val="00714B64"/>
    <w:rsid w:val="00714D11"/>
    <w:rsid w:val="00715067"/>
    <w:rsid w:val="00715540"/>
    <w:rsid w:val="00715FF1"/>
    <w:rsid w:val="00716671"/>
    <w:rsid w:val="00716F53"/>
    <w:rsid w:val="00717416"/>
    <w:rsid w:val="007179A1"/>
    <w:rsid w:val="00717DB2"/>
    <w:rsid w:val="007201A0"/>
    <w:rsid w:val="0072038D"/>
    <w:rsid w:val="0072082A"/>
    <w:rsid w:val="00720AE9"/>
    <w:rsid w:val="007211DF"/>
    <w:rsid w:val="0072178C"/>
    <w:rsid w:val="00721FD8"/>
    <w:rsid w:val="00722280"/>
    <w:rsid w:val="007223A5"/>
    <w:rsid w:val="007225F9"/>
    <w:rsid w:val="00722805"/>
    <w:rsid w:val="00722C17"/>
    <w:rsid w:val="0072301B"/>
    <w:rsid w:val="00723284"/>
    <w:rsid w:val="007232FC"/>
    <w:rsid w:val="00723302"/>
    <w:rsid w:val="00724106"/>
    <w:rsid w:val="0072442F"/>
    <w:rsid w:val="0072527D"/>
    <w:rsid w:val="00725C0B"/>
    <w:rsid w:val="00725CC5"/>
    <w:rsid w:val="007261A1"/>
    <w:rsid w:val="00726255"/>
    <w:rsid w:val="007264C8"/>
    <w:rsid w:val="0072666F"/>
    <w:rsid w:val="00726A91"/>
    <w:rsid w:val="00726D9F"/>
    <w:rsid w:val="0072717F"/>
    <w:rsid w:val="00727510"/>
    <w:rsid w:val="0072789B"/>
    <w:rsid w:val="007279E8"/>
    <w:rsid w:val="00730224"/>
    <w:rsid w:val="00730801"/>
    <w:rsid w:val="00730DF9"/>
    <w:rsid w:val="00731141"/>
    <w:rsid w:val="00731C44"/>
    <w:rsid w:val="00731CF9"/>
    <w:rsid w:val="00731DC0"/>
    <w:rsid w:val="00732DEB"/>
    <w:rsid w:val="00733524"/>
    <w:rsid w:val="00733736"/>
    <w:rsid w:val="00733A9D"/>
    <w:rsid w:val="0073440C"/>
    <w:rsid w:val="00734B33"/>
    <w:rsid w:val="00734DA5"/>
    <w:rsid w:val="00735034"/>
    <w:rsid w:val="00735BA1"/>
    <w:rsid w:val="007368B1"/>
    <w:rsid w:val="007370F0"/>
    <w:rsid w:val="007372F5"/>
    <w:rsid w:val="00737547"/>
    <w:rsid w:val="00737695"/>
    <w:rsid w:val="00737CEC"/>
    <w:rsid w:val="00737FE7"/>
    <w:rsid w:val="007401A0"/>
    <w:rsid w:val="00742475"/>
    <w:rsid w:val="00742AE7"/>
    <w:rsid w:val="00742F82"/>
    <w:rsid w:val="0074301C"/>
    <w:rsid w:val="00743575"/>
    <w:rsid w:val="00743EA8"/>
    <w:rsid w:val="00744062"/>
    <w:rsid w:val="007441A7"/>
    <w:rsid w:val="00744499"/>
    <w:rsid w:val="007445D5"/>
    <w:rsid w:val="0074468E"/>
    <w:rsid w:val="007446C5"/>
    <w:rsid w:val="0074471D"/>
    <w:rsid w:val="00744ADC"/>
    <w:rsid w:val="00744BE1"/>
    <w:rsid w:val="00745E8C"/>
    <w:rsid w:val="00746D28"/>
    <w:rsid w:val="00747003"/>
    <w:rsid w:val="007475B0"/>
    <w:rsid w:val="00747701"/>
    <w:rsid w:val="00747FD4"/>
    <w:rsid w:val="00750F03"/>
    <w:rsid w:val="007512EC"/>
    <w:rsid w:val="00751AE0"/>
    <w:rsid w:val="00751E6A"/>
    <w:rsid w:val="00751EF0"/>
    <w:rsid w:val="0075296D"/>
    <w:rsid w:val="00752F3A"/>
    <w:rsid w:val="0075307C"/>
    <w:rsid w:val="007530A8"/>
    <w:rsid w:val="007538D6"/>
    <w:rsid w:val="00753C58"/>
    <w:rsid w:val="00753E2E"/>
    <w:rsid w:val="00753E60"/>
    <w:rsid w:val="007541E2"/>
    <w:rsid w:val="0075442F"/>
    <w:rsid w:val="00754594"/>
    <w:rsid w:val="00754B32"/>
    <w:rsid w:val="0075508C"/>
    <w:rsid w:val="0075557A"/>
    <w:rsid w:val="007557EB"/>
    <w:rsid w:val="007558D1"/>
    <w:rsid w:val="00755938"/>
    <w:rsid w:val="00755A6A"/>
    <w:rsid w:val="007564E9"/>
    <w:rsid w:val="00756717"/>
    <w:rsid w:val="00756936"/>
    <w:rsid w:val="00757C35"/>
    <w:rsid w:val="00760598"/>
    <w:rsid w:val="007605C3"/>
    <w:rsid w:val="0076063D"/>
    <w:rsid w:val="00760944"/>
    <w:rsid w:val="00760FDE"/>
    <w:rsid w:val="007619F0"/>
    <w:rsid w:val="007619FB"/>
    <w:rsid w:val="00761DED"/>
    <w:rsid w:val="00762188"/>
    <w:rsid w:val="00763087"/>
    <w:rsid w:val="007630F4"/>
    <w:rsid w:val="00763604"/>
    <w:rsid w:val="007643F1"/>
    <w:rsid w:val="007649BF"/>
    <w:rsid w:val="00764D5F"/>
    <w:rsid w:val="00765186"/>
    <w:rsid w:val="007656D8"/>
    <w:rsid w:val="00765910"/>
    <w:rsid w:val="00766115"/>
    <w:rsid w:val="00766183"/>
    <w:rsid w:val="0076681A"/>
    <w:rsid w:val="00767244"/>
    <w:rsid w:val="00767694"/>
    <w:rsid w:val="00767A4D"/>
    <w:rsid w:val="00767C33"/>
    <w:rsid w:val="00767C75"/>
    <w:rsid w:val="00767E72"/>
    <w:rsid w:val="00770256"/>
    <w:rsid w:val="007706F2"/>
    <w:rsid w:val="00770E2E"/>
    <w:rsid w:val="00770EAB"/>
    <w:rsid w:val="007710CF"/>
    <w:rsid w:val="00771344"/>
    <w:rsid w:val="0077180C"/>
    <w:rsid w:val="00771AB8"/>
    <w:rsid w:val="00771B36"/>
    <w:rsid w:val="00772D3B"/>
    <w:rsid w:val="00772E33"/>
    <w:rsid w:val="00772FEF"/>
    <w:rsid w:val="007730FB"/>
    <w:rsid w:val="007735EF"/>
    <w:rsid w:val="007736AD"/>
    <w:rsid w:val="0077381B"/>
    <w:rsid w:val="00774195"/>
    <w:rsid w:val="0077452B"/>
    <w:rsid w:val="00774965"/>
    <w:rsid w:val="00774FB5"/>
    <w:rsid w:val="007771C9"/>
    <w:rsid w:val="007772B8"/>
    <w:rsid w:val="00777386"/>
    <w:rsid w:val="007776EB"/>
    <w:rsid w:val="00777D47"/>
    <w:rsid w:val="00777F71"/>
    <w:rsid w:val="00777FB3"/>
    <w:rsid w:val="00780477"/>
    <w:rsid w:val="00780C0A"/>
    <w:rsid w:val="00780EB4"/>
    <w:rsid w:val="00781183"/>
    <w:rsid w:val="007816EF"/>
    <w:rsid w:val="00781ADF"/>
    <w:rsid w:val="00781D31"/>
    <w:rsid w:val="007837FA"/>
    <w:rsid w:val="00783807"/>
    <w:rsid w:val="007839F8"/>
    <w:rsid w:val="00783DC1"/>
    <w:rsid w:val="00783E7A"/>
    <w:rsid w:val="00784582"/>
    <w:rsid w:val="007848EA"/>
    <w:rsid w:val="00784C8A"/>
    <w:rsid w:val="00784CA4"/>
    <w:rsid w:val="00785CC6"/>
    <w:rsid w:val="00786AD0"/>
    <w:rsid w:val="00786CCE"/>
    <w:rsid w:val="00786D9B"/>
    <w:rsid w:val="0078758F"/>
    <w:rsid w:val="00787997"/>
    <w:rsid w:val="00790638"/>
    <w:rsid w:val="0079083D"/>
    <w:rsid w:val="00790C3D"/>
    <w:rsid w:val="00790D44"/>
    <w:rsid w:val="00790FA4"/>
    <w:rsid w:val="007912A4"/>
    <w:rsid w:val="00791757"/>
    <w:rsid w:val="00791A47"/>
    <w:rsid w:val="00791C0E"/>
    <w:rsid w:val="007922F2"/>
    <w:rsid w:val="00792705"/>
    <w:rsid w:val="007927BF"/>
    <w:rsid w:val="00792AD4"/>
    <w:rsid w:val="00792B78"/>
    <w:rsid w:val="00792CF9"/>
    <w:rsid w:val="00793010"/>
    <w:rsid w:val="007935FA"/>
    <w:rsid w:val="00794672"/>
    <w:rsid w:val="007948B6"/>
    <w:rsid w:val="00794B01"/>
    <w:rsid w:val="00794C36"/>
    <w:rsid w:val="00794DFA"/>
    <w:rsid w:val="00794E9E"/>
    <w:rsid w:val="00795146"/>
    <w:rsid w:val="007951E8"/>
    <w:rsid w:val="00795636"/>
    <w:rsid w:val="00795727"/>
    <w:rsid w:val="00795BE7"/>
    <w:rsid w:val="00796520"/>
    <w:rsid w:val="00796E86"/>
    <w:rsid w:val="007972A0"/>
    <w:rsid w:val="007978CB"/>
    <w:rsid w:val="007979ED"/>
    <w:rsid w:val="00797DBD"/>
    <w:rsid w:val="00797F94"/>
    <w:rsid w:val="007A07D0"/>
    <w:rsid w:val="007A0B61"/>
    <w:rsid w:val="007A0FB2"/>
    <w:rsid w:val="007A0FB7"/>
    <w:rsid w:val="007A1133"/>
    <w:rsid w:val="007A1F82"/>
    <w:rsid w:val="007A211E"/>
    <w:rsid w:val="007A2237"/>
    <w:rsid w:val="007A2A31"/>
    <w:rsid w:val="007A3046"/>
    <w:rsid w:val="007A3486"/>
    <w:rsid w:val="007A3488"/>
    <w:rsid w:val="007A3AB6"/>
    <w:rsid w:val="007A3C78"/>
    <w:rsid w:val="007A3F65"/>
    <w:rsid w:val="007A4389"/>
    <w:rsid w:val="007A45D7"/>
    <w:rsid w:val="007A5030"/>
    <w:rsid w:val="007A53A4"/>
    <w:rsid w:val="007A555E"/>
    <w:rsid w:val="007A57BF"/>
    <w:rsid w:val="007A5C5C"/>
    <w:rsid w:val="007A6514"/>
    <w:rsid w:val="007A6E46"/>
    <w:rsid w:val="007B00D6"/>
    <w:rsid w:val="007B02F6"/>
    <w:rsid w:val="007B1261"/>
    <w:rsid w:val="007B1909"/>
    <w:rsid w:val="007B24BA"/>
    <w:rsid w:val="007B2547"/>
    <w:rsid w:val="007B2DA0"/>
    <w:rsid w:val="007B3762"/>
    <w:rsid w:val="007B46A6"/>
    <w:rsid w:val="007B4B6C"/>
    <w:rsid w:val="007B4BA1"/>
    <w:rsid w:val="007B4D97"/>
    <w:rsid w:val="007B5060"/>
    <w:rsid w:val="007B50B8"/>
    <w:rsid w:val="007B51B2"/>
    <w:rsid w:val="007B52D5"/>
    <w:rsid w:val="007B538A"/>
    <w:rsid w:val="007B5742"/>
    <w:rsid w:val="007B58B0"/>
    <w:rsid w:val="007B63A3"/>
    <w:rsid w:val="007B6721"/>
    <w:rsid w:val="007B7016"/>
    <w:rsid w:val="007B75E0"/>
    <w:rsid w:val="007C0A71"/>
    <w:rsid w:val="007C1D15"/>
    <w:rsid w:val="007C1E59"/>
    <w:rsid w:val="007C2704"/>
    <w:rsid w:val="007C27FD"/>
    <w:rsid w:val="007C31CE"/>
    <w:rsid w:val="007C36F1"/>
    <w:rsid w:val="007C374E"/>
    <w:rsid w:val="007C3CE3"/>
    <w:rsid w:val="007C47D8"/>
    <w:rsid w:val="007C4A49"/>
    <w:rsid w:val="007C510E"/>
    <w:rsid w:val="007C5113"/>
    <w:rsid w:val="007C62E7"/>
    <w:rsid w:val="007C7774"/>
    <w:rsid w:val="007C7E0C"/>
    <w:rsid w:val="007C7FEE"/>
    <w:rsid w:val="007D0694"/>
    <w:rsid w:val="007D0A18"/>
    <w:rsid w:val="007D0AF8"/>
    <w:rsid w:val="007D0C94"/>
    <w:rsid w:val="007D10DF"/>
    <w:rsid w:val="007D1380"/>
    <w:rsid w:val="007D1629"/>
    <w:rsid w:val="007D19B5"/>
    <w:rsid w:val="007D208C"/>
    <w:rsid w:val="007D21A9"/>
    <w:rsid w:val="007D2A22"/>
    <w:rsid w:val="007D2E3B"/>
    <w:rsid w:val="007D37E3"/>
    <w:rsid w:val="007D3CEB"/>
    <w:rsid w:val="007D40F8"/>
    <w:rsid w:val="007D52B2"/>
    <w:rsid w:val="007D56B2"/>
    <w:rsid w:val="007D5C3B"/>
    <w:rsid w:val="007D5D6D"/>
    <w:rsid w:val="007D5E24"/>
    <w:rsid w:val="007D5F71"/>
    <w:rsid w:val="007D60E9"/>
    <w:rsid w:val="007D62A3"/>
    <w:rsid w:val="007D63D6"/>
    <w:rsid w:val="007D6FE5"/>
    <w:rsid w:val="007D70D4"/>
    <w:rsid w:val="007D78F9"/>
    <w:rsid w:val="007E04A5"/>
    <w:rsid w:val="007E0510"/>
    <w:rsid w:val="007E099B"/>
    <w:rsid w:val="007E0F4D"/>
    <w:rsid w:val="007E15E6"/>
    <w:rsid w:val="007E1638"/>
    <w:rsid w:val="007E18C3"/>
    <w:rsid w:val="007E1B23"/>
    <w:rsid w:val="007E1D80"/>
    <w:rsid w:val="007E22ED"/>
    <w:rsid w:val="007E25BD"/>
    <w:rsid w:val="007E27B6"/>
    <w:rsid w:val="007E2AF5"/>
    <w:rsid w:val="007E2E3C"/>
    <w:rsid w:val="007E34FC"/>
    <w:rsid w:val="007E3EA6"/>
    <w:rsid w:val="007E40F4"/>
    <w:rsid w:val="007E4963"/>
    <w:rsid w:val="007E5160"/>
    <w:rsid w:val="007E5236"/>
    <w:rsid w:val="007E56D2"/>
    <w:rsid w:val="007E5CBB"/>
    <w:rsid w:val="007E6013"/>
    <w:rsid w:val="007E6E06"/>
    <w:rsid w:val="007E71A1"/>
    <w:rsid w:val="007E7248"/>
    <w:rsid w:val="007F2001"/>
    <w:rsid w:val="007F2339"/>
    <w:rsid w:val="007F2B71"/>
    <w:rsid w:val="007F2FD4"/>
    <w:rsid w:val="007F36C1"/>
    <w:rsid w:val="007F3761"/>
    <w:rsid w:val="007F3AF4"/>
    <w:rsid w:val="007F3F89"/>
    <w:rsid w:val="007F49C3"/>
    <w:rsid w:val="007F4DAD"/>
    <w:rsid w:val="007F4F44"/>
    <w:rsid w:val="007F5DCF"/>
    <w:rsid w:val="007F61C0"/>
    <w:rsid w:val="007F6877"/>
    <w:rsid w:val="007F7CAF"/>
    <w:rsid w:val="0080015E"/>
    <w:rsid w:val="00800576"/>
    <w:rsid w:val="008008CD"/>
    <w:rsid w:val="00800B50"/>
    <w:rsid w:val="00800BE3"/>
    <w:rsid w:val="00800DC0"/>
    <w:rsid w:val="00801687"/>
    <w:rsid w:val="00801C58"/>
    <w:rsid w:val="008027E8"/>
    <w:rsid w:val="0080290B"/>
    <w:rsid w:val="008037F9"/>
    <w:rsid w:val="008038D2"/>
    <w:rsid w:val="00803A3B"/>
    <w:rsid w:val="00803B8A"/>
    <w:rsid w:val="00804598"/>
    <w:rsid w:val="008052A1"/>
    <w:rsid w:val="00805768"/>
    <w:rsid w:val="008057E2"/>
    <w:rsid w:val="00806F3E"/>
    <w:rsid w:val="0080728D"/>
    <w:rsid w:val="0080798A"/>
    <w:rsid w:val="008101EC"/>
    <w:rsid w:val="00811C60"/>
    <w:rsid w:val="00811C8F"/>
    <w:rsid w:val="00811D06"/>
    <w:rsid w:val="00812176"/>
    <w:rsid w:val="008127AD"/>
    <w:rsid w:val="008127ED"/>
    <w:rsid w:val="00812C9F"/>
    <w:rsid w:val="00813252"/>
    <w:rsid w:val="00813ED0"/>
    <w:rsid w:val="008143B4"/>
    <w:rsid w:val="00814559"/>
    <w:rsid w:val="00814600"/>
    <w:rsid w:val="0081501A"/>
    <w:rsid w:val="0081511E"/>
    <w:rsid w:val="008157A5"/>
    <w:rsid w:val="00815922"/>
    <w:rsid w:val="00816203"/>
    <w:rsid w:val="0081677A"/>
    <w:rsid w:val="00816EFF"/>
    <w:rsid w:val="00817242"/>
    <w:rsid w:val="00817478"/>
    <w:rsid w:val="0081788F"/>
    <w:rsid w:val="00817AA5"/>
    <w:rsid w:val="00817D7E"/>
    <w:rsid w:val="00817FF9"/>
    <w:rsid w:val="00820479"/>
    <w:rsid w:val="00820968"/>
    <w:rsid w:val="00820D5B"/>
    <w:rsid w:val="0082132C"/>
    <w:rsid w:val="008213A7"/>
    <w:rsid w:val="00821735"/>
    <w:rsid w:val="008219C5"/>
    <w:rsid w:val="00822A5C"/>
    <w:rsid w:val="008230DE"/>
    <w:rsid w:val="00824085"/>
    <w:rsid w:val="008249D1"/>
    <w:rsid w:val="00824AB3"/>
    <w:rsid w:val="0082520E"/>
    <w:rsid w:val="008252FA"/>
    <w:rsid w:val="00825E20"/>
    <w:rsid w:val="008263DB"/>
    <w:rsid w:val="0082708F"/>
    <w:rsid w:val="00827429"/>
    <w:rsid w:val="00827BAF"/>
    <w:rsid w:val="00827CFA"/>
    <w:rsid w:val="00827EF2"/>
    <w:rsid w:val="0083002C"/>
    <w:rsid w:val="00830976"/>
    <w:rsid w:val="00830CA6"/>
    <w:rsid w:val="00830DD9"/>
    <w:rsid w:val="00831193"/>
    <w:rsid w:val="008316DA"/>
    <w:rsid w:val="0083191F"/>
    <w:rsid w:val="00831F41"/>
    <w:rsid w:val="00832A0C"/>
    <w:rsid w:val="00832D35"/>
    <w:rsid w:val="0083313A"/>
    <w:rsid w:val="008332C9"/>
    <w:rsid w:val="008333FD"/>
    <w:rsid w:val="008334BB"/>
    <w:rsid w:val="00833E3C"/>
    <w:rsid w:val="008340A2"/>
    <w:rsid w:val="00834821"/>
    <w:rsid w:val="008352A2"/>
    <w:rsid w:val="008355B6"/>
    <w:rsid w:val="00835755"/>
    <w:rsid w:val="008357C9"/>
    <w:rsid w:val="008361F9"/>
    <w:rsid w:val="008366E3"/>
    <w:rsid w:val="00836E2C"/>
    <w:rsid w:val="008373B0"/>
    <w:rsid w:val="00837492"/>
    <w:rsid w:val="0084017C"/>
    <w:rsid w:val="008401CA"/>
    <w:rsid w:val="00840295"/>
    <w:rsid w:val="008402B4"/>
    <w:rsid w:val="00840BBA"/>
    <w:rsid w:val="00840CDA"/>
    <w:rsid w:val="00840EDC"/>
    <w:rsid w:val="00841077"/>
    <w:rsid w:val="008411EC"/>
    <w:rsid w:val="008419F2"/>
    <w:rsid w:val="00841E4F"/>
    <w:rsid w:val="008422D5"/>
    <w:rsid w:val="008428A7"/>
    <w:rsid w:val="00842D4F"/>
    <w:rsid w:val="00842DB9"/>
    <w:rsid w:val="00843075"/>
    <w:rsid w:val="008439A1"/>
    <w:rsid w:val="00843E51"/>
    <w:rsid w:val="008443D1"/>
    <w:rsid w:val="008448AA"/>
    <w:rsid w:val="00844B7E"/>
    <w:rsid w:val="00844FF2"/>
    <w:rsid w:val="0084568E"/>
    <w:rsid w:val="008458F0"/>
    <w:rsid w:val="00845A78"/>
    <w:rsid w:val="00845EC1"/>
    <w:rsid w:val="00846491"/>
    <w:rsid w:val="008470F3"/>
    <w:rsid w:val="0084787C"/>
    <w:rsid w:val="00847A45"/>
    <w:rsid w:val="00847CEB"/>
    <w:rsid w:val="00847F52"/>
    <w:rsid w:val="0085006E"/>
    <w:rsid w:val="00850155"/>
    <w:rsid w:val="0085036E"/>
    <w:rsid w:val="00850925"/>
    <w:rsid w:val="008516A9"/>
    <w:rsid w:val="00851F5F"/>
    <w:rsid w:val="008523ED"/>
    <w:rsid w:val="00852E21"/>
    <w:rsid w:val="00853602"/>
    <w:rsid w:val="0085374C"/>
    <w:rsid w:val="00854221"/>
    <w:rsid w:val="008543A9"/>
    <w:rsid w:val="00855FEE"/>
    <w:rsid w:val="0085649A"/>
    <w:rsid w:val="00856D21"/>
    <w:rsid w:val="008571A5"/>
    <w:rsid w:val="008573CE"/>
    <w:rsid w:val="0085795D"/>
    <w:rsid w:val="00857BA6"/>
    <w:rsid w:val="00857C19"/>
    <w:rsid w:val="00860322"/>
    <w:rsid w:val="0086068B"/>
    <w:rsid w:val="008608C2"/>
    <w:rsid w:val="00860A1B"/>
    <w:rsid w:val="00860E51"/>
    <w:rsid w:val="00861717"/>
    <w:rsid w:val="0086182D"/>
    <w:rsid w:val="00862377"/>
    <w:rsid w:val="00862608"/>
    <w:rsid w:val="00862734"/>
    <w:rsid w:val="00862BD8"/>
    <w:rsid w:val="00862E07"/>
    <w:rsid w:val="00862F11"/>
    <w:rsid w:val="00863571"/>
    <w:rsid w:val="0086439D"/>
    <w:rsid w:val="00864F5C"/>
    <w:rsid w:val="00864F86"/>
    <w:rsid w:val="008658E2"/>
    <w:rsid w:val="00865AC5"/>
    <w:rsid w:val="00865C48"/>
    <w:rsid w:val="0086623E"/>
    <w:rsid w:val="00866459"/>
    <w:rsid w:val="0086663E"/>
    <w:rsid w:val="008667C5"/>
    <w:rsid w:val="00866C96"/>
    <w:rsid w:val="008673F3"/>
    <w:rsid w:val="0086741A"/>
    <w:rsid w:val="00867746"/>
    <w:rsid w:val="00867988"/>
    <w:rsid w:val="00867AFD"/>
    <w:rsid w:val="00867C06"/>
    <w:rsid w:val="0087068A"/>
    <w:rsid w:val="0087070E"/>
    <w:rsid w:val="00870743"/>
    <w:rsid w:val="00870CBD"/>
    <w:rsid w:val="00871185"/>
    <w:rsid w:val="00871324"/>
    <w:rsid w:val="00871600"/>
    <w:rsid w:val="00871681"/>
    <w:rsid w:val="00871F93"/>
    <w:rsid w:val="008720B1"/>
    <w:rsid w:val="00872FD6"/>
    <w:rsid w:val="0087305C"/>
    <w:rsid w:val="00873077"/>
    <w:rsid w:val="00873345"/>
    <w:rsid w:val="0087356F"/>
    <w:rsid w:val="00873D02"/>
    <w:rsid w:val="00873D9F"/>
    <w:rsid w:val="0087411D"/>
    <w:rsid w:val="00874D46"/>
    <w:rsid w:val="00874F47"/>
    <w:rsid w:val="00874FD4"/>
    <w:rsid w:val="008750A0"/>
    <w:rsid w:val="00875B65"/>
    <w:rsid w:val="00876253"/>
    <w:rsid w:val="008762F8"/>
    <w:rsid w:val="00876886"/>
    <w:rsid w:val="00876BE5"/>
    <w:rsid w:val="00876CC3"/>
    <w:rsid w:val="00876EEE"/>
    <w:rsid w:val="00877844"/>
    <w:rsid w:val="00877A6D"/>
    <w:rsid w:val="00877F13"/>
    <w:rsid w:val="00877FB9"/>
    <w:rsid w:val="008803CE"/>
    <w:rsid w:val="0088059D"/>
    <w:rsid w:val="00880D65"/>
    <w:rsid w:val="00880FF8"/>
    <w:rsid w:val="008813A0"/>
    <w:rsid w:val="008814E4"/>
    <w:rsid w:val="00882E8D"/>
    <w:rsid w:val="0088313E"/>
    <w:rsid w:val="00884160"/>
    <w:rsid w:val="008842DD"/>
    <w:rsid w:val="00884766"/>
    <w:rsid w:val="008859FA"/>
    <w:rsid w:val="00885FA3"/>
    <w:rsid w:val="008860F4"/>
    <w:rsid w:val="0088739D"/>
    <w:rsid w:val="00887E15"/>
    <w:rsid w:val="008905D2"/>
    <w:rsid w:val="0089087E"/>
    <w:rsid w:val="00890B7B"/>
    <w:rsid w:val="00891B88"/>
    <w:rsid w:val="00891CBB"/>
    <w:rsid w:val="0089200D"/>
    <w:rsid w:val="0089208D"/>
    <w:rsid w:val="008924A7"/>
    <w:rsid w:val="00892733"/>
    <w:rsid w:val="00892BE1"/>
    <w:rsid w:val="008930A1"/>
    <w:rsid w:val="008930D4"/>
    <w:rsid w:val="008937FE"/>
    <w:rsid w:val="00894432"/>
    <w:rsid w:val="008946FF"/>
    <w:rsid w:val="00894C32"/>
    <w:rsid w:val="00895E25"/>
    <w:rsid w:val="00895FED"/>
    <w:rsid w:val="00896511"/>
    <w:rsid w:val="0089662E"/>
    <w:rsid w:val="008970A8"/>
    <w:rsid w:val="00897336"/>
    <w:rsid w:val="00897C8B"/>
    <w:rsid w:val="008A0ED7"/>
    <w:rsid w:val="008A1822"/>
    <w:rsid w:val="008A2132"/>
    <w:rsid w:val="008A296A"/>
    <w:rsid w:val="008A2E3E"/>
    <w:rsid w:val="008A34A2"/>
    <w:rsid w:val="008A3718"/>
    <w:rsid w:val="008A3FDD"/>
    <w:rsid w:val="008A41C4"/>
    <w:rsid w:val="008A4464"/>
    <w:rsid w:val="008A4E7F"/>
    <w:rsid w:val="008A4ECF"/>
    <w:rsid w:val="008A4F31"/>
    <w:rsid w:val="008A5A57"/>
    <w:rsid w:val="008A5AD2"/>
    <w:rsid w:val="008A5D82"/>
    <w:rsid w:val="008A619F"/>
    <w:rsid w:val="008A6471"/>
    <w:rsid w:val="008A65E2"/>
    <w:rsid w:val="008A6680"/>
    <w:rsid w:val="008A66C1"/>
    <w:rsid w:val="008A6E03"/>
    <w:rsid w:val="008A6F3A"/>
    <w:rsid w:val="008B0266"/>
    <w:rsid w:val="008B0352"/>
    <w:rsid w:val="008B0FF5"/>
    <w:rsid w:val="008B11A1"/>
    <w:rsid w:val="008B150D"/>
    <w:rsid w:val="008B151B"/>
    <w:rsid w:val="008B176A"/>
    <w:rsid w:val="008B18DF"/>
    <w:rsid w:val="008B2734"/>
    <w:rsid w:val="008B2DBF"/>
    <w:rsid w:val="008B3191"/>
    <w:rsid w:val="008B39C1"/>
    <w:rsid w:val="008B3F50"/>
    <w:rsid w:val="008B41F7"/>
    <w:rsid w:val="008B4555"/>
    <w:rsid w:val="008B497A"/>
    <w:rsid w:val="008B4A1E"/>
    <w:rsid w:val="008B4EF0"/>
    <w:rsid w:val="008B506F"/>
    <w:rsid w:val="008B50D6"/>
    <w:rsid w:val="008B52BD"/>
    <w:rsid w:val="008B55A6"/>
    <w:rsid w:val="008B59F9"/>
    <w:rsid w:val="008B60B4"/>
    <w:rsid w:val="008B617D"/>
    <w:rsid w:val="008B63EA"/>
    <w:rsid w:val="008B6B26"/>
    <w:rsid w:val="008B6FFD"/>
    <w:rsid w:val="008C0E5B"/>
    <w:rsid w:val="008C0F50"/>
    <w:rsid w:val="008C112D"/>
    <w:rsid w:val="008C12F8"/>
    <w:rsid w:val="008C151D"/>
    <w:rsid w:val="008C16B8"/>
    <w:rsid w:val="008C1A6F"/>
    <w:rsid w:val="008C1AC2"/>
    <w:rsid w:val="008C1D1D"/>
    <w:rsid w:val="008C225C"/>
    <w:rsid w:val="008C2779"/>
    <w:rsid w:val="008C297E"/>
    <w:rsid w:val="008C317D"/>
    <w:rsid w:val="008C3D59"/>
    <w:rsid w:val="008C43F4"/>
    <w:rsid w:val="008C489B"/>
    <w:rsid w:val="008C4B49"/>
    <w:rsid w:val="008C4CAC"/>
    <w:rsid w:val="008C5112"/>
    <w:rsid w:val="008C5C2A"/>
    <w:rsid w:val="008C607F"/>
    <w:rsid w:val="008C6189"/>
    <w:rsid w:val="008C64D8"/>
    <w:rsid w:val="008C685C"/>
    <w:rsid w:val="008C6EE9"/>
    <w:rsid w:val="008C731A"/>
    <w:rsid w:val="008C74BD"/>
    <w:rsid w:val="008C78D7"/>
    <w:rsid w:val="008C7A9C"/>
    <w:rsid w:val="008C7CFD"/>
    <w:rsid w:val="008C7D34"/>
    <w:rsid w:val="008D00B0"/>
    <w:rsid w:val="008D0AAE"/>
    <w:rsid w:val="008D0E21"/>
    <w:rsid w:val="008D1879"/>
    <w:rsid w:val="008D1C09"/>
    <w:rsid w:val="008D2086"/>
    <w:rsid w:val="008D2196"/>
    <w:rsid w:val="008D238F"/>
    <w:rsid w:val="008D26AB"/>
    <w:rsid w:val="008D29B3"/>
    <w:rsid w:val="008D3174"/>
    <w:rsid w:val="008D3272"/>
    <w:rsid w:val="008D33FC"/>
    <w:rsid w:val="008D367E"/>
    <w:rsid w:val="008D4215"/>
    <w:rsid w:val="008D421A"/>
    <w:rsid w:val="008D4D8D"/>
    <w:rsid w:val="008D5170"/>
    <w:rsid w:val="008D54A9"/>
    <w:rsid w:val="008D631B"/>
    <w:rsid w:val="008D6575"/>
    <w:rsid w:val="008D65D4"/>
    <w:rsid w:val="008D726E"/>
    <w:rsid w:val="008D7B76"/>
    <w:rsid w:val="008D7E10"/>
    <w:rsid w:val="008E14AE"/>
    <w:rsid w:val="008E14FD"/>
    <w:rsid w:val="008E1F44"/>
    <w:rsid w:val="008E2125"/>
    <w:rsid w:val="008E2254"/>
    <w:rsid w:val="008E2C34"/>
    <w:rsid w:val="008E2C50"/>
    <w:rsid w:val="008E2FB8"/>
    <w:rsid w:val="008E304C"/>
    <w:rsid w:val="008E3051"/>
    <w:rsid w:val="008E314C"/>
    <w:rsid w:val="008E326C"/>
    <w:rsid w:val="008E3AD4"/>
    <w:rsid w:val="008E42B5"/>
    <w:rsid w:val="008E4B91"/>
    <w:rsid w:val="008E4E2C"/>
    <w:rsid w:val="008E5043"/>
    <w:rsid w:val="008E5330"/>
    <w:rsid w:val="008E6130"/>
    <w:rsid w:val="008E6ED0"/>
    <w:rsid w:val="008E6F37"/>
    <w:rsid w:val="008E7347"/>
    <w:rsid w:val="008E7407"/>
    <w:rsid w:val="008E792D"/>
    <w:rsid w:val="008E7A07"/>
    <w:rsid w:val="008F0076"/>
    <w:rsid w:val="008F0FA0"/>
    <w:rsid w:val="008F166B"/>
    <w:rsid w:val="008F1876"/>
    <w:rsid w:val="008F18AC"/>
    <w:rsid w:val="008F1CC3"/>
    <w:rsid w:val="008F1E4E"/>
    <w:rsid w:val="008F20C2"/>
    <w:rsid w:val="008F2208"/>
    <w:rsid w:val="008F2341"/>
    <w:rsid w:val="008F235D"/>
    <w:rsid w:val="008F2569"/>
    <w:rsid w:val="008F2581"/>
    <w:rsid w:val="008F2670"/>
    <w:rsid w:val="008F2684"/>
    <w:rsid w:val="008F2770"/>
    <w:rsid w:val="008F3092"/>
    <w:rsid w:val="008F30A9"/>
    <w:rsid w:val="008F3864"/>
    <w:rsid w:val="008F39AA"/>
    <w:rsid w:val="008F3ACF"/>
    <w:rsid w:val="008F4499"/>
    <w:rsid w:val="008F4C3C"/>
    <w:rsid w:val="008F4CBA"/>
    <w:rsid w:val="008F4EA1"/>
    <w:rsid w:val="008F5164"/>
    <w:rsid w:val="008F5266"/>
    <w:rsid w:val="008F52A2"/>
    <w:rsid w:val="008F5324"/>
    <w:rsid w:val="008F5624"/>
    <w:rsid w:val="008F5CC7"/>
    <w:rsid w:val="008F6642"/>
    <w:rsid w:val="00900808"/>
    <w:rsid w:val="0090102E"/>
    <w:rsid w:val="00901C67"/>
    <w:rsid w:val="00903010"/>
    <w:rsid w:val="00903477"/>
    <w:rsid w:val="009036EF"/>
    <w:rsid w:val="00904251"/>
    <w:rsid w:val="009049E8"/>
    <w:rsid w:val="00905800"/>
    <w:rsid w:val="00905A21"/>
    <w:rsid w:val="00905AE5"/>
    <w:rsid w:val="00906206"/>
    <w:rsid w:val="00907086"/>
    <w:rsid w:val="009074C7"/>
    <w:rsid w:val="00907C3A"/>
    <w:rsid w:val="00907EDD"/>
    <w:rsid w:val="0091058E"/>
    <w:rsid w:val="00910945"/>
    <w:rsid w:val="00910A3F"/>
    <w:rsid w:val="00910E9B"/>
    <w:rsid w:val="009116DC"/>
    <w:rsid w:val="009117F1"/>
    <w:rsid w:val="00911EFD"/>
    <w:rsid w:val="00912532"/>
    <w:rsid w:val="00912550"/>
    <w:rsid w:val="00912BC4"/>
    <w:rsid w:val="00912E7D"/>
    <w:rsid w:val="009132BD"/>
    <w:rsid w:val="00913989"/>
    <w:rsid w:val="009139E8"/>
    <w:rsid w:val="00913B70"/>
    <w:rsid w:val="00913EEB"/>
    <w:rsid w:val="00913FEE"/>
    <w:rsid w:val="00914542"/>
    <w:rsid w:val="009146F8"/>
    <w:rsid w:val="00914828"/>
    <w:rsid w:val="00915655"/>
    <w:rsid w:val="009158AD"/>
    <w:rsid w:val="00915C70"/>
    <w:rsid w:val="00916D30"/>
    <w:rsid w:val="0091729C"/>
    <w:rsid w:val="00917416"/>
    <w:rsid w:val="00917E26"/>
    <w:rsid w:val="00920204"/>
    <w:rsid w:val="009208BC"/>
    <w:rsid w:val="00920BFA"/>
    <w:rsid w:val="00920D2A"/>
    <w:rsid w:val="00921084"/>
    <w:rsid w:val="0092148F"/>
    <w:rsid w:val="009216D2"/>
    <w:rsid w:val="00921B04"/>
    <w:rsid w:val="00922133"/>
    <w:rsid w:val="00922169"/>
    <w:rsid w:val="00922555"/>
    <w:rsid w:val="00922991"/>
    <w:rsid w:val="00923603"/>
    <w:rsid w:val="00923EB6"/>
    <w:rsid w:val="00923FFA"/>
    <w:rsid w:val="00924166"/>
    <w:rsid w:val="00924803"/>
    <w:rsid w:val="00924FEF"/>
    <w:rsid w:val="00926055"/>
    <w:rsid w:val="009263DE"/>
    <w:rsid w:val="009269E4"/>
    <w:rsid w:val="00926F6D"/>
    <w:rsid w:val="00926FF7"/>
    <w:rsid w:val="009271E1"/>
    <w:rsid w:val="009272AD"/>
    <w:rsid w:val="00927691"/>
    <w:rsid w:val="00927BAE"/>
    <w:rsid w:val="00927EE7"/>
    <w:rsid w:val="00930632"/>
    <w:rsid w:val="00930C02"/>
    <w:rsid w:val="00931899"/>
    <w:rsid w:val="009319FB"/>
    <w:rsid w:val="00931DF1"/>
    <w:rsid w:val="00931E8D"/>
    <w:rsid w:val="00932081"/>
    <w:rsid w:val="0093272B"/>
    <w:rsid w:val="00932FCA"/>
    <w:rsid w:val="00933408"/>
    <w:rsid w:val="00933D13"/>
    <w:rsid w:val="00933EA5"/>
    <w:rsid w:val="0093422C"/>
    <w:rsid w:val="0093428A"/>
    <w:rsid w:val="00934F98"/>
    <w:rsid w:val="00935316"/>
    <w:rsid w:val="00935492"/>
    <w:rsid w:val="00936167"/>
    <w:rsid w:val="009366AF"/>
    <w:rsid w:val="0093677E"/>
    <w:rsid w:val="00936D67"/>
    <w:rsid w:val="00937FDD"/>
    <w:rsid w:val="00940412"/>
    <w:rsid w:val="0094071F"/>
    <w:rsid w:val="00940E40"/>
    <w:rsid w:val="009416BF"/>
    <w:rsid w:val="00942143"/>
    <w:rsid w:val="00942339"/>
    <w:rsid w:val="009425DE"/>
    <w:rsid w:val="0094298A"/>
    <w:rsid w:val="00943622"/>
    <w:rsid w:val="00943A59"/>
    <w:rsid w:val="00943B1F"/>
    <w:rsid w:val="00943D49"/>
    <w:rsid w:val="009443BF"/>
    <w:rsid w:val="00944C18"/>
    <w:rsid w:val="00944E0B"/>
    <w:rsid w:val="00945187"/>
    <w:rsid w:val="009451BF"/>
    <w:rsid w:val="009460BF"/>
    <w:rsid w:val="00946546"/>
    <w:rsid w:val="00946972"/>
    <w:rsid w:val="00946FDF"/>
    <w:rsid w:val="009472C2"/>
    <w:rsid w:val="009477C3"/>
    <w:rsid w:val="00947892"/>
    <w:rsid w:val="009478C5"/>
    <w:rsid w:val="00947906"/>
    <w:rsid w:val="009479BC"/>
    <w:rsid w:val="00947E5C"/>
    <w:rsid w:val="009506CD"/>
    <w:rsid w:val="009508EB"/>
    <w:rsid w:val="00950C90"/>
    <w:rsid w:val="009510F2"/>
    <w:rsid w:val="009513F6"/>
    <w:rsid w:val="00951EE8"/>
    <w:rsid w:val="00952150"/>
    <w:rsid w:val="00952354"/>
    <w:rsid w:val="00952EA8"/>
    <w:rsid w:val="0095359D"/>
    <w:rsid w:val="00953A26"/>
    <w:rsid w:val="00953F6B"/>
    <w:rsid w:val="009544E0"/>
    <w:rsid w:val="0095458F"/>
    <w:rsid w:val="00954740"/>
    <w:rsid w:val="00954C2D"/>
    <w:rsid w:val="00954D55"/>
    <w:rsid w:val="009566DA"/>
    <w:rsid w:val="009567FE"/>
    <w:rsid w:val="00957503"/>
    <w:rsid w:val="00957C27"/>
    <w:rsid w:val="00957CE2"/>
    <w:rsid w:val="009606F0"/>
    <w:rsid w:val="00960E93"/>
    <w:rsid w:val="00961395"/>
    <w:rsid w:val="00961772"/>
    <w:rsid w:val="00961AC4"/>
    <w:rsid w:val="00961EEE"/>
    <w:rsid w:val="00961F6C"/>
    <w:rsid w:val="00962012"/>
    <w:rsid w:val="0096224F"/>
    <w:rsid w:val="00962DE7"/>
    <w:rsid w:val="00962FD4"/>
    <w:rsid w:val="00963386"/>
    <w:rsid w:val="009637F8"/>
    <w:rsid w:val="009639C4"/>
    <w:rsid w:val="00963AE4"/>
    <w:rsid w:val="00963DC6"/>
    <w:rsid w:val="00963E85"/>
    <w:rsid w:val="0096480B"/>
    <w:rsid w:val="00964E0F"/>
    <w:rsid w:val="00965B06"/>
    <w:rsid w:val="00965D8A"/>
    <w:rsid w:val="00965F65"/>
    <w:rsid w:val="0096626F"/>
    <w:rsid w:val="009663B5"/>
    <w:rsid w:val="009665FE"/>
    <w:rsid w:val="009674ED"/>
    <w:rsid w:val="00967824"/>
    <w:rsid w:val="0096785A"/>
    <w:rsid w:val="009700EF"/>
    <w:rsid w:val="0097040C"/>
    <w:rsid w:val="0097086E"/>
    <w:rsid w:val="00970C5E"/>
    <w:rsid w:val="00971514"/>
    <w:rsid w:val="00971617"/>
    <w:rsid w:val="00971B48"/>
    <w:rsid w:val="00971EA4"/>
    <w:rsid w:val="009734BE"/>
    <w:rsid w:val="009735CD"/>
    <w:rsid w:val="00973885"/>
    <w:rsid w:val="009741E8"/>
    <w:rsid w:val="009746DD"/>
    <w:rsid w:val="009752F6"/>
    <w:rsid w:val="00975A8B"/>
    <w:rsid w:val="00975BDE"/>
    <w:rsid w:val="00976149"/>
    <w:rsid w:val="00976166"/>
    <w:rsid w:val="0097649C"/>
    <w:rsid w:val="009765E7"/>
    <w:rsid w:val="0097667D"/>
    <w:rsid w:val="009767AF"/>
    <w:rsid w:val="00976828"/>
    <w:rsid w:val="00976971"/>
    <w:rsid w:val="00977ED3"/>
    <w:rsid w:val="0098018A"/>
    <w:rsid w:val="009808E1"/>
    <w:rsid w:val="009811C2"/>
    <w:rsid w:val="009811DA"/>
    <w:rsid w:val="009816C7"/>
    <w:rsid w:val="0098172A"/>
    <w:rsid w:val="009819A7"/>
    <w:rsid w:val="009829AD"/>
    <w:rsid w:val="00983013"/>
    <w:rsid w:val="00983038"/>
    <w:rsid w:val="0098308C"/>
    <w:rsid w:val="00983935"/>
    <w:rsid w:val="00983C09"/>
    <w:rsid w:val="00984274"/>
    <w:rsid w:val="009849DE"/>
    <w:rsid w:val="00984FB6"/>
    <w:rsid w:val="00985179"/>
    <w:rsid w:val="0098584D"/>
    <w:rsid w:val="00985C22"/>
    <w:rsid w:val="0098619F"/>
    <w:rsid w:val="009863E0"/>
    <w:rsid w:val="009869FA"/>
    <w:rsid w:val="00987057"/>
    <w:rsid w:val="00987406"/>
    <w:rsid w:val="0098743E"/>
    <w:rsid w:val="009876C9"/>
    <w:rsid w:val="00990D48"/>
    <w:rsid w:val="00992599"/>
    <w:rsid w:val="009927E5"/>
    <w:rsid w:val="009931C4"/>
    <w:rsid w:val="009934FF"/>
    <w:rsid w:val="00993819"/>
    <w:rsid w:val="00993B8A"/>
    <w:rsid w:val="00993D27"/>
    <w:rsid w:val="0099413D"/>
    <w:rsid w:val="0099423E"/>
    <w:rsid w:val="00994324"/>
    <w:rsid w:val="00994868"/>
    <w:rsid w:val="0099526C"/>
    <w:rsid w:val="00995DE7"/>
    <w:rsid w:val="00995F56"/>
    <w:rsid w:val="00996206"/>
    <w:rsid w:val="00996319"/>
    <w:rsid w:val="009965A1"/>
    <w:rsid w:val="0099667C"/>
    <w:rsid w:val="0099683D"/>
    <w:rsid w:val="00996DD2"/>
    <w:rsid w:val="00996E05"/>
    <w:rsid w:val="00996ECC"/>
    <w:rsid w:val="0099707A"/>
    <w:rsid w:val="009970C6"/>
    <w:rsid w:val="009970F7"/>
    <w:rsid w:val="0099724B"/>
    <w:rsid w:val="009A00FD"/>
    <w:rsid w:val="009A05C8"/>
    <w:rsid w:val="009A0725"/>
    <w:rsid w:val="009A12B2"/>
    <w:rsid w:val="009A1D1D"/>
    <w:rsid w:val="009A3F60"/>
    <w:rsid w:val="009A412C"/>
    <w:rsid w:val="009A4378"/>
    <w:rsid w:val="009A52D0"/>
    <w:rsid w:val="009A556B"/>
    <w:rsid w:val="009A59D9"/>
    <w:rsid w:val="009A5E7F"/>
    <w:rsid w:val="009A6069"/>
    <w:rsid w:val="009A60A2"/>
    <w:rsid w:val="009A6414"/>
    <w:rsid w:val="009A7821"/>
    <w:rsid w:val="009A7FE4"/>
    <w:rsid w:val="009B05C6"/>
    <w:rsid w:val="009B0AC8"/>
    <w:rsid w:val="009B0EB2"/>
    <w:rsid w:val="009B10A2"/>
    <w:rsid w:val="009B1322"/>
    <w:rsid w:val="009B133A"/>
    <w:rsid w:val="009B16E3"/>
    <w:rsid w:val="009B16FA"/>
    <w:rsid w:val="009B170C"/>
    <w:rsid w:val="009B194C"/>
    <w:rsid w:val="009B1DDB"/>
    <w:rsid w:val="009B25A3"/>
    <w:rsid w:val="009B2746"/>
    <w:rsid w:val="009B2D24"/>
    <w:rsid w:val="009B2DB4"/>
    <w:rsid w:val="009B2F1A"/>
    <w:rsid w:val="009B3488"/>
    <w:rsid w:val="009B353C"/>
    <w:rsid w:val="009B3C41"/>
    <w:rsid w:val="009B4517"/>
    <w:rsid w:val="009B5300"/>
    <w:rsid w:val="009B55F6"/>
    <w:rsid w:val="009B58AF"/>
    <w:rsid w:val="009B5A12"/>
    <w:rsid w:val="009B6D39"/>
    <w:rsid w:val="009B7432"/>
    <w:rsid w:val="009B74F1"/>
    <w:rsid w:val="009B7A50"/>
    <w:rsid w:val="009B7B3E"/>
    <w:rsid w:val="009B7BF5"/>
    <w:rsid w:val="009C0C12"/>
    <w:rsid w:val="009C0CFC"/>
    <w:rsid w:val="009C1326"/>
    <w:rsid w:val="009C133F"/>
    <w:rsid w:val="009C16BF"/>
    <w:rsid w:val="009C1F4F"/>
    <w:rsid w:val="009C22D2"/>
    <w:rsid w:val="009C23A5"/>
    <w:rsid w:val="009C364D"/>
    <w:rsid w:val="009C3E06"/>
    <w:rsid w:val="009C3EF6"/>
    <w:rsid w:val="009C4068"/>
    <w:rsid w:val="009C413F"/>
    <w:rsid w:val="009C4277"/>
    <w:rsid w:val="009C4697"/>
    <w:rsid w:val="009C4B7A"/>
    <w:rsid w:val="009C6542"/>
    <w:rsid w:val="009C7B5E"/>
    <w:rsid w:val="009C7E75"/>
    <w:rsid w:val="009D0069"/>
    <w:rsid w:val="009D0343"/>
    <w:rsid w:val="009D05DC"/>
    <w:rsid w:val="009D17B9"/>
    <w:rsid w:val="009D187B"/>
    <w:rsid w:val="009D1BB4"/>
    <w:rsid w:val="009D20C1"/>
    <w:rsid w:val="009D2FC0"/>
    <w:rsid w:val="009D3109"/>
    <w:rsid w:val="009D335B"/>
    <w:rsid w:val="009D3591"/>
    <w:rsid w:val="009D3AB3"/>
    <w:rsid w:val="009D3B40"/>
    <w:rsid w:val="009D403D"/>
    <w:rsid w:val="009D4837"/>
    <w:rsid w:val="009D4E83"/>
    <w:rsid w:val="009D4EB9"/>
    <w:rsid w:val="009D5094"/>
    <w:rsid w:val="009D52A3"/>
    <w:rsid w:val="009D540B"/>
    <w:rsid w:val="009D565E"/>
    <w:rsid w:val="009D5DD0"/>
    <w:rsid w:val="009D6B76"/>
    <w:rsid w:val="009D752F"/>
    <w:rsid w:val="009D7C20"/>
    <w:rsid w:val="009D7D4C"/>
    <w:rsid w:val="009D7E9C"/>
    <w:rsid w:val="009D7FE4"/>
    <w:rsid w:val="009E0A3A"/>
    <w:rsid w:val="009E0E89"/>
    <w:rsid w:val="009E1CE6"/>
    <w:rsid w:val="009E2770"/>
    <w:rsid w:val="009E3688"/>
    <w:rsid w:val="009E371C"/>
    <w:rsid w:val="009E39A4"/>
    <w:rsid w:val="009E3C79"/>
    <w:rsid w:val="009E4022"/>
    <w:rsid w:val="009E40EB"/>
    <w:rsid w:val="009E47E4"/>
    <w:rsid w:val="009E4942"/>
    <w:rsid w:val="009E4CC7"/>
    <w:rsid w:val="009E4CD8"/>
    <w:rsid w:val="009E4D4A"/>
    <w:rsid w:val="009E4E5F"/>
    <w:rsid w:val="009E59E4"/>
    <w:rsid w:val="009E5AE6"/>
    <w:rsid w:val="009E5B6A"/>
    <w:rsid w:val="009E5C9A"/>
    <w:rsid w:val="009E64AF"/>
    <w:rsid w:val="009E64D0"/>
    <w:rsid w:val="009E6D34"/>
    <w:rsid w:val="009E6EC2"/>
    <w:rsid w:val="009E7039"/>
    <w:rsid w:val="009F08DE"/>
    <w:rsid w:val="009F0A19"/>
    <w:rsid w:val="009F20CE"/>
    <w:rsid w:val="009F2C26"/>
    <w:rsid w:val="009F308F"/>
    <w:rsid w:val="009F3164"/>
    <w:rsid w:val="009F32A7"/>
    <w:rsid w:val="009F394D"/>
    <w:rsid w:val="009F3E8A"/>
    <w:rsid w:val="009F426B"/>
    <w:rsid w:val="009F42AF"/>
    <w:rsid w:val="009F4335"/>
    <w:rsid w:val="009F4894"/>
    <w:rsid w:val="009F4992"/>
    <w:rsid w:val="009F4EC3"/>
    <w:rsid w:val="009F57D7"/>
    <w:rsid w:val="009F61F3"/>
    <w:rsid w:val="009F69DB"/>
    <w:rsid w:val="009F6A19"/>
    <w:rsid w:val="009F6CA9"/>
    <w:rsid w:val="009F7098"/>
    <w:rsid w:val="009F70E8"/>
    <w:rsid w:val="009F70FF"/>
    <w:rsid w:val="009F73D5"/>
    <w:rsid w:val="009F7460"/>
    <w:rsid w:val="009F7617"/>
    <w:rsid w:val="009F7FCF"/>
    <w:rsid w:val="00A0042C"/>
    <w:rsid w:val="00A00497"/>
    <w:rsid w:val="00A0082F"/>
    <w:rsid w:val="00A00A10"/>
    <w:rsid w:val="00A00A23"/>
    <w:rsid w:val="00A00FB0"/>
    <w:rsid w:val="00A016B7"/>
    <w:rsid w:val="00A01AD5"/>
    <w:rsid w:val="00A01BCA"/>
    <w:rsid w:val="00A02035"/>
    <w:rsid w:val="00A023C1"/>
    <w:rsid w:val="00A02FD0"/>
    <w:rsid w:val="00A0314C"/>
    <w:rsid w:val="00A036EB"/>
    <w:rsid w:val="00A03B04"/>
    <w:rsid w:val="00A041F1"/>
    <w:rsid w:val="00A04405"/>
    <w:rsid w:val="00A04D52"/>
    <w:rsid w:val="00A04DF9"/>
    <w:rsid w:val="00A05008"/>
    <w:rsid w:val="00A05807"/>
    <w:rsid w:val="00A05BDD"/>
    <w:rsid w:val="00A05BE6"/>
    <w:rsid w:val="00A05E90"/>
    <w:rsid w:val="00A064CB"/>
    <w:rsid w:val="00A069C9"/>
    <w:rsid w:val="00A06E2C"/>
    <w:rsid w:val="00A07482"/>
    <w:rsid w:val="00A07507"/>
    <w:rsid w:val="00A0763D"/>
    <w:rsid w:val="00A07658"/>
    <w:rsid w:val="00A07C62"/>
    <w:rsid w:val="00A07CFE"/>
    <w:rsid w:val="00A104ED"/>
    <w:rsid w:val="00A108F8"/>
    <w:rsid w:val="00A10D9C"/>
    <w:rsid w:val="00A1138C"/>
    <w:rsid w:val="00A11A4A"/>
    <w:rsid w:val="00A11BC3"/>
    <w:rsid w:val="00A11C21"/>
    <w:rsid w:val="00A11FE7"/>
    <w:rsid w:val="00A1208C"/>
    <w:rsid w:val="00A12832"/>
    <w:rsid w:val="00A12925"/>
    <w:rsid w:val="00A12CB6"/>
    <w:rsid w:val="00A12F97"/>
    <w:rsid w:val="00A13BB7"/>
    <w:rsid w:val="00A13D88"/>
    <w:rsid w:val="00A1411C"/>
    <w:rsid w:val="00A14270"/>
    <w:rsid w:val="00A14302"/>
    <w:rsid w:val="00A14DCC"/>
    <w:rsid w:val="00A15287"/>
    <w:rsid w:val="00A158A1"/>
    <w:rsid w:val="00A16356"/>
    <w:rsid w:val="00A16651"/>
    <w:rsid w:val="00A166FD"/>
    <w:rsid w:val="00A16ACC"/>
    <w:rsid w:val="00A17303"/>
    <w:rsid w:val="00A173C5"/>
    <w:rsid w:val="00A175A3"/>
    <w:rsid w:val="00A17EBB"/>
    <w:rsid w:val="00A201E2"/>
    <w:rsid w:val="00A20289"/>
    <w:rsid w:val="00A20D05"/>
    <w:rsid w:val="00A20D8C"/>
    <w:rsid w:val="00A2139A"/>
    <w:rsid w:val="00A21B18"/>
    <w:rsid w:val="00A22043"/>
    <w:rsid w:val="00A2209D"/>
    <w:rsid w:val="00A225E3"/>
    <w:rsid w:val="00A227A3"/>
    <w:rsid w:val="00A2291A"/>
    <w:rsid w:val="00A22AEE"/>
    <w:rsid w:val="00A22F78"/>
    <w:rsid w:val="00A231D6"/>
    <w:rsid w:val="00A23405"/>
    <w:rsid w:val="00A23688"/>
    <w:rsid w:val="00A23DE0"/>
    <w:rsid w:val="00A2406E"/>
    <w:rsid w:val="00A24186"/>
    <w:rsid w:val="00A2483A"/>
    <w:rsid w:val="00A24A18"/>
    <w:rsid w:val="00A24A99"/>
    <w:rsid w:val="00A25484"/>
    <w:rsid w:val="00A25739"/>
    <w:rsid w:val="00A25A9E"/>
    <w:rsid w:val="00A25D5D"/>
    <w:rsid w:val="00A25F41"/>
    <w:rsid w:val="00A26225"/>
    <w:rsid w:val="00A2636E"/>
    <w:rsid w:val="00A270D8"/>
    <w:rsid w:val="00A27993"/>
    <w:rsid w:val="00A27B9D"/>
    <w:rsid w:val="00A3002C"/>
    <w:rsid w:val="00A30198"/>
    <w:rsid w:val="00A3090A"/>
    <w:rsid w:val="00A31AD1"/>
    <w:rsid w:val="00A33176"/>
    <w:rsid w:val="00A335F0"/>
    <w:rsid w:val="00A33666"/>
    <w:rsid w:val="00A33929"/>
    <w:rsid w:val="00A33F88"/>
    <w:rsid w:val="00A340BB"/>
    <w:rsid w:val="00A34930"/>
    <w:rsid w:val="00A34F65"/>
    <w:rsid w:val="00A35107"/>
    <w:rsid w:val="00A355E3"/>
    <w:rsid w:val="00A35837"/>
    <w:rsid w:val="00A35BBA"/>
    <w:rsid w:val="00A35E5B"/>
    <w:rsid w:val="00A3614B"/>
    <w:rsid w:val="00A362CA"/>
    <w:rsid w:val="00A365E0"/>
    <w:rsid w:val="00A36697"/>
    <w:rsid w:val="00A373F7"/>
    <w:rsid w:val="00A3740D"/>
    <w:rsid w:val="00A37E07"/>
    <w:rsid w:val="00A40553"/>
    <w:rsid w:val="00A40F73"/>
    <w:rsid w:val="00A41211"/>
    <w:rsid w:val="00A419D3"/>
    <w:rsid w:val="00A41E6B"/>
    <w:rsid w:val="00A4211C"/>
    <w:rsid w:val="00A424CB"/>
    <w:rsid w:val="00A43304"/>
    <w:rsid w:val="00A433A1"/>
    <w:rsid w:val="00A437BA"/>
    <w:rsid w:val="00A4414F"/>
    <w:rsid w:val="00A44C5F"/>
    <w:rsid w:val="00A44FF6"/>
    <w:rsid w:val="00A45369"/>
    <w:rsid w:val="00A45A68"/>
    <w:rsid w:val="00A46600"/>
    <w:rsid w:val="00A4664D"/>
    <w:rsid w:val="00A46701"/>
    <w:rsid w:val="00A46A1E"/>
    <w:rsid w:val="00A46B64"/>
    <w:rsid w:val="00A46FFC"/>
    <w:rsid w:val="00A47856"/>
    <w:rsid w:val="00A47CE3"/>
    <w:rsid w:val="00A47D68"/>
    <w:rsid w:val="00A50016"/>
    <w:rsid w:val="00A506BE"/>
    <w:rsid w:val="00A508D4"/>
    <w:rsid w:val="00A50A90"/>
    <w:rsid w:val="00A50B77"/>
    <w:rsid w:val="00A50DD0"/>
    <w:rsid w:val="00A50F0E"/>
    <w:rsid w:val="00A515BC"/>
    <w:rsid w:val="00A515C9"/>
    <w:rsid w:val="00A519E4"/>
    <w:rsid w:val="00A51A0D"/>
    <w:rsid w:val="00A51EC3"/>
    <w:rsid w:val="00A51FCA"/>
    <w:rsid w:val="00A5223A"/>
    <w:rsid w:val="00A52D4D"/>
    <w:rsid w:val="00A52EAB"/>
    <w:rsid w:val="00A5304E"/>
    <w:rsid w:val="00A53B55"/>
    <w:rsid w:val="00A53B6B"/>
    <w:rsid w:val="00A53CBF"/>
    <w:rsid w:val="00A53D1F"/>
    <w:rsid w:val="00A54152"/>
    <w:rsid w:val="00A54259"/>
    <w:rsid w:val="00A545CF"/>
    <w:rsid w:val="00A54BEC"/>
    <w:rsid w:val="00A55084"/>
    <w:rsid w:val="00A553D1"/>
    <w:rsid w:val="00A55733"/>
    <w:rsid w:val="00A557B4"/>
    <w:rsid w:val="00A55E38"/>
    <w:rsid w:val="00A56632"/>
    <w:rsid w:val="00A56771"/>
    <w:rsid w:val="00A56A5B"/>
    <w:rsid w:val="00A56D52"/>
    <w:rsid w:val="00A56F80"/>
    <w:rsid w:val="00A570D3"/>
    <w:rsid w:val="00A5712E"/>
    <w:rsid w:val="00A57F52"/>
    <w:rsid w:val="00A605F4"/>
    <w:rsid w:val="00A607C3"/>
    <w:rsid w:val="00A60E14"/>
    <w:rsid w:val="00A60E6F"/>
    <w:rsid w:val="00A60E7A"/>
    <w:rsid w:val="00A610FC"/>
    <w:rsid w:val="00A61E4D"/>
    <w:rsid w:val="00A62160"/>
    <w:rsid w:val="00A628DD"/>
    <w:rsid w:val="00A62D6D"/>
    <w:rsid w:val="00A63596"/>
    <w:rsid w:val="00A63A7D"/>
    <w:rsid w:val="00A63EB5"/>
    <w:rsid w:val="00A64328"/>
    <w:rsid w:val="00A650E9"/>
    <w:rsid w:val="00A65841"/>
    <w:rsid w:val="00A65BEF"/>
    <w:rsid w:val="00A65F07"/>
    <w:rsid w:val="00A665D6"/>
    <w:rsid w:val="00A66CF6"/>
    <w:rsid w:val="00A66EC7"/>
    <w:rsid w:val="00A67830"/>
    <w:rsid w:val="00A67AA0"/>
    <w:rsid w:val="00A67C58"/>
    <w:rsid w:val="00A67ED1"/>
    <w:rsid w:val="00A70B22"/>
    <w:rsid w:val="00A70CD5"/>
    <w:rsid w:val="00A70E36"/>
    <w:rsid w:val="00A71394"/>
    <w:rsid w:val="00A7183A"/>
    <w:rsid w:val="00A71B15"/>
    <w:rsid w:val="00A720A7"/>
    <w:rsid w:val="00A72572"/>
    <w:rsid w:val="00A72A22"/>
    <w:rsid w:val="00A739A7"/>
    <w:rsid w:val="00A73AC0"/>
    <w:rsid w:val="00A74429"/>
    <w:rsid w:val="00A74654"/>
    <w:rsid w:val="00A74B94"/>
    <w:rsid w:val="00A75A6C"/>
    <w:rsid w:val="00A75CD6"/>
    <w:rsid w:val="00A76456"/>
    <w:rsid w:val="00A77D4B"/>
    <w:rsid w:val="00A77E4D"/>
    <w:rsid w:val="00A80164"/>
    <w:rsid w:val="00A80191"/>
    <w:rsid w:val="00A80846"/>
    <w:rsid w:val="00A809EF"/>
    <w:rsid w:val="00A81504"/>
    <w:rsid w:val="00A816A6"/>
    <w:rsid w:val="00A81F81"/>
    <w:rsid w:val="00A82067"/>
    <w:rsid w:val="00A8287C"/>
    <w:rsid w:val="00A849FD"/>
    <w:rsid w:val="00A851C8"/>
    <w:rsid w:val="00A8547C"/>
    <w:rsid w:val="00A85C2F"/>
    <w:rsid w:val="00A862CF"/>
    <w:rsid w:val="00A86405"/>
    <w:rsid w:val="00A865C1"/>
    <w:rsid w:val="00A868CF"/>
    <w:rsid w:val="00A870CD"/>
    <w:rsid w:val="00A87220"/>
    <w:rsid w:val="00A87BB6"/>
    <w:rsid w:val="00A87E39"/>
    <w:rsid w:val="00A90218"/>
    <w:rsid w:val="00A9025F"/>
    <w:rsid w:val="00A90269"/>
    <w:rsid w:val="00A9034D"/>
    <w:rsid w:val="00A90373"/>
    <w:rsid w:val="00A90597"/>
    <w:rsid w:val="00A9098E"/>
    <w:rsid w:val="00A918C5"/>
    <w:rsid w:val="00A91EFC"/>
    <w:rsid w:val="00A92157"/>
    <w:rsid w:val="00A92658"/>
    <w:rsid w:val="00A9290F"/>
    <w:rsid w:val="00A92944"/>
    <w:rsid w:val="00A92DDD"/>
    <w:rsid w:val="00A9302F"/>
    <w:rsid w:val="00A9340B"/>
    <w:rsid w:val="00A938CA"/>
    <w:rsid w:val="00A93C51"/>
    <w:rsid w:val="00A93D39"/>
    <w:rsid w:val="00A94122"/>
    <w:rsid w:val="00A9594A"/>
    <w:rsid w:val="00A95D98"/>
    <w:rsid w:val="00A96225"/>
    <w:rsid w:val="00A9648F"/>
    <w:rsid w:val="00A96B55"/>
    <w:rsid w:val="00A96DF2"/>
    <w:rsid w:val="00A97446"/>
    <w:rsid w:val="00A9772C"/>
    <w:rsid w:val="00A979C2"/>
    <w:rsid w:val="00A97AEC"/>
    <w:rsid w:val="00AA0289"/>
    <w:rsid w:val="00AA0AF1"/>
    <w:rsid w:val="00AA170D"/>
    <w:rsid w:val="00AA1A86"/>
    <w:rsid w:val="00AA1F30"/>
    <w:rsid w:val="00AA2AC1"/>
    <w:rsid w:val="00AA2C0E"/>
    <w:rsid w:val="00AA3AF6"/>
    <w:rsid w:val="00AA4168"/>
    <w:rsid w:val="00AA48D1"/>
    <w:rsid w:val="00AA543F"/>
    <w:rsid w:val="00AA5727"/>
    <w:rsid w:val="00AA577D"/>
    <w:rsid w:val="00AA5823"/>
    <w:rsid w:val="00AA628A"/>
    <w:rsid w:val="00AA68F1"/>
    <w:rsid w:val="00AA68F6"/>
    <w:rsid w:val="00AA7013"/>
    <w:rsid w:val="00AA7218"/>
    <w:rsid w:val="00AA72BA"/>
    <w:rsid w:val="00AB0852"/>
    <w:rsid w:val="00AB08C3"/>
    <w:rsid w:val="00AB08DA"/>
    <w:rsid w:val="00AB0F53"/>
    <w:rsid w:val="00AB1293"/>
    <w:rsid w:val="00AB12DB"/>
    <w:rsid w:val="00AB1332"/>
    <w:rsid w:val="00AB1728"/>
    <w:rsid w:val="00AB1884"/>
    <w:rsid w:val="00AB1B33"/>
    <w:rsid w:val="00AB1D57"/>
    <w:rsid w:val="00AB2275"/>
    <w:rsid w:val="00AB238B"/>
    <w:rsid w:val="00AB2984"/>
    <w:rsid w:val="00AB2C08"/>
    <w:rsid w:val="00AB2DCA"/>
    <w:rsid w:val="00AB30C0"/>
    <w:rsid w:val="00AB3514"/>
    <w:rsid w:val="00AB37F0"/>
    <w:rsid w:val="00AB45E1"/>
    <w:rsid w:val="00AB4AC1"/>
    <w:rsid w:val="00AB503E"/>
    <w:rsid w:val="00AB58E8"/>
    <w:rsid w:val="00AB6928"/>
    <w:rsid w:val="00AB6D9D"/>
    <w:rsid w:val="00AB7025"/>
    <w:rsid w:val="00AB732A"/>
    <w:rsid w:val="00AB78B5"/>
    <w:rsid w:val="00AB7F93"/>
    <w:rsid w:val="00AC0610"/>
    <w:rsid w:val="00AC07B2"/>
    <w:rsid w:val="00AC16E0"/>
    <w:rsid w:val="00AC183E"/>
    <w:rsid w:val="00AC1A36"/>
    <w:rsid w:val="00AC212C"/>
    <w:rsid w:val="00AC27AA"/>
    <w:rsid w:val="00AC2A87"/>
    <w:rsid w:val="00AC2D26"/>
    <w:rsid w:val="00AC2D40"/>
    <w:rsid w:val="00AC3350"/>
    <w:rsid w:val="00AC3528"/>
    <w:rsid w:val="00AC434E"/>
    <w:rsid w:val="00AC4FDD"/>
    <w:rsid w:val="00AC593A"/>
    <w:rsid w:val="00AC683E"/>
    <w:rsid w:val="00AC6A49"/>
    <w:rsid w:val="00AC7034"/>
    <w:rsid w:val="00AC79CC"/>
    <w:rsid w:val="00AC79F2"/>
    <w:rsid w:val="00AC7BCD"/>
    <w:rsid w:val="00AC7CD9"/>
    <w:rsid w:val="00AD0404"/>
    <w:rsid w:val="00AD0577"/>
    <w:rsid w:val="00AD0DB2"/>
    <w:rsid w:val="00AD1C7A"/>
    <w:rsid w:val="00AD20AD"/>
    <w:rsid w:val="00AD217A"/>
    <w:rsid w:val="00AD21E9"/>
    <w:rsid w:val="00AD25E8"/>
    <w:rsid w:val="00AD2D0A"/>
    <w:rsid w:val="00AD2D61"/>
    <w:rsid w:val="00AD30DF"/>
    <w:rsid w:val="00AD3179"/>
    <w:rsid w:val="00AD3D64"/>
    <w:rsid w:val="00AD3FD9"/>
    <w:rsid w:val="00AD428C"/>
    <w:rsid w:val="00AD4F83"/>
    <w:rsid w:val="00AD5301"/>
    <w:rsid w:val="00AD5F5C"/>
    <w:rsid w:val="00AD5FA8"/>
    <w:rsid w:val="00AD6564"/>
    <w:rsid w:val="00AD6E70"/>
    <w:rsid w:val="00AD708D"/>
    <w:rsid w:val="00AD774D"/>
    <w:rsid w:val="00AD7F27"/>
    <w:rsid w:val="00AE0D80"/>
    <w:rsid w:val="00AE176D"/>
    <w:rsid w:val="00AE19E3"/>
    <w:rsid w:val="00AE20A4"/>
    <w:rsid w:val="00AE2BA0"/>
    <w:rsid w:val="00AE2BC7"/>
    <w:rsid w:val="00AE2D67"/>
    <w:rsid w:val="00AE2ED2"/>
    <w:rsid w:val="00AE3427"/>
    <w:rsid w:val="00AE3856"/>
    <w:rsid w:val="00AE38C4"/>
    <w:rsid w:val="00AE3A61"/>
    <w:rsid w:val="00AE3EFD"/>
    <w:rsid w:val="00AE48F0"/>
    <w:rsid w:val="00AE4A3C"/>
    <w:rsid w:val="00AE55E9"/>
    <w:rsid w:val="00AE6A5A"/>
    <w:rsid w:val="00AE6D08"/>
    <w:rsid w:val="00AE6F36"/>
    <w:rsid w:val="00AE70FD"/>
    <w:rsid w:val="00AE7267"/>
    <w:rsid w:val="00AE759C"/>
    <w:rsid w:val="00AE7971"/>
    <w:rsid w:val="00AF06B9"/>
    <w:rsid w:val="00AF0891"/>
    <w:rsid w:val="00AF0A9B"/>
    <w:rsid w:val="00AF0BDD"/>
    <w:rsid w:val="00AF0E14"/>
    <w:rsid w:val="00AF1448"/>
    <w:rsid w:val="00AF14F4"/>
    <w:rsid w:val="00AF1AB1"/>
    <w:rsid w:val="00AF1F48"/>
    <w:rsid w:val="00AF2069"/>
    <w:rsid w:val="00AF292A"/>
    <w:rsid w:val="00AF3108"/>
    <w:rsid w:val="00AF36EB"/>
    <w:rsid w:val="00AF3971"/>
    <w:rsid w:val="00AF45F9"/>
    <w:rsid w:val="00AF4740"/>
    <w:rsid w:val="00AF47E9"/>
    <w:rsid w:val="00AF5DF4"/>
    <w:rsid w:val="00AF61A5"/>
    <w:rsid w:val="00AF671C"/>
    <w:rsid w:val="00AF6B80"/>
    <w:rsid w:val="00AF730B"/>
    <w:rsid w:val="00AF7400"/>
    <w:rsid w:val="00AF7F1C"/>
    <w:rsid w:val="00B00708"/>
    <w:rsid w:val="00B011FB"/>
    <w:rsid w:val="00B0137B"/>
    <w:rsid w:val="00B0169D"/>
    <w:rsid w:val="00B017F6"/>
    <w:rsid w:val="00B0188A"/>
    <w:rsid w:val="00B01D00"/>
    <w:rsid w:val="00B02A02"/>
    <w:rsid w:val="00B03079"/>
    <w:rsid w:val="00B03104"/>
    <w:rsid w:val="00B031D8"/>
    <w:rsid w:val="00B03324"/>
    <w:rsid w:val="00B03A1F"/>
    <w:rsid w:val="00B04267"/>
    <w:rsid w:val="00B044A4"/>
    <w:rsid w:val="00B048BF"/>
    <w:rsid w:val="00B04CB7"/>
    <w:rsid w:val="00B05E1E"/>
    <w:rsid w:val="00B06091"/>
    <w:rsid w:val="00B10A42"/>
    <w:rsid w:val="00B11275"/>
    <w:rsid w:val="00B116CB"/>
    <w:rsid w:val="00B121D4"/>
    <w:rsid w:val="00B12C86"/>
    <w:rsid w:val="00B12D29"/>
    <w:rsid w:val="00B13CE8"/>
    <w:rsid w:val="00B13DA1"/>
    <w:rsid w:val="00B13EFB"/>
    <w:rsid w:val="00B1464A"/>
    <w:rsid w:val="00B14E3F"/>
    <w:rsid w:val="00B15A4F"/>
    <w:rsid w:val="00B15B5D"/>
    <w:rsid w:val="00B15DC2"/>
    <w:rsid w:val="00B16525"/>
    <w:rsid w:val="00B1687B"/>
    <w:rsid w:val="00B17087"/>
    <w:rsid w:val="00B1774D"/>
    <w:rsid w:val="00B20CDE"/>
    <w:rsid w:val="00B21783"/>
    <w:rsid w:val="00B218E1"/>
    <w:rsid w:val="00B21A8D"/>
    <w:rsid w:val="00B21A91"/>
    <w:rsid w:val="00B21C5C"/>
    <w:rsid w:val="00B22E28"/>
    <w:rsid w:val="00B22EBD"/>
    <w:rsid w:val="00B23145"/>
    <w:rsid w:val="00B23147"/>
    <w:rsid w:val="00B242E8"/>
    <w:rsid w:val="00B252B9"/>
    <w:rsid w:val="00B25588"/>
    <w:rsid w:val="00B258DE"/>
    <w:rsid w:val="00B25A7F"/>
    <w:rsid w:val="00B261EE"/>
    <w:rsid w:val="00B2644B"/>
    <w:rsid w:val="00B27095"/>
    <w:rsid w:val="00B2733D"/>
    <w:rsid w:val="00B274F8"/>
    <w:rsid w:val="00B27670"/>
    <w:rsid w:val="00B278F8"/>
    <w:rsid w:val="00B3179D"/>
    <w:rsid w:val="00B319CD"/>
    <w:rsid w:val="00B31AF9"/>
    <w:rsid w:val="00B31D9B"/>
    <w:rsid w:val="00B3214F"/>
    <w:rsid w:val="00B32BA6"/>
    <w:rsid w:val="00B32CB9"/>
    <w:rsid w:val="00B32F8D"/>
    <w:rsid w:val="00B33526"/>
    <w:rsid w:val="00B33902"/>
    <w:rsid w:val="00B33BAC"/>
    <w:rsid w:val="00B33E82"/>
    <w:rsid w:val="00B34C10"/>
    <w:rsid w:val="00B34C4B"/>
    <w:rsid w:val="00B35FF9"/>
    <w:rsid w:val="00B360EA"/>
    <w:rsid w:val="00B367C6"/>
    <w:rsid w:val="00B368B4"/>
    <w:rsid w:val="00B36E23"/>
    <w:rsid w:val="00B37487"/>
    <w:rsid w:val="00B37CC4"/>
    <w:rsid w:val="00B37D69"/>
    <w:rsid w:val="00B40486"/>
    <w:rsid w:val="00B406CC"/>
    <w:rsid w:val="00B406FE"/>
    <w:rsid w:val="00B406FF"/>
    <w:rsid w:val="00B40D5A"/>
    <w:rsid w:val="00B41356"/>
    <w:rsid w:val="00B414E2"/>
    <w:rsid w:val="00B41AD9"/>
    <w:rsid w:val="00B4254C"/>
    <w:rsid w:val="00B42D16"/>
    <w:rsid w:val="00B42D81"/>
    <w:rsid w:val="00B4303F"/>
    <w:rsid w:val="00B43443"/>
    <w:rsid w:val="00B43BC5"/>
    <w:rsid w:val="00B43C79"/>
    <w:rsid w:val="00B43D41"/>
    <w:rsid w:val="00B440C5"/>
    <w:rsid w:val="00B45391"/>
    <w:rsid w:val="00B455C7"/>
    <w:rsid w:val="00B45A99"/>
    <w:rsid w:val="00B46198"/>
    <w:rsid w:val="00B462B4"/>
    <w:rsid w:val="00B46685"/>
    <w:rsid w:val="00B46BAB"/>
    <w:rsid w:val="00B46E8A"/>
    <w:rsid w:val="00B47149"/>
    <w:rsid w:val="00B471C5"/>
    <w:rsid w:val="00B474D0"/>
    <w:rsid w:val="00B47616"/>
    <w:rsid w:val="00B50022"/>
    <w:rsid w:val="00B50422"/>
    <w:rsid w:val="00B50F67"/>
    <w:rsid w:val="00B5114B"/>
    <w:rsid w:val="00B511EC"/>
    <w:rsid w:val="00B51A45"/>
    <w:rsid w:val="00B51AA0"/>
    <w:rsid w:val="00B5283F"/>
    <w:rsid w:val="00B52B61"/>
    <w:rsid w:val="00B52BBA"/>
    <w:rsid w:val="00B53B82"/>
    <w:rsid w:val="00B53EFE"/>
    <w:rsid w:val="00B540C1"/>
    <w:rsid w:val="00B540D3"/>
    <w:rsid w:val="00B548A7"/>
    <w:rsid w:val="00B54B5C"/>
    <w:rsid w:val="00B55230"/>
    <w:rsid w:val="00B556DA"/>
    <w:rsid w:val="00B55F36"/>
    <w:rsid w:val="00B5696B"/>
    <w:rsid w:val="00B5746E"/>
    <w:rsid w:val="00B575B3"/>
    <w:rsid w:val="00B576A4"/>
    <w:rsid w:val="00B576F2"/>
    <w:rsid w:val="00B5779A"/>
    <w:rsid w:val="00B57944"/>
    <w:rsid w:val="00B57C61"/>
    <w:rsid w:val="00B57C72"/>
    <w:rsid w:val="00B60846"/>
    <w:rsid w:val="00B60FA4"/>
    <w:rsid w:val="00B61198"/>
    <w:rsid w:val="00B61340"/>
    <w:rsid w:val="00B613EC"/>
    <w:rsid w:val="00B61DD1"/>
    <w:rsid w:val="00B61E3D"/>
    <w:rsid w:val="00B61F8F"/>
    <w:rsid w:val="00B62B27"/>
    <w:rsid w:val="00B62FCD"/>
    <w:rsid w:val="00B63326"/>
    <w:rsid w:val="00B6372E"/>
    <w:rsid w:val="00B6373D"/>
    <w:rsid w:val="00B642CA"/>
    <w:rsid w:val="00B65700"/>
    <w:rsid w:val="00B667BD"/>
    <w:rsid w:val="00B6691B"/>
    <w:rsid w:val="00B66EC9"/>
    <w:rsid w:val="00B67072"/>
    <w:rsid w:val="00B67E6E"/>
    <w:rsid w:val="00B67FC5"/>
    <w:rsid w:val="00B702B6"/>
    <w:rsid w:val="00B705ED"/>
    <w:rsid w:val="00B70A49"/>
    <w:rsid w:val="00B70BAB"/>
    <w:rsid w:val="00B716AC"/>
    <w:rsid w:val="00B71772"/>
    <w:rsid w:val="00B719FF"/>
    <w:rsid w:val="00B71C3B"/>
    <w:rsid w:val="00B71FE6"/>
    <w:rsid w:val="00B72179"/>
    <w:rsid w:val="00B723CE"/>
    <w:rsid w:val="00B726CD"/>
    <w:rsid w:val="00B730EF"/>
    <w:rsid w:val="00B74BA5"/>
    <w:rsid w:val="00B74F89"/>
    <w:rsid w:val="00B751B1"/>
    <w:rsid w:val="00B75874"/>
    <w:rsid w:val="00B75B2E"/>
    <w:rsid w:val="00B75E26"/>
    <w:rsid w:val="00B75E6C"/>
    <w:rsid w:val="00B7633A"/>
    <w:rsid w:val="00B765FB"/>
    <w:rsid w:val="00B7713F"/>
    <w:rsid w:val="00B7718D"/>
    <w:rsid w:val="00B77191"/>
    <w:rsid w:val="00B7726B"/>
    <w:rsid w:val="00B7748A"/>
    <w:rsid w:val="00B7777A"/>
    <w:rsid w:val="00B77D4C"/>
    <w:rsid w:val="00B77D50"/>
    <w:rsid w:val="00B8003D"/>
    <w:rsid w:val="00B806D4"/>
    <w:rsid w:val="00B80834"/>
    <w:rsid w:val="00B80A6D"/>
    <w:rsid w:val="00B80E77"/>
    <w:rsid w:val="00B811DE"/>
    <w:rsid w:val="00B81624"/>
    <w:rsid w:val="00B81841"/>
    <w:rsid w:val="00B81BCA"/>
    <w:rsid w:val="00B81FFB"/>
    <w:rsid w:val="00B8297E"/>
    <w:rsid w:val="00B82B8E"/>
    <w:rsid w:val="00B82BDB"/>
    <w:rsid w:val="00B82CE9"/>
    <w:rsid w:val="00B82FF1"/>
    <w:rsid w:val="00B83AE9"/>
    <w:rsid w:val="00B83DD3"/>
    <w:rsid w:val="00B8418B"/>
    <w:rsid w:val="00B84B3C"/>
    <w:rsid w:val="00B85167"/>
    <w:rsid w:val="00B85B2C"/>
    <w:rsid w:val="00B85BB9"/>
    <w:rsid w:val="00B85C89"/>
    <w:rsid w:val="00B863A5"/>
    <w:rsid w:val="00B865F8"/>
    <w:rsid w:val="00B86FB8"/>
    <w:rsid w:val="00B87000"/>
    <w:rsid w:val="00B8743D"/>
    <w:rsid w:val="00B8760C"/>
    <w:rsid w:val="00B87EFE"/>
    <w:rsid w:val="00B87FB4"/>
    <w:rsid w:val="00B900C8"/>
    <w:rsid w:val="00B90FBA"/>
    <w:rsid w:val="00B9136B"/>
    <w:rsid w:val="00B91718"/>
    <w:rsid w:val="00B91DBE"/>
    <w:rsid w:val="00B91EA6"/>
    <w:rsid w:val="00B924AF"/>
    <w:rsid w:val="00B92700"/>
    <w:rsid w:val="00B92D68"/>
    <w:rsid w:val="00B933A9"/>
    <w:rsid w:val="00B93B43"/>
    <w:rsid w:val="00B93BF5"/>
    <w:rsid w:val="00B93FD3"/>
    <w:rsid w:val="00B94086"/>
    <w:rsid w:val="00B9453B"/>
    <w:rsid w:val="00B94895"/>
    <w:rsid w:val="00B94A74"/>
    <w:rsid w:val="00B94ABD"/>
    <w:rsid w:val="00B950EC"/>
    <w:rsid w:val="00B95421"/>
    <w:rsid w:val="00B95557"/>
    <w:rsid w:val="00B95633"/>
    <w:rsid w:val="00B95BB3"/>
    <w:rsid w:val="00B96950"/>
    <w:rsid w:val="00B97394"/>
    <w:rsid w:val="00B97CBB"/>
    <w:rsid w:val="00BA1B53"/>
    <w:rsid w:val="00BA1F16"/>
    <w:rsid w:val="00BA202B"/>
    <w:rsid w:val="00BA25B7"/>
    <w:rsid w:val="00BA2DC3"/>
    <w:rsid w:val="00BA2E05"/>
    <w:rsid w:val="00BA2FC1"/>
    <w:rsid w:val="00BA3523"/>
    <w:rsid w:val="00BA3A2D"/>
    <w:rsid w:val="00BA3FA0"/>
    <w:rsid w:val="00BA4092"/>
    <w:rsid w:val="00BA4938"/>
    <w:rsid w:val="00BA4B1A"/>
    <w:rsid w:val="00BA4C16"/>
    <w:rsid w:val="00BA5309"/>
    <w:rsid w:val="00BA5833"/>
    <w:rsid w:val="00BA5A3B"/>
    <w:rsid w:val="00BA5F5A"/>
    <w:rsid w:val="00BA6B1F"/>
    <w:rsid w:val="00BA705C"/>
    <w:rsid w:val="00BA739B"/>
    <w:rsid w:val="00BA7A1D"/>
    <w:rsid w:val="00BB02D7"/>
    <w:rsid w:val="00BB02FC"/>
    <w:rsid w:val="00BB084D"/>
    <w:rsid w:val="00BB0B80"/>
    <w:rsid w:val="00BB11D6"/>
    <w:rsid w:val="00BB130F"/>
    <w:rsid w:val="00BB264D"/>
    <w:rsid w:val="00BB2A53"/>
    <w:rsid w:val="00BB2D07"/>
    <w:rsid w:val="00BB2F50"/>
    <w:rsid w:val="00BB3045"/>
    <w:rsid w:val="00BB30DB"/>
    <w:rsid w:val="00BB35D6"/>
    <w:rsid w:val="00BB38C1"/>
    <w:rsid w:val="00BB4248"/>
    <w:rsid w:val="00BB42A7"/>
    <w:rsid w:val="00BB4391"/>
    <w:rsid w:val="00BB43AE"/>
    <w:rsid w:val="00BB4F96"/>
    <w:rsid w:val="00BB5210"/>
    <w:rsid w:val="00BB52E0"/>
    <w:rsid w:val="00BB5A14"/>
    <w:rsid w:val="00BB5F12"/>
    <w:rsid w:val="00BB5F58"/>
    <w:rsid w:val="00BB6781"/>
    <w:rsid w:val="00BB6D01"/>
    <w:rsid w:val="00BB6E4B"/>
    <w:rsid w:val="00BB7190"/>
    <w:rsid w:val="00BB7D68"/>
    <w:rsid w:val="00BB7E78"/>
    <w:rsid w:val="00BC0126"/>
    <w:rsid w:val="00BC0210"/>
    <w:rsid w:val="00BC0E4B"/>
    <w:rsid w:val="00BC0F51"/>
    <w:rsid w:val="00BC1343"/>
    <w:rsid w:val="00BC1663"/>
    <w:rsid w:val="00BC1C37"/>
    <w:rsid w:val="00BC250E"/>
    <w:rsid w:val="00BC2D5A"/>
    <w:rsid w:val="00BC2E5C"/>
    <w:rsid w:val="00BC30D3"/>
    <w:rsid w:val="00BC3408"/>
    <w:rsid w:val="00BC3621"/>
    <w:rsid w:val="00BC3B52"/>
    <w:rsid w:val="00BC3D3A"/>
    <w:rsid w:val="00BC3E21"/>
    <w:rsid w:val="00BC3EB9"/>
    <w:rsid w:val="00BC41AA"/>
    <w:rsid w:val="00BC4A97"/>
    <w:rsid w:val="00BC4F33"/>
    <w:rsid w:val="00BC53DA"/>
    <w:rsid w:val="00BC58DA"/>
    <w:rsid w:val="00BC6E8F"/>
    <w:rsid w:val="00BC70E8"/>
    <w:rsid w:val="00BC7673"/>
    <w:rsid w:val="00BC7CB6"/>
    <w:rsid w:val="00BD0758"/>
    <w:rsid w:val="00BD08AE"/>
    <w:rsid w:val="00BD0FCF"/>
    <w:rsid w:val="00BD11E6"/>
    <w:rsid w:val="00BD1480"/>
    <w:rsid w:val="00BD1AD4"/>
    <w:rsid w:val="00BD2091"/>
    <w:rsid w:val="00BD2885"/>
    <w:rsid w:val="00BD2A57"/>
    <w:rsid w:val="00BD2B81"/>
    <w:rsid w:val="00BD2E8D"/>
    <w:rsid w:val="00BD36EC"/>
    <w:rsid w:val="00BD37F9"/>
    <w:rsid w:val="00BD41D7"/>
    <w:rsid w:val="00BD4A6E"/>
    <w:rsid w:val="00BD4FE1"/>
    <w:rsid w:val="00BD50F6"/>
    <w:rsid w:val="00BD5132"/>
    <w:rsid w:val="00BD5152"/>
    <w:rsid w:val="00BD593D"/>
    <w:rsid w:val="00BD5C92"/>
    <w:rsid w:val="00BD60C3"/>
    <w:rsid w:val="00BD6F2E"/>
    <w:rsid w:val="00BD6FB4"/>
    <w:rsid w:val="00BD7835"/>
    <w:rsid w:val="00BD7C16"/>
    <w:rsid w:val="00BD7C96"/>
    <w:rsid w:val="00BE0E35"/>
    <w:rsid w:val="00BE1B2A"/>
    <w:rsid w:val="00BE1FBD"/>
    <w:rsid w:val="00BE27A9"/>
    <w:rsid w:val="00BE29F2"/>
    <w:rsid w:val="00BE3819"/>
    <w:rsid w:val="00BE4442"/>
    <w:rsid w:val="00BE4C30"/>
    <w:rsid w:val="00BE4E5C"/>
    <w:rsid w:val="00BE5333"/>
    <w:rsid w:val="00BE533D"/>
    <w:rsid w:val="00BE5495"/>
    <w:rsid w:val="00BE5F93"/>
    <w:rsid w:val="00BE60B7"/>
    <w:rsid w:val="00BE6394"/>
    <w:rsid w:val="00BE6553"/>
    <w:rsid w:val="00BE669C"/>
    <w:rsid w:val="00BE6CCC"/>
    <w:rsid w:val="00BE7FF7"/>
    <w:rsid w:val="00BF0180"/>
    <w:rsid w:val="00BF01E2"/>
    <w:rsid w:val="00BF04C4"/>
    <w:rsid w:val="00BF08CC"/>
    <w:rsid w:val="00BF0936"/>
    <w:rsid w:val="00BF0966"/>
    <w:rsid w:val="00BF0E1B"/>
    <w:rsid w:val="00BF1147"/>
    <w:rsid w:val="00BF2222"/>
    <w:rsid w:val="00BF2456"/>
    <w:rsid w:val="00BF2BD6"/>
    <w:rsid w:val="00BF34F4"/>
    <w:rsid w:val="00BF3F81"/>
    <w:rsid w:val="00BF40BD"/>
    <w:rsid w:val="00BF438D"/>
    <w:rsid w:val="00BF460B"/>
    <w:rsid w:val="00BF4D31"/>
    <w:rsid w:val="00BF4E06"/>
    <w:rsid w:val="00BF5C62"/>
    <w:rsid w:val="00BF7001"/>
    <w:rsid w:val="00BF780C"/>
    <w:rsid w:val="00BF7B47"/>
    <w:rsid w:val="00C00937"/>
    <w:rsid w:val="00C0117A"/>
    <w:rsid w:val="00C01712"/>
    <w:rsid w:val="00C01FA2"/>
    <w:rsid w:val="00C023FE"/>
    <w:rsid w:val="00C03C51"/>
    <w:rsid w:val="00C03D6D"/>
    <w:rsid w:val="00C0411D"/>
    <w:rsid w:val="00C04DF3"/>
    <w:rsid w:val="00C055D1"/>
    <w:rsid w:val="00C0566B"/>
    <w:rsid w:val="00C06E2A"/>
    <w:rsid w:val="00C075E0"/>
    <w:rsid w:val="00C0775F"/>
    <w:rsid w:val="00C07DE2"/>
    <w:rsid w:val="00C10F2C"/>
    <w:rsid w:val="00C11029"/>
    <w:rsid w:val="00C115FB"/>
    <w:rsid w:val="00C11716"/>
    <w:rsid w:val="00C1173D"/>
    <w:rsid w:val="00C11A70"/>
    <w:rsid w:val="00C121CD"/>
    <w:rsid w:val="00C12906"/>
    <w:rsid w:val="00C12DA3"/>
    <w:rsid w:val="00C1361C"/>
    <w:rsid w:val="00C13E18"/>
    <w:rsid w:val="00C145E2"/>
    <w:rsid w:val="00C14889"/>
    <w:rsid w:val="00C14A86"/>
    <w:rsid w:val="00C14B07"/>
    <w:rsid w:val="00C14E91"/>
    <w:rsid w:val="00C1625C"/>
    <w:rsid w:val="00C16731"/>
    <w:rsid w:val="00C16E13"/>
    <w:rsid w:val="00C17265"/>
    <w:rsid w:val="00C17639"/>
    <w:rsid w:val="00C178B5"/>
    <w:rsid w:val="00C1793B"/>
    <w:rsid w:val="00C17A5B"/>
    <w:rsid w:val="00C17DF8"/>
    <w:rsid w:val="00C20010"/>
    <w:rsid w:val="00C200D1"/>
    <w:rsid w:val="00C20842"/>
    <w:rsid w:val="00C208DE"/>
    <w:rsid w:val="00C2147D"/>
    <w:rsid w:val="00C224D4"/>
    <w:rsid w:val="00C22C99"/>
    <w:rsid w:val="00C2319A"/>
    <w:rsid w:val="00C23477"/>
    <w:rsid w:val="00C236CD"/>
    <w:rsid w:val="00C23BD2"/>
    <w:rsid w:val="00C23E2B"/>
    <w:rsid w:val="00C24314"/>
    <w:rsid w:val="00C24431"/>
    <w:rsid w:val="00C2447C"/>
    <w:rsid w:val="00C24894"/>
    <w:rsid w:val="00C24C2C"/>
    <w:rsid w:val="00C25547"/>
    <w:rsid w:val="00C255F9"/>
    <w:rsid w:val="00C264F1"/>
    <w:rsid w:val="00C2672A"/>
    <w:rsid w:val="00C26D27"/>
    <w:rsid w:val="00C26FFE"/>
    <w:rsid w:val="00C2706E"/>
    <w:rsid w:val="00C273DE"/>
    <w:rsid w:val="00C303AB"/>
    <w:rsid w:val="00C30660"/>
    <w:rsid w:val="00C30EBC"/>
    <w:rsid w:val="00C31A15"/>
    <w:rsid w:val="00C320D1"/>
    <w:rsid w:val="00C32D8C"/>
    <w:rsid w:val="00C33090"/>
    <w:rsid w:val="00C330A4"/>
    <w:rsid w:val="00C331F2"/>
    <w:rsid w:val="00C33416"/>
    <w:rsid w:val="00C335B1"/>
    <w:rsid w:val="00C33B1B"/>
    <w:rsid w:val="00C33E11"/>
    <w:rsid w:val="00C34366"/>
    <w:rsid w:val="00C343E7"/>
    <w:rsid w:val="00C34963"/>
    <w:rsid w:val="00C34AAF"/>
    <w:rsid w:val="00C3506D"/>
    <w:rsid w:val="00C350B4"/>
    <w:rsid w:val="00C35247"/>
    <w:rsid w:val="00C35743"/>
    <w:rsid w:val="00C35789"/>
    <w:rsid w:val="00C35EFA"/>
    <w:rsid w:val="00C36381"/>
    <w:rsid w:val="00C3662A"/>
    <w:rsid w:val="00C3665D"/>
    <w:rsid w:val="00C369FC"/>
    <w:rsid w:val="00C36BAA"/>
    <w:rsid w:val="00C3769E"/>
    <w:rsid w:val="00C37B1B"/>
    <w:rsid w:val="00C37F9B"/>
    <w:rsid w:val="00C40660"/>
    <w:rsid w:val="00C4073A"/>
    <w:rsid w:val="00C407A7"/>
    <w:rsid w:val="00C408EB"/>
    <w:rsid w:val="00C409E7"/>
    <w:rsid w:val="00C4116E"/>
    <w:rsid w:val="00C413D2"/>
    <w:rsid w:val="00C4280B"/>
    <w:rsid w:val="00C42D4B"/>
    <w:rsid w:val="00C43C9B"/>
    <w:rsid w:val="00C44423"/>
    <w:rsid w:val="00C45189"/>
    <w:rsid w:val="00C4536E"/>
    <w:rsid w:val="00C457C6"/>
    <w:rsid w:val="00C45C6E"/>
    <w:rsid w:val="00C45F4C"/>
    <w:rsid w:val="00C45F69"/>
    <w:rsid w:val="00C46449"/>
    <w:rsid w:val="00C473AC"/>
    <w:rsid w:val="00C47694"/>
    <w:rsid w:val="00C47A73"/>
    <w:rsid w:val="00C47AD7"/>
    <w:rsid w:val="00C47C18"/>
    <w:rsid w:val="00C502AF"/>
    <w:rsid w:val="00C5162B"/>
    <w:rsid w:val="00C52636"/>
    <w:rsid w:val="00C526DC"/>
    <w:rsid w:val="00C52BE4"/>
    <w:rsid w:val="00C53375"/>
    <w:rsid w:val="00C537EB"/>
    <w:rsid w:val="00C541C2"/>
    <w:rsid w:val="00C54307"/>
    <w:rsid w:val="00C54C1F"/>
    <w:rsid w:val="00C551D3"/>
    <w:rsid w:val="00C5573F"/>
    <w:rsid w:val="00C55B59"/>
    <w:rsid w:val="00C5712E"/>
    <w:rsid w:val="00C57552"/>
    <w:rsid w:val="00C57E96"/>
    <w:rsid w:val="00C60B59"/>
    <w:rsid w:val="00C60CD9"/>
    <w:rsid w:val="00C61446"/>
    <w:rsid w:val="00C61E60"/>
    <w:rsid w:val="00C61E78"/>
    <w:rsid w:val="00C6268C"/>
    <w:rsid w:val="00C627D0"/>
    <w:rsid w:val="00C627FD"/>
    <w:rsid w:val="00C62CD6"/>
    <w:rsid w:val="00C62DCB"/>
    <w:rsid w:val="00C62F36"/>
    <w:rsid w:val="00C6309E"/>
    <w:rsid w:val="00C63383"/>
    <w:rsid w:val="00C63520"/>
    <w:rsid w:val="00C637AB"/>
    <w:rsid w:val="00C63887"/>
    <w:rsid w:val="00C63D6F"/>
    <w:rsid w:val="00C63E1D"/>
    <w:rsid w:val="00C641D7"/>
    <w:rsid w:val="00C64503"/>
    <w:rsid w:val="00C65660"/>
    <w:rsid w:val="00C6586B"/>
    <w:rsid w:val="00C6588D"/>
    <w:rsid w:val="00C6593F"/>
    <w:rsid w:val="00C65FA1"/>
    <w:rsid w:val="00C660BD"/>
    <w:rsid w:val="00C668EF"/>
    <w:rsid w:val="00C6696F"/>
    <w:rsid w:val="00C66BD6"/>
    <w:rsid w:val="00C66E1D"/>
    <w:rsid w:val="00C66EDF"/>
    <w:rsid w:val="00C67314"/>
    <w:rsid w:val="00C70260"/>
    <w:rsid w:val="00C706E0"/>
    <w:rsid w:val="00C70B3F"/>
    <w:rsid w:val="00C70D0E"/>
    <w:rsid w:val="00C7108A"/>
    <w:rsid w:val="00C71754"/>
    <w:rsid w:val="00C71DB2"/>
    <w:rsid w:val="00C7236E"/>
    <w:rsid w:val="00C73398"/>
    <w:rsid w:val="00C7353E"/>
    <w:rsid w:val="00C737EC"/>
    <w:rsid w:val="00C73ADF"/>
    <w:rsid w:val="00C73D58"/>
    <w:rsid w:val="00C7454B"/>
    <w:rsid w:val="00C745C4"/>
    <w:rsid w:val="00C7531B"/>
    <w:rsid w:val="00C762F9"/>
    <w:rsid w:val="00C765BB"/>
    <w:rsid w:val="00C76969"/>
    <w:rsid w:val="00C7709B"/>
    <w:rsid w:val="00C7761D"/>
    <w:rsid w:val="00C77657"/>
    <w:rsid w:val="00C77B54"/>
    <w:rsid w:val="00C80043"/>
    <w:rsid w:val="00C802D9"/>
    <w:rsid w:val="00C80CA1"/>
    <w:rsid w:val="00C81647"/>
    <w:rsid w:val="00C82349"/>
    <w:rsid w:val="00C826E3"/>
    <w:rsid w:val="00C82F00"/>
    <w:rsid w:val="00C830A9"/>
    <w:rsid w:val="00C830F1"/>
    <w:rsid w:val="00C832BF"/>
    <w:rsid w:val="00C837A7"/>
    <w:rsid w:val="00C84466"/>
    <w:rsid w:val="00C84E65"/>
    <w:rsid w:val="00C8518E"/>
    <w:rsid w:val="00C852C4"/>
    <w:rsid w:val="00C855DA"/>
    <w:rsid w:val="00C8564F"/>
    <w:rsid w:val="00C8593C"/>
    <w:rsid w:val="00C85E00"/>
    <w:rsid w:val="00C85E27"/>
    <w:rsid w:val="00C86234"/>
    <w:rsid w:val="00C8696C"/>
    <w:rsid w:val="00C86976"/>
    <w:rsid w:val="00C86E10"/>
    <w:rsid w:val="00C86F4E"/>
    <w:rsid w:val="00C874B4"/>
    <w:rsid w:val="00C8752E"/>
    <w:rsid w:val="00C87904"/>
    <w:rsid w:val="00C87E2E"/>
    <w:rsid w:val="00C90534"/>
    <w:rsid w:val="00C9102F"/>
    <w:rsid w:val="00C91318"/>
    <w:rsid w:val="00C92751"/>
    <w:rsid w:val="00C92F20"/>
    <w:rsid w:val="00C93474"/>
    <w:rsid w:val="00C9348E"/>
    <w:rsid w:val="00C93862"/>
    <w:rsid w:val="00C93993"/>
    <w:rsid w:val="00C940C7"/>
    <w:rsid w:val="00C945E1"/>
    <w:rsid w:val="00C947C4"/>
    <w:rsid w:val="00C95096"/>
    <w:rsid w:val="00C9595B"/>
    <w:rsid w:val="00C95E35"/>
    <w:rsid w:val="00C95F49"/>
    <w:rsid w:val="00C964E3"/>
    <w:rsid w:val="00C9669B"/>
    <w:rsid w:val="00C96CB8"/>
    <w:rsid w:val="00C9707D"/>
    <w:rsid w:val="00C9716F"/>
    <w:rsid w:val="00C971D4"/>
    <w:rsid w:val="00C975B3"/>
    <w:rsid w:val="00C97D2D"/>
    <w:rsid w:val="00CA09D1"/>
    <w:rsid w:val="00CA0FA7"/>
    <w:rsid w:val="00CA162B"/>
    <w:rsid w:val="00CA1C14"/>
    <w:rsid w:val="00CA1E54"/>
    <w:rsid w:val="00CA1FDB"/>
    <w:rsid w:val="00CA217D"/>
    <w:rsid w:val="00CA2197"/>
    <w:rsid w:val="00CA2302"/>
    <w:rsid w:val="00CA23CF"/>
    <w:rsid w:val="00CA29A3"/>
    <w:rsid w:val="00CA2B08"/>
    <w:rsid w:val="00CA2E1A"/>
    <w:rsid w:val="00CA3238"/>
    <w:rsid w:val="00CA36AE"/>
    <w:rsid w:val="00CA37B4"/>
    <w:rsid w:val="00CA382A"/>
    <w:rsid w:val="00CA3A2E"/>
    <w:rsid w:val="00CA3BC9"/>
    <w:rsid w:val="00CA3D0F"/>
    <w:rsid w:val="00CA4624"/>
    <w:rsid w:val="00CA4879"/>
    <w:rsid w:val="00CA4C24"/>
    <w:rsid w:val="00CA4E42"/>
    <w:rsid w:val="00CA51A5"/>
    <w:rsid w:val="00CA5903"/>
    <w:rsid w:val="00CA63BB"/>
    <w:rsid w:val="00CA66DA"/>
    <w:rsid w:val="00CA71ED"/>
    <w:rsid w:val="00CA720E"/>
    <w:rsid w:val="00CA72FE"/>
    <w:rsid w:val="00CA784A"/>
    <w:rsid w:val="00CB0516"/>
    <w:rsid w:val="00CB0540"/>
    <w:rsid w:val="00CB0A12"/>
    <w:rsid w:val="00CB0BBF"/>
    <w:rsid w:val="00CB10BE"/>
    <w:rsid w:val="00CB216E"/>
    <w:rsid w:val="00CB3377"/>
    <w:rsid w:val="00CB38ED"/>
    <w:rsid w:val="00CB3BDC"/>
    <w:rsid w:val="00CB3C1B"/>
    <w:rsid w:val="00CB3EA4"/>
    <w:rsid w:val="00CB4902"/>
    <w:rsid w:val="00CB55DA"/>
    <w:rsid w:val="00CB618E"/>
    <w:rsid w:val="00CB6C23"/>
    <w:rsid w:val="00CB6D09"/>
    <w:rsid w:val="00CB746C"/>
    <w:rsid w:val="00CB7598"/>
    <w:rsid w:val="00CB79F5"/>
    <w:rsid w:val="00CB7B3A"/>
    <w:rsid w:val="00CB7FEB"/>
    <w:rsid w:val="00CC0364"/>
    <w:rsid w:val="00CC068F"/>
    <w:rsid w:val="00CC0B9A"/>
    <w:rsid w:val="00CC0BD4"/>
    <w:rsid w:val="00CC10ED"/>
    <w:rsid w:val="00CC1881"/>
    <w:rsid w:val="00CC18CB"/>
    <w:rsid w:val="00CC1B17"/>
    <w:rsid w:val="00CC21D3"/>
    <w:rsid w:val="00CC2828"/>
    <w:rsid w:val="00CC2E5C"/>
    <w:rsid w:val="00CC2EC0"/>
    <w:rsid w:val="00CC308D"/>
    <w:rsid w:val="00CC4477"/>
    <w:rsid w:val="00CC44DC"/>
    <w:rsid w:val="00CC4B56"/>
    <w:rsid w:val="00CC4D1D"/>
    <w:rsid w:val="00CC5586"/>
    <w:rsid w:val="00CC5AC1"/>
    <w:rsid w:val="00CC6DF7"/>
    <w:rsid w:val="00CC7812"/>
    <w:rsid w:val="00CC7FFD"/>
    <w:rsid w:val="00CD0494"/>
    <w:rsid w:val="00CD066A"/>
    <w:rsid w:val="00CD0E74"/>
    <w:rsid w:val="00CD1E38"/>
    <w:rsid w:val="00CD2439"/>
    <w:rsid w:val="00CD2983"/>
    <w:rsid w:val="00CD2C1C"/>
    <w:rsid w:val="00CD2EC2"/>
    <w:rsid w:val="00CD31D9"/>
    <w:rsid w:val="00CD34D1"/>
    <w:rsid w:val="00CD360E"/>
    <w:rsid w:val="00CD47FF"/>
    <w:rsid w:val="00CD4A7F"/>
    <w:rsid w:val="00CD5032"/>
    <w:rsid w:val="00CD53D4"/>
    <w:rsid w:val="00CD54E1"/>
    <w:rsid w:val="00CD5B0F"/>
    <w:rsid w:val="00CD5C45"/>
    <w:rsid w:val="00CD66F6"/>
    <w:rsid w:val="00CD6ABD"/>
    <w:rsid w:val="00CD6C33"/>
    <w:rsid w:val="00CD6CEF"/>
    <w:rsid w:val="00CD70A0"/>
    <w:rsid w:val="00CD7474"/>
    <w:rsid w:val="00CD7704"/>
    <w:rsid w:val="00CD7978"/>
    <w:rsid w:val="00CD7A36"/>
    <w:rsid w:val="00CD7CD6"/>
    <w:rsid w:val="00CD7F6F"/>
    <w:rsid w:val="00CD7FC6"/>
    <w:rsid w:val="00CE03A1"/>
    <w:rsid w:val="00CE048A"/>
    <w:rsid w:val="00CE0F38"/>
    <w:rsid w:val="00CE14AA"/>
    <w:rsid w:val="00CE1655"/>
    <w:rsid w:val="00CE16A3"/>
    <w:rsid w:val="00CE226E"/>
    <w:rsid w:val="00CE23AF"/>
    <w:rsid w:val="00CE23CF"/>
    <w:rsid w:val="00CE2621"/>
    <w:rsid w:val="00CE2E4F"/>
    <w:rsid w:val="00CE2EC9"/>
    <w:rsid w:val="00CE3218"/>
    <w:rsid w:val="00CE391E"/>
    <w:rsid w:val="00CE43FC"/>
    <w:rsid w:val="00CE4544"/>
    <w:rsid w:val="00CE4781"/>
    <w:rsid w:val="00CE4995"/>
    <w:rsid w:val="00CE4C7C"/>
    <w:rsid w:val="00CE4F53"/>
    <w:rsid w:val="00CE5189"/>
    <w:rsid w:val="00CE5813"/>
    <w:rsid w:val="00CE6091"/>
    <w:rsid w:val="00CE60CA"/>
    <w:rsid w:val="00CE6372"/>
    <w:rsid w:val="00CE6688"/>
    <w:rsid w:val="00CE7E2E"/>
    <w:rsid w:val="00CF0611"/>
    <w:rsid w:val="00CF292C"/>
    <w:rsid w:val="00CF38C2"/>
    <w:rsid w:val="00CF44DB"/>
    <w:rsid w:val="00CF44E6"/>
    <w:rsid w:val="00CF45BD"/>
    <w:rsid w:val="00CF46FE"/>
    <w:rsid w:val="00CF5402"/>
    <w:rsid w:val="00CF66B2"/>
    <w:rsid w:val="00CF6A30"/>
    <w:rsid w:val="00CF6D12"/>
    <w:rsid w:val="00CF6D26"/>
    <w:rsid w:val="00CF705E"/>
    <w:rsid w:val="00CF7732"/>
    <w:rsid w:val="00CF7C1D"/>
    <w:rsid w:val="00CF7C84"/>
    <w:rsid w:val="00CF7D70"/>
    <w:rsid w:val="00D000B9"/>
    <w:rsid w:val="00D00152"/>
    <w:rsid w:val="00D00564"/>
    <w:rsid w:val="00D007C5"/>
    <w:rsid w:val="00D007E2"/>
    <w:rsid w:val="00D007E9"/>
    <w:rsid w:val="00D00CD1"/>
    <w:rsid w:val="00D01212"/>
    <w:rsid w:val="00D012EE"/>
    <w:rsid w:val="00D0158A"/>
    <w:rsid w:val="00D017D5"/>
    <w:rsid w:val="00D01FD4"/>
    <w:rsid w:val="00D02A54"/>
    <w:rsid w:val="00D02B9C"/>
    <w:rsid w:val="00D036E8"/>
    <w:rsid w:val="00D03779"/>
    <w:rsid w:val="00D04612"/>
    <w:rsid w:val="00D04861"/>
    <w:rsid w:val="00D04A97"/>
    <w:rsid w:val="00D05592"/>
    <w:rsid w:val="00D069B1"/>
    <w:rsid w:val="00D06BB0"/>
    <w:rsid w:val="00D06E6B"/>
    <w:rsid w:val="00D07BA7"/>
    <w:rsid w:val="00D07D5F"/>
    <w:rsid w:val="00D07E4D"/>
    <w:rsid w:val="00D102EC"/>
    <w:rsid w:val="00D1038B"/>
    <w:rsid w:val="00D10648"/>
    <w:rsid w:val="00D108C1"/>
    <w:rsid w:val="00D10937"/>
    <w:rsid w:val="00D10AAB"/>
    <w:rsid w:val="00D10CDD"/>
    <w:rsid w:val="00D10D0C"/>
    <w:rsid w:val="00D113E8"/>
    <w:rsid w:val="00D1141E"/>
    <w:rsid w:val="00D11805"/>
    <w:rsid w:val="00D127BB"/>
    <w:rsid w:val="00D12AE9"/>
    <w:rsid w:val="00D133A0"/>
    <w:rsid w:val="00D139FB"/>
    <w:rsid w:val="00D13E27"/>
    <w:rsid w:val="00D147A9"/>
    <w:rsid w:val="00D15F13"/>
    <w:rsid w:val="00D16CE6"/>
    <w:rsid w:val="00D16D9E"/>
    <w:rsid w:val="00D1722C"/>
    <w:rsid w:val="00D1777F"/>
    <w:rsid w:val="00D2002E"/>
    <w:rsid w:val="00D2023B"/>
    <w:rsid w:val="00D202E7"/>
    <w:rsid w:val="00D20322"/>
    <w:rsid w:val="00D20F17"/>
    <w:rsid w:val="00D21103"/>
    <w:rsid w:val="00D21255"/>
    <w:rsid w:val="00D21331"/>
    <w:rsid w:val="00D2146C"/>
    <w:rsid w:val="00D21929"/>
    <w:rsid w:val="00D2253D"/>
    <w:rsid w:val="00D22C4B"/>
    <w:rsid w:val="00D23455"/>
    <w:rsid w:val="00D23A3A"/>
    <w:rsid w:val="00D23CEA"/>
    <w:rsid w:val="00D24100"/>
    <w:rsid w:val="00D24490"/>
    <w:rsid w:val="00D25188"/>
    <w:rsid w:val="00D255E7"/>
    <w:rsid w:val="00D25749"/>
    <w:rsid w:val="00D26124"/>
    <w:rsid w:val="00D26300"/>
    <w:rsid w:val="00D26578"/>
    <w:rsid w:val="00D268F7"/>
    <w:rsid w:val="00D26C63"/>
    <w:rsid w:val="00D273D5"/>
    <w:rsid w:val="00D27868"/>
    <w:rsid w:val="00D27A96"/>
    <w:rsid w:val="00D27CA0"/>
    <w:rsid w:val="00D30158"/>
    <w:rsid w:val="00D304F8"/>
    <w:rsid w:val="00D30643"/>
    <w:rsid w:val="00D308F7"/>
    <w:rsid w:val="00D31317"/>
    <w:rsid w:val="00D31714"/>
    <w:rsid w:val="00D31C13"/>
    <w:rsid w:val="00D320DA"/>
    <w:rsid w:val="00D3255B"/>
    <w:rsid w:val="00D33110"/>
    <w:rsid w:val="00D33879"/>
    <w:rsid w:val="00D33A7F"/>
    <w:rsid w:val="00D33BFA"/>
    <w:rsid w:val="00D33C71"/>
    <w:rsid w:val="00D33FBE"/>
    <w:rsid w:val="00D33FEE"/>
    <w:rsid w:val="00D342CC"/>
    <w:rsid w:val="00D344ED"/>
    <w:rsid w:val="00D3480F"/>
    <w:rsid w:val="00D34AD0"/>
    <w:rsid w:val="00D34E3F"/>
    <w:rsid w:val="00D35B0E"/>
    <w:rsid w:val="00D3609E"/>
    <w:rsid w:val="00D369C2"/>
    <w:rsid w:val="00D36BDE"/>
    <w:rsid w:val="00D36D61"/>
    <w:rsid w:val="00D372D6"/>
    <w:rsid w:val="00D37E49"/>
    <w:rsid w:val="00D37F73"/>
    <w:rsid w:val="00D4022A"/>
    <w:rsid w:val="00D4080A"/>
    <w:rsid w:val="00D40974"/>
    <w:rsid w:val="00D40EE2"/>
    <w:rsid w:val="00D41D2A"/>
    <w:rsid w:val="00D422B4"/>
    <w:rsid w:val="00D425BF"/>
    <w:rsid w:val="00D4307C"/>
    <w:rsid w:val="00D43E4C"/>
    <w:rsid w:val="00D44A70"/>
    <w:rsid w:val="00D44B71"/>
    <w:rsid w:val="00D44ECA"/>
    <w:rsid w:val="00D44FBD"/>
    <w:rsid w:val="00D45676"/>
    <w:rsid w:val="00D462B4"/>
    <w:rsid w:val="00D4671A"/>
    <w:rsid w:val="00D46B4C"/>
    <w:rsid w:val="00D47396"/>
    <w:rsid w:val="00D47511"/>
    <w:rsid w:val="00D47D20"/>
    <w:rsid w:val="00D501F8"/>
    <w:rsid w:val="00D507FD"/>
    <w:rsid w:val="00D50ABD"/>
    <w:rsid w:val="00D50EA7"/>
    <w:rsid w:val="00D514A4"/>
    <w:rsid w:val="00D51904"/>
    <w:rsid w:val="00D519E3"/>
    <w:rsid w:val="00D51C83"/>
    <w:rsid w:val="00D51DE5"/>
    <w:rsid w:val="00D51FA3"/>
    <w:rsid w:val="00D51FA6"/>
    <w:rsid w:val="00D52270"/>
    <w:rsid w:val="00D5231A"/>
    <w:rsid w:val="00D52354"/>
    <w:rsid w:val="00D52EAF"/>
    <w:rsid w:val="00D52F97"/>
    <w:rsid w:val="00D53162"/>
    <w:rsid w:val="00D5332D"/>
    <w:rsid w:val="00D535AD"/>
    <w:rsid w:val="00D53A93"/>
    <w:rsid w:val="00D5455B"/>
    <w:rsid w:val="00D545E8"/>
    <w:rsid w:val="00D54CBA"/>
    <w:rsid w:val="00D54DB6"/>
    <w:rsid w:val="00D54F9C"/>
    <w:rsid w:val="00D551DC"/>
    <w:rsid w:val="00D55400"/>
    <w:rsid w:val="00D55A55"/>
    <w:rsid w:val="00D56104"/>
    <w:rsid w:val="00D56323"/>
    <w:rsid w:val="00D564B6"/>
    <w:rsid w:val="00D56769"/>
    <w:rsid w:val="00D5698E"/>
    <w:rsid w:val="00D57513"/>
    <w:rsid w:val="00D576BB"/>
    <w:rsid w:val="00D57C4E"/>
    <w:rsid w:val="00D60264"/>
    <w:rsid w:val="00D6037C"/>
    <w:rsid w:val="00D6043B"/>
    <w:rsid w:val="00D609DF"/>
    <w:rsid w:val="00D6109F"/>
    <w:rsid w:val="00D6187D"/>
    <w:rsid w:val="00D618EC"/>
    <w:rsid w:val="00D61B81"/>
    <w:rsid w:val="00D61F0C"/>
    <w:rsid w:val="00D61F78"/>
    <w:rsid w:val="00D62005"/>
    <w:rsid w:val="00D6241A"/>
    <w:rsid w:val="00D6380D"/>
    <w:rsid w:val="00D63FC5"/>
    <w:rsid w:val="00D64893"/>
    <w:rsid w:val="00D65253"/>
    <w:rsid w:val="00D65898"/>
    <w:rsid w:val="00D66490"/>
    <w:rsid w:val="00D66C67"/>
    <w:rsid w:val="00D670C4"/>
    <w:rsid w:val="00D67E43"/>
    <w:rsid w:val="00D70093"/>
    <w:rsid w:val="00D702FD"/>
    <w:rsid w:val="00D70C9F"/>
    <w:rsid w:val="00D71146"/>
    <w:rsid w:val="00D713D7"/>
    <w:rsid w:val="00D72633"/>
    <w:rsid w:val="00D72645"/>
    <w:rsid w:val="00D72860"/>
    <w:rsid w:val="00D72A3F"/>
    <w:rsid w:val="00D72B3F"/>
    <w:rsid w:val="00D72CFA"/>
    <w:rsid w:val="00D72E22"/>
    <w:rsid w:val="00D73ACF"/>
    <w:rsid w:val="00D74335"/>
    <w:rsid w:val="00D74A34"/>
    <w:rsid w:val="00D760E4"/>
    <w:rsid w:val="00D762F3"/>
    <w:rsid w:val="00D7635A"/>
    <w:rsid w:val="00D769B2"/>
    <w:rsid w:val="00D76EFB"/>
    <w:rsid w:val="00D76F0D"/>
    <w:rsid w:val="00D76F2A"/>
    <w:rsid w:val="00D773B0"/>
    <w:rsid w:val="00D77795"/>
    <w:rsid w:val="00D77868"/>
    <w:rsid w:val="00D802EE"/>
    <w:rsid w:val="00D80381"/>
    <w:rsid w:val="00D80B68"/>
    <w:rsid w:val="00D8114C"/>
    <w:rsid w:val="00D811B9"/>
    <w:rsid w:val="00D811E4"/>
    <w:rsid w:val="00D8182B"/>
    <w:rsid w:val="00D81855"/>
    <w:rsid w:val="00D81861"/>
    <w:rsid w:val="00D8199A"/>
    <w:rsid w:val="00D81CBF"/>
    <w:rsid w:val="00D820C4"/>
    <w:rsid w:val="00D82140"/>
    <w:rsid w:val="00D82181"/>
    <w:rsid w:val="00D82B30"/>
    <w:rsid w:val="00D82E7F"/>
    <w:rsid w:val="00D82F64"/>
    <w:rsid w:val="00D830EB"/>
    <w:rsid w:val="00D84259"/>
    <w:rsid w:val="00D848FE"/>
    <w:rsid w:val="00D84BC4"/>
    <w:rsid w:val="00D84E0B"/>
    <w:rsid w:val="00D850B4"/>
    <w:rsid w:val="00D85604"/>
    <w:rsid w:val="00D85EE2"/>
    <w:rsid w:val="00D85FD5"/>
    <w:rsid w:val="00D8603A"/>
    <w:rsid w:val="00D86135"/>
    <w:rsid w:val="00D86157"/>
    <w:rsid w:val="00D86325"/>
    <w:rsid w:val="00D86386"/>
    <w:rsid w:val="00D863BB"/>
    <w:rsid w:val="00D86942"/>
    <w:rsid w:val="00D869D4"/>
    <w:rsid w:val="00D86EF2"/>
    <w:rsid w:val="00D87530"/>
    <w:rsid w:val="00D87721"/>
    <w:rsid w:val="00D879CF"/>
    <w:rsid w:val="00D87C7B"/>
    <w:rsid w:val="00D907FD"/>
    <w:rsid w:val="00D90AAF"/>
    <w:rsid w:val="00D90D48"/>
    <w:rsid w:val="00D90D55"/>
    <w:rsid w:val="00D90E50"/>
    <w:rsid w:val="00D91030"/>
    <w:rsid w:val="00D914B9"/>
    <w:rsid w:val="00D922EB"/>
    <w:rsid w:val="00D924A7"/>
    <w:rsid w:val="00D9267B"/>
    <w:rsid w:val="00D92E09"/>
    <w:rsid w:val="00D932D9"/>
    <w:rsid w:val="00D93479"/>
    <w:rsid w:val="00D93BFD"/>
    <w:rsid w:val="00D94300"/>
    <w:rsid w:val="00D94899"/>
    <w:rsid w:val="00D94CCD"/>
    <w:rsid w:val="00D95242"/>
    <w:rsid w:val="00D954F0"/>
    <w:rsid w:val="00D955BF"/>
    <w:rsid w:val="00D95B91"/>
    <w:rsid w:val="00D95BF7"/>
    <w:rsid w:val="00D962E6"/>
    <w:rsid w:val="00D96978"/>
    <w:rsid w:val="00D969E7"/>
    <w:rsid w:val="00D97D03"/>
    <w:rsid w:val="00DA01B4"/>
    <w:rsid w:val="00DA1BFD"/>
    <w:rsid w:val="00DA2085"/>
    <w:rsid w:val="00DA20D5"/>
    <w:rsid w:val="00DA234E"/>
    <w:rsid w:val="00DA271D"/>
    <w:rsid w:val="00DA2A81"/>
    <w:rsid w:val="00DA2F17"/>
    <w:rsid w:val="00DA327B"/>
    <w:rsid w:val="00DA34F2"/>
    <w:rsid w:val="00DA36CC"/>
    <w:rsid w:val="00DA444A"/>
    <w:rsid w:val="00DA4A52"/>
    <w:rsid w:val="00DA4BDA"/>
    <w:rsid w:val="00DA50D0"/>
    <w:rsid w:val="00DA60DD"/>
    <w:rsid w:val="00DA6168"/>
    <w:rsid w:val="00DA6307"/>
    <w:rsid w:val="00DA78B2"/>
    <w:rsid w:val="00DA7E7C"/>
    <w:rsid w:val="00DA7F05"/>
    <w:rsid w:val="00DB05DD"/>
    <w:rsid w:val="00DB12FD"/>
    <w:rsid w:val="00DB1A3B"/>
    <w:rsid w:val="00DB1F08"/>
    <w:rsid w:val="00DB1F4C"/>
    <w:rsid w:val="00DB309A"/>
    <w:rsid w:val="00DB378F"/>
    <w:rsid w:val="00DB3B80"/>
    <w:rsid w:val="00DB5557"/>
    <w:rsid w:val="00DB5789"/>
    <w:rsid w:val="00DB5B66"/>
    <w:rsid w:val="00DB5F9C"/>
    <w:rsid w:val="00DB6356"/>
    <w:rsid w:val="00DB63D0"/>
    <w:rsid w:val="00DB666C"/>
    <w:rsid w:val="00DB6835"/>
    <w:rsid w:val="00DB688B"/>
    <w:rsid w:val="00DB6C13"/>
    <w:rsid w:val="00DB724B"/>
    <w:rsid w:val="00DB78A2"/>
    <w:rsid w:val="00DB798F"/>
    <w:rsid w:val="00DB7B52"/>
    <w:rsid w:val="00DB7B5C"/>
    <w:rsid w:val="00DB7D80"/>
    <w:rsid w:val="00DB7E77"/>
    <w:rsid w:val="00DC084E"/>
    <w:rsid w:val="00DC0A10"/>
    <w:rsid w:val="00DC0C79"/>
    <w:rsid w:val="00DC0EDF"/>
    <w:rsid w:val="00DC1C86"/>
    <w:rsid w:val="00DC1E50"/>
    <w:rsid w:val="00DC1FC4"/>
    <w:rsid w:val="00DC253C"/>
    <w:rsid w:val="00DC2A0D"/>
    <w:rsid w:val="00DC32C3"/>
    <w:rsid w:val="00DC3697"/>
    <w:rsid w:val="00DC4014"/>
    <w:rsid w:val="00DC42BE"/>
    <w:rsid w:val="00DC4D32"/>
    <w:rsid w:val="00DC553C"/>
    <w:rsid w:val="00DC56D1"/>
    <w:rsid w:val="00DC5772"/>
    <w:rsid w:val="00DC5D29"/>
    <w:rsid w:val="00DC61A4"/>
    <w:rsid w:val="00DC62DC"/>
    <w:rsid w:val="00DC64B1"/>
    <w:rsid w:val="00DC651A"/>
    <w:rsid w:val="00DC692F"/>
    <w:rsid w:val="00DC7260"/>
    <w:rsid w:val="00DC7280"/>
    <w:rsid w:val="00DC72AF"/>
    <w:rsid w:val="00DC79BB"/>
    <w:rsid w:val="00DC79C7"/>
    <w:rsid w:val="00DC7A16"/>
    <w:rsid w:val="00DC7BD1"/>
    <w:rsid w:val="00DD047F"/>
    <w:rsid w:val="00DD0DCC"/>
    <w:rsid w:val="00DD0F7D"/>
    <w:rsid w:val="00DD1567"/>
    <w:rsid w:val="00DD1D01"/>
    <w:rsid w:val="00DD1F3F"/>
    <w:rsid w:val="00DD2998"/>
    <w:rsid w:val="00DD2C1A"/>
    <w:rsid w:val="00DD3191"/>
    <w:rsid w:val="00DD33B0"/>
    <w:rsid w:val="00DD3585"/>
    <w:rsid w:val="00DD35E2"/>
    <w:rsid w:val="00DD38C7"/>
    <w:rsid w:val="00DD4010"/>
    <w:rsid w:val="00DD4168"/>
    <w:rsid w:val="00DD4223"/>
    <w:rsid w:val="00DD5247"/>
    <w:rsid w:val="00DD5B86"/>
    <w:rsid w:val="00DD5BDC"/>
    <w:rsid w:val="00DD5CE3"/>
    <w:rsid w:val="00DD65BC"/>
    <w:rsid w:val="00DD6AB9"/>
    <w:rsid w:val="00DD6AFA"/>
    <w:rsid w:val="00DD6CEE"/>
    <w:rsid w:val="00DD6F3A"/>
    <w:rsid w:val="00DD71C0"/>
    <w:rsid w:val="00DD7286"/>
    <w:rsid w:val="00DD7883"/>
    <w:rsid w:val="00DD790C"/>
    <w:rsid w:val="00DD796B"/>
    <w:rsid w:val="00DD7BEB"/>
    <w:rsid w:val="00DD7C74"/>
    <w:rsid w:val="00DE0376"/>
    <w:rsid w:val="00DE0A3A"/>
    <w:rsid w:val="00DE0D19"/>
    <w:rsid w:val="00DE17E7"/>
    <w:rsid w:val="00DE2B8C"/>
    <w:rsid w:val="00DE2BA8"/>
    <w:rsid w:val="00DE3066"/>
    <w:rsid w:val="00DE30A5"/>
    <w:rsid w:val="00DE393C"/>
    <w:rsid w:val="00DE3BC1"/>
    <w:rsid w:val="00DE3BC2"/>
    <w:rsid w:val="00DE498B"/>
    <w:rsid w:val="00DE4C32"/>
    <w:rsid w:val="00DE51B2"/>
    <w:rsid w:val="00DE58F9"/>
    <w:rsid w:val="00DE5DE5"/>
    <w:rsid w:val="00DE5E8D"/>
    <w:rsid w:val="00DE5FAA"/>
    <w:rsid w:val="00DE60D7"/>
    <w:rsid w:val="00DE62F6"/>
    <w:rsid w:val="00DE7536"/>
    <w:rsid w:val="00DE7D6A"/>
    <w:rsid w:val="00DF0008"/>
    <w:rsid w:val="00DF0198"/>
    <w:rsid w:val="00DF062B"/>
    <w:rsid w:val="00DF07B1"/>
    <w:rsid w:val="00DF0E11"/>
    <w:rsid w:val="00DF1173"/>
    <w:rsid w:val="00DF141E"/>
    <w:rsid w:val="00DF172C"/>
    <w:rsid w:val="00DF23F3"/>
    <w:rsid w:val="00DF24F6"/>
    <w:rsid w:val="00DF2661"/>
    <w:rsid w:val="00DF2834"/>
    <w:rsid w:val="00DF2B58"/>
    <w:rsid w:val="00DF2C81"/>
    <w:rsid w:val="00DF2DB9"/>
    <w:rsid w:val="00DF2EAE"/>
    <w:rsid w:val="00DF3A13"/>
    <w:rsid w:val="00DF43C4"/>
    <w:rsid w:val="00DF441F"/>
    <w:rsid w:val="00DF49B2"/>
    <w:rsid w:val="00DF5075"/>
    <w:rsid w:val="00DF540E"/>
    <w:rsid w:val="00DF5AE3"/>
    <w:rsid w:val="00DF672E"/>
    <w:rsid w:val="00DF69D7"/>
    <w:rsid w:val="00DF6C58"/>
    <w:rsid w:val="00DF7154"/>
    <w:rsid w:val="00DF7973"/>
    <w:rsid w:val="00DF7CA1"/>
    <w:rsid w:val="00DF7CC9"/>
    <w:rsid w:val="00DF7FF0"/>
    <w:rsid w:val="00E006F3"/>
    <w:rsid w:val="00E0089C"/>
    <w:rsid w:val="00E01154"/>
    <w:rsid w:val="00E01883"/>
    <w:rsid w:val="00E0195E"/>
    <w:rsid w:val="00E021C8"/>
    <w:rsid w:val="00E02313"/>
    <w:rsid w:val="00E024FE"/>
    <w:rsid w:val="00E02BF6"/>
    <w:rsid w:val="00E02FEA"/>
    <w:rsid w:val="00E037BB"/>
    <w:rsid w:val="00E042FA"/>
    <w:rsid w:val="00E05241"/>
    <w:rsid w:val="00E058B8"/>
    <w:rsid w:val="00E05AA4"/>
    <w:rsid w:val="00E06ED7"/>
    <w:rsid w:val="00E07888"/>
    <w:rsid w:val="00E11067"/>
    <w:rsid w:val="00E1107C"/>
    <w:rsid w:val="00E11351"/>
    <w:rsid w:val="00E1137D"/>
    <w:rsid w:val="00E1182C"/>
    <w:rsid w:val="00E11983"/>
    <w:rsid w:val="00E13228"/>
    <w:rsid w:val="00E1383F"/>
    <w:rsid w:val="00E13A11"/>
    <w:rsid w:val="00E13CD3"/>
    <w:rsid w:val="00E1410E"/>
    <w:rsid w:val="00E142A9"/>
    <w:rsid w:val="00E142B8"/>
    <w:rsid w:val="00E14A49"/>
    <w:rsid w:val="00E14CBA"/>
    <w:rsid w:val="00E15182"/>
    <w:rsid w:val="00E158BC"/>
    <w:rsid w:val="00E15BCB"/>
    <w:rsid w:val="00E15E88"/>
    <w:rsid w:val="00E1631A"/>
    <w:rsid w:val="00E16940"/>
    <w:rsid w:val="00E16DD5"/>
    <w:rsid w:val="00E16F4E"/>
    <w:rsid w:val="00E1741F"/>
    <w:rsid w:val="00E176ED"/>
    <w:rsid w:val="00E20246"/>
    <w:rsid w:val="00E20272"/>
    <w:rsid w:val="00E20580"/>
    <w:rsid w:val="00E20652"/>
    <w:rsid w:val="00E20979"/>
    <w:rsid w:val="00E20CEE"/>
    <w:rsid w:val="00E2158D"/>
    <w:rsid w:val="00E21F73"/>
    <w:rsid w:val="00E21F9F"/>
    <w:rsid w:val="00E21FB9"/>
    <w:rsid w:val="00E221D2"/>
    <w:rsid w:val="00E2223D"/>
    <w:rsid w:val="00E226F2"/>
    <w:rsid w:val="00E22C3A"/>
    <w:rsid w:val="00E22E7F"/>
    <w:rsid w:val="00E22F5D"/>
    <w:rsid w:val="00E2313A"/>
    <w:rsid w:val="00E238B5"/>
    <w:rsid w:val="00E241D5"/>
    <w:rsid w:val="00E242B4"/>
    <w:rsid w:val="00E24437"/>
    <w:rsid w:val="00E2462B"/>
    <w:rsid w:val="00E252F1"/>
    <w:rsid w:val="00E257AD"/>
    <w:rsid w:val="00E259C8"/>
    <w:rsid w:val="00E25D03"/>
    <w:rsid w:val="00E26121"/>
    <w:rsid w:val="00E26565"/>
    <w:rsid w:val="00E26A58"/>
    <w:rsid w:val="00E30182"/>
    <w:rsid w:val="00E3171D"/>
    <w:rsid w:val="00E31746"/>
    <w:rsid w:val="00E31C99"/>
    <w:rsid w:val="00E32ABD"/>
    <w:rsid w:val="00E338F7"/>
    <w:rsid w:val="00E339F4"/>
    <w:rsid w:val="00E33EA5"/>
    <w:rsid w:val="00E34463"/>
    <w:rsid w:val="00E34E85"/>
    <w:rsid w:val="00E360F9"/>
    <w:rsid w:val="00E3625F"/>
    <w:rsid w:val="00E365B1"/>
    <w:rsid w:val="00E365B6"/>
    <w:rsid w:val="00E37F0B"/>
    <w:rsid w:val="00E4004C"/>
    <w:rsid w:val="00E40156"/>
    <w:rsid w:val="00E409C7"/>
    <w:rsid w:val="00E40B57"/>
    <w:rsid w:val="00E415E9"/>
    <w:rsid w:val="00E4172A"/>
    <w:rsid w:val="00E417C6"/>
    <w:rsid w:val="00E41DDA"/>
    <w:rsid w:val="00E42122"/>
    <w:rsid w:val="00E42510"/>
    <w:rsid w:val="00E42833"/>
    <w:rsid w:val="00E42B37"/>
    <w:rsid w:val="00E42BDD"/>
    <w:rsid w:val="00E42E5B"/>
    <w:rsid w:val="00E4342A"/>
    <w:rsid w:val="00E43803"/>
    <w:rsid w:val="00E44759"/>
    <w:rsid w:val="00E44947"/>
    <w:rsid w:val="00E44B50"/>
    <w:rsid w:val="00E4547B"/>
    <w:rsid w:val="00E4682F"/>
    <w:rsid w:val="00E46BD2"/>
    <w:rsid w:val="00E4700D"/>
    <w:rsid w:val="00E47DF6"/>
    <w:rsid w:val="00E47E12"/>
    <w:rsid w:val="00E47E1F"/>
    <w:rsid w:val="00E50060"/>
    <w:rsid w:val="00E5021F"/>
    <w:rsid w:val="00E50370"/>
    <w:rsid w:val="00E506A2"/>
    <w:rsid w:val="00E50830"/>
    <w:rsid w:val="00E512A5"/>
    <w:rsid w:val="00E5153C"/>
    <w:rsid w:val="00E5164E"/>
    <w:rsid w:val="00E51C78"/>
    <w:rsid w:val="00E51F23"/>
    <w:rsid w:val="00E51FD8"/>
    <w:rsid w:val="00E52855"/>
    <w:rsid w:val="00E52957"/>
    <w:rsid w:val="00E52AAF"/>
    <w:rsid w:val="00E52AD2"/>
    <w:rsid w:val="00E52D5C"/>
    <w:rsid w:val="00E52F65"/>
    <w:rsid w:val="00E531E6"/>
    <w:rsid w:val="00E53402"/>
    <w:rsid w:val="00E53F91"/>
    <w:rsid w:val="00E54595"/>
    <w:rsid w:val="00E547B8"/>
    <w:rsid w:val="00E54B68"/>
    <w:rsid w:val="00E54CD5"/>
    <w:rsid w:val="00E5510D"/>
    <w:rsid w:val="00E55137"/>
    <w:rsid w:val="00E55382"/>
    <w:rsid w:val="00E5590E"/>
    <w:rsid w:val="00E55A64"/>
    <w:rsid w:val="00E56375"/>
    <w:rsid w:val="00E56613"/>
    <w:rsid w:val="00E567F6"/>
    <w:rsid w:val="00E56A8C"/>
    <w:rsid w:val="00E56B5A"/>
    <w:rsid w:val="00E56F50"/>
    <w:rsid w:val="00E572B0"/>
    <w:rsid w:val="00E573A5"/>
    <w:rsid w:val="00E5752D"/>
    <w:rsid w:val="00E575A7"/>
    <w:rsid w:val="00E57CAE"/>
    <w:rsid w:val="00E60098"/>
    <w:rsid w:val="00E602AE"/>
    <w:rsid w:val="00E60965"/>
    <w:rsid w:val="00E6097F"/>
    <w:rsid w:val="00E609CF"/>
    <w:rsid w:val="00E60E4B"/>
    <w:rsid w:val="00E60FC8"/>
    <w:rsid w:val="00E61812"/>
    <w:rsid w:val="00E619C6"/>
    <w:rsid w:val="00E61D4D"/>
    <w:rsid w:val="00E63509"/>
    <w:rsid w:val="00E63F45"/>
    <w:rsid w:val="00E64066"/>
    <w:rsid w:val="00E64AE1"/>
    <w:rsid w:val="00E66228"/>
    <w:rsid w:val="00E66416"/>
    <w:rsid w:val="00E66430"/>
    <w:rsid w:val="00E66606"/>
    <w:rsid w:val="00E672C1"/>
    <w:rsid w:val="00E67493"/>
    <w:rsid w:val="00E6776E"/>
    <w:rsid w:val="00E67802"/>
    <w:rsid w:val="00E67D77"/>
    <w:rsid w:val="00E67ECA"/>
    <w:rsid w:val="00E67FE0"/>
    <w:rsid w:val="00E701BC"/>
    <w:rsid w:val="00E705AB"/>
    <w:rsid w:val="00E70707"/>
    <w:rsid w:val="00E70D19"/>
    <w:rsid w:val="00E717C2"/>
    <w:rsid w:val="00E71E2B"/>
    <w:rsid w:val="00E723A7"/>
    <w:rsid w:val="00E7262D"/>
    <w:rsid w:val="00E72DDE"/>
    <w:rsid w:val="00E736B5"/>
    <w:rsid w:val="00E736F1"/>
    <w:rsid w:val="00E73925"/>
    <w:rsid w:val="00E73DA0"/>
    <w:rsid w:val="00E73E4A"/>
    <w:rsid w:val="00E742F5"/>
    <w:rsid w:val="00E745D6"/>
    <w:rsid w:val="00E74D86"/>
    <w:rsid w:val="00E75709"/>
    <w:rsid w:val="00E75D65"/>
    <w:rsid w:val="00E764B3"/>
    <w:rsid w:val="00E76A91"/>
    <w:rsid w:val="00E77073"/>
    <w:rsid w:val="00E7746A"/>
    <w:rsid w:val="00E77664"/>
    <w:rsid w:val="00E776EC"/>
    <w:rsid w:val="00E7791E"/>
    <w:rsid w:val="00E80292"/>
    <w:rsid w:val="00E804EE"/>
    <w:rsid w:val="00E80A78"/>
    <w:rsid w:val="00E821FB"/>
    <w:rsid w:val="00E824CC"/>
    <w:rsid w:val="00E8278B"/>
    <w:rsid w:val="00E82C62"/>
    <w:rsid w:val="00E82CC1"/>
    <w:rsid w:val="00E82D01"/>
    <w:rsid w:val="00E84298"/>
    <w:rsid w:val="00E84831"/>
    <w:rsid w:val="00E8552A"/>
    <w:rsid w:val="00E856FA"/>
    <w:rsid w:val="00E85C77"/>
    <w:rsid w:val="00E85EE2"/>
    <w:rsid w:val="00E873A2"/>
    <w:rsid w:val="00E878D6"/>
    <w:rsid w:val="00E9030E"/>
    <w:rsid w:val="00E9069E"/>
    <w:rsid w:val="00E90785"/>
    <w:rsid w:val="00E90A74"/>
    <w:rsid w:val="00E90B55"/>
    <w:rsid w:val="00E91822"/>
    <w:rsid w:val="00E91966"/>
    <w:rsid w:val="00E91A9E"/>
    <w:rsid w:val="00E91BE8"/>
    <w:rsid w:val="00E92429"/>
    <w:rsid w:val="00E928AB"/>
    <w:rsid w:val="00E92A24"/>
    <w:rsid w:val="00E940D7"/>
    <w:rsid w:val="00E94228"/>
    <w:rsid w:val="00E94433"/>
    <w:rsid w:val="00E945F3"/>
    <w:rsid w:val="00E94643"/>
    <w:rsid w:val="00E94B66"/>
    <w:rsid w:val="00E953B0"/>
    <w:rsid w:val="00E953CE"/>
    <w:rsid w:val="00E95897"/>
    <w:rsid w:val="00E95945"/>
    <w:rsid w:val="00E95A9B"/>
    <w:rsid w:val="00E95B10"/>
    <w:rsid w:val="00E95C5D"/>
    <w:rsid w:val="00E960E6"/>
    <w:rsid w:val="00E967AC"/>
    <w:rsid w:val="00E96E6B"/>
    <w:rsid w:val="00E96EB7"/>
    <w:rsid w:val="00E96FCE"/>
    <w:rsid w:val="00E972C2"/>
    <w:rsid w:val="00E9796B"/>
    <w:rsid w:val="00E97EB5"/>
    <w:rsid w:val="00EA01B5"/>
    <w:rsid w:val="00EA05FD"/>
    <w:rsid w:val="00EA08E0"/>
    <w:rsid w:val="00EA0CA8"/>
    <w:rsid w:val="00EA0FB4"/>
    <w:rsid w:val="00EA16A6"/>
    <w:rsid w:val="00EA209C"/>
    <w:rsid w:val="00EA2446"/>
    <w:rsid w:val="00EA2870"/>
    <w:rsid w:val="00EA298D"/>
    <w:rsid w:val="00EA3029"/>
    <w:rsid w:val="00EA33EB"/>
    <w:rsid w:val="00EA37A2"/>
    <w:rsid w:val="00EA4066"/>
    <w:rsid w:val="00EA4231"/>
    <w:rsid w:val="00EA44CF"/>
    <w:rsid w:val="00EA486A"/>
    <w:rsid w:val="00EA4DAC"/>
    <w:rsid w:val="00EA4FC5"/>
    <w:rsid w:val="00EA5168"/>
    <w:rsid w:val="00EA56C0"/>
    <w:rsid w:val="00EA57EC"/>
    <w:rsid w:val="00EA7751"/>
    <w:rsid w:val="00EA78EE"/>
    <w:rsid w:val="00EA7EE0"/>
    <w:rsid w:val="00EA7F53"/>
    <w:rsid w:val="00EA7FB4"/>
    <w:rsid w:val="00EB0383"/>
    <w:rsid w:val="00EB049B"/>
    <w:rsid w:val="00EB0827"/>
    <w:rsid w:val="00EB1427"/>
    <w:rsid w:val="00EB14B5"/>
    <w:rsid w:val="00EB1614"/>
    <w:rsid w:val="00EB166E"/>
    <w:rsid w:val="00EB203E"/>
    <w:rsid w:val="00EB2084"/>
    <w:rsid w:val="00EB2E0D"/>
    <w:rsid w:val="00EB2E60"/>
    <w:rsid w:val="00EB3433"/>
    <w:rsid w:val="00EB3AB2"/>
    <w:rsid w:val="00EB3C52"/>
    <w:rsid w:val="00EB3E37"/>
    <w:rsid w:val="00EB423D"/>
    <w:rsid w:val="00EB51C6"/>
    <w:rsid w:val="00EB5211"/>
    <w:rsid w:val="00EB52F0"/>
    <w:rsid w:val="00EB6083"/>
    <w:rsid w:val="00EB6156"/>
    <w:rsid w:val="00EB6386"/>
    <w:rsid w:val="00EB63D3"/>
    <w:rsid w:val="00EB6445"/>
    <w:rsid w:val="00EB6489"/>
    <w:rsid w:val="00EB6610"/>
    <w:rsid w:val="00EB6701"/>
    <w:rsid w:val="00EB77C6"/>
    <w:rsid w:val="00EB7D1C"/>
    <w:rsid w:val="00EB7E3E"/>
    <w:rsid w:val="00EC09B3"/>
    <w:rsid w:val="00EC122E"/>
    <w:rsid w:val="00EC13D6"/>
    <w:rsid w:val="00EC17F9"/>
    <w:rsid w:val="00EC1C20"/>
    <w:rsid w:val="00EC21BE"/>
    <w:rsid w:val="00EC25A6"/>
    <w:rsid w:val="00EC29A7"/>
    <w:rsid w:val="00EC2D2B"/>
    <w:rsid w:val="00EC2F82"/>
    <w:rsid w:val="00EC3F4D"/>
    <w:rsid w:val="00EC4641"/>
    <w:rsid w:val="00EC4DE0"/>
    <w:rsid w:val="00EC541A"/>
    <w:rsid w:val="00EC5439"/>
    <w:rsid w:val="00EC5755"/>
    <w:rsid w:val="00EC5B66"/>
    <w:rsid w:val="00EC61FA"/>
    <w:rsid w:val="00EC682B"/>
    <w:rsid w:val="00EC68E3"/>
    <w:rsid w:val="00EC723B"/>
    <w:rsid w:val="00EC74E5"/>
    <w:rsid w:val="00EC74FC"/>
    <w:rsid w:val="00EC7CE5"/>
    <w:rsid w:val="00EC7D5C"/>
    <w:rsid w:val="00EC7F54"/>
    <w:rsid w:val="00EC7FD3"/>
    <w:rsid w:val="00ED0709"/>
    <w:rsid w:val="00ED08D8"/>
    <w:rsid w:val="00ED0CC7"/>
    <w:rsid w:val="00ED0CD0"/>
    <w:rsid w:val="00ED1048"/>
    <w:rsid w:val="00ED2855"/>
    <w:rsid w:val="00ED291C"/>
    <w:rsid w:val="00ED2EB1"/>
    <w:rsid w:val="00ED3270"/>
    <w:rsid w:val="00ED32EB"/>
    <w:rsid w:val="00ED32EF"/>
    <w:rsid w:val="00ED3592"/>
    <w:rsid w:val="00ED379C"/>
    <w:rsid w:val="00ED3B8A"/>
    <w:rsid w:val="00ED3BD9"/>
    <w:rsid w:val="00ED426F"/>
    <w:rsid w:val="00ED482D"/>
    <w:rsid w:val="00ED4ED8"/>
    <w:rsid w:val="00ED5118"/>
    <w:rsid w:val="00ED52D1"/>
    <w:rsid w:val="00ED555B"/>
    <w:rsid w:val="00ED6006"/>
    <w:rsid w:val="00ED6103"/>
    <w:rsid w:val="00ED632D"/>
    <w:rsid w:val="00ED676B"/>
    <w:rsid w:val="00ED69DC"/>
    <w:rsid w:val="00ED6A62"/>
    <w:rsid w:val="00ED7EA8"/>
    <w:rsid w:val="00EE0741"/>
    <w:rsid w:val="00EE1EA5"/>
    <w:rsid w:val="00EE20D8"/>
    <w:rsid w:val="00EE3152"/>
    <w:rsid w:val="00EE3380"/>
    <w:rsid w:val="00EE37E7"/>
    <w:rsid w:val="00EE3832"/>
    <w:rsid w:val="00EE38B4"/>
    <w:rsid w:val="00EE3EF9"/>
    <w:rsid w:val="00EE417A"/>
    <w:rsid w:val="00EE486D"/>
    <w:rsid w:val="00EE4997"/>
    <w:rsid w:val="00EE4E70"/>
    <w:rsid w:val="00EE5673"/>
    <w:rsid w:val="00EE6212"/>
    <w:rsid w:val="00EE6611"/>
    <w:rsid w:val="00EE66CA"/>
    <w:rsid w:val="00EE69A4"/>
    <w:rsid w:val="00EE701B"/>
    <w:rsid w:val="00EE70EF"/>
    <w:rsid w:val="00EE73AD"/>
    <w:rsid w:val="00EE76F8"/>
    <w:rsid w:val="00EE7900"/>
    <w:rsid w:val="00EE7933"/>
    <w:rsid w:val="00EE7C97"/>
    <w:rsid w:val="00EE7E07"/>
    <w:rsid w:val="00EF0F17"/>
    <w:rsid w:val="00EF0F81"/>
    <w:rsid w:val="00EF114D"/>
    <w:rsid w:val="00EF1383"/>
    <w:rsid w:val="00EF15EF"/>
    <w:rsid w:val="00EF1912"/>
    <w:rsid w:val="00EF1BA1"/>
    <w:rsid w:val="00EF2B0E"/>
    <w:rsid w:val="00EF2CD3"/>
    <w:rsid w:val="00EF38D5"/>
    <w:rsid w:val="00EF4116"/>
    <w:rsid w:val="00EF434C"/>
    <w:rsid w:val="00EF435D"/>
    <w:rsid w:val="00EF47A4"/>
    <w:rsid w:val="00EF4DD5"/>
    <w:rsid w:val="00EF575D"/>
    <w:rsid w:val="00EF5922"/>
    <w:rsid w:val="00EF5960"/>
    <w:rsid w:val="00EF5AC2"/>
    <w:rsid w:val="00EF6527"/>
    <w:rsid w:val="00EF66B4"/>
    <w:rsid w:val="00EF6AB4"/>
    <w:rsid w:val="00EF6B0A"/>
    <w:rsid w:val="00EF6CE1"/>
    <w:rsid w:val="00EF72D7"/>
    <w:rsid w:val="00EF7450"/>
    <w:rsid w:val="00EF74D7"/>
    <w:rsid w:val="00EF78E7"/>
    <w:rsid w:val="00F0027C"/>
    <w:rsid w:val="00F0040E"/>
    <w:rsid w:val="00F00E5D"/>
    <w:rsid w:val="00F00FB7"/>
    <w:rsid w:val="00F01217"/>
    <w:rsid w:val="00F01C0F"/>
    <w:rsid w:val="00F024DF"/>
    <w:rsid w:val="00F024EF"/>
    <w:rsid w:val="00F02743"/>
    <w:rsid w:val="00F03192"/>
    <w:rsid w:val="00F03449"/>
    <w:rsid w:val="00F03B6A"/>
    <w:rsid w:val="00F03CFE"/>
    <w:rsid w:val="00F04464"/>
    <w:rsid w:val="00F04508"/>
    <w:rsid w:val="00F0456E"/>
    <w:rsid w:val="00F045B9"/>
    <w:rsid w:val="00F04FE6"/>
    <w:rsid w:val="00F05293"/>
    <w:rsid w:val="00F054D3"/>
    <w:rsid w:val="00F0582C"/>
    <w:rsid w:val="00F05A7C"/>
    <w:rsid w:val="00F05A91"/>
    <w:rsid w:val="00F05C8B"/>
    <w:rsid w:val="00F06278"/>
    <w:rsid w:val="00F062E2"/>
    <w:rsid w:val="00F06647"/>
    <w:rsid w:val="00F06D0F"/>
    <w:rsid w:val="00F106BF"/>
    <w:rsid w:val="00F1207F"/>
    <w:rsid w:val="00F12356"/>
    <w:rsid w:val="00F123CE"/>
    <w:rsid w:val="00F12660"/>
    <w:rsid w:val="00F12893"/>
    <w:rsid w:val="00F12897"/>
    <w:rsid w:val="00F12D6D"/>
    <w:rsid w:val="00F13B2A"/>
    <w:rsid w:val="00F15654"/>
    <w:rsid w:val="00F1595A"/>
    <w:rsid w:val="00F15A85"/>
    <w:rsid w:val="00F15EEF"/>
    <w:rsid w:val="00F16132"/>
    <w:rsid w:val="00F1625D"/>
    <w:rsid w:val="00F16D62"/>
    <w:rsid w:val="00F16FA6"/>
    <w:rsid w:val="00F171B8"/>
    <w:rsid w:val="00F17407"/>
    <w:rsid w:val="00F17EA4"/>
    <w:rsid w:val="00F20237"/>
    <w:rsid w:val="00F2082A"/>
    <w:rsid w:val="00F21FD4"/>
    <w:rsid w:val="00F22148"/>
    <w:rsid w:val="00F22505"/>
    <w:rsid w:val="00F22F85"/>
    <w:rsid w:val="00F23900"/>
    <w:rsid w:val="00F2399F"/>
    <w:rsid w:val="00F23C8E"/>
    <w:rsid w:val="00F2488C"/>
    <w:rsid w:val="00F24BC1"/>
    <w:rsid w:val="00F25290"/>
    <w:rsid w:val="00F260DD"/>
    <w:rsid w:val="00F26354"/>
    <w:rsid w:val="00F2653C"/>
    <w:rsid w:val="00F26579"/>
    <w:rsid w:val="00F26FA6"/>
    <w:rsid w:val="00F303C8"/>
    <w:rsid w:val="00F3063F"/>
    <w:rsid w:val="00F3093B"/>
    <w:rsid w:val="00F30962"/>
    <w:rsid w:val="00F31043"/>
    <w:rsid w:val="00F313C3"/>
    <w:rsid w:val="00F316C0"/>
    <w:rsid w:val="00F31DEF"/>
    <w:rsid w:val="00F32A43"/>
    <w:rsid w:val="00F32A5D"/>
    <w:rsid w:val="00F32E0E"/>
    <w:rsid w:val="00F32F0E"/>
    <w:rsid w:val="00F32F65"/>
    <w:rsid w:val="00F33689"/>
    <w:rsid w:val="00F33FCB"/>
    <w:rsid w:val="00F34B94"/>
    <w:rsid w:val="00F34D01"/>
    <w:rsid w:val="00F34F7E"/>
    <w:rsid w:val="00F350E5"/>
    <w:rsid w:val="00F351B1"/>
    <w:rsid w:val="00F36470"/>
    <w:rsid w:val="00F36807"/>
    <w:rsid w:val="00F36A7F"/>
    <w:rsid w:val="00F37234"/>
    <w:rsid w:val="00F37773"/>
    <w:rsid w:val="00F37827"/>
    <w:rsid w:val="00F37C5D"/>
    <w:rsid w:val="00F4013F"/>
    <w:rsid w:val="00F403A3"/>
    <w:rsid w:val="00F4094E"/>
    <w:rsid w:val="00F40EF8"/>
    <w:rsid w:val="00F41BB6"/>
    <w:rsid w:val="00F41BF8"/>
    <w:rsid w:val="00F41F0F"/>
    <w:rsid w:val="00F42233"/>
    <w:rsid w:val="00F4238B"/>
    <w:rsid w:val="00F42399"/>
    <w:rsid w:val="00F423AF"/>
    <w:rsid w:val="00F425CC"/>
    <w:rsid w:val="00F42751"/>
    <w:rsid w:val="00F42BA4"/>
    <w:rsid w:val="00F42D02"/>
    <w:rsid w:val="00F43490"/>
    <w:rsid w:val="00F436B2"/>
    <w:rsid w:val="00F436ED"/>
    <w:rsid w:val="00F4420D"/>
    <w:rsid w:val="00F44796"/>
    <w:rsid w:val="00F450BD"/>
    <w:rsid w:val="00F45D5F"/>
    <w:rsid w:val="00F45E7B"/>
    <w:rsid w:val="00F467B1"/>
    <w:rsid w:val="00F46BE4"/>
    <w:rsid w:val="00F47B2F"/>
    <w:rsid w:val="00F50B79"/>
    <w:rsid w:val="00F50DAB"/>
    <w:rsid w:val="00F50DEB"/>
    <w:rsid w:val="00F51231"/>
    <w:rsid w:val="00F51A4F"/>
    <w:rsid w:val="00F51B36"/>
    <w:rsid w:val="00F52058"/>
    <w:rsid w:val="00F52294"/>
    <w:rsid w:val="00F5276F"/>
    <w:rsid w:val="00F52A45"/>
    <w:rsid w:val="00F52A6E"/>
    <w:rsid w:val="00F52B06"/>
    <w:rsid w:val="00F52BC9"/>
    <w:rsid w:val="00F531B1"/>
    <w:rsid w:val="00F5382F"/>
    <w:rsid w:val="00F53C26"/>
    <w:rsid w:val="00F546F5"/>
    <w:rsid w:val="00F54EC5"/>
    <w:rsid w:val="00F552D1"/>
    <w:rsid w:val="00F55418"/>
    <w:rsid w:val="00F558A4"/>
    <w:rsid w:val="00F558ED"/>
    <w:rsid w:val="00F55DEB"/>
    <w:rsid w:val="00F567CD"/>
    <w:rsid w:val="00F56C41"/>
    <w:rsid w:val="00F56D44"/>
    <w:rsid w:val="00F57024"/>
    <w:rsid w:val="00F5784B"/>
    <w:rsid w:val="00F57A5D"/>
    <w:rsid w:val="00F57A6E"/>
    <w:rsid w:val="00F6000A"/>
    <w:rsid w:val="00F602DB"/>
    <w:rsid w:val="00F6065A"/>
    <w:rsid w:val="00F608DA"/>
    <w:rsid w:val="00F60CD0"/>
    <w:rsid w:val="00F60E25"/>
    <w:rsid w:val="00F6104F"/>
    <w:rsid w:val="00F61158"/>
    <w:rsid w:val="00F61211"/>
    <w:rsid w:val="00F61814"/>
    <w:rsid w:val="00F619AC"/>
    <w:rsid w:val="00F61D6B"/>
    <w:rsid w:val="00F61E58"/>
    <w:rsid w:val="00F62A3D"/>
    <w:rsid w:val="00F62C3E"/>
    <w:rsid w:val="00F630AC"/>
    <w:rsid w:val="00F63197"/>
    <w:rsid w:val="00F63202"/>
    <w:rsid w:val="00F637B6"/>
    <w:rsid w:val="00F6383B"/>
    <w:rsid w:val="00F64076"/>
    <w:rsid w:val="00F64F92"/>
    <w:rsid w:val="00F6598A"/>
    <w:rsid w:val="00F667C9"/>
    <w:rsid w:val="00F66BCD"/>
    <w:rsid w:val="00F66F74"/>
    <w:rsid w:val="00F67197"/>
    <w:rsid w:val="00F674EB"/>
    <w:rsid w:val="00F67FC4"/>
    <w:rsid w:val="00F700C7"/>
    <w:rsid w:val="00F70FCA"/>
    <w:rsid w:val="00F718CF"/>
    <w:rsid w:val="00F71A71"/>
    <w:rsid w:val="00F71ACF"/>
    <w:rsid w:val="00F727A6"/>
    <w:rsid w:val="00F73546"/>
    <w:rsid w:val="00F7385E"/>
    <w:rsid w:val="00F73A54"/>
    <w:rsid w:val="00F743D0"/>
    <w:rsid w:val="00F743E8"/>
    <w:rsid w:val="00F743F9"/>
    <w:rsid w:val="00F75EAE"/>
    <w:rsid w:val="00F763C2"/>
    <w:rsid w:val="00F7702E"/>
    <w:rsid w:val="00F772C7"/>
    <w:rsid w:val="00F77B4D"/>
    <w:rsid w:val="00F77EC8"/>
    <w:rsid w:val="00F80728"/>
    <w:rsid w:val="00F80963"/>
    <w:rsid w:val="00F80FAE"/>
    <w:rsid w:val="00F80FEB"/>
    <w:rsid w:val="00F81114"/>
    <w:rsid w:val="00F8139B"/>
    <w:rsid w:val="00F8196B"/>
    <w:rsid w:val="00F82D14"/>
    <w:rsid w:val="00F82EA1"/>
    <w:rsid w:val="00F82FDC"/>
    <w:rsid w:val="00F83B0A"/>
    <w:rsid w:val="00F83C90"/>
    <w:rsid w:val="00F83D74"/>
    <w:rsid w:val="00F840E8"/>
    <w:rsid w:val="00F84124"/>
    <w:rsid w:val="00F8429A"/>
    <w:rsid w:val="00F84587"/>
    <w:rsid w:val="00F84E3C"/>
    <w:rsid w:val="00F853F4"/>
    <w:rsid w:val="00F85E02"/>
    <w:rsid w:val="00F85F9A"/>
    <w:rsid w:val="00F861C3"/>
    <w:rsid w:val="00F86C6D"/>
    <w:rsid w:val="00F87174"/>
    <w:rsid w:val="00F87448"/>
    <w:rsid w:val="00F87702"/>
    <w:rsid w:val="00F90D7F"/>
    <w:rsid w:val="00F91101"/>
    <w:rsid w:val="00F912D0"/>
    <w:rsid w:val="00F91320"/>
    <w:rsid w:val="00F918F3"/>
    <w:rsid w:val="00F91D81"/>
    <w:rsid w:val="00F91DD6"/>
    <w:rsid w:val="00F92B46"/>
    <w:rsid w:val="00F93381"/>
    <w:rsid w:val="00F939D5"/>
    <w:rsid w:val="00F93D18"/>
    <w:rsid w:val="00F93D55"/>
    <w:rsid w:val="00F940C2"/>
    <w:rsid w:val="00F944BB"/>
    <w:rsid w:val="00F94B58"/>
    <w:rsid w:val="00F94DD3"/>
    <w:rsid w:val="00F953FB"/>
    <w:rsid w:val="00F95475"/>
    <w:rsid w:val="00F9560A"/>
    <w:rsid w:val="00F9564D"/>
    <w:rsid w:val="00F95B5F"/>
    <w:rsid w:val="00F95D84"/>
    <w:rsid w:val="00F95F9C"/>
    <w:rsid w:val="00F96894"/>
    <w:rsid w:val="00F96950"/>
    <w:rsid w:val="00F96F5F"/>
    <w:rsid w:val="00F96F61"/>
    <w:rsid w:val="00F970A3"/>
    <w:rsid w:val="00F976FD"/>
    <w:rsid w:val="00F977F6"/>
    <w:rsid w:val="00F97D70"/>
    <w:rsid w:val="00F97EC4"/>
    <w:rsid w:val="00F97F84"/>
    <w:rsid w:val="00FA017C"/>
    <w:rsid w:val="00FA0F23"/>
    <w:rsid w:val="00FA0F5A"/>
    <w:rsid w:val="00FA1A94"/>
    <w:rsid w:val="00FA1B5A"/>
    <w:rsid w:val="00FA1C74"/>
    <w:rsid w:val="00FA21FC"/>
    <w:rsid w:val="00FA2317"/>
    <w:rsid w:val="00FA24E8"/>
    <w:rsid w:val="00FA2A38"/>
    <w:rsid w:val="00FA2FD3"/>
    <w:rsid w:val="00FA32B7"/>
    <w:rsid w:val="00FA3B23"/>
    <w:rsid w:val="00FA4208"/>
    <w:rsid w:val="00FA4783"/>
    <w:rsid w:val="00FA4847"/>
    <w:rsid w:val="00FA4C5B"/>
    <w:rsid w:val="00FA4D8A"/>
    <w:rsid w:val="00FA6067"/>
    <w:rsid w:val="00FA6277"/>
    <w:rsid w:val="00FA6756"/>
    <w:rsid w:val="00FA7BEA"/>
    <w:rsid w:val="00FA7E5A"/>
    <w:rsid w:val="00FA7F78"/>
    <w:rsid w:val="00FB053D"/>
    <w:rsid w:val="00FB0722"/>
    <w:rsid w:val="00FB1616"/>
    <w:rsid w:val="00FB1669"/>
    <w:rsid w:val="00FB1769"/>
    <w:rsid w:val="00FB1A54"/>
    <w:rsid w:val="00FB1AAF"/>
    <w:rsid w:val="00FB1F1E"/>
    <w:rsid w:val="00FB20DA"/>
    <w:rsid w:val="00FB2224"/>
    <w:rsid w:val="00FB2521"/>
    <w:rsid w:val="00FB2681"/>
    <w:rsid w:val="00FB2736"/>
    <w:rsid w:val="00FB409E"/>
    <w:rsid w:val="00FB4137"/>
    <w:rsid w:val="00FB46C5"/>
    <w:rsid w:val="00FB4D15"/>
    <w:rsid w:val="00FB4FD5"/>
    <w:rsid w:val="00FB67D8"/>
    <w:rsid w:val="00FB6ED1"/>
    <w:rsid w:val="00FB6EF5"/>
    <w:rsid w:val="00FB70A8"/>
    <w:rsid w:val="00FB715C"/>
    <w:rsid w:val="00FB76E7"/>
    <w:rsid w:val="00FB784C"/>
    <w:rsid w:val="00FB7FDB"/>
    <w:rsid w:val="00FC015E"/>
    <w:rsid w:val="00FC01DC"/>
    <w:rsid w:val="00FC0494"/>
    <w:rsid w:val="00FC0972"/>
    <w:rsid w:val="00FC0EBF"/>
    <w:rsid w:val="00FC1175"/>
    <w:rsid w:val="00FC1E16"/>
    <w:rsid w:val="00FC255B"/>
    <w:rsid w:val="00FC25AE"/>
    <w:rsid w:val="00FC2815"/>
    <w:rsid w:val="00FC2925"/>
    <w:rsid w:val="00FC32B7"/>
    <w:rsid w:val="00FC363B"/>
    <w:rsid w:val="00FC37BD"/>
    <w:rsid w:val="00FC3872"/>
    <w:rsid w:val="00FC3ADC"/>
    <w:rsid w:val="00FC4474"/>
    <w:rsid w:val="00FC46B5"/>
    <w:rsid w:val="00FC4935"/>
    <w:rsid w:val="00FC5544"/>
    <w:rsid w:val="00FC62E9"/>
    <w:rsid w:val="00FC6890"/>
    <w:rsid w:val="00FC71F2"/>
    <w:rsid w:val="00FC7728"/>
    <w:rsid w:val="00FC77C3"/>
    <w:rsid w:val="00FC7D15"/>
    <w:rsid w:val="00FD0682"/>
    <w:rsid w:val="00FD0EA1"/>
    <w:rsid w:val="00FD0F93"/>
    <w:rsid w:val="00FD143E"/>
    <w:rsid w:val="00FD1F2B"/>
    <w:rsid w:val="00FD2A35"/>
    <w:rsid w:val="00FD2ACD"/>
    <w:rsid w:val="00FD2AF5"/>
    <w:rsid w:val="00FD33F3"/>
    <w:rsid w:val="00FD3594"/>
    <w:rsid w:val="00FD3D47"/>
    <w:rsid w:val="00FD4014"/>
    <w:rsid w:val="00FD4F2A"/>
    <w:rsid w:val="00FD5372"/>
    <w:rsid w:val="00FD5B3D"/>
    <w:rsid w:val="00FD5D01"/>
    <w:rsid w:val="00FD6052"/>
    <w:rsid w:val="00FD623C"/>
    <w:rsid w:val="00FD65DF"/>
    <w:rsid w:val="00FD7917"/>
    <w:rsid w:val="00FD7B10"/>
    <w:rsid w:val="00FD7B9D"/>
    <w:rsid w:val="00FD7D21"/>
    <w:rsid w:val="00FE0271"/>
    <w:rsid w:val="00FE0392"/>
    <w:rsid w:val="00FE0695"/>
    <w:rsid w:val="00FE06BD"/>
    <w:rsid w:val="00FE0897"/>
    <w:rsid w:val="00FE0960"/>
    <w:rsid w:val="00FE0B7D"/>
    <w:rsid w:val="00FE0BA9"/>
    <w:rsid w:val="00FE0EA8"/>
    <w:rsid w:val="00FE162F"/>
    <w:rsid w:val="00FE1BCA"/>
    <w:rsid w:val="00FE2349"/>
    <w:rsid w:val="00FE2B0E"/>
    <w:rsid w:val="00FE3895"/>
    <w:rsid w:val="00FE4298"/>
    <w:rsid w:val="00FE4539"/>
    <w:rsid w:val="00FE46E8"/>
    <w:rsid w:val="00FE542A"/>
    <w:rsid w:val="00FE59B9"/>
    <w:rsid w:val="00FE5C69"/>
    <w:rsid w:val="00FE5EB0"/>
    <w:rsid w:val="00FE69A3"/>
    <w:rsid w:val="00FE69BA"/>
    <w:rsid w:val="00FE704F"/>
    <w:rsid w:val="00FE72FD"/>
    <w:rsid w:val="00FE77BD"/>
    <w:rsid w:val="00FE7D68"/>
    <w:rsid w:val="00FE7F68"/>
    <w:rsid w:val="00FE7FE2"/>
    <w:rsid w:val="00FF0035"/>
    <w:rsid w:val="00FF0DE9"/>
    <w:rsid w:val="00FF0FF0"/>
    <w:rsid w:val="00FF13B9"/>
    <w:rsid w:val="00FF140D"/>
    <w:rsid w:val="00FF1421"/>
    <w:rsid w:val="00FF16CD"/>
    <w:rsid w:val="00FF1EE0"/>
    <w:rsid w:val="00FF201C"/>
    <w:rsid w:val="00FF2B0F"/>
    <w:rsid w:val="00FF2CD5"/>
    <w:rsid w:val="00FF3F58"/>
    <w:rsid w:val="00FF4312"/>
    <w:rsid w:val="00FF4563"/>
    <w:rsid w:val="00FF4A15"/>
    <w:rsid w:val="00FF5115"/>
    <w:rsid w:val="00FF5B05"/>
    <w:rsid w:val="00FF6043"/>
    <w:rsid w:val="00FF60C6"/>
    <w:rsid w:val="00FF67CC"/>
    <w:rsid w:val="06E1EC43"/>
    <w:rsid w:val="09D6A783"/>
    <w:rsid w:val="0D746894"/>
    <w:rsid w:val="137AEEE8"/>
    <w:rsid w:val="15615DC0"/>
    <w:rsid w:val="1648B118"/>
    <w:rsid w:val="203C4662"/>
    <w:rsid w:val="2935932C"/>
    <w:rsid w:val="2C2B78DF"/>
    <w:rsid w:val="3427881D"/>
    <w:rsid w:val="34323D18"/>
    <w:rsid w:val="35619D85"/>
    <w:rsid w:val="37BE00A7"/>
    <w:rsid w:val="38454113"/>
    <w:rsid w:val="3AA29672"/>
    <w:rsid w:val="47290FFD"/>
    <w:rsid w:val="4BC3A84F"/>
    <w:rsid w:val="50C6256A"/>
    <w:rsid w:val="545D93CC"/>
    <w:rsid w:val="54FDEA99"/>
    <w:rsid w:val="5E9BAAE3"/>
    <w:rsid w:val="61AE9D16"/>
    <w:rsid w:val="674D4ADF"/>
    <w:rsid w:val="67964096"/>
    <w:rsid w:val="7B648FD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C0E7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Footnote Text Char Char Char Char Char Char,Footnote Text Char Char Char Char Char Char Char Char Char Char Char Char Char Char Char Char Char,C,Footnote text,Footnote Text2,Footnote Text Char Char,Footnote Text Char1 Char Char,Text,Te"/>
    <w:basedOn w:val="Normal"/>
    <w:link w:val="FootnoteTextChar"/>
    <w:uiPriority w:val="99"/>
    <w:unhideWhenUsed/>
    <w:qFormat/>
    <w:rsid w:val="00C33416"/>
    <w:rPr>
      <w:sz w:val="20"/>
    </w:rPr>
  </w:style>
  <w:style w:type="character" w:customStyle="1" w:styleId="FootnoteTextChar">
    <w:name w:val="Footnote Text Char"/>
    <w:aliases w:val="5_G Char,Footnote Text Char Char Char Char Char Char Char,Footnote Text Char Char Char Char Char Char Char Char Char Char Char Char Char Char Char Char Char Char,C Char,Footnote text Char,Footnote Text2 Char,Text Char,Te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 refss Char Char1,4_G Char Char Char1 Char Char Char Char Char Char,Footnote Reference1 Char Char Char1 Char Char Char Char Char Char,Footnote,Stinking Styles,Texto de nota al pie,BVI fnr,f"/>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41"/>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styleId="UnresolvedMention">
    <w:name w:val="Unresolved Mention"/>
    <w:basedOn w:val="DefaultParagraphFont"/>
    <w:uiPriority w:val="99"/>
    <w:semiHidden/>
    <w:unhideWhenUsed/>
    <w:rsid w:val="002053CE"/>
    <w:rPr>
      <w:color w:val="605E5C"/>
      <w:shd w:val="clear" w:color="auto" w:fill="E1DFDD"/>
    </w:rPr>
  </w:style>
  <w:style w:type="character" w:customStyle="1" w:styleId="published">
    <w:name w:val="published"/>
    <w:basedOn w:val="DefaultParagraphFont"/>
    <w:rsid w:val="007927BF"/>
  </w:style>
  <w:style w:type="character" w:styleId="FollowedHyperlink">
    <w:name w:val="FollowedHyperlink"/>
    <w:basedOn w:val="DefaultParagraphFont"/>
    <w:uiPriority w:val="99"/>
    <w:semiHidden/>
    <w:unhideWhenUsed/>
    <w:rsid w:val="007927BF"/>
    <w:rPr>
      <w:color w:val="800080" w:themeColor="followedHyperlink"/>
      <w:u w:val="single"/>
    </w:rPr>
  </w:style>
  <w:style w:type="paragraph" w:styleId="Revision">
    <w:name w:val="Revision"/>
    <w:hidden/>
    <w:uiPriority w:val="99"/>
    <w:semiHidden/>
    <w:rsid w:val="002F0319"/>
    <w:rPr>
      <w:rFonts w:ascii="Arial" w:hAnsi="Arial"/>
      <w:color w:val="000000" w:themeColor="text1"/>
      <w:sz w:val="22"/>
      <w:lang w:val="en-AU"/>
    </w:rPr>
  </w:style>
  <w:style w:type="paragraph" w:styleId="NormalWeb">
    <w:name w:val="Normal (Web)"/>
    <w:basedOn w:val="Normal"/>
    <w:uiPriority w:val="99"/>
    <w:semiHidden/>
    <w:unhideWhenUsed/>
    <w:rsid w:val="00796520"/>
    <w:rPr>
      <w:rFonts w:ascii="Times New Roman" w:hAnsi="Times New Roman" w:cs="Times New Roman"/>
      <w:sz w:val="24"/>
    </w:rPr>
  </w:style>
  <w:style w:type="character" w:styleId="Mention">
    <w:name w:val="Mention"/>
    <w:basedOn w:val="DefaultParagraphFont"/>
    <w:uiPriority w:val="99"/>
    <w:unhideWhenUsed/>
    <w:rsid w:val="004A6763"/>
    <w:rPr>
      <w:color w:val="2B579A"/>
      <w:shd w:val="clear" w:color="auto" w:fill="E1DFDD"/>
    </w:rPr>
  </w:style>
  <w:style w:type="paragraph" w:customStyle="1" w:styleId="Caseexample">
    <w:name w:val="Case example"/>
    <w:basedOn w:val="Normal"/>
    <w:qFormat/>
    <w:rsid w:val="00965D8A"/>
    <w:pPr>
      <w:pBdr>
        <w:left w:val="single" w:sz="36" w:space="8" w:color="004270"/>
      </w:pBdr>
      <w:spacing w:after="240"/>
      <w:ind w:left="851"/>
    </w:pPr>
    <w:rPr>
      <w:color w:val="004270"/>
    </w:rPr>
  </w:style>
  <w:style w:type="paragraph" w:styleId="Caption">
    <w:name w:val="caption"/>
    <w:basedOn w:val="Normal"/>
    <w:next w:val="Normal"/>
    <w:uiPriority w:val="35"/>
    <w:unhideWhenUsed/>
    <w:qFormat/>
    <w:rsid w:val="007E1B2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69240">
      <w:bodyDiv w:val="1"/>
      <w:marLeft w:val="0"/>
      <w:marRight w:val="0"/>
      <w:marTop w:val="0"/>
      <w:marBottom w:val="0"/>
      <w:divBdr>
        <w:top w:val="none" w:sz="0" w:space="0" w:color="auto"/>
        <w:left w:val="none" w:sz="0" w:space="0" w:color="auto"/>
        <w:bottom w:val="none" w:sz="0" w:space="0" w:color="auto"/>
        <w:right w:val="none" w:sz="0" w:space="0" w:color="auto"/>
      </w:divBdr>
    </w:div>
    <w:div w:id="128017515">
      <w:bodyDiv w:val="1"/>
      <w:marLeft w:val="0"/>
      <w:marRight w:val="0"/>
      <w:marTop w:val="0"/>
      <w:marBottom w:val="0"/>
      <w:divBdr>
        <w:top w:val="none" w:sz="0" w:space="0" w:color="auto"/>
        <w:left w:val="none" w:sz="0" w:space="0" w:color="auto"/>
        <w:bottom w:val="none" w:sz="0" w:space="0" w:color="auto"/>
        <w:right w:val="none" w:sz="0" w:space="0" w:color="auto"/>
      </w:divBdr>
    </w:div>
    <w:div w:id="156461823">
      <w:bodyDiv w:val="1"/>
      <w:marLeft w:val="0"/>
      <w:marRight w:val="0"/>
      <w:marTop w:val="0"/>
      <w:marBottom w:val="0"/>
      <w:divBdr>
        <w:top w:val="none" w:sz="0" w:space="0" w:color="auto"/>
        <w:left w:val="none" w:sz="0" w:space="0" w:color="auto"/>
        <w:bottom w:val="none" w:sz="0" w:space="0" w:color="auto"/>
        <w:right w:val="none" w:sz="0" w:space="0" w:color="auto"/>
      </w:divBdr>
    </w:div>
    <w:div w:id="156696985">
      <w:bodyDiv w:val="1"/>
      <w:marLeft w:val="0"/>
      <w:marRight w:val="0"/>
      <w:marTop w:val="0"/>
      <w:marBottom w:val="0"/>
      <w:divBdr>
        <w:top w:val="none" w:sz="0" w:space="0" w:color="auto"/>
        <w:left w:val="none" w:sz="0" w:space="0" w:color="auto"/>
        <w:bottom w:val="none" w:sz="0" w:space="0" w:color="auto"/>
        <w:right w:val="none" w:sz="0" w:space="0" w:color="auto"/>
      </w:divBdr>
    </w:div>
    <w:div w:id="168181479">
      <w:bodyDiv w:val="1"/>
      <w:marLeft w:val="0"/>
      <w:marRight w:val="0"/>
      <w:marTop w:val="0"/>
      <w:marBottom w:val="0"/>
      <w:divBdr>
        <w:top w:val="none" w:sz="0" w:space="0" w:color="auto"/>
        <w:left w:val="none" w:sz="0" w:space="0" w:color="auto"/>
        <w:bottom w:val="none" w:sz="0" w:space="0" w:color="auto"/>
        <w:right w:val="none" w:sz="0" w:space="0" w:color="auto"/>
      </w:divBdr>
    </w:div>
    <w:div w:id="278420066">
      <w:bodyDiv w:val="1"/>
      <w:marLeft w:val="0"/>
      <w:marRight w:val="0"/>
      <w:marTop w:val="0"/>
      <w:marBottom w:val="0"/>
      <w:divBdr>
        <w:top w:val="none" w:sz="0" w:space="0" w:color="auto"/>
        <w:left w:val="none" w:sz="0" w:space="0" w:color="auto"/>
        <w:bottom w:val="none" w:sz="0" w:space="0" w:color="auto"/>
        <w:right w:val="none" w:sz="0" w:space="0" w:color="auto"/>
      </w:divBdr>
    </w:div>
    <w:div w:id="315914512">
      <w:bodyDiv w:val="1"/>
      <w:marLeft w:val="0"/>
      <w:marRight w:val="0"/>
      <w:marTop w:val="0"/>
      <w:marBottom w:val="0"/>
      <w:divBdr>
        <w:top w:val="none" w:sz="0" w:space="0" w:color="auto"/>
        <w:left w:val="none" w:sz="0" w:space="0" w:color="auto"/>
        <w:bottom w:val="none" w:sz="0" w:space="0" w:color="auto"/>
        <w:right w:val="none" w:sz="0" w:space="0" w:color="auto"/>
      </w:divBdr>
    </w:div>
    <w:div w:id="402602571">
      <w:bodyDiv w:val="1"/>
      <w:marLeft w:val="0"/>
      <w:marRight w:val="0"/>
      <w:marTop w:val="0"/>
      <w:marBottom w:val="0"/>
      <w:divBdr>
        <w:top w:val="none" w:sz="0" w:space="0" w:color="auto"/>
        <w:left w:val="none" w:sz="0" w:space="0" w:color="auto"/>
        <w:bottom w:val="none" w:sz="0" w:space="0" w:color="auto"/>
        <w:right w:val="none" w:sz="0" w:space="0" w:color="auto"/>
      </w:divBdr>
    </w:div>
    <w:div w:id="483551220">
      <w:bodyDiv w:val="1"/>
      <w:marLeft w:val="0"/>
      <w:marRight w:val="0"/>
      <w:marTop w:val="0"/>
      <w:marBottom w:val="0"/>
      <w:divBdr>
        <w:top w:val="none" w:sz="0" w:space="0" w:color="auto"/>
        <w:left w:val="none" w:sz="0" w:space="0" w:color="auto"/>
        <w:bottom w:val="none" w:sz="0" w:space="0" w:color="auto"/>
        <w:right w:val="none" w:sz="0" w:space="0" w:color="auto"/>
      </w:divBdr>
    </w:div>
    <w:div w:id="504977452">
      <w:bodyDiv w:val="1"/>
      <w:marLeft w:val="0"/>
      <w:marRight w:val="0"/>
      <w:marTop w:val="0"/>
      <w:marBottom w:val="0"/>
      <w:divBdr>
        <w:top w:val="none" w:sz="0" w:space="0" w:color="auto"/>
        <w:left w:val="none" w:sz="0" w:space="0" w:color="auto"/>
        <w:bottom w:val="none" w:sz="0" w:space="0" w:color="auto"/>
        <w:right w:val="none" w:sz="0" w:space="0" w:color="auto"/>
      </w:divBdr>
    </w:div>
    <w:div w:id="506484720">
      <w:bodyDiv w:val="1"/>
      <w:marLeft w:val="0"/>
      <w:marRight w:val="0"/>
      <w:marTop w:val="0"/>
      <w:marBottom w:val="0"/>
      <w:divBdr>
        <w:top w:val="none" w:sz="0" w:space="0" w:color="auto"/>
        <w:left w:val="none" w:sz="0" w:space="0" w:color="auto"/>
        <w:bottom w:val="none" w:sz="0" w:space="0" w:color="auto"/>
        <w:right w:val="none" w:sz="0" w:space="0" w:color="auto"/>
      </w:divBdr>
    </w:div>
    <w:div w:id="521556058">
      <w:bodyDiv w:val="1"/>
      <w:marLeft w:val="0"/>
      <w:marRight w:val="0"/>
      <w:marTop w:val="0"/>
      <w:marBottom w:val="0"/>
      <w:divBdr>
        <w:top w:val="none" w:sz="0" w:space="0" w:color="auto"/>
        <w:left w:val="none" w:sz="0" w:space="0" w:color="auto"/>
        <w:bottom w:val="none" w:sz="0" w:space="0" w:color="auto"/>
        <w:right w:val="none" w:sz="0" w:space="0" w:color="auto"/>
      </w:divBdr>
    </w:div>
    <w:div w:id="573053550">
      <w:bodyDiv w:val="1"/>
      <w:marLeft w:val="0"/>
      <w:marRight w:val="0"/>
      <w:marTop w:val="0"/>
      <w:marBottom w:val="0"/>
      <w:divBdr>
        <w:top w:val="none" w:sz="0" w:space="0" w:color="auto"/>
        <w:left w:val="none" w:sz="0" w:space="0" w:color="auto"/>
        <w:bottom w:val="none" w:sz="0" w:space="0" w:color="auto"/>
        <w:right w:val="none" w:sz="0" w:space="0" w:color="auto"/>
      </w:divBdr>
    </w:div>
    <w:div w:id="710501395">
      <w:bodyDiv w:val="1"/>
      <w:marLeft w:val="0"/>
      <w:marRight w:val="0"/>
      <w:marTop w:val="0"/>
      <w:marBottom w:val="0"/>
      <w:divBdr>
        <w:top w:val="none" w:sz="0" w:space="0" w:color="auto"/>
        <w:left w:val="none" w:sz="0" w:space="0" w:color="auto"/>
        <w:bottom w:val="none" w:sz="0" w:space="0" w:color="auto"/>
        <w:right w:val="none" w:sz="0" w:space="0" w:color="auto"/>
      </w:divBdr>
    </w:div>
    <w:div w:id="722211841">
      <w:bodyDiv w:val="1"/>
      <w:marLeft w:val="0"/>
      <w:marRight w:val="0"/>
      <w:marTop w:val="0"/>
      <w:marBottom w:val="0"/>
      <w:divBdr>
        <w:top w:val="none" w:sz="0" w:space="0" w:color="auto"/>
        <w:left w:val="none" w:sz="0" w:space="0" w:color="auto"/>
        <w:bottom w:val="none" w:sz="0" w:space="0" w:color="auto"/>
        <w:right w:val="none" w:sz="0" w:space="0" w:color="auto"/>
      </w:divBdr>
    </w:div>
    <w:div w:id="866404531">
      <w:bodyDiv w:val="1"/>
      <w:marLeft w:val="0"/>
      <w:marRight w:val="0"/>
      <w:marTop w:val="0"/>
      <w:marBottom w:val="0"/>
      <w:divBdr>
        <w:top w:val="none" w:sz="0" w:space="0" w:color="auto"/>
        <w:left w:val="none" w:sz="0" w:space="0" w:color="auto"/>
        <w:bottom w:val="none" w:sz="0" w:space="0" w:color="auto"/>
        <w:right w:val="none" w:sz="0" w:space="0" w:color="auto"/>
      </w:divBdr>
    </w:div>
    <w:div w:id="872692130">
      <w:bodyDiv w:val="1"/>
      <w:marLeft w:val="0"/>
      <w:marRight w:val="0"/>
      <w:marTop w:val="0"/>
      <w:marBottom w:val="0"/>
      <w:divBdr>
        <w:top w:val="none" w:sz="0" w:space="0" w:color="auto"/>
        <w:left w:val="none" w:sz="0" w:space="0" w:color="auto"/>
        <w:bottom w:val="none" w:sz="0" w:space="0" w:color="auto"/>
        <w:right w:val="none" w:sz="0" w:space="0" w:color="auto"/>
      </w:divBdr>
    </w:div>
    <w:div w:id="950207239">
      <w:bodyDiv w:val="1"/>
      <w:marLeft w:val="0"/>
      <w:marRight w:val="0"/>
      <w:marTop w:val="0"/>
      <w:marBottom w:val="0"/>
      <w:divBdr>
        <w:top w:val="none" w:sz="0" w:space="0" w:color="auto"/>
        <w:left w:val="none" w:sz="0" w:space="0" w:color="auto"/>
        <w:bottom w:val="none" w:sz="0" w:space="0" w:color="auto"/>
        <w:right w:val="none" w:sz="0" w:space="0" w:color="auto"/>
      </w:divBdr>
    </w:div>
    <w:div w:id="961574452">
      <w:bodyDiv w:val="1"/>
      <w:marLeft w:val="0"/>
      <w:marRight w:val="0"/>
      <w:marTop w:val="0"/>
      <w:marBottom w:val="0"/>
      <w:divBdr>
        <w:top w:val="none" w:sz="0" w:space="0" w:color="auto"/>
        <w:left w:val="none" w:sz="0" w:space="0" w:color="auto"/>
        <w:bottom w:val="none" w:sz="0" w:space="0" w:color="auto"/>
        <w:right w:val="none" w:sz="0" w:space="0" w:color="auto"/>
      </w:divBdr>
    </w:div>
    <w:div w:id="1051729680">
      <w:bodyDiv w:val="1"/>
      <w:marLeft w:val="0"/>
      <w:marRight w:val="0"/>
      <w:marTop w:val="0"/>
      <w:marBottom w:val="0"/>
      <w:divBdr>
        <w:top w:val="none" w:sz="0" w:space="0" w:color="auto"/>
        <w:left w:val="none" w:sz="0" w:space="0" w:color="auto"/>
        <w:bottom w:val="none" w:sz="0" w:space="0" w:color="auto"/>
        <w:right w:val="none" w:sz="0" w:space="0" w:color="auto"/>
      </w:divBdr>
    </w:div>
    <w:div w:id="1070300586">
      <w:bodyDiv w:val="1"/>
      <w:marLeft w:val="0"/>
      <w:marRight w:val="0"/>
      <w:marTop w:val="0"/>
      <w:marBottom w:val="0"/>
      <w:divBdr>
        <w:top w:val="none" w:sz="0" w:space="0" w:color="auto"/>
        <w:left w:val="none" w:sz="0" w:space="0" w:color="auto"/>
        <w:bottom w:val="none" w:sz="0" w:space="0" w:color="auto"/>
        <w:right w:val="none" w:sz="0" w:space="0" w:color="auto"/>
      </w:divBdr>
    </w:div>
    <w:div w:id="1074666096">
      <w:bodyDiv w:val="1"/>
      <w:marLeft w:val="0"/>
      <w:marRight w:val="0"/>
      <w:marTop w:val="0"/>
      <w:marBottom w:val="0"/>
      <w:divBdr>
        <w:top w:val="none" w:sz="0" w:space="0" w:color="auto"/>
        <w:left w:val="none" w:sz="0" w:space="0" w:color="auto"/>
        <w:bottom w:val="none" w:sz="0" w:space="0" w:color="auto"/>
        <w:right w:val="none" w:sz="0" w:space="0" w:color="auto"/>
      </w:divBdr>
    </w:div>
    <w:div w:id="1215196752">
      <w:bodyDiv w:val="1"/>
      <w:marLeft w:val="0"/>
      <w:marRight w:val="0"/>
      <w:marTop w:val="0"/>
      <w:marBottom w:val="0"/>
      <w:divBdr>
        <w:top w:val="none" w:sz="0" w:space="0" w:color="auto"/>
        <w:left w:val="none" w:sz="0" w:space="0" w:color="auto"/>
        <w:bottom w:val="none" w:sz="0" w:space="0" w:color="auto"/>
        <w:right w:val="none" w:sz="0" w:space="0" w:color="auto"/>
      </w:divBdr>
    </w:div>
    <w:div w:id="1269118191">
      <w:bodyDiv w:val="1"/>
      <w:marLeft w:val="0"/>
      <w:marRight w:val="0"/>
      <w:marTop w:val="0"/>
      <w:marBottom w:val="0"/>
      <w:divBdr>
        <w:top w:val="none" w:sz="0" w:space="0" w:color="auto"/>
        <w:left w:val="none" w:sz="0" w:space="0" w:color="auto"/>
        <w:bottom w:val="none" w:sz="0" w:space="0" w:color="auto"/>
        <w:right w:val="none" w:sz="0" w:space="0" w:color="auto"/>
      </w:divBdr>
    </w:div>
    <w:div w:id="1298150085">
      <w:bodyDiv w:val="1"/>
      <w:marLeft w:val="0"/>
      <w:marRight w:val="0"/>
      <w:marTop w:val="0"/>
      <w:marBottom w:val="0"/>
      <w:divBdr>
        <w:top w:val="none" w:sz="0" w:space="0" w:color="auto"/>
        <w:left w:val="none" w:sz="0" w:space="0" w:color="auto"/>
        <w:bottom w:val="none" w:sz="0" w:space="0" w:color="auto"/>
        <w:right w:val="none" w:sz="0" w:space="0" w:color="auto"/>
      </w:divBdr>
    </w:div>
    <w:div w:id="1390229951">
      <w:bodyDiv w:val="1"/>
      <w:marLeft w:val="0"/>
      <w:marRight w:val="0"/>
      <w:marTop w:val="0"/>
      <w:marBottom w:val="0"/>
      <w:divBdr>
        <w:top w:val="none" w:sz="0" w:space="0" w:color="auto"/>
        <w:left w:val="none" w:sz="0" w:space="0" w:color="auto"/>
        <w:bottom w:val="none" w:sz="0" w:space="0" w:color="auto"/>
        <w:right w:val="none" w:sz="0" w:space="0" w:color="auto"/>
      </w:divBdr>
    </w:div>
    <w:div w:id="1424765312">
      <w:bodyDiv w:val="1"/>
      <w:marLeft w:val="0"/>
      <w:marRight w:val="0"/>
      <w:marTop w:val="0"/>
      <w:marBottom w:val="0"/>
      <w:divBdr>
        <w:top w:val="none" w:sz="0" w:space="0" w:color="auto"/>
        <w:left w:val="none" w:sz="0" w:space="0" w:color="auto"/>
        <w:bottom w:val="none" w:sz="0" w:space="0" w:color="auto"/>
        <w:right w:val="none" w:sz="0" w:space="0" w:color="auto"/>
      </w:divBdr>
    </w:div>
    <w:div w:id="1491019774">
      <w:bodyDiv w:val="1"/>
      <w:marLeft w:val="0"/>
      <w:marRight w:val="0"/>
      <w:marTop w:val="0"/>
      <w:marBottom w:val="0"/>
      <w:divBdr>
        <w:top w:val="none" w:sz="0" w:space="0" w:color="auto"/>
        <w:left w:val="none" w:sz="0" w:space="0" w:color="auto"/>
        <w:bottom w:val="none" w:sz="0" w:space="0" w:color="auto"/>
        <w:right w:val="none" w:sz="0" w:space="0" w:color="auto"/>
      </w:divBdr>
    </w:div>
    <w:div w:id="1605839464">
      <w:bodyDiv w:val="1"/>
      <w:marLeft w:val="0"/>
      <w:marRight w:val="0"/>
      <w:marTop w:val="0"/>
      <w:marBottom w:val="0"/>
      <w:divBdr>
        <w:top w:val="none" w:sz="0" w:space="0" w:color="auto"/>
        <w:left w:val="none" w:sz="0" w:space="0" w:color="auto"/>
        <w:bottom w:val="none" w:sz="0" w:space="0" w:color="auto"/>
        <w:right w:val="none" w:sz="0" w:space="0" w:color="auto"/>
      </w:divBdr>
      <w:divsChild>
        <w:div w:id="349767711">
          <w:marLeft w:val="274"/>
          <w:marRight w:val="0"/>
          <w:marTop w:val="0"/>
          <w:marBottom w:val="0"/>
          <w:divBdr>
            <w:top w:val="none" w:sz="0" w:space="0" w:color="auto"/>
            <w:left w:val="none" w:sz="0" w:space="0" w:color="auto"/>
            <w:bottom w:val="none" w:sz="0" w:space="0" w:color="auto"/>
            <w:right w:val="none" w:sz="0" w:space="0" w:color="auto"/>
          </w:divBdr>
        </w:div>
        <w:div w:id="1799953996">
          <w:marLeft w:val="274"/>
          <w:marRight w:val="0"/>
          <w:marTop w:val="0"/>
          <w:marBottom w:val="0"/>
          <w:divBdr>
            <w:top w:val="none" w:sz="0" w:space="0" w:color="auto"/>
            <w:left w:val="none" w:sz="0" w:space="0" w:color="auto"/>
            <w:bottom w:val="none" w:sz="0" w:space="0" w:color="auto"/>
            <w:right w:val="none" w:sz="0" w:space="0" w:color="auto"/>
          </w:divBdr>
        </w:div>
      </w:divsChild>
    </w:div>
    <w:div w:id="1656449750">
      <w:bodyDiv w:val="1"/>
      <w:marLeft w:val="0"/>
      <w:marRight w:val="0"/>
      <w:marTop w:val="0"/>
      <w:marBottom w:val="0"/>
      <w:divBdr>
        <w:top w:val="none" w:sz="0" w:space="0" w:color="auto"/>
        <w:left w:val="none" w:sz="0" w:space="0" w:color="auto"/>
        <w:bottom w:val="none" w:sz="0" w:space="0" w:color="auto"/>
        <w:right w:val="none" w:sz="0" w:space="0" w:color="auto"/>
      </w:divBdr>
    </w:div>
    <w:div w:id="1656835197">
      <w:bodyDiv w:val="1"/>
      <w:marLeft w:val="0"/>
      <w:marRight w:val="0"/>
      <w:marTop w:val="0"/>
      <w:marBottom w:val="0"/>
      <w:divBdr>
        <w:top w:val="none" w:sz="0" w:space="0" w:color="auto"/>
        <w:left w:val="none" w:sz="0" w:space="0" w:color="auto"/>
        <w:bottom w:val="none" w:sz="0" w:space="0" w:color="auto"/>
        <w:right w:val="none" w:sz="0" w:space="0" w:color="auto"/>
      </w:divBdr>
    </w:div>
    <w:div w:id="1800686871">
      <w:bodyDiv w:val="1"/>
      <w:marLeft w:val="0"/>
      <w:marRight w:val="0"/>
      <w:marTop w:val="0"/>
      <w:marBottom w:val="0"/>
      <w:divBdr>
        <w:top w:val="none" w:sz="0" w:space="0" w:color="auto"/>
        <w:left w:val="none" w:sz="0" w:space="0" w:color="auto"/>
        <w:bottom w:val="none" w:sz="0" w:space="0" w:color="auto"/>
        <w:right w:val="none" w:sz="0" w:space="0" w:color="auto"/>
      </w:divBdr>
    </w:div>
    <w:div w:id="1828131809">
      <w:bodyDiv w:val="1"/>
      <w:marLeft w:val="0"/>
      <w:marRight w:val="0"/>
      <w:marTop w:val="0"/>
      <w:marBottom w:val="0"/>
      <w:divBdr>
        <w:top w:val="none" w:sz="0" w:space="0" w:color="auto"/>
        <w:left w:val="none" w:sz="0" w:space="0" w:color="auto"/>
        <w:bottom w:val="none" w:sz="0" w:space="0" w:color="auto"/>
        <w:right w:val="none" w:sz="0" w:space="0" w:color="auto"/>
      </w:divBdr>
    </w:div>
    <w:div w:id="1857574766">
      <w:bodyDiv w:val="1"/>
      <w:marLeft w:val="0"/>
      <w:marRight w:val="0"/>
      <w:marTop w:val="0"/>
      <w:marBottom w:val="0"/>
      <w:divBdr>
        <w:top w:val="none" w:sz="0" w:space="0" w:color="auto"/>
        <w:left w:val="none" w:sz="0" w:space="0" w:color="auto"/>
        <w:bottom w:val="none" w:sz="0" w:space="0" w:color="auto"/>
        <w:right w:val="none" w:sz="0" w:space="0" w:color="auto"/>
      </w:divBdr>
      <w:divsChild>
        <w:div w:id="671025559">
          <w:marLeft w:val="0"/>
          <w:marRight w:val="0"/>
          <w:marTop w:val="0"/>
          <w:marBottom w:val="400"/>
          <w:divBdr>
            <w:top w:val="none" w:sz="0" w:space="0" w:color="auto"/>
            <w:left w:val="none" w:sz="0" w:space="0" w:color="auto"/>
            <w:bottom w:val="none" w:sz="0" w:space="0" w:color="auto"/>
            <w:right w:val="none" w:sz="0" w:space="0" w:color="auto"/>
          </w:divBdr>
        </w:div>
      </w:divsChild>
    </w:div>
    <w:div w:id="1945990800">
      <w:bodyDiv w:val="1"/>
      <w:marLeft w:val="0"/>
      <w:marRight w:val="0"/>
      <w:marTop w:val="0"/>
      <w:marBottom w:val="0"/>
      <w:divBdr>
        <w:top w:val="none" w:sz="0" w:space="0" w:color="auto"/>
        <w:left w:val="none" w:sz="0" w:space="0" w:color="auto"/>
        <w:bottom w:val="none" w:sz="0" w:space="0" w:color="auto"/>
        <w:right w:val="none" w:sz="0" w:space="0" w:color="auto"/>
      </w:divBdr>
    </w:div>
    <w:div w:id="1989086791">
      <w:bodyDiv w:val="1"/>
      <w:marLeft w:val="0"/>
      <w:marRight w:val="0"/>
      <w:marTop w:val="0"/>
      <w:marBottom w:val="0"/>
      <w:divBdr>
        <w:top w:val="none" w:sz="0" w:space="0" w:color="auto"/>
        <w:left w:val="none" w:sz="0" w:space="0" w:color="auto"/>
        <w:bottom w:val="none" w:sz="0" w:space="0" w:color="auto"/>
        <w:right w:val="none" w:sz="0" w:space="0" w:color="auto"/>
      </w:divBdr>
    </w:div>
    <w:div w:id="2029797061">
      <w:bodyDiv w:val="1"/>
      <w:marLeft w:val="0"/>
      <w:marRight w:val="0"/>
      <w:marTop w:val="0"/>
      <w:marBottom w:val="0"/>
      <w:divBdr>
        <w:top w:val="none" w:sz="0" w:space="0" w:color="auto"/>
        <w:left w:val="none" w:sz="0" w:space="0" w:color="auto"/>
        <w:bottom w:val="none" w:sz="0" w:space="0" w:color="auto"/>
        <w:right w:val="none" w:sz="0" w:space="0" w:color="auto"/>
      </w:divBdr>
    </w:div>
    <w:div w:id="2084176585">
      <w:bodyDiv w:val="1"/>
      <w:marLeft w:val="0"/>
      <w:marRight w:val="0"/>
      <w:marTop w:val="0"/>
      <w:marBottom w:val="0"/>
      <w:divBdr>
        <w:top w:val="none" w:sz="0" w:space="0" w:color="auto"/>
        <w:left w:val="none" w:sz="0" w:space="0" w:color="auto"/>
        <w:bottom w:val="none" w:sz="0" w:space="0" w:color="auto"/>
        <w:right w:val="none" w:sz="0" w:space="0" w:color="auto"/>
      </w:divBdr>
    </w:div>
    <w:div w:id="2089569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statements.qld.gov.au/statements/97762" TargetMode="External"/><Relationship Id="rId13" Type="http://schemas.openxmlformats.org/officeDocument/2006/relationships/hyperlink" Target="https://www.abc.net.au/news/2024-01-24/queensland-children-in-adult-watchhouses-amounts-to-child-abuse/103386204" TargetMode="External"/><Relationship Id="rId18" Type="http://schemas.openxmlformats.org/officeDocument/2006/relationships/hyperlink" Target="https://www.abc.net.au/news/2024-08-06/review-queensland-police-watch-houses-systemic-issues/104188082" TargetMode="External"/><Relationship Id="rId26" Type="http://schemas.openxmlformats.org/officeDocument/2006/relationships/hyperlink" Target="https://www.ccyp.wa.gov.au/news/anzccga-joint-statement-on-isolation-in-youth-detention" TargetMode="External"/><Relationship Id="rId3" Type="http://schemas.openxmlformats.org/officeDocument/2006/relationships/hyperlink" Target="https://documents.parliament.qld.gov.au/tp/2024/5724T736-BBBD.pdf" TargetMode="External"/><Relationship Id="rId21" Type="http://schemas.openxmlformats.org/officeDocument/2006/relationships/hyperlink" Target="https://www.theguardian.com/australia-news/article/2024/jul/17/queensland-youth-crime-watch-house-footage-police-treatment-ntwnfb" TargetMode="External"/><Relationship Id="rId7" Type="http://schemas.openxmlformats.org/officeDocument/2006/relationships/hyperlink" Target="https://desbt.qld.gov.au/youth-justice/parents-guardians/programs-initiatives/initiatives/taskforce-guardian" TargetMode="External"/><Relationship Id="rId12" Type="http://schemas.openxmlformats.org/officeDocument/2006/relationships/hyperlink" Target="https://www.theguardian.com/society/2024/jan/23/queensland-youth-detention-cairns-watch-house-children-physical-mental-health" TargetMode="External"/><Relationship Id="rId17" Type="http://schemas.openxmlformats.org/officeDocument/2006/relationships/hyperlink" Target="https://www.abc.net.au/news/2024-07-10/indigenous-teenager-beaten-brisbane-police-watch-house-cctv/104070840" TargetMode="External"/><Relationship Id="rId25" Type="http://schemas.openxmlformats.org/officeDocument/2006/relationships/hyperlink" Target="https://www.theguardian.com/australia-news/article/2024/jul/17/queensland-youth-crime-watch-house-footage-police-treatment-ntwnfb" TargetMode="External"/><Relationship Id="rId2" Type="http://schemas.openxmlformats.org/officeDocument/2006/relationships/hyperlink" Target="https://www.justice.qld.gov.au/about-us/services/first-nations-justice-office/priorities/justice-reinvestment" TargetMode="External"/><Relationship Id="rId16" Type="http://schemas.openxmlformats.org/officeDocument/2006/relationships/hyperlink" Target="https://www.theguardian.com/australia-news/article/2024/jul/09/concerns-over-13-year-old-in-queensland-watch-house-ignored-days-before-alleged-sexual-assault" TargetMode="External"/><Relationship Id="rId20" Type="http://schemas.openxmlformats.org/officeDocument/2006/relationships/hyperlink" Target="https://www.theguardian.com/australia-news/article/2024/jul/18/at-14-sam-has-the-mental-capacity-of-a-five-year-old-so-what-is-she-doing-in-a-queensland-police-cell-ntwnfb" TargetMode="External"/><Relationship Id="rId1" Type="http://schemas.openxmlformats.org/officeDocument/2006/relationships/hyperlink" Target="https://www.qhrc.qld.gov.au/resources/submissions" TargetMode="External"/><Relationship Id="rId6" Type="http://schemas.openxmlformats.org/officeDocument/2006/relationships/hyperlink" Target="https://7news.com.au/news/qld/annastacia-palaszczuk-announces-10-new-measures-to-fight-youth-crime-in-queensland-after-alleged-murder-of-emma-lovell-c-9299070" TargetMode="External"/><Relationship Id="rId11" Type="http://schemas.openxmlformats.org/officeDocument/2006/relationships/hyperlink" Target="https://www.theguardian.com/australia-news/2024/jan/16/cairns-police-watch-house-queensland-youth-detention" TargetMode="External"/><Relationship Id="rId24" Type="http://schemas.openxmlformats.org/officeDocument/2006/relationships/hyperlink" Target="https://www.sbs.com.au/news/article/exclusive-footage-shows-children-being-placed-in-isolation-cells-in-queensland/s23wwwygw" TargetMode="External"/><Relationship Id="rId5" Type="http://schemas.openxmlformats.org/officeDocument/2006/relationships/hyperlink" Target="https://www.qld.gov.au/about/community-safety" TargetMode="External"/><Relationship Id="rId15" Type="http://schemas.openxmlformats.org/officeDocument/2006/relationships/hyperlink" Target="https://www.theguardian.com/australia-news/2024/feb/15/boy-13-cairns-watch-house-cell-alleged-sexual-assault" TargetMode="External"/><Relationship Id="rId23" Type="http://schemas.openxmlformats.org/officeDocument/2006/relationships/hyperlink" Target="https://www.theguardian.com/australia-news/article/2024/jul/18/at-14-sam-has-the-mental-capacity-of-a-five-year-old-so-what-is-she-doing-in-a-queensland-police-cell-ntwnfb" TargetMode="External"/><Relationship Id="rId10" Type="http://schemas.openxmlformats.org/officeDocument/2006/relationships/hyperlink" Target="https://www.ohchr.org/Documents/HRBodies/CRC/GC10/Australia.docx" TargetMode="External"/><Relationship Id="rId19" Type="http://schemas.openxmlformats.org/officeDocument/2006/relationships/hyperlink" Target="https://desbt.qld.gov.au/youth-justice/data" TargetMode="External"/><Relationship Id="rId4" Type="http://schemas.openxmlformats.org/officeDocument/2006/relationships/hyperlink" Target="https://www.parliament.qld.gov.au/Work-of-the-Assembly/Tabled-Papers/docs/5724T725/5724t725-b9b9.pdf" TargetMode="External"/><Relationship Id="rId9" Type="http://schemas.openxmlformats.org/officeDocument/2006/relationships/hyperlink" Target="https://www.police.qld.gov.au/qps-corporate-documents/reports-and-publications/watch-house-data" TargetMode="External"/><Relationship Id="rId14" Type="http://schemas.openxmlformats.org/officeDocument/2006/relationships/hyperlink" Target="https://www.theguardian.com/australia-news/2024/jan/15/police-cannot-meet-expectations-for-children-in-custody-amid-cairns-watch-house-overcrowding" TargetMode="External"/><Relationship Id="rId22" Type="http://schemas.openxmlformats.org/officeDocument/2006/relationships/hyperlink" Target="https://desbt.qld.gov.au/youth-justice/parents-guardians/programs-initiatives/initiatives/taskforce-guardian" TargetMode="External"/><Relationship Id="rId27" Type="http://schemas.openxmlformats.org/officeDocument/2006/relationships/hyperlink" Target="https://www.ccyp.wa.gov.au/news/anzccga-joint-statement-on-isolation-in-youth-det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8570</Words>
  <Characters>48854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57310</CharactersWithSpaces>
  <SharedDoc>false</SharedDoc>
  <HLinks>
    <vt:vector size="258" baseType="variant">
      <vt:variant>
        <vt:i4>1048639</vt:i4>
      </vt:variant>
      <vt:variant>
        <vt:i4>98</vt:i4>
      </vt:variant>
      <vt:variant>
        <vt:i4>0</vt:i4>
      </vt:variant>
      <vt:variant>
        <vt:i4>5</vt:i4>
      </vt:variant>
      <vt:variant>
        <vt:lpwstr/>
      </vt:variant>
      <vt:variant>
        <vt:lpwstr>_Toc180668812</vt:lpwstr>
      </vt:variant>
      <vt:variant>
        <vt:i4>1048639</vt:i4>
      </vt:variant>
      <vt:variant>
        <vt:i4>92</vt:i4>
      </vt:variant>
      <vt:variant>
        <vt:i4>0</vt:i4>
      </vt:variant>
      <vt:variant>
        <vt:i4>5</vt:i4>
      </vt:variant>
      <vt:variant>
        <vt:lpwstr/>
      </vt:variant>
      <vt:variant>
        <vt:lpwstr>_Toc180668811</vt:lpwstr>
      </vt:variant>
      <vt:variant>
        <vt:i4>1048639</vt:i4>
      </vt:variant>
      <vt:variant>
        <vt:i4>86</vt:i4>
      </vt:variant>
      <vt:variant>
        <vt:i4>0</vt:i4>
      </vt:variant>
      <vt:variant>
        <vt:i4>5</vt:i4>
      </vt:variant>
      <vt:variant>
        <vt:lpwstr/>
      </vt:variant>
      <vt:variant>
        <vt:lpwstr>_Toc180668810</vt:lpwstr>
      </vt:variant>
      <vt:variant>
        <vt:i4>1114175</vt:i4>
      </vt:variant>
      <vt:variant>
        <vt:i4>80</vt:i4>
      </vt:variant>
      <vt:variant>
        <vt:i4>0</vt:i4>
      </vt:variant>
      <vt:variant>
        <vt:i4>5</vt:i4>
      </vt:variant>
      <vt:variant>
        <vt:lpwstr/>
      </vt:variant>
      <vt:variant>
        <vt:lpwstr>_Toc180668809</vt:lpwstr>
      </vt:variant>
      <vt:variant>
        <vt:i4>1114175</vt:i4>
      </vt:variant>
      <vt:variant>
        <vt:i4>74</vt:i4>
      </vt:variant>
      <vt:variant>
        <vt:i4>0</vt:i4>
      </vt:variant>
      <vt:variant>
        <vt:i4>5</vt:i4>
      </vt:variant>
      <vt:variant>
        <vt:lpwstr/>
      </vt:variant>
      <vt:variant>
        <vt:lpwstr>_Toc180668808</vt:lpwstr>
      </vt:variant>
      <vt:variant>
        <vt:i4>1114175</vt:i4>
      </vt:variant>
      <vt:variant>
        <vt:i4>68</vt:i4>
      </vt:variant>
      <vt:variant>
        <vt:i4>0</vt:i4>
      </vt:variant>
      <vt:variant>
        <vt:i4>5</vt:i4>
      </vt:variant>
      <vt:variant>
        <vt:lpwstr/>
      </vt:variant>
      <vt:variant>
        <vt:lpwstr>_Toc180668807</vt:lpwstr>
      </vt:variant>
      <vt:variant>
        <vt:i4>1114175</vt:i4>
      </vt:variant>
      <vt:variant>
        <vt:i4>62</vt:i4>
      </vt:variant>
      <vt:variant>
        <vt:i4>0</vt:i4>
      </vt:variant>
      <vt:variant>
        <vt:i4>5</vt:i4>
      </vt:variant>
      <vt:variant>
        <vt:lpwstr/>
      </vt:variant>
      <vt:variant>
        <vt:lpwstr>_Toc180668806</vt:lpwstr>
      </vt:variant>
      <vt:variant>
        <vt:i4>1114175</vt:i4>
      </vt:variant>
      <vt:variant>
        <vt:i4>56</vt:i4>
      </vt:variant>
      <vt:variant>
        <vt:i4>0</vt:i4>
      </vt:variant>
      <vt:variant>
        <vt:i4>5</vt:i4>
      </vt:variant>
      <vt:variant>
        <vt:lpwstr/>
      </vt:variant>
      <vt:variant>
        <vt:lpwstr>_Toc180668805</vt:lpwstr>
      </vt:variant>
      <vt:variant>
        <vt:i4>1114175</vt:i4>
      </vt:variant>
      <vt:variant>
        <vt:i4>50</vt:i4>
      </vt:variant>
      <vt:variant>
        <vt:i4>0</vt:i4>
      </vt:variant>
      <vt:variant>
        <vt:i4>5</vt:i4>
      </vt:variant>
      <vt:variant>
        <vt:lpwstr/>
      </vt:variant>
      <vt:variant>
        <vt:lpwstr>_Toc180668804</vt:lpwstr>
      </vt:variant>
      <vt:variant>
        <vt:i4>1114175</vt:i4>
      </vt:variant>
      <vt:variant>
        <vt:i4>44</vt:i4>
      </vt:variant>
      <vt:variant>
        <vt:i4>0</vt:i4>
      </vt:variant>
      <vt:variant>
        <vt:i4>5</vt:i4>
      </vt:variant>
      <vt:variant>
        <vt:lpwstr/>
      </vt:variant>
      <vt:variant>
        <vt:lpwstr>_Toc180668803</vt:lpwstr>
      </vt:variant>
      <vt:variant>
        <vt:i4>1114175</vt:i4>
      </vt:variant>
      <vt:variant>
        <vt:i4>38</vt:i4>
      </vt:variant>
      <vt:variant>
        <vt:i4>0</vt:i4>
      </vt:variant>
      <vt:variant>
        <vt:i4>5</vt:i4>
      </vt:variant>
      <vt:variant>
        <vt:lpwstr/>
      </vt:variant>
      <vt:variant>
        <vt:lpwstr>_Toc180668802</vt:lpwstr>
      </vt:variant>
      <vt:variant>
        <vt:i4>1114175</vt:i4>
      </vt:variant>
      <vt:variant>
        <vt:i4>32</vt:i4>
      </vt:variant>
      <vt:variant>
        <vt:i4>0</vt:i4>
      </vt:variant>
      <vt:variant>
        <vt:i4>5</vt:i4>
      </vt:variant>
      <vt:variant>
        <vt:lpwstr/>
      </vt:variant>
      <vt:variant>
        <vt:lpwstr>_Toc180668801</vt:lpwstr>
      </vt:variant>
      <vt:variant>
        <vt:i4>1114175</vt:i4>
      </vt:variant>
      <vt:variant>
        <vt:i4>26</vt:i4>
      </vt:variant>
      <vt:variant>
        <vt:i4>0</vt:i4>
      </vt:variant>
      <vt:variant>
        <vt:i4>5</vt:i4>
      </vt:variant>
      <vt:variant>
        <vt:lpwstr/>
      </vt:variant>
      <vt:variant>
        <vt:lpwstr>_Toc180668800</vt:lpwstr>
      </vt:variant>
      <vt:variant>
        <vt:i4>1572912</vt:i4>
      </vt:variant>
      <vt:variant>
        <vt:i4>20</vt:i4>
      </vt:variant>
      <vt:variant>
        <vt:i4>0</vt:i4>
      </vt:variant>
      <vt:variant>
        <vt:i4>5</vt:i4>
      </vt:variant>
      <vt:variant>
        <vt:lpwstr/>
      </vt:variant>
      <vt:variant>
        <vt:lpwstr>_Toc180668799</vt:lpwstr>
      </vt:variant>
      <vt:variant>
        <vt:i4>1572912</vt:i4>
      </vt:variant>
      <vt:variant>
        <vt:i4>14</vt:i4>
      </vt:variant>
      <vt:variant>
        <vt:i4>0</vt:i4>
      </vt:variant>
      <vt:variant>
        <vt:i4>5</vt:i4>
      </vt:variant>
      <vt:variant>
        <vt:lpwstr/>
      </vt:variant>
      <vt:variant>
        <vt:lpwstr>_Toc180668798</vt:lpwstr>
      </vt:variant>
      <vt:variant>
        <vt:i4>1572912</vt:i4>
      </vt:variant>
      <vt:variant>
        <vt:i4>8</vt:i4>
      </vt:variant>
      <vt:variant>
        <vt:i4>0</vt:i4>
      </vt:variant>
      <vt:variant>
        <vt:i4>5</vt:i4>
      </vt:variant>
      <vt:variant>
        <vt:lpwstr/>
      </vt:variant>
      <vt:variant>
        <vt:lpwstr>_Toc180668797</vt:lpwstr>
      </vt:variant>
      <vt:variant>
        <vt:i4>1572912</vt:i4>
      </vt:variant>
      <vt:variant>
        <vt:i4>2</vt:i4>
      </vt:variant>
      <vt:variant>
        <vt:i4>0</vt:i4>
      </vt:variant>
      <vt:variant>
        <vt:i4>5</vt:i4>
      </vt:variant>
      <vt:variant>
        <vt:lpwstr/>
      </vt:variant>
      <vt:variant>
        <vt:lpwstr>_Toc180668796</vt:lpwstr>
      </vt:variant>
      <vt:variant>
        <vt:i4>2228258</vt:i4>
      </vt:variant>
      <vt:variant>
        <vt:i4>81</vt:i4>
      </vt:variant>
      <vt:variant>
        <vt:i4>0</vt:i4>
      </vt:variant>
      <vt:variant>
        <vt:i4>5</vt:i4>
      </vt:variant>
      <vt:variant>
        <vt:lpwstr>https://www.ccyp.wa.gov.au/news/anzccga-joint-statement-on-isolation-in-youth-detention</vt:lpwstr>
      </vt:variant>
      <vt:variant>
        <vt:lpwstr/>
      </vt:variant>
      <vt:variant>
        <vt:i4>2228258</vt:i4>
      </vt:variant>
      <vt:variant>
        <vt:i4>78</vt:i4>
      </vt:variant>
      <vt:variant>
        <vt:i4>0</vt:i4>
      </vt:variant>
      <vt:variant>
        <vt:i4>5</vt:i4>
      </vt:variant>
      <vt:variant>
        <vt:lpwstr>https://www.ccyp.wa.gov.au/news/anzccga-joint-statement-on-isolation-in-youth-detention</vt:lpwstr>
      </vt:variant>
      <vt:variant>
        <vt:lpwstr/>
      </vt:variant>
      <vt:variant>
        <vt:i4>5767238</vt:i4>
      </vt:variant>
      <vt:variant>
        <vt:i4>75</vt:i4>
      </vt:variant>
      <vt:variant>
        <vt:i4>0</vt:i4>
      </vt:variant>
      <vt:variant>
        <vt:i4>5</vt:i4>
      </vt:variant>
      <vt:variant>
        <vt:lpwstr>https://www.theguardian.com/australia-news/article/2024/jul/17/queensland-youth-crime-watch-house-footage-police-treatment-ntwnfb</vt:lpwstr>
      </vt:variant>
      <vt:variant>
        <vt:lpwstr/>
      </vt:variant>
      <vt:variant>
        <vt:i4>7667825</vt:i4>
      </vt:variant>
      <vt:variant>
        <vt:i4>72</vt:i4>
      </vt:variant>
      <vt:variant>
        <vt:i4>0</vt:i4>
      </vt:variant>
      <vt:variant>
        <vt:i4>5</vt:i4>
      </vt:variant>
      <vt:variant>
        <vt:lpwstr>https://www.theguardian.com/australia-news/article/2024/jul/18/at-14-sam-has-the-mental-capacity-of-a-five-year-old-so-what-is-she-doing-in-a-queensland-police-cell-ntwnfb</vt:lpwstr>
      </vt:variant>
      <vt:variant>
        <vt:lpwstr/>
      </vt:variant>
      <vt:variant>
        <vt:i4>5636114</vt:i4>
      </vt:variant>
      <vt:variant>
        <vt:i4>69</vt:i4>
      </vt:variant>
      <vt:variant>
        <vt:i4>0</vt:i4>
      </vt:variant>
      <vt:variant>
        <vt:i4>5</vt:i4>
      </vt:variant>
      <vt:variant>
        <vt:lpwstr>https://desbt.qld.gov.au/youth-justice/parents-guardians/programs-initiatives/initiatives/taskforce-guardian</vt:lpwstr>
      </vt:variant>
      <vt:variant>
        <vt:lpwstr/>
      </vt:variant>
      <vt:variant>
        <vt:i4>5767238</vt:i4>
      </vt:variant>
      <vt:variant>
        <vt:i4>66</vt:i4>
      </vt:variant>
      <vt:variant>
        <vt:i4>0</vt:i4>
      </vt:variant>
      <vt:variant>
        <vt:i4>5</vt:i4>
      </vt:variant>
      <vt:variant>
        <vt:lpwstr>https://www.theguardian.com/australia-news/article/2024/jul/17/queensland-youth-crime-watch-house-footage-police-treatment-ntwnfb</vt:lpwstr>
      </vt:variant>
      <vt:variant>
        <vt:lpwstr/>
      </vt:variant>
      <vt:variant>
        <vt:i4>7667825</vt:i4>
      </vt:variant>
      <vt:variant>
        <vt:i4>63</vt:i4>
      </vt:variant>
      <vt:variant>
        <vt:i4>0</vt:i4>
      </vt:variant>
      <vt:variant>
        <vt:i4>5</vt:i4>
      </vt:variant>
      <vt:variant>
        <vt:lpwstr>https://www.theguardian.com/australia-news/article/2024/jul/18/at-14-sam-has-the-mental-capacity-of-a-five-year-old-so-what-is-she-doing-in-a-queensland-police-cell-ntwnfb</vt:lpwstr>
      </vt:variant>
      <vt:variant>
        <vt:lpwstr/>
      </vt:variant>
      <vt:variant>
        <vt:i4>3080307</vt:i4>
      </vt:variant>
      <vt:variant>
        <vt:i4>57</vt:i4>
      </vt:variant>
      <vt:variant>
        <vt:i4>0</vt:i4>
      </vt:variant>
      <vt:variant>
        <vt:i4>5</vt:i4>
      </vt:variant>
      <vt:variant>
        <vt:lpwstr>https://desbt.qld.gov.au/youth-justice/data</vt:lpwstr>
      </vt:variant>
      <vt:variant>
        <vt:lpwstr/>
      </vt:variant>
      <vt:variant>
        <vt:i4>7340075</vt:i4>
      </vt:variant>
      <vt:variant>
        <vt:i4>54</vt:i4>
      </vt:variant>
      <vt:variant>
        <vt:i4>0</vt:i4>
      </vt:variant>
      <vt:variant>
        <vt:i4>5</vt:i4>
      </vt:variant>
      <vt:variant>
        <vt:lpwstr>https://www.abc.net.au/news/2024-08-06/review-queensland-police-watch-houses-systemic-issues/104188082</vt:lpwstr>
      </vt:variant>
      <vt:variant>
        <vt:lpwstr/>
      </vt:variant>
      <vt:variant>
        <vt:i4>4849755</vt:i4>
      </vt:variant>
      <vt:variant>
        <vt:i4>51</vt:i4>
      </vt:variant>
      <vt:variant>
        <vt:i4>0</vt:i4>
      </vt:variant>
      <vt:variant>
        <vt:i4>5</vt:i4>
      </vt:variant>
      <vt:variant>
        <vt:lpwstr>https://www.abc.net.au/news/2024-07-10/indigenous-teenager-beaten-brisbane-police-watch-house-cctv/104070840</vt:lpwstr>
      </vt:variant>
      <vt:variant>
        <vt:lpwstr/>
      </vt:variant>
      <vt:variant>
        <vt:i4>4653146</vt:i4>
      </vt:variant>
      <vt:variant>
        <vt:i4>48</vt:i4>
      </vt:variant>
      <vt:variant>
        <vt:i4>0</vt:i4>
      </vt:variant>
      <vt:variant>
        <vt:i4>5</vt:i4>
      </vt:variant>
      <vt:variant>
        <vt:lpwstr>https://www.theguardian.com/australia-news/article/2024/jul/09/concerns-over-13-year-old-in-queensland-watch-house-ignored-days-before-alleged-sexual-assault</vt:lpwstr>
      </vt:variant>
      <vt:variant>
        <vt:lpwstr/>
      </vt:variant>
      <vt:variant>
        <vt:i4>5701634</vt:i4>
      </vt:variant>
      <vt:variant>
        <vt:i4>45</vt:i4>
      </vt:variant>
      <vt:variant>
        <vt:i4>0</vt:i4>
      </vt:variant>
      <vt:variant>
        <vt:i4>5</vt:i4>
      </vt:variant>
      <vt:variant>
        <vt:lpwstr>https://www.theguardian.com/australia-news/2024/feb/15/boy-13-cairns-watch-house-cell-alleged-sexual-assault</vt:lpwstr>
      </vt:variant>
      <vt:variant>
        <vt:lpwstr/>
      </vt:variant>
      <vt:variant>
        <vt:i4>2490490</vt:i4>
      </vt:variant>
      <vt:variant>
        <vt:i4>42</vt:i4>
      </vt:variant>
      <vt:variant>
        <vt:i4>0</vt:i4>
      </vt:variant>
      <vt:variant>
        <vt:i4>5</vt:i4>
      </vt:variant>
      <vt:variant>
        <vt:lpwstr>https://www.theguardian.com/australia-news/2024/jan/15/police-cannot-meet-expectations-for-children-in-custody-amid-cairns-watch-house-overcrowding</vt:lpwstr>
      </vt:variant>
      <vt:variant>
        <vt:lpwstr/>
      </vt:variant>
      <vt:variant>
        <vt:i4>5701651</vt:i4>
      </vt:variant>
      <vt:variant>
        <vt:i4>39</vt:i4>
      </vt:variant>
      <vt:variant>
        <vt:i4>0</vt:i4>
      </vt:variant>
      <vt:variant>
        <vt:i4>5</vt:i4>
      </vt:variant>
      <vt:variant>
        <vt:lpwstr>https://www.abc.net.au/news/2024-01-24/queensland-children-in-adult-watchhouses-amounts-to-child-abuse/103386204</vt:lpwstr>
      </vt:variant>
      <vt:variant>
        <vt:lpwstr/>
      </vt:variant>
      <vt:variant>
        <vt:i4>1376339</vt:i4>
      </vt:variant>
      <vt:variant>
        <vt:i4>36</vt:i4>
      </vt:variant>
      <vt:variant>
        <vt:i4>0</vt:i4>
      </vt:variant>
      <vt:variant>
        <vt:i4>5</vt:i4>
      </vt:variant>
      <vt:variant>
        <vt:lpwstr>https://www.theguardian.com/society/2024/jan/23/queensland-youth-detention-cairns-watch-house-children-physical-mental-health</vt:lpwstr>
      </vt:variant>
      <vt:variant>
        <vt:lpwstr/>
      </vt:variant>
      <vt:variant>
        <vt:i4>6881315</vt:i4>
      </vt:variant>
      <vt:variant>
        <vt:i4>33</vt:i4>
      </vt:variant>
      <vt:variant>
        <vt:i4>0</vt:i4>
      </vt:variant>
      <vt:variant>
        <vt:i4>5</vt:i4>
      </vt:variant>
      <vt:variant>
        <vt:lpwstr>https://www.theguardian.com/australia-news/2024/jan/16/cairns-police-watch-house-queensland-youth-detention</vt:lpwstr>
      </vt:variant>
      <vt:variant>
        <vt:lpwstr/>
      </vt:variant>
      <vt:variant>
        <vt:i4>5308417</vt:i4>
      </vt:variant>
      <vt:variant>
        <vt:i4>27</vt:i4>
      </vt:variant>
      <vt:variant>
        <vt:i4>0</vt:i4>
      </vt:variant>
      <vt:variant>
        <vt:i4>5</vt:i4>
      </vt:variant>
      <vt:variant>
        <vt:lpwstr>https://www.ohchr.org/Documents/HRBodies/CRC/GC10/Australia.docx</vt:lpwstr>
      </vt:variant>
      <vt:variant>
        <vt:lpwstr/>
      </vt:variant>
      <vt:variant>
        <vt:i4>2949155</vt:i4>
      </vt:variant>
      <vt:variant>
        <vt:i4>24</vt:i4>
      </vt:variant>
      <vt:variant>
        <vt:i4>0</vt:i4>
      </vt:variant>
      <vt:variant>
        <vt:i4>5</vt:i4>
      </vt:variant>
      <vt:variant>
        <vt:lpwstr>https://www.police.qld.gov.au/qps-corporate-documents/reports-and-publications/watch-house-data</vt:lpwstr>
      </vt:variant>
      <vt:variant>
        <vt:lpwstr/>
      </vt:variant>
      <vt:variant>
        <vt:i4>6750262</vt:i4>
      </vt:variant>
      <vt:variant>
        <vt:i4>21</vt:i4>
      </vt:variant>
      <vt:variant>
        <vt:i4>0</vt:i4>
      </vt:variant>
      <vt:variant>
        <vt:i4>5</vt:i4>
      </vt:variant>
      <vt:variant>
        <vt:lpwstr>https://statements.qld.gov.au/statements/97762</vt:lpwstr>
      </vt:variant>
      <vt:variant>
        <vt:lpwstr/>
      </vt:variant>
      <vt:variant>
        <vt:i4>5636114</vt:i4>
      </vt:variant>
      <vt:variant>
        <vt:i4>18</vt:i4>
      </vt:variant>
      <vt:variant>
        <vt:i4>0</vt:i4>
      </vt:variant>
      <vt:variant>
        <vt:i4>5</vt:i4>
      </vt:variant>
      <vt:variant>
        <vt:lpwstr>https://desbt.qld.gov.au/youth-justice/parents-guardians/programs-initiatives/initiatives/taskforce-guardian</vt:lpwstr>
      </vt:variant>
      <vt:variant>
        <vt:lpwstr/>
      </vt:variant>
      <vt:variant>
        <vt:i4>4063355</vt:i4>
      </vt:variant>
      <vt:variant>
        <vt:i4>15</vt:i4>
      </vt:variant>
      <vt:variant>
        <vt:i4>0</vt:i4>
      </vt:variant>
      <vt:variant>
        <vt:i4>5</vt:i4>
      </vt:variant>
      <vt:variant>
        <vt:lpwstr>https://7news.com.au/news/qld/annastacia-palaszczuk-announces-10-new-measures-to-fight-youth-crime-in-queensland-after-alleged-murder-of-emma-lovell-c-9299070</vt:lpwstr>
      </vt:variant>
      <vt:variant>
        <vt:lpwstr/>
      </vt:variant>
      <vt:variant>
        <vt:i4>5111811</vt:i4>
      </vt:variant>
      <vt:variant>
        <vt:i4>12</vt:i4>
      </vt:variant>
      <vt:variant>
        <vt:i4>0</vt:i4>
      </vt:variant>
      <vt:variant>
        <vt:i4>5</vt:i4>
      </vt:variant>
      <vt:variant>
        <vt:lpwstr>https://www.qld.gov.au/about/community-safety</vt:lpwstr>
      </vt:variant>
      <vt:variant>
        <vt:lpwstr/>
      </vt:variant>
      <vt:variant>
        <vt:i4>720926</vt:i4>
      </vt:variant>
      <vt:variant>
        <vt:i4>9</vt:i4>
      </vt:variant>
      <vt:variant>
        <vt:i4>0</vt:i4>
      </vt:variant>
      <vt:variant>
        <vt:i4>5</vt:i4>
      </vt:variant>
      <vt:variant>
        <vt:lpwstr>https://www.parliament.qld.gov.au/Work-of-the-Assembly/Tabled-Papers/docs/5724T725/5724t725-b9b9.pdf</vt:lpwstr>
      </vt:variant>
      <vt:variant>
        <vt:lpwstr/>
      </vt:variant>
      <vt:variant>
        <vt:i4>1310787</vt:i4>
      </vt:variant>
      <vt:variant>
        <vt:i4>6</vt:i4>
      </vt:variant>
      <vt:variant>
        <vt:i4>0</vt:i4>
      </vt:variant>
      <vt:variant>
        <vt:i4>5</vt:i4>
      </vt:variant>
      <vt:variant>
        <vt:lpwstr>https://documents.parliament.qld.gov.au/tp/2024/5724T736-BBBD.pdf</vt:lpwstr>
      </vt:variant>
      <vt:variant>
        <vt:lpwstr/>
      </vt:variant>
      <vt:variant>
        <vt:i4>65608</vt:i4>
      </vt:variant>
      <vt:variant>
        <vt:i4>3</vt:i4>
      </vt:variant>
      <vt:variant>
        <vt:i4>0</vt:i4>
      </vt:variant>
      <vt:variant>
        <vt:i4>5</vt:i4>
      </vt:variant>
      <vt:variant>
        <vt:lpwstr>https://www.justice.qld.gov.au/about-us/services/first-nations-justice-office/priorities/justice-reinvestment</vt:lpwstr>
      </vt:variant>
      <vt:variant>
        <vt:lpwstr/>
      </vt:variant>
      <vt:variant>
        <vt:i4>5701659</vt:i4>
      </vt:variant>
      <vt:variant>
        <vt:i4>0</vt:i4>
      </vt:variant>
      <vt:variant>
        <vt:i4>0</vt:i4>
      </vt:variant>
      <vt:variant>
        <vt:i4>5</vt:i4>
      </vt:variant>
      <vt:variant>
        <vt:lpwstr>https://www.qhrc.qld.gov.au/resources/submissions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2024-10-25T01:01:00Z</dcterms:created>
  <dcterms:modified xsi:type="dcterms:W3CDTF">2024-10-30T05:42:00Z</dcterms:modified>
</cp:coreProperties>
</file>