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color w:val="000000" w:themeColor="text1"/>
          <w:sz w:val="28"/>
          <w:szCs w:val="28"/>
          <w:lang w:val="en-AU"/>
        </w:rPr>
        <w:id w:val="2067608509"/>
        <w:docPartObj>
          <w:docPartGallery w:val="Cover Pages"/>
          <w:docPartUnique/>
        </w:docPartObj>
      </w:sdtPr>
      <w:sdtEndPr>
        <w:rPr>
          <w:rFonts w:cstheme="minorBidi"/>
          <w:sz w:val="16"/>
          <w:szCs w:val="16"/>
        </w:rPr>
      </w:sdtEndPr>
      <w:sdtContent>
        <w:p w14:paraId="39162138" w14:textId="77777777" w:rsidR="0035517B" w:rsidRDefault="0035517B" w:rsidP="00260847">
          <w:pPr>
            <w:pStyle w:val="NoSpacing"/>
            <w:spacing w:before="120" w:after="120"/>
            <w:rPr>
              <w:rFonts w:ascii="Arial" w:hAnsi="Arial" w:cs="Arial"/>
              <w:bCs/>
              <w:sz w:val="28"/>
            </w:rPr>
          </w:pPr>
        </w:p>
        <w:p w14:paraId="21053F15" w14:textId="77777777" w:rsidR="0035517B" w:rsidRDefault="0035517B" w:rsidP="00260847">
          <w:pPr>
            <w:pStyle w:val="NoSpacing"/>
            <w:spacing w:before="120" w:after="120"/>
            <w:rPr>
              <w:rFonts w:ascii="Arial" w:hAnsi="Arial" w:cs="Arial"/>
              <w:bCs/>
              <w:sz w:val="28"/>
            </w:rPr>
          </w:pPr>
        </w:p>
        <w:p w14:paraId="6151C505" w14:textId="77777777" w:rsidR="0035517B" w:rsidRDefault="0035517B" w:rsidP="00260847">
          <w:pPr>
            <w:pStyle w:val="NoSpacing"/>
            <w:spacing w:before="120" w:after="120"/>
            <w:rPr>
              <w:rFonts w:ascii="Arial" w:hAnsi="Arial" w:cs="Arial"/>
              <w:bCs/>
              <w:sz w:val="28"/>
            </w:rPr>
          </w:pPr>
          <w:r w:rsidRPr="00F63848">
            <w:rPr>
              <w:noProof/>
              <w:lang w:val="en-AU" w:eastAsia="en-AU"/>
            </w:rPr>
            <w:drawing>
              <wp:inline distT="0" distB="0" distL="0" distR="0" wp14:anchorId="3A74808C" wp14:editId="22743FDF">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19003A18" w14:textId="77777777" w:rsidR="0035517B" w:rsidRDefault="0035517B" w:rsidP="00260847">
          <w:pPr>
            <w:pStyle w:val="NoSpacing"/>
            <w:spacing w:before="120" w:after="120"/>
            <w:rPr>
              <w:rFonts w:ascii="Arial" w:hAnsi="Arial" w:cs="Arial"/>
              <w:bCs/>
              <w:sz w:val="28"/>
            </w:rPr>
          </w:pPr>
        </w:p>
        <w:p w14:paraId="38C16610" w14:textId="77777777" w:rsidR="0035517B" w:rsidRDefault="0035517B" w:rsidP="00260847">
          <w:pPr>
            <w:pStyle w:val="NoSpacing"/>
            <w:spacing w:before="120" w:after="120"/>
            <w:rPr>
              <w:rFonts w:ascii="Arial" w:hAnsi="Arial" w:cs="Arial"/>
              <w:bCs/>
              <w:sz w:val="28"/>
            </w:rPr>
          </w:pPr>
        </w:p>
        <w:p w14:paraId="6E754841" w14:textId="77777777" w:rsidR="0035517B" w:rsidRDefault="0035517B" w:rsidP="00260847">
          <w:pPr>
            <w:pStyle w:val="NoSpacing"/>
            <w:spacing w:before="120" w:after="120"/>
            <w:rPr>
              <w:rFonts w:ascii="Arial" w:hAnsi="Arial" w:cs="Arial"/>
              <w:bCs/>
              <w:sz w:val="28"/>
            </w:rPr>
          </w:pPr>
        </w:p>
        <w:p w14:paraId="2461DAA7" w14:textId="77777777" w:rsidR="0035517B" w:rsidRDefault="0035517B" w:rsidP="00260847">
          <w:pPr>
            <w:pStyle w:val="NoSpacing"/>
            <w:spacing w:before="120" w:after="120"/>
            <w:rPr>
              <w:rFonts w:ascii="Arial" w:hAnsi="Arial" w:cs="Arial"/>
              <w:bCs/>
              <w:sz w:val="28"/>
            </w:rPr>
          </w:pPr>
        </w:p>
        <w:p w14:paraId="590E0804" w14:textId="77777777" w:rsidR="0035517B" w:rsidRDefault="0035517B" w:rsidP="00260847">
          <w:pPr>
            <w:pStyle w:val="NoSpacing"/>
            <w:spacing w:before="120" w:after="120"/>
            <w:rPr>
              <w:rFonts w:ascii="Arial" w:hAnsi="Arial" w:cs="Arial"/>
              <w:bCs/>
              <w:sz w:val="28"/>
            </w:rPr>
          </w:pPr>
        </w:p>
        <w:p w14:paraId="0A566902" w14:textId="77777777" w:rsidR="0035517B" w:rsidRDefault="0035517B" w:rsidP="00260847">
          <w:pPr>
            <w:pStyle w:val="NoSpacing"/>
            <w:spacing w:before="120" w:after="120"/>
            <w:rPr>
              <w:rFonts w:ascii="Arial" w:hAnsi="Arial" w:cs="Arial"/>
              <w:bCs/>
              <w:sz w:val="28"/>
            </w:rPr>
          </w:pPr>
        </w:p>
        <w:p w14:paraId="30072641" w14:textId="45D81765" w:rsidR="0035517B" w:rsidRDefault="00551F97" w:rsidP="00B65604">
          <w:pPr>
            <w:pBdr>
              <w:bottom w:val="single" w:sz="4" w:space="1" w:color="auto"/>
            </w:pBdr>
            <w:rPr>
              <w:color w:val="002060"/>
              <w:sz w:val="60"/>
              <w:szCs w:val="60"/>
            </w:rPr>
          </w:pPr>
          <w:r w:rsidRPr="00B65604">
            <w:rPr>
              <w:color w:val="002060"/>
              <w:sz w:val="60"/>
              <w:szCs w:val="60"/>
            </w:rPr>
            <w:t>QPS W</w:t>
          </w:r>
          <w:r w:rsidR="007B4B95" w:rsidRPr="00B65604">
            <w:rPr>
              <w:color w:val="002060"/>
              <w:sz w:val="60"/>
              <w:szCs w:val="60"/>
            </w:rPr>
            <w:t xml:space="preserve">atch-house </w:t>
          </w:r>
          <w:r w:rsidRPr="00B65604">
            <w:rPr>
              <w:color w:val="002060"/>
              <w:sz w:val="60"/>
              <w:szCs w:val="60"/>
            </w:rPr>
            <w:t>R</w:t>
          </w:r>
          <w:r w:rsidR="007B4B95" w:rsidRPr="00B65604">
            <w:rPr>
              <w:color w:val="002060"/>
              <w:sz w:val="60"/>
              <w:szCs w:val="60"/>
            </w:rPr>
            <w:t>eview consultation</w:t>
          </w:r>
        </w:p>
        <w:p w14:paraId="37DE5952" w14:textId="77777777" w:rsidR="00674AB1" w:rsidRPr="00674AB1" w:rsidRDefault="00674AB1" w:rsidP="00B65604">
          <w:pPr>
            <w:pBdr>
              <w:bottom w:val="single" w:sz="4" w:space="1" w:color="auto"/>
            </w:pBdr>
            <w:rPr>
              <w:color w:val="002060"/>
              <w:sz w:val="20"/>
              <w:szCs w:val="20"/>
            </w:rPr>
          </w:pPr>
        </w:p>
        <w:p w14:paraId="1D534BC1" w14:textId="13D127CA" w:rsidR="00260847" w:rsidRPr="00C56405" w:rsidRDefault="00260847" w:rsidP="00C56405">
          <w:pPr>
            <w:rPr>
              <w:color w:val="002060"/>
              <w:sz w:val="36"/>
              <w:szCs w:val="36"/>
            </w:rPr>
          </w:pPr>
          <w:r w:rsidRPr="00C56405">
            <w:rPr>
              <w:color w:val="002060"/>
              <w:sz w:val="36"/>
              <w:szCs w:val="36"/>
            </w:rPr>
            <w:t xml:space="preserve">Submission to </w:t>
          </w:r>
          <w:r w:rsidR="007B4B95" w:rsidRPr="00C56405">
            <w:rPr>
              <w:color w:val="002060"/>
              <w:sz w:val="36"/>
              <w:szCs w:val="36"/>
            </w:rPr>
            <w:t>Queensland Police Service</w:t>
          </w:r>
        </w:p>
        <w:p w14:paraId="1F8DF12C" w14:textId="7C4A6617" w:rsidR="00260847" w:rsidRPr="00C56405" w:rsidRDefault="007B4B95" w:rsidP="00C56405">
          <w:pPr>
            <w:rPr>
              <w:color w:val="002060"/>
              <w:sz w:val="36"/>
              <w:szCs w:val="36"/>
            </w:rPr>
          </w:pPr>
          <w:r w:rsidRPr="00C56405">
            <w:rPr>
              <w:color w:val="002060"/>
              <w:sz w:val="36"/>
              <w:szCs w:val="36"/>
            </w:rPr>
            <w:t>11 December 2024</w:t>
          </w:r>
        </w:p>
        <w:p w14:paraId="2369F875" w14:textId="77777777" w:rsidR="00260847" w:rsidRDefault="00260847">
          <w:pPr>
            <w:rPr>
              <w:rFonts w:cs="Arial"/>
              <w:bCs/>
              <w:sz w:val="28"/>
              <w:szCs w:val="22"/>
              <w:lang w:val="en-US"/>
            </w:rPr>
          </w:pPr>
          <w:r>
            <w:rPr>
              <w:rFonts w:cs="Arial"/>
              <w:bCs/>
              <w:sz w:val="28"/>
            </w:rPr>
            <w:br w:type="page"/>
          </w:r>
        </w:p>
        <w:p w14:paraId="336D6151" w14:textId="77777777" w:rsidR="004A2375" w:rsidRDefault="004A2375" w:rsidP="00260847">
          <w:pPr>
            <w:pStyle w:val="NoSpacing"/>
            <w:spacing w:before="120" w:after="120"/>
          </w:pPr>
        </w:p>
        <w:p w14:paraId="063B3ED7" w14:textId="77777777" w:rsidR="00A16356" w:rsidRPr="004A2375" w:rsidRDefault="007B02CA">
          <w:pPr>
            <w:rPr>
              <w:rFonts w:eastAsiaTheme="majorEastAsia" w:cstheme="majorBidi"/>
              <w:b/>
              <w:color w:val="365F91" w:themeColor="accent1" w:themeShade="BF"/>
              <w:sz w:val="16"/>
              <w:szCs w:val="16"/>
            </w:rPr>
          </w:pPr>
        </w:p>
      </w:sdtContent>
    </w:sdt>
    <w:bookmarkStart w:id="0" w:name="_Toc184820118" w:displacedByCustomXml="nex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b/>
          <w:bCs/>
          <w:noProof/>
          <w:color w:val="000000" w:themeColor="text1"/>
          <w:sz w:val="22"/>
          <w:szCs w:val="22"/>
          <w:lang w:val="en-AU"/>
        </w:rPr>
      </w:sdtEndPr>
      <w:sdtContent>
        <w:p w14:paraId="29E66C7D" w14:textId="77777777" w:rsidR="00A16356" w:rsidRPr="00A16356" w:rsidRDefault="00260847" w:rsidP="007B02CA">
          <w:pPr>
            <w:pStyle w:val="Heading1"/>
          </w:pPr>
          <w:r>
            <w:t>Table of c</w:t>
          </w:r>
          <w:r w:rsidR="00A16356" w:rsidRPr="00A16356">
            <w:t>ontents</w:t>
          </w:r>
          <w:bookmarkEnd w:id="0"/>
        </w:p>
        <w:p w14:paraId="3229EC95" w14:textId="5742BCEC" w:rsidR="00FC6CE6" w:rsidRDefault="00A16356">
          <w:pPr>
            <w:pStyle w:val="TOC1"/>
            <w:tabs>
              <w:tab w:val="right" w:leader="dot" w:pos="8296"/>
            </w:tabs>
            <w:rPr>
              <w:rFonts w:asciiTheme="minorHAnsi" w:hAnsiTheme="minorHAnsi"/>
              <w:noProof/>
              <w:color w:val="auto"/>
              <w:kern w:val="2"/>
              <w:sz w:val="24"/>
              <w:lang w:eastAsia="en-AU"/>
              <w14:ligatures w14:val="standardContextual"/>
            </w:rPr>
          </w:pPr>
          <w:r w:rsidRPr="00041E58">
            <w:rPr>
              <w:rFonts w:cs="Arial"/>
              <w:b/>
              <w:bCs/>
              <w:noProof/>
            </w:rPr>
            <w:fldChar w:fldCharType="begin"/>
          </w:r>
          <w:r w:rsidRPr="00041E58">
            <w:rPr>
              <w:rFonts w:cs="Arial"/>
              <w:b/>
              <w:bCs/>
              <w:noProof/>
            </w:rPr>
            <w:instrText xml:space="preserve"> TOC \o "1-3" \h \z \u </w:instrText>
          </w:r>
          <w:r w:rsidRPr="00041E58">
            <w:rPr>
              <w:rFonts w:cs="Arial"/>
              <w:b/>
              <w:bCs/>
              <w:noProof/>
            </w:rPr>
            <w:fldChar w:fldCharType="separate"/>
          </w:r>
          <w:hyperlink w:anchor="_Toc184820118" w:history="1">
            <w:r w:rsidR="00FC6CE6" w:rsidRPr="00CD70F9">
              <w:rPr>
                <w:rStyle w:val="Hyperlink"/>
                <w:noProof/>
              </w:rPr>
              <w:t>Table of contents</w:t>
            </w:r>
            <w:r w:rsidR="00FC6CE6">
              <w:rPr>
                <w:noProof/>
                <w:webHidden/>
              </w:rPr>
              <w:tab/>
            </w:r>
            <w:r w:rsidR="00FC6CE6">
              <w:rPr>
                <w:noProof/>
                <w:webHidden/>
              </w:rPr>
              <w:fldChar w:fldCharType="begin"/>
            </w:r>
            <w:r w:rsidR="00FC6CE6">
              <w:rPr>
                <w:noProof/>
                <w:webHidden/>
              </w:rPr>
              <w:instrText xml:space="preserve"> PAGEREF _Toc184820118 \h </w:instrText>
            </w:r>
            <w:r w:rsidR="00FC6CE6">
              <w:rPr>
                <w:noProof/>
                <w:webHidden/>
              </w:rPr>
            </w:r>
            <w:r w:rsidR="00FC6CE6">
              <w:rPr>
                <w:noProof/>
                <w:webHidden/>
              </w:rPr>
              <w:fldChar w:fldCharType="separate"/>
            </w:r>
            <w:r w:rsidR="007B02CA">
              <w:rPr>
                <w:noProof/>
                <w:webHidden/>
              </w:rPr>
              <w:t>1</w:t>
            </w:r>
            <w:r w:rsidR="00FC6CE6">
              <w:rPr>
                <w:noProof/>
                <w:webHidden/>
              </w:rPr>
              <w:fldChar w:fldCharType="end"/>
            </w:r>
          </w:hyperlink>
        </w:p>
        <w:p w14:paraId="0D65CFE5" w14:textId="1EDF2BBD" w:rsidR="00FC6CE6" w:rsidRDefault="00FC6CE6">
          <w:pPr>
            <w:pStyle w:val="TOC1"/>
            <w:tabs>
              <w:tab w:val="right" w:leader="dot" w:pos="8296"/>
            </w:tabs>
            <w:rPr>
              <w:rFonts w:asciiTheme="minorHAnsi" w:hAnsiTheme="minorHAnsi"/>
              <w:noProof/>
              <w:color w:val="auto"/>
              <w:kern w:val="2"/>
              <w:sz w:val="24"/>
              <w:lang w:eastAsia="en-AU"/>
              <w14:ligatures w14:val="standardContextual"/>
            </w:rPr>
          </w:pPr>
          <w:hyperlink w:anchor="_Toc184820119" w:history="1">
            <w:r w:rsidRPr="00CD70F9">
              <w:rPr>
                <w:rStyle w:val="Hyperlink"/>
                <w:noProof/>
              </w:rPr>
              <w:t>Introduction</w:t>
            </w:r>
            <w:r>
              <w:rPr>
                <w:noProof/>
                <w:webHidden/>
              </w:rPr>
              <w:tab/>
            </w:r>
            <w:r>
              <w:rPr>
                <w:noProof/>
                <w:webHidden/>
              </w:rPr>
              <w:fldChar w:fldCharType="begin"/>
            </w:r>
            <w:r>
              <w:rPr>
                <w:noProof/>
                <w:webHidden/>
              </w:rPr>
              <w:instrText xml:space="preserve"> PAGEREF _Toc184820119 \h </w:instrText>
            </w:r>
            <w:r>
              <w:rPr>
                <w:noProof/>
                <w:webHidden/>
              </w:rPr>
            </w:r>
            <w:r>
              <w:rPr>
                <w:noProof/>
                <w:webHidden/>
              </w:rPr>
              <w:fldChar w:fldCharType="separate"/>
            </w:r>
            <w:r w:rsidR="007B02CA">
              <w:rPr>
                <w:noProof/>
                <w:webHidden/>
              </w:rPr>
              <w:t>2</w:t>
            </w:r>
            <w:r>
              <w:rPr>
                <w:noProof/>
                <w:webHidden/>
              </w:rPr>
              <w:fldChar w:fldCharType="end"/>
            </w:r>
          </w:hyperlink>
        </w:p>
        <w:p w14:paraId="15E54DC6" w14:textId="26D1CA7F" w:rsidR="00FC6CE6" w:rsidRDefault="00FC6CE6">
          <w:pPr>
            <w:pStyle w:val="TOC1"/>
            <w:tabs>
              <w:tab w:val="right" w:leader="dot" w:pos="8296"/>
            </w:tabs>
            <w:rPr>
              <w:rFonts w:asciiTheme="minorHAnsi" w:hAnsiTheme="minorHAnsi"/>
              <w:noProof/>
              <w:color w:val="auto"/>
              <w:kern w:val="2"/>
              <w:sz w:val="24"/>
              <w:lang w:eastAsia="en-AU"/>
              <w14:ligatures w14:val="standardContextual"/>
            </w:rPr>
          </w:pPr>
          <w:hyperlink w:anchor="_Toc184820120" w:history="1">
            <w:r w:rsidRPr="00CD70F9">
              <w:rPr>
                <w:rStyle w:val="Hyperlink"/>
                <w:noProof/>
                <w:lang w:val="en-GB"/>
              </w:rPr>
              <w:t>Summary of recommendations</w:t>
            </w:r>
            <w:r>
              <w:rPr>
                <w:noProof/>
                <w:webHidden/>
              </w:rPr>
              <w:tab/>
            </w:r>
            <w:r>
              <w:rPr>
                <w:noProof/>
                <w:webHidden/>
              </w:rPr>
              <w:fldChar w:fldCharType="begin"/>
            </w:r>
            <w:r>
              <w:rPr>
                <w:noProof/>
                <w:webHidden/>
              </w:rPr>
              <w:instrText xml:space="preserve"> PAGEREF _Toc184820120 \h </w:instrText>
            </w:r>
            <w:r>
              <w:rPr>
                <w:noProof/>
                <w:webHidden/>
              </w:rPr>
            </w:r>
            <w:r>
              <w:rPr>
                <w:noProof/>
                <w:webHidden/>
              </w:rPr>
              <w:fldChar w:fldCharType="separate"/>
            </w:r>
            <w:r w:rsidR="007B02CA">
              <w:rPr>
                <w:noProof/>
                <w:webHidden/>
              </w:rPr>
              <w:t>3</w:t>
            </w:r>
            <w:r>
              <w:rPr>
                <w:noProof/>
                <w:webHidden/>
              </w:rPr>
              <w:fldChar w:fldCharType="end"/>
            </w:r>
          </w:hyperlink>
        </w:p>
        <w:p w14:paraId="18E566A5" w14:textId="43E4210B" w:rsidR="00FC6CE6" w:rsidRDefault="00FC6CE6">
          <w:pPr>
            <w:pStyle w:val="TOC1"/>
            <w:tabs>
              <w:tab w:val="right" w:leader="dot" w:pos="8296"/>
            </w:tabs>
            <w:rPr>
              <w:rFonts w:asciiTheme="minorHAnsi" w:hAnsiTheme="minorHAnsi"/>
              <w:noProof/>
              <w:color w:val="auto"/>
              <w:kern w:val="2"/>
              <w:sz w:val="24"/>
              <w:lang w:eastAsia="en-AU"/>
              <w14:ligatures w14:val="standardContextual"/>
            </w:rPr>
          </w:pPr>
          <w:hyperlink w:anchor="_Toc184820121" w:history="1">
            <w:r w:rsidRPr="00CD70F9">
              <w:rPr>
                <w:rStyle w:val="Hyperlink"/>
                <w:noProof/>
                <w:lang w:val="en-US"/>
              </w:rPr>
              <w:t>About the Commission</w:t>
            </w:r>
            <w:r>
              <w:rPr>
                <w:noProof/>
                <w:webHidden/>
              </w:rPr>
              <w:tab/>
            </w:r>
            <w:r>
              <w:rPr>
                <w:noProof/>
                <w:webHidden/>
              </w:rPr>
              <w:fldChar w:fldCharType="begin"/>
            </w:r>
            <w:r>
              <w:rPr>
                <w:noProof/>
                <w:webHidden/>
              </w:rPr>
              <w:instrText xml:space="preserve"> PAGEREF _Toc184820121 \h </w:instrText>
            </w:r>
            <w:r>
              <w:rPr>
                <w:noProof/>
                <w:webHidden/>
              </w:rPr>
            </w:r>
            <w:r>
              <w:rPr>
                <w:noProof/>
                <w:webHidden/>
              </w:rPr>
              <w:fldChar w:fldCharType="separate"/>
            </w:r>
            <w:r w:rsidR="007B02CA">
              <w:rPr>
                <w:noProof/>
                <w:webHidden/>
              </w:rPr>
              <w:t>4</w:t>
            </w:r>
            <w:r>
              <w:rPr>
                <w:noProof/>
                <w:webHidden/>
              </w:rPr>
              <w:fldChar w:fldCharType="end"/>
            </w:r>
          </w:hyperlink>
        </w:p>
        <w:p w14:paraId="339F86E2" w14:textId="715E1D0C" w:rsidR="00FC6CE6" w:rsidRDefault="00FC6CE6">
          <w:pPr>
            <w:pStyle w:val="TOC1"/>
            <w:tabs>
              <w:tab w:val="right" w:leader="dot" w:pos="8296"/>
            </w:tabs>
            <w:rPr>
              <w:rFonts w:asciiTheme="minorHAnsi" w:hAnsiTheme="minorHAnsi"/>
              <w:noProof/>
              <w:color w:val="auto"/>
              <w:kern w:val="2"/>
              <w:sz w:val="24"/>
              <w:lang w:eastAsia="en-AU"/>
              <w14:ligatures w14:val="standardContextual"/>
            </w:rPr>
          </w:pPr>
          <w:hyperlink w:anchor="_Toc184820122" w:history="1">
            <w:r w:rsidRPr="00CD70F9">
              <w:rPr>
                <w:rStyle w:val="Hyperlink"/>
                <w:noProof/>
                <w:lang w:val="en-GB"/>
              </w:rPr>
              <w:t>Respect for human rights must underpin the review</w:t>
            </w:r>
            <w:r>
              <w:rPr>
                <w:noProof/>
                <w:webHidden/>
              </w:rPr>
              <w:tab/>
            </w:r>
            <w:r>
              <w:rPr>
                <w:noProof/>
                <w:webHidden/>
              </w:rPr>
              <w:fldChar w:fldCharType="begin"/>
            </w:r>
            <w:r>
              <w:rPr>
                <w:noProof/>
                <w:webHidden/>
              </w:rPr>
              <w:instrText xml:space="preserve"> PAGEREF _Toc184820122 \h </w:instrText>
            </w:r>
            <w:r>
              <w:rPr>
                <w:noProof/>
                <w:webHidden/>
              </w:rPr>
            </w:r>
            <w:r>
              <w:rPr>
                <w:noProof/>
                <w:webHidden/>
              </w:rPr>
              <w:fldChar w:fldCharType="separate"/>
            </w:r>
            <w:r w:rsidR="007B02CA">
              <w:rPr>
                <w:noProof/>
                <w:webHidden/>
              </w:rPr>
              <w:t>4</w:t>
            </w:r>
            <w:r>
              <w:rPr>
                <w:noProof/>
                <w:webHidden/>
              </w:rPr>
              <w:fldChar w:fldCharType="end"/>
            </w:r>
          </w:hyperlink>
        </w:p>
        <w:p w14:paraId="0A0655C2" w14:textId="419158A6" w:rsidR="00FC6CE6" w:rsidRDefault="00FC6CE6">
          <w:pPr>
            <w:pStyle w:val="TOC1"/>
            <w:tabs>
              <w:tab w:val="right" w:leader="dot" w:pos="8296"/>
            </w:tabs>
            <w:rPr>
              <w:rFonts w:asciiTheme="minorHAnsi" w:hAnsiTheme="minorHAnsi"/>
              <w:noProof/>
              <w:color w:val="auto"/>
              <w:kern w:val="2"/>
              <w:sz w:val="24"/>
              <w:lang w:eastAsia="en-AU"/>
              <w14:ligatures w14:val="standardContextual"/>
            </w:rPr>
          </w:pPr>
          <w:hyperlink w:anchor="_Toc184820123" w:history="1">
            <w:r w:rsidRPr="00CD70F9">
              <w:rPr>
                <w:rStyle w:val="Hyperlink"/>
                <w:noProof/>
                <w:lang w:val="en-GB"/>
              </w:rPr>
              <w:t>Children should only be held for the shortest period</w:t>
            </w:r>
            <w:r>
              <w:rPr>
                <w:noProof/>
                <w:webHidden/>
              </w:rPr>
              <w:tab/>
            </w:r>
            <w:r>
              <w:rPr>
                <w:noProof/>
                <w:webHidden/>
              </w:rPr>
              <w:fldChar w:fldCharType="begin"/>
            </w:r>
            <w:r>
              <w:rPr>
                <w:noProof/>
                <w:webHidden/>
              </w:rPr>
              <w:instrText xml:space="preserve"> PAGEREF _Toc184820123 \h </w:instrText>
            </w:r>
            <w:r>
              <w:rPr>
                <w:noProof/>
                <w:webHidden/>
              </w:rPr>
            </w:r>
            <w:r>
              <w:rPr>
                <w:noProof/>
                <w:webHidden/>
              </w:rPr>
              <w:fldChar w:fldCharType="separate"/>
            </w:r>
            <w:r w:rsidR="007B02CA">
              <w:rPr>
                <w:noProof/>
                <w:webHidden/>
              </w:rPr>
              <w:t>7</w:t>
            </w:r>
            <w:r>
              <w:rPr>
                <w:noProof/>
                <w:webHidden/>
              </w:rPr>
              <w:fldChar w:fldCharType="end"/>
            </w:r>
          </w:hyperlink>
        </w:p>
        <w:p w14:paraId="3014BC29" w14:textId="013435BB" w:rsidR="00FC6CE6" w:rsidRDefault="00FC6CE6">
          <w:pPr>
            <w:pStyle w:val="TOC1"/>
            <w:tabs>
              <w:tab w:val="right" w:leader="dot" w:pos="8296"/>
            </w:tabs>
            <w:rPr>
              <w:rFonts w:asciiTheme="minorHAnsi" w:hAnsiTheme="minorHAnsi"/>
              <w:noProof/>
              <w:color w:val="auto"/>
              <w:kern w:val="2"/>
              <w:sz w:val="24"/>
              <w:lang w:eastAsia="en-AU"/>
              <w14:ligatures w14:val="standardContextual"/>
            </w:rPr>
          </w:pPr>
          <w:hyperlink w:anchor="_Toc184820124" w:history="1">
            <w:r w:rsidRPr="00CD70F9">
              <w:rPr>
                <w:rStyle w:val="Hyperlink"/>
                <w:noProof/>
                <w:lang w:val="en-GB"/>
              </w:rPr>
              <w:t>Identify minimum standards for children in watch houses</w:t>
            </w:r>
            <w:r>
              <w:rPr>
                <w:noProof/>
                <w:webHidden/>
              </w:rPr>
              <w:tab/>
            </w:r>
            <w:r>
              <w:rPr>
                <w:noProof/>
                <w:webHidden/>
              </w:rPr>
              <w:fldChar w:fldCharType="begin"/>
            </w:r>
            <w:r>
              <w:rPr>
                <w:noProof/>
                <w:webHidden/>
              </w:rPr>
              <w:instrText xml:space="preserve"> PAGEREF _Toc184820124 \h </w:instrText>
            </w:r>
            <w:r>
              <w:rPr>
                <w:noProof/>
                <w:webHidden/>
              </w:rPr>
            </w:r>
            <w:r>
              <w:rPr>
                <w:noProof/>
                <w:webHidden/>
              </w:rPr>
              <w:fldChar w:fldCharType="separate"/>
            </w:r>
            <w:r w:rsidR="007B02CA">
              <w:rPr>
                <w:noProof/>
                <w:webHidden/>
              </w:rPr>
              <w:t>7</w:t>
            </w:r>
            <w:r>
              <w:rPr>
                <w:noProof/>
                <w:webHidden/>
              </w:rPr>
              <w:fldChar w:fldCharType="end"/>
            </w:r>
          </w:hyperlink>
        </w:p>
        <w:p w14:paraId="26832BB7" w14:textId="0D374540" w:rsidR="00FC6CE6" w:rsidRDefault="00FC6CE6">
          <w:pPr>
            <w:pStyle w:val="TOC1"/>
            <w:tabs>
              <w:tab w:val="right" w:leader="dot" w:pos="8296"/>
            </w:tabs>
            <w:rPr>
              <w:rFonts w:asciiTheme="minorHAnsi" w:hAnsiTheme="minorHAnsi"/>
              <w:noProof/>
              <w:color w:val="auto"/>
              <w:kern w:val="2"/>
              <w:sz w:val="24"/>
              <w:lang w:eastAsia="en-AU"/>
              <w14:ligatures w14:val="standardContextual"/>
            </w:rPr>
          </w:pPr>
          <w:hyperlink w:anchor="_Toc184820125" w:history="1">
            <w:r w:rsidRPr="00CD70F9">
              <w:rPr>
                <w:rStyle w:val="Hyperlink"/>
                <w:noProof/>
                <w:lang w:val="en-GB"/>
              </w:rPr>
              <w:t>Audit ability to meet minimum standards</w:t>
            </w:r>
            <w:r>
              <w:rPr>
                <w:noProof/>
                <w:webHidden/>
              </w:rPr>
              <w:tab/>
            </w:r>
            <w:r>
              <w:rPr>
                <w:noProof/>
                <w:webHidden/>
              </w:rPr>
              <w:fldChar w:fldCharType="begin"/>
            </w:r>
            <w:r>
              <w:rPr>
                <w:noProof/>
                <w:webHidden/>
              </w:rPr>
              <w:instrText xml:space="preserve"> PAGEREF _Toc184820125 \h </w:instrText>
            </w:r>
            <w:r>
              <w:rPr>
                <w:noProof/>
                <w:webHidden/>
              </w:rPr>
            </w:r>
            <w:r>
              <w:rPr>
                <w:noProof/>
                <w:webHidden/>
              </w:rPr>
              <w:fldChar w:fldCharType="separate"/>
            </w:r>
            <w:r w:rsidR="007B02CA">
              <w:rPr>
                <w:noProof/>
                <w:webHidden/>
              </w:rPr>
              <w:t>10</w:t>
            </w:r>
            <w:r>
              <w:rPr>
                <w:noProof/>
                <w:webHidden/>
              </w:rPr>
              <w:fldChar w:fldCharType="end"/>
            </w:r>
          </w:hyperlink>
        </w:p>
        <w:p w14:paraId="1130D583" w14:textId="68F2F2FE" w:rsidR="00FC6CE6" w:rsidRDefault="00FC6CE6">
          <w:pPr>
            <w:pStyle w:val="TOC1"/>
            <w:tabs>
              <w:tab w:val="right" w:leader="dot" w:pos="8296"/>
            </w:tabs>
            <w:rPr>
              <w:rFonts w:asciiTheme="minorHAnsi" w:hAnsiTheme="minorHAnsi"/>
              <w:noProof/>
              <w:color w:val="auto"/>
              <w:kern w:val="2"/>
              <w:sz w:val="24"/>
              <w:lang w:eastAsia="en-AU"/>
              <w14:ligatures w14:val="standardContextual"/>
            </w:rPr>
          </w:pPr>
          <w:hyperlink w:anchor="_Toc184820126" w:history="1">
            <w:r w:rsidRPr="00CD70F9">
              <w:rPr>
                <w:rStyle w:val="Hyperlink"/>
                <w:noProof/>
                <w:lang w:val="en-GB"/>
              </w:rPr>
              <w:t>Child-friendly accountability mechanisms</w:t>
            </w:r>
            <w:r>
              <w:rPr>
                <w:noProof/>
                <w:webHidden/>
              </w:rPr>
              <w:tab/>
            </w:r>
            <w:r>
              <w:rPr>
                <w:noProof/>
                <w:webHidden/>
              </w:rPr>
              <w:fldChar w:fldCharType="begin"/>
            </w:r>
            <w:r>
              <w:rPr>
                <w:noProof/>
                <w:webHidden/>
              </w:rPr>
              <w:instrText xml:space="preserve"> PAGEREF _Toc184820126 \h </w:instrText>
            </w:r>
            <w:r>
              <w:rPr>
                <w:noProof/>
                <w:webHidden/>
              </w:rPr>
            </w:r>
            <w:r>
              <w:rPr>
                <w:noProof/>
                <w:webHidden/>
              </w:rPr>
              <w:fldChar w:fldCharType="separate"/>
            </w:r>
            <w:r w:rsidR="007B02CA">
              <w:rPr>
                <w:noProof/>
                <w:webHidden/>
              </w:rPr>
              <w:t>10</w:t>
            </w:r>
            <w:r>
              <w:rPr>
                <w:noProof/>
                <w:webHidden/>
              </w:rPr>
              <w:fldChar w:fldCharType="end"/>
            </w:r>
          </w:hyperlink>
        </w:p>
        <w:p w14:paraId="197BC7C0" w14:textId="5FF4E8D5" w:rsidR="00FC6CE6" w:rsidRDefault="00FC6CE6">
          <w:pPr>
            <w:pStyle w:val="TOC1"/>
            <w:tabs>
              <w:tab w:val="right" w:leader="dot" w:pos="8296"/>
            </w:tabs>
            <w:rPr>
              <w:rFonts w:asciiTheme="minorHAnsi" w:hAnsiTheme="minorHAnsi"/>
              <w:noProof/>
              <w:color w:val="auto"/>
              <w:kern w:val="2"/>
              <w:sz w:val="24"/>
              <w:lang w:eastAsia="en-AU"/>
              <w14:ligatures w14:val="standardContextual"/>
            </w:rPr>
          </w:pPr>
          <w:hyperlink w:anchor="_Toc184820127" w:history="1">
            <w:r w:rsidRPr="00CD70F9">
              <w:rPr>
                <w:rStyle w:val="Hyperlink"/>
                <w:noProof/>
                <w:lang w:val="en-GB"/>
              </w:rPr>
              <w:t>Appropriate training for QPS staff</w:t>
            </w:r>
            <w:r>
              <w:rPr>
                <w:noProof/>
                <w:webHidden/>
              </w:rPr>
              <w:tab/>
            </w:r>
            <w:r>
              <w:rPr>
                <w:noProof/>
                <w:webHidden/>
              </w:rPr>
              <w:fldChar w:fldCharType="begin"/>
            </w:r>
            <w:r>
              <w:rPr>
                <w:noProof/>
                <w:webHidden/>
              </w:rPr>
              <w:instrText xml:space="preserve"> PAGEREF _Toc184820127 \h </w:instrText>
            </w:r>
            <w:r>
              <w:rPr>
                <w:noProof/>
                <w:webHidden/>
              </w:rPr>
            </w:r>
            <w:r>
              <w:rPr>
                <w:noProof/>
                <w:webHidden/>
              </w:rPr>
              <w:fldChar w:fldCharType="separate"/>
            </w:r>
            <w:r w:rsidR="007B02CA">
              <w:rPr>
                <w:noProof/>
                <w:webHidden/>
              </w:rPr>
              <w:t>11</w:t>
            </w:r>
            <w:r>
              <w:rPr>
                <w:noProof/>
                <w:webHidden/>
              </w:rPr>
              <w:fldChar w:fldCharType="end"/>
            </w:r>
          </w:hyperlink>
        </w:p>
        <w:p w14:paraId="3CAADD54" w14:textId="5DD592C4" w:rsidR="00FC6CE6" w:rsidRDefault="00FC6CE6">
          <w:pPr>
            <w:pStyle w:val="TOC1"/>
            <w:tabs>
              <w:tab w:val="right" w:leader="dot" w:pos="8296"/>
            </w:tabs>
            <w:rPr>
              <w:rFonts w:asciiTheme="minorHAnsi" w:hAnsiTheme="minorHAnsi"/>
              <w:noProof/>
              <w:color w:val="auto"/>
              <w:kern w:val="2"/>
              <w:sz w:val="24"/>
              <w:lang w:eastAsia="en-AU"/>
              <w14:ligatures w14:val="standardContextual"/>
            </w:rPr>
          </w:pPr>
          <w:hyperlink w:anchor="_Toc184820128" w:history="1">
            <w:r w:rsidRPr="00CD70F9">
              <w:rPr>
                <w:rStyle w:val="Hyperlink"/>
                <w:noProof/>
                <w:lang w:val="en-GB"/>
              </w:rPr>
              <w:t>Conclusion</w:t>
            </w:r>
            <w:r>
              <w:rPr>
                <w:noProof/>
                <w:webHidden/>
              </w:rPr>
              <w:tab/>
            </w:r>
            <w:r>
              <w:rPr>
                <w:noProof/>
                <w:webHidden/>
              </w:rPr>
              <w:fldChar w:fldCharType="begin"/>
            </w:r>
            <w:r>
              <w:rPr>
                <w:noProof/>
                <w:webHidden/>
              </w:rPr>
              <w:instrText xml:space="preserve"> PAGEREF _Toc184820128 \h </w:instrText>
            </w:r>
            <w:r>
              <w:rPr>
                <w:noProof/>
                <w:webHidden/>
              </w:rPr>
            </w:r>
            <w:r>
              <w:rPr>
                <w:noProof/>
                <w:webHidden/>
              </w:rPr>
              <w:fldChar w:fldCharType="separate"/>
            </w:r>
            <w:r w:rsidR="007B02CA">
              <w:rPr>
                <w:noProof/>
                <w:webHidden/>
              </w:rPr>
              <w:t>12</w:t>
            </w:r>
            <w:r>
              <w:rPr>
                <w:noProof/>
                <w:webHidden/>
              </w:rPr>
              <w:fldChar w:fldCharType="end"/>
            </w:r>
          </w:hyperlink>
        </w:p>
        <w:p w14:paraId="0C83254C" w14:textId="01F9AB6C" w:rsidR="00A16356" w:rsidRPr="00041E58" w:rsidRDefault="00A16356" w:rsidP="00466216">
          <w:pPr>
            <w:spacing w:before="120"/>
            <w:rPr>
              <w:rFonts w:cs="Arial"/>
            </w:rPr>
          </w:pPr>
          <w:r w:rsidRPr="00041E58">
            <w:rPr>
              <w:rFonts w:cs="Arial"/>
              <w:b/>
              <w:bCs/>
              <w:noProof/>
            </w:rPr>
            <w:fldChar w:fldCharType="end"/>
          </w:r>
        </w:p>
      </w:sdtContent>
    </w:sdt>
    <w:p w14:paraId="1E3A8ADC" w14:textId="77777777" w:rsidR="004A2375" w:rsidRDefault="004A2375">
      <w:pPr>
        <w:rPr>
          <w:rFonts w:eastAsiaTheme="majorEastAsia" w:cstheme="majorBidi"/>
          <w:b/>
          <w:color w:val="365F91" w:themeColor="accent1" w:themeShade="BF"/>
          <w:sz w:val="28"/>
          <w:szCs w:val="32"/>
        </w:rPr>
        <w:sectPr w:rsidR="004A2375" w:rsidSect="00A16356">
          <w:footerReference w:type="default" r:id="rId14"/>
          <w:headerReference w:type="first" r:id="rId15"/>
          <w:pgSz w:w="11900" w:h="16840" w:code="9"/>
          <w:pgMar w:top="1440" w:right="1797" w:bottom="1440" w:left="1797" w:header="709" w:footer="709" w:gutter="0"/>
          <w:pgNumType w:start="0"/>
          <w:cols w:space="708"/>
          <w:titlePg/>
          <w:docGrid w:linePitch="360"/>
        </w:sectPr>
      </w:pPr>
    </w:p>
    <w:p w14:paraId="75409ABD" w14:textId="77777777" w:rsidR="005C2796" w:rsidRDefault="005C2796" w:rsidP="007B02CA">
      <w:pPr>
        <w:pStyle w:val="Heading1"/>
      </w:pPr>
      <w:bookmarkStart w:id="1" w:name="_Toc184820119"/>
      <w:r>
        <w:lastRenderedPageBreak/>
        <w:t>Introduction</w:t>
      </w:r>
      <w:bookmarkEnd w:id="1"/>
    </w:p>
    <w:p w14:paraId="4A7D3B92" w14:textId="77777777" w:rsidR="005C2796" w:rsidRPr="0015205D" w:rsidRDefault="005C2796" w:rsidP="00065BB2">
      <w:pPr>
        <w:pStyle w:val="Numberedparagraph"/>
      </w:pPr>
      <w:r>
        <w:t>This is the Queensland Human Rights Commission (</w:t>
      </w:r>
      <w:r w:rsidRPr="0015205D">
        <w:rPr>
          <w:b/>
          <w:bCs/>
        </w:rPr>
        <w:t>Commission</w:t>
      </w:r>
      <w:r>
        <w:t>) submission to the review of watch houses conducted by the Queensland Police Service (</w:t>
      </w:r>
      <w:r w:rsidRPr="0015205D">
        <w:rPr>
          <w:b/>
          <w:bCs/>
        </w:rPr>
        <w:t>QPS</w:t>
      </w:r>
      <w:r>
        <w:t>) in response to rising complaints and occupancy rates within watch house facilities.</w:t>
      </w:r>
      <w:r>
        <w:rPr>
          <w:rStyle w:val="FootnoteReference"/>
        </w:rPr>
        <w:footnoteReference w:id="2"/>
      </w:r>
      <w:r>
        <w:t xml:space="preserve"> </w:t>
      </w:r>
    </w:p>
    <w:p w14:paraId="41633412" w14:textId="77777777" w:rsidR="005C2796" w:rsidRDefault="005C2796" w:rsidP="00551F97">
      <w:pPr>
        <w:pStyle w:val="Numberedparagraph"/>
        <w:rPr>
          <w:lang w:val="en-US"/>
        </w:rPr>
      </w:pPr>
      <w:r>
        <w:rPr>
          <w:lang w:val="en-US"/>
        </w:rPr>
        <w:t xml:space="preserve">Watch houses are designed and operated as facilities to hold adult prisoners temporarily. Internationally and in Queensland, watch houses are not regarded as appropriate or humane places in which to detain children for any length of time, including because of the inescapable exposure to adult detainees, the inability of the built and operational environment to meet children’s needs, and the lack of </w:t>
      </w:r>
      <w:proofErr w:type="spellStart"/>
      <w:r>
        <w:rPr>
          <w:lang w:val="en-US"/>
        </w:rPr>
        <w:t>specialised</w:t>
      </w:r>
      <w:proofErr w:type="spellEnd"/>
      <w:r>
        <w:rPr>
          <w:lang w:val="en-US"/>
        </w:rPr>
        <w:t xml:space="preserve"> staff to work with children.</w:t>
      </w:r>
      <w:r>
        <w:rPr>
          <w:rStyle w:val="FootnoteReference"/>
          <w:lang w:val="en-US"/>
        </w:rPr>
        <w:footnoteReference w:id="3"/>
      </w:r>
      <w:r>
        <w:rPr>
          <w:lang w:val="en-US"/>
        </w:rPr>
        <w:t xml:space="preserve">  Detaining a child in such an environment is likely to undermine their psychological and physical wellbeing, compromise cognitive development,</w:t>
      </w:r>
      <w:r>
        <w:rPr>
          <w:rStyle w:val="FootnoteReference"/>
          <w:lang w:val="en-GB"/>
        </w:rPr>
        <w:footnoteReference w:id="4"/>
      </w:r>
      <w:r>
        <w:rPr>
          <w:lang w:val="en-US"/>
        </w:rPr>
        <w:t xml:space="preserve"> harm rehabilitation and reintegration efforts, and create safety risks for watch house staff, police officers and other services supporting children in watch house detention.</w:t>
      </w:r>
    </w:p>
    <w:p w14:paraId="15D15CD3" w14:textId="32D41CDE" w:rsidR="005C2796" w:rsidRDefault="005C2796" w:rsidP="00551F97">
      <w:pPr>
        <w:pStyle w:val="Numberedparagraph"/>
        <w:rPr>
          <w:lang w:val="en-GB"/>
        </w:rPr>
      </w:pPr>
      <w:r>
        <w:rPr>
          <w:lang w:val="en-US"/>
        </w:rPr>
        <w:t>Recent Queensland reviews have highlighted these issues</w:t>
      </w:r>
      <w:r>
        <w:rPr>
          <w:rStyle w:val="FootnoteReference"/>
          <w:lang w:val="en-US"/>
        </w:rPr>
        <w:footnoteReference w:id="5"/>
      </w:r>
      <w:r>
        <w:rPr>
          <w:lang w:val="en-US"/>
        </w:rPr>
        <w:t xml:space="preserve"> and the incoming Attorney-General has acknowledged that detention in watch houses limits </w:t>
      </w:r>
      <w:r w:rsidR="00805887">
        <w:rPr>
          <w:lang w:val="en-US"/>
        </w:rPr>
        <w:t xml:space="preserve">the right to </w:t>
      </w:r>
      <w:r>
        <w:rPr>
          <w:lang w:val="en-US"/>
        </w:rPr>
        <w:t>protection from cruel, inhuman or degrading treatment and the right to humane treatment when deprived of liberty.</w:t>
      </w:r>
      <w:r>
        <w:rPr>
          <w:rStyle w:val="FootnoteReference"/>
          <w:lang w:val="en-US"/>
        </w:rPr>
        <w:footnoteReference w:id="6"/>
      </w:r>
      <w:r>
        <w:rPr>
          <w:lang w:val="en-US"/>
        </w:rPr>
        <w:t xml:space="preserve"> </w:t>
      </w:r>
      <w:r>
        <w:rPr>
          <w:lang w:val="en-GB"/>
        </w:rPr>
        <w:t>Despite this, c</w:t>
      </w:r>
      <w:r w:rsidRPr="007D3630">
        <w:rPr>
          <w:lang w:val="en-GB"/>
        </w:rPr>
        <w:t xml:space="preserve">hanges </w:t>
      </w:r>
      <w:r w:rsidR="00C64B28">
        <w:rPr>
          <w:lang w:val="en-GB"/>
        </w:rPr>
        <w:t xml:space="preserve">proposed by </w:t>
      </w:r>
      <w:r>
        <w:rPr>
          <w:lang w:val="en-GB"/>
        </w:rPr>
        <w:lastRenderedPageBreak/>
        <w:t>the Making Queensland Safer Bill 2024 are likely to increase pressure on watch houses to accommodate more children for longer.</w:t>
      </w:r>
      <w:r>
        <w:rPr>
          <w:rStyle w:val="FootnoteReference"/>
          <w:lang w:val="en-GB"/>
        </w:rPr>
        <w:footnoteReference w:id="7"/>
      </w:r>
    </w:p>
    <w:p w14:paraId="1BE2CCAB" w14:textId="77777777" w:rsidR="005C2796" w:rsidRDefault="005C2796" w:rsidP="00551F97">
      <w:pPr>
        <w:pStyle w:val="Numberedparagraph"/>
        <w:rPr>
          <w:lang w:val="en-GB"/>
        </w:rPr>
      </w:pPr>
      <w:r w:rsidRPr="002F5D47">
        <w:rPr>
          <w:lang w:val="en-GB"/>
        </w:rPr>
        <w:t xml:space="preserve">This submission focuses on outcomes for children in watch house custody and the people who look after them. However, many of the Commission’s recommendations will more broadly benefit people detained in watch houses, including adults with specific health, disability, or cultural needs, and adults detained for longer periods. </w:t>
      </w:r>
    </w:p>
    <w:p w14:paraId="66D27092" w14:textId="77777777" w:rsidR="005C2796" w:rsidRDefault="005C2796" w:rsidP="007B02CA">
      <w:pPr>
        <w:pStyle w:val="Heading1"/>
      </w:pPr>
      <w:bookmarkStart w:id="2" w:name="_Toc184820120"/>
      <w:r w:rsidRPr="45200596">
        <w:t>Summary of recommendations</w:t>
      </w:r>
      <w:bookmarkEnd w:id="2"/>
    </w:p>
    <w:p w14:paraId="32357093" w14:textId="77777777" w:rsidR="005C2796" w:rsidRDefault="005C2796" w:rsidP="00551F97">
      <w:pPr>
        <w:pStyle w:val="Numberedparagraph"/>
      </w:pPr>
      <w:r>
        <w:t xml:space="preserve">The Commission submits that </w:t>
      </w:r>
      <w:r>
        <w:rPr>
          <w:lang w:val="en-GB"/>
        </w:rPr>
        <w:t xml:space="preserve">respect for human rights must be central to this review, and cuts across all three main themes of the review: </w:t>
      </w:r>
      <w:r w:rsidRPr="006B25A9">
        <w:rPr>
          <w:b/>
          <w:bCs/>
        </w:rPr>
        <w:t>people, processes</w:t>
      </w:r>
      <w:r>
        <w:t xml:space="preserve">, and </w:t>
      </w:r>
      <w:r w:rsidRPr="006B25A9">
        <w:rPr>
          <w:b/>
          <w:bCs/>
        </w:rPr>
        <w:t>places</w:t>
      </w:r>
      <w:r>
        <w:t xml:space="preserve">. </w:t>
      </w:r>
    </w:p>
    <w:p w14:paraId="472C8195" w14:textId="42560767" w:rsidR="005C2796" w:rsidRDefault="005C2796" w:rsidP="00551F97">
      <w:pPr>
        <w:pStyle w:val="Numberedparagraph"/>
      </w:pPr>
      <w:r>
        <w:t xml:space="preserve">In relation to </w:t>
      </w:r>
      <w:r w:rsidRPr="00D856CF">
        <w:rPr>
          <w:b/>
          <w:bCs/>
        </w:rPr>
        <w:t>processes</w:t>
      </w:r>
      <w:r w:rsidR="00C9241D">
        <w:rPr>
          <w:b/>
          <w:bCs/>
        </w:rPr>
        <w:t xml:space="preserve"> </w:t>
      </w:r>
      <w:r w:rsidR="00C9241D" w:rsidRPr="00C9241D">
        <w:t xml:space="preserve">(with the goal of promoting the health and safety of </w:t>
      </w:r>
      <w:r w:rsidR="00C9241D" w:rsidRPr="00C9241D">
        <w:rPr>
          <w:b/>
          <w:bCs/>
        </w:rPr>
        <w:t>people</w:t>
      </w:r>
      <w:r w:rsidR="00C9241D" w:rsidRPr="00C9241D">
        <w:t>)</w:t>
      </w:r>
      <w:r>
        <w:t>, the Commission recommends that:</w:t>
      </w:r>
    </w:p>
    <w:p w14:paraId="1174043A" w14:textId="77777777" w:rsidR="005C2796" w:rsidRPr="00055B0B" w:rsidRDefault="005C2796" w:rsidP="00055B0B">
      <w:pPr>
        <w:pStyle w:val="Numberedparagraph"/>
        <w:numPr>
          <w:ilvl w:val="0"/>
          <w:numId w:val="26"/>
        </w:numPr>
        <w:rPr>
          <w:lang w:val="en-GB"/>
        </w:rPr>
      </w:pPr>
      <w:r w:rsidRPr="00055B0B">
        <w:rPr>
          <w:lang w:val="en-GB"/>
        </w:rPr>
        <w:t>The QPS policy position that children be held only for the shortest time be maintained and realised by QPS reviewing its approach to:</w:t>
      </w:r>
    </w:p>
    <w:p w14:paraId="2AD2E968" w14:textId="77777777" w:rsidR="005C2796" w:rsidRDefault="005C2796" w:rsidP="00055B0B">
      <w:pPr>
        <w:pStyle w:val="Bulletedlist"/>
        <w:rPr>
          <w:lang w:val="en-GB"/>
        </w:rPr>
      </w:pPr>
      <w:r>
        <w:rPr>
          <w:lang w:val="en-GB"/>
        </w:rPr>
        <w:t>arrest and detention</w:t>
      </w:r>
    </w:p>
    <w:p w14:paraId="7851076E" w14:textId="77777777" w:rsidR="005C2796" w:rsidRDefault="005C2796" w:rsidP="00055B0B">
      <w:pPr>
        <w:pStyle w:val="Bulletedlist"/>
        <w:rPr>
          <w:lang w:val="en-GB"/>
        </w:rPr>
      </w:pPr>
      <w:r>
        <w:rPr>
          <w:lang w:val="en-GB"/>
        </w:rPr>
        <w:t>police bail</w:t>
      </w:r>
    </w:p>
    <w:p w14:paraId="57970032" w14:textId="77777777" w:rsidR="005C2796" w:rsidRDefault="005C2796" w:rsidP="00055B0B">
      <w:pPr>
        <w:pStyle w:val="Bulletedlist"/>
        <w:rPr>
          <w:lang w:val="en-GB"/>
        </w:rPr>
      </w:pPr>
      <w:r>
        <w:rPr>
          <w:lang w:val="en-GB"/>
        </w:rPr>
        <w:t xml:space="preserve">its role in assisting to end watch house detention, when ending detention is dependent on court processes or transfer to a youth detention centre. </w:t>
      </w:r>
    </w:p>
    <w:p w14:paraId="56EF541B" w14:textId="77777777" w:rsidR="005C2796" w:rsidRPr="00A34314" w:rsidRDefault="005C2796" w:rsidP="005C2796">
      <w:pPr>
        <w:pStyle w:val="Numberedparagraph"/>
        <w:numPr>
          <w:ilvl w:val="0"/>
          <w:numId w:val="18"/>
        </w:numPr>
      </w:pPr>
      <w:r>
        <w:rPr>
          <w:lang w:val="en-GB"/>
        </w:rPr>
        <w:t xml:space="preserve">QPS should clearly identify </w:t>
      </w:r>
      <w:r w:rsidRPr="009666A7">
        <w:rPr>
          <w:lang w:val="en-GB"/>
        </w:rPr>
        <w:t>minimum standards</w:t>
      </w:r>
      <w:r>
        <w:rPr>
          <w:lang w:val="en-GB"/>
        </w:rPr>
        <w:t xml:space="preserve"> that apply to children in watch house custody.</w:t>
      </w:r>
    </w:p>
    <w:p w14:paraId="367A76C3" w14:textId="77777777" w:rsidR="005C2796" w:rsidRPr="00D9565C" w:rsidRDefault="005C2796" w:rsidP="005C2796">
      <w:pPr>
        <w:pStyle w:val="Numberedparagraph"/>
        <w:numPr>
          <w:ilvl w:val="0"/>
          <w:numId w:val="18"/>
        </w:numPr>
      </w:pPr>
      <w:r>
        <w:rPr>
          <w:lang w:val="en-GB"/>
        </w:rPr>
        <w:t>QPS should audit the local instructions and infrastructure of each watch house where children may be held for compliance with the minimum standards. A plan should be developed to rapidly address identified shortfalls.</w:t>
      </w:r>
    </w:p>
    <w:p w14:paraId="132AE059" w14:textId="77777777" w:rsidR="005C2796" w:rsidRPr="00E80163" w:rsidRDefault="005C2796" w:rsidP="005C2796">
      <w:pPr>
        <w:pStyle w:val="Numberedparagraph"/>
        <w:numPr>
          <w:ilvl w:val="0"/>
          <w:numId w:val="18"/>
        </w:numPr>
      </w:pPr>
      <w:r>
        <w:rPr>
          <w:lang w:val="en-GB"/>
        </w:rPr>
        <w:t>QPS should ensure that accountability mechanisms to meet minimum standards are child-friendly.</w:t>
      </w:r>
    </w:p>
    <w:p w14:paraId="77EAE53B" w14:textId="77777777" w:rsidR="00065BB2" w:rsidRDefault="00DE2BC7" w:rsidP="00065BB2">
      <w:pPr>
        <w:pStyle w:val="Numberedparagraph"/>
        <w:numPr>
          <w:ilvl w:val="0"/>
          <w:numId w:val="29"/>
        </w:numPr>
        <w:rPr>
          <w:lang w:val="en-GB"/>
        </w:rPr>
      </w:pPr>
      <w:r w:rsidRPr="00065BB2">
        <w:rPr>
          <w:lang w:val="en-GB"/>
        </w:rPr>
        <w:t>The r</w:t>
      </w:r>
      <w:r w:rsidR="005C2796" w:rsidRPr="00065BB2">
        <w:rPr>
          <w:lang w:val="en-GB"/>
        </w:rPr>
        <w:t xml:space="preserve">ecommendation </w:t>
      </w:r>
      <w:r w:rsidRPr="00065BB2">
        <w:rPr>
          <w:lang w:val="en-GB"/>
        </w:rPr>
        <w:t xml:space="preserve">in paragraph </w:t>
      </w:r>
      <w:r w:rsidR="00055B0B" w:rsidRPr="00065BB2">
        <w:rPr>
          <w:b/>
          <w:bCs/>
          <w:lang w:val="en-GB"/>
        </w:rPr>
        <w:t>6c</w:t>
      </w:r>
      <w:r w:rsidR="005C2796" w:rsidRPr="00065BB2">
        <w:rPr>
          <w:lang w:val="en-GB"/>
        </w:rPr>
        <w:t xml:space="preserve"> also </w:t>
      </w:r>
      <w:r w:rsidR="005C2796" w:rsidRPr="00055B0B">
        <w:t>relates</w:t>
      </w:r>
      <w:r w:rsidR="005C2796" w:rsidRPr="00065BB2">
        <w:rPr>
          <w:lang w:val="en-GB"/>
        </w:rPr>
        <w:t xml:space="preserve"> to the theme of </w:t>
      </w:r>
      <w:r w:rsidR="005C2796" w:rsidRPr="00065BB2">
        <w:rPr>
          <w:b/>
          <w:bCs/>
          <w:lang w:val="en-GB"/>
        </w:rPr>
        <w:t>places</w:t>
      </w:r>
      <w:r w:rsidR="005C2796" w:rsidRPr="00065BB2">
        <w:rPr>
          <w:lang w:val="en-GB"/>
        </w:rPr>
        <w:t>.</w:t>
      </w:r>
    </w:p>
    <w:p w14:paraId="2617CF54" w14:textId="69B5A0E8" w:rsidR="005C2796" w:rsidRPr="00065BB2" w:rsidRDefault="005C2796" w:rsidP="00065BB2">
      <w:pPr>
        <w:pStyle w:val="Numberedparagraph"/>
        <w:numPr>
          <w:ilvl w:val="0"/>
          <w:numId w:val="29"/>
        </w:numPr>
        <w:rPr>
          <w:lang w:val="en-GB"/>
        </w:rPr>
      </w:pPr>
      <w:r>
        <w:t xml:space="preserve">Finally, in relation to </w:t>
      </w:r>
      <w:r w:rsidRPr="00065BB2">
        <w:rPr>
          <w:b/>
          <w:bCs/>
        </w:rPr>
        <w:t>people</w:t>
      </w:r>
      <w:r w:rsidRPr="00D856CF">
        <w:t>, the Commission recommend</w:t>
      </w:r>
      <w:r w:rsidR="002627D0">
        <w:t xml:space="preserve">s </w:t>
      </w:r>
      <w:r w:rsidR="002627D0" w:rsidRPr="00065BB2">
        <w:rPr>
          <w:lang w:val="en-GB"/>
        </w:rPr>
        <w:t>QPS staff and officers working in watch houses should have specialist training on working with children and people with complex needs and include specific training on the minimum standards that apply to children in watch house detention.</w:t>
      </w:r>
    </w:p>
    <w:p w14:paraId="2504482F" w14:textId="77777777" w:rsidR="005C2796" w:rsidRDefault="005C2796" w:rsidP="006B716A">
      <w:pPr>
        <w:pStyle w:val="Numberedparagraph"/>
      </w:pPr>
      <w:r w:rsidRPr="006B716A">
        <w:lastRenderedPageBreak/>
        <w:t>These</w:t>
      </w:r>
      <w:r>
        <w:t xml:space="preserve"> recommendations have been informed by and build upon recommendations made in other reviews, which have been referenced in the body of this submission. In summary, these are:</w:t>
      </w:r>
    </w:p>
    <w:p w14:paraId="3051FE87" w14:textId="77777777" w:rsidR="005C2796" w:rsidRPr="00857956" w:rsidRDefault="005C2796" w:rsidP="00D05A2D">
      <w:pPr>
        <w:pStyle w:val="Bulletedlist"/>
        <w:ind w:left="1134"/>
        <w:rPr>
          <w:lang w:val="en-GB"/>
        </w:rPr>
      </w:pPr>
      <w:bookmarkStart w:id="3" w:name="_Hlk184631777"/>
      <w:r w:rsidRPr="00857956">
        <w:rPr>
          <w:lang w:val="en-GB"/>
        </w:rPr>
        <w:t xml:space="preserve">Inspector of Detention Services, Queensland Ombudsman, </w:t>
      </w:r>
      <w:r w:rsidRPr="00857956">
        <w:rPr>
          <w:i/>
          <w:iCs/>
          <w:lang w:val="en-GB"/>
        </w:rPr>
        <w:t xml:space="preserve">Cairns and </w:t>
      </w:r>
      <w:proofErr w:type="spellStart"/>
      <w:r w:rsidRPr="00857956">
        <w:rPr>
          <w:i/>
          <w:iCs/>
          <w:lang w:val="en-GB"/>
        </w:rPr>
        <w:t>Murgon</w:t>
      </w:r>
      <w:proofErr w:type="spellEnd"/>
      <w:r w:rsidRPr="00857956">
        <w:rPr>
          <w:i/>
          <w:iCs/>
          <w:lang w:val="en-GB"/>
        </w:rPr>
        <w:t xml:space="preserve"> Watch-houses Inspection Report: Focus on Detention of Children</w:t>
      </w:r>
      <w:r w:rsidRPr="00857956">
        <w:rPr>
          <w:lang w:val="en-GB"/>
        </w:rPr>
        <w:t xml:space="preserve"> (11 September 2024)</w:t>
      </w:r>
      <w:r>
        <w:rPr>
          <w:lang w:val="en-GB"/>
        </w:rPr>
        <w:t xml:space="preserve"> recommendations 1, 4, 5, 10, 11 and 12</w:t>
      </w:r>
    </w:p>
    <w:p w14:paraId="549E5782" w14:textId="77777777" w:rsidR="005C2796" w:rsidRDefault="005C2796" w:rsidP="00D05A2D">
      <w:pPr>
        <w:pStyle w:val="Bulletedlist"/>
        <w:ind w:left="1134"/>
        <w:rPr>
          <w:lang w:val="en-GB"/>
        </w:rPr>
      </w:pPr>
      <w:bookmarkStart w:id="4" w:name="_Hlk184631751"/>
      <w:bookmarkEnd w:id="3"/>
      <w:r w:rsidRPr="00436154">
        <w:rPr>
          <w:lang w:val="en-GB"/>
        </w:rPr>
        <w:t xml:space="preserve">Queensland Family and Child Commission, </w:t>
      </w:r>
      <w:r w:rsidRPr="00436154">
        <w:rPr>
          <w:i/>
          <w:iCs/>
          <w:lang w:val="en-GB"/>
        </w:rPr>
        <w:t>Who’s Responsible: Understanding Why Young People Are Being Held Longer in Queensland Watch houses</w:t>
      </w:r>
      <w:r w:rsidRPr="00436154">
        <w:rPr>
          <w:lang w:val="en-GB"/>
        </w:rPr>
        <w:t xml:space="preserve"> (30 November 2023) </w:t>
      </w:r>
      <w:r>
        <w:rPr>
          <w:lang w:val="en-GB"/>
        </w:rPr>
        <w:t>recommendation 4</w:t>
      </w:r>
    </w:p>
    <w:p w14:paraId="59900798" w14:textId="77777777" w:rsidR="005C2796" w:rsidRPr="00D856CF" w:rsidRDefault="005C2796" w:rsidP="00D05A2D">
      <w:pPr>
        <w:pStyle w:val="Bulletedlist"/>
        <w:ind w:left="1134"/>
      </w:pPr>
      <w:r w:rsidRPr="00D2001D">
        <w:rPr>
          <w:i/>
          <w:iCs/>
        </w:rPr>
        <w:t xml:space="preserve">Inquest into the deaths of Shiralee Deanne </w:t>
      </w:r>
      <w:proofErr w:type="spellStart"/>
      <w:r w:rsidRPr="00D2001D">
        <w:rPr>
          <w:i/>
          <w:iCs/>
        </w:rPr>
        <w:t>Tilberoo</w:t>
      </w:r>
      <w:proofErr w:type="spellEnd"/>
      <w:r w:rsidRPr="00D2001D">
        <w:rPr>
          <w:i/>
          <w:iCs/>
        </w:rPr>
        <w:t xml:space="preserve"> and Vlasta </w:t>
      </w:r>
      <w:proofErr w:type="spellStart"/>
      <w:r w:rsidRPr="00D2001D">
        <w:rPr>
          <w:i/>
          <w:iCs/>
        </w:rPr>
        <w:t>Wylucki</w:t>
      </w:r>
      <w:proofErr w:type="spellEnd"/>
      <w:r w:rsidRPr="00876E32">
        <w:t xml:space="preserve"> (Coroners Court of Queensland, Deputy State Coroner Gallagher, 27 June 2024)</w:t>
      </w:r>
      <w:r>
        <w:t xml:space="preserve"> recommendations 2, 3 and 4.</w:t>
      </w:r>
    </w:p>
    <w:p w14:paraId="0580253E" w14:textId="77777777" w:rsidR="005C2796" w:rsidRPr="001B2A82" w:rsidRDefault="005C2796" w:rsidP="007B02CA">
      <w:pPr>
        <w:pStyle w:val="Heading1"/>
      </w:pPr>
      <w:bookmarkStart w:id="5" w:name="_Toc184820121"/>
      <w:bookmarkEnd w:id="4"/>
      <w:r w:rsidRPr="001B2A82">
        <w:t>About the Commission</w:t>
      </w:r>
      <w:bookmarkEnd w:id="5"/>
    </w:p>
    <w:p w14:paraId="202178E4" w14:textId="77777777" w:rsidR="005C2796" w:rsidRPr="006B716A" w:rsidRDefault="005C2796" w:rsidP="006B716A">
      <w:pPr>
        <w:pStyle w:val="Numberedparagraph"/>
      </w:pPr>
      <w:r w:rsidRPr="009F3358">
        <w:rPr>
          <w:lang w:val="en-US"/>
        </w:rPr>
        <w:t xml:space="preserve">The </w:t>
      </w:r>
      <w:r w:rsidRPr="006B716A">
        <w:t xml:space="preserve">Commission is an independent statutory body with functions under the </w:t>
      </w:r>
      <w:r w:rsidRPr="00A577EC">
        <w:rPr>
          <w:i/>
          <w:iCs/>
        </w:rPr>
        <w:t xml:space="preserve">Anti-Discrimination Act 1991 </w:t>
      </w:r>
      <w:r w:rsidRPr="006B716A">
        <w:t>(Qld) (</w:t>
      </w:r>
      <w:r w:rsidRPr="003148FF">
        <w:rPr>
          <w:b/>
          <w:bCs/>
        </w:rPr>
        <w:t>Anti-Discrimination Act</w:t>
      </w:r>
      <w:r w:rsidRPr="006B716A">
        <w:t xml:space="preserve">) and the </w:t>
      </w:r>
      <w:r w:rsidRPr="00A577EC">
        <w:rPr>
          <w:i/>
          <w:iCs/>
        </w:rPr>
        <w:t>Human Rights Act 2019</w:t>
      </w:r>
      <w:r w:rsidRPr="006B716A">
        <w:t xml:space="preserve"> (Qld) (</w:t>
      </w:r>
      <w:r w:rsidRPr="003148FF">
        <w:rPr>
          <w:b/>
          <w:bCs/>
        </w:rPr>
        <w:t>Human Rights Act</w:t>
      </w:r>
      <w:r w:rsidRPr="006B716A">
        <w:t xml:space="preserve">), which include promoting an understanding, acceptance, and public discussion of human rights in Queensland.  </w:t>
      </w:r>
    </w:p>
    <w:p w14:paraId="3F27939A" w14:textId="77777777" w:rsidR="005C2796" w:rsidRDefault="005C2796" w:rsidP="006B716A">
      <w:pPr>
        <w:pStyle w:val="Numberedparagraph"/>
        <w:rPr>
          <w:lang w:val="en-US"/>
        </w:rPr>
      </w:pPr>
      <w:r w:rsidRPr="006B716A">
        <w:t>The Commission</w:t>
      </w:r>
      <w:r w:rsidRPr="009F3358">
        <w:rPr>
          <w:lang w:val="en-US"/>
        </w:rPr>
        <w:t xml:space="preserve"> </w:t>
      </w:r>
      <w:r>
        <w:rPr>
          <w:lang w:val="en-US"/>
        </w:rPr>
        <w:t>has received complaints, intervened in legal proceedings,</w:t>
      </w:r>
      <w:r>
        <w:rPr>
          <w:rStyle w:val="FootnoteReference"/>
          <w:lang w:val="en-US"/>
        </w:rPr>
        <w:footnoteReference w:id="8"/>
      </w:r>
      <w:r>
        <w:rPr>
          <w:lang w:val="en-US"/>
        </w:rPr>
        <w:t xml:space="preserve"> and made law reform and other submissions</w:t>
      </w:r>
      <w:r>
        <w:rPr>
          <w:rStyle w:val="FootnoteReference"/>
          <w:lang w:val="en-US"/>
        </w:rPr>
        <w:footnoteReference w:id="9"/>
      </w:r>
      <w:r>
        <w:rPr>
          <w:lang w:val="en-US"/>
        </w:rPr>
        <w:t xml:space="preserve"> about the detention of children in Queensland watch houses.  </w:t>
      </w:r>
    </w:p>
    <w:p w14:paraId="6C564D70" w14:textId="77777777" w:rsidR="005C2796" w:rsidRDefault="005C2796" w:rsidP="007B02CA">
      <w:pPr>
        <w:pStyle w:val="Heading1"/>
      </w:pPr>
      <w:bookmarkStart w:id="6" w:name="_Toc184820122"/>
      <w:r>
        <w:t>Respect for human rights must underpin the review</w:t>
      </w:r>
      <w:bookmarkEnd w:id="6"/>
    </w:p>
    <w:p w14:paraId="45E5C15E" w14:textId="77777777" w:rsidR="005C2796" w:rsidRPr="003148FF" w:rsidRDefault="005C2796" w:rsidP="003148FF">
      <w:pPr>
        <w:pStyle w:val="Numberedparagraph"/>
      </w:pPr>
      <w:r>
        <w:rPr>
          <w:lang w:val="en-GB"/>
        </w:rPr>
        <w:t xml:space="preserve">The </w:t>
      </w:r>
      <w:r w:rsidRPr="00252199">
        <w:t>Queensland</w:t>
      </w:r>
      <w:r>
        <w:rPr>
          <w:lang w:val="en-GB"/>
        </w:rPr>
        <w:t xml:space="preserve"> </w:t>
      </w:r>
      <w:r w:rsidRPr="003148FF">
        <w:t>Government and the QPS have obligations under the Human Rights Act to act and make decisions that do not limit rights, or only limit rights to the extent that is reasonable and demonstrably justifiable in a free and democratic society based on human dignity, equality and freedom.</w:t>
      </w:r>
      <w:r w:rsidRPr="00FC6CE6">
        <w:rPr>
          <w:rStyle w:val="FootnoteReference"/>
        </w:rPr>
        <w:footnoteReference w:id="10"/>
      </w:r>
      <w:r w:rsidRPr="003148FF">
        <w:t xml:space="preserve"> </w:t>
      </w:r>
    </w:p>
    <w:p w14:paraId="1A37FA68" w14:textId="0A509EBC" w:rsidR="005C2796" w:rsidRDefault="005C2796" w:rsidP="003148FF">
      <w:pPr>
        <w:pStyle w:val="Numberedparagraph"/>
        <w:rPr>
          <w:lang w:val="en-GB"/>
        </w:rPr>
      </w:pPr>
      <w:r w:rsidRPr="003148FF">
        <w:t>Apart from being a legal obligation</w:t>
      </w:r>
      <w:r>
        <w:rPr>
          <w:lang w:val="en-GB"/>
        </w:rPr>
        <w:t xml:space="preserve">, a </w:t>
      </w:r>
      <w:r w:rsidRPr="00252199">
        <w:t>rights</w:t>
      </w:r>
      <w:r>
        <w:rPr>
          <w:lang w:val="en-GB"/>
        </w:rPr>
        <w:t xml:space="preserve">-based approach is likely to achieve better outcomes for people held in watch house custody, watch house officers and staff, and for the community. Evidence shows that the prevalence of crime </w:t>
      </w:r>
      <w:r>
        <w:rPr>
          <w:lang w:val="en-GB"/>
        </w:rPr>
        <w:lastRenderedPageBreak/>
        <w:t xml:space="preserve">committed by children tends to decrease when systems aligned with the </w:t>
      </w:r>
      <w:r w:rsidR="00D14970">
        <w:rPr>
          <w:lang w:val="en-GB"/>
        </w:rPr>
        <w:t xml:space="preserve">United Nations </w:t>
      </w:r>
      <w:r w:rsidRPr="00233530">
        <w:rPr>
          <w:i/>
          <w:lang w:val="en-GB"/>
        </w:rPr>
        <w:t>Convention on the Rights of the Child</w:t>
      </w:r>
      <w:r>
        <w:rPr>
          <w:lang w:val="en-GB"/>
        </w:rPr>
        <w:t xml:space="preserve"> are adopted.</w:t>
      </w:r>
      <w:r>
        <w:rPr>
          <w:rStyle w:val="FootnoteReference"/>
          <w:lang w:val="en-GB"/>
        </w:rPr>
        <w:footnoteReference w:id="11"/>
      </w:r>
    </w:p>
    <w:p w14:paraId="708E37A7" w14:textId="77777777" w:rsidR="005C2796" w:rsidRPr="003148FF" w:rsidRDefault="005C2796" w:rsidP="003148FF">
      <w:pPr>
        <w:pStyle w:val="Numberedparagraph"/>
      </w:pPr>
      <w:r>
        <w:rPr>
          <w:lang w:val="en-GB"/>
        </w:rPr>
        <w:t xml:space="preserve">The rights protected by the Human Rights Act are drawn from international </w:t>
      </w:r>
      <w:r w:rsidRPr="003148FF">
        <w:t>human rights treaties that Australia has ratified. These treaties, international commentary, standards, and judgments made in respect of them assist with interpreting the rights.</w:t>
      </w:r>
      <w:r w:rsidRPr="00CF08AE">
        <w:rPr>
          <w:rStyle w:val="FootnoteReference"/>
        </w:rPr>
        <w:footnoteReference w:id="12"/>
      </w:r>
    </w:p>
    <w:p w14:paraId="1AF9F3A3" w14:textId="77777777" w:rsidR="005C2796" w:rsidRPr="003148FF" w:rsidRDefault="005C2796" w:rsidP="003148FF">
      <w:pPr>
        <w:pStyle w:val="Numberedparagraph"/>
      </w:pPr>
      <w:r w:rsidRPr="003148FF">
        <w:t>The rights of the child, the right to liberty and security, the right to protection from cruel, inhuman or degrading treatment and to humane treatment when deprived of liberty, and the rights of children in criminal proceedings</w:t>
      </w:r>
      <w:r w:rsidRPr="00CF08AE">
        <w:rPr>
          <w:rStyle w:val="FootnoteReference"/>
        </w:rPr>
        <w:footnoteReference w:id="13"/>
      </w:r>
      <w:r w:rsidRPr="003148FF">
        <w:t xml:space="preserve"> are particularly relevant when children are detained in watch houses. Under Queensland’s Human Rights Act, rights may be limited where the limitation can be demonstrably justified. However, under international law the right to protection from cruel, inhuman or degrading treatment is absolute and cannot be limited.</w:t>
      </w:r>
      <w:r w:rsidRPr="00FC6CE6">
        <w:rPr>
          <w:vertAlign w:val="superscript"/>
        </w:rPr>
        <w:footnoteReference w:id="14"/>
      </w:r>
      <w:r w:rsidRPr="003148FF">
        <w:t xml:space="preserve"> </w:t>
      </w:r>
    </w:p>
    <w:p w14:paraId="02047256" w14:textId="51F2677A" w:rsidR="005C2796" w:rsidRDefault="005C2796" w:rsidP="003148FF">
      <w:pPr>
        <w:pStyle w:val="Numberedparagraph"/>
        <w:rPr>
          <w:lang w:val="en-GB"/>
        </w:rPr>
      </w:pPr>
      <w:r w:rsidRPr="003148FF">
        <w:t>The</w:t>
      </w:r>
      <w:r>
        <w:rPr>
          <w:lang w:val="en-GB"/>
        </w:rPr>
        <w:t xml:space="preserve"> </w:t>
      </w:r>
      <w:r w:rsidRPr="00D14970">
        <w:rPr>
          <w:i/>
          <w:iCs/>
          <w:lang w:val="en-GB"/>
        </w:rPr>
        <w:t xml:space="preserve">Convention on the </w:t>
      </w:r>
      <w:r w:rsidRPr="00D14970">
        <w:rPr>
          <w:i/>
          <w:iCs/>
        </w:rPr>
        <w:t>Rights</w:t>
      </w:r>
      <w:r w:rsidRPr="00D14970">
        <w:rPr>
          <w:i/>
          <w:iCs/>
          <w:lang w:val="en-GB"/>
        </w:rPr>
        <w:t xml:space="preserve"> of the Child</w:t>
      </w:r>
      <w:r>
        <w:rPr>
          <w:lang w:val="en-GB"/>
        </w:rPr>
        <w:t xml:space="preserve"> requires that:</w:t>
      </w:r>
    </w:p>
    <w:p w14:paraId="7FA2F09B" w14:textId="77777777" w:rsidR="005C2796" w:rsidRDefault="005C2796" w:rsidP="00252199">
      <w:pPr>
        <w:pStyle w:val="Bulletedlist"/>
        <w:ind w:left="1134"/>
        <w:rPr>
          <w:lang w:val="en-GB"/>
        </w:rPr>
      </w:pPr>
      <w:r>
        <w:rPr>
          <w:lang w:val="en-GB"/>
        </w:rPr>
        <w:t xml:space="preserve">In all actions concerning children, the best interests of the child shall be the primary consideration. </w:t>
      </w:r>
    </w:p>
    <w:p w14:paraId="28F56053" w14:textId="77777777" w:rsidR="005C2796" w:rsidRDefault="005C2796" w:rsidP="00252199">
      <w:pPr>
        <w:pStyle w:val="Bulletedlist"/>
        <w:ind w:left="1134"/>
        <w:rPr>
          <w:lang w:val="en-GB"/>
        </w:rPr>
      </w:pPr>
      <w:r>
        <w:rPr>
          <w:lang w:val="en-GB"/>
        </w:rPr>
        <w:t>The arrest, detention or imprisonment of a child shall be used only as a measure of last resort and for the shortest appropriate period of time.</w:t>
      </w:r>
    </w:p>
    <w:p w14:paraId="687D1DDA" w14:textId="77777777" w:rsidR="005C2796" w:rsidRDefault="005C2796" w:rsidP="00252199">
      <w:pPr>
        <w:pStyle w:val="Bulletedlist"/>
        <w:ind w:left="1134"/>
        <w:rPr>
          <w:lang w:val="en-GB"/>
        </w:rPr>
      </w:pPr>
      <w:r>
        <w:t>C</w:t>
      </w:r>
      <w:r w:rsidRPr="006B457F">
        <w:t>hild</w:t>
      </w:r>
      <w:r>
        <w:t>ren</w:t>
      </w:r>
      <w:r w:rsidRPr="006B457F">
        <w:t xml:space="preserve"> deprived of liberty shall be treated with humanity and respect for the inherent dignity of the human person, and in a manner which takes into account the needs of persons of </w:t>
      </w:r>
      <w:r>
        <w:t xml:space="preserve">their </w:t>
      </w:r>
      <w:r w:rsidRPr="006B457F">
        <w:t>age</w:t>
      </w:r>
      <w:r>
        <w:t>.</w:t>
      </w:r>
      <w:r>
        <w:rPr>
          <w:rStyle w:val="FootnoteReference"/>
          <w:lang w:val="en-GB"/>
        </w:rPr>
        <w:footnoteReference w:id="15"/>
      </w:r>
    </w:p>
    <w:p w14:paraId="22EF1BE6" w14:textId="77777777" w:rsidR="005C2796" w:rsidRDefault="005C2796" w:rsidP="003148FF">
      <w:pPr>
        <w:pStyle w:val="Numberedparagraph"/>
        <w:rPr>
          <w:lang w:val="en-GB"/>
        </w:rPr>
      </w:pPr>
      <w:r>
        <w:rPr>
          <w:lang w:val="en-GB"/>
        </w:rPr>
        <w:t xml:space="preserve">Owing to </w:t>
      </w:r>
      <w:r w:rsidRPr="003148FF">
        <w:t>their</w:t>
      </w:r>
      <w:r>
        <w:rPr>
          <w:lang w:val="en-GB"/>
        </w:rPr>
        <w:t xml:space="preserve"> physical, psychological, cognitive, and emotional differences to adults, children are </w:t>
      </w:r>
      <w:r w:rsidRPr="00252199">
        <w:t>more</w:t>
      </w:r>
      <w:r>
        <w:rPr>
          <w:lang w:val="en-GB"/>
        </w:rPr>
        <w:t xml:space="preserve"> sensitive to deprivation and ill-treatment.</w:t>
      </w:r>
      <w:r>
        <w:rPr>
          <w:rStyle w:val="FootnoteReference"/>
          <w:lang w:val="en-GB"/>
        </w:rPr>
        <w:footnoteReference w:id="16"/>
      </w:r>
      <w:r>
        <w:rPr>
          <w:lang w:val="en-GB"/>
        </w:rPr>
        <w:t xml:space="preserve">  Minimum standards of detention that respect the human rights of children include that:</w:t>
      </w:r>
    </w:p>
    <w:p w14:paraId="4A0E0904" w14:textId="77777777" w:rsidR="005C2796" w:rsidRPr="00057507" w:rsidRDefault="005C2796" w:rsidP="00252199">
      <w:pPr>
        <w:pStyle w:val="Bulletedlist"/>
        <w:ind w:left="1134"/>
      </w:pPr>
      <w:r w:rsidRPr="00057507">
        <w:t>children be completely separated from adults, except where that is in their best interests</w:t>
      </w:r>
      <w:r w:rsidRPr="00057507">
        <w:rPr>
          <w:vertAlign w:val="superscript"/>
        </w:rPr>
        <w:footnoteReference w:id="17"/>
      </w:r>
    </w:p>
    <w:p w14:paraId="177CBCB7" w14:textId="77777777" w:rsidR="005C2796" w:rsidRPr="00057507" w:rsidRDefault="005C2796" w:rsidP="00252199">
      <w:pPr>
        <w:pStyle w:val="Bulletedlist"/>
        <w:ind w:left="1134"/>
      </w:pPr>
      <w:r w:rsidRPr="00057507">
        <w:lastRenderedPageBreak/>
        <w:t>centres be staffed by appropriately trained personnel and operated according to child-friendly policies and practices</w:t>
      </w:r>
      <w:r w:rsidRPr="00057507">
        <w:rPr>
          <w:vertAlign w:val="superscript"/>
        </w:rPr>
        <w:footnoteReference w:id="18"/>
      </w:r>
    </w:p>
    <w:p w14:paraId="27607F4A" w14:textId="77777777" w:rsidR="005C2796" w:rsidRPr="00057507" w:rsidRDefault="005C2796" w:rsidP="00252199">
      <w:pPr>
        <w:pStyle w:val="Bulletedlist"/>
        <w:ind w:left="1134"/>
      </w:pPr>
      <w:r w:rsidRPr="00057507">
        <w:t>children be provided with daily access to fresh air, exercise, and natural light</w:t>
      </w:r>
      <w:r w:rsidRPr="00057507">
        <w:rPr>
          <w:vertAlign w:val="superscript"/>
          <w:lang w:val="en-US"/>
        </w:rPr>
        <w:footnoteReference w:id="19"/>
      </w:r>
      <w:r w:rsidRPr="00057507">
        <w:rPr>
          <w:lang w:val="en-US"/>
        </w:rPr>
        <w:t xml:space="preserve"> </w:t>
      </w:r>
    </w:p>
    <w:p w14:paraId="3C00064F" w14:textId="77777777" w:rsidR="005C2796" w:rsidRPr="00057507" w:rsidRDefault="005C2796" w:rsidP="00252199">
      <w:pPr>
        <w:pStyle w:val="Bulletedlist"/>
        <w:ind w:left="1134"/>
      </w:pPr>
      <w:r w:rsidRPr="00057507">
        <w:t>centres are designed in keeping with rehabilitative aims of detention, with due regard to the need of the child for privacy, sensory stimuli, opportunities for association with peers and participation in sports, physical exercise and leisure-time activities</w:t>
      </w:r>
      <w:r w:rsidRPr="00057507">
        <w:rPr>
          <w:vertAlign w:val="superscript"/>
        </w:rPr>
        <w:footnoteReference w:id="20"/>
      </w:r>
    </w:p>
    <w:p w14:paraId="67FEE907" w14:textId="77777777" w:rsidR="005C2796" w:rsidRPr="00057507" w:rsidRDefault="005C2796" w:rsidP="00252199">
      <w:pPr>
        <w:pStyle w:val="Bulletedlist"/>
        <w:ind w:left="1134"/>
      </w:pPr>
      <w:r w:rsidRPr="00057507">
        <w:t>children are provided with adequate health and mental health screening and services</w:t>
      </w:r>
      <w:r w:rsidRPr="00057507">
        <w:rPr>
          <w:vertAlign w:val="superscript"/>
        </w:rPr>
        <w:footnoteReference w:id="21"/>
      </w:r>
    </w:p>
    <w:p w14:paraId="393E93B3" w14:textId="77777777" w:rsidR="005C2796" w:rsidRPr="00057507" w:rsidRDefault="005C2796" w:rsidP="00252199">
      <w:pPr>
        <w:pStyle w:val="Bulletedlist"/>
        <w:ind w:left="1134"/>
      </w:pPr>
      <w:r w:rsidRPr="00057507">
        <w:t>children frequently make contact with their family and community</w:t>
      </w:r>
      <w:r w:rsidRPr="00057507">
        <w:rPr>
          <w:vertAlign w:val="superscript"/>
        </w:rPr>
        <w:footnoteReference w:id="22"/>
      </w:r>
    </w:p>
    <w:p w14:paraId="30B511EB" w14:textId="77777777" w:rsidR="005C2796" w:rsidRPr="00057507" w:rsidRDefault="005C2796" w:rsidP="00252199">
      <w:pPr>
        <w:pStyle w:val="Bulletedlist"/>
        <w:ind w:left="1134"/>
      </w:pPr>
      <w:r w:rsidRPr="00057507">
        <w:t xml:space="preserve">children </w:t>
      </w:r>
      <w:r>
        <w:t xml:space="preserve">have the option to </w:t>
      </w:r>
      <w:r w:rsidRPr="00057507">
        <w:t>be placed in single cell accommodation overnight, with areas for mixing outside cells.</w:t>
      </w:r>
      <w:r w:rsidRPr="00057507">
        <w:rPr>
          <w:vertAlign w:val="superscript"/>
        </w:rPr>
        <w:footnoteReference w:id="23"/>
      </w:r>
      <w:r w:rsidRPr="00057507">
        <w:t xml:space="preserve"> The minimum size for a double room without ensuite should be 11 m</w:t>
      </w:r>
      <w:r w:rsidRPr="00057507">
        <w:rPr>
          <w:vertAlign w:val="superscript"/>
        </w:rPr>
        <w:t>2</w:t>
      </w:r>
      <w:r w:rsidRPr="00057507">
        <w:t>.</w:t>
      </w:r>
      <w:r w:rsidRPr="00057507">
        <w:rPr>
          <w:vertAlign w:val="superscript"/>
        </w:rPr>
        <w:footnoteReference w:id="24"/>
      </w:r>
    </w:p>
    <w:p w14:paraId="2D7D40AF" w14:textId="77777777" w:rsidR="005C2796" w:rsidRDefault="005C2796" w:rsidP="00FC6CE6">
      <w:pPr>
        <w:pStyle w:val="Numberedparagraph"/>
      </w:pPr>
      <w:r>
        <w:t xml:space="preserve">In recent reports, </w:t>
      </w:r>
      <w:r w:rsidRPr="00FC6CE6">
        <w:t>the</w:t>
      </w:r>
      <w:r>
        <w:t xml:space="preserve"> Queensland Family and Child Commission and the Inspector of Detention Services </w:t>
      </w:r>
      <w:r w:rsidRPr="00252199">
        <w:t>have</w:t>
      </w:r>
      <w:r>
        <w:t xml:space="preserve"> noted instances where watch houses have failed to meet these standards including: </w:t>
      </w:r>
    </w:p>
    <w:p w14:paraId="39274B06" w14:textId="77777777" w:rsidR="005C2796" w:rsidRDefault="005C2796" w:rsidP="00252199">
      <w:pPr>
        <w:pStyle w:val="Bulletedlist"/>
        <w:ind w:left="1134"/>
      </w:pPr>
      <w:r>
        <w:t xml:space="preserve">lack of trained staff and youth-focused policies; </w:t>
      </w:r>
    </w:p>
    <w:p w14:paraId="3375E9AA" w14:textId="77777777" w:rsidR="005C2796" w:rsidRDefault="005C2796" w:rsidP="00252199">
      <w:pPr>
        <w:pStyle w:val="Bulletedlist"/>
        <w:ind w:left="1134"/>
      </w:pPr>
      <w:r>
        <w:t xml:space="preserve">limited </w:t>
      </w:r>
      <w:r w:rsidRPr="00D621FF">
        <w:t>access to natural light, fresh air</w:t>
      </w:r>
      <w:r>
        <w:t>,</w:t>
      </w:r>
      <w:r w:rsidRPr="00D621FF">
        <w:t xml:space="preserve"> and exercise</w:t>
      </w:r>
      <w:r>
        <w:t>;</w:t>
      </w:r>
      <w:r w:rsidRPr="00D621FF">
        <w:t xml:space="preserve"> </w:t>
      </w:r>
    </w:p>
    <w:p w14:paraId="4D91F958" w14:textId="77777777" w:rsidR="005C2796" w:rsidRDefault="005C2796" w:rsidP="00252199">
      <w:pPr>
        <w:pStyle w:val="Bulletedlist"/>
        <w:ind w:left="1134"/>
      </w:pPr>
      <w:r>
        <w:t xml:space="preserve">insufficient privacy when using the toilet or shower; </w:t>
      </w:r>
    </w:p>
    <w:p w14:paraId="741795F5" w14:textId="77777777" w:rsidR="005C2796" w:rsidRDefault="005C2796" w:rsidP="00252199">
      <w:pPr>
        <w:pStyle w:val="Bulletedlist"/>
        <w:ind w:left="1134"/>
      </w:pPr>
      <w:r>
        <w:t xml:space="preserve">lack of services, activities and programs, and coordination of services; and </w:t>
      </w:r>
    </w:p>
    <w:p w14:paraId="47E0D4E9" w14:textId="77777777" w:rsidR="005C2796" w:rsidRDefault="005C2796" w:rsidP="00252199">
      <w:pPr>
        <w:pStyle w:val="Bulletedlist"/>
        <w:ind w:left="1134"/>
      </w:pPr>
      <w:r>
        <w:t xml:space="preserve">inadequate </w:t>
      </w:r>
      <w:r w:rsidRPr="00D621FF">
        <w:t>medical screening</w:t>
      </w:r>
      <w:r>
        <w:t xml:space="preserve"> and</w:t>
      </w:r>
      <w:r w:rsidRPr="00D621FF">
        <w:t xml:space="preserve"> monitoring</w:t>
      </w:r>
      <w:r>
        <w:t>.</w:t>
      </w:r>
      <w:r>
        <w:rPr>
          <w:rStyle w:val="FootnoteReference"/>
        </w:rPr>
        <w:footnoteReference w:id="25"/>
      </w:r>
    </w:p>
    <w:p w14:paraId="1754C0B2" w14:textId="7B73FA45" w:rsidR="005C2796" w:rsidRDefault="00D14970" w:rsidP="00FC6CE6">
      <w:pPr>
        <w:pStyle w:val="Numberedparagraph"/>
        <w:rPr>
          <w:lang w:val="en-GB"/>
        </w:rPr>
      </w:pPr>
      <w:r>
        <w:rPr>
          <w:lang w:val="en-GB"/>
        </w:rPr>
        <w:lastRenderedPageBreak/>
        <w:t>International</w:t>
      </w:r>
      <w:r w:rsidR="005C2796">
        <w:rPr>
          <w:lang w:val="en-GB"/>
        </w:rPr>
        <w:t xml:space="preserve"> commentators have stated that due to the risks of torture and ill-treatment of children </w:t>
      </w:r>
      <w:r w:rsidR="005C2796" w:rsidRPr="00252199">
        <w:t>detained</w:t>
      </w:r>
      <w:r w:rsidR="005C2796">
        <w:rPr>
          <w:lang w:val="en-GB"/>
        </w:rPr>
        <w:t xml:space="preserve"> in law enforcement environments, children should not be detained in such environments for more than 24 hours.</w:t>
      </w:r>
      <w:r w:rsidR="005C2796">
        <w:rPr>
          <w:rStyle w:val="FootnoteReference"/>
          <w:lang w:val="en-GB"/>
        </w:rPr>
        <w:footnoteReference w:id="26"/>
      </w:r>
      <w:r w:rsidR="005C2796">
        <w:rPr>
          <w:lang w:val="en-GB"/>
        </w:rPr>
        <w:t xml:space="preserve"> </w:t>
      </w:r>
    </w:p>
    <w:p w14:paraId="29711C2C" w14:textId="77777777" w:rsidR="005C2796" w:rsidRDefault="005C2796" w:rsidP="007B02CA">
      <w:pPr>
        <w:pStyle w:val="Heading1"/>
      </w:pPr>
      <w:bookmarkStart w:id="7" w:name="_Toc184820123"/>
      <w:r>
        <w:t>Children should only be held for the shortest period</w:t>
      </w:r>
      <w:bookmarkEnd w:id="7"/>
    </w:p>
    <w:p w14:paraId="73527D9A" w14:textId="77777777" w:rsidR="005C2796" w:rsidRDefault="005C2796" w:rsidP="00FC6CE6">
      <w:pPr>
        <w:pStyle w:val="Numberedparagraph"/>
      </w:pPr>
      <w:r>
        <w:rPr>
          <w:lang w:val="en-GB"/>
        </w:rPr>
        <w:t>Consistent with human rights standards, the QPS Operational Procedures Manual (</w:t>
      </w:r>
      <w:r w:rsidRPr="008660EB">
        <w:rPr>
          <w:b/>
          <w:bCs/>
          <w:lang w:val="en-GB"/>
        </w:rPr>
        <w:t>OPM</w:t>
      </w:r>
      <w:r>
        <w:rPr>
          <w:lang w:val="en-GB"/>
        </w:rPr>
        <w:t xml:space="preserve">) provides </w:t>
      </w:r>
      <w:r w:rsidRPr="00D85B96">
        <w:t xml:space="preserve">that a child should only be kept in a watch house overnight where it is not reasonably practicable to immediately transport the child to a </w:t>
      </w:r>
      <w:r>
        <w:t>youth detention centre,</w:t>
      </w:r>
      <w:r w:rsidRPr="00D85B96">
        <w:t xml:space="preserve"> and there are no extenuating factors</w:t>
      </w:r>
      <w:r>
        <w:t>,</w:t>
      </w:r>
      <w:r w:rsidRPr="00D85B96">
        <w:t xml:space="preserve"> such as a need to keep the child close to family members. </w:t>
      </w:r>
      <w:r>
        <w:t>The OPM confirms that k</w:t>
      </w:r>
      <w:r w:rsidRPr="00D85B96">
        <w:t xml:space="preserve">eeping a child in a watch house for two or more consecutive nights </w:t>
      </w:r>
      <w:r>
        <w:t>should only occur in</w:t>
      </w:r>
      <w:r w:rsidRPr="00D85B96">
        <w:t xml:space="preserve"> extraordinary circumstances.</w:t>
      </w:r>
      <w:r w:rsidRPr="00D85B96">
        <w:rPr>
          <w:vertAlign w:val="superscript"/>
        </w:rPr>
        <w:footnoteReference w:id="27"/>
      </w:r>
      <w:r w:rsidRPr="00D85B96">
        <w:t xml:space="preserve"> </w:t>
      </w:r>
    </w:p>
    <w:p w14:paraId="3EA970EF" w14:textId="77777777" w:rsidR="005C2796" w:rsidRDefault="005C2796" w:rsidP="00FC6CE6">
      <w:pPr>
        <w:pStyle w:val="Numberedparagraph"/>
      </w:pPr>
      <w:r>
        <w:t xml:space="preserve">This </w:t>
      </w:r>
      <w:r w:rsidRPr="00FC6CE6">
        <w:t>policy</w:t>
      </w:r>
      <w:r>
        <w:t xml:space="preserve"> position must be maintained.</w:t>
      </w:r>
    </w:p>
    <w:p w14:paraId="055E6190" w14:textId="77777777" w:rsidR="005C2796" w:rsidRPr="00D85B96" w:rsidRDefault="005C2796" w:rsidP="00FC6CE6">
      <w:pPr>
        <w:pStyle w:val="Numberedparagraph"/>
      </w:pPr>
      <w:r>
        <w:t xml:space="preserve">To </w:t>
      </w:r>
      <w:r w:rsidRPr="00FC6CE6">
        <w:t>achieve</w:t>
      </w:r>
      <w:r>
        <w:t xml:space="preserve"> this policy position, QPS should consider its approach to:</w:t>
      </w:r>
    </w:p>
    <w:p w14:paraId="10D17189" w14:textId="77777777" w:rsidR="005C2796" w:rsidRPr="002211CE" w:rsidRDefault="005C2796" w:rsidP="00FC6CE6">
      <w:pPr>
        <w:pStyle w:val="Numberedparagraph"/>
        <w:numPr>
          <w:ilvl w:val="1"/>
          <w:numId w:val="18"/>
        </w:numPr>
        <w:ind w:left="993"/>
        <w:rPr>
          <w:lang w:val="en-GB"/>
        </w:rPr>
      </w:pPr>
      <w:r w:rsidRPr="002211CE">
        <w:rPr>
          <w:lang w:val="en-GB"/>
        </w:rPr>
        <w:t xml:space="preserve">arrest and detention </w:t>
      </w:r>
    </w:p>
    <w:p w14:paraId="4DFD4C4A" w14:textId="77777777" w:rsidR="005C2796" w:rsidRPr="002211CE" w:rsidRDefault="005C2796" w:rsidP="00FC6CE6">
      <w:pPr>
        <w:pStyle w:val="Numberedparagraph"/>
        <w:numPr>
          <w:ilvl w:val="1"/>
          <w:numId w:val="18"/>
        </w:numPr>
        <w:ind w:left="993"/>
        <w:rPr>
          <w:lang w:val="en-GB"/>
        </w:rPr>
      </w:pPr>
      <w:r>
        <w:rPr>
          <w:lang w:val="en-GB"/>
        </w:rPr>
        <w:t xml:space="preserve">police </w:t>
      </w:r>
      <w:r w:rsidRPr="002211CE">
        <w:rPr>
          <w:lang w:val="en-GB"/>
        </w:rPr>
        <w:t>bail </w:t>
      </w:r>
    </w:p>
    <w:p w14:paraId="0964A394" w14:textId="77777777" w:rsidR="005C2796" w:rsidRDefault="005C2796" w:rsidP="00FC6CE6">
      <w:pPr>
        <w:pStyle w:val="Numberedparagraph"/>
        <w:numPr>
          <w:ilvl w:val="1"/>
          <w:numId w:val="18"/>
        </w:numPr>
        <w:ind w:left="993"/>
        <w:rPr>
          <w:lang w:val="en-GB"/>
        </w:rPr>
      </w:pPr>
      <w:r>
        <w:rPr>
          <w:lang w:val="en-GB"/>
        </w:rPr>
        <w:t xml:space="preserve">its role in assisting to end watch house detention, when ending detention is dependent on court processes or transfer to a youth detention centre. </w:t>
      </w:r>
    </w:p>
    <w:p w14:paraId="74E41F6E" w14:textId="77777777" w:rsidR="005C2796" w:rsidRDefault="005C2796" w:rsidP="00FC6CE6">
      <w:pPr>
        <w:pStyle w:val="Numberedparagraph"/>
        <w:rPr>
          <w:lang w:val="en-GB"/>
        </w:rPr>
      </w:pPr>
      <w:r w:rsidRPr="45200596">
        <w:rPr>
          <w:lang w:val="en-GB"/>
        </w:rPr>
        <w:t>Relevantly</w:t>
      </w:r>
      <w:r>
        <w:rPr>
          <w:lang w:val="en-GB"/>
        </w:rPr>
        <w:t>, the Commission endorses the following recommendation made by the Queensland Family and Child Commission:</w:t>
      </w:r>
      <w:r>
        <w:rPr>
          <w:rStyle w:val="FootnoteReference"/>
          <w:rFonts w:ascii="Aptos Narrow" w:eastAsia="Times New Roman" w:hAnsi="Aptos Narrow" w:cs="Times New Roman"/>
          <w:lang w:eastAsia="en-AU"/>
        </w:rPr>
        <w:footnoteReference w:id="28"/>
      </w:r>
    </w:p>
    <w:p w14:paraId="297B1135" w14:textId="05108A60" w:rsidR="005C2796" w:rsidRDefault="005C2796" w:rsidP="00502CE9">
      <w:pPr>
        <w:pStyle w:val="Quote"/>
        <w:rPr>
          <w:lang w:val="en-GB"/>
        </w:rPr>
      </w:pPr>
      <w:r w:rsidRPr="001823DC">
        <w:rPr>
          <w:lang w:eastAsia="en-AU"/>
        </w:rPr>
        <w:t>4</w:t>
      </w:r>
      <w:r w:rsidR="001823DC" w:rsidRPr="001823DC">
        <w:rPr>
          <w:lang w:eastAsia="en-AU"/>
        </w:rPr>
        <w:t>)</w:t>
      </w:r>
      <w:r w:rsidR="00502CE9">
        <w:rPr>
          <w:lang w:eastAsia="en-AU"/>
        </w:rPr>
        <w:t xml:space="preserve"> </w:t>
      </w:r>
      <w:r w:rsidR="001823DC">
        <w:rPr>
          <w:lang w:eastAsia="en-AU"/>
        </w:rPr>
        <w:t>t</w:t>
      </w:r>
      <w:r w:rsidRPr="45200596">
        <w:rPr>
          <w:lang w:eastAsia="en-AU"/>
        </w:rPr>
        <w:t>he QPS and Youth Justice improve the information they record about the circumstances of a young person’s detainment, the full context behind bail and remand decisions, and the extent to which their needs and rights are being addressed while in custody</w:t>
      </w:r>
      <w:r w:rsidR="008B250B">
        <w:rPr>
          <w:lang w:eastAsia="en-AU"/>
        </w:rPr>
        <w:t>…</w:t>
      </w:r>
    </w:p>
    <w:p w14:paraId="714FF817" w14:textId="77777777" w:rsidR="005C2796" w:rsidRPr="007B02CA" w:rsidRDefault="005C2796" w:rsidP="007B02CA">
      <w:pPr>
        <w:pStyle w:val="Heading1"/>
      </w:pPr>
      <w:bookmarkStart w:id="8" w:name="_Toc184820124"/>
      <w:r w:rsidRPr="007B02CA">
        <w:t>Identify minimum standards for children in watch houses</w:t>
      </w:r>
      <w:bookmarkEnd w:id="8"/>
      <w:r w:rsidRPr="007B02CA">
        <w:t xml:space="preserve"> </w:t>
      </w:r>
    </w:p>
    <w:p w14:paraId="23ED8265" w14:textId="2B5522C0" w:rsidR="005C2796" w:rsidRDefault="005C2796" w:rsidP="00FC6CE6">
      <w:pPr>
        <w:pStyle w:val="Numberedparagraph"/>
        <w:rPr>
          <w:lang w:val="en-GB"/>
        </w:rPr>
      </w:pPr>
      <w:r w:rsidRPr="00FC6CE6">
        <w:t>While</w:t>
      </w:r>
      <w:r>
        <w:rPr>
          <w:lang w:val="en-GB"/>
        </w:rPr>
        <w:t xml:space="preserve"> the Commission maintains that children do not belong in watch houses, and prioritisation should be given to policies and strategies that achieve this </w:t>
      </w:r>
      <w:r w:rsidRPr="00FE596C">
        <w:rPr>
          <w:lang w:val="en-GB"/>
        </w:rPr>
        <w:t xml:space="preserve">aim, </w:t>
      </w:r>
      <w:r w:rsidRPr="00FE596C">
        <w:rPr>
          <w:lang w:val="en-GB"/>
        </w:rPr>
        <w:lastRenderedPageBreak/>
        <w:t>in the interim, QPS should identify minimum standards applying to children</w:t>
      </w:r>
      <w:r>
        <w:rPr>
          <w:lang w:val="en-GB"/>
        </w:rPr>
        <w:t xml:space="preserve"> in watch house detention to be least restrictive of their human rights. These standards should:</w:t>
      </w:r>
    </w:p>
    <w:p w14:paraId="69B00FDD" w14:textId="77777777" w:rsidR="005C2796" w:rsidRDefault="005C2796" w:rsidP="00FC6CE6">
      <w:pPr>
        <w:pStyle w:val="Numberedparagraph"/>
        <w:numPr>
          <w:ilvl w:val="1"/>
          <w:numId w:val="18"/>
        </w:numPr>
        <w:ind w:left="993"/>
        <w:rPr>
          <w:lang w:val="en-GB"/>
        </w:rPr>
      </w:pPr>
      <w:r>
        <w:rPr>
          <w:lang w:val="en-GB"/>
        </w:rPr>
        <w:t xml:space="preserve">be realistic and measurable so </w:t>
      </w:r>
      <w:r w:rsidRPr="45200596">
        <w:rPr>
          <w:lang w:val="en-GB"/>
        </w:rPr>
        <w:t xml:space="preserve">that </w:t>
      </w:r>
      <w:r>
        <w:rPr>
          <w:lang w:val="en-GB"/>
        </w:rPr>
        <w:t xml:space="preserve">compliance can be </w:t>
      </w:r>
      <w:r w:rsidRPr="45200596">
        <w:rPr>
          <w:lang w:val="en-GB"/>
        </w:rPr>
        <w:t>easily assessed by adults and</w:t>
      </w:r>
      <w:r>
        <w:rPr>
          <w:lang w:val="en-GB"/>
        </w:rPr>
        <w:t xml:space="preserve"> children</w:t>
      </w:r>
    </w:p>
    <w:p w14:paraId="225D93D0" w14:textId="77777777" w:rsidR="005C2796" w:rsidRDefault="005C2796" w:rsidP="00FC6CE6">
      <w:pPr>
        <w:pStyle w:val="Numberedparagraph"/>
        <w:numPr>
          <w:ilvl w:val="1"/>
          <w:numId w:val="18"/>
        </w:numPr>
        <w:ind w:left="993"/>
        <w:rPr>
          <w:lang w:val="en-GB"/>
        </w:rPr>
      </w:pPr>
      <w:r>
        <w:rPr>
          <w:lang w:val="en-GB"/>
        </w:rPr>
        <w:t>assign responsibility for meeting the standard</w:t>
      </w:r>
      <w:r w:rsidRPr="45200596">
        <w:rPr>
          <w:lang w:val="en-GB"/>
        </w:rPr>
        <w:t xml:space="preserve">, </w:t>
      </w:r>
      <w:r>
        <w:rPr>
          <w:lang w:val="en-GB"/>
        </w:rPr>
        <w:t xml:space="preserve">which will </w:t>
      </w:r>
      <w:r w:rsidRPr="45200596">
        <w:rPr>
          <w:lang w:val="en-GB"/>
        </w:rPr>
        <w:t>aid coordination, collaboration</w:t>
      </w:r>
      <w:r>
        <w:rPr>
          <w:lang w:val="en-GB"/>
        </w:rPr>
        <w:t>,</w:t>
      </w:r>
      <w:r w:rsidRPr="45200596">
        <w:rPr>
          <w:lang w:val="en-GB"/>
        </w:rPr>
        <w:t xml:space="preserve"> and accountability</w:t>
      </w:r>
    </w:p>
    <w:p w14:paraId="7AFC5612" w14:textId="77777777" w:rsidR="005C2796" w:rsidRDefault="005C2796" w:rsidP="00FC6CE6">
      <w:pPr>
        <w:pStyle w:val="Numberedparagraph"/>
        <w:numPr>
          <w:ilvl w:val="1"/>
          <w:numId w:val="18"/>
        </w:numPr>
        <w:ind w:left="993"/>
        <w:rPr>
          <w:lang w:val="en-GB"/>
        </w:rPr>
      </w:pPr>
      <w:r>
        <w:rPr>
          <w:lang w:val="en-GB"/>
        </w:rPr>
        <w:t>be mandatory and not able to be withheld for disciplinary reasons or as part of a behaviour management strategy</w:t>
      </w:r>
    </w:p>
    <w:p w14:paraId="3D7EE3A1" w14:textId="77777777" w:rsidR="005C2796" w:rsidRDefault="005C2796" w:rsidP="00FC6CE6">
      <w:pPr>
        <w:pStyle w:val="Numberedparagraph"/>
        <w:numPr>
          <w:ilvl w:val="1"/>
          <w:numId w:val="18"/>
        </w:numPr>
        <w:ind w:left="993"/>
        <w:rPr>
          <w:lang w:val="en-GB"/>
        </w:rPr>
      </w:pPr>
      <w:r>
        <w:rPr>
          <w:lang w:val="en-GB"/>
        </w:rPr>
        <w:t>b</w:t>
      </w:r>
      <w:r w:rsidRPr="45200596">
        <w:rPr>
          <w:lang w:val="en-GB"/>
        </w:rPr>
        <w:t>e developed with advice from people with expertise in mental, physical, emotional and developmental health of children, Aboriginal and Torres Strait Islander culture</w:t>
      </w:r>
      <w:r>
        <w:rPr>
          <w:lang w:val="en-GB"/>
        </w:rPr>
        <w:t>, and stakeholders who provide support to children in watch house detention</w:t>
      </w:r>
      <w:r w:rsidRPr="45200596">
        <w:rPr>
          <w:lang w:val="en-GB"/>
        </w:rPr>
        <w:t xml:space="preserve">. </w:t>
      </w:r>
    </w:p>
    <w:p w14:paraId="47EF7154" w14:textId="77777777" w:rsidR="005C2796" w:rsidRDefault="005C2796" w:rsidP="00FC6CE6">
      <w:pPr>
        <w:pStyle w:val="Numberedparagraph"/>
        <w:rPr>
          <w:lang w:val="en-GB"/>
        </w:rPr>
      </w:pPr>
      <w:r w:rsidRPr="00FC6CE6">
        <w:t>There</w:t>
      </w:r>
      <w:r w:rsidRPr="00F40D73">
        <w:rPr>
          <w:lang w:val="en-GB"/>
        </w:rPr>
        <w:t xml:space="preserve"> are already child-specific standards within the existing QPS OPM, including the information sheet for children found in Appendix 16.2, however</w:t>
      </w:r>
      <w:r>
        <w:rPr>
          <w:lang w:val="en-GB"/>
        </w:rPr>
        <w:t>, the Commission submits they could be consolidated and expressed more clearly. Subject to expert input, the standards should include requirements for:</w:t>
      </w:r>
    </w:p>
    <w:p w14:paraId="47DB7530" w14:textId="77777777" w:rsidR="005C2796" w:rsidRDefault="005C2796" w:rsidP="00502CE9">
      <w:pPr>
        <w:pStyle w:val="Bulletedlist"/>
        <w:ind w:left="1134"/>
        <w:rPr>
          <w:lang w:val="en-GB"/>
        </w:rPr>
      </w:pPr>
      <w:r>
        <w:rPr>
          <w:lang w:val="en-GB"/>
        </w:rPr>
        <w:t>three main meals and a specified number of snacks per day</w:t>
      </w:r>
    </w:p>
    <w:p w14:paraId="492B8BD4" w14:textId="77777777" w:rsidR="005C2796" w:rsidRDefault="005C2796" w:rsidP="00502CE9">
      <w:pPr>
        <w:pStyle w:val="Bulletedlist"/>
        <w:ind w:left="1134"/>
        <w:rPr>
          <w:lang w:val="en-GB"/>
        </w:rPr>
      </w:pPr>
      <w:r>
        <w:rPr>
          <w:lang w:val="en-GB"/>
        </w:rPr>
        <w:t>fresh air, natural light, and exercise for a minimum of 1 hour per day</w:t>
      </w:r>
    </w:p>
    <w:p w14:paraId="26A0123E" w14:textId="77777777" w:rsidR="005C2796" w:rsidRDefault="005C2796" w:rsidP="00502CE9">
      <w:pPr>
        <w:pStyle w:val="Bulletedlist"/>
        <w:ind w:left="1134"/>
        <w:rPr>
          <w:lang w:val="en-GB"/>
        </w:rPr>
      </w:pPr>
      <w:r>
        <w:rPr>
          <w:lang w:val="en-GB"/>
        </w:rPr>
        <w:t>toilet and shower facilities that can be used in private and not be observed by other children</w:t>
      </w:r>
    </w:p>
    <w:p w14:paraId="65E8A046" w14:textId="77777777" w:rsidR="005C2796" w:rsidRDefault="005C2796" w:rsidP="00502CE9">
      <w:pPr>
        <w:pStyle w:val="Bulletedlist"/>
        <w:ind w:left="1134"/>
        <w:rPr>
          <w:lang w:val="en-GB"/>
        </w:rPr>
      </w:pPr>
      <w:r>
        <w:rPr>
          <w:lang w:val="en-GB"/>
        </w:rPr>
        <w:t>opportunities to interact with other children during the day</w:t>
      </w:r>
    </w:p>
    <w:p w14:paraId="28598FC6" w14:textId="77777777" w:rsidR="005C2796" w:rsidRDefault="005C2796" w:rsidP="00502CE9">
      <w:pPr>
        <w:pStyle w:val="Bulletedlist"/>
        <w:ind w:left="1134"/>
        <w:rPr>
          <w:lang w:val="en-GB"/>
        </w:rPr>
      </w:pPr>
      <w:r>
        <w:rPr>
          <w:lang w:val="en-GB"/>
        </w:rPr>
        <w:t xml:space="preserve">daily change of clothes and underwear </w:t>
      </w:r>
    </w:p>
    <w:p w14:paraId="0EED5974" w14:textId="77777777" w:rsidR="005C2796" w:rsidRDefault="005C2796" w:rsidP="00502CE9">
      <w:pPr>
        <w:pStyle w:val="Bulletedlist"/>
        <w:ind w:left="1134"/>
        <w:rPr>
          <w:lang w:val="en-GB"/>
        </w:rPr>
      </w:pPr>
      <w:r>
        <w:rPr>
          <w:lang w:val="en-GB"/>
        </w:rPr>
        <w:t>enough bedding for warmth and comfort</w:t>
      </w:r>
    </w:p>
    <w:p w14:paraId="428D654C" w14:textId="77777777" w:rsidR="005C2796" w:rsidRDefault="005C2796" w:rsidP="00502CE9">
      <w:pPr>
        <w:pStyle w:val="Bulletedlist"/>
        <w:ind w:left="1134"/>
        <w:rPr>
          <w:lang w:val="en-GB"/>
        </w:rPr>
      </w:pPr>
      <w:r>
        <w:rPr>
          <w:lang w:val="en-GB"/>
        </w:rPr>
        <w:t>clinical assessment within 48 hours of admission to the watch house</w:t>
      </w:r>
    </w:p>
    <w:p w14:paraId="4573EA41" w14:textId="77777777" w:rsidR="005C2796" w:rsidRDefault="005C2796" w:rsidP="00502CE9">
      <w:pPr>
        <w:pStyle w:val="Bulletedlist"/>
        <w:ind w:left="1134"/>
        <w:rPr>
          <w:lang w:val="en-GB"/>
        </w:rPr>
      </w:pPr>
      <w:r>
        <w:rPr>
          <w:lang w:val="en-GB"/>
        </w:rPr>
        <w:t>contact with family at any reasonable time</w:t>
      </w:r>
    </w:p>
    <w:p w14:paraId="0AEE8AB2" w14:textId="77777777" w:rsidR="005C2796" w:rsidRDefault="005C2796" w:rsidP="00502CE9">
      <w:pPr>
        <w:pStyle w:val="Bulletedlist"/>
        <w:ind w:left="1134"/>
        <w:rPr>
          <w:lang w:val="en-GB"/>
        </w:rPr>
      </w:pPr>
      <w:r>
        <w:rPr>
          <w:lang w:val="en-GB"/>
        </w:rPr>
        <w:t xml:space="preserve">access to a variety of activities and other mental stimulation </w:t>
      </w:r>
    </w:p>
    <w:p w14:paraId="7C4B8249" w14:textId="77777777" w:rsidR="005C2796" w:rsidRDefault="005C2796" w:rsidP="00502CE9">
      <w:pPr>
        <w:pStyle w:val="Bulletedlist"/>
        <w:ind w:left="1134"/>
        <w:rPr>
          <w:lang w:val="en-GB"/>
        </w:rPr>
      </w:pPr>
      <w:r>
        <w:rPr>
          <w:lang w:val="en-GB"/>
        </w:rPr>
        <w:t>being treated with dignity and respect by staff at all times.</w:t>
      </w:r>
    </w:p>
    <w:p w14:paraId="559B22EB" w14:textId="77777777" w:rsidR="005C2796" w:rsidRDefault="005C2796" w:rsidP="00FC6CE6">
      <w:pPr>
        <w:pStyle w:val="Numberedparagraph"/>
        <w:rPr>
          <w:lang w:val="en-GB"/>
        </w:rPr>
      </w:pPr>
      <w:r>
        <w:rPr>
          <w:lang w:val="en-GB"/>
        </w:rPr>
        <w:t xml:space="preserve">Th Inspector of Detention Services has made the following recommendations relevant to minimum </w:t>
      </w:r>
      <w:r w:rsidRPr="00FC6CE6">
        <w:t>standards</w:t>
      </w:r>
      <w:r>
        <w:rPr>
          <w:lang w:val="en-GB"/>
        </w:rPr>
        <w:t xml:space="preserve"> of detention</w:t>
      </w:r>
      <w:r>
        <w:rPr>
          <w:rStyle w:val="FootnoteReference"/>
          <w:lang w:val="en-GB"/>
        </w:rPr>
        <w:footnoteReference w:id="29"/>
      </w:r>
      <w:r>
        <w:rPr>
          <w:lang w:val="en-GB"/>
        </w:rPr>
        <w:t>:</w:t>
      </w:r>
    </w:p>
    <w:p w14:paraId="3F1A98B3" w14:textId="6546A5AF" w:rsidR="005C2796" w:rsidRDefault="005C2796" w:rsidP="00502CE9">
      <w:pPr>
        <w:pStyle w:val="Quote"/>
        <w:rPr>
          <w:lang w:eastAsia="en-AU"/>
        </w:rPr>
      </w:pPr>
      <w:r w:rsidRPr="00502CE9">
        <w:rPr>
          <w:b/>
          <w:bCs/>
          <w:lang w:eastAsia="en-AU"/>
        </w:rPr>
        <w:t>Recommendation 1</w:t>
      </w:r>
      <w:r w:rsidR="00502CE9" w:rsidRPr="00502CE9">
        <w:rPr>
          <w:b/>
          <w:bCs/>
          <w:lang w:eastAsia="en-AU"/>
        </w:rPr>
        <w:t xml:space="preserve">: </w:t>
      </w:r>
      <w:r w:rsidRPr="00C628E8">
        <w:rPr>
          <w:lang w:eastAsia="en-AU"/>
        </w:rPr>
        <w:t>The Queensland Police Service:</w:t>
      </w:r>
      <w:r w:rsidRPr="00C628E8">
        <w:rPr>
          <w:lang w:eastAsia="en-AU"/>
        </w:rPr>
        <w:br/>
        <w:t>a) examines ways to increase privacy in relation to the use of toilets for children sharing a cell</w:t>
      </w:r>
      <w:r w:rsidRPr="00C628E8">
        <w:rPr>
          <w:lang w:eastAsia="en-AU"/>
        </w:rPr>
        <w:br/>
        <w:t>b) ensures the design of new watch-houses provides more privacy for children when using the toilet</w:t>
      </w:r>
      <w:r w:rsidRPr="00C628E8">
        <w:rPr>
          <w:lang w:eastAsia="en-AU"/>
        </w:rPr>
        <w:br/>
        <w:t>c) examines ways to increase privacy in relation to the use of showers by children at the Cairns watch-house.</w:t>
      </w:r>
    </w:p>
    <w:p w14:paraId="6F19CE45" w14:textId="189FDA2D" w:rsidR="005C2796" w:rsidRPr="00C628E8" w:rsidRDefault="005C2796" w:rsidP="004642BD">
      <w:pPr>
        <w:pStyle w:val="Quote"/>
        <w:spacing w:after="0"/>
        <w:rPr>
          <w:lang w:val="en-GB"/>
        </w:rPr>
      </w:pPr>
      <w:r w:rsidRPr="00502CE9">
        <w:rPr>
          <w:b/>
          <w:bCs/>
          <w:lang w:eastAsia="en-AU"/>
        </w:rPr>
        <w:t>Recommendation 4</w:t>
      </w:r>
      <w:r w:rsidR="00502CE9">
        <w:rPr>
          <w:b/>
          <w:bCs/>
          <w:lang w:eastAsia="en-AU"/>
        </w:rPr>
        <w:t xml:space="preserve">: </w:t>
      </w:r>
      <w:r w:rsidRPr="00C628E8">
        <w:rPr>
          <w:lang w:val="en-GB"/>
        </w:rPr>
        <w:t xml:space="preserve">The Queensland Police Service consults with Queensland Health and/or other appropriate health experts, to develop and </w:t>
      </w:r>
      <w:r w:rsidRPr="00C628E8">
        <w:rPr>
          <w:lang w:val="en-GB"/>
        </w:rPr>
        <w:lastRenderedPageBreak/>
        <w:t>implement a standardised process to be applied to all children who are detained in watch houses:</w:t>
      </w:r>
    </w:p>
    <w:p w14:paraId="4C0B2793" w14:textId="619BE13E" w:rsidR="005C2796" w:rsidRPr="004642BD" w:rsidRDefault="005C2796" w:rsidP="004642BD">
      <w:pPr>
        <w:pStyle w:val="Bulletedlist"/>
        <w:ind w:right="843"/>
        <w:rPr>
          <w:sz w:val="20"/>
          <w:szCs w:val="20"/>
          <w:lang w:val="en-GB"/>
        </w:rPr>
      </w:pPr>
      <w:r w:rsidRPr="004642BD">
        <w:rPr>
          <w:sz w:val="20"/>
          <w:szCs w:val="20"/>
          <w:lang w:val="en-GB"/>
        </w:rPr>
        <w:t>that facilitates the examination of the child by a qualified health practitioner within a timeframe recommended by Queensland Health and/or the other health experts</w:t>
      </w:r>
      <w:r w:rsidR="00502CE9" w:rsidRPr="004642BD">
        <w:rPr>
          <w:sz w:val="20"/>
          <w:szCs w:val="20"/>
          <w:lang w:val="en-GB"/>
        </w:rPr>
        <w:t xml:space="preserve"> </w:t>
      </w:r>
    </w:p>
    <w:p w14:paraId="62FA0BA4" w14:textId="77777777" w:rsidR="005C2796" w:rsidRPr="004642BD" w:rsidRDefault="005C2796" w:rsidP="004642BD">
      <w:pPr>
        <w:pStyle w:val="Bulletedlist"/>
        <w:ind w:right="843"/>
        <w:rPr>
          <w:sz w:val="20"/>
          <w:szCs w:val="20"/>
          <w:lang w:val="en-GB"/>
        </w:rPr>
      </w:pPr>
      <w:r w:rsidRPr="004642BD">
        <w:rPr>
          <w:sz w:val="20"/>
          <w:szCs w:val="20"/>
          <w:lang w:val="en-GB"/>
        </w:rPr>
        <w:t>that takes into account the needs of Aboriginal and Torres Strait Islander children.</w:t>
      </w:r>
    </w:p>
    <w:p w14:paraId="0D40A06E" w14:textId="76136879" w:rsidR="005C2796" w:rsidRPr="00C628E8" w:rsidRDefault="005C2796" w:rsidP="00502CE9">
      <w:pPr>
        <w:pStyle w:val="Quote"/>
        <w:rPr>
          <w:lang w:val="en-GB"/>
        </w:rPr>
      </w:pPr>
      <w:r w:rsidRPr="00502CE9">
        <w:rPr>
          <w:b/>
          <w:bCs/>
          <w:lang w:val="en-GB"/>
        </w:rPr>
        <w:t>Recommendation 5</w:t>
      </w:r>
      <w:r w:rsidR="00502CE9">
        <w:rPr>
          <w:b/>
          <w:bCs/>
          <w:lang w:val="en-GB"/>
        </w:rPr>
        <w:t xml:space="preserve">: </w:t>
      </w:r>
      <w:r w:rsidRPr="00C628E8">
        <w:rPr>
          <w:lang w:val="en-GB"/>
        </w:rPr>
        <w:t>The Queensland Police Service, in consultation with the Department of Youth Justice, seeks expert advice (including from relevant Aboriginal and Torres Strait Islander stakeholders) and develops appropriate assessment tools to use in the watch-house to identify the needs and level of risk of children (including Aboriginal and/or Torres Strait Islander children).</w:t>
      </w:r>
    </w:p>
    <w:p w14:paraId="6BC09910" w14:textId="6C2C3108" w:rsidR="005C2796" w:rsidRPr="00C628E8" w:rsidRDefault="005C2796" w:rsidP="004642BD">
      <w:pPr>
        <w:pStyle w:val="Quote"/>
        <w:rPr>
          <w:lang w:val="en-GB"/>
        </w:rPr>
      </w:pPr>
      <w:r w:rsidRPr="00502CE9">
        <w:rPr>
          <w:b/>
          <w:bCs/>
          <w:lang w:val="en-GB"/>
        </w:rPr>
        <w:t>Recommendation 10</w:t>
      </w:r>
      <w:r w:rsidR="00502CE9" w:rsidRPr="00502CE9">
        <w:rPr>
          <w:b/>
          <w:bCs/>
          <w:lang w:val="en-GB"/>
        </w:rPr>
        <w:t>:</w:t>
      </w:r>
      <w:r w:rsidR="00502CE9">
        <w:rPr>
          <w:b/>
          <w:bCs/>
          <w:lang w:val="en-GB"/>
        </w:rPr>
        <w:t xml:space="preserve"> </w:t>
      </w:r>
      <w:r w:rsidRPr="00C628E8">
        <w:rPr>
          <w:lang w:val="en-GB"/>
        </w:rPr>
        <w:t>The Queensland Police Service, in consultation with the Department of Youth Justice, seeks expert advice to inform the development of:</w:t>
      </w:r>
      <w:r w:rsidR="004642BD">
        <w:rPr>
          <w:lang w:val="en-GB"/>
        </w:rPr>
        <w:br/>
      </w:r>
      <w:r w:rsidRPr="00C628E8">
        <w:rPr>
          <w:lang w:val="en-GB"/>
        </w:rPr>
        <w:t>a) a behaviour management policy/strategy that provides guidance to watch-house staff in relation to behaviour management strategies, including identifying which entitlements are mandatory and cannot be withheld</w:t>
      </w:r>
      <w:r w:rsidR="004642BD">
        <w:rPr>
          <w:lang w:val="en-GB"/>
        </w:rPr>
        <w:br/>
      </w:r>
      <w:r w:rsidRPr="00C628E8">
        <w:rPr>
          <w:lang w:val="en-GB"/>
        </w:rPr>
        <w:t>b) training (which is mandatory for all watch-house staff) in the trauma-informed and culturally appropriate management of children in custody.</w:t>
      </w:r>
    </w:p>
    <w:p w14:paraId="284A78FB" w14:textId="1CCD5D12" w:rsidR="005C2796" w:rsidRPr="00502CE9" w:rsidRDefault="005C2796" w:rsidP="00502CE9">
      <w:pPr>
        <w:pStyle w:val="Quote"/>
        <w:rPr>
          <w:b/>
          <w:bCs/>
          <w:lang w:val="en-GB"/>
        </w:rPr>
      </w:pPr>
      <w:r w:rsidRPr="00502CE9">
        <w:rPr>
          <w:b/>
          <w:bCs/>
          <w:lang w:val="en-GB"/>
        </w:rPr>
        <w:t>Recommendation 11</w:t>
      </w:r>
      <w:r w:rsidR="00502CE9" w:rsidRPr="00502CE9">
        <w:rPr>
          <w:b/>
          <w:bCs/>
          <w:lang w:val="en-GB"/>
        </w:rPr>
        <w:t xml:space="preserve">: </w:t>
      </w:r>
      <w:r w:rsidRPr="00C628E8">
        <w:rPr>
          <w:lang w:val="en-GB"/>
        </w:rPr>
        <w:t>The Queensland Police Service develop nutritional guidelines for the provision of food</w:t>
      </w:r>
      <w:r>
        <w:rPr>
          <w:lang w:val="en-GB"/>
        </w:rPr>
        <w:t xml:space="preserve"> </w:t>
      </w:r>
      <w:r w:rsidRPr="00C628E8">
        <w:rPr>
          <w:lang w:val="en-GB"/>
        </w:rPr>
        <w:t>to children.</w:t>
      </w:r>
    </w:p>
    <w:p w14:paraId="1D991C50" w14:textId="54A4FAA7" w:rsidR="005C2796" w:rsidRPr="000401E6" w:rsidRDefault="005C2796" w:rsidP="00502CE9">
      <w:pPr>
        <w:pStyle w:val="Quote"/>
        <w:rPr>
          <w:lang w:val="en-GB"/>
        </w:rPr>
      </w:pPr>
      <w:r w:rsidRPr="00502CE9">
        <w:rPr>
          <w:b/>
          <w:bCs/>
          <w:lang w:val="en-GB"/>
        </w:rPr>
        <w:t>Recommendation 12</w:t>
      </w:r>
      <w:r w:rsidR="00502CE9" w:rsidRPr="00502CE9">
        <w:rPr>
          <w:b/>
          <w:bCs/>
          <w:lang w:val="en-GB"/>
        </w:rPr>
        <w:t xml:space="preserve">: </w:t>
      </w:r>
      <w:r w:rsidRPr="00C628E8">
        <w:rPr>
          <w:lang w:val="en-GB"/>
        </w:rPr>
        <w:t>Where children are detained in watch houses for longer periods of time, the Queensland Police Service ensures contact between a child in a watch-house and their family is given a high priority.</w:t>
      </w:r>
    </w:p>
    <w:p w14:paraId="15DFEF59" w14:textId="77777777" w:rsidR="005C2796" w:rsidRDefault="005C2796" w:rsidP="00FC6CE6">
      <w:pPr>
        <w:pStyle w:val="Numberedparagraph"/>
        <w:rPr>
          <w:lang w:val="en-GB"/>
        </w:rPr>
      </w:pPr>
      <w:r>
        <w:rPr>
          <w:lang w:val="en-GB"/>
        </w:rPr>
        <w:t>Access to health assessments was also raised as an issue facing adult detainees in watch houses in a coronial inquest in which the Deputy State Coroner recommended</w:t>
      </w:r>
      <w:r>
        <w:rPr>
          <w:rStyle w:val="FootnoteReference"/>
          <w:lang w:val="en-GB"/>
        </w:rPr>
        <w:footnoteReference w:id="30"/>
      </w:r>
      <w:r>
        <w:rPr>
          <w:lang w:val="en-GB"/>
        </w:rPr>
        <w:t>:</w:t>
      </w:r>
    </w:p>
    <w:p w14:paraId="246A69C9" w14:textId="57B3C8A5" w:rsidR="005C2796" w:rsidRPr="00502CE9" w:rsidRDefault="005C2796" w:rsidP="00502CE9">
      <w:pPr>
        <w:pStyle w:val="Quote"/>
        <w:rPr>
          <w:b/>
          <w:bCs/>
          <w:lang w:val="en-GB"/>
        </w:rPr>
      </w:pPr>
      <w:r w:rsidRPr="00502CE9">
        <w:rPr>
          <w:b/>
          <w:bCs/>
          <w:lang w:val="en-GB"/>
        </w:rPr>
        <w:t>Recommendation 3</w:t>
      </w:r>
      <w:r w:rsidR="00502CE9" w:rsidRPr="00502CE9">
        <w:rPr>
          <w:b/>
          <w:bCs/>
          <w:lang w:val="en-GB"/>
        </w:rPr>
        <w:t>:</w:t>
      </w:r>
      <w:r w:rsidR="00502CE9">
        <w:rPr>
          <w:b/>
          <w:bCs/>
          <w:lang w:val="en-GB"/>
        </w:rPr>
        <w:t xml:space="preserve"> </w:t>
      </w:r>
      <w:r w:rsidRPr="00DF2F37">
        <w:t>That the Queensland Government provide additional resourcing to Queensland Health to enable Queensland Health to place nursing and/or paramedical clinicians in all Queensland WHs, in person or by technological means</w:t>
      </w:r>
      <w:r w:rsidRPr="007E0350">
        <w:t xml:space="preserve">, on a 24 hour a day, 7 day a week basis, and that those clinicians have access to CIMHA and </w:t>
      </w:r>
      <w:proofErr w:type="spellStart"/>
      <w:r w:rsidRPr="007E0350">
        <w:t>ieMR</w:t>
      </w:r>
      <w:proofErr w:type="spellEnd"/>
      <w:r w:rsidRPr="007E0350">
        <w:t xml:space="preserve"> where</w:t>
      </w:r>
      <w:r w:rsidRPr="00DF2F37">
        <w:t xml:space="preserve"> relevant.</w:t>
      </w:r>
    </w:p>
    <w:p w14:paraId="53C60AFB" w14:textId="2725412D" w:rsidR="005C2796" w:rsidRPr="00E914B5" w:rsidRDefault="005C2796" w:rsidP="00502CE9">
      <w:pPr>
        <w:pStyle w:val="Quote"/>
        <w:rPr>
          <w:lang w:val="en-GB"/>
        </w:rPr>
      </w:pPr>
      <w:r w:rsidRPr="00502CE9">
        <w:rPr>
          <w:b/>
          <w:bCs/>
        </w:rPr>
        <w:t>Recommendation 4</w:t>
      </w:r>
      <w:r w:rsidR="00502CE9">
        <w:rPr>
          <w:b/>
          <w:bCs/>
        </w:rPr>
        <w:t xml:space="preserve">: </w:t>
      </w:r>
      <w:r w:rsidRPr="00DF2F37">
        <w:t>That, subsequent to the implementation of Recommendation 3, the Queensland Police Service amend s16.13.1 of the Operational Procedures Manual to provide that the initial health assessment of persons in WHs is conducted by a Queensland Health clinician</w:t>
      </w:r>
      <w:r w:rsidR="007E0350">
        <w:t>.</w:t>
      </w:r>
    </w:p>
    <w:p w14:paraId="6FA01247" w14:textId="77777777" w:rsidR="005C2796" w:rsidRDefault="005C2796" w:rsidP="007B02CA">
      <w:pPr>
        <w:pStyle w:val="Heading1"/>
      </w:pPr>
      <w:bookmarkStart w:id="9" w:name="_Toc184820125"/>
      <w:r>
        <w:lastRenderedPageBreak/>
        <w:t>Audit ability to meet minimum standards</w:t>
      </w:r>
      <w:bookmarkEnd w:id="9"/>
      <w:r>
        <w:t xml:space="preserve"> </w:t>
      </w:r>
    </w:p>
    <w:p w14:paraId="6AEA187D" w14:textId="77777777" w:rsidR="005C2796" w:rsidRDefault="005C2796" w:rsidP="00FC6CE6">
      <w:pPr>
        <w:pStyle w:val="Numberedparagraph"/>
        <w:rPr>
          <w:lang w:val="en-GB"/>
        </w:rPr>
      </w:pPr>
      <w:r>
        <w:rPr>
          <w:lang w:val="en-GB"/>
        </w:rPr>
        <w:t xml:space="preserve">To ensure the health and safety of both persons in custody and watch house personnel, local processes and infrastructure of each watch house that proposes to </w:t>
      </w:r>
      <w:r w:rsidRPr="00FC6CE6">
        <w:t>accommodate</w:t>
      </w:r>
      <w:r>
        <w:rPr>
          <w:lang w:val="en-GB"/>
        </w:rPr>
        <w:t xml:space="preserve"> children should be audited against the minimum standards identified under the above recommendation. </w:t>
      </w:r>
    </w:p>
    <w:p w14:paraId="31BA666D" w14:textId="77777777" w:rsidR="005C2796" w:rsidRDefault="005C2796" w:rsidP="00FC6CE6">
      <w:pPr>
        <w:pStyle w:val="Numberedparagraph"/>
        <w:rPr>
          <w:lang w:val="en-GB"/>
        </w:rPr>
      </w:pPr>
      <w:r>
        <w:rPr>
          <w:lang w:val="en-GB"/>
        </w:rPr>
        <w:t xml:space="preserve">An outcome of the audit should be a plan to rapidly address any shortfalls in meeting the </w:t>
      </w:r>
      <w:r w:rsidRPr="00FC6CE6">
        <w:t>minimum</w:t>
      </w:r>
      <w:r>
        <w:rPr>
          <w:lang w:val="en-GB"/>
        </w:rPr>
        <w:t xml:space="preserve"> standards.</w:t>
      </w:r>
    </w:p>
    <w:p w14:paraId="56F8368B" w14:textId="77777777" w:rsidR="005C2796" w:rsidRDefault="005C2796" w:rsidP="00FC6CE6">
      <w:pPr>
        <w:pStyle w:val="Numberedparagraph"/>
      </w:pPr>
      <w:r>
        <w:t xml:space="preserve">This </w:t>
      </w:r>
      <w:r w:rsidRPr="00FC6CE6">
        <w:t>recommendation</w:t>
      </w:r>
      <w:r>
        <w:t xml:space="preserve"> aligns with the following recommendations already made by the Inspector of Detention Services</w:t>
      </w:r>
      <w:r>
        <w:rPr>
          <w:rStyle w:val="FootnoteReference"/>
        </w:rPr>
        <w:footnoteReference w:id="31"/>
      </w:r>
      <w:r>
        <w:t>:</w:t>
      </w:r>
    </w:p>
    <w:p w14:paraId="495A6BDF" w14:textId="746B315D" w:rsidR="005C2796" w:rsidRDefault="005C2796" w:rsidP="00502CE9">
      <w:pPr>
        <w:pStyle w:val="Quote"/>
      </w:pPr>
      <w:r w:rsidRPr="005B10C2">
        <w:rPr>
          <w:b/>
          <w:bCs/>
        </w:rPr>
        <w:t>Recommendation 2</w:t>
      </w:r>
      <w:r w:rsidR="00502CE9">
        <w:rPr>
          <w:b/>
          <w:bCs/>
        </w:rPr>
        <w:t xml:space="preserve">: </w:t>
      </w:r>
      <w:r>
        <w:t>The broader review of watch-houses announced by the Queensland Police Service in July 2024, and the review of the Queensland Police Service building design manual, both include an assessment of issues arising from watch-house infrastructure that create risk of harm to children, and develop strategies to address them.</w:t>
      </w:r>
    </w:p>
    <w:p w14:paraId="05E92131" w14:textId="7475A58E" w:rsidR="005C2796" w:rsidRDefault="005C2796" w:rsidP="00502CE9">
      <w:pPr>
        <w:pStyle w:val="Quote"/>
      </w:pPr>
      <w:r w:rsidRPr="005B10C2">
        <w:rPr>
          <w:b/>
          <w:bCs/>
        </w:rPr>
        <w:t>Recommendation 16</w:t>
      </w:r>
      <w:r w:rsidR="00502CE9">
        <w:rPr>
          <w:b/>
          <w:bCs/>
        </w:rPr>
        <w:t xml:space="preserve">: </w:t>
      </w:r>
      <w:r>
        <w:t>The Queensland Police Service and the Department of Youth Justice conduct a joint review of services to children in watch-houses across the state. This should identify gaps and develop strategies to address them, including facilitating access by appropriate Aboriginal and Torres Strait Islander organisations, and Aboriginal and Torres Strait Islander Police Liaison Officers, to children in watch-houses.</w:t>
      </w:r>
    </w:p>
    <w:p w14:paraId="4BB6F9F9" w14:textId="4148F6A3" w:rsidR="005C2796" w:rsidRDefault="005C2796" w:rsidP="00502CE9">
      <w:pPr>
        <w:pStyle w:val="Quote"/>
      </w:pPr>
      <w:r w:rsidRPr="005B10C2">
        <w:rPr>
          <w:b/>
          <w:bCs/>
        </w:rPr>
        <w:t>Recommendation 17</w:t>
      </w:r>
      <w:r w:rsidR="00502CE9">
        <w:rPr>
          <w:b/>
          <w:bCs/>
        </w:rPr>
        <w:t xml:space="preserve">: </w:t>
      </w:r>
      <w:r>
        <w:t>The Queensland Police Service, in its review of watch-houses, consider whether there should be increased central oversight and coordination of watch-houses to improve the levels of support, and the quality and consistency of services provided to children in watch</w:t>
      </w:r>
      <w:r w:rsidR="00E6260F">
        <w:t>-</w:t>
      </w:r>
      <w:r>
        <w:t xml:space="preserve">houses. </w:t>
      </w:r>
    </w:p>
    <w:p w14:paraId="45A0A2AB" w14:textId="77777777" w:rsidR="005C2796" w:rsidRDefault="005C2796" w:rsidP="007B02CA">
      <w:pPr>
        <w:pStyle w:val="Heading1"/>
      </w:pPr>
      <w:bookmarkStart w:id="10" w:name="_Toc184820126"/>
      <w:r>
        <w:t>Child-friendly accountability mechanisms</w:t>
      </w:r>
      <w:bookmarkEnd w:id="10"/>
      <w:r>
        <w:t xml:space="preserve"> </w:t>
      </w:r>
    </w:p>
    <w:p w14:paraId="3E8D5276" w14:textId="13AD0252" w:rsidR="005C2796" w:rsidRDefault="005C2796" w:rsidP="00FC6CE6">
      <w:pPr>
        <w:pStyle w:val="Numberedparagraph"/>
        <w:rPr>
          <w:lang w:val="en-GB"/>
        </w:rPr>
      </w:pPr>
      <w:r>
        <w:rPr>
          <w:lang w:val="en-GB"/>
        </w:rPr>
        <w:t xml:space="preserve">In order to </w:t>
      </w:r>
      <w:r w:rsidR="00D14970">
        <w:rPr>
          <w:lang w:val="en-GB"/>
        </w:rPr>
        <w:t xml:space="preserve">safeguard </w:t>
      </w:r>
      <w:r>
        <w:rPr>
          <w:lang w:val="en-GB"/>
        </w:rPr>
        <w:t>rights, measures to ensure compliance with the minimum standards for children in watch house detention should be child-friendly.</w:t>
      </w:r>
    </w:p>
    <w:p w14:paraId="4EA158A0" w14:textId="77777777" w:rsidR="005C2796" w:rsidRDefault="005C2796" w:rsidP="00FC6CE6">
      <w:pPr>
        <w:pStyle w:val="Numberedparagraph"/>
        <w:rPr>
          <w:lang w:val="en-GB"/>
        </w:rPr>
      </w:pPr>
      <w:r>
        <w:rPr>
          <w:lang w:val="en-GB"/>
        </w:rPr>
        <w:t>The Commission submits that child-friendly accountability mechanisms should include:</w:t>
      </w:r>
    </w:p>
    <w:p w14:paraId="1ED1D136" w14:textId="77777777" w:rsidR="005C2796" w:rsidRDefault="005C2796" w:rsidP="00FC6CE6">
      <w:pPr>
        <w:pStyle w:val="Numberedparagraph"/>
        <w:numPr>
          <w:ilvl w:val="1"/>
          <w:numId w:val="18"/>
        </w:numPr>
        <w:ind w:left="851"/>
        <w:rPr>
          <w:lang w:val="en-GB"/>
        </w:rPr>
      </w:pPr>
      <w:r>
        <w:rPr>
          <w:lang w:val="en-GB"/>
        </w:rPr>
        <w:t>ensuring children and their advocates understand the minimum standards and how they can make a complaint if they are not met</w:t>
      </w:r>
    </w:p>
    <w:p w14:paraId="7253CB59" w14:textId="77777777" w:rsidR="005C2796" w:rsidRDefault="005C2796" w:rsidP="00FC6CE6">
      <w:pPr>
        <w:pStyle w:val="Numberedparagraph"/>
        <w:numPr>
          <w:ilvl w:val="1"/>
          <w:numId w:val="18"/>
        </w:numPr>
        <w:ind w:left="851"/>
        <w:rPr>
          <w:lang w:val="en-GB"/>
        </w:rPr>
      </w:pPr>
      <w:r>
        <w:rPr>
          <w:lang w:val="en-GB"/>
        </w:rPr>
        <w:t>child-friendly complaint processes, so that children are supported, encouraged, and not frightened, to raise their concerns</w:t>
      </w:r>
    </w:p>
    <w:p w14:paraId="13AD0128" w14:textId="77777777" w:rsidR="005C2796" w:rsidRDefault="005C2796" w:rsidP="00FC6CE6">
      <w:pPr>
        <w:pStyle w:val="Numberedparagraph"/>
        <w:numPr>
          <w:ilvl w:val="1"/>
          <w:numId w:val="18"/>
        </w:numPr>
        <w:ind w:left="851"/>
        <w:rPr>
          <w:lang w:val="en-GB"/>
        </w:rPr>
      </w:pPr>
      <w:r>
        <w:rPr>
          <w:lang w:val="en-GB"/>
        </w:rPr>
        <w:lastRenderedPageBreak/>
        <w:t>regular and transparent monitoring (internally and externally) to ensure standards are being met, so that shortfalls are not the responsibility of the child to identify and complain about.</w:t>
      </w:r>
    </w:p>
    <w:p w14:paraId="6F121DB1" w14:textId="77777777" w:rsidR="005C2796" w:rsidRDefault="005C2796" w:rsidP="00FC6CE6">
      <w:pPr>
        <w:pStyle w:val="Numberedparagraph"/>
        <w:rPr>
          <w:lang w:val="en-GB"/>
        </w:rPr>
      </w:pPr>
      <w:r>
        <w:rPr>
          <w:lang w:val="en-GB"/>
        </w:rPr>
        <w:t>Child-</w:t>
      </w:r>
      <w:r w:rsidRPr="00FC6CE6">
        <w:t>friendly</w:t>
      </w:r>
      <w:r>
        <w:rPr>
          <w:lang w:val="en-GB"/>
        </w:rPr>
        <w:t xml:space="preserve"> mechanisms should be developed in consultation with children, families, and advocates.</w:t>
      </w:r>
      <w:r>
        <w:rPr>
          <w:rStyle w:val="FootnoteReference"/>
          <w:lang w:val="en-GB"/>
        </w:rPr>
        <w:footnoteReference w:id="32"/>
      </w:r>
      <w:r>
        <w:rPr>
          <w:lang w:val="en-GB"/>
        </w:rPr>
        <w:t xml:space="preserve"> </w:t>
      </w:r>
    </w:p>
    <w:p w14:paraId="2509F80D" w14:textId="3F9646D0" w:rsidR="005C2796" w:rsidRDefault="005C2796" w:rsidP="00FC6CE6">
      <w:pPr>
        <w:pStyle w:val="Numberedparagraph"/>
        <w:rPr>
          <w:lang w:val="en-GB"/>
        </w:rPr>
      </w:pPr>
      <w:r>
        <w:rPr>
          <w:lang w:val="en-GB"/>
        </w:rPr>
        <w:t>The Commission reiterates recommendation 4 made by the Queensland Family and Child Commission that QPS and youth justice need to improve the information they record about the circumstances of a young person’s detainment, including the extent to which their needs and rights are being addressed while in custody.</w:t>
      </w:r>
      <w:r w:rsidR="004A10F5">
        <w:rPr>
          <w:rStyle w:val="FootnoteReference"/>
          <w:lang w:val="en-GB"/>
        </w:rPr>
        <w:footnoteReference w:id="33"/>
      </w:r>
    </w:p>
    <w:p w14:paraId="0A7DE22B" w14:textId="77777777" w:rsidR="005C2796" w:rsidRPr="00413323" w:rsidRDefault="005C2796" w:rsidP="007B02CA">
      <w:pPr>
        <w:pStyle w:val="Heading1"/>
      </w:pPr>
      <w:bookmarkStart w:id="11" w:name="_Toc184820127"/>
      <w:r>
        <w:t>Appropriate training for QPS staff</w:t>
      </w:r>
      <w:bookmarkEnd w:id="11"/>
    </w:p>
    <w:p w14:paraId="1A5A3E20" w14:textId="77777777" w:rsidR="005C2796" w:rsidRPr="00D94E99" w:rsidRDefault="005C2796" w:rsidP="00FC6CE6">
      <w:pPr>
        <w:pStyle w:val="Numberedparagraph"/>
      </w:pPr>
      <w:r w:rsidRPr="00FC6CE6">
        <w:t>Appropriately</w:t>
      </w:r>
      <w:r>
        <w:t xml:space="preserve"> trained staff are essential for meeting the specific needs of children and people with complex needs in watch house detention. </w:t>
      </w:r>
    </w:p>
    <w:p w14:paraId="130E1570" w14:textId="77777777" w:rsidR="005C2796" w:rsidRPr="00CA0DAC" w:rsidRDefault="005C2796" w:rsidP="00FC6CE6">
      <w:pPr>
        <w:pStyle w:val="Numberedparagraph"/>
      </w:pPr>
      <w:r>
        <w:rPr>
          <w:lang w:val="en-GB"/>
        </w:rPr>
        <w:t>The Inspector of Detention Services has observed that w</w:t>
      </w:r>
      <w:proofErr w:type="spellStart"/>
      <w:r w:rsidRPr="00CA0DAC">
        <w:t>atch</w:t>
      </w:r>
      <w:proofErr w:type="spellEnd"/>
      <w:r w:rsidRPr="00CA0DAC">
        <w:t xml:space="preserve"> house staff ‘are not given any specialist training geared towards working with children, let alone those with complex needs’, and have few behavioural management tools and strategies available other than use of force.</w:t>
      </w:r>
      <w:r w:rsidRPr="00CA0DAC">
        <w:rPr>
          <w:vertAlign w:val="superscript"/>
        </w:rPr>
        <w:footnoteReference w:id="34"/>
      </w:r>
      <w:r w:rsidRPr="00CA0DAC">
        <w:t xml:space="preserve">  </w:t>
      </w:r>
    </w:p>
    <w:p w14:paraId="1E592BED" w14:textId="7965D72D" w:rsidR="005C2796" w:rsidRDefault="005C2796" w:rsidP="00FC6CE6">
      <w:pPr>
        <w:pStyle w:val="Numberedparagraph"/>
        <w:rPr>
          <w:lang w:val="en-GB"/>
        </w:rPr>
      </w:pPr>
      <w:r>
        <w:rPr>
          <w:lang w:val="en-GB"/>
        </w:rPr>
        <w:t xml:space="preserve">The </w:t>
      </w:r>
      <w:r w:rsidRPr="00FC6CE6">
        <w:t>Commission</w:t>
      </w:r>
      <w:r>
        <w:rPr>
          <w:lang w:val="en-GB"/>
        </w:rPr>
        <w:t xml:space="preserve"> endorses </w:t>
      </w:r>
      <w:r w:rsidR="007F3E6A">
        <w:rPr>
          <w:lang w:val="en-GB"/>
        </w:rPr>
        <w:t xml:space="preserve">Inspector of Detention Services </w:t>
      </w:r>
      <w:r>
        <w:rPr>
          <w:lang w:val="en-GB"/>
        </w:rPr>
        <w:t>recommendations that</w:t>
      </w:r>
      <w:r w:rsidR="007F3E6A">
        <w:rPr>
          <w:rStyle w:val="FootnoteReference"/>
          <w:lang w:val="en-GB"/>
        </w:rPr>
        <w:footnoteReference w:id="35"/>
      </w:r>
      <w:r>
        <w:rPr>
          <w:lang w:val="en-GB"/>
        </w:rPr>
        <w:t>:</w:t>
      </w:r>
    </w:p>
    <w:p w14:paraId="64D9F14F" w14:textId="186EFF9E" w:rsidR="005C2796" w:rsidRDefault="005C2796" w:rsidP="00C56405">
      <w:pPr>
        <w:pStyle w:val="Quote"/>
        <w:rPr>
          <w:lang w:eastAsia="en-AU"/>
        </w:rPr>
      </w:pPr>
      <w:r w:rsidRPr="00482683">
        <w:rPr>
          <w:b/>
          <w:bCs/>
          <w:lang w:val="en-GB"/>
        </w:rPr>
        <w:t>Recommendation 3</w:t>
      </w:r>
      <w:r w:rsidR="00C56405">
        <w:rPr>
          <w:b/>
          <w:bCs/>
          <w:lang w:val="en-GB"/>
        </w:rPr>
        <w:t xml:space="preserve">: </w:t>
      </w:r>
      <w:r w:rsidRPr="00482683">
        <w:rPr>
          <w:lang w:eastAsia="en-AU"/>
        </w:rPr>
        <w:t>The Queensland Police Service develops and delivers mandatory training for staff who undertake admissions and assessments of children, covering such topics as trauma informed approaches to communicating with children with complex needs and engaging with Aboriginal and Torres Strait Islander children.</w:t>
      </w:r>
    </w:p>
    <w:p w14:paraId="05D6BFAF" w14:textId="3089287F" w:rsidR="005C2796" w:rsidRPr="00482683" w:rsidRDefault="005C2796" w:rsidP="00C56405">
      <w:pPr>
        <w:pStyle w:val="Quote"/>
        <w:rPr>
          <w:b/>
          <w:bCs/>
          <w:lang w:val="en-GB"/>
        </w:rPr>
      </w:pPr>
      <w:r w:rsidRPr="00482683">
        <w:rPr>
          <w:b/>
          <w:bCs/>
          <w:lang w:eastAsia="en-AU"/>
        </w:rPr>
        <w:t>Recommendation 10</w:t>
      </w:r>
      <w:r w:rsidR="00C56405">
        <w:rPr>
          <w:b/>
          <w:bCs/>
          <w:lang w:eastAsia="en-AU"/>
        </w:rPr>
        <w:t xml:space="preserve">: </w:t>
      </w:r>
      <w:r w:rsidRPr="00090E5C">
        <w:t>The Queensland Police Service, in consultation with the Department of Youth Justice, seeks expert advice to inform the development of:</w:t>
      </w:r>
      <w:r w:rsidRPr="00090E5C">
        <w:br/>
        <w:t>a) a behaviour management policy/strategy that provides guidance to watch-house staff in relation to behaviour management strategies, including identifying which entitlements are mandatory and cannot be withheld</w:t>
      </w:r>
      <w:r w:rsidRPr="00090E5C">
        <w:br/>
      </w:r>
      <w:r w:rsidRPr="00090E5C">
        <w:lastRenderedPageBreak/>
        <w:t>b) training (which is mandatory for all watch-house staff) in the trauma-informed and culturally appropriate management of children in custody.</w:t>
      </w:r>
    </w:p>
    <w:p w14:paraId="1A844975" w14:textId="77777777" w:rsidR="005C2796" w:rsidRDefault="005C2796" w:rsidP="00FC6CE6">
      <w:pPr>
        <w:pStyle w:val="Numberedparagraph"/>
      </w:pPr>
      <w:r>
        <w:rPr>
          <w:lang w:val="en-GB"/>
        </w:rPr>
        <w:t xml:space="preserve">The </w:t>
      </w:r>
      <w:r w:rsidRPr="00FC6CE6">
        <w:rPr>
          <w:i/>
          <w:iCs/>
        </w:rPr>
        <w:t xml:space="preserve">Inquest into the deaths of Shiralee Deanne </w:t>
      </w:r>
      <w:proofErr w:type="spellStart"/>
      <w:r w:rsidRPr="00FC6CE6">
        <w:rPr>
          <w:i/>
          <w:iCs/>
        </w:rPr>
        <w:t>Tilberoo</w:t>
      </w:r>
      <w:proofErr w:type="spellEnd"/>
      <w:r w:rsidRPr="00FC6CE6">
        <w:rPr>
          <w:i/>
          <w:iCs/>
        </w:rPr>
        <w:t xml:space="preserve"> and Vlasta </w:t>
      </w:r>
      <w:proofErr w:type="spellStart"/>
      <w:r w:rsidRPr="00FC6CE6">
        <w:rPr>
          <w:i/>
          <w:iCs/>
        </w:rPr>
        <w:t>Wylucki</w:t>
      </w:r>
      <w:proofErr w:type="spellEnd"/>
      <w:r w:rsidRPr="64E21DA0">
        <w:rPr>
          <w:rStyle w:val="FootnoteReference"/>
          <w:i/>
          <w:iCs/>
        </w:rPr>
        <w:footnoteReference w:id="36"/>
      </w:r>
      <w:r>
        <w:t xml:space="preserve"> also recommended that </w:t>
      </w:r>
    </w:p>
    <w:p w14:paraId="694F99B3" w14:textId="3C230964" w:rsidR="005C2796" w:rsidRDefault="005C2796" w:rsidP="00C56405">
      <w:pPr>
        <w:pStyle w:val="Quote"/>
      </w:pPr>
      <w:r w:rsidRPr="005D7BC3">
        <w:rPr>
          <w:b/>
          <w:bCs/>
        </w:rPr>
        <w:t>Recommendation 2</w:t>
      </w:r>
      <w:r w:rsidR="00C56405">
        <w:rPr>
          <w:b/>
          <w:bCs/>
        </w:rPr>
        <w:t xml:space="preserve">: </w:t>
      </w:r>
      <w:r w:rsidRPr="00BA71D6">
        <w:rPr>
          <w:lang w:eastAsia="en-AU"/>
        </w:rPr>
        <w:t>That the Queensland Government consider providing additional resourcing to the</w:t>
      </w:r>
      <w:r w:rsidR="00C56405">
        <w:rPr>
          <w:lang w:eastAsia="en-AU"/>
        </w:rPr>
        <w:t xml:space="preserve"> </w:t>
      </w:r>
      <w:r w:rsidRPr="00BA71D6">
        <w:rPr>
          <w:lang w:eastAsia="en-AU"/>
        </w:rPr>
        <w:t xml:space="preserve">QPS to support the increased training of WH officers and specialised police officers working within Queensland </w:t>
      </w:r>
      <w:proofErr w:type="spellStart"/>
      <w:r w:rsidRPr="00BA71D6">
        <w:rPr>
          <w:lang w:eastAsia="en-AU"/>
        </w:rPr>
        <w:t>WHs.</w:t>
      </w:r>
      <w:proofErr w:type="spellEnd"/>
    </w:p>
    <w:p w14:paraId="2DC86203" w14:textId="77777777" w:rsidR="005C2796" w:rsidRDefault="005C2796" w:rsidP="00FC6CE6">
      <w:pPr>
        <w:pStyle w:val="Numberedparagraph"/>
        <w:rPr>
          <w:lang w:val="en-GB"/>
        </w:rPr>
      </w:pPr>
      <w:r>
        <w:rPr>
          <w:lang w:val="en-GB"/>
        </w:rPr>
        <w:t xml:space="preserve">Additionally, the Commission submits that mandatory training for all watch house staff </w:t>
      </w:r>
      <w:r w:rsidRPr="00FC6CE6">
        <w:t>should</w:t>
      </w:r>
      <w:r>
        <w:rPr>
          <w:lang w:val="en-GB"/>
        </w:rPr>
        <w:t xml:space="preserve"> include training on the minimum standards of detention for children, and emphasise that children are different to adults in their physical, psychological, cognitive, and emotional development, making them more vulnerable to ill-treatment and justifying a different approach to management and care. </w:t>
      </w:r>
    </w:p>
    <w:p w14:paraId="7B64DBD6" w14:textId="77777777" w:rsidR="005C2796" w:rsidRDefault="005C2796" w:rsidP="007B02CA">
      <w:pPr>
        <w:pStyle w:val="Heading1"/>
      </w:pPr>
      <w:bookmarkStart w:id="12" w:name="_Toc184820128"/>
      <w:r>
        <w:t>Conclusion</w:t>
      </w:r>
      <w:bookmarkEnd w:id="12"/>
    </w:p>
    <w:p w14:paraId="67529D45" w14:textId="77777777" w:rsidR="005C2796" w:rsidRDefault="005C2796" w:rsidP="00FC6CE6">
      <w:pPr>
        <w:pStyle w:val="Numberedparagraph"/>
        <w:rPr>
          <w:lang w:val="en-GB"/>
        </w:rPr>
      </w:pPr>
      <w:r>
        <w:rPr>
          <w:lang w:val="en-GB"/>
        </w:rPr>
        <w:t xml:space="preserve">The review of watch house operations across Queensland is an opportunity to </w:t>
      </w:r>
      <w:r w:rsidRPr="00FC6CE6">
        <w:t>strengthen</w:t>
      </w:r>
      <w:r>
        <w:rPr>
          <w:lang w:val="en-GB"/>
        </w:rPr>
        <w:t xml:space="preserve"> systems so that watch houses are only used for their intended purpose, that is, holding people for the shortest period of time necessary, and only holding children for more than a night in exceptional circumstances.</w:t>
      </w:r>
    </w:p>
    <w:p w14:paraId="67685C12" w14:textId="77777777" w:rsidR="005C2796" w:rsidRDefault="005C2796" w:rsidP="00FC6CE6">
      <w:pPr>
        <w:pStyle w:val="Numberedparagraph"/>
        <w:rPr>
          <w:lang w:val="en-GB"/>
        </w:rPr>
      </w:pPr>
      <w:r>
        <w:rPr>
          <w:lang w:val="en-GB"/>
        </w:rPr>
        <w:t xml:space="preserve">While working towards this goal, consideration should be given to watch house conditions for children in prolonged detention and minimising their exposure to </w:t>
      </w:r>
      <w:r w:rsidRPr="00FC6CE6">
        <w:t>harm</w:t>
      </w:r>
      <w:r>
        <w:rPr>
          <w:lang w:val="en-GB"/>
        </w:rPr>
        <w:t xml:space="preserve">. In this submission, the Commission has recommended the development of minimum standards for children held in detention, implemented </w:t>
      </w:r>
      <w:proofErr w:type="spellStart"/>
      <w:r>
        <w:rPr>
          <w:lang w:val="en-GB"/>
        </w:rPr>
        <w:t>along side</w:t>
      </w:r>
      <w:proofErr w:type="spellEnd"/>
      <w:r>
        <w:rPr>
          <w:lang w:val="en-GB"/>
        </w:rPr>
        <w:t xml:space="preserve"> specialised training for watch house staff and police officers.</w:t>
      </w:r>
    </w:p>
    <w:p w14:paraId="29A10FFB" w14:textId="77777777" w:rsidR="005C2796" w:rsidRDefault="005C2796" w:rsidP="00FC6CE6">
      <w:pPr>
        <w:pStyle w:val="Numberedparagraph"/>
        <w:rPr>
          <w:lang w:val="en-GB"/>
        </w:rPr>
      </w:pPr>
      <w:r>
        <w:rPr>
          <w:lang w:val="en-GB"/>
        </w:rPr>
        <w:t xml:space="preserve">The Commission acknowledges the work already undertaken in other reviews, and has </w:t>
      </w:r>
      <w:r w:rsidRPr="00FC6CE6">
        <w:t>sought</w:t>
      </w:r>
      <w:r>
        <w:rPr>
          <w:lang w:val="en-GB"/>
        </w:rPr>
        <w:t xml:space="preserve"> to supplement existing recommendations, rather than repeat them. </w:t>
      </w:r>
    </w:p>
    <w:p w14:paraId="22EEEA2D" w14:textId="77777777" w:rsidR="005C2796" w:rsidRDefault="005C2796" w:rsidP="00FC6CE6">
      <w:pPr>
        <w:pStyle w:val="Numberedparagraph"/>
        <w:rPr>
          <w:lang w:val="en-GB"/>
        </w:rPr>
      </w:pPr>
      <w:r>
        <w:rPr>
          <w:lang w:val="en-GB"/>
        </w:rPr>
        <w:t xml:space="preserve">Reducing pressures on watch house capacity, and improving watch house conditions for detainees, will improve outcomes for the health and safety of people in custody and the health and safety of people working within the watch house. </w:t>
      </w:r>
    </w:p>
    <w:sectPr w:rsidR="005C2796" w:rsidSect="00CB0BBF">
      <w:headerReference w:type="default" r:id="rId16"/>
      <w:headerReference w:type="first" r:id="rId17"/>
      <w:footerReference w:type="first" r:id="rId18"/>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CE3AD" w14:textId="77777777" w:rsidR="004462EE" w:rsidRDefault="004462EE" w:rsidP="0034134D">
      <w:r>
        <w:separator/>
      </w:r>
    </w:p>
  </w:endnote>
  <w:endnote w:type="continuationSeparator" w:id="0">
    <w:p w14:paraId="66005ECD" w14:textId="77777777" w:rsidR="004462EE" w:rsidRDefault="004462EE" w:rsidP="0034134D">
      <w:r>
        <w:continuationSeparator/>
      </w:r>
    </w:p>
  </w:endnote>
  <w:endnote w:type="continuationNotice" w:id="1">
    <w:p w14:paraId="2329C255" w14:textId="77777777" w:rsidR="00042A8C" w:rsidRDefault="00042A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roman"/>
    <w:pitch w:val="variable"/>
    <w:sig w:usb0="01000001" w:usb1="00000000" w:usb2="00000000" w:usb3="00000000" w:csb0="0001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78FD5" w14:textId="77777777" w:rsidR="006D0CD6" w:rsidRPr="00260847" w:rsidRDefault="00260847"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3E1FB58C" wp14:editId="6184903A">
          <wp:extent cx="5463606" cy="48027"/>
          <wp:effectExtent l="0" t="0" r="0" b="9525"/>
          <wp:docPr id="609351482" name="Picture 60935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006D0CD6" w:rsidRPr="00260847">
      <w:rPr>
        <w:rFonts w:cs="Arial"/>
        <w:color w:val="404040" w:themeColor="text1" w:themeTint="BF"/>
        <w:sz w:val="16"/>
        <w:szCs w:val="20"/>
      </w:rPr>
      <w:fldChar w:fldCharType="begin"/>
    </w:r>
    <w:r w:rsidR="006D0CD6" w:rsidRPr="00260847">
      <w:rPr>
        <w:rFonts w:cs="Arial"/>
        <w:color w:val="404040" w:themeColor="text1" w:themeTint="BF"/>
        <w:sz w:val="16"/>
        <w:szCs w:val="20"/>
      </w:rPr>
      <w:instrText xml:space="preserve"> PAGE   \* MERGEFORMAT </w:instrText>
    </w:r>
    <w:r w:rsidR="006D0CD6" w:rsidRPr="00260847">
      <w:rPr>
        <w:rFonts w:cs="Arial"/>
        <w:color w:val="404040" w:themeColor="text1" w:themeTint="BF"/>
        <w:sz w:val="16"/>
        <w:szCs w:val="20"/>
      </w:rPr>
      <w:fldChar w:fldCharType="separate"/>
    </w:r>
    <w:r w:rsidR="0035517B">
      <w:rPr>
        <w:rFonts w:cs="Arial"/>
        <w:noProof/>
        <w:color w:val="404040" w:themeColor="text1" w:themeTint="BF"/>
        <w:sz w:val="16"/>
        <w:szCs w:val="20"/>
      </w:rPr>
      <w:t>3</w:t>
    </w:r>
    <w:r w:rsidR="006D0CD6" w:rsidRPr="00260847">
      <w:rPr>
        <w:rFonts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124C" w14:textId="77777777" w:rsidR="007C510E" w:rsidRDefault="007C510E" w:rsidP="000731D3">
    <w:pPr>
      <w:pStyle w:val="Footer"/>
      <w:pBdr>
        <w:top w:val="single" w:sz="4" w:space="1" w:color="auto"/>
      </w:pBdr>
      <w:jc w:val="right"/>
      <w:rPr>
        <w:rFonts w:cs="Arial"/>
        <w:sz w:val="20"/>
        <w:szCs w:val="20"/>
      </w:rPr>
    </w:pPr>
  </w:p>
  <w:p w14:paraId="62F3B47D" w14:textId="77777777" w:rsidR="007C510E" w:rsidRPr="004A2375" w:rsidRDefault="007C510E"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CB0BBF">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03549" w14:textId="77777777" w:rsidR="004462EE" w:rsidRDefault="004462EE" w:rsidP="0034134D">
      <w:r>
        <w:separator/>
      </w:r>
    </w:p>
  </w:footnote>
  <w:footnote w:type="continuationSeparator" w:id="0">
    <w:p w14:paraId="2B9A77C9" w14:textId="77777777" w:rsidR="004462EE" w:rsidRDefault="004462EE" w:rsidP="0034134D">
      <w:r>
        <w:continuationSeparator/>
      </w:r>
    </w:p>
  </w:footnote>
  <w:footnote w:type="continuationNotice" w:id="1">
    <w:p w14:paraId="07E1CF15" w14:textId="77777777" w:rsidR="00042A8C" w:rsidRDefault="00042A8C">
      <w:pPr>
        <w:spacing w:after="0"/>
      </w:pPr>
    </w:p>
  </w:footnote>
  <w:footnote w:id="2">
    <w:p w14:paraId="28A4BE45" w14:textId="77777777" w:rsidR="005C2796" w:rsidRPr="007E4BE7" w:rsidRDefault="005C2796" w:rsidP="005C2796">
      <w:pPr>
        <w:pStyle w:val="FootnoteText"/>
        <w:rPr>
          <w:lang w:val="en-GB"/>
        </w:rPr>
      </w:pPr>
      <w:r>
        <w:rPr>
          <w:rStyle w:val="FootnoteReference"/>
        </w:rPr>
        <w:footnoteRef/>
      </w:r>
      <w:r>
        <w:t xml:space="preserve"> Queensland Police Service, ‘Watch-house review’ (Web Page, 2 December 2024) </w:t>
      </w:r>
      <w:r>
        <w:rPr>
          <w:lang w:val="en-GB"/>
        </w:rPr>
        <w:t>&lt;</w:t>
      </w:r>
      <w:r w:rsidRPr="007E4BE7">
        <w:t xml:space="preserve"> </w:t>
      </w:r>
      <w:r w:rsidRPr="007E4BE7">
        <w:rPr>
          <w:lang w:val="en-GB"/>
        </w:rPr>
        <w:t>https://www.police.qld.gov.au/initiatives/watch-house-review</w:t>
      </w:r>
      <w:r>
        <w:rPr>
          <w:lang w:val="en-GB"/>
        </w:rPr>
        <w:t>&gt;.</w:t>
      </w:r>
    </w:p>
  </w:footnote>
  <w:footnote w:id="3">
    <w:p w14:paraId="53241D47" w14:textId="77777777" w:rsidR="005C2796" w:rsidRPr="004C4ECA" w:rsidRDefault="005C2796" w:rsidP="005C2796">
      <w:pPr>
        <w:pStyle w:val="FootnoteText"/>
        <w:rPr>
          <w:lang w:val="en-GB"/>
        </w:rPr>
      </w:pPr>
      <w:r>
        <w:rPr>
          <w:rStyle w:val="FootnoteReference"/>
        </w:rPr>
        <w:footnoteRef/>
      </w:r>
      <w:r>
        <w:t xml:space="preserve"> </w:t>
      </w:r>
      <w:r w:rsidRPr="00650C80">
        <w:rPr>
          <w:i/>
          <w:iCs/>
        </w:rPr>
        <w:t xml:space="preserve">United Nations Committee on the Rights of the Child, General Comment No 24: Children’s Rights in the Child Justice System, </w:t>
      </w:r>
      <w:r w:rsidRPr="0062251D">
        <w:t>UN Doc CRC/C/GC/24</w:t>
      </w:r>
      <w:r w:rsidRPr="00650C80">
        <w:rPr>
          <w:i/>
          <w:iCs/>
        </w:rPr>
        <w:t xml:space="preserve"> </w:t>
      </w:r>
      <w:r w:rsidRPr="00443A05">
        <w:t>(18 September 2019)</w:t>
      </w:r>
      <w:r w:rsidRPr="002A6A96">
        <w:rPr>
          <w:lang w:val="en-GB"/>
        </w:rPr>
        <w:t xml:space="preserve"> [85]</w:t>
      </w:r>
      <w:r>
        <w:rPr>
          <w:lang w:val="en-GB"/>
        </w:rPr>
        <w:t xml:space="preserve">; </w:t>
      </w:r>
      <w:r w:rsidRPr="00A85362">
        <w:t xml:space="preserve">Juan E. Méndez, </w:t>
      </w:r>
      <w:r w:rsidRPr="00A85362">
        <w:rPr>
          <w:i/>
          <w:iCs/>
        </w:rPr>
        <w:t>Report of the Special Rapporteur on torture and other cruel, inhuman or degrading treatment or punishment</w:t>
      </w:r>
      <w:r w:rsidRPr="00A85362">
        <w:t>, UN Doc A/HRC/28/68 (5 March 2015)</w:t>
      </w:r>
      <w:r w:rsidRPr="00A85362">
        <w:rPr>
          <w:lang w:val="en-GB"/>
        </w:rPr>
        <w:t xml:space="preserve"> [85(k)]</w:t>
      </w:r>
      <w:r>
        <w:rPr>
          <w:lang w:val="en-GB"/>
        </w:rPr>
        <w:t>;</w:t>
      </w:r>
      <w:r w:rsidRPr="005430F1">
        <w:rPr>
          <w:rFonts w:cs="Arial"/>
          <w:color w:val="auto"/>
          <w:sz w:val="22"/>
          <w:szCs w:val="20"/>
          <w:lang w:val="en-US"/>
        </w:rPr>
        <w:t xml:space="preserve"> </w:t>
      </w:r>
      <w:r w:rsidRPr="005430F1">
        <w:rPr>
          <w:lang w:val="en-US"/>
        </w:rPr>
        <w:t xml:space="preserve">European Committee for the Prevention of Torture and Inhuman or Degrading Treatment or Punishment (CPT), </w:t>
      </w:r>
      <w:r w:rsidRPr="005430F1">
        <w:rPr>
          <w:i/>
          <w:iCs/>
          <w:lang w:val="en-US"/>
        </w:rPr>
        <w:t>Juveniles Deprived of Their Liberty Under Criminal Legislation</w:t>
      </w:r>
      <w:r w:rsidRPr="005430F1">
        <w:rPr>
          <w:lang w:val="en-US"/>
        </w:rPr>
        <w:t>, extract from the 24</w:t>
      </w:r>
      <w:r w:rsidRPr="005430F1">
        <w:rPr>
          <w:vertAlign w:val="superscript"/>
          <w:lang w:val="en-US"/>
        </w:rPr>
        <w:t>th</w:t>
      </w:r>
      <w:r w:rsidRPr="005430F1">
        <w:rPr>
          <w:lang w:val="en-US"/>
        </w:rPr>
        <w:t xml:space="preserve"> General Report of the CPT (published in 2015)</w:t>
      </w:r>
      <w:r>
        <w:rPr>
          <w:lang w:val="en-US"/>
        </w:rPr>
        <w:t xml:space="preserve"> [99]-[100];</w:t>
      </w:r>
      <w:r w:rsidRPr="002A6A96">
        <w:rPr>
          <w:lang w:val="en-GB"/>
        </w:rPr>
        <w:t xml:space="preserve"> </w:t>
      </w:r>
      <w:r>
        <w:rPr>
          <w:lang w:val="en-GB"/>
        </w:rPr>
        <w:t xml:space="preserve">Statement of Compatibility, Making Queensland Safer Bill 2024 (Qld) 4; </w:t>
      </w:r>
      <w:r w:rsidRPr="000A06D3">
        <w:rPr>
          <w:lang w:val="en-GB"/>
        </w:rPr>
        <w:t xml:space="preserve">Inspector of Detention Services, Queensland Ombudsman, </w:t>
      </w:r>
      <w:r w:rsidRPr="000A06D3">
        <w:rPr>
          <w:i/>
          <w:iCs/>
          <w:lang w:val="en-GB"/>
        </w:rPr>
        <w:t xml:space="preserve">Cairns and </w:t>
      </w:r>
      <w:proofErr w:type="spellStart"/>
      <w:r w:rsidRPr="000A06D3">
        <w:rPr>
          <w:i/>
          <w:iCs/>
          <w:lang w:val="en-GB"/>
        </w:rPr>
        <w:t>Murgon</w:t>
      </w:r>
      <w:proofErr w:type="spellEnd"/>
      <w:r w:rsidRPr="000A06D3">
        <w:rPr>
          <w:i/>
          <w:iCs/>
          <w:lang w:val="en-GB"/>
        </w:rPr>
        <w:t xml:space="preserve"> watch houses inspection report: Focus on detention on children</w:t>
      </w:r>
      <w:r w:rsidRPr="000A06D3">
        <w:rPr>
          <w:lang w:val="en-GB"/>
        </w:rPr>
        <w:t xml:space="preserve"> (11 September 2024)</w:t>
      </w:r>
      <w:r>
        <w:rPr>
          <w:lang w:val="en-GB"/>
        </w:rPr>
        <w:t xml:space="preserve"> 59</w:t>
      </w:r>
      <w:r w:rsidRPr="000A06D3">
        <w:rPr>
          <w:lang w:val="en-GB"/>
        </w:rPr>
        <w:t>.</w:t>
      </w:r>
      <w:r>
        <w:rPr>
          <w:lang w:val="en-GB"/>
        </w:rPr>
        <w:t xml:space="preserve"> </w:t>
      </w:r>
    </w:p>
  </w:footnote>
  <w:footnote w:id="4">
    <w:p w14:paraId="2B84202F" w14:textId="77777777" w:rsidR="005C2796" w:rsidRDefault="005C2796" w:rsidP="005C2796">
      <w:pPr>
        <w:pStyle w:val="FootnoteText"/>
        <w:rPr>
          <w:lang w:val="en-GB"/>
        </w:rPr>
      </w:pPr>
      <w:r>
        <w:rPr>
          <w:rStyle w:val="FootnoteReference"/>
        </w:rPr>
        <w:footnoteRef/>
      </w:r>
      <w:r>
        <w:t xml:space="preserve"> Juan E Mendez, </w:t>
      </w:r>
      <w:r>
        <w:rPr>
          <w:i/>
          <w:iCs/>
        </w:rPr>
        <w:t>Report of the Special Rapporteur on torture and other cruel, inhuman or degrading treatment or punishment</w:t>
      </w:r>
      <w:r>
        <w:t>, UN Doc A/HRC/28/68 (5 March 2015) 7 [33].</w:t>
      </w:r>
    </w:p>
  </w:footnote>
  <w:footnote w:id="5">
    <w:p w14:paraId="06D37A6D" w14:textId="77777777" w:rsidR="005C2796" w:rsidRPr="00717BCE" w:rsidRDefault="005C2796" w:rsidP="005C2796">
      <w:pPr>
        <w:pStyle w:val="FootnoteText"/>
        <w:rPr>
          <w:lang w:val="en-GB"/>
        </w:rPr>
      </w:pPr>
      <w:r>
        <w:rPr>
          <w:rStyle w:val="FootnoteReference"/>
        </w:rPr>
        <w:footnoteRef/>
      </w:r>
      <w:r>
        <w:t xml:space="preserve"> Eg, </w:t>
      </w:r>
      <w:r w:rsidRPr="00685313">
        <w:t xml:space="preserve">Queensland Family and Child Commission, </w:t>
      </w:r>
      <w:r w:rsidRPr="00685313">
        <w:rPr>
          <w:i/>
          <w:iCs/>
        </w:rPr>
        <w:t>Who’s Responsible: Understanding Why Young People Are Being Held Longer in Queensland Watch houses</w:t>
      </w:r>
      <w:r w:rsidRPr="00685313">
        <w:t xml:space="preserve"> (30 November 2023)</w:t>
      </w:r>
      <w:r>
        <w:t xml:space="preserve">; </w:t>
      </w:r>
      <w:r w:rsidRPr="00A30A34">
        <w:t xml:space="preserve">Youth Justice Reform Select Committee, Queensland Parliament, </w:t>
      </w:r>
      <w:r w:rsidRPr="00A30A34">
        <w:rPr>
          <w:i/>
          <w:iCs/>
        </w:rPr>
        <w:t>Draft Confidential – Interim Report: Inquiry into ongoing reforms to the youth justice system and support for victims of crime</w:t>
      </w:r>
      <w:r w:rsidRPr="00A30A34">
        <w:t xml:space="preserve"> (Report No 1, 57th Parliament, April 2024)</w:t>
      </w:r>
      <w:r>
        <w:t>;</w:t>
      </w:r>
      <w:r w:rsidRPr="00CC288B">
        <w:t xml:space="preserve"> Inquest into the deaths of Shiralee Deanne </w:t>
      </w:r>
      <w:proofErr w:type="spellStart"/>
      <w:r w:rsidRPr="00CC288B">
        <w:t>Tilberoo</w:t>
      </w:r>
      <w:proofErr w:type="spellEnd"/>
      <w:r w:rsidRPr="00CC288B">
        <w:t xml:space="preserve"> and Vlasta </w:t>
      </w:r>
      <w:proofErr w:type="spellStart"/>
      <w:r w:rsidRPr="00CC288B">
        <w:t>Wylucki</w:t>
      </w:r>
      <w:proofErr w:type="spellEnd"/>
      <w:r w:rsidRPr="00CC288B">
        <w:t xml:space="preserve"> (Coroners Court of Queensland, Deputy State Coroner Gallagher, 27 June 2024)</w:t>
      </w:r>
      <w:r>
        <w:t xml:space="preserve">; </w:t>
      </w:r>
      <w:r w:rsidRPr="00D667F2">
        <w:t>Inspector of Detention Services, Queensland Ombudsman</w:t>
      </w:r>
      <w:r w:rsidRPr="00D667F2">
        <w:rPr>
          <w:i/>
          <w:iCs/>
        </w:rPr>
        <w:t>, Cairns and Murgon Watch-houses Inspection Report: Focus on Detention of Children</w:t>
      </w:r>
      <w:r w:rsidRPr="00D667F2">
        <w:t xml:space="preserve"> (11 September 2024)</w:t>
      </w:r>
      <w:r>
        <w:t xml:space="preserve">. </w:t>
      </w:r>
    </w:p>
  </w:footnote>
  <w:footnote w:id="6">
    <w:p w14:paraId="7A0C68C8" w14:textId="77777777" w:rsidR="005C2796" w:rsidRPr="00DE2E16" w:rsidRDefault="005C2796" w:rsidP="005C2796">
      <w:pPr>
        <w:pStyle w:val="FootnoteText"/>
        <w:rPr>
          <w:lang w:val="en-GB"/>
        </w:rPr>
      </w:pPr>
      <w:r>
        <w:rPr>
          <w:rStyle w:val="FootnoteReference"/>
        </w:rPr>
        <w:footnoteRef/>
      </w:r>
      <w:r>
        <w:t xml:space="preserve"> </w:t>
      </w:r>
      <w:r>
        <w:rPr>
          <w:lang w:val="en-GB"/>
        </w:rPr>
        <w:t xml:space="preserve">Statement of Compatibility, Making Queensland Safer Bill 2024 (Qld) 4. </w:t>
      </w:r>
    </w:p>
  </w:footnote>
  <w:footnote w:id="7">
    <w:p w14:paraId="491CC1E8" w14:textId="77777777" w:rsidR="005C2796" w:rsidRPr="00222037" w:rsidRDefault="005C2796" w:rsidP="005C2796">
      <w:pPr>
        <w:pStyle w:val="FootnoteText"/>
        <w:rPr>
          <w:lang w:val="en-GB"/>
        </w:rPr>
      </w:pPr>
      <w:r>
        <w:rPr>
          <w:rStyle w:val="FootnoteReference"/>
        </w:rPr>
        <w:footnoteRef/>
      </w:r>
      <w:r>
        <w:t xml:space="preserve"> </w:t>
      </w:r>
      <w:r>
        <w:rPr>
          <w:lang w:val="en-GB"/>
        </w:rPr>
        <w:t xml:space="preserve">For more information, see Queensland Human Rights Commission, Submission No 176 to Justice, Integrity and Community Safety Committee, Queensland Parliament, </w:t>
      </w:r>
      <w:r w:rsidRPr="00222037">
        <w:rPr>
          <w:i/>
          <w:iCs/>
          <w:lang w:val="en-GB"/>
        </w:rPr>
        <w:t>Making Queensland Safer Bill 2024</w:t>
      </w:r>
      <w:r>
        <w:rPr>
          <w:lang w:val="en-GB"/>
        </w:rPr>
        <w:t xml:space="preserve"> (4 December 2024). </w:t>
      </w:r>
    </w:p>
  </w:footnote>
  <w:footnote w:id="8">
    <w:p w14:paraId="6F47C7DB" w14:textId="77777777" w:rsidR="005C2796" w:rsidRPr="000932B5" w:rsidRDefault="005C2796" w:rsidP="005C2796">
      <w:pPr>
        <w:pStyle w:val="FootnoteText"/>
        <w:rPr>
          <w:lang w:val="en-GB"/>
        </w:rPr>
      </w:pPr>
      <w:r>
        <w:rPr>
          <w:rStyle w:val="FootnoteReference"/>
        </w:rPr>
        <w:footnoteRef/>
      </w:r>
      <w:r>
        <w:t xml:space="preserve"> </w:t>
      </w:r>
      <w:r w:rsidRPr="00FA7053">
        <w:rPr>
          <w:i/>
          <w:iCs/>
        </w:rPr>
        <w:t>Youth Empowered Towards Independence Inc v Commissioner of Queensland Police Service &amp; Anor</w:t>
      </w:r>
      <w:r w:rsidRPr="00FA7053">
        <w:t xml:space="preserve"> [2023] QSC 174</w:t>
      </w:r>
      <w:r>
        <w:t xml:space="preserve">; </w:t>
      </w:r>
      <w:r w:rsidRPr="00286C20">
        <w:rPr>
          <w:i/>
          <w:iCs/>
        </w:rPr>
        <w:t xml:space="preserve">BA, DC, FE v State of Queensland </w:t>
      </w:r>
      <w:r w:rsidRPr="00286C20">
        <w:t>[2022] QCAT 332</w:t>
      </w:r>
      <w:r>
        <w:t>.</w:t>
      </w:r>
    </w:p>
  </w:footnote>
  <w:footnote w:id="9">
    <w:p w14:paraId="2FCB0FF3" w14:textId="77777777" w:rsidR="005C2796" w:rsidRPr="00D276BF" w:rsidRDefault="005C2796" w:rsidP="005C2796">
      <w:pPr>
        <w:pStyle w:val="FootnoteText"/>
        <w:rPr>
          <w:lang w:val="en-GB"/>
        </w:rPr>
      </w:pPr>
      <w:r>
        <w:rPr>
          <w:rStyle w:val="FootnoteReference"/>
        </w:rPr>
        <w:footnoteRef/>
      </w:r>
      <w:r>
        <w:t xml:space="preserve"> </w:t>
      </w:r>
      <w:r>
        <w:rPr>
          <w:rFonts w:cs="Arial"/>
        </w:rPr>
        <w:t xml:space="preserve">Where possible, the Commission publishes its submissions on its website. See Queensland Human Rights Commission, </w:t>
      </w:r>
      <w:r w:rsidRPr="001B7119">
        <w:rPr>
          <w:rFonts w:cs="Arial"/>
          <w:i/>
          <w:iCs/>
        </w:rPr>
        <w:t>Submissions</w:t>
      </w:r>
      <w:r>
        <w:rPr>
          <w:rFonts w:cs="Arial"/>
        </w:rPr>
        <w:t xml:space="preserve"> (Web Page, 7 December 2024) &lt;</w:t>
      </w:r>
      <w:r w:rsidRPr="001B7119">
        <w:rPr>
          <w:rFonts w:cs="Arial"/>
        </w:rPr>
        <w:t>https://www.qhrc.qld.gov.au/resources/submissions</w:t>
      </w:r>
      <w:r>
        <w:rPr>
          <w:rFonts w:cs="Arial"/>
        </w:rPr>
        <w:t>&gt;.</w:t>
      </w:r>
    </w:p>
  </w:footnote>
  <w:footnote w:id="10">
    <w:p w14:paraId="1C2FACA1" w14:textId="77777777" w:rsidR="005C2796" w:rsidRPr="00557FB8" w:rsidRDefault="005C2796" w:rsidP="005C2796">
      <w:pPr>
        <w:pStyle w:val="FootnoteText"/>
        <w:rPr>
          <w:lang w:val="en-GB"/>
        </w:rPr>
      </w:pPr>
      <w:r>
        <w:rPr>
          <w:rStyle w:val="FootnoteReference"/>
        </w:rPr>
        <w:footnoteRef/>
      </w:r>
      <w:r>
        <w:t xml:space="preserve"> </w:t>
      </w:r>
      <w:r w:rsidRPr="001B64B9">
        <w:rPr>
          <w:i/>
          <w:iCs/>
          <w:lang w:val="en-GB"/>
        </w:rPr>
        <w:t>Human Rights Act 2019</w:t>
      </w:r>
      <w:r>
        <w:rPr>
          <w:lang w:val="en-GB"/>
        </w:rPr>
        <w:t xml:space="preserve"> (Qld) ss 8, 9, 13, 58.</w:t>
      </w:r>
    </w:p>
  </w:footnote>
  <w:footnote w:id="11">
    <w:p w14:paraId="6BFE5DAC" w14:textId="77777777" w:rsidR="005C2796" w:rsidRPr="0067587A" w:rsidRDefault="005C2796" w:rsidP="005C2796">
      <w:pPr>
        <w:pStyle w:val="FootnoteText"/>
        <w:rPr>
          <w:lang w:val="en-GB"/>
        </w:rPr>
      </w:pPr>
      <w:r>
        <w:rPr>
          <w:rStyle w:val="FootnoteReference"/>
        </w:rPr>
        <w:footnoteRef/>
      </w:r>
      <w:r>
        <w:t xml:space="preserve"> </w:t>
      </w:r>
      <w:r w:rsidRPr="00650C80">
        <w:rPr>
          <w:i/>
          <w:iCs/>
        </w:rPr>
        <w:t xml:space="preserve">United Nations Committee on the Rights of the Child, General Comment No 24: Children’s Rights in the Child Justice System, </w:t>
      </w:r>
      <w:r w:rsidRPr="0062251D">
        <w:t>UN Doc CRC/C/GC/24</w:t>
      </w:r>
      <w:r w:rsidRPr="00650C80">
        <w:rPr>
          <w:i/>
          <w:iCs/>
        </w:rPr>
        <w:t xml:space="preserve"> </w:t>
      </w:r>
      <w:r w:rsidRPr="00443A05">
        <w:t>(18 September 2019)</w:t>
      </w:r>
      <w:r>
        <w:t xml:space="preserve"> (‘</w:t>
      </w:r>
      <w:r w:rsidRPr="009E670D">
        <w:rPr>
          <w:i/>
          <w:iCs/>
        </w:rPr>
        <w:t>CRC General Comment No 24</w:t>
      </w:r>
      <w:r>
        <w:t xml:space="preserve">’) </w:t>
      </w:r>
      <w:r>
        <w:rPr>
          <w:lang w:val="en-GB"/>
        </w:rPr>
        <w:t>[2].</w:t>
      </w:r>
    </w:p>
  </w:footnote>
  <w:footnote w:id="12">
    <w:p w14:paraId="185C90BD" w14:textId="77777777" w:rsidR="005C2796" w:rsidRPr="001B64B9" w:rsidRDefault="005C2796" w:rsidP="005C2796">
      <w:pPr>
        <w:pStyle w:val="FootnoteText"/>
        <w:rPr>
          <w:lang w:val="en-GB"/>
        </w:rPr>
      </w:pPr>
      <w:r>
        <w:rPr>
          <w:rStyle w:val="FootnoteReference"/>
        </w:rPr>
        <w:footnoteRef/>
      </w:r>
      <w:r>
        <w:t xml:space="preserve"> </w:t>
      </w:r>
      <w:r w:rsidRPr="001B64B9">
        <w:rPr>
          <w:i/>
          <w:iCs/>
          <w:lang w:val="en-GB"/>
        </w:rPr>
        <w:t>Human Rights Act 2019</w:t>
      </w:r>
      <w:r>
        <w:rPr>
          <w:lang w:val="en-GB"/>
        </w:rPr>
        <w:t xml:space="preserve"> (Qld) s 48(3).</w:t>
      </w:r>
    </w:p>
  </w:footnote>
  <w:footnote w:id="13">
    <w:p w14:paraId="322962E0" w14:textId="77777777" w:rsidR="005C2796" w:rsidRPr="00921116" w:rsidRDefault="005C2796" w:rsidP="005C2796">
      <w:pPr>
        <w:pStyle w:val="FootnoteText"/>
        <w:rPr>
          <w:lang w:val="en-GB"/>
        </w:rPr>
      </w:pPr>
      <w:r>
        <w:rPr>
          <w:rStyle w:val="FootnoteReference"/>
        </w:rPr>
        <w:footnoteRef/>
      </w:r>
      <w:r>
        <w:t xml:space="preserve"> </w:t>
      </w:r>
      <w:r w:rsidRPr="001B64B9">
        <w:rPr>
          <w:i/>
          <w:iCs/>
          <w:lang w:val="en-GB"/>
        </w:rPr>
        <w:t>Human Rights Act 2019</w:t>
      </w:r>
      <w:r>
        <w:rPr>
          <w:lang w:val="en-GB"/>
        </w:rPr>
        <w:t xml:space="preserve"> (Qld) ss 26(2), 29, 17(b), 30, 32. </w:t>
      </w:r>
    </w:p>
  </w:footnote>
  <w:footnote w:id="14">
    <w:p w14:paraId="78C2F866" w14:textId="77777777" w:rsidR="005C2796" w:rsidRDefault="005C2796" w:rsidP="005C2796">
      <w:pPr>
        <w:pStyle w:val="FootnoteText"/>
        <w:rPr>
          <w:rFonts w:cs="Arial"/>
          <w:szCs w:val="22"/>
          <w:lang w:val="en-GB"/>
        </w:rPr>
      </w:pPr>
      <w:r>
        <w:rPr>
          <w:rStyle w:val="FootnoteReference"/>
        </w:rPr>
        <w:footnoteRef/>
      </w:r>
      <w:r>
        <w:t xml:space="preserve"> Human Rights Committee, </w:t>
      </w:r>
      <w:r>
        <w:rPr>
          <w:i/>
          <w:iCs/>
        </w:rPr>
        <w:t>CCPR General Comment No 20: Article 7 (Prohibition of Torture, or Other Cruel, Inhuman or Degrading Treatment of Punishment)</w:t>
      </w:r>
      <w:r>
        <w:t xml:space="preserve">, 44th </w:t>
      </w:r>
      <w:proofErr w:type="spellStart"/>
      <w:r>
        <w:t>sess</w:t>
      </w:r>
      <w:proofErr w:type="spellEnd"/>
      <w:r>
        <w:t xml:space="preserve">, (10 March 1992) </w:t>
      </w:r>
      <w:r>
        <w:rPr>
          <w:lang w:val="en-GB"/>
        </w:rPr>
        <w:t>[3]. See also Attorney-General’s Department (</w:t>
      </w:r>
      <w:proofErr w:type="spellStart"/>
      <w:r>
        <w:rPr>
          <w:lang w:val="en-GB"/>
        </w:rPr>
        <w:t>Cth</w:t>
      </w:r>
      <w:proofErr w:type="spellEnd"/>
      <w:r>
        <w:rPr>
          <w:lang w:val="en-GB"/>
        </w:rPr>
        <w:t xml:space="preserve">), </w:t>
      </w:r>
      <w:r>
        <w:rPr>
          <w:i/>
          <w:iCs/>
          <w:lang w:val="en-GB"/>
        </w:rPr>
        <w:t>Absolute rights: Public sector guidance sheet</w:t>
      </w:r>
      <w:r>
        <w:rPr>
          <w:lang w:val="en-GB"/>
        </w:rPr>
        <w:t xml:space="preserve"> (web page) &lt;https://www.ag.gov.au/rights-and-protections/human-rights-and-anti-discrimination/human-rights-scrutiny/public-sector-guidance-sheets/absolute-rights&gt;.</w:t>
      </w:r>
    </w:p>
  </w:footnote>
  <w:footnote w:id="15">
    <w:p w14:paraId="6AC056C4" w14:textId="77777777" w:rsidR="005C2796" w:rsidRPr="00921116" w:rsidRDefault="005C2796" w:rsidP="005C2796">
      <w:pPr>
        <w:pStyle w:val="FootnoteText"/>
        <w:rPr>
          <w:lang w:val="en-GB"/>
        </w:rPr>
      </w:pPr>
      <w:r>
        <w:rPr>
          <w:rStyle w:val="FootnoteReference"/>
        </w:rPr>
        <w:footnoteRef/>
      </w:r>
      <w:r>
        <w:t xml:space="preserve"> </w:t>
      </w:r>
      <w:r w:rsidRPr="00BB383B">
        <w:rPr>
          <w:i/>
          <w:iCs/>
          <w:lang w:val="en-GB"/>
        </w:rPr>
        <w:t>Convention on the Rights of the Child</w:t>
      </w:r>
      <w:r>
        <w:rPr>
          <w:lang w:val="en-GB"/>
        </w:rPr>
        <w:t xml:space="preserve">, opened for signature </w:t>
      </w:r>
      <w:r w:rsidRPr="00BB383B">
        <w:t>20 November 1989</w:t>
      </w:r>
      <w:r>
        <w:rPr>
          <w:lang w:val="en-GB"/>
        </w:rPr>
        <w:t>,</w:t>
      </w:r>
      <w:r w:rsidRPr="00BB383B">
        <w:rPr>
          <w:rFonts w:eastAsia="Times New Roman"/>
          <w:sz w:val="24"/>
        </w:rPr>
        <w:t xml:space="preserve"> </w:t>
      </w:r>
      <w:r>
        <w:t>UNTS 1577,</w:t>
      </w:r>
      <w:r>
        <w:rPr>
          <w:lang w:val="en-GB"/>
        </w:rPr>
        <w:t xml:space="preserve"> (entered into force 2 September 1990) (‘</w:t>
      </w:r>
      <w:r w:rsidRPr="00C52A5C">
        <w:rPr>
          <w:i/>
          <w:iCs/>
          <w:lang w:val="en-GB"/>
        </w:rPr>
        <w:t>Convention on the Rights of the Child</w:t>
      </w:r>
      <w:r>
        <w:rPr>
          <w:lang w:val="en-GB"/>
        </w:rPr>
        <w:t>’) arts 3, 37(b) and (c).</w:t>
      </w:r>
    </w:p>
  </w:footnote>
  <w:footnote w:id="16">
    <w:p w14:paraId="6FCD84D4" w14:textId="77777777" w:rsidR="005C2796" w:rsidRPr="00B86B73" w:rsidRDefault="005C2796" w:rsidP="005C2796">
      <w:pPr>
        <w:pStyle w:val="FootnoteText"/>
        <w:rPr>
          <w:lang w:val="en-GB"/>
        </w:rPr>
      </w:pPr>
      <w:r>
        <w:rPr>
          <w:rStyle w:val="FootnoteReference"/>
        </w:rPr>
        <w:footnoteRef/>
      </w:r>
      <w:r>
        <w:t xml:space="preserve"> </w:t>
      </w:r>
      <w:r w:rsidRPr="009C1308">
        <w:t xml:space="preserve">Juan E. Méndez, </w:t>
      </w:r>
      <w:r w:rsidRPr="009C1308">
        <w:rPr>
          <w:i/>
          <w:iCs/>
        </w:rPr>
        <w:t>Report of the Special Rapporteur on torture and other cruel, inhuman or degrading treatment or punishment</w:t>
      </w:r>
      <w:r w:rsidRPr="009C1308">
        <w:t>, UN Doc A/HRC/28/68 (5 March 2015) [33], [59]–[60].</w:t>
      </w:r>
    </w:p>
  </w:footnote>
  <w:footnote w:id="17">
    <w:p w14:paraId="3A6D9ADF" w14:textId="77777777" w:rsidR="005C2796" w:rsidRDefault="005C2796" w:rsidP="005C2796">
      <w:pPr>
        <w:pStyle w:val="FootnoteText"/>
        <w:rPr>
          <w:lang w:val="en-GB"/>
        </w:rPr>
      </w:pPr>
      <w:r>
        <w:rPr>
          <w:rStyle w:val="FootnoteReference"/>
        </w:rPr>
        <w:footnoteRef/>
      </w:r>
      <w:r>
        <w:t xml:space="preserve"> </w:t>
      </w:r>
      <w:r>
        <w:rPr>
          <w:i/>
          <w:iCs/>
        </w:rPr>
        <w:t>CRC General Comment No 24</w:t>
      </w:r>
      <w:r>
        <w:t xml:space="preserve"> [92]; </w:t>
      </w:r>
      <w:r>
        <w:rPr>
          <w:i/>
          <w:iCs/>
        </w:rPr>
        <w:t>Human Rights Act 2019</w:t>
      </w:r>
      <w:r>
        <w:t xml:space="preserve"> (Qld) s 33(1). </w:t>
      </w:r>
    </w:p>
  </w:footnote>
  <w:footnote w:id="18">
    <w:p w14:paraId="19DB3F8C" w14:textId="77777777" w:rsidR="005C2796" w:rsidRDefault="005C2796" w:rsidP="005C2796">
      <w:pPr>
        <w:pStyle w:val="FootnoteText"/>
        <w:rPr>
          <w:lang w:val="en-GB"/>
        </w:rPr>
      </w:pPr>
      <w:r>
        <w:rPr>
          <w:rStyle w:val="FootnoteReference"/>
        </w:rPr>
        <w:footnoteRef/>
      </w:r>
      <w:r>
        <w:t xml:space="preserve"> </w:t>
      </w:r>
      <w:r w:rsidRPr="00C52A5C">
        <w:rPr>
          <w:i/>
          <w:iCs/>
          <w:lang w:val="en-GB"/>
        </w:rPr>
        <w:t>Convention on the Rights of the Child</w:t>
      </w:r>
      <w:r>
        <w:t xml:space="preserve"> art 37(c), </w:t>
      </w:r>
      <w:r>
        <w:rPr>
          <w:i/>
          <w:iCs/>
        </w:rPr>
        <w:t>CRC General Comment No 24</w:t>
      </w:r>
      <w:r>
        <w:t xml:space="preserve"> [92]</w:t>
      </w:r>
      <w:r>
        <w:rPr>
          <w:lang w:val="en-GB"/>
        </w:rPr>
        <w:t xml:space="preserve">, </w:t>
      </w:r>
      <w:r w:rsidRPr="00616BE5">
        <w:rPr>
          <w:i/>
          <w:szCs w:val="20"/>
        </w:rPr>
        <w:t>United Nations Rules for the Protection of Juveniles Deprived of their Liberty</w:t>
      </w:r>
      <w:r>
        <w:rPr>
          <w:iCs/>
          <w:szCs w:val="20"/>
        </w:rPr>
        <w:t>,</w:t>
      </w:r>
      <w:r w:rsidRPr="00616BE5">
        <w:rPr>
          <w:i/>
          <w:szCs w:val="20"/>
        </w:rPr>
        <w:t xml:space="preserve"> </w:t>
      </w:r>
      <w:r w:rsidRPr="00616BE5">
        <w:rPr>
          <w:szCs w:val="20"/>
        </w:rPr>
        <w:t xml:space="preserve">UN Doc A/RES/45/113 (14 December 1990) </w:t>
      </w:r>
      <w:r>
        <w:rPr>
          <w:iCs/>
        </w:rPr>
        <w:t>(‘</w:t>
      </w:r>
      <w:r w:rsidRPr="006426EA">
        <w:rPr>
          <w:i/>
        </w:rPr>
        <w:t>Havana Rules</w:t>
      </w:r>
      <w:r>
        <w:rPr>
          <w:iCs/>
        </w:rPr>
        <w:t>’) r</w:t>
      </w:r>
      <w:r>
        <w:rPr>
          <w:lang w:val="en-GB"/>
        </w:rPr>
        <w:t>r 31, 85. See also</w:t>
      </w:r>
      <w:r>
        <w:rPr>
          <w:lang w:val="en-US"/>
        </w:rPr>
        <w:t xml:space="preserve"> European Committee for the Prevention of Torture and Inhuman or Degrading Treatment or Punishment (CPT), </w:t>
      </w:r>
      <w:r>
        <w:rPr>
          <w:i/>
          <w:iCs/>
          <w:lang w:val="en-US"/>
        </w:rPr>
        <w:t>Juveniles deprived of their liberty under criminal legislation</w:t>
      </w:r>
      <w:r>
        <w:rPr>
          <w:lang w:val="en-US"/>
        </w:rPr>
        <w:t>, extract from the 24</w:t>
      </w:r>
      <w:r>
        <w:rPr>
          <w:vertAlign w:val="superscript"/>
          <w:lang w:val="en-US"/>
        </w:rPr>
        <w:t>th</w:t>
      </w:r>
      <w:r>
        <w:rPr>
          <w:lang w:val="en-US"/>
        </w:rPr>
        <w:t xml:space="preserve"> General Report of the CPT (published in 2015) (‘</w:t>
      </w:r>
      <w:r w:rsidRPr="00684260">
        <w:rPr>
          <w:i/>
          <w:iCs/>
          <w:lang w:val="en-US"/>
        </w:rPr>
        <w:t>European CPT standards</w:t>
      </w:r>
      <w:r>
        <w:rPr>
          <w:i/>
          <w:iCs/>
          <w:lang w:val="en-US"/>
        </w:rPr>
        <w:t>’</w:t>
      </w:r>
      <w:r>
        <w:rPr>
          <w:lang w:val="en-US"/>
        </w:rPr>
        <w:t xml:space="preserve">) </w:t>
      </w:r>
      <w:r>
        <w:t>[101].</w:t>
      </w:r>
    </w:p>
  </w:footnote>
  <w:footnote w:id="19">
    <w:p w14:paraId="0B218BDE" w14:textId="77777777" w:rsidR="005C2796" w:rsidRDefault="005C2796" w:rsidP="005C2796">
      <w:pPr>
        <w:pStyle w:val="FootnoteText"/>
        <w:rPr>
          <w:lang w:val="en-US"/>
        </w:rPr>
      </w:pPr>
      <w:r>
        <w:rPr>
          <w:rStyle w:val="FootnoteReference"/>
        </w:rPr>
        <w:footnoteRef/>
      </w:r>
      <w:r>
        <w:t xml:space="preserve"> </w:t>
      </w:r>
      <w:r w:rsidRPr="0060315B">
        <w:rPr>
          <w:i/>
        </w:rPr>
        <w:t>United Nations Standard Minimum Rules for the Treatment of Prisoners</w:t>
      </w:r>
      <w:r>
        <w:rPr>
          <w:iCs/>
        </w:rPr>
        <w:t>,</w:t>
      </w:r>
      <w:r w:rsidRPr="00947465">
        <w:rPr>
          <w:i/>
        </w:rPr>
        <w:t xml:space="preserve"> </w:t>
      </w:r>
      <w:r w:rsidRPr="003D0351">
        <w:t xml:space="preserve">UN Doc </w:t>
      </w:r>
      <w:r>
        <w:t>A/RES/70/175 (17 December 2015) (‘</w:t>
      </w:r>
      <w:r w:rsidRPr="006426EA">
        <w:rPr>
          <w:i/>
          <w:iCs/>
        </w:rPr>
        <w:t>Mandela Rules</w:t>
      </w:r>
      <w:r>
        <w:rPr>
          <w:i/>
          <w:iCs/>
        </w:rPr>
        <w:t>’</w:t>
      </w:r>
      <w:r>
        <w:t xml:space="preserve">) </w:t>
      </w:r>
      <w:proofErr w:type="spellStart"/>
      <w:r>
        <w:t>rr</w:t>
      </w:r>
      <w:proofErr w:type="spellEnd"/>
      <w:r>
        <w:t xml:space="preserve"> 14(a), 23(1), 42;</w:t>
      </w:r>
      <w:r>
        <w:rPr>
          <w:i/>
          <w:iCs/>
        </w:rPr>
        <w:t xml:space="preserve"> Havana Rules</w:t>
      </w:r>
      <w:r>
        <w:t xml:space="preserve"> r 47.</w:t>
      </w:r>
    </w:p>
  </w:footnote>
  <w:footnote w:id="20">
    <w:p w14:paraId="20FF8B5B" w14:textId="77777777" w:rsidR="005C2796" w:rsidRDefault="005C2796" w:rsidP="005C2796">
      <w:pPr>
        <w:pStyle w:val="FootnoteText"/>
      </w:pPr>
      <w:r>
        <w:rPr>
          <w:rStyle w:val="FootnoteReference"/>
          <w:rFonts w:cs="Cordia New"/>
        </w:rPr>
        <w:footnoteRef/>
      </w:r>
      <w:r>
        <w:rPr>
          <w:lang w:val="en-GB"/>
        </w:rPr>
        <w:fldChar w:fldCharType="begin"/>
      </w:r>
      <w:r>
        <w:rPr>
          <w:lang w:val="en-GB"/>
        </w:rPr>
        <w:instrText xml:space="preserve"> ADDIN ZOTERO_ITEM CSL_CITATION {"citationID":"jvmpOyrH","properties":{"formattedCitation":"{\\i{}Havana Rules} (n 1) r 32; {\\i{}CRC General Comment No 24} (n 1) [95].","plainCitation":"Havana Rules (n 1) r 32; CRC General Comment No 24 (n 1) [95].","noteIndex":21},"citationItems":[{"id":6,"uris":["http://zotero.org/users/12619434/items/EKY93CSI"],"itemData":{"id":6,"type":"legislation","container-title":"adopted 14 December 1990","language":"en","number":"GA Res","title":"&lt;i&gt;UN General Assembly,&lt;/i&gt; United Nations Rules for the Protection of Juveniles Deprived of their Liberty&lt;i&gt;, GA Res 45/113&lt;/i&gt;","title-short":"Havana Rules","author":[{"literal":"United Nations"}],"accessed":{"date-parts":[["2023",10,5]]}},"locator":"r 32","label":"page"},{"id":10,"uris":["http://zotero.org/users/12619434/items/6HRM6M5D"],"itemData":{"id":10,"type":"legislation","container-title":"2019","title":"&lt;i&gt;Committee on the Rights of the Child, &lt;/i&gt;General Comment  No 24 on children's rights in the child justice system","title-short":"CRC General Comment No 24","issued":{"literal":"&lt;i&gt;, UN Doc CRC/C/GC/24&lt;/i&gt;"}},"locator":"[95]","label":"page"}],"schema":"https://github.com/citation-style-language/schema/raw/master/csl-citation.json"} </w:instrText>
      </w:r>
      <w:r>
        <w:rPr>
          <w:lang w:val="en-GB"/>
        </w:rPr>
        <w:fldChar w:fldCharType="separate"/>
      </w:r>
      <w:r>
        <w:rPr>
          <w:lang w:val="en-GB"/>
        </w:rPr>
        <w:t xml:space="preserve"> </w:t>
      </w:r>
      <w:r>
        <w:rPr>
          <w:i/>
          <w:iCs/>
        </w:rPr>
        <w:t>CRC General Comment No 24</w:t>
      </w:r>
      <w:r>
        <w:t xml:space="preserve"> [95(b)]</w:t>
      </w:r>
      <w:r>
        <w:rPr>
          <w:lang w:val="en-GB"/>
        </w:rPr>
        <w:fldChar w:fldCharType="end"/>
      </w:r>
      <w:r>
        <w:rPr>
          <w:lang w:val="en-GB"/>
        </w:rPr>
        <w:t xml:space="preserve">; </w:t>
      </w:r>
      <w:r>
        <w:rPr>
          <w:i/>
          <w:iCs/>
          <w:lang w:val="en-GB"/>
        </w:rPr>
        <w:t>Havana Rules</w:t>
      </w:r>
      <w:r>
        <w:rPr>
          <w:lang w:val="en-GB"/>
        </w:rPr>
        <w:t xml:space="preserve"> r 32.</w:t>
      </w:r>
    </w:p>
  </w:footnote>
  <w:footnote w:id="21">
    <w:p w14:paraId="0691F562" w14:textId="77777777" w:rsidR="005C2796" w:rsidRDefault="005C2796" w:rsidP="005C2796">
      <w:pPr>
        <w:pStyle w:val="FootnoteText"/>
        <w:rPr>
          <w:lang w:val="en-GB"/>
        </w:rPr>
      </w:pPr>
      <w:r>
        <w:rPr>
          <w:rStyle w:val="FootnoteReference"/>
        </w:rPr>
        <w:footnoteRef/>
      </w:r>
      <w:r>
        <w:t xml:space="preserve"> </w:t>
      </w:r>
      <w:r>
        <w:rPr>
          <w:i/>
          <w:iCs/>
        </w:rPr>
        <w:t>CRC General Comment No 24</w:t>
      </w:r>
      <w:r>
        <w:t xml:space="preserve"> [95(d)]; </w:t>
      </w:r>
      <w:r>
        <w:rPr>
          <w:i/>
          <w:iCs/>
        </w:rPr>
        <w:t>Havana Rules</w:t>
      </w:r>
      <w:r>
        <w:t xml:space="preserve"> </w:t>
      </w:r>
      <w:proofErr w:type="spellStart"/>
      <w:r>
        <w:t>rr</w:t>
      </w:r>
      <w:proofErr w:type="spellEnd"/>
      <w:r>
        <w:t xml:space="preserve"> 49</w:t>
      </w:r>
      <w:r>
        <w:rPr>
          <w:lang w:val="en-US"/>
        </w:rPr>
        <w:t>–</w:t>
      </w:r>
      <w:r>
        <w:t>51.</w:t>
      </w:r>
    </w:p>
  </w:footnote>
  <w:footnote w:id="22">
    <w:p w14:paraId="287F637B" w14:textId="77777777" w:rsidR="005C2796" w:rsidRDefault="005C2796" w:rsidP="005C2796">
      <w:pPr>
        <w:pStyle w:val="FootnoteText"/>
        <w:rPr>
          <w:lang w:val="en-GB"/>
        </w:rPr>
      </w:pPr>
      <w:r>
        <w:rPr>
          <w:rStyle w:val="FootnoteReference"/>
        </w:rPr>
        <w:footnoteRef/>
      </w:r>
      <w:r>
        <w:t xml:space="preserve"> </w:t>
      </w:r>
      <w:r w:rsidRPr="00D22F40">
        <w:rPr>
          <w:i/>
          <w:iCs/>
        </w:rPr>
        <w:t>Convention on the Rights of the Child</w:t>
      </w:r>
      <w:r>
        <w:t xml:space="preserve"> art 37(c); </w:t>
      </w:r>
      <w:r>
        <w:rPr>
          <w:i/>
          <w:iCs/>
        </w:rPr>
        <w:t>CRC General Comment No 24</w:t>
      </w:r>
      <w:r>
        <w:t xml:space="preserve"> [94], [95(e)]. </w:t>
      </w:r>
    </w:p>
  </w:footnote>
  <w:footnote w:id="23">
    <w:p w14:paraId="3A1825F9" w14:textId="77777777" w:rsidR="005C2796" w:rsidRDefault="005C2796" w:rsidP="005C2796">
      <w:pPr>
        <w:pStyle w:val="FootnoteText"/>
        <w:rPr>
          <w:lang w:val="en-GB"/>
        </w:rPr>
      </w:pPr>
      <w:r>
        <w:rPr>
          <w:rStyle w:val="FootnoteReference"/>
        </w:rPr>
        <w:footnoteRef/>
      </w:r>
      <w:r>
        <w:t xml:space="preserve"> </w:t>
      </w:r>
      <w:r>
        <w:rPr>
          <w:i/>
          <w:iCs/>
        </w:rPr>
        <w:t>Havana Rules</w:t>
      </w:r>
      <w:r>
        <w:t xml:space="preserve"> r 33, </w:t>
      </w:r>
      <w:r>
        <w:rPr>
          <w:i/>
          <w:iCs/>
        </w:rPr>
        <w:t>Mandela Rules</w:t>
      </w:r>
      <w:r>
        <w:t xml:space="preserve"> </w:t>
      </w:r>
      <w:proofErr w:type="spellStart"/>
      <w:r>
        <w:t>rr</w:t>
      </w:r>
      <w:proofErr w:type="spellEnd"/>
      <w:r>
        <w:t xml:space="preserve"> 12, 113.</w:t>
      </w:r>
    </w:p>
  </w:footnote>
  <w:footnote w:id="24">
    <w:p w14:paraId="4B759574" w14:textId="77777777" w:rsidR="005C2796" w:rsidRDefault="005C2796" w:rsidP="005C2796">
      <w:pPr>
        <w:pStyle w:val="FootnoteText"/>
        <w:rPr>
          <w:lang w:val="en-GB"/>
        </w:rPr>
      </w:pPr>
      <w:r>
        <w:rPr>
          <w:rStyle w:val="FootnoteReference"/>
        </w:rPr>
        <w:footnoteRef/>
      </w:r>
      <w:r>
        <w:t xml:space="preserve"> Australian Juvenile Justice Administrators’ Forum, </w:t>
      </w:r>
      <w:r>
        <w:rPr>
          <w:i/>
          <w:iCs/>
        </w:rPr>
        <w:t>Design Guidelines for Juvenile Justice Facilities in Australia and New Zealand</w:t>
      </w:r>
      <w:r>
        <w:t xml:space="preserve"> (Department of Human Services Victoria, May 1996) 59 [6.105].</w:t>
      </w:r>
    </w:p>
  </w:footnote>
  <w:footnote w:id="25">
    <w:p w14:paraId="78F34E5E" w14:textId="77777777" w:rsidR="005C2796" w:rsidRDefault="005C2796" w:rsidP="005C2796">
      <w:pPr>
        <w:pStyle w:val="FootnoteText"/>
        <w:rPr>
          <w:lang w:val="en-GB"/>
        </w:rPr>
      </w:pPr>
      <w:r>
        <w:rPr>
          <w:rStyle w:val="FootnoteReference"/>
        </w:rPr>
        <w:footnoteRef/>
      </w:r>
      <w:r>
        <w:t xml:space="preserve"> </w:t>
      </w:r>
      <w:r w:rsidRPr="00685313">
        <w:t xml:space="preserve">Queensland Family and Child Commission, </w:t>
      </w:r>
      <w:r w:rsidRPr="00685313">
        <w:rPr>
          <w:i/>
          <w:iCs/>
        </w:rPr>
        <w:t>Who’s Responsible: Understanding Why Young People Are Being Held Longer in Queensland Watch houses</w:t>
      </w:r>
      <w:r w:rsidRPr="00685313">
        <w:t xml:space="preserve"> (30 November 2023)</w:t>
      </w:r>
      <w:r>
        <w:t xml:space="preserve"> </w:t>
      </w:r>
      <w:r>
        <w:rPr>
          <w:i/>
          <w:iCs/>
          <w:lang w:val="en-GB"/>
        </w:rPr>
        <w:t xml:space="preserve"> </w:t>
      </w:r>
      <w:r>
        <w:rPr>
          <w:lang w:val="en-GB"/>
        </w:rPr>
        <w:t xml:space="preserve">37-38, 43-46; Inspector of Detention Services, Queensland Ombudsman, </w:t>
      </w:r>
      <w:r>
        <w:rPr>
          <w:i/>
          <w:iCs/>
          <w:lang w:val="en-GB"/>
        </w:rPr>
        <w:t xml:space="preserve">Cairns and </w:t>
      </w:r>
      <w:proofErr w:type="spellStart"/>
      <w:r>
        <w:rPr>
          <w:i/>
          <w:iCs/>
          <w:lang w:val="en-GB"/>
        </w:rPr>
        <w:t>Murgon</w:t>
      </w:r>
      <w:proofErr w:type="spellEnd"/>
      <w:r>
        <w:rPr>
          <w:i/>
          <w:iCs/>
          <w:lang w:val="en-GB"/>
        </w:rPr>
        <w:t xml:space="preserve"> watch houses inspection report: Focus on detention on children</w:t>
      </w:r>
      <w:r>
        <w:rPr>
          <w:lang w:val="en-GB"/>
        </w:rPr>
        <w:t xml:space="preserve"> (11 September 2024) 11.</w:t>
      </w:r>
    </w:p>
  </w:footnote>
  <w:footnote w:id="26">
    <w:p w14:paraId="29125413" w14:textId="77777777" w:rsidR="005C2796" w:rsidRPr="006D08EA" w:rsidRDefault="005C2796" w:rsidP="005C2796">
      <w:pPr>
        <w:pStyle w:val="FootnoteText"/>
        <w:rPr>
          <w:lang w:val="en-GB"/>
        </w:rPr>
      </w:pPr>
      <w:r>
        <w:rPr>
          <w:rStyle w:val="FootnoteReference"/>
        </w:rPr>
        <w:footnoteRef/>
      </w:r>
      <w:r>
        <w:t xml:space="preserve"> </w:t>
      </w:r>
      <w:r w:rsidRPr="0091299C">
        <w:rPr>
          <w:i/>
          <w:iCs/>
          <w:lang w:val="en-US"/>
        </w:rPr>
        <w:t>European CPT standards</w:t>
      </w:r>
      <w:r w:rsidRPr="0091299C">
        <w:rPr>
          <w:lang w:val="en-US"/>
        </w:rPr>
        <w:t xml:space="preserve"> [99]–[100]; </w:t>
      </w:r>
      <w:r w:rsidRPr="006D08EA">
        <w:t xml:space="preserve">Juan E. Méndez’, </w:t>
      </w:r>
      <w:r w:rsidRPr="006D08EA">
        <w:rPr>
          <w:i/>
          <w:iCs/>
        </w:rPr>
        <w:t>Report of the Special Rapporteur on torture and other cruel, inhuman or degrading treatment or punishment</w:t>
      </w:r>
      <w:r w:rsidRPr="006D08EA">
        <w:t>, UN Doc A/HRC/28/68 (5 March 2015)</w:t>
      </w:r>
      <w:r w:rsidRPr="006D08EA">
        <w:rPr>
          <w:lang w:val="en-GB"/>
        </w:rPr>
        <w:t xml:space="preserve"> [85(k)].</w:t>
      </w:r>
    </w:p>
  </w:footnote>
  <w:footnote w:id="27">
    <w:p w14:paraId="3F303458" w14:textId="77777777" w:rsidR="005C2796" w:rsidRDefault="005C2796" w:rsidP="005C2796">
      <w:pPr>
        <w:pStyle w:val="FootnoteText"/>
      </w:pPr>
      <w:r w:rsidRPr="008C442A">
        <w:rPr>
          <w:rStyle w:val="FootnoteReference"/>
          <w:rFonts w:cs="Arial"/>
        </w:rPr>
        <w:footnoteRef/>
      </w:r>
      <w:r w:rsidRPr="008C442A">
        <w:t xml:space="preserve"> Queensland Police Service, </w:t>
      </w:r>
      <w:r w:rsidRPr="008C442A">
        <w:rPr>
          <w:i/>
          <w:iCs/>
        </w:rPr>
        <w:t>Operational Procedures Manual</w:t>
      </w:r>
      <w:r w:rsidRPr="008C442A">
        <w:t xml:space="preserve"> (OPM) (Issue 102, 1 October 2024). 16.17.5.  </w:t>
      </w:r>
    </w:p>
  </w:footnote>
  <w:footnote w:id="28">
    <w:p w14:paraId="3754ECD6" w14:textId="748E81BC" w:rsidR="005C2796" w:rsidRPr="00AD1061" w:rsidRDefault="005C2796" w:rsidP="005C2796">
      <w:pPr>
        <w:rPr>
          <w:szCs w:val="20"/>
          <w:lang w:val="en-GB"/>
        </w:rPr>
      </w:pPr>
      <w:r>
        <w:rPr>
          <w:rStyle w:val="FootnoteReference"/>
        </w:rPr>
        <w:footnoteRef/>
      </w:r>
      <w:r>
        <w:t xml:space="preserve"> </w:t>
      </w:r>
      <w:r w:rsidRPr="00997DBB">
        <w:rPr>
          <w:rFonts w:cs="Arial"/>
          <w:sz w:val="20"/>
          <w:szCs w:val="20"/>
          <w:lang w:val="en-GB"/>
        </w:rPr>
        <w:t xml:space="preserve">Queensland Family &amp; Child Commission, </w:t>
      </w:r>
      <w:r w:rsidRPr="00997DBB">
        <w:rPr>
          <w:rFonts w:cs="Arial"/>
          <w:i/>
          <w:sz w:val="20"/>
          <w:szCs w:val="20"/>
          <w:lang w:val="en-GB"/>
        </w:rPr>
        <w:t>Who’s responsible: Understanding why young people are being held longer in Queensland watch houses</w:t>
      </w:r>
      <w:r w:rsidRPr="00997DBB">
        <w:rPr>
          <w:rFonts w:cs="Arial"/>
          <w:sz w:val="20"/>
          <w:szCs w:val="20"/>
          <w:lang w:val="en-GB"/>
        </w:rPr>
        <w:t xml:space="preserve"> (30 November 2023)</w:t>
      </w:r>
      <w:r w:rsidR="008B250B">
        <w:rPr>
          <w:rFonts w:cs="Arial"/>
          <w:sz w:val="20"/>
          <w:szCs w:val="20"/>
          <w:lang w:val="en-GB"/>
        </w:rPr>
        <w:t xml:space="preserve"> 66</w:t>
      </w:r>
      <w:r w:rsidRPr="00997DBB">
        <w:rPr>
          <w:rFonts w:cs="Arial"/>
          <w:sz w:val="20"/>
          <w:szCs w:val="20"/>
          <w:lang w:val="en-GB"/>
        </w:rPr>
        <w:t>.</w:t>
      </w:r>
      <w:r w:rsidRPr="0004431A">
        <w:rPr>
          <w:szCs w:val="20"/>
          <w:lang w:val="en-GB"/>
        </w:rPr>
        <w:t xml:space="preserve"> </w:t>
      </w:r>
    </w:p>
  </w:footnote>
  <w:footnote w:id="29">
    <w:p w14:paraId="500E918D" w14:textId="7E526681" w:rsidR="005C2796" w:rsidRPr="00D10A1E" w:rsidRDefault="005C2796" w:rsidP="005C2796">
      <w:pPr>
        <w:rPr>
          <w:lang w:val="en-GB"/>
        </w:rPr>
      </w:pPr>
      <w:r>
        <w:rPr>
          <w:rStyle w:val="FootnoteReference"/>
        </w:rPr>
        <w:footnoteRef/>
      </w:r>
      <w:r>
        <w:t xml:space="preserve"> </w:t>
      </w:r>
      <w:r w:rsidRPr="00222037">
        <w:rPr>
          <w:rFonts w:cs="Arial"/>
          <w:sz w:val="20"/>
          <w:szCs w:val="20"/>
          <w:lang w:val="en-GB"/>
        </w:rPr>
        <w:t xml:space="preserve">Inspector of Detention Services, Queensland Ombudsman, </w:t>
      </w:r>
      <w:r w:rsidRPr="00222037">
        <w:rPr>
          <w:rFonts w:cs="Arial"/>
          <w:i/>
          <w:iCs/>
          <w:sz w:val="20"/>
          <w:szCs w:val="20"/>
          <w:lang w:val="en-GB"/>
        </w:rPr>
        <w:t xml:space="preserve">Cairns and </w:t>
      </w:r>
      <w:proofErr w:type="spellStart"/>
      <w:r w:rsidRPr="00222037">
        <w:rPr>
          <w:rFonts w:cs="Arial"/>
          <w:i/>
          <w:iCs/>
          <w:sz w:val="20"/>
          <w:szCs w:val="20"/>
          <w:lang w:val="en-GB"/>
        </w:rPr>
        <w:t>Murgon</w:t>
      </w:r>
      <w:proofErr w:type="spellEnd"/>
      <w:r w:rsidRPr="00222037">
        <w:rPr>
          <w:rFonts w:cs="Arial"/>
          <w:i/>
          <w:iCs/>
          <w:sz w:val="20"/>
          <w:szCs w:val="20"/>
          <w:lang w:val="en-GB"/>
        </w:rPr>
        <w:t xml:space="preserve"> watch-houses inspection report: Focus on detention on children</w:t>
      </w:r>
      <w:r w:rsidRPr="00222037">
        <w:rPr>
          <w:rFonts w:cs="Arial"/>
          <w:sz w:val="20"/>
          <w:szCs w:val="20"/>
          <w:lang w:val="en-GB"/>
        </w:rPr>
        <w:t xml:space="preserve"> (11 September 2024)</w:t>
      </w:r>
      <w:r w:rsidR="0030580E">
        <w:rPr>
          <w:rFonts w:cs="Arial"/>
          <w:sz w:val="20"/>
          <w:szCs w:val="20"/>
          <w:lang w:val="en-GB"/>
        </w:rPr>
        <w:t xml:space="preserve"> 7-8.</w:t>
      </w:r>
    </w:p>
  </w:footnote>
  <w:footnote w:id="30">
    <w:p w14:paraId="59F2B6D2" w14:textId="43EA351B" w:rsidR="005C2796" w:rsidRPr="005B10C2" w:rsidRDefault="005C2796" w:rsidP="005C2796">
      <w:pPr>
        <w:pStyle w:val="FootnoteText"/>
        <w:rPr>
          <w:lang w:val="en-GB"/>
        </w:rPr>
      </w:pPr>
      <w:r>
        <w:rPr>
          <w:rStyle w:val="FootnoteReference"/>
        </w:rPr>
        <w:footnoteRef/>
      </w:r>
      <w:r>
        <w:t xml:space="preserve"> </w:t>
      </w:r>
      <w:r w:rsidRPr="00A2223E">
        <w:rPr>
          <w:i/>
          <w:iCs/>
        </w:rPr>
        <w:t xml:space="preserve">Inquest into the deaths of Shiralee Deanne </w:t>
      </w:r>
      <w:proofErr w:type="spellStart"/>
      <w:r w:rsidRPr="00A2223E">
        <w:rPr>
          <w:i/>
          <w:iCs/>
        </w:rPr>
        <w:t>Tilberoo</w:t>
      </w:r>
      <w:proofErr w:type="spellEnd"/>
      <w:r w:rsidRPr="00A2223E">
        <w:rPr>
          <w:i/>
          <w:iCs/>
        </w:rPr>
        <w:t xml:space="preserve"> and Vlasta </w:t>
      </w:r>
      <w:proofErr w:type="spellStart"/>
      <w:r w:rsidRPr="00A2223E">
        <w:rPr>
          <w:i/>
          <w:iCs/>
        </w:rPr>
        <w:t>Wylucki</w:t>
      </w:r>
      <w:proofErr w:type="spellEnd"/>
      <w:r w:rsidRPr="000D5E58">
        <w:t xml:space="preserve"> (Coroners Court of Queensland, Deputy State Coroner Gallagher, 27 June 2024)</w:t>
      </w:r>
      <w:r w:rsidR="007E0350">
        <w:t xml:space="preserve"> 45</w:t>
      </w:r>
      <w:r w:rsidRPr="000D5E58">
        <w:t>.</w:t>
      </w:r>
    </w:p>
  </w:footnote>
  <w:footnote w:id="31">
    <w:p w14:paraId="4F5C8602" w14:textId="4060EC21" w:rsidR="005C2796" w:rsidRPr="00222037" w:rsidRDefault="005C2796" w:rsidP="005C2796">
      <w:pPr>
        <w:rPr>
          <w:rFonts w:cs="Arial"/>
          <w:sz w:val="20"/>
          <w:szCs w:val="20"/>
          <w:lang w:val="en-GB"/>
        </w:rPr>
      </w:pPr>
      <w:r w:rsidRPr="00222037">
        <w:rPr>
          <w:rStyle w:val="FootnoteReference"/>
          <w:rFonts w:cs="Arial"/>
        </w:rPr>
        <w:footnoteRef/>
      </w:r>
      <w:r w:rsidRPr="00222037">
        <w:rPr>
          <w:rFonts w:cs="Arial"/>
          <w:sz w:val="20"/>
          <w:szCs w:val="20"/>
        </w:rPr>
        <w:t xml:space="preserve"> </w:t>
      </w:r>
      <w:r w:rsidRPr="00222037">
        <w:rPr>
          <w:rFonts w:cs="Arial"/>
          <w:sz w:val="20"/>
          <w:szCs w:val="20"/>
          <w:lang w:val="en-GB"/>
        </w:rPr>
        <w:t xml:space="preserve">Inspector of Detention Services, Queensland Ombudsman, </w:t>
      </w:r>
      <w:r w:rsidRPr="00222037">
        <w:rPr>
          <w:rFonts w:cs="Arial"/>
          <w:i/>
          <w:iCs/>
          <w:sz w:val="20"/>
          <w:szCs w:val="20"/>
          <w:lang w:val="en-GB"/>
        </w:rPr>
        <w:t xml:space="preserve">Cairns and </w:t>
      </w:r>
      <w:proofErr w:type="spellStart"/>
      <w:r w:rsidRPr="00222037">
        <w:rPr>
          <w:rFonts w:cs="Arial"/>
          <w:i/>
          <w:iCs/>
          <w:sz w:val="20"/>
          <w:szCs w:val="20"/>
          <w:lang w:val="en-GB"/>
        </w:rPr>
        <w:t>Murgon</w:t>
      </w:r>
      <w:proofErr w:type="spellEnd"/>
      <w:r w:rsidRPr="00222037">
        <w:rPr>
          <w:rFonts w:cs="Arial"/>
          <w:i/>
          <w:iCs/>
          <w:sz w:val="20"/>
          <w:szCs w:val="20"/>
          <w:lang w:val="en-GB"/>
        </w:rPr>
        <w:t xml:space="preserve"> watch-houses inspection report: Focus on detention on children</w:t>
      </w:r>
      <w:r w:rsidRPr="00222037">
        <w:rPr>
          <w:rFonts w:cs="Arial"/>
          <w:sz w:val="20"/>
          <w:szCs w:val="20"/>
          <w:lang w:val="en-GB"/>
        </w:rPr>
        <w:t xml:space="preserve"> (11 September 2024)</w:t>
      </w:r>
      <w:r w:rsidR="00E6260F">
        <w:rPr>
          <w:rFonts w:cs="Arial"/>
          <w:sz w:val="20"/>
          <w:szCs w:val="20"/>
          <w:lang w:val="en-GB"/>
        </w:rPr>
        <w:t xml:space="preserve"> 7-9</w:t>
      </w:r>
      <w:r w:rsidRPr="00222037">
        <w:rPr>
          <w:rFonts w:cs="Arial"/>
          <w:sz w:val="20"/>
          <w:szCs w:val="20"/>
          <w:lang w:val="en-GB"/>
        </w:rPr>
        <w:t>.</w:t>
      </w:r>
    </w:p>
  </w:footnote>
  <w:footnote w:id="32">
    <w:p w14:paraId="2B8DCDE6" w14:textId="77777777" w:rsidR="005C2796" w:rsidRPr="007F527C" w:rsidRDefault="005C2796" w:rsidP="005C2796">
      <w:pPr>
        <w:pStyle w:val="FootnoteText"/>
        <w:rPr>
          <w:lang w:val="en-GB"/>
        </w:rPr>
      </w:pPr>
      <w:r>
        <w:rPr>
          <w:rStyle w:val="FootnoteReference"/>
        </w:rPr>
        <w:footnoteRef/>
      </w:r>
      <w:r>
        <w:t xml:space="preserve"> In order to fulfil Articles 3 and 12 of </w:t>
      </w:r>
      <w:r w:rsidRPr="00222037">
        <w:t xml:space="preserve">the </w:t>
      </w:r>
      <w:r w:rsidRPr="00222037">
        <w:rPr>
          <w:i/>
        </w:rPr>
        <w:t xml:space="preserve">Convention on the Rights of the Child, </w:t>
      </w:r>
      <w:r w:rsidRPr="00222037">
        <w:rPr>
          <w:iCs/>
        </w:rPr>
        <w:t>which requires the best interests of the child be the primary consideration, and for the views of the child to be given due weight in matters affecting them.</w:t>
      </w:r>
    </w:p>
  </w:footnote>
  <w:footnote w:id="33">
    <w:p w14:paraId="03277C66" w14:textId="7A2F635C" w:rsidR="004A10F5" w:rsidRPr="004A10F5" w:rsidRDefault="004A10F5">
      <w:pPr>
        <w:pStyle w:val="FootnoteText"/>
        <w:rPr>
          <w:lang w:val="en-GB"/>
        </w:rPr>
      </w:pPr>
      <w:r>
        <w:rPr>
          <w:rStyle w:val="FootnoteReference"/>
        </w:rPr>
        <w:footnoteRef/>
      </w:r>
      <w:r>
        <w:t xml:space="preserve"> </w:t>
      </w:r>
      <w:r w:rsidRPr="00997DBB">
        <w:rPr>
          <w:rFonts w:cs="Arial"/>
          <w:szCs w:val="20"/>
          <w:lang w:val="en-GB"/>
        </w:rPr>
        <w:t xml:space="preserve">Queensland Family &amp; Child Commission, </w:t>
      </w:r>
      <w:r w:rsidRPr="00997DBB">
        <w:rPr>
          <w:rFonts w:cs="Arial"/>
          <w:i/>
          <w:szCs w:val="20"/>
          <w:lang w:val="en-GB"/>
        </w:rPr>
        <w:t>Who’s responsible: Understanding why young people are being held longer in Queensland watch houses</w:t>
      </w:r>
      <w:r w:rsidRPr="00997DBB">
        <w:rPr>
          <w:rFonts w:cs="Arial"/>
          <w:szCs w:val="20"/>
          <w:lang w:val="en-GB"/>
        </w:rPr>
        <w:t xml:space="preserve"> (30 November 2023)</w:t>
      </w:r>
      <w:r>
        <w:rPr>
          <w:rFonts w:cs="Arial"/>
          <w:szCs w:val="20"/>
          <w:lang w:val="en-GB"/>
        </w:rPr>
        <w:t xml:space="preserve"> 66</w:t>
      </w:r>
      <w:r w:rsidRPr="00997DBB">
        <w:rPr>
          <w:rFonts w:cs="Arial"/>
          <w:szCs w:val="20"/>
          <w:lang w:val="en-GB"/>
        </w:rPr>
        <w:t>.</w:t>
      </w:r>
    </w:p>
  </w:footnote>
  <w:footnote w:id="34">
    <w:p w14:paraId="7A20BBDB" w14:textId="77777777" w:rsidR="005C2796" w:rsidRDefault="005C2796" w:rsidP="005C2796">
      <w:pPr>
        <w:pStyle w:val="FootnoteText"/>
        <w:rPr>
          <w:lang w:val="en-GB"/>
        </w:rPr>
      </w:pPr>
      <w:r>
        <w:rPr>
          <w:rStyle w:val="FootnoteReference"/>
        </w:rPr>
        <w:footnoteRef/>
      </w:r>
      <w:r>
        <w:t xml:space="preserve"> </w:t>
      </w:r>
      <w:r w:rsidRPr="00A2223E">
        <w:t xml:space="preserve">Inspector of Detention Services, Queensland Ombudsman, </w:t>
      </w:r>
      <w:r w:rsidRPr="00A2223E">
        <w:rPr>
          <w:i/>
          <w:iCs/>
        </w:rPr>
        <w:t>Cairns and Murgon watch-houses inspection report: Focus on detention on children</w:t>
      </w:r>
      <w:r w:rsidRPr="00A2223E">
        <w:t xml:space="preserve"> (11 September 2024)</w:t>
      </w:r>
      <w:r>
        <w:t xml:space="preserve"> 59.</w:t>
      </w:r>
    </w:p>
  </w:footnote>
  <w:footnote w:id="35">
    <w:p w14:paraId="52FCCE89" w14:textId="32D6DEB7" w:rsidR="007F3E6A" w:rsidRPr="007F3E6A" w:rsidRDefault="007F3E6A">
      <w:pPr>
        <w:pStyle w:val="FootnoteText"/>
        <w:rPr>
          <w:lang w:val="en-GB"/>
        </w:rPr>
      </w:pPr>
      <w:r>
        <w:rPr>
          <w:rStyle w:val="FootnoteReference"/>
        </w:rPr>
        <w:footnoteRef/>
      </w:r>
      <w:r>
        <w:t xml:space="preserve"> </w:t>
      </w:r>
      <w:r w:rsidRPr="00222037">
        <w:rPr>
          <w:rFonts w:cs="Arial"/>
          <w:szCs w:val="20"/>
          <w:lang w:val="en-GB"/>
        </w:rPr>
        <w:t xml:space="preserve">Inspector of Detention Services, Queensland Ombudsman, </w:t>
      </w:r>
      <w:r w:rsidRPr="00222037">
        <w:rPr>
          <w:rFonts w:cs="Arial"/>
          <w:i/>
          <w:iCs/>
          <w:szCs w:val="20"/>
          <w:lang w:val="en-GB"/>
        </w:rPr>
        <w:t xml:space="preserve">Cairns and </w:t>
      </w:r>
      <w:proofErr w:type="spellStart"/>
      <w:r w:rsidRPr="00222037">
        <w:rPr>
          <w:rFonts w:cs="Arial"/>
          <w:i/>
          <w:iCs/>
          <w:szCs w:val="20"/>
          <w:lang w:val="en-GB"/>
        </w:rPr>
        <w:t>Murgon</w:t>
      </w:r>
      <w:proofErr w:type="spellEnd"/>
      <w:r w:rsidRPr="00222037">
        <w:rPr>
          <w:rFonts w:cs="Arial"/>
          <w:i/>
          <w:iCs/>
          <w:szCs w:val="20"/>
          <w:lang w:val="en-GB"/>
        </w:rPr>
        <w:t xml:space="preserve"> watch-houses inspection report: Focus on detention on children</w:t>
      </w:r>
      <w:r w:rsidRPr="00222037">
        <w:rPr>
          <w:rFonts w:cs="Arial"/>
          <w:szCs w:val="20"/>
          <w:lang w:val="en-GB"/>
        </w:rPr>
        <w:t xml:space="preserve"> (11 September 2024)</w:t>
      </w:r>
      <w:r>
        <w:rPr>
          <w:rFonts w:cs="Arial"/>
          <w:szCs w:val="20"/>
          <w:lang w:val="en-GB"/>
        </w:rPr>
        <w:t xml:space="preserve"> 7-</w:t>
      </w:r>
      <w:r w:rsidR="00B06535">
        <w:rPr>
          <w:rFonts w:cs="Arial"/>
          <w:szCs w:val="20"/>
          <w:lang w:val="en-GB"/>
        </w:rPr>
        <w:t>8</w:t>
      </w:r>
      <w:r w:rsidRPr="00222037">
        <w:rPr>
          <w:rFonts w:cs="Arial"/>
          <w:szCs w:val="20"/>
          <w:lang w:val="en-GB"/>
        </w:rPr>
        <w:t>.</w:t>
      </w:r>
    </w:p>
  </w:footnote>
  <w:footnote w:id="36">
    <w:p w14:paraId="54D3AF74" w14:textId="08DB9771" w:rsidR="005C2796" w:rsidRPr="00B80B30" w:rsidRDefault="005C2796" w:rsidP="005C2796">
      <w:pPr>
        <w:pStyle w:val="FootnoteText"/>
        <w:rPr>
          <w:lang w:val="en-GB"/>
        </w:rPr>
      </w:pPr>
      <w:r>
        <w:rPr>
          <w:rStyle w:val="FootnoteReference"/>
        </w:rPr>
        <w:footnoteRef/>
      </w:r>
      <w:r>
        <w:t xml:space="preserve"> </w:t>
      </w:r>
      <w:r w:rsidRPr="00A2223E">
        <w:rPr>
          <w:i/>
          <w:iCs/>
        </w:rPr>
        <w:t xml:space="preserve">Inquest into the deaths of Shiralee Deanne </w:t>
      </w:r>
      <w:proofErr w:type="spellStart"/>
      <w:r w:rsidRPr="00A2223E">
        <w:rPr>
          <w:i/>
          <w:iCs/>
        </w:rPr>
        <w:t>Tilberoo</w:t>
      </w:r>
      <w:proofErr w:type="spellEnd"/>
      <w:r w:rsidRPr="00A2223E">
        <w:rPr>
          <w:i/>
          <w:iCs/>
        </w:rPr>
        <w:t xml:space="preserve"> and Vlasta </w:t>
      </w:r>
      <w:proofErr w:type="spellStart"/>
      <w:r w:rsidRPr="00A2223E">
        <w:rPr>
          <w:i/>
          <w:iCs/>
        </w:rPr>
        <w:t>Wylucki</w:t>
      </w:r>
      <w:proofErr w:type="spellEnd"/>
      <w:r w:rsidRPr="000D5E58">
        <w:t xml:space="preserve"> (Coroners Court of Queensland, Deputy State Coroner Gallagher, 27 June 2024)</w:t>
      </w:r>
      <w:r w:rsidR="0029707A">
        <w:t xml:space="preserve"> 44</w:t>
      </w:r>
      <w:r w:rsidRPr="000D5E5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0851C" w14:textId="77777777" w:rsidR="007C510E" w:rsidRDefault="007C510E" w:rsidP="00260847">
    <w:pPr>
      <w:pStyle w:val="Header"/>
      <w:tabs>
        <w:tab w:val="clear" w:pos="4513"/>
        <w:tab w:val="clear" w:pos="9026"/>
      </w:tabs>
      <w:spacing w:before="240"/>
    </w:pPr>
  </w:p>
  <w:p w14:paraId="71AF536B" w14:textId="77777777" w:rsidR="007C510E" w:rsidRDefault="007C5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7D95F" w14:textId="77777777" w:rsidR="007C510E" w:rsidRPr="000731D3" w:rsidRDefault="007C510E"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F7791" w14:textId="77777777" w:rsidR="007C510E" w:rsidRPr="000731D3" w:rsidRDefault="007C510E" w:rsidP="000731D3">
    <w:pPr>
      <w:pStyle w:val="Header"/>
      <w:rPr>
        <w:rFonts w:cs="Arial"/>
        <w:color w:val="365F91" w:themeColor="accent1" w:themeShade="BF"/>
      </w:rPr>
    </w:pPr>
    <w:r>
      <w:rPr>
        <w:rFonts w:cs="Arial"/>
        <w:color w:val="365F91" w:themeColor="accent1" w:themeShade="BF"/>
      </w:rPr>
      <w:t>[title]</w:t>
    </w:r>
  </w:p>
  <w:p w14:paraId="21CADB0E" w14:textId="77777777" w:rsidR="007C510E" w:rsidRPr="000731D3" w:rsidRDefault="007C510E" w:rsidP="000731D3">
    <w:pPr>
      <w:pStyle w:val="Header"/>
      <w:pBdr>
        <w:bottom w:val="single" w:sz="4" w:space="1" w:color="auto"/>
      </w:pBdr>
      <w:rPr>
        <w:rFonts w:cs="Arial"/>
        <w:sz w:val="20"/>
        <w:szCs w:val="20"/>
      </w:rPr>
    </w:pPr>
  </w:p>
  <w:p w14:paraId="7E4278C8" w14:textId="77777777" w:rsidR="007C510E" w:rsidRPr="000731D3" w:rsidRDefault="007C510E"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250E7E"/>
    <w:multiLevelType w:val="multilevel"/>
    <w:tmpl w:val="86ECA05C"/>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 w15:restartNumberingAfterBreak="0">
    <w:nsid w:val="2158D992"/>
    <w:multiLevelType w:val="hybridMultilevel"/>
    <w:tmpl w:val="97E0F864"/>
    <w:lvl w:ilvl="0" w:tplc="9850E528">
      <w:start w:val="1"/>
      <w:numFmt w:val="bullet"/>
      <w:lvlText w:val=""/>
      <w:lvlJc w:val="left"/>
      <w:pPr>
        <w:ind w:left="720" w:hanging="360"/>
      </w:pPr>
      <w:rPr>
        <w:rFonts w:ascii="Symbol" w:hAnsi="Symbol" w:hint="default"/>
      </w:rPr>
    </w:lvl>
    <w:lvl w:ilvl="1" w:tplc="DC4AAE1A">
      <w:start w:val="1"/>
      <w:numFmt w:val="bullet"/>
      <w:lvlText w:val="o"/>
      <w:lvlJc w:val="left"/>
      <w:pPr>
        <w:ind w:left="1440" w:hanging="360"/>
      </w:pPr>
      <w:rPr>
        <w:rFonts w:ascii="Courier New" w:hAnsi="Courier New" w:hint="default"/>
      </w:rPr>
    </w:lvl>
    <w:lvl w:ilvl="2" w:tplc="AC98F95E">
      <w:start w:val="1"/>
      <w:numFmt w:val="bullet"/>
      <w:lvlText w:val=""/>
      <w:lvlJc w:val="left"/>
      <w:pPr>
        <w:ind w:left="2160" w:hanging="360"/>
      </w:pPr>
      <w:rPr>
        <w:rFonts w:ascii="Wingdings" w:hAnsi="Wingdings" w:hint="default"/>
      </w:rPr>
    </w:lvl>
    <w:lvl w:ilvl="3" w:tplc="0CA8E3D2">
      <w:start w:val="1"/>
      <w:numFmt w:val="bullet"/>
      <w:lvlText w:val=""/>
      <w:lvlJc w:val="left"/>
      <w:pPr>
        <w:ind w:left="2880" w:hanging="360"/>
      </w:pPr>
      <w:rPr>
        <w:rFonts w:ascii="Symbol" w:hAnsi="Symbol" w:hint="default"/>
      </w:rPr>
    </w:lvl>
    <w:lvl w:ilvl="4" w:tplc="83D2B5BE">
      <w:start w:val="1"/>
      <w:numFmt w:val="bullet"/>
      <w:lvlText w:val="o"/>
      <w:lvlJc w:val="left"/>
      <w:pPr>
        <w:ind w:left="3600" w:hanging="360"/>
      </w:pPr>
      <w:rPr>
        <w:rFonts w:ascii="Courier New" w:hAnsi="Courier New" w:hint="default"/>
      </w:rPr>
    </w:lvl>
    <w:lvl w:ilvl="5" w:tplc="B1B643DE">
      <w:start w:val="1"/>
      <w:numFmt w:val="bullet"/>
      <w:lvlText w:val=""/>
      <w:lvlJc w:val="left"/>
      <w:pPr>
        <w:ind w:left="4320" w:hanging="360"/>
      </w:pPr>
      <w:rPr>
        <w:rFonts w:ascii="Wingdings" w:hAnsi="Wingdings" w:hint="default"/>
      </w:rPr>
    </w:lvl>
    <w:lvl w:ilvl="6" w:tplc="0B24CDAC">
      <w:start w:val="1"/>
      <w:numFmt w:val="bullet"/>
      <w:lvlText w:val=""/>
      <w:lvlJc w:val="left"/>
      <w:pPr>
        <w:ind w:left="5040" w:hanging="360"/>
      </w:pPr>
      <w:rPr>
        <w:rFonts w:ascii="Symbol" w:hAnsi="Symbol" w:hint="default"/>
      </w:rPr>
    </w:lvl>
    <w:lvl w:ilvl="7" w:tplc="F588F486">
      <w:start w:val="1"/>
      <w:numFmt w:val="bullet"/>
      <w:lvlText w:val="o"/>
      <w:lvlJc w:val="left"/>
      <w:pPr>
        <w:ind w:left="5760" w:hanging="360"/>
      </w:pPr>
      <w:rPr>
        <w:rFonts w:ascii="Courier New" w:hAnsi="Courier New" w:hint="default"/>
      </w:rPr>
    </w:lvl>
    <w:lvl w:ilvl="8" w:tplc="3EC431A0">
      <w:start w:val="1"/>
      <w:numFmt w:val="bullet"/>
      <w:lvlText w:val=""/>
      <w:lvlJc w:val="left"/>
      <w:pPr>
        <w:ind w:left="6480" w:hanging="360"/>
      </w:pPr>
      <w:rPr>
        <w:rFonts w:ascii="Wingdings" w:hAnsi="Wingdings" w:hint="default"/>
      </w:rPr>
    </w:lvl>
  </w:abstractNum>
  <w:abstractNum w:abstractNumId="3" w15:restartNumberingAfterBreak="0">
    <w:nsid w:val="28406BF0"/>
    <w:multiLevelType w:val="hybridMultilevel"/>
    <w:tmpl w:val="7206BA4C"/>
    <w:lvl w:ilvl="0" w:tplc="6DA83BEC">
      <w:numFmt w:val="bullet"/>
      <w:lvlText w:val=""/>
      <w:lvlJc w:val="left"/>
      <w:pPr>
        <w:ind w:left="780" w:hanging="360"/>
      </w:pPr>
      <w:rPr>
        <w:rFonts w:ascii="Symbol" w:eastAsiaTheme="minorEastAsia" w:hAnsi="Symbol" w:cs="Arial" w:hint="default"/>
      </w:rPr>
    </w:lvl>
    <w:lvl w:ilvl="1" w:tplc="96001202">
      <w:start w:val="1"/>
      <w:numFmt w:val="bullet"/>
      <w:lvlText w:val="•"/>
      <w:lvlJc w:val="left"/>
      <w:pPr>
        <w:ind w:left="1500" w:hanging="360"/>
      </w:pPr>
      <w:rPr>
        <w:rFonts w:ascii="Aptos Narrow" w:eastAsia="Times New Roman" w:hAnsi="Aptos Narrow" w:cs="Times New Roman"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 w15:restartNumberingAfterBreak="0">
    <w:nsid w:val="3EAF7C11"/>
    <w:multiLevelType w:val="hybridMultilevel"/>
    <w:tmpl w:val="E7D8D100"/>
    <w:lvl w:ilvl="0" w:tplc="BDE48AF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3E0DA6"/>
    <w:multiLevelType w:val="hybridMultilevel"/>
    <w:tmpl w:val="AFFE3AC4"/>
    <w:lvl w:ilvl="0" w:tplc="6DA83BEC">
      <w:numFmt w:val="bullet"/>
      <w:lvlText w:val=""/>
      <w:lvlJc w:val="left"/>
      <w:pPr>
        <w:ind w:left="78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1"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894D40"/>
    <w:multiLevelType w:val="multilevel"/>
    <w:tmpl w:val="C16C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E36E47"/>
    <w:multiLevelType w:val="hybridMultilevel"/>
    <w:tmpl w:val="E01659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80E217B"/>
    <w:multiLevelType w:val="multilevel"/>
    <w:tmpl w:val="299C899C"/>
    <w:lvl w:ilvl="0">
      <w:start w:val="1"/>
      <w:numFmt w:val="bullet"/>
      <w:pStyle w:val="Bulletedlist"/>
      <w:lvlText w:val=""/>
      <w:lvlJc w:val="left"/>
      <w:pPr>
        <w:ind w:left="1551" w:hanging="567"/>
      </w:pPr>
      <w:rPr>
        <w:rFonts w:ascii="Symbol" w:hAnsi="Symbol" w:hint="default"/>
      </w:rPr>
    </w:lvl>
    <w:lvl w:ilvl="1">
      <w:start w:val="1"/>
      <w:numFmt w:val="bullet"/>
      <w:lvlText w:val=""/>
      <w:lvlJc w:val="left"/>
      <w:pPr>
        <w:ind w:left="1891" w:hanging="283"/>
      </w:pPr>
      <w:rPr>
        <w:rFonts w:ascii="Symbol" w:hAnsi="Symbol" w:hint="default"/>
        <w:b w:val="0"/>
        <w:i w:val="0"/>
        <w:sz w:val="24"/>
      </w:rPr>
    </w:lvl>
    <w:lvl w:ilvl="2">
      <w:start w:val="1"/>
      <w:numFmt w:val="lowerRoman"/>
      <w:lvlText w:val="%3."/>
      <w:lvlJc w:val="right"/>
      <w:pPr>
        <w:ind w:left="2231" w:hanging="113"/>
      </w:pPr>
      <w:rPr>
        <w:rFonts w:hint="default"/>
      </w:rPr>
    </w:lvl>
    <w:lvl w:ilvl="3">
      <w:start w:val="1"/>
      <w:numFmt w:val="decimal"/>
      <w:lvlText w:val="%4."/>
      <w:lvlJc w:val="left"/>
      <w:pPr>
        <w:ind w:left="2412" w:hanging="357"/>
      </w:pPr>
      <w:rPr>
        <w:rFonts w:hint="default"/>
      </w:rPr>
    </w:lvl>
    <w:lvl w:ilvl="4">
      <w:start w:val="1"/>
      <w:numFmt w:val="lowerLetter"/>
      <w:lvlText w:val="%5."/>
      <w:lvlJc w:val="left"/>
      <w:pPr>
        <w:ind w:left="2769" w:hanging="357"/>
      </w:pPr>
      <w:rPr>
        <w:rFonts w:hint="default"/>
      </w:rPr>
    </w:lvl>
    <w:lvl w:ilvl="5">
      <w:start w:val="1"/>
      <w:numFmt w:val="lowerRoman"/>
      <w:lvlText w:val="%6."/>
      <w:lvlJc w:val="right"/>
      <w:pPr>
        <w:ind w:left="3126" w:hanging="357"/>
      </w:pPr>
      <w:rPr>
        <w:rFonts w:hint="default"/>
      </w:rPr>
    </w:lvl>
    <w:lvl w:ilvl="6">
      <w:start w:val="1"/>
      <w:numFmt w:val="decimal"/>
      <w:lvlText w:val="%7."/>
      <w:lvlJc w:val="left"/>
      <w:pPr>
        <w:ind w:left="3483" w:hanging="357"/>
      </w:pPr>
      <w:rPr>
        <w:rFonts w:hint="default"/>
      </w:rPr>
    </w:lvl>
    <w:lvl w:ilvl="7">
      <w:start w:val="1"/>
      <w:numFmt w:val="lowerLetter"/>
      <w:lvlText w:val="%8."/>
      <w:lvlJc w:val="left"/>
      <w:pPr>
        <w:ind w:left="3840" w:hanging="357"/>
      </w:pPr>
      <w:rPr>
        <w:rFonts w:hint="default"/>
      </w:rPr>
    </w:lvl>
    <w:lvl w:ilvl="8">
      <w:start w:val="1"/>
      <w:numFmt w:val="lowerRoman"/>
      <w:lvlText w:val="%9."/>
      <w:lvlJc w:val="right"/>
      <w:pPr>
        <w:ind w:left="4197" w:hanging="357"/>
      </w:pPr>
      <w:rPr>
        <w:rFonts w:hint="default"/>
      </w:rPr>
    </w:lvl>
  </w:abstractNum>
  <w:abstractNum w:abstractNumId="18"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6E5D2CE4"/>
    <w:multiLevelType w:val="multilevel"/>
    <w:tmpl w:val="60DEC02C"/>
    <w:lvl w:ilvl="0">
      <w:numFmt w:val="bullet"/>
      <w:lvlText w:val=""/>
      <w:lvlJc w:val="left"/>
      <w:pPr>
        <w:ind w:left="1134" w:hanging="567"/>
      </w:pPr>
      <w:rPr>
        <w:rFonts w:ascii="Symbol" w:eastAsiaTheme="minorEastAsia" w:hAnsi="Symbol" w:cs="Arial" w:hint="default"/>
      </w:rPr>
    </w:lvl>
    <w:lvl w:ilvl="1">
      <w:start w:val="1"/>
      <w:numFmt w:val="lowerLetter"/>
      <w:lvlText w:val="%2."/>
      <w:lvlJc w:val="left"/>
      <w:pPr>
        <w:ind w:left="1474" w:hanging="283"/>
      </w:pPr>
      <w:rPr>
        <w:rFonts w:hint="default"/>
        <w:b w:val="0"/>
        <w:i w:val="0"/>
        <w:sz w:val="24"/>
      </w:rPr>
    </w:lvl>
    <w:lvl w:ilvl="2">
      <w:start w:val="1"/>
      <w:numFmt w:val="lowerRoman"/>
      <w:lvlText w:val="%3."/>
      <w:lvlJc w:val="right"/>
      <w:pPr>
        <w:ind w:left="1814" w:hanging="113"/>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20"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1"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787E59F2"/>
    <w:multiLevelType w:val="multilevel"/>
    <w:tmpl w:val="60DEC02C"/>
    <w:lvl w:ilvl="0">
      <w:numFmt w:val="bullet"/>
      <w:lvlText w:val=""/>
      <w:lvlJc w:val="left"/>
      <w:pPr>
        <w:ind w:left="1134" w:hanging="567"/>
      </w:pPr>
      <w:rPr>
        <w:rFonts w:ascii="Symbol" w:eastAsiaTheme="minorEastAsia" w:hAnsi="Symbol" w:cs="Arial" w:hint="default"/>
      </w:rPr>
    </w:lvl>
    <w:lvl w:ilvl="1">
      <w:start w:val="1"/>
      <w:numFmt w:val="lowerLetter"/>
      <w:lvlText w:val="%2."/>
      <w:lvlJc w:val="left"/>
      <w:pPr>
        <w:ind w:left="1474" w:hanging="283"/>
      </w:pPr>
      <w:rPr>
        <w:rFonts w:hint="default"/>
        <w:b w:val="0"/>
        <w:i w:val="0"/>
        <w:sz w:val="24"/>
      </w:rPr>
    </w:lvl>
    <w:lvl w:ilvl="2">
      <w:start w:val="1"/>
      <w:numFmt w:val="lowerRoman"/>
      <w:lvlText w:val="%3."/>
      <w:lvlJc w:val="right"/>
      <w:pPr>
        <w:ind w:left="1814" w:hanging="113"/>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num w:numId="1" w16cid:durableId="2089304874">
    <w:abstractNumId w:val="13"/>
  </w:num>
  <w:num w:numId="2" w16cid:durableId="1656227489">
    <w:abstractNumId w:val="7"/>
  </w:num>
  <w:num w:numId="3" w16cid:durableId="574364224">
    <w:abstractNumId w:val="20"/>
  </w:num>
  <w:num w:numId="4" w16cid:durableId="527109048">
    <w:abstractNumId w:val="8"/>
  </w:num>
  <w:num w:numId="5" w16cid:durableId="1670208723">
    <w:abstractNumId w:val="11"/>
  </w:num>
  <w:num w:numId="6" w16cid:durableId="225726173">
    <w:abstractNumId w:val="15"/>
  </w:num>
  <w:num w:numId="7" w16cid:durableId="1783039206">
    <w:abstractNumId w:val="0"/>
  </w:num>
  <w:num w:numId="8" w16cid:durableId="1187060151">
    <w:abstractNumId w:val="9"/>
  </w:num>
  <w:num w:numId="9" w16cid:durableId="470709753">
    <w:abstractNumId w:val="18"/>
  </w:num>
  <w:num w:numId="10" w16cid:durableId="208759485">
    <w:abstractNumId w:val="21"/>
  </w:num>
  <w:num w:numId="11" w16cid:durableId="515079098">
    <w:abstractNumId w:val="16"/>
  </w:num>
  <w:num w:numId="12" w16cid:durableId="557134786">
    <w:abstractNumId w:val="10"/>
  </w:num>
  <w:num w:numId="13" w16cid:durableId="1334379581">
    <w:abstractNumId w:val="1"/>
  </w:num>
  <w:num w:numId="14" w16cid:durableId="882793053">
    <w:abstractNumId w:val="4"/>
  </w:num>
  <w:num w:numId="15" w16cid:durableId="1953828701">
    <w:abstractNumId w:val="8"/>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16cid:durableId="138038055">
    <w:abstractNumId w:val="17"/>
  </w:num>
  <w:num w:numId="17" w16cid:durableId="1709648749">
    <w:abstractNumId w:val="12"/>
  </w:num>
  <w:num w:numId="18" w16cid:durableId="585921483">
    <w:abstractNumId w:val="1"/>
    <w:lvlOverride w:ilvl="0">
      <w:lvl w:ilvl="0">
        <w:start w:val="1"/>
        <w:numFmt w:val="lowerLetter"/>
        <w:pStyle w:val="Numberedparagraph"/>
        <w:lvlText w:val="%1."/>
        <w:lvlJc w:val="left"/>
        <w:pPr>
          <w:ind w:left="984" w:hanging="360"/>
        </w:pPr>
      </w:lvl>
    </w:lvlOverride>
    <w:lvlOverride w:ilvl="1">
      <w:lvl w:ilvl="1">
        <w:start w:val="1"/>
        <w:numFmt w:val="lowerLetter"/>
        <w:lvlText w:val="%2."/>
        <w:lvlJc w:val="left"/>
        <w:pPr>
          <w:ind w:left="1704" w:hanging="360"/>
        </w:pPr>
      </w:lvl>
    </w:lvlOverride>
    <w:lvlOverride w:ilvl="2">
      <w:lvl w:ilvl="2" w:tentative="1">
        <w:start w:val="1"/>
        <w:numFmt w:val="lowerRoman"/>
        <w:lvlText w:val="%3."/>
        <w:lvlJc w:val="right"/>
        <w:pPr>
          <w:ind w:left="2424" w:hanging="180"/>
        </w:pPr>
      </w:lvl>
    </w:lvlOverride>
    <w:lvlOverride w:ilvl="3">
      <w:lvl w:ilvl="3" w:tentative="1">
        <w:start w:val="1"/>
        <w:numFmt w:val="decimal"/>
        <w:lvlText w:val="%4."/>
        <w:lvlJc w:val="left"/>
        <w:pPr>
          <w:ind w:left="3144" w:hanging="360"/>
        </w:pPr>
      </w:lvl>
    </w:lvlOverride>
    <w:lvlOverride w:ilvl="4">
      <w:lvl w:ilvl="4" w:tentative="1">
        <w:start w:val="1"/>
        <w:numFmt w:val="lowerLetter"/>
        <w:lvlText w:val="%5."/>
        <w:lvlJc w:val="left"/>
        <w:pPr>
          <w:ind w:left="3864" w:hanging="360"/>
        </w:pPr>
      </w:lvl>
    </w:lvlOverride>
    <w:lvlOverride w:ilvl="5">
      <w:lvl w:ilvl="5" w:tentative="1">
        <w:start w:val="1"/>
        <w:numFmt w:val="lowerRoman"/>
        <w:lvlText w:val="%6."/>
        <w:lvlJc w:val="right"/>
        <w:pPr>
          <w:ind w:left="4584" w:hanging="180"/>
        </w:pPr>
      </w:lvl>
    </w:lvlOverride>
    <w:lvlOverride w:ilvl="6">
      <w:lvl w:ilvl="6" w:tentative="1">
        <w:start w:val="1"/>
        <w:numFmt w:val="decimal"/>
        <w:lvlText w:val="%7."/>
        <w:lvlJc w:val="left"/>
        <w:pPr>
          <w:ind w:left="5304" w:hanging="360"/>
        </w:pPr>
      </w:lvl>
    </w:lvlOverride>
    <w:lvlOverride w:ilvl="7">
      <w:lvl w:ilvl="7" w:tentative="1">
        <w:start w:val="1"/>
        <w:numFmt w:val="lowerLetter"/>
        <w:lvlText w:val="%8."/>
        <w:lvlJc w:val="left"/>
        <w:pPr>
          <w:ind w:left="6024" w:hanging="360"/>
        </w:pPr>
      </w:lvl>
    </w:lvlOverride>
    <w:lvlOverride w:ilvl="8">
      <w:lvl w:ilvl="8" w:tentative="1">
        <w:start w:val="1"/>
        <w:numFmt w:val="lowerRoman"/>
        <w:lvlText w:val="%9."/>
        <w:lvlJc w:val="right"/>
        <w:pPr>
          <w:ind w:left="6744" w:hanging="180"/>
        </w:pPr>
      </w:lvl>
    </w:lvlOverride>
  </w:num>
  <w:num w:numId="19" w16cid:durableId="1896969071">
    <w:abstractNumId w:val="3"/>
  </w:num>
  <w:num w:numId="20" w16cid:durableId="1367218735">
    <w:abstractNumId w:val="19"/>
  </w:num>
  <w:num w:numId="21" w16cid:durableId="1651401573">
    <w:abstractNumId w:val="22"/>
  </w:num>
  <w:num w:numId="22" w16cid:durableId="987441412">
    <w:abstractNumId w:val="2"/>
  </w:num>
  <w:num w:numId="23" w16cid:durableId="257297080">
    <w:abstractNumId w:val="5"/>
  </w:num>
  <w:num w:numId="24" w16cid:durableId="1630160766">
    <w:abstractNumId w:val="14"/>
  </w:num>
  <w:num w:numId="25" w16cid:durableId="1384253932">
    <w:abstractNumId w:val="6"/>
  </w:num>
  <w:num w:numId="26" w16cid:durableId="1644037890">
    <w:abstractNumId w:val="1"/>
    <w:lvlOverride w:ilvl="0">
      <w:startOverride w:val="1"/>
      <w:lvl w:ilvl="0">
        <w:start w:val="1"/>
        <w:numFmt w:val="lowerLetter"/>
        <w:pStyle w:val="Numberedparagraph"/>
        <w:lvlText w:val="%1."/>
        <w:lvlJc w:val="left"/>
        <w:pPr>
          <w:ind w:left="984" w:hanging="360"/>
        </w:pPr>
      </w:lvl>
    </w:lvlOverride>
    <w:lvlOverride w:ilvl="1">
      <w:startOverride w:val="1"/>
      <w:lvl w:ilvl="1">
        <w:start w:val="1"/>
        <w:numFmt w:val="lowerLetter"/>
        <w:lvlText w:val="%2."/>
        <w:lvlJc w:val="left"/>
        <w:pPr>
          <w:ind w:left="1704" w:hanging="360"/>
        </w:pPr>
      </w:lvl>
    </w:lvlOverride>
    <w:lvlOverride w:ilvl="2">
      <w:startOverride w:val="1"/>
      <w:lvl w:ilvl="2" w:tentative="1">
        <w:start w:val="1"/>
        <w:numFmt w:val="lowerRoman"/>
        <w:lvlText w:val="%3."/>
        <w:lvlJc w:val="right"/>
        <w:pPr>
          <w:ind w:left="2424" w:hanging="180"/>
        </w:pPr>
      </w:lvl>
    </w:lvlOverride>
    <w:lvlOverride w:ilvl="3">
      <w:startOverride w:val="1"/>
      <w:lvl w:ilvl="3" w:tentative="1">
        <w:start w:val="1"/>
        <w:numFmt w:val="decimal"/>
        <w:lvlText w:val="%4."/>
        <w:lvlJc w:val="left"/>
        <w:pPr>
          <w:ind w:left="3144" w:hanging="360"/>
        </w:pPr>
      </w:lvl>
    </w:lvlOverride>
    <w:lvlOverride w:ilvl="4">
      <w:startOverride w:val="1"/>
      <w:lvl w:ilvl="4" w:tentative="1">
        <w:start w:val="1"/>
        <w:numFmt w:val="lowerLetter"/>
        <w:lvlText w:val="%5."/>
        <w:lvlJc w:val="left"/>
        <w:pPr>
          <w:ind w:left="3864" w:hanging="360"/>
        </w:pPr>
      </w:lvl>
    </w:lvlOverride>
    <w:lvlOverride w:ilvl="5">
      <w:startOverride w:val="1"/>
      <w:lvl w:ilvl="5" w:tentative="1">
        <w:start w:val="1"/>
        <w:numFmt w:val="lowerRoman"/>
        <w:lvlText w:val="%6."/>
        <w:lvlJc w:val="right"/>
        <w:pPr>
          <w:ind w:left="4584" w:hanging="180"/>
        </w:pPr>
      </w:lvl>
    </w:lvlOverride>
    <w:lvlOverride w:ilvl="6">
      <w:startOverride w:val="1"/>
      <w:lvl w:ilvl="6" w:tentative="1">
        <w:start w:val="1"/>
        <w:numFmt w:val="decimal"/>
        <w:lvlText w:val="%7."/>
        <w:lvlJc w:val="left"/>
        <w:pPr>
          <w:ind w:left="5304" w:hanging="360"/>
        </w:pPr>
      </w:lvl>
    </w:lvlOverride>
    <w:lvlOverride w:ilvl="7">
      <w:startOverride w:val="1"/>
      <w:lvl w:ilvl="7" w:tentative="1">
        <w:start w:val="1"/>
        <w:numFmt w:val="lowerLetter"/>
        <w:lvlText w:val="%8."/>
        <w:lvlJc w:val="left"/>
        <w:pPr>
          <w:ind w:left="6024" w:hanging="360"/>
        </w:pPr>
      </w:lvl>
    </w:lvlOverride>
    <w:lvlOverride w:ilvl="8">
      <w:startOverride w:val="1"/>
      <w:lvl w:ilvl="8" w:tentative="1">
        <w:start w:val="1"/>
        <w:numFmt w:val="lowerRoman"/>
        <w:lvlText w:val="%9."/>
        <w:lvlJc w:val="right"/>
        <w:pPr>
          <w:ind w:left="6744" w:hanging="180"/>
        </w:pPr>
      </w:lvl>
    </w:lvlOverride>
  </w:num>
  <w:num w:numId="27" w16cid:durableId="608706665">
    <w:abstractNumId w:val="1"/>
    <w:lvlOverride w:ilvl="0">
      <w:startOverride w:val="1"/>
      <w:lvl w:ilvl="0">
        <w:start w:val="1"/>
        <w:numFmt w:val="lowerLetter"/>
        <w:pStyle w:val="Numberedparagraph"/>
        <w:lvlText w:val="%1."/>
        <w:lvlJc w:val="left"/>
        <w:pPr>
          <w:ind w:left="984" w:hanging="360"/>
        </w:pPr>
      </w:lvl>
    </w:lvlOverride>
    <w:lvlOverride w:ilvl="1">
      <w:startOverride w:val="1"/>
      <w:lvl w:ilvl="1">
        <w:start w:val="1"/>
        <w:numFmt w:val="lowerLetter"/>
        <w:lvlText w:val="%2."/>
        <w:lvlJc w:val="left"/>
        <w:pPr>
          <w:ind w:left="1704" w:hanging="360"/>
        </w:pPr>
      </w:lvl>
    </w:lvlOverride>
    <w:lvlOverride w:ilvl="2">
      <w:startOverride w:val="1"/>
      <w:lvl w:ilvl="2" w:tentative="1">
        <w:start w:val="1"/>
        <w:numFmt w:val="lowerRoman"/>
        <w:lvlText w:val="%3."/>
        <w:lvlJc w:val="right"/>
        <w:pPr>
          <w:ind w:left="2424" w:hanging="180"/>
        </w:pPr>
      </w:lvl>
    </w:lvlOverride>
    <w:lvlOverride w:ilvl="3">
      <w:startOverride w:val="1"/>
      <w:lvl w:ilvl="3" w:tentative="1">
        <w:start w:val="1"/>
        <w:numFmt w:val="decimal"/>
        <w:lvlText w:val="%4."/>
        <w:lvlJc w:val="left"/>
        <w:pPr>
          <w:ind w:left="3144" w:hanging="360"/>
        </w:pPr>
      </w:lvl>
    </w:lvlOverride>
    <w:lvlOverride w:ilvl="4">
      <w:startOverride w:val="1"/>
      <w:lvl w:ilvl="4" w:tentative="1">
        <w:start w:val="1"/>
        <w:numFmt w:val="lowerLetter"/>
        <w:lvlText w:val="%5."/>
        <w:lvlJc w:val="left"/>
        <w:pPr>
          <w:ind w:left="3864" w:hanging="360"/>
        </w:pPr>
      </w:lvl>
    </w:lvlOverride>
    <w:lvlOverride w:ilvl="5">
      <w:startOverride w:val="1"/>
      <w:lvl w:ilvl="5" w:tentative="1">
        <w:start w:val="1"/>
        <w:numFmt w:val="lowerRoman"/>
        <w:lvlText w:val="%6."/>
        <w:lvlJc w:val="right"/>
        <w:pPr>
          <w:ind w:left="4584" w:hanging="180"/>
        </w:pPr>
      </w:lvl>
    </w:lvlOverride>
    <w:lvlOverride w:ilvl="6">
      <w:startOverride w:val="1"/>
      <w:lvl w:ilvl="6" w:tentative="1">
        <w:start w:val="1"/>
        <w:numFmt w:val="decimal"/>
        <w:lvlText w:val="%7."/>
        <w:lvlJc w:val="left"/>
        <w:pPr>
          <w:ind w:left="5304" w:hanging="360"/>
        </w:pPr>
      </w:lvl>
    </w:lvlOverride>
    <w:lvlOverride w:ilvl="7">
      <w:startOverride w:val="1"/>
      <w:lvl w:ilvl="7" w:tentative="1">
        <w:start w:val="1"/>
        <w:numFmt w:val="lowerLetter"/>
        <w:lvlText w:val="%8."/>
        <w:lvlJc w:val="left"/>
        <w:pPr>
          <w:ind w:left="6024" w:hanging="360"/>
        </w:pPr>
      </w:lvl>
    </w:lvlOverride>
    <w:lvlOverride w:ilvl="8">
      <w:startOverride w:val="1"/>
      <w:lvl w:ilvl="8" w:tentative="1">
        <w:start w:val="1"/>
        <w:numFmt w:val="lowerRoman"/>
        <w:lvlText w:val="%9."/>
        <w:lvlJc w:val="right"/>
        <w:pPr>
          <w:ind w:left="6744" w:hanging="180"/>
        </w:pPr>
      </w:lvl>
    </w:lvlOverride>
  </w:num>
  <w:num w:numId="28" w16cid:durableId="354039569">
    <w:abstractNumId w:val="1"/>
  </w:num>
  <w:num w:numId="29" w16cid:durableId="36360361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1E3"/>
    <w:rsid w:val="00002F05"/>
    <w:rsid w:val="0002351E"/>
    <w:rsid w:val="0003796A"/>
    <w:rsid w:val="00041E58"/>
    <w:rsid w:val="00042A8C"/>
    <w:rsid w:val="00044A7F"/>
    <w:rsid w:val="00045B46"/>
    <w:rsid w:val="00047983"/>
    <w:rsid w:val="00054120"/>
    <w:rsid w:val="00055B0B"/>
    <w:rsid w:val="00056960"/>
    <w:rsid w:val="00057023"/>
    <w:rsid w:val="00057D21"/>
    <w:rsid w:val="00063EDF"/>
    <w:rsid w:val="00065BB2"/>
    <w:rsid w:val="00072CE6"/>
    <w:rsid w:val="000731D3"/>
    <w:rsid w:val="00075AB0"/>
    <w:rsid w:val="0007682B"/>
    <w:rsid w:val="00095FBB"/>
    <w:rsid w:val="00096517"/>
    <w:rsid w:val="000A201B"/>
    <w:rsid w:val="000B6C72"/>
    <w:rsid w:val="000B794F"/>
    <w:rsid w:val="000D49A5"/>
    <w:rsid w:val="000E1039"/>
    <w:rsid w:val="000F0BC1"/>
    <w:rsid w:val="000F4098"/>
    <w:rsid w:val="00105217"/>
    <w:rsid w:val="001066BD"/>
    <w:rsid w:val="00121E6F"/>
    <w:rsid w:val="00124A35"/>
    <w:rsid w:val="001304EE"/>
    <w:rsid w:val="001402D9"/>
    <w:rsid w:val="001823DC"/>
    <w:rsid w:val="001825CB"/>
    <w:rsid w:val="00182865"/>
    <w:rsid w:val="00182E06"/>
    <w:rsid w:val="001916E4"/>
    <w:rsid w:val="0019203A"/>
    <w:rsid w:val="00195E9F"/>
    <w:rsid w:val="001A12BD"/>
    <w:rsid w:val="001B1A27"/>
    <w:rsid w:val="001B5470"/>
    <w:rsid w:val="001B57C6"/>
    <w:rsid w:val="001C01FD"/>
    <w:rsid w:val="001C127F"/>
    <w:rsid w:val="001D50C0"/>
    <w:rsid w:val="001D7758"/>
    <w:rsid w:val="001E3A26"/>
    <w:rsid w:val="001F3F19"/>
    <w:rsid w:val="001F5F4B"/>
    <w:rsid w:val="00227178"/>
    <w:rsid w:val="00233F52"/>
    <w:rsid w:val="00235527"/>
    <w:rsid w:val="00240EF9"/>
    <w:rsid w:val="0024194E"/>
    <w:rsid w:val="00252199"/>
    <w:rsid w:val="00253B42"/>
    <w:rsid w:val="00260847"/>
    <w:rsid w:val="002627D0"/>
    <w:rsid w:val="00283D88"/>
    <w:rsid w:val="00284FF0"/>
    <w:rsid w:val="00292C50"/>
    <w:rsid w:val="0029707A"/>
    <w:rsid w:val="002A03F1"/>
    <w:rsid w:val="002B65D4"/>
    <w:rsid w:val="002D46A2"/>
    <w:rsid w:val="002E433B"/>
    <w:rsid w:val="0030580E"/>
    <w:rsid w:val="00310CB2"/>
    <w:rsid w:val="00312C2A"/>
    <w:rsid w:val="003148FF"/>
    <w:rsid w:val="003204FA"/>
    <w:rsid w:val="00321445"/>
    <w:rsid w:val="00321586"/>
    <w:rsid w:val="0032516B"/>
    <w:rsid w:val="0033216F"/>
    <w:rsid w:val="0034134D"/>
    <w:rsid w:val="00344F59"/>
    <w:rsid w:val="00350D39"/>
    <w:rsid w:val="0035517B"/>
    <w:rsid w:val="0035654D"/>
    <w:rsid w:val="00370336"/>
    <w:rsid w:val="00370EC3"/>
    <w:rsid w:val="003847F0"/>
    <w:rsid w:val="00392522"/>
    <w:rsid w:val="00395332"/>
    <w:rsid w:val="003A666E"/>
    <w:rsid w:val="003B197E"/>
    <w:rsid w:val="003B647F"/>
    <w:rsid w:val="003C2709"/>
    <w:rsid w:val="003C443B"/>
    <w:rsid w:val="003C6A61"/>
    <w:rsid w:val="003D3AAC"/>
    <w:rsid w:val="003D625C"/>
    <w:rsid w:val="003F6F7E"/>
    <w:rsid w:val="00421429"/>
    <w:rsid w:val="00424D1D"/>
    <w:rsid w:val="00431D51"/>
    <w:rsid w:val="004418EC"/>
    <w:rsid w:val="004424F3"/>
    <w:rsid w:val="004462EE"/>
    <w:rsid w:val="00451416"/>
    <w:rsid w:val="004538FC"/>
    <w:rsid w:val="0045765D"/>
    <w:rsid w:val="00463BEF"/>
    <w:rsid w:val="004642BD"/>
    <w:rsid w:val="00466216"/>
    <w:rsid w:val="004A10F5"/>
    <w:rsid w:val="004A2375"/>
    <w:rsid w:val="004A6F71"/>
    <w:rsid w:val="004A7C64"/>
    <w:rsid w:val="004B0599"/>
    <w:rsid w:val="004B71ED"/>
    <w:rsid w:val="004C17FC"/>
    <w:rsid w:val="004C2886"/>
    <w:rsid w:val="004E3D6B"/>
    <w:rsid w:val="004E58C1"/>
    <w:rsid w:val="004F2CB8"/>
    <w:rsid w:val="004F4CB1"/>
    <w:rsid w:val="005009D5"/>
    <w:rsid w:val="00502924"/>
    <w:rsid w:val="00502CE9"/>
    <w:rsid w:val="00506CEC"/>
    <w:rsid w:val="00516283"/>
    <w:rsid w:val="00517D74"/>
    <w:rsid w:val="00551F97"/>
    <w:rsid w:val="00580083"/>
    <w:rsid w:val="005916EB"/>
    <w:rsid w:val="005B404C"/>
    <w:rsid w:val="005B7E50"/>
    <w:rsid w:val="005C2796"/>
    <w:rsid w:val="005C3FB8"/>
    <w:rsid w:val="005D5A16"/>
    <w:rsid w:val="005E452A"/>
    <w:rsid w:val="005E5159"/>
    <w:rsid w:val="005F0F47"/>
    <w:rsid w:val="00617E4F"/>
    <w:rsid w:val="00627334"/>
    <w:rsid w:val="006335BE"/>
    <w:rsid w:val="00644E93"/>
    <w:rsid w:val="006466AD"/>
    <w:rsid w:val="00674AB1"/>
    <w:rsid w:val="006769BF"/>
    <w:rsid w:val="00694221"/>
    <w:rsid w:val="006A39A0"/>
    <w:rsid w:val="006A7B3A"/>
    <w:rsid w:val="006B25A9"/>
    <w:rsid w:val="006B41E3"/>
    <w:rsid w:val="006B716A"/>
    <w:rsid w:val="006D0CD6"/>
    <w:rsid w:val="006E1C40"/>
    <w:rsid w:val="006E7ACA"/>
    <w:rsid w:val="006F0979"/>
    <w:rsid w:val="006F1EFD"/>
    <w:rsid w:val="006F1F8D"/>
    <w:rsid w:val="00701BE5"/>
    <w:rsid w:val="007069A1"/>
    <w:rsid w:val="00706A05"/>
    <w:rsid w:val="00730224"/>
    <w:rsid w:val="00735BA1"/>
    <w:rsid w:val="00751AE0"/>
    <w:rsid w:val="007619FB"/>
    <w:rsid w:val="00763604"/>
    <w:rsid w:val="0076604F"/>
    <w:rsid w:val="007A45D7"/>
    <w:rsid w:val="007B02CA"/>
    <w:rsid w:val="007B4001"/>
    <w:rsid w:val="007B4B95"/>
    <w:rsid w:val="007B538A"/>
    <w:rsid w:val="007C47D8"/>
    <w:rsid w:val="007C510E"/>
    <w:rsid w:val="007C62E7"/>
    <w:rsid w:val="007D0694"/>
    <w:rsid w:val="007D0AF8"/>
    <w:rsid w:val="007E0350"/>
    <w:rsid w:val="007F3E6A"/>
    <w:rsid w:val="007F4F44"/>
    <w:rsid w:val="0080290B"/>
    <w:rsid w:val="008037F9"/>
    <w:rsid w:val="00805768"/>
    <w:rsid w:val="00805887"/>
    <w:rsid w:val="008101EC"/>
    <w:rsid w:val="00827429"/>
    <w:rsid w:val="008470F3"/>
    <w:rsid w:val="00850155"/>
    <w:rsid w:val="0086439D"/>
    <w:rsid w:val="00867AFD"/>
    <w:rsid w:val="00871324"/>
    <w:rsid w:val="008727E8"/>
    <w:rsid w:val="0089208D"/>
    <w:rsid w:val="008930A1"/>
    <w:rsid w:val="008970A8"/>
    <w:rsid w:val="00897CFB"/>
    <w:rsid w:val="008B0352"/>
    <w:rsid w:val="008B250B"/>
    <w:rsid w:val="008B3191"/>
    <w:rsid w:val="008C1CC1"/>
    <w:rsid w:val="008C3D59"/>
    <w:rsid w:val="008C6189"/>
    <w:rsid w:val="008D29B3"/>
    <w:rsid w:val="008D4D8D"/>
    <w:rsid w:val="008E2FB8"/>
    <w:rsid w:val="008E304C"/>
    <w:rsid w:val="008E792D"/>
    <w:rsid w:val="0090102E"/>
    <w:rsid w:val="00905A21"/>
    <w:rsid w:val="009116DC"/>
    <w:rsid w:val="00912E7D"/>
    <w:rsid w:val="00914828"/>
    <w:rsid w:val="00972260"/>
    <w:rsid w:val="009746DD"/>
    <w:rsid w:val="00987057"/>
    <w:rsid w:val="009A556B"/>
    <w:rsid w:val="009D3109"/>
    <w:rsid w:val="009D3B40"/>
    <w:rsid w:val="009F3E8A"/>
    <w:rsid w:val="009F42AF"/>
    <w:rsid w:val="00A0082F"/>
    <w:rsid w:val="00A023C1"/>
    <w:rsid w:val="00A16356"/>
    <w:rsid w:val="00A30198"/>
    <w:rsid w:val="00A30B85"/>
    <w:rsid w:val="00A35BBA"/>
    <w:rsid w:val="00A45369"/>
    <w:rsid w:val="00A53D1F"/>
    <w:rsid w:val="00A577EC"/>
    <w:rsid w:val="00A70E36"/>
    <w:rsid w:val="00A81308"/>
    <w:rsid w:val="00A90373"/>
    <w:rsid w:val="00AD758A"/>
    <w:rsid w:val="00AE176D"/>
    <w:rsid w:val="00AE3A61"/>
    <w:rsid w:val="00AF0BDD"/>
    <w:rsid w:val="00B03079"/>
    <w:rsid w:val="00B06535"/>
    <w:rsid w:val="00B360EA"/>
    <w:rsid w:val="00B41356"/>
    <w:rsid w:val="00B46BAB"/>
    <w:rsid w:val="00B50F67"/>
    <w:rsid w:val="00B65604"/>
    <w:rsid w:val="00B67E6E"/>
    <w:rsid w:val="00B75D11"/>
    <w:rsid w:val="00B82CE9"/>
    <w:rsid w:val="00B83AE9"/>
    <w:rsid w:val="00B8743D"/>
    <w:rsid w:val="00B87FB4"/>
    <w:rsid w:val="00B91EA6"/>
    <w:rsid w:val="00B933A9"/>
    <w:rsid w:val="00BB0B80"/>
    <w:rsid w:val="00BB2F50"/>
    <w:rsid w:val="00C24084"/>
    <w:rsid w:val="00C255F9"/>
    <w:rsid w:val="00C33416"/>
    <w:rsid w:val="00C35743"/>
    <w:rsid w:val="00C4116E"/>
    <w:rsid w:val="00C526DC"/>
    <w:rsid w:val="00C56405"/>
    <w:rsid w:val="00C627FD"/>
    <w:rsid w:val="00C641D7"/>
    <w:rsid w:val="00C64B28"/>
    <w:rsid w:val="00C66E1D"/>
    <w:rsid w:val="00C8564F"/>
    <w:rsid w:val="00C9241D"/>
    <w:rsid w:val="00C9716F"/>
    <w:rsid w:val="00CA162B"/>
    <w:rsid w:val="00CA23CF"/>
    <w:rsid w:val="00CA4879"/>
    <w:rsid w:val="00CB0BBF"/>
    <w:rsid w:val="00CB2C0F"/>
    <w:rsid w:val="00CC2E5C"/>
    <w:rsid w:val="00CD7704"/>
    <w:rsid w:val="00CE14AA"/>
    <w:rsid w:val="00CE4544"/>
    <w:rsid w:val="00CF08AE"/>
    <w:rsid w:val="00D05A2D"/>
    <w:rsid w:val="00D102EC"/>
    <w:rsid w:val="00D14970"/>
    <w:rsid w:val="00D21103"/>
    <w:rsid w:val="00D33110"/>
    <w:rsid w:val="00D33FEE"/>
    <w:rsid w:val="00D35B0E"/>
    <w:rsid w:val="00D61B81"/>
    <w:rsid w:val="00D6241A"/>
    <w:rsid w:val="00D74335"/>
    <w:rsid w:val="00D76F2A"/>
    <w:rsid w:val="00D86386"/>
    <w:rsid w:val="00DC0A10"/>
    <w:rsid w:val="00DC0EDF"/>
    <w:rsid w:val="00DC553C"/>
    <w:rsid w:val="00DC7280"/>
    <w:rsid w:val="00DD2998"/>
    <w:rsid w:val="00DD4168"/>
    <w:rsid w:val="00DD5B86"/>
    <w:rsid w:val="00DD7883"/>
    <w:rsid w:val="00DE2BC7"/>
    <w:rsid w:val="00DE435C"/>
    <w:rsid w:val="00DE62F6"/>
    <w:rsid w:val="00DF5AE3"/>
    <w:rsid w:val="00E02BF6"/>
    <w:rsid w:val="00E15E88"/>
    <w:rsid w:val="00E1631A"/>
    <w:rsid w:val="00E34DCD"/>
    <w:rsid w:val="00E54B68"/>
    <w:rsid w:val="00E6260F"/>
    <w:rsid w:val="00E6776E"/>
    <w:rsid w:val="00E7746A"/>
    <w:rsid w:val="00E91A9E"/>
    <w:rsid w:val="00E940D7"/>
    <w:rsid w:val="00EA0FB4"/>
    <w:rsid w:val="00EA4066"/>
    <w:rsid w:val="00EB3433"/>
    <w:rsid w:val="00EB5211"/>
    <w:rsid w:val="00EB6445"/>
    <w:rsid w:val="00EB7E3E"/>
    <w:rsid w:val="00EC4641"/>
    <w:rsid w:val="00ED0709"/>
    <w:rsid w:val="00ED426F"/>
    <w:rsid w:val="00ED6006"/>
    <w:rsid w:val="00EE20D8"/>
    <w:rsid w:val="00EF2CD3"/>
    <w:rsid w:val="00F12660"/>
    <w:rsid w:val="00F4420D"/>
    <w:rsid w:val="00F552D1"/>
    <w:rsid w:val="00F558ED"/>
    <w:rsid w:val="00F55DEB"/>
    <w:rsid w:val="00F73546"/>
    <w:rsid w:val="00FB4D15"/>
    <w:rsid w:val="00FC6CE6"/>
    <w:rsid w:val="00FD4014"/>
    <w:rsid w:val="00FE7FE2"/>
    <w:rsid w:val="64E21D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D020E7"/>
  <w14:defaultImageDpi w14:val="300"/>
  <w15:docId w15:val="{63BA29A7-AFC3-40D7-B349-2F56127A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7B02CA"/>
    <w:pPr>
      <w:keepNext/>
      <w:keepLines/>
      <w:spacing w:before="240" w:after="240"/>
      <w:outlineLvl w:val="0"/>
    </w:pPr>
    <w:rPr>
      <w:rFonts w:eastAsiaTheme="majorEastAsia" w:cstheme="majorBidi"/>
      <w:color w:val="004270"/>
      <w:sz w:val="44"/>
      <w:szCs w:val="44"/>
      <w:lang w:val="en-GB"/>
    </w:rPr>
  </w:style>
  <w:style w:type="paragraph" w:styleId="Heading2">
    <w:name w:val="heading 2"/>
    <w:basedOn w:val="Normal"/>
    <w:next w:val="Normal"/>
    <w:link w:val="Heading2Char"/>
    <w:uiPriority w:val="9"/>
    <w:unhideWhenUsed/>
    <w:qFormat/>
    <w:rsid w:val="0035517B"/>
    <w:pPr>
      <w:keepNext/>
      <w:keepLines/>
      <w:spacing w:before="240"/>
      <w:outlineLvl w:val="1"/>
    </w:pPr>
    <w:rPr>
      <w:rFonts w:eastAsiaTheme="majorEastAsia" w:cstheme="majorBidi"/>
      <w:color w:val="004270"/>
      <w:sz w:val="36"/>
    </w:rPr>
  </w:style>
  <w:style w:type="paragraph" w:styleId="Heading3">
    <w:name w:val="heading 3"/>
    <w:basedOn w:val="Normal"/>
    <w:next w:val="Normal"/>
    <w:link w:val="Heading3Char"/>
    <w:uiPriority w:val="9"/>
    <w:unhideWhenUsed/>
    <w:qFormat/>
    <w:rsid w:val="0035517B"/>
    <w:pPr>
      <w:keepNext/>
      <w:keepLines/>
      <w:spacing w:before="240"/>
      <w:outlineLvl w:val="2"/>
    </w:pPr>
    <w:rPr>
      <w:rFonts w:eastAsiaTheme="majorEastAsia" w:cstheme="majorBidi"/>
      <w:color w:val="00427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Footnote text,5_G,Footnote Text Char Char Char Char Char Char,Footnote Text Char Char Char Char Char Char Char Char Char Char Char Char Char Char Char Char Char,C,Footnote Text2,Footnote Text Char Char,Footnote Text Char1 Char Char,Text,Te"/>
    <w:basedOn w:val="Normal"/>
    <w:link w:val="FootnoteTextChar"/>
    <w:uiPriority w:val="99"/>
    <w:unhideWhenUsed/>
    <w:qFormat/>
    <w:rsid w:val="00C33416"/>
    <w:rPr>
      <w:sz w:val="20"/>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Footnote Text2 Char,Text Char,Te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Footnote,Stinking Styles,Footnotes refss Char Char1,4_G Char Char Char1 Char Char Char Char Char Char,Footnote Reference1 Char Char Char1 Char Char Char Char Char Char,Texto de nota al pie,BVI fnr,f"/>
    <w:basedOn w:val="DefaultParagraphFont"/>
    <w:uiPriority w:val="99"/>
    <w:unhideWhenUsed/>
    <w:qFormat/>
    <w:rsid w:val="0034134D"/>
    <w:rPr>
      <w:vertAlign w:val="superscript"/>
    </w:rPr>
  </w:style>
  <w:style w:type="character" w:customStyle="1" w:styleId="Heading1Char">
    <w:name w:val="Heading 1 Char"/>
    <w:basedOn w:val="DefaultParagraphFont"/>
    <w:link w:val="Heading1"/>
    <w:uiPriority w:val="9"/>
    <w:rsid w:val="007B02CA"/>
    <w:rPr>
      <w:rFonts w:ascii="Arial" w:eastAsiaTheme="majorEastAsia" w:hAnsi="Arial" w:cstheme="majorBidi"/>
      <w:color w:val="004270"/>
      <w:sz w:val="44"/>
      <w:szCs w:val="44"/>
      <w:lang w:val="en-GB"/>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35517B"/>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056960"/>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35517B"/>
    <w:rPr>
      <w:rFonts w:ascii="Arial" w:eastAsiaTheme="majorEastAsia" w:hAnsi="Arial" w:cstheme="majorBidi"/>
      <w:color w:val="004270"/>
      <w:sz w:val="28"/>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numPr>
        <w:numId w:val="28"/>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16"/>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a9ec758c-7b29-4bbd-836f-c599af6fef2b">CS3F356C3TDS-419011906-3513</_dlc_DocId>
    <_dlc_DocIdUrl xmlns="a9ec758c-7b29-4bbd-836f-c599af6fef2b">
      <Url>https://qldhrc.sharepoint.com/sites/LegalResearchandPolicy/_layouts/15/DocIdRedir.aspx?ID=CS3F356C3TDS-419011906-3513</Url>
      <Description>CS3F356C3TDS-419011906-3513</Description>
    </_dlc_DocIdUrl>
    <Filenumber xmlns="a9ec758c-7b29-4bbd-836f-c599af6fef2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FF9340CB8F7EB4997B2DB42177774D5" ma:contentTypeVersion="5" ma:contentTypeDescription="Create a new document." ma:contentTypeScope="" ma:versionID="3ecb744955b1369f30e326669501321b">
  <xsd:schema xmlns:xsd="http://www.w3.org/2001/XMLSchema" xmlns:xs="http://www.w3.org/2001/XMLSchema" xmlns:p="http://schemas.microsoft.com/office/2006/metadata/properties" xmlns:ns2="a9ec758c-7b29-4bbd-836f-c599af6fef2b" xmlns:ns3="9ce53bef-e5d1-4308-a048-986453adcb2d" targetNamespace="http://schemas.microsoft.com/office/2006/metadata/properties" ma:root="true" ma:fieldsID="48d0d46d4953bc14011fb8992937ef80" ns2:_="" ns3:_="">
    <xsd:import namespace="a9ec758c-7b29-4bbd-836f-c599af6fef2b"/>
    <xsd:import namespace="9ce53bef-e5d1-4308-a048-986453adcb2d"/>
    <xsd:element name="properties">
      <xsd:complexType>
        <xsd:sequence>
          <xsd:element name="documentManagement">
            <xsd:complexType>
              <xsd:all>
                <xsd:element ref="ns2:_dlc_DocId" minOccurs="0"/>
                <xsd:element ref="ns2:_dlc_DocIdUrl" minOccurs="0"/>
                <xsd:element ref="ns2:_dlc_DocIdPersistId" minOccurs="0"/>
                <xsd:element ref="ns2:File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758c-7b29-4bbd-836f-c599af6fe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lenumber" ma:index="11" nillable="true" ma:displayName="File number" ma:internalName="File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53bef-e5d1-4308-a048-986453adcb2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88254B-09DF-402A-ADFF-4B62536581A4}">
  <ds:schemaRefs>
    <ds:schemaRef ds:uri="http://purl.org/dc/terms/"/>
    <ds:schemaRef ds:uri="http://schemas.microsoft.com/office/infopath/2007/PartnerControls"/>
    <ds:schemaRef ds:uri="http://schemas.microsoft.com/office/2006/metadata/properties"/>
    <ds:schemaRef ds:uri="http://purl.org/dc/elements/1.1/"/>
    <ds:schemaRef ds:uri="9ce53bef-e5d1-4308-a048-986453adcb2d"/>
    <ds:schemaRef ds:uri="http://schemas.microsoft.com/office/2006/documentManagement/types"/>
    <ds:schemaRef ds:uri="a9ec758c-7b29-4bbd-836f-c599af6fef2b"/>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87DC833-81BF-4820-A55E-25E6B8F37DBC}">
  <ds:schemaRefs>
    <ds:schemaRef ds:uri="http://schemas.openxmlformats.org/officeDocument/2006/bibliography"/>
  </ds:schemaRefs>
</ds:datastoreItem>
</file>

<file path=customXml/itemProps4.xml><?xml version="1.0" encoding="utf-8"?>
<ds:datastoreItem xmlns:ds="http://schemas.openxmlformats.org/officeDocument/2006/customXml" ds:itemID="{CC6E1DEF-9B51-4A62-85B4-81155AA356CD}">
  <ds:schemaRefs>
    <ds:schemaRef ds:uri="http://schemas.microsoft.com/sharepoint/v3/contenttype/forms"/>
  </ds:schemaRefs>
</ds:datastoreItem>
</file>

<file path=customXml/itemProps5.xml><?xml version="1.0" encoding="utf-8"?>
<ds:datastoreItem xmlns:ds="http://schemas.openxmlformats.org/officeDocument/2006/customXml" ds:itemID="{20D58BD8-E061-4D7F-828E-D10243EB3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758c-7b29-4bbd-836f-c599af6fef2b"/>
    <ds:schemaRef ds:uri="9ce53bef-e5d1-4308-a048-986453ad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37A38B1-5686-40EC-9605-8E49A6C631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3196</Words>
  <Characters>18222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21376</CharactersWithSpaces>
  <SharedDoc>false</SharedDoc>
  <HLinks>
    <vt:vector size="66" baseType="variant">
      <vt:variant>
        <vt:i4>1114160</vt:i4>
      </vt:variant>
      <vt:variant>
        <vt:i4>62</vt:i4>
      </vt:variant>
      <vt:variant>
        <vt:i4>0</vt:i4>
      </vt:variant>
      <vt:variant>
        <vt:i4>5</vt:i4>
      </vt:variant>
      <vt:variant>
        <vt:lpwstr/>
      </vt:variant>
      <vt:variant>
        <vt:lpwstr>_Toc184803553</vt:lpwstr>
      </vt:variant>
      <vt:variant>
        <vt:i4>1114160</vt:i4>
      </vt:variant>
      <vt:variant>
        <vt:i4>56</vt:i4>
      </vt:variant>
      <vt:variant>
        <vt:i4>0</vt:i4>
      </vt:variant>
      <vt:variant>
        <vt:i4>5</vt:i4>
      </vt:variant>
      <vt:variant>
        <vt:lpwstr/>
      </vt:variant>
      <vt:variant>
        <vt:lpwstr>_Toc184803552</vt:lpwstr>
      </vt:variant>
      <vt:variant>
        <vt:i4>1114160</vt:i4>
      </vt:variant>
      <vt:variant>
        <vt:i4>50</vt:i4>
      </vt:variant>
      <vt:variant>
        <vt:i4>0</vt:i4>
      </vt:variant>
      <vt:variant>
        <vt:i4>5</vt:i4>
      </vt:variant>
      <vt:variant>
        <vt:lpwstr/>
      </vt:variant>
      <vt:variant>
        <vt:lpwstr>_Toc184803551</vt:lpwstr>
      </vt:variant>
      <vt:variant>
        <vt:i4>1114160</vt:i4>
      </vt:variant>
      <vt:variant>
        <vt:i4>44</vt:i4>
      </vt:variant>
      <vt:variant>
        <vt:i4>0</vt:i4>
      </vt:variant>
      <vt:variant>
        <vt:i4>5</vt:i4>
      </vt:variant>
      <vt:variant>
        <vt:lpwstr/>
      </vt:variant>
      <vt:variant>
        <vt:lpwstr>_Toc184803550</vt:lpwstr>
      </vt:variant>
      <vt:variant>
        <vt:i4>1048624</vt:i4>
      </vt:variant>
      <vt:variant>
        <vt:i4>38</vt:i4>
      </vt:variant>
      <vt:variant>
        <vt:i4>0</vt:i4>
      </vt:variant>
      <vt:variant>
        <vt:i4>5</vt:i4>
      </vt:variant>
      <vt:variant>
        <vt:lpwstr/>
      </vt:variant>
      <vt:variant>
        <vt:lpwstr>_Toc184803549</vt:lpwstr>
      </vt:variant>
      <vt:variant>
        <vt:i4>1048624</vt:i4>
      </vt:variant>
      <vt:variant>
        <vt:i4>32</vt:i4>
      </vt:variant>
      <vt:variant>
        <vt:i4>0</vt:i4>
      </vt:variant>
      <vt:variant>
        <vt:i4>5</vt:i4>
      </vt:variant>
      <vt:variant>
        <vt:lpwstr/>
      </vt:variant>
      <vt:variant>
        <vt:lpwstr>_Toc184803548</vt:lpwstr>
      </vt:variant>
      <vt:variant>
        <vt:i4>1048624</vt:i4>
      </vt:variant>
      <vt:variant>
        <vt:i4>26</vt:i4>
      </vt:variant>
      <vt:variant>
        <vt:i4>0</vt:i4>
      </vt:variant>
      <vt:variant>
        <vt:i4>5</vt:i4>
      </vt:variant>
      <vt:variant>
        <vt:lpwstr/>
      </vt:variant>
      <vt:variant>
        <vt:lpwstr>_Toc184803547</vt:lpwstr>
      </vt:variant>
      <vt:variant>
        <vt:i4>1048624</vt:i4>
      </vt:variant>
      <vt:variant>
        <vt:i4>20</vt:i4>
      </vt:variant>
      <vt:variant>
        <vt:i4>0</vt:i4>
      </vt:variant>
      <vt:variant>
        <vt:i4>5</vt:i4>
      </vt:variant>
      <vt:variant>
        <vt:lpwstr/>
      </vt:variant>
      <vt:variant>
        <vt:lpwstr>_Toc184803546</vt:lpwstr>
      </vt:variant>
      <vt:variant>
        <vt:i4>1048624</vt:i4>
      </vt:variant>
      <vt:variant>
        <vt:i4>14</vt:i4>
      </vt:variant>
      <vt:variant>
        <vt:i4>0</vt:i4>
      </vt:variant>
      <vt:variant>
        <vt:i4>5</vt:i4>
      </vt:variant>
      <vt:variant>
        <vt:lpwstr/>
      </vt:variant>
      <vt:variant>
        <vt:lpwstr>_Toc184803545</vt:lpwstr>
      </vt:variant>
      <vt:variant>
        <vt:i4>1048624</vt:i4>
      </vt:variant>
      <vt:variant>
        <vt:i4>8</vt:i4>
      </vt:variant>
      <vt:variant>
        <vt:i4>0</vt:i4>
      </vt:variant>
      <vt:variant>
        <vt:i4>5</vt:i4>
      </vt:variant>
      <vt:variant>
        <vt:lpwstr/>
      </vt:variant>
      <vt:variant>
        <vt:lpwstr>_Toc184803544</vt:lpwstr>
      </vt:variant>
      <vt:variant>
        <vt:i4>1048624</vt:i4>
      </vt:variant>
      <vt:variant>
        <vt:i4>2</vt:i4>
      </vt:variant>
      <vt:variant>
        <vt:i4>0</vt:i4>
      </vt:variant>
      <vt:variant>
        <vt:i4>5</vt:i4>
      </vt:variant>
      <vt:variant>
        <vt:lpwstr/>
      </vt:variant>
      <vt:variant>
        <vt:lpwstr>_Toc184803543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Rebekah Leong</dc:creator>
  <cp:keywords/>
  <dc:description/>
  <cp:lastModifiedBy>Rebekah Leong</cp:lastModifiedBy>
  <cp:revision>38</cp:revision>
  <cp:lastPrinted>2024-12-11T05:20:00Z</cp:lastPrinted>
  <dcterms:created xsi:type="dcterms:W3CDTF">2024-12-10T22:54:00Z</dcterms:created>
  <dcterms:modified xsi:type="dcterms:W3CDTF">2024-12-11T05:21:00Z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0x0101008FF9340CB8F7EB4997B2DB42177774D5</vt:lpwstr>
  </property>
  <property fmtid="{D5CDD505-2E9C-101B-9397-08002B2CF9AE}" pid="3" name="_dlc_DocIdItemGuid">
    <vt:lpwstr>0d514a8c-8a4c-4ec9-93fb-7ea37e07d5c7</vt:lpwstr>
  </property>
</Properties>
</file>