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color w:val="000000" w:themeColor="text1"/>
          <w:sz w:val="28"/>
          <w:szCs w:val="28"/>
          <w:lang w:val="en-AU"/>
        </w:rPr>
        <w:id w:val="2067608509"/>
        <w:docPartObj>
          <w:docPartGallery w:val="Cover Pages"/>
          <w:docPartUnique/>
        </w:docPartObj>
      </w:sdtPr>
      <w:sdtEndPr>
        <w:rPr>
          <w:rFonts w:cstheme="minorBidi"/>
          <w:sz w:val="16"/>
          <w:szCs w:val="16"/>
        </w:rPr>
      </w:sdtEndPr>
      <w:sdtContent>
        <w:p w14:paraId="046BE9DB" w14:textId="77777777" w:rsidR="0035517B" w:rsidRDefault="0035517B" w:rsidP="00260847">
          <w:pPr>
            <w:pStyle w:val="NoSpacing"/>
            <w:spacing w:before="120" w:after="120"/>
            <w:rPr>
              <w:rFonts w:ascii="Arial" w:hAnsi="Arial" w:cs="Arial"/>
              <w:bCs/>
              <w:sz w:val="28"/>
            </w:rPr>
          </w:pPr>
        </w:p>
        <w:p w14:paraId="3AF72577" w14:textId="77777777" w:rsidR="0035517B" w:rsidRDefault="0035517B" w:rsidP="00260847">
          <w:pPr>
            <w:pStyle w:val="NoSpacing"/>
            <w:spacing w:before="120" w:after="120"/>
            <w:rPr>
              <w:rFonts w:ascii="Arial" w:hAnsi="Arial" w:cs="Arial"/>
              <w:bCs/>
              <w:sz w:val="28"/>
            </w:rPr>
          </w:pPr>
        </w:p>
        <w:p w14:paraId="366514D5"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196CEDE7" wp14:editId="02EF6800">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5EDCF79C" w14:textId="77777777" w:rsidR="0035517B" w:rsidRDefault="0035517B" w:rsidP="00260847">
          <w:pPr>
            <w:pStyle w:val="NoSpacing"/>
            <w:spacing w:before="120" w:after="120"/>
            <w:rPr>
              <w:rFonts w:ascii="Arial" w:hAnsi="Arial" w:cs="Arial"/>
              <w:bCs/>
              <w:sz w:val="28"/>
            </w:rPr>
          </w:pPr>
        </w:p>
        <w:p w14:paraId="5E13F968" w14:textId="77777777" w:rsidR="0035517B" w:rsidRDefault="0035517B" w:rsidP="00260847">
          <w:pPr>
            <w:pStyle w:val="NoSpacing"/>
            <w:spacing w:before="120" w:after="120"/>
            <w:rPr>
              <w:rFonts w:ascii="Arial" w:hAnsi="Arial" w:cs="Arial"/>
              <w:bCs/>
              <w:sz w:val="28"/>
            </w:rPr>
          </w:pPr>
        </w:p>
        <w:p w14:paraId="3F53ED89" w14:textId="77777777" w:rsidR="0035517B" w:rsidRDefault="0035517B" w:rsidP="00260847">
          <w:pPr>
            <w:pStyle w:val="NoSpacing"/>
            <w:spacing w:before="120" w:after="120"/>
            <w:rPr>
              <w:rFonts w:ascii="Arial" w:hAnsi="Arial" w:cs="Arial"/>
              <w:bCs/>
              <w:sz w:val="28"/>
            </w:rPr>
          </w:pPr>
        </w:p>
        <w:p w14:paraId="11CC8A0C" w14:textId="77777777" w:rsidR="0035517B" w:rsidRDefault="0035517B" w:rsidP="00260847">
          <w:pPr>
            <w:pStyle w:val="NoSpacing"/>
            <w:spacing w:before="120" w:after="120"/>
            <w:rPr>
              <w:rFonts w:ascii="Arial" w:hAnsi="Arial" w:cs="Arial"/>
              <w:bCs/>
              <w:sz w:val="28"/>
            </w:rPr>
          </w:pPr>
        </w:p>
        <w:p w14:paraId="6ED8A9B3" w14:textId="77777777" w:rsidR="0035517B" w:rsidRDefault="0035517B" w:rsidP="00260847">
          <w:pPr>
            <w:pStyle w:val="NoSpacing"/>
            <w:spacing w:before="120" w:after="120"/>
            <w:rPr>
              <w:rFonts w:ascii="Arial" w:hAnsi="Arial" w:cs="Arial"/>
              <w:bCs/>
              <w:sz w:val="28"/>
            </w:rPr>
          </w:pPr>
        </w:p>
        <w:p w14:paraId="08F332D7" w14:textId="77777777" w:rsidR="0035517B" w:rsidRDefault="0035517B" w:rsidP="00260847">
          <w:pPr>
            <w:pStyle w:val="NoSpacing"/>
            <w:spacing w:before="120" w:after="120"/>
            <w:rPr>
              <w:rFonts w:ascii="Arial" w:hAnsi="Arial" w:cs="Arial"/>
              <w:bCs/>
              <w:sz w:val="28"/>
            </w:rPr>
          </w:pPr>
        </w:p>
        <w:p w14:paraId="74F20A7D" w14:textId="2A067C46" w:rsidR="0035517B" w:rsidRPr="0035517B" w:rsidRDefault="00EE1A9B" w:rsidP="0035517B">
          <w:pPr>
            <w:pStyle w:val="Title"/>
          </w:pPr>
          <w:r>
            <w:t>Putting Queensland Kids First: Consultation Draft</w:t>
          </w:r>
        </w:p>
        <w:p w14:paraId="048959F2" w14:textId="7D3D1E06" w:rsidR="00260847" w:rsidRPr="00B35855" w:rsidRDefault="00260847" w:rsidP="00B35855">
          <w:pPr>
            <w:rPr>
              <w:color w:val="002060"/>
              <w:sz w:val="36"/>
              <w:szCs w:val="36"/>
            </w:rPr>
          </w:pPr>
          <w:r w:rsidRPr="00B35855">
            <w:rPr>
              <w:color w:val="002060"/>
              <w:sz w:val="36"/>
              <w:szCs w:val="36"/>
            </w:rPr>
            <w:t xml:space="preserve">Submission to </w:t>
          </w:r>
          <w:r w:rsidR="00EE1A9B">
            <w:rPr>
              <w:color w:val="002060"/>
              <w:sz w:val="36"/>
              <w:szCs w:val="36"/>
            </w:rPr>
            <w:t xml:space="preserve">Department of </w:t>
          </w:r>
          <w:r w:rsidR="00C24A47">
            <w:rPr>
              <w:color w:val="002060"/>
              <w:sz w:val="36"/>
              <w:szCs w:val="36"/>
            </w:rPr>
            <w:t xml:space="preserve">the </w:t>
          </w:r>
          <w:r w:rsidR="00EE1A9B">
            <w:rPr>
              <w:color w:val="002060"/>
              <w:sz w:val="36"/>
              <w:szCs w:val="36"/>
            </w:rPr>
            <w:t>Premier and Cabinet</w:t>
          </w:r>
        </w:p>
        <w:p w14:paraId="244C4832" w14:textId="1C920CEC" w:rsidR="00260847" w:rsidRPr="00B35855" w:rsidRDefault="00EE1A9B" w:rsidP="00B35855">
          <w:pPr>
            <w:rPr>
              <w:color w:val="002060"/>
              <w:sz w:val="36"/>
              <w:szCs w:val="36"/>
            </w:rPr>
          </w:pPr>
          <w:r>
            <w:rPr>
              <w:color w:val="002060"/>
              <w:sz w:val="36"/>
              <w:szCs w:val="36"/>
            </w:rPr>
            <w:t>21</w:t>
          </w:r>
          <w:r w:rsidR="00F5290B" w:rsidRPr="00B35855">
            <w:rPr>
              <w:color w:val="002060"/>
              <w:sz w:val="36"/>
              <w:szCs w:val="36"/>
            </w:rPr>
            <w:t xml:space="preserve"> February 2024</w:t>
          </w:r>
        </w:p>
        <w:p w14:paraId="1D7A713F" w14:textId="77777777" w:rsidR="00260847" w:rsidRDefault="00260847">
          <w:pPr>
            <w:rPr>
              <w:rFonts w:cs="Arial"/>
              <w:bCs/>
              <w:sz w:val="28"/>
              <w:szCs w:val="22"/>
              <w:lang w:val="en-US"/>
            </w:rPr>
          </w:pPr>
          <w:r>
            <w:rPr>
              <w:rFonts w:cs="Arial"/>
              <w:bCs/>
              <w:sz w:val="28"/>
            </w:rPr>
            <w:br w:type="page"/>
          </w:r>
        </w:p>
        <w:p w14:paraId="7D573182" w14:textId="77777777" w:rsidR="004A2375" w:rsidRDefault="004A2375" w:rsidP="00260847">
          <w:pPr>
            <w:pStyle w:val="NoSpacing"/>
            <w:spacing w:before="120" w:after="120"/>
          </w:pPr>
        </w:p>
        <w:p w14:paraId="15134E34" w14:textId="77777777" w:rsidR="00A16356" w:rsidRPr="004A2375" w:rsidRDefault="00615D48">
          <w:pPr>
            <w:rPr>
              <w:rFonts w:eastAsiaTheme="majorEastAsia" w:cstheme="majorBidi"/>
              <w:b/>
              <w:color w:val="365F91" w:themeColor="accent1" w:themeShade="BF"/>
              <w:sz w:val="16"/>
              <w:szCs w:val="16"/>
            </w:rPr>
          </w:pPr>
        </w:p>
      </w:sdtContent>
    </w:sdt>
    <w:bookmarkStart w:id="0" w:name="_Toc159426518"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b/>
          <w:bCs/>
          <w:noProof/>
          <w:color w:val="000000" w:themeColor="text1"/>
          <w:sz w:val="22"/>
          <w:szCs w:val="22"/>
          <w:lang w:val="en-AU"/>
        </w:rPr>
      </w:sdtEndPr>
      <w:sdtContent>
        <w:p w14:paraId="20ABCBAD" w14:textId="77777777" w:rsidR="00A16356" w:rsidRPr="00A16356" w:rsidRDefault="00260847" w:rsidP="005C69C9">
          <w:pPr>
            <w:pStyle w:val="Heading1"/>
          </w:pPr>
          <w:r>
            <w:t>Table of c</w:t>
          </w:r>
          <w:r w:rsidR="00A16356" w:rsidRPr="00A16356">
            <w:t>ontents</w:t>
          </w:r>
          <w:bookmarkEnd w:id="0"/>
        </w:p>
        <w:p w14:paraId="1313F261" w14:textId="54551D91" w:rsidR="00C72A70" w:rsidRDefault="00A16356">
          <w:pPr>
            <w:pStyle w:val="TOC1"/>
            <w:rPr>
              <w:rFonts w:asciiTheme="minorHAnsi" w:hAnsiTheme="minorHAnsi"/>
              <w:noProof/>
              <w:color w:val="auto"/>
              <w:kern w:val="2"/>
              <w:sz w:val="24"/>
              <w:lang w:eastAsia="en-AU"/>
              <w14:ligatures w14:val="standardContextual"/>
            </w:rPr>
          </w:pPr>
          <w:r w:rsidRPr="00041E58">
            <w:rPr>
              <w:rFonts w:cs="Arial"/>
              <w:b/>
              <w:bCs/>
              <w:noProof/>
            </w:rPr>
            <w:fldChar w:fldCharType="begin"/>
          </w:r>
          <w:r w:rsidRPr="00041E58">
            <w:rPr>
              <w:rFonts w:cs="Arial"/>
              <w:b/>
              <w:bCs/>
              <w:noProof/>
            </w:rPr>
            <w:instrText xml:space="preserve"> TOC \o "1-3" \h \z \u </w:instrText>
          </w:r>
          <w:r w:rsidRPr="00041E58">
            <w:rPr>
              <w:rFonts w:cs="Arial"/>
              <w:b/>
              <w:bCs/>
              <w:noProof/>
            </w:rPr>
            <w:fldChar w:fldCharType="separate"/>
          </w:r>
          <w:hyperlink w:anchor="_Toc159426518" w:history="1"/>
        </w:p>
        <w:p w14:paraId="7F463FBD" w14:textId="1DAF73D8" w:rsidR="00C72A70" w:rsidRDefault="00615D48">
          <w:pPr>
            <w:pStyle w:val="TOC1"/>
            <w:rPr>
              <w:rFonts w:asciiTheme="minorHAnsi" w:hAnsiTheme="minorHAnsi"/>
              <w:noProof/>
              <w:color w:val="auto"/>
              <w:kern w:val="2"/>
              <w:sz w:val="24"/>
              <w:lang w:eastAsia="en-AU"/>
              <w14:ligatures w14:val="standardContextual"/>
            </w:rPr>
          </w:pPr>
          <w:hyperlink w:anchor="_Toc159426519" w:history="1">
            <w:r w:rsidR="00C72A70" w:rsidRPr="00936390">
              <w:rPr>
                <w:rStyle w:val="Hyperlink"/>
                <w:noProof/>
              </w:rPr>
              <w:t>Introduction</w:t>
            </w:r>
            <w:r w:rsidR="00C72A70">
              <w:rPr>
                <w:noProof/>
                <w:webHidden/>
              </w:rPr>
              <w:tab/>
            </w:r>
            <w:r w:rsidR="00C72A70">
              <w:rPr>
                <w:noProof/>
                <w:webHidden/>
              </w:rPr>
              <w:fldChar w:fldCharType="begin"/>
            </w:r>
            <w:r w:rsidR="00C72A70">
              <w:rPr>
                <w:noProof/>
                <w:webHidden/>
              </w:rPr>
              <w:instrText xml:space="preserve"> PAGEREF _Toc159426519 \h </w:instrText>
            </w:r>
            <w:r w:rsidR="00C72A70">
              <w:rPr>
                <w:noProof/>
                <w:webHidden/>
              </w:rPr>
            </w:r>
            <w:r w:rsidR="00C72A70">
              <w:rPr>
                <w:noProof/>
                <w:webHidden/>
              </w:rPr>
              <w:fldChar w:fldCharType="separate"/>
            </w:r>
            <w:r w:rsidR="004E1225">
              <w:rPr>
                <w:noProof/>
                <w:webHidden/>
              </w:rPr>
              <w:t>2</w:t>
            </w:r>
            <w:r w:rsidR="00C72A70">
              <w:rPr>
                <w:noProof/>
                <w:webHidden/>
              </w:rPr>
              <w:fldChar w:fldCharType="end"/>
            </w:r>
          </w:hyperlink>
        </w:p>
        <w:p w14:paraId="450820F5" w14:textId="71C93D5E" w:rsidR="00C72A70" w:rsidRDefault="00615D48">
          <w:pPr>
            <w:pStyle w:val="TOC1"/>
            <w:rPr>
              <w:rFonts w:asciiTheme="minorHAnsi" w:hAnsiTheme="minorHAnsi"/>
              <w:noProof/>
              <w:color w:val="auto"/>
              <w:kern w:val="2"/>
              <w:sz w:val="24"/>
              <w:lang w:eastAsia="en-AU"/>
              <w14:ligatures w14:val="standardContextual"/>
            </w:rPr>
          </w:pPr>
          <w:hyperlink w:anchor="_Toc159426520" w:history="1">
            <w:r w:rsidR="00C72A70" w:rsidRPr="00936390">
              <w:rPr>
                <w:rStyle w:val="Hyperlink"/>
                <w:noProof/>
                <w:lang w:val="en-US"/>
              </w:rPr>
              <w:t>About the Commission</w:t>
            </w:r>
            <w:r w:rsidR="00C72A70">
              <w:rPr>
                <w:noProof/>
                <w:webHidden/>
              </w:rPr>
              <w:tab/>
            </w:r>
            <w:r w:rsidR="00C72A70">
              <w:rPr>
                <w:noProof/>
                <w:webHidden/>
              </w:rPr>
              <w:fldChar w:fldCharType="begin"/>
            </w:r>
            <w:r w:rsidR="00C72A70">
              <w:rPr>
                <w:noProof/>
                <w:webHidden/>
              </w:rPr>
              <w:instrText xml:space="preserve"> PAGEREF _Toc159426520 \h </w:instrText>
            </w:r>
            <w:r w:rsidR="00C72A70">
              <w:rPr>
                <w:noProof/>
                <w:webHidden/>
              </w:rPr>
            </w:r>
            <w:r w:rsidR="00C72A70">
              <w:rPr>
                <w:noProof/>
                <w:webHidden/>
              </w:rPr>
              <w:fldChar w:fldCharType="separate"/>
            </w:r>
            <w:r w:rsidR="004E1225">
              <w:rPr>
                <w:noProof/>
                <w:webHidden/>
              </w:rPr>
              <w:t>2</w:t>
            </w:r>
            <w:r w:rsidR="00C72A70">
              <w:rPr>
                <w:noProof/>
                <w:webHidden/>
              </w:rPr>
              <w:fldChar w:fldCharType="end"/>
            </w:r>
          </w:hyperlink>
        </w:p>
        <w:p w14:paraId="63E53509" w14:textId="648179FA" w:rsidR="00C72A70" w:rsidRDefault="00615D48">
          <w:pPr>
            <w:pStyle w:val="TOC1"/>
            <w:rPr>
              <w:rFonts w:asciiTheme="minorHAnsi" w:hAnsiTheme="minorHAnsi"/>
              <w:noProof/>
              <w:color w:val="auto"/>
              <w:kern w:val="2"/>
              <w:sz w:val="24"/>
              <w:lang w:eastAsia="en-AU"/>
              <w14:ligatures w14:val="standardContextual"/>
            </w:rPr>
          </w:pPr>
          <w:hyperlink w:anchor="_Toc159426521" w:history="1">
            <w:r w:rsidR="00C72A70" w:rsidRPr="00936390">
              <w:rPr>
                <w:rStyle w:val="Hyperlink"/>
                <w:noProof/>
              </w:rPr>
              <w:t>Summary of submission</w:t>
            </w:r>
            <w:r w:rsidR="00C72A70">
              <w:rPr>
                <w:noProof/>
                <w:webHidden/>
              </w:rPr>
              <w:tab/>
            </w:r>
            <w:r w:rsidR="00C72A70">
              <w:rPr>
                <w:noProof/>
                <w:webHidden/>
              </w:rPr>
              <w:fldChar w:fldCharType="begin"/>
            </w:r>
            <w:r w:rsidR="00C72A70">
              <w:rPr>
                <w:noProof/>
                <w:webHidden/>
              </w:rPr>
              <w:instrText xml:space="preserve"> PAGEREF _Toc159426521 \h </w:instrText>
            </w:r>
            <w:r w:rsidR="00C72A70">
              <w:rPr>
                <w:noProof/>
                <w:webHidden/>
              </w:rPr>
            </w:r>
            <w:r w:rsidR="00C72A70">
              <w:rPr>
                <w:noProof/>
                <w:webHidden/>
              </w:rPr>
              <w:fldChar w:fldCharType="separate"/>
            </w:r>
            <w:r w:rsidR="004E1225">
              <w:rPr>
                <w:noProof/>
                <w:webHidden/>
              </w:rPr>
              <w:t>3</w:t>
            </w:r>
            <w:r w:rsidR="00C72A70">
              <w:rPr>
                <w:noProof/>
                <w:webHidden/>
              </w:rPr>
              <w:fldChar w:fldCharType="end"/>
            </w:r>
          </w:hyperlink>
        </w:p>
        <w:p w14:paraId="6B3098E5" w14:textId="3CC884DE" w:rsidR="00C72A70" w:rsidRDefault="00615D48">
          <w:pPr>
            <w:pStyle w:val="TOC1"/>
            <w:rPr>
              <w:rFonts w:asciiTheme="minorHAnsi" w:hAnsiTheme="minorHAnsi"/>
              <w:noProof/>
              <w:color w:val="auto"/>
              <w:kern w:val="2"/>
              <w:sz w:val="24"/>
              <w:lang w:eastAsia="en-AU"/>
              <w14:ligatures w14:val="standardContextual"/>
            </w:rPr>
          </w:pPr>
          <w:hyperlink w:anchor="_Toc159426522" w:history="1">
            <w:r w:rsidR="00C72A70" w:rsidRPr="00936390">
              <w:rPr>
                <w:rStyle w:val="Hyperlink"/>
                <w:rFonts w:cs="Arial"/>
                <w:noProof/>
                <w:lang w:val="en-US"/>
              </w:rPr>
              <w:t>Vision, scope, and relationship with other policies</w:t>
            </w:r>
            <w:r w:rsidR="00C72A70">
              <w:rPr>
                <w:noProof/>
                <w:webHidden/>
              </w:rPr>
              <w:tab/>
            </w:r>
            <w:r w:rsidR="00C72A70">
              <w:rPr>
                <w:noProof/>
                <w:webHidden/>
              </w:rPr>
              <w:fldChar w:fldCharType="begin"/>
            </w:r>
            <w:r w:rsidR="00C72A70">
              <w:rPr>
                <w:noProof/>
                <w:webHidden/>
              </w:rPr>
              <w:instrText xml:space="preserve"> PAGEREF _Toc159426522 \h </w:instrText>
            </w:r>
            <w:r w:rsidR="00C72A70">
              <w:rPr>
                <w:noProof/>
                <w:webHidden/>
              </w:rPr>
            </w:r>
            <w:r w:rsidR="00C72A70">
              <w:rPr>
                <w:noProof/>
                <w:webHidden/>
              </w:rPr>
              <w:fldChar w:fldCharType="separate"/>
            </w:r>
            <w:r w:rsidR="004E1225">
              <w:rPr>
                <w:noProof/>
                <w:webHidden/>
              </w:rPr>
              <w:t>4</w:t>
            </w:r>
            <w:r w:rsidR="00C72A70">
              <w:rPr>
                <w:noProof/>
                <w:webHidden/>
              </w:rPr>
              <w:fldChar w:fldCharType="end"/>
            </w:r>
          </w:hyperlink>
        </w:p>
        <w:p w14:paraId="42668858" w14:textId="10804ADF"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23" w:history="1">
            <w:r w:rsidR="00C72A70" w:rsidRPr="00936390">
              <w:rPr>
                <w:rStyle w:val="Hyperlink"/>
                <w:noProof/>
              </w:rPr>
              <w:t>Vision and purpose</w:t>
            </w:r>
            <w:r w:rsidR="00C72A70">
              <w:rPr>
                <w:noProof/>
                <w:webHidden/>
              </w:rPr>
              <w:tab/>
            </w:r>
            <w:r w:rsidR="00C72A70">
              <w:rPr>
                <w:noProof/>
                <w:webHidden/>
              </w:rPr>
              <w:fldChar w:fldCharType="begin"/>
            </w:r>
            <w:r w:rsidR="00C72A70">
              <w:rPr>
                <w:noProof/>
                <w:webHidden/>
              </w:rPr>
              <w:instrText xml:space="preserve"> PAGEREF _Toc159426523 \h </w:instrText>
            </w:r>
            <w:r w:rsidR="00C72A70">
              <w:rPr>
                <w:noProof/>
                <w:webHidden/>
              </w:rPr>
            </w:r>
            <w:r w:rsidR="00C72A70">
              <w:rPr>
                <w:noProof/>
                <w:webHidden/>
              </w:rPr>
              <w:fldChar w:fldCharType="separate"/>
            </w:r>
            <w:r w:rsidR="004E1225">
              <w:rPr>
                <w:noProof/>
                <w:webHidden/>
              </w:rPr>
              <w:t>4</w:t>
            </w:r>
            <w:r w:rsidR="00C72A70">
              <w:rPr>
                <w:noProof/>
                <w:webHidden/>
              </w:rPr>
              <w:fldChar w:fldCharType="end"/>
            </w:r>
          </w:hyperlink>
        </w:p>
        <w:p w14:paraId="72897B3F" w14:textId="372330E4"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24" w:history="1">
            <w:r w:rsidR="00C72A70" w:rsidRPr="00936390">
              <w:rPr>
                <w:rStyle w:val="Hyperlink"/>
                <w:noProof/>
              </w:rPr>
              <w:t>Scope of the Plan and relationship with other government activity</w:t>
            </w:r>
            <w:r w:rsidR="00C72A70">
              <w:rPr>
                <w:noProof/>
                <w:webHidden/>
              </w:rPr>
              <w:tab/>
            </w:r>
            <w:r w:rsidR="00C72A70">
              <w:rPr>
                <w:noProof/>
                <w:webHidden/>
              </w:rPr>
              <w:fldChar w:fldCharType="begin"/>
            </w:r>
            <w:r w:rsidR="00C72A70">
              <w:rPr>
                <w:noProof/>
                <w:webHidden/>
              </w:rPr>
              <w:instrText xml:space="preserve"> PAGEREF _Toc159426524 \h </w:instrText>
            </w:r>
            <w:r w:rsidR="00C72A70">
              <w:rPr>
                <w:noProof/>
                <w:webHidden/>
              </w:rPr>
            </w:r>
            <w:r w:rsidR="00C72A70">
              <w:rPr>
                <w:noProof/>
                <w:webHidden/>
              </w:rPr>
              <w:fldChar w:fldCharType="separate"/>
            </w:r>
            <w:r w:rsidR="004E1225">
              <w:rPr>
                <w:noProof/>
                <w:webHidden/>
              </w:rPr>
              <w:t>6</w:t>
            </w:r>
            <w:r w:rsidR="00C72A70">
              <w:rPr>
                <w:noProof/>
                <w:webHidden/>
              </w:rPr>
              <w:fldChar w:fldCharType="end"/>
            </w:r>
          </w:hyperlink>
        </w:p>
        <w:p w14:paraId="1F4A1394" w14:textId="086B3240"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25" w:history="1">
            <w:r w:rsidR="00C72A70" w:rsidRPr="00936390">
              <w:rPr>
                <w:rStyle w:val="Hyperlink"/>
                <w:noProof/>
              </w:rPr>
              <w:t>Addressing law, policies, and practices that heighten risk</w:t>
            </w:r>
            <w:r w:rsidR="00C72A70">
              <w:rPr>
                <w:noProof/>
                <w:webHidden/>
              </w:rPr>
              <w:tab/>
            </w:r>
            <w:r w:rsidR="00C72A70">
              <w:rPr>
                <w:noProof/>
                <w:webHidden/>
              </w:rPr>
              <w:fldChar w:fldCharType="begin"/>
            </w:r>
            <w:r w:rsidR="00C72A70">
              <w:rPr>
                <w:noProof/>
                <w:webHidden/>
              </w:rPr>
              <w:instrText xml:space="preserve"> PAGEREF _Toc159426525 \h </w:instrText>
            </w:r>
            <w:r w:rsidR="00C72A70">
              <w:rPr>
                <w:noProof/>
                <w:webHidden/>
              </w:rPr>
            </w:r>
            <w:r w:rsidR="00C72A70">
              <w:rPr>
                <w:noProof/>
                <w:webHidden/>
              </w:rPr>
              <w:fldChar w:fldCharType="separate"/>
            </w:r>
            <w:r w:rsidR="004E1225">
              <w:rPr>
                <w:noProof/>
                <w:webHidden/>
              </w:rPr>
              <w:t>7</w:t>
            </w:r>
            <w:r w:rsidR="00C72A70">
              <w:rPr>
                <w:noProof/>
                <w:webHidden/>
              </w:rPr>
              <w:fldChar w:fldCharType="end"/>
            </w:r>
          </w:hyperlink>
        </w:p>
        <w:p w14:paraId="77DDD99F" w14:textId="4D242E55" w:rsidR="00C72A70" w:rsidRDefault="00615D48">
          <w:pPr>
            <w:pStyle w:val="TOC1"/>
            <w:rPr>
              <w:rFonts w:asciiTheme="minorHAnsi" w:hAnsiTheme="minorHAnsi"/>
              <w:noProof/>
              <w:color w:val="auto"/>
              <w:kern w:val="2"/>
              <w:sz w:val="24"/>
              <w:lang w:eastAsia="en-AU"/>
              <w14:ligatures w14:val="standardContextual"/>
            </w:rPr>
          </w:pPr>
          <w:hyperlink w:anchor="_Toc159426526" w:history="1">
            <w:r w:rsidR="00C72A70" w:rsidRPr="00936390">
              <w:rPr>
                <w:rStyle w:val="Hyperlink"/>
                <w:rFonts w:cs="Arial"/>
                <w:noProof/>
                <w:lang w:val="en-US"/>
              </w:rPr>
              <w:t>Consultation Question 1: Core principles</w:t>
            </w:r>
            <w:r w:rsidR="00C72A70">
              <w:rPr>
                <w:noProof/>
                <w:webHidden/>
              </w:rPr>
              <w:tab/>
            </w:r>
            <w:r w:rsidR="00C72A70">
              <w:rPr>
                <w:noProof/>
                <w:webHidden/>
              </w:rPr>
              <w:fldChar w:fldCharType="begin"/>
            </w:r>
            <w:r w:rsidR="00C72A70">
              <w:rPr>
                <w:noProof/>
                <w:webHidden/>
              </w:rPr>
              <w:instrText xml:space="preserve"> PAGEREF _Toc159426526 \h </w:instrText>
            </w:r>
            <w:r w:rsidR="00C72A70">
              <w:rPr>
                <w:noProof/>
                <w:webHidden/>
              </w:rPr>
            </w:r>
            <w:r w:rsidR="00C72A70">
              <w:rPr>
                <w:noProof/>
                <w:webHidden/>
              </w:rPr>
              <w:fldChar w:fldCharType="separate"/>
            </w:r>
            <w:r w:rsidR="004E1225">
              <w:rPr>
                <w:noProof/>
                <w:webHidden/>
              </w:rPr>
              <w:t>8</w:t>
            </w:r>
            <w:r w:rsidR="00C72A70">
              <w:rPr>
                <w:noProof/>
                <w:webHidden/>
              </w:rPr>
              <w:fldChar w:fldCharType="end"/>
            </w:r>
          </w:hyperlink>
        </w:p>
        <w:p w14:paraId="14F2A632" w14:textId="58190BE5"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27" w:history="1">
            <w:r w:rsidR="00C72A70" w:rsidRPr="00936390">
              <w:rPr>
                <w:rStyle w:val="Hyperlink"/>
                <w:noProof/>
              </w:rPr>
              <w:t>Human rights as key</w:t>
            </w:r>
            <w:r w:rsidR="00C72A70">
              <w:rPr>
                <w:noProof/>
                <w:webHidden/>
              </w:rPr>
              <w:tab/>
            </w:r>
            <w:r w:rsidR="00C72A70">
              <w:rPr>
                <w:noProof/>
                <w:webHidden/>
              </w:rPr>
              <w:fldChar w:fldCharType="begin"/>
            </w:r>
            <w:r w:rsidR="00C72A70">
              <w:rPr>
                <w:noProof/>
                <w:webHidden/>
              </w:rPr>
              <w:instrText xml:space="preserve"> PAGEREF _Toc159426527 \h </w:instrText>
            </w:r>
            <w:r w:rsidR="00C72A70">
              <w:rPr>
                <w:noProof/>
                <w:webHidden/>
              </w:rPr>
            </w:r>
            <w:r w:rsidR="00C72A70">
              <w:rPr>
                <w:noProof/>
                <w:webHidden/>
              </w:rPr>
              <w:fldChar w:fldCharType="separate"/>
            </w:r>
            <w:r w:rsidR="004E1225">
              <w:rPr>
                <w:noProof/>
                <w:webHidden/>
              </w:rPr>
              <w:t>8</w:t>
            </w:r>
            <w:r w:rsidR="00C72A70">
              <w:rPr>
                <w:noProof/>
                <w:webHidden/>
              </w:rPr>
              <w:fldChar w:fldCharType="end"/>
            </w:r>
          </w:hyperlink>
        </w:p>
        <w:p w14:paraId="3BDE8256" w14:textId="5BE4F6FC"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28" w:history="1">
            <w:r w:rsidR="00C72A70" w:rsidRPr="00936390">
              <w:rPr>
                <w:rStyle w:val="Hyperlink"/>
                <w:noProof/>
              </w:rPr>
              <w:t>Articulation of principles</w:t>
            </w:r>
            <w:r w:rsidR="00C72A70">
              <w:rPr>
                <w:noProof/>
                <w:webHidden/>
              </w:rPr>
              <w:tab/>
            </w:r>
            <w:r w:rsidR="00C72A70">
              <w:rPr>
                <w:noProof/>
                <w:webHidden/>
              </w:rPr>
              <w:fldChar w:fldCharType="begin"/>
            </w:r>
            <w:r w:rsidR="00C72A70">
              <w:rPr>
                <w:noProof/>
                <w:webHidden/>
              </w:rPr>
              <w:instrText xml:space="preserve"> PAGEREF _Toc159426528 \h </w:instrText>
            </w:r>
            <w:r w:rsidR="00C72A70">
              <w:rPr>
                <w:noProof/>
                <w:webHidden/>
              </w:rPr>
            </w:r>
            <w:r w:rsidR="00C72A70">
              <w:rPr>
                <w:noProof/>
                <w:webHidden/>
              </w:rPr>
              <w:fldChar w:fldCharType="separate"/>
            </w:r>
            <w:r w:rsidR="004E1225">
              <w:rPr>
                <w:noProof/>
                <w:webHidden/>
              </w:rPr>
              <w:t>9</w:t>
            </w:r>
            <w:r w:rsidR="00C72A70">
              <w:rPr>
                <w:noProof/>
                <w:webHidden/>
              </w:rPr>
              <w:fldChar w:fldCharType="end"/>
            </w:r>
          </w:hyperlink>
        </w:p>
        <w:p w14:paraId="623B0398" w14:textId="3E9C63AF" w:rsidR="00C72A70" w:rsidRDefault="00615D48">
          <w:pPr>
            <w:pStyle w:val="TOC1"/>
            <w:rPr>
              <w:rFonts w:asciiTheme="minorHAnsi" w:hAnsiTheme="minorHAnsi"/>
              <w:noProof/>
              <w:color w:val="auto"/>
              <w:kern w:val="2"/>
              <w:sz w:val="24"/>
              <w:lang w:eastAsia="en-AU"/>
              <w14:ligatures w14:val="standardContextual"/>
            </w:rPr>
          </w:pPr>
          <w:hyperlink w:anchor="_Toc159426529" w:history="1">
            <w:r w:rsidR="00C72A70" w:rsidRPr="00936390">
              <w:rPr>
                <w:rStyle w:val="Hyperlink"/>
                <w:noProof/>
                <w:lang w:val="en-US"/>
              </w:rPr>
              <w:t>Consultation Question 2:  Key protective factors</w:t>
            </w:r>
            <w:r w:rsidR="00C72A70">
              <w:rPr>
                <w:noProof/>
                <w:webHidden/>
              </w:rPr>
              <w:tab/>
            </w:r>
            <w:r w:rsidR="00C72A70">
              <w:rPr>
                <w:noProof/>
                <w:webHidden/>
              </w:rPr>
              <w:fldChar w:fldCharType="begin"/>
            </w:r>
            <w:r w:rsidR="00C72A70">
              <w:rPr>
                <w:noProof/>
                <w:webHidden/>
              </w:rPr>
              <w:instrText xml:space="preserve"> PAGEREF _Toc159426529 \h </w:instrText>
            </w:r>
            <w:r w:rsidR="00C72A70">
              <w:rPr>
                <w:noProof/>
                <w:webHidden/>
              </w:rPr>
            </w:r>
            <w:r w:rsidR="00C72A70">
              <w:rPr>
                <w:noProof/>
                <w:webHidden/>
              </w:rPr>
              <w:fldChar w:fldCharType="separate"/>
            </w:r>
            <w:r w:rsidR="004E1225">
              <w:rPr>
                <w:noProof/>
                <w:webHidden/>
              </w:rPr>
              <w:t>13</w:t>
            </w:r>
            <w:r w:rsidR="00C72A70">
              <w:rPr>
                <w:noProof/>
                <w:webHidden/>
              </w:rPr>
              <w:fldChar w:fldCharType="end"/>
            </w:r>
          </w:hyperlink>
        </w:p>
        <w:p w14:paraId="0D05BCB5" w14:textId="3E12EC6D"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30" w:history="1">
            <w:r w:rsidR="00C72A70" w:rsidRPr="00936390">
              <w:rPr>
                <w:rStyle w:val="Hyperlink"/>
                <w:noProof/>
              </w:rPr>
              <w:t>High quality and culturally safe early childhood education</w:t>
            </w:r>
            <w:r w:rsidR="00C72A70">
              <w:rPr>
                <w:noProof/>
                <w:webHidden/>
              </w:rPr>
              <w:tab/>
            </w:r>
            <w:r w:rsidR="00C72A70">
              <w:rPr>
                <w:noProof/>
                <w:webHidden/>
              </w:rPr>
              <w:fldChar w:fldCharType="begin"/>
            </w:r>
            <w:r w:rsidR="00C72A70">
              <w:rPr>
                <w:noProof/>
                <w:webHidden/>
              </w:rPr>
              <w:instrText xml:space="preserve"> PAGEREF _Toc159426530 \h </w:instrText>
            </w:r>
            <w:r w:rsidR="00C72A70">
              <w:rPr>
                <w:noProof/>
                <w:webHidden/>
              </w:rPr>
            </w:r>
            <w:r w:rsidR="00C72A70">
              <w:rPr>
                <w:noProof/>
                <w:webHidden/>
              </w:rPr>
              <w:fldChar w:fldCharType="separate"/>
            </w:r>
            <w:r w:rsidR="004E1225">
              <w:rPr>
                <w:noProof/>
                <w:webHidden/>
              </w:rPr>
              <w:t>13</w:t>
            </w:r>
            <w:r w:rsidR="00C72A70">
              <w:rPr>
                <w:noProof/>
                <w:webHidden/>
              </w:rPr>
              <w:fldChar w:fldCharType="end"/>
            </w:r>
          </w:hyperlink>
        </w:p>
        <w:p w14:paraId="3025211B" w14:textId="0FB55CCC"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31" w:history="1">
            <w:r w:rsidR="00C72A70" w:rsidRPr="00936390">
              <w:rPr>
                <w:rStyle w:val="Hyperlink"/>
                <w:noProof/>
              </w:rPr>
              <w:t>Access to and staying in education or training</w:t>
            </w:r>
            <w:r w:rsidR="00C72A70">
              <w:rPr>
                <w:noProof/>
                <w:webHidden/>
              </w:rPr>
              <w:tab/>
            </w:r>
            <w:r w:rsidR="00C72A70">
              <w:rPr>
                <w:noProof/>
                <w:webHidden/>
              </w:rPr>
              <w:fldChar w:fldCharType="begin"/>
            </w:r>
            <w:r w:rsidR="00C72A70">
              <w:rPr>
                <w:noProof/>
                <w:webHidden/>
              </w:rPr>
              <w:instrText xml:space="preserve"> PAGEREF _Toc159426531 \h </w:instrText>
            </w:r>
            <w:r w:rsidR="00C72A70">
              <w:rPr>
                <w:noProof/>
                <w:webHidden/>
              </w:rPr>
            </w:r>
            <w:r w:rsidR="00C72A70">
              <w:rPr>
                <w:noProof/>
                <w:webHidden/>
              </w:rPr>
              <w:fldChar w:fldCharType="separate"/>
            </w:r>
            <w:r w:rsidR="004E1225">
              <w:rPr>
                <w:noProof/>
                <w:webHidden/>
              </w:rPr>
              <w:t>14</w:t>
            </w:r>
            <w:r w:rsidR="00C72A70">
              <w:rPr>
                <w:noProof/>
                <w:webHidden/>
              </w:rPr>
              <w:fldChar w:fldCharType="end"/>
            </w:r>
          </w:hyperlink>
        </w:p>
        <w:p w14:paraId="1B73C8E0" w14:textId="46D77D3B"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32" w:history="1">
            <w:r w:rsidR="00C72A70" w:rsidRPr="00936390">
              <w:rPr>
                <w:rStyle w:val="Hyperlink"/>
                <w:noProof/>
              </w:rPr>
              <w:t>Strong cultural practices and a positive sense of cultural identity</w:t>
            </w:r>
            <w:r w:rsidR="00C72A70">
              <w:rPr>
                <w:noProof/>
                <w:webHidden/>
              </w:rPr>
              <w:tab/>
            </w:r>
            <w:r w:rsidR="00C72A70">
              <w:rPr>
                <w:noProof/>
                <w:webHidden/>
              </w:rPr>
              <w:fldChar w:fldCharType="begin"/>
            </w:r>
            <w:r w:rsidR="00C72A70">
              <w:rPr>
                <w:noProof/>
                <w:webHidden/>
              </w:rPr>
              <w:instrText xml:space="preserve"> PAGEREF _Toc159426532 \h </w:instrText>
            </w:r>
            <w:r w:rsidR="00C72A70">
              <w:rPr>
                <w:noProof/>
                <w:webHidden/>
              </w:rPr>
            </w:r>
            <w:r w:rsidR="00C72A70">
              <w:rPr>
                <w:noProof/>
                <w:webHidden/>
              </w:rPr>
              <w:fldChar w:fldCharType="separate"/>
            </w:r>
            <w:r w:rsidR="004E1225">
              <w:rPr>
                <w:noProof/>
                <w:webHidden/>
              </w:rPr>
              <w:t>14</w:t>
            </w:r>
            <w:r w:rsidR="00C72A70">
              <w:rPr>
                <w:noProof/>
                <w:webHidden/>
              </w:rPr>
              <w:fldChar w:fldCharType="end"/>
            </w:r>
          </w:hyperlink>
        </w:p>
        <w:p w14:paraId="43EDF877" w14:textId="227C8F54" w:rsidR="00C72A70" w:rsidRDefault="00615D48">
          <w:pPr>
            <w:pStyle w:val="TOC1"/>
            <w:rPr>
              <w:rFonts w:asciiTheme="minorHAnsi" w:hAnsiTheme="minorHAnsi"/>
              <w:noProof/>
              <w:color w:val="auto"/>
              <w:kern w:val="2"/>
              <w:sz w:val="24"/>
              <w:lang w:eastAsia="en-AU"/>
              <w14:ligatures w14:val="standardContextual"/>
            </w:rPr>
          </w:pPr>
          <w:hyperlink w:anchor="_Toc159426533" w:history="1">
            <w:r w:rsidR="00C72A70" w:rsidRPr="00936390">
              <w:rPr>
                <w:rStyle w:val="Hyperlink"/>
                <w:noProof/>
              </w:rPr>
              <w:t>Consultation Question 3: Other priorities</w:t>
            </w:r>
            <w:r w:rsidR="00C72A70">
              <w:rPr>
                <w:noProof/>
                <w:webHidden/>
              </w:rPr>
              <w:tab/>
            </w:r>
            <w:r w:rsidR="00C72A70">
              <w:rPr>
                <w:noProof/>
                <w:webHidden/>
              </w:rPr>
              <w:fldChar w:fldCharType="begin"/>
            </w:r>
            <w:r w:rsidR="00C72A70">
              <w:rPr>
                <w:noProof/>
                <w:webHidden/>
              </w:rPr>
              <w:instrText xml:space="preserve"> PAGEREF _Toc159426533 \h </w:instrText>
            </w:r>
            <w:r w:rsidR="00C72A70">
              <w:rPr>
                <w:noProof/>
                <w:webHidden/>
              </w:rPr>
            </w:r>
            <w:r w:rsidR="00C72A70">
              <w:rPr>
                <w:noProof/>
                <w:webHidden/>
              </w:rPr>
              <w:fldChar w:fldCharType="separate"/>
            </w:r>
            <w:r w:rsidR="004E1225">
              <w:rPr>
                <w:noProof/>
                <w:webHidden/>
              </w:rPr>
              <w:t>15</w:t>
            </w:r>
            <w:r w:rsidR="00C72A70">
              <w:rPr>
                <w:noProof/>
                <w:webHidden/>
              </w:rPr>
              <w:fldChar w:fldCharType="end"/>
            </w:r>
          </w:hyperlink>
        </w:p>
        <w:p w14:paraId="1B61C4D3" w14:textId="7337F8A9"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34" w:history="1">
            <w:r w:rsidR="00C72A70" w:rsidRPr="00936390">
              <w:rPr>
                <w:rStyle w:val="Hyperlink"/>
                <w:noProof/>
              </w:rPr>
              <w:t>Supporting families and strengthening communities</w:t>
            </w:r>
            <w:r w:rsidR="00C72A70">
              <w:rPr>
                <w:noProof/>
                <w:webHidden/>
              </w:rPr>
              <w:tab/>
            </w:r>
            <w:r w:rsidR="00C72A70">
              <w:rPr>
                <w:noProof/>
                <w:webHidden/>
              </w:rPr>
              <w:fldChar w:fldCharType="begin"/>
            </w:r>
            <w:r w:rsidR="00C72A70">
              <w:rPr>
                <w:noProof/>
                <w:webHidden/>
              </w:rPr>
              <w:instrText xml:space="preserve"> PAGEREF _Toc159426534 \h </w:instrText>
            </w:r>
            <w:r w:rsidR="00C72A70">
              <w:rPr>
                <w:noProof/>
                <w:webHidden/>
              </w:rPr>
            </w:r>
            <w:r w:rsidR="00C72A70">
              <w:rPr>
                <w:noProof/>
                <w:webHidden/>
              </w:rPr>
              <w:fldChar w:fldCharType="separate"/>
            </w:r>
            <w:r w:rsidR="004E1225">
              <w:rPr>
                <w:noProof/>
                <w:webHidden/>
              </w:rPr>
              <w:t>15</w:t>
            </w:r>
            <w:r w:rsidR="00C72A70">
              <w:rPr>
                <w:noProof/>
                <w:webHidden/>
              </w:rPr>
              <w:fldChar w:fldCharType="end"/>
            </w:r>
          </w:hyperlink>
        </w:p>
        <w:p w14:paraId="10C89318" w14:textId="77DEF02C"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35" w:history="1">
            <w:r w:rsidR="00C72A70" w:rsidRPr="00936390">
              <w:rPr>
                <w:rStyle w:val="Hyperlink"/>
                <w:noProof/>
              </w:rPr>
              <w:t>Maintaining engagement in education and training</w:t>
            </w:r>
            <w:r w:rsidR="00C72A70">
              <w:rPr>
                <w:noProof/>
                <w:webHidden/>
              </w:rPr>
              <w:tab/>
            </w:r>
            <w:r w:rsidR="00C72A70">
              <w:rPr>
                <w:noProof/>
                <w:webHidden/>
              </w:rPr>
              <w:fldChar w:fldCharType="begin"/>
            </w:r>
            <w:r w:rsidR="00C72A70">
              <w:rPr>
                <w:noProof/>
                <w:webHidden/>
              </w:rPr>
              <w:instrText xml:space="preserve"> PAGEREF _Toc159426535 \h </w:instrText>
            </w:r>
            <w:r w:rsidR="00C72A70">
              <w:rPr>
                <w:noProof/>
                <w:webHidden/>
              </w:rPr>
            </w:r>
            <w:r w:rsidR="00C72A70">
              <w:rPr>
                <w:noProof/>
                <w:webHidden/>
              </w:rPr>
              <w:fldChar w:fldCharType="separate"/>
            </w:r>
            <w:r w:rsidR="004E1225">
              <w:rPr>
                <w:noProof/>
                <w:webHidden/>
              </w:rPr>
              <w:t>15</w:t>
            </w:r>
            <w:r w:rsidR="00C72A70">
              <w:rPr>
                <w:noProof/>
                <w:webHidden/>
              </w:rPr>
              <w:fldChar w:fldCharType="end"/>
            </w:r>
          </w:hyperlink>
        </w:p>
        <w:p w14:paraId="79BFBB49" w14:textId="1EF40B80"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36" w:history="1">
            <w:r w:rsidR="00C72A70" w:rsidRPr="00936390">
              <w:rPr>
                <w:rStyle w:val="Hyperlink"/>
                <w:noProof/>
              </w:rPr>
              <w:t>Addressing racism in schools</w:t>
            </w:r>
            <w:r w:rsidR="00C72A70">
              <w:rPr>
                <w:noProof/>
                <w:webHidden/>
              </w:rPr>
              <w:tab/>
            </w:r>
            <w:r w:rsidR="00C72A70">
              <w:rPr>
                <w:noProof/>
                <w:webHidden/>
              </w:rPr>
              <w:fldChar w:fldCharType="begin"/>
            </w:r>
            <w:r w:rsidR="00C72A70">
              <w:rPr>
                <w:noProof/>
                <w:webHidden/>
              </w:rPr>
              <w:instrText xml:space="preserve"> PAGEREF _Toc159426536 \h </w:instrText>
            </w:r>
            <w:r w:rsidR="00C72A70">
              <w:rPr>
                <w:noProof/>
                <w:webHidden/>
              </w:rPr>
            </w:r>
            <w:r w:rsidR="00C72A70">
              <w:rPr>
                <w:noProof/>
                <w:webHidden/>
              </w:rPr>
              <w:fldChar w:fldCharType="separate"/>
            </w:r>
            <w:r w:rsidR="004E1225">
              <w:rPr>
                <w:noProof/>
                <w:webHidden/>
              </w:rPr>
              <w:t>17</w:t>
            </w:r>
            <w:r w:rsidR="00C72A70">
              <w:rPr>
                <w:noProof/>
                <w:webHidden/>
              </w:rPr>
              <w:fldChar w:fldCharType="end"/>
            </w:r>
          </w:hyperlink>
        </w:p>
        <w:p w14:paraId="4B80C8DE" w14:textId="61B1B3ED"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37" w:history="1">
            <w:r w:rsidR="00C72A70" w:rsidRPr="00936390">
              <w:rPr>
                <w:rStyle w:val="Hyperlink"/>
                <w:noProof/>
              </w:rPr>
              <w:t>The role of schools in supporting strong cultural practices and pride in culture</w:t>
            </w:r>
            <w:r w:rsidR="00C72A70">
              <w:rPr>
                <w:noProof/>
                <w:webHidden/>
              </w:rPr>
              <w:tab/>
            </w:r>
            <w:r w:rsidR="00C72A70">
              <w:rPr>
                <w:noProof/>
                <w:webHidden/>
              </w:rPr>
              <w:fldChar w:fldCharType="begin"/>
            </w:r>
            <w:r w:rsidR="00C72A70">
              <w:rPr>
                <w:noProof/>
                <w:webHidden/>
              </w:rPr>
              <w:instrText xml:space="preserve"> PAGEREF _Toc159426537 \h </w:instrText>
            </w:r>
            <w:r w:rsidR="00C72A70">
              <w:rPr>
                <w:noProof/>
                <w:webHidden/>
              </w:rPr>
            </w:r>
            <w:r w:rsidR="00C72A70">
              <w:rPr>
                <w:noProof/>
                <w:webHidden/>
              </w:rPr>
              <w:fldChar w:fldCharType="separate"/>
            </w:r>
            <w:r w:rsidR="004E1225">
              <w:rPr>
                <w:noProof/>
                <w:webHidden/>
              </w:rPr>
              <w:t>17</w:t>
            </w:r>
            <w:r w:rsidR="00C72A70">
              <w:rPr>
                <w:noProof/>
                <w:webHidden/>
              </w:rPr>
              <w:fldChar w:fldCharType="end"/>
            </w:r>
          </w:hyperlink>
        </w:p>
        <w:p w14:paraId="26A6D57A" w14:textId="2175C0BA"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38" w:history="1">
            <w:r w:rsidR="00C72A70" w:rsidRPr="00936390">
              <w:rPr>
                <w:rStyle w:val="Hyperlink"/>
                <w:noProof/>
              </w:rPr>
              <w:t>Responding therapeutically to challenging behaviours</w:t>
            </w:r>
            <w:r w:rsidR="00C72A70">
              <w:rPr>
                <w:noProof/>
                <w:webHidden/>
              </w:rPr>
              <w:tab/>
            </w:r>
            <w:r w:rsidR="00C72A70">
              <w:rPr>
                <w:noProof/>
                <w:webHidden/>
              </w:rPr>
              <w:fldChar w:fldCharType="begin"/>
            </w:r>
            <w:r w:rsidR="00C72A70">
              <w:rPr>
                <w:noProof/>
                <w:webHidden/>
              </w:rPr>
              <w:instrText xml:space="preserve"> PAGEREF _Toc159426538 \h </w:instrText>
            </w:r>
            <w:r w:rsidR="00C72A70">
              <w:rPr>
                <w:noProof/>
                <w:webHidden/>
              </w:rPr>
            </w:r>
            <w:r w:rsidR="00C72A70">
              <w:rPr>
                <w:noProof/>
                <w:webHidden/>
              </w:rPr>
              <w:fldChar w:fldCharType="separate"/>
            </w:r>
            <w:r w:rsidR="004E1225">
              <w:rPr>
                <w:noProof/>
                <w:webHidden/>
              </w:rPr>
              <w:t>18</w:t>
            </w:r>
            <w:r w:rsidR="00C72A70">
              <w:rPr>
                <w:noProof/>
                <w:webHidden/>
              </w:rPr>
              <w:fldChar w:fldCharType="end"/>
            </w:r>
          </w:hyperlink>
        </w:p>
        <w:p w14:paraId="69586137" w14:textId="730B4271" w:rsidR="00C72A70" w:rsidRDefault="00615D48">
          <w:pPr>
            <w:pStyle w:val="TOC1"/>
            <w:rPr>
              <w:rFonts w:asciiTheme="minorHAnsi" w:hAnsiTheme="minorHAnsi"/>
              <w:noProof/>
              <w:color w:val="auto"/>
              <w:kern w:val="2"/>
              <w:sz w:val="24"/>
              <w:lang w:eastAsia="en-AU"/>
              <w14:ligatures w14:val="standardContextual"/>
            </w:rPr>
          </w:pPr>
          <w:hyperlink w:anchor="_Toc159426539" w:history="1">
            <w:r w:rsidR="00C72A70" w:rsidRPr="00936390">
              <w:rPr>
                <w:rStyle w:val="Hyperlink"/>
                <w:noProof/>
                <w:lang w:val="en-US"/>
              </w:rPr>
              <w:t>Consultation Question 4: Connection to culture and community</w:t>
            </w:r>
            <w:r w:rsidR="00C72A70">
              <w:rPr>
                <w:noProof/>
                <w:webHidden/>
              </w:rPr>
              <w:tab/>
            </w:r>
            <w:r w:rsidR="00C72A70">
              <w:rPr>
                <w:noProof/>
                <w:webHidden/>
              </w:rPr>
              <w:fldChar w:fldCharType="begin"/>
            </w:r>
            <w:r w:rsidR="00C72A70">
              <w:rPr>
                <w:noProof/>
                <w:webHidden/>
              </w:rPr>
              <w:instrText xml:space="preserve"> PAGEREF _Toc159426539 \h </w:instrText>
            </w:r>
            <w:r w:rsidR="00C72A70">
              <w:rPr>
                <w:noProof/>
                <w:webHidden/>
              </w:rPr>
            </w:r>
            <w:r w:rsidR="00C72A70">
              <w:rPr>
                <w:noProof/>
                <w:webHidden/>
              </w:rPr>
              <w:fldChar w:fldCharType="separate"/>
            </w:r>
            <w:r w:rsidR="004E1225">
              <w:rPr>
                <w:noProof/>
                <w:webHidden/>
              </w:rPr>
              <w:t>20</w:t>
            </w:r>
            <w:r w:rsidR="00C72A70">
              <w:rPr>
                <w:noProof/>
                <w:webHidden/>
              </w:rPr>
              <w:fldChar w:fldCharType="end"/>
            </w:r>
          </w:hyperlink>
        </w:p>
        <w:p w14:paraId="7E966826" w14:textId="47157EF7" w:rsidR="00C72A70" w:rsidRDefault="00615D48">
          <w:pPr>
            <w:pStyle w:val="TOC1"/>
            <w:rPr>
              <w:rFonts w:asciiTheme="minorHAnsi" w:hAnsiTheme="minorHAnsi"/>
              <w:noProof/>
              <w:color w:val="auto"/>
              <w:kern w:val="2"/>
              <w:sz w:val="24"/>
              <w:lang w:eastAsia="en-AU"/>
              <w14:ligatures w14:val="standardContextual"/>
            </w:rPr>
          </w:pPr>
          <w:hyperlink w:anchor="_Toc159426540" w:history="1">
            <w:r w:rsidR="00C72A70" w:rsidRPr="00936390">
              <w:rPr>
                <w:rStyle w:val="Hyperlink"/>
                <w:noProof/>
                <w:lang w:val="en-US"/>
              </w:rPr>
              <w:t>Consultation Question 5: Working together</w:t>
            </w:r>
            <w:r w:rsidR="00C72A70">
              <w:rPr>
                <w:noProof/>
                <w:webHidden/>
              </w:rPr>
              <w:tab/>
            </w:r>
            <w:r w:rsidR="00C72A70">
              <w:rPr>
                <w:noProof/>
                <w:webHidden/>
              </w:rPr>
              <w:fldChar w:fldCharType="begin"/>
            </w:r>
            <w:r w:rsidR="00C72A70">
              <w:rPr>
                <w:noProof/>
                <w:webHidden/>
              </w:rPr>
              <w:instrText xml:space="preserve"> PAGEREF _Toc159426540 \h </w:instrText>
            </w:r>
            <w:r w:rsidR="00C72A70">
              <w:rPr>
                <w:noProof/>
                <w:webHidden/>
              </w:rPr>
            </w:r>
            <w:r w:rsidR="00C72A70">
              <w:rPr>
                <w:noProof/>
                <w:webHidden/>
              </w:rPr>
              <w:fldChar w:fldCharType="separate"/>
            </w:r>
            <w:r w:rsidR="004E1225">
              <w:rPr>
                <w:noProof/>
                <w:webHidden/>
              </w:rPr>
              <w:t>22</w:t>
            </w:r>
            <w:r w:rsidR="00C72A70">
              <w:rPr>
                <w:noProof/>
                <w:webHidden/>
              </w:rPr>
              <w:fldChar w:fldCharType="end"/>
            </w:r>
          </w:hyperlink>
        </w:p>
        <w:p w14:paraId="6B266C98" w14:textId="12D44B23"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41" w:history="1">
            <w:r w:rsidR="00C72A70" w:rsidRPr="00936390">
              <w:rPr>
                <w:rStyle w:val="Hyperlink"/>
                <w:noProof/>
                <w:lang w:val="en-US"/>
              </w:rPr>
              <w:t>Implementation roadmap</w:t>
            </w:r>
            <w:r w:rsidR="00C72A70">
              <w:rPr>
                <w:noProof/>
                <w:webHidden/>
              </w:rPr>
              <w:tab/>
            </w:r>
            <w:r w:rsidR="00C72A70">
              <w:rPr>
                <w:noProof/>
                <w:webHidden/>
              </w:rPr>
              <w:fldChar w:fldCharType="begin"/>
            </w:r>
            <w:r w:rsidR="00C72A70">
              <w:rPr>
                <w:noProof/>
                <w:webHidden/>
              </w:rPr>
              <w:instrText xml:space="preserve"> PAGEREF _Toc159426541 \h </w:instrText>
            </w:r>
            <w:r w:rsidR="00C72A70">
              <w:rPr>
                <w:noProof/>
                <w:webHidden/>
              </w:rPr>
            </w:r>
            <w:r w:rsidR="00C72A70">
              <w:rPr>
                <w:noProof/>
                <w:webHidden/>
              </w:rPr>
              <w:fldChar w:fldCharType="separate"/>
            </w:r>
            <w:r w:rsidR="004E1225">
              <w:rPr>
                <w:noProof/>
                <w:webHidden/>
              </w:rPr>
              <w:t>23</w:t>
            </w:r>
            <w:r w:rsidR="00C72A70">
              <w:rPr>
                <w:noProof/>
                <w:webHidden/>
              </w:rPr>
              <w:fldChar w:fldCharType="end"/>
            </w:r>
          </w:hyperlink>
        </w:p>
        <w:p w14:paraId="3C20E78C" w14:textId="148D0B39"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42" w:history="1">
            <w:r w:rsidR="00C72A70" w:rsidRPr="00936390">
              <w:rPr>
                <w:rStyle w:val="Hyperlink"/>
                <w:noProof/>
                <w:lang w:val="en-US"/>
              </w:rPr>
              <w:t>Outcomes and indicators</w:t>
            </w:r>
            <w:r w:rsidR="00C72A70">
              <w:rPr>
                <w:noProof/>
                <w:webHidden/>
              </w:rPr>
              <w:tab/>
            </w:r>
            <w:r w:rsidR="00C72A70">
              <w:rPr>
                <w:noProof/>
                <w:webHidden/>
              </w:rPr>
              <w:fldChar w:fldCharType="begin"/>
            </w:r>
            <w:r w:rsidR="00C72A70">
              <w:rPr>
                <w:noProof/>
                <w:webHidden/>
              </w:rPr>
              <w:instrText xml:space="preserve"> PAGEREF _Toc159426542 \h </w:instrText>
            </w:r>
            <w:r w:rsidR="00C72A70">
              <w:rPr>
                <w:noProof/>
                <w:webHidden/>
              </w:rPr>
            </w:r>
            <w:r w:rsidR="00C72A70">
              <w:rPr>
                <w:noProof/>
                <w:webHidden/>
              </w:rPr>
              <w:fldChar w:fldCharType="separate"/>
            </w:r>
            <w:r w:rsidR="004E1225">
              <w:rPr>
                <w:noProof/>
                <w:webHidden/>
              </w:rPr>
              <w:t>23</w:t>
            </w:r>
            <w:r w:rsidR="00C72A70">
              <w:rPr>
                <w:noProof/>
                <w:webHidden/>
              </w:rPr>
              <w:fldChar w:fldCharType="end"/>
            </w:r>
          </w:hyperlink>
        </w:p>
        <w:p w14:paraId="555FC817" w14:textId="15909B12"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43" w:history="1">
            <w:r w:rsidR="00C72A70" w:rsidRPr="00936390">
              <w:rPr>
                <w:rStyle w:val="Hyperlink"/>
                <w:noProof/>
                <w:lang w:val="en-US"/>
              </w:rPr>
              <w:t xml:space="preserve">Measuring and </w:t>
            </w:r>
            <w:r w:rsidR="00C72A70" w:rsidRPr="00936390">
              <w:rPr>
                <w:rStyle w:val="Hyperlink"/>
                <w:noProof/>
              </w:rPr>
              <w:t>transparently</w:t>
            </w:r>
            <w:r w:rsidR="00C72A70" w:rsidRPr="00936390">
              <w:rPr>
                <w:rStyle w:val="Hyperlink"/>
                <w:noProof/>
                <w:lang w:val="en-US"/>
              </w:rPr>
              <w:t xml:space="preserve"> reporting on progress</w:t>
            </w:r>
            <w:r w:rsidR="00C72A70">
              <w:rPr>
                <w:noProof/>
                <w:webHidden/>
              </w:rPr>
              <w:tab/>
            </w:r>
            <w:r w:rsidR="00C72A70">
              <w:rPr>
                <w:noProof/>
                <w:webHidden/>
              </w:rPr>
              <w:fldChar w:fldCharType="begin"/>
            </w:r>
            <w:r w:rsidR="00C72A70">
              <w:rPr>
                <w:noProof/>
                <w:webHidden/>
              </w:rPr>
              <w:instrText xml:space="preserve"> PAGEREF _Toc159426543 \h </w:instrText>
            </w:r>
            <w:r w:rsidR="00C72A70">
              <w:rPr>
                <w:noProof/>
                <w:webHidden/>
              </w:rPr>
            </w:r>
            <w:r w:rsidR="00C72A70">
              <w:rPr>
                <w:noProof/>
                <w:webHidden/>
              </w:rPr>
              <w:fldChar w:fldCharType="separate"/>
            </w:r>
            <w:r w:rsidR="004E1225">
              <w:rPr>
                <w:noProof/>
                <w:webHidden/>
              </w:rPr>
              <w:t>24</w:t>
            </w:r>
            <w:r w:rsidR="00C72A70">
              <w:rPr>
                <w:noProof/>
                <w:webHidden/>
              </w:rPr>
              <w:fldChar w:fldCharType="end"/>
            </w:r>
          </w:hyperlink>
        </w:p>
        <w:p w14:paraId="568BF937" w14:textId="11DB9F70" w:rsidR="00C72A70" w:rsidRDefault="00615D48">
          <w:pPr>
            <w:pStyle w:val="TOC3"/>
            <w:tabs>
              <w:tab w:val="right" w:leader="dot" w:pos="8296"/>
            </w:tabs>
            <w:rPr>
              <w:rFonts w:asciiTheme="minorHAnsi" w:hAnsiTheme="minorHAnsi"/>
              <w:noProof/>
              <w:color w:val="auto"/>
              <w:kern w:val="2"/>
              <w:sz w:val="24"/>
              <w:lang w:eastAsia="en-AU"/>
              <w14:ligatures w14:val="standardContextual"/>
            </w:rPr>
          </w:pPr>
          <w:hyperlink w:anchor="_Toc159426544" w:history="1">
            <w:r w:rsidR="00C72A70" w:rsidRPr="00936390">
              <w:rPr>
                <w:rStyle w:val="Hyperlink"/>
                <w:noProof/>
                <w:lang w:val="en-US"/>
              </w:rPr>
              <w:t>Designation of responsibility</w:t>
            </w:r>
            <w:r w:rsidR="00C72A70">
              <w:rPr>
                <w:noProof/>
                <w:webHidden/>
              </w:rPr>
              <w:tab/>
            </w:r>
            <w:r w:rsidR="00C72A70">
              <w:rPr>
                <w:noProof/>
                <w:webHidden/>
              </w:rPr>
              <w:fldChar w:fldCharType="begin"/>
            </w:r>
            <w:r w:rsidR="00C72A70">
              <w:rPr>
                <w:noProof/>
                <w:webHidden/>
              </w:rPr>
              <w:instrText xml:space="preserve"> PAGEREF _Toc159426544 \h </w:instrText>
            </w:r>
            <w:r w:rsidR="00C72A70">
              <w:rPr>
                <w:noProof/>
                <w:webHidden/>
              </w:rPr>
            </w:r>
            <w:r w:rsidR="00C72A70">
              <w:rPr>
                <w:noProof/>
                <w:webHidden/>
              </w:rPr>
              <w:fldChar w:fldCharType="separate"/>
            </w:r>
            <w:r w:rsidR="004E1225">
              <w:rPr>
                <w:noProof/>
                <w:webHidden/>
              </w:rPr>
              <w:t>24</w:t>
            </w:r>
            <w:r w:rsidR="00C72A70">
              <w:rPr>
                <w:noProof/>
                <w:webHidden/>
              </w:rPr>
              <w:fldChar w:fldCharType="end"/>
            </w:r>
          </w:hyperlink>
        </w:p>
        <w:p w14:paraId="73E263C8" w14:textId="52E48B2C" w:rsidR="00A16356" w:rsidRPr="00041E58" w:rsidRDefault="00A16356" w:rsidP="00466216">
          <w:pPr>
            <w:spacing w:before="120"/>
            <w:rPr>
              <w:rFonts w:cs="Arial"/>
            </w:rPr>
          </w:pPr>
          <w:r w:rsidRPr="00041E58">
            <w:rPr>
              <w:rFonts w:cs="Arial"/>
              <w:b/>
              <w:bCs/>
              <w:noProof/>
            </w:rPr>
            <w:fldChar w:fldCharType="end"/>
          </w:r>
        </w:p>
      </w:sdtContent>
    </w:sdt>
    <w:p w14:paraId="4F1AF747" w14:textId="77777777" w:rsidR="004A2375" w:rsidRDefault="004A2375">
      <w:pPr>
        <w:rPr>
          <w:rFonts w:eastAsiaTheme="majorEastAsia" w:cstheme="majorBidi"/>
          <w:b/>
          <w:color w:val="365F91" w:themeColor="accent1" w:themeShade="BF"/>
          <w:sz w:val="28"/>
          <w:szCs w:val="32"/>
        </w:rPr>
        <w:sectPr w:rsidR="004A2375" w:rsidSect="003E7236">
          <w:footerReference w:type="default" r:id="rId10"/>
          <w:headerReference w:type="first" r:id="rId11"/>
          <w:pgSz w:w="11900" w:h="16840" w:code="9"/>
          <w:pgMar w:top="1440" w:right="1797" w:bottom="1440" w:left="1797" w:header="709" w:footer="709" w:gutter="0"/>
          <w:pgNumType w:start="0"/>
          <w:cols w:space="708"/>
          <w:titlePg/>
          <w:docGrid w:linePitch="360"/>
        </w:sectPr>
      </w:pPr>
    </w:p>
    <w:p w14:paraId="15A570B5" w14:textId="77777777" w:rsidR="00F5290B" w:rsidRPr="005C69C9" w:rsidRDefault="00F5290B" w:rsidP="005C69C9">
      <w:pPr>
        <w:pStyle w:val="Heading1"/>
      </w:pPr>
      <w:bookmarkStart w:id="1" w:name="_Toc159426519"/>
      <w:r w:rsidRPr="005C69C9">
        <w:lastRenderedPageBreak/>
        <w:t>Introduction</w:t>
      </w:r>
      <w:bookmarkEnd w:id="1"/>
      <w:r w:rsidRPr="005C69C9">
        <w:t xml:space="preserve"> </w:t>
      </w:r>
    </w:p>
    <w:p w14:paraId="2CC85559" w14:textId="08B5E47E" w:rsidR="00680649" w:rsidRDefault="00EE1A9B" w:rsidP="00680649">
      <w:pPr>
        <w:pStyle w:val="Numberedparagraph"/>
      </w:pPr>
      <w:r>
        <w:t xml:space="preserve">In January 2024 the Queensland Government published </w:t>
      </w:r>
      <w:r>
        <w:rPr>
          <w:i/>
          <w:iCs/>
        </w:rPr>
        <w:t>Putting Queensland Kids First Consultation Draft</w:t>
      </w:r>
      <w:r w:rsidR="009F60DF">
        <w:t xml:space="preserve"> (</w:t>
      </w:r>
      <w:r w:rsidR="009F60DF" w:rsidRPr="00F30F2A">
        <w:rPr>
          <w:b/>
          <w:bCs/>
        </w:rPr>
        <w:t>the Plan</w:t>
      </w:r>
      <w:r w:rsidR="009F60DF">
        <w:t>)</w:t>
      </w:r>
      <w:r>
        <w:t xml:space="preserve">, which </w:t>
      </w:r>
      <w:r w:rsidR="00EF7741">
        <w:t>outlines</w:t>
      </w:r>
    </w:p>
    <w:p w14:paraId="11A8FC39" w14:textId="0EB464AF" w:rsidR="00EE1A9B" w:rsidRPr="00EE1A9B" w:rsidRDefault="00EE1A9B" w:rsidP="00EE1A9B">
      <w:pPr>
        <w:pStyle w:val="Quote"/>
      </w:pPr>
      <w:r w:rsidRPr="00EE1A9B">
        <w:t>a vision that focuses on strengthening protective factors around children, young people and families to prevent adverse experiences through early interventions and prevention — starting early in life and targeting key transition points.</w:t>
      </w:r>
    </w:p>
    <w:p w14:paraId="778EE3B2" w14:textId="25F79D11" w:rsidR="00EE1A9B" w:rsidRPr="00BA4539" w:rsidRDefault="00EE1A9B" w:rsidP="00BA4539">
      <w:pPr>
        <w:pStyle w:val="Numberedparagraph"/>
        <w:rPr>
          <w:lang w:val="en-US"/>
        </w:rPr>
      </w:pPr>
      <w:r>
        <w:rPr>
          <w:lang w:val="en-US"/>
        </w:rPr>
        <w:t xml:space="preserve">This submission responds to a call for ideas and reflections on the </w:t>
      </w:r>
      <w:r w:rsidR="00AB4ECC">
        <w:rPr>
          <w:lang w:val="en-US"/>
        </w:rPr>
        <w:t>Plan</w:t>
      </w:r>
      <w:r>
        <w:rPr>
          <w:lang w:val="en-US"/>
        </w:rPr>
        <w:t>.</w:t>
      </w:r>
      <w:r w:rsidR="00AB3F38">
        <w:rPr>
          <w:lang w:val="en-US"/>
        </w:rPr>
        <w:t xml:space="preserve"> The </w:t>
      </w:r>
      <w:r w:rsidR="00AB3F38" w:rsidRPr="00881C23">
        <w:rPr>
          <w:lang w:val="en-US"/>
        </w:rPr>
        <w:t xml:space="preserve">Commission </w:t>
      </w:r>
      <w:r w:rsidR="00AB3F38">
        <w:rPr>
          <w:lang w:val="en-US"/>
        </w:rPr>
        <w:t xml:space="preserve">strongly supports the development of a whole-of-government strategy to strengthen protective factors for children, young people, and families in Queensland, </w:t>
      </w:r>
      <w:r w:rsidR="00357469">
        <w:rPr>
          <w:lang w:val="en-US"/>
        </w:rPr>
        <w:t xml:space="preserve">and thanks the Government for the opportunity to provide </w:t>
      </w:r>
      <w:r w:rsidR="008F2494">
        <w:rPr>
          <w:lang w:val="en-US"/>
        </w:rPr>
        <w:t>its input.</w:t>
      </w:r>
    </w:p>
    <w:p w14:paraId="4014F0A1" w14:textId="2A895DBC" w:rsidR="00EE1A9B" w:rsidRDefault="00EE1A9B" w:rsidP="00EE1A9B">
      <w:pPr>
        <w:pStyle w:val="Heading1"/>
        <w:rPr>
          <w:lang w:val="en-US"/>
        </w:rPr>
      </w:pPr>
      <w:bookmarkStart w:id="2" w:name="_Toc159426520"/>
      <w:r>
        <w:rPr>
          <w:lang w:val="en-US"/>
        </w:rPr>
        <w:t>About the Commission</w:t>
      </w:r>
      <w:bookmarkEnd w:id="2"/>
    </w:p>
    <w:p w14:paraId="61E63882" w14:textId="4B980A31" w:rsidR="00EE1A9B" w:rsidRPr="00881C23" w:rsidRDefault="00EE1A9B" w:rsidP="00EE1A9B">
      <w:pPr>
        <w:pStyle w:val="Numberedparagraph"/>
        <w:rPr>
          <w:lang w:val="en-US"/>
        </w:rPr>
      </w:pPr>
      <w:r w:rsidRPr="00881C23">
        <w:rPr>
          <w:lang w:val="en-US"/>
        </w:rPr>
        <w:t>The Queensland Human Rights Commission (</w:t>
      </w:r>
      <w:r w:rsidRPr="00881C23">
        <w:rPr>
          <w:b/>
          <w:bCs/>
          <w:lang w:val="en-US"/>
        </w:rPr>
        <w:t>Commission</w:t>
      </w:r>
      <w:r w:rsidRPr="00881C23">
        <w:rPr>
          <w:lang w:val="en-US"/>
        </w:rPr>
        <w:t xml:space="preserve">) is an independent statutory authority with functions under the </w:t>
      </w:r>
      <w:r w:rsidRPr="00881C23">
        <w:rPr>
          <w:i/>
          <w:iCs/>
          <w:lang w:val="en-US"/>
        </w:rPr>
        <w:t>Anti-Discrimination Act 1991</w:t>
      </w:r>
      <w:r w:rsidRPr="00881C23">
        <w:rPr>
          <w:lang w:val="en-US"/>
        </w:rPr>
        <w:t xml:space="preserve"> and </w:t>
      </w:r>
      <w:r w:rsidR="00A9697F">
        <w:rPr>
          <w:lang w:val="en-US"/>
        </w:rPr>
        <w:t xml:space="preserve">the </w:t>
      </w:r>
      <w:r w:rsidRPr="00881C23">
        <w:rPr>
          <w:i/>
          <w:iCs/>
          <w:lang w:val="en-US"/>
        </w:rPr>
        <w:t xml:space="preserve">Human Rights Act 2019 </w:t>
      </w:r>
      <w:r w:rsidRPr="00881C23">
        <w:rPr>
          <w:lang w:val="en-US"/>
        </w:rPr>
        <w:t>(</w:t>
      </w:r>
      <w:r w:rsidRPr="00F30F2A">
        <w:rPr>
          <w:b/>
          <w:bCs/>
          <w:lang w:val="en-US"/>
        </w:rPr>
        <w:t>Human Rights Act</w:t>
      </w:r>
      <w:r w:rsidRPr="00881C23">
        <w:rPr>
          <w:lang w:val="en-US"/>
        </w:rPr>
        <w:t>), which include:</w:t>
      </w:r>
    </w:p>
    <w:p w14:paraId="5812B010" w14:textId="66FB37B1" w:rsidR="00EE1A9B" w:rsidRPr="00881C23" w:rsidRDefault="00EE1A9B" w:rsidP="00EE1A9B">
      <w:pPr>
        <w:pStyle w:val="Bulletedlist"/>
        <w:rPr>
          <w:lang w:val="en-US"/>
        </w:rPr>
      </w:pPr>
      <w:r w:rsidRPr="00881C23">
        <w:rPr>
          <w:lang w:val="en-US"/>
        </w:rPr>
        <w:t xml:space="preserve">dealing with complaints of discrimination, sexual harassment, vilification, reprisal (under the </w:t>
      </w:r>
      <w:r w:rsidRPr="00881C23">
        <w:rPr>
          <w:i/>
          <w:lang w:val="en-US"/>
        </w:rPr>
        <w:t>Public Interest Disclosure Act 20</w:t>
      </w:r>
      <w:r w:rsidR="00B47772">
        <w:rPr>
          <w:i/>
          <w:lang w:val="en-US"/>
        </w:rPr>
        <w:t>10</w:t>
      </w:r>
      <w:r w:rsidRPr="00881C23">
        <w:rPr>
          <w:lang w:val="en-US"/>
        </w:rPr>
        <w:t xml:space="preserve">), and </w:t>
      </w:r>
      <w:r w:rsidR="002E36CB">
        <w:rPr>
          <w:lang w:val="en-US"/>
        </w:rPr>
        <w:t>con</w:t>
      </w:r>
      <w:r w:rsidR="009C39DF">
        <w:rPr>
          <w:lang w:val="en-US"/>
        </w:rPr>
        <w:t>traventions</w:t>
      </w:r>
      <w:r w:rsidR="002E36CB" w:rsidRPr="00881C23">
        <w:rPr>
          <w:lang w:val="en-US"/>
        </w:rPr>
        <w:t xml:space="preserve"> </w:t>
      </w:r>
      <w:r w:rsidRPr="00881C23">
        <w:rPr>
          <w:lang w:val="en-US"/>
        </w:rPr>
        <w:t>of the Human Rights Act</w:t>
      </w:r>
    </w:p>
    <w:p w14:paraId="5FF931AC" w14:textId="12C5CDB2" w:rsidR="00EE1A9B" w:rsidRPr="00881C23" w:rsidRDefault="00EE1A9B" w:rsidP="00EE1A9B">
      <w:pPr>
        <w:pStyle w:val="Bulletedlist"/>
        <w:rPr>
          <w:lang w:val="en-US"/>
        </w:rPr>
      </w:pPr>
      <w:r w:rsidRPr="00881C23">
        <w:rPr>
          <w:lang w:val="en-US"/>
        </w:rPr>
        <w:t>reviewing public entities’ policies, programs, procedures, practices and services in relation to their compatibility with human rights</w:t>
      </w:r>
    </w:p>
    <w:p w14:paraId="75F387D8" w14:textId="4970DFE2" w:rsidR="00EE1A9B" w:rsidRPr="00881C23" w:rsidRDefault="00EE1A9B" w:rsidP="00EE1A9B">
      <w:pPr>
        <w:pStyle w:val="Bulletedlist"/>
        <w:rPr>
          <w:lang w:val="en-US"/>
        </w:rPr>
      </w:pPr>
      <w:r w:rsidRPr="00881C23">
        <w:rPr>
          <w:lang w:val="en-US"/>
        </w:rPr>
        <w:t>promoting an understanding, acceptance, and public discussion of human rights and the Human Rights Act in Queensland</w:t>
      </w:r>
    </w:p>
    <w:p w14:paraId="1AAF6D0C" w14:textId="77777777" w:rsidR="00EE1A9B" w:rsidRPr="00881C23" w:rsidRDefault="00EE1A9B" w:rsidP="00EE1A9B">
      <w:pPr>
        <w:pStyle w:val="Bulletedlist"/>
        <w:rPr>
          <w:lang w:val="en-US"/>
        </w:rPr>
      </w:pPr>
      <w:r w:rsidRPr="00881C23">
        <w:rPr>
          <w:lang w:val="en-US"/>
        </w:rPr>
        <w:t>providing education about human rights and the Human Rights Act.</w:t>
      </w:r>
    </w:p>
    <w:p w14:paraId="56F71756" w14:textId="0A49C01D" w:rsidR="00EE1A9B" w:rsidRPr="00881C23" w:rsidRDefault="00EE1A9B" w:rsidP="00EE1A9B">
      <w:pPr>
        <w:pStyle w:val="Numberedparagraph"/>
        <w:rPr>
          <w:lang w:val="en-US"/>
        </w:rPr>
      </w:pPr>
      <w:r w:rsidRPr="00881C23">
        <w:rPr>
          <w:lang w:val="en-US"/>
        </w:rPr>
        <w:t xml:space="preserve">In carrying out these functions, the Commission </w:t>
      </w:r>
      <w:r w:rsidR="009E4930">
        <w:rPr>
          <w:lang w:val="en-US"/>
        </w:rPr>
        <w:t>gives</w:t>
      </w:r>
      <w:r w:rsidRPr="00881C23">
        <w:rPr>
          <w:lang w:val="en-US"/>
        </w:rPr>
        <w:t xml:space="preserve"> detailed consideration to human rights issues arising in the youth justice system for offenders, victims, and the community.</w:t>
      </w:r>
      <w:r w:rsidRPr="00881C23">
        <w:rPr>
          <w:rStyle w:val="FootnoteReference"/>
          <w:lang w:val="en-US"/>
        </w:rPr>
        <w:footnoteReference w:id="2"/>
      </w:r>
      <w:r w:rsidRPr="00881C23">
        <w:rPr>
          <w:lang w:val="en-US"/>
        </w:rPr>
        <w:t xml:space="preserve"> </w:t>
      </w:r>
    </w:p>
    <w:p w14:paraId="60471E00" w14:textId="60946681" w:rsidR="00EE1A9B" w:rsidRPr="00881C23" w:rsidRDefault="00EE1A9B" w:rsidP="00EE1A9B">
      <w:pPr>
        <w:pStyle w:val="Numberedparagraph"/>
        <w:rPr>
          <w:lang w:val="en-US"/>
        </w:rPr>
      </w:pPr>
      <w:r w:rsidRPr="00881C23">
        <w:rPr>
          <w:lang w:val="en-US"/>
        </w:rPr>
        <w:t xml:space="preserve">The Commission has consistently put forward the view that the best outcomes </w:t>
      </w:r>
      <w:r w:rsidR="00FE424D">
        <w:rPr>
          <w:lang w:val="en-US"/>
        </w:rPr>
        <w:t xml:space="preserve">for young people and the community </w:t>
      </w:r>
      <w:r w:rsidRPr="00881C23">
        <w:rPr>
          <w:lang w:val="en-US"/>
        </w:rPr>
        <w:t xml:space="preserve">will be achieved by identifying risk factors that </w:t>
      </w:r>
      <w:r w:rsidRPr="00881C23">
        <w:rPr>
          <w:lang w:val="en-US"/>
        </w:rPr>
        <w:lastRenderedPageBreak/>
        <w:t xml:space="preserve">lead to youth crime and addressing them through early intervention. </w:t>
      </w:r>
      <w:r w:rsidR="00936D13">
        <w:rPr>
          <w:lang w:val="en-US"/>
        </w:rPr>
        <w:t>Accordingly</w:t>
      </w:r>
      <w:r w:rsidRPr="00881C23">
        <w:rPr>
          <w:lang w:val="en-US"/>
        </w:rPr>
        <w:t>, the Commission has prioritised work that relates to:</w:t>
      </w:r>
    </w:p>
    <w:p w14:paraId="2356C516" w14:textId="35D38666" w:rsidR="00EE1A9B" w:rsidRPr="00881C23" w:rsidRDefault="00EE1A9B" w:rsidP="00EE1A9B">
      <w:pPr>
        <w:pStyle w:val="Bulletedlist"/>
        <w:rPr>
          <w:lang w:val="en-US"/>
        </w:rPr>
      </w:pPr>
      <w:r w:rsidRPr="00881C23">
        <w:rPr>
          <w:lang w:val="en-US"/>
        </w:rPr>
        <w:t xml:space="preserve">access to education, </w:t>
      </w:r>
      <w:r w:rsidR="008C2A2C">
        <w:rPr>
          <w:lang w:val="en-US"/>
        </w:rPr>
        <w:t>especially</w:t>
      </w:r>
      <w:r w:rsidRPr="00881C23">
        <w:rPr>
          <w:lang w:val="en-US"/>
        </w:rPr>
        <w:t xml:space="preserve"> the high levels of school disciplinary absences in Queensland in which children with disability, First Nations children</w:t>
      </w:r>
      <w:r w:rsidR="00660BC2">
        <w:rPr>
          <w:lang w:val="en-US"/>
        </w:rPr>
        <w:t>,</w:t>
      </w:r>
      <w:r w:rsidRPr="00881C23">
        <w:rPr>
          <w:lang w:val="en-US"/>
        </w:rPr>
        <w:t xml:space="preserve"> and children in out</w:t>
      </w:r>
      <w:r w:rsidR="00EC125C">
        <w:rPr>
          <w:lang w:val="en-US"/>
        </w:rPr>
        <w:t>-</w:t>
      </w:r>
      <w:r w:rsidRPr="00881C23">
        <w:rPr>
          <w:lang w:val="en-US"/>
        </w:rPr>
        <w:t>of</w:t>
      </w:r>
      <w:r w:rsidR="00EC125C">
        <w:rPr>
          <w:lang w:val="en-US"/>
        </w:rPr>
        <w:t>-</w:t>
      </w:r>
      <w:r w:rsidRPr="00881C23">
        <w:rPr>
          <w:lang w:val="en-US"/>
        </w:rPr>
        <w:t>home care are over</w:t>
      </w:r>
      <w:r w:rsidR="00EC125C">
        <w:rPr>
          <w:lang w:val="en-US"/>
        </w:rPr>
        <w:t>-</w:t>
      </w:r>
      <w:r w:rsidRPr="00881C23">
        <w:rPr>
          <w:lang w:val="en-US"/>
        </w:rPr>
        <w:t>represented</w:t>
      </w:r>
    </w:p>
    <w:p w14:paraId="52D3A3B9" w14:textId="0ED7C116" w:rsidR="00EE1A9B" w:rsidRPr="00881C23" w:rsidRDefault="00EE1A9B" w:rsidP="00EE1A9B">
      <w:pPr>
        <w:pStyle w:val="Bulletedlist"/>
        <w:rPr>
          <w:lang w:val="en-US"/>
        </w:rPr>
      </w:pPr>
      <w:r w:rsidRPr="00881C23">
        <w:rPr>
          <w:lang w:val="en-US"/>
        </w:rPr>
        <w:t xml:space="preserve">structural discrimination in service provision </w:t>
      </w:r>
      <w:r>
        <w:rPr>
          <w:lang w:val="en-US"/>
        </w:rPr>
        <w:t>including</w:t>
      </w:r>
      <w:r w:rsidRPr="00881C23">
        <w:rPr>
          <w:lang w:val="en-US"/>
        </w:rPr>
        <w:t xml:space="preserve"> health services</w:t>
      </w:r>
      <w:r>
        <w:rPr>
          <w:lang w:val="en-US"/>
        </w:rPr>
        <w:t>, education</w:t>
      </w:r>
      <w:r w:rsidR="000808A5">
        <w:rPr>
          <w:lang w:val="en-US"/>
        </w:rPr>
        <w:t>,</w:t>
      </w:r>
      <w:r>
        <w:rPr>
          <w:lang w:val="en-US"/>
        </w:rPr>
        <w:t xml:space="preserve"> and law enforcement</w:t>
      </w:r>
    </w:p>
    <w:p w14:paraId="1C3CDC08" w14:textId="06172E28" w:rsidR="00EE1A9B" w:rsidRPr="00881C23" w:rsidRDefault="00EE1A9B" w:rsidP="00EE1A9B">
      <w:pPr>
        <w:pStyle w:val="Bulletedlist"/>
        <w:rPr>
          <w:lang w:val="en-US"/>
        </w:rPr>
      </w:pPr>
      <w:r w:rsidRPr="00881C23">
        <w:rPr>
          <w:lang w:val="en-US"/>
        </w:rPr>
        <w:t>family support and the child safety system</w:t>
      </w:r>
    </w:p>
    <w:p w14:paraId="65D1E0FE" w14:textId="42525ABF" w:rsidR="00EE1A9B" w:rsidRPr="00881C23" w:rsidRDefault="00EE1A9B" w:rsidP="00EE1A9B">
      <w:pPr>
        <w:pStyle w:val="Bulletedlist"/>
        <w:rPr>
          <w:lang w:val="en-US"/>
        </w:rPr>
      </w:pPr>
      <w:r w:rsidRPr="00881C23">
        <w:rPr>
          <w:lang w:val="en-US"/>
        </w:rPr>
        <w:t>raising the age of criminal responsibility</w:t>
      </w:r>
    </w:p>
    <w:p w14:paraId="3FB1520E" w14:textId="2460EAA8" w:rsidR="00EE1A9B" w:rsidRDefault="004E7170" w:rsidP="00EE1A9B">
      <w:pPr>
        <w:pStyle w:val="Bulletedlist"/>
        <w:rPr>
          <w:lang w:val="en-US"/>
        </w:rPr>
      </w:pPr>
      <w:r>
        <w:rPr>
          <w:lang w:val="en-US"/>
        </w:rPr>
        <w:t>t</w:t>
      </w:r>
      <w:r w:rsidR="00EE1A9B" w:rsidRPr="00881C23">
        <w:rPr>
          <w:lang w:val="en-US"/>
        </w:rPr>
        <w:t xml:space="preserve">ruth and </w:t>
      </w:r>
      <w:r>
        <w:rPr>
          <w:lang w:val="en-US"/>
        </w:rPr>
        <w:t>t</w:t>
      </w:r>
      <w:r w:rsidR="00EE1A9B" w:rsidRPr="00881C23">
        <w:rPr>
          <w:lang w:val="en-US"/>
        </w:rPr>
        <w:t>reaty and</w:t>
      </w:r>
      <w:r w:rsidR="00EE1A9B">
        <w:rPr>
          <w:lang w:val="en-US"/>
        </w:rPr>
        <w:t xml:space="preserve"> accountability for</w:t>
      </w:r>
      <w:r w:rsidR="00EE1A9B" w:rsidRPr="00881C23">
        <w:rPr>
          <w:lang w:val="en-US"/>
        </w:rPr>
        <w:t xml:space="preserve"> Closing the Gap targets.</w:t>
      </w:r>
    </w:p>
    <w:p w14:paraId="3B74FF87" w14:textId="6C701D49" w:rsidR="00502924" w:rsidRDefault="00F5290B" w:rsidP="005C69C9">
      <w:pPr>
        <w:pStyle w:val="Heading1"/>
      </w:pPr>
      <w:bookmarkStart w:id="3" w:name="_Toc159426521"/>
      <w:r>
        <w:t xml:space="preserve">Summary of </w:t>
      </w:r>
      <w:r w:rsidR="008B0B4C">
        <w:t>s</w:t>
      </w:r>
      <w:r w:rsidR="00EE1A9B">
        <w:t>ubmission</w:t>
      </w:r>
      <w:bookmarkEnd w:id="3"/>
    </w:p>
    <w:p w14:paraId="4D3D8226" w14:textId="33793CCB" w:rsidR="007C50FD" w:rsidRDefault="00434D8F" w:rsidP="00EE1A9B">
      <w:pPr>
        <w:pStyle w:val="Numberedparagraph"/>
        <w:rPr>
          <w:lang w:val="en-US"/>
        </w:rPr>
      </w:pPr>
      <w:r w:rsidRPr="00434D8F">
        <w:rPr>
          <w:noProof/>
          <w:lang w:val="en-US"/>
        </w:rPr>
        <mc:AlternateContent>
          <mc:Choice Requires="wps">
            <w:drawing>
              <wp:anchor distT="45720" distB="45720" distL="114300" distR="114300" simplePos="0" relativeHeight="251658240" behindDoc="0" locked="0" layoutInCell="1" allowOverlap="1" wp14:anchorId="6FAEED34" wp14:editId="7A1A9E4D">
                <wp:simplePos x="0" y="0"/>
                <wp:positionH relativeFrom="column">
                  <wp:posOffset>386080</wp:posOffset>
                </wp:positionH>
                <wp:positionV relativeFrom="paragraph">
                  <wp:posOffset>702310</wp:posOffset>
                </wp:positionV>
                <wp:extent cx="5057775" cy="1404620"/>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1404620"/>
                        </a:xfrm>
                        <a:prstGeom prst="rect">
                          <a:avLst/>
                        </a:prstGeom>
                        <a:solidFill>
                          <a:srgbClr val="FFFFFF"/>
                        </a:solidFill>
                        <a:ln w="9525">
                          <a:solidFill>
                            <a:srgbClr val="000000"/>
                          </a:solidFill>
                          <a:miter lim="800000"/>
                          <a:headEnd/>
                          <a:tailEnd/>
                        </a:ln>
                      </wps:spPr>
                      <wps:txbx>
                        <w:txbxContent>
                          <w:p w14:paraId="7E866EA0" w14:textId="13128B60" w:rsidR="00434D8F" w:rsidRPr="008C72AF" w:rsidRDefault="000C3916" w:rsidP="00434D8F">
                            <w:pPr>
                              <w:pStyle w:val="Numberedparagraph"/>
                              <w:numPr>
                                <w:ilvl w:val="0"/>
                                <w:numId w:val="0"/>
                              </w:numPr>
                              <w:ind w:left="567"/>
                              <w:rPr>
                                <w:lang w:val="en-US"/>
                              </w:rPr>
                            </w:pPr>
                            <w:r>
                              <w:rPr>
                                <w:lang w:val="en-US"/>
                              </w:rPr>
                              <w:t>In summary, t</w:t>
                            </w:r>
                            <w:r w:rsidR="00434D8F">
                              <w:rPr>
                                <w:lang w:val="en-US"/>
                              </w:rPr>
                              <w:t>he Commission</w:t>
                            </w:r>
                            <w:r w:rsidR="00434D8F" w:rsidRPr="008C72AF">
                              <w:rPr>
                                <w:lang w:val="en-US"/>
                              </w:rPr>
                              <w:t xml:space="preserve"> recommends </w:t>
                            </w:r>
                            <w:r w:rsidR="00434D8F">
                              <w:rPr>
                                <w:lang w:val="en-US"/>
                              </w:rPr>
                              <w:t>that the Plan should:</w:t>
                            </w:r>
                          </w:p>
                          <w:p w14:paraId="064EED42" w14:textId="77777777" w:rsidR="00434D8F" w:rsidRDefault="00434D8F" w:rsidP="00434D8F">
                            <w:pPr>
                              <w:pStyle w:val="Bulletedlist"/>
                            </w:pPr>
                            <w:r>
                              <w:t>develop a clear vision co-designed with children, young people and their families</w:t>
                            </w:r>
                          </w:p>
                          <w:p w14:paraId="1CF0BDA4" w14:textId="026FCBAA" w:rsidR="00434D8F" w:rsidRPr="00EE1A9B" w:rsidRDefault="00434D8F" w:rsidP="00434D8F">
                            <w:pPr>
                              <w:pStyle w:val="Bulletedlist"/>
                            </w:pPr>
                            <w:r>
                              <w:t xml:space="preserve">more clearly </w:t>
                            </w:r>
                            <w:r w:rsidRPr="00EE1A9B">
                              <w:t xml:space="preserve">express </w:t>
                            </w:r>
                            <w:r>
                              <w:t>the</w:t>
                            </w:r>
                            <w:r w:rsidRPr="00EE1A9B">
                              <w:t xml:space="preserve"> </w:t>
                            </w:r>
                            <w:r>
                              <w:t xml:space="preserve">Plan’s </w:t>
                            </w:r>
                            <w:r w:rsidR="004925F2">
                              <w:t>purpose,</w:t>
                            </w:r>
                            <w:r>
                              <w:t xml:space="preserve"> </w:t>
                            </w:r>
                            <w:r w:rsidRPr="00EE1A9B">
                              <w:t>scope</w:t>
                            </w:r>
                            <w:r>
                              <w:t>,</w:t>
                            </w:r>
                            <w:r w:rsidRPr="00EE1A9B">
                              <w:t xml:space="preserve"> and relationship </w:t>
                            </w:r>
                            <w:r>
                              <w:t>to</w:t>
                            </w:r>
                            <w:r w:rsidRPr="00EE1A9B">
                              <w:t xml:space="preserve"> legislation, polic</w:t>
                            </w:r>
                            <w:r>
                              <w:t>ies,</w:t>
                            </w:r>
                            <w:r w:rsidRPr="00EE1A9B">
                              <w:t xml:space="preserve"> and practice</w:t>
                            </w:r>
                            <w:r>
                              <w:t>s</w:t>
                            </w:r>
                            <w:r w:rsidRPr="00EE1A9B">
                              <w:t xml:space="preserve"> in related areas </w:t>
                            </w:r>
                            <w:r>
                              <w:t>(</w:t>
                            </w:r>
                            <w:r w:rsidRPr="00EE1A9B">
                              <w:t>including youth justice</w:t>
                            </w:r>
                            <w:r>
                              <w:t xml:space="preserve">) </w:t>
                            </w:r>
                          </w:p>
                          <w:p w14:paraId="5AA80D0D" w14:textId="1B06C902" w:rsidR="00434D8F" w:rsidRPr="00EE1A9B" w:rsidRDefault="00434D8F" w:rsidP="00434D8F">
                            <w:pPr>
                              <w:pStyle w:val="Bulletedlist"/>
                            </w:pPr>
                            <w:r w:rsidRPr="00EE1A9B">
                              <w:t>establish mechanisms to ensure existing and future legislation, policies</w:t>
                            </w:r>
                            <w:r>
                              <w:t>,</w:t>
                            </w:r>
                            <w:r w:rsidRPr="00EE1A9B">
                              <w:t xml:space="preserve"> and practices do not frustrate the objectives of the </w:t>
                            </w:r>
                            <w:r>
                              <w:t>P</w:t>
                            </w:r>
                            <w:r w:rsidRPr="00EE1A9B">
                              <w:t>lan</w:t>
                            </w:r>
                          </w:p>
                          <w:p w14:paraId="7C0988B5" w14:textId="5250FE82" w:rsidR="00434D8F" w:rsidRDefault="00434D8F" w:rsidP="00434D8F">
                            <w:pPr>
                              <w:pStyle w:val="Bulletedlist"/>
                            </w:pPr>
                            <w:r>
                              <w:t>centre the role</w:t>
                            </w:r>
                            <w:r w:rsidR="00642A9B">
                              <w:t xml:space="preserve"> of</w:t>
                            </w:r>
                            <w:r>
                              <w:t xml:space="preserve"> human rights in underpinning responsibilities to children and families, and in providing minimum standards to be achieved</w:t>
                            </w:r>
                          </w:p>
                          <w:p w14:paraId="14CE718E" w14:textId="77777777" w:rsidR="00434D8F" w:rsidRDefault="00434D8F" w:rsidP="00434D8F">
                            <w:pPr>
                              <w:pStyle w:val="Bulletedlist"/>
                            </w:pPr>
                            <w:r>
                              <w:t>reword and expand the guiding principles to better reflect the Plan’s vision and purpose</w:t>
                            </w:r>
                          </w:p>
                          <w:p w14:paraId="4EE71A58" w14:textId="7EC45487" w:rsidR="00434D8F" w:rsidRDefault="00434D8F" w:rsidP="00434D8F">
                            <w:pPr>
                              <w:pStyle w:val="Bulletedlist"/>
                            </w:pPr>
                            <w:r>
                              <w:t xml:space="preserve">widen the scope of identified priorities to include maintaining engagement in schooling, addressing racism in schools, investing in schools to support </w:t>
                            </w:r>
                            <w:r w:rsidRPr="005F1806">
                              <w:t xml:space="preserve">strong cultural practices and </w:t>
                            </w:r>
                            <w:r w:rsidR="00532E8B">
                              <w:t>a positive sense of cultural identity</w:t>
                            </w:r>
                            <w:r>
                              <w:t>, and responding therapeutically to challenging behaviours</w:t>
                            </w:r>
                          </w:p>
                          <w:p w14:paraId="12EA7FEF" w14:textId="1E7F06F1" w:rsidR="00434D8F" w:rsidRDefault="006E1A4A" w:rsidP="00434D8F">
                            <w:pPr>
                              <w:pStyle w:val="Bulletedlist"/>
                            </w:pPr>
                            <w:r>
                              <w:t xml:space="preserve">require the development of an implementation </w:t>
                            </w:r>
                            <w:r w:rsidR="00591D59">
                              <w:t>roadmap</w:t>
                            </w:r>
                            <w:r>
                              <w:t xml:space="preserve"> </w:t>
                            </w:r>
                            <w:r w:rsidR="00F17F0C">
                              <w:t xml:space="preserve">of </w:t>
                            </w:r>
                            <w:r w:rsidR="00434D8F" w:rsidRPr="00EE1A9B">
                              <w:t xml:space="preserve">immediate, medium-term, and long-term </w:t>
                            </w:r>
                            <w:r>
                              <w:t>activities</w:t>
                            </w:r>
                            <w:r w:rsidR="00B3001B">
                              <w:t xml:space="preserve"> </w:t>
                            </w:r>
                            <w:r w:rsidR="00393723">
                              <w:t>with clearly assigned responsibilities and timelines</w:t>
                            </w:r>
                          </w:p>
                          <w:p w14:paraId="4A196A6F" w14:textId="4AE6986C" w:rsidR="00F17F0C" w:rsidRPr="008C7FBF" w:rsidRDefault="00F17F0C" w:rsidP="00F17F0C">
                            <w:pPr>
                              <w:pStyle w:val="Bulletedlist"/>
                            </w:pPr>
                            <w:r w:rsidRPr="008C7FBF">
                              <w:t xml:space="preserve">establish outcomes and key indicators against which progress </w:t>
                            </w:r>
                            <w:r w:rsidR="00393723">
                              <w:t>is</w:t>
                            </w:r>
                            <w:r w:rsidRPr="008C7FBF">
                              <w:t xml:space="preserve"> measured</w:t>
                            </w:r>
                          </w:p>
                          <w:p w14:paraId="493A9EC2" w14:textId="77777777" w:rsidR="00434D8F" w:rsidRDefault="00434D8F" w:rsidP="00434D8F">
                            <w:pPr>
                              <w:pStyle w:val="Bulletedlist"/>
                            </w:pPr>
                            <w:r w:rsidRPr="00EE1A9B">
                              <w:t>require publication of data on implementation in a coordinated and easily accessible format</w:t>
                            </w:r>
                            <w:r>
                              <w:t>.</w:t>
                            </w:r>
                          </w:p>
                          <w:p w14:paraId="4C20C19E" w14:textId="77777777" w:rsidR="00434D8F" w:rsidRDefault="00434D8F" w:rsidP="00434D8F">
                            <w:pPr>
                              <w:pStyle w:val="Numberedparagraph"/>
                              <w:numPr>
                                <w:ilvl w:val="0"/>
                                <w:numId w:val="0"/>
                              </w:numPr>
                              <w:ind w:left="567"/>
                              <w:rPr>
                                <w:lang w:val="en-US"/>
                              </w:rPr>
                            </w:pPr>
                            <w:r>
                              <w:rPr>
                                <w:lang w:val="en-US"/>
                              </w:rPr>
                              <w:t>The Commission also recommends that the Queensland Government:</w:t>
                            </w:r>
                          </w:p>
                          <w:p w14:paraId="28B4BF42" w14:textId="60941BE2" w:rsidR="00434D8F" w:rsidRPr="00434D8F" w:rsidRDefault="00434D8F" w:rsidP="00434D8F">
                            <w:pPr>
                              <w:pStyle w:val="Bulletedlist"/>
                              <w:rPr>
                                <w:lang w:val="en-US"/>
                              </w:rPr>
                            </w:pPr>
                            <w:r>
                              <w:t>a</w:t>
                            </w:r>
                            <w:r w:rsidRPr="00EE1A9B">
                              <w:t>ppoint</w:t>
                            </w:r>
                            <w:r w:rsidRPr="000264CC">
                              <w:rPr>
                                <w:lang w:val="en-US"/>
                              </w:rPr>
                              <w:t xml:space="preserve"> a Minister for Children and Families with a standalone department that has sufficient authority to coordinate strategies across multiple portfolios. The Minister should be responsible for ensuring alignment of </w:t>
                            </w:r>
                            <w:r>
                              <w:rPr>
                                <w:lang w:val="en-US"/>
                              </w:rPr>
                              <w:t>policies</w:t>
                            </w:r>
                            <w:r w:rsidRPr="000264CC">
                              <w:rPr>
                                <w:lang w:val="en-US"/>
                              </w:rPr>
                              <w:t xml:space="preserve"> and accountability for </w:t>
                            </w:r>
                            <w:r>
                              <w:rPr>
                                <w:lang w:val="en-US"/>
                              </w:rPr>
                              <w:t xml:space="preserve">the Plan’s </w:t>
                            </w:r>
                            <w:r w:rsidRPr="000264CC">
                              <w:rPr>
                                <w:lang w:val="en-US"/>
                              </w:rPr>
                              <w:t>outcomes.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6FAEED34" id="_x0000_t202" coordsize="21600,21600" o:spt="202" path="m,l,21600r21600,l21600,xe">
                <v:stroke joinstyle="miter"/>
                <v:path gradientshapeok="t" o:connecttype="rect"/>
              </v:shapetype>
              <v:shape id="Text Box 2" o:spid="_x0000_s1026" type="#_x0000_t202" style="position:absolute;left:0;text-align:left;margin-left:30.4pt;margin-top:55.3pt;width:398.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">
                <v:textbox style="mso-fit-shape-to-text:t">
                  <w:txbxContent>
                    <w:p w14:paraId="7E866EA0" w14:textId="13128B60" w:rsidR="00434D8F" w:rsidRPr="008C72AF" w:rsidRDefault="000C3916" w:rsidP="00434D8F">
                      <w:pPr>
                        <w:pStyle w:val="Numberedparagraph"/>
                        <w:numPr>
                          <w:ilvl w:val="0"/>
                          <w:numId w:val="0"/>
                        </w:numPr>
                        <w:ind w:left="567"/>
                        <w:rPr>
                          <w:lang w:val="en-US"/>
                        </w:rPr>
                      </w:pPr>
                      <w:r>
                        <w:rPr>
                          <w:lang w:val="en-US"/>
                        </w:rPr>
                        <w:t>In summary, t</w:t>
                      </w:r>
                      <w:r w:rsidR="00434D8F">
                        <w:rPr>
                          <w:lang w:val="en-US"/>
                        </w:rPr>
                        <w:t>he Commission</w:t>
                      </w:r>
                      <w:r w:rsidR="00434D8F" w:rsidRPr="008C72AF">
                        <w:rPr>
                          <w:lang w:val="en-US"/>
                        </w:rPr>
                        <w:t xml:space="preserve"> recommends </w:t>
                      </w:r>
                      <w:r w:rsidR="00434D8F">
                        <w:rPr>
                          <w:lang w:val="en-US"/>
                        </w:rPr>
                        <w:t>that the Plan should:</w:t>
                      </w:r>
                    </w:p>
                    <w:p w14:paraId="064EED42" w14:textId="77777777" w:rsidR="00434D8F" w:rsidRDefault="00434D8F" w:rsidP="00434D8F">
                      <w:pPr>
                        <w:pStyle w:val="Bulletedlist"/>
                      </w:pPr>
                      <w:r>
                        <w:t>develop a clear vision co-designed with children, young people and their families</w:t>
                      </w:r>
                    </w:p>
                    <w:p w14:paraId="1CF0BDA4" w14:textId="026FCBAA" w:rsidR="00434D8F" w:rsidRPr="00EE1A9B" w:rsidRDefault="00434D8F" w:rsidP="00434D8F">
                      <w:pPr>
                        <w:pStyle w:val="Bulletedlist"/>
                      </w:pPr>
                      <w:r>
                        <w:t xml:space="preserve">more clearly </w:t>
                      </w:r>
                      <w:r w:rsidRPr="00EE1A9B">
                        <w:t xml:space="preserve">express </w:t>
                      </w:r>
                      <w:r>
                        <w:t>the</w:t>
                      </w:r>
                      <w:r w:rsidRPr="00EE1A9B">
                        <w:t xml:space="preserve"> </w:t>
                      </w:r>
                      <w:r>
                        <w:t xml:space="preserve">Plan’s </w:t>
                      </w:r>
                      <w:r w:rsidR="004925F2">
                        <w:t>purpose,</w:t>
                      </w:r>
                      <w:r>
                        <w:t xml:space="preserve"> </w:t>
                      </w:r>
                      <w:r w:rsidRPr="00EE1A9B">
                        <w:t>scope</w:t>
                      </w:r>
                      <w:r>
                        <w:t>,</w:t>
                      </w:r>
                      <w:r w:rsidRPr="00EE1A9B">
                        <w:t xml:space="preserve"> and relationship </w:t>
                      </w:r>
                      <w:r>
                        <w:t>to</w:t>
                      </w:r>
                      <w:r w:rsidRPr="00EE1A9B">
                        <w:t xml:space="preserve"> legislation, polic</w:t>
                      </w:r>
                      <w:r>
                        <w:t>ies,</w:t>
                      </w:r>
                      <w:r w:rsidRPr="00EE1A9B">
                        <w:t xml:space="preserve"> and practice</w:t>
                      </w:r>
                      <w:r>
                        <w:t>s</w:t>
                      </w:r>
                      <w:r w:rsidRPr="00EE1A9B">
                        <w:t xml:space="preserve"> in related areas </w:t>
                      </w:r>
                      <w:r>
                        <w:t>(</w:t>
                      </w:r>
                      <w:r w:rsidRPr="00EE1A9B">
                        <w:t>including youth justice</w:t>
                      </w:r>
                      <w:r>
                        <w:t xml:space="preserve">) </w:t>
                      </w:r>
                    </w:p>
                    <w:p w14:paraId="5AA80D0D" w14:textId="1B06C902" w:rsidR="00434D8F" w:rsidRPr="00EE1A9B" w:rsidRDefault="00434D8F" w:rsidP="00434D8F">
                      <w:pPr>
                        <w:pStyle w:val="Bulletedlist"/>
                      </w:pPr>
                      <w:r w:rsidRPr="00EE1A9B">
                        <w:t>establish mechanisms to ensure existing and future legislation, policies</w:t>
                      </w:r>
                      <w:r>
                        <w:t>,</w:t>
                      </w:r>
                      <w:r w:rsidRPr="00EE1A9B">
                        <w:t xml:space="preserve"> and practices do not frustrate the objectives of the </w:t>
                      </w:r>
                      <w:r>
                        <w:t>P</w:t>
                      </w:r>
                      <w:r w:rsidRPr="00EE1A9B">
                        <w:t>lan</w:t>
                      </w:r>
                    </w:p>
                    <w:p w14:paraId="7C0988B5" w14:textId="5250FE82" w:rsidR="00434D8F" w:rsidRDefault="00434D8F" w:rsidP="00434D8F">
                      <w:pPr>
                        <w:pStyle w:val="Bulletedlist"/>
                      </w:pPr>
                      <w:r>
                        <w:t>centre the role</w:t>
                      </w:r>
                      <w:r w:rsidR="00642A9B">
                        <w:t xml:space="preserve"> of</w:t>
                      </w:r>
                      <w:r>
                        <w:t xml:space="preserve"> human rights in underpinning responsibilities to children and families, and in providing minimum standards to be achieved</w:t>
                      </w:r>
                    </w:p>
                    <w:p w14:paraId="14CE718E" w14:textId="77777777" w:rsidR="00434D8F" w:rsidRDefault="00434D8F" w:rsidP="00434D8F">
                      <w:pPr>
                        <w:pStyle w:val="Bulletedlist"/>
                      </w:pPr>
                      <w:r>
                        <w:t>reword and expand the guiding principles to better reflect the Plan’s vision and purpose</w:t>
                      </w:r>
                    </w:p>
                    <w:p w14:paraId="4EE71A58" w14:textId="7EC45487" w:rsidR="00434D8F" w:rsidRDefault="00434D8F" w:rsidP="00434D8F">
                      <w:pPr>
                        <w:pStyle w:val="Bulletedlist"/>
                      </w:pPr>
                      <w:r>
                        <w:t xml:space="preserve">widen the scope of identified priorities to include maintaining engagement in schooling, addressing racism in schools, investing in schools to support </w:t>
                      </w:r>
                      <w:r w:rsidRPr="005F1806">
                        <w:t xml:space="preserve">strong cultural practices and </w:t>
                      </w:r>
                      <w:r w:rsidR="00532E8B">
                        <w:t>a positive sense of cultural identity</w:t>
                      </w:r>
                      <w:r>
                        <w:t>, and responding therapeutically to challenging behaviours</w:t>
                      </w:r>
                    </w:p>
                    <w:p w14:paraId="12EA7FEF" w14:textId="1E7F06F1" w:rsidR="00434D8F" w:rsidRDefault="006E1A4A" w:rsidP="00434D8F">
                      <w:pPr>
                        <w:pStyle w:val="Bulletedlist"/>
                      </w:pPr>
                      <w:r>
                        <w:t xml:space="preserve">require the development of an implementation </w:t>
                      </w:r>
                      <w:r w:rsidR="00591D59">
                        <w:t>roadmap</w:t>
                      </w:r>
                      <w:r>
                        <w:t xml:space="preserve"> </w:t>
                      </w:r>
                      <w:r w:rsidR="00F17F0C">
                        <w:t xml:space="preserve">of </w:t>
                      </w:r>
                      <w:r w:rsidR="00434D8F" w:rsidRPr="00EE1A9B">
                        <w:t xml:space="preserve">immediate, medium-term, and long-term </w:t>
                      </w:r>
                      <w:r>
                        <w:t>activities</w:t>
                      </w:r>
                      <w:r w:rsidR="00B3001B">
                        <w:t xml:space="preserve"> </w:t>
                      </w:r>
                      <w:r w:rsidR="00393723">
                        <w:t>with clearly assigned responsibilities and timelines</w:t>
                      </w:r>
                    </w:p>
                    <w:p w14:paraId="4A196A6F" w14:textId="4AE6986C" w:rsidR="00F17F0C" w:rsidRPr="008C7FBF" w:rsidRDefault="00F17F0C" w:rsidP="00F17F0C">
                      <w:pPr>
                        <w:pStyle w:val="Bulletedlist"/>
                      </w:pPr>
                      <w:r w:rsidRPr="008C7FBF">
                        <w:t xml:space="preserve">establish outcomes and key indicators against which progress </w:t>
                      </w:r>
                      <w:r w:rsidR="00393723">
                        <w:t>is</w:t>
                      </w:r>
                      <w:r w:rsidRPr="008C7FBF">
                        <w:t xml:space="preserve"> measured</w:t>
                      </w:r>
                    </w:p>
                    <w:p w14:paraId="493A9EC2" w14:textId="77777777" w:rsidR="00434D8F" w:rsidRDefault="00434D8F" w:rsidP="00434D8F">
                      <w:pPr>
                        <w:pStyle w:val="Bulletedlist"/>
                      </w:pPr>
                      <w:r w:rsidRPr="00EE1A9B">
                        <w:t>require publication of data on implementation in a coordinated and easily accessible format</w:t>
                      </w:r>
                      <w:r>
                        <w:t>.</w:t>
                      </w:r>
                    </w:p>
                    <w:p w14:paraId="4C20C19E" w14:textId="77777777" w:rsidR="00434D8F" w:rsidRDefault="00434D8F" w:rsidP="00434D8F">
                      <w:pPr>
                        <w:pStyle w:val="Numberedparagraph"/>
                        <w:numPr>
                          <w:ilvl w:val="0"/>
                          <w:numId w:val="0"/>
                        </w:numPr>
                        <w:ind w:left="567"/>
                        <w:rPr>
                          <w:lang w:val="en-US"/>
                        </w:rPr>
                      </w:pPr>
                      <w:r>
                        <w:rPr>
                          <w:lang w:val="en-US"/>
                        </w:rPr>
                        <w:t>The Commission also recommends that the Queensland Government:</w:t>
                      </w:r>
                    </w:p>
                    <w:p w14:paraId="28B4BF42" w14:textId="60941BE2" w:rsidR="00434D8F" w:rsidRPr="00434D8F" w:rsidRDefault="00434D8F" w:rsidP="00434D8F">
                      <w:pPr>
                        <w:pStyle w:val="Bulletedlist"/>
                        <w:rPr>
                          <w:lang w:val="en-US"/>
                        </w:rPr>
                      </w:pPr>
                      <w:r>
                        <w:t>a</w:t>
                      </w:r>
                      <w:r w:rsidRPr="00EE1A9B">
                        <w:t>ppoint</w:t>
                      </w:r>
                      <w:r w:rsidRPr="000264CC">
                        <w:rPr>
                          <w:lang w:val="en-US"/>
                        </w:rPr>
                        <w:t xml:space="preserve"> a Minister for Children and Families with a standalone department that has sufficient authority to coordinate strategies across multiple portfolios. The Minister should be responsible for ensuring alignment of </w:t>
                      </w:r>
                      <w:r>
                        <w:rPr>
                          <w:lang w:val="en-US"/>
                        </w:rPr>
                        <w:t>policies</w:t>
                      </w:r>
                      <w:r w:rsidRPr="000264CC">
                        <w:rPr>
                          <w:lang w:val="en-US"/>
                        </w:rPr>
                        <w:t xml:space="preserve"> and accountability for </w:t>
                      </w:r>
                      <w:r>
                        <w:rPr>
                          <w:lang w:val="en-US"/>
                        </w:rPr>
                        <w:t xml:space="preserve">the Plan’s </w:t>
                      </w:r>
                      <w:r w:rsidRPr="000264CC">
                        <w:rPr>
                          <w:lang w:val="en-US"/>
                        </w:rPr>
                        <w:t>outcomes.</w:t>
                      </w:r>
                    </w:p>
                  </w:txbxContent>
                </v:textbox>
                <w10:wrap type="square"/>
              </v:shape>
            </w:pict>
          </mc:Fallback>
        </mc:AlternateContent>
      </w:r>
      <w:r w:rsidR="00EE1A9B" w:rsidRPr="008C72AF">
        <w:rPr>
          <w:lang w:val="en-US"/>
        </w:rPr>
        <w:t>In this submission, the Commission</w:t>
      </w:r>
      <w:r w:rsidR="00EE1A9B">
        <w:rPr>
          <w:lang w:val="en-US"/>
        </w:rPr>
        <w:t xml:space="preserve"> addresses each of the consultation questions</w:t>
      </w:r>
      <w:r w:rsidR="00643D5A">
        <w:rPr>
          <w:lang w:val="en-US"/>
        </w:rPr>
        <w:t xml:space="preserve"> </w:t>
      </w:r>
      <w:r w:rsidR="00F86197">
        <w:rPr>
          <w:lang w:val="en-US"/>
        </w:rPr>
        <w:t xml:space="preserve">and comments on aspects of the </w:t>
      </w:r>
      <w:r w:rsidR="00E717F9">
        <w:rPr>
          <w:lang w:val="en-US"/>
        </w:rPr>
        <w:t>draft</w:t>
      </w:r>
      <w:r w:rsidR="00511CAE">
        <w:rPr>
          <w:lang w:val="en-US"/>
        </w:rPr>
        <w:t xml:space="preserve"> </w:t>
      </w:r>
      <w:r w:rsidR="00A23584">
        <w:rPr>
          <w:lang w:val="en-US"/>
        </w:rPr>
        <w:t>P</w:t>
      </w:r>
      <w:r w:rsidR="00511CAE">
        <w:rPr>
          <w:lang w:val="en-US"/>
        </w:rPr>
        <w:t>lan</w:t>
      </w:r>
      <w:r w:rsidR="00EE1A9B">
        <w:rPr>
          <w:lang w:val="en-US"/>
        </w:rPr>
        <w:t xml:space="preserve">. </w:t>
      </w:r>
    </w:p>
    <w:p w14:paraId="04F54153" w14:textId="61451D13" w:rsidR="006E534C" w:rsidRDefault="006E534C" w:rsidP="006E534C">
      <w:pPr>
        <w:pStyle w:val="Numberedparagraph"/>
        <w:numPr>
          <w:ilvl w:val="0"/>
          <w:numId w:val="0"/>
        </w:numPr>
        <w:ind w:left="567"/>
        <w:rPr>
          <w:lang w:val="en-US"/>
        </w:rPr>
      </w:pPr>
    </w:p>
    <w:p w14:paraId="60E313EC" w14:textId="6F7702B1" w:rsidR="006932E5" w:rsidRDefault="002B08D8" w:rsidP="006932E5">
      <w:pPr>
        <w:pStyle w:val="Numberedparagraph"/>
        <w:rPr>
          <w:lang w:val="en-US"/>
        </w:rPr>
      </w:pPr>
      <w:r>
        <w:rPr>
          <w:lang w:val="en-US"/>
        </w:rPr>
        <w:t xml:space="preserve">Queensland </w:t>
      </w:r>
      <w:r w:rsidR="00C62C71">
        <w:rPr>
          <w:lang w:val="en-US"/>
        </w:rPr>
        <w:t xml:space="preserve">would </w:t>
      </w:r>
      <w:r>
        <w:rPr>
          <w:lang w:val="en-US"/>
        </w:rPr>
        <w:t xml:space="preserve">not </w:t>
      </w:r>
      <w:r w:rsidR="00C62C71">
        <w:rPr>
          <w:lang w:val="en-US"/>
        </w:rPr>
        <w:t>be</w:t>
      </w:r>
      <w:r>
        <w:rPr>
          <w:lang w:val="en-US"/>
        </w:rPr>
        <w:t xml:space="preserve"> the first jurisdiction to implement a whole</w:t>
      </w:r>
      <w:r w:rsidR="00BF3206">
        <w:rPr>
          <w:lang w:val="en-US"/>
        </w:rPr>
        <w:t>-</w:t>
      </w:r>
      <w:r>
        <w:rPr>
          <w:lang w:val="en-US"/>
        </w:rPr>
        <w:t>of</w:t>
      </w:r>
      <w:r w:rsidR="00BF3206">
        <w:rPr>
          <w:lang w:val="en-US"/>
        </w:rPr>
        <w:t>-</w:t>
      </w:r>
      <w:r>
        <w:rPr>
          <w:lang w:val="en-US"/>
        </w:rPr>
        <w:t>government</w:t>
      </w:r>
      <w:r w:rsidR="00E710D2">
        <w:rPr>
          <w:lang w:val="en-US"/>
        </w:rPr>
        <w:t xml:space="preserve"> strategy </w:t>
      </w:r>
      <w:r w:rsidR="00FB6E4C">
        <w:rPr>
          <w:lang w:val="en-US"/>
        </w:rPr>
        <w:t>for</w:t>
      </w:r>
      <w:r w:rsidR="00E710D2">
        <w:rPr>
          <w:lang w:val="en-US"/>
        </w:rPr>
        <w:t xml:space="preserve"> improving outcomes for children and young people</w:t>
      </w:r>
      <w:r w:rsidR="009D6CF4">
        <w:rPr>
          <w:lang w:val="en-US"/>
        </w:rPr>
        <w:t>.</w:t>
      </w:r>
      <w:r w:rsidR="005F59BC">
        <w:rPr>
          <w:lang w:val="en-US"/>
        </w:rPr>
        <w:t xml:space="preserve"> In this submission we </w:t>
      </w:r>
      <w:r w:rsidR="00A213FA">
        <w:rPr>
          <w:lang w:val="en-US"/>
        </w:rPr>
        <w:t xml:space="preserve">draw </w:t>
      </w:r>
      <w:r w:rsidR="00BB516B">
        <w:rPr>
          <w:lang w:val="en-US"/>
        </w:rPr>
        <w:t xml:space="preserve">on the experience </w:t>
      </w:r>
      <w:r w:rsidR="00C62C71">
        <w:rPr>
          <w:lang w:val="en-US"/>
        </w:rPr>
        <w:t xml:space="preserve">of implementing </w:t>
      </w:r>
      <w:r w:rsidR="00A213FA">
        <w:rPr>
          <w:lang w:val="en-US"/>
        </w:rPr>
        <w:t xml:space="preserve">strategies developed </w:t>
      </w:r>
      <w:r w:rsidR="00D3649C">
        <w:rPr>
          <w:lang w:val="en-US"/>
        </w:rPr>
        <w:t>overseas</w:t>
      </w:r>
      <w:r w:rsidR="009D518D">
        <w:rPr>
          <w:lang w:val="en-US"/>
        </w:rPr>
        <w:t xml:space="preserve"> </w:t>
      </w:r>
      <w:r w:rsidR="00EF135D">
        <w:rPr>
          <w:lang w:val="en-US"/>
        </w:rPr>
        <w:t xml:space="preserve">and </w:t>
      </w:r>
      <w:r w:rsidR="00C97324">
        <w:rPr>
          <w:lang w:val="en-US"/>
        </w:rPr>
        <w:t>in other Australian states and territories.</w:t>
      </w:r>
    </w:p>
    <w:p w14:paraId="31CB47F2" w14:textId="41B0B575" w:rsidR="00EE1A9B" w:rsidRDefault="00F30F2A" w:rsidP="00EE1A9B">
      <w:pPr>
        <w:pStyle w:val="Heading1"/>
        <w:rPr>
          <w:rFonts w:cs="Arial"/>
          <w:lang w:val="en-US"/>
        </w:rPr>
      </w:pPr>
      <w:bookmarkStart w:id="4" w:name="_Toc159426522"/>
      <w:r>
        <w:rPr>
          <w:rFonts w:cs="Arial"/>
          <w:lang w:val="en-US"/>
        </w:rPr>
        <w:t>Vision</w:t>
      </w:r>
      <w:r w:rsidR="00E32D3A">
        <w:rPr>
          <w:rFonts w:cs="Arial"/>
          <w:lang w:val="en-US"/>
        </w:rPr>
        <w:t>,</w:t>
      </w:r>
      <w:r>
        <w:rPr>
          <w:rFonts w:cs="Arial"/>
          <w:lang w:val="en-US"/>
        </w:rPr>
        <w:t xml:space="preserve"> s</w:t>
      </w:r>
      <w:r w:rsidR="00EE1A9B">
        <w:rPr>
          <w:rFonts w:cs="Arial"/>
          <w:lang w:val="en-US"/>
        </w:rPr>
        <w:t>cope</w:t>
      </w:r>
      <w:r w:rsidR="006D1886">
        <w:rPr>
          <w:rFonts w:cs="Arial"/>
          <w:lang w:val="en-US"/>
        </w:rPr>
        <w:t>,</w:t>
      </w:r>
      <w:r w:rsidR="00EE1A9B">
        <w:rPr>
          <w:rFonts w:cs="Arial"/>
          <w:lang w:val="en-US"/>
        </w:rPr>
        <w:t xml:space="preserve"> and relationship with other policies</w:t>
      </w:r>
      <w:bookmarkEnd w:id="4"/>
    </w:p>
    <w:p w14:paraId="2F669E4A" w14:textId="357F7BC0" w:rsidR="00696D44" w:rsidRPr="00696D44" w:rsidRDefault="00F443E4" w:rsidP="00696D44">
      <w:pPr>
        <w:pStyle w:val="Heading3"/>
      </w:pPr>
      <w:bookmarkStart w:id="5" w:name="_Toc159426523"/>
      <w:r>
        <w:t>V</w:t>
      </w:r>
      <w:r w:rsidR="00E32D3A">
        <w:t>ision and purpose</w:t>
      </w:r>
      <w:bookmarkEnd w:id="5"/>
    </w:p>
    <w:p w14:paraId="6A26E0D3" w14:textId="1DB5EDFD" w:rsidR="00E3083E" w:rsidRDefault="00EE1A9B" w:rsidP="00E3083E">
      <w:pPr>
        <w:pStyle w:val="Numberedparagraph"/>
      </w:pPr>
      <w:r w:rsidRPr="00881C23">
        <w:rPr>
          <w:lang w:val="en-US"/>
        </w:rPr>
        <w:t xml:space="preserve">The stated objective of the </w:t>
      </w:r>
      <w:r w:rsidR="003876C1">
        <w:rPr>
          <w:lang w:val="en-US"/>
        </w:rPr>
        <w:t>P</w:t>
      </w:r>
      <w:r w:rsidRPr="00881C23">
        <w:rPr>
          <w:lang w:val="en-US"/>
        </w:rPr>
        <w:t>lan is</w:t>
      </w:r>
      <w:r w:rsidR="00EF7124">
        <w:rPr>
          <w:lang w:val="en-US"/>
        </w:rPr>
        <w:t xml:space="preserve"> </w:t>
      </w:r>
      <w:r w:rsidRPr="00881C23">
        <w:rPr>
          <w:lang w:val="en-US"/>
        </w:rPr>
        <w:t>‘</w:t>
      </w:r>
      <w:r w:rsidR="00EF7124">
        <w:rPr>
          <w:lang w:val="en-US"/>
        </w:rPr>
        <w:t>to</w:t>
      </w:r>
      <w:r w:rsidRPr="00881C23">
        <w:rPr>
          <w:lang w:val="en-US"/>
        </w:rPr>
        <w:t xml:space="preserve"> </w:t>
      </w:r>
      <w:r w:rsidRPr="00881C23">
        <w:t>strengthen protective factors around children, young people and families through targeted investment in prevention and early interventions’</w:t>
      </w:r>
      <w:r w:rsidR="00393723">
        <w:t>.</w:t>
      </w:r>
      <w:r w:rsidR="00695080">
        <w:rPr>
          <w:rStyle w:val="FootnoteReference"/>
        </w:rPr>
        <w:footnoteReference w:id="3"/>
      </w:r>
      <w:r>
        <w:t xml:space="preserve"> The investment priorities go on to specify ‘our priorities ensure all children and young people have the best possible start in life, remain connected to education and achieve healthy outcomes with a focus on those at risk of entering the youth justice system’</w:t>
      </w:r>
      <w:r w:rsidR="00393723">
        <w:t>.</w:t>
      </w:r>
      <w:r w:rsidRPr="00881C23">
        <w:rPr>
          <w:rStyle w:val="FootnoteReference"/>
        </w:rPr>
        <w:footnoteReference w:id="4"/>
      </w:r>
    </w:p>
    <w:p w14:paraId="43B2BA56" w14:textId="1C06A3E5" w:rsidR="00B0055E" w:rsidRDefault="00B02ABF" w:rsidP="00E3083E">
      <w:pPr>
        <w:pStyle w:val="Numberedparagraph"/>
      </w:pPr>
      <w:r w:rsidRPr="00F30F2A">
        <w:t xml:space="preserve">In the Commission’s view, </w:t>
      </w:r>
      <w:r w:rsidR="00F70EA2">
        <w:t xml:space="preserve">the Plan </w:t>
      </w:r>
      <w:r w:rsidR="004F7970">
        <w:t>should</w:t>
      </w:r>
      <w:r w:rsidR="00F70EA2">
        <w:t xml:space="preserve"> better articulate its purpose and vision, which </w:t>
      </w:r>
      <w:r w:rsidR="00A80E99">
        <w:t>can</w:t>
      </w:r>
      <w:r w:rsidR="004B160F">
        <w:t xml:space="preserve"> </w:t>
      </w:r>
      <w:r w:rsidR="00F70EA2">
        <w:t xml:space="preserve">then </w:t>
      </w:r>
      <w:r w:rsidR="00402748">
        <w:t xml:space="preserve">be </w:t>
      </w:r>
      <w:r w:rsidR="00F70EA2">
        <w:t>underpinned by principles, priority areas</w:t>
      </w:r>
      <w:r w:rsidR="004B160F">
        <w:t>,</w:t>
      </w:r>
      <w:r w:rsidR="00F70EA2">
        <w:t xml:space="preserve"> and measurable outcomes</w:t>
      </w:r>
      <w:r w:rsidR="003876C1">
        <w:t xml:space="preserve">. </w:t>
      </w:r>
      <w:r w:rsidR="00B0055E">
        <w:t xml:space="preserve"> </w:t>
      </w:r>
    </w:p>
    <w:p w14:paraId="34F75B11" w14:textId="444670F0" w:rsidR="00B0055E" w:rsidRDefault="00B0055E" w:rsidP="00E3083E">
      <w:pPr>
        <w:pStyle w:val="Numberedparagraph"/>
      </w:pPr>
      <w:r>
        <w:t>New Zealand</w:t>
      </w:r>
      <w:r w:rsidR="00513DA6">
        <w:t>’s</w:t>
      </w:r>
      <w:r>
        <w:t xml:space="preserve"> </w:t>
      </w:r>
      <w:r w:rsidRPr="00972920">
        <w:rPr>
          <w:i/>
          <w:iCs/>
        </w:rPr>
        <w:t>Child and Youth Wellbeing Strategy</w:t>
      </w:r>
      <w:r w:rsidR="00972920">
        <w:rPr>
          <w:i/>
          <w:iCs/>
        </w:rPr>
        <w:t xml:space="preserve"> </w:t>
      </w:r>
      <w:r w:rsidR="00DE207F">
        <w:t>(</w:t>
      </w:r>
      <w:r w:rsidR="00DE207F">
        <w:rPr>
          <w:b/>
          <w:bCs/>
        </w:rPr>
        <w:t xml:space="preserve">New Zealand Child and Youth </w:t>
      </w:r>
      <w:r w:rsidR="00DE207F" w:rsidRPr="00DE207F">
        <w:rPr>
          <w:b/>
          <w:bCs/>
        </w:rPr>
        <w:t>Strategy</w:t>
      </w:r>
      <w:r w:rsidR="00DE207F">
        <w:t xml:space="preserve">) </w:t>
      </w:r>
      <w:r w:rsidR="00CC6C41">
        <w:t xml:space="preserve">has </w:t>
      </w:r>
      <w:r w:rsidR="00C5711D">
        <w:t>as its</w:t>
      </w:r>
      <w:r w:rsidR="00CC6C41">
        <w:t xml:space="preserve"> vision </w:t>
      </w:r>
      <w:r w:rsidR="00825A80">
        <w:t>‘</w:t>
      </w:r>
      <w:r w:rsidR="00F373DC">
        <w:t xml:space="preserve">Making </w:t>
      </w:r>
      <w:r w:rsidR="00825A80">
        <w:t>New Zealand the best place in the world for children and young people’</w:t>
      </w:r>
      <w:r w:rsidR="00EA148F">
        <w:t>,</w:t>
      </w:r>
      <w:r w:rsidR="00972920">
        <w:rPr>
          <w:rStyle w:val="FootnoteReference"/>
        </w:rPr>
        <w:footnoteReference w:id="5"/>
      </w:r>
      <w:r w:rsidR="00972920">
        <w:t xml:space="preserve"> </w:t>
      </w:r>
      <w:r w:rsidR="00EA148F">
        <w:t>while</w:t>
      </w:r>
      <w:r w:rsidR="00825A80">
        <w:t xml:space="preserve"> </w:t>
      </w:r>
      <w:r w:rsidR="00EA148F">
        <w:t>i</w:t>
      </w:r>
      <w:r w:rsidR="00825A80">
        <w:t xml:space="preserve">ts </w:t>
      </w:r>
      <w:r>
        <w:t>purpose</w:t>
      </w:r>
      <w:r w:rsidR="00825A80">
        <w:t xml:space="preserve"> is</w:t>
      </w:r>
      <w:r>
        <w:t xml:space="preserve"> to:</w:t>
      </w:r>
    </w:p>
    <w:p w14:paraId="6B0CEB77" w14:textId="7291070C" w:rsidR="00B0055E" w:rsidRPr="00B0055E" w:rsidRDefault="00FD1E90" w:rsidP="008E6AFB">
      <w:pPr>
        <w:pStyle w:val="Numberedparagraph"/>
        <w:numPr>
          <w:ilvl w:val="0"/>
          <w:numId w:val="6"/>
        </w:numPr>
        <w:contextualSpacing/>
        <w:rPr>
          <w:lang w:eastAsia="en-AU"/>
        </w:rPr>
      </w:pPr>
      <w:r>
        <w:rPr>
          <w:lang w:eastAsia="en-AU"/>
        </w:rPr>
        <w:t>s</w:t>
      </w:r>
      <w:r w:rsidR="00B0055E" w:rsidRPr="00B0055E">
        <w:rPr>
          <w:lang w:eastAsia="en-AU"/>
        </w:rPr>
        <w:t>et out a framework to improve child and youth wellbeing that can be used by anyone</w:t>
      </w:r>
    </w:p>
    <w:p w14:paraId="69B22BAA" w14:textId="6180794C" w:rsidR="00B0055E" w:rsidRPr="00B0055E" w:rsidRDefault="00FD1E90" w:rsidP="008E6AFB">
      <w:pPr>
        <w:pStyle w:val="Numberedparagraph"/>
        <w:numPr>
          <w:ilvl w:val="0"/>
          <w:numId w:val="6"/>
        </w:numPr>
        <w:contextualSpacing/>
        <w:rPr>
          <w:lang w:eastAsia="en-AU"/>
        </w:rPr>
      </w:pPr>
      <w:r>
        <w:rPr>
          <w:lang w:eastAsia="en-AU"/>
        </w:rPr>
        <w:t>d</w:t>
      </w:r>
      <w:r w:rsidR="00B0055E" w:rsidRPr="00B0055E">
        <w:rPr>
          <w:lang w:eastAsia="en-AU"/>
        </w:rPr>
        <w:t>rive government policy in a unified and holistic way</w:t>
      </w:r>
    </w:p>
    <w:p w14:paraId="73420746" w14:textId="3E58A778" w:rsidR="00B0055E" w:rsidRPr="00B0055E" w:rsidRDefault="00FD1E90" w:rsidP="008E6AFB">
      <w:pPr>
        <w:pStyle w:val="Numberedparagraph"/>
        <w:numPr>
          <w:ilvl w:val="0"/>
          <w:numId w:val="6"/>
        </w:numPr>
        <w:contextualSpacing/>
        <w:rPr>
          <w:lang w:eastAsia="en-AU"/>
        </w:rPr>
      </w:pPr>
      <w:r>
        <w:rPr>
          <w:lang w:eastAsia="en-AU"/>
        </w:rPr>
        <w:t>o</w:t>
      </w:r>
      <w:r w:rsidR="00B0055E" w:rsidRPr="00B0055E">
        <w:rPr>
          <w:lang w:eastAsia="en-AU"/>
        </w:rPr>
        <w:t>utline the policies the Government intends to implement</w:t>
      </w:r>
    </w:p>
    <w:p w14:paraId="471E058F" w14:textId="099B4B14" w:rsidR="00B0055E" w:rsidRPr="00B0055E" w:rsidRDefault="00FD1E90" w:rsidP="008E6AFB">
      <w:pPr>
        <w:pStyle w:val="Numberedparagraph"/>
        <w:numPr>
          <w:ilvl w:val="0"/>
          <w:numId w:val="6"/>
        </w:numPr>
        <w:contextualSpacing/>
        <w:rPr>
          <w:lang w:eastAsia="en-AU"/>
        </w:rPr>
      </w:pPr>
      <w:r>
        <w:rPr>
          <w:lang w:eastAsia="en-AU"/>
        </w:rPr>
        <w:t>h</w:t>
      </w:r>
      <w:r w:rsidR="00B0055E" w:rsidRPr="00B0055E">
        <w:rPr>
          <w:lang w:eastAsia="en-AU"/>
        </w:rPr>
        <w:t>arness public support and community action</w:t>
      </w:r>
    </w:p>
    <w:p w14:paraId="65C825F9" w14:textId="682613C2" w:rsidR="00B0055E" w:rsidRPr="00B0055E" w:rsidRDefault="00FD1E90" w:rsidP="008E6AFB">
      <w:pPr>
        <w:pStyle w:val="Numberedparagraph"/>
        <w:numPr>
          <w:ilvl w:val="0"/>
          <w:numId w:val="6"/>
        </w:numPr>
        <w:contextualSpacing/>
        <w:rPr>
          <w:lang w:eastAsia="en-AU"/>
        </w:rPr>
      </w:pPr>
      <w:r>
        <w:rPr>
          <w:lang w:eastAsia="en-AU"/>
        </w:rPr>
        <w:t>i</w:t>
      </w:r>
      <w:r w:rsidR="00B0055E" w:rsidRPr="00B0055E">
        <w:rPr>
          <w:lang w:eastAsia="en-AU"/>
        </w:rPr>
        <w:t>ncrease political and public sector accountability for improving wellbeing</w:t>
      </w:r>
    </w:p>
    <w:p w14:paraId="15A9058C" w14:textId="42FF6850" w:rsidR="00B0055E" w:rsidRDefault="00FD1E90" w:rsidP="008E6AFB">
      <w:pPr>
        <w:pStyle w:val="Numberedparagraph"/>
        <w:numPr>
          <w:ilvl w:val="0"/>
          <w:numId w:val="6"/>
        </w:numPr>
        <w:contextualSpacing/>
        <w:rPr>
          <w:lang w:eastAsia="en-AU"/>
        </w:rPr>
      </w:pPr>
      <w:r>
        <w:rPr>
          <w:lang w:eastAsia="en-AU"/>
        </w:rPr>
        <w:t>i</w:t>
      </w:r>
      <w:r w:rsidR="00B0055E" w:rsidRPr="00B0055E">
        <w:rPr>
          <w:lang w:eastAsia="en-AU"/>
        </w:rPr>
        <w:t>mprove wellbeing outcomes for Māori children and young people</w:t>
      </w:r>
      <w:r w:rsidR="00F70EA2">
        <w:rPr>
          <w:lang w:eastAsia="en-AU"/>
        </w:rPr>
        <w:t>.</w:t>
      </w:r>
      <w:r w:rsidR="00B91E1C">
        <w:rPr>
          <w:rStyle w:val="FootnoteReference"/>
          <w:lang w:eastAsia="en-AU"/>
        </w:rPr>
        <w:footnoteReference w:id="6"/>
      </w:r>
    </w:p>
    <w:p w14:paraId="5276C01F" w14:textId="77777777" w:rsidR="00F70EA2" w:rsidRDefault="00F70EA2" w:rsidP="00F30F2A">
      <w:pPr>
        <w:pStyle w:val="Numberedparagraph"/>
        <w:numPr>
          <w:ilvl w:val="0"/>
          <w:numId w:val="0"/>
        </w:numPr>
        <w:ind w:left="1134"/>
        <w:contextualSpacing/>
        <w:rPr>
          <w:lang w:eastAsia="en-AU"/>
        </w:rPr>
      </w:pPr>
    </w:p>
    <w:p w14:paraId="4C482146" w14:textId="355DE332" w:rsidR="003378D3" w:rsidRDefault="00D22BAE" w:rsidP="00E3083E">
      <w:pPr>
        <w:pStyle w:val="Numberedparagraph"/>
      </w:pPr>
      <w:r>
        <w:t xml:space="preserve">The United Nations </w:t>
      </w:r>
      <w:r w:rsidR="00201EAC">
        <w:t xml:space="preserve">strategy </w:t>
      </w:r>
      <w:r w:rsidR="00201EAC">
        <w:rPr>
          <w:i/>
          <w:iCs/>
        </w:rPr>
        <w:t>Youth 2030: Working with and for Young People</w:t>
      </w:r>
      <w:r w:rsidR="00136377">
        <w:t xml:space="preserve"> </w:t>
      </w:r>
      <w:r w:rsidR="008337DD">
        <w:t>sets out as its vision:</w:t>
      </w:r>
    </w:p>
    <w:p w14:paraId="6A87064A" w14:textId="4B8C0575" w:rsidR="008337DD" w:rsidRDefault="000C4C3C" w:rsidP="000C4C3C">
      <w:pPr>
        <w:pStyle w:val="Quote"/>
      </w:pPr>
      <w:r>
        <w:t xml:space="preserve">A world in which the human rights of every young person are realized; that ensures every young person is empowered to achieve their full potential; </w:t>
      </w:r>
      <w:r>
        <w:lastRenderedPageBreak/>
        <w:t>and that recognizes young people’s agency, resilience and their positive contributions as agents of change.</w:t>
      </w:r>
      <w:r>
        <w:rPr>
          <w:rStyle w:val="FootnoteReference"/>
        </w:rPr>
        <w:footnoteReference w:id="7"/>
      </w:r>
    </w:p>
    <w:p w14:paraId="1119121A" w14:textId="3B1AEA29" w:rsidR="00857198" w:rsidRDefault="00857198" w:rsidP="00E3083E">
      <w:pPr>
        <w:pStyle w:val="Numberedparagraph"/>
      </w:pPr>
      <w:r>
        <w:t xml:space="preserve">Other child and youth strategies </w:t>
      </w:r>
      <w:r w:rsidR="008337DD">
        <w:t xml:space="preserve">in Australia </w:t>
      </w:r>
      <w:r>
        <w:t>include the following as their vision:</w:t>
      </w:r>
      <w:r w:rsidR="000C12DC">
        <w:t xml:space="preserve"> </w:t>
      </w:r>
    </w:p>
    <w:p w14:paraId="23C46C92" w14:textId="77777777" w:rsidR="000E7B93" w:rsidRDefault="000E7B93" w:rsidP="000E7B93">
      <w:pPr>
        <w:pStyle w:val="Bulletedlist"/>
      </w:pPr>
      <w:r w:rsidRPr="00F336F4">
        <w:rPr>
          <w:i/>
          <w:iCs/>
        </w:rPr>
        <w:t>Safe and Supported: The</w:t>
      </w:r>
      <w:r>
        <w:t xml:space="preserve"> </w:t>
      </w:r>
      <w:r>
        <w:rPr>
          <w:i/>
          <w:iCs/>
        </w:rPr>
        <w:t>National Framework for Protecting Australia’s Children 2021–2031</w:t>
      </w:r>
      <w:r>
        <w:t>: ‘Children and young people in Australia reach their full potential by growing up safe and supported, free from harm and neglect’.</w:t>
      </w:r>
      <w:r>
        <w:rPr>
          <w:rStyle w:val="FootnoteReference"/>
        </w:rPr>
        <w:footnoteReference w:id="8"/>
      </w:r>
    </w:p>
    <w:p w14:paraId="040C7B5C" w14:textId="265A36C0" w:rsidR="00970039" w:rsidRDefault="00970039" w:rsidP="00857198">
      <w:pPr>
        <w:pStyle w:val="Bulletedlist"/>
      </w:pPr>
      <w:r>
        <w:t>Tasmanian</w:t>
      </w:r>
      <w:r w:rsidR="000C12DC">
        <w:t xml:space="preserve"> </w:t>
      </w:r>
      <w:r w:rsidR="000C12DC">
        <w:rPr>
          <w:i/>
          <w:iCs/>
        </w:rPr>
        <w:t>Child and Youth Wellbeing Strategy</w:t>
      </w:r>
      <w:r w:rsidR="00857198">
        <w:t xml:space="preserve">: </w:t>
      </w:r>
      <w:r>
        <w:t>‘Children and Young People in Tasmania have what they need to grow and thrive’.</w:t>
      </w:r>
      <w:r>
        <w:rPr>
          <w:rStyle w:val="FootnoteReference"/>
        </w:rPr>
        <w:footnoteReference w:id="9"/>
      </w:r>
    </w:p>
    <w:p w14:paraId="7540086B" w14:textId="283F5E03" w:rsidR="00B572EA" w:rsidRDefault="00B572EA" w:rsidP="008A5CF3">
      <w:pPr>
        <w:pStyle w:val="Bulletedlist"/>
      </w:pPr>
      <w:r>
        <w:t>Northern Territory</w:t>
      </w:r>
      <w:r w:rsidR="008A7953">
        <w:t xml:space="preserve"> </w:t>
      </w:r>
      <w:r w:rsidR="008A7953" w:rsidRPr="008A5CF3">
        <w:rPr>
          <w:i/>
          <w:iCs/>
        </w:rPr>
        <w:t>Youth Strategy 2023–2033</w:t>
      </w:r>
      <w:r w:rsidR="004F595A">
        <w:t xml:space="preserve">: </w:t>
      </w:r>
      <w:r w:rsidR="007841E8">
        <w:t>‘</w:t>
      </w:r>
      <w:r w:rsidR="009464BF">
        <w:t>A Northern Territory where young people lead enjoyable lives, are empowered to achieve their full potential, are socially connected, and positive participants in their community</w:t>
      </w:r>
      <w:r w:rsidR="007841E8">
        <w:t>'.</w:t>
      </w:r>
      <w:r w:rsidR="00634A03">
        <w:rPr>
          <w:rStyle w:val="FootnoteReference"/>
        </w:rPr>
        <w:footnoteReference w:id="10"/>
      </w:r>
    </w:p>
    <w:p w14:paraId="656B6EFA" w14:textId="48C40FCC" w:rsidR="00AD3A0D" w:rsidRDefault="00AD3A0D" w:rsidP="008A5CF3">
      <w:pPr>
        <w:pStyle w:val="Bulletedlist"/>
      </w:pPr>
      <w:r>
        <w:t xml:space="preserve">South Australian </w:t>
      </w:r>
      <w:r w:rsidR="006B6E06">
        <w:rPr>
          <w:i/>
          <w:iCs/>
        </w:rPr>
        <w:t>Safe and Well: Supporting families, protecting children</w:t>
      </w:r>
      <w:r w:rsidR="006B6E06">
        <w:t>: ‘</w:t>
      </w:r>
      <w:r w:rsidR="00752D5D" w:rsidRPr="00752D5D">
        <w:t>South Australia is a state where vulnerable families with children are supported, and where children are safe, valued and look forward to a bright future</w:t>
      </w:r>
      <w:r w:rsidR="00482857">
        <w:t>’</w:t>
      </w:r>
      <w:r w:rsidR="00752D5D" w:rsidRPr="00752D5D">
        <w:t>.</w:t>
      </w:r>
      <w:r w:rsidR="00482857">
        <w:rPr>
          <w:rStyle w:val="FootnoteReference"/>
        </w:rPr>
        <w:footnoteReference w:id="11"/>
      </w:r>
    </w:p>
    <w:p w14:paraId="46859305" w14:textId="0DE9B5B3" w:rsidR="00F65117" w:rsidRPr="00F30F2A" w:rsidRDefault="69A45091" w:rsidP="003800B6">
      <w:pPr>
        <w:pStyle w:val="Numberedparagraph"/>
      </w:pPr>
      <w:r>
        <w:t xml:space="preserve">The Queensland Plan’s vision and purpose </w:t>
      </w:r>
      <w:r w:rsidR="00752033">
        <w:t>needs</w:t>
      </w:r>
      <w:r>
        <w:t xml:space="preserve"> to be </w:t>
      </w:r>
      <w:r w:rsidR="00FC0F37">
        <w:t>s</w:t>
      </w:r>
      <w:r w:rsidR="007F2D6C">
        <w:t>tated up front</w:t>
      </w:r>
      <w:r>
        <w:t xml:space="preserve">. </w:t>
      </w:r>
      <w:r w:rsidR="6448B313">
        <w:t xml:space="preserve"> </w:t>
      </w:r>
      <w:r w:rsidR="008815A1">
        <w:t>D</w:t>
      </w:r>
      <w:r w:rsidR="4EEE971C">
        <w:t xml:space="preserve">rawing </w:t>
      </w:r>
      <w:r w:rsidR="001E4753">
        <w:t xml:space="preserve">on </w:t>
      </w:r>
      <w:r w:rsidR="4EEE971C">
        <w:t xml:space="preserve">concepts in the Plan, </w:t>
      </w:r>
      <w:r w:rsidR="00BA32AB">
        <w:t>its</w:t>
      </w:r>
      <w:r w:rsidR="00A5176D">
        <w:t xml:space="preserve"> vi</w:t>
      </w:r>
      <w:r w:rsidR="4EEE971C">
        <w:t>sion</w:t>
      </w:r>
      <w:r w:rsidR="00AE7B45">
        <w:t xml:space="preserve"> could</w:t>
      </w:r>
      <w:r w:rsidR="4EEE971C">
        <w:t xml:space="preserve"> be</w:t>
      </w:r>
      <w:r w:rsidR="00FB69C8">
        <w:t>:</w:t>
      </w:r>
      <w:r w:rsidR="003800B6">
        <w:t xml:space="preserve"> </w:t>
      </w:r>
      <w:r w:rsidR="4EEE971C">
        <w:t xml:space="preserve">‘Giving </w:t>
      </w:r>
      <w:r w:rsidR="00C70E2C">
        <w:t xml:space="preserve">all </w:t>
      </w:r>
      <w:r w:rsidR="4EEE971C">
        <w:t xml:space="preserve">children and young people </w:t>
      </w:r>
      <w:r w:rsidR="00A5176D">
        <w:t>in Queensland</w:t>
      </w:r>
      <w:r w:rsidR="4EEE971C">
        <w:t xml:space="preserve"> the best opportunity to live</w:t>
      </w:r>
      <w:r w:rsidR="00BA32AB">
        <w:t xml:space="preserve"> </w:t>
      </w:r>
      <w:r w:rsidR="00AE7B45">
        <w:t>fulfilling</w:t>
      </w:r>
      <w:r w:rsidR="4EEE971C">
        <w:t>, connected</w:t>
      </w:r>
      <w:r w:rsidR="00B33446">
        <w:t>,</w:t>
      </w:r>
      <w:r w:rsidR="4EEE971C">
        <w:t xml:space="preserve"> and happy lives’.</w:t>
      </w:r>
      <w:r w:rsidR="003800B6">
        <w:t xml:space="preserve"> </w:t>
      </w:r>
      <w:r w:rsidR="00BA32AB">
        <w:t>However, th</w:t>
      </w:r>
      <w:r w:rsidR="00157B79">
        <w:t xml:space="preserve">e vision of the Plan </w:t>
      </w:r>
      <w:r w:rsidR="00A86AEF">
        <w:t xml:space="preserve">must be </w:t>
      </w:r>
      <w:r w:rsidR="00397F3D">
        <w:t xml:space="preserve">subject to </w:t>
      </w:r>
      <w:r w:rsidR="001F2FAB">
        <w:t xml:space="preserve">broad </w:t>
      </w:r>
      <w:r w:rsidR="00397F3D">
        <w:t>consultation and</w:t>
      </w:r>
      <w:r w:rsidR="00FA5758">
        <w:t xml:space="preserve"> </w:t>
      </w:r>
      <w:r w:rsidR="00A86AEF">
        <w:t>explicitly co-designed with children, young people, and families.</w:t>
      </w:r>
      <w:r w:rsidR="00EB5237">
        <w:t xml:space="preserve"> </w:t>
      </w:r>
      <w:r w:rsidR="00A86AEF">
        <w:t xml:space="preserve">The </w:t>
      </w:r>
      <w:r w:rsidR="4EEE971C">
        <w:t xml:space="preserve">principles </w:t>
      </w:r>
      <w:r w:rsidR="00BC3619">
        <w:t>will</w:t>
      </w:r>
      <w:r w:rsidR="4EEE971C">
        <w:t xml:space="preserve"> then</w:t>
      </w:r>
      <w:r w:rsidR="4115C55C">
        <w:t xml:space="preserve"> provide </w:t>
      </w:r>
      <w:r w:rsidR="00457405">
        <w:t>a</w:t>
      </w:r>
      <w:r w:rsidR="4115C55C">
        <w:t xml:space="preserve"> framework</w:t>
      </w:r>
      <w:r w:rsidR="6CF2F562">
        <w:t xml:space="preserve"> </w:t>
      </w:r>
      <w:r w:rsidR="001A6C7E">
        <w:t>to</w:t>
      </w:r>
      <w:r w:rsidR="72CB3279">
        <w:t xml:space="preserve"> achieve</w:t>
      </w:r>
      <w:r w:rsidR="001A6C7E">
        <w:t xml:space="preserve"> the vision</w:t>
      </w:r>
      <w:r w:rsidR="72CB3279">
        <w:t xml:space="preserve"> </w:t>
      </w:r>
      <w:r w:rsidR="00B17F0D">
        <w:t>(</w:t>
      </w:r>
      <w:r w:rsidR="72CB3279">
        <w:t>including through prevention and early intervention</w:t>
      </w:r>
      <w:r w:rsidR="00457405">
        <w:t>)</w:t>
      </w:r>
      <w:r w:rsidR="72CB3279">
        <w:t xml:space="preserve"> and the </w:t>
      </w:r>
      <w:r w:rsidR="7B3FB3D1">
        <w:t xml:space="preserve">priorities </w:t>
      </w:r>
      <w:r w:rsidR="00BC3619">
        <w:t xml:space="preserve">will </w:t>
      </w:r>
      <w:r w:rsidR="7B3FB3D1">
        <w:t>ensure</w:t>
      </w:r>
      <w:r w:rsidR="00B41769">
        <w:t xml:space="preserve"> significant</w:t>
      </w:r>
      <w:r w:rsidR="7B3FB3D1">
        <w:t xml:space="preserve"> investment is </w:t>
      </w:r>
      <w:r w:rsidR="001419B7">
        <w:t>directed to</w:t>
      </w:r>
      <w:r w:rsidR="70EC9638">
        <w:t xml:space="preserve"> children and </w:t>
      </w:r>
      <w:r w:rsidR="3D094B80">
        <w:t xml:space="preserve">young people </w:t>
      </w:r>
      <w:r w:rsidR="70EC9638">
        <w:t xml:space="preserve">facing </w:t>
      </w:r>
      <w:r w:rsidR="006E0247">
        <w:t xml:space="preserve">heightened risk </w:t>
      </w:r>
      <w:r w:rsidR="002D4A04">
        <w:t xml:space="preserve">of </w:t>
      </w:r>
      <w:r w:rsidR="00B56021">
        <w:t>engagement</w:t>
      </w:r>
      <w:r w:rsidR="001419B7">
        <w:t>,</w:t>
      </w:r>
      <w:r w:rsidR="00B56021">
        <w:t xml:space="preserve"> or r</w:t>
      </w:r>
      <w:r w:rsidR="00CF0F0B">
        <w:t>e-engagement</w:t>
      </w:r>
      <w:r w:rsidR="001419B7">
        <w:t>,</w:t>
      </w:r>
      <w:r w:rsidR="00CF0F0B">
        <w:t xml:space="preserve"> with the</w:t>
      </w:r>
      <w:r w:rsidR="00D761B5">
        <w:t xml:space="preserve"> child protection and</w:t>
      </w:r>
      <w:r w:rsidR="00CF0F0B">
        <w:t xml:space="preserve"> youth justice system</w:t>
      </w:r>
      <w:r w:rsidR="00184161">
        <w:t>s</w:t>
      </w:r>
      <w:r w:rsidR="42F8EA8C">
        <w:t>.</w:t>
      </w:r>
    </w:p>
    <w:p w14:paraId="6C7BE233" w14:textId="36780FD2" w:rsidR="00E3083E" w:rsidRDefault="1FD9CA50" w:rsidP="4574BEDE">
      <w:pPr>
        <w:pBdr>
          <w:top w:val="single" w:sz="4" w:space="1" w:color="auto"/>
          <w:left w:val="single" w:sz="4" w:space="4" w:color="auto"/>
          <w:bottom w:val="single" w:sz="4" w:space="1" w:color="auto"/>
          <w:right w:val="single" w:sz="4" w:space="4" w:color="auto"/>
        </w:pBdr>
        <w:spacing w:after="200"/>
        <w:rPr>
          <w:rFonts w:cs="Arial"/>
        </w:rPr>
      </w:pPr>
      <w:r w:rsidRPr="4574BEDE">
        <w:rPr>
          <w:rFonts w:cs="Arial"/>
          <w:b/>
          <w:bCs/>
        </w:rPr>
        <w:t>Recommendation:</w:t>
      </w:r>
      <w:r w:rsidRPr="4574BEDE">
        <w:rPr>
          <w:rFonts w:cs="Arial"/>
        </w:rPr>
        <w:t xml:space="preserve"> </w:t>
      </w:r>
      <w:r w:rsidR="00D46582">
        <w:rPr>
          <w:rFonts w:cs="Arial"/>
        </w:rPr>
        <w:t>A clear</w:t>
      </w:r>
      <w:r w:rsidR="000A4DB8">
        <w:rPr>
          <w:rFonts w:cs="Arial"/>
        </w:rPr>
        <w:t xml:space="preserve"> vision</w:t>
      </w:r>
      <w:r w:rsidR="00D46582">
        <w:rPr>
          <w:rFonts w:cs="Arial"/>
        </w:rPr>
        <w:t xml:space="preserve"> for the Plan</w:t>
      </w:r>
      <w:r w:rsidR="00B91CA4">
        <w:rPr>
          <w:rFonts w:cs="Arial"/>
        </w:rPr>
        <w:t xml:space="preserve"> should</w:t>
      </w:r>
      <w:r w:rsidR="000A4DB8">
        <w:rPr>
          <w:rFonts w:cs="Arial"/>
        </w:rPr>
        <w:t xml:space="preserve"> be </w:t>
      </w:r>
      <w:r w:rsidR="006B02A7">
        <w:rPr>
          <w:rFonts w:cs="Arial"/>
        </w:rPr>
        <w:t>co-designed with</w:t>
      </w:r>
      <w:r w:rsidR="00B91CA4">
        <w:rPr>
          <w:rFonts w:cs="Arial"/>
        </w:rPr>
        <w:t xml:space="preserve"> children</w:t>
      </w:r>
      <w:r w:rsidR="006B02A7">
        <w:rPr>
          <w:rFonts w:cs="Arial"/>
        </w:rPr>
        <w:t>,</w:t>
      </w:r>
      <w:r w:rsidR="00B91CA4">
        <w:rPr>
          <w:rFonts w:cs="Arial"/>
        </w:rPr>
        <w:t xml:space="preserve"> young people</w:t>
      </w:r>
      <w:r w:rsidR="006B02A7">
        <w:rPr>
          <w:rFonts w:cs="Arial"/>
        </w:rPr>
        <w:t xml:space="preserve">, and families and </w:t>
      </w:r>
      <w:r w:rsidR="00D46582">
        <w:rPr>
          <w:rFonts w:cs="Arial"/>
        </w:rPr>
        <w:t>given high visibility</w:t>
      </w:r>
      <w:r w:rsidR="006B02A7">
        <w:rPr>
          <w:rFonts w:cs="Arial"/>
        </w:rPr>
        <w:t>.</w:t>
      </w:r>
    </w:p>
    <w:p w14:paraId="0CE2786E" w14:textId="77777777" w:rsidR="00393CD3" w:rsidRDefault="00393CD3">
      <w:pPr>
        <w:spacing w:after="0"/>
        <w:rPr>
          <w:b/>
          <w:bCs/>
        </w:rPr>
      </w:pPr>
      <w:r>
        <w:br w:type="page"/>
      </w:r>
    </w:p>
    <w:p w14:paraId="2751C1E0" w14:textId="6A06406D" w:rsidR="00415ECB" w:rsidRDefault="00E32D3A" w:rsidP="00415ECB">
      <w:pPr>
        <w:pStyle w:val="Heading3"/>
      </w:pPr>
      <w:bookmarkStart w:id="6" w:name="_Toc159426524"/>
      <w:r w:rsidRPr="00E32D3A">
        <w:lastRenderedPageBreak/>
        <w:t xml:space="preserve">Scope of the </w:t>
      </w:r>
      <w:r>
        <w:t>P</w:t>
      </w:r>
      <w:r w:rsidRPr="00E32D3A">
        <w:t>lan</w:t>
      </w:r>
      <w:r>
        <w:t xml:space="preserve"> and relationship with other </w:t>
      </w:r>
      <w:r w:rsidR="00270E80">
        <w:t>g</w:t>
      </w:r>
      <w:r w:rsidR="004A5F7C">
        <w:t>overnment activity</w:t>
      </w:r>
      <w:bookmarkEnd w:id="6"/>
    </w:p>
    <w:p w14:paraId="6A88EEF7" w14:textId="57352597" w:rsidR="00EE1A9B" w:rsidRDefault="00EE1A9B" w:rsidP="00EE1A9B">
      <w:pPr>
        <w:pStyle w:val="Numberedparagraph"/>
      </w:pPr>
      <w:r>
        <w:t xml:space="preserve">The issues </w:t>
      </w:r>
      <w:r w:rsidR="00175B32">
        <w:t xml:space="preserve">raised </w:t>
      </w:r>
      <w:r>
        <w:t>in the Plan cross multiple areas of government activity</w:t>
      </w:r>
      <w:r w:rsidR="0058028C">
        <w:t>, including</w:t>
      </w:r>
      <w:r>
        <w:t xml:space="preserve"> existing early intervention and prevention initiatives in health, education, housing, youth justice, child safety, </w:t>
      </w:r>
      <w:r w:rsidR="004B5784">
        <w:t xml:space="preserve">and </w:t>
      </w:r>
      <w:r>
        <w:t>policing.</w:t>
      </w:r>
      <w:r>
        <w:rPr>
          <w:rStyle w:val="FootnoteReference"/>
        </w:rPr>
        <w:footnoteReference w:id="12"/>
      </w:r>
      <w:r>
        <w:t xml:space="preserve"> The Plan sets out protective factors (at pages 12</w:t>
      </w:r>
      <w:r w:rsidR="00A17C26">
        <w:t xml:space="preserve"> to </w:t>
      </w:r>
      <w:r>
        <w:t>13), covering health, social care, education, employment, support for families, support for cultural rights, youth justice policies, and housing. Risk factors identified span a similar number of policy areas.</w:t>
      </w:r>
    </w:p>
    <w:p w14:paraId="22446B2D" w14:textId="3980B0BD" w:rsidR="00EE1A9B" w:rsidRDefault="00223ACB" w:rsidP="00EE1A9B">
      <w:pPr>
        <w:pStyle w:val="Numberedparagraph"/>
      </w:pPr>
      <w:r>
        <w:t>T</w:t>
      </w:r>
      <w:r w:rsidR="00EE1A9B">
        <w:t xml:space="preserve">he Plan is </w:t>
      </w:r>
      <w:r w:rsidR="00EE1A9B" w:rsidRPr="00005E4C">
        <w:t xml:space="preserve">concerned with </w:t>
      </w:r>
      <w:r w:rsidR="001A3266">
        <w:t xml:space="preserve">a </w:t>
      </w:r>
      <w:r w:rsidR="00EE1A9B" w:rsidRPr="00005E4C">
        <w:t>wide range of portfolios and significant government investment across infancy, childhood, and adolescence, as well as support for families and</w:t>
      </w:r>
      <w:r w:rsidR="00EE1A9B">
        <w:t xml:space="preserve"> connection to</w:t>
      </w:r>
      <w:r w:rsidR="00EE1A9B" w:rsidRPr="00005E4C">
        <w:t xml:space="preserve"> culture</w:t>
      </w:r>
      <w:r w:rsidR="00EE1A9B" w:rsidRPr="007050DD">
        <w:t>.</w:t>
      </w:r>
      <w:r w:rsidR="00EE1A9B">
        <w:t xml:space="preserve"> </w:t>
      </w:r>
      <w:r w:rsidR="007F4A95">
        <w:t>T</w:t>
      </w:r>
      <w:r w:rsidR="00EE1A9B">
        <w:t xml:space="preserve">he </w:t>
      </w:r>
      <w:r w:rsidR="007F4A95">
        <w:t>final</w:t>
      </w:r>
      <w:r w:rsidR="00EE1A9B">
        <w:t xml:space="preserve"> Plan </w:t>
      </w:r>
      <w:r w:rsidR="007F4A95">
        <w:t>should</w:t>
      </w:r>
      <w:r w:rsidR="004F33D6">
        <w:t xml:space="preserve"> address how implementation of the Plan by </w:t>
      </w:r>
      <w:r w:rsidR="007F4A95">
        <w:t xml:space="preserve">various </w:t>
      </w:r>
      <w:r w:rsidR="004F33D6">
        <w:t xml:space="preserve">portfolios </w:t>
      </w:r>
      <w:r w:rsidR="007F4A95">
        <w:t>will</w:t>
      </w:r>
      <w:r w:rsidR="004F33D6">
        <w:t xml:space="preserve"> be coordinated.</w:t>
      </w:r>
      <w:r w:rsidR="00D1707D">
        <w:t xml:space="preserve"> The Commission recommends that this be by an appointed Minister for Children and Families with a standalone department, or </w:t>
      </w:r>
      <w:r w:rsidR="00B91D73">
        <w:t>alternatively</w:t>
      </w:r>
      <w:r w:rsidR="00D1707D">
        <w:t xml:space="preserve">, by the Department of Premier and Cabinet. </w:t>
      </w:r>
      <w:r w:rsidR="00B91D73">
        <w:t xml:space="preserve">These options are discussed in more detail in </w:t>
      </w:r>
      <w:r w:rsidR="00B91D73" w:rsidRPr="00D24D1F">
        <w:rPr>
          <w:b/>
        </w:rPr>
        <w:t>Consultation Question 5</w:t>
      </w:r>
      <w:r w:rsidR="00DD7C80" w:rsidRPr="00D24D1F">
        <w:rPr>
          <w:b/>
          <w:bCs/>
        </w:rPr>
        <w:t xml:space="preserve">: </w:t>
      </w:r>
      <w:r w:rsidR="00B91D73" w:rsidRPr="00D24D1F">
        <w:rPr>
          <w:b/>
        </w:rPr>
        <w:t>Working together</w:t>
      </w:r>
      <w:r w:rsidR="00B91D73">
        <w:t xml:space="preserve"> below. </w:t>
      </w:r>
    </w:p>
    <w:p w14:paraId="35D050F9" w14:textId="28B145C4" w:rsidR="00EE1A9B" w:rsidRDefault="00EE1A9B" w:rsidP="00EE1A9B">
      <w:pPr>
        <w:pStyle w:val="Numberedparagraph"/>
      </w:pPr>
      <w:r>
        <w:t xml:space="preserve">As the </w:t>
      </w:r>
      <w:r w:rsidR="00B91D73">
        <w:t>Plan</w:t>
      </w:r>
      <w:r w:rsidR="002E658B">
        <w:t xml:space="preserve"> notes</w:t>
      </w:r>
      <w:r>
        <w:t xml:space="preserve">, </w:t>
      </w:r>
      <w:r w:rsidR="00A30954">
        <w:t xml:space="preserve">its </w:t>
      </w:r>
      <w:r>
        <w:t xml:space="preserve">goals should also align with and contribute to </w:t>
      </w:r>
      <w:r w:rsidRPr="00302D90">
        <w:rPr>
          <w:b/>
          <w:bCs/>
        </w:rPr>
        <w:t>Closing the Gap</w:t>
      </w:r>
      <w:r>
        <w:t xml:space="preserve"> targets and obligations. Adopti</w:t>
      </w:r>
      <w:r w:rsidR="00C43D90">
        <w:t>ng</w:t>
      </w:r>
      <w:r>
        <w:t xml:space="preserve"> the Productivity Commission’s recent recommendation to update Cabinet and Budget processes to ensure alignment with priority Closing the Gap reforms is crucial in this respect.</w:t>
      </w:r>
      <w:r>
        <w:rPr>
          <w:rStyle w:val="FootnoteReference"/>
        </w:rPr>
        <w:footnoteReference w:id="13"/>
      </w:r>
    </w:p>
    <w:p w14:paraId="13BF4012" w14:textId="199FDF31" w:rsidR="00EE1A9B" w:rsidRDefault="00062EB4" w:rsidP="00EE1A9B">
      <w:pPr>
        <w:pStyle w:val="Numberedparagraph"/>
      </w:pPr>
      <w:bookmarkStart w:id="7" w:name="_Ref158892201"/>
      <w:r>
        <w:t>T</w:t>
      </w:r>
      <w:r w:rsidR="00EE1A9B">
        <w:t xml:space="preserve">he </w:t>
      </w:r>
      <w:r w:rsidR="00EE1A9B" w:rsidRPr="00D05E5B">
        <w:rPr>
          <w:b/>
          <w:bCs/>
        </w:rPr>
        <w:t xml:space="preserve">relationship between the Plan and </w:t>
      </w:r>
      <w:r w:rsidR="002D1A6F">
        <w:rPr>
          <w:b/>
          <w:bCs/>
        </w:rPr>
        <w:t>y</w:t>
      </w:r>
      <w:r w:rsidR="00EE1A9B" w:rsidRPr="00D05E5B">
        <w:rPr>
          <w:b/>
          <w:bCs/>
        </w:rPr>
        <w:t xml:space="preserve">outh </w:t>
      </w:r>
      <w:r w:rsidR="002D1A6F">
        <w:rPr>
          <w:b/>
          <w:bCs/>
        </w:rPr>
        <w:t>j</w:t>
      </w:r>
      <w:r w:rsidR="00EE1A9B" w:rsidRPr="00D05E5B">
        <w:rPr>
          <w:b/>
          <w:bCs/>
        </w:rPr>
        <w:t xml:space="preserve">ustice </w:t>
      </w:r>
      <w:r w:rsidR="002D1A6F">
        <w:rPr>
          <w:b/>
          <w:bCs/>
        </w:rPr>
        <w:t>s</w:t>
      </w:r>
      <w:r w:rsidR="00EE1A9B" w:rsidRPr="00D05E5B">
        <w:rPr>
          <w:b/>
          <w:bCs/>
        </w:rPr>
        <w:t>trategy</w:t>
      </w:r>
      <w:r>
        <w:rPr>
          <w:b/>
          <w:bCs/>
        </w:rPr>
        <w:t xml:space="preserve"> </w:t>
      </w:r>
      <w:r w:rsidRPr="00AE63E5">
        <w:t>should</w:t>
      </w:r>
      <w:r w:rsidR="00BD6E81">
        <w:t xml:space="preserve"> also</w:t>
      </w:r>
      <w:r w:rsidRPr="00AE63E5">
        <w:t xml:space="preserve"> be made </w:t>
      </w:r>
      <w:r w:rsidR="00C74E70" w:rsidRPr="00BD6E81">
        <w:t>explicit</w:t>
      </w:r>
      <w:r w:rsidR="00A64ACF">
        <w:t xml:space="preserve"> and</w:t>
      </w:r>
      <w:r w:rsidR="00EE1A9B">
        <w:t xml:space="preserve"> clarify whether ‘prevention and early intervention’ is intended to encompass</w:t>
      </w:r>
      <w:r w:rsidR="001D78F8">
        <w:t xml:space="preserve"> some</w:t>
      </w:r>
      <w:r w:rsidR="00EA2758">
        <w:t>,</w:t>
      </w:r>
      <w:r w:rsidR="001D78F8">
        <w:t xml:space="preserve"> or all</w:t>
      </w:r>
      <w:r w:rsidR="00EA2758">
        <w:t>,</w:t>
      </w:r>
      <w:r w:rsidR="001D78F8">
        <w:t xml:space="preserve"> of</w:t>
      </w:r>
      <w:r w:rsidR="005A2AF7">
        <w:t xml:space="preserve"> the following</w:t>
      </w:r>
      <w:r w:rsidR="00EE1A9B">
        <w:t>:</w:t>
      </w:r>
      <w:bookmarkEnd w:id="7"/>
    </w:p>
    <w:p w14:paraId="2B099D53" w14:textId="6C0A9A29" w:rsidR="00EE1A9B" w:rsidRPr="00A53B01" w:rsidRDefault="00DA3EDD" w:rsidP="00EE1A9B">
      <w:pPr>
        <w:pStyle w:val="Bulletedlist"/>
      </w:pPr>
      <w:r>
        <w:t>i</w:t>
      </w:r>
      <w:r w:rsidR="00EE1A9B" w:rsidRPr="00A53B01">
        <w:t>dentifying root causes of children’s involvement in youth justice systems (interven</w:t>
      </w:r>
      <w:r>
        <w:t>ing</w:t>
      </w:r>
      <w:r w:rsidR="00EE1A9B" w:rsidRPr="00A53B01">
        <w:t xml:space="preserve"> early)</w:t>
      </w:r>
    </w:p>
    <w:p w14:paraId="2AE54821" w14:textId="6ECA28FC" w:rsidR="00EE1A9B" w:rsidRPr="00A53B01" w:rsidRDefault="00EE1A9B" w:rsidP="00EE1A9B">
      <w:pPr>
        <w:pStyle w:val="Bulletedlist"/>
      </w:pPr>
      <w:r>
        <w:t>i</w:t>
      </w:r>
      <w:r w:rsidRPr="00A53B01">
        <w:t>nterventions that reduce pathways into the youth justice system, such as police-diversion, decriminalising certain behaviours and raising the age of responsibility (keeping children out of court)</w:t>
      </w:r>
    </w:p>
    <w:p w14:paraId="390CDEB3" w14:textId="4798E3AA" w:rsidR="00EE1A9B" w:rsidRPr="00A53B01" w:rsidRDefault="00EE1A9B" w:rsidP="00EE1A9B">
      <w:pPr>
        <w:pStyle w:val="Bulletedlist"/>
      </w:pPr>
      <w:r>
        <w:t>s</w:t>
      </w:r>
      <w:r w:rsidRPr="00A53B01">
        <w:t>upports once a young person has been charged with an offence to minimise harm to the young person, and reduce risk of recidivism (keep</w:t>
      </w:r>
      <w:r w:rsidR="00DA3EDD">
        <w:t>ing</w:t>
      </w:r>
      <w:r w:rsidRPr="00A53B01">
        <w:t xml:space="preserve"> children out of custody and reduc</w:t>
      </w:r>
      <w:r w:rsidR="00DA3EDD">
        <w:t>ing</w:t>
      </w:r>
      <w:r w:rsidRPr="00A53B01">
        <w:t xml:space="preserve"> reoffending). </w:t>
      </w:r>
    </w:p>
    <w:p w14:paraId="3DC84228" w14:textId="3432165A" w:rsidR="00EE1A9B" w:rsidRDefault="00EE1A9B" w:rsidP="00EE1A9B">
      <w:pPr>
        <w:pStyle w:val="Numberedparagraph"/>
      </w:pPr>
      <w:bookmarkStart w:id="8" w:name="_Ref158892202"/>
      <w:r>
        <w:t xml:space="preserve">This categorisation </w:t>
      </w:r>
      <w:r w:rsidR="00043D4D">
        <w:t>reflects</w:t>
      </w:r>
      <w:r>
        <w:t xml:space="preserve"> the </w:t>
      </w:r>
      <w:r w:rsidR="003A1CD3">
        <w:t>‘F</w:t>
      </w:r>
      <w:r>
        <w:t xml:space="preserve">our </w:t>
      </w:r>
      <w:r w:rsidR="003A1CD3">
        <w:t>P</w:t>
      </w:r>
      <w:r>
        <w:t>illars</w:t>
      </w:r>
      <w:r w:rsidR="003A1CD3">
        <w:t>’</w:t>
      </w:r>
      <w:r>
        <w:t xml:space="preserve"> recommended by former Police Commissioner Bob Atkinson to underpin Queensland’s youth justice strategy</w:t>
      </w:r>
      <w:r w:rsidR="00B6084E">
        <w:t>,</w:t>
      </w:r>
      <w:r w:rsidR="00B91D73">
        <w:rPr>
          <w:rStyle w:val="FootnoteReference"/>
        </w:rPr>
        <w:footnoteReference w:id="14"/>
      </w:r>
      <w:r>
        <w:t xml:space="preserve"> and is </w:t>
      </w:r>
      <w:r w:rsidR="00F30074">
        <w:t>implemented through</w:t>
      </w:r>
      <w:r>
        <w:t xml:space="preserve"> the </w:t>
      </w:r>
      <w:r w:rsidR="00B91D73">
        <w:t>Queensland Government’s</w:t>
      </w:r>
      <w:r>
        <w:t xml:space="preserve"> </w:t>
      </w:r>
      <w:r w:rsidRPr="00F80CF8">
        <w:rPr>
          <w:i/>
        </w:rPr>
        <w:t>Youth Justice Strategy 2019-2023</w:t>
      </w:r>
      <w:r>
        <w:t>. The</w:t>
      </w:r>
      <w:r w:rsidR="007268C6">
        <w:t xml:space="preserve"> ‘pillars’</w:t>
      </w:r>
      <w:r>
        <w:t xml:space="preserve"> overlap and should complement each other. If </w:t>
      </w:r>
      <w:r w:rsidR="00F30074">
        <w:t xml:space="preserve">aspects of </w:t>
      </w:r>
      <w:r w:rsidR="00691D42">
        <w:t>these pillars</w:t>
      </w:r>
      <w:r>
        <w:t xml:space="preserve"> are not intended to be included in this Plan, there must be clear alignment between the Plan and other strategies to achieve </w:t>
      </w:r>
      <w:bookmarkEnd w:id="8"/>
      <w:r w:rsidR="00D42DA3">
        <w:t>these</w:t>
      </w:r>
      <w:r>
        <w:t>.</w:t>
      </w:r>
    </w:p>
    <w:p w14:paraId="469EDD29" w14:textId="78DF416D" w:rsidR="00EE1A9B" w:rsidRDefault="00EE1A9B" w:rsidP="00EE1A9B">
      <w:pPr>
        <w:pStyle w:val="Numberedparagraph"/>
      </w:pPr>
      <w:r>
        <w:lastRenderedPageBreak/>
        <w:t xml:space="preserve">Given its broad scope, it is also necessary </w:t>
      </w:r>
      <w:r w:rsidRPr="006445F8">
        <w:t xml:space="preserve">to develop </w:t>
      </w:r>
      <w:r>
        <w:t>priority</w:t>
      </w:r>
      <w:r w:rsidRPr="006445F8">
        <w:t xml:space="preserve"> areas for </w:t>
      </w:r>
      <w:r w:rsidRPr="00ED58A8">
        <w:rPr>
          <w:b/>
          <w:bCs/>
        </w:rPr>
        <w:t xml:space="preserve">screening those </w:t>
      </w:r>
      <w:r>
        <w:rPr>
          <w:b/>
          <w:bCs/>
        </w:rPr>
        <w:t xml:space="preserve">with risk factors </w:t>
      </w:r>
      <w:r w:rsidRPr="00ED58A8">
        <w:t>and</w:t>
      </w:r>
      <w:r>
        <w:rPr>
          <w:b/>
          <w:bCs/>
        </w:rPr>
        <w:t xml:space="preserve"> identifying critical points where heightened risk arises or manifests </w:t>
      </w:r>
      <w:r>
        <w:t xml:space="preserve">so that </w:t>
      </w:r>
      <w:r w:rsidR="004A5F7C">
        <w:t>targeted, intensive resources can be</w:t>
      </w:r>
      <w:r>
        <w:t xml:space="preserve"> directed to those areas and individuals under the Plan at the earliest possible stage.  This is addressed further in our response to </w:t>
      </w:r>
      <w:r w:rsidRPr="00853BCD">
        <w:rPr>
          <w:b/>
        </w:rPr>
        <w:t xml:space="preserve">Consultation Question </w:t>
      </w:r>
      <w:r w:rsidR="00085AF6" w:rsidRPr="00853BCD">
        <w:rPr>
          <w:b/>
        </w:rPr>
        <w:t>3</w:t>
      </w:r>
      <w:r w:rsidR="00DD7C80" w:rsidRPr="00853BCD">
        <w:rPr>
          <w:b/>
          <w:bCs/>
        </w:rPr>
        <w:t>:</w:t>
      </w:r>
      <w:r w:rsidR="008A64A6">
        <w:rPr>
          <w:b/>
          <w:bCs/>
        </w:rPr>
        <w:t xml:space="preserve"> </w:t>
      </w:r>
      <w:r w:rsidR="00B91D73" w:rsidRPr="00853BCD">
        <w:rPr>
          <w:b/>
        </w:rPr>
        <w:t xml:space="preserve">Other </w:t>
      </w:r>
      <w:r w:rsidR="001F57DE" w:rsidRPr="00853BCD">
        <w:rPr>
          <w:b/>
        </w:rPr>
        <w:t>priorities</w:t>
      </w:r>
      <w:r>
        <w:t>.</w:t>
      </w:r>
    </w:p>
    <w:p w14:paraId="5797458F" w14:textId="1EEC09BD" w:rsidR="00EE1A9B" w:rsidRDefault="00EE1A9B" w:rsidP="00EE1A9B">
      <w:pPr>
        <w:pBdr>
          <w:top w:val="single" w:sz="4" w:space="1" w:color="auto"/>
          <w:left w:val="single" w:sz="4" w:space="4" w:color="auto"/>
          <w:bottom w:val="single" w:sz="4" w:space="1" w:color="auto"/>
          <w:right w:val="single" w:sz="4" w:space="4" w:color="auto"/>
        </w:pBdr>
        <w:spacing w:after="200"/>
        <w:rPr>
          <w:rFonts w:cs="Arial"/>
        </w:rPr>
      </w:pPr>
      <w:r w:rsidRPr="0030089A">
        <w:rPr>
          <w:rFonts w:cs="Arial"/>
          <w:b/>
          <w:bCs/>
        </w:rPr>
        <w:t>Recommendation:</w:t>
      </w:r>
      <w:r>
        <w:rPr>
          <w:rFonts w:cs="Arial"/>
        </w:rPr>
        <w:t xml:space="preserve"> The Plan should </w:t>
      </w:r>
    </w:p>
    <w:p w14:paraId="07251606" w14:textId="77777777" w:rsidR="004F33D6" w:rsidRDefault="00EE1A9B" w:rsidP="008E6AFB">
      <w:pPr>
        <w:pStyle w:val="ListParagraph"/>
        <w:numPr>
          <w:ilvl w:val="0"/>
          <w:numId w:val="5"/>
        </w:numPr>
        <w:pBdr>
          <w:top w:val="single" w:sz="4" w:space="1" w:color="auto"/>
          <w:left w:val="single" w:sz="4" w:space="4" w:color="auto"/>
          <w:bottom w:val="single" w:sz="4" w:space="1" w:color="auto"/>
          <w:right w:val="single" w:sz="4" w:space="4" w:color="auto"/>
        </w:pBdr>
        <w:spacing w:after="200"/>
        <w:rPr>
          <w:rFonts w:cs="Arial"/>
        </w:rPr>
      </w:pPr>
      <w:r>
        <w:rPr>
          <w:rFonts w:cs="Arial"/>
        </w:rPr>
        <w:t xml:space="preserve">clearly identify </w:t>
      </w:r>
      <w:r w:rsidRPr="00F103EE">
        <w:rPr>
          <w:rFonts w:cs="Arial"/>
        </w:rPr>
        <w:t>the portfolio areas it relates to</w:t>
      </w:r>
      <w:r w:rsidR="004F33D6">
        <w:rPr>
          <w:rFonts w:cs="Arial"/>
        </w:rPr>
        <w:t xml:space="preserve"> </w:t>
      </w:r>
    </w:p>
    <w:p w14:paraId="14D563D0" w14:textId="296AF426" w:rsidR="004F33D6" w:rsidRDefault="004F33D6" w:rsidP="008E6AFB">
      <w:pPr>
        <w:pStyle w:val="ListParagraph"/>
        <w:numPr>
          <w:ilvl w:val="0"/>
          <w:numId w:val="5"/>
        </w:numPr>
        <w:pBdr>
          <w:top w:val="single" w:sz="4" w:space="1" w:color="auto"/>
          <w:left w:val="single" w:sz="4" w:space="4" w:color="auto"/>
          <w:bottom w:val="single" w:sz="4" w:space="1" w:color="auto"/>
          <w:right w:val="single" w:sz="4" w:space="4" w:color="auto"/>
        </w:pBdr>
        <w:spacing w:after="200"/>
        <w:rPr>
          <w:rFonts w:cs="Arial"/>
        </w:rPr>
      </w:pPr>
      <w:r>
        <w:rPr>
          <w:rFonts w:cs="Arial"/>
        </w:rPr>
        <w:t xml:space="preserve">set out </w:t>
      </w:r>
      <w:r w:rsidRPr="00F103EE">
        <w:rPr>
          <w:rFonts w:cs="Arial"/>
        </w:rPr>
        <w:t xml:space="preserve">how implementation by different portfolios will be coordinated </w:t>
      </w:r>
    </w:p>
    <w:p w14:paraId="07FBDD46" w14:textId="43F4298B" w:rsidR="004F33D6" w:rsidRDefault="004F33D6" w:rsidP="008E6AFB">
      <w:pPr>
        <w:pStyle w:val="ListParagraph"/>
        <w:numPr>
          <w:ilvl w:val="0"/>
          <w:numId w:val="5"/>
        </w:numPr>
        <w:pBdr>
          <w:top w:val="single" w:sz="4" w:space="1" w:color="auto"/>
          <w:left w:val="single" w:sz="4" w:space="4" w:color="auto"/>
          <w:bottom w:val="single" w:sz="4" w:space="1" w:color="auto"/>
          <w:right w:val="single" w:sz="4" w:space="4" w:color="auto"/>
        </w:pBdr>
        <w:spacing w:after="200"/>
        <w:rPr>
          <w:rFonts w:cs="Arial"/>
        </w:rPr>
      </w:pPr>
      <w:r>
        <w:rPr>
          <w:rFonts w:cs="Arial"/>
        </w:rPr>
        <w:t>align with and contribute to Closing the Gap targets and obligations</w:t>
      </w:r>
    </w:p>
    <w:p w14:paraId="7EDBACA7" w14:textId="24F55D99" w:rsidR="00EE1A9B" w:rsidRDefault="00EE1A9B" w:rsidP="008E6AFB">
      <w:pPr>
        <w:pStyle w:val="ListParagraph"/>
        <w:numPr>
          <w:ilvl w:val="0"/>
          <w:numId w:val="5"/>
        </w:numPr>
        <w:pBdr>
          <w:top w:val="single" w:sz="4" w:space="1" w:color="auto"/>
          <w:left w:val="single" w:sz="4" w:space="4" w:color="auto"/>
          <w:bottom w:val="single" w:sz="4" w:space="1" w:color="auto"/>
          <w:right w:val="single" w:sz="4" w:space="4" w:color="auto"/>
        </w:pBdr>
        <w:spacing w:after="200"/>
        <w:rPr>
          <w:rFonts w:cs="Arial"/>
        </w:rPr>
      </w:pPr>
      <w:r>
        <w:rPr>
          <w:rFonts w:cs="Arial"/>
        </w:rPr>
        <w:t xml:space="preserve">set out the relationship between the Plan and the </w:t>
      </w:r>
      <w:r w:rsidR="005C2E1F">
        <w:rPr>
          <w:rFonts w:cs="Arial"/>
        </w:rPr>
        <w:t xml:space="preserve">Government’s </w:t>
      </w:r>
      <w:r>
        <w:rPr>
          <w:rFonts w:cs="Arial"/>
        </w:rPr>
        <w:t xml:space="preserve">Youth Justice Strategy </w:t>
      </w:r>
    </w:p>
    <w:p w14:paraId="633BAF5C" w14:textId="124C20B8" w:rsidR="00A11C4A" w:rsidRPr="00A11C4A" w:rsidRDefault="00EE1A9B" w:rsidP="008E6AFB">
      <w:pPr>
        <w:pStyle w:val="ListParagraph"/>
        <w:numPr>
          <w:ilvl w:val="0"/>
          <w:numId w:val="5"/>
        </w:numPr>
        <w:pBdr>
          <w:top w:val="single" w:sz="4" w:space="1" w:color="auto"/>
          <w:left w:val="single" w:sz="4" w:space="4" w:color="auto"/>
          <w:bottom w:val="single" w:sz="4" w:space="1" w:color="auto"/>
          <w:right w:val="single" w:sz="4" w:space="4" w:color="auto"/>
        </w:pBdr>
        <w:spacing w:after="200"/>
        <w:rPr>
          <w:rFonts w:cs="Arial"/>
        </w:rPr>
      </w:pPr>
      <w:r>
        <w:rPr>
          <w:rFonts w:cs="Arial"/>
        </w:rPr>
        <w:t xml:space="preserve">require development of </w:t>
      </w:r>
      <w:r w:rsidRPr="00F103EE">
        <w:rPr>
          <w:rFonts w:cs="Arial"/>
        </w:rPr>
        <w:t>mechanisms to identify those most at risk across priority areas</w:t>
      </w:r>
      <w:r w:rsidR="009F60DF">
        <w:rPr>
          <w:rFonts w:cs="Arial"/>
        </w:rPr>
        <w:t>, and critical points for intervention</w:t>
      </w:r>
      <w:r w:rsidR="004A5F7C">
        <w:rPr>
          <w:rFonts w:cs="Arial"/>
        </w:rPr>
        <w:t xml:space="preserve"> and intensive support</w:t>
      </w:r>
      <w:r w:rsidRPr="00F103EE">
        <w:rPr>
          <w:rFonts w:cs="Arial"/>
        </w:rPr>
        <w:t xml:space="preserve">. </w:t>
      </w:r>
    </w:p>
    <w:p w14:paraId="6A10C244" w14:textId="37A1D87F" w:rsidR="004A5F7C" w:rsidRDefault="0094708D" w:rsidP="004A5F7C">
      <w:pPr>
        <w:pStyle w:val="Heading3"/>
      </w:pPr>
      <w:bookmarkStart w:id="10" w:name="_Toc159426525"/>
      <w:r>
        <w:t>Addressing law, policies, and practices that heighten risk</w:t>
      </w:r>
      <w:bookmarkEnd w:id="10"/>
    </w:p>
    <w:p w14:paraId="2B8451DE" w14:textId="272507A7" w:rsidR="0094708D" w:rsidRDefault="00EE1A9B" w:rsidP="00514114">
      <w:pPr>
        <w:pStyle w:val="Numberedparagraph"/>
      </w:pPr>
      <w:r>
        <w:t xml:space="preserve">In addition, it is critically important to </w:t>
      </w:r>
      <w:r w:rsidRPr="00C3161F">
        <w:t xml:space="preserve">ensure that legislation, policy and practice by </w:t>
      </w:r>
      <w:r>
        <w:t>Government agencies</w:t>
      </w:r>
      <w:r w:rsidRPr="00C3161F">
        <w:t xml:space="preserve"> does not work against the objectives of the Plan</w:t>
      </w:r>
      <w:r>
        <w:t xml:space="preserve"> and increase risks and harm to children. This would include, for example, institutional racism and unconscious bias within service delivery, </w:t>
      </w:r>
      <w:r w:rsidR="009E4A7B">
        <w:t>use of suspensions and ex</w:t>
      </w:r>
      <w:r w:rsidR="007D3C12">
        <w:t>clusions</w:t>
      </w:r>
      <w:r w:rsidR="009E4A7B">
        <w:t xml:space="preserve"> within schools</w:t>
      </w:r>
      <w:r>
        <w:t xml:space="preserve">, </w:t>
      </w:r>
      <w:r w:rsidR="00C42B46">
        <w:t xml:space="preserve">and </w:t>
      </w:r>
      <w:r>
        <w:t>child safety practices</w:t>
      </w:r>
      <w:r w:rsidR="00334288">
        <w:t xml:space="preserve"> that prioritise removal over prevention and early intervention</w:t>
      </w:r>
      <w:r w:rsidR="00C42B46">
        <w:t xml:space="preserve">. </w:t>
      </w:r>
    </w:p>
    <w:p w14:paraId="109481F2" w14:textId="37E834F8" w:rsidR="001F57DE" w:rsidRDefault="00C42B46" w:rsidP="004441B0">
      <w:pPr>
        <w:pStyle w:val="Numberedparagraph"/>
      </w:pPr>
      <w:r>
        <w:t>The Commission has</w:t>
      </w:r>
      <w:r w:rsidR="0094708D">
        <w:t xml:space="preserve"> also</w:t>
      </w:r>
      <w:r>
        <w:t xml:space="preserve"> repeatedly raised concerns regarding youth justice laws that counteract the vision of the Plan, by </w:t>
      </w:r>
      <w:r w:rsidR="00EE1A9B">
        <w:t>hold</w:t>
      </w:r>
      <w:r>
        <w:t>ing</w:t>
      </w:r>
      <w:r w:rsidR="00EE1A9B">
        <w:t xml:space="preserve"> children criminally responsible </w:t>
      </w:r>
      <w:r w:rsidR="00A87D42">
        <w:t xml:space="preserve">significantly </w:t>
      </w:r>
      <w:r w:rsidR="00EE1A9B">
        <w:t>earlier than justified,</w:t>
      </w:r>
      <w:r w:rsidR="00A87D42">
        <w:rPr>
          <w:rStyle w:val="FootnoteReference"/>
        </w:rPr>
        <w:footnoteReference w:id="15"/>
      </w:r>
      <w:r w:rsidR="00EE1A9B">
        <w:t xml:space="preserve"> and specifically overrid</w:t>
      </w:r>
      <w:r>
        <w:t>ing</w:t>
      </w:r>
      <w:r w:rsidR="00EE1A9B">
        <w:t xml:space="preserve"> children’s human rights to detain them for </w:t>
      </w:r>
      <w:r w:rsidR="001F57DE">
        <w:t>prolonged</w:t>
      </w:r>
      <w:r w:rsidR="00EE1A9B">
        <w:t xml:space="preserve"> periods in police watchhouses</w:t>
      </w:r>
      <w:r w:rsidR="001F57DE">
        <w:t>.</w:t>
      </w:r>
      <w:r w:rsidR="004441B0">
        <w:t xml:space="preserve"> </w:t>
      </w:r>
      <w:r w:rsidR="001F57DE">
        <w:t xml:space="preserve">As a short-term facility, watch houses do not provide longer-term basic needs of young people, such as fresh air, natural light, a balanced diet, exercise, appropriate hygiene resources, privacy, family contact, and social interaction. Detention disconnects a young person from protective factors they may have in the community without any of the rehabilitative or other programs available in youth detention centres. </w:t>
      </w:r>
    </w:p>
    <w:p w14:paraId="25D49875" w14:textId="4932BF18" w:rsidR="00D87756" w:rsidRDefault="001F57DE" w:rsidP="004B52DA">
      <w:pPr>
        <w:pStyle w:val="Numberedparagraph"/>
      </w:pPr>
      <w:r>
        <w:t xml:space="preserve">The prolonged detention of young people in watch houses must be </w:t>
      </w:r>
      <w:r w:rsidR="00D87756">
        <w:t xml:space="preserve">stopped </w:t>
      </w:r>
      <w:r>
        <w:t>as a matter of urgency and priority.</w:t>
      </w:r>
      <w:r w:rsidR="004158C8">
        <w:t xml:space="preserve"> </w:t>
      </w:r>
      <w:r w:rsidR="00B76E3E">
        <w:t>In light of current</w:t>
      </w:r>
      <w:r w:rsidR="0038100C">
        <w:t xml:space="preserve"> overcrowding in Youth Detention centres</w:t>
      </w:r>
      <w:r w:rsidR="00E359C2">
        <w:t>,</w:t>
      </w:r>
      <w:r w:rsidR="0038100C">
        <w:t xml:space="preserve"> </w:t>
      </w:r>
      <w:r w:rsidR="003A47B8">
        <w:t xml:space="preserve">in the short-term </w:t>
      </w:r>
      <w:r w:rsidR="00B76E3E">
        <w:t>the Government should convene a summit</w:t>
      </w:r>
      <w:r w:rsidR="00E359C2">
        <w:t xml:space="preserve"> of key government agencies and stakeholders</w:t>
      </w:r>
      <w:r w:rsidR="00B76E3E">
        <w:t xml:space="preserve"> to </w:t>
      </w:r>
      <w:r w:rsidR="00E359C2">
        <w:t xml:space="preserve">find solutions </w:t>
      </w:r>
      <w:r w:rsidR="00872BA2">
        <w:t xml:space="preserve">to otherwise </w:t>
      </w:r>
      <w:r w:rsidR="00872BA2">
        <w:lastRenderedPageBreak/>
        <w:t xml:space="preserve">accommodate or </w:t>
      </w:r>
      <w:r w:rsidR="003A47B8">
        <w:t>divert children and young people awaiting transfer to Youth Detention facilities.</w:t>
      </w:r>
      <w:r w:rsidR="00D87F75">
        <w:t xml:space="preserve"> </w:t>
      </w:r>
      <w:r>
        <w:t xml:space="preserve"> </w:t>
      </w:r>
      <w:r w:rsidR="00A21BCB">
        <w:t xml:space="preserve">As an immediate </w:t>
      </w:r>
      <w:r w:rsidR="00B56A6E">
        <w:t xml:space="preserve">stopgap </w:t>
      </w:r>
      <w:r w:rsidR="00A21BCB">
        <w:t xml:space="preserve">measure, if </w:t>
      </w:r>
      <w:r w:rsidR="00D87756">
        <w:t>watchhouses are still being used to house children longer than overnight</w:t>
      </w:r>
      <w:r w:rsidR="00B56408">
        <w:t>,</w:t>
      </w:r>
      <w:r w:rsidR="00D87756">
        <w:t xml:space="preserve"> </w:t>
      </w:r>
      <w:r w:rsidR="004A50F2">
        <w:t xml:space="preserve">procedures must </w:t>
      </w:r>
      <w:r w:rsidR="00AF7436">
        <w:t xml:space="preserve">be </w:t>
      </w:r>
      <w:r w:rsidR="004A50F2">
        <w:t xml:space="preserve">put into place to </w:t>
      </w:r>
      <w:r w:rsidR="00AF7436">
        <w:t xml:space="preserve">facilitate </w:t>
      </w:r>
      <w:r w:rsidR="004A50F2">
        <w:t xml:space="preserve">day entry to Youth Detention centres where </w:t>
      </w:r>
      <w:r w:rsidR="003C1C74">
        <w:t>these are accessible</w:t>
      </w:r>
      <w:r w:rsidR="00AF7436">
        <w:t>. This would</w:t>
      </w:r>
      <w:r w:rsidR="00BA2F1C">
        <w:t xml:space="preserve"> at least</w:t>
      </w:r>
      <w:r w:rsidR="00AF7436">
        <w:t xml:space="preserve"> allow children and young people </w:t>
      </w:r>
      <w:r w:rsidR="004A50F2">
        <w:t>to access health services, education and recreational facilities</w:t>
      </w:r>
      <w:r w:rsidR="00D06EC9">
        <w:t xml:space="preserve">, </w:t>
      </w:r>
      <w:r w:rsidR="00C903AC">
        <w:t>mitigating</w:t>
      </w:r>
      <w:r w:rsidR="00BA2F1C">
        <w:t xml:space="preserve"> to some extent</w:t>
      </w:r>
      <w:r w:rsidR="00D06EC9">
        <w:t xml:space="preserve"> the </w:t>
      </w:r>
      <w:r w:rsidR="00D7488F">
        <w:t xml:space="preserve">significant </w:t>
      </w:r>
      <w:r w:rsidR="00D06EC9">
        <w:t>harms</w:t>
      </w:r>
      <w:r w:rsidR="00B56A6E">
        <w:t xml:space="preserve"> to both children and community safety</w:t>
      </w:r>
      <w:r w:rsidR="00D06EC9">
        <w:t xml:space="preserve"> caused</w:t>
      </w:r>
      <w:r w:rsidR="00CA159F">
        <w:t xml:space="preserve"> by prolonged detention in the watchhouse</w:t>
      </w:r>
      <w:r w:rsidR="00D06EC9">
        <w:t>.</w:t>
      </w:r>
    </w:p>
    <w:p w14:paraId="357A6F04" w14:textId="23D35B05" w:rsidR="00EE1A9B" w:rsidRDefault="00EE1A9B" w:rsidP="00EE1A9B">
      <w:pPr>
        <w:pBdr>
          <w:top w:val="single" w:sz="4" w:space="1" w:color="auto"/>
          <w:left w:val="single" w:sz="4" w:space="4" w:color="auto"/>
          <w:bottom w:val="single" w:sz="4" w:space="1" w:color="auto"/>
          <w:right w:val="single" w:sz="4" w:space="4" w:color="auto"/>
        </w:pBdr>
        <w:spacing w:after="200"/>
        <w:rPr>
          <w:rFonts w:cs="Arial"/>
        </w:rPr>
      </w:pPr>
      <w:r w:rsidRPr="00F17E07">
        <w:rPr>
          <w:rFonts w:cs="Arial"/>
          <w:b/>
          <w:bCs/>
        </w:rPr>
        <w:t>Recommendation:</w:t>
      </w:r>
      <w:r>
        <w:rPr>
          <w:rFonts w:cs="Arial"/>
        </w:rPr>
        <w:t xml:space="preserve"> The Plan should </w:t>
      </w:r>
      <w:r w:rsidR="00BF3605">
        <w:rPr>
          <w:rFonts w:cs="Arial"/>
        </w:rPr>
        <w:t>require</w:t>
      </w:r>
    </w:p>
    <w:p w14:paraId="3501CD43" w14:textId="3F06E7E9" w:rsidR="00EE1A9B" w:rsidRDefault="00EE1A9B" w:rsidP="008E6AFB">
      <w:pPr>
        <w:pStyle w:val="ListParagraph"/>
        <w:numPr>
          <w:ilvl w:val="0"/>
          <w:numId w:val="3"/>
        </w:numPr>
        <w:pBdr>
          <w:top w:val="single" w:sz="4" w:space="1" w:color="auto"/>
          <w:left w:val="single" w:sz="4" w:space="4" w:color="auto"/>
          <w:bottom w:val="single" w:sz="4" w:space="1" w:color="auto"/>
          <w:right w:val="single" w:sz="4" w:space="4" w:color="auto"/>
        </w:pBdr>
        <w:spacing w:after="200"/>
        <w:rPr>
          <w:rFonts w:cs="Arial"/>
        </w:rPr>
      </w:pPr>
      <w:r w:rsidRPr="00B575A2">
        <w:rPr>
          <w:rFonts w:cs="Arial"/>
        </w:rPr>
        <w:t xml:space="preserve">mapping of how </w:t>
      </w:r>
      <w:r w:rsidR="00BF3605">
        <w:rPr>
          <w:rFonts w:cs="Arial"/>
        </w:rPr>
        <w:t>current laws</w:t>
      </w:r>
      <w:r w:rsidRPr="00B575A2">
        <w:rPr>
          <w:rFonts w:cs="Arial"/>
        </w:rPr>
        <w:t>, government polic</w:t>
      </w:r>
      <w:r w:rsidR="00BF3605">
        <w:rPr>
          <w:rFonts w:cs="Arial"/>
        </w:rPr>
        <w:t>ies</w:t>
      </w:r>
      <w:r w:rsidRPr="00B575A2">
        <w:rPr>
          <w:rFonts w:cs="Arial"/>
        </w:rPr>
        <w:t xml:space="preserve">, and </w:t>
      </w:r>
      <w:r w:rsidR="00BF3605">
        <w:rPr>
          <w:rFonts w:cs="Arial"/>
        </w:rPr>
        <w:t xml:space="preserve">public entity </w:t>
      </w:r>
      <w:r w:rsidRPr="00B575A2">
        <w:rPr>
          <w:rFonts w:cs="Arial"/>
        </w:rPr>
        <w:t>practice</w:t>
      </w:r>
      <w:r w:rsidR="00BF3605">
        <w:rPr>
          <w:rFonts w:cs="Arial"/>
        </w:rPr>
        <w:t>s</w:t>
      </w:r>
      <w:r w:rsidRPr="00B575A2">
        <w:rPr>
          <w:rFonts w:cs="Arial"/>
        </w:rPr>
        <w:t xml:space="preserve"> may contribute to risk factors identified in the Plan </w:t>
      </w:r>
      <w:r w:rsidR="00BF3605">
        <w:rPr>
          <w:rFonts w:cs="Arial"/>
        </w:rPr>
        <w:t>or frustrate its vision</w:t>
      </w:r>
    </w:p>
    <w:p w14:paraId="212C50E5" w14:textId="0187CE36" w:rsidR="00EE1A9B" w:rsidRPr="00B575A2" w:rsidRDefault="00BF3605" w:rsidP="008E6AFB">
      <w:pPr>
        <w:pStyle w:val="ListParagraph"/>
        <w:numPr>
          <w:ilvl w:val="0"/>
          <w:numId w:val="3"/>
        </w:numPr>
        <w:pBdr>
          <w:top w:val="single" w:sz="4" w:space="1" w:color="auto"/>
          <w:left w:val="single" w:sz="4" w:space="4" w:color="auto"/>
          <w:bottom w:val="single" w:sz="4" w:space="1" w:color="auto"/>
          <w:right w:val="single" w:sz="4" w:space="4" w:color="auto"/>
        </w:pBdr>
        <w:spacing w:after="200"/>
        <w:rPr>
          <w:rFonts w:cs="Arial"/>
        </w:rPr>
      </w:pPr>
      <w:r>
        <w:rPr>
          <w:rFonts w:cs="Arial"/>
        </w:rPr>
        <w:t>measures</w:t>
      </w:r>
      <w:r w:rsidRPr="00B575A2">
        <w:rPr>
          <w:rFonts w:cs="Arial"/>
        </w:rPr>
        <w:t xml:space="preserve"> </w:t>
      </w:r>
      <w:r w:rsidR="00EE1A9B" w:rsidRPr="00B575A2">
        <w:rPr>
          <w:rFonts w:cs="Arial"/>
        </w:rPr>
        <w:t>to address the</w:t>
      </w:r>
      <w:r>
        <w:rPr>
          <w:rFonts w:cs="Arial"/>
        </w:rPr>
        <w:t xml:space="preserve"> identified</w:t>
      </w:r>
      <w:r w:rsidR="00EE1A9B" w:rsidRPr="00B575A2">
        <w:rPr>
          <w:rFonts w:cs="Arial"/>
        </w:rPr>
        <w:t xml:space="preserve"> issues </w:t>
      </w:r>
    </w:p>
    <w:p w14:paraId="3C281498" w14:textId="42CBE3C2" w:rsidR="00EE1A9B" w:rsidRPr="00B575A2" w:rsidRDefault="00EE1A9B" w:rsidP="008E6AFB">
      <w:pPr>
        <w:pStyle w:val="ListParagraph"/>
        <w:numPr>
          <w:ilvl w:val="0"/>
          <w:numId w:val="3"/>
        </w:numPr>
        <w:pBdr>
          <w:top w:val="single" w:sz="4" w:space="1" w:color="auto"/>
          <w:left w:val="single" w:sz="4" w:space="4" w:color="auto"/>
          <w:bottom w:val="single" w:sz="4" w:space="1" w:color="auto"/>
          <w:right w:val="single" w:sz="4" w:space="4" w:color="auto"/>
        </w:pBdr>
        <w:spacing w:after="200"/>
        <w:rPr>
          <w:rFonts w:cs="Arial"/>
        </w:rPr>
      </w:pPr>
      <w:r w:rsidRPr="00B575A2">
        <w:rPr>
          <w:rFonts w:cs="Arial"/>
        </w:rPr>
        <w:t xml:space="preserve">that future cabinet and budget submissions on </w:t>
      </w:r>
      <w:r w:rsidR="005E5DE9">
        <w:rPr>
          <w:rFonts w:cs="Arial"/>
        </w:rPr>
        <w:t>matters impacting</w:t>
      </w:r>
      <w:r w:rsidRPr="00B575A2">
        <w:rPr>
          <w:rFonts w:cs="Arial"/>
        </w:rPr>
        <w:t xml:space="preserve"> children and young people</w:t>
      </w:r>
      <w:r w:rsidR="0094708D">
        <w:rPr>
          <w:rFonts w:cs="Arial"/>
        </w:rPr>
        <w:t xml:space="preserve"> in</w:t>
      </w:r>
      <w:r w:rsidR="005E5DE9">
        <w:rPr>
          <w:rFonts w:cs="Arial"/>
        </w:rPr>
        <w:t xml:space="preserve"> priority</w:t>
      </w:r>
      <w:r w:rsidR="0094708D">
        <w:rPr>
          <w:rFonts w:cs="Arial"/>
        </w:rPr>
        <w:t xml:space="preserve"> areas </w:t>
      </w:r>
      <w:r w:rsidR="005E5DE9">
        <w:rPr>
          <w:rFonts w:cs="Arial"/>
        </w:rPr>
        <w:t>identified in the</w:t>
      </w:r>
      <w:r w:rsidR="0094708D">
        <w:rPr>
          <w:rFonts w:cs="Arial"/>
        </w:rPr>
        <w:t xml:space="preserve"> Plan</w:t>
      </w:r>
      <w:r w:rsidR="005E5DE9">
        <w:rPr>
          <w:rFonts w:cs="Arial"/>
        </w:rPr>
        <w:t xml:space="preserve"> explicitly</w:t>
      </w:r>
      <w:r w:rsidRPr="00B575A2">
        <w:rPr>
          <w:rFonts w:cs="Arial"/>
        </w:rPr>
        <w:t xml:space="preserve"> address how the </w:t>
      </w:r>
      <w:r w:rsidR="005E5DE9">
        <w:rPr>
          <w:rFonts w:cs="Arial"/>
        </w:rPr>
        <w:t>proposed policies</w:t>
      </w:r>
      <w:r w:rsidRPr="00B575A2">
        <w:rPr>
          <w:rFonts w:cs="Arial"/>
        </w:rPr>
        <w:t xml:space="preserve"> align with the Plan</w:t>
      </w:r>
      <w:r w:rsidR="005E5DE9">
        <w:rPr>
          <w:rFonts w:cs="Arial"/>
        </w:rPr>
        <w:t>’s objectives</w:t>
      </w:r>
      <w:r w:rsidRPr="00B575A2">
        <w:rPr>
          <w:rFonts w:cs="Arial"/>
        </w:rPr>
        <w:t xml:space="preserve">.  </w:t>
      </w:r>
    </w:p>
    <w:p w14:paraId="68AAD5EC" w14:textId="77777777" w:rsidR="00EE1A9B" w:rsidRDefault="00EE1A9B" w:rsidP="00EE1A9B">
      <w:pPr>
        <w:pBdr>
          <w:top w:val="single" w:sz="4" w:space="1" w:color="auto"/>
          <w:left w:val="single" w:sz="4" w:space="4" w:color="auto"/>
          <w:bottom w:val="single" w:sz="4" w:space="1" w:color="auto"/>
          <w:right w:val="single" w:sz="4" w:space="4" w:color="auto"/>
        </w:pBdr>
        <w:spacing w:after="200"/>
        <w:rPr>
          <w:rFonts w:cs="Arial"/>
        </w:rPr>
      </w:pPr>
      <w:r w:rsidRPr="0005685C">
        <w:rPr>
          <w:rFonts w:cs="Arial"/>
          <w:b/>
          <w:bCs/>
        </w:rPr>
        <w:t>Recommendation:</w:t>
      </w:r>
      <w:r>
        <w:rPr>
          <w:rFonts w:cs="Arial"/>
        </w:rPr>
        <w:t xml:space="preserve"> Parliament should immediately </w:t>
      </w:r>
    </w:p>
    <w:p w14:paraId="7CDD9C3E" w14:textId="22ED5CE0" w:rsidR="00EE1A9B" w:rsidRPr="00B575A2" w:rsidRDefault="00EE1A9B" w:rsidP="008E6AFB">
      <w:pPr>
        <w:pStyle w:val="ListParagraph"/>
        <w:numPr>
          <w:ilvl w:val="0"/>
          <w:numId w:val="4"/>
        </w:numPr>
        <w:pBdr>
          <w:top w:val="single" w:sz="4" w:space="1" w:color="auto"/>
          <w:left w:val="single" w:sz="4" w:space="4" w:color="auto"/>
          <w:bottom w:val="single" w:sz="4" w:space="1" w:color="auto"/>
          <w:right w:val="single" w:sz="4" w:space="4" w:color="auto"/>
        </w:pBdr>
        <w:spacing w:after="200"/>
        <w:rPr>
          <w:rFonts w:cs="Arial"/>
        </w:rPr>
      </w:pPr>
      <w:r w:rsidRPr="00B575A2">
        <w:rPr>
          <w:rFonts w:cs="Arial"/>
        </w:rPr>
        <w:t xml:space="preserve">raise the age of criminal responsibility to 14 years </w:t>
      </w:r>
    </w:p>
    <w:p w14:paraId="5CBFEABC" w14:textId="77777777" w:rsidR="00EE1A9B" w:rsidRPr="00B575A2" w:rsidRDefault="00EE1A9B" w:rsidP="008E6AFB">
      <w:pPr>
        <w:pStyle w:val="ListParagraph"/>
        <w:numPr>
          <w:ilvl w:val="0"/>
          <w:numId w:val="4"/>
        </w:numPr>
        <w:pBdr>
          <w:top w:val="single" w:sz="4" w:space="1" w:color="auto"/>
          <w:left w:val="single" w:sz="4" w:space="4" w:color="auto"/>
          <w:bottom w:val="single" w:sz="4" w:space="1" w:color="auto"/>
          <w:right w:val="single" w:sz="4" w:space="4" w:color="auto"/>
        </w:pBdr>
        <w:spacing w:after="200"/>
        <w:rPr>
          <w:rFonts w:cs="Arial"/>
        </w:rPr>
      </w:pPr>
      <w:r w:rsidRPr="00B575A2">
        <w:rPr>
          <w:rFonts w:cs="Arial"/>
        </w:rPr>
        <w:t>repeal provisions overriding the Human Rights Act to authorise prolonged detention of children in watch houses.</w:t>
      </w:r>
    </w:p>
    <w:p w14:paraId="7452ADFC" w14:textId="77777777" w:rsidR="006B117D" w:rsidRDefault="006B117D" w:rsidP="006B117D">
      <w:pPr>
        <w:rPr>
          <w:lang w:val="en-US"/>
        </w:rPr>
      </w:pPr>
    </w:p>
    <w:p w14:paraId="499D2402" w14:textId="2C7A8BD1" w:rsidR="00EE1A9B" w:rsidRDefault="00EE1A9B" w:rsidP="00EE1A9B">
      <w:pPr>
        <w:pStyle w:val="Heading1"/>
        <w:rPr>
          <w:rFonts w:cs="Arial"/>
          <w:lang w:val="en-US"/>
        </w:rPr>
      </w:pPr>
      <w:bookmarkStart w:id="11" w:name="_Toc159426526"/>
      <w:r>
        <w:rPr>
          <w:rFonts w:cs="Arial"/>
          <w:lang w:val="en-US"/>
        </w:rPr>
        <w:t xml:space="preserve">Consultation </w:t>
      </w:r>
      <w:r w:rsidR="00440009">
        <w:rPr>
          <w:rFonts w:cs="Arial"/>
          <w:lang w:val="en-US"/>
        </w:rPr>
        <w:t>Q</w:t>
      </w:r>
      <w:r>
        <w:rPr>
          <w:rFonts w:cs="Arial"/>
          <w:lang w:val="en-US"/>
        </w:rPr>
        <w:t>uestion 1: Core principles</w:t>
      </w:r>
      <w:bookmarkEnd w:id="11"/>
    </w:p>
    <w:p w14:paraId="2C7B4847" w14:textId="6AA1FB8E" w:rsidR="00EE1A9B" w:rsidRPr="00881C23" w:rsidRDefault="00EE1A9B" w:rsidP="00EE1A9B">
      <w:pPr>
        <w:rPr>
          <w:rFonts w:cs="Arial"/>
          <w:i/>
          <w:iCs/>
          <w:lang w:val="en-US"/>
        </w:rPr>
      </w:pPr>
      <w:r w:rsidRPr="00881C23">
        <w:rPr>
          <w:rFonts w:cs="Arial"/>
          <w:i/>
          <w:iCs/>
          <w:lang w:val="en-US"/>
        </w:rPr>
        <w:t>What are the core principles you think should inform our early intervention and prevention approach to support children, young people and families?</w:t>
      </w:r>
    </w:p>
    <w:p w14:paraId="7585B996" w14:textId="3794B27E" w:rsidR="00BD0766" w:rsidRDefault="00BD0766" w:rsidP="00BD0766">
      <w:pPr>
        <w:pStyle w:val="Heading3"/>
      </w:pPr>
      <w:bookmarkStart w:id="12" w:name="_Toc159426527"/>
      <w:r>
        <w:t>Human rights as key</w:t>
      </w:r>
      <w:bookmarkEnd w:id="12"/>
    </w:p>
    <w:p w14:paraId="543882C3" w14:textId="3EC2689F" w:rsidR="00507D8E" w:rsidRDefault="00507D8E" w:rsidP="00507D8E">
      <w:pPr>
        <w:pStyle w:val="Numberedparagraph"/>
      </w:pPr>
      <w:bookmarkStart w:id="13" w:name="_Ref159172888"/>
      <w:r>
        <w:t xml:space="preserve">The Commission is broadly supportive of the core principles set out in the Plan. However, it is important that </w:t>
      </w:r>
      <w:r w:rsidRPr="0085465E">
        <w:rPr>
          <w:b/>
          <w:bCs/>
        </w:rPr>
        <w:t>the Plan is more explicitly grounded in children’s and young people’s human rights</w:t>
      </w:r>
      <w:r>
        <w:t xml:space="preserve">. </w:t>
      </w:r>
      <w:r w:rsidR="004313E3">
        <w:t>Placing the rights of children and their families at the centre of decision making provides</w:t>
      </w:r>
      <w:r>
        <w:t xml:space="preserve"> both justification for the objectives and approach, and a framework </w:t>
      </w:r>
      <w:r w:rsidR="004313E3">
        <w:t xml:space="preserve">for decision-making and </w:t>
      </w:r>
      <w:r w:rsidR="005C6B1F">
        <w:t>accountability</w:t>
      </w:r>
      <w:r>
        <w:t>. It also provides grounding for the other core principles identified at page 11 of the Plan. Too often in Queensland children’s basic human rights have been violated for political expediency: the Plan needs a solid grounding in human rights to ensure that it can achieve its long-term goals.</w:t>
      </w:r>
      <w:bookmarkEnd w:id="13"/>
      <w:r>
        <w:t xml:space="preserve"> </w:t>
      </w:r>
    </w:p>
    <w:p w14:paraId="735D9D62" w14:textId="4E84C3CE" w:rsidR="00F9564B" w:rsidRDefault="00F9564B" w:rsidP="008A26E0">
      <w:pPr>
        <w:pStyle w:val="Numberedparagraph"/>
      </w:pPr>
      <w:r>
        <w:t xml:space="preserve">Human rights law recognises the importance of children remaining with their families and the rights of children to be safe, </w:t>
      </w:r>
      <w:r w:rsidR="003F184D">
        <w:t xml:space="preserve">to </w:t>
      </w:r>
      <w:r>
        <w:t>access health services and support for disabilit</w:t>
      </w:r>
      <w:r w:rsidR="00B21F4F">
        <w:t>ies</w:t>
      </w:r>
      <w:r>
        <w:t xml:space="preserve">, </w:t>
      </w:r>
      <w:r w:rsidR="00B21F4F">
        <w:t xml:space="preserve">to enjoy </w:t>
      </w:r>
      <w:r>
        <w:t xml:space="preserve">a stable living environment, and </w:t>
      </w:r>
      <w:r w:rsidR="00347459">
        <w:t xml:space="preserve">to </w:t>
      </w:r>
      <w:r>
        <w:t>education</w:t>
      </w:r>
      <w:r w:rsidR="00F3155D">
        <w:t xml:space="preserve">. All of these </w:t>
      </w:r>
      <w:r>
        <w:t xml:space="preserve">have been identified as protective factors </w:t>
      </w:r>
      <w:r w:rsidR="00333BB5">
        <w:t xml:space="preserve">for positive life trajectories and </w:t>
      </w:r>
      <w:r>
        <w:t xml:space="preserve">against </w:t>
      </w:r>
      <w:r w:rsidR="00333BB5">
        <w:t xml:space="preserve">contact with the </w:t>
      </w:r>
      <w:r w:rsidR="007D3C12">
        <w:t>y</w:t>
      </w:r>
      <w:r w:rsidR="00333BB5">
        <w:t xml:space="preserve">outh </w:t>
      </w:r>
      <w:r w:rsidR="007D3C12">
        <w:t>j</w:t>
      </w:r>
      <w:r w:rsidR="00333BB5">
        <w:t>ustice system</w:t>
      </w:r>
      <w:r>
        <w:t xml:space="preserve">. </w:t>
      </w:r>
    </w:p>
    <w:p w14:paraId="60775C0D" w14:textId="6849D42C" w:rsidR="008A26E0" w:rsidRPr="00C63552" w:rsidRDefault="008A26E0" w:rsidP="008A26E0">
      <w:pPr>
        <w:pStyle w:val="Numberedparagraph"/>
      </w:pPr>
      <w:r>
        <w:t xml:space="preserve">The Plan’s objectives align with public entities’ existing obligations under the </w:t>
      </w:r>
      <w:r w:rsidRPr="00696D44">
        <w:t>Human Rights Act</w:t>
      </w:r>
      <w:r>
        <w:t xml:space="preserve"> — it is therefore aimed at meeting obligations that the Government already has under law. Under the Human Rights Act, public entities must act compatibly with, and give proper consideration to, human rights, </w:t>
      </w:r>
      <w:r>
        <w:lastRenderedPageBreak/>
        <w:t>including recognition and equality before the law (s 15), right to life (s 16), freedom from torture, and cruel, inhuman, and degrading treatment (s 17), privacy and reputation (s 25), the protection of families and children (s 26), cultural rights (ss 27 and 28), rights of children in the criminal process (s 33), right to access education (s 36), and right to access health services (s 37).</w:t>
      </w:r>
    </w:p>
    <w:p w14:paraId="5E134154" w14:textId="4BE58FD0" w:rsidR="008A26E0" w:rsidRDefault="008A26E0" w:rsidP="008A26E0">
      <w:pPr>
        <w:pStyle w:val="Numberedparagraph"/>
      </w:pPr>
      <w:r>
        <w:t xml:space="preserve">The United Nations </w:t>
      </w:r>
      <w:r w:rsidRPr="002D3F2E">
        <w:rPr>
          <w:i/>
          <w:iCs/>
        </w:rPr>
        <w:t>Convention of the Rights of the Child</w:t>
      </w:r>
      <w:r>
        <w:t>, which may be used to interpret the rights of children under the Queensland Human Rights Act</w:t>
      </w:r>
      <w:r>
        <w:rPr>
          <w:rStyle w:val="FootnoteReference"/>
        </w:rPr>
        <w:footnoteReference w:id="16"/>
      </w:r>
      <w:r>
        <w:t>:</w:t>
      </w:r>
    </w:p>
    <w:p w14:paraId="655547BD" w14:textId="41D4854D" w:rsidR="009102C6" w:rsidRDefault="009102C6" w:rsidP="008A26E0">
      <w:pPr>
        <w:pStyle w:val="Bulletedlist"/>
      </w:pPr>
      <w:r>
        <w:t>requires that, in all actions concerning children, the best interests of the child are a primary consideration (Art 3)</w:t>
      </w:r>
    </w:p>
    <w:p w14:paraId="23BE0EDB" w14:textId="215F6FEB" w:rsidR="008A26E0" w:rsidRDefault="008A26E0" w:rsidP="008A26E0">
      <w:pPr>
        <w:pStyle w:val="Bulletedlist"/>
      </w:pPr>
      <w:r>
        <w:t>requires States to ensure, to the maximum extent possible, the survival and development of the child (Art 6(2))</w:t>
      </w:r>
    </w:p>
    <w:p w14:paraId="4D4CAB25" w14:textId="77777777" w:rsidR="008A26E0" w:rsidRDefault="008A26E0" w:rsidP="008A26E0">
      <w:pPr>
        <w:pStyle w:val="Bulletedlist"/>
      </w:pPr>
      <w:r>
        <w:t xml:space="preserve">recognises the right of every </w:t>
      </w:r>
      <w:r w:rsidRPr="00B252B7">
        <w:rPr>
          <w:color w:val="000000"/>
          <w:shd w:val="clear" w:color="auto" w:fill="FFFFFF"/>
        </w:rPr>
        <w:t xml:space="preserve">child to a </w:t>
      </w:r>
      <w:r w:rsidRPr="00BA7AA8">
        <w:rPr>
          <w:color w:val="000000"/>
          <w:shd w:val="clear" w:color="auto" w:fill="FFFFFF"/>
        </w:rPr>
        <w:t>standard of living adequate for the child's physical, mental, spiritual, moral and social development (Art 27(1))</w:t>
      </w:r>
    </w:p>
    <w:p w14:paraId="114E7E24" w14:textId="77777777" w:rsidR="008A26E0" w:rsidRDefault="008A26E0" w:rsidP="008A26E0">
      <w:pPr>
        <w:pStyle w:val="Bulletedlist"/>
      </w:pPr>
      <w:r>
        <w:t>confirms the responsibility of parents for the upbringing of children (Art 18 and 27)</w:t>
      </w:r>
    </w:p>
    <w:p w14:paraId="0B49DA70" w14:textId="6777B9FB" w:rsidR="008A26E0" w:rsidRDefault="008A26E0" w:rsidP="008A26E0">
      <w:pPr>
        <w:pStyle w:val="Bulletedlist"/>
      </w:pPr>
      <w:r>
        <w:t>requires States to provide assistance to parents or other caregivers necessary to carry out their responsibilities to their children (Art 27)</w:t>
      </w:r>
    </w:p>
    <w:p w14:paraId="2B4DA65F" w14:textId="77777777" w:rsidR="008A26E0" w:rsidRDefault="008A26E0" w:rsidP="008A26E0">
      <w:pPr>
        <w:pStyle w:val="Bulletedlist"/>
      </w:pPr>
      <w:r>
        <w:t xml:space="preserve">recognises the right of children with a mental or physical disability to special assistance to enable them to </w:t>
      </w:r>
      <w:r w:rsidRPr="00E25DCD">
        <w:t>enjoy a full and decent life, in conditions which ensure dignity, promote self-reliance and facilitate the child's active participation in the community</w:t>
      </w:r>
      <w:r>
        <w:t xml:space="preserve"> (Article 23)</w:t>
      </w:r>
    </w:p>
    <w:p w14:paraId="5CF46061" w14:textId="77777777" w:rsidR="008A26E0" w:rsidRDefault="008A26E0" w:rsidP="008A26E0">
      <w:pPr>
        <w:pStyle w:val="Bulletedlist"/>
      </w:pPr>
      <w:r>
        <w:t>recognises the right of every child to education, and requires states to ta</w:t>
      </w:r>
      <w:r w:rsidRPr="00261ED5">
        <w:t>ke measures to encourage regular attendance at schools and the reduction of drop-out rates</w:t>
      </w:r>
      <w:r>
        <w:t xml:space="preserve"> (Art 28)</w:t>
      </w:r>
    </w:p>
    <w:p w14:paraId="26224939" w14:textId="77777777" w:rsidR="008A26E0" w:rsidRPr="00BA7AA8" w:rsidRDefault="008A26E0" w:rsidP="008A26E0">
      <w:pPr>
        <w:pStyle w:val="Bulletedlist"/>
      </w:pPr>
      <w:r>
        <w:t xml:space="preserve">provides States shall take all appropriate measures to promote physical and psychological recovery and social reintegration of a child victim of </w:t>
      </w:r>
      <w:r w:rsidRPr="00881C23">
        <w:rPr>
          <w:color w:val="000000"/>
          <w:shd w:val="clear" w:color="auto" w:fill="FFFFFF"/>
        </w:rPr>
        <w:t>any form of neglect, exploitation, or abuse; torture or any other form of cruel, inhuman or degrading treatment or punishment</w:t>
      </w:r>
      <w:r>
        <w:rPr>
          <w:color w:val="000000"/>
          <w:shd w:val="clear" w:color="auto" w:fill="FFFFFF"/>
        </w:rPr>
        <w:t xml:space="preserve"> (Art 39)</w:t>
      </w:r>
    </w:p>
    <w:p w14:paraId="0C5FDD56" w14:textId="27262D18" w:rsidR="008A26E0" w:rsidRPr="00442503" w:rsidRDefault="008A26E0" w:rsidP="008A26E0">
      <w:pPr>
        <w:pStyle w:val="Bulletedlist"/>
        <w:rPr>
          <w:color w:val="auto"/>
        </w:rPr>
      </w:pPr>
      <w:r>
        <w:rPr>
          <w:color w:val="000000"/>
          <w:shd w:val="clear" w:color="auto" w:fill="FFFFFF"/>
        </w:rPr>
        <w:t>recognises the right of every child in the youth justice system to be treated in a manner consistent with the promotion of the child’s sense of dignity and worth, and which takes into account the desirability of promoting the child’s reintegration and assuming a constructive role in society (Art 40(1)).</w:t>
      </w:r>
    </w:p>
    <w:p w14:paraId="64D646DC" w14:textId="2134E327" w:rsidR="00BD0766" w:rsidRPr="00BD0766" w:rsidRDefault="00BD0766" w:rsidP="000E57A9">
      <w:pPr>
        <w:pStyle w:val="Heading3"/>
      </w:pPr>
      <w:bookmarkStart w:id="14" w:name="_Toc159426528"/>
      <w:r w:rsidRPr="00BD0766">
        <w:t>Articulation of</w:t>
      </w:r>
      <w:r>
        <w:t xml:space="preserve"> </w:t>
      </w:r>
      <w:r w:rsidRPr="00BD0766">
        <w:t>principles</w:t>
      </w:r>
      <w:bookmarkEnd w:id="14"/>
    </w:p>
    <w:p w14:paraId="0B596F77" w14:textId="7095D70E" w:rsidR="00507D8E" w:rsidRDefault="00507D8E" w:rsidP="00507D8E">
      <w:pPr>
        <w:pStyle w:val="Numberedparagraph"/>
      </w:pPr>
      <w:bookmarkStart w:id="15" w:name="_Ref159172892"/>
      <w:r>
        <w:t xml:space="preserve">Flowing </w:t>
      </w:r>
      <w:r w:rsidR="00C100C3">
        <w:t>from this</w:t>
      </w:r>
      <w:r w:rsidR="00C141C1">
        <w:t xml:space="preserve"> grounding</w:t>
      </w:r>
      <w:r w:rsidR="00C100C3">
        <w:t xml:space="preserve"> in human rights</w:t>
      </w:r>
      <w:r>
        <w:t xml:space="preserve">, the Commission considers that </w:t>
      </w:r>
      <w:r w:rsidR="008C5407">
        <w:t xml:space="preserve">certain </w:t>
      </w:r>
      <w:r>
        <w:t>core principles</w:t>
      </w:r>
      <w:r w:rsidR="00C141C1">
        <w:t xml:space="preserve"> can be elaborated in a way that</w:t>
      </w:r>
      <w:r w:rsidR="008C5407">
        <w:t xml:space="preserve"> better</w:t>
      </w:r>
      <w:r w:rsidR="00C141C1">
        <w:t xml:space="preserve"> resonates with the purpose of the Plan</w:t>
      </w:r>
      <w:r w:rsidR="00C100C3">
        <w:t xml:space="preserve"> and human rights</w:t>
      </w:r>
      <w:r w:rsidR="00C141C1">
        <w:t>.</w:t>
      </w:r>
      <w:r>
        <w:t xml:space="preserve"> </w:t>
      </w:r>
      <w:r w:rsidR="00C141C1">
        <w:t xml:space="preserve"> Drawing</w:t>
      </w:r>
      <w:r w:rsidR="00B7656F">
        <w:t xml:space="preserve"> </w:t>
      </w:r>
      <w:r w:rsidR="00AA477D">
        <w:t>heavily</w:t>
      </w:r>
      <w:r w:rsidR="00C141C1">
        <w:t xml:space="preserve"> from the</w:t>
      </w:r>
      <w:r>
        <w:t xml:space="preserve"> New Zealand </w:t>
      </w:r>
      <w:r w:rsidR="00A01693">
        <w:t>Child and Youth Strategy</w:t>
      </w:r>
      <w:r w:rsidR="00C141C1">
        <w:t>,</w:t>
      </w:r>
      <w:r w:rsidR="00C100C3">
        <w:rPr>
          <w:rStyle w:val="FootnoteReference"/>
        </w:rPr>
        <w:footnoteReference w:id="17"/>
      </w:r>
      <w:r w:rsidR="00C141C1">
        <w:t xml:space="preserve"> the Plan’s </w:t>
      </w:r>
      <w:r>
        <w:t xml:space="preserve">current principles could </w:t>
      </w:r>
      <w:r w:rsidR="008C5407">
        <w:t>more clearly express that</w:t>
      </w:r>
      <w:r>
        <w:t>:</w:t>
      </w:r>
      <w:bookmarkEnd w:id="15"/>
    </w:p>
    <w:p w14:paraId="57C6B6F9" w14:textId="7A69B098" w:rsidR="008C5407" w:rsidRPr="0059672C" w:rsidRDefault="008C5407" w:rsidP="008E6AFB">
      <w:pPr>
        <w:pStyle w:val="Numberedparagraph"/>
        <w:numPr>
          <w:ilvl w:val="1"/>
          <w:numId w:val="1"/>
        </w:numPr>
        <w:rPr>
          <w:b/>
          <w:bCs/>
        </w:rPr>
      </w:pPr>
      <w:r w:rsidRPr="0059672C">
        <w:rPr>
          <w:b/>
          <w:bCs/>
        </w:rPr>
        <w:lastRenderedPageBreak/>
        <w:t xml:space="preserve">Children and young people have inherent dignity </w:t>
      </w:r>
      <w:r w:rsidR="00204C2B">
        <w:rPr>
          <w:b/>
          <w:bCs/>
        </w:rPr>
        <w:t>and are at the centre of everything we do</w:t>
      </w:r>
      <w:r w:rsidRPr="0059672C">
        <w:rPr>
          <w:b/>
          <w:bCs/>
        </w:rPr>
        <w:t>.</w:t>
      </w:r>
      <w:r w:rsidR="004208F8">
        <w:rPr>
          <w:rStyle w:val="FootnoteReference"/>
          <w:b/>
          <w:bCs/>
        </w:rPr>
        <w:footnoteReference w:id="18"/>
      </w:r>
      <w:r w:rsidR="0059672C">
        <w:rPr>
          <w:b/>
          <w:bCs/>
        </w:rPr>
        <w:t xml:space="preserve"> </w:t>
      </w:r>
      <w:r w:rsidR="0059672C">
        <w:t xml:space="preserve">Too often children and young people are dehumanised in public discourse, </w:t>
      </w:r>
      <w:r w:rsidR="00CD28BB">
        <w:t>or</w:t>
      </w:r>
      <w:r w:rsidR="0059672C">
        <w:t xml:space="preserve"> their </w:t>
      </w:r>
      <w:r w:rsidR="00177414">
        <w:t xml:space="preserve">wellbeing is seen as having instrumental, rather than intrinsic value. This is connected to the existing draft principle that the approach should be </w:t>
      </w:r>
      <w:r w:rsidR="00177414" w:rsidRPr="00177414">
        <w:rPr>
          <w:b/>
          <w:bCs/>
        </w:rPr>
        <w:t>child and young person-centric</w:t>
      </w:r>
      <w:r w:rsidR="00177414">
        <w:t xml:space="preserve"> and informed by their voices and experiences, which the Commission fully supports.</w:t>
      </w:r>
    </w:p>
    <w:p w14:paraId="59644BCB" w14:textId="43236308" w:rsidR="00710AC0" w:rsidRPr="00710AC0" w:rsidRDefault="00710AC0" w:rsidP="008E6AFB">
      <w:pPr>
        <w:pStyle w:val="Numberedparagraph"/>
        <w:numPr>
          <w:ilvl w:val="1"/>
          <w:numId w:val="1"/>
        </w:numPr>
        <w:rPr>
          <w:b/>
          <w:bCs/>
        </w:rPr>
      </w:pPr>
      <w:r w:rsidRPr="00177414">
        <w:rPr>
          <w:b/>
          <w:bCs/>
        </w:rPr>
        <w:t xml:space="preserve">The best outcomes </w:t>
      </w:r>
      <w:r>
        <w:rPr>
          <w:b/>
          <w:bCs/>
        </w:rPr>
        <w:t>come from</w:t>
      </w:r>
      <w:r w:rsidRPr="00177414">
        <w:rPr>
          <w:b/>
          <w:bCs/>
        </w:rPr>
        <w:t xml:space="preserve"> providing </w:t>
      </w:r>
      <w:r>
        <w:rPr>
          <w:b/>
          <w:bCs/>
        </w:rPr>
        <w:t>support early in the life of the child or early in the life of the problem.</w:t>
      </w:r>
      <w:r>
        <w:rPr>
          <w:rStyle w:val="FootnoteReference"/>
          <w:lang w:val="en-US"/>
        </w:rPr>
        <w:footnoteReference w:id="19"/>
      </w:r>
      <w:r>
        <w:rPr>
          <w:lang w:val="en-US"/>
        </w:rPr>
        <w:t xml:space="preserve"> </w:t>
      </w:r>
      <w:r>
        <w:rPr>
          <w:b/>
          <w:bCs/>
        </w:rPr>
        <w:t xml:space="preserve"> </w:t>
      </w:r>
      <w:r w:rsidRPr="00417F3B">
        <w:t xml:space="preserve">This is </w:t>
      </w:r>
      <w:r>
        <w:t>connected</w:t>
      </w:r>
      <w:r w:rsidRPr="00417F3B">
        <w:t xml:space="preserve"> to the existing draft principle </w:t>
      </w:r>
      <w:r w:rsidR="00DA2AA7">
        <w:rPr>
          <w:b/>
          <w:bCs/>
        </w:rPr>
        <w:t>p</w:t>
      </w:r>
      <w:r w:rsidRPr="00CF50D8">
        <w:rPr>
          <w:b/>
          <w:bCs/>
        </w:rPr>
        <w:t>revention and early intervention</w:t>
      </w:r>
      <w:r w:rsidRPr="00417F3B">
        <w:t>.</w:t>
      </w:r>
      <w:r>
        <w:t xml:space="preserve"> The Commission strongly supports this focus, but, as discussed above, considers that the Plan and draft principle could more </w:t>
      </w:r>
      <w:r>
        <w:rPr>
          <w:lang w:val="en-US"/>
        </w:rPr>
        <w:t xml:space="preserve">clearly articulate </w:t>
      </w:r>
      <w:r w:rsidRPr="00322F7C">
        <w:rPr>
          <w:lang w:val="en-US"/>
        </w:rPr>
        <w:t xml:space="preserve">what </w:t>
      </w:r>
      <w:r>
        <w:rPr>
          <w:lang w:val="en-US"/>
        </w:rPr>
        <w:t>the Plan</w:t>
      </w:r>
      <w:r w:rsidRPr="00322F7C">
        <w:rPr>
          <w:lang w:val="en-US"/>
        </w:rPr>
        <w:t xml:space="preserve"> is trying to prevent, and to which ends</w:t>
      </w:r>
      <w:r>
        <w:rPr>
          <w:lang w:val="en-US"/>
        </w:rPr>
        <w:t xml:space="preserve"> it is considered appropriate to intervene.</w:t>
      </w:r>
      <w:r>
        <w:rPr>
          <w:rStyle w:val="FootnoteReference"/>
          <w:lang w:val="en-US"/>
        </w:rPr>
        <w:footnoteReference w:id="20"/>
      </w:r>
      <w:r>
        <w:rPr>
          <w:lang w:val="en-US"/>
        </w:rPr>
        <w:t xml:space="preserve"> A simpler focus in the principles on providing support at the earliest possible moment would be clearer, with the vision, purpose, and scope adequately explained up front. </w:t>
      </w:r>
    </w:p>
    <w:p w14:paraId="73885A85" w14:textId="2058D97F" w:rsidR="00C141C1" w:rsidRPr="004544AA" w:rsidRDefault="008C5407" w:rsidP="008E6AFB">
      <w:pPr>
        <w:pStyle w:val="Numberedparagraph"/>
        <w:numPr>
          <w:ilvl w:val="1"/>
          <w:numId w:val="1"/>
        </w:numPr>
        <w:rPr>
          <w:b/>
          <w:bCs/>
        </w:rPr>
      </w:pPr>
      <w:r w:rsidRPr="00177414">
        <w:rPr>
          <w:b/>
          <w:bCs/>
        </w:rPr>
        <w:t>I</w:t>
      </w:r>
      <w:r w:rsidR="00C141C1" w:rsidRPr="00177414">
        <w:rPr>
          <w:b/>
          <w:bCs/>
        </w:rPr>
        <w:t>ndividuals, family, communit</w:t>
      </w:r>
      <w:r w:rsidR="00177414">
        <w:rPr>
          <w:b/>
          <w:bCs/>
        </w:rPr>
        <w:t>ies,</w:t>
      </w:r>
      <w:r w:rsidR="00C141C1" w:rsidRPr="00177414">
        <w:rPr>
          <w:b/>
          <w:bCs/>
        </w:rPr>
        <w:t xml:space="preserve"> and </w:t>
      </w:r>
      <w:r w:rsidR="007F458A">
        <w:rPr>
          <w:b/>
          <w:bCs/>
        </w:rPr>
        <w:t xml:space="preserve">all of </w:t>
      </w:r>
      <w:r w:rsidR="00C141C1" w:rsidRPr="00177414">
        <w:rPr>
          <w:b/>
          <w:bCs/>
        </w:rPr>
        <w:t>government all have responsibility for child wellbeing</w:t>
      </w:r>
      <w:r w:rsidRPr="00177414">
        <w:rPr>
          <w:b/>
          <w:bCs/>
        </w:rPr>
        <w:t>.</w:t>
      </w:r>
      <w:r w:rsidR="008A40DF" w:rsidRPr="000C731C">
        <w:rPr>
          <w:rStyle w:val="FootnoteReference"/>
        </w:rPr>
        <w:footnoteReference w:id="21"/>
      </w:r>
      <w:r w:rsidR="009242D7" w:rsidRPr="000C731C">
        <w:t xml:space="preserve"> </w:t>
      </w:r>
      <w:r w:rsidR="00CD28BB">
        <w:t>Achieving the vision of the plan requires support at all of these levels</w:t>
      </w:r>
      <w:r w:rsidR="004F7087">
        <w:t>, and factors hindering progress at any of these levels should be identified and addressed.</w:t>
      </w:r>
      <w:r w:rsidR="004544AA">
        <w:t xml:space="preserve"> It also recognises that solutions are likely to come from families and communities, and the important role of community-led design and delivery</w:t>
      </w:r>
      <w:r w:rsidR="00947EF4">
        <w:t xml:space="preserve"> (see further </w:t>
      </w:r>
      <w:r w:rsidR="006B6E63">
        <w:t>below)</w:t>
      </w:r>
      <w:r w:rsidR="004544AA">
        <w:t>.</w:t>
      </w:r>
      <w:r w:rsidR="004544AA">
        <w:rPr>
          <w:rStyle w:val="FootnoteReference"/>
        </w:rPr>
        <w:footnoteReference w:id="22"/>
      </w:r>
    </w:p>
    <w:p w14:paraId="61B2522F" w14:textId="60BFCD40" w:rsidR="0059672C" w:rsidRPr="003C2DD4" w:rsidRDefault="003C2DD4" w:rsidP="008E6AFB">
      <w:pPr>
        <w:pStyle w:val="Numberedparagraph"/>
        <w:numPr>
          <w:ilvl w:val="1"/>
          <w:numId w:val="1"/>
        </w:numPr>
        <w:rPr>
          <w:b/>
          <w:bCs/>
        </w:rPr>
      </w:pPr>
      <w:r>
        <w:rPr>
          <w:b/>
          <w:bCs/>
          <w:lang w:val="en-US"/>
        </w:rPr>
        <w:t>Families hold primary responsibility for children’s health, wellbeing and development, and p</w:t>
      </w:r>
      <w:r w:rsidR="0059672C" w:rsidRPr="00177414">
        <w:rPr>
          <w:b/>
          <w:bCs/>
          <w:lang w:val="en-US"/>
        </w:rPr>
        <w:t>riority should be given to supporting children within their families and communities.</w:t>
      </w:r>
      <w:r w:rsidR="00B51ECC" w:rsidRPr="00F97D6F">
        <w:rPr>
          <w:rStyle w:val="FootnoteReference"/>
          <w:lang w:val="en-US"/>
        </w:rPr>
        <w:footnoteReference w:id="23"/>
      </w:r>
      <w:r w:rsidR="004F7087" w:rsidRPr="00F97D6F">
        <w:rPr>
          <w:lang w:val="en-US"/>
        </w:rPr>
        <w:t xml:space="preserve"> </w:t>
      </w:r>
      <w:r w:rsidR="004F7087" w:rsidRPr="004F7087">
        <w:rPr>
          <w:lang w:val="en-US"/>
        </w:rPr>
        <w:t>This is clear both as a matter of</w:t>
      </w:r>
      <w:r w:rsidR="004F7087">
        <w:rPr>
          <w:b/>
          <w:bCs/>
          <w:lang w:val="en-US"/>
        </w:rPr>
        <w:t xml:space="preserve"> </w:t>
      </w:r>
      <w:r w:rsidR="004F7087" w:rsidRPr="004F7087">
        <w:rPr>
          <w:lang w:val="en-US"/>
        </w:rPr>
        <w:lastRenderedPageBreak/>
        <w:t>international human rights law</w:t>
      </w:r>
      <w:r w:rsidR="004F7087">
        <w:rPr>
          <w:b/>
          <w:bCs/>
          <w:lang w:val="en-US"/>
        </w:rPr>
        <w:t>,</w:t>
      </w:r>
      <w:r w:rsidR="004F7087" w:rsidRPr="006F7A27">
        <w:rPr>
          <w:rStyle w:val="FootnoteReference"/>
          <w:lang w:val="en-US"/>
        </w:rPr>
        <w:footnoteReference w:id="24"/>
      </w:r>
      <w:r w:rsidR="004F7087" w:rsidRPr="006F7A27">
        <w:rPr>
          <w:lang w:val="en-US"/>
        </w:rPr>
        <w:t xml:space="preserve"> </w:t>
      </w:r>
      <w:r w:rsidR="004F7087">
        <w:rPr>
          <w:lang w:val="en-US"/>
        </w:rPr>
        <w:t>and has been shown to lead to the best outcomes for children and young people.</w:t>
      </w:r>
      <w:r w:rsidR="00381A5D">
        <w:rPr>
          <w:rStyle w:val="FootnoteReference"/>
          <w:lang w:val="en-US"/>
        </w:rPr>
        <w:footnoteReference w:id="25"/>
      </w:r>
    </w:p>
    <w:p w14:paraId="73524ECB" w14:textId="2324F485" w:rsidR="00571EAF" w:rsidRPr="00710AC0" w:rsidRDefault="003C2DD4" w:rsidP="008E6AFB">
      <w:pPr>
        <w:pStyle w:val="Numberedparagraph"/>
        <w:numPr>
          <w:ilvl w:val="1"/>
          <w:numId w:val="1"/>
        </w:numPr>
        <w:rPr>
          <w:b/>
          <w:bCs/>
        </w:rPr>
      </w:pPr>
      <w:r w:rsidRPr="00177414">
        <w:rPr>
          <w:b/>
          <w:bCs/>
        </w:rPr>
        <w:t>The wellbeing of children and young people is interwoven with the wellbeing of their family</w:t>
      </w:r>
      <w:r w:rsidR="00132DFE">
        <w:rPr>
          <w:b/>
          <w:bCs/>
        </w:rPr>
        <w:t xml:space="preserve"> and community</w:t>
      </w:r>
      <w:r w:rsidRPr="00177414">
        <w:rPr>
          <w:b/>
          <w:bCs/>
        </w:rPr>
        <w:t>.</w:t>
      </w:r>
      <w:r w:rsidR="00A169C8" w:rsidRPr="00F97D6F">
        <w:rPr>
          <w:rStyle w:val="FootnoteReference"/>
        </w:rPr>
        <w:footnoteReference w:id="26"/>
      </w:r>
      <w:r w:rsidR="00E4761A" w:rsidRPr="00F97D6F">
        <w:t xml:space="preserve"> </w:t>
      </w:r>
      <w:r w:rsidR="00DB6D9A">
        <w:t>As stated in the New Zealand strategy: ‘</w:t>
      </w:r>
      <w:r w:rsidR="005862F8">
        <w:t xml:space="preserve">Children should be viewed in the context of their families…and other family groups and communities. This principle recognises that parents, caregivers, families, and </w:t>
      </w:r>
      <w:r w:rsidR="002164A8">
        <w:t>whānau</w:t>
      </w:r>
      <w:r w:rsidR="002B3E46">
        <w:t xml:space="preserve"> need to have the right kind of support at the right time in order to provide a nurturing environment for their children’.</w:t>
      </w:r>
      <w:r w:rsidR="002B3E46">
        <w:rPr>
          <w:rStyle w:val="FootnoteReference"/>
        </w:rPr>
        <w:footnoteReference w:id="27"/>
      </w:r>
      <w:r w:rsidR="00BD6927">
        <w:t xml:space="preserve"> </w:t>
      </w:r>
    </w:p>
    <w:p w14:paraId="3D9B09AE" w14:textId="4D5949B7" w:rsidR="00FB1D27" w:rsidRPr="00EA0FD2" w:rsidRDefault="006A4E3C" w:rsidP="008E6AFB">
      <w:pPr>
        <w:pStyle w:val="Numberedparagraph"/>
        <w:numPr>
          <w:ilvl w:val="1"/>
          <w:numId w:val="1"/>
        </w:numPr>
        <w:rPr>
          <w:lang w:val="en-US"/>
        </w:rPr>
      </w:pPr>
      <w:r>
        <w:rPr>
          <w:b/>
          <w:bCs/>
        </w:rPr>
        <w:t>Focus on the</w:t>
      </w:r>
      <w:r w:rsidR="00BA47F5">
        <w:rPr>
          <w:b/>
          <w:bCs/>
        </w:rPr>
        <w:t xml:space="preserve"> strengths</w:t>
      </w:r>
      <w:r w:rsidR="00CC3EEF">
        <w:rPr>
          <w:b/>
          <w:bCs/>
        </w:rPr>
        <w:t xml:space="preserve"> and knowledge</w:t>
      </w:r>
      <w:r w:rsidR="00BA47F5">
        <w:rPr>
          <w:b/>
          <w:bCs/>
        </w:rPr>
        <w:t xml:space="preserve"> of community and empower parents, kin</w:t>
      </w:r>
      <w:r w:rsidR="00CC3EEF">
        <w:rPr>
          <w:b/>
          <w:bCs/>
        </w:rPr>
        <w:t>,</w:t>
      </w:r>
      <w:r w:rsidR="00BA47F5">
        <w:rPr>
          <w:b/>
          <w:bCs/>
        </w:rPr>
        <w:t xml:space="preserve"> and families.</w:t>
      </w:r>
      <w:r w:rsidR="00130B53">
        <w:t xml:space="preserve"> </w:t>
      </w:r>
      <w:r w:rsidR="00130B53">
        <w:rPr>
          <w:lang w:val="en-US"/>
        </w:rPr>
        <w:t xml:space="preserve">The Commission strongly supports </w:t>
      </w:r>
      <w:r w:rsidR="002E1B39">
        <w:rPr>
          <w:lang w:val="en-US"/>
        </w:rPr>
        <w:t>the</w:t>
      </w:r>
      <w:r w:rsidR="00130B53">
        <w:rPr>
          <w:lang w:val="en-US"/>
        </w:rPr>
        <w:t xml:space="preserve"> </w:t>
      </w:r>
      <w:r w:rsidR="00130B53" w:rsidRPr="002E1B39">
        <w:rPr>
          <w:b/>
          <w:bCs/>
          <w:lang w:val="en-US"/>
        </w:rPr>
        <w:t>strengths-based</w:t>
      </w:r>
      <w:r w:rsidR="00130B53">
        <w:rPr>
          <w:lang w:val="en-US"/>
        </w:rPr>
        <w:t xml:space="preserve"> approach</w:t>
      </w:r>
      <w:r w:rsidR="002E1B39">
        <w:rPr>
          <w:lang w:val="en-US"/>
        </w:rPr>
        <w:t xml:space="preserve"> expressed in the existing principles</w:t>
      </w:r>
      <w:r w:rsidR="00130B53">
        <w:rPr>
          <w:lang w:val="en-US"/>
        </w:rPr>
        <w:t>. Again, this is entirely consistent with human rights, including the rights of children and families and cultural rights protected under the Human Rights Act.</w:t>
      </w:r>
      <w:r w:rsidR="002E1B39">
        <w:rPr>
          <w:rStyle w:val="FootnoteReference"/>
          <w:lang w:val="en-US"/>
        </w:rPr>
        <w:footnoteReference w:id="28"/>
      </w:r>
      <w:r w:rsidR="00EA0FD2">
        <w:rPr>
          <w:lang w:val="en-US"/>
        </w:rPr>
        <w:t xml:space="preserve"> </w:t>
      </w:r>
      <w:r w:rsidR="00130B53" w:rsidRPr="00EA0FD2">
        <w:rPr>
          <w:lang w:val="en-US"/>
        </w:rPr>
        <w:t>Consistent with a strengths-based approach, Government should support community-led design and delivery in implementing the Plan. This is recogni</w:t>
      </w:r>
      <w:r w:rsidR="0031247E">
        <w:rPr>
          <w:lang w:val="en-US"/>
        </w:rPr>
        <w:t>s</w:t>
      </w:r>
      <w:r w:rsidR="00130B53" w:rsidRPr="00EA0FD2">
        <w:rPr>
          <w:lang w:val="en-US"/>
        </w:rPr>
        <w:t>ed in the investment priorities later in the document,</w:t>
      </w:r>
      <w:r w:rsidR="00130B53">
        <w:rPr>
          <w:rStyle w:val="FootnoteReference"/>
          <w:lang w:val="en-US"/>
        </w:rPr>
        <w:footnoteReference w:id="29"/>
      </w:r>
      <w:r w:rsidR="00130B53" w:rsidRPr="00EA0FD2">
        <w:rPr>
          <w:lang w:val="en-US"/>
        </w:rPr>
        <w:t xml:space="preserve"> but would be helpfully referenced here in the guiding principles.</w:t>
      </w:r>
    </w:p>
    <w:p w14:paraId="3C52FAAE" w14:textId="477D4C1B" w:rsidR="00507D8E" w:rsidRPr="00B930BF" w:rsidRDefault="008C5407" w:rsidP="008E6AFB">
      <w:pPr>
        <w:pStyle w:val="Numberedparagraph"/>
        <w:numPr>
          <w:ilvl w:val="1"/>
          <w:numId w:val="1"/>
        </w:numPr>
        <w:rPr>
          <w:b/>
          <w:bCs/>
        </w:rPr>
      </w:pPr>
      <w:r w:rsidRPr="00177414">
        <w:rPr>
          <w:b/>
          <w:bCs/>
        </w:rPr>
        <w:t>Re</w:t>
      </w:r>
      <w:r w:rsidR="000311CE">
        <w:rPr>
          <w:b/>
          <w:bCs/>
        </w:rPr>
        <w:t>shaping</w:t>
      </w:r>
      <w:r w:rsidRPr="00177414">
        <w:rPr>
          <w:b/>
          <w:bCs/>
        </w:rPr>
        <w:t xml:space="preserve"> t</w:t>
      </w:r>
      <w:r w:rsidR="00C141C1" w:rsidRPr="00177414">
        <w:rPr>
          <w:b/>
          <w:bCs/>
        </w:rPr>
        <w:t>he relationship between the state and Aboriginal and Torres Strait Islander peoples</w:t>
      </w:r>
      <w:r w:rsidRPr="00177414">
        <w:rPr>
          <w:b/>
          <w:bCs/>
        </w:rPr>
        <w:t xml:space="preserve"> is crucial</w:t>
      </w:r>
      <w:r w:rsidR="00C141C1" w:rsidRPr="00044E10">
        <w:t>, including</w:t>
      </w:r>
      <w:r w:rsidRPr="00044E10">
        <w:t xml:space="preserve"> through</w:t>
      </w:r>
      <w:r w:rsidR="00C141C1" w:rsidRPr="00044E10">
        <w:t xml:space="preserve"> </w:t>
      </w:r>
      <w:r w:rsidRPr="00044E10">
        <w:t>meeting</w:t>
      </w:r>
      <w:r w:rsidR="00507D8E" w:rsidRPr="00044E10">
        <w:t xml:space="preserve"> obligations under the </w:t>
      </w:r>
      <w:r w:rsidR="00507D8E" w:rsidRPr="002E6B79">
        <w:rPr>
          <w:b/>
          <w:bCs/>
        </w:rPr>
        <w:t>National Agreement on Closing the Gap</w:t>
      </w:r>
      <w:r w:rsidR="00507D8E" w:rsidRPr="00044E10">
        <w:t xml:space="preserve"> and work towards </w:t>
      </w:r>
      <w:r w:rsidR="00507D8E" w:rsidRPr="002E6B79">
        <w:rPr>
          <w:b/>
          <w:bCs/>
        </w:rPr>
        <w:t>truth and treaty</w:t>
      </w:r>
      <w:r w:rsidRPr="00044E10">
        <w:t>.</w:t>
      </w:r>
      <w:r w:rsidR="006537B7" w:rsidRPr="00044E10">
        <w:rPr>
          <w:rStyle w:val="FootnoteReference"/>
        </w:rPr>
        <w:footnoteReference w:id="30"/>
      </w:r>
      <w:r w:rsidR="00507D8E" w:rsidRPr="00044E10">
        <w:t xml:space="preserve"> </w:t>
      </w:r>
      <w:r w:rsidR="00426F89">
        <w:t>This recognises the devastating</w:t>
      </w:r>
      <w:r w:rsidR="00B36DDA">
        <w:t xml:space="preserve"> and ongoing</w:t>
      </w:r>
      <w:r w:rsidR="00426F89">
        <w:t xml:space="preserve"> impact that </w:t>
      </w:r>
      <w:r w:rsidR="0041537E">
        <w:t>the violence and</w:t>
      </w:r>
      <w:r w:rsidR="00B930BF">
        <w:t xml:space="preserve"> inter-generational</w:t>
      </w:r>
      <w:r w:rsidR="0041537E">
        <w:t xml:space="preserve"> trauma of </w:t>
      </w:r>
      <w:r w:rsidR="00426F89">
        <w:t>colonisation has on the wellbeing</w:t>
      </w:r>
      <w:r w:rsidR="00186D57">
        <w:t xml:space="preserve"> and life trajectories</w:t>
      </w:r>
      <w:r w:rsidR="00426F89">
        <w:t xml:space="preserve"> of Aboriginal and Torres Strait Islander peoples</w:t>
      </w:r>
      <w:r w:rsidR="00B36DDA">
        <w:t xml:space="preserve"> and the fundamental changes</w:t>
      </w:r>
      <w:r w:rsidR="00186D57">
        <w:t xml:space="preserve"> consistent with the Declaration on the Rights of Indigenous Peoples </w:t>
      </w:r>
      <w:r w:rsidR="00A759E9">
        <w:t>required</w:t>
      </w:r>
      <w:r w:rsidR="00B36DDA">
        <w:t xml:space="preserve"> to address it.</w:t>
      </w:r>
      <w:r w:rsidR="00673571">
        <w:rPr>
          <w:rStyle w:val="FootnoteReference"/>
        </w:rPr>
        <w:footnoteReference w:id="31"/>
      </w:r>
      <w:r w:rsidR="00426F89">
        <w:t xml:space="preserve"> </w:t>
      </w:r>
    </w:p>
    <w:p w14:paraId="54AA7579" w14:textId="124CF5F1" w:rsidR="006741AD" w:rsidRDefault="006741AD" w:rsidP="008E6AFB">
      <w:pPr>
        <w:pStyle w:val="Numberedparagraph"/>
        <w:numPr>
          <w:ilvl w:val="1"/>
          <w:numId w:val="1"/>
        </w:numPr>
        <w:rPr>
          <w:lang w:val="en-US"/>
        </w:rPr>
      </w:pPr>
      <w:r>
        <w:rPr>
          <w:b/>
          <w:bCs/>
        </w:rPr>
        <w:t xml:space="preserve">All children and young people </w:t>
      </w:r>
      <w:r w:rsidR="00773463">
        <w:rPr>
          <w:b/>
          <w:bCs/>
        </w:rPr>
        <w:t>deserve to live a good life</w:t>
      </w:r>
      <w:r>
        <w:rPr>
          <w:b/>
          <w:bCs/>
        </w:rPr>
        <w:t>.</w:t>
      </w:r>
      <w:r w:rsidR="00773463" w:rsidRPr="003646F3">
        <w:rPr>
          <w:rStyle w:val="FootnoteReference"/>
        </w:rPr>
        <w:footnoteReference w:id="32"/>
      </w:r>
      <w:r w:rsidR="002B7583" w:rsidRPr="003646F3">
        <w:t xml:space="preserve"> </w:t>
      </w:r>
      <w:r w:rsidR="002B7583">
        <w:rPr>
          <w:lang w:val="en-US"/>
        </w:rPr>
        <w:t xml:space="preserve">The Commission strongly supports the principle that the Plan should promote </w:t>
      </w:r>
      <w:r w:rsidR="002B7583" w:rsidRPr="002F2621">
        <w:rPr>
          <w:b/>
          <w:bCs/>
          <w:lang w:val="en-US"/>
        </w:rPr>
        <w:t>cultural safety, equity, and inclusion</w:t>
      </w:r>
      <w:r w:rsidR="002B7583">
        <w:rPr>
          <w:lang w:val="en-US"/>
        </w:rPr>
        <w:t xml:space="preserve">. </w:t>
      </w:r>
      <w:r w:rsidR="00CD3C15">
        <w:rPr>
          <w:lang w:val="en-US"/>
        </w:rPr>
        <w:t xml:space="preserve">The </w:t>
      </w:r>
      <w:r w:rsidR="00FE2845">
        <w:rPr>
          <w:lang w:val="en-US"/>
        </w:rPr>
        <w:t>Plan recogni</w:t>
      </w:r>
      <w:r w:rsidR="0031247E">
        <w:rPr>
          <w:lang w:val="en-US"/>
        </w:rPr>
        <w:t>s</w:t>
      </w:r>
      <w:r w:rsidR="00FE2845">
        <w:rPr>
          <w:lang w:val="en-US"/>
        </w:rPr>
        <w:t>es that there should be a mix of</w:t>
      </w:r>
      <w:r w:rsidR="002F2621">
        <w:rPr>
          <w:lang w:val="en-US"/>
        </w:rPr>
        <w:t xml:space="preserve"> </w:t>
      </w:r>
      <w:r w:rsidR="00FA3079">
        <w:rPr>
          <w:lang w:val="en-US"/>
        </w:rPr>
        <w:t>universal, targeted and intensive supports</w:t>
      </w:r>
      <w:r w:rsidR="00053C8F">
        <w:rPr>
          <w:lang w:val="en-US"/>
        </w:rPr>
        <w:t xml:space="preserve"> </w:t>
      </w:r>
      <w:r w:rsidR="004318FE">
        <w:rPr>
          <w:lang w:val="en-US"/>
        </w:rPr>
        <w:t>because</w:t>
      </w:r>
      <w:r w:rsidR="00053C8F">
        <w:rPr>
          <w:lang w:val="en-US"/>
        </w:rPr>
        <w:t xml:space="preserve"> to achieve equity some children and young people may need more support than others</w:t>
      </w:r>
      <w:r w:rsidR="00FA3079">
        <w:rPr>
          <w:lang w:val="en-US"/>
        </w:rPr>
        <w:t>.</w:t>
      </w:r>
      <w:r w:rsidR="002B7583">
        <w:rPr>
          <w:lang w:val="en-US"/>
        </w:rPr>
        <w:t xml:space="preserve"> </w:t>
      </w:r>
      <w:r w:rsidR="002B7583" w:rsidRPr="006F524F">
        <w:rPr>
          <w:lang w:val="en-US"/>
        </w:rPr>
        <w:t>Under this principle it is</w:t>
      </w:r>
      <w:r w:rsidR="00FE2845">
        <w:rPr>
          <w:lang w:val="en-US"/>
        </w:rPr>
        <w:t xml:space="preserve"> also</w:t>
      </w:r>
      <w:r w:rsidR="002B7583" w:rsidRPr="006F524F">
        <w:rPr>
          <w:lang w:val="en-US"/>
        </w:rPr>
        <w:t xml:space="preserve"> important to recogni</w:t>
      </w:r>
      <w:r w:rsidR="0031247E">
        <w:rPr>
          <w:lang w:val="en-US"/>
        </w:rPr>
        <w:t>s</w:t>
      </w:r>
      <w:r w:rsidR="002B7583" w:rsidRPr="006F524F">
        <w:rPr>
          <w:lang w:val="en-US"/>
        </w:rPr>
        <w:t>e the need to identify and address structural discrimination in the way needs are identified, services are delivered, and other contact with public agencies is experienced.</w:t>
      </w:r>
    </w:p>
    <w:p w14:paraId="5F5DABC4" w14:textId="5F1C4D0A" w:rsidR="00F91FE6" w:rsidRDefault="00F91FE6" w:rsidP="008E6AFB">
      <w:pPr>
        <w:pStyle w:val="Numberedparagraph"/>
        <w:numPr>
          <w:ilvl w:val="1"/>
          <w:numId w:val="1"/>
        </w:numPr>
        <w:rPr>
          <w:lang w:val="en-US"/>
        </w:rPr>
      </w:pPr>
      <w:r w:rsidRPr="00073886">
        <w:rPr>
          <w:b/>
          <w:bCs/>
          <w:lang w:val="en-US"/>
        </w:rPr>
        <w:t>Service delivery must be proactive, accessible</w:t>
      </w:r>
      <w:r>
        <w:rPr>
          <w:b/>
          <w:bCs/>
          <w:lang w:val="en-US"/>
        </w:rPr>
        <w:t>,</w:t>
      </w:r>
      <w:r w:rsidRPr="00073886">
        <w:rPr>
          <w:b/>
          <w:bCs/>
          <w:lang w:val="en-US"/>
        </w:rPr>
        <w:t xml:space="preserve"> and integrated. </w:t>
      </w:r>
      <w:r w:rsidRPr="00073886">
        <w:rPr>
          <w:lang w:val="en-US"/>
        </w:rPr>
        <w:t xml:space="preserve">This means that systems are in place to recognise that a person is in need, </w:t>
      </w:r>
      <w:r w:rsidR="009142E9">
        <w:rPr>
          <w:lang w:val="en-US"/>
        </w:rPr>
        <w:t>and provide proactive</w:t>
      </w:r>
      <w:r w:rsidR="627CD6A6" w:rsidRPr="3594D1B6">
        <w:rPr>
          <w:lang w:val="en-US"/>
        </w:rPr>
        <w:t>, culturally safe</w:t>
      </w:r>
      <w:r w:rsidR="009142E9">
        <w:rPr>
          <w:lang w:val="en-US"/>
        </w:rPr>
        <w:t xml:space="preserve"> and coordinated services </w:t>
      </w:r>
      <w:r w:rsidR="140E0B29" w:rsidRPr="6439EC5A">
        <w:rPr>
          <w:lang w:val="en-US"/>
        </w:rPr>
        <w:t>to</w:t>
      </w:r>
      <w:r w:rsidR="009142E9">
        <w:rPr>
          <w:lang w:val="en-US"/>
        </w:rPr>
        <w:t xml:space="preserve"> address that need</w:t>
      </w:r>
      <w:r w:rsidRPr="00073886">
        <w:rPr>
          <w:lang w:val="en-US"/>
        </w:rPr>
        <w:t xml:space="preserve"> (related to the current draft principle</w:t>
      </w:r>
      <w:r w:rsidRPr="00073886">
        <w:rPr>
          <w:b/>
          <w:bCs/>
          <w:lang w:val="en-US"/>
        </w:rPr>
        <w:t xml:space="preserve"> Integrated ways of working to connect Queenslanders</w:t>
      </w:r>
      <w:r w:rsidRPr="00073886">
        <w:rPr>
          <w:lang w:val="en-US"/>
        </w:rPr>
        <w:t xml:space="preserve">). </w:t>
      </w:r>
      <w:r>
        <w:rPr>
          <w:lang w:val="en-US"/>
        </w:rPr>
        <w:t xml:space="preserve">The Commission strongly supports a principle that prioritises ease of access to services for children, young people, and families. </w:t>
      </w:r>
      <w:r w:rsidRPr="00073886">
        <w:rPr>
          <w:lang w:val="en-US"/>
        </w:rPr>
        <w:t xml:space="preserve">This </w:t>
      </w:r>
      <w:r>
        <w:rPr>
          <w:lang w:val="en-US"/>
        </w:rPr>
        <w:t>must include</w:t>
      </w:r>
      <w:r w:rsidRPr="00073886">
        <w:rPr>
          <w:lang w:val="en-US"/>
        </w:rPr>
        <w:t xml:space="preserve"> services</w:t>
      </w:r>
      <w:r>
        <w:rPr>
          <w:lang w:val="en-US"/>
        </w:rPr>
        <w:t xml:space="preserve"> or focus points </w:t>
      </w:r>
      <w:r w:rsidR="754C2544" w:rsidRPr="0E02FE9B">
        <w:rPr>
          <w:lang w:val="en-US"/>
        </w:rPr>
        <w:t>developing</w:t>
      </w:r>
      <w:r w:rsidRPr="00073886">
        <w:rPr>
          <w:lang w:val="en-US"/>
        </w:rPr>
        <w:t xml:space="preserve"> relationships </w:t>
      </w:r>
      <w:r>
        <w:rPr>
          <w:lang w:val="en-US"/>
        </w:rPr>
        <w:t>of</w:t>
      </w:r>
      <w:r w:rsidRPr="00073886">
        <w:rPr>
          <w:lang w:val="en-US"/>
        </w:rPr>
        <w:t xml:space="preserve"> trust with children and their</w:t>
      </w:r>
      <w:r>
        <w:rPr>
          <w:lang w:val="en-US"/>
        </w:rPr>
        <w:t xml:space="preserve"> families</w:t>
      </w:r>
      <w:r w:rsidRPr="00073886">
        <w:rPr>
          <w:lang w:val="en-US"/>
        </w:rPr>
        <w:t>, and measuring and dealing with racial and other forms of discrimination that are present within a</w:t>
      </w:r>
      <w:r w:rsidR="00862B19">
        <w:rPr>
          <w:lang w:val="en-US"/>
        </w:rPr>
        <w:t xml:space="preserve"> </w:t>
      </w:r>
      <w:r w:rsidRPr="00073886">
        <w:rPr>
          <w:lang w:val="en-US"/>
        </w:rPr>
        <w:t xml:space="preserve">system. </w:t>
      </w:r>
    </w:p>
    <w:p w14:paraId="029081D4" w14:textId="22A457F7" w:rsidR="005A2873" w:rsidRDefault="007D1FB7" w:rsidP="008E6AFB">
      <w:pPr>
        <w:pStyle w:val="Numberedparagraph"/>
        <w:numPr>
          <w:ilvl w:val="1"/>
          <w:numId w:val="1"/>
        </w:numPr>
        <w:rPr>
          <w:szCs w:val="22"/>
        </w:rPr>
      </w:pPr>
      <w:r w:rsidRPr="00D96A49">
        <w:rPr>
          <w:b/>
          <w:bCs/>
          <w:lang w:val="en-US"/>
        </w:rPr>
        <w:t>Achieving</w:t>
      </w:r>
      <w:r w:rsidRPr="00177414">
        <w:rPr>
          <w:b/>
          <w:bCs/>
        </w:rPr>
        <w:t xml:space="preserve"> the Plan’s vision needs</w:t>
      </w:r>
      <w:r>
        <w:rPr>
          <w:b/>
          <w:bCs/>
        </w:rPr>
        <w:t xml:space="preserve"> sustained,</w:t>
      </w:r>
      <w:r w:rsidRPr="00177414">
        <w:rPr>
          <w:b/>
          <w:bCs/>
        </w:rPr>
        <w:t xml:space="preserve"> holistic and comprehensive approaches.</w:t>
      </w:r>
      <w:r>
        <w:rPr>
          <w:b/>
          <w:bCs/>
        </w:rPr>
        <w:t xml:space="preserve"> </w:t>
      </w:r>
      <w:r w:rsidR="00AA5548">
        <w:t>Effective measures to improve the wellbeing o</w:t>
      </w:r>
      <w:r w:rsidR="00DA08FE">
        <w:t>f</w:t>
      </w:r>
      <w:r w:rsidR="00AA5548">
        <w:t xml:space="preserve"> children and young people require </w:t>
      </w:r>
      <w:r w:rsidR="00833A9B">
        <w:t xml:space="preserve">a long-term, </w:t>
      </w:r>
      <w:r w:rsidR="0006774D">
        <w:t xml:space="preserve">multi-agency </w:t>
      </w:r>
      <w:r w:rsidR="002379A5">
        <w:t xml:space="preserve">response to </w:t>
      </w:r>
      <w:r w:rsidR="002379A5" w:rsidRPr="00862B19">
        <w:rPr>
          <w:lang w:val="en-US"/>
        </w:rPr>
        <w:t>preventive</w:t>
      </w:r>
      <w:r w:rsidR="002379A5">
        <w:t xml:space="preserve"> measures, responses to individual risk factors, and broader structural factors including poverty</w:t>
      </w:r>
      <w:r w:rsidR="00862B19">
        <w:t xml:space="preserve"> and discrimination</w:t>
      </w:r>
      <w:r w:rsidR="002379A5">
        <w:t>.</w:t>
      </w:r>
    </w:p>
    <w:p w14:paraId="3ACDFC6B" w14:textId="42D79549" w:rsidR="00507D8E" w:rsidRPr="00441027" w:rsidRDefault="00710AC0" w:rsidP="008E6AFB">
      <w:pPr>
        <w:pStyle w:val="Numberedparagraph"/>
        <w:numPr>
          <w:ilvl w:val="1"/>
          <w:numId w:val="1"/>
        </w:numPr>
        <w:rPr>
          <w:lang w:val="en-US"/>
        </w:rPr>
      </w:pPr>
      <w:r>
        <w:rPr>
          <w:b/>
          <w:bCs/>
        </w:rPr>
        <w:t xml:space="preserve">Actions must </w:t>
      </w:r>
      <w:r w:rsidR="000E1FAD">
        <w:rPr>
          <w:b/>
          <w:bCs/>
        </w:rPr>
        <w:t>be evidence-informed</w:t>
      </w:r>
      <w:r w:rsidR="00537775">
        <w:rPr>
          <w:b/>
          <w:bCs/>
        </w:rPr>
        <w:t>, transparent,</w:t>
      </w:r>
      <w:r w:rsidR="000E1FAD">
        <w:rPr>
          <w:b/>
          <w:bCs/>
        </w:rPr>
        <w:t xml:space="preserve"> and agencies accountable</w:t>
      </w:r>
      <w:r w:rsidR="00845C7E">
        <w:rPr>
          <w:b/>
          <w:bCs/>
        </w:rPr>
        <w:t>.</w:t>
      </w:r>
      <w:r w:rsidR="00773463" w:rsidRPr="00597815">
        <w:rPr>
          <w:rStyle w:val="FootnoteReference"/>
        </w:rPr>
        <w:footnoteReference w:id="33"/>
      </w:r>
      <w:r w:rsidR="00C63ACE" w:rsidRPr="00597815">
        <w:t xml:space="preserve"> </w:t>
      </w:r>
      <w:r w:rsidR="00C63ACE">
        <w:rPr>
          <w:lang w:val="en-US"/>
        </w:rPr>
        <w:t xml:space="preserve">The Commission agrees that an </w:t>
      </w:r>
      <w:r w:rsidR="00C63ACE" w:rsidRPr="00C63ACE">
        <w:rPr>
          <w:b/>
          <w:bCs/>
          <w:lang w:val="en-US"/>
        </w:rPr>
        <w:t>evidence-informed</w:t>
      </w:r>
      <w:r w:rsidR="00C63ACE">
        <w:rPr>
          <w:lang w:val="en-US"/>
        </w:rPr>
        <w:t xml:space="preserve"> approach is crucial if the Plan is to succeed in achieving its objectives. </w:t>
      </w:r>
      <w:r w:rsidR="00C63ACE" w:rsidRPr="00EF557C">
        <w:rPr>
          <w:lang w:val="en-US"/>
        </w:rPr>
        <w:t xml:space="preserve">Tied to comments below about implementation (see </w:t>
      </w:r>
      <w:r w:rsidR="00C63ACE" w:rsidRPr="00EF557C">
        <w:rPr>
          <w:b/>
          <w:bCs/>
          <w:lang w:val="en-US"/>
        </w:rPr>
        <w:t xml:space="preserve">Consultation Question </w:t>
      </w:r>
      <w:r w:rsidR="002920F6">
        <w:rPr>
          <w:b/>
          <w:bCs/>
          <w:lang w:val="en-US"/>
        </w:rPr>
        <w:t>5</w:t>
      </w:r>
      <w:r w:rsidR="00C63ACE" w:rsidRPr="00EF557C">
        <w:rPr>
          <w:lang w:val="en-US"/>
        </w:rPr>
        <w:t xml:space="preserve">), the Commission also considers that </w:t>
      </w:r>
      <w:r w:rsidR="00537775">
        <w:rPr>
          <w:lang w:val="en-US"/>
        </w:rPr>
        <w:t xml:space="preserve">transparency and </w:t>
      </w:r>
      <w:r w:rsidR="00EF557C">
        <w:rPr>
          <w:lang w:val="en-US"/>
        </w:rPr>
        <w:t>a</w:t>
      </w:r>
      <w:r w:rsidR="00C63ACE" w:rsidRPr="00EF557C">
        <w:rPr>
          <w:lang w:val="en-US"/>
        </w:rPr>
        <w:t xml:space="preserve">ccountability should be included in this principle, or expressed as </w:t>
      </w:r>
      <w:r w:rsidR="00537775">
        <w:rPr>
          <w:lang w:val="en-US"/>
        </w:rPr>
        <w:t>standalone</w:t>
      </w:r>
      <w:r w:rsidR="00C63ACE" w:rsidRPr="00EF557C">
        <w:rPr>
          <w:lang w:val="en-US"/>
        </w:rPr>
        <w:t xml:space="preserve"> principle</w:t>
      </w:r>
      <w:r w:rsidR="00537775">
        <w:rPr>
          <w:lang w:val="en-US"/>
        </w:rPr>
        <w:t>s</w:t>
      </w:r>
      <w:r w:rsidR="00C63ACE" w:rsidRPr="00EF557C">
        <w:rPr>
          <w:lang w:val="en-US"/>
        </w:rPr>
        <w:t xml:space="preserve">. </w:t>
      </w:r>
      <w:r w:rsidR="00EF557C">
        <w:rPr>
          <w:lang w:val="en-US"/>
        </w:rPr>
        <w:t xml:space="preserve">At a minimum relevant </w:t>
      </w:r>
      <w:r w:rsidR="004A6006">
        <w:rPr>
          <w:lang w:val="en-US"/>
        </w:rPr>
        <w:t xml:space="preserve">agencies should be accountable for </w:t>
      </w:r>
      <w:r w:rsidR="00C63ACE" w:rsidRPr="00EF557C">
        <w:rPr>
          <w:lang w:val="en-US"/>
        </w:rPr>
        <w:t xml:space="preserve">achieving established objectives in set timeframes, adhering to agreed monitoring and evaluation, reporting </w:t>
      </w:r>
      <w:r w:rsidR="00190E4D">
        <w:rPr>
          <w:lang w:val="en-US"/>
        </w:rPr>
        <w:t>against defined indicators</w:t>
      </w:r>
      <w:r w:rsidR="00C63ACE" w:rsidRPr="00EF557C">
        <w:rPr>
          <w:lang w:val="en-US"/>
        </w:rPr>
        <w:t>, and ensuring that activities are informed by evidence as it evolves.</w:t>
      </w:r>
      <w:r w:rsidR="007A7C9D">
        <w:rPr>
          <w:lang w:val="en-US"/>
        </w:rPr>
        <w:t xml:space="preserve"> </w:t>
      </w:r>
      <w:r w:rsidR="00C63ACE" w:rsidRPr="007A7C9D">
        <w:rPr>
          <w:lang w:val="en-US"/>
        </w:rPr>
        <w:t xml:space="preserve">Creation of a single, </w:t>
      </w:r>
      <w:r w:rsidR="00190E4D">
        <w:rPr>
          <w:lang w:val="en-US"/>
        </w:rPr>
        <w:t>publicly</w:t>
      </w:r>
      <w:r w:rsidR="00C63ACE" w:rsidRPr="007A7C9D">
        <w:rPr>
          <w:lang w:val="en-US"/>
        </w:rPr>
        <w:t xml:space="preserve"> accessible website collating evidence, research and evaluation, accountability metrics relating to implementation of the Plan, and its impacts would assist in coordination, transparency and public scrutiny, and be consistent with the proactive disclosure approach required by the </w:t>
      </w:r>
      <w:r w:rsidR="00C63ACE" w:rsidRPr="007A7C9D">
        <w:rPr>
          <w:i/>
          <w:iCs/>
          <w:lang w:val="en-US"/>
        </w:rPr>
        <w:t>Right to Information Act 2009</w:t>
      </w:r>
      <w:r w:rsidR="00C63ACE" w:rsidRPr="007A7C9D">
        <w:rPr>
          <w:lang w:val="en-US"/>
        </w:rPr>
        <w:t xml:space="preserve"> (Qld).</w:t>
      </w:r>
    </w:p>
    <w:p w14:paraId="724FD0B8" w14:textId="763F5CC7" w:rsidR="0013109B" w:rsidRDefault="00EE1A9B" w:rsidP="00EE1A9B">
      <w:pPr>
        <w:pBdr>
          <w:top w:val="single" w:sz="4" w:space="1" w:color="auto"/>
          <w:left w:val="single" w:sz="4" w:space="4" w:color="auto"/>
          <w:bottom w:val="single" w:sz="4" w:space="1" w:color="auto"/>
          <w:right w:val="single" w:sz="4" w:space="4" w:color="auto"/>
        </w:pBdr>
        <w:spacing w:after="200"/>
        <w:rPr>
          <w:rFonts w:cs="Arial"/>
        </w:rPr>
      </w:pPr>
      <w:r w:rsidRPr="000D7406">
        <w:rPr>
          <w:rFonts w:cs="Arial"/>
          <w:b/>
          <w:bCs/>
        </w:rPr>
        <w:t>Recommendation:</w:t>
      </w:r>
      <w:r w:rsidRPr="00585CB7">
        <w:rPr>
          <w:rFonts w:cs="Arial"/>
          <w:b/>
          <w:bCs/>
        </w:rPr>
        <w:t xml:space="preserve"> </w:t>
      </w:r>
      <w:r>
        <w:rPr>
          <w:rFonts w:cs="Arial"/>
        </w:rPr>
        <w:t xml:space="preserve">The Plan should </w:t>
      </w:r>
    </w:p>
    <w:p w14:paraId="24909F45" w14:textId="0279579B" w:rsidR="00EE1A9B" w:rsidRPr="0013109B" w:rsidRDefault="00EE1A9B" w:rsidP="008E6AFB">
      <w:pPr>
        <w:pStyle w:val="ListParagraph"/>
        <w:numPr>
          <w:ilvl w:val="0"/>
          <w:numId w:val="7"/>
        </w:numPr>
        <w:pBdr>
          <w:top w:val="single" w:sz="4" w:space="1" w:color="auto"/>
          <w:left w:val="single" w:sz="4" w:space="4" w:color="auto"/>
          <w:bottom w:val="single" w:sz="4" w:space="1" w:color="auto"/>
          <w:right w:val="single" w:sz="4" w:space="4" w:color="auto"/>
        </w:pBdr>
        <w:spacing w:after="200"/>
        <w:rPr>
          <w:rFonts w:cs="Arial"/>
          <w:b/>
          <w:bCs/>
        </w:rPr>
      </w:pPr>
      <w:r w:rsidRPr="0013109B">
        <w:rPr>
          <w:rFonts w:cs="Arial"/>
        </w:rPr>
        <w:t xml:space="preserve">recognise as an overarching core principle that children, young people, and families have human rights that the government is required to </w:t>
      </w:r>
      <w:r w:rsidR="00514114" w:rsidRPr="0013109B">
        <w:rPr>
          <w:rFonts w:cs="Arial"/>
        </w:rPr>
        <w:t>respect, protect,</w:t>
      </w:r>
      <w:r w:rsidRPr="0013109B">
        <w:rPr>
          <w:rFonts w:cs="Arial"/>
        </w:rPr>
        <w:t xml:space="preserve"> and fulfil</w:t>
      </w:r>
    </w:p>
    <w:p w14:paraId="03000F85" w14:textId="0C85C707" w:rsidR="006B117D" w:rsidRPr="006B117D" w:rsidRDefault="0013109B" w:rsidP="006B117D">
      <w:pPr>
        <w:pStyle w:val="ListParagraph"/>
        <w:numPr>
          <w:ilvl w:val="0"/>
          <w:numId w:val="7"/>
        </w:numPr>
        <w:pBdr>
          <w:top w:val="single" w:sz="4" w:space="1" w:color="auto"/>
          <w:left w:val="single" w:sz="4" w:space="4" w:color="auto"/>
          <w:bottom w:val="single" w:sz="4" w:space="1" w:color="auto"/>
          <w:right w:val="single" w:sz="4" w:space="4" w:color="auto"/>
        </w:pBdr>
        <w:spacing w:after="200"/>
        <w:rPr>
          <w:rFonts w:cs="Arial"/>
          <w:b/>
          <w:bCs/>
        </w:rPr>
      </w:pPr>
      <w:r>
        <w:rPr>
          <w:rFonts w:cs="Arial"/>
        </w:rPr>
        <w:t xml:space="preserve">consider </w:t>
      </w:r>
      <w:r w:rsidR="007D1FB7">
        <w:rPr>
          <w:rFonts w:cs="Arial"/>
        </w:rPr>
        <w:t>rewording</w:t>
      </w:r>
      <w:r w:rsidR="002A3D32">
        <w:rPr>
          <w:rFonts w:cs="Arial"/>
        </w:rPr>
        <w:t xml:space="preserve"> and enlarging</w:t>
      </w:r>
      <w:r w:rsidR="007D1FB7">
        <w:rPr>
          <w:rFonts w:cs="Arial"/>
        </w:rPr>
        <w:t xml:space="preserve"> </w:t>
      </w:r>
      <w:r w:rsidR="00383021">
        <w:rPr>
          <w:rFonts w:cs="Arial"/>
        </w:rPr>
        <w:t>other</w:t>
      </w:r>
      <w:r w:rsidR="007D1FB7">
        <w:rPr>
          <w:rFonts w:cs="Arial"/>
        </w:rPr>
        <w:t xml:space="preserve"> principles to </w:t>
      </w:r>
      <w:r w:rsidR="006F524F">
        <w:rPr>
          <w:rFonts w:cs="Arial"/>
        </w:rPr>
        <w:t>reflect the issues identified above.</w:t>
      </w:r>
    </w:p>
    <w:p w14:paraId="2499C1B2" w14:textId="77777777" w:rsidR="006B117D" w:rsidRDefault="006B117D" w:rsidP="006B117D">
      <w:pPr>
        <w:rPr>
          <w:lang w:val="en-US"/>
        </w:rPr>
      </w:pPr>
      <w:bookmarkStart w:id="16" w:name="_Toc158902689"/>
    </w:p>
    <w:p w14:paraId="33932D57" w14:textId="6674A98F" w:rsidR="009056F4" w:rsidRPr="00881C23" w:rsidRDefault="009056F4" w:rsidP="009056F4">
      <w:pPr>
        <w:pStyle w:val="Heading1"/>
        <w:rPr>
          <w:lang w:val="en-US"/>
        </w:rPr>
      </w:pPr>
      <w:bookmarkStart w:id="17" w:name="_Toc159426529"/>
      <w:r>
        <w:rPr>
          <w:lang w:val="en-US"/>
        </w:rPr>
        <w:t>Consultation Question 2:  Key p</w:t>
      </w:r>
      <w:r w:rsidRPr="00881C23">
        <w:rPr>
          <w:lang w:val="en-US"/>
        </w:rPr>
        <w:t>rotective factors</w:t>
      </w:r>
      <w:bookmarkEnd w:id="16"/>
      <w:bookmarkEnd w:id="17"/>
      <w:r w:rsidRPr="00881C23">
        <w:rPr>
          <w:lang w:val="en-US"/>
        </w:rPr>
        <w:t xml:space="preserve"> </w:t>
      </w:r>
    </w:p>
    <w:p w14:paraId="303F333B" w14:textId="77777777" w:rsidR="009056F4" w:rsidRPr="00881C23" w:rsidRDefault="009056F4" w:rsidP="009056F4">
      <w:pPr>
        <w:pStyle w:val="Default"/>
        <w:rPr>
          <w:rFonts w:ascii="Arial" w:hAnsi="Arial" w:cs="Arial"/>
          <w:i/>
          <w:iCs/>
          <w:sz w:val="22"/>
          <w:szCs w:val="22"/>
        </w:rPr>
      </w:pPr>
      <w:r w:rsidRPr="00881C23">
        <w:rPr>
          <w:rFonts w:ascii="Arial" w:hAnsi="Arial" w:cs="Arial"/>
          <w:i/>
          <w:iCs/>
          <w:sz w:val="22"/>
          <w:szCs w:val="22"/>
        </w:rPr>
        <w:t xml:space="preserve">What are the key protective factors in keeping children and young people on positive trajectories, and how can we further boost these? </w:t>
      </w:r>
    </w:p>
    <w:p w14:paraId="039D22FF" w14:textId="77777777" w:rsidR="009056F4" w:rsidRDefault="009056F4" w:rsidP="009056F4">
      <w:pPr>
        <w:pStyle w:val="Default"/>
        <w:rPr>
          <w:rFonts w:ascii="Arial" w:hAnsi="Arial" w:cs="Arial"/>
          <w:sz w:val="22"/>
          <w:szCs w:val="22"/>
        </w:rPr>
      </w:pPr>
    </w:p>
    <w:p w14:paraId="3E544BD5" w14:textId="77777777" w:rsidR="009056F4" w:rsidRDefault="009056F4" w:rsidP="009056F4">
      <w:pPr>
        <w:pStyle w:val="Numberedparagraph"/>
      </w:pPr>
      <w:r>
        <w:t xml:space="preserve">The consultation draft plan provides a non-exhaustive list of risk factors and protective factors organised by child developmental stage, drawn from reports that consider risk factors and contact with the criminal justice system, intervention points for child and youth wellbeing, and the wellbeing outcomes framework for Aboriginal children and Torres Strait Islander children in Queensland. </w:t>
      </w:r>
    </w:p>
    <w:p w14:paraId="35011902" w14:textId="57F83C6C" w:rsidR="00F90E05" w:rsidRPr="00F90E05" w:rsidRDefault="005136A1">
      <w:pPr>
        <w:pStyle w:val="Numberedparagraph"/>
        <w:rPr>
          <w:szCs w:val="22"/>
        </w:rPr>
      </w:pPr>
      <w:r>
        <w:t xml:space="preserve">The </w:t>
      </w:r>
      <w:r w:rsidR="00231E88" w:rsidRPr="70956758">
        <w:rPr>
          <w:b/>
        </w:rPr>
        <w:t xml:space="preserve">general </w:t>
      </w:r>
      <w:r w:rsidR="00F87A2C" w:rsidRPr="70956758">
        <w:rPr>
          <w:b/>
        </w:rPr>
        <w:t xml:space="preserve">and universal </w:t>
      </w:r>
      <w:r w:rsidRPr="70956758">
        <w:rPr>
          <w:b/>
        </w:rPr>
        <w:t>protective factors identified at pages 12 to 13 of the Plan</w:t>
      </w:r>
      <w:r w:rsidR="003264A7" w:rsidRPr="70956758">
        <w:rPr>
          <w:b/>
        </w:rPr>
        <w:t xml:space="preserve"> </w:t>
      </w:r>
      <w:r w:rsidR="004260C9" w:rsidRPr="70956758">
        <w:rPr>
          <w:b/>
        </w:rPr>
        <w:t xml:space="preserve">are </w:t>
      </w:r>
      <w:r w:rsidR="00547988" w:rsidRPr="70956758">
        <w:rPr>
          <w:b/>
        </w:rPr>
        <w:t xml:space="preserve">sound and </w:t>
      </w:r>
      <w:r w:rsidR="00342267" w:rsidRPr="70956758">
        <w:rPr>
          <w:b/>
        </w:rPr>
        <w:t>backed by evidence</w:t>
      </w:r>
      <w:r w:rsidR="00342267">
        <w:t xml:space="preserve">. </w:t>
      </w:r>
      <w:r w:rsidR="009056F4">
        <w:t>While some of the factors will be specific depending on the child’s stage of development, the Commission notes that</w:t>
      </w:r>
      <w:r w:rsidR="00EC14D7">
        <w:t xml:space="preserve"> despite the graphical representation,</w:t>
      </w:r>
      <w:r w:rsidR="009056F4">
        <w:t xml:space="preserve"> </w:t>
      </w:r>
      <w:r w:rsidR="009056F4" w:rsidRPr="006C738D">
        <w:rPr>
          <w:b/>
          <w:bCs/>
        </w:rPr>
        <w:t>many will extend beyond particular developmental stages, such as access to quality education, and universal health and social care</w:t>
      </w:r>
      <w:r w:rsidR="009056F4">
        <w:t xml:space="preserve">. </w:t>
      </w:r>
      <w:r w:rsidR="007B35B9">
        <w:t xml:space="preserve"> </w:t>
      </w:r>
      <w:r w:rsidR="008929C5">
        <w:t xml:space="preserve">The Commission strongly supports action to enhance </w:t>
      </w:r>
      <w:r w:rsidR="00A2640D">
        <w:t xml:space="preserve">all of </w:t>
      </w:r>
      <w:r w:rsidR="008929C5">
        <w:t>these protective factors.</w:t>
      </w:r>
    </w:p>
    <w:p w14:paraId="5CF01EFE" w14:textId="1DA3D5F3" w:rsidR="006021E3" w:rsidRPr="006021E3" w:rsidRDefault="006021E3" w:rsidP="006021E3">
      <w:pPr>
        <w:pStyle w:val="Heading3"/>
      </w:pPr>
      <w:bookmarkStart w:id="18" w:name="_Toc159426530"/>
      <w:r>
        <w:t>High quality and culturally safe early childhood education</w:t>
      </w:r>
      <w:bookmarkEnd w:id="18"/>
    </w:p>
    <w:p w14:paraId="10C5C189" w14:textId="5D57E44B" w:rsidR="009A3F93" w:rsidRPr="00423BC6" w:rsidRDefault="006021E3">
      <w:pPr>
        <w:pStyle w:val="Numberedparagraph"/>
        <w:rPr>
          <w:szCs w:val="22"/>
        </w:rPr>
      </w:pPr>
      <w:r>
        <w:t>T</w:t>
      </w:r>
      <w:r w:rsidR="006C738D" w:rsidRPr="00DC09A1">
        <w:t xml:space="preserve">he Commission </w:t>
      </w:r>
      <w:r w:rsidR="002A2A6A">
        <w:t>recommends</w:t>
      </w:r>
      <w:r w:rsidR="006C738D" w:rsidRPr="00DC09A1">
        <w:t xml:space="preserve"> that</w:t>
      </w:r>
      <w:r w:rsidR="00DC09A1" w:rsidRPr="00DC09A1">
        <w:t xml:space="preserve"> </w:t>
      </w:r>
      <w:r w:rsidR="004B4103" w:rsidRPr="00EC14D7">
        <w:rPr>
          <w:b/>
          <w:bCs/>
        </w:rPr>
        <w:t>high quality</w:t>
      </w:r>
      <w:r w:rsidR="002C0719">
        <w:rPr>
          <w:b/>
          <w:bCs/>
        </w:rPr>
        <w:t xml:space="preserve"> and culturally safe</w:t>
      </w:r>
      <w:r w:rsidR="006C738D" w:rsidRPr="00EC14D7">
        <w:rPr>
          <w:b/>
          <w:bCs/>
        </w:rPr>
        <w:t xml:space="preserve"> early childhood education</w:t>
      </w:r>
      <w:r w:rsidR="006C738D" w:rsidRPr="00DC09A1">
        <w:t xml:space="preserve"> (as opposed to early primary education) </w:t>
      </w:r>
      <w:r w:rsidR="004B4103">
        <w:t>sh</w:t>
      </w:r>
      <w:r w:rsidR="006C738D" w:rsidRPr="00DC09A1">
        <w:t xml:space="preserve">ould be given </w:t>
      </w:r>
      <w:r w:rsidR="00835D7E">
        <w:t>explicit</w:t>
      </w:r>
      <w:r w:rsidR="006C738D" w:rsidRPr="00DC09A1">
        <w:t xml:space="preserve"> emphasis in the </w:t>
      </w:r>
      <w:r w:rsidR="00DC09A1" w:rsidRPr="00DC09A1">
        <w:t>protective factors</w:t>
      </w:r>
      <w:r w:rsidR="00FF6D34">
        <w:t xml:space="preserve"> – both because</w:t>
      </w:r>
      <w:r w:rsidR="00624C0D">
        <w:t xml:space="preserve"> it is established as a significant protective factor </w:t>
      </w:r>
      <w:r w:rsidR="00747828">
        <w:t xml:space="preserve">in relation to later </w:t>
      </w:r>
      <w:r w:rsidR="00EC3729">
        <w:t xml:space="preserve">poor life outcomes </w:t>
      </w:r>
      <w:r w:rsidR="009435B0">
        <w:t>including</w:t>
      </w:r>
      <w:r w:rsidR="00EC3729">
        <w:t xml:space="preserve"> involvement with the criminal justice system</w:t>
      </w:r>
      <w:r w:rsidR="00747828">
        <w:t>,</w:t>
      </w:r>
      <w:r w:rsidR="00DD5211">
        <w:rPr>
          <w:rStyle w:val="FootnoteReference"/>
        </w:rPr>
        <w:footnoteReference w:id="34"/>
      </w:r>
      <w:r w:rsidR="00747828">
        <w:t xml:space="preserve"> and</w:t>
      </w:r>
      <w:r w:rsidR="00B8193C">
        <w:t xml:space="preserve"> (relatedly)</w:t>
      </w:r>
      <w:r w:rsidR="00747828">
        <w:t xml:space="preserve"> because it provides an early opportunity for identifying </w:t>
      </w:r>
      <w:r w:rsidR="00B23ABE">
        <w:t xml:space="preserve">children </w:t>
      </w:r>
      <w:r w:rsidR="00747828">
        <w:t>who would benefit from more intensive, targeted suppor</w:t>
      </w:r>
      <w:r w:rsidR="00B5417A">
        <w:t>t</w:t>
      </w:r>
      <w:r w:rsidR="00B23ABE">
        <w:t xml:space="preserve"> and</w:t>
      </w:r>
      <w:r w:rsidR="00E76714">
        <w:t xml:space="preserve"> for</w:t>
      </w:r>
      <w:r w:rsidR="00B23ABE">
        <w:t xml:space="preserve"> delivering that support</w:t>
      </w:r>
      <w:r w:rsidR="00A0417F">
        <w:t xml:space="preserve"> to children and families</w:t>
      </w:r>
      <w:r w:rsidR="00E76714">
        <w:t xml:space="preserve"> at an early stage</w:t>
      </w:r>
      <w:r w:rsidR="00B5417A">
        <w:t>.</w:t>
      </w:r>
      <w:r w:rsidR="008302F4">
        <w:rPr>
          <w:rStyle w:val="FootnoteReference"/>
        </w:rPr>
        <w:footnoteReference w:id="35"/>
      </w:r>
      <w:r w:rsidR="00B6245D">
        <w:t xml:space="preserve"> </w:t>
      </w:r>
    </w:p>
    <w:p w14:paraId="548CC33E" w14:textId="0C1B0B2A" w:rsidR="006021E3" w:rsidRPr="006021E3" w:rsidRDefault="006021E3" w:rsidP="00AA5270">
      <w:pPr>
        <w:pStyle w:val="Heading3"/>
      </w:pPr>
      <w:bookmarkStart w:id="19" w:name="_Toc159426531"/>
      <w:r>
        <w:t>Access to and staying in education or training</w:t>
      </w:r>
      <w:bookmarkEnd w:id="19"/>
    </w:p>
    <w:p w14:paraId="53A7206D" w14:textId="0FDE0C5B" w:rsidR="00DD75B4" w:rsidRPr="00AF1FF7" w:rsidRDefault="00DD75B4" w:rsidP="00DD75B4">
      <w:pPr>
        <w:pStyle w:val="Numberedparagraph"/>
      </w:pPr>
      <w:r>
        <w:t xml:space="preserve">In </w:t>
      </w:r>
      <w:r w:rsidR="008658DB">
        <w:t xml:space="preserve">addition, </w:t>
      </w:r>
      <w:r w:rsidR="00AB28A8">
        <w:t>the</w:t>
      </w:r>
      <w:r w:rsidR="007E5BF9">
        <w:t xml:space="preserve"> 2018 Atkins</w:t>
      </w:r>
      <w:r w:rsidR="00DA017E">
        <w:t>on</w:t>
      </w:r>
      <w:r w:rsidR="007E5BF9">
        <w:t xml:space="preserve"> Report identified</w:t>
      </w:r>
      <w:r w:rsidR="00AB28A8">
        <w:t xml:space="preserve"> </w:t>
      </w:r>
      <w:r w:rsidRPr="00AF1FF7">
        <w:rPr>
          <w:b/>
          <w:bCs/>
        </w:rPr>
        <w:t xml:space="preserve">access to and staying in </w:t>
      </w:r>
      <w:r>
        <w:rPr>
          <w:b/>
          <w:bCs/>
        </w:rPr>
        <w:t>education</w:t>
      </w:r>
      <w:r w:rsidR="004E795B">
        <w:t xml:space="preserve"> </w:t>
      </w:r>
      <w:r w:rsidR="004E795B" w:rsidRPr="004E795B">
        <w:rPr>
          <w:b/>
          <w:bCs/>
        </w:rPr>
        <w:t xml:space="preserve">or training </w:t>
      </w:r>
      <w:r w:rsidR="004E795B">
        <w:t>more broadly as a crucial protective factor</w:t>
      </w:r>
      <w:r w:rsidR="007E5BF9">
        <w:t xml:space="preserve"> from engagement with the Youth Justice system</w:t>
      </w:r>
      <w:r>
        <w:t>.</w:t>
      </w:r>
      <w:r w:rsidR="00A05D36">
        <w:rPr>
          <w:rStyle w:val="FootnoteReference"/>
        </w:rPr>
        <w:footnoteReference w:id="36"/>
      </w:r>
      <w:r>
        <w:t xml:space="preserve"> </w:t>
      </w:r>
      <w:r w:rsidR="00A05D36">
        <w:t>This is</w:t>
      </w:r>
      <w:r w:rsidR="002C0719">
        <w:t xml:space="preserve"> already recognised in the Plan, </w:t>
      </w:r>
      <w:r w:rsidR="00781C32">
        <w:t>and is</w:t>
      </w:r>
      <w:r w:rsidR="00A05D36">
        <w:t xml:space="preserve"> discussed further below under </w:t>
      </w:r>
      <w:r w:rsidR="00A05D36" w:rsidRPr="008A5ED7">
        <w:rPr>
          <w:b/>
        </w:rPr>
        <w:t xml:space="preserve">Consultation </w:t>
      </w:r>
      <w:r w:rsidR="00A05D36" w:rsidRPr="00196667">
        <w:rPr>
          <w:b/>
          <w:bCs/>
        </w:rPr>
        <w:t>Question 3: Other priorities</w:t>
      </w:r>
      <w:r w:rsidR="00A05D36">
        <w:t>.</w:t>
      </w:r>
    </w:p>
    <w:p w14:paraId="6F09F362" w14:textId="203AC21B" w:rsidR="006021E3" w:rsidRPr="006021E3" w:rsidRDefault="006021E3" w:rsidP="00AA5270">
      <w:pPr>
        <w:pStyle w:val="Heading3"/>
      </w:pPr>
      <w:bookmarkStart w:id="20" w:name="_Toc159426532"/>
      <w:r>
        <w:t>Strong cultural practices and a positive sense of cultural identity</w:t>
      </w:r>
      <w:bookmarkEnd w:id="20"/>
    </w:p>
    <w:p w14:paraId="014BFD82" w14:textId="0487F68B" w:rsidR="00B21237" w:rsidRDefault="004B5E2B">
      <w:pPr>
        <w:pStyle w:val="Numberedparagraph"/>
        <w:rPr>
          <w:szCs w:val="22"/>
        </w:rPr>
      </w:pPr>
      <w:r>
        <w:t xml:space="preserve">The Commission </w:t>
      </w:r>
      <w:r w:rsidR="00B21237">
        <w:t xml:space="preserve">strongly supports the reference to </w:t>
      </w:r>
      <w:r w:rsidR="00B21237" w:rsidRPr="70956758">
        <w:rPr>
          <w:b/>
        </w:rPr>
        <w:t>cultural connection</w:t>
      </w:r>
      <w:r w:rsidR="00B21237">
        <w:t xml:space="preserve"> as a key protective factor</w:t>
      </w:r>
      <w:r w:rsidR="00BD2C98">
        <w:t xml:space="preserve"> across a child </w:t>
      </w:r>
      <w:r w:rsidR="00D10268">
        <w:t>and young person’s life</w:t>
      </w:r>
      <w:r w:rsidR="00B21237">
        <w:t xml:space="preserve">, and </w:t>
      </w:r>
      <w:r w:rsidR="00536446">
        <w:t xml:space="preserve">this reinforces the need to ensure that any intervention </w:t>
      </w:r>
      <w:r w:rsidR="00A61AAF">
        <w:t xml:space="preserve">under the Plan </w:t>
      </w:r>
      <w:r w:rsidR="00031A46">
        <w:t>prioritises</w:t>
      </w:r>
      <w:r w:rsidR="00A61AAF">
        <w:t xml:space="preserve"> supporting children and young people within their family and community (see above suggested principle).</w:t>
      </w:r>
      <w:r w:rsidR="00031A46">
        <w:t xml:space="preserve"> </w:t>
      </w:r>
      <w:r w:rsidR="004044E4">
        <w:t>As part of this,</w:t>
      </w:r>
      <w:r w:rsidR="005B5812">
        <w:t xml:space="preserve"> </w:t>
      </w:r>
      <w:r w:rsidR="005C7F57">
        <w:rPr>
          <w:b/>
          <w:bCs/>
        </w:rPr>
        <w:t>strong</w:t>
      </w:r>
      <w:r w:rsidR="002B04E8">
        <w:rPr>
          <w:b/>
          <w:bCs/>
        </w:rPr>
        <w:t xml:space="preserve"> cultural practices </w:t>
      </w:r>
      <w:r w:rsidR="00132B6B" w:rsidRPr="00132B6B">
        <w:t>(such as</w:t>
      </w:r>
      <w:r w:rsidR="00132B6B">
        <w:t xml:space="preserve"> ‘</w:t>
      </w:r>
      <w:r w:rsidR="007E0544">
        <w:t>extended family, access to traditional land, revitalisation of traditional languages, learning dance and story</w:t>
      </w:r>
      <w:r w:rsidR="00FD1E03">
        <w:t>, and understanding traditional roles and practices’)</w:t>
      </w:r>
      <w:r w:rsidR="00132B6B">
        <w:rPr>
          <w:b/>
          <w:bCs/>
        </w:rPr>
        <w:t xml:space="preserve"> </w:t>
      </w:r>
      <w:r w:rsidR="002B04E8" w:rsidRPr="00E17E1A">
        <w:t>and</w:t>
      </w:r>
      <w:r w:rsidR="002B04E8">
        <w:rPr>
          <w:b/>
          <w:bCs/>
        </w:rPr>
        <w:t xml:space="preserve"> </w:t>
      </w:r>
      <w:r w:rsidR="00E614D1">
        <w:rPr>
          <w:b/>
          <w:bCs/>
        </w:rPr>
        <w:t>a positive sense of cultural identity</w:t>
      </w:r>
      <w:r w:rsidR="00BB0518">
        <w:t xml:space="preserve"> are </w:t>
      </w:r>
      <w:r w:rsidR="0002193F">
        <w:t>important protective factors for children and young people</w:t>
      </w:r>
      <w:r w:rsidR="000C3EA3">
        <w:t>.</w:t>
      </w:r>
      <w:r w:rsidR="007D0136">
        <w:rPr>
          <w:rStyle w:val="FootnoteReference"/>
        </w:rPr>
        <w:footnoteReference w:id="37"/>
      </w:r>
      <w:r w:rsidR="007D0136">
        <w:t xml:space="preserve"> </w:t>
      </w:r>
      <w:r w:rsidR="000C3EA3">
        <w:t xml:space="preserve"> Among other things, they</w:t>
      </w:r>
      <w:r w:rsidR="00005AD6">
        <w:t xml:space="preserve"> </w:t>
      </w:r>
      <w:r w:rsidR="009C235D">
        <w:t>assis</w:t>
      </w:r>
      <w:r w:rsidR="000C3EA3">
        <w:t>t</w:t>
      </w:r>
      <w:r w:rsidR="009C235D">
        <w:t xml:space="preserve"> children to </w:t>
      </w:r>
      <w:r w:rsidR="00224110">
        <w:t>maintain their</w:t>
      </w:r>
      <w:r w:rsidR="00D0496A">
        <w:t xml:space="preserve"> resilience,</w:t>
      </w:r>
      <w:r w:rsidR="00224110">
        <w:t xml:space="preserve"> </w:t>
      </w:r>
      <w:r w:rsidR="00FE1E50">
        <w:t xml:space="preserve">self-esteem, </w:t>
      </w:r>
      <w:r w:rsidR="000F5253">
        <w:t xml:space="preserve">and </w:t>
      </w:r>
      <w:r w:rsidR="00224110">
        <w:t>sense of self</w:t>
      </w:r>
      <w:r w:rsidR="00D27359">
        <w:t xml:space="preserve">, and </w:t>
      </w:r>
      <w:r w:rsidR="0026618C">
        <w:t>are themselves a way</w:t>
      </w:r>
      <w:r w:rsidR="004957B8">
        <w:t xml:space="preserve"> of combating racism</w:t>
      </w:r>
      <w:r w:rsidR="00AA2345">
        <w:t>.</w:t>
      </w:r>
      <w:r w:rsidR="009E3C8F">
        <w:rPr>
          <w:rStyle w:val="FootnoteReference"/>
        </w:rPr>
        <w:footnoteReference w:id="38"/>
      </w:r>
      <w:r w:rsidR="00AA2345">
        <w:t xml:space="preserve"> </w:t>
      </w:r>
      <w:r w:rsidR="00F73806">
        <w:t>O</w:t>
      </w:r>
      <w:r w:rsidR="00AA2345">
        <w:t xml:space="preserve">pportunities to </w:t>
      </w:r>
      <w:r w:rsidR="00DF44B9">
        <w:t>prom</w:t>
      </w:r>
      <w:r w:rsidR="00B32495">
        <w:t xml:space="preserve">ote this within educational environments are addressed under </w:t>
      </w:r>
      <w:r w:rsidR="00B32495" w:rsidRPr="00C45C01">
        <w:rPr>
          <w:b/>
          <w:bCs/>
        </w:rPr>
        <w:t>Consultation Question</w:t>
      </w:r>
      <w:r w:rsidR="007E319D">
        <w:rPr>
          <w:b/>
          <w:bCs/>
        </w:rPr>
        <w:t xml:space="preserve"> 3</w:t>
      </w:r>
      <w:r w:rsidR="00C45C01" w:rsidRPr="00C45C01">
        <w:rPr>
          <w:b/>
          <w:bCs/>
        </w:rPr>
        <w:t xml:space="preserve">: </w:t>
      </w:r>
      <w:r w:rsidR="007E319D">
        <w:rPr>
          <w:b/>
          <w:bCs/>
        </w:rPr>
        <w:t>Other priorities</w:t>
      </w:r>
      <w:r w:rsidR="007E319D">
        <w:t>.</w:t>
      </w:r>
    </w:p>
    <w:p w14:paraId="7CFB2940" w14:textId="77777777" w:rsidR="00AA5270" w:rsidRDefault="00E87D16" w:rsidP="008E6AFB">
      <w:pPr>
        <w:pBdr>
          <w:top w:val="single" w:sz="4" w:space="1" w:color="auto"/>
          <w:left w:val="single" w:sz="4" w:space="1" w:color="auto"/>
          <w:bottom w:val="single" w:sz="4" w:space="1" w:color="auto"/>
          <w:right w:val="single" w:sz="4" w:space="1" w:color="auto"/>
        </w:pBdr>
        <w:spacing w:after="200"/>
        <w:rPr>
          <w:rFonts w:cs="Arial"/>
        </w:rPr>
      </w:pPr>
      <w:bookmarkStart w:id="21" w:name="_Toc158902690"/>
      <w:r w:rsidRPr="000D7406">
        <w:rPr>
          <w:rFonts w:cs="Arial"/>
          <w:b/>
          <w:bCs/>
        </w:rPr>
        <w:t>Recommendation:</w:t>
      </w:r>
      <w:r w:rsidRPr="00585CB7">
        <w:rPr>
          <w:rFonts w:cs="Arial"/>
          <w:b/>
          <w:bCs/>
        </w:rPr>
        <w:t xml:space="preserve"> </w:t>
      </w:r>
      <w:r>
        <w:rPr>
          <w:rFonts w:cs="Arial"/>
        </w:rPr>
        <w:t xml:space="preserve">The Plan should </w:t>
      </w:r>
    </w:p>
    <w:p w14:paraId="0C0E3CBB" w14:textId="77777777" w:rsidR="008E6AFB" w:rsidRDefault="00E87D16" w:rsidP="008E6AFB">
      <w:pPr>
        <w:pStyle w:val="Bulletedlist"/>
        <w:numPr>
          <w:ilvl w:val="0"/>
          <w:numId w:val="11"/>
        </w:numPr>
        <w:pBdr>
          <w:top w:val="single" w:sz="4" w:space="1" w:color="auto"/>
          <w:left w:val="single" w:sz="4" w:space="1" w:color="auto"/>
          <w:bottom w:val="single" w:sz="4" w:space="1" w:color="auto"/>
          <w:right w:val="single" w:sz="4" w:space="1" w:color="auto"/>
        </w:pBdr>
      </w:pPr>
      <w:r w:rsidRPr="00A41C8B">
        <w:t>recognise high quality</w:t>
      </w:r>
      <w:r w:rsidR="002C0719">
        <w:t xml:space="preserve"> and culturally safe </w:t>
      </w:r>
      <w:r w:rsidRPr="00A41C8B">
        <w:t xml:space="preserve">early childhood education as </w:t>
      </w:r>
      <w:r w:rsidR="002C0719">
        <w:t>a key</w:t>
      </w:r>
      <w:r w:rsidRPr="00A41C8B">
        <w:t xml:space="preserve"> protective factor</w:t>
      </w:r>
    </w:p>
    <w:p w14:paraId="79D89816" w14:textId="77777777" w:rsidR="008E6AFB" w:rsidRPr="00A41C8B" w:rsidRDefault="008E6AFB" w:rsidP="008E6AFB">
      <w:pPr>
        <w:pStyle w:val="Bulletedlist"/>
        <w:numPr>
          <w:ilvl w:val="0"/>
          <w:numId w:val="11"/>
        </w:numPr>
        <w:pBdr>
          <w:top w:val="single" w:sz="4" w:space="1" w:color="auto"/>
          <w:left w:val="single" w:sz="4" w:space="1" w:color="auto"/>
          <w:bottom w:val="single" w:sz="4" w:space="1" w:color="auto"/>
          <w:right w:val="single" w:sz="4" w:space="1" w:color="auto"/>
        </w:pBdr>
      </w:pPr>
      <w:r>
        <w:t>identify strong cultural practices and a positive sense of cultural identity as protective factors tied to cultural connection.</w:t>
      </w:r>
    </w:p>
    <w:p w14:paraId="72A50ED1" w14:textId="77777777" w:rsidR="008E6AFB" w:rsidRDefault="008E6AFB" w:rsidP="008E6AFB">
      <w:pPr>
        <w:pStyle w:val="Bulletedlist"/>
        <w:numPr>
          <w:ilvl w:val="0"/>
          <w:numId w:val="0"/>
        </w:numPr>
        <w:ind w:left="1440"/>
      </w:pPr>
    </w:p>
    <w:p w14:paraId="0F4C455B" w14:textId="77777777" w:rsidR="00187D9F" w:rsidRDefault="00187D9F">
      <w:pPr>
        <w:spacing w:after="0"/>
        <w:rPr>
          <w:rFonts w:eastAsiaTheme="majorEastAsia" w:cstheme="majorBidi"/>
          <w:color w:val="004270"/>
          <w:sz w:val="36"/>
          <w:szCs w:val="36"/>
        </w:rPr>
      </w:pPr>
      <w:r>
        <w:br w:type="page"/>
      </w:r>
    </w:p>
    <w:p w14:paraId="2BA51B9E" w14:textId="6C58373E" w:rsidR="009056F4" w:rsidRPr="00881C23" w:rsidRDefault="009056F4" w:rsidP="009056F4">
      <w:pPr>
        <w:pStyle w:val="Heading1"/>
      </w:pPr>
      <w:bookmarkStart w:id="22" w:name="_Toc159426533"/>
      <w:r>
        <w:t xml:space="preserve">Consultation Question 3: </w:t>
      </w:r>
      <w:r w:rsidRPr="00881C23">
        <w:t>Other priorities</w:t>
      </w:r>
      <w:bookmarkEnd w:id="21"/>
      <w:bookmarkEnd w:id="22"/>
    </w:p>
    <w:p w14:paraId="7821406E" w14:textId="77777777" w:rsidR="009056F4" w:rsidRPr="00881C23" w:rsidRDefault="009056F4" w:rsidP="009056F4">
      <w:pPr>
        <w:pStyle w:val="Default"/>
        <w:rPr>
          <w:rFonts w:ascii="Arial" w:hAnsi="Arial" w:cs="Arial"/>
          <w:i/>
          <w:iCs/>
          <w:sz w:val="22"/>
          <w:szCs w:val="22"/>
        </w:rPr>
      </w:pPr>
      <w:r w:rsidRPr="00881C23">
        <w:rPr>
          <w:rFonts w:ascii="Arial" w:hAnsi="Arial" w:cs="Arial"/>
          <w:i/>
          <w:iCs/>
          <w:sz w:val="22"/>
          <w:szCs w:val="22"/>
        </w:rPr>
        <w:t xml:space="preserve">Are there any other priorities you think that Putting Queensland Kids First should consider? </w:t>
      </w:r>
    </w:p>
    <w:p w14:paraId="2EB1B978" w14:textId="77777777" w:rsidR="009056F4" w:rsidRDefault="009056F4" w:rsidP="009056F4">
      <w:pPr>
        <w:pStyle w:val="Default"/>
        <w:rPr>
          <w:rFonts w:ascii="Arial" w:hAnsi="Arial" w:cs="Arial"/>
          <w:sz w:val="22"/>
          <w:szCs w:val="22"/>
        </w:rPr>
      </w:pPr>
    </w:p>
    <w:p w14:paraId="12148785" w14:textId="08E797B0" w:rsidR="00EA4B2B" w:rsidRDefault="001167F7" w:rsidP="00BD678F">
      <w:pPr>
        <w:pStyle w:val="Numberedparagraph"/>
        <w:rPr>
          <w:szCs w:val="22"/>
        </w:rPr>
      </w:pPr>
      <w:r>
        <w:t xml:space="preserve">The Commission considers that the Investment Priorities identified </w:t>
      </w:r>
      <w:r w:rsidR="00CF5CE2">
        <w:t xml:space="preserve">at pages 14 to </w:t>
      </w:r>
      <w:r w:rsidR="00FF2B74">
        <w:t xml:space="preserve">19 of </w:t>
      </w:r>
      <w:r>
        <w:t>the Plan are appropriate and necessary</w:t>
      </w:r>
      <w:r w:rsidR="00BD678F">
        <w:t xml:space="preserve">, and will be enhanced by </w:t>
      </w:r>
      <w:r w:rsidR="004C01A9">
        <w:t>the overlay of</w:t>
      </w:r>
      <w:r w:rsidR="00BD678F">
        <w:t xml:space="preserve"> </w:t>
      </w:r>
      <w:r w:rsidR="004C01A9">
        <w:t>reworded and expanded</w:t>
      </w:r>
      <w:r w:rsidR="00BD678F">
        <w:t xml:space="preserve"> principles outlined above</w:t>
      </w:r>
      <w:r w:rsidR="004C01A9">
        <w:t xml:space="preserve"> (</w:t>
      </w:r>
      <w:r w:rsidR="00DD7C80">
        <w:t xml:space="preserve">response to </w:t>
      </w:r>
      <w:r w:rsidR="00DD7C80" w:rsidRPr="70956758">
        <w:rPr>
          <w:b/>
        </w:rPr>
        <w:t>Consultation Question 1: Core principles</w:t>
      </w:r>
      <w:r w:rsidR="00F75E6E">
        <w:t>)</w:t>
      </w:r>
      <w:r w:rsidR="00BD678F">
        <w:t>.</w:t>
      </w:r>
      <w:r w:rsidR="005218B5">
        <w:t xml:space="preserve"> This section makes comments on two of the identified priorities, and suggests inclusion of </w:t>
      </w:r>
      <w:r w:rsidR="00FE1039">
        <w:t>another.</w:t>
      </w:r>
    </w:p>
    <w:p w14:paraId="4B65D091" w14:textId="4F2DD459" w:rsidR="00070814" w:rsidRDefault="00633767" w:rsidP="00F45559">
      <w:pPr>
        <w:pStyle w:val="Heading3"/>
      </w:pPr>
      <w:bookmarkStart w:id="23" w:name="_Toc159426534"/>
      <w:r>
        <w:t>Supporting families and strengthening communities</w:t>
      </w:r>
      <w:bookmarkEnd w:id="23"/>
    </w:p>
    <w:p w14:paraId="5CE032EA" w14:textId="0C802C09" w:rsidR="003A6FEB" w:rsidRPr="00BD678F" w:rsidRDefault="002C2367" w:rsidP="00BD678F">
      <w:pPr>
        <w:pStyle w:val="Numberedparagraph"/>
        <w:rPr>
          <w:szCs w:val="22"/>
        </w:rPr>
      </w:pPr>
      <w:r>
        <w:t xml:space="preserve">In relation to the second priority, </w:t>
      </w:r>
      <w:r w:rsidRPr="70956758">
        <w:rPr>
          <w:b/>
        </w:rPr>
        <w:t>supporting families and strengthening communities</w:t>
      </w:r>
      <w:r>
        <w:t>, the Commission considers it crucial that th</w:t>
      </w:r>
      <w:r w:rsidR="005636F2">
        <w:t xml:space="preserve">is also directly address child safety policies, and the need to </w:t>
      </w:r>
      <w:r w:rsidR="00286953">
        <w:t>prioritise support of families rather than removal wherever possible</w:t>
      </w:r>
      <w:r w:rsidR="00822DD5">
        <w:t>. W</w:t>
      </w:r>
      <w:r w:rsidR="003A5099">
        <w:t>here removal</w:t>
      </w:r>
      <w:r w:rsidR="00822DD5">
        <w:t xml:space="preserve"> from families</w:t>
      </w:r>
      <w:r w:rsidR="003A5099">
        <w:t xml:space="preserve"> is exceptionally required, support of kinship carers and cultural connection</w:t>
      </w:r>
      <w:r w:rsidR="00822DD5">
        <w:t xml:space="preserve"> is crucial</w:t>
      </w:r>
      <w:r w:rsidR="00A20BE4">
        <w:t xml:space="preserve"> (in light of suggested draft principle (d) identified </w:t>
      </w:r>
      <w:r w:rsidR="009E1B64">
        <w:t xml:space="preserve">under </w:t>
      </w:r>
      <w:r w:rsidR="009E1B64" w:rsidRPr="70956758">
        <w:rPr>
          <w:b/>
        </w:rPr>
        <w:t>Consultation Question 1</w:t>
      </w:r>
      <w:r w:rsidR="009E1B64">
        <w:t xml:space="preserve"> </w:t>
      </w:r>
      <w:r w:rsidR="00A20BE4">
        <w:t>above</w:t>
      </w:r>
      <w:r w:rsidR="00822DD5">
        <w:t>)</w:t>
      </w:r>
      <w:r w:rsidR="00A20BE4">
        <w:t>.</w:t>
      </w:r>
    </w:p>
    <w:p w14:paraId="32FD36AD" w14:textId="78DE7C6F" w:rsidR="00FE1039" w:rsidRPr="00CD150E" w:rsidRDefault="00893786" w:rsidP="00070814">
      <w:pPr>
        <w:pStyle w:val="Heading3"/>
      </w:pPr>
      <w:bookmarkStart w:id="24" w:name="_Toc159426535"/>
      <w:r>
        <w:t>M</w:t>
      </w:r>
      <w:r w:rsidR="00DE22B2">
        <w:t>aintaining engagement</w:t>
      </w:r>
      <w:r>
        <w:t xml:space="preserve"> in education and training</w:t>
      </w:r>
      <w:bookmarkEnd w:id="24"/>
    </w:p>
    <w:p w14:paraId="28B81187" w14:textId="38ECB9BD" w:rsidR="004A5E2F" w:rsidRDefault="00873704" w:rsidP="00AD5910">
      <w:pPr>
        <w:pStyle w:val="Numberedparagraph"/>
      </w:pPr>
      <w:r w:rsidRPr="00893786">
        <w:rPr>
          <w:b/>
          <w:bCs/>
        </w:rPr>
        <w:t>Supporting confident transitions to education and training</w:t>
      </w:r>
      <w:r>
        <w:t xml:space="preserve"> is crucial, but so is providing </w:t>
      </w:r>
      <w:r w:rsidR="001F6682">
        <w:t>targeted and intensive</w:t>
      </w:r>
      <w:r>
        <w:t xml:space="preserve"> support to ensure that students </w:t>
      </w:r>
      <w:r w:rsidR="00851519">
        <w:t>continue attending school</w:t>
      </w:r>
      <w:r w:rsidR="00EF35A6">
        <w:t xml:space="preserve"> and are not excluded from education</w:t>
      </w:r>
      <w:r w:rsidR="00851519">
        <w:t>.</w:t>
      </w:r>
      <w:r w:rsidR="000A0712">
        <w:t xml:space="preserve"> While ‘improving responses to complex behaviours and wellbeing needs’ is mentioned in relation to this priority area</w:t>
      </w:r>
      <w:r w:rsidR="00BB3474">
        <w:t xml:space="preserve"> (at page 18)</w:t>
      </w:r>
      <w:r w:rsidR="000A0712">
        <w:t>,</w:t>
      </w:r>
      <w:r w:rsidR="009A0EDC">
        <w:t xml:space="preserve"> </w:t>
      </w:r>
      <w:r w:rsidR="000A0712">
        <w:t xml:space="preserve">it is important that priority </w:t>
      </w:r>
      <w:r w:rsidR="004A5E2F">
        <w:t>is explicitly given to:</w:t>
      </w:r>
    </w:p>
    <w:p w14:paraId="70301F42" w14:textId="5B80500C" w:rsidR="004A5E2F" w:rsidRDefault="00D524FE" w:rsidP="004A5E2F">
      <w:pPr>
        <w:pStyle w:val="Bulletedlist"/>
      </w:pPr>
      <w:r>
        <w:t>minimis</w:t>
      </w:r>
      <w:r w:rsidR="004A5E2F">
        <w:t>ing</w:t>
      </w:r>
      <w:r>
        <w:t xml:space="preserve"> disciplinary absences</w:t>
      </w:r>
      <w:r w:rsidR="009D03FF">
        <w:t>, and enrolment cancellation and refusal</w:t>
      </w:r>
    </w:p>
    <w:p w14:paraId="3775FF41" w14:textId="5CB327AE" w:rsidR="009A0EDC" w:rsidRDefault="00DC61BE" w:rsidP="004A5E2F">
      <w:pPr>
        <w:pStyle w:val="Bulletedlist"/>
      </w:pPr>
      <w:r>
        <w:t>ensur</w:t>
      </w:r>
      <w:r w:rsidR="009D03FF">
        <w:t>ing</w:t>
      </w:r>
      <w:r>
        <w:t xml:space="preserve"> </w:t>
      </w:r>
      <w:r w:rsidR="007B0806">
        <w:t xml:space="preserve">students who have disengaged with education, or who are </w:t>
      </w:r>
      <w:r w:rsidR="001B09D0">
        <w:t>at risk of disengaging, are provided with sustained, coordinate</w:t>
      </w:r>
      <w:r w:rsidR="00114E9B">
        <w:t>d</w:t>
      </w:r>
      <w:r w:rsidR="001B09D0">
        <w:t xml:space="preserve"> support. </w:t>
      </w:r>
    </w:p>
    <w:p w14:paraId="736AE5E6" w14:textId="5CE08B0F" w:rsidR="00CF1118" w:rsidRDefault="001B09D0" w:rsidP="00AD5910">
      <w:pPr>
        <w:pStyle w:val="Numberedparagraph"/>
      </w:pPr>
      <w:r>
        <w:t xml:space="preserve">In its small sample review of 30 child deaths in Queensland, the Queensland </w:t>
      </w:r>
      <w:r w:rsidR="00470900">
        <w:t xml:space="preserve">Family and Child </w:t>
      </w:r>
      <w:r w:rsidR="00DF21F1">
        <w:t>Commission</w:t>
      </w:r>
      <w:r w:rsidR="003553EB">
        <w:t xml:space="preserve"> (</w:t>
      </w:r>
      <w:r w:rsidR="003553EB" w:rsidRPr="003553EB">
        <w:rPr>
          <w:b/>
          <w:bCs/>
        </w:rPr>
        <w:t>QFCC</w:t>
      </w:r>
      <w:r w:rsidR="003553EB">
        <w:t>)</w:t>
      </w:r>
      <w:r w:rsidR="00DF21F1">
        <w:t xml:space="preserve"> </w:t>
      </w:r>
      <w:r w:rsidR="000030BA">
        <w:t>found that</w:t>
      </w:r>
      <w:r w:rsidR="004E4BA2">
        <w:t xml:space="preserve"> </w:t>
      </w:r>
    </w:p>
    <w:p w14:paraId="6A592B79" w14:textId="6826231D" w:rsidR="00CF1118" w:rsidRDefault="004E4BA2" w:rsidP="00CF1118">
      <w:pPr>
        <w:pStyle w:val="Quote"/>
      </w:pPr>
      <w:r>
        <w:t>for school aged children, failing to re-engage children in education exposes them to prolonged and increase</w:t>
      </w:r>
      <w:r w:rsidR="004660BC">
        <w:t>d</w:t>
      </w:r>
      <w:r>
        <w:t xml:space="preserve"> risk. Put more simply </w:t>
      </w:r>
      <w:r w:rsidR="004660BC">
        <w:t>––</w:t>
      </w:r>
      <w:r>
        <w:t xml:space="preserve"> absence from schooling is a clear identifier that there are risks in a child’s life.</w:t>
      </w:r>
      <w:r w:rsidR="00CF1118">
        <w:rPr>
          <w:rStyle w:val="FootnoteReference"/>
        </w:rPr>
        <w:footnoteReference w:id="39"/>
      </w:r>
      <w:r>
        <w:t xml:space="preserve"> </w:t>
      </w:r>
      <w:r w:rsidR="00185EF6">
        <w:t xml:space="preserve"> </w:t>
      </w:r>
    </w:p>
    <w:p w14:paraId="20B3EBB9" w14:textId="1C4F7A29" w:rsidR="00185EF6" w:rsidRDefault="003553EB" w:rsidP="00AD5910">
      <w:pPr>
        <w:pStyle w:val="Numberedparagraph"/>
      </w:pPr>
      <w:r>
        <w:t>As the report explains:</w:t>
      </w:r>
    </w:p>
    <w:p w14:paraId="463C3F45" w14:textId="300E3DEE" w:rsidR="00FE7724" w:rsidRDefault="00CC3BCF" w:rsidP="0066756D">
      <w:pPr>
        <w:pStyle w:val="Quote"/>
      </w:pPr>
      <w:r>
        <w:t>School presents more than just an education opportunity but also a place where children may access specialised services to support their wellbeing, find structure and stability and engage with age-appropriate peers to maintain social capital and feel connected to their community. There remains a need for shared responsibility and coordination between agencies that respond to children disengaging from education including Education, Child Safety, Youth Justice, and Police.</w:t>
      </w:r>
      <w:r w:rsidR="0066756D">
        <w:t xml:space="preserve"> Keeping children engaged in school provides a down-stream approach and can prevent escalation to tertiary services and increasing human and financial costs.</w:t>
      </w:r>
      <w:r w:rsidR="003553EB">
        <w:rPr>
          <w:rStyle w:val="FootnoteReference"/>
        </w:rPr>
        <w:footnoteReference w:id="40"/>
      </w:r>
    </w:p>
    <w:p w14:paraId="3CB64D6C" w14:textId="72157563" w:rsidR="00A0543F" w:rsidRDefault="00E71AE1" w:rsidP="00D524FE">
      <w:pPr>
        <w:pStyle w:val="Numberedparagraph"/>
      </w:pPr>
      <w:r>
        <w:t xml:space="preserve">In his report into </w:t>
      </w:r>
      <w:r w:rsidR="00A0543F">
        <w:t>Youth Justice responses, Bob Atkins</w:t>
      </w:r>
      <w:r w:rsidR="00C710C8">
        <w:t>on</w:t>
      </w:r>
      <w:r w:rsidR="00A0543F">
        <w:t xml:space="preserve"> noted that</w:t>
      </w:r>
      <w:r w:rsidR="002A2712">
        <w:t xml:space="preserve"> </w:t>
      </w:r>
    </w:p>
    <w:p w14:paraId="50EAA68C" w14:textId="5CDF0025" w:rsidR="005E57F7" w:rsidRDefault="005E57F7" w:rsidP="005E57F7">
      <w:pPr>
        <w:pStyle w:val="Quote"/>
      </w:pPr>
      <w:r w:rsidRPr="005E57F7">
        <w:t xml:space="preserve">the Pathways to Prevention project, operating over 10 years from 2002 to 2011 in a disadvantaged area of Queensland </w:t>
      </w:r>
      <w:r w:rsidR="005C32CF">
        <w:t>[identified]</w:t>
      </w:r>
      <w:r w:rsidRPr="005E57F7">
        <w:t xml:space="preserve"> an absence of a positive attachment to school at age seven as the greatest predictor of later offending</w:t>
      </w:r>
      <w:r w:rsidR="00692C53">
        <w:t>….</w:t>
      </w:r>
    </w:p>
    <w:p w14:paraId="0877C749" w14:textId="2F480B02" w:rsidR="00A0543F" w:rsidRPr="00A0543F" w:rsidRDefault="00A0543F" w:rsidP="003A116F">
      <w:pPr>
        <w:pStyle w:val="Quote"/>
      </w:pPr>
      <w:r w:rsidRPr="00E71AE1">
        <w:t>As well as education being key to the positive development of children, school provides an ideal environment to identify those who are at risk of antisocial or offending behaviour. As early as age five, children manifest behavioural signs indicative of a need for targeted support</w:t>
      </w:r>
      <w:r w:rsidR="003A116F">
        <w:t>….</w:t>
      </w:r>
      <w:r w:rsidR="003A116F">
        <w:rPr>
          <w:rStyle w:val="FootnoteReference"/>
        </w:rPr>
        <w:footnoteReference w:id="41"/>
      </w:r>
    </w:p>
    <w:p w14:paraId="1C5D7D76" w14:textId="788D7046" w:rsidR="00D524FE" w:rsidRDefault="00A0543F" w:rsidP="00D524FE">
      <w:pPr>
        <w:pStyle w:val="Numberedparagraph"/>
      </w:pPr>
      <w:r>
        <w:t xml:space="preserve"> </w:t>
      </w:r>
      <w:r w:rsidR="006433C0">
        <w:t>However, children</w:t>
      </w:r>
      <w:r w:rsidR="00D524FE">
        <w:t xml:space="preserve"> as young as five or six </w:t>
      </w:r>
      <w:r w:rsidR="00372954">
        <w:t xml:space="preserve">displaying complex behaviours </w:t>
      </w:r>
      <w:r w:rsidR="0071687B">
        <w:t>can be</w:t>
      </w:r>
      <w:r w:rsidR="00D524FE">
        <w:t xml:space="preserve"> suspended or excluded from </w:t>
      </w:r>
      <w:r w:rsidR="008A3021">
        <w:t>education</w:t>
      </w:r>
      <w:r w:rsidR="00C3789E">
        <w:t>.</w:t>
      </w:r>
      <w:r w:rsidR="00EC53D0" w:rsidDel="008A3021">
        <w:t xml:space="preserve"> </w:t>
      </w:r>
      <w:r w:rsidR="0018274A">
        <w:t>I</w:t>
      </w:r>
      <w:r w:rsidR="008A3021">
        <w:t>n</w:t>
      </w:r>
      <w:r w:rsidR="0018274A">
        <w:t xml:space="preserve"> </w:t>
      </w:r>
      <w:r w:rsidR="00EC53D0">
        <w:t>202</w:t>
      </w:r>
      <w:r w:rsidR="00C117A0">
        <w:t>2</w:t>
      </w:r>
      <w:r w:rsidR="0071687B">
        <w:t>,</w:t>
      </w:r>
      <w:r w:rsidR="00C3789E">
        <w:t xml:space="preserve"> </w:t>
      </w:r>
      <w:r w:rsidR="2AEAA699">
        <w:t>f</w:t>
      </w:r>
      <w:r w:rsidR="00C3789E">
        <w:t>or example,</w:t>
      </w:r>
      <w:r w:rsidR="00EC53D0">
        <w:t xml:space="preserve"> </w:t>
      </w:r>
      <w:r w:rsidR="001D5347">
        <w:t>there were 4</w:t>
      </w:r>
      <w:r w:rsidR="008C51DD">
        <w:t>,</w:t>
      </w:r>
      <w:r w:rsidR="001D5347">
        <w:t>869 suspensions of children in Prep to Year 2</w:t>
      </w:r>
      <w:r w:rsidR="008C51DD">
        <w:t xml:space="preserve"> from Queensland state schools, and </w:t>
      </w:r>
      <w:r w:rsidR="00B85605">
        <w:t>10 exclusions of</w:t>
      </w:r>
      <w:r w:rsidR="008C51DD">
        <w:t xml:space="preserve"> </w:t>
      </w:r>
      <w:r w:rsidR="00A569E1">
        <w:t xml:space="preserve">children in </w:t>
      </w:r>
      <w:r w:rsidR="008C51DD">
        <w:t>Year 1 and Year 2 from school</w:t>
      </w:r>
      <w:r w:rsidR="00D524FE">
        <w:t>.</w:t>
      </w:r>
      <w:r w:rsidR="00D524FE">
        <w:rPr>
          <w:rStyle w:val="FootnoteReference"/>
        </w:rPr>
        <w:footnoteReference w:id="42"/>
      </w:r>
      <w:r w:rsidR="00D524FE">
        <w:t xml:space="preserve"> Research indicates children most at risk of school disciplinary absences are children with disability, Aboriginal and/or Torres Strait Islander children, and children in out of home care, or a combination of these attributes.</w:t>
      </w:r>
      <w:r w:rsidR="00D524FE">
        <w:rPr>
          <w:rStyle w:val="FootnoteReference"/>
        </w:rPr>
        <w:footnoteReference w:id="43"/>
      </w:r>
      <w:r w:rsidR="00D524FE">
        <w:t xml:space="preserve"> This mirrors the cohort of children disproportionately represented in the youth justice system.</w:t>
      </w:r>
    </w:p>
    <w:p w14:paraId="550EB654" w14:textId="25223421" w:rsidR="00F94C9C" w:rsidRDefault="00F94C9C" w:rsidP="00F94C9C">
      <w:pPr>
        <w:pStyle w:val="Numberedparagraph"/>
      </w:pPr>
      <w:r>
        <w:t>The Government has recently begun implementation of a Youth Engagement Education Reform package which includes the establishment of an intensive education case management service, recruitment of additional Court Liaison Officers and Youth Transition Officers, First Nations engagement programs and additional funding for Queensland Pathways State Colleges, FlexiSpaces in high needs schools</w:t>
      </w:r>
      <w:r w:rsidR="00D25AB5">
        <w:t>,</w:t>
      </w:r>
      <w:r>
        <w:t xml:space="preserve"> and alternative learning programs.</w:t>
      </w:r>
      <w:r w:rsidR="00CB1CA0">
        <w:rPr>
          <w:rStyle w:val="FootnoteReference"/>
        </w:rPr>
        <w:footnoteReference w:id="44"/>
      </w:r>
      <w:r>
        <w:t xml:space="preserve"> This is welcome and should be squarely within a priority investment area for the Plan. </w:t>
      </w:r>
    </w:p>
    <w:p w14:paraId="445CF9DC" w14:textId="228C3238" w:rsidR="00B84BB2" w:rsidRDefault="00B84BB2" w:rsidP="00B84BB2">
      <w:pPr>
        <w:pStyle w:val="Heading3"/>
      </w:pPr>
      <w:bookmarkStart w:id="25" w:name="_Toc159426536"/>
      <w:r>
        <w:t>Addressing racism in schools</w:t>
      </w:r>
      <w:bookmarkEnd w:id="25"/>
      <w:r w:rsidR="00E40AE5">
        <w:t xml:space="preserve"> </w:t>
      </w:r>
    </w:p>
    <w:p w14:paraId="3DEA3CDF" w14:textId="77777777" w:rsidR="00B84BB2" w:rsidRDefault="00B84BB2" w:rsidP="00B84BB2">
      <w:pPr>
        <w:pStyle w:val="Numberedparagraph"/>
      </w:pPr>
      <w:r>
        <w:t xml:space="preserve">In addition, a necessary area for investment in </w:t>
      </w:r>
      <w:r>
        <w:rPr>
          <w:b/>
          <w:bCs/>
        </w:rPr>
        <w:t>supporting confident transitions into learning, education and training</w:t>
      </w:r>
      <w:r>
        <w:t xml:space="preserve"> and </w:t>
      </w:r>
      <w:r w:rsidRPr="000538A1">
        <w:rPr>
          <w:b/>
          <w:bCs/>
        </w:rPr>
        <w:t>maintaining engagement in education</w:t>
      </w:r>
      <w:r>
        <w:t xml:space="preserve"> that is not currently mentioned in the Plan is addressing racism in schools. A recent report commissioned by the Ethnic Communities Council of Queensland underscores both the prevalence of racism in Australian educational settings, and the significant barrier that racism provides to ‘accessing, engaging, and succeeding in education’.</w:t>
      </w:r>
      <w:r>
        <w:rPr>
          <w:rStyle w:val="FootnoteReference"/>
        </w:rPr>
        <w:footnoteReference w:id="45"/>
      </w:r>
    </w:p>
    <w:p w14:paraId="05F17C4A" w14:textId="5DEA44DD" w:rsidR="007310C0" w:rsidRDefault="00263AE4" w:rsidP="00162575">
      <w:pPr>
        <w:pStyle w:val="Heading3"/>
      </w:pPr>
      <w:bookmarkStart w:id="26" w:name="_Toc159426537"/>
      <w:r>
        <w:t>The role of schools in s</w:t>
      </w:r>
      <w:r w:rsidR="00162575">
        <w:t>upporting strong cultural practices and pride in culture</w:t>
      </w:r>
      <w:bookmarkEnd w:id="26"/>
    </w:p>
    <w:p w14:paraId="44D33AC7" w14:textId="3B7A4D6C" w:rsidR="003036DB" w:rsidRDefault="00845D34" w:rsidP="003E0162">
      <w:pPr>
        <w:pStyle w:val="Numberedparagraph"/>
      </w:pPr>
      <w:r>
        <w:t>There</w:t>
      </w:r>
      <w:r w:rsidR="00162575">
        <w:t xml:space="preserve"> are</w:t>
      </w:r>
      <w:r>
        <w:t xml:space="preserve"> also</w:t>
      </w:r>
      <w:r w:rsidR="00162575">
        <w:t xml:space="preserve"> significant opportunities for </w:t>
      </w:r>
      <w:r w:rsidR="00E40AE5">
        <w:t xml:space="preserve">schools </w:t>
      </w:r>
      <w:r w:rsidR="00162575">
        <w:t>to</w:t>
      </w:r>
      <w:r w:rsidR="00E40AE5">
        <w:t xml:space="preserve"> play </w:t>
      </w:r>
      <w:r w:rsidR="00162575">
        <w:t>a positive</w:t>
      </w:r>
      <w:r w:rsidR="00E40AE5">
        <w:t xml:space="preserve"> role in strengthening the protective factors of connection to culture through </w:t>
      </w:r>
      <w:r w:rsidR="00E40AE5" w:rsidRPr="00826669">
        <w:rPr>
          <w:b/>
          <w:bCs/>
        </w:rPr>
        <w:t>strong cultural practices</w:t>
      </w:r>
      <w:r w:rsidR="00E40AE5">
        <w:t xml:space="preserve"> and </w:t>
      </w:r>
      <w:r w:rsidR="00AA0963">
        <w:rPr>
          <w:b/>
          <w:bCs/>
        </w:rPr>
        <w:t>a positive sense of cultural identity</w:t>
      </w:r>
      <w:r w:rsidR="00E40AE5">
        <w:rPr>
          <w:b/>
          <w:bCs/>
        </w:rPr>
        <w:t>.</w:t>
      </w:r>
      <w:r w:rsidR="0002083A">
        <w:rPr>
          <w:rStyle w:val="FootnoteReference"/>
          <w:b/>
          <w:bCs/>
        </w:rPr>
        <w:footnoteReference w:id="46"/>
      </w:r>
      <w:r w:rsidR="00E40AE5">
        <w:rPr>
          <w:b/>
          <w:bCs/>
        </w:rPr>
        <w:t xml:space="preserve"> </w:t>
      </w:r>
      <w:r w:rsidR="00892F90">
        <w:t>Schools</w:t>
      </w:r>
      <w:r w:rsidR="003036DB">
        <w:t xml:space="preserve"> should be supported</w:t>
      </w:r>
      <w:r w:rsidR="001203CB">
        <w:t>, for example,</w:t>
      </w:r>
      <w:r w:rsidR="003036DB">
        <w:t xml:space="preserve"> to:</w:t>
      </w:r>
    </w:p>
    <w:p w14:paraId="19471505" w14:textId="250676B6" w:rsidR="009C5508" w:rsidRDefault="001F5BA6" w:rsidP="009C5508">
      <w:pPr>
        <w:pStyle w:val="Bulletedlist"/>
      </w:pPr>
      <w:r>
        <w:t>boost the role of Aboriginal and Torres Strait Islander Elders within schools –– for example through sharing of knowledge, history, stories and skills with teachers and in classrooms, through cultural mentoring groups, and individual mentoring</w:t>
      </w:r>
      <w:r>
        <w:rPr>
          <w:rStyle w:val="FootnoteReference"/>
        </w:rPr>
        <w:footnoteReference w:id="47"/>
      </w:r>
    </w:p>
    <w:p w14:paraId="029DFEF2" w14:textId="1A325DD9" w:rsidR="003036DB" w:rsidRDefault="00CA0CCE" w:rsidP="00531130">
      <w:pPr>
        <w:pStyle w:val="Bulletedlist"/>
      </w:pPr>
      <w:r>
        <w:t xml:space="preserve">integrate </w:t>
      </w:r>
      <w:r w:rsidR="00892F90">
        <w:t>knowledge of</w:t>
      </w:r>
      <w:r w:rsidR="00BE68A5">
        <w:t>,</w:t>
      </w:r>
      <w:r w:rsidR="00892F90">
        <w:t xml:space="preserve"> respect for</w:t>
      </w:r>
      <w:r w:rsidR="00BE68A5">
        <w:t>, and pride in</w:t>
      </w:r>
      <w:r w:rsidR="00892F90">
        <w:t xml:space="preserve"> Aboriginal and Torres Strait Islander languages</w:t>
      </w:r>
      <w:r w:rsidR="00D14547">
        <w:t>,</w:t>
      </w:r>
      <w:r w:rsidR="007F0582">
        <w:t xml:space="preserve"> knowledge,</w:t>
      </w:r>
      <w:r w:rsidR="00D14547">
        <w:t xml:space="preserve"> culture</w:t>
      </w:r>
      <w:r w:rsidR="00892F90">
        <w:t xml:space="preserve"> and belief systems</w:t>
      </w:r>
      <w:r w:rsidR="00A43D6B">
        <w:t xml:space="preserve"> </w:t>
      </w:r>
      <w:r w:rsidR="007E2E7A">
        <w:t>in delivering curriculum and in extra-curricular activities</w:t>
      </w:r>
      <w:r w:rsidR="007E7733">
        <w:rPr>
          <w:rStyle w:val="FootnoteReference"/>
        </w:rPr>
        <w:footnoteReference w:id="48"/>
      </w:r>
    </w:p>
    <w:p w14:paraId="4DB7DB60" w14:textId="6E8932B4" w:rsidR="009C5508" w:rsidRDefault="009C5508" w:rsidP="00CA0CCE">
      <w:pPr>
        <w:pStyle w:val="Bulletedlist"/>
      </w:pPr>
      <w:r>
        <w:t>facilitate the participation of Aboriginal and Torres Strait Islander students in cultural practices</w:t>
      </w:r>
    </w:p>
    <w:p w14:paraId="636A5EAE" w14:textId="0404F857" w:rsidR="00CA0CCE" w:rsidRDefault="00B60072" w:rsidP="00CA0CCE">
      <w:pPr>
        <w:pStyle w:val="Bulletedlist"/>
      </w:pPr>
      <w:r>
        <w:t xml:space="preserve">provide </w:t>
      </w:r>
      <w:r w:rsidR="00FE2682">
        <w:t xml:space="preserve">an enhanced role for Aboriginal and Torres Strait Islander </w:t>
      </w:r>
      <w:r w:rsidR="00CA0CCE">
        <w:t>parents and carers</w:t>
      </w:r>
      <w:r w:rsidR="00BA750E">
        <w:t xml:space="preserve"> </w:t>
      </w:r>
    </w:p>
    <w:p w14:paraId="38B6E12C" w14:textId="052E8C71" w:rsidR="00C26E99" w:rsidRPr="00EA11FF" w:rsidRDefault="00CA0CCE" w:rsidP="008F46D7">
      <w:pPr>
        <w:pStyle w:val="Bulletedlist"/>
      </w:pPr>
      <w:r>
        <w:t>deliver culturally appropriate and inclusive prevention</w:t>
      </w:r>
      <w:r w:rsidR="00CF01C3">
        <w:t xml:space="preserve"> and health promotion</w:t>
      </w:r>
      <w:r>
        <w:t xml:space="preserve"> programs</w:t>
      </w:r>
      <w:r w:rsidR="007E2E7A">
        <w:t>.</w:t>
      </w:r>
      <w:r>
        <w:rPr>
          <w:rStyle w:val="FootnoteReference"/>
        </w:rPr>
        <w:footnoteReference w:id="49"/>
      </w:r>
    </w:p>
    <w:p w14:paraId="5E2E0995" w14:textId="77777777" w:rsidR="00B84BB2" w:rsidRPr="00072C56" w:rsidRDefault="00B84BB2" w:rsidP="00B84BB2">
      <w:pPr>
        <w:pStyle w:val="Heading3"/>
      </w:pPr>
      <w:bookmarkStart w:id="27" w:name="_Toc159426538"/>
      <w:r>
        <w:t>Responding therapeutically to challenging behaviours</w:t>
      </w:r>
      <w:bookmarkEnd w:id="27"/>
    </w:p>
    <w:p w14:paraId="2732796A" w14:textId="77777777" w:rsidR="00B84BB2" w:rsidRDefault="00B84BB2" w:rsidP="00B84BB2">
      <w:pPr>
        <w:pStyle w:val="Numberedparagraph"/>
      </w:pPr>
      <w:r>
        <w:t xml:space="preserve">Tied to this, a further priority area for the Plan, which is connected to the Youth Justice Strategy, is appropriate responses to behavioural concerns in children and young people. This is connected to </w:t>
      </w:r>
      <w:r>
        <w:rPr>
          <w:b/>
          <w:bCs/>
        </w:rPr>
        <w:t>‘Identifying and responding to needs for healthy development and positive life choices</w:t>
      </w:r>
      <w:r>
        <w:t xml:space="preserve">’ outlined at page 17 of the Plan, but should be made more explicit. In addition to providing universal screening and services, the Plan must prioritise the provision of intensive, non-stigmatising support to children and families when behavioural difficulties manifest. </w:t>
      </w:r>
    </w:p>
    <w:p w14:paraId="7AF298A1" w14:textId="002B7CE9" w:rsidR="000B680E" w:rsidRDefault="000B680E" w:rsidP="000B680E">
      <w:pPr>
        <w:pStyle w:val="Numberedparagraph"/>
      </w:pPr>
      <w:r>
        <w:t xml:space="preserve">In relation to children at risk of contact with the criminal justice system in particular, guidance in this area is provided by the United Nations Committee on the Rights of the Child.  In its </w:t>
      </w:r>
      <w:r w:rsidRPr="00A51369">
        <w:rPr>
          <w:i/>
          <w:iCs/>
        </w:rPr>
        <w:t>General Comment No. 24 on children’s rights in the child justice system</w:t>
      </w:r>
      <w:r>
        <w:t xml:space="preserve"> the Committee stated that:</w:t>
      </w:r>
    </w:p>
    <w:p w14:paraId="47D65D30" w14:textId="68C15135" w:rsidR="000B680E" w:rsidRDefault="000B680E" w:rsidP="000B680E">
      <w:pPr>
        <w:pStyle w:val="Quote"/>
        <w:rPr>
          <w:lang w:val="en-US"/>
        </w:rPr>
      </w:pPr>
      <w:r>
        <w:rPr>
          <w:lang w:val="en-US"/>
        </w:rPr>
        <w:t xml:space="preserve">States parties should consult the United Nations Model Strategies and Practical Measures on the Elimination of Violence against Children in the Field of Crime Prevention and Criminal Justice and comparative national and international research on root causes of children’s involvement in the child justice system and undertake their own research to inform the development of a prevention strategy. </w:t>
      </w:r>
      <w:r>
        <w:rPr>
          <w:shd w:val="clear" w:color="auto" w:fill="FFFFFF"/>
        </w:rPr>
        <w:t>Research has demonstrated that intensive family- and community-based treatment programmes designed to make positive changes in aspects of the various social systems (home, school, community, peer relations) that contribute to the serious behavioural difficulties of children reduce the risk of children coming into child justice systems.</w:t>
      </w:r>
      <w:r>
        <w:rPr>
          <w:lang w:val="en-US"/>
        </w:rPr>
        <w:t xml:space="preserve"> Prevention and early intervention programmes should be focused on support for families, in particular those in vulnerable situations or where violence occurs. Support should be provided to children at risk, particularly children who stop attending school, are excluded or </w:t>
      </w:r>
      <w:r>
        <w:t>otherwise</w:t>
      </w:r>
      <w:r>
        <w:rPr>
          <w:lang w:val="en-US"/>
        </w:rPr>
        <w:t xml:space="preserve"> do not complete their education. Peer group support and a strong involvement of parents are recommended. States parties should also develop community-based services and programmes that respond to the specific needs, problems, concerns and interests of children, and that provide appropriate counselling and guidance to their families.</w:t>
      </w:r>
      <w:r w:rsidR="00303F48">
        <w:rPr>
          <w:rStyle w:val="FootnoteReference"/>
          <w:lang w:val="en-US"/>
        </w:rPr>
        <w:footnoteReference w:id="50"/>
      </w:r>
    </w:p>
    <w:p w14:paraId="05C1C84B" w14:textId="7819D205" w:rsidR="000B680E" w:rsidRDefault="000B680E" w:rsidP="000B680E">
      <w:pPr>
        <w:pStyle w:val="Numberedparagraph"/>
        <w:rPr>
          <w:lang w:val="en-US"/>
        </w:rPr>
      </w:pPr>
      <w:r>
        <w:rPr>
          <w:lang w:val="en-US"/>
        </w:rPr>
        <w:t xml:space="preserve">The </w:t>
      </w:r>
      <w:r w:rsidRPr="00135FF1">
        <w:t>Committee</w:t>
      </w:r>
      <w:r>
        <w:rPr>
          <w:lang w:val="en-US"/>
        </w:rPr>
        <w:t xml:space="preserve"> emphasi</w:t>
      </w:r>
      <w:r w:rsidR="002F2F12">
        <w:rPr>
          <w:lang w:val="en-US"/>
        </w:rPr>
        <w:t>s</w:t>
      </w:r>
      <w:r>
        <w:rPr>
          <w:lang w:val="en-US"/>
        </w:rPr>
        <w:t xml:space="preserve">es in particular the need for </w:t>
      </w:r>
      <w:r w:rsidRPr="00C05EA1">
        <w:rPr>
          <w:b/>
          <w:bCs/>
          <w:lang w:val="en-US"/>
        </w:rPr>
        <w:t xml:space="preserve">particularly intensive ‘child-friendly and multidisciplinary responses to the first signs of behaviour by children that would, if the child were above the </w:t>
      </w:r>
      <w:r w:rsidRPr="00C05EA1">
        <w:rPr>
          <w:b/>
          <w:bCs/>
        </w:rPr>
        <w:t>minimum age of criminal responsibility</w:t>
      </w:r>
      <w:r w:rsidRPr="00C05EA1">
        <w:rPr>
          <w:b/>
          <w:bCs/>
          <w:lang w:val="en-US"/>
        </w:rPr>
        <w:t>, be considered an offence’ (which the Committee considers should be no lower than 14)</w:t>
      </w:r>
      <w:r>
        <w:rPr>
          <w:lang w:val="en-US"/>
        </w:rPr>
        <w:t>:</w:t>
      </w:r>
    </w:p>
    <w:p w14:paraId="747B3D74" w14:textId="18B5C95D" w:rsidR="001C3E34" w:rsidRPr="001C3E34" w:rsidRDefault="000B680E" w:rsidP="001C3E34">
      <w:pPr>
        <w:pStyle w:val="Quote"/>
        <w:rPr>
          <w:lang w:val="en-US"/>
        </w:rPr>
      </w:pPr>
      <w:r w:rsidRPr="00EC0FEC">
        <w:rPr>
          <w:lang w:val="en-US"/>
        </w:rPr>
        <w:t>Evidence-based intervention program</w:t>
      </w:r>
      <w:r>
        <w:rPr>
          <w:lang w:val="en-US"/>
        </w:rPr>
        <w:t>me</w:t>
      </w:r>
      <w:r w:rsidRPr="00EC0FEC">
        <w:rPr>
          <w:lang w:val="en-US"/>
        </w:rPr>
        <w:t xml:space="preserve">s should be developed that reflect not only the multiple psychosocial causes of </w:t>
      </w:r>
      <w:r>
        <w:rPr>
          <w:lang w:val="en-US"/>
        </w:rPr>
        <w:t>such</w:t>
      </w:r>
      <w:r w:rsidRPr="00EC0FEC">
        <w:rPr>
          <w:lang w:val="en-US"/>
        </w:rPr>
        <w:t xml:space="preserve"> behavio</w:t>
      </w:r>
      <w:r>
        <w:rPr>
          <w:lang w:val="en-US"/>
        </w:rPr>
        <w:t>u</w:t>
      </w:r>
      <w:r w:rsidRPr="00EC0FEC">
        <w:rPr>
          <w:lang w:val="en-US"/>
        </w:rPr>
        <w:t>r, but also the protective factors that may strengthen resilience. Interventions must be preceded by a comprehensive and interdisciplinary assessment of the child</w:t>
      </w:r>
      <w:r>
        <w:rPr>
          <w:lang w:val="en-US"/>
        </w:rPr>
        <w:t>’</w:t>
      </w:r>
      <w:r w:rsidRPr="00EC0FEC">
        <w:rPr>
          <w:lang w:val="en-US"/>
        </w:rPr>
        <w:t>s needs. As an absolute priority, children should be supported within their families and communities. In the exceptional cases that require an out-of-home placement, such alternative care should preferably be in a family setting, although placement in residential care may be appropriate in some instances, to provide the necessary array of professional services. It is to be used only as a measure of last resort and for the shortest appropriate period of time and should be subject to judicial review.</w:t>
      </w:r>
      <w:r>
        <w:rPr>
          <w:rStyle w:val="FootnoteReference"/>
          <w:lang w:val="en-US"/>
        </w:rPr>
        <w:t xml:space="preserve"> </w:t>
      </w:r>
      <w:r>
        <w:rPr>
          <w:rStyle w:val="FootnoteReference"/>
          <w:lang w:val="en-US"/>
        </w:rPr>
        <w:footnoteReference w:id="51"/>
      </w:r>
    </w:p>
    <w:p w14:paraId="059B306E" w14:textId="0E768FF1" w:rsidR="00AD40C4" w:rsidRDefault="00953023" w:rsidP="00E50C86">
      <w:pPr>
        <w:pStyle w:val="Numberedparagraph"/>
      </w:pPr>
      <w:r>
        <w:t xml:space="preserve">It is clear </w:t>
      </w:r>
      <w:r w:rsidRPr="004B06F8">
        <w:t>however</w:t>
      </w:r>
      <w:r w:rsidR="00633767" w:rsidRPr="004B06F8">
        <w:t xml:space="preserve"> that</w:t>
      </w:r>
      <w:r w:rsidR="00633767" w:rsidRPr="004B06F8">
        <w:rPr>
          <w:b/>
          <w:bCs/>
        </w:rPr>
        <w:t xml:space="preserve"> criminalisation of </w:t>
      </w:r>
      <w:r w:rsidR="008A7B04" w:rsidRPr="004B06F8">
        <w:rPr>
          <w:b/>
          <w:bCs/>
        </w:rPr>
        <w:t>challenging</w:t>
      </w:r>
      <w:r w:rsidR="00633767" w:rsidRPr="004B06F8">
        <w:rPr>
          <w:b/>
          <w:bCs/>
        </w:rPr>
        <w:t xml:space="preserve"> behaviour</w:t>
      </w:r>
      <w:r w:rsidR="00DC397F" w:rsidRPr="004B06F8">
        <w:rPr>
          <w:b/>
          <w:bCs/>
        </w:rPr>
        <w:t xml:space="preserve"> </w:t>
      </w:r>
      <w:r w:rsidR="008A7B04" w:rsidRPr="004B06F8">
        <w:rPr>
          <w:b/>
          <w:bCs/>
        </w:rPr>
        <w:t>in</w:t>
      </w:r>
      <w:r w:rsidR="00DC397F" w:rsidRPr="004B06F8">
        <w:rPr>
          <w:b/>
          <w:bCs/>
        </w:rPr>
        <w:t xml:space="preserve"> children </w:t>
      </w:r>
      <w:r w:rsidR="000401F1">
        <w:rPr>
          <w:b/>
          <w:bCs/>
        </w:rPr>
        <w:t>is</w:t>
      </w:r>
      <w:r w:rsidR="00DC397F" w:rsidRPr="004B06F8">
        <w:rPr>
          <w:b/>
          <w:bCs/>
        </w:rPr>
        <w:t xml:space="preserve"> </w:t>
      </w:r>
      <w:r w:rsidR="005218B5" w:rsidRPr="004B06F8">
        <w:rPr>
          <w:b/>
          <w:bCs/>
        </w:rPr>
        <w:t>counterproductive</w:t>
      </w:r>
      <w:r w:rsidR="003C37D4">
        <w:t>.</w:t>
      </w:r>
      <w:r w:rsidR="00F00896">
        <w:t xml:space="preserve"> </w:t>
      </w:r>
      <w:r w:rsidR="00AD40C4">
        <w:t>As Bob Atkinson noted in his report on Youth Justice</w:t>
      </w:r>
    </w:p>
    <w:p w14:paraId="50A07F1F" w14:textId="44EC4628" w:rsidR="00F466D3" w:rsidRDefault="00F466D3" w:rsidP="00B12BAB">
      <w:pPr>
        <w:pStyle w:val="Quote"/>
      </w:pPr>
      <w:r>
        <w:t>studies by child offending experts suggest that children below the age of 14 have rarely developed the social, emotional and intellectual maturity necessary to determine criminal responsibility. Studies in this area widely recognise the strong correlation between early involvement in the youth justice system and chronic offending in adulthood, the trajectory through the criminal justice system often being more rapid the earlier a young person is involved with the system. Whilst causation remains difficult to establish, it is suggested that a more child and family centred approach to offending at this age can help ameliorate the circumstances that led to the offending at a young age.</w:t>
      </w:r>
      <w:r w:rsidR="00F00896">
        <w:rPr>
          <w:rStyle w:val="FootnoteReference"/>
        </w:rPr>
        <w:footnoteReference w:id="52"/>
      </w:r>
    </w:p>
    <w:p w14:paraId="267EC8B7" w14:textId="23300E24" w:rsidR="001747C1" w:rsidRDefault="001C3E34" w:rsidP="00E50C86">
      <w:pPr>
        <w:pStyle w:val="Numberedparagraph"/>
      </w:pPr>
      <w:r>
        <w:t xml:space="preserve">The </w:t>
      </w:r>
      <w:r w:rsidR="000D7C5D">
        <w:t xml:space="preserve">QFCC </w:t>
      </w:r>
      <w:r>
        <w:t xml:space="preserve">has </w:t>
      </w:r>
      <w:r w:rsidR="00C77FF1">
        <w:t>reported on concerns in particular with</w:t>
      </w:r>
      <w:r w:rsidR="0027176E">
        <w:t xml:space="preserve"> excessive police call-outs and</w:t>
      </w:r>
      <w:r w:rsidR="00C77FF1">
        <w:t xml:space="preserve"> criminalisation of children living in residential car</w:t>
      </w:r>
      <w:r w:rsidR="003B01A3">
        <w:t xml:space="preserve">e. It reported examples of </w:t>
      </w:r>
      <w:r w:rsidR="008D7FFD">
        <w:t xml:space="preserve">children who </w:t>
      </w:r>
      <w:r w:rsidR="00FE398C">
        <w:t xml:space="preserve">had been </w:t>
      </w:r>
      <w:r w:rsidR="008D7FFD">
        <w:t>charged for property damage for pushing a stool over</w:t>
      </w:r>
      <w:r w:rsidR="007978E6">
        <w:t xml:space="preserve">, </w:t>
      </w:r>
      <w:r w:rsidR="00D63DDD">
        <w:t xml:space="preserve">and stealing for </w:t>
      </w:r>
      <w:r w:rsidR="006358AC">
        <w:t>leaving the</w:t>
      </w:r>
      <w:r w:rsidR="00652BAB">
        <w:t>ir</w:t>
      </w:r>
      <w:r w:rsidR="006358AC">
        <w:t xml:space="preserve"> residential service for a period of hours with a borrowed key to their room</w:t>
      </w:r>
      <w:r w:rsidR="0072746C">
        <w:t>.</w:t>
      </w:r>
      <w:r w:rsidR="00652BAB">
        <w:rPr>
          <w:rStyle w:val="FootnoteReference"/>
        </w:rPr>
        <w:footnoteReference w:id="53"/>
      </w:r>
      <w:r w:rsidR="001747C1">
        <w:t xml:space="preserve"> </w:t>
      </w:r>
      <w:r w:rsidR="0024532E">
        <w:t xml:space="preserve">Such </w:t>
      </w:r>
      <w:r w:rsidR="00E50C86">
        <w:t>police intervention</w:t>
      </w:r>
      <w:r w:rsidR="001747C1">
        <w:rPr>
          <w:szCs w:val="22"/>
        </w:rPr>
        <w:t xml:space="preserve"> </w:t>
      </w:r>
      <w:r w:rsidR="00E50C86">
        <w:rPr>
          <w:sz w:val="20"/>
          <w:szCs w:val="20"/>
        </w:rPr>
        <w:t>‘</w:t>
      </w:r>
      <w:r w:rsidR="00DC35D6">
        <w:t>presumes children living in residential</w:t>
      </w:r>
      <w:r w:rsidR="00251B1B">
        <w:t xml:space="preserve"> care are potential criminals and increases their contact with the criminal justice system where they otherwise would have had none</w:t>
      </w:r>
      <w:r w:rsidR="00E50C86">
        <w:t>’</w:t>
      </w:r>
      <w:r w:rsidR="00251B1B">
        <w:t>.</w:t>
      </w:r>
      <w:r w:rsidR="00F44AA5">
        <w:rPr>
          <w:rStyle w:val="FootnoteReference"/>
        </w:rPr>
        <w:footnoteReference w:id="54"/>
      </w:r>
      <w:r w:rsidR="000940F1">
        <w:t xml:space="preserve"> </w:t>
      </w:r>
      <w:r w:rsidR="00CA3605">
        <w:t>As the QFCC has noted, ‘[t]hese children can rightfully expect to be cared for within a trauma-responsive system that does not unnecessarily criminalise behaviours that would not be treated as criminal in a family home’.</w:t>
      </w:r>
      <w:r w:rsidR="00F179D3">
        <w:rPr>
          <w:rStyle w:val="FootnoteReference"/>
        </w:rPr>
        <w:footnoteReference w:id="55"/>
      </w:r>
    </w:p>
    <w:p w14:paraId="0E094488" w14:textId="4C02C2FE" w:rsidR="00D35BF8" w:rsidRDefault="00D35BF8" w:rsidP="00E50C86">
      <w:pPr>
        <w:pStyle w:val="Numberedparagraph"/>
      </w:pPr>
      <w:r>
        <w:t xml:space="preserve">Relatedly, police should not have a lead role in policy or action </w:t>
      </w:r>
      <w:r w:rsidR="00073936">
        <w:t xml:space="preserve">that is in response </w:t>
      </w:r>
      <w:r>
        <w:t>to challenging behaviours</w:t>
      </w:r>
      <w:r w:rsidR="00073936">
        <w:t xml:space="preserve"> of children and young people</w:t>
      </w:r>
      <w:r>
        <w:t xml:space="preserve">. </w:t>
      </w:r>
    </w:p>
    <w:p w14:paraId="289D4C34" w14:textId="77777777" w:rsidR="00187D9F" w:rsidRDefault="00187D9F">
      <w:pPr>
        <w:spacing w:after="0"/>
        <w:rPr>
          <w:rFonts w:cs="Arial"/>
          <w:b/>
          <w:bCs/>
        </w:rPr>
      </w:pPr>
      <w:r>
        <w:rPr>
          <w:rFonts w:cs="Arial"/>
          <w:b/>
          <w:bCs/>
        </w:rPr>
        <w:br w:type="page"/>
      </w:r>
    </w:p>
    <w:p w14:paraId="49CF91C0" w14:textId="67493467" w:rsidR="00585504" w:rsidRDefault="004C73EE" w:rsidP="0052236F">
      <w:pPr>
        <w:pBdr>
          <w:top w:val="single" w:sz="4" w:space="1" w:color="auto"/>
          <w:left w:val="single" w:sz="4" w:space="4" w:color="auto"/>
          <w:bottom w:val="single" w:sz="4" w:space="1" w:color="auto"/>
          <w:right w:val="single" w:sz="4" w:space="4" w:color="auto"/>
        </w:pBdr>
        <w:spacing w:after="200"/>
        <w:rPr>
          <w:rFonts w:cs="Arial"/>
        </w:rPr>
      </w:pPr>
      <w:r w:rsidRPr="000D7406">
        <w:rPr>
          <w:rFonts w:cs="Arial"/>
          <w:b/>
          <w:bCs/>
        </w:rPr>
        <w:t>Recommendation:</w:t>
      </w:r>
      <w:r w:rsidRPr="00585CB7">
        <w:rPr>
          <w:rFonts w:cs="Arial"/>
          <w:b/>
          <w:bCs/>
        </w:rPr>
        <w:t xml:space="preserve"> </w:t>
      </w:r>
      <w:bookmarkStart w:id="28" w:name="_Hlk159235299"/>
      <w:r>
        <w:rPr>
          <w:rFonts w:cs="Arial"/>
        </w:rPr>
        <w:t xml:space="preserve">The Plan should </w:t>
      </w:r>
      <w:r w:rsidR="00585504">
        <w:rPr>
          <w:rFonts w:cs="Arial"/>
        </w:rPr>
        <w:t>expressly refer to</w:t>
      </w:r>
      <w:r w:rsidR="00A15E0B">
        <w:rPr>
          <w:rFonts w:cs="Arial"/>
        </w:rPr>
        <w:t xml:space="preserve"> prioritising</w:t>
      </w:r>
      <w:r w:rsidR="00585504">
        <w:rPr>
          <w:rFonts w:cs="Arial"/>
        </w:rPr>
        <w:t>:</w:t>
      </w:r>
    </w:p>
    <w:p w14:paraId="4ACBDCDD" w14:textId="7E6C4754" w:rsidR="0052236F" w:rsidRDefault="0052236F" w:rsidP="008E6AFB">
      <w:pPr>
        <w:pStyle w:val="ListParagraph"/>
        <w:numPr>
          <w:ilvl w:val="0"/>
          <w:numId w:val="8"/>
        </w:numPr>
        <w:pBdr>
          <w:top w:val="single" w:sz="4" w:space="1" w:color="auto"/>
          <w:left w:val="single" w:sz="4" w:space="4" w:color="auto"/>
          <w:bottom w:val="single" w:sz="4" w:space="1" w:color="auto"/>
          <w:right w:val="single" w:sz="4" w:space="4" w:color="auto"/>
        </w:pBdr>
        <w:rPr>
          <w:rFonts w:cs="Arial"/>
        </w:rPr>
      </w:pPr>
      <w:bookmarkStart w:id="29" w:name="_Hlk159235252"/>
      <w:bookmarkEnd w:id="28"/>
      <w:r>
        <w:rPr>
          <w:rFonts w:cs="Arial"/>
        </w:rPr>
        <w:t xml:space="preserve">support of families over removal wherever possible </w:t>
      </w:r>
      <w:r w:rsidR="00146F44">
        <w:rPr>
          <w:rFonts w:cs="Arial"/>
        </w:rPr>
        <w:t>i</w:t>
      </w:r>
      <w:r>
        <w:rPr>
          <w:rFonts w:cs="Arial"/>
        </w:rPr>
        <w:t>n relation to supporting families and strengthening communities</w:t>
      </w:r>
    </w:p>
    <w:p w14:paraId="7D955F1C" w14:textId="1AF961A5" w:rsidR="0052236F" w:rsidRDefault="00146F44" w:rsidP="008E6AFB">
      <w:pPr>
        <w:pStyle w:val="Numberedparagraph"/>
        <w:numPr>
          <w:ilvl w:val="0"/>
          <w:numId w:val="8"/>
        </w:numPr>
        <w:pBdr>
          <w:top w:val="single" w:sz="4" w:space="1" w:color="auto"/>
          <w:left w:val="single" w:sz="4" w:space="4" w:color="auto"/>
          <w:bottom w:val="single" w:sz="4" w:space="1" w:color="auto"/>
          <w:right w:val="single" w:sz="4" w:space="4" w:color="auto"/>
        </w:pBdr>
      </w:pPr>
      <w:r>
        <w:t>legislative and policy reform to minimise</w:t>
      </w:r>
      <w:r w:rsidR="0052236F">
        <w:t xml:space="preserve"> school disciplinary absences in</w:t>
      </w:r>
      <w:r w:rsidR="00AA476C">
        <w:t xml:space="preserve"> relation to</w:t>
      </w:r>
      <w:r w:rsidR="0052236F">
        <w:t xml:space="preserve"> supporting confident transitions to education and training</w:t>
      </w:r>
    </w:p>
    <w:p w14:paraId="73F42636" w14:textId="03FC14C0" w:rsidR="004C73EE" w:rsidRDefault="0052236F" w:rsidP="000D7C5D">
      <w:pPr>
        <w:pBdr>
          <w:top w:val="single" w:sz="4" w:space="1" w:color="auto"/>
          <w:left w:val="single" w:sz="4" w:space="4" w:color="auto"/>
          <w:bottom w:val="single" w:sz="4" w:space="1" w:color="auto"/>
          <w:right w:val="single" w:sz="4" w:space="4" w:color="auto"/>
        </w:pBdr>
        <w:rPr>
          <w:rFonts w:cs="Arial"/>
        </w:rPr>
      </w:pPr>
      <w:r>
        <w:rPr>
          <w:rFonts w:cs="Arial"/>
        </w:rPr>
        <w:t xml:space="preserve">and </w:t>
      </w:r>
      <w:r w:rsidR="004C73EE">
        <w:rPr>
          <w:rFonts w:cs="Arial"/>
        </w:rPr>
        <w:t>include as priority areas for investment</w:t>
      </w:r>
    </w:p>
    <w:p w14:paraId="03BFF82E" w14:textId="0B4515A4" w:rsidR="004C73EE" w:rsidRDefault="00321CD3" w:rsidP="008E6AFB">
      <w:pPr>
        <w:pStyle w:val="Numberedparagraph"/>
        <w:numPr>
          <w:ilvl w:val="0"/>
          <w:numId w:val="8"/>
        </w:numPr>
        <w:pBdr>
          <w:top w:val="single" w:sz="4" w:space="1" w:color="auto"/>
          <w:left w:val="single" w:sz="4" w:space="4" w:color="auto"/>
          <w:bottom w:val="single" w:sz="4" w:space="1" w:color="auto"/>
          <w:right w:val="single" w:sz="4" w:space="4" w:color="auto"/>
        </w:pBdr>
      </w:pPr>
      <w:r>
        <w:t>intensive and multidisciplinary support</w:t>
      </w:r>
      <w:r w:rsidR="00473BD1">
        <w:t xml:space="preserve"> for</w:t>
      </w:r>
      <w:r>
        <w:t xml:space="preserve"> </w:t>
      </w:r>
      <w:r w:rsidR="004C73EE">
        <w:t>continued engagement in school or training</w:t>
      </w:r>
    </w:p>
    <w:p w14:paraId="29B5C9C7" w14:textId="3BFE9659" w:rsidR="008E1564" w:rsidRDefault="008E1564" w:rsidP="008E6AFB">
      <w:pPr>
        <w:pStyle w:val="Numberedparagraph"/>
        <w:numPr>
          <w:ilvl w:val="0"/>
          <w:numId w:val="8"/>
        </w:numPr>
        <w:pBdr>
          <w:top w:val="single" w:sz="4" w:space="1" w:color="auto"/>
          <w:left w:val="single" w:sz="4" w:space="4" w:color="auto"/>
          <w:bottom w:val="single" w:sz="4" w:space="1" w:color="auto"/>
          <w:right w:val="single" w:sz="4" w:space="4" w:color="auto"/>
        </w:pBdr>
      </w:pPr>
      <w:r>
        <w:t>addressing racism in schools</w:t>
      </w:r>
    </w:p>
    <w:p w14:paraId="79A707FC" w14:textId="0F83D96D" w:rsidR="000445B3" w:rsidRDefault="000445B3" w:rsidP="008E6AFB">
      <w:pPr>
        <w:pStyle w:val="Numberedparagraph"/>
        <w:numPr>
          <w:ilvl w:val="0"/>
          <w:numId w:val="8"/>
        </w:numPr>
        <w:pBdr>
          <w:top w:val="single" w:sz="4" w:space="1" w:color="auto"/>
          <w:left w:val="single" w:sz="4" w:space="4" w:color="auto"/>
          <w:bottom w:val="single" w:sz="4" w:space="1" w:color="auto"/>
          <w:right w:val="single" w:sz="4" w:space="4" w:color="auto"/>
        </w:pBdr>
      </w:pPr>
      <w:r>
        <w:t xml:space="preserve">supporting </w:t>
      </w:r>
      <w:r w:rsidR="008544CD">
        <w:t xml:space="preserve">strong </w:t>
      </w:r>
      <w:r w:rsidR="00DE780F">
        <w:t xml:space="preserve">cultural connection, </w:t>
      </w:r>
      <w:r>
        <w:t>cultural practices</w:t>
      </w:r>
      <w:r w:rsidR="00C03EF2">
        <w:t>,</w:t>
      </w:r>
      <w:r>
        <w:t xml:space="preserve"> and pride in Aboriginal and Torres Strait Islander c</w:t>
      </w:r>
      <w:r w:rsidR="00AC4744">
        <w:t xml:space="preserve">ulture in schools, including through </w:t>
      </w:r>
      <w:r w:rsidR="00A12B3C">
        <w:t>investing in promoting the role of Elders in schools</w:t>
      </w:r>
      <w:r w:rsidR="00871412">
        <w:t xml:space="preserve"> </w:t>
      </w:r>
    </w:p>
    <w:p w14:paraId="786BA71E" w14:textId="64FB1CDE" w:rsidR="00410D98" w:rsidRPr="001747C1" w:rsidRDefault="004C73EE" w:rsidP="008E6AFB">
      <w:pPr>
        <w:pStyle w:val="Numberedparagraph"/>
        <w:numPr>
          <w:ilvl w:val="0"/>
          <w:numId w:val="8"/>
        </w:numPr>
        <w:pBdr>
          <w:top w:val="single" w:sz="4" w:space="1" w:color="auto"/>
          <w:left w:val="single" w:sz="4" w:space="4" w:color="auto"/>
          <w:bottom w:val="single" w:sz="4" w:space="1" w:color="auto"/>
          <w:right w:val="single" w:sz="4" w:space="4" w:color="auto"/>
        </w:pBdr>
      </w:pPr>
      <w:r>
        <w:t>responding therapeutically to challenging behaviours</w:t>
      </w:r>
      <w:r w:rsidR="00585504">
        <w:t>,</w:t>
      </w:r>
      <w:r w:rsidR="00473BD1">
        <w:t xml:space="preserve"> </w:t>
      </w:r>
      <w:r w:rsidR="00585504">
        <w:t>i</w:t>
      </w:r>
      <w:r w:rsidR="00473BD1">
        <w:t>ncluding those displayed by children in residential care</w:t>
      </w:r>
      <w:bookmarkEnd w:id="29"/>
      <w:r>
        <w:t>.</w:t>
      </w:r>
    </w:p>
    <w:p w14:paraId="57D31A18" w14:textId="77777777" w:rsidR="00187D9F" w:rsidRDefault="00187D9F" w:rsidP="00187D9F">
      <w:pPr>
        <w:rPr>
          <w:lang w:val="en-US"/>
        </w:rPr>
      </w:pPr>
      <w:bookmarkStart w:id="30" w:name="_Toc158902691"/>
    </w:p>
    <w:p w14:paraId="158BCA2E" w14:textId="448C5CDB" w:rsidR="009056F4" w:rsidRPr="00881C23" w:rsidRDefault="009056F4" w:rsidP="009056F4">
      <w:pPr>
        <w:pStyle w:val="Heading1"/>
        <w:rPr>
          <w:lang w:val="en-US"/>
        </w:rPr>
      </w:pPr>
      <w:bookmarkStart w:id="31" w:name="_Toc159426539"/>
      <w:r>
        <w:rPr>
          <w:lang w:val="en-US"/>
        </w:rPr>
        <w:t>Consultation Question 4: C</w:t>
      </w:r>
      <w:r w:rsidRPr="00881C23">
        <w:rPr>
          <w:lang w:val="en-US"/>
        </w:rPr>
        <w:t>onnection to culture and community</w:t>
      </w:r>
      <w:bookmarkEnd w:id="30"/>
      <w:bookmarkEnd w:id="31"/>
    </w:p>
    <w:p w14:paraId="2ED7F82A" w14:textId="77777777" w:rsidR="009056F4" w:rsidRDefault="009056F4" w:rsidP="009056F4">
      <w:pPr>
        <w:pStyle w:val="Default"/>
        <w:rPr>
          <w:rFonts w:ascii="Arial" w:hAnsi="Arial" w:cs="Arial"/>
          <w:i/>
          <w:iCs/>
          <w:sz w:val="22"/>
          <w:szCs w:val="22"/>
        </w:rPr>
      </w:pPr>
      <w:r w:rsidRPr="00B25E65">
        <w:rPr>
          <w:rFonts w:ascii="Arial" w:hAnsi="Arial" w:cs="Arial"/>
          <w:i/>
          <w:iCs/>
          <w:sz w:val="22"/>
          <w:szCs w:val="22"/>
        </w:rPr>
        <w:t xml:space="preserve">How can we best support connection to culture and community for children, young people and families? </w:t>
      </w:r>
    </w:p>
    <w:p w14:paraId="2E58389A" w14:textId="77777777" w:rsidR="009056F4" w:rsidRDefault="009056F4" w:rsidP="009056F4">
      <w:pPr>
        <w:pStyle w:val="Default"/>
        <w:rPr>
          <w:rFonts w:ascii="Arial" w:hAnsi="Arial" w:cs="Arial"/>
          <w:i/>
          <w:iCs/>
          <w:sz w:val="22"/>
          <w:szCs w:val="22"/>
        </w:rPr>
      </w:pPr>
    </w:p>
    <w:p w14:paraId="054BD711" w14:textId="6478B6CC" w:rsidR="00CB76FA" w:rsidRDefault="00AB5D6A" w:rsidP="00E01748">
      <w:pPr>
        <w:pStyle w:val="Numberedparagraph"/>
      </w:pPr>
      <w:r>
        <w:t xml:space="preserve">Supporting </w:t>
      </w:r>
      <w:r w:rsidR="00D85C00">
        <w:t>connection to culture for young people requires</w:t>
      </w:r>
      <w:r w:rsidR="00500D27">
        <w:t xml:space="preserve"> </w:t>
      </w:r>
      <w:r w:rsidR="00500D27" w:rsidRPr="00094EE4">
        <w:rPr>
          <w:b/>
          <w:bCs/>
        </w:rPr>
        <w:t>acting consistently with the cultural rights</w:t>
      </w:r>
      <w:r w:rsidR="00D85C00">
        <w:rPr>
          <w:b/>
          <w:bCs/>
        </w:rPr>
        <w:t xml:space="preserve"> of their</w:t>
      </w:r>
      <w:r w:rsidR="006A326A">
        <w:rPr>
          <w:b/>
          <w:bCs/>
        </w:rPr>
        <w:t xml:space="preserve"> community</w:t>
      </w:r>
      <w:r w:rsidR="00500D27" w:rsidRPr="00094EE4">
        <w:rPr>
          <w:b/>
          <w:bCs/>
        </w:rPr>
        <w:t xml:space="preserve"> protected in the Human Rights Act</w:t>
      </w:r>
      <w:r w:rsidR="00500D27">
        <w:t>.</w:t>
      </w:r>
      <w:r w:rsidR="00500D27">
        <w:rPr>
          <w:rStyle w:val="FootnoteReference"/>
        </w:rPr>
        <w:footnoteReference w:id="56"/>
      </w:r>
      <w:r w:rsidR="00500D27">
        <w:t xml:space="preserve"> </w:t>
      </w:r>
      <w:r w:rsidR="00C92F66">
        <w:t>For First</w:t>
      </w:r>
      <w:r>
        <w:t xml:space="preserve"> Nations people,</w:t>
      </w:r>
      <w:r w:rsidR="00C92F66">
        <w:t xml:space="preserve"> these include</w:t>
      </w:r>
      <w:r>
        <w:t xml:space="preserve"> the right to </w:t>
      </w:r>
      <w:r w:rsidR="003F3315">
        <w:t>protect and develop identity and cultural heritage, to use language, to maintain kinship ties, to ma</w:t>
      </w:r>
      <w:r w:rsidR="00500D27">
        <w:t>intain and strengthen the</w:t>
      </w:r>
      <w:r w:rsidR="00C077D0">
        <w:t>ir</w:t>
      </w:r>
      <w:r w:rsidR="00500D27">
        <w:t xml:space="preserve"> relationship with the land, and </w:t>
      </w:r>
      <w:r w:rsidR="00C077D0">
        <w:t>to conserve and protect the environment.</w:t>
      </w:r>
      <w:r w:rsidR="00C077D0">
        <w:rPr>
          <w:rStyle w:val="FootnoteReference"/>
        </w:rPr>
        <w:footnoteReference w:id="57"/>
      </w:r>
      <w:r w:rsidR="00591A0D">
        <w:t xml:space="preserve"> </w:t>
      </w:r>
      <w:r w:rsidR="00400542">
        <w:t xml:space="preserve">In </w:t>
      </w:r>
      <w:r w:rsidR="00982732">
        <w:t>the previous section t</w:t>
      </w:r>
      <w:r w:rsidR="00591A0D">
        <w:t>he Commission outlined</w:t>
      </w:r>
      <w:r w:rsidR="00CA0F6D">
        <w:t>, for example,</w:t>
      </w:r>
      <w:r w:rsidR="003133AF">
        <w:t xml:space="preserve"> the important role of schools in promoting</w:t>
      </w:r>
      <w:r w:rsidR="00B776E7">
        <w:t xml:space="preserve"> respect for and empowering cultural knowledge,</w:t>
      </w:r>
      <w:r w:rsidR="003133AF">
        <w:t xml:space="preserve"> and facilitating cultural practices and pride in Aboriginal and Torres Strait Islander culture.</w:t>
      </w:r>
    </w:p>
    <w:p w14:paraId="39C0098D" w14:textId="5CBB38B0" w:rsidR="00C52C4F" w:rsidRDefault="00C52C4F" w:rsidP="00E01748">
      <w:pPr>
        <w:pStyle w:val="Numberedparagraph"/>
      </w:pPr>
      <w:r>
        <w:t xml:space="preserve">As discussed above, </w:t>
      </w:r>
      <w:r w:rsidR="00021D8C">
        <w:t>maintaining connection to culture</w:t>
      </w:r>
      <w:r w:rsidR="00CB76FA">
        <w:t xml:space="preserve"> also</w:t>
      </w:r>
      <w:r w:rsidR="00021D8C">
        <w:t xml:space="preserve"> requires a strong focus on </w:t>
      </w:r>
      <w:r w:rsidR="00021D8C" w:rsidRPr="00E01748">
        <w:rPr>
          <w:b/>
          <w:bCs/>
        </w:rPr>
        <w:t xml:space="preserve">keeping children with </w:t>
      </w:r>
      <w:r w:rsidR="007629E6">
        <w:rPr>
          <w:b/>
          <w:bCs/>
        </w:rPr>
        <w:t>families</w:t>
      </w:r>
      <w:r w:rsidR="00AF0FD4">
        <w:t xml:space="preserve"> </w:t>
      </w:r>
      <w:r w:rsidR="00021D8C">
        <w:t xml:space="preserve">and </w:t>
      </w:r>
      <w:r w:rsidR="00021D8C" w:rsidRPr="00E01748">
        <w:rPr>
          <w:b/>
          <w:bCs/>
        </w:rPr>
        <w:t xml:space="preserve">keeping </w:t>
      </w:r>
      <w:r w:rsidR="00AF0FD4">
        <w:rPr>
          <w:b/>
          <w:bCs/>
        </w:rPr>
        <w:t>children</w:t>
      </w:r>
      <w:r w:rsidR="00021D8C" w:rsidRPr="00E01748">
        <w:rPr>
          <w:b/>
          <w:bCs/>
        </w:rPr>
        <w:t xml:space="preserve"> out of</w:t>
      </w:r>
      <w:r w:rsidR="00E01748" w:rsidRPr="00E01748">
        <w:rPr>
          <w:b/>
          <w:bCs/>
        </w:rPr>
        <w:t xml:space="preserve"> detention</w:t>
      </w:r>
      <w:r w:rsidR="00021D8C" w:rsidRPr="00E01748">
        <w:rPr>
          <w:b/>
          <w:bCs/>
        </w:rPr>
        <w:t xml:space="preserve"> </w:t>
      </w:r>
      <w:r w:rsidR="008F1719">
        <w:rPr>
          <w:b/>
          <w:bCs/>
        </w:rPr>
        <w:t>and out of</w:t>
      </w:r>
      <w:r w:rsidR="00021D8C" w:rsidRPr="00E01748">
        <w:rPr>
          <w:b/>
          <w:bCs/>
        </w:rPr>
        <w:t xml:space="preserve"> the criminal justice system</w:t>
      </w:r>
      <w:r w:rsidR="00021D8C" w:rsidRPr="00E01748">
        <w:t>.</w:t>
      </w:r>
      <w:r w:rsidR="002502C9">
        <w:t xml:space="preserve"> </w:t>
      </w:r>
      <w:r w:rsidR="005F5960">
        <w:t xml:space="preserve">For these reasons it is important that these </w:t>
      </w:r>
      <w:r w:rsidR="00E03F9C">
        <w:t>are</w:t>
      </w:r>
      <w:r w:rsidR="005F5960">
        <w:t xml:space="preserve"> a focus of the principles and priority investment areas.</w:t>
      </w:r>
    </w:p>
    <w:p w14:paraId="66A761A3" w14:textId="4666FC62" w:rsidR="00597E88" w:rsidRDefault="00597E88" w:rsidP="00E01748">
      <w:pPr>
        <w:pStyle w:val="Numberedparagraph"/>
      </w:pPr>
      <w:r>
        <w:t>To maintain connec</w:t>
      </w:r>
      <w:r w:rsidR="00EB5CAC">
        <w:t>tion to</w:t>
      </w:r>
      <w:r w:rsidR="00BA7B7D">
        <w:t>, and a sense of belonging within,</w:t>
      </w:r>
      <w:r w:rsidR="00EB5CAC">
        <w:t xml:space="preserve"> </w:t>
      </w:r>
      <w:r w:rsidR="006A326A">
        <w:t xml:space="preserve">the wider </w:t>
      </w:r>
      <w:r w:rsidR="00EB5CAC">
        <w:t xml:space="preserve">community it is </w:t>
      </w:r>
      <w:r w:rsidR="00EB5CAC" w:rsidRPr="00C830BE">
        <w:t>also</w:t>
      </w:r>
      <w:r w:rsidR="00EB5CAC" w:rsidRPr="00C830BE">
        <w:rPr>
          <w:b/>
          <w:bCs/>
        </w:rPr>
        <w:t xml:space="preserve"> important that children and young people are not demonised within the </w:t>
      </w:r>
      <w:r w:rsidR="00513287" w:rsidRPr="00C830BE">
        <w:rPr>
          <w:b/>
          <w:bCs/>
        </w:rPr>
        <w:t>public discourse</w:t>
      </w:r>
      <w:r w:rsidR="00500B72">
        <w:t xml:space="preserve">, and that politicians, NGOs and the media are actively engaged in </w:t>
      </w:r>
      <w:r w:rsidR="00E77D57">
        <w:t xml:space="preserve">promoting </w:t>
      </w:r>
      <w:r w:rsidR="00C830BE">
        <w:t>understanding and</w:t>
      </w:r>
      <w:r w:rsidR="00500B72">
        <w:t xml:space="preserve"> inclusion</w:t>
      </w:r>
      <w:r w:rsidR="00513287">
        <w:t xml:space="preserve">. </w:t>
      </w:r>
      <w:r w:rsidR="00E64554">
        <w:t>As</w:t>
      </w:r>
      <w:r w:rsidR="00513287">
        <w:t xml:space="preserve"> the UN Committee on the Rights of the Child has emphasised:</w:t>
      </w:r>
    </w:p>
    <w:p w14:paraId="307BB148" w14:textId="5BE7365B" w:rsidR="009D0430" w:rsidRPr="009D0430" w:rsidRDefault="009056F4" w:rsidP="00A70D05">
      <w:pPr>
        <w:pStyle w:val="Quote"/>
      </w:pPr>
      <w:r>
        <w:rPr>
          <w:lang w:val="en-US"/>
        </w:rPr>
        <w:t xml:space="preserve">Children who commit offences are often subjected to negative publicity in the media, which contributes to a discriminatory and negative stereotyping of those children. This negative presentation or criminalization </w:t>
      </w:r>
      <w:r>
        <w:t>of children is often based on a misrepresentation and/or misunderstanding of the causes of crime, and regularly results in calls for tougher approaches (zero-tolerance and “three strikes” approaches, mandatory sentences, trial in adult courts and other primarily punitive measures). States parties should seek the active and positive involvement of Members of Parliament, non-governmental organizations and the media to promote and support education and other campaigns to ensure that all aspects of the Convention are upheld for children who are in the child justice system. It is crucial for children, in particular those who have experience with the child justice system, to be involved in these awareness-raising efforts.</w:t>
      </w:r>
      <w:r w:rsidR="00577C23">
        <w:rPr>
          <w:rStyle w:val="FootnoteReference"/>
        </w:rPr>
        <w:footnoteReference w:id="58"/>
      </w:r>
    </w:p>
    <w:p w14:paraId="05C84B5F" w14:textId="0F2BF9CB" w:rsidR="008F1719" w:rsidRDefault="008F1719" w:rsidP="008F1719">
      <w:pPr>
        <w:pStyle w:val="Numberedparagraph"/>
      </w:pPr>
      <w:r>
        <w:t xml:space="preserve">Bob Atkinson recommended that Government adopt a coordinated Statewide media strategy to promote and support </w:t>
      </w:r>
      <w:r w:rsidR="00BE5BCB">
        <w:t>t</w:t>
      </w:r>
      <w:r>
        <w:t>he Four Pillars policy position underpinning the youth justice strateg</w:t>
      </w:r>
      <w:r w:rsidR="00BE5BCB">
        <w:t>y, stating:</w:t>
      </w:r>
    </w:p>
    <w:p w14:paraId="13D267F6" w14:textId="74A26D15" w:rsidR="00BE5BCB" w:rsidRDefault="00BE5BCB" w:rsidP="000A55D6">
      <w:pPr>
        <w:pStyle w:val="Numberedparagraph"/>
        <w:numPr>
          <w:ilvl w:val="0"/>
          <w:numId w:val="0"/>
        </w:numPr>
        <w:ind w:left="993" w:right="985"/>
        <w:rPr>
          <w:sz w:val="20"/>
          <w:szCs w:val="20"/>
        </w:rPr>
      </w:pPr>
      <w:r w:rsidRPr="0008324B">
        <w:rPr>
          <w:sz w:val="20"/>
          <w:szCs w:val="20"/>
        </w:rPr>
        <w:t xml:space="preserve">The framework or ‘bookends’ of the Four Pillars policy position are public safety and community confidence. Both traditional mainstream media (print, radio, television) and social media have a significant role in influencing the public awareness and perception of safety and crime and the effectiveness of associated Government policy. </w:t>
      </w:r>
    </w:p>
    <w:p w14:paraId="01B56B4E" w14:textId="183B5240" w:rsidR="00BE5BCB" w:rsidRPr="000A55D6" w:rsidRDefault="00BE5BCB" w:rsidP="000A55D6">
      <w:pPr>
        <w:pStyle w:val="Numberedparagraph"/>
        <w:numPr>
          <w:ilvl w:val="0"/>
          <w:numId w:val="0"/>
        </w:numPr>
        <w:ind w:left="993" w:right="985"/>
        <w:rPr>
          <w:sz w:val="20"/>
          <w:szCs w:val="20"/>
        </w:rPr>
      </w:pPr>
      <w:r w:rsidRPr="00423360">
        <w:rPr>
          <w:sz w:val="20"/>
          <w:szCs w:val="20"/>
        </w:rPr>
        <w:t>…</w:t>
      </w:r>
      <w:r w:rsidRPr="000A55D6">
        <w:rPr>
          <w:sz w:val="20"/>
          <w:szCs w:val="20"/>
        </w:rPr>
        <w:t xml:space="preserve">Opportunities to present evidence, whether from practice or research papers, about what works could also help build a narrative that supports best practice in keeping communities safe and reducing youth reoffending. This may include availability of respected individuals for interview. </w:t>
      </w:r>
    </w:p>
    <w:p w14:paraId="5810FBEF" w14:textId="28A5F504" w:rsidR="00BE5BCB" w:rsidRPr="000A55D6" w:rsidRDefault="00BE5BCB" w:rsidP="000A55D6">
      <w:pPr>
        <w:pStyle w:val="Numberedparagraph"/>
        <w:numPr>
          <w:ilvl w:val="0"/>
          <w:numId w:val="0"/>
        </w:numPr>
        <w:ind w:left="993" w:right="985"/>
        <w:rPr>
          <w:sz w:val="20"/>
          <w:szCs w:val="20"/>
        </w:rPr>
      </w:pPr>
      <w:r w:rsidRPr="000A55D6">
        <w:rPr>
          <w:sz w:val="20"/>
          <w:szCs w:val="20"/>
        </w:rPr>
        <w:t>Additionally, the production of de-identified stories for mainstream and social media of children successfully emerging from a youth justice program as well as stories of the experiences of Youth Justice staff would assist in an enhanced public awareness of the circumstances of many children in the youth justice ‘system’, the associated challenges, and, more broadly, that there is no quick fix.</w:t>
      </w:r>
    </w:p>
    <w:p w14:paraId="0B45B178" w14:textId="0A3D672E" w:rsidR="00BE5BCB" w:rsidRPr="0043268D" w:rsidRDefault="00BE5BCB" w:rsidP="0043268D">
      <w:pPr>
        <w:pStyle w:val="Numberedparagraph"/>
        <w:numPr>
          <w:ilvl w:val="0"/>
          <w:numId w:val="0"/>
        </w:numPr>
        <w:ind w:left="993" w:right="985"/>
        <w:rPr>
          <w:sz w:val="20"/>
          <w:szCs w:val="20"/>
        </w:rPr>
      </w:pPr>
      <w:r>
        <w:t>…</w:t>
      </w:r>
    </w:p>
    <w:p w14:paraId="0E55E741" w14:textId="41CCD070" w:rsidR="00BE5BCB" w:rsidRPr="0043268D" w:rsidRDefault="00BE5BCB" w:rsidP="0043268D">
      <w:pPr>
        <w:pStyle w:val="Numberedparagraph"/>
        <w:numPr>
          <w:ilvl w:val="0"/>
          <w:numId w:val="0"/>
        </w:numPr>
        <w:ind w:left="993" w:right="985"/>
        <w:rPr>
          <w:sz w:val="20"/>
          <w:szCs w:val="20"/>
        </w:rPr>
      </w:pPr>
      <w:r w:rsidRPr="0043268D">
        <w:rPr>
          <w:sz w:val="20"/>
          <w:szCs w:val="20"/>
        </w:rPr>
        <w:t>Finally, if achievable, media support could drive a concerted community goal in terms of closing the gap in the representation of Aboriginal and Torres Strait Islander children in the criminal justice system.</w:t>
      </w:r>
      <w:r w:rsidR="00F851CF">
        <w:rPr>
          <w:rStyle w:val="FootnoteReference"/>
          <w:sz w:val="20"/>
          <w:szCs w:val="20"/>
        </w:rPr>
        <w:footnoteReference w:id="59"/>
      </w:r>
    </w:p>
    <w:p w14:paraId="400AB22E" w14:textId="2FBD1540" w:rsidR="00C61DD0" w:rsidRDefault="00C61DD0" w:rsidP="0043268D">
      <w:pPr>
        <w:pBdr>
          <w:top w:val="single" w:sz="4" w:space="1" w:color="auto"/>
          <w:left w:val="single" w:sz="4" w:space="4" w:color="auto"/>
          <w:bottom w:val="single" w:sz="4" w:space="1" w:color="auto"/>
          <w:right w:val="single" w:sz="4" w:space="4" w:color="auto"/>
        </w:pBdr>
        <w:ind w:left="142" w:hanging="142"/>
      </w:pPr>
      <w:r w:rsidRPr="0043268D">
        <w:rPr>
          <w:b/>
          <w:bCs/>
        </w:rPr>
        <w:t>Recommendation</w:t>
      </w:r>
      <w:r>
        <w:rPr>
          <w:b/>
          <w:bCs/>
        </w:rPr>
        <w:t>:</w:t>
      </w:r>
      <w:r w:rsidRPr="0043268D">
        <w:rPr>
          <w:b/>
          <w:bCs/>
        </w:rPr>
        <w:t xml:space="preserve"> </w:t>
      </w:r>
      <w:r>
        <w:t>Supporting connection to culture and community:</w:t>
      </w:r>
    </w:p>
    <w:p w14:paraId="75625C69" w14:textId="0F912E1C" w:rsidR="00C61DD0" w:rsidRPr="008C7FBF" w:rsidRDefault="00C61DD0" w:rsidP="008E6AFB">
      <w:pPr>
        <w:pStyle w:val="ListParagraph"/>
        <w:numPr>
          <w:ilvl w:val="0"/>
          <w:numId w:val="9"/>
        </w:numPr>
        <w:pBdr>
          <w:top w:val="single" w:sz="4" w:space="1" w:color="auto"/>
          <w:left w:val="single" w:sz="4" w:space="4" w:color="auto"/>
          <w:bottom w:val="single" w:sz="4" w:space="1" w:color="auto"/>
          <w:right w:val="single" w:sz="4" w:space="4" w:color="auto"/>
        </w:pBdr>
        <w:spacing w:after="200"/>
        <w:rPr>
          <w:rFonts w:cs="Arial"/>
        </w:rPr>
      </w:pPr>
      <w:r w:rsidRPr="008C7FBF">
        <w:rPr>
          <w:rFonts w:cs="Arial"/>
        </w:rPr>
        <w:t>should promote the cultural rights of Aboriginal peoples and Torres Strait Islander peoples protected under the Human Rights Act</w:t>
      </w:r>
    </w:p>
    <w:p w14:paraId="59800FD8" w14:textId="14FCC3BC" w:rsidR="00C61DD0" w:rsidRPr="008C7FBF" w:rsidRDefault="00C61DD0" w:rsidP="008E6AFB">
      <w:pPr>
        <w:pStyle w:val="ListParagraph"/>
        <w:numPr>
          <w:ilvl w:val="0"/>
          <w:numId w:val="9"/>
        </w:numPr>
        <w:pBdr>
          <w:top w:val="single" w:sz="4" w:space="1" w:color="auto"/>
          <w:left w:val="single" w:sz="4" w:space="4" w:color="auto"/>
          <w:bottom w:val="single" w:sz="4" w:space="1" w:color="auto"/>
          <w:right w:val="single" w:sz="4" w:space="4" w:color="auto"/>
        </w:pBdr>
        <w:spacing w:after="200"/>
        <w:rPr>
          <w:rFonts w:cs="Arial"/>
        </w:rPr>
      </w:pPr>
      <w:r w:rsidRPr="008C7FBF">
        <w:rPr>
          <w:rFonts w:cs="Arial"/>
        </w:rPr>
        <w:t>requires a strong focus on keeping children with their families and communities</w:t>
      </w:r>
    </w:p>
    <w:p w14:paraId="20ECBA4C" w14:textId="77777777" w:rsidR="00C61DD0" w:rsidRPr="008C7FBF" w:rsidRDefault="00C61DD0" w:rsidP="008E6AFB">
      <w:pPr>
        <w:pStyle w:val="ListParagraph"/>
        <w:numPr>
          <w:ilvl w:val="0"/>
          <w:numId w:val="9"/>
        </w:numPr>
        <w:pBdr>
          <w:top w:val="single" w:sz="4" w:space="1" w:color="auto"/>
          <w:left w:val="single" w:sz="4" w:space="4" w:color="auto"/>
          <w:bottom w:val="single" w:sz="4" w:space="1" w:color="auto"/>
          <w:right w:val="single" w:sz="4" w:space="4" w:color="auto"/>
        </w:pBdr>
        <w:spacing w:after="200"/>
        <w:rPr>
          <w:rFonts w:cs="Arial"/>
        </w:rPr>
      </w:pPr>
      <w:r w:rsidRPr="008C7FBF">
        <w:rPr>
          <w:rFonts w:cs="Arial"/>
        </w:rPr>
        <w:t>includes having a media strategy that promotes understanding and inclusion of children and young people.</w:t>
      </w:r>
    </w:p>
    <w:p w14:paraId="6219CE1A" w14:textId="77777777" w:rsidR="00187D9F" w:rsidRDefault="00187D9F" w:rsidP="00187D9F">
      <w:pPr>
        <w:rPr>
          <w:lang w:val="en-US"/>
        </w:rPr>
      </w:pPr>
      <w:bookmarkStart w:id="32" w:name="_Toc158902692"/>
    </w:p>
    <w:p w14:paraId="47FDA6D2" w14:textId="788003AC" w:rsidR="009056F4" w:rsidRPr="00881C23" w:rsidRDefault="009056F4" w:rsidP="009056F4">
      <w:pPr>
        <w:pStyle w:val="Heading1"/>
        <w:rPr>
          <w:lang w:val="en-US"/>
        </w:rPr>
      </w:pPr>
      <w:bookmarkStart w:id="33" w:name="_Toc159426540"/>
      <w:r>
        <w:rPr>
          <w:lang w:val="en-US"/>
        </w:rPr>
        <w:t xml:space="preserve">Consultation Question 5: </w:t>
      </w:r>
      <w:r w:rsidRPr="00881C23">
        <w:rPr>
          <w:lang w:val="en-US"/>
        </w:rPr>
        <w:t>Working together</w:t>
      </w:r>
      <w:bookmarkEnd w:id="32"/>
      <w:bookmarkEnd w:id="33"/>
    </w:p>
    <w:p w14:paraId="68F5A333" w14:textId="77777777" w:rsidR="009056F4" w:rsidRPr="00AC29A9" w:rsidRDefault="009056F4" w:rsidP="009056F4">
      <w:pPr>
        <w:pStyle w:val="Default"/>
        <w:rPr>
          <w:rFonts w:ascii="Arial" w:hAnsi="Arial" w:cs="Arial"/>
          <w:i/>
          <w:iCs/>
          <w:sz w:val="22"/>
          <w:szCs w:val="22"/>
        </w:rPr>
      </w:pPr>
      <w:r w:rsidRPr="00AC29A9">
        <w:rPr>
          <w:rFonts w:ascii="Arial" w:hAnsi="Arial" w:cs="Arial"/>
          <w:i/>
          <w:iCs/>
          <w:sz w:val="22"/>
          <w:szCs w:val="22"/>
        </w:rPr>
        <w:t xml:space="preserve">What would it look like for us to work together as partners, all committed to improving outcomes for children and young people? </w:t>
      </w:r>
    </w:p>
    <w:p w14:paraId="3282BE5C" w14:textId="77777777" w:rsidR="009056F4" w:rsidRPr="00881C23" w:rsidRDefault="009056F4" w:rsidP="009056F4">
      <w:pPr>
        <w:pStyle w:val="Default"/>
        <w:rPr>
          <w:rFonts w:ascii="Arial" w:hAnsi="Arial" w:cs="Arial"/>
          <w:i/>
          <w:iCs/>
          <w:sz w:val="20"/>
          <w:szCs w:val="20"/>
        </w:rPr>
      </w:pPr>
    </w:p>
    <w:p w14:paraId="7417C614" w14:textId="6E7B7947" w:rsidR="00640548" w:rsidRDefault="00867128" w:rsidP="00002CA2">
      <w:pPr>
        <w:pStyle w:val="Numberedparagraph"/>
        <w:rPr>
          <w:lang w:val="en-US"/>
        </w:rPr>
      </w:pPr>
      <w:r>
        <w:rPr>
          <w:lang w:val="en-US"/>
        </w:rPr>
        <w:t>One of the key purposes of the Plan is to consolidate the whole</w:t>
      </w:r>
      <w:r w:rsidR="00A15E0B">
        <w:rPr>
          <w:lang w:val="en-US"/>
        </w:rPr>
        <w:t>-</w:t>
      </w:r>
      <w:r>
        <w:rPr>
          <w:lang w:val="en-US"/>
        </w:rPr>
        <w:t>of</w:t>
      </w:r>
      <w:r w:rsidR="00A15E0B">
        <w:rPr>
          <w:lang w:val="en-US"/>
        </w:rPr>
        <w:t>-</w:t>
      </w:r>
      <w:r>
        <w:rPr>
          <w:lang w:val="en-US"/>
        </w:rPr>
        <w:t xml:space="preserve">government commitment to the vision for children and young people sought by the Plan, </w:t>
      </w:r>
      <w:r w:rsidR="009142E9">
        <w:rPr>
          <w:lang w:val="en-US"/>
        </w:rPr>
        <w:t xml:space="preserve">which then enables a coordinated approach </w:t>
      </w:r>
      <w:r w:rsidR="00246878">
        <w:rPr>
          <w:lang w:val="en-US"/>
        </w:rPr>
        <w:t xml:space="preserve">within </w:t>
      </w:r>
      <w:r w:rsidR="009142E9">
        <w:rPr>
          <w:lang w:val="en-US"/>
        </w:rPr>
        <w:t>government</w:t>
      </w:r>
      <w:r w:rsidR="00246878">
        <w:rPr>
          <w:lang w:val="en-US"/>
        </w:rPr>
        <w:t>,</w:t>
      </w:r>
      <w:r w:rsidR="009142E9">
        <w:rPr>
          <w:lang w:val="en-US"/>
        </w:rPr>
        <w:t xml:space="preserve"> </w:t>
      </w:r>
      <w:r w:rsidR="00246878">
        <w:rPr>
          <w:lang w:val="en-US"/>
        </w:rPr>
        <w:t xml:space="preserve">and with </w:t>
      </w:r>
      <w:r w:rsidR="009142E9">
        <w:rPr>
          <w:lang w:val="en-US"/>
        </w:rPr>
        <w:t>non-government agencies</w:t>
      </w:r>
      <w:r w:rsidR="00246878">
        <w:rPr>
          <w:lang w:val="en-US"/>
        </w:rPr>
        <w:t xml:space="preserve">, across multiple domains. </w:t>
      </w:r>
      <w:r w:rsidR="003617B1" w:rsidRPr="00246878">
        <w:rPr>
          <w:lang w:val="en-US"/>
        </w:rPr>
        <w:t>The New Zealand strategy articulates the challenge as follows:</w:t>
      </w:r>
    </w:p>
    <w:p w14:paraId="3825460E" w14:textId="77777777" w:rsidR="003617B1" w:rsidRPr="00864F47" w:rsidRDefault="003617B1" w:rsidP="002D0E21">
      <w:pPr>
        <w:pStyle w:val="Quote"/>
      </w:pPr>
      <w:r w:rsidRPr="00864F47">
        <w:t xml:space="preserve">Despite significant government investment in public policies, services and local initiatives, inequities for many children and young people have proven difficult to shift. Like other countries, a key problem is one of ‘fragmentation of effort’. At a public policy level there are too many policies that were developed and implemented in silos. Fragmentation and lack of coordination happens vertically (between national and local government), horizontally (between different agencies), by age (such as antenatal and postnatal, preschool, school age, tertiary), and by different groups or areas of focus (such as parenting support, family violence, job seeker). </w:t>
      </w:r>
    </w:p>
    <w:p w14:paraId="29F4E1DB" w14:textId="77777777" w:rsidR="00864F47" w:rsidRPr="00864F47" w:rsidRDefault="003617B1" w:rsidP="002D0E21">
      <w:pPr>
        <w:pStyle w:val="Quote"/>
      </w:pPr>
      <w:r w:rsidRPr="00864F47">
        <w:t xml:space="preserve">This same fragmentation is replicated in government and non-governmental contracted services. Investment is often ad hoc, not sustained, and with little responsiveness to new evidence or cultural knowledge, including insights from service users (such as children, young people and their families). This, in turn, creates fragmentation of advocacy as different groups seek to solve different parts of the puzzle. Until now, there has been no unifying message or way of talking about child and youth wellbeing in New Zealand or way of aligning efforts to a common set of goals. </w:t>
      </w:r>
    </w:p>
    <w:p w14:paraId="01D1DBFE" w14:textId="1D6CB793" w:rsidR="003617B1" w:rsidRPr="00864F47" w:rsidRDefault="003617B1" w:rsidP="002D0E21">
      <w:pPr>
        <w:pStyle w:val="Quote"/>
        <w:rPr>
          <w:lang w:val="en-US"/>
        </w:rPr>
      </w:pPr>
      <w:r w:rsidRPr="00864F47">
        <w:t>Aligning government action with community action has the potential to create the transformative change required for the Strategy to achieve its vision.</w:t>
      </w:r>
      <w:r w:rsidR="00864F47">
        <w:rPr>
          <w:rStyle w:val="FootnoteReference"/>
        </w:rPr>
        <w:footnoteReference w:id="60"/>
      </w:r>
    </w:p>
    <w:p w14:paraId="7FAAFC6D" w14:textId="57026BF8" w:rsidR="003D099C" w:rsidRPr="004642E5" w:rsidRDefault="00002CA2" w:rsidP="00002CA2">
      <w:pPr>
        <w:pStyle w:val="Numberedparagraph"/>
        <w:rPr>
          <w:lang w:val="en-US"/>
        </w:rPr>
      </w:pPr>
      <w:r>
        <w:rPr>
          <w:lang w:val="en-US"/>
        </w:rPr>
        <w:t>The</w:t>
      </w:r>
      <w:r w:rsidR="00C12F50">
        <w:rPr>
          <w:lang w:val="en-US"/>
        </w:rPr>
        <w:t xml:space="preserve"> Commission strongly supports the</w:t>
      </w:r>
      <w:r>
        <w:rPr>
          <w:lang w:val="en-US"/>
        </w:rPr>
        <w:t xml:space="preserve"> Plan’s emphasis on </w:t>
      </w:r>
      <w:r w:rsidR="00C555DD">
        <w:rPr>
          <w:b/>
          <w:bCs/>
          <w:lang w:val="en-US"/>
        </w:rPr>
        <w:t xml:space="preserve">partnering </w:t>
      </w:r>
      <w:r w:rsidR="00E96221">
        <w:rPr>
          <w:b/>
          <w:bCs/>
          <w:lang w:val="en-US"/>
        </w:rPr>
        <w:t>for integrated, place-based and First Nations led delivery</w:t>
      </w:r>
      <w:r w:rsidR="007C46D6">
        <w:rPr>
          <w:lang w:val="en-US"/>
        </w:rPr>
        <w:t xml:space="preserve"> </w:t>
      </w:r>
      <w:r w:rsidR="007B05C8">
        <w:rPr>
          <w:lang w:val="en-US"/>
        </w:rPr>
        <w:t xml:space="preserve">– </w:t>
      </w:r>
      <w:r w:rsidR="001914E9">
        <w:rPr>
          <w:lang w:val="en-US"/>
        </w:rPr>
        <w:t xml:space="preserve">driven by and </w:t>
      </w:r>
      <w:r w:rsidR="009D2FB0">
        <w:rPr>
          <w:lang w:val="en-US"/>
        </w:rPr>
        <w:t>delivering through</w:t>
      </w:r>
      <w:r w:rsidR="007B05C8">
        <w:rPr>
          <w:lang w:val="en-US"/>
        </w:rPr>
        <w:t xml:space="preserve"> </w:t>
      </w:r>
      <w:r w:rsidR="00CE0A5D">
        <w:rPr>
          <w:lang w:val="en-US"/>
        </w:rPr>
        <w:t>‘</w:t>
      </w:r>
      <w:r w:rsidR="007B05C8">
        <w:rPr>
          <w:lang w:val="en-US"/>
        </w:rPr>
        <w:t xml:space="preserve">those providers best placed to engage with vulnerable children </w:t>
      </w:r>
      <w:r w:rsidR="00662963">
        <w:rPr>
          <w:lang w:val="en-US"/>
        </w:rPr>
        <w:t>and families across the State</w:t>
      </w:r>
      <w:r w:rsidR="008E4BEB">
        <w:rPr>
          <w:lang w:val="en-US"/>
        </w:rPr>
        <w:t>’</w:t>
      </w:r>
      <w:r w:rsidR="00662963">
        <w:rPr>
          <w:lang w:val="en-US"/>
        </w:rPr>
        <w:t>.</w:t>
      </w:r>
      <w:r w:rsidR="00426950">
        <w:rPr>
          <w:rStyle w:val="FootnoteReference"/>
          <w:lang w:val="en-US"/>
        </w:rPr>
        <w:footnoteReference w:id="61"/>
      </w:r>
    </w:p>
    <w:p w14:paraId="1B0CBF24" w14:textId="61B97C40" w:rsidR="00C57ECF" w:rsidRDefault="00974521" w:rsidP="00002CA2">
      <w:pPr>
        <w:pStyle w:val="Numberedparagraph"/>
        <w:rPr>
          <w:lang w:val="en-US"/>
        </w:rPr>
      </w:pPr>
      <w:r>
        <w:rPr>
          <w:lang w:val="en-US"/>
        </w:rPr>
        <w:t>However,</w:t>
      </w:r>
      <w:r w:rsidR="00322FDF">
        <w:rPr>
          <w:lang w:val="en-US"/>
        </w:rPr>
        <w:t xml:space="preserve"> at the government level,</w:t>
      </w:r>
      <w:r>
        <w:rPr>
          <w:lang w:val="en-US"/>
        </w:rPr>
        <w:t xml:space="preserve"> </w:t>
      </w:r>
      <w:r w:rsidR="00613B81">
        <w:rPr>
          <w:lang w:val="en-US"/>
        </w:rPr>
        <w:t xml:space="preserve">achieving </w:t>
      </w:r>
      <w:r w:rsidR="00656BAA">
        <w:rPr>
          <w:lang w:val="en-US"/>
        </w:rPr>
        <w:t>the</w:t>
      </w:r>
      <w:r w:rsidR="0096083C">
        <w:rPr>
          <w:lang w:val="en-US"/>
        </w:rPr>
        <w:t xml:space="preserve"> Plan’s</w:t>
      </w:r>
      <w:r w:rsidR="00410FB5">
        <w:rPr>
          <w:lang w:val="en-US"/>
        </w:rPr>
        <w:t xml:space="preserve"> overall</w:t>
      </w:r>
      <w:r w:rsidR="0096083C">
        <w:rPr>
          <w:lang w:val="en-US"/>
        </w:rPr>
        <w:t xml:space="preserve"> vision </w:t>
      </w:r>
      <w:r>
        <w:rPr>
          <w:lang w:val="en-US"/>
        </w:rPr>
        <w:t>also requires</w:t>
      </w:r>
      <w:r w:rsidR="000B4928">
        <w:rPr>
          <w:lang w:val="en-US"/>
        </w:rPr>
        <w:t>:</w:t>
      </w:r>
    </w:p>
    <w:p w14:paraId="1DA7F7A7" w14:textId="09B520A3" w:rsidR="000B4928" w:rsidRPr="00C51607" w:rsidRDefault="003F6A83" w:rsidP="00DF2EA6">
      <w:pPr>
        <w:pStyle w:val="Bulletedlist"/>
        <w:rPr>
          <w:lang w:val="en-US"/>
        </w:rPr>
      </w:pPr>
      <w:r>
        <w:rPr>
          <w:lang w:val="en-US"/>
        </w:rPr>
        <w:t>e</w:t>
      </w:r>
      <w:r w:rsidR="000B4928" w:rsidRPr="00C51607">
        <w:rPr>
          <w:lang w:val="en-US"/>
        </w:rPr>
        <w:t xml:space="preserve">nsuring that </w:t>
      </w:r>
      <w:r w:rsidR="007536A3" w:rsidRPr="00C51607">
        <w:rPr>
          <w:lang w:val="en-US"/>
        </w:rPr>
        <w:t>legislation, policy,</w:t>
      </w:r>
      <w:r w:rsidR="00E02955" w:rsidRPr="00C51607">
        <w:rPr>
          <w:lang w:val="en-US"/>
        </w:rPr>
        <w:t xml:space="preserve"> and practice of public bodies </w:t>
      </w:r>
      <w:r w:rsidR="007536A3" w:rsidRPr="00C51607">
        <w:rPr>
          <w:lang w:val="en-US"/>
        </w:rPr>
        <w:t>does not work at cross-purposes to the Plan</w:t>
      </w:r>
      <w:r w:rsidR="00696140" w:rsidRPr="00C51607">
        <w:rPr>
          <w:lang w:val="en-US"/>
        </w:rPr>
        <w:t xml:space="preserve"> (see above, [</w:t>
      </w:r>
      <w:r w:rsidR="00AF6A39">
        <w:rPr>
          <w:lang w:val="en-US"/>
        </w:rPr>
        <w:t>22</w:t>
      </w:r>
      <w:r w:rsidR="00696140" w:rsidRPr="00C51607">
        <w:rPr>
          <w:lang w:val="en-US"/>
        </w:rPr>
        <w:t>]</w:t>
      </w:r>
      <w:r w:rsidR="00AF6A39">
        <w:rPr>
          <w:lang w:val="en-US"/>
        </w:rPr>
        <w:t>–[24]</w:t>
      </w:r>
      <w:r w:rsidR="00696140" w:rsidRPr="00C51607">
        <w:rPr>
          <w:lang w:val="en-US"/>
        </w:rPr>
        <w:t>)</w:t>
      </w:r>
    </w:p>
    <w:p w14:paraId="43197741" w14:textId="7EC23604" w:rsidR="007536A3" w:rsidRDefault="003F6A83" w:rsidP="007536A3">
      <w:pPr>
        <w:pStyle w:val="Bulletedlist"/>
        <w:rPr>
          <w:lang w:val="en-US"/>
        </w:rPr>
      </w:pPr>
      <w:r>
        <w:rPr>
          <w:lang w:val="en-US"/>
        </w:rPr>
        <w:t>a</w:t>
      </w:r>
      <w:r w:rsidR="00B42149">
        <w:rPr>
          <w:lang w:val="en-US"/>
        </w:rPr>
        <w:t>lignment across agencies through c</w:t>
      </w:r>
      <w:r w:rsidR="007148A9" w:rsidRPr="00DF2EA6">
        <w:rPr>
          <w:lang w:val="en-US"/>
        </w:rPr>
        <w:t xml:space="preserve">reation of </w:t>
      </w:r>
      <w:r w:rsidR="007148A9" w:rsidRPr="002D7BE1">
        <w:rPr>
          <w:b/>
          <w:bCs/>
          <w:lang w:val="en-US"/>
        </w:rPr>
        <w:t>a detailed</w:t>
      </w:r>
      <w:r w:rsidR="00876685" w:rsidRPr="002D7BE1">
        <w:rPr>
          <w:b/>
          <w:bCs/>
          <w:lang w:val="en-US"/>
        </w:rPr>
        <w:t xml:space="preserve"> and cohesive</w:t>
      </w:r>
      <w:r w:rsidR="00BA2264" w:rsidRPr="002D7BE1">
        <w:rPr>
          <w:b/>
          <w:bCs/>
          <w:lang w:val="en-US"/>
        </w:rPr>
        <w:t xml:space="preserve"> implementation </w:t>
      </w:r>
      <w:r w:rsidR="00C761CF" w:rsidRPr="002D7BE1">
        <w:rPr>
          <w:b/>
          <w:bCs/>
          <w:lang w:val="en-US"/>
        </w:rPr>
        <w:t>roadmap</w:t>
      </w:r>
      <w:r w:rsidR="00C761CF" w:rsidRPr="00C51607">
        <w:rPr>
          <w:lang w:val="en-US"/>
        </w:rPr>
        <w:t xml:space="preserve"> </w:t>
      </w:r>
    </w:p>
    <w:p w14:paraId="3B5D89B3" w14:textId="5F1D1192" w:rsidR="00333269" w:rsidRDefault="00616F75" w:rsidP="007D3177">
      <w:pPr>
        <w:pStyle w:val="Bulletedlist"/>
        <w:rPr>
          <w:lang w:val="en-US"/>
        </w:rPr>
      </w:pPr>
      <w:r>
        <w:rPr>
          <w:lang w:val="en-US"/>
        </w:rPr>
        <w:t>e</w:t>
      </w:r>
      <w:r w:rsidR="00D86027">
        <w:rPr>
          <w:lang w:val="en-US"/>
        </w:rPr>
        <w:t>stablishment of</w:t>
      </w:r>
      <w:r w:rsidR="00233402">
        <w:rPr>
          <w:lang w:val="en-US"/>
        </w:rPr>
        <w:t xml:space="preserve"> </w:t>
      </w:r>
      <w:r w:rsidR="00233402" w:rsidRPr="002D7BE1">
        <w:rPr>
          <w:b/>
          <w:bCs/>
          <w:lang w:val="en-US"/>
        </w:rPr>
        <w:t>outcomes and</w:t>
      </w:r>
      <w:r w:rsidR="00D86027" w:rsidRPr="002D7BE1">
        <w:rPr>
          <w:b/>
          <w:bCs/>
          <w:lang w:val="en-US"/>
        </w:rPr>
        <w:t xml:space="preserve"> </w:t>
      </w:r>
      <w:r w:rsidR="004D548A" w:rsidRPr="002D7BE1">
        <w:rPr>
          <w:b/>
          <w:bCs/>
          <w:lang w:val="en-US"/>
        </w:rPr>
        <w:t>key indicators</w:t>
      </w:r>
      <w:r w:rsidR="004D548A">
        <w:rPr>
          <w:lang w:val="en-US"/>
        </w:rPr>
        <w:t xml:space="preserve"> against which progress can be measured</w:t>
      </w:r>
    </w:p>
    <w:p w14:paraId="1559A168" w14:textId="5D13B4C1" w:rsidR="005C6940" w:rsidRDefault="003F6A83" w:rsidP="007D3177">
      <w:pPr>
        <w:pStyle w:val="Bulletedlist"/>
        <w:rPr>
          <w:lang w:val="en-US"/>
        </w:rPr>
      </w:pPr>
      <w:r>
        <w:rPr>
          <w:b/>
          <w:bCs/>
          <w:lang w:val="en-US"/>
        </w:rPr>
        <w:t>m</w:t>
      </w:r>
      <w:r w:rsidR="005C6940" w:rsidRPr="002D7BE1">
        <w:rPr>
          <w:b/>
          <w:bCs/>
          <w:lang w:val="en-US"/>
        </w:rPr>
        <w:t xml:space="preserve">easuring and </w:t>
      </w:r>
      <w:r w:rsidR="0068027C">
        <w:rPr>
          <w:b/>
          <w:bCs/>
          <w:lang w:val="en-US"/>
        </w:rPr>
        <w:t xml:space="preserve">transparently </w:t>
      </w:r>
      <w:r w:rsidR="005C6940" w:rsidRPr="002D7BE1">
        <w:rPr>
          <w:b/>
          <w:bCs/>
          <w:lang w:val="en-US"/>
        </w:rPr>
        <w:t>reporting on progress</w:t>
      </w:r>
      <w:r w:rsidR="005C6940">
        <w:rPr>
          <w:lang w:val="en-US"/>
        </w:rPr>
        <w:t>, and learning from what works</w:t>
      </w:r>
    </w:p>
    <w:p w14:paraId="0824C8C6" w14:textId="127C089C" w:rsidR="006E57F3" w:rsidRPr="006E57F3" w:rsidRDefault="003F6A83" w:rsidP="007D3177">
      <w:pPr>
        <w:pStyle w:val="Bulletedlist"/>
        <w:rPr>
          <w:lang w:val="en-US"/>
        </w:rPr>
      </w:pPr>
      <w:r>
        <w:rPr>
          <w:b/>
          <w:bCs/>
          <w:lang w:val="en-US"/>
        </w:rPr>
        <w:t>d</w:t>
      </w:r>
      <w:r w:rsidR="006E57F3" w:rsidRPr="006C6662">
        <w:rPr>
          <w:b/>
          <w:bCs/>
          <w:lang w:val="en-US"/>
        </w:rPr>
        <w:t>esignation of responsibility</w:t>
      </w:r>
      <w:r w:rsidR="006E57F3" w:rsidRPr="002D7BE1">
        <w:rPr>
          <w:lang w:val="en-US"/>
        </w:rPr>
        <w:t xml:space="preserve"> for driving progress and accountability</w:t>
      </w:r>
      <w:r w:rsidR="003753BD">
        <w:rPr>
          <w:lang w:val="en-US"/>
        </w:rPr>
        <w:t>.</w:t>
      </w:r>
    </w:p>
    <w:p w14:paraId="34FF49B3" w14:textId="05CBF1E4" w:rsidR="00B32D1E" w:rsidRPr="007D3177" w:rsidRDefault="00B32D1E" w:rsidP="002D7BE1">
      <w:pPr>
        <w:pStyle w:val="Heading3"/>
        <w:rPr>
          <w:lang w:val="en-US"/>
        </w:rPr>
      </w:pPr>
      <w:bookmarkStart w:id="34" w:name="_Toc159426541"/>
      <w:r>
        <w:rPr>
          <w:lang w:val="en-US"/>
        </w:rPr>
        <w:t xml:space="preserve">Implementation </w:t>
      </w:r>
      <w:r w:rsidR="00E0043B">
        <w:rPr>
          <w:lang w:val="en-US"/>
        </w:rPr>
        <w:t>roadmap</w:t>
      </w:r>
      <w:bookmarkEnd w:id="34"/>
    </w:p>
    <w:p w14:paraId="7F475F10" w14:textId="5152BD93" w:rsidR="00E0043B" w:rsidRDefault="000D5E2B" w:rsidP="00E0043B">
      <w:pPr>
        <w:pStyle w:val="Numberedparagraph"/>
        <w:rPr>
          <w:lang w:val="en-US"/>
        </w:rPr>
      </w:pPr>
      <w:r>
        <w:rPr>
          <w:lang w:val="en-US"/>
        </w:rPr>
        <w:t>To ensure that agencies are working together</w:t>
      </w:r>
      <w:r w:rsidR="00583C33">
        <w:rPr>
          <w:lang w:val="en-US"/>
        </w:rPr>
        <w:t xml:space="preserve"> effectively</w:t>
      </w:r>
      <w:r>
        <w:rPr>
          <w:lang w:val="en-US"/>
        </w:rPr>
        <w:t xml:space="preserve"> across the broad </w:t>
      </w:r>
      <w:r w:rsidR="00EC483E">
        <w:rPr>
          <w:lang w:val="en-US"/>
        </w:rPr>
        <w:t>range</w:t>
      </w:r>
      <w:r>
        <w:rPr>
          <w:lang w:val="en-US"/>
        </w:rPr>
        <w:t xml:space="preserve"> of areas covered by the Plan, it is crucial that </w:t>
      </w:r>
      <w:r w:rsidR="00583C33">
        <w:rPr>
          <w:lang w:val="en-US"/>
        </w:rPr>
        <w:t xml:space="preserve">a detailed implementation roadmap </w:t>
      </w:r>
      <w:r w:rsidR="00EC483E">
        <w:rPr>
          <w:lang w:val="en-US"/>
        </w:rPr>
        <w:t xml:space="preserve">is developed following adoption of the Plan. </w:t>
      </w:r>
      <w:r w:rsidR="00187B09">
        <w:rPr>
          <w:lang w:val="en-US"/>
        </w:rPr>
        <w:t>Within the identified priority areas, this should have</w:t>
      </w:r>
      <w:r w:rsidR="00E0043B" w:rsidRPr="00C51607">
        <w:rPr>
          <w:lang w:val="en-US"/>
        </w:rPr>
        <w:t xml:space="preserve"> immediate, medium-term, and long-term activities</w:t>
      </w:r>
      <w:r w:rsidR="00E0043B" w:rsidRPr="00DF2EA6">
        <w:rPr>
          <w:lang w:val="en-US"/>
        </w:rPr>
        <w:t xml:space="preserve"> assigned to lead agencies to be achieved within set timeframes.</w:t>
      </w:r>
    </w:p>
    <w:p w14:paraId="757093D5" w14:textId="3F2A1B49" w:rsidR="00A45A50" w:rsidRDefault="00A45A50" w:rsidP="00E0043B">
      <w:pPr>
        <w:pStyle w:val="Numberedparagraph"/>
        <w:rPr>
          <w:lang w:val="en-US"/>
        </w:rPr>
      </w:pPr>
      <w:r>
        <w:rPr>
          <w:lang w:val="en-US"/>
        </w:rPr>
        <w:t xml:space="preserve">The implementation roadmap must have input from non-government agencies, communities, families and children, including First Nations organisations and community leaders, in accordance with the recommended principles stepped through </w:t>
      </w:r>
      <w:r w:rsidRPr="002D0E21">
        <w:rPr>
          <w:b/>
          <w:bCs/>
          <w:lang w:val="en-US"/>
        </w:rPr>
        <w:t>Consultation</w:t>
      </w:r>
      <w:r>
        <w:rPr>
          <w:lang w:val="en-US"/>
        </w:rPr>
        <w:t xml:space="preserve"> </w:t>
      </w:r>
      <w:r w:rsidRPr="002D0E21">
        <w:rPr>
          <w:b/>
          <w:bCs/>
          <w:lang w:val="en-US"/>
        </w:rPr>
        <w:t>Question</w:t>
      </w:r>
      <w:r w:rsidR="00556361">
        <w:rPr>
          <w:b/>
          <w:bCs/>
          <w:lang w:val="en-US"/>
        </w:rPr>
        <w:t xml:space="preserve"> </w:t>
      </w:r>
      <w:r w:rsidRPr="002D0E21">
        <w:rPr>
          <w:b/>
          <w:bCs/>
          <w:lang w:val="en-US"/>
        </w:rPr>
        <w:t>1.</w:t>
      </w:r>
      <w:r>
        <w:rPr>
          <w:lang w:val="en-US"/>
        </w:rPr>
        <w:t xml:space="preserve"> </w:t>
      </w:r>
    </w:p>
    <w:p w14:paraId="10E7639B" w14:textId="59DD3E71" w:rsidR="00E0043B" w:rsidRDefault="00E0043B" w:rsidP="002D7BE1">
      <w:pPr>
        <w:pStyle w:val="Heading3"/>
        <w:rPr>
          <w:lang w:val="en-US"/>
        </w:rPr>
      </w:pPr>
      <w:bookmarkStart w:id="35" w:name="_Toc159426542"/>
      <w:r>
        <w:rPr>
          <w:lang w:val="en-US"/>
        </w:rPr>
        <w:t>Outcomes and indicators</w:t>
      </w:r>
      <w:bookmarkEnd w:id="35"/>
    </w:p>
    <w:p w14:paraId="270F4EEE" w14:textId="574F4798" w:rsidR="00E3225C" w:rsidRDefault="001C7296" w:rsidP="00DF2EA6">
      <w:pPr>
        <w:pStyle w:val="Numberedparagraph"/>
        <w:rPr>
          <w:lang w:val="en-US"/>
        </w:rPr>
      </w:pPr>
      <w:r>
        <w:rPr>
          <w:lang w:val="en-US"/>
        </w:rPr>
        <w:t xml:space="preserve">In relation to </w:t>
      </w:r>
      <w:r w:rsidR="00233402" w:rsidRPr="002D7BE1">
        <w:rPr>
          <w:b/>
          <w:bCs/>
          <w:lang w:val="en-US"/>
        </w:rPr>
        <w:t>outcomes</w:t>
      </w:r>
      <w:r>
        <w:rPr>
          <w:lang w:val="en-US"/>
        </w:rPr>
        <w:t>,</w:t>
      </w:r>
      <w:r w:rsidR="00423E3E">
        <w:rPr>
          <w:lang w:val="en-US"/>
        </w:rPr>
        <w:t xml:space="preserve"> the</w:t>
      </w:r>
      <w:r>
        <w:rPr>
          <w:lang w:val="en-US"/>
        </w:rPr>
        <w:t xml:space="preserve"> </w:t>
      </w:r>
      <w:r w:rsidR="00203687">
        <w:rPr>
          <w:lang w:val="en-US"/>
        </w:rPr>
        <w:t xml:space="preserve">New Zealand Child and </w:t>
      </w:r>
      <w:r w:rsidR="00423E3E">
        <w:rPr>
          <w:lang w:val="en-US"/>
        </w:rPr>
        <w:t xml:space="preserve">Youth </w:t>
      </w:r>
      <w:r w:rsidR="00203687">
        <w:rPr>
          <w:lang w:val="en-US"/>
        </w:rPr>
        <w:t xml:space="preserve">Strategy provides </w:t>
      </w:r>
      <w:r w:rsidR="004D548A">
        <w:rPr>
          <w:lang w:val="en-US"/>
        </w:rPr>
        <w:t xml:space="preserve">examples of </w:t>
      </w:r>
      <w:r w:rsidR="003B3CD2">
        <w:rPr>
          <w:lang w:val="en-US"/>
        </w:rPr>
        <w:t xml:space="preserve">what could </w:t>
      </w:r>
      <w:r w:rsidR="004D548A">
        <w:rPr>
          <w:lang w:val="en-US"/>
        </w:rPr>
        <w:t xml:space="preserve">be included in </w:t>
      </w:r>
      <w:r w:rsidR="0050601A">
        <w:rPr>
          <w:lang w:val="en-US"/>
        </w:rPr>
        <w:t>the</w:t>
      </w:r>
      <w:r w:rsidR="004D548A">
        <w:rPr>
          <w:lang w:val="en-US"/>
        </w:rPr>
        <w:t xml:space="preserve"> Plan</w:t>
      </w:r>
      <w:r w:rsidR="00F826E7">
        <w:rPr>
          <w:lang w:val="en-US"/>
        </w:rPr>
        <w:t xml:space="preserve">. </w:t>
      </w:r>
      <w:r w:rsidR="00233402">
        <w:rPr>
          <w:lang w:val="en-US"/>
        </w:rPr>
        <w:t>I</w:t>
      </w:r>
      <w:r w:rsidR="00F826E7">
        <w:rPr>
          <w:lang w:val="en-US"/>
        </w:rPr>
        <w:t xml:space="preserve">nformed by </w:t>
      </w:r>
      <w:r w:rsidR="00E3225C">
        <w:rPr>
          <w:lang w:val="en-US"/>
        </w:rPr>
        <w:t xml:space="preserve">what children and young people said was important to them, </w:t>
      </w:r>
      <w:r w:rsidR="00233402">
        <w:rPr>
          <w:lang w:val="en-US"/>
        </w:rPr>
        <w:t>the</w:t>
      </w:r>
      <w:r w:rsidR="0050601A">
        <w:rPr>
          <w:lang w:val="en-US"/>
        </w:rPr>
        <w:t xml:space="preserve"> </w:t>
      </w:r>
      <w:r w:rsidR="00093BEC">
        <w:rPr>
          <w:lang w:val="en-US"/>
        </w:rPr>
        <w:t>Strategy’s intended</w:t>
      </w:r>
      <w:r w:rsidR="0050601A">
        <w:rPr>
          <w:lang w:val="en-US"/>
        </w:rPr>
        <w:t xml:space="preserve"> </w:t>
      </w:r>
      <w:r w:rsidR="00093BEC">
        <w:rPr>
          <w:lang w:val="en-US"/>
        </w:rPr>
        <w:t>outcomes are</w:t>
      </w:r>
      <w:r w:rsidR="00233402">
        <w:rPr>
          <w:lang w:val="en-US"/>
        </w:rPr>
        <w:t>:</w:t>
      </w:r>
    </w:p>
    <w:p w14:paraId="4F459335" w14:textId="77777777" w:rsidR="00312E91" w:rsidRDefault="00312E91" w:rsidP="00E3225C">
      <w:pPr>
        <w:pStyle w:val="Bulletedlist"/>
        <w:rPr>
          <w:lang w:val="en-US"/>
        </w:rPr>
      </w:pPr>
      <w:r>
        <w:rPr>
          <w:lang w:val="en-US"/>
        </w:rPr>
        <w:t>Children and young people are loved, safe and nurtured</w:t>
      </w:r>
    </w:p>
    <w:p w14:paraId="5263E4C4" w14:textId="77777777" w:rsidR="00312E91" w:rsidRDefault="00312E91" w:rsidP="00E3225C">
      <w:pPr>
        <w:pStyle w:val="Bulletedlist"/>
        <w:rPr>
          <w:lang w:val="en-US"/>
        </w:rPr>
      </w:pPr>
      <w:r>
        <w:rPr>
          <w:lang w:val="en-US"/>
        </w:rPr>
        <w:t>Children and young people have what they need</w:t>
      </w:r>
    </w:p>
    <w:p w14:paraId="43CCD0F4" w14:textId="77777777" w:rsidR="00312E91" w:rsidRDefault="00312E91" w:rsidP="00E3225C">
      <w:pPr>
        <w:pStyle w:val="Bulletedlist"/>
        <w:rPr>
          <w:lang w:val="en-US"/>
        </w:rPr>
      </w:pPr>
      <w:r>
        <w:rPr>
          <w:lang w:val="en-US"/>
        </w:rPr>
        <w:t>Children and young people are happy and healthy</w:t>
      </w:r>
    </w:p>
    <w:p w14:paraId="5A0E7FB2" w14:textId="25A92B28" w:rsidR="004642E5" w:rsidRDefault="00312E91" w:rsidP="00E3225C">
      <w:pPr>
        <w:pStyle w:val="Bulletedlist"/>
        <w:rPr>
          <w:lang w:val="en-US"/>
        </w:rPr>
      </w:pPr>
      <w:r>
        <w:rPr>
          <w:lang w:val="en-US"/>
        </w:rPr>
        <w:t>Children and young people are learning and developing</w:t>
      </w:r>
    </w:p>
    <w:p w14:paraId="600CAFB9" w14:textId="170E4207" w:rsidR="00312E91" w:rsidRDefault="00312E91" w:rsidP="00E3225C">
      <w:pPr>
        <w:pStyle w:val="Bulletedlist"/>
        <w:rPr>
          <w:lang w:val="en-US"/>
        </w:rPr>
      </w:pPr>
      <w:r>
        <w:rPr>
          <w:lang w:val="en-US"/>
        </w:rPr>
        <w:t>Children and young people are involved and empowered</w:t>
      </w:r>
      <w:r w:rsidR="008442A6">
        <w:rPr>
          <w:lang w:val="en-US"/>
        </w:rPr>
        <w:t>.</w:t>
      </w:r>
      <w:r w:rsidR="008442A6">
        <w:rPr>
          <w:rStyle w:val="FootnoteReference"/>
          <w:lang w:val="en-US"/>
        </w:rPr>
        <w:footnoteReference w:id="62"/>
      </w:r>
    </w:p>
    <w:p w14:paraId="54E3843C" w14:textId="29C5F4A7" w:rsidR="00312E91" w:rsidRDefault="00F61E00" w:rsidP="002D7BE1">
      <w:pPr>
        <w:pStyle w:val="Numberedparagraph"/>
        <w:rPr>
          <w:lang w:val="en-US"/>
        </w:rPr>
      </w:pPr>
      <w:r>
        <w:rPr>
          <w:lang w:val="en-US"/>
        </w:rPr>
        <w:t>A small set of</w:t>
      </w:r>
      <w:r w:rsidRPr="002D7BE1">
        <w:rPr>
          <w:b/>
          <w:bCs/>
          <w:lang w:val="en-US"/>
        </w:rPr>
        <w:t xml:space="preserve"> indicators</w:t>
      </w:r>
      <w:r w:rsidR="00E84D38">
        <w:rPr>
          <w:lang w:val="en-US"/>
        </w:rPr>
        <w:t xml:space="preserve"> have been developed against each outcome</w:t>
      </w:r>
      <w:r w:rsidR="002B61FB">
        <w:rPr>
          <w:lang w:val="en-US"/>
        </w:rPr>
        <w:t>, which must be reported to Parliament</w:t>
      </w:r>
      <w:r w:rsidR="00FC6147">
        <w:rPr>
          <w:lang w:val="en-US"/>
        </w:rPr>
        <w:t xml:space="preserve"> </w:t>
      </w:r>
      <w:r w:rsidR="00920F45">
        <w:rPr>
          <w:lang w:val="en-US"/>
        </w:rPr>
        <w:t>—</w:t>
      </w:r>
      <w:r w:rsidR="00407B0A">
        <w:rPr>
          <w:lang w:val="en-US"/>
        </w:rPr>
        <w:t xml:space="preserve"> </w:t>
      </w:r>
      <w:r w:rsidR="00FC6147">
        <w:rPr>
          <w:lang w:val="en-US"/>
        </w:rPr>
        <w:t>broken down by household income or other socio-economic status, ethnicity, and other key demographic variables.</w:t>
      </w:r>
      <w:r w:rsidR="00FC6147">
        <w:rPr>
          <w:rStyle w:val="FootnoteReference"/>
          <w:lang w:val="en-US"/>
        </w:rPr>
        <w:footnoteReference w:id="63"/>
      </w:r>
    </w:p>
    <w:p w14:paraId="2B702167" w14:textId="76BFA18E" w:rsidR="003753BD" w:rsidRDefault="003753BD" w:rsidP="002D7BE1">
      <w:pPr>
        <w:pStyle w:val="Numberedparagraph"/>
        <w:rPr>
          <w:lang w:val="en-US"/>
        </w:rPr>
      </w:pPr>
      <w:r>
        <w:rPr>
          <w:lang w:val="en-US"/>
        </w:rPr>
        <w:t>The development of meaningful indicators, and regular reporting against these indicators, are imperative to ensure the focus is on improved outcomes for children</w:t>
      </w:r>
      <w:r w:rsidR="00EE4A90">
        <w:rPr>
          <w:lang w:val="en-US"/>
        </w:rPr>
        <w:t xml:space="preserve"> and young people</w:t>
      </w:r>
      <w:r>
        <w:rPr>
          <w:lang w:val="en-US"/>
        </w:rPr>
        <w:t xml:space="preserve">, and not the delivery of services or </w:t>
      </w:r>
      <w:r w:rsidR="00EE4A90">
        <w:rPr>
          <w:lang w:val="en-US"/>
        </w:rPr>
        <w:t>infrastructure</w:t>
      </w:r>
      <w:r>
        <w:rPr>
          <w:lang w:val="en-US"/>
        </w:rPr>
        <w:t>.</w:t>
      </w:r>
    </w:p>
    <w:p w14:paraId="0B8AE522" w14:textId="08A53C8E" w:rsidR="00EE4A90" w:rsidRDefault="00EE4A90" w:rsidP="00DF6E68">
      <w:pPr>
        <w:pStyle w:val="Heading3"/>
        <w:rPr>
          <w:lang w:val="en-US"/>
        </w:rPr>
      </w:pPr>
      <w:bookmarkStart w:id="36" w:name="_Toc159426543"/>
      <w:r w:rsidRPr="002D7BE1">
        <w:rPr>
          <w:lang w:val="en-US"/>
        </w:rPr>
        <w:t xml:space="preserve">Measuring and </w:t>
      </w:r>
      <w:r w:rsidRPr="004706DE">
        <w:t>transparently</w:t>
      </w:r>
      <w:r>
        <w:rPr>
          <w:lang w:val="en-US"/>
        </w:rPr>
        <w:t xml:space="preserve"> </w:t>
      </w:r>
      <w:r w:rsidRPr="002D7BE1">
        <w:rPr>
          <w:lang w:val="en-US"/>
        </w:rPr>
        <w:t>reporting on progress</w:t>
      </w:r>
      <w:bookmarkEnd w:id="36"/>
    </w:p>
    <w:p w14:paraId="67FC091A" w14:textId="3867384A" w:rsidR="00A218AD" w:rsidRDefault="00C46265" w:rsidP="00EE4A90">
      <w:pPr>
        <w:pStyle w:val="Numberedparagraph"/>
        <w:rPr>
          <w:lang w:val="en-US"/>
        </w:rPr>
      </w:pPr>
      <w:r>
        <w:rPr>
          <w:lang w:val="en-US"/>
        </w:rPr>
        <w:t>To achieve the</w:t>
      </w:r>
      <w:r w:rsidR="00DF6E68">
        <w:rPr>
          <w:lang w:val="en-US"/>
        </w:rPr>
        <w:t xml:space="preserve"> principle that actions must be evidence-informed, transparent</w:t>
      </w:r>
      <w:r>
        <w:rPr>
          <w:lang w:val="en-US"/>
        </w:rPr>
        <w:t>,</w:t>
      </w:r>
      <w:r w:rsidR="00DF6E68">
        <w:rPr>
          <w:lang w:val="en-US"/>
        </w:rPr>
        <w:t xml:space="preserve"> and agencies held accountable (see [</w:t>
      </w:r>
      <w:r w:rsidR="00340903">
        <w:rPr>
          <w:lang w:val="en-US"/>
        </w:rPr>
        <w:fldChar w:fldCharType="begin"/>
      </w:r>
      <w:r w:rsidR="00340903">
        <w:rPr>
          <w:lang w:val="en-US"/>
        </w:rPr>
        <w:instrText xml:space="preserve"> REF _Ref159172892 \r \h </w:instrText>
      </w:r>
      <w:r w:rsidR="00340903">
        <w:rPr>
          <w:lang w:val="en-US"/>
        </w:rPr>
      </w:r>
      <w:r w:rsidR="00340903">
        <w:rPr>
          <w:lang w:val="en-US"/>
        </w:rPr>
        <w:fldChar w:fldCharType="separate"/>
      </w:r>
      <w:r w:rsidR="004E1225">
        <w:rPr>
          <w:lang w:val="en-US"/>
        </w:rPr>
        <w:t>27</w:t>
      </w:r>
      <w:r w:rsidR="00340903">
        <w:rPr>
          <w:lang w:val="en-US"/>
        </w:rPr>
        <w:fldChar w:fldCharType="end"/>
      </w:r>
      <w:r w:rsidR="00DF6E68">
        <w:rPr>
          <w:lang w:val="en-US"/>
        </w:rPr>
        <w:t xml:space="preserve">]), responsible agencies should be required to </w:t>
      </w:r>
      <w:r w:rsidR="00640548">
        <w:rPr>
          <w:lang w:val="en-US"/>
        </w:rPr>
        <w:t xml:space="preserve">regularly and </w:t>
      </w:r>
      <w:r w:rsidR="00DF6E68">
        <w:rPr>
          <w:lang w:val="en-US"/>
        </w:rPr>
        <w:t xml:space="preserve">publicly report </w:t>
      </w:r>
      <w:r w:rsidR="00640548">
        <w:rPr>
          <w:lang w:val="en-US"/>
        </w:rPr>
        <w:t xml:space="preserve">on progress, including accessible data </w:t>
      </w:r>
      <w:r w:rsidR="00A218AD">
        <w:rPr>
          <w:lang w:val="en-US"/>
        </w:rPr>
        <w:t>that tracks these changes. This will assist public scrutiny, identification of gaps, and improved response and coordination.</w:t>
      </w:r>
    </w:p>
    <w:p w14:paraId="40596FFB" w14:textId="600289B1" w:rsidR="00EE4A90" w:rsidRDefault="00A218AD" w:rsidP="00EE4A90">
      <w:pPr>
        <w:pStyle w:val="Numberedparagraph"/>
        <w:rPr>
          <w:lang w:val="en-US"/>
        </w:rPr>
      </w:pPr>
      <w:r>
        <w:rPr>
          <w:lang w:val="en-US"/>
        </w:rPr>
        <w:t>An example of data that helps to track</w:t>
      </w:r>
      <w:r w:rsidR="00883E13">
        <w:rPr>
          <w:lang w:val="en-US"/>
        </w:rPr>
        <w:t xml:space="preserve"> progress</w:t>
      </w:r>
      <w:r>
        <w:rPr>
          <w:lang w:val="en-US"/>
        </w:rPr>
        <w:t xml:space="preserve"> </w:t>
      </w:r>
      <w:r w:rsidR="00883E13">
        <w:rPr>
          <w:lang w:val="en-US"/>
        </w:rPr>
        <w:t xml:space="preserve">would be </w:t>
      </w:r>
      <w:r>
        <w:rPr>
          <w:lang w:val="en-US"/>
        </w:rPr>
        <w:t xml:space="preserve">the publication of the numbers of children detained in watchhouses, including length of stays and demographics. </w:t>
      </w:r>
    </w:p>
    <w:p w14:paraId="178CEBCC" w14:textId="4C91811C" w:rsidR="0028649E" w:rsidRDefault="00505E1D" w:rsidP="0028649E">
      <w:pPr>
        <w:pStyle w:val="Heading3"/>
        <w:rPr>
          <w:lang w:val="en-US"/>
        </w:rPr>
      </w:pPr>
      <w:bookmarkStart w:id="37" w:name="_Toc159426544"/>
      <w:r>
        <w:rPr>
          <w:lang w:val="en-US"/>
        </w:rPr>
        <w:t>Designation of responsibility</w:t>
      </w:r>
      <w:bookmarkEnd w:id="37"/>
    </w:p>
    <w:p w14:paraId="51528A30" w14:textId="29C41930" w:rsidR="005C4318" w:rsidRDefault="001B1B47" w:rsidP="00233684">
      <w:pPr>
        <w:pStyle w:val="Numberedparagraph"/>
        <w:rPr>
          <w:lang w:val="en-US"/>
        </w:rPr>
      </w:pPr>
      <w:r>
        <w:rPr>
          <w:lang w:val="en-US"/>
        </w:rPr>
        <w:t xml:space="preserve">Coordinating </w:t>
      </w:r>
      <w:r w:rsidR="00CB4E92">
        <w:rPr>
          <w:lang w:val="en-US"/>
        </w:rPr>
        <w:t xml:space="preserve">action across a wide range of portfolios </w:t>
      </w:r>
      <w:r w:rsidR="007A52AF">
        <w:rPr>
          <w:lang w:val="en-US"/>
        </w:rPr>
        <w:t xml:space="preserve">requires </w:t>
      </w:r>
      <w:r w:rsidR="00417909">
        <w:rPr>
          <w:lang w:val="en-US"/>
        </w:rPr>
        <w:t>designation o</w:t>
      </w:r>
      <w:r w:rsidR="00C612F7">
        <w:rPr>
          <w:lang w:val="en-US"/>
        </w:rPr>
        <w:t xml:space="preserve">f </w:t>
      </w:r>
      <w:r w:rsidR="008414E3">
        <w:rPr>
          <w:lang w:val="en-US"/>
        </w:rPr>
        <w:t xml:space="preserve">an individual or body </w:t>
      </w:r>
      <w:r w:rsidR="00883E13">
        <w:rPr>
          <w:lang w:val="en-US"/>
        </w:rPr>
        <w:t>accountable to the Plan’s commitments,</w:t>
      </w:r>
      <w:r w:rsidR="004057F5">
        <w:rPr>
          <w:lang w:val="en-US"/>
        </w:rPr>
        <w:t xml:space="preserve"> </w:t>
      </w:r>
      <w:r w:rsidR="008414E3">
        <w:rPr>
          <w:lang w:val="en-US"/>
        </w:rPr>
        <w:t xml:space="preserve">with sufficient authority to </w:t>
      </w:r>
      <w:r w:rsidR="00D67E2D">
        <w:rPr>
          <w:lang w:val="en-US"/>
        </w:rPr>
        <w:t xml:space="preserve">help drive policy and investment decisions, </w:t>
      </w:r>
      <w:r w:rsidR="00DF6D5B">
        <w:rPr>
          <w:lang w:val="en-US"/>
        </w:rPr>
        <w:t xml:space="preserve">to monitor </w:t>
      </w:r>
      <w:r w:rsidR="00883E13">
        <w:rPr>
          <w:lang w:val="en-US"/>
        </w:rPr>
        <w:t>and drive</w:t>
      </w:r>
      <w:r w:rsidR="00DF6D5B">
        <w:rPr>
          <w:lang w:val="en-US"/>
        </w:rPr>
        <w:t xml:space="preserve"> progress</w:t>
      </w:r>
      <w:r w:rsidR="00867128">
        <w:rPr>
          <w:lang w:val="en-US"/>
        </w:rPr>
        <w:t xml:space="preserve"> across multiple portfolios</w:t>
      </w:r>
      <w:r w:rsidR="00DF6D5B">
        <w:rPr>
          <w:lang w:val="en-US"/>
        </w:rPr>
        <w:t xml:space="preserve">, and to ensure </w:t>
      </w:r>
      <w:r w:rsidR="005C4318">
        <w:rPr>
          <w:lang w:val="en-US"/>
        </w:rPr>
        <w:t xml:space="preserve">lessons learned are shared. </w:t>
      </w:r>
    </w:p>
    <w:p w14:paraId="218330F6" w14:textId="25F0735F" w:rsidR="009056F4" w:rsidRPr="00881C23" w:rsidRDefault="006B6277" w:rsidP="00233684">
      <w:pPr>
        <w:pStyle w:val="Numberedparagraph"/>
        <w:rPr>
          <w:lang w:val="en-US"/>
        </w:rPr>
      </w:pPr>
      <w:r>
        <w:rPr>
          <w:lang w:val="en-US"/>
        </w:rPr>
        <w:t>This coordination could be</w:t>
      </w:r>
      <w:r w:rsidR="009056F4" w:rsidRPr="00881C23">
        <w:rPr>
          <w:lang w:val="en-US"/>
        </w:rPr>
        <w:t xml:space="preserve"> driven by the appointment of a Minister for Children </w:t>
      </w:r>
      <w:r w:rsidR="00505E1D">
        <w:rPr>
          <w:lang w:val="en-US"/>
        </w:rPr>
        <w:t xml:space="preserve">and </w:t>
      </w:r>
      <w:r w:rsidR="00505E1D" w:rsidRPr="003B7B48">
        <w:t>Families</w:t>
      </w:r>
      <w:r w:rsidR="00505E1D">
        <w:t xml:space="preserve"> </w:t>
      </w:r>
      <w:r w:rsidR="009056F4" w:rsidRPr="003B7B48">
        <w:t>with</w:t>
      </w:r>
      <w:r w:rsidR="009056F4" w:rsidRPr="00881C23">
        <w:rPr>
          <w:lang w:val="en-US"/>
        </w:rPr>
        <w:t xml:space="preserve"> a stand-alone </w:t>
      </w:r>
      <w:r w:rsidR="007769AE">
        <w:rPr>
          <w:lang w:val="en-US"/>
        </w:rPr>
        <w:t>d</w:t>
      </w:r>
      <w:r w:rsidR="00505E1D">
        <w:rPr>
          <w:lang w:val="en-US"/>
        </w:rPr>
        <w:t>epartment. A</w:t>
      </w:r>
      <w:r w:rsidR="009056F4" w:rsidRPr="00881C23">
        <w:rPr>
          <w:lang w:val="en-US"/>
        </w:rPr>
        <w:t>lternatively the Department of the Premier and Cabinet should take on this co-ordinating function.</w:t>
      </w:r>
    </w:p>
    <w:p w14:paraId="156B8F9C" w14:textId="5A7103ED" w:rsidR="00D1615A" w:rsidRDefault="00246878" w:rsidP="00D1615A">
      <w:pPr>
        <w:pBdr>
          <w:top w:val="single" w:sz="4" w:space="1" w:color="auto"/>
          <w:left w:val="single" w:sz="4" w:space="1" w:color="auto"/>
          <w:bottom w:val="single" w:sz="4" w:space="1" w:color="auto"/>
          <w:right w:val="single" w:sz="4" w:space="1" w:color="auto"/>
        </w:pBdr>
        <w:ind w:left="142" w:hanging="142"/>
        <w:rPr>
          <w:b/>
          <w:bCs/>
          <w:lang w:val="en-US"/>
        </w:rPr>
      </w:pPr>
      <w:r w:rsidRPr="004965C9">
        <w:rPr>
          <w:b/>
          <w:bCs/>
          <w:lang w:val="en-US"/>
        </w:rPr>
        <w:t>Recommendation</w:t>
      </w:r>
      <w:r w:rsidR="00D1615A">
        <w:rPr>
          <w:b/>
          <w:bCs/>
          <w:lang w:val="en-US"/>
        </w:rPr>
        <w:t>s</w:t>
      </w:r>
      <w:r w:rsidRPr="004965C9">
        <w:rPr>
          <w:b/>
          <w:bCs/>
          <w:lang w:val="en-US"/>
        </w:rPr>
        <w:t xml:space="preserve">: </w:t>
      </w:r>
    </w:p>
    <w:p w14:paraId="71DDAD47" w14:textId="2A71624A" w:rsidR="00BA54DC" w:rsidRDefault="006828BD" w:rsidP="00D1615A">
      <w:pPr>
        <w:pBdr>
          <w:top w:val="single" w:sz="4" w:space="1" w:color="auto"/>
          <w:left w:val="single" w:sz="4" w:space="1" w:color="auto"/>
          <w:bottom w:val="single" w:sz="4" w:space="1" w:color="auto"/>
          <w:right w:val="single" w:sz="4" w:space="1" w:color="auto"/>
        </w:pBdr>
        <w:ind w:left="142" w:hanging="142"/>
        <w:rPr>
          <w:lang w:val="en-US"/>
        </w:rPr>
      </w:pPr>
      <w:r w:rsidRPr="00BA54DC">
        <w:rPr>
          <w:lang w:val="en-US"/>
        </w:rPr>
        <w:t xml:space="preserve">The Plan </w:t>
      </w:r>
      <w:r w:rsidR="00A41B07">
        <w:rPr>
          <w:lang w:val="en-US"/>
        </w:rPr>
        <w:t xml:space="preserve">should </w:t>
      </w:r>
      <w:r w:rsidR="00E472DA">
        <w:t>require</w:t>
      </w:r>
    </w:p>
    <w:p w14:paraId="29AA94EC" w14:textId="2E681A1A" w:rsidR="00A41B07" w:rsidRPr="008C7FBF" w:rsidRDefault="00E472DA" w:rsidP="008E6AFB">
      <w:pPr>
        <w:pStyle w:val="ListParagraph"/>
        <w:numPr>
          <w:ilvl w:val="0"/>
          <w:numId w:val="10"/>
        </w:numPr>
        <w:pBdr>
          <w:top w:val="single" w:sz="4" w:space="1" w:color="auto"/>
          <w:left w:val="single" w:sz="4" w:space="1" w:color="auto"/>
          <w:bottom w:val="single" w:sz="4" w:space="1" w:color="auto"/>
          <w:right w:val="single" w:sz="4" w:space="1" w:color="auto"/>
        </w:pBdr>
        <w:spacing w:after="200"/>
        <w:rPr>
          <w:rFonts w:cs="Arial"/>
        </w:rPr>
      </w:pPr>
      <w:r>
        <w:rPr>
          <w:rFonts w:cs="Arial"/>
        </w:rPr>
        <w:t xml:space="preserve">development of </w:t>
      </w:r>
      <w:r w:rsidR="00A41B07" w:rsidRPr="008C7FBF">
        <w:rPr>
          <w:rFonts w:cs="Arial"/>
        </w:rPr>
        <w:t xml:space="preserve">a detailed and cohesive implementation roadmap </w:t>
      </w:r>
      <w:r w:rsidR="0069187D">
        <w:rPr>
          <w:rFonts w:cs="Arial"/>
        </w:rPr>
        <w:t>with immediate, intermediate and long-term activities</w:t>
      </w:r>
    </w:p>
    <w:p w14:paraId="101FFA27" w14:textId="2E8B65A0" w:rsidR="00A41B07" w:rsidRPr="008C7FBF" w:rsidRDefault="00E7371F" w:rsidP="008E6AFB">
      <w:pPr>
        <w:pStyle w:val="ListParagraph"/>
        <w:numPr>
          <w:ilvl w:val="0"/>
          <w:numId w:val="10"/>
        </w:numPr>
        <w:pBdr>
          <w:top w:val="single" w:sz="4" w:space="1" w:color="auto"/>
          <w:left w:val="single" w:sz="4" w:space="1" w:color="auto"/>
          <w:bottom w:val="single" w:sz="4" w:space="1" w:color="auto"/>
          <w:right w:val="single" w:sz="4" w:space="1" w:color="auto"/>
        </w:pBdr>
        <w:spacing w:after="200"/>
        <w:rPr>
          <w:rFonts w:cs="Arial"/>
        </w:rPr>
      </w:pPr>
      <w:r w:rsidRPr="008C7FBF">
        <w:rPr>
          <w:rFonts w:cs="Arial"/>
        </w:rPr>
        <w:t>e</w:t>
      </w:r>
      <w:r w:rsidR="00A41B07" w:rsidRPr="008C7FBF">
        <w:rPr>
          <w:rFonts w:cs="Arial"/>
        </w:rPr>
        <w:t>stablishment of outcomes and key indicators against which progress can be measured</w:t>
      </w:r>
    </w:p>
    <w:p w14:paraId="0F14C929" w14:textId="67A9A31E" w:rsidR="00545476" w:rsidRPr="008C7FBF" w:rsidRDefault="00E7371F" w:rsidP="008E6AFB">
      <w:pPr>
        <w:pStyle w:val="ListParagraph"/>
        <w:numPr>
          <w:ilvl w:val="0"/>
          <w:numId w:val="10"/>
        </w:numPr>
        <w:pBdr>
          <w:top w:val="single" w:sz="4" w:space="1" w:color="auto"/>
          <w:left w:val="single" w:sz="4" w:space="1" w:color="auto"/>
          <w:bottom w:val="single" w:sz="4" w:space="1" w:color="auto"/>
          <w:right w:val="single" w:sz="4" w:space="1" w:color="auto"/>
        </w:pBdr>
        <w:spacing w:after="200"/>
        <w:rPr>
          <w:rFonts w:cs="Arial"/>
        </w:rPr>
      </w:pPr>
      <w:r w:rsidRPr="008C7FBF">
        <w:rPr>
          <w:rFonts w:cs="Arial"/>
        </w:rPr>
        <w:t>measurement and transparent reporting of progress</w:t>
      </w:r>
      <w:r w:rsidR="00794BBA">
        <w:rPr>
          <w:rFonts w:cs="Arial"/>
        </w:rPr>
        <w:t>.</w:t>
      </w:r>
    </w:p>
    <w:p w14:paraId="0F787E85" w14:textId="41B3FF45" w:rsidR="001461B6" w:rsidRDefault="001461B6" w:rsidP="00D1615A">
      <w:pPr>
        <w:pStyle w:val="Bulletedlist"/>
        <w:numPr>
          <w:ilvl w:val="0"/>
          <w:numId w:val="0"/>
        </w:numPr>
        <w:pBdr>
          <w:top w:val="single" w:sz="4" w:space="1" w:color="auto"/>
          <w:left w:val="single" w:sz="4" w:space="1" w:color="auto"/>
          <w:bottom w:val="single" w:sz="4" w:space="1" w:color="auto"/>
          <w:right w:val="single" w:sz="4" w:space="1" w:color="auto"/>
        </w:pBdr>
        <w:rPr>
          <w:lang w:val="en-US"/>
        </w:rPr>
      </w:pPr>
      <w:r>
        <w:t>The Queensland Government should a</w:t>
      </w:r>
      <w:r w:rsidRPr="00EE1A9B">
        <w:t>ppoint</w:t>
      </w:r>
      <w:r w:rsidRPr="000264CC">
        <w:rPr>
          <w:lang w:val="en-US"/>
        </w:rPr>
        <w:t xml:space="preserve"> a Minister for Children and Families with a standalone department</w:t>
      </w:r>
      <w:r w:rsidR="00AA423D">
        <w:rPr>
          <w:lang w:val="en-US"/>
        </w:rPr>
        <w:t xml:space="preserve"> who is</w:t>
      </w:r>
      <w:r w:rsidRPr="000264CC">
        <w:rPr>
          <w:lang w:val="en-US"/>
        </w:rPr>
        <w:t xml:space="preserve"> responsible for ensuring alignment of </w:t>
      </w:r>
      <w:r>
        <w:rPr>
          <w:lang w:val="en-US"/>
        </w:rPr>
        <w:t>policies</w:t>
      </w:r>
      <w:r w:rsidRPr="000264CC">
        <w:rPr>
          <w:lang w:val="en-US"/>
        </w:rPr>
        <w:t xml:space="preserve"> and accountability for </w:t>
      </w:r>
      <w:r>
        <w:rPr>
          <w:lang w:val="en-US"/>
        </w:rPr>
        <w:t xml:space="preserve">the Plan’s </w:t>
      </w:r>
      <w:r w:rsidRPr="000264CC">
        <w:rPr>
          <w:lang w:val="en-US"/>
        </w:rPr>
        <w:t>outcomes.</w:t>
      </w:r>
    </w:p>
    <w:p w14:paraId="067896A1" w14:textId="77777777" w:rsidR="00D1615A" w:rsidRDefault="00D1615A" w:rsidP="00D1615A">
      <w:pPr>
        <w:pStyle w:val="Bulletedlist"/>
        <w:numPr>
          <w:ilvl w:val="0"/>
          <w:numId w:val="0"/>
        </w:numPr>
        <w:pBdr>
          <w:top w:val="single" w:sz="4" w:space="1" w:color="auto"/>
          <w:left w:val="single" w:sz="4" w:space="1" w:color="auto"/>
          <w:bottom w:val="single" w:sz="4" w:space="1" w:color="auto"/>
          <w:right w:val="single" w:sz="4" w:space="1" w:color="auto"/>
        </w:pBdr>
        <w:rPr>
          <w:lang w:val="en-US"/>
        </w:rPr>
      </w:pPr>
    </w:p>
    <w:p w14:paraId="442B5135" w14:textId="77777777" w:rsidR="001461B6" w:rsidRPr="001461B6" w:rsidRDefault="001461B6" w:rsidP="00D1615A">
      <w:pPr>
        <w:spacing w:after="200"/>
        <w:rPr>
          <w:rFonts w:cs="Arial"/>
        </w:rPr>
      </w:pPr>
    </w:p>
    <w:p w14:paraId="413E41B4" w14:textId="77777777" w:rsidR="00BA54DC" w:rsidRDefault="00BA54DC" w:rsidP="00246878">
      <w:pPr>
        <w:pStyle w:val="Bulletedlist"/>
        <w:numPr>
          <w:ilvl w:val="0"/>
          <w:numId w:val="0"/>
        </w:numPr>
        <w:rPr>
          <w:lang w:val="en-US"/>
        </w:rPr>
      </w:pPr>
    </w:p>
    <w:p w14:paraId="187FCE9A" w14:textId="593AB8F8" w:rsidR="00B32F49" w:rsidRPr="004C6656" w:rsidRDefault="00BA54DC" w:rsidP="00187D9F">
      <w:pPr>
        <w:pStyle w:val="Bulletedlist"/>
        <w:numPr>
          <w:ilvl w:val="0"/>
          <w:numId w:val="0"/>
        </w:numPr>
        <w:rPr>
          <w:lang w:val="en-US"/>
        </w:rPr>
      </w:pPr>
      <w:r>
        <w:rPr>
          <w:lang w:val="en-US"/>
        </w:rPr>
        <w:t xml:space="preserve"> </w:t>
      </w:r>
    </w:p>
    <w:sectPr w:rsidR="00B32F49" w:rsidRPr="004C6656" w:rsidSect="003E7236">
      <w:headerReference w:type="default" r:id="rId12"/>
      <w:headerReference w:type="first" r:id="rId13"/>
      <w:footerReference w:type="first" r:id="rId14"/>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157FF" w14:textId="77777777" w:rsidR="003E7236" w:rsidRDefault="003E7236" w:rsidP="0034134D">
      <w:r>
        <w:separator/>
      </w:r>
    </w:p>
  </w:endnote>
  <w:endnote w:type="continuationSeparator" w:id="0">
    <w:p w14:paraId="4E20D257" w14:textId="77777777" w:rsidR="003E7236" w:rsidRDefault="003E7236" w:rsidP="0034134D">
      <w:r>
        <w:continuationSeparator/>
      </w:r>
    </w:p>
  </w:endnote>
  <w:endnote w:type="continuationNotice" w:id="1">
    <w:p w14:paraId="0C457D3F" w14:textId="77777777" w:rsidR="003E7236" w:rsidRDefault="003E72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ade Gothic Next Rounded">
    <w:charset w:val="00"/>
    <w:family w:val="swiss"/>
    <w:pitch w:val="variable"/>
    <w:sig w:usb0="8000002F" w:usb1="0000000A"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8E00" w14:textId="03F3C31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7A0E26C2" wp14:editId="0BF1D0F3">
          <wp:extent cx="5463606" cy="480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C35B4">
      <w:rPr>
        <w:rFonts w:cs="Arial"/>
        <w:noProof/>
        <w:color w:val="404040" w:themeColor="text1" w:themeTint="BF"/>
        <w:sz w:val="16"/>
        <w:szCs w:val="20"/>
      </w:rPr>
      <w:t>12</w:t>
    </w:r>
    <w:r w:rsidR="006D0CD6"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3422" w14:textId="77777777" w:rsidR="007C510E" w:rsidRDefault="007C510E" w:rsidP="000731D3">
    <w:pPr>
      <w:pStyle w:val="Footer"/>
      <w:pBdr>
        <w:top w:val="single" w:sz="4" w:space="1" w:color="auto"/>
      </w:pBdr>
      <w:jc w:val="right"/>
      <w:rPr>
        <w:rFonts w:cs="Arial"/>
        <w:sz w:val="20"/>
        <w:szCs w:val="20"/>
      </w:rPr>
    </w:pPr>
  </w:p>
  <w:p w14:paraId="6AEFEF70"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B988" w14:textId="77777777" w:rsidR="003E7236" w:rsidRDefault="003E7236" w:rsidP="0034134D">
      <w:r>
        <w:separator/>
      </w:r>
    </w:p>
  </w:footnote>
  <w:footnote w:type="continuationSeparator" w:id="0">
    <w:p w14:paraId="666E414D" w14:textId="77777777" w:rsidR="003E7236" w:rsidRDefault="003E7236" w:rsidP="0034134D">
      <w:r>
        <w:continuationSeparator/>
      </w:r>
    </w:p>
  </w:footnote>
  <w:footnote w:type="continuationNotice" w:id="1">
    <w:p w14:paraId="64A0EDB7" w14:textId="77777777" w:rsidR="003E7236" w:rsidRDefault="003E7236">
      <w:pPr>
        <w:spacing w:after="0"/>
      </w:pPr>
    </w:p>
  </w:footnote>
  <w:footnote w:id="2">
    <w:p w14:paraId="4189FF0E" w14:textId="7F1012FD" w:rsidR="00EE1A9B" w:rsidRPr="00B16AB9" w:rsidRDefault="00EE1A9B" w:rsidP="00EE1A9B">
      <w:pPr>
        <w:pStyle w:val="FootnoteText"/>
        <w:rPr>
          <w:lang w:val="en-US"/>
        </w:rPr>
      </w:pPr>
      <w:r>
        <w:rPr>
          <w:rStyle w:val="FootnoteReference"/>
        </w:rPr>
        <w:footnoteRef/>
      </w:r>
      <w:r>
        <w:t xml:space="preserve"> </w:t>
      </w:r>
      <w:r w:rsidR="009E4930">
        <w:t>This includes</w:t>
      </w:r>
      <w:r>
        <w:t xml:space="preserve"> </w:t>
      </w:r>
      <w:r w:rsidR="009811B5">
        <w:rPr>
          <w:lang w:val="en-US"/>
        </w:rPr>
        <w:t>the use of watch houses for prolonged detention of children and young people, conducting visits to watchhouses and youth detention centres, collaborating with oversight agencies on issues affecting young people in the youth justice system, participatin</w:t>
      </w:r>
      <w:r w:rsidR="00FE471C">
        <w:rPr>
          <w:lang w:val="en-US"/>
        </w:rPr>
        <w:t>g</w:t>
      </w:r>
      <w:r w:rsidR="009811B5">
        <w:rPr>
          <w:lang w:val="en-US"/>
        </w:rPr>
        <w:t xml:space="preserve"> in the </w:t>
      </w:r>
      <w:r w:rsidR="00FE471C">
        <w:rPr>
          <w:rFonts w:cs="Arial"/>
          <w:lang w:val="en-US"/>
        </w:rPr>
        <w:t xml:space="preserve">Queensland Legal Affairs and Safety Committee’s </w:t>
      </w:r>
      <w:r w:rsidR="00FE471C" w:rsidRPr="00A57B00">
        <w:rPr>
          <w:rFonts w:cs="Arial"/>
          <w:i/>
          <w:lang w:val="en-US"/>
        </w:rPr>
        <w:t xml:space="preserve">Inquiry into </w:t>
      </w:r>
      <w:r w:rsidR="00A45F53">
        <w:rPr>
          <w:rFonts w:cs="Arial"/>
          <w:i/>
          <w:iCs/>
          <w:lang w:val="en-US"/>
        </w:rPr>
        <w:t>S</w:t>
      </w:r>
      <w:r w:rsidR="00FE471C" w:rsidRPr="00A57B00">
        <w:rPr>
          <w:rFonts w:cs="Arial"/>
          <w:i/>
          <w:iCs/>
          <w:lang w:val="en-US"/>
        </w:rPr>
        <w:t>upport</w:t>
      </w:r>
      <w:r w:rsidR="00FE471C" w:rsidRPr="00A57B00">
        <w:rPr>
          <w:rFonts w:cs="Arial"/>
          <w:i/>
          <w:lang w:val="en-US"/>
        </w:rPr>
        <w:t xml:space="preserve"> provided to </w:t>
      </w:r>
      <w:r w:rsidR="00A45F53">
        <w:rPr>
          <w:rFonts w:cs="Arial"/>
          <w:i/>
          <w:iCs/>
          <w:lang w:val="en-US"/>
        </w:rPr>
        <w:t>V</w:t>
      </w:r>
      <w:r w:rsidR="00FE471C" w:rsidRPr="00A57B00">
        <w:rPr>
          <w:rFonts w:cs="Arial"/>
          <w:i/>
          <w:iCs/>
          <w:lang w:val="en-US"/>
        </w:rPr>
        <w:t>ictims</w:t>
      </w:r>
      <w:r w:rsidR="00FE471C" w:rsidRPr="00A57B00">
        <w:rPr>
          <w:rFonts w:cs="Arial"/>
          <w:i/>
          <w:lang w:val="en-US"/>
        </w:rPr>
        <w:t xml:space="preserve"> of </w:t>
      </w:r>
      <w:r w:rsidR="00A45F53">
        <w:rPr>
          <w:rFonts w:cs="Arial"/>
          <w:i/>
          <w:iCs/>
          <w:lang w:val="en-US"/>
        </w:rPr>
        <w:t>C</w:t>
      </w:r>
      <w:r w:rsidR="00FE471C" w:rsidRPr="00A57B00">
        <w:rPr>
          <w:rFonts w:cs="Arial"/>
          <w:i/>
          <w:iCs/>
          <w:lang w:val="en-US"/>
        </w:rPr>
        <w:t>rime</w:t>
      </w:r>
      <w:r w:rsidR="001E2320">
        <w:rPr>
          <w:rFonts w:cs="Arial"/>
          <w:lang w:val="en-US"/>
        </w:rPr>
        <w:t>, advocating for an independent review of Queensland state schools’ high r</w:t>
      </w:r>
      <w:r w:rsidR="006410FC">
        <w:rPr>
          <w:rFonts w:cs="Arial"/>
          <w:lang w:val="en-US"/>
        </w:rPr>
        <w:t xml:space="preserve">ates of </w:t>
      </w:r>
      <w:r w:rsidR="00E13C29">
        <w:rPr>
          <w:rFonts w:cs="Arial"/>
          <w:lang w:val="en-US"/>
        </w:rPr>
        <w:t>disciplinary school absences</w:t>
      </w:r>
      <w:r w:rsidR="00BE3574">
        <w:rPr>
          <w:rFonts w:cs="Arial"/>
          <w:lang w:val="en-US"/>
        </w:rPr>
        <w:t xml:space="preserve">, receiving complaints under the </w:t>
      </w:r>
      <w:r w:rsidR="00BE3574" w:rsidRPr="00296B8B">
        <w:rPr>
          <w:rFonts w:cs="Arial"/>
          <w:i/>
          <w:iCs/>
          <w:lang w:val="en-US"/>
        </w:rPr>
        <w:t>Human Rights Act</w:t>
      </w:r>
      <w:r w:rsidR="00296B8B" w:rsidRPr="00296B8B">
        <w:rPr>
          <w:rFonts w:cs="Arial"/>
          <w:i/>
          <w:iCs/>
          <w:lang w:val="en-US"/>
        </w:rPr>
        <w:t xml:space="preserve"> 2019</w:t>
      </w:r>
      <w:r w:rsidR="00296B8B">
        <w:rPr>
          <w:rFonts w:cs="Arial"/>
          <w:lang w:val="en-US"/>
        </w:rPr>
        <w:t xml:space="preserve"> (Qld) concerning education and detention of young people</w:t>
      </w:r>
      <w:r w:rsidR="00BE3574">
        <w:rPr>
          <w:rFonts w:cs="Arial"/>
          <w:lang w:val="en-US"/>
        </w:rPr>
        <w:t xml:space="preserve">, intervening in court </w:t>
      </w:r>
      <w:r w:rsidR="00A45F53">
        <w:rPr>
          <w:rFonts w:cs="Arial"/>
          <w:lang w:val="en-US"/>
        </w:rPr>
        <w:t>proceedings</w:t>
      </w:r>
      <w:r w:rsidR="00820EB5">
        <w:rPr>
          <w:rFonts w:cs="Arial"/>
          <w:lang w:val="en-US"/>
        </w:rPr>
        <w:t>, engaging with the Productivity Commission in relation to the review of the National Agreement on Closing the Gap,</w:t>
      </w:r>
      <w:r w:rsidR="004454F4">
        <w:rPr>
          <w:rFonts w:cs="Arial"/>
          <w:lang w:val="en-US"/>
        </w:rPr>
        <w:t xml:space="preserve"> and making submissions on </w:t>
      </w:r>
      <w:r w:rsidR="00D175A9">
        <w:rPr>
          <w:rFonts w:cs="Arial"/>
          <w:lang w:val="en-US"/>
        </w:rPr>
        <w:t xml:space="preserve">proposed legislation related to the age of criminal responsibility and bail and sentencing laws. See further </w:t>
      </w:r>
      <w:r w:rsidR="008D4CAD">
        <w:rPr>
          <w:rFonts w:cs="Arial"/>
          <w:lang w:val="en-US"/>
        </w:rPr>
        <w:t>Queensland Human Rights Commission</w:t>
      </w:r>
      <w:r w:rsidR="008B443A">
        <w:rPr>
          <w:rFonts w:cs="Arial"/>
          <w:lang w:val="en-US"/>
        </w:rPr>
        <w:t xml:space="preserve">, Submission No 16 </w:t>
      </w:r>
      <w:r w:rsidR="00694888">
        <w:rPr>
          <w:rFonts w:cs="Arial"/>
          <w:lang w:val="en-US"/>
        </w:rPr>
        <w:t>to</w:t>
      </w:r>
      <w:r w:rsidR="008B443A">
        <w:rPr>
          <w:rFonts w:cs="Arial"/>
          <w:lang w:val="en-US"/>
        </w:rPr>
        <w:t xml:space="preserve"> </w:t>
      </w:r>
      <w:r w:rsidR="004268EC">
        <w:rPr>
          <w:rFonts w:cs="Arial"/>
          <w:lang w:val="en-US"/>
        </w:rPr>
        <w:t>Youth Justice Reform Select Committee</w:t>
      </w:r>
      <w:r w:rsidR="004268EC" w:rsidRPr="00A57B00">
        <w:rPr>
          <w:rFonts w:cs="Arial"/>
          <w:i/>
          <w:lang w:val="en-US"/>
        </w:rPr>
        <w:t xml:space="preserve">, </w:t>
      </w:r>
      <w:r w:rsidR="00972B12" w:rsidRPr="00A57B00">
        <w:rPr>
          <w:rFonts w:cs="Arial"/>
          <w:i/>
          <w:lang w:val="en-US"/>
        </w:rPr>
        <w:t xml:space="preserve">Inquiry </w:t>
      </w:r>
      <w:r w:rsidR="00C55A23" w:rsidRPr="00A57B00">
        <w:rPr>
          <w:rFonts w:cs="Arial"/>
          <w:i/>
          <w:iCs/>
          <w:lang w:val="en-US"/>
        </w:rPr>
        <w:t>in</w:t>
      </w:r>
      <w:r w:rsidR="00972B12" w:rsidRPr="00A57B00">
        <w:rPr>
          <w:rFonts w:cs="Arial"/>
          <w:i/>
          <w:iCs/>
          <w:lang w:val="en-US"/>
        </w:rPr>
        <w:t>to</w:t>
      </w:r>
      <w:r w:rsidR="00972B12" w:rsidRPr="00A57B00">
        <w:rPr>
          <w:rFonts w:cs="Arial"/>
          <w:i/>
          <w:lang w:val="en-US"/>
        </w:rPr>
        <w:t xml:space="preserve"> youth justice </w:t>
      </w:r>
      <w:r w:rsidR="00C55A23" w:rsidRPr="00A57B00">
        <w:rPr>
          <w:rFonts w:cs="Arial"/>
          <w:i/>
          <w:iCs/>
          <w:lang w:val="en-US"/>
        </w:rPr>
        <w:t>reform in Queensland</w:t>
      </w:r>
      <w:r w:rsidR="004268EC">
        <w:rPr>
          <w:rFonts w:cs="Arial"/>
          <w:lang w:val="en-US"/>
        </w:rPr>
        <w:t xml:space="preserve"> </w:t>
      </w:r>
      <w:r w:rsidR="00CA6E1C">
        <w:rPr>
          <w:rFonts w:cs="Arial"/>
          <w:lang w:val="en-US"/>
        </w:rPr>
        <w:t>(</w:t>
      </w:r>
      <w:r w:rsidR="003268E8">
        <w:rPr>
          <w:rFonts w:cs="Arial"/>
          <w:lang w:val="en-US"/>
        </w:rPr>
        <w:t>15 November 2023</w:t>
      </w:r>
      <w:r w:rsidR="00CA6E1C">
        <w:rPr>
          <w:rFonts w:cs="Arial"/>
          <w:lang w:val="en-US"/>
        </w:rPr>
        <w:t>)</w:t>
      </w:r>
      <w:r w:rsidR="00A57B00">
        <w:rPr>
          <w:rFonts w:cs="Arial"/>
          <w:lang w:val="en-US"/>
        </w:rPr>
        <w:t>.</w:t>
      </w:r>
    </w:p>
  </w:footnote>
  <w:footnote w:id="3">
    <w:p w14:paraId="5F8670B7" w14:textId="60F7F20A" w:rsidR="00695080" w:rsidRPr="0017227A" w:rsidRDefault="00695080">
      <w:pPr>
        <w:pStyle w:val="FootnoteText"/>
        <w:rPr>
          <w:lang w:val="en-US"/>
        </w:rPr>
      </w:pPr>
      <w:r>
        <w:rPr>
          <w:rStyle w:val="FootnoteReference"/>
        </w:rPr>
        <w:footnoteRef/>
      </w:r>
      <w:r>
        <w:t xml:space="preserve"> </w:t>
      </w:r>
      <w:r w:rsidR="003F4516">
        <w:rPr>
          <w:lang w:val="en-US"/>
        </w:rPr>
        <w:t xml:space="preserve">Queensland Government, </w:t>
      </w:r>
      <w:r w:rsidR="007A5F2B" w:rsidRPr="0017227A">
        <w:rPr>
          <w:i/>
          <w:lang w:val="en-US"/>
        </w:rPr>
        <w:t>Putting Queensland Kids First</w:t>
      </w:r>
      <w:r w:rsidR="00F9558D">
        <w:rPr>
          <w:i/>
          <w:iCs/>
          <w:lang w:val="en-US"/>
        </w:rPr>
        <w:t>: Giving our kids the opportunity of a lifetime</w:t>
      </w:r>
      <w:r w:rsidR="00350B58">
        <w:rPr>
          <w:i/>
          <w:iCs/>
          <w:lang w:val="en-US"/>
        </w:rPr>
        <w:t xml:space="preserve"> </w:t>
      </w:r>
      <w:r w:rsidR="00A202FD">
        <w:rPr>
          <w:lang w:val="en-US"/>
        </w:rPr>
        <w:t>(Consultation draft</w:t>
      </w:r>
      <w:r w:rsidR="00C37048">
        <w:rPr>
          <w:lang w:val="en-US"/>
        </w:rPr>
        <w:t>, 2024) 10</w:t>
      </w:r>
      <w:r w:rsidR="00C57384">
        <w:rPr>
          <w:lang w:val="en-US"/>
        </w:rPr>
        <w:t>.</w:t>
      </w:r>
    </w:p>
  </w:footnote>
  <w:footnote w:id="4">
    <w:p w14:paraId="50DE481D" w14:textId="19C09A9D" w:rsidR="00EE1A9B" w:rsidRPr="00B07289" w:rsidRDefault="00EE1A9B" w:rsidP="000606F0">
      <w:pPr>
        <w:pStyle w:val="FootnoteText"/>
        <w:rPr>
          <w:lang w:val="en-US"/>
        </w:rPr>
      </w:pPr>
      <w:r>
        <w:rPr>
          <w:rStyle w:val="FootnoteReference"/>
        </w:rPr>
        <w:footnoteRef/>
      </w:r>
      <w:r>
        <w:t xml:space="preserve"> </w:t>
      </w:r>
      <w:r w:rsidR="009F5748">
        <w:t>Ibid.</w:t>
      </w:r>
    </w:p>
  </w:footnote>
  <w:footnote w:id="5">
    <w:p w14:paraId="61881A0B" w14:textId="57B679C7" w:rsidR="00972920" w:rsidRPr="00696D44" w:rsidRDefault="00972920" w:rsidP="00972920">
      <w:pPr>
        <w:pStyle w:val="FootnoteText"/>
        <w:rPr>
          <w:lang w:val="en-US"/>
        </w:rPr>
      </w:pPr>
      <w:r>
        <w:rPr>
          <w:rStyle w:val="FootnoteReference"/>
        </w:rPr>
        <w:footnoteRef/>
      </w:r>
      <w:r>
        <w:t xml:space="preserve"> </w:t>
      </w:r>
      <w:r w:rsidR="000E2BA0" w:rsidRPr="00930ACE">
        <w:t xml:space="preserve">Department of the Prime Minister and Cabinet (NZ), </w:t>
      </w:r>
      <w:r w:rsidR="000E2BA0" w:rsidRPr="00930ACE">
        <w:rPr>
          <w:i/>
          <w:iCs/>
        </w:rPr>
        <w:t>Child and Youth Wellbeing Strategy</w:t>
      </w:r>
      <w:r w:rsidR="000E2BA0" w:rsidRPr="00930ACE">
        <w:t xml:space="preserve"> (29 August 2019)</w:t>
      </w:r>
      <w:r w:rsidR="000E2BA0">
        <w:t xml:space="preserve"> (</w:t>
      </w:r>
      <w:r w:rsidR="000E2BA0" w:rsidRPr="00C2037D">
        <w:rPr>
          <w:b/>
          <w:bCs/>
        </w:rPr>
        <w:t>New Zealand Child and Youth Strategy</w:t>
      </w:r>
      <w:r w:rsidR="000E2BA0">
        <w:t>)</w:t>
      </w:r>
      <w:r w:rsidR="0017227A">
        <w:t xml:space="preserve"> 10</w:t>
      </w:r>
      <w:r w:rsidR="000E2BA0">
        <w:t>.</w:t>
      </w:r>
    </w:p>
  </w:footnote>
  <w:footnote w:id="6">
    <w:p w14:paraId="427F4C6D" w14:textId="7ECED39D" w:rsidR="00B91E1C" w:rsidRDefault="00B91E1C">
      <w:pPr>
        <w:pStyle w:val="FootnoteText"/>
      </w:pPr>
      <w:r>
        <w:rPr>
          <w:rStyle w:val="FootnoteReference"/>
        </w:rPr>
        <w:footnoteRef/>
      </w:r>
      <w:r>
        <w:t xml:space="preserve"> </w:t>
      </w:r>
      <w:r w:rsidR="00D3441D">
        <w:t>Ibid 20-21.</w:t>
      </w:r>
    </w:p>
  </w:footnote>
  <w:footnote w:id="7">
    <w:p w14:paraId="55BA4374" w14:textId="58698156" w:rsidR="000C4C3C" w:rsidRPr="00D97BCD" w:rsidRDefault="000C4C3C">
      <w:pPr>
        <w:pStyle w:val="FootnoteText"/>
      </w:pPr>
      <w:r>
        <w:rPr>
          <w:rStyle w:val="FootnoteReference"/>
        </w:rPr>
        <w:footnoteRef/>
      </w:r>
      <w:r>
        <w:t xml:space="preserve"> </w:t>
      </w:r>
      <w:r w:rsidR="00D97BCD">
        <w:t xml:space="preserve">United Nations, </w:t>
      </w:r>
      <w:r w:rsidR="00D97BCD">
        <w:rPr>
          <w:i/>
          <w:iCs/>
        </w:rPr>
        <w:t>Youth 2030: Working with and for Young People</w:t>
      </w:r>
      <w:r w:rsidR="00D97BCD">
        <w:t xml:space="preserve"> (</w:t>
      </w:r>
      <w:r w:rsidR="009002C0">
        <w:t xml:space="preserve">September </w:t>
      </w:r>
      <w:r w:rsidR="00D97BCD">
        <w:t>20</w:t>
      </w:r>
      <w:r w:rsidR="009002C0">
        <w:t>18).</w:t>
      </w:r>
    </w:p>
  </w:footnote>
  <w:footnote w:id="8">
    <w:p w14:paraId="4185EB7E" w14:textId="39F00817" w:rsidR="000E7B93" w:rsidRDefault="000E7B93" w:rsidP="000E7B93">
      <w:pPr>
        <w:pStyle w:val="FootnoteText"/>
      </w:pPr>
      <w:r>
        <w:rPr>
          <w:rStyle w:val="FootnoteReference"/>
        </w:rPr>
        <w:footnoteRef/>
      </w:r>
      <w:r>
        <w:t xml:space="preserve"> Commonwealth of Australia, </w:t>
      </w:r>
      <w:r w:rsidR="005776B5">
        <w:rPr>
          <w:i/>
          <w:iCs/>
        </w:rPr>
        <w:t xml:space="preserve">Safe and Supported: </w:t>
      </w:r>
      <w:r w:rsidRPr="002C48F3">
        <w:rPr>
          <w:i/>
          <w:iCs/>
        </w:rPr>
        <w:t xml:space="preserve">The National Framework for Protecting Australia’s Children 2021 </w:t>
      </w:r>
      <w:r>
        <w:rPr>
          <w:i/>
          <w:iCs/>
        </w:rPr>
        <w:t xml:space="preserve">– </w:t>
      </w:r>
      <w:r w:rsidRPr="002C48F3">
        <w:rPr>
          <w:i/>
          <w:iCs/>
        </w:rPr>
        <w:t>2031</w:t>
      </w:r>
      <w:r>
        <w:rPr>
          <w:i/>
          <w:iCs/>
        </w:rPr>
        <w:t xml:space="preserve"> </w:t>
      </w:r>
      <w:r>
        <w:t>(2021) 8</w:t>
      </w:r>
      <w:r w:rsidR="00A77EDD">
        <w:t xml:space="preserve"> (</w:t>
      </w:r>
      <w:r w:rsidR="005776B5" w:rsidRPr="005776B5">
        <w:rPr>
          <w:b/>
          <w:bCs/>
        </w:rPr>
        <w:t>Australian National Framework</w:t>
      </w:r>
      <w:r w:rsidR="005776B5">
        <w:t>)</w:t>
      </w:r>
      <w:r>
        <w:t>.</w:t>
      </w:r>
    </w:p>
  </w:footnote>
  <w:footnote w:id="9">
    <w:p w14:paraId="0A7F1C59" w14:textId="5F5C8DFD" w:rsidR="00970039" w:rsidRDefault="00970039">
      <w:pPr>
        <w:pStyle w:val="FootnoteText"/>
      </w:pPr>
      <w:r>
        <w:rPr>
          <w:rStyle w:val="FootnoteReference"/>
        </w:rPr>
        <w:footnoteRef/>
      </w:r>
      <w:r>
        <w:t xml:space="preserve"> </w:t>
      </w:r>
      <w:r w:rsidR="0031182C">
        <w:t>Tasmanian Government</w:t>
      </w:r>
      <w:r w:rsidR="002752F8">
        <w:t xml:space="preserve">, </w:t>
      </w:r>
      <w:r w:rsidR="002752F8" w:rsidRPr="005C2411">
        <w:rPr>
          <w:i/>
          <w:iCs/>
        </w:rPr>
        <w:t>It Takes A Tasmanian Village</w:t>
      </w:r>
      <w:r w:rsidR="004C5E3F" w:rsidRPr="005C2411">
        <w:rPr>
          <w:i/>
          <w:iCs/>
        </w:rPr>
        <w:t xml:space="preserve">: </w:t>
      </w:r>
      <w:r w:rsidR="005C2411" w:rsidRPr="005C2411">
        <w:rPr>
          <w:i/>
          <w:iCs/>
        </w:rPr>
        <w:t>Child and Youth Wellbeing Strategy</w:t>
      </w:r>
      <w:r w:rsidR="005C2411">
        <w:t xml:space="preserve"> (</w:t>
      </w:r>
      <w:r w:rsidR="00711D02" w:rsidRPr="004C5E3F">
        <w:t>August</w:t>
      </w:r>
      <w:r w:rsidR="00711D02">
        <w:t xml:space="preserve"> 2021</w:t>
      </w:r>
      <w:r w:rsidR="005C2411">
        <w:t>)</w:t>
      </w:r>
      <w:r w:rsidR="00711D02">
        <w:t xml:space="preserve">, </w:t>
      </w:r>
      <w:r w:rsidR="003B576E">
        <w:t>8</w:t>
      </w:r>
      <w:r w:rsidR="003F3E06">
        <w:t xml:space="preserve"> (</w:t>
      </w:r>
      <w:r w:rsidR="007C51AA">
        <w:rPr>
          <w:b/>
          <w:bCs/>
        </w:rPr>
        <w:t>Tasmanian Child and Youth Strategy</w:t>
      </w:r>
      <w:r w:rsidR="007C51AA">
        <w:t>)</w:t>
      </w:r>
      <w:r w:rsidR="003B576E">
        <w:t>.</w:t>
      </w:r>
    </w:p>
  </w:footnote>
  <w:footnote w:id="10">
    <w:p w14:paraId="22066332" w14:textId="16EDF25D" w:rsidR="00634A03" w:rsidRPr="008A5CF3" w:rsidRDefault="00634A03" w:rsidP="008A5CF3">
      <w:pPr>
        <w:rPr>
          <w:sz w:val="20"/>
          <w:szCs w:val="20"/>
        </w:rPr>
      </w:pPr>
      <w:r w:rsidRPr="008A5CF3">
        <w:rPr>
          <w:rStyle w:val="FootnoteReference"/>
          <w:sz w:val="20"/>
          <w:szCs w:val="20"/>
        </w:rPr>
        <w:footnoteRef/>
      </w:r>
      <w:r w:rsidRPr="008A5CF3">
        <w:rPr>
          <w:sz w:val="20"/>
          <w:szCs w:val="20"/>
        </w:rPr>
        <w:t xml:space="preserve"> </w:t>
      </w:r>
      <w:r w:rsidR="001E19A3" w:rsidRPr="008A5CF3">
        <w:rPr>
          <w:sz w:val="20"/>
          <w:szCs w:val="20"/>
        </w:rPr>
        <w:t>Department of Territory Families, Housing and Communities</w:t>
      </w:r>
      <w:r w:rsidR="00CC22AF" w:rsidRPr="008A5CF3">
        <w:rPr>
          <w:sz w:val="20"/>
          <w:szCs w:val="20"/>
        </w:rPr>
        <w:t xml:space="preserve"> (NT)</w:t>
      </w:r>
      <w:r w:rsidR="001E19A3" w:rsidRPr="008A5CF3">
        <w:rPr>
          <w:sz w:val="20"/>
          <w:szCs w:val="20"/>
        </w:rPr>
        <w:t xml:space="preserve">, </w:t>
      </w:r>
      <w:r w:rsidR="001E19A3" w:rsidRPr="008A5CF3">
        <w:rPr>
          <w:i/>
          <w:iCs/>
          <w:sz w:val="20"/>
          <w:szCs w:val="20"/>
        </w:rPr>
        <w:t xml:space="preserve">Northern Territory Youth Strategy 2023–2033 </w:t>
      </w:r>
      <w:r w:rsidR="001E19A3" w:rsidRPr="008A5CF3">
        <w:rPr>
          <w:sz w:val="20"/>
          <w:szCs w:val="20"/>
        </w:rPr>
        <w:t>(2023)</w:t>
      </w:r>
      <w:r w:rsidR="00174565" w:rsidRPr="008A5CF3">
        <w:rPr>
          <w:sz w:val="20"/>
          <w:szCs w:val="20"/>
        </w:rPr>
        <w:t>.</w:t>
      </w:r>
    </w:p>
  </w:footnote>
  <w:footnote w:id="11">
    <w:p w14:paraId="249EEC83" w14:textId="5422F3F2" w:rsidR="00482857" w:rsidRPr="00C64533" w:rsidRDefault="00482857">
      <w:pPr>
        <w:pStyle w:val="FootnoteText"/>
      </w:pPr>
      <w:r>
        <w:rPr>
          <w:rStyle w:val="FootnoteReference"/>
        </w:rPr>
        <w:footnoteRef/>
      </w:r>
      <w:r>
        <w:t xml:space="preserve"> </w:t>
      </w:r>
      <w:r w:rsidR="004C30CE">
        <w:t>Government of South Australia</w:t>
      </w:r>
      <w:r w:rsidR="00A979DB">
        <w:t xml:space="preserve"> (SA), </w:t>
      </w:r>
      <w:r w:rsidR="00A979DB" w:rsidRPr="00763E6A">
        <w:rPr>
          <w:i/>
          <w:iCs/>
        </w:rPr>
        <w:t>Safe and Well: Supporting families, protecting children</w:t>
      </w:r>
      <w:r w:rsidR="00C64533">
        <w:t xml:space="preserve"> (December 2019).</w:t>
      </w:r>
    </w:p>
  </w:footnote>
  <w:footnote w:id="12">
    <w:p w14:paraId="7A8158F3" w14:textId="06EE2933" w:rsidR="00EE1A9B" w:rsidRPr="004F6927" w:rsidRDefault="00EE1A9B" w:rsidP="00EE1A9B">
      <w:pPr>
        <w:pStyle w:val="FootnoteText"/>
        <w:rPr>
          <w:lang w:val="en-US"/>
        </w:rPr>
      </w:pPr>
      <w:r>
        <w:rPr>
          <w:rStyle w:val="FootnoteReference"/>
        </w:rPr>
        <w:footnoteRef/>
      </w:r>
      <w:r>
        <w:t xml:space="preserve"> </w:t>
      </w:r>
      <w:r w:rsidR="005D5767">
        <w:t xml:space="preserve">See </w:t>
      </w:r>
      <w:r w:rsidR="00D11D5C">
        <w:rPr>
          <w:lang w:val="en-US"/>
        </w:rPr>
        <w:t xml:space="preserve">Queensland Government, </w:t>
      </w:r>
      <w:r w:rsidR="00D11D5C" w:rsidRPr="0017227A">
        <w:rPr>
          <w:i/>
          <w:lang w:val="en-US"/>
        </w:rPr>
        <w:t>Putting Queensland Kids First</w:t>
      </w:r>
      <w:r w:rsidR="00D11D5C">
        <w:rPr>
          <w:i/>
          <w:iCs/>
          <w:lang w:val="en-US"/>
        </w:rPr>
        <w:t xml:space="preserve">: Giving our kids the opportunity of a lifetime </w:t>
      </w:r>
      <w:r w:rsidR="00D11D5C">
        <w:rPr>
          <w:lang w:val="en-US"/>
        </w:rPr>
        <w:t xml:space="preserve">(Consultation draft, 2024) </w:t>
      </w:r>
      <w:r w:rsidR="005D5767">
        <w:rPr>
          <w:lang w:val="en-US"/>
        </w:rPr>
        <w:t>8</w:t>
      </w:r>
      <w:r w:rsidR="00CB66DE">
        <w:rPr>
          <w:lang w:val="en-US"/>
        </w:rPr>
        <w:t>–</w:t>
      </w:r>
      <w:r w:rsidR="00E13710">
        <w:rPr>
          <w:lang w:val="en-US"/>
        </w:rPr>
        <w:t>9</w:t>
      </w:r>
      <w:r w:rsidR="005D5767">
        <w:rPr>
          <w:lang w:val="en-US"/>
        </w:rPr>
        <w:t xml:space="preserve"> ‘Snapshot of existing </w:t>
      </w:r>
      <w:r w:rsidR="00891924">
        <w:rPr>
          <w:lang w:val="en-US"/>
        </w:rPr>
        <w:t>early intervention and prevention initiatives’</w:t>
      </w:r>
      <w:r w:rsidR="00D11D5C">
        <w:rPr>
          <w:lang w:val="en-US"/>
        </w:rPr>
        <w:t>.</w:t>
      </w:r>
    </w:p>
  </w:footnote>
  <w:footnote w:id="13">
    <w:p w14:paraId="4F3E4901" w14:textId="587BADF4" w:rsidR="00EE1A9B" w:rsidRDefault="00EE1A9B" w:rsidP="00EE1A9B">
      <w:pPr>
        <w:pStyle w:val="FootnoteText"/>
      </w:pPr>
      <w:r>
        <w:rPr>
          <w:rStyle w:val="FootnoteReference"/>
        </w:rPr>
        <w:footnoteRef/>
      </w:r>
      <w:r>
        <w:t xml:space="preserve"> </w:t>
      </w:r>
      <w:r w:rsidR="002D6B62">
        <w:t>Productivity Commission</w:t>
      </w:r>
      <w:r w:rsidR="00A550D7">
        <w:t xml:space="preserve"> (</w:t>
      </w:r>
      <w:r w:rsidR="007F31AD">
        <w:t>C</w:t>
      </w:r>
      <w:r w:rsidR="00A77B21">
        <w:t>th)</w:t>
      </w:r>
      <w:r w:rsidR="00C063D6">
        <w:t>,</w:t>
      </w:r>
      <w:r w:rsidR="00A77B21">
        <w:t xml:space="preserve"> </w:t>
      </w:r>
      <w:r w:rsidR="003512B3">
        <w:rPr>
          <w:i/>
          <w:iCs/>
        </w:rPr>
        <w:t>R</w:t>
      </w:r>
      <w:r w:rsidR="00A550D7">
        <w:rPr>
          <w:i/>
          <w:iCs/>
        </w:rPr>
        <w:t>eview of the National Agreement on Closing the Gap</w:t>
      </w:r>
      <w:r w:rsidR="00E97947">
        <w:t xml:space="preserve"> </w:t>
      </w:r>
      <w:r w:rsidR="008D2938">
        <w:t>(</w:t>
      </w:r>
      <w:r w:rsidR="00E97947">
        <w:t xml:space="preserve">Study report, </w:t>
      </w:r>
      <w:r w:rsidR="00374C83">
        <w:t>2024)</w:t>
      </w:r>
      <w:r w:rsidR="0044734E">
        <w:t xml:space="preserve"> </w:t>
      </w:r>
      <w:r w:rsidR="00877E5C">
        <w:t>volume 1</w:t>
      </w:r>
      <w:r w:rsidR="00807308">
        <w:t xml:space="preserve">, </w:t>
      </w:r>
      <w:r w:rsidR="00E6103A">
        <w:t>17 (rec 3).</w:t>
      </w:r>
    </w:p>
  </w:footnote>
  <w:footnote w:id="14">
    <w:p w14:paraId="4A6DCBAC" w14:textId="2B2A821D" w:rsidR="00B91D73" w:rsidRPr="00756C24" w:rsidRDefault="00B91D73">
      <w:pPr>
        <w:pStyle w:val="FootnoteText"/>
        <w:rPr>
          <w:lang w:val="en-US"/>
        </w:rPr>
      </w:pPr>
      <w:r>
        <w:rPr>
          <w:rStyle w:val="FootnoteReference"/>
        </w:rPr>
        <w:footnoteRef/>
      </w:r>
      <w:r>
        <w:t xml:space="preserve"> </w:t>
      </w:r>
      <w:bookmarkStart w:id="9" w:name="_Hlk137756688"/>
      <w:r w:rsidR="006D79D8" w:rsidRPr="00E175C4">
        <w:rPr>
          <w:rFonts w:cs="Arial"/>
        </w:rPr>
        <w:t xml:space="preserve">Bob Atkinson, </w:t>
      </w:r>
      <w:r w:rsidR="006D79D8" w:rsidRPr="00E175C4">
        <w:rPr>
          <w:rFonts w:cs="Arial"/>
          <w:i/>
        </w:rPr>
        <w:t xml:space="preserve">Report on Youth Justice </w:t>
      </w:r>
      <w:r w:rsidR="006D79D8" w:rsidRPr="00E175C4">
        <w:rPr>
          <w:rFonts w:cs="Arial"/>
        </w:rPr>
        <w:t>(Version 2, 8 June 2018)</w:t>
      </w:r>
      <w:bookmarkEnd w:id="9"/>
      <w:r w:rsidR="004A5CEB">
        <w:rPr>
          <w:rFonts w:cs="Arial"/>
        </w:rPr>
        <w:t>, rec 1</w:t>
      </w:r>
      <w:r w:rsidR="0011672F">
        <w:rPr>
          <w:rFonts w:cs="Arial"/>
        </w:rPr>
        <w:t xml:space="preserve">, </w:t>
      </w:r>
      <w:r w:rsidR="00620661">
        <w:rPr>
          <w:rFonts w:cs="Arial"/>
        </w:rPr>
        <w:t>21-27.</w:t>
      </w:r>
    </w:p>
  </w:footnote>
  <w:footnote w:id="15">
    <w:p w14:paraId="3F250774" w14:textId="3E5BCFA4" w:rsidR="00A87D42" w:rsidRPr="00D4740B" w:rsidRDefault="00A87D42" w:rsidP="00A87D42">
      <w:pPr>
        <w:rPr>
          <w:rFonts w:cs="Arial"/>
          <w:sz w:val="20"/>
          <w:szCs w:val="20"/>
        </w:rPr>
      </w:pPr>
      <w:r w:rsidRPr="00D4740B">
        <w:rPr>
          <w:rStyle w:val="FootnoteReference"/>
          <w:sz w:val="20"/>
          <w:szCs w:val="20"/>
        </w:rPr>
        <w:footnoteRef/>
      </w:r>
      <w:r w:rsidRPr="00D4740B">
        <w:rPr>
          <w:sz w:val="20"/>
          <w:szCs w:val="20"/>
        </w:rPr>
        <w:t xml:space="preserve"> </w:t>
      </w:r>
      <w:r w:rsidRPr="00D4740B">
        <w:rPr>
          <w:rFonts w:cs="Arial"/>
          <w:sz w:val="20"/>
          <w:szCs w:val="20"/>
        </w:rPr>
        <w:t xml:space="preserve">In early 2022, the Queensland Parliament’s Community Support and Services Committee examined the </w:t>
      </w:r>
      <w:r w:rsidRPr="00D4740B">
        <w:rPr>
          <w:rFonts w:cs="Arial"/>
          <w:i/>
          <w:iCs/>
          <w:sz w:val="20"/>
          <w:szCs w:val="20"/>
        </w:rPr>
        <w:t>Criminal Law (Raising the Age of Responsibility) Amendment Bill 2021</w:t>
      </w:r>
      <w:r w:rsidRPr="00D4740B">
        <w:rPr>
          <w:rFonts w:cs="Arial"/>
          <w:sz w:val="20"/>
          <w:szCs w:val="20"/>
        </w:rPr>
        <w:t xml:space="preserve">, which sought to raise the minimum age of criminal responsibility to 14 years. The Commission supported this reform, provided it was accompanied by appropriately developed and funded therapeutic alternatives, and in a manner that respected and protected the rights of victims: </w:t>
      </w:r>
      <w:r w:rsidR="004C60E2" w:rsidRPr="00D4740B">
        <w:rPr>
          <w:rFonts w:cs="Arial"/>
          <w:sz w:val="20"/>
          <w:szCs w:val="20"/>
        </w:rPr>
        <w:t xml:space="preserve">Queensland Human Rights Commission, Submission No 65 to the Community Support Services Committee, Queensland Parliament, </w:t>
      </w:r>
      <w:r w:rsidR="004C60E2" w:rsidRPr="00D4740B">
        <w:rPr>
          <w:rFonts w:cs="Arial"/>
          <w:i/>
          <w:iCs/>
          <w:sz w:val="20"/>
          <w:szCs w:val="20"/>
        </w:rPr>
        <w:t>Inquiry into the</w:t>
      </w:r>
      <w:r w:rsidR="004C60E2" w:rsidRPr="00D4740B">
        <w:rPr>
          <w:rFonts w:cs="Arial"/>
          <w:sz w:val="20"/>
          <w:szCs w:val="20"/>
        </w:rPr>
        <w:t xml:space="preserve"> </w:t>
      </w:r>
      <w:r w:rsidR="004C60E2" w:rsidRPr="00D4740B">
        <w:rPr>
          <w:rFonts w:cs="Arial"/>
          <w:i/>
          <w:iCs/>
          <w:sz w:val="20"/>
          <w:szCs w:val="20"/>
        </w:rPr>
        <w:t>Criminal Law (Raising the Age of Responsibility) Amendment Bill 2021</w:t>
      </w:r>
      <w:r w:rsidR="004C60E2" w:rsidRPr="00D4740B">
        <w:rPr>
          <w:rFonts w:cs="Arial"/>
          <w:sz w:val="20"/>
          <w:szCs w:val="20"/>
        </w:rPr>
        <w:t xml:space="preserve"> (30 November 2021).</w:t>
      </w:r>
    </w:p>
    <w:p w14:paraId="6244F259" w14:textId="0A9BC230" w:rsidR="00A87D42" w:rsidRDefault="00A87D42">
      <w:pPr>
        <w:pStyle w:val="FootnoteText"/>
      </w:pPr>
    </w:p>
  </w:footnote>
  <w:footnote w:id="16">
    <w:p w14:paraId="54BAE69C" w14:textId="41F3108E" w:rsidR="008A26E0" w:rsidRPr="00C87A87" w:rsidRDefault="008A26E0" w:rsidP="00011A22">
      <w:pPr>
        <w:pStyle w:val="FootnoteText"/>
        <w:rPr>
          <w:lang w:val="en-US"/>
        </w:rPr>
      </w:pPr>
      <w:r>
        <w:rPr>
          <w:rStyle w:val="FootnoteReference"/>
        </w:rPr>
        <w:footnoteRef/>
      </w:r>
      <w:r>
        <w:t xml:space="preserve"> </w:t>
      </w:r>
      <w:r w:rsidR="00582125" w:rsidRPr="00582125">
        <w:rPr>
          <w:i/>
          <w:iCs/>
          <w:lang w:val="en-US"/>
        </w:rPr>
        <w:t>Human Rights Act 2019</w:t>
      </w:r>
      <w:r w:rsidR="00582125">
        <w:rPr>
          <w:lang w:val="en-US"/>
        </w:rPr>
        <w:t xml:space="preserve"> (Qld), s</w:t>
      </w:r>
      <w:r>
        <w:rPr>
          <w:lang w:val="en-US"/>
        </w:rPr>
        <w:t xml:space="preserve"> 48</w:t>
      </w:r>
      <w:r w:rsidR="00582125">
        <w:rPr>
          <w:lang w:val="en-US"/>
        </w:rPr>
        <w:t xml:space="preserve">. </w:t>
      </w:r>
      <w:r w:rsidR="001A02F0">
        <w:rPr>
          <w:lang w:val="en-US"/>
        </w:rPr>
        <w:t xml:space="preserve">In relation to the equivalent provision in the Victorian Human Rights Charter, see </w:t>
      </w:r>
      <w:r w:rsidR="00582125">
        <w:rPr>
          <w:lang w:val="en-US"/>
        </w:rPr>
        <w:t xml:space="preserve">further </w:t>
      </w:r>
      <w:r w:rsidR="00011A22" w:rsidRPr="001A02F0">
        <w:rPr>
          <w:i/>
          <w:iCs/>
          <w:lang w:val="en-US"/>
        </w:rPr>
        <w:t>Certain Children by their Litigation Guardian Sister Marie Brigid Arthur v Minister for Families and Children</w:t>
      </w:r>
      <w:r w:rsidR="00011A22" w:rsidRPr="00011A22">
        <w:rPr>
          <w:lang w:val="en-US"/>
        </w:rPr>
        <w:t xml:space="preserve"> [2016] VSC 796</w:t>
      </w:r>
      <w:r w:rsidR="001A02F0">
        <w:rPr>
          <w:lang w:val="en-US"/>
        </w:rPr>
        <w:t>, [</w:t>
      </w:r>
      <w:r w:rsidR="00274CBE">
        <w:rPr>
          <w:lang w:val="en-US"/>
        </w:rPr>
        <w:t>146]–[15</w:t>
      </w:r>
      <w:r w:rsidR="000B1117">
        <w:rPr>
          <w:lang w:val="en-US"/>
        </w:rPr>
        <w:t>6</w:t>
      </w:r>
      <w:r w:rsidR="00274CBE">
        <w:rPr>
          <w:lang w:val="en-US"/>
        </w:rPr>
        <w:t>].</w:t>
      </w:r>
    </w:p>
  </w:footnote>
  <w:footnote w:id="17">
    <w:p w14:paraId="6AD8A599" w14:textId="3A06E599" w:rsidR="00C100C3" w:rsidRDefault="00C100C3">
      <w:pPr>
        <w:pStyle w:val="FootnoteText"/>
      </w:pPr>
      <w:r>
        <w:rPr>
          <w:rStyle w:val="FootnoteReference"/>
        </w:rPr>
        <w:footnoteRef/>
      </w:r>
      <w:r>
        <w:t xml:space="preserve"> </w:t>
      </w:r>
      <w:r w:rsidR="00DC2638">
        <w:t xml:space="preserve">The New Zealand Child and Youth Strategy was subject to a </w:t>
      </w:r>
      <w:r w:rsidR="00817295">
        <w:t xml:space="preserve">three year review in </w:t>
      </w:r>
      <w:r w:rsidR="00BD6457">
        <w:t xml:space="preserve">2022, which found that </w:t>
      </w:r>
      <w:r w:rsidR="001C3425">
        <w:t>the Strategy’</w:t>
      </w:r>
      <w:r w:rsidR="00932201">
        <w:t>s</w:t>
      </w:r>
      <w:r w:rsidR="001C3425">
        <w:t xml:space="preserve"> principles</w:t>
      </w:r>
      <w:r w:rsidR="00932201">
        <w:t xml:space="preserve"> enjoyed support</w:t>
      </w:r>
      <w:r w:rsidR="000A22B8">
        <w:t>:</w:t>
      </w:r>
      <w:r w:rsidR="00127119">
        <w:t xml:space="preserve"> Department of the Prime Minister and Cabinet</w:t>
      </w:r>
      <w:r w:rsidR="00DE1AD0">
        <w:t>,</w:t>
      </w:r>
      <w:r w:rsidR="005C5885">
        <w:t xml:space="preserve"> ‘</w:t>
      </w:r>
      <w:r w:rsidR="005C5885" w:rsidRPr="005C5885">
        <w:t>Briefing: Review of the Child and Youth Wellbeing Strategy</w:t>
      </w:r>
      <w:r w:rsidR="003B5DE0">
        <w:t xml:space="preserve"> </w:t>
      </w:r>
      <w:r w:rsidR="00073D46">
        <w:t>––</w:t>
      </w:r>
      <w:r w:rsidR="005C5885" w:rsidRPr="005C5885">
        <w:t xml:space="preserve"> Findings and Recommendations</w:t>
      </w:r>
      <w:r w:rsidR="005C5885">
        <w:t>’</w:t>
      </w:r>
      <w:r w:rsidR="00EA01BA">
        <w:t>,</w:t>
      </w:r>
      <w:r w:rsidR="00F75CDE">
        <w:t xml:space="preserve"> </w:t>
      </w:r>
      <w:r w:rsidR="00172599">
        <w:t>18 August 2022, &lt;</w:t>
      </w:r>
      <w:r w:rsidR="00513155" w:rsidRPr="00172599">
        <w:t>https://www.childyouthwellbeing.govt.nz/resources/review-child-and-youth-wellbeing-strategy</w:t>
      </w:r>
      <w:r w:rsidR="00172599">
        <w:t>&gt;</w:t>
      </w:r>
      <w:r w:rsidR="003B5DE0">
        <w:t xml:space="preserve">, </w:t>
      </w:r>
      <w:r w:rsidR="00CA5650">
        <w:t>2, 29</w:t>
      </w:r>
      <w:r w:rsidR="00172599">
        <w:t xml:space="preserve">. </w:t>
      </w:r>
    </w:p>
  </w:footnote>
  <w:footnote w:id="18">
    <w:p w14:paraId="1304ABF6" w14:textId="2EBC0899" w:rsidR="004208F8" w:rsidRDefault="004208F8">
      <w:pPr>
        <w:pStyle w:val="FootnoteText"/>
      </w:pPr>
      <w:r>
        <w:rPr>
          <w:rStyle w:val="FootnoteReference"/>
        </w:rPr>
        <w:footnoteRef/>
      </w:r>
      <w:r>
        <w:t xml:space="preserve"> </w:t>
      </w:r>
      <w:r w:rsidR="00110E05">
        <w:t xml:space="preserve">See </w:t>
      </w:r>
      <w:r w:rsidR="00CA5650">
        <w:t xml:space="preserve">New Zealand </w:t>
      </w:r>
      <w:r w:rsidR="00110E05">
        <w:t>Child and Youth Strategy</w:t>
      </w:r>
      <w:r w:rsidR="004061F1">
        <w:t xml:space="preserve">, </w:t>
      </w:r>
      <w:r w:rsidR="008833B7">
        <w:t>28</w:t>
      </w:r>
      <w:r>
        <w:t>: ‘Children and young people are taonga’</w:t>
      </w:r>
      <w:r w:rsidR="007B5FFE">
        <w:t>, and Australian National Framework, 8 ‘Listening and responding to the voices and views of children and young people, and the views of those who care for them’.</w:t>
      </w:r>
    </w:p>
  </w:footnote>
  <w:footnote w:id="19">
    <w:p w14:paraId="1A30D263" w14:textId="02E064A3" w:rsidR="00710AC0" w:rsidRDefault="00710AC0" w:rsidP="00710AC0">
      <w:pPr>
        <w:pStyle w:val="FootnoteText"/>
      </w:pPr>
      <w:r>
        <w:rPr>
          <w:rStyle w:val="FootnoteReference"/>
        </w:rPr>
        <w:footnoteRef/>
      </w:r>
      <w:r>
        <w:t xml:space="preserve"> </w:t>
      </w:r>
      <w:r w:rsidR="008833B7">
        <w:t>New Zealand Child and Youth Strategy</w:t>
      </w:r>
      <w:r>
        <w:t>, 29</w:t>
      </w:r>
      <w:r w:rsidR="00E366B0">
        <w:t>: ‘Early support is needed’.</w:t>
      </w:r>
      <w:r w:rsidR="0051117C">
        <w:t xml:space="preserve"> See</w:t>
      </w:r>
      <w:r w:rsidR="0024608E">
        <w:t xml:space="preserve"> further</w:t>
      </w:r>
      <w:r w:rsidR="0051117C">
        <w:t xml:space="preserve"> </w:t>
      </w:r>
      <w:r w:rsidR="0024608E" w:rsidRPr="00E175C4">
        <w:rPr>
          <w:rFonts w:cs="Arial"/>
        </w:rPr>
        <w:t xml:space="preserve">Bob Atkinson, </w:t>
      </w:r>
      <w:r w:rsidR="0024608E" w:rsidRPr="00E175C4">
        <w:rPr>
          <w:rFonts w:cs="Arial"/>
          <w:i/>
        </w:rPr>
        <w:t xml:space="preserve">Report on Youth Justice </w:t>
      </w:r>
      <w:r w:rsidR="0024608E" w:rsidRPr="00E175C4">
        <w:rPr>
          <w:rFonts w:cs="Arial"/>
        </w:rPr>
        <w:t>(Version 2, 8 June 2018)</w:t>
      </w:r>
      <w:r w:rsidR="0077351F">
        <w:t>,</w:t>
      </w:r>
      <w:r w:rsidR="0024608E">
        <w:t xml:space="preserve"> 21</w:t>
      </w:r>
      <w:r w:rsidR="00ED5547">
        <w:t>–2</w:t>
      </w:r>
      <w:r w:rsidR="0024608E">
        <w:t>.</w:t>
      </w:r>
    </w:p>
  </w:footnote>
  <w:footnote w:id="20">
    <w:p w14:paraId="5E03D1F1" w14:textId="77777777" w:rsidR="00710AC0" w:rsidRDefault="00710AC0" w:rsidP="00710AC0">
      <w:pPr>
        <w:pStyle w:val="FootnoteText"/>
      </w:pPr>
      <w:r>
        <w:rPr>
          <w:rStyle w:val="FootnoteReference"/>
        </w:rPr>
        <w:footnoteRef/>
      </w:r>
      <w:r>
        <w:t xml:space="preserve"> For example, </w:t>
      </w:r>
      <w:r>
        <w:rPr>
          <w:lang w:val="en-US"/>
        </w:rPr>
        <w:t xml:space="preserve">it is not clear in the text under the current draft principle whether prevention and intervention refer to steps to avoid or mitigate risk factors identified on pages 12 to 13, and/or whether the ultimate goal is preventing and intervening in relation to contact with child protection and the criminal justice system.  </w:t>
      </w:r>
    </w:p>
  </w:footnote>
  <w:footnote w:id="21">
    <w:p w14:paraId="1CBFC2A3" w14:textId="2F3D8212" w:rsidR="008A40DF" w:rsidRDefault="008A40DF">
      <w:pPr>
        <w:pStyle w:val="FootnoteText"/>
      </w:pPr>
      <w:r>
        <w:rPr>
          <w:rStyle w:val="FootnoteReference"/>
        </w:rPr>
        <w:footnoteRef/>
      </w:r>
      <w:r>
        <w:t xml:space="preserve"> </w:t>
      </w:r>
      <w:r w:rsidR="00977B5C">
        <w:t>New Zealand Child and Youth Strategy, 29</w:t>
      </w:r>
      <w:r>
        <w:t>: ‘Change requires action by all of us’.</w:t>
      </w:r>
      <w:r w:rsidR="007F458A">
        <w:t xml:space="preserve"> </w:t>
      </w:r>
      <w:r w:rsidR="003A578D">
        <w:t xml:space="preserve">See further </w:t>
      </w:r>
      <w:r w:rsidR="003A578D" w:rsidRPr="00E175C4">
        <w:rPr>
          <w:rFonts w:cs="Arial"/>
        </w:rPr>
        <w:t xml:space="preserve">Bob Atkinson, </w:t>
      </w:r>
      <w:r w:rsidR="003A578D" w:rsidRPr="00E175C4">
        <w:rPr>
          <w:rFonts w:cs="Arial"/>
          <w:i/>
        </w:rPr>
        <w:t xml:space="preserve">Report on Youth Justice </w:t>
      </w:r>
      <w:r w:rsidR="003A578D" w:rsidRPr="00E175C4">
        <w:rPr>
          <w:rFonts w:cs="Arial"/>
        </w:rPr>
        <w:t>(Version 2, 8 June 2018)</w:t>
      </w:r>
      <w:r w:rsidR="007F458A">
        <w:t xml:space="preserve">. </w:t>
      </w:r>
      <w:r w:rsidR="00DB4C3F">
        <w:t>21.</w:t>
      </w:r>
    </w:p>
  </w:footnote>
  <w:footnote w:id="22">
    <w:p w14:paraId="71FFFA2E" w14:textId="3BCDF9C4" w:rsidR="004544AA" w:rsidRDefault="004544AA">
      <w:pPr>
        <w:pStyle w:val="FootnoteText"/>
      </w:pPr>
      <w:r>
        <w:rPr>
          <w:rStyle w:val="FootnoteReference"/>
        </w:rPr>
        <w:footnoteRef/>
      </w:r>
      <w:r>
        <w:t xml:space="preserve"> Referred to further in the </w:t>
      </w:r>
      <w:r w:rsidR="00CA02DE">
        <w:t>Plan</w:t>
      </w:r>
      <w:r>
        <w:t xml:space="preserve"> under ‘Investment Priorities’</w:t>
      </w:r>
      <w:r w:rsidR="00CA02DE">
        <w:t xml:space="preserve"> (Partnering for integrated, place-based and First Nations-led delivery</w:t>
      </w:r>
      <w:r w:rsidR="00B51ECC">
        <w:t>)</w:t>
      </w:r>
      <w:r w:rsidR="00CA02DE">
        <w:t xml:space="preserve"> at pages 14 and 19</w:t>
      </w:r>
      <w:r>
        <w:t>.</w:t>
      </w:r>
      <w:r w:rsidR="00AA477D" w:rsidRPr="00AA477D">
        <w:t xml:space="preserve"> </w:t>
      </w:r>
    </w:p>
  </w:footnote>
  <w:footnote w:id="23">
    <w:p w14:paraId="439823D2" w14:textId="033FC7D3" w:rsidR="00B51ECC" w:rsidRDefault="00B51ECC">
      <w:pPr>
        <w:pStyle w:val="FootnoteText"/>
      </w:pPr>
      <w:r>
        <w:rPr>
          <w:rStyle w:val="FootnoteReference"/>
        </w:rPr>
        <w:footnoteRef/>
      </w:r>
      <w:r>
        <w:t xml:space="preserve"> </w:t>
      </w:r>
      <w:r w:rsidR="008D56BF">
        <w:t>Tasmanian Child and Youth Strategy, 12</w:t>
      </w:r>
      <w:r w:rsidR="0099390E">
        <w:t xml:space="preserve">: ‘Acknowledging that the family and extended family of the child has the primary responsibility for the care, upbringing and development of their child/children </w:t>
      </w:r>
      <w:r w:rsidR="001E1AE7">
        <w:t>…’</w:t>
      </w:r>
      <w:r w:rsidR="003848DD">
        <w:t>.</w:t>
      </w:r>
    </w:p>
  </w:footnote>
  <w:footnote w:id="24">
    <w:p w14:paraId="755A2E9B" w14:textId="7E17B83A" w:rsidR="004F7087" w:rsidRDefault="004F7087" w:rsidP="004F7087">
      <w:pPr>
        <w:pStyle w:val="FootnoteText"/>
      </w:pPr>
      <w:r>
        <w:rPr>
          <w:rStyle w:val="FootnoteReference"/>
        </w:rPr>
        <w:footnoteRef/>
      </w:r>
      <w:r>
        <w:t xml:space="preserve"> </w:t>
      </w:r>
      <w:r w:rsidR="00CF2E16" w:rsidRPr="00CF2E16">
        <w:rPr>
          <w:i/>
          <w:iCs/>
        </w:rPr>
        <w:t>United Nations</w:t>
      </w:r>
      <w:r>
        <w:t xml:space="preserve"> </w:t>
      </w:r>
      <w:r w:rsidRPr="006F7A27">
        <w:rPr>
          <w:i/>
          <w:iCs/>
        </w:rPr>
        <w:t>Convention on the Rights of the Child</w:t>
      </w:r>
      <w:r>
        <w:t>,</w:t>
      </w:r>
      <w:r w:rsidR="00CF2E16">
        <w:t xml:space="preserve"> preamble</w:t>
      </w:r>
      <w:r w:rsidR="00D374CF">
        <w:t>;</w:t>
      </w:r>
      <w:r>
        <w:t xml:space="preserve"> </w:t>
      </w:r>
      <w:r w:rsidR="000A32B3">
        <w:t xml:space="preserve">Committee on the Rights of the Child, </w:t>
      </w:r>
      <w:r w:rsidR="000A32B3">
        <w:rPr>
          <w:i/>
        </w:rPr>
        <w:t xml:space="preserve">General Comment </w:t>
      </w:r>
      <w:r w:rsidR="0099453C">
        <w:rPr>
          <w:i/>
        </w:rPr>
        <w:t xml:space="preserve">No. </w:t>
      </w:r>
      <w:r w:rsidR="00444AA9">
        <w:rPr>
          <w:i/>
        </w:rPr>
        <w:t>24 on children’s rights in the child justice system</w:t>
      </w:r>
      <w:r w:rsidR="00B21D0E">
        <w:rPr>
          <w:iCs/>
        </w:rPr>
        <w:t xml:space="preserve">, </w:t>
      </w:r>
      <w:r w:rsidR="004A25AC">
        <w:rPr>
          <w:iCs/>
        </w:rPr>
        <w:t xml:space="preserve">UN Doc </w:t>
      </w:r>
      <w:r w:rsidR="00E80433">
        <w:rPr>
          <w:iCs/>
        </w:rPr>
        <w:t>CRC/C/GC/24</w:t>
      </w:r>
      <w:r w:rsidR="00A37D58">
        <w:rPr>
          <w:iCs/>
        </w:rPr>
        <w:t xml:space="preserve"> (18 September 2019)</w:t>
      </w:r>
      <w:r w:rsidR="000A32B3">
        <w:t xml:space="preserve"> </w:t>
      </w:r>
      <w:r>
        <w:t>[11].</w:t>
      </w:r>
    </w:p>
  </w:footnote>
  <w:footnote w:id="25">
    <w:p w14:paraId="26700F7C" w14:textId="64D9FD2A" w:rsidR="00381A5D" w:rsidRDefault="00381A5D">
      <w:pPr>
        <w:pStyle w:val="FootnoteText"/>
      </w:pPr>
      <w:r>
        <w:rPr>
          <w:rStyle w:val="FootnoteReference"/>
        </w:rPr>
        <w:footnoteRef/>
      </w:r>
      <w:r>
        <w:t xml:space="preserve"> </w:t>
      </w:r>
      <w:r w:rsidR="003D5CBF">
        <w:t xml:space="preserve">Royal Australian College of Physicians, </w:t>
      </w:r>
      <w:r w:rsidR="003D5CBF" w:rsidRPr="003D5CBF">
        <w:t>Early Childhood: The Importance of the Early Years (Position Statement, May 2019) 19-21</w:t>
      </w:r>
      <w:r w:rsidR="004B52DA">
        <w:t xml:space="preserve">; </w:t>
      </w:r>
      <w:r w:rsidR="004B52DA" w:rsidRPr="004B52DA">
        <w:t>Tim Moore, ‘Early Childhood and Long Term Development: The Importance of the Early Years’ (Research paper, Australian Research Alliance for Children and Youth, June 2006) 5-9.</w:t>
      </w:r>
    </w:p>
  </w:footnote>
  <w:footnote w:id="26">
    <w:p w14:paraId="490166B9" w14:textId="572FE9B8" w:rsidR="00A169C8" w:rsidRDefault="00A169C8">
      <w:pPr>
        <w:pStyle w:val="FootnoteText"/>
      </w:pPr>
      <w:r>
        <w:rPr>
          <w:rStyle w:val="FootnoteReference"/>
        </w:rPr>
        <w:footnoteRef/>
      </w:r>
      <w:r>
        <w:t xml:space="preserve"> </w:t>
      </w:r>
      <w:r w:rsidR="007C7B24">
        <w:t>New Zealand Child and Youth Strategy</w:t>
      </w:r>
      <w:r w:rsidR="002E7F1F">
        <w:t>, 29:</w:t>
      </w:r>
      <w:r>
        <w:t xml:space="preserve"> ‘Children and young people’s wellbeing is interwoven with family and </w:t>
      </w:r>
      <w:r w:rsidR="00AB0404">
        <w:t>wh</w:t>
      </w:r>
      <w:r w:rsidR="002B49CC">
        <w:rPr>
          <w:rFonts w:cs="Arial"/>
        </w:rPr>
        <w:t>ā</w:t>
      </w:r>
      <w:r w:rsidR="00AB0404">
        <w:t>nau wellbeing</w:t>
      </w:r>
      <w:r w:rsidR="002B49CC">
        <w:t>’.</w:t>
      </w:r>
    </w:p>
  </w:footnote>
  <w:footnote w:id="27">
    <w:p w14:paraId="076E2BAE" w14:textId="20754096" w:rsidR="002B3E46" w:rsidRDefault="002B3E46">
      <w:pPr>
        <w:pStyle w:val="FootnoteText"/>
      </w:pPr>
      <w:r>
        <w:rPr>
          <w:rStyle w:val="FootnoteReference"/>
        </w:rPr>
        <w:footnoteRef/>
      </w:r>
      <w:r>
        <w:t xml:space="preserve"> </w:t>
      </w:r>
      <w:r w:rsidR="006A361A">
        <w:t>New Zealand Child and Youth Strategy</w:t>
      </w:r>
      <w:r w:rsidR="00A953CA">
        <w:t>, 29.</w:t>
      </w:r>
      <w:r w:rsidR="006A361A">
        <w:t xml:space="preserve"> See also Tasmanian </w:t>
      </w:r>
      <w:r w:rsidR="004E153D">
        <w:t>Child and Youth Strategy, 12</w:t>
      </w:r>
      <w:r w:rsidR="003848DD">
        <w:t>; See Australian National Framework, 8 ‘Access to quality universal and targeted services designed to improve outcomes for children, young people and families’.</w:t>
      </w:r>
    </w:p>
  </w:footnote>
  <w:footnote w:id="28">
    <w:p w14:paraId="3841DDCD" w14:textId="44A0C64D" w:rsidR="002E1B39" w:rsidRPr="00433E1F" w:rsidRDefault="002E1B39">
      <w:pPr>
        <w:pStyle w:val="FootnoteText"/>
      </w:pPr>
      <w:r>
        <w:rPr>
          <w:rStyle w:val="FootnoteReference"/>
        </w:rPr>
        <w:footnoteRef/>
      </w:r>
      <w:r>
        <w:t xml:space="preserve"> </w:t>
      </w:r>
      <w:r w:rsidR="00433E1F">
        <w:rPr>
          <w:i/>
          <w:iCs/>
        </w:rPr>
        <w:t>Human Rights Act 2019</w:t>
      </w:r>
      <w:r w:rsidR="00433E1F">
        <w:t xml:space="preserve"> (Qld), ss </w:t>
      </w:r>
      <w:r w:rsidR="000E22EA">
        <w:t>27</w:t>
      </w:r>
      <w:r w:rsidR="00641AB1">
        <w:t>–28.</w:t>
      </w:r>
    </w:p>
  </w:footnote>
  <w:footnote w:id="29">
    <w:p w14:paraId="263D0F36" w14:textId="77777777" w:rsidR="00130B53" w:rsidRDefault="00130B53" w:rsidP="00130B53">
      <w:pPr>
        <w:pStyle w:val="FootnoteText"/>
      </w:pPr>
      <w:r>
        <w:rPr>
          <w:rStyle w:val="FootnoteReference"/>
        </w:rPr>
        <w:footnoteRef/>
      </w:r>
      <w:r>
        <w:t xml:space="preserve"> Investment Priorities: Partnering for integrated, place-based and First Nations-led delivery (at pages 14 and 19</w:t>
      </w:r>
    </w:p>
  </w:footnote>
  <w:footnote w:id="30">
    <w:p w14:paraId="4A6D58EA" w14:textId="66E444C6" w:rsidR="006537B7" w:rsidRDefault="006537B7" w:rsidP="001F5689">
      <w:pPr>
        <w:pStyle w:val="FootnoteText"/>
      </w:pPr>
      <w:r>
        <w:rPr>
          <w:rStyle w:val="FootnoteReference"/>
        </w:rPr>
        <w:footnoteRef/>
      </w:r>
      <w:r>
        <w:t xml:space="preserve"> </w:t>
      </w:r>
      <w:r w:rsidR="00E90A06">
        <w:t xml:space="preserve">See </w:t>
      </w:r>
      <w:r w:rsidR="003F49C7">
        <w:t>New Zealand Child and Youth Strategy, 28:</w:t>
      </w:r>
      <w:r w:rsidR="001F5689">
        <w:t xml:space="preserve"> ‘Māori are tangata whenua and the Māori-Crown Relationship is foundational’.</w:t>
      </w:r>
    </w:p>
  </w:footnote>
  <w:footnote w:id="31">
    <w:p w14:paraId="26E17C64" w14:textId="116D5DF3" w:rsidR="00673571" w:rsidRDefault="00673571">
      <w:pPr>
        <w:pStyle w:val="FootnoteText"/>
      </w:pPr>
      <w:r>
        <w:rPr>
          <w:rStyle w:val="FootnoteReference"/>
        </w:rPr>
        <w:footnoteRef/>
      </w:r>
      <w:r>
        <w:t xml:space="preserve"> As to the cultural determinants of health and wellbeing see further </w:t>
      </w:r>
      <w:r w:rsidR="00AD1EB7">
        <w:t>Ngaire Brown, Peter S Azzopardi</w:t>
      </w:r>
      <w:r w:rsidR="00470900">
        <w:t xml:space="preserve"> and Fiona J Stanley</w:t>
      </w:r>
      <w:r w:rsidR="00AD1EB7">
        <w:t xml:space="preserve">, ‘Aragung buraay: culture, identity and positive futures for Australian children’ (2023) 219(10) </w:t>
      </w:r>
      <w:r w:rsidR="00AD1EB7" w:rsidRPr="007B2EEF">
        <w:rPr>
          <w:i/>
          <w:iCs/>
        </w:rPr>
        <w:t>Medical Journal of Australia</w:t>
      </w:r>
      <w:r w:rsidR="00AD1EB7">
        <w:t xml:space="preserve"> S35</w:t>
      </w:r>
      <w:r w:rsidR="007C1D84">
        <w:t>, S36</w:t>
      </w:r>
      <w:r w:rsidR="00AD1EB7">
        <w:t>.</w:t>
      </w:r>
    </w:p>
  </w:footnote>
  <w:footnote w:id="32">
    <w:p w14:paraId="4FE83B40" w14:textId="7A33C80F" w:rsidR="00773463" w:rsidRDefault="00773463">
      <w:pPr>
        <w:pStyle w:val="FootnoteText"/>
      </w:pPr>
      <w:r>
        <w:rPr>
          <w:rStyle w:val="FootnoteReference"/>
        </w:rPr>
        <w:footnoteRef/>
      </w:r>
      <w:r>
        <w:t xml:space="preserve"> </w:t>
      </w:r>
      <w:r w:rsidR="003646F3">
        <w:t>New Zealand Child and Youth Strategy, 28: ‘All children and young people deserve to life a good life’</w:t>
      </w:r>
      <w:r w:rsidR="007E7B3D">
        <w:t>; Australian National Framework, 8: ‘Trauma-informed, culturally safe, and inclusive policies and actions’.</w:t>
      </w:r>
    </w:p>
  </w:footnote>
  <w:footnote w:id="33">
    <w:p w14:paraId="7B2FA860" w14:textId="1A83231F" w:rsidR="00773463" w:rsidRDefault="00773463">
      <w:pPr>
        <w:pStyle w:val="FootnoteText"/>
      </w:pPr>
      <w:r>
        <w:rPr>
          <w:rStyle w:val="FootnoteReference"/>
        </w:rPr>
        <w:footnoteRef/>
      </w:r>
      <w:r>
        <w:t xml:space="preserve"> </w:t>
      </w:r>
      <w:r w:rsidR="00BB7A93">
        <w:t>New Zealand Child and Youth Strategy, 29: ‘Actions must deliver better life outcomes’</w:t>
      </w:r>
      <w:r w:rsidR="00597815">
        <w:t>; Australian National Framework, 8: ‘Excellence in practice and policy development, based on evidence, data and information sharing’ and ‘</w:t>
      </w:r>
      <w:r w:rsidR="007E7B3D">
        <w:t>Clear responsibilities and strong monitoring, evaluation and achievements of outcomes’.</w:t>
      </w:r>
    </w:p>
  </w:footnote>
  <w:footnote w:id="34">
    <w:p w14:paraId="65AACD00" w14:textId="14C3C0AC" w:rsidR="00DD5211" w:rsidRPr="00987AC9" w:rsidRDefault="00DD5211" w:rsidP="00987AC9">
      <w:pPr>
        <w:rPr>
          <w:rFonts w:cs="Arial"/>
          <w:sz w:val="20"/>
          <w:szCs w:val="20"/>
        </w:rPr>
      </w:pPr>
      <w:r w:rsidRPr="00987AC9">
        <w:rPr>
          <w:rStyle w:val="FootnoteReference"/>
          <w:rFonts w:cs="Arial"/>
          <w:sz w:val="20"/>
          <w:szCs w:val="20"/>
        </w:rPr>
        <w:footnoteRef/>
      </w:r>
      <w:r w:rsidRPr="00987AC9">
        <w:rPr>
          <w:rFonts w:cs="Arial"/>
          <w:sz w:val="20"/>
          <w:szCs w:val="20"/>
        </w:rPr>
        <w:t xml:space="preserve"> </w:t>
      </w:r>
      <w:r w:rsidR="004E40A2" w:rsidRPr="00987AC9">
        <w:rPr>
          <w:rFonts w:cs="Arial"/>
          <w:sz w:val="20"/>
          <w:szCs w:val="20"/>
        </w:rPr>
        <w:t xml:space="preserve">See, eg, Megan O’Connell et al, </w:t>
      </w:r>
      <w:r w:rsidR="004E40A2" w:rsidRPr="00987AC9">
        <w:rPr>
          <w:rFonts w:cs="Arial"/>
          <w:i/>
          <w:iCs/>
          <w:sz w:val="20"/>
          <w:szCs w:val="20"/>
        </w:rPr>
        <w:t>Quality Early Education for All</w:t>
      </w:r>
      <w:r w:rsidR="004E40A2" w:rsidRPr="00987AC9">
        <w:rPr>
          <w:rFonts w:cs="Arial"/>
          <w:sz w:val="20"/>
          <w:szCs w:val="20"/>
        </w:rPr>
        <w:t xml:space="preserve"> (Mitchell Report No 01/2016, April 2016) 6-7</w:t>
      </w:r>
      <w:r w:rsidR="00DC0D8D" w:rsidRPr="00987AC9">
        <w:rPr>
          <w:rFonts w:cs="Arial"/>
          <w:sz w:val="20"/>
          <w:szCs w:val="20"/>
        </w:rPr>
        <w:t>;</w:t>
      </w:r>
      <w:r w:rsidR="00F30E01" w:rsidRPr="00987AC9">
        <w:rPr>
          <w:rFonts w:cs="Arial"/>
          <w:sz w:val="20"/>
          <w:szCs w:val="20"/>
        </w:rPr>
        <w:t xml:space="preserve"> </w:t>
      </w:r>
      <w:r w:rsidR="00C24BCF" w:rsidRPr="00987AC9">
        <w:rPr>
          <w:rFonts w:cs="Arial"/>
          <w:sz w:val="20"/>
          <w:szCs w:val="20"/>
        </w:rPr>
        <w:t>Royal Australasian College of Physicians</w:t>
      </w:r>
      <w:r w:rsidR="00987AC9" w:rsidRPr="00987AC9">
        <w:rPr>
          <w:rFonts w:cs="Arial"/>
          <w:sz w:val="20"/>
          <w:szCs w:val="20"/>
        </w:rPr>
        <w:t xml:space="preserve">, </w:t>
      </w:r>
      <w:r w:rsidR="00987AC9" w:rsidRPr="00987AC9">
        <w:rPr>
          <w:rFonts w:cs="Arial"/>
          <w:i/>
          <w:iCs/>
          <w:sz w:val="20"/>
          <w:szCs w:val="20"/>
        </w:rPr>
        <w:t xml:space="preserve">Early Childhood: The Importance of the Early Years </w:t>
      </w:r>
      <w:r w:rsidR="00987AC9" w:rsidRPr="00987AC9">
        <w:rPr>
          <w:rFonts w:cs="Arial"/>
          <w:sz w:val="20"/>
          <w:szCs w:val="20"/>
        </w:rPr>
        <w:t>(Position Statement, May 2019) 37</w:t>
      </w:r>
      <w:r w:rsidR="00D25378" w:rsidRPr="00987AC9">
        <w:rPr>
          <w:rFonts w:cs="Arial"/>
          <w:sz w:val="20"/>
          <w:szCs w:val="20"/>
        </w:rPr>
        <w:t>;</w:t>
      </w:r>
      <w:r w:rsidR="0048094F" w:rsidRPr="00987AC9">
        <w:rPr>
          <w:rFonts w:cs="Arial"/>
          <w:sz w:val="20"/>
          <w:szCs w:val="20"/>
        </w:rPr>
        <w:t xml:space="preserve"> </w:t>
      </w:r>
      <w:r w:rsidR="00825C02" w:rsidRPr="00987AC9">
        <w:rPr>
          <w:rFonts w:cs="Arial"/>
          <w:sz w:val="20"/>
          <w:szCs w:val="20"/>
        </w:rPr>
        <w:t xml:space="preserve">Bob Atkinson, </w:t>
      </w:r>
      <w:r w:rsidR="00825C02" w:rsidRPr="00987AC9">
        <w:rPr>
          <w:rFonts w:cs="Arial"/>
          <w:i/>
          <w:sz w:val="20"/>
          <w:szCs w:val="20"/>
        </w:rPr>
        <w:t xml:space="preserve">Report on Youth Justice </w:t>
      </w:r>
      <w:r w:rsidR="00825C02" w:rsidRPr="00987AC9">
        <w:rPr>
          <w:rFonts w:cs="Arial"/>
          <w:sz w:val="20"/>
          <w:szCs w:val="20"/>
        </w:rPr>
        <w:t>(Version 2, 8 June 2018),</w:t>
      </w:r>
      <w:r w:rsidR="00D25378" w:rsidRPr="00987AC9">
        <w:rPr>
          <w:rFonts w:cs="Arial"/>
          <w:sz w:val="20"/>
          <w:szCs w:val="20"/>
        </w:rPr>
        <w:t xml:space="preserve"> </w:t>
      </w:r>
      <w:r w:rsidR="004E40A2" w:rsidRPr="00987AC9">
        <w:rPr>
          <w:rFonts w:cs="Arial"/>
          <w:sz w:val="20"/>
          <w:szCs w:val="20"/>
        </w:rPr>
        <w:t>33-34</w:t>
      </w:r>
      <w:r w:rsidR="00825C02" w:rsidRPr="00987AC9">
        <w:rPr>
          <w:rFonts w:cs="Arial"/>
          <w:sz w:val="20"/>
          <w:szCs w:val="20"/>
        </w:rPr>
        <w:t>.</w:t>
      </w:r>
    </w:p>
  </w:footnote>
  <w:footnote w:id="35">
    <w:p w14:paraId="258D1773" w14:textId="2194C8B4" w:rsidR="008302F4" w:rsidRDefault="008302F4">
      <w:pPr>
        <w:pStyle w:val="FootnoteText"/>
      </w:pPr>
      <w:r>
        <w:rPr>
          <w:rStyle w:val="FootnoteReference"/>
        </w:rPr>
        <w:footnoteRef/>
      </w:r>
      <w:r>
        <w:t xml:space="preserve"> </w:t>
      </w:r>
      <w:r w:rsidR="00C06AF9">
        <w:t>See, eg,</w:t>
      </w:r>
      <w:r w:rsidR="003F50C8">
        <w:t xml:space="preserve"> </w:t>
      </w:r>
      <w:r w:rsidR="00C06AF9" w:rsidRPr="00987AC9">
        <w:rPr>
          <w:rFonts w:cs="Arial"/>
          <w:szCs w:val="20"/>
        </w:rPr>
        <w:t xml:space="preserve">Queensland Family and Child Commission (‘QFCC’), </w:t>
      </w:r>
      <w:r w:rsidR="00C06AF9" w:rsidRPr="00F54A14">
        <w:rPr>
          <w:rFonts w:cs="Arial"/>
          <w:i/>
          <w:iCs/>
          <w:szCs w:val="20"/>
        </w:rPr>
        <w:t>Lessons from the life-story timelines of 30 Queensland children who have died: A small sample review of commonalities in child and family trajectories considered at the Child Death Review Board</w:t>
      </w:r>
      <w:r w:rsidR="00C06AF9" w:rsidRPr="00987AC9">
        <w:rPr>
          <w:rFonts w:cs="Arial"/>
          <w:szCs w:val="20"/>
        </w:rPr>
        <w:t xml:space="preserve"> (</w:t>
      </w:r>
      <w:r w:rsidR="000932AF">
        <w:rPr>
          <w:rFonts w:cs="Arial"/>
          <w:szCs w:val="20"/>
        </w:rPr>
        <w:t xml:space="preserve">Report, </w:t>
      </w:r>
      <w:r w:rsidR="00C06AF9" w:rsidRPr="00987AC9">
        <w:rPr>
          <w:rFonts w:cs="Arial"/>
          <w:szCs w:val="20"/>
        </w:rPr>
        <w:t>June 2023) (‘</w:t>
      </w:r>
      <w:r w:rsidR="00C06AF9" w:rsidRPr="00987AC9">
        <w:rPr>
          <w:rFonts w:cs="Arial"/>
          <w:i/>
          <w:iCs/>
          <w:szCs w:val="20"/>
        </w:rPr>
        <w:t>Lessons from the life-story timelines of 30 Queensland children who have died</w:t>
      </w:r>
      <w:r w:rsidR="00C06AF9" w:rsidRPr="00987AC9">
        <w:rPr>
          <w:rFonts w:cs="Arial"/>
          <w:szCs w:val="20"/>
        </w:rPr>
        <w:t>’)</w:t>
      </w:r>
      <w:r w:rsidR="003F50C8">
        <w:t>,</w:t>
      </w:r>
      <w:r w:rsidR="00300BF2">
        <w:t xml:space="preserve"> 16-22</w:t>
      </w:r>
      <w:r w:rsidR="00E51B5F">
        <w:t xml:space="preserve">; </w:t>
      </w:r>
      <w:r w:rsidR="00E51B5F" w:rsidRPr="00E175C4">
        <w:rPr>
          <w:rFonts w:cs="Arial"/>
        </w:rPr>
        <w:t xml:space="preserve">Bob Atkinson, </w:t>
      </w:r>
      <w:r w:rsidR="00E51B5F" w:rsidRPr="00E175C4">
        <w:rPr>
          <w:rFonts w:cs="Arial"/>
          <w:i/>
        </w:rPr>
        <w:t xml:space="preserve">Report on Youth Justice </w:t>
      </w:r>
      <w:r w:rsidR="00E51B5F" w:rsidRPr="00E175C4">
        <w:rPr>
          <w:rFonts w:cs="Arial"/>
        </w:rPr>
        <w:t>(Version 2, 8 June 2018)</w:t>
      </w:r>
      <w:r w:rsidR="00E51B5F">
        <w:rPr>
          <w:rFonts w:cs="Arial"/>
        </w:rPr>
        <w:t xml:space="preserve"> </w:t>
      </w:r>
      <w:r w:rsidR="00E51B5F">
        <w:t>33-4.</w:t>
      </w:r>
    </w:p>
  </w:footnote>
  <w:footnote w:id="36">
    <w:p w14:paraId="08A2267C" w14:textId="36EE993C" w:rsidR="00A05D36" w:rsidRDefault="00A05D36">
      <w:pPr>
        <w:pStyle w:val="FootnoteText"/>
      </w:pPr>
      <w:r>
        <w:rPr>
          <w:rStyle w:val="FootnoteReference"/>
        </w:rPr>
        <w:footnoteRef/>
      </w:r>
      <w:r>
        <w:t xml:space="preserve"> </w:t>
      </w:r>
      <w:r w:rsidR="00485A4A" w:rsidRPr="00E175C4">
        <w:rPr>
          <w:rFonts w:cs="Arial"/>
        </w:rPr>
        <w:t xml:space="preserve">Bob Atkinson, </w:t>
      </w:r>
      <w:r w:rsidR="00485A4A" w:rsidRPr="00E175C4">
        <w:rPr>
          <w:rFonts w:cs="Arial"/>
          <w:i/>
        </w:rPr>
        <w:t xml:space="preserve">Report on Youth Justice </w:t>
      </w:r>
      <w:r w:rsidR="00485A4A" w:rsidRPr="00E175C4">
        <w:rPr>
          <w:rFonts w:cs="Arial"/>
        </w:rPr>
        <w:t>(Version 2, 8 June 2018)</w:t>
      </w:r>
      <w:r w:rsidR="00D91274">
        <w:rPr>
          <w:rFonts w:cs="Arial"/>
        </w:rPr>
        <w:t>, 33</w:t>
      </w:r>
      <w:r w:rsidR="005F4C92">
        <w:rPr>
          <w:rFonts w:cs="Arial"/>
        </w:rPr>
        <w:t>–4</w:t>
      </w:r>
      <w:r>
        <w:t>.</w:t>
      </w:r>
      <w:r w:rsidR="00A25C12">
        <w:t xml:space="preserve"> See also QFCC</w:t>
      </w:r>
      <w:r w:rsidR="00627CAE">
        <w:t xml:space="preserve">, </w:t>
      </w:r>
      <w:r w:rsidR="00627CAE">
        <w:rPr>
          <w:i/>
          <w:iCs/>
        </w:rPr>
        <w:t>Lessons from the life-story timelines of 30 children who have died</w:t>
      </w:r>
      <w:r w:rsidR="00627CAE">
        <w:t xml:space="preserve">, </w:t>
      </w:r>
      <w:r w:rsidR="005F4C92">
        <w:t>8.</w:t>
      </w:r>
    </w:p>
  </w:footnote>
  <w:footnote w:id="37">
    <w:p w14:paraId="5367D0FE" w14:textId="146477B6" w:rsidR="007D0136" w:rsidRDefault="007D0136" w:rsidP="007D0136">
      <w:pPr>
        <w:pStyle w:val="FootnoteText"/>
      </w:pPr>
      <w:r>
        <w:rPr>
          <w:rStyle w:val="FootnoteReference"/>
        </w:rPr>
        <w:footnoteRef/>
      </w:r>
      <w:r>
        <w:t xml:space="preserve"> Ngaire Brown, Peter S Azzopardi</w:t>
      </w:r>
      <w:r w:rsidR="00470900">
        <w:t xml:space="preserve"> and Fiona J Stanley</w:t>
      </w:r>
      <w:r>
        <w:t xml:space="preserve">, ‘Aragung buraay: culture, identity and positive futures for Australian children’ (2023) 219(10) </w:t>
      </w:r>
      <w:r w:rsidRPr="007B2EEF">
        <w:rPr>
          <w:i/>
          <w:iCs/>
        </w:rPr>
        <w:t>Medical Journal of Australia</w:t>
      </w:r>
      <w:r>
        <w:t xml:space="preserve"> S35. </w:t>
      </w:r>
    </w:p>
  </w:footnote>
  <w:footnote w:id="38">
    <w:p w14:paraId="39210FD3" w14:textId="77692291" w:rsidR="009E3C8F" w:rsidRDefault="009E3C8F">
      <w:pPr>
        <w:pStyle w:val="FootnoteText"/>
      </w:pPr>
      <w:r>
        <w:rPr>
          <w:rStyle w:val="FootnoteReference"/>
        </w:rPr>
        <w:footnoteRef/>
      </w:r>
      <w:r>
        <w:t xml:space="preserve"> </w:t>
      </w:r>
      <w:r w:rsidR="008E661F">
        <w:t xml:space="preserve">Ibid. See also Telethon Kids Institute, </w:t>
      </w:r>
      <w:r w:rsidR="008E661F" w:rsidRPr="00C6201D">
        <w:rPr>
          <w:i/>
          <w:iCs/>
        </w:rPr>
        <w:t>Aboriginal and Torres Strait Islander children and child sexual abuse in institutional contexts: Report for the Royal Commission into Institutional Responses to Child Sexual Abuse</w:t>
      </w:r>
      <w:r w:rsidR="008E661F">
        <w:t xml:space="preserve"> (Report, July 2017) 33–6.</w:t>
      </w:r>
    </w:p>
  </w:footnote>
  <w:footnote w:id="39">
    <w:p w14:paraId="7A6DAAEC" w14:textId="76910A5F" w:rsidR="00CF1118" w:rsidRDefault="00CF1118">
      <w:pPr>
        <w:pStyle w:val="FootnoteText"/>
      </w:pPr>
      <w:r>
        <w:rPr>
          <w:rStyle w:val="FootnoteReference"/>
        </w:rPr>
        <w:footnoteRef/>
      </w:r>
      <w:r>
        <w:t xml:space="preserve"> </w:t>
      </w:r>
      <w:r w:rsidR="00FF6EB5">
        <w:t xml:space="preserve">QFCC, </w:t>
      </w:r>
      <w:r w:rsidR="00FF6EB5">
        <w:rPr>
          <w:i/>
          <w:iCs/>
        </w:rPr>
        <w:t>Lessons from the life-story timelines of 30 children who have died</w:t>
      </w:r>
      <w:r w:rsidR="008258A4">
        <w:rPr>
          <w:i/>
          <w:iCs/>
        </w:rPr>
        <w:t xml:space="preserve">, </w:t>
      </w:r>
      <w:r w:rsidR="00045D4B">
        <w:t>3.</w:t>
      </w:r>
    </w:p>
  </w:footnote>
  <w:footnote w:id="40">
    <w:p w14:paraId="2D6A8E6E" w14:textId="3CD4CA83" w:rsidR="003553EB" w:rsidRDefault="003553EB">
      <w:pPr>
        <w:pStyle w:val="FootnoteText"/>
      </w:pPr>
      <w:r>
        <w:rPr>
          <w:rStyle w:val="FootnoteReference"/>
        </w:rPr>
        <w:footnoteRef/>
      </w:r>
      <w:r>
        <w:t xml:space="preserve"> </w:t>
      </w:r>
      <w:r w:rsidR="008258A4">
        <w:t xml:space="preserve">Ibid </w:t>
      </w:r>
      <w:r w:rsidR="00F64E4C">
        <w:t>14.</w:t>
      </w:r>
      <w:r w:rsidR="00E71AE1">
        <w:t xml:space="preserve"> See also </w:t>
      </w:r>
      <w:r w:rsidR="008258A4" w:rsidRPr="00E175C4">
        <w:rPr>
          <w:rFonts w:cs="Arial"/>
        </w:rPr>
        <w:t xml:space="preserve">Bob Atkinson, </w:t>
      </w:r>
      <w:r w:rsidR="008258A4" w:rsidRPr="00E175C4">
        <w:rPr>
          <w:rFonts w:cs="Arial"/>
          <w:i/>
        </w:rPr>
        <w:t xml:space="preserve">Report on Youth Justice </w:t>
      </w:r>
      <w:r w:rsidR="008258A4" w:rsidRPr="00E175C4">
        <w:rPr>
          <w:rFonts w:cs="Arial"/>
        </w:rPr>
        <w:t>(Version 2, 8 June 2018)</w:t>
      </w:r>
      <w:r w:rsidR="008258A4">
        <w:rPr>
          <w:rFonts w:cs="Arial"/>
        </w:rPr>
        <w:t xml:space="preserve">, </w:t>
      </w:r>
      <w:r w:rsidR="00E71AE1">
        <w:t>34.</w:t>
      </w:r>
    </w:p>
  </w:footnote>
  <w:footnote w:id="41">
    <w:p w14:paraId="79DB069E" w14:textId="067FB43F" w:rsidR="003A116F" w:rsidRDefault="003A116F">
      <w:pPr>
        <w:pStyle w:val="FootnoteText"/>
      </w:pPr>
      <w:r>
        <w:rPr>
          <w:rStyle w:val="FootnoteReference"/>
        </w:rPr>
        <w:footnoteRef/>
      </w:r>
      <w:r>
        <w:t xml:space="preserve"> </w:t>
      </w:r>
      <w:r w:rsidR="008258A4" w:rsidRPr="00E175C4">
        <w:rPr>
          <w:rFonts w:cs="Arial"/>
        </w:rPr>
        <w:t xml:space="preserve">Bob Atkinson, </w:t>
      </w:r>
      <w:r w:rsidR="008258A4" w:rsidRPr="00E175C4">
        <w:rPr>
          <w:rFonts w:cs="Arial"/>
          <w:i/>
        </w:rPr>
        <w:t xml:space="preserve">Report on Youth Justice </w:t>
      </w:r>
      <w:r w:rsidR="008258A4" w:rsidRPr="00E175C4">
        <w:rPr>
          <w:rFonts w:cs="Arial"/>
        </w:rPr>
        <w:t>(Version 2, 8 June 2018)</w:t>
      </w:r>
      <w:r w:rsidR="008258A4">
        <w:rPr>
          <w:rFonts w:cs="Arial"/>
        </w:rPr>
        <w:t xml:space="preserve">, </w:t>
      </w:r>
      <w:r w:rsidR="00D4769D">
        <w:t>22,</w:t>
      </w:r>
      <w:r>
        <w:t xml:space="preserve"> </w:t>
      </w:r>
      <w:r w:rsidR="007D1096">
        <w:t>34</w:t>
      </w:r>
      <w:r w:rsidR="00B34EB0">
        <w:t>.</w:t>
      </w:r>
    </w:p>
  </w:footnote>
  <w:footnote w:id="42">
    <w:p w14:paraId="0759A9E2" w14:textId="379A3FD7" w:rsidR="00D524FE" w:rsidRDefault="00D524FE" w:rsidP="00D524FE">
      <w:pPr>
        <w:pStyle w:val="FootnoteText"/>
      </w:pPr>
      <w:r>
        <w:rPr>
          <w:rStyle w:val="FootnoteReference"/>
        </w:rPr>
        <w:footnoteRef/>
      </w:r>
      <w:r>
        <w:t xml:space="preserve"> </w:t>
      </w:r>
      <w:r w:rsidR="00A569E1">
        <w:t>Department of Education (Qld), ‘School disciplinary absences by student demographics’ (2023)</w:t>
      </w:r>
      <w:r w:rsidR="007E1344">
        <w:t>, &lt;</w:t>
      </w:r>
      <w:r w:rsidR="007E1344" w:rsidRPr="007E1344">
        <w:t>https://qed.qld.gov.au/our-publications/reports/statistics/Documents/sda-by-student-demographics.xlsx</w:t>
      </w:r>
      <w:r w:rsidR="007E1344">
        <w:t>&gt;.</w:t>
      </w:r>
      <w:r w:rsidR="00A569E1">
        <w:t xml:space="preserve"> </w:t>
      </w:r>
      <w:r w:rsidR="009F1AF4">
        <w:t>In</w:t>
      </w:r>
      <w:r w:rsidR="00E60871">
        <w:t xml:space="preserve"> Queensland state schools in</w:t>
      </w:r>
      <w:r w:rsidR="009F1AF4">
        <w:t xml:space="preserve"> 2022 </w:t>
      </w:r>
      <w:r w:rsidR="00E60871">
        <w:t>there were 762,452 short suspensions</w:t>
      </w:r>
      <w:r w:rsidR="00743B1E">
        <w:t xml:space="preserve"> (1–10 days)</w:t>
      </w:r>
      <w:r w:rsidR="00E60871">
        <w:t xml:space="preserve">, </w:t>
      </w:r>
      <w:r w:rsidR="003943C8">
        <w:t>3,123 long suspensions</w:t>
      </w:r>
      <w:r w:rsidR="00743B1E">
        <w:t xml:space="preserve"> (11–20 days)</w:t>
      </w:r>
      <w:r w:rsidR="003943C8">
        <w:t xml:space="preserve">, </w:t>
      </w:r>
      <w:r w:rsidR="000558B9">
        <w:t xml:space="preserve">and 1,595 exclusions: </w:t>
      </w:r>
      <w:r w:rsidR="00E60871">
        <w:t xml:space="preserve"> </w:t>
      </w:r>
      <w:r w:rsidR="00164B3A">
        <w:t>Department of Education</w:t>
      </w:r>
      <w:r w:rsidR="007E1344">
        <w:t xml:space="preserve"> (Qld),</w:t>
      </w:r>
      <w:r w:rsidR="00164B3A">
        <w:t xml:space="preserve"> ‘School disciplinary absences: Table 1: School disciplinary absences by regions, 2018–2022’ (202</w:t>
      </w:r>
      <w:r w:rsidR="00A569E1">
        <w:t>3</w:t>
      </w:r>
      <w:r w:rsidR="00164B3A">
        <w:t>)</w:t>
      </w:r>
      <w:r w:rsidR="007E1344">
        <w:t>,</w:t>
      </w:r>
      <w:r w:rsidR="00164B3A">
        <w:t xml:space="preserve"> </w:t>
      </w:r>
      <w:r w:rsidR="009F0C84">
        <w:t>&lt;</w:t>
      </w:r>
      <w:r w:rsidR="009F0C84" w:rsidRPr="009F0C84">
        <w:t>https://qed.qld.gov.au/our-publications/reports/statistics/Documents/sda-by-region.pdf</w:t>
      </w:r>
      <w:r w:rsidR="009F0C84">
        <w:t>&gt;.</w:t>
      </w:r>
    </w:p>
  </w:footnote>
  <w:footnote w:id="43">
    <w:p w14:paraId="15D6F9BA" w14:textId="325037AC" w:rsidR="00D524FE" w:rsidRPr="00960955" w:rsidRDefault="00D524FE" w:rsidP="00D524FE">
      <w:pPr>
        <w:pStyle w:val="FootnoteText"/>
        <w:rPr>
          <w:rFonts w:cs="Arial"/>
          <w:lang w:val="en-US"/>
        </w:rPr>
      </w:pPr>
      <w:r w:rsidRPr="00960955">
        <w:rPr>
          <w:rStyle w:val="FootnoteReference"/>
          <w:rFonts w:cs="Arial"/>
        </w:rPr>
        <w:footnoteRef/>
      </w:r>
      <w:r w:rsidRPr="00960955">
        <w:rPr>
          <w:rFonts w:cs="Arial"/>
        </w:rPr>
        <w:t xml:space="preserve"> Linda Graham, Callula Killingly</w:t>
      </w:r>
      <w:r w:rsidR="00B45DB4">
        <w:rPr>
          <w:rFonts w:cs="Arial"/>
        </w:rPr>
        <w:t>, Matilda Alexander</w:t>
      </w:r>
      <w:r w:rsidRPr="00960955">
        <w:rPr>
          <w:rFonts w:cs="Arial"/>
        </w:rPr>
        <w:t xml:space="preserve"> and Sophie Wiggans, ‘</w:t>
      </w:r>
      <w:r w:rsidR="00B45DB4" w:rsidRPr="00B45DB4">
        <w:rPr>
          <w:rFonts w:cs="Arial"/>
        </w:rPr>
        <w:t>Suspensions in QLD state schools, 2016–2020: overrepresentation, intersectionality and disproportionate risk</w:t>
      </w:r>
      <w:r w:rsidRPr="00960955">
        <w:rPr>
          <w:rFonts w:cs="Arial"/>
        </w:rPr>
        <w:t xml:space="preserve">’, </w:t>
      </w:r>
      <w:r w:rsidR="00F64C62">
        <w:rPr>
          <w:rFonts w:cs="Arial"/>
          <w:i/>
          <w:iCs/>
        </w:rPr>
        <w:t xml:space="preserve">The Australian Educational Researcher </w:t>
      </w:r>
      <w:r w:rsidRPr="00960955">
        <w:rPr>
          <w:rFonts w:cs="Arial"/>
        </w:rPr>
        <w:t>(</w:t>
      </w:r>
      <w:r w:rsidR="00F64C62">
        <w:rPr>
          <w:rFonts w:cs="Arial"/>
        </w:rPr>
        <w:t>available online</w:t>
      </w:r>
      <w:r w:rsidRPr="00960955">
        <w:rPr>
          <w:rFonts w:cs="Arial"/>
        </w:rPr>
        <w:t xml:space="preserve">, </w:t>
      </w:r>
      <w:r w:rsidR="00F64C62">
        <w:rPr>
          <w:rFonts w:cs="Arial"/>
        </w:rPr>
        <w:t>24 August 2023</w:t>
      </w:r>
      <w:r w:rsidRPr="00960955">
        <w:rPr>
          <w:rFonts w:cs="Arial"/>
        </w:rPr>
        <w:t>) &lt;</w:t>
      </w:r>
      <w:r w:rsidR="00384936" w:rsidRPr="00384936">
        <w:rPr>
          <w:rFonts w:cs="Arial"/>
        </w:rPr>
        <w:t>https://link.springer.com/article/10.1007/s13384-023-00652-6</w:t>
      </w:r>
      <w:r w:rsidR="00384936" w:rsidRPr="00384936" w:rsidDel="00983BCC">
        <w:rPr>
          <w:rFonts w:cs="Arial"/>
        </w:rPr>
        <w:t xml:space="preserve"> </w:t>
      </w:r>
      <w:r w:rsidR="00384936" w:rsidRPr="00384936">
        <w:rPr>
          <w:rFonts w:cs="Arial"/>
        </w:rPr>
        <w:t>/</w:t>
      </w:r>
      <w:r w:rsidRPr="00960955">
        <w:rPr>
          <w:rFonts w:cs="Arial"/>
        </w:rPr>
        <w:t xml:space="preserve">&gt;. </w:t>
      </w:r>
    </w:p>
  </w:footnote>
  <w:footnote w:id="44">
    <w:p w14:paraId="0C435E2C" w14:textId="2B6AC4F1" w:rsidR="00CB1CA0" w:rsidRDefault="00CB1CA0">
      <w:pPr>
        <w:pStyle w:val="FootnoteText"/>
      </w:pPr>
      <w:r>
        <w:rPr>
          <w:rStyle w:val="FootnoteReference"/>
        </w:rPr>
        <w:footnoteRef/>
      </w:r>
      <w:r>
        <w:t xml:space="preserve"> </w:t>
      </w:r>
      <w:r w:rsidR="00A92E0A" w:rsidRPr="00A0560C">
        <w:t xml:space="preserve">Premier and Minister for the Olympic and Paralympic Games, </w:t>
      </w:r>
      <w:r w:rsidR="00A92E0A">
        <w:t>Minister for Education, Minister for Industrial Relations and Minister for Racing</w:t>
      </w:r>
      <w:r w:rsidR="00A92E0A" w:rsidRPr="00A0560C">
        <w:t>, and Minister for Employment and Small Business, Minister for Training and Skills Development and Minister for Youth Justice, ‘</w:t>
      </w:r>
      <w:r w:rsidR="00A92E0A">
        <w:t>$288 million package to keep students engaged in education</w:t>
      </w:r>
      <w:r w:rsidR="00A92E0A" w:rsidRPr="00A0560C">
        <w:t xml:space="preserve">’ (Joint Statement, </w:t>
      </w:r>
      <w:r w:rsidR="00A92E0A">
        <w:t>4 December</w:t>
      </w:r>
      <w:r w:rsidR="00A92E0A" w:rsidRPr="00A0560C">
        <w:t xml:space="preserve"> 2023).</w:t>
      </w:r>
    </w:p>
  </w:footnote>
  <w:footnote w:id="45">
    <w:p w14:paraId="56689AA4" w14:textId="2AA87FA4" w:rsidR="00B84BB2" w:rsidRDefault="00B84BB2" w:rsidP="00B84BB2">
      <w:pPr>
        <w:pStyle w:val="FootnoteText"/>
      </w:pPr>
      <w:r>
        <w:rPr>
          <w:rStyle w:val="FootnoteReference"/>
        </w:rPr>
        <w:footnoteRef/>
      </w:r>
      <w:r>
        <w:t xml:space="preserve"> </w:t>
      </w:r>
      <w:r w:rsidR="003D6BBA">
        <w:t>John Bosco Ngendakurio</w:t>
      </w:r>
      <w:r w:rsidR="00DB0C25">
        <w:t xml:space="preserve">, </w:t>
      </w:r>
      <w:r w:rsidR="00DB0C25">
        <w:rPr>
          <w:i/>
          <w:iCs/>
        </w:rPr>
        <w:t>Report: Racism in Australian Schools</w:t>
      </w:r>
      <w:r w:rsidR="007322B8">
        <w:t xml:space="preserve"> (</w:t>
      </w:r>
      <w:r w:rsidR="008636A6">
        <w:t xml:space="preserve">Ethnic Communities Council of Queensland, </w:t>
      </w:r>
      <w:r w:rsidR="007322B8">
        <w:t>February 2024)</w:t>
      </w:r>
      <w:r w:rsidR="00396B4B">
        <w:t>, &lt;</w:t>
      </w:r>
      <w:r w:rsidR="00EA5EAA" w:rsidRPr="00EA5EAA">
        <w:t>https://eccq.com.au/wp-content/uploads/2024/02/Report-Racism-Within-Australian-Schools.pdf</w:t>
      </w:r>
      <w:r w:rsidR="00396B4B">
        <w:t>&gt;</w:t>
      </w:r>
      <w:r>
        <w:t>, 2</w:t>
      </w:r>
      <w:r w:rsidR="00396B4B">
        <w:t>–</w:t>
      </w:r>
      <w:r>
        <w:t>4.</w:t>
      </w:r>
    </w:p>
  </w:footnote>
  <w:footnote w:id="46">
    <w:p w14:paraId="5DF8EAB2" w14:textId="3D4A57A6" w:rsidR="0002083A" w:rsidRDefault="0002083A">
      <w:pPr>
        <w:pStyle w:val="FootnoteText"/>
      </w:pPr>
      <w:r>
        <w:rPr>
          <w:rStyle w:val="FootnoteReference"/>
        </w:rPr>
        <w:footnoteRef/>
      </w:r>
      <w:r>
        <w:t xml:space="preserve"> </w:t>
      </w:r>
      <w:r w:rsidR="00AB04C4">
        <w:t xml:space="preserve">See Kevin </w:t>
      </w:r>
      <w:r w:rsidR="00AB04C4" w:rsidRPr="00AB04C4">
        <w:t>Lowe</w:t>
      </w:r>
      <w:r w:rsidR="00CE59DA">
        <w:t>, Neil Harrison, Cathie Burgess and Greg Vass</w:t>
      </w:r>
      <w:r w:rsidR="00AB04C4">
        <w:t>, ‘</w:t>
      </w:r>
      <w:r w:rsidR="00AB04C4" w:rsidRPr="00AB04C4">
        <w:t>A systematic review of recent research on the importance of cultural programs in schools, school and community engagement and school leadership in Aboriginal and Torres Strait Islander education</w:t>
      </w:r>
      <w:r w:rsidR="00CE59DA">
        <w:t>’</w:t>
      </w:r>
      <w:r w:rsidR="00B83B02">
        <w:t xml:space="preserve"> (Commissioned Report, Social Ventures Australia, 25 October 2019).</w:t>
      </w:r>
    </w:p>
  </w:footnote>
  <w:footnote w:id="47">
    <w:p w14:paraId="4B93ED88" w14:textId="77777777" w:rsidR="001F5BA6" w:rsidRPr="00830816" w:rsidRDefault="001F5BA6" w:rsidP="001F5BA6">
      <w:pPr>
        <w:pStyle w:val="FootnoteText"/>
      </w:pPr>
      <w:r>
        <w:rPr>
          <w:rStyle w:val="FootnoteReference"/>
        </w:rPr>
        <w:footnoteRef/>
      </w:r>
      <w:r>
        <w:t xml:space="preserve"> See, for example, Angela Turner, Katie Wilson, Judith L Wilks, ‘Aboriginal Community Engagement in Primary Schooling: Promoting Learning through a Cross-Cultural Lens’ (2017) 42(11) </w:t>
      </w:r>
      <w:r>
        <w:rPr>
          <w:i/>
          <w:iCs/>
        </w:rPr>
        <w:t>Australian Journal of Teacher Education</w:t>
      </w:r>
      <w:r>
        <w:t xml:space="preserve"> 96.</w:t>
      </w:r>
    </w:p>
  </w:footnote>
  <w:footnote w:id="48">
    <w:p w14:paraId="1FF003DE" w14:textId="53BC8894" w:rsidR="007E7733" w:rsidRDefault="007E7733">
      <w:pPr>
        <w:pStyle w:val="FootnoteText"/>
      </w:pPr>
      <w:r>
        <w:rPr>
          <w:rStyle w:val="FootnoteReference"/>
        </w:rPr>
        <w:footnoteRef/>
      </w:r>
      <w:r>
        <w:t xml:space="preserve"> </w:t>
      </w:r>
      <w:r w:rsidR="007A60FD">
        <w:t xml:space="preserve">Brown et al have suggested that a key indicator required for assessing cultural wellbeing is ‘the number of states/ territories that have Aboriginal and Torres Strait Islander education content for </w:t>
      </w:r>
      <w:r w:rsidR="007A60FD" w:rsidRPr="00DE789D">
        <w:rPr>
          <w:i/>
          <w:iCs/>
        </w:rPr>
        <w:t>all</w:t>
      </w:r>
      <w:r w:rsidR="007A60FD">
        <w:t xml:space="preserve"> children as part of the core education curriculum</w:t>
      </w:r>
      <w:r w:rsidR="00393875">
        <w:t xml:space="preserve">’: </w:t>
      </w:r>
      <w:r w:rsidR="001D4BA3">
        <w:t>Ngaire Brown, Peter S Azzopardi</w:t>
      </w:r>
      <w:r w:rsidR="00470900">
        <w:t xml:space="preserve"> and Fiona J Stanley</w:t>
      </w:r>
      <w:r w:rsidR="001D4BA3">
        <w:t xml:space="preserve">, ‘Aragung buraay: culture, identity and positive futures for Australian children’ (2023) 219(10) </w:t>
      </w:r>
      <w:r w:rsidR="001D4BA3" w:rsidRPr="007B2EEF">
        <w:rPr>
          <w:i/>
          <w:iCs/>
        </w:rPr>
        <w:t>Medical Journal of Australia</w:t>
      </w:r>
      <w:r w:rsidR="001D4BA3">
        <w:t xml:space="preserve"> S35, S36.</w:t>
      </w:r>
    </w:p>
  </w:footnote>
  <w:footnote w:id="49">
    <w:p w14:paraId="65413595" w14:textId="54623D9C" w:rsidR="00CA0CCE" w:rsidRPr="004F238A" w:rsidRDefault="00CA0CCE" w:rsidP="00CA0CCE">
      <w:pPr>
        <w:pStyle w:val="FootnoteText"/>
      </w:pPr>
      <w:r>
        <w:rPr>
          <w:rStyle w:val="FootnoteReference"/>
        </w:rPr>
        <w:footnoteRef/>
      </w:r>
      <w:r>
        <w:t xml:space="preserve"> See, for example, the Strong &amp; Deadly Futures </w:t>
      </w:r>
      <w:r w:rsidR="008B5321">
        <w:t>alcohol and drug</w:t>
      </w:r>
      <w:r>
        <w:t xml:space="preserve"> prevention program: </w:t>
      </w:r>
      <w:r w:rsidR="001A7E28">
        <w:t>K</w:t>
      </w:r>
      <w:r w:rsidR="00DD230A">
        <w:t> </w:t>
      </w:r>
      <w:r w:rsidR="001A7E28">
        <w:t>Routledge et al, ‘</w:t>
      </w:r>
      <w:r w:rsidR="001A7E28" w:rsidRPr="001A7E28">
        <w:t>Acceptability and feasibility of Strong &amp; Deadly Futures, a culturally-inclusive alcohol and drug prevention program for Aboriginal and/or Torres Strait Islander secondary students</w:t>
      </w:r>
      <w:r w:rsidR="001A7E28">
        <w:t>’ (20</w:t>
      </w:r>
      <w:r w:rsidR="004F238A">
        <w:t xml:space="preserve">22) 2 </w:t>
      </w:r>
      <w:r w:rsidR="004F238A">
        <w:rPr>
          <w:i/>
          <w:iCs/>
        </w:rPr>
        <w:t>SSM Mental Health</w:t>
      </w:r>
      <w:r w:rsidR="004F238A">
        <w:t xml:space="preserve"> </w:t>
      </w:r>
      <w:r w:rsidR="004D11CA">
        <w:t>100073</w:t>
      </w:r>
      <w:r w:rsidR="00C93423">
        <w:t>.</w:t>
      </w:r>
    </w:p>
  </w:footnote>
  <w:footnote w:id="50">
    <w:p w14:paraId="5B553D1D" w14:textId="52CC41BB" w:rsidR="00303F48" w:rsidRDefault="00303F48">
      <w:pPr>
        <w:pStyle w:val="FootnoteText"/>
      </w:pPr>
      <w:r>
        <w:rPr>
          <w:rStyle w:val="FootnoteReference"/>
        </w:rPr>
        <w:footnoteRef/>
      </w:r>
      <w:r>
        <w:t xml:space="preserve"> </w:t>
      </w:r>
      <w:r w:rsidR="00D374CF">
        <w:rPr>
          <w:i/>
        </w:rPr>
        <w:t xml:space="preserve">General Comment </w:t>
      </w:r>
      <w:r w:rsidR="00FC037F">
        <w:rPr>
          <w:i/>
        </w:rPr>
        <w:t>No</w:t>
      </w:r>
      <w:r w:rsidR="0099453C">
        <w:rPr>
          <w:i/>
        </w:rPr>
        <w:t>.</w:t>
      </w:r>
      <w:r w:rsidR="00FC037F">
        <w:rPr>
          <w:i/>
        </w:rPr>
        <w:t xml:space="preserve"> </w:t>
      </w:r>
      <w:r w:rsidR="00D374CF">
        <w:rPr>
          <w:i/>
        </w:rPr>
        <w:t>24 on children’s rights in the child justice system</w:t>
      </w:r>
      <w:r w:rsidR="00D374CF">
        <w:rPr>
          <w:iCs/>
        </w:rPr>
        <w:t>, UN Doc CRC/C/GC/24 (18 September 2019)</w:t>
      </w:r>
      <w:r w:rsidR="00D374CF">
        <w:t xml:space="preserve"> [</w:t>
      </w:r>
      <w:r w:rsidR="006463CA">
        <w:t>9</w:t>
      </w:r>
      <w:r w:rsidR="00D374CF">
        <w:t>].</w:t>
      </w:r>
    </w:p>
  </w:footnote>
  <w:footnote w:id="51">
    <w:p w14:paraId="7FD7727E" w14:textId="38C41AEE" w:rsidR="000B680E" w:rsidRDefault="000B680E" w:rsidP="000B680E">
      <w:pPr>
        <w:pStyle w:val="FootnoteText"/>
      </w:pPr>
      <w:r>
        <w:rPr>
          <w:rStyle w:val="FootnoteReference"/>
        </w:rPr>
        <w:footnoteRef/>
      </w:r>
      <w:r>
        <w:t xml:space="preserve"> </w:t>
      </w:r>
      <w:r w:rsidR="0099453C">
        <w:t>Ibid</w:t>
      </w:r>
      <w:r w:rsidR="00995820">
        <w:t xml:space="preserve"> </w:t>
      </w:r>
      <w:r w:rsidR="002A7D59">
        <w:t>[11].</w:t>
      </w:r>
    </w:p>
  </w:footnote>
  <w:footnote w:id="52">
    <w:p w14:paraId="3BFFD902" w14:textId="77777777" w:rsidR="00F00896" w:rsidRDefault="00F00896" w:rsidP="00F00896">
      <w:pPr>
        <w:pStyle w:val="FootnoteText"/>
      </w:pPr>
      <w:r>
        <w:rPr>
          <w:rStyle w:val="FootnoteReference"/>
        </w:rPr>
        <w:footnoteRef/>
      </w:r>
      <w:r>
        <w:t xml:space="preserve"> See, eg, </w:t>
      </w:r>
      <w:r w:rsidRPr="00E175C4">
        <w:rPr>
          <w:rFonts w:cs="Arial"/>
        </w:rPr>
        <w:t xml:space="preserve">Bob Atkinson, </w:t>
      </w:r>
      <w:r w:rsidRPr="00E175C4">
        <w:rPr>
          <w:rFonts w:cs="Arial"/>
          <w:i/>
        </w:rPr>
        <w:t xml:space="preserve">Report on Youth Justice </w:t>
      </w:r>
      <w:r w:rsidRPr="00E175C4">
        <w:rPr>
          <w:rFonts w:cs="Arial"/>
        </w:rPr>
        <w:t>(Version 2, 8 June 2018)</w:t>
      </w:r>
      <w:r>
        <w:rPr>
          <w:rFonts w:cs="Arial"/>
        </w:rPr>
        <w:t xml:space="preserve">, </w:t>
      </w:r>
      <w:r>
        <w:t>104–5, which notes that studies ‘suggest that children below the age of 14 have rarely developed the social, emotional and intellectual maturity necessary to determine criminal responsibility’, and that there is ‘a strong correlation between early involvement in the youth justice system and chronic offending in adulthood, the trajectory through the criminal justice system often being more rapid the earlier a young person is involved with the system’.</w:t>
      </w:r>
    </w:p>
  </w:footnote>
  <w:footnote w:id="53">
    <w:p w14:paraId="3FFEB12B" w14:textId="1131963C" w:rsidR="00652BAB" w:rsidRDefault="00652BAB">
      <w:pPr>
        <w:pStyle w:val="FootnoteText"/>
      </w:pPr>
      <w:r>
        <w:rPr>
          <w:rStyle w:val="FootnoteReference"/>
        </w:rPr>
        <w:footnoteRef/>
      </w:r>
      <w:r>
        <w:t xml:space="preserve"> QFCC</w:t>
      </w:r>
      <w:r w:rsidR="00F54CDA">
        <w:t xml:space="preserve">, </w:t>
      </w:r>
      <w:r w:rsidR="009D410D">
        <w:rPr>
          <w:i/>
          <w:iCs/>
        </w:rPr>
        <w:t>The criminalisation of children living in out-of-home-care in Queensland</w:t>
      </w:r>
      <w:r w:rsidR="009D410D">
        <w:t xml:space="preserve"> (</w:t>
      </w:r>
      <w:r w:rsidR="00677BD6">
        <w:t>2018),</w:t>
      </w:r>
      <w:r>
        <w:t xml:space="preserve"> </w:t>
      </w:r>
      <w:r w:rsidR="008A5CDD">
        <w:t>9, 12.</w:t>
      </w:r>
    </w:p>
  </w:footnote>
  <w:footnote w:id="54">
    <w:p w14:paraId="72034CC3" w14:textId="56E14EF2" w:rsidR="00F44AA5" w:rsidRDefault="00F44AA5">
      <w:pPr>
        <w:pStyle w:val="FootnoteText"/>
      </w:pPr>
      <w:r>
        <w:rPr>
          <w:rStyle w:val="FootnoteReference"/>
        </w:rPr>
        <w:footnoteRef/>
      </w:r>
      <w:r>
        <w:t xml:space="preserve"> </w:t>
      </w:r>
      <w:r w:rsidR="00321118">
        <w:t>Ibid</w:t>
      </w:r>
      <w:r>
        <w:t xml:space="preserve"> 9.</w:t>
      </w:r>
    </w:p>
  </w:footnote>
  <w:footnote w:id="55">
    <w:p w14:paraId="60170981" w14:textId="1C9E8DD5" w:rsidR="00F179D3" w:rsidRDefault="00F179D3">
      <w:pPr>
        <w:pStyle w:val="FootnoteText"/>
      </w:pPr>
      <w:r>
        <w:rPr>
          <w:rStyle w:val="FootnoteReference"/>
        </w:rPr>
        <w:footnoteRef/>
      </w:r>
      <w:r>
        <w:t xml:space="preserve"> </w:t>
      </w:r>
      <w:r w:rsidR="00321118">
        <w:t>Ibid</w:t>
      </w:r>
      <w:r>
        <w:t xml:space="preserve"> 19.</w:t>
      </w:r>
    </w:p>
  </w:footnote>
  <w:footnote w:id="56">
    <w:p w14:paraId="38346F2F" w14:textId="30D5DBC7" w:rsidR="00500D27" w:rsidRDefault="00500D27" w:rsidP="00500D27">
      <w:pPr>
        <w:pStyle w:val="FootnoteText"/>
      </w:pPr>
      <w:r>
        <w:rPr>
          <w:rStyle w:val="FootnoteReference"/>
        </w:rPr>
        <w:footnoteRef/>
      </w:r>
      <w:r>
        <w:t xml:space="preserve"> </w:t>
      </w:r>
      <w:r w:rsidR="003D0DC2" w:rsidRPr="003D0DC2">
        <w:rPr>
          <w:i/>
          <w:iCs/>
        </w:rPr>
        <w:t>Human Rights Act 2019</w:t>
      </w:r>
      <w:r w:rsidR="003D0DC2">
        <w:t xml:space="preserve"> (Qld) ss </w:t>
      </w:r>
      <w:r>
        <w:t>27 and 28.</w:t>
      </w:r>
    </w:p>
  </w:footnote>
  <w:footnote w:id="57">
    <w:p w14:paraId="04448072" w14:textId="11947384" w:rsidR="00C077D0" w:rsidRDefault="00C077D0">
      <w:pPr>
        <w:pStyle w:val="FootnoteText"/>
      </w:pPr>
      <w:r>
        <w:rPr>
          <w:rStyle w:val="FootnoteReference"/>
        </w:rPr>
        <w:footnoteRef/>
      </w:r>
      <w:r>
        <w:t xml:space="preserve"> Section 28.</w:t>
      </w:r>
    </w:p>
  </w:footnote>
  <w:footnote w:id="58">
    <w:p w14:paraId="7152C463" w14:textId="407134C5" w:rsidR="00577C23" w:rsidRDefault="00577C23">
      <w:pPr>
        <w:pStyle w:val="FootnoteText"/>
      </w:pPr>
      <w:r>
        <w:rPr>
          <w:rStyle w:val="FootnoteReference"/>
        </w:rPr>
        <w:footnoteRef/>
      </w:r>
      <w:r>
        <w:t xml:space="preserve"> </w:t>
      </w:r>
      <w:r w:rsidR="00DD3D65">
        <w:rPr>
          <w:i/>
        </w:rPr>
        <w:t>General Comment No. 24 on children’s rights in the child justice system</w:t>
      </w:r>
      <w:r w:rsidR="00DD3D65">
        <w:rPr>
          <w:iCs/>
        </w:rPr>
        <w:t>, UN Doc CRC/C/GC/24 (18 September 2019)</w:t>
      </w:r>
      <w:r w:rsidR="00DD3D65">
        <w:t xml:space="preserve"> [</w:t>
      </w:r>
      <w:r w:rsidR="00FB2B67">
        <w:t>111</w:t>
      </w:r>
      <w:r w:rsidR="00DD3D65">
        <w:t>].</w:t>
      </w:r>
    </w:p>
  </w:footnote>
  <w:footnote w:id="59">
    <w:p w14:paraId="69653E5D" w14:textId="2C99A6E0" w:rsidR="00F851CF" w:rsidRPr="00FF27BF" w:rsidRDefault="00F851CF">
      <w:pPr>
        <w:pStyle w:val="FootnoteText"/>
        <w:rPr>
          <w:lang w:val="en-US"/>
        </w:rPr>
      </w:pPr>
      <w:r>
        <w:rPr>
          <w:rStyle w:val="FootnoteReference"/>
        </w:rPr>
        <w:footnoteRef/>
      </w:r>
      <w:r>
        <w:t xml:space="preserve"> </w:t>
      </w:r>
      <w:r w:rsidR="003D2996" w:rsidRPr="00E175C4">
        <w:rPr>
          <w:rFonts w:cs="Arial"/>
        </w:rPr>
        <w:t xml:space="preserve">Bob Atkinson, </w:t>
      </w:r>
      <w:r w:rsidR="003D2996" w:rsidRPr="00E175C4">
        <w:rPr>
          <w:rFonts w:cs="Arial"/>
          <w:i/>
        </w:rPr>
        <w:t xml:space="preserve">Report on Youth Justice </w:t>
      </w:r>
      <w:r w:rsidR="003D2996" w:rsidRPr="00E175C4">
        <w:rPr>
          <w:rFonts w:cs="Arial"/>
        </w:rPr>
        <w:t>(Version 2, 8 June 2018)</w:t>
      </w:r>
      <w:r w:rsidR="003D2996">
        <w:rPr>
          <w:rFonts w:cs="Arial"/>
        </w:rPr>
        <w:t xml:space="preserve">, </w:t>
      </w:r>
      <w:r>
        <w:rPr>
          <w:lang w:val="en-US"/>
        </w:rPr>
        <w:t>100.</w:t>
      </w:r>
    </w:p>
  </w:footnote>
  <w:footnote w:id="60">
    <w:p w14:paraId="6ECB3979" w14:textId="430A7EEE" w:rsidR="00864F47" w:rsidRPr="00A4467E" w:rsidRDefault="00864F47">
      <w:pPr>
        <w:pStyle w:val="FootnoteText"/>
        <w:rPr>
          <w:lang w:val="en-US"/>
        </w:rPr>
      </w:pPr>
      <w:r>
        <w:rPr>
          <w:rStyle w:val="FootnoteReference"/>
        </w:rPr>
        <w:footnoteRef/>
      </w:r>
      <w:r>
        <w:t xml:space="preserve"> </w:t>
      </w:r>
      <w:r w:rsidR="00A4467E">
        <w:rPr>
          <w:lang w:val="en-US"/>
        </w:rPr>
        <w:t xml:space="preserve">New Zealand Child and Youth Strategy, </w:t>
      </w:r>
      <w:r>
        <w:rPr>
          <w:lang w:val="en-US"/>
        </w:rPr>
        <w:t>13</w:t>
      </w:r>
      <w:r w:rsidR="00A4467E">
        <w:rPr>
          <w:lang w:val="en-US"/>
        </w:rPr>
        <w:t>.</w:t>
      </w:r>
    </w:p>
  </w:footnote>
  <w:footnote w:id="61">
    <w:p w14:paraId="57B5044C" w14:textId="02C38263" w:rsidR="00426950" w:rsidRDefault="00426950">
      <w:pPr>
        <w:pStyle w:val="FootnoteText"/>
      </w:pPr>
      <w:r>
        <w:rPr>
          <w:rStyle w:val="FootnoteReference"/>
        </w:rPr>
        <w:footnoteRef/>
      </w:r>
      <w:r>
        <w:t xml:space="preserve"> </w:t>
      </w:r>
      <w:r w:rsidR="00874CF9">
        <w:rPr>
          <w:lang w:val="en-US"/>
        </w:rPr>
        <w:t xml:space="preserve">Queensland Government, </w:t>
      </w:r>
      <w:r w:rsidR="00874CF9" w:rsidRPr="0017227A">
        <w:rPr>
          <w:i/>
          <w:lang w:val="en-US"/>
        </w:rPr>
        <w:t>Putting Queensland Kids First</w:t>
      </w:r>
      <w:r w:rsidR="00874CF9">
        <w:rPr>
          <w:i/>
          <w:iCs/>
          <w:lang w:val="en-US"/>
        </w:rPr>
        <w:t xml:space="preserve">: Giving our kids the opportunity of a lifetime </w:t>
      </w:r>
      <w:r w:rsidR="00874CF9">
        <w:rPr>
          <w:lang w:val="en-US"/>
        </w:rPr>
        <w:t>(Consultation draft, 2024)</w:t>
      </w:r>
      <w:r>
        <w:t xml:space="preserve"> 19.</w:t>
      </w:r>
      <w:r w:rsidR="00201FE4">
        <w:t xml:space="preserve"> </w:t>
      </w:r>
    </w:p>
  </w:footnote>
  <w:footnote w:id="62">
    <w:p w14:paraId="1907C124" w14:textId="5C839852" w:rsidR="008442A6" w:rsidRDefault="008442A6">
      <w:pPr>
        <w:pStyle w:val="FootnoteText"/>
      </w:pPr>
      <w:r>
        <w:rPr>
          <w:rStyle w:val="FootnoteReference"/>
        </w:rPr>
        <w:footnoteRef/>
      </w:r>
      <w:r>
        <w:t xml:space="preserve"> </w:t>
      </w:r>
      <w:r w:rsidR="00C015CD">
        <w:t>New Zealand Child and Youth Strategy</w:t>
      </w:r>
      <w:r w:rsidR="00476B6F">
        <w:t>, 30.</w:t>
      </w:r>
    </w:p>
  </w:footnote>
  <w:footnote w:id="63">
    <w:p w14:paraId="469934B5" w14:textId="4E63455D" w:rsidR="00FC6147" w:rsidRDefault="00FC6147">
      <w:pPr>
        <w:pStyle w:val="FootnoteText"/>
      </w:pPr>
      <w:r>
        <w:rPr>
          <w:rStyle w:val="FootnoteReference"/>
        </w:rPr>
        <w:footnoteRef/>
      </w:r>
      <w:r>
        <w:t xml:space="preserve"> </w:t>
      </w:r>
      <w:r w:rsidR="00C015CD">
        <w:t>Ibid</w:t>
      </w:r>
      <w:r>
        <w:t xml:space="preserve">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6D8A" w14:textId="77777777" w:rsidR="007C510E" w:rsidRDefault="007C510E" w:rsidP="00260847">
    <w:pPr>
      <w:pStyle w:val="Header"/>
      <w:tabs>
        <w:tab w:val="clear" w:pos="4513"/>
        <w:tab w:val="clear" w:pos="9026"/>
      </w:tabs>
      <w:spacing w:before="240"/>
    </w:pPr>
  </w:p>
  <w:p w14:paraId="06AE106B" w14:textId="77777777" w:rsidR="007C510E" w:rsidRDefault="007C5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DB8A" w14:textId="77777777" w:rsidR="007C510E" w:rsidRPr="000731D3" w:rsidRDefault="007C510E"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7C6F"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0EBD9535" w14:textId="77777777" w:rsidR="007C510E" w:rsidRPr="000731D3" w:rsidRDefault="007C510E" w:rsidP="000731D3">
    <w:pPr>
      <w:pStyle w:val="Header"/>
      <w:pBdr>
        <w:bottom w:val="single" w:sz="4" w:space="1" w:color="auto"/>
      </w:pBdr>
      <w:rPr>
        <w:rFonts w:cs="Arial"/>
        <w:sz w:val="20"/>
        <w:szCs w:val="20"/>
      </w:rPr>
    </w:pPr>
  </w:p>
  <w:p w14:paraId="1A11C56F"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369D"/>
    <w:multiLevelType w:val="hybridMultilevel"/>
    <w:tmpl w:val="B06E082E"/>
    <w:lvl w:ilvl="0" w:tplc="F9F602BE">
      <w:start w:val="1"/>
      <w:numFmt w:val="lowerRoman"/>
      <w:lvlText w:val="(%1)"/>
      <w:lvlJc w:val="left"/>
      <w:pPr>
        <w:ind w:left="720" w:hanging="72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CCC2EF1"/>
    <w:multiLevelType w:val="hybridMultilevel"/>
    <w:tmpl w:val="B06E082E"/>
    <w:lvl w:ilvl="0" w:tplc="FFFFFFFF">
      <w:start w:val="1"/>
      <w:numFmt w:val="lowerRoman"/>
      <w:lvlText w:val="(%1)"/>
      <w:lvlJc w:val="left"/>
      <w:pPr>
        <w:ind w:left="720" w:hanging="72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14DA1108"/>
    <w:multiLevelType w:val="multilevel"/>
    <w:tmpl w:val="41466C6E"/>
    <w:lvl w:ilvl="0">
      <w:start w:val="1"/>
      <w:numFmt w:val="bullet"/>
      <w:lvlText w:val=""/>
      <w:lvlJc w:val="left"/>
      <w:pPr>
        <w:ind w:left="1134" w:hanging="567"/>
      </w:pPr>
      <w:rPr>
        <w:rFonts w:ascii="Symbol" w:hAnsi="Symbol" w:hint="default"/>
      </w:rPr>
    </w:lvl>
    <w:lvl w:ilvl="1">
      <w:start w:val="1"/>
      <w:numFmt w:val="lowerLetter"/>
      <w:lvlText w:val="%2."/>
      <w:lvlJc w:val="left"/>
      <w:pPr>
        <w:ind w:left="1474" w:hanging="283"/>
      </w:pPr>
      <w:rPr>
        <w:rFonts w:hint="default"/>
        <w:b w:val="0"/>
        <w:i w:val="0"/>
        <w:sz w:val="24"/>
      </w:rPr>
    </w:lvl>
    <w:lvl w:ilvl="2">
      <w:start w:val="1"/>
      <w:numFmt w:val="lowerRoman"/>
      <w:lvlText w:val="%3."/>
      <w:lvlJc w:val="right"/>
      <w:pPr>
        <w:ind w:left="1814" w:hanging="113"/>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4" w15:restartNumberingAfterBreak="0">
    <w:nsid w:val="1E753544"/>
    <w:multiLevelType w:val="hybridMultilevel"/>
    <w:tmpl w:val="7BF03878"/>
    <w:lvl w:ilvl="0" w:tplc="70E683A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7C05931"/>
    <w:multiLevelType w:val="hybridMultilevel"/>
    <w:tmpl w:val="D060A5B0"/>
    <w:lvl w:ilvl="0" w:tplc="13A26B8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47B0C01"/>
    <w:multiLevelType w:val="hybridMultilevel"/>
    <w:tmpl w:val="59F8EAF6"/>
    <w:lvl w:ilvl="0" w:tplc="105C1228">
      <w:start w:val="1"/>
      <w:numFmt w:val="lowerRoman"/>
      <w:lvlText w:val="(%1)"/>
      <w:lvlJc w:val="left"/>
      <w:pPr>
        <w:ind w:left="72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8" w15:restartNumberingAfterBreak="0">
    <w:nsid w:val="793078C5"/>
    <w:multiLevelType w:val="hybridMultilevel"/>
    <w:tmpl w:val="B06E082E"/>
    <w:lvl w:ilvl="0" w:tplc="FFFFFFFF">
      <w:start w:val="1"/>
      <w:numFmt w:val="lowerRoman"/>
      <w:lvlText w:val="(%1)"/>
      <w:lvlJc w:val="left"/>
      <w:pPr>
        <w:ind w:left="720" w:hanging="72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A055E28"/>
    <w:multiLevelType w:val="hybridMultilevel"/>
    <w:tmpl w:val="422A960C"/>
    <w:lvl w:ilvl="0" w:tplc="21A048D4">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A8B6D27"/>
    <w:multiLevelType w:val="hybridMultilevel"/>
    <w:tmpl w:val="F1CA6FC4"/>
    <w:lvl w:ilvl="0" w:tplc="CB2AA590">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7"/>
  </w:num>
  <w:num w:numId="3">
    <w:abstractNumId w:val="10"/>
  </w:num>
  <w:num w:numId="4">
    <w:abstractNumId w:val="4"/>
  </w:num>
  <w:num w:numId="5">
    <w:abstractNumId w:val="9"/>
  </w:num>
  <w:num w:numId="6">
    <w:abstractNumId w:val="3"/>
  </w:num>
  <w:num w:numId="7">
    <w:abstractNumId w:val="0"/>
  </w:num>
  <w:num w:numId="8">
    <w:abstractNumId w:val="6"/>
  </w:num>
  <w:num w:numId="9">
    <w:abstractNumId w:val="8"/>
  </w:num>
  <w:num w:numId="10">
    <w:abstractNumId w:val="1"/>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4C"/>
    <w:rsid w:val="00000AE7"/>
    <w:rsid w:val="00000B9B"/>
    <w:rsid w:val="00000DAD"/>
    <w:rsid w:val="000021E6"/>
    <w:rsid w:val="00002CA2"/>
    <w:rsid w:val="00002F05"/>
    <w:rsid w:val="000030BA"/>
    <w:rsid w:val="000037AA"/>
    <w:rsid w:val="00003C40"/>
    <w:rsid w:val="00005304"/>
    <w:rsid w:val="000057C4"/>
    <w:rsid w:val="00005AAA"/>
    <w:rsid w:val="00005AD6"/>
    <w:rsid w:val="00006689"/>
    <w:rsid w:val="00007B12"/>
    <w:rsid w:val="00007E2F"/>
    <w:rsid w:val="00010F91"/>
    <w:rsid w:val="00011A22"/>
    <w:rsid w:val="00012B39"/>
    <w:rsid w:val="000135C1"/>
    <w:rsid w:val="000153C5"/>
    <w:rsid w:val="000178A6"/>
    <w:rsid w:val="000202D0"/>
    <w:rsid w:val="0002083A"/>
    <w:rsid w:val="00020D68"/>
    <w:rsid w:val="000217A0"/>
    <w:rsid w:val="0002193F"/>
    <w:rsid w:val="00021D8C"/>
    <w:rsid w:val="000220BC"/>
    <w:rsid w:val="0002351E"/>
    <w:rsid w:val="00023EC7"/>
    <w:rsid w:val="0002452F"/>
    <w:rsid w:val="0002612D"/>
    <w:rsid w:val="000273B6"/>
    <w:rsid w:val="00027999"/>
    <w:rsid w:val="000279DE"/>
    <w:rsid w:val="00027B02"/>
    <w:rsid w:val="000311CE"/>
    <w:rsid w:val="00031A46"/>
    <w:rsid w:val="000321FD"/>
    <w:rsid w:val="00032A4D"/>
    <w:rsid w:val="0003355E"/>
    <w:rsid w:val="00033DAE"/>
    <w:rsid w:val="00037CCE"/>
    <w:rsid w:val="000401F1"/>
    <w:rsid w:val="000403C2"/>
    <w:rsid w:val="00040F6A"/>
    <w:rsid w:val="00041121"/>
    <w:rsid w:val="00041E58"/>
    <w:rsid w:val="00043D4D"/>
    <w:rsid w:val="00044355"/>
    <w:rsid w:val="000445B3"/>
    <w:rsid w:val="0004461F"/>
    <w:rsid w:val="00044A7F"/>
    <w:rsid w:val="00044E10"/>
    <w:rsid w:val="000451C7"/>
    <w:rsid w:val="0004560F"/>
    <w:rsid w:val="00045B3E"/>
    <w:rsid w:val="00045B46"/>
    <w:rsid w:val="00045D4B"/>
    <w:rsid w:val="00046489"/>
    <w:rsid w:val="00046F34"/>
    <w:rsid w:val="00047983"/>
    <w:rsid w:val="0005063D"/>
    <w:rsid w:val="0005205E"/>
    <w:rsid w:val="000530AB"/>
    <w:rsid w:val="00053512"/>
    <w:rsid w:val="00053C8F"/>
    <w:rsid w:val="00054120"/>
    <w:rsid w:val="00054FD1"/>
    <w:rsid w:val="00055063"/>
    <w:rsid w:val="00055445"/>
    <w:rsid w:val="000558B9"/>
    <w:rsid w:val="0005693B"/>
    <w:rsid w:val="00056960"/>
    <w:rsid w:val="00057023"/>
    <w:rsid w:val="00057574"/>
    <w:rsid w:val="00057D21"/>
    <w:rsid w:val="000606F0"/>
    <w:rsid w:val="0006098C"/>
    <w:rsid w:val="000627DB"/>
    <w:rsid w:val="00062EB4"/>
    <w:rsid w:val="000633FF"/>
    <w:rsid w:val="00063642"/>
    <w:rsid w:val="00063D29"/>
    <w:rsid w:val="00063EDF"/>
    <w:rsid w:val="00064570"/>
    <w:rsid w:val="00065009"/>
    <w:rsid w:val="00066A80"/>
    <w:rsid w:val="00067192"/>
    <w:rsid w:val="0006774D"/>
    <w:rsid w:val="000704C6"/>
    <w:rsid w:val="00070814"/>
    <w:rsid w:val="000708EC"/>
    <w:rsid w:val="00071CF4"/>
    <w:rsid w:val="0007242A"/>
    <w:rsid w:val="0007294C"/>
    <w:rsid w:val="00072C56"/>
    <w:rsid w:val="00072CE6"/>
    <w:rsid w:val="000731D3"/>
    <w:rsid w:val="00073886"/>
    <w:rsid w:val="00073936"/>
    <w:rsid w:val="00073D46"/>
    <w:rsid w:val="0007456E"/>
    <w:rsid w:val="00075AB0"/>
    <w:rsid w:val="0007630B"/>
    <w:rsid w:val="0007682B"/>
    <w:rsid w:val="00076C82"/>
    <w:rsid w:val="000808A5"/>
    <w:rsid w:val="00080B72"/>
    <w:rsid w:val="00082075"/>
    <w:rsid w:val="0008324B"/>
    <w:rsid w:val="000836AB"/>
    <w:rsid w:val="00084022"/>
    <w:rsid w:val="00084169"/>
    <w:rsid w:val="00085AF6"/>
    <w:rsid w:val="00087B0D"/>
    <w:rsid w:val="00087BF6"/>
    <w:rsid w:val="00087FA6"/>
    <w:rsid w:val="0009033A"/>
    <w:rsid w:val="000913B9"/>
    <w:rsid w:val="000928DD"/>
    <w:rsid w:val="000932AF"/>
    <w:rsid w:val="000934BD"/>
    <w:rsid w:val="00093BEC"/>
    <w:rsid w:val="000940F1"/>
    <w:rsid w:val="00094E0E"/>
    <w:rsid w:val="00094EE4"/>
    <w:rsid w:val="00095D44"/>
    <w:rsid w:val="00095FBB"/>
    <w:rsid w:val="00096517"/>
    <w:rsid w:val="000A044A"/>
    <w:rsid w:val="000A0712"/>
    <w:rsid w:val="000A11E9"/>
    <w:rsid w:val="000A201B"/>
    <w:rsid w:val="000A22B8"/>
    <w:rsid w:val="000A2804"/>
    <w:rsid w:val="000A2894"/>
    <w:rsid w:val="000A32B3"/>
    <w:rsid w:val="000A4DB8"/>
    <w:rsid w:val="000A55D6"/>
    <w:rsid w:val="000B0BBB"/>
    <w:rsid w:val="000B1117"/>
    <w:rsid w:val="000B270F"/>
    <w:rsid w:val="000B3F30"/>
    <w:rsid w:val="000B4928"/>
    <w:rsid w:val="000B4D80"/>
    <w:rsid w:val="000B50DB"/>
    <w:rsid w:val="000B5497"/>
    <w:rsid w:val="000B57AB"/>
    <w:rsid w:val="000B5B45"/>
    <w:rsid w:val="000B5D4B"/>
    <w:rsid w:val="000B5F04"/>
    <w:rsid w:val="000B6770"/>
    <w:rsid w:val="000B680E"/>
    <w:rsid w:val="000B6884"/>
    <w:rsid w:val="000B6C72"/>
    <w:rsid w:val="000B794F"/>
    <w:rsid w:val="000B7B2D"/>
    <w:rsid w:val="000B7CDC"/>
    <w:rsid w:val="000C017B"/>
    <w:rsid w:val="000C08A2"/>
    <w:rsid w:val="000C0EB7"/>
    <w:rsid w:val="000C12DC"/>
    <w:rsid w:val="000C37D3"/>
    <w:rsid w:val="000C3916"/>
    <w:rsid w:val="000C3EA3"/>
    <w:rsid w:val="000C4C3C"/>
    <w:rsid w:val="000C5853"/>
    <w:rsid w:val="000C5B2A"/>
    <w:rsid w:val="000C6377"/>
    <w:rsid w:val="000C6396"/>
    <w:rsid w:val="000C731C"/>
    <w:rsid w:val="000D2E32"/>
    <w:rsid w:val="000D49A5"/>
    <w:rsid w:val="000D5E2B"/>
    <w:rsid w:val="000D6D90"/>
    <w:rsid w:val="000D6F44"/>
    <w:rsid w:val="000D7C5D"/>
    <w:rsid w:val="000E0FEF"/>
    <w:rsid w:val="000E0FFC"/>
    <w:rsid w:val="000E1039"/>
    <w:rsid w:val="000E1B43"/>
    <w:rsid w:val="000E1FAD"/>
    <w:rsid w:val="000E22EA"/>
    <w:rsid w:val="000E2BA0"/>
    <w:rsid w:val="000E3226"/>
    <w:rsid w:val="000E4215"/>
    <w:rsid w:val="000E45D1"/>
    <w:rsid w:val="000E57A9"/>
    <w:rsid w:val="000E7B93"/>
    <w:rsid w:val="000F0445"/>
    <w:rsid w:val="000F0BC1"/>
    <w:rsid w:val="000F12BE"/>
    <w:rsid w:val="000F13EA"/>
    <w:rsid w:val="000F17A6"/>
    <w:rsid w:val="000F338C"/>
    <w:rsid w:val="000F4098"/>
    <w:rsid w:val="000F49FD"/>
    <w:rsid w:val="000F4F44"/>
    <w:rsid w:val="000F5253"/>
    <w:rsid w:val="000F5B20"/>
    <w:rsid w:val="000F61B4"/>
    <w:rsid w:val="000F6A80"/>
    <w:rsid w:val="000F7009"/>
    <w:rsid w:val="001004FA"/>
    <w:rsid w:val="00100711"/>
    <w:rsid w:val="00100FBF"/>
    <w:rsid w:val="0010133C"/>
    <w:rsid w:val="001018E2"/>
    <w:rsid w:val="0010421B"/>
    <w:rsid w:val="001049C0"/>
    <w:rsid w:val="00104D16"/>
    <w:rsid w:val="00105217"/>
    <w:rsid w:val="001066BD"/>
    <w:rsid w:val="001100D6"/>
    <w:rsid w:val="00110B05"/>
    <w:rsid w:val="00110E05"/>
    <w:rsid w:val="0011203C"/>
    <w:rsid w:val="0011243E"/>
    <w:rsid w:val="00112D38"/>
    <w:rsid w:val="0011420E"/>
    <w:rsid w:val="001144F1"/>
    <w:rsid w:val="00114E9B"/>
    <w:rsid w:val="001157E0"/>
    <w:rsid w:val="0011593E"/>
    <w:rsid w:val="0011672F"/>
    <w:rsid w:val="001167F7"/>
    <w:rsid w:val="00116A97"/>
    <w:rsid w:val="001170D6"/>
    <w:rsid w:val="001203CB"/>
    <w:rsid w:val="00121E6F"/>
    <w:rsid w:val="00123E22"/>
    <w:rsid w:val="00123EC5"/>
    <w:rsid w:val="00124A35"/>
    <w:rsid w:val="00127119"/>
    <w:rsid w:val="00127478"/>
    <w:rsid w:val="001304EE"/>
    <w:rsid w:val="00130B08"/>
    <w:rsid w:val="00130B53"/>
    <w:rsid w:val="0013109B"/>
    <w:rsid w:val="0013157E"/>
    <w:rsid w:val="00131C48"/>
    <w:rsid w:val="00132B6B"/>
    <w:rsid w:val="00132DFE"/>
    <w:rsid w:val="00133482"/>
    <w:rsid w:val="001339AF"/>
    <w:rsid w:val="00133A58"/>
    <w:rsid w:val="00134980"/>
    <w:rsid w:val="001353AA"/>
    <w:rsid w:val="00135FF1"/>
    <w:rsid w:val="00136377"/>
    <w:rsid w:val="0013682B"/>
    <w:rsid w:val="00136D2F"/>
    <w:rsid w:val="00140104"/>
    <w:rsid w:val="001419B7"/>
    <w:rsid w:val="001429C8"/>
    <w:rsid w:val="00143072"/>
    <w:rsid w:val="001437E7"/>
    <w:rsid w:val="00143EBD"/>
    <w:rsid w:val="001442C8"/>
    <w:rsid w:val="00145654"/>
    <w:rsid w:val="001461B6"/>
    <w:rsid w:val="00146A1E"/>
    <w:rsid w:val="00146DC9"/>
    <w:rsid w:val="00146F44"/>
    <w:rsid w:val="001473DD"/>
    <w:rsid w:val="0014757D"/>
    <w:rsid w:val="00150373"/>
    <w:rsid w:val="00152898"/>
    <w:rsid w:val="0015296E"/>
    <w:rsid w:val="00153798"/>
    <w:rsid w:val="00154A32"/>
    <w:rsid w:val="00155DD0"/>
    <w:rsid w:val="00156532"/>
    <w:rsid w:val="001565D6"/>
    <w:rsid w:val="00157053"/>
    <w:rsid w:val="001573ED"/>
    <w:rsid w:val="00157B79"/>
    <w:rsid w:val="00157CA2"/>
    <w:rsid w:val="00157CE9"/>
    <w:rsid w:val="00162575"/>
    <w:rsid w:val="00162CC2"/>
    <w:rsid w:val="00163B98"/>
    <w:rsid w:val="0016481C"/>
    <w:rsid w:val="00164B3A"/>
    <w:rsid w:val="00166006"/>
    <w:rsid w:val="00167B7E"/>
    <w:rsid w:val="00170022"/>
    <w:rsid w:val="00170CBD"/>
    <w:rsid w:val="00171B1A"/>
    <w:rsid w:val="00171EBF"/>
    <w:rsid w:val="0017227A"/>
    <w:rsid w:val="00172599"/>
    <w:rsid w:val="0017374A"/>
    <w:rsid w:val="00173DB0"/>
    <w:rsid w:val="00174565"/>
    <w:rsid w:val="001747C1"/>
    <w:rsid w:val="00175B18"/>
    <w:rsid w:val="00175B32"/>
    <w:rsid w:val="001761F2"/>
    <w:rsid w:val="00177414"/>
    <w:rsid w:val="00181575"/>
    <w:rsid w:val="001818B8"/>
    <w:rsid w:val="001825CB"/>
    <w:rsid w:val="0018274A"/>
    <w:rsid w:val="00182865"/>
    <w:rsid w:val="00182E06"/>
    <w:rsid w:val="001832A2"/>
    <w:rsid w:val="00183C12"/>
    <w:rsid w:val="00184161"/>
    <w:rsid w:val="001846DD"/>
    <w:rsid w:val="00185251"/>
    <w:rsid w:val="00185324"/>
    <w:rsid w:val="00185EF6"/>
    <w:rsid w:val="00185F3E"/>
    <w:rsid w:val="001864BB"/>
    <w:rsid w:val="00186D57"/>
    <w:rsid w:val="00187A74"/>
    <w:rsid w:val="00187B09"/>
    <w:rsid w:val="00187D9F"/>
    <w:rsid w:val="00187FF5"/>
    <w:rsid w:val="0019042F"/>
    <w:rsid w:val="00190E4D"/>
    <w:rsid w:val="001914E9"/>
    <w:rsid w:val="001916E4"/>
    <w:rsid w:val="00191BF1"/>
    <w:rsid w:val="0019203A"/>
    <w:rsid w:val="00192CA4"/>
    <w:rsid w:val="00192F5C"/>
    <w:rsid w:val="00193ABE"/>
    <w:rsid w:val="00193E2E"/>
    <w:rsid w:val="0019560C"/>
    <w:rsid w:val="00195E9F"/>
    <w:rsid w:val="00196387"/>
    <w:rsid w:val="0019657C"/>
    <w:rsid w:val="00196667"/>
    <w:rsid w:val="001A02F0"/>
    <w:rsid w:val="001A03B9"/>
    <w:rsid w:val="001A12BD"/>
    <w:rsid w:val="001A1509"/>
    <w:rsid w:val="001A240F"/>
    <w:rsid w:val="001A2AB6"/>
    <w:rsid w:val="001A2D62"/>
    <w:rsid w:val="001A3266"/>
    <w:rsid w:val="001A67A8"/>
    <w:rsid w:val="001A6C7E"/>
    <w:rsid w:val="001A7D1A"/>
    <w:rsid w:val="001A7E28"/>
    <w:rsid w:val="001B09D0"/>
    <w:rsid w:val="001B1A27"/>
    <w:rsid w:val="001B1B47"/>
    <w:rsid w:val="001B2297"/>
    <w:rsid w:val="001B3FCD"/>
    <w:rsid w:val="001B4D5F"/>
    <w:rsid w:val="001B5470"/>
    <w:rsid w:val="001B57C6"/>
    <w:rsid w:val="001B6903"/>
    <w:rsid w:val="001B6960"/>
    <w:rsid w:val="001C01FD"/>
    <w:rsid w:val="001C127F"/>
    <w:rsid w:val="001C14AE"/>
    <w:rsid w:val="001C15CF"/>
    <w:rsid w:val="001C2EB7"/>
    <w:rsid w:val="001C3425"/>
    <w:rsid w:val="001C3C22"/>
    <w:rsid w:val="001C3E34"/>
    <w:rsid w:val="001C5127"/>
    <w:rsid w:val="001C548A"/>
    <w:rsid w:val="001C6992"/>
    <w:rsid w:val="001C7296"/>
    <w:rsid w:val="001D088F"/>
    <w:rsid w:val="001D0D5D"/>
    <w:rsid w:val="001D1F75"/>
    <w:rsid w:val="001D444E"/>
    <w:rsid w:val="001D4BA3"/>
    <w:rsid w:val="001D50C0"/>
    <w:rsid w:val="001D5347"/>
    <w:rsid w:val="001D5842"/>
    <w:rsid w:val="001D7758"/>
    <w:rsid w:val="001D7833"/>
    <w:rsid w:val="001D78F8"/>
    <w:rsid w:val="001D7999"/>
    <w:rsid w:val="001D7AD4"/>
    <w:rsid w:val="001D7DB0"/>
    <w:rsid w:val="001D7DEB"/>
    <w:rsid w:val="001E06CB"/>
    <w:rsid w:val="001E0B91"/>
    <w:rsid w:val="001E0D87"/>
    <w:rsid w:val="001E179D"/>
    <w:rsid w:val="001E19A3"/>
    <w:rsid w:val="001E1A03"/>
    <w:rsid w:val="001E1AE7"/>
    <w:rsid w:val="001E2124"/>
    <w:rsid w:val="001E2200"/>
    <w:rsid w:val="001E2320"/>
    <w:rsid w:val="001E25A0"/>
    <w:rsid w:val="001E2B61"/>
    <w:rsid w:val="001E3068"/>
    <w:rsid w:val="001E3647"/>
    <w:rsid w:val="001E3A26"/>
    <w:rsid w:val="001E4753"/>
    <w:rsid w:val="001E482E"/>
    <w:rsid w:val="001E483A"/>
    <w:rsid w:val="001E519C"/>
    <w:rsid w:val="001E5FF2"/>
    <w:rsid w:val="001E7B66"/>
    <w:rsid w:val="001F019B"/>
    <w:rsid w:val="001F2358"/>
    <w:rsid w:val="001F2FAB"/>
    <w:rsid w:val="001F3646"/>
    <w:rsid w:val="001F3F19"/>
    <w:rsid w:val="001F4B56"/>
    <w:rsid w:val="001F4CF2"/>
    <w:rsid w:val="001F5689"/>
    <w:rsid w:val="001F57DE"/>
    <w:rsid w:val="001F5BA6"/>
    <w:rsid w:val="001F5F4B"/>
    <w:rsid w:val="001F6682"/>
    <w:rsid w:val="001F6B34"/>
    <w:rsid w:val="001F6E09"/>
    <w:rsid w:val="002017D0"/>
    <w:rsid w:val="00201EAC"/>
    <w:rsid w:val="00201FE4"/>
    <w:rsid w:val="002034C0"/>
    <w:rsid w:val="00203687"/>
    <w:rsid w:val="00203692"/>
    <w:rsid w:val="00204C2B"/>
    <w:rsid w:val="00205480"/>
    <w:rsid w:val="0020771E"/>
    <w:rsid w:val="00207B68"/>
    <w:rsid w:val="00212080"/>
    <w:rsid w:val="002120B3"/>
    <w:rsid w:val="0021311C"/>
    <w:rsid w:val="002164A8"/>
    <w:rsid w:val="00217EC2"/>
    <w:rsid w:val="002205FA"/>
    <w:rsid w:val="002223CC"/>
    <w:rsid w:val="002227A4"/>
    <w:rsid w:val="00223ACB"/>
    <w:rsid w:val="00224110"/>
    <w:rsid w:val="002257D3"/>
    <w:rsid w:val="00227178"/>
    <w:rsid w:val="0023071B"/>
    <w:rsid w:val="00230A5A"/>
    <w:rsid w:val="00231535"/>
    <w:rsid w:val="00231E88"/>
    <w:rsid w:val="002320E3"/>
    <w:rsid w:val="00232196"/>
    <w:rsid w:val="0023234B"/>
    <w:rsid w:val="0023268A"/>
    <w:rsid w:val="002332CB"/>
    <w:rsid w:val="00233402"/>
    <w:rsid w:val="00233684"/>
    <w:rsid w:val="00233F52"/>
    <w:rsid w:val="00235527"/>
    <w:rsid w:val="002365A2"/>
    <w:rsid w:val="002379A5"/>
    <w:rsid w:val="00237BEB"/>
    <w:rsid w:val="0024001D"/>
    <w:rsid w:val="002406F8"/>
    <w:rsid w:val="00240A92"/>
    <w:rsid w:val="00240D97"/>
    <w:rsid w:val="00240EF9"/>
    <w:rsid w:val="0024194E"/>
    <w:rsid w:val="00241F93"/>
    <w:rsid w:val="00241FE7"/>
    <w:rsid w:val="00242964"/>
    <w:rsid w:val="00242AE8"/>
    <w:rsid w:val="0024532E"/>
    <w:rsid w:val="0024608E"/>
    <w:rsid w:val="00246878"/>
    <w:rsid w:val="002502C9"/>
    <w:rsid w:val="002510F0"/>
    <w:rsid w:val="00251B1B"/>
    <w:rsid w:val="00251E9A"/>
    <w:rsid w:val="00252022"/>
    <w:rsid w:val="00253B42"/>
    <w:rsid w:val="00253C53"/>
    <w:rsid w:val="002540C1"/>
    <w:rsid w:val="0025439C"/>
    <w:rsid w:val="00257059"/>
    <w:rsid w:val="00260847"/>
    <w:rsid w:val="00262371"/>
    <w:rsid w:val="00262C40"/>
    <w:rsid w:val="00263AE4"/>
    <w:rsid w:val="00264ACD"/>
    <w:rsid w:val="00265A65"/>
    <w:rsid w:val="0026605A"/>
    <w:rsid w:val="00266086"/>
    <w:rsid w:val="0026618C"/>
    <w:rsid w:val="002700B6"/>
    <w:rsid w:val="00270A11"/>
    <w:rsid w:val="00270E80"/>
    <w:rsid w:val="0027176E"/>
    <w:rsid w:val="002731CE"/>
    <w:rsid w:val="00273CA5"/>
    <w:rsid w:val="00274CBE"/>
    <w:rsid w:val="002752F8"/>
    <w:rsid w:val="002757F2"/>
    <w:rsid w:val="002761EB"/>
    <w:rsid w:val="00276620"/>
    <w:rsid w:val="002804B3"/>
    <w:rsid w:val="00280F90"/>
    <w:rsid w:val="00281E23"/>
    <w:rsid w:val="00281E7B"/>
    <w:rsid w:val="00282569"/>
    <w:rsid w:val="00283006"/>
    <w:rsid w:val="00283582"/>
    <w:rsid w:val="00283D88"/>
    <w:rsid w:val="00283F68"/>
    <w:rsid w:val="00284738"/>
    <w:rsid w:val="00284FF0"/>
    <w:rsid w:val="002857A1"/>
    <w:rsid w:val="00285871"/>
    <w:rsid w:val="0028649E"/>
    <w:rsid w:val="00286953"/>
    <w:rsid w:val="00286D73"/>
    <w:rsid w:val="00286FE4"/>
    <w:rsid w:val="00287A48"/>
    <w:rsid w:val="00287BC4"/>
    <w:rsid w:val="00291568"/>
    <w:rsid w:val="00291BD0"/>
    <w:rsid w:val="002920F6"/>
    <w:rsid w:val="00292A08"/>
    <w:rsid w:val="00292C50"/>
    <w:rsid w:val="0029308E"/>
    <w:rsid w:val="00293B2D"/>
    <w:rsid w:val="002948BC"/>
    <w:rsid w:val="00295B52"/>
    <w:rsid w:val="002962CF"/>
    <w:rsid w:val="00296B8B"/>
    <w:rsid w:val="00296F24"/>
    <w:rsid w:val="002A03F1"/>
    <w:rsid w:val="002A2712"/>
    <w:rsid w:val="002A288C"/>
    <w:rsid w:val="002A2A6A"/>
    <w:rsid w:val="002A3D32"/>
    <w:rsid w:val="002A5473"/>
    <w:rsid w:val="002A6811"/>
    <w:rsid w:val="002A7B96"/>
    <w:rsid w:val="002A7D59"/>
    <w:rsid w:val="002B04E8"/>
    <w:rsid w:val="002B08D8"/>
    <w:rsid w:val="002B29E7"/>
    <w:rsid w:val="002B3167"/>
    <w:rsid w:val="002B3B21"/>
    <w:rsid w:val="002B3E46"/>
    <w:rsid w:val="002B40F5"/>
    <w:rsid w:val="002B4849"/>
    <w:rsid w:val="002B49CC"/>
    <w:rsid w:val="002B4E8C"/>
    <w:rsid w:val="002B61FB"/>
    <w:rsid w:val="002B65D4"/>
    <w:rsid w:val="002B73E6"/>
    <w:rsid w:val="002B7583"/>
    <w:rsid w:val="002B76F7"/>
    <w:rsid w:val="002B7890"/>
    <w:rsid w:val="002C0719"/>
    <w:rsid w:val="002C1D2E"/>
    <w:rsid w:val="002C2367"/>
    <w:rsid w:val="002C4B18"/>
    <w:rsid w:val="002C522D"/>
    <w:rsid w:val="002C64BE"/>
    <w:rsid w:val="002D08D0"/>
    <w:rsid w:val="002D0B08"/>
    <w:rsid w:val="002D0D7A"/>
    <w:rsid w:val="002D0E21"/>
    <w:rsid w:val="002D1336"/>
    <w:rsid w:val="002D1801"/>
    <w:rsid w:val="002D19AA"/>
    <w:rsid w:val="002D1A6F"/>
    <w:rsid w:val="002D1F78"/>
    <w:rsid w:val="002D249D"/>
    <w:rsid w:val="002D32FF"/>
    <w:rsid w:val="002D3655"/>
    <w:rsid w:val="002D3F2E"/>
    <w:rsid w:val="002D444D"/>
    <w:rsid w:val="002D46A2"/>
    <w:rsid w:val="002D4A04"/>
    <w:rsid w:val="002D5077"/>
    <w:rsid w:val="002D52F1"/>
    <w:rsid w:val="002D674F"/>
    <w:rsid w:val="002D6B62"/>
    <w:rsid w:val="002D79D9"/>
    <w:rsid w:val="002D7BE1"/>
    <w:rsid w:val="002D7C74"/>
    <w:rsid w:val="002E0E6C"/>
    <w:rsid w:val="002E0FE5"/>
    <w:rsid w:val="002E1B39"/>
    <w:rsid w:val="002E25F3"/>
    <w:rsid w:val="002E36CB"/>
    <w:rsid w:val="002E3B01"/>
    <w:rsid w:val="002E433B"/>
    <w:rsid w:val="002E51E0"/>
    <w:rsid w:val="002E6501"/>
    <w:rsid w:val="002E658B"/>
    <w:rsid w:val="002E6748"/>
    <w:rsid w:val="002E6B79"/>
    <w:rsid w:val="002E7DD1"/>
    <w:rsid w:val="002E7F1F"/>
    <w:rsid w:val="002E7FDA"/>
    <w:rsid w:val="002F1FAE"/>
    <w:rsid w:val="002F2621"/>
    <w:rsid w:val="002F2B6F"/>
    <w:rsid w:val="002F2F12"/>
    <w:rsid w:val="002F31C6"/>
    <w:rsid w:val="002F730E"/>
    <w:rsid w:val="0030003D"/>
    <w:rsid w:val="00300BF2"/>
    <w:rsid w:val="00303478"/>
    <w:rsid w:val="0030364D"/>
    <w:rsid w:val="003036DB"/>
    <w:rsid w:val="00303F48"/>
    <w:rsid w:val="00304989"/>
    <w:rsid w:val="00304CD6"/>
    <w:rsid w:val="003055F6"/>
    <w:rsid w:val="00306E3A"/>
    <w:rsid w:val="00307727"/>
    <w:rsid w:val="00310CB2"/>
    <w:rsid w:val="0031182C"/>
    <w:rsid w:val="0031247E"/>
    <w:rsid w:val="00312C2A"/>
    <w:rsid w:val="00312E91"/>
    <w:rsid w:val="003133AF"/>
    <w:rsid w:val="00313835"/>
    <w:rsid w:val="00313ABE"/>
    <w:rsid w:val="003142D0"/>
    <w:rsid w:val="00314598"/>
    <w:rsid w:val="00314743"/>
    <w:rsid w:val="0031517A"/>
    <w:rsid w:val="00315295"/>
    <w:rsid w:val="00315F09"/>
    <w:rsid w:val="003176A8"/>
    <w:rsid w:val="003204FA"/>
    <w:rsid w:val="00320C4C"/>
    <w:rsid w:val="00320C92"/>
    <w:rsid w:val="00321118"/>
    <w:rsid w:val="00321445"/>
    <w:rsid w:val="00321CD3"/>
    <w:rsid w:val="00321D94"/>
    <w:rsid w:val="003222B7"/>
    <w:rsid w:val="00322F7C"/>
    <w:rsid w:val="00322FDF"/>
    <w:rsid w:val="00323B56"/>
    <w:rsid w:val="00324866"/>
    <w:rsid w:val="00324EEF"/>
    <w:rsid w:val="0032516B"/>
    <w:rsid w:val="00326387"/>
    <w:rsid w:val="003264A7"/>
    <w:rsid w:val="003268D4"/>
    <w:rsid w:val="003268E8"/>
    <w:rsid w:val="00326ABD"/>
    <w:rsid w:val="00326D46"/>
    <w:rsid w:val="00326F04"/>
    <w:rsid w:val="00326F54"/>
    <w:rsid w:val="003279EE"/>
    <w:rsid w:val="0033001E"/>
    <w:rsid w:val="00330A68"/>
    <w:rsid w:val="00330E80"/>
    <w:rsid w:val="00331E19"/>
    <w:rsid w:val="0033216F"/>
    <w:rsid w:val="00333269"/>
    <w:rsid w:val="00333BB5"/>
    <w:rsid w:val="00334288"/>
    <w:rsid w:val="00334A06"/>
    <w:rsid w:val="00335F60"/>
    <w:rsid w:val="00336285"/>
    <w:rsid w:val="003378D3"/>
    <w:rsid w:val="00340255"/>
    <w:rsid w:val="00340903"/>
    <w:rsid w:val="0034134D"/>
    <w:rsid w:val="00342267"/>
    <w:rsid w:val="00342457"/>
    <w:rsid w:val="00343A44"/>
    <w:rsid w:val="0034400A"/>
    <w:rsid w:val="00344F59"/>
    <w:rsid w:val="00347459"/>
    <w:rsid w:val="00347CB1"/>
    <w:rsid w:val="00350B58"/>
    <w:rsid w:val="00350D39"/>
    <w:rsid w:val="003512B3"/>
    <w:rsid w:val="00351A62"/>
    <w:rsid w:val="00352217"/>
    <w:rsid w:val="00354758"/>
    <w:rsid w:val="0035517B"/>
    <w:rsid w:val="003553EB"/>
    <w:rsid w:val="0035654D"/>
    <w:rsid w:val="00357166"/>
    <w:rsid w:val="00357469"/>
    <w:rsid w:val="0036008B"/>
    <w:rsid w:val="0036128B"/>
    <w:rsid w:val="00361332"/>
    <w:rsid w:val="003617B1"/>
    <w:rsid w:val="003632A0"/>
    <w:rsid w:val="0036377D"/>
    <w:rsid w:val="003646F3"/>
    <w:rsid w:val="003648D9"/>
    <w:rsid w:val="0036533B"/>
    <w:rsid w:val="00365F03"/>
    <w:rsid w:val="003668D7"/>
    <w:rsid w:val="00367105"/>
    <w:rsid w:val="003679E5"/>
    <w:rsid w:val="00370336"/>
    <w:rsid w:val="00370EC3"/>
    <w:rsid w:val="00372954"/>
    <w:rsid w:val="00372AE6"/>
    <w:rsid w:val="0037484D"/>
    <w:rsid w:val="00374C83"/>
    <w:rsid w:val="003753BD"/>
    <w:rsid w:val="003761DF"/>
    <w:rsid w:val="003768A6"/>
    <w:rsid w:val="003800B6"/>
    <w:rsid w:val="0038100C"/>
    <w:rsid w:val="00381A5D"/>
    <w:rsid w:val="0038208F"/>
    <w:rsid w:val="00383021"/>
    <w:rsid w:val="00383434"/>
    <w:rsid w:val="003847F0"/>
    <w:rsid w:val="003848DD"/>
    <w:rsid w:val="00384936"/>
    <w:rsid w:val="00384B57"/>
    <w:rsid w:val="003863A5"/>
    <w:rsid w:val="0038647F"/>
    <w:rsid w:val="003876AC"/>
    <w:rsid w:val="003876C1"/>
    <w:rsid w:val="0039028D"/>
    <w:rsid w:val="003902A5"/>
    <w:rsid w:val="00390D1E"/>
    <w:rsid w:val="00390E6B"/>
    <w:rsid w:val="00391537"/>
    <w:rsid w:val="00391830"/>
    <w:rsid w:val="00391BFE"/>
    <w:rsid w:val="00392522"/>
    <w:rsid w:val="00392B95"/>
    <w:rsid w:val="00392F43"/>
    <w:rsid w:val="00393723"/>
    <w:rsid w:val="00393875"/>
    <w:rsid w:val="00393CD3"/>
    <w:rsid w:val="003943C8"/>
    <w:rsid w:val="00395332"/>
    <w:rsid w:val="00396B4B"/>
    <w:rsid w:val="00397F3D"/>
    <w:rsid w:val="00397F7C"/>
    <w:rsid w:val="003A116F"/>
    <w:rsid w:val="003A1CD3"/>
    <w:rsid w:val="003A3A7C"/>
    <w:rsid w:val="003A47B8"/>
    <w:rsid w:val="003A5099"/>
    <w:rsid w:val="003A578D"/>
    <w:rsid w:val="003A6097"/>
    <w:rsid w:val="003A6534"/>
    <w:rsid w:val="003A666E"/>
    <w:rsid w:val="003A68DD"/>
    <w:rsid w:val="003A6FEB"/>
    <w:rsid w:val="003A7373"/>
    <w:rsid w:val="003A7887"/>
    <w:rsid w:val="003B01A3"/>
    <w:rsid w:val="003B197E"/>
    <w:rsid w:val="003B2DCC"/>
    <w:rsid w:val="003B3CD2"/>
    <w:rsid w:val="003B5284"/>
    <w:rsid w:val="003B576E"/>
    <w:rsid w:val="003B5CB2"/>
    <w:rsid w:val="003B5DE0"/>
    <w:rsid w:val="003B60EC"/>
    <w:rsid w:val="003B7419"/>
    <w:rsid w:val="003B7465"/>
    <w:rsid w:val="003B7B48"/>
    <w:rsid w:val="003C0FFF"/>
    <w:rsid w:val="003C1C74"/>
    <w:rsid w:val="003C22F7"/>
    <w:rsid w:val="003C2709"/>
    <w:rsid w:val="003C2DD4"/>
    <w:rsid w:val="003C2F67"/>
    <w:rsid w:val="003C35B4"/>
    <w:rsid w:val="003C37D4"/>
    <w:rsid w:val="003C3B31"/>
    <w:rsid w:val="003C443B"/>
    <w:rsid w:val="003C500F"/>
    <w:rsid w:val="003C5254"/>
    <w:rsid w:val="003C58D1"/>
    <w:rsid w:val="003C6A61"/>
    <w:rsid w:val="003C6C1B"/>
    <w:rsid w:val="003D0108"/>
    <w:rsid w:val="003D099C"/>
    <w:rsid w:val="003D0DC2"/>
    <w:rsid w:val="003D2378"/>
    <w:rsid w:val="003D2996"/>
    <w:rsid w:val="003D2D68"/>
    <w:rsid w:val="003D3811"/>
    <w:rsid w:val="003D3AAC"/>
    <w:rsid w:val="003D5CBF"/>
    <w:rsid w:val="003D625C"/>
    <w:rsid w:val="003D6572"/>
    <w:rsid w:val="003D6BBA"/>
    <w:rsid w:val="003D7856"/>
    <w:rsid w:val="003E0162"/>
    <w:rsid w:val="003E15F9"/>
    <w:rsid w:val="003E49F1"/>
    <w:rsid w:val="003E4B6B"/>
    <w:rsid w:val="003E5072"/>
    <w:rsid w:val="003E6BB6"/>
    <w:rsid w:val="003E7236"/>
    <w:rsid w:val="003E7327"/>
    <w:rsid w:val="003F1290"/>
    <w:rsid w:val="003F184D"/>
    <w:rsid w:val="003F2847"/>
    <w:rsid w:val="003F3315"/>
    <w:rsid w:val="003F3963"/>
    <w:rsid w:val="003F3E06"/>
    <w:rsid w:val="003F4516"/>
    <w:rsid w:val="003F49C7"/>
    <w:rsid w:val="003F50C8"/>
    <w:rsid w:val="003F55EE"/>
    <w:rsid w:val="003F6A83"/>
    <w:rsid w:val="003F6F7E"/>
    <w:rsid w:val="003F757B"/>
    <w:rsid w:val="003F792A"/>
    <w:rsid w:val="004000D1"/>
    <w:rsid w:val="00400542"/>
    <w:rsid w:val="004008E2"/>
    <w:rsid w:val="00400A23"/>
    <w:rsid w:val="00401A62"/>
    <w:rsid w:val="00402155"/>
    <w:rsid w:val="00402748"/>
    <w:rsid w:val="00402814"/>
    <w:rsid w:val="0040304F"/>
    <w:rsid w:val="004044E4"/>
    <w:rsid w:val="0040465C"/>
    <w:rsid w:val="004057F5"/>
    <w:rsid w:val="00405DC1"/>
    <w:rsid w:val="004061F1"/>
    <w:rsid w:val="0040636B"/>
    <w:rsid w:val="00406FB5"/>
    <w:rsid w:val="00407B0A"/>
    <w:rsid w:val="00407BD2"/>
    <w:rsid w:val="00407D50"/>
    <w:rsid w:val="00410D98"/>
    <w:rsid w:val="00410FB5"/>
    <w:rsid w:val="00412671"/>
    <w:rsid w:val="004126DC"/>
    <w:rsid w:val="00412A94"/>
    <w:rsid w:val="004134D8"/>
    <w:rsid w:val="00413835"/>
    <w:rsid w:val="004138D7"/>
    <w:rsid w:val="00414253"/>
    <w:rsid w:val="0041483F"/>
    <w:rsid w:val="0041537E"/>
    <w:rsid w:val="004158C8"/>
    <w:rsid w:val="00415B58"/>
    <w:rsid w:val="00415ECB"/>
    <w:rsid w:val="00415F4F"/>
    <w:rsid w:val="00416018"/>
    <w:rsid w:val="004166A4"/>
    <w:rsid w:val="00416ED1"/>
    <w:rsid w:val="00417909"/>
    <w:rsid w:val="00417F3B"/>
    <w:rsid w:val="004208F8"/>
    <w:rsid w:val="00421429"/>
    <w:rsid w:val="00421A34"/>
    <w:rsid w:val="00421B85"/>
    <w:rsid w:val="00422C39"/>
    <w:rsid w:val="00423BC6"/>
    <w:rsid w:val="00423E3E"/>
    <w:rsid w:val="004260C9"/>
    <w:rsid w:val="004268EC"/>
    <w:rsid w:val="00426950"/>
    <w:rsid w:val="00426F01"/>
    <w:rsid w:val="00426F89"/>
    <w:rsid w:val="00427A26"/>
    <w:rsid w:val="004313E3"/>
    <w:rsid w:val="004318FE"/>
    <w:rsid w:val="00431960"/>
    <w:rsid w:val="00431A83"/>
    <w:rsid w:val="00431D51"/>
    <w:rsid w:val="004320FF"/>
    <w:rsid w:val="0043268D"/>
    <w:rsid w:val="004339A7"/>
    <w:rsid w:val="00433E1F"/>
    <w:rsid w:val="004349C6"/>
    <w:rsid w:val="00434D8F"/>
    <w:rsid w:val="00434EEF"/>
    <w:rsid w:val="00435757"/>
    <w:rsid w:val="0043577D"/>
    <w:rsid w:val="00435DF6"/>
    <w:rsid w:val="004379F9"/>
    <w:rsid w:val="00440009"/>
    <w:rsid w:val="00440E35"/>
    <w:rsid w:val="00441027"/>
    <w:rsid w:val="004418EC"/>
    <w:rsid w:val="0044235E"/>
    <w:rsid w:val="004424F3"/>
    <w:rsid w:val="00442503"/>
    <w:rsid w:val="004430CF"/>
    <w:rsid w:val="004441B0"/>
    <w:rsid w:val="00444767"/>
    <w:rsid w:val="00444AA9"/>
    <w:rsid w:val="004454F4"/>
    <w:rsid w:val="0044708F"/>
    <w:rsid w:val="0044734E"/>
    <w:rsid w:val="004474C1"/>
    <w:rsid w:val="00450271"/>
    <w:rsid w:val="00450612"/>
    <w:rsid w:val="00450741"/>
    <w:rsid w:val="00451416"/>
    <w:rsid w:val="004538FC"/>
    <w:rsid w:val="004544AA"/>
    <w:rsid w:val="004554C6"/>
    <w:rsid w:val="00457405"/>
    <w:rsid w:val="004574A2"/>
    <w:rsid w:val="0045765D"/>
    <w:rsid w:val="004621CC"/>
    <w:rsid w:val="0046353A"/>
    <w:rsid w:val="00463BC6"/>
    <w:rsid w:val="00463BEF"/>
    <w:rsid w:val="00463CE1"/>
    <w:rsid w:val="004642E5"/>
    <w:rsid w:val="00464E1C"/>
    <w:rsid w:val="004660BC"/>
    <w:rsid w:val="00466216"/>
    <w:rsid w:val="004670CB"/>
    <w:rsid w:val="00470367"/>
    <w:rsid w:val="004706DE"/>
    <w:rsid w:val="00470900"/>
    <w:rsid w:val="00471B0D"/>
    <w:rsid w:val="0047209C"/>
    <w:rsid w:val="00473689"/>
    <w:rsid w:val="00473A3E"/>
    <w:rsid w:val="00473BD1"/>
    <w:rsid w:val="00474514"/>
    <w:rsid w:val="004754D7"/>
    <w:rsid w:val="0047556E"/>
    <w:rsid w:val="00476B6F"/>
    <w:rsid w:val="00477EEE"/>
    <w:rsid w:val="00480133"/>
    <w:rsid w:val="00480405"/>
    <w:rsid w:val="0048094F"/>
    <w:rsid w:val="0048134F"/>
    <w:rsid w:val="004815DA"/>
    <w:rsid w:val="00481E81"/>
    <w:rsid w:val="00481FD2"/>
    <w:rsid w:val="00482857"/>
    <w:rsid w:val="00483506"/>
    <w:rsid w:val="004854F1"/>
    <w:rsid w:val="004856E2"/>
    <w:rsid w:val="00485A4A"/>
    <w:rsid w:val="00487559"/>
    <w:rsid w:val="00490F80"/>
    <w:rsid w:val="00491F2B"/>
    <w:rsid w:val="004923E5"/>
    <w:rsid w:val="004925F2"/>
    <w:rsid w:val="00492B03"/>
    <w:rsid w:val="00493D49"/>
    <w:rsid w:val="00494EE7"/>
    <w:rsid w:val="004957B8"/>
    <w:rsid w:val="00495AF8"/>
    <w:rsid w:val="004965C9"/>
    <w:rsid w:val="0049683B"/>
    <w:rsid w:val="004974FD"/>
    <w:rsid w:val="00497BE9"/>
    <w:rsid w:val="004A0B1C"/>
    <w:rsid w:val="004A175F"/>
    <w:rsid w:val="004A2375"/>
    <w:rsid w:val="004A25AC"/>
    <w:rsid w:val="004A3DFF"/>
    <w:rsid w:val="004A50F2"/>
    <w:rsid w:val="004A5739"/>
    <w:rsid w:val="004A5BC0"/>
    <w:rsid w:val="004A5CEB"/>
    <w:rsid w:val="004A5E2F"/>
    <w:rsid w:val="004A5F7C"/>
    <w:rsid w:val="004A6006"/>
    <w:rsid w:val="004A6F71"/>
    <w:rsid w:val="004A7521"/>
    <w:rsid w:val="004B0599"/>
    <w:rsid w:val="004B06F8"/>
    <w:rsid w:val="004B0AC1"/>
    <w:rsid w:val="004B160F"/>
    <w:rsid w:val="004B17D5"/>
    <w:rsid w:val="004B2D02"/>
    <w:rsid w:val="004B2FB8"/>
    <w:rsid w:val="004B4103"/>
    <w:rsid w:val="004B48BF"/>
    <w:rsid w:val="004B4E42"/>
    <w:rsid w:val="004B52DA"/>
    <w:rsid w:val="004B550B"/>
    <w:rsid w:val="004B5784"/>
    <w:rsid w:val="004B5B1C"/>
    <w:rsid w:val="004B5E2B"/>
    <w:rsid w:val="004B62B2"/>
    <w:rsid w:val="004B71ED"/>
    <w:rsid w:val="004C01A9"/>
    <w:rsid w:val="004C0878"/>
    <w:rsid w:val="004C17FC"/>
    <w:rsid w:val="004C2886"/>
    <w:rsid w:val="004C30CE"/>
    <w:rsid w:val="004C4698"/>
    <w:rsid w:val="004C5D74"/>
    <w:rsid w:val="004C5E3F"/>
    <w:rsid w:val="004C60E2"/>
    <w:rsid w:val="004C6286"/>
    <w:rsid w:val="004C6656"/>
    <w:rsid w:val="004C73EE"/>
    <w:rsid w:val="004C76CC"/>
    <w:rsid w:val="004D11CA"/>
    <w:rsid w:val="004D1723"/>
    <w:rsid w:val="004D19DE"/>
    <w:rsid w:val="004D39CE"/>
    <w:rsid w:val="004D3A12"/>
    <w:rsid w:val="004D3B84"/>
    <w:rsid w:val="004D548A"/>
    <w:rsid w:val="004D6218"/>
    <w:rsid w:val="004D772A"/>
    <w:rsid w:val="004E0268"/>
    <w:rsid w:val="004E0499"/>
    <w:rsid w:val="004E1225"/>
    <w:rsid w:val="004E153D"/>
    <w:rsid w:val="004E1652"/>
    <w:rsid w:val="004E1A41"/>
    <w:rsid w:val="004E3CB0"/>
    <w:rsid w:val="004E3D6B"/>
    <w:rsid w:val="004E40A2"/>
    <w:rsid w:val="004E4343"/>
    <w:rsid w:val="004E4BA2"/>
    <w:rsid w:val="004E58C1"/>
    <w:rsid w:val="004E6B35"/>
    <w:rsid w:val="004E6C36"/>
    <w:rsid w:val="004E7170"/>
    <w:rsid w:val="004E795B"/>
    <w:rsid w:val="004E7C69"/>
    <w:rsid w:val="004F0D07"/>
    <w:rsid w:val="004F1DDC"/>
    <w:rsid w:val="004F238A"/>
    <w:rsid w:val="004F2452"/>
    <w:rsid w:val="004F26F3"/>
    <w:rsid w:val="004F2CB8"/>
    <w:rsid w:val="004F33D6"/>
    <w:rsid w:val="004F3592"/>
    <w:rsid w:val="004F3E05"/>
    <w:rsid w:val="004F4CB1"/>
    <w:rsid w:val="004F595A"/>
    <w:rsid w:val="004F6927"/>
    <w:rsid w:val="004F6FFE"/>
    <w:rsid w:val="004F7087"/>
    <w:rsid w:val="004F7970"/>
    <w:rsid w:val="005000D5"/>
    <w:rsid w:val="0050033E"/>
    <w:rsid w:val="005009D5"/>
    <w:rsid w:val="00500B72"/>
    <w:rsid w:val="00500D27"/>
    <w:rsid w:val="00501490"/>
    <w:rsid w:val="0050153B"/>
    <w:rsid w:val="00501F67"/>
    <w:rsid w:val="00502924"/>
    <w:rsid w:val="005029D1"/>
    <w:rsid w:val="00503191"/>
    <w:rsid w:val="005044AC"/>
    <w:rsid w:val="005052D0"/>
    <w:rsid w:val="005055D1"/>
    <w:rsid w:val="00505A67"/>
    <w:rsid w:val="00505E1D"/>
    <w:rsid w:val="0050601A"/>
    <w:rsid w:val="005078D2"/>
    <w:rsid w:val="00507D8E"/>
    <w:rsid w:val="005101A3"/>
    <w:rsid w:val="00510B72"/>
    <w:rsid w:val="0051117C"/>
    <w:rsid w:val="005115B2"/>
    <w:rsid w:val="00511CAE"/>
    <w:rsid w:val="00513155"/>
    <w:rsid w:val="00513287"/>
    <w:rsid w:val="005136A1"/>
    <w:rsid w:val="00513DA6"/>
    <w:rsid w:val="00514114"/>
    <w:rsid w:val="005148B8"/>
    <w:rsid w:val="005149A0"/>
    <w:rsid w:val="00514BF6"/>
    <w:rsid w:val="00515056"/>
    <w:rsid w:val="00516283"/>
    <w:rsid w:val="00516669"/>
    <w:rsid w:val="005169A0"/>
    <w:rsid w:val="00516A71"/>
    <w:rsid w:val="00517D74"/>
    <w:rsid w:val="005218B5"/>
    <w:rsid w:val="00521AB2"/>
    <w:rsid w:val="00521D21"/>
    <w:rsid w:val="0052227D"/>
    <w:rsid w:val="0052236F"/>
    <w:rsid w:val="00523FAB"/>
    <w:rsid w:val="00526A32"/>
    <w:rsid w:val="00526AC8"/>
    <w:rsid w:val="00526F12"/>
    <w:rsid w:val="005274D7"/>
    <w:rsid w:val="00530F84"/>
    <w:rsid w:val="00531130"/>
    <w:rsid w:val="005316B5"/>
    <w:rsid w:val="0053171A"/>
    <w:rsid w:val="00531959"/>
    <w:rsid w:val="005319DE"/>
    <w:rsid w:val="00532479"/>
    <w:rsid w:val="00532E8B"/>
    <w:rsid w:val="00533168"/>
    <w:rsid w:val="005339D4"/>
    <w:rsid w:val="00533F17"/>
    <w:rsid w:val="00534792"/>
    <w:rsid w:val="0053568F"/>
    <w:rsid w:val="00536446"/>
    <w:rsid w:val="00536593"/>
    <w:rsid w:val="00537775"/>
    <w:rsid w:val="005377F0"/>
    <w:rsid w:val="00542915"/>
    <w:rsid w:val="005445AE"/>
    <w:rsid w:val="00545476"/>
    <w:rsid w:val="005455D8"/>
    <w:rsid w:val="00545866"/>
    <w:rsid w:val="0054641A"/>
    <w:rsid w:val="005472F1"/>
    <w:rsid w:val="00547988"/>
    <w:rsid w:val="00550CB1"/>
    <w:rsid w:val="00551197"/>
    <w:rsid w:val="00551313"/>
    <w:rsid w:val="0055150A"/>
    <w:rsid w:val="005522C3"/>
    <w:rsid w:val="00553FFB"/>
    <w:rsid w:val="00554256"/>
    <w:rsid w:val="00555BF4"/>
    <w:rsid w:val="00556361"/>
    <w:rsid w:val="00560439"/>
    <w:rsid w:val="0056099C"/>
    <w:rsid w:val="00561C07"/>
    <w:rsid w:val="005636F2"/>
    <w:rsid w:val="00564390"/>
    <w:rsid w:val="005643C7"/>
    <w:rsid w:val="005648C8"/>
    <w:rsid w:val="00565AF4"/>
    <w:rsid w:val="00566DAC"/>
    <w:rsid w:val="0056731B"/>
    <w:rsid w:val="00571EAF"/>
    <w:rsid w:val="00573229"/>
    <w:rsid w:val="00573DCE"/>
    <w:rsid w:val="00574F29"/>
    <w:rsid w:val="005774F6"/>
    <w:rsid w:val="005776B5"/>
    <w:rsid w:val="005776BC"/>
    <w:rsid w:val="00577C23"/>
    <w:rsid w:val="00580083"/>
    <w:rsid w:val="0058028C"/>
    <w:rsid w:val="005806B3"/>
    <w:rsid w:val="005819D5"/>
    <w:rsid w:val="00582125"/>
    <w:rsid w:val="00582A6D"/>
    <w:rsid w:val="00583C33"/>
    <w:rsid w:val="00583DFC"/>
    <w:rsid w:val="00583FB2"/>
    <w:rsid w:val="0058487D"/>
    <w:rsid w:val="00584895"/>
    <w:rsid w:val="00584B78"/>
    <w:rsid w:val="00585504"/>
    <w:rsid w:val="005862F8"/>
    <w:rsid w:val="00587FB8"/>
    <w:rsid w:val="005902B0"/>
    <w:rsid w:val="00590D05"/>
    <w:rsid w:val="00590F34"/>
    <w:rsid w:val="005916EB"/>
    <w:rsid w:val="00591A0D"/>
    <w:rsid w:val="00591D59"/>
    <w:rsid w:val="0059389E"/>
    <w:rsid w:val="00593DBA"/>
    <w:rsid w:val="00595C86"/>
    <w:rsid w:val="005961B6"/>
    <w:rsid w:val="0059672C"/>
    <w:rsid w:val="00596FBB"/>
    <w:rsid w:val="0059701D"/>
    <w:rsid w:val="005972E8"/>
    <w:rsid w:val="00597547"/>
    <w:rsid w:val="00597815"/>
    <w:rsid w:val="00597DD4"/>
    <w:rsid w:val="00597E88"/>
    <w:rsid w:val="005A04D9"/>
    <w:rsid w:val="005A1092"/>
    <w:rsid w:val="005A1FBA"/>
    <w:rsid w:val="005A2180"/>
    <w:rsid w:val="005A2873"/>
    <w:rsid w:val="005A2997"/>
    <w:rsid w:val="005A2AF7"/>
    <w:rsid w:val="005A577E"/>
    <w:rsid w:val="005A6FA9"/>
    <w:rsid w:val="005A7968"/>
    <w:rsid w:val="005B200D"/>
    <w:rsid w:val="005B2EF9"/>
    <w:rsid w:val="005B3467"/>
    <w:rsid w:val="005B404C"/>
    <w:rsid w:val="005B4E8B"/>
    <w:rsid w:val="005B5812"/>
    <w:rsid w:val="005B614E"/>
    <w:rsid w:val="005B7E50"/>
    <w:rsid w:val="005C1473"/>
    <w:rsid w:val="005C15E0"/>
    <w:rsid w:val="005C20B9"/>
    <w:rsid w:val="005C2411"/>
    <w:rsid w:val="005C2E1F"/>
    <w:rsid w:val="005C32CF"/>
    <w:rsid w:val="005C3FB8"/>
    <w:rsid w:val="005C4318"/>
    <w:rsid w:val="005C5226"/>
    <w:rsid w:val="005C5885"/>
    <w:rsid w:val="005C62EC"/>
    <w:rsid w:val="005C6940"/>
    <w:rsid w:val="005C69C9"/>
    <w:rsid w:val="005C6B1F"/>
    <w:rsid w:val="005C6DC1"/>
    <w:rsid w:val="005C76DE"/>
    <w:rsid w:val="005C7F57"/>
    <w:rsid w:val="005D107D"/>
    <w:rsid w:val="005D1C0E"/>
    <w:rsid w:val="005D4603"/>
    <w:rsid w:val="005D5767"/>
    <w:rsid w:val="005D5A16"/>
    <w:rsid w:val="005E0CD9"/>
    <w:rsid w:val="005E17CF"/>
    <w:rsid w:val="005E338E"/>
    <w:rsid w:val="005E3524"/>
    <w:rsid w:val="005E3A33"/>
    <w:rsid w:val="005E4388"/>
    <w:rsid w:val="005E4464"/>
    <w:rsid w:val="005E452A"/>
    <w:rsid w:val="005E4B07"/>
    <w:rsid w:val="005E4BB7"/>
    <w:rsid w:val="005E5159"/>
    <w:rsid w:val="005E57F7"/>
    <w:rsid w:val="005E59DC"/>
    <w:rsid w:val="005E5DE9"/>
    <w:rsid w:val="005E605B"/>
    <w:rsid w:val="005E719B"/>
    <w:rsid w:val="005E7361"/>
    <w:rsid w:val="005E7AE6"/>
    <w:rsid w:val="005F058F"/>
    <w:rsid w:val="005F0F47"/>
    <w:rsid w:val="005F1806"/>
    <w:rsid w:val="005F1DE9"/>
    <w:rsid w:val="005F2470"/>
    <w:rsid w:val="005F36D7"/>
    <w:rsid w:val="005F4C92"/>
    <w:rsid w:val="005F5960"/>
    <w:rsid w:val="005F59BC"/>
    <w:rsid w:val="005F5CF3"/>
    <w:rsid w:val="005F5EDE"/>
    <w:rsid w:val="005F66D1"/>
    <w:rsid w:val="005F70CF"/>
    <w:rsid w:val="0060070E"/>
    <w:rsid w:val="006021E3"/>
    <w:rsid w:val="006032AF"/>
    <w:rsid w:val="00603432"/>
    <w:rsid w:val="00603D8B"/>
    <w:rsid w:val="0060460F"/>
    <w:rsid w:val="0060503C"/>
    <w:rsid w:val="006062DC"/>
    <w:rsid w:val="006063D5"/>
    <w:rsid w:val="00612772"/>
    <w:rsid w:val="00613B81"/>
    <w:rsid w:val="00613C45"/>
    <w:rsid w:val="0061592D"/>
    <w:rsid w:val="00615D48"/>
    <w:rsid w:val="00616F75"/>
    <w:rsid w:val="00617AEE"/>
    <w:rsid w:val="00617E4F"/>
    <w:rsid w:val="00620661"/>
    <w:rsid w:val="006213B8"/>
    <w:rsid w:val="00624C0D"/>
    <w:rsid w:val="0062522D"/>
    <w:rsid w:val="00626D17"/>
    <w:rsid w:val="0062717E"/>
    <w:rsid w:val="00627334"/>
    <w:rsid w:val="00627AB1"/>
    <w:rsid w:val="00627CAE"/>
    <w:rsid w:val="006308A4"/>
    <w:rsid w:val="00631D91"/>
    <w:rsid w:val="00633067"/>
    <w:rsid w:val="006335BE"/>
    <w:rsid w:val="0063374D"/>
    <w:rsid w:val="00633767"/>
    <w:rsid w:val="00633C97"/>
    <w:rsid w:val="00634A03"/>
    <w:rsid w:val="006358AC"/>
    <w:rsid w:val="00636F3A"/>
    <w:rsid w:val="006370D8"/>
    <w:rsid w:val="00637B43"/>
    <w:rsid w:val="00640548"/>
    <w:rsid w:val="006410FC"/>
    <w:rsid w:val="00641658"/>
    <w:rsid w:val="00641AB1"/>
    <w:rsid w:val="00642A9B"/>
    <w:rsid w:val="006433C0"/>
    <w:rsid w:val="0064380C"/>
    <w:rsid w:val="00643D5A"/>
    <w:rsid w:val="00644E93"/>
    <w:rsid w:val="00645182"/>
    <w:rsid w:val="00645C2B"/>
    <w:rsid w:val="00646119"/>
    <w:rsid w:val="006463CA"/>
    <w:rsid w:val="006466AD"/>
    <w:rsid w:val="00647BFF"/>
    <w:rsid w:val="006506EE"/>
    <w:rsid w:val="00652767"/>
    <w:rsid w:val="00652BAB"/>
    <w:rsid w:val="00652EF5"/>
    <w:rsid w:val="006537B7"/>
    <w:rsid w:val="0065595D"/>
    <w:rsid w:val="00655C54"/>
    <w:rsid w:val="00656595"/>
    <w:rsid w:val="00656BAA"/>
    <w:rsid w:val="00657E53"/>
    <w:rsid w:val="00660490"/>
    <w:rsid w:val="006605FB"/>
    <w:rsid w:val="0066093E"/>
    <w:rsid w:val="00660BC2"/>
    <w:rsid w:val="00660BC7"/>
    <w:rsid w:val="00661141"/>
    <w:rsid w:val="00661C6E"/>
    <w:rsid w:val="00662714"/>
    <w:rsid w:val="00662963"/>
    <w:rsid w:val="006631A2"/>
    <w:rsid w:val="00663337"/>
    <w:rsid w:val="0066334E"/>
    <w:rsid w:val="0066372C"/>
    <w:rsid w:val="0066756D"/>
    <w:rsid w:val="00667EB5"/>
    <w:rsid w:val="006705B5"/>
    <w:rsid w:val="00670BC6"/>
    <w:rsid w:val="0067101B"/>
    <w:rsid w:val="00671876"/>
    <w:rsid w:val="00671EC2"/>
    <w:rsid w:val="0067217A"/>
    <w:rsid w:val="006733D8"/>
    <w:rsid w:val="00673571"/>
    <w:rsid w:val="006741AD"/>
    <w:rsid w:val="006746BB"/>
    <w:rsid w:val="006759B6"/>
    <w:rsid w:val="00675CA7"/>
    <w:rsid w:val="006767B1"/>
    <w:rsid w:val="006769BF"/>
    <w:rsid w:val="00677BD6"/>
    <w:rsid w:val="0068027C"/>
    <w:rsid w:val="00680649"/>
    <w:rsid w:val="00680A9A"/>
    <w:rsid w:val="00680D1D"/>
    <w:rsid w:val="00680D50"/>
    <w:rsid w:val="00681344"/>
    <w:rsid w:val="0068172B"/>
    <w:rsid w:val="006828BD"/>
    <w:rsid w:val="006830C4"/>
    <w:rsid w:val="006845E4"/>
    <w:rsid w:val="00684614"/>
    <w:rsid w:val="00684E1C"/>
    <w:rsid w:val="006851B0"/>
    <w:rsid w:val="00685864"/>
    <w:rsid w:val="00685F9D"/>
    <w:rsid w:val="006869A7"/>
    <w:rsid w:val="00690AA2"/>
    <w:rsid w:val="00691011"/>
    <w:rsid w:val="00691774"/>
    <w:rsid w:val="0069187D"/>
    <w:rsid w:val="00691D42"/>
    <w:rsid w:val="00691DEA"/>
    <w:rsid w:val="00692C53"/>
    <w:rsid w:val="006932E5"/>
    <w:rsid w:val="0069355A"/>
    <w:rsid w:val="00694221"/>
    <w:rsid w:val="00694888"/>
    <w:rsid w:val="00695080"/>
    <w:rsid w:val="00695BA9"/>
    <w:rsid w:val="00696140"/>
    <w:rsid w:val="006967C8"/>
    <w:rsid w:val="00696D44"/>
    <w:rsid w:val="006A0330"/>
    <w:rsid w:val="006A111B"/>
    <w:rsid w:val="006A1734"/>
    <w:rsid w:val="006A17B4"/>
    <w:rsid w:val="006A1BDC"/>
    <w:rsid w:val="006A25B5"/>
    <w:rsid w:val="006A2C1B"/>
    <w:rsid w:val="006A3133"/>
    <w:rsid w:val="006A326A"/>
    <w:rsid w:val="006A361A"/>
    <w:rsid w:val="006A369E"/>
    <w:rsid w:val="006A39A0"/>
    <w:rsid w:val="006A3A3E"/>
    <w:rsid w:val="006A4E3C"/>
    <w:rsid w:val="006A7B3A"/>
    <w:rsid w:val="006B02A7"/>
    <w:rsid w:val="006B0500"/>
    <w:rsid w:val="006B065F"/>
    <w:rsid w:val="006B117D"/>
    <w:rsid w:val="006B167B"/>
    <w:rsid w:val="006B1BFD"/>
    <w:rsid w:val="006B4A0F"/>
    <w:rsid w:val="006B500A"/>
    <w:rsid w:val="006B6277"/>
    <w:rsid w:val="006B6E06"/>
    <w:rsid w:val="006B6E63"/>
    <w:rsid w:val="006B74ED"/>
    <w:rsid w:val="006B75EF"/>
    <w:rsid w:val="006C07AE"/>
    <w:rsid w:val="006C1CEC"/>
    <w:rsid w:val="006C245B"/>
    <w:rsid w:val="006C2A5E"/>
    <w:rsid w:val="006C391E"/>
    <w:rsid w:val="006C40CD"/>
    <w:rsid w:val="006C578B"/>
    <w:rsid w:val="006C6662"/>
    <w:rsid w:val="006C738D"/>
    <w:rsid w:val="006C75F0"/>
    <w:rsid w:val="006C7A77"/>
    <w:rsid w:val="006D0CD6"/>
    <w:rsid w:val="006D16B3"/>
    <w:rsid w:val="006D1886"/>
    <w:rsid w:val="006D25B2"/>
    <w:rsid w:val="006D2F52"/>
    <w:rsid w:val="006D345F"/>
    <w:rsid w:val="006D392D"/>
    <w:rsid w:val="006D4A68"/>
    <w:rsid w:val="006D72C7"/>
    <w:rsid w:val="006D79D8"/>
    <w:rsid w:val="006E0247"/>
    <w:rsid w:val="006E0B8C"/>
    <w:rsid w:val="006E0E6D"/>
    <w:rsid w:val="006E1A4A"/>
    <w:rsid w:val="006E27E8"/>
    <w:rsid w:val="006E2F94"/>
    <w:rsid w:val="006E3053"/>
    <w:rsid w:val="006E30D3"/>
    <w:rsid w:val="006E3CB0"/>
    <w:rsid w:val="006E534C"/>
    <w:rsid w:val="006E57F3"/>
    <w:rsid w:val="006E6571"/>
    <w:rsid w:val="006E67BC"/>
    <w:rsid w:val="006E7ACA"/>
    <w:rsid w:val="006F0979"/>
    <w:rsid w:val="006F099D"/>
    <w:rsid w:val="006F09D1"/>
    <w:rsid w:val="006F19B3"/>
    <w:rsid w:val="006F1EFD"/>
    <w:rsid w:val="006F1F8D"/>
    <w:rsid w:val="006F344F"/>
    <w:rsid w:val="006F4376"/>
    <w:rsid w:val="006F515A"/>
    <w:rsid w:val="006F524F"/>
    <w:rsid w:val="006F6F9F"/>
    <w:rsid w:val="006F799F"/>
    <w:rsid w:val="006F7A27"/>
    <w:rsid w:val="00701BE5"/>
    <w:rsid w:val="007021CE"/>
    <w:rsid w:val="00703B89"/>
    <w:rsid w:val="007069A1"/>
    <w:rsid w:val="00706A05"/>
    <w:rsid w:val="0070759E"/>
    <w:rsid w:val="00710AC0"/>
    <w:rsid w:val="007111BA"/>
    <w:rsid w:val="007112E6"/>
    <w:rsid w:val="007118F8"/>
    <w:rsid w:val="00711D02"/>
    <w:rsid w:val="007137C0"/>
    <w:rsid w:val="0071447F"/>
    <w:rsid w:val="007148A9"/>
    <w:rsid w:val="0071548D"/>
    <w:rsid w:val="00715E8C"/>
    <w:rsid w:val="00715F2B"/>
    <w:rsid w:val="0071668E"/>
    <w:rsid w:val="0071687B"/>
    <w:rsid w:val="007176AD"/>
    <w:rsid w:val="00717B6D"/>
    <w:rsid w:val="007215CF"/>
    <w:rsid w:val="00722186"/>
    <w:rsid w:val="007268C6"/>
    <w:rsid w:val="0072746C"/>
    <w:rsid w:val="00727B2F"/>
    <w:rsid w:val="00730224"/>
    <w:rsid w:val="007310C0"/>
    <w:rsid w:val="007314AA"/>
    <w:rsid w:val="007322B8"/>
    <w:rsid w:val="00733617"/>
    <w:rsid w:val="007351A9"/>
    <w:rsid w:val="00735450"/>
    <w:rsid w:val="00735BA1"/>
    <w:rsid w:val="00740810"/>
    <w:rsid w:val="007420B9"/>
    <w:rsid w:val="0074249B"/>
    <w:rsid w:val="00742F5A"/>
    <w:rsid w:val="007431BA"/>
    <w:rsid w:val="007437D9"/>
    <w:rsid w:val="007437F9"/>
    <w:rsid w:val="00743A16"/>
    <w:rsid w:val="00743B1E"/>
    <w:rsid w:val="0074414B"/>
    <w:rsid w:val="00745D67"/>
    <w:rsid w:val="00746523"/>
    <w:rsid w:val="0074675C"/>
    <w:rsid w:val="00747665"/>
    <w:rsid w:val="00747828"/>
    <w:rsid w:val="00750241"/>
    <w:rsid w:val="00751AE0"/>
    <w:rsid w:val="00752033"/>
    <w:rsid w:val="00752D5D"/>
    <w:rsid w:val="007536A3"/>
    <w:rsid w:val="00753E17"/>
    <w:rsid w:val="0075409A"/>
    <w:rsid w:val="00754C41"/>
    <w:rsid w:val="0075511F"/>
    <w:rsid w:val="0075530B"/>
    <w:rsid w:val="007556D4"/>
    <w:rsid w:val="00755BB7"/>
    <w:rsid w:val="00755FF5"/>
    <w:rsid w:val="007561B1"/>
    <w:rsid w:val="0075680E"/>
    <w:rsid w:val="00756C24"/>
    <w:rsid w:val="0076152B"/>
    <w:rsid w:val="007619FB"/>
    <w:rsid w:val="00761A6F"/>
    <w:rsid w:val="00762130"/>
    <w:rsid w:val="007629E6"/>
    <w:rsid w:val="00763604"/>
    <w:rsid w:val="007646CC"/>
    <w:rsid w:val="007668DB"/>
    <w:rsid w:val="00766A39"/>
    <w:rsid w:val="00767A26"/>
    <w:rsid w:val="00767BA4"/>
    <w:rsid w:val="00770D77"/>
    <w:rsid w:val="00771A03"/>
    <w:rsid w:val="00771DAA"/>
    <w:rsid w:val="007722A0"/>
    <w:rsid w:val="00773463"/>
    <w:rsid w:val="0077351F"/>
    <w:rsid w:val="007736C1"/>
    <w:rsid w:val="00773C70"/>
    <w:rsid w:val="007769AE"/>
    <w:rsid w:val="007819E5"/>
    <w:rsid w:val="00781B89"/>
    <w:rsid w:val="00781C32"/>
    <w:rsid w:val="00782982"/>
    <w:rsid w:val="00783017"/>
    <w:rsid w:val="0078328D"/>
    <w:rsid w:val="007841E8"/>
    <w:rsid w:val="007858F1"/>
    <w:rsid w:val="00786C2B"/>
    <w:rsid w:val="0079029C"/>
    <w:rsid w:val="007933E4"/>
    <w:rsid w:val="00793495"/>
    <w:rsid w:val="00794BBA"/>
    <w:rsid w:val="00795AA4"/>
    <w:rsid w:val="00796236"/>
    <w:rsid w:val="007978E6"/>
    <w:rsid w:val="007978E8"/>
    <w:rsid w:val="007A0607"/>
    <w:rsid w:val="007A2657"/>
    <w:rsid w:val="007A2723"/>
    <w:rsid w:val="007A2BC7"/>
    <w:rsid w:val="007A2ED8"/>
    <w:rsid w:val="007A45D7"/>
    <w:rsid w:val="007A4760"/>
    <w:rsid w:val="007A51C3"/>
    <w:rsid w:val="007A52AF"/>
    <w:rsid w:val="007A5B75"/>
    <w:rsid w:val="007A5F2B"/>
    <w:rsid w:val="007A60FD"/>
    <w:rsid w:val="007A6C06"/>
    <w:rsid w:val="007A7852"/>
    <w:rsid w:val="007A7C9D"/>
    <w:rsid w:val="007B05C8"/>
    <w:rsid w:val="007B0806"/>
    <w:rsid w:val="007B29E0"/>
    <w:rsid w:val="007B2EEF"/>
    <w:rsid w:val="007B33EB"/>
    <w:rsid w:val="007B35B9"/>
    <w:rsid w:val="007B399D"/>
    <w:rsid w:val="007B538A"/>
    <w:rsid w:val="007B54F3"/>
    <w:rsid w:val="007B5FFE"/>
    <w:rsid w:val="007B7970"/>
    <w:rsid w:val="007B7ABC"/>
    <w:rsid w:val="007C01A5"/>
    <w:rsid w:val="007C11BD"/>
    <w:rsid w:val="007C122E"/>
    <w:rsid w:val="007C1D84"/>
    <w:rsid w:val="007C1F36"/>
    <w:rsid w:val="007C2DD6"/>
    <w:rsid w:val="007C3B1C"/>
    <w:rsid w:val="007C46D6"/>
    <w:rsid w:val="007C47D8"/>
    <w:rsid w:val="007C50FD"/>
    <w:rsid w:val="007C510E"/>
    <w:rsid w:val="007C51AA"/>
    <w:rsid w:val="007C557C"/>
    <w:rsid w:val="007C59DB"/>
    <w:rsid w:val="007C62E7"/>
    <w:rsid w:val="007C7B24"/>
    <w:rsid w:val="007D0136"/>
    <w:rsid w:val="007D0694"/>
    <w:rsid w:val="007D0A7A"/>
    <w:rsid w:val="007D0AF8"/>
    <w:rsid w:val="007D1096"/>
    <w:rsid w:val="007D1A4C"/>
    <w:rsid w:val="007D1E64"/>
    <w:rsid w:val="007D1FB7"/>
    <w:rsid w:val="007D288A"/>
    <w:rsid w:val="007D3177"/>
    <w:rsid w:val="007D39F3"/>
    <w:rsid w:val="007D3C12"/>
    <w:rsid w:val="007E0544"/>
    <w:rsid w:val="007E0A24"/>
    <w:rsid w:val="007E0D7F"/>
    <w:rsid w:val="007E0F43"/>
    <w:rsid w:val="007E1344"/>
    <w:rsid w:val="007E1CCE"/>
    <w:rsid w:val="007E2E7A"/>
    <w:rsid w:val="007E319D"/>
    <w:rsid w:val="007E5BF9"/>
    <w:rsid w:val="007E5F1D"/>
    <w:rsid w:val="007E650F"/>
    <w:rsid w:val="007E74F2"/>
    <w:rsid w:val="007E7733"/>
    <w:rsid w:val="007E7B3D"/>
    <w:rsid w:val="007F0582"/>
    <w:rsid w:val="007F0EE1"/>
    <w:rsid w:val="007F127B"/>
    <w:rsid w:val="007F2D6C"/>
    <w:rsid w:val="007F31AD"/>
    <w:rsid w:val="007F3EBE"/>
    <w:rsid w:val="007F412B"/>
    <w:rsid w:val="007F458A"/>
    <w:rsid w:val="007F495F"/>
    <w:rsid w:val="007F4A95"/>
    <w:rsid w:val="007F4F44"/>
    <w:rsid w:val="007F53A9"/>
    <w:rsid w:val="007F6B4C"/>
    <w:rsid w:val="007F72F5"/>
    <w:rsid w:val="007F7441"/>
    <w:rsid w:val="00800B6B"/>
    <w:rsid w:val="0080110E"/>
    <w:rsid w:val="008024CC"/>
    <w:rsid w:val="0080290B"/>
    <w:rsid w:val="00802C3C"/>
    <w:rsid w:val="008036B0"/>
    <w:rsid w:val="008037F9"/>
    <w:rsid w:val="008038A3"/>
    <w:rsid w:val="00804408"/>
    <w:rsid w:val="00805768"/>
    <w:rsid w:val="0080588A"/>
    <w:rsid w:val="00806384"/>
    <w:rsid w:val="00806E3C"/>
    <w:rsid w:val="00806EA1"/>
    <w:rsid w:val="00806F25"/>
    <w:rsid w:val="00806FF7"/>
    <w:rsid w:val="00807308"/>
    <w:rsid w:val="00807726"/>
    <w:rsid w:val="008100A4"/>
    <w:rsid w:val="008101EC"/>
    <w:rsid w:val="0081177B"/>
    <w:rsid w:val="00812905"/>
    <w:rsid w:val="0081341B"/>
    <w:rsid w:val="00814407"/>
    <w:rsid w:val="0081507F"/>
    <w:rsid w:val="00817295"/>
    <w:rsid w:val="00817764"/>
    <w:rsid w:val="00817A49"/>
    <w:rsid w:val="00820B37"/>
    <w:rsid w:val="00820EB5"/>
    <w:rsid w:val="00821072"/>
    <w:rsid w:val="00822DD5"/>
    <w:rsid w:val="008230C4"/>
    <w:rsid w:val="00823AF2"/>
    <w:rsid w:val="008258A4"/>
    <w:rsid w:val="00825A80"/>
    <w:rsid w:val="00825C02"/>
    <w:rsid w:val="00826581"/>
    <w:rsid w:val="00826669"/>
    <w:rsid w:val="00827429"/>
    <w:rsid w:val="00827F92"/>
    <w:rsid w:val="00827FE2"/>
    <w:rsid w:val="008302F4"/>
    <w:rsid w:val="00830816"/>
    <w:rsid w:val="00830DB5"/>
    <w:rsid w:val="00831CAC"/>
    <w:rsid w:val="00832696"/>
    <w:rsid w:val="008337DD"/>
    <w:rsid w:val="00833980"/>
    <w:rsid w:val="00833A9B"/>
    <w:rsid w:val="00834579"/>
    <w:rsid w:val="00835D7E"/>
    <w:rsid w:val="0083681B"/>
    <w:rsid w:val="00840F08"/>
    <w:rsid w:val="00841379"/>
    <w:rsid w:val="008414E3"/>
    <w:rsid w:val="00842AFD"/>
    <w:rsid w:val="00842CC3"/>
    <w:rsid w:val="0084347A"/>
    <w:rsid w:val="00843D0D"/>
    <w:rsid w:val="008442A6"/>
    <w:rsid w:val="0084445C"/>
    <w:rsid w:val="008456EB"/>
    <w:rsid w:val="00845AD0"/>
    <w:rsid w:val="00845C7E"/>
    <w:rsid w:val="00845D34"/>
    <w:rsid w:val="0084670A"/>
    <w:rsid w:val="00847026"/>
    <w:rsid w:val="008470F3"/>
    <w:rsid w:val="00850155"/>
    <w:rsid w:val="00850468"/>
    <w:rsid w:val="00850982"/>
    <w:rsid w:val="00851519"/>
    <w:rsid w:val="008525E8"/>
    <w:rsid w:val="00853226"/>
    <w:rsid w:val="0085338B"/>
    <w:rsid w:val="00853BCD"/>
    <w:rsid w:val="008544CD"/>
    <w:rsid w:val="008551AA"/>
    <w:rsid w:val="0085650D"/>
    <w:rsid w:val="00857198"/>
    <w:rsid w:val="00862B19"/>
    <w:rsid w:val="008636A6"/>
    <w:rsid w:val="00863B67"/>
    <w:rsid w:val="008642B7"/>
    <w:rsid w:val="0086439D"/>
    <w:rsid w:val="00864F47"/>
    <w:rsid w:val="00864F8D"/>
    <w:rsid w:val="008658DB"/>
    <w:rsid w:val="00865DD6"/>
    <w:rsid w:val="00867128"/>
    <w:rsid w:val="00867AC4"/>
    <w:rsid w:val="00867AFD"/>
    <w:rsid w:val="00870D04"/>
    <w:rsid w:val="00871324"/>
    <w:rsid w:val="00871412"/>
    <w:rsid w:val="00871FC4"/>
    <w:rsid w:val="00872B23"/>
    <w:rsid w:val="00872BA2"/>
    <w:rsid w:val="008733C0"/>
    <w:rsid w:val="00873704"/>
    <w:rsid w:val="00873EC3"/>
    <w:rsid w:val="00874403"/>
    <w:rsid w:val="0087453D"/>
    <w:rsid w:val="00874CF9"/>
    <w:rsid w:val="0087539E"/>
    <w:rsid w:val="00876024"/>
    <w:rsid w:val="00876685"/>
    <w:rsid w:val="00877E5C"/>
    <w:rsid w:val="0088101D"/>
    <w:rsid w:val="008815A1"/>
    <w:rsid w:val="008821AB"/>
    <w:rsid w:val="008833B7"/>
    <w:rsid w:val="00883E13"/>
    <w:rsid w:val="00884E03"/>
    <w:rsid w:val="00885009"/>
    <w:rsid w:val="0088526C"/>
    <w:rsid w:val="00885FA7"/>
    <w:rsid w:val="00886015"/>
    <w:rsid w:val="00887C64"/>
    <w:rsid w:val="00887D26"/>
    <w:rsid w:val="008909F4"/>
    <w:rsid w:val="00890C0C"/>
    <w:rsid w:val="00891924"/>
    <w:rsid w:val="0089208D"/>
    <w:rsid w:val="008929C5"/>
    <w:rsid w:val="00892F90"/>
    <w:rsid w:val="008930A1"/>
    <w:rsid w:val="008930CA"/>
    <w:rsid w:val="00893786"/>
    <w:rsid w:val="00893F20"/>
    <w:rsid w:val="00895F1B"/>
    <w:rsid w:val="00896F1B"/>
    <w:rsid w:val="008970A8"/>
    <w:rsid w:val="008972C4"/>
    <w:rsid w:val="00897D19"/>
    <w:rsid w:val="00897DFF"/>
    <w:rsid w:val="008A0071"/>
    <w:rsid w:val="008A1883"/>
    <w:rsid w:val="008A26E0"/>
    <w:rsid w:val="008A289A"/>
    <w:rsid w:val="008A3021"/>
    <w:rsid w:val="008A3CDA"/>
    <w:rsid w:val="008A40DF"/>
    <w:rsid w:val="008A4539"/>
    <w:rsid w:val="008A4D83"/>
    <w:rsid w:val="008A4E8D"/>
    <w:rsid w:val="008A565D"/>
    <w:rsid w:val="008A5CDD"/>
    <w:rsid w:val="008A5CF3"/>
    <w:rsid w:val="008A5ED7"/>
    <w:rsid w:val="008A6000"/>
    <w:rsid w:val="008A64A6"/>
    <w:rsid w:val="008A6DAA"/>
    <w:rsid w:val="008A723A"/>
    <w:rsid w:val="008A7953"/>
    <w:rsid w:val="008A795B"/>
    <w:rsid w:val="008A7B04"/>
    <w:rsid w:val="008B0352"/>
    <w:rsid w:val="008B0B4C"/>
    <w:rsid w:val="008B0EBD"/>
    <w:rsid w:val="008B3191"/>
    <w:rsid w:val="008B443A"/>
    <w:rsid w:val="008B5321"/>
    <w:rsid w:val="008B6EB9"/>
    <w:rsid w:val="008C0F39"/>
    <w:rsid w:val="008C0F45"/>
    <w:rsid w:val="008C217A"/>
    <w:rsid w:val="008C2A2C"/>
    <w:rsid w:val="008C2BD3"/>
    <w:rsid w:val="008C3D59"/>
    <w:rsid w:val="008C503F"/>
    <w:rsid w:val="008C51DD"/>
    <w:rsid w:val="008C5407"/>
    <w:rsid w:val="008C6189"/>
    <w:rsid w:val="008C694C"/>
    <w:rsid w:val="008C7383"/>
    <w:rsid w:val="008C765D"/>
    <w:rsid w:val="008C7D80"/>
    <w:rsid w:val="008C7FBF"/>
    <w:rsid w:val="008D2938"/>
    <w:rsid w:val="008D29B3"/>
    <w:rsid w:val="008D2A15"/>
    <w:rsid w:val="008D2DEB"/>
    <w:rsid w:val="008D47CC"/>
    <w:rsid w:val="008D4CAD"/>
    <w:rsid w:val="008D4D8D"/>
    <w:rsid w:val="008D56BF"/>
    <w:rsid w:val="008D717A"/>
    <w:rsid w:val="008D731D"/>
    <w:rsid w:val="008D7FFD"/>
    <w:rsid w:val="008E0124"/>
    <w:rsid w:val="008E1564"/>
    <w:rsid w:val="008E2119"/>
    <w:rsid w:val="008E2E52"/>
    <w:rsid w:val="008E2FB8"/>
    <w:rsid w:val="008E304C"/>
    <w:rsid w:val="008E3096"/>
    <w:rsid w:val="008E4BEB"/>
    <w:rsid w:val="008E5CE3"/>
    <w:rsid w:val="008E6116"/>
    <w:rsid w:val="008E661F"/>
    <w:rsid w:val="008E6AFB"/>
    <w:rsid w:val="008E792D"/>
    <w:rsid w:val="008F1015"/>
    <w:rsid w:val="008F15D7"/>
    <w:rsid w:val="008F1719"/>
    <w:rsid w:val="008F172B"/>
    <w:rsid w:val="008F1F34"/>
    <w:rsid w:val="008F204E"/>
    <w:rsid w:val="008F2494"/>
    <w:rsid w:val="008F3354"/>
    <w:rsid w:val="008F4669"/>
    <w:rsid w:val="008F46D7"/>
    <w:rsid w:val="008F49D2"/>
    <w:rsid w:val="008F6AE0"/>
    <w:rsid w:val="009002C0"/>
    <w:rsid w:val="0090102E"/>
    <w:rsid w:val="00901B30"/>
    <w:rsid w:val="00902F1C"/>
    <w:rsid w:val="00903FBC"/>
    <w:rsid w:val="00904D48"/>
    <w:rsid w:val="009056F4"/>
    <w:rsid w:val="00905A21"/>
    <w:rsid w:val="00905B9D"/>
    <w:rsid w:val="0090695C"/>
    <w:rsid w:val="00907412"/>
    <w:rsid w:val="0090745E"/>
    <w:rsid w:val="009078A8"/>
    <w:rsid w:val="009102C6"/>
    <w:rsid w:val="00910B41"/>
    <w:rsid w:val="009116DC"/>
    <w:rsid w:val="00912E3F"/>
    <w:rsid w:val="00912E7D"/>
    <w:rsid w:val="00913EDF"/>
    <w:rsid w:val="009142E9"/>
    <w:rsid w:val="00914828"/>
    <w:rsid w:val="00914AD2"/>
    <w:rsid w:val="00915074"/>
    <w:rsid w:val="00915589"/>
    <w:rsid w:val="0091667C"/>
    <w:rsid w:val="00920F45"/>
    <w:rsid w:val="00920F88"/>
    <w:rsid w:val="009223DF"/>
    <w:rsid w:val="009224DC"/>
    <w:rsid w:val="009228E1"/>
    <w:rsid w:val="009242D7"/>
    <w:rsid w:val="00924DCF"/>
    <w:rsid w:val="00925B7D"/>
    <w:rsid w:val="00925D05"/>
    <w:rsid w:val="00926D33"/>
    <w:rsid w:val="00927422"/>
    <w:rsid w:val="0093007F"/>
    <w:rsid w:val="00930456"/>
    <w:rsid w:val="00930ACE"/>
    <w:rsid w:val="00932201"/>
    <w:rsid w:val="009333AD"/>
    <w:rsid w:val="0093467B"/>
    <w:rsid w:val="00934FD6"/>
    <w:rsid w:val="0093587D"/>
    <w:rsid w:val="00935CEF"/>
    <w:rsid w:val="00936D13"/>
    <w:rsid w:val="009370D4"/>
    <w:rsid w:val="00940485"/>
    <w:rsid w:val="0094296B"/>
    <w:rsid w:val="0094337A"/>
    <w:rsid w:val="009435B0"/>
    <w:rsid w:val="009446E2"/>
    <w:rsid w:val="009452E2"/>
    <w:rsid w:val="00945446"/>
    <w:rsid w:val="009464BF"/>
    <w:rsid w:val="00947054"/>
    <w:rsid w:val="0094708D"/>
    <w:rsid w:val="00947C5C"/>
    <w:rsid w:val="00947EF4"/>
    <w:rsid w:val="009513CA"/>
    <w:rsid w:val="00952CC3"/>
    <w:rsid w:val="00952D0E"/>
    <w:rsid w:val="00952F1C"/>
    <w:rsid w:val="00953023"/>
    <w:rsid w:val="0095652E"/>
    <w:rsid w:val="00957C3E"/>
    <w:rsid w:val="0096083C"/>
    <w:rsid w:val="00964799"/>
    <w:rsid w:val="00965714"/>
    <w:rsid w:val="00965DBF"/>
    <w:rsid w:val="00965E9D"/>
    <w:rsid w:val="0096610F"/>
    <w:rsid w:val="00966404"/>
    <w:rsid w:val="00970039"/>
    <w:rsid w:val="00971458"/>
    <w:rsid w:val="00972576"/>
    <w:rsid w:val="00972920"/>
    <w:rsid w:val="00972B12"/>
    <w:rsid w:val="009730C1"/>
    <w:rsid w:val="00973593"/>
    <w:rsid w:val="00973B65"/>
    <w:rsid w:val="00974521"/>
    <w:rsid w:val="009746DD"/>
    <w:rsid w:val="00977271"/>
    <w:rsid w:val="00977A30"/>
    <w:rsid w:val="00977B5C"/>
    <w:rsid w:val="009811B5"/>
    <w:rsid w:val="00982732"/>
    <w:rsid w:val="00983BCC"/>
    <w:rsid w:val="009841B5"/>
    <w:rsid w:val="00984BE5"/>
    <w:rsid w:val="00984CE5"/>
    <w:rsid w:val="00984FF0"/>
    <w:rsid w:val="00985CEE"/>
    <w:rsid w:val="00987057"/>
    <w:rsid w:val="00987AC9"/>
    <w:rsid w:val="009915CC"/>
    <w:rsid w:val="0099273E"/>
    <w:rsid w:val="00992C67"/>
    <w:rsid w:val="00992F19"/>
    <w:rsid w:val="0099390E"/>
    <w:rsid w:val="0099453C"/>
    <w:rsid w:val="00994EEA"/>
    <w:rsid w:val="00995692"/>
    <w:rsid w:val="00995820"/>
    <w:rsid w:val="00995A84"/>
    <w:rsid w:val="00996E02"/>
    <w:rsid w:val="009973FF"/>
    <w:rsid w:val="009A0EDC"/>
    <w:rsid w:val="009A3D72"/>
    <w:rsid w:val="009A3E19"/>
    <w:rsid w:val="009A3F93"/>
    <w:rsid w:val="009A4941"/>
    <w:rsid w:val="009A556B"/>
    <w:rsid w:val="009B05A7"/>
    <w:rsid w:val="009B1A0B"/>
    <w:rsid w:val="009B1D9A"/>
    <w:rsid w:val="009B218D"/>
    <w:rsid w:val="009B3E0B"/>
    <w:rsid w:val="009B4997"/>
    <w:rsid w:val="009B5812"/>
    <w:rsid w:val="009B7DE6"/>
    <w:rsid w:val="009C06EF"/>
    <w:rsid w:val="009C0F25"/>
    <w:rsid w:val="009C10CF"/>
    <w:rsid w:val="009C22E2"/>
    <w:rsid w:val="009C235D"/>
    <w:rsid w:val="009C28B0"/>
    <w:rsid w:val="009C2DB8"/>
    <w:rsid w:val="009C39DF"/>
    <w:rsid w:val="009C3ED0"/>
    <w:rsid w:val="009C5508"/>
    <w:rsid w:val="009C5B00"/>
    <w:rsid w:val="009C7413"/>
    <w:rsid w:val="009C7487"/>
    <w:rsid w:val="009D03FF"/>
    <w:rsid w:val="009D0430"/>
    <w:rsid w:val="009D1B30"/>
    <w:rsid w:val="009D2303"/>
    <w:rsid w:val="009D2D9C"/>
    <w:rsid w:val="009D2EFD"/>
    <w:rsid w:val="009D2FB0"/>
    <w:rsid w:val="009D3109"/>
    <w:rsid w:val="009D3B40"/>
    <w:rsid w:val="009D410D"/>
    <w:rsid w:val="009D475B"/>
    <w:rsid w:val="009D518D"/>
    <w:rsid w:val="009D569B"/>
    <w:rsid w:val="009D5A22"/>
    <w:rsid w:val="009D6631"/>
    <w:rsid w:val="009D6CF4"/>
    <w:rsid w:val="009E0064"/>
    <w:rsid w:val="009E1137"/>
    <w:rsid w:val="009E164A"/>
    <w:rsid w:val="009E18D3"/>
    <w:rsid w:val="009E1B64"/>
    <w:rsid w:val="009E3C8F"/>
    <w:rsid w:val="009E404E"/>
    <w:rsid w:val="009E47A2"/>
    <w:rsid w:val="009E4930"/>
    <w:rsid w:val="009E4A7B"/>
    <w:rsid w:val="009E4DAE"/>
    <w:rsid w:val="009E504A"/>
    <w:rsid w:val="009E79C2"/>
    <w:rsid w:val="009F0355"/>
    <w:rsid w:val="009F055E"/>
    <w:rsid w:val="009F0C84"/>
    <w:rsid w:val="009F1AF4"/>
    <w:rsid w:val="009F1E37"/>
    <w:rsid w:val="009F1F61"/>
    <w:rsid w:val="009F239E"/>
    <w:rsid w:val="009F2F75"/>
    <w:rsid w:val="009F30C0"/>
    <w:rsid w:val="009F3E8A"/>
    <w:rsid w:val="009F5748"/>
    <w:rsid w:val="009F60DF"/>
    <w:rsid w:val="009F714D"/>
    <w:rsid w:val="009F74FA"/>
    <w:rsid w:val="009F7866"/>
    <w:rsid w:val="009F7E3E"/>
    <w:rsid w:val="00A0082F"/>
    <w:rsid w:val="00A01693"/>
    <w:rsid w:val="00A023C1"/>
    <w:rsid w:val="00A03EDF"/>
    <w:rsid w:val="00A0417F"/>
    <w:rsid w:val="00A0543F"/>
    <w:rsid w:val="00A05C28"/>
    <w:rsid w:val="00A05D36"/>
    <w:rsid w:val="00A05DAF"/>
    <w:rsid w:val="00A05FC5"/>
    <w:rsid w:val="00A064B3"/>
    <w:rsid w:val="00A102DA"/>
    <w:rsid w:val="00A10F4C"/>
    <w:rsid w:val="00A10F97"/>
    <w:rsid w:val="00A11389"/>
    <w:rsid w:val="00A11C4A"/>
    <w:rsid w:val="00A11FD4"/>
    <w:rsid w:val="00A12B3C"/>
    <w:rsid w:val="00A1339F"/>
    <w:rsid w:val="00A14341"/>
    <w:rsid w:val="00A1507F"/>
    <w:rsid w:val="00A15113"/>
    <w:rsid w:val="00A15E0B"/>
    <w:rsid w:val="00A16356"/>
    <w:rsid w:val="00A164FA"/>
    <w:rsid w:val="00A169C8"/>
    <w:rsid w:val="00A1718B"/>
    <w:rsid w:val="00A1722E"/>
    <w:rsid w:val="00A17C26"/>
    <w:rsid w:val="00A202FD"/>
    <w:rsid w:val="00A20630"/>
    <w:rsid w:val="00A20BE4"/>
    <w:rsid w:val="00A20D2C"/>
    <w:rsid w:val="00A20F7A"/>
    <w:rsid w:val="00A213FA"/>
    <w:rsid w:val="00A218AD"/>
    <w:rsid w:val="00A21BCB"/>
    <w:rsid w:val="00A21D30"/>
    <w:rsid w:val="00A23272"/>
    <w:rsid w:val="00A23584"/>
    <w:rsid w:val="00A2364B"/>
    <w:rsid w:val="00A25C12"/>
    <w:rsid w:val="00A2640D"/>
    <w:rsid w:val="00A273A8"/>
    <w:rsid w:val="00A2759F"/>
    <w:rsid w:val="00A30198"/>
    <w:rsid w:val="00A3093A"/>
    <w:rsid w:val="00A30954"/>
    <w:rsid w:val="00A31573"/>
    <w:rsid w:val="00A31685"/>
    <w:rsid w:val="00A31AC4"/>
    <w:rsid w:val="00A32440"/>
    <w:rsid w:val="00A328FB"/>
    <w:rsid w:val="00A34A69"/>
    <w:rsid w:val="00A35346"/>
    <w:rsid w:val="00A35BBA"/>
    <w:rsid w:val="00A36A9A"/>
    <w:rsid w:val="00A37164"/>
    <w:rsid w:val="00A37539"/>
    <w:rsid w:val="00A37C73"/>
    <w:rsid w:val="00A37D58"/>
    <w:rsid w:val="00A40F3A"/>
    <w:rsid w:val="00A41B07"/>
    <w:rsid w:val="00A41C8B"/>
    <w:rsid w:val="00A43D6B"/>
    <w:rsid w:val="00A4467E"/>
    <w:rsid w:val="00A45369"/>
    <w:rsid w:val="00A45A50"/>
    <w:rsid w:val="00A45EEE"/>
    <w:rsid w:val="00A45F53"/>
    <w:rsid w:val="00A466E8"/>
    <w:rsid w:val="00A46AF2"/>
    <w:rsid w:val="00A472DF"/>
    <w:rsid w:val="00A50412"/>
    <w:rsid w:val="00A508BF"/>
    <w:rsid w:val="00A51369"/>
    <w:rsid w:val="00A5176D"/>
    <w:rsid w:val="00A51D3A"/>
    <w:rsid w:val="00A52198"/>
    <w:rsid w:val="00A52A8B"/>
    <w:rsid w:val="00A5306C"/>
    <w:rsid w:val="00A5360C"/>
    <w:rsid w:val="00A53D1F"/>
    <w:rsid w:val="00A542C0"/>
    <w:rsid w:val="00A550D7"/>
    <w:rsid w:val="00A55253"/>
    <w:rsid w:val="00A556D0"/>
    <w:rsid w:val="00A569E1"/>
    <w:rsid w:val="00A5749A"/>
    <w:rsid w:val="00A5750E"/>
    <w:rsid w:val="00A57B00"/>
    <w:rsid w:val="00A57D9E"/>
    <w:rsid w:val="00A61509"/>
    <w:rsid w:val="00A61AAF"/>
    <w:rsid w:val="00A62398"/>
    <w:rsid w:val="00A6253D"/>
    <w:rsid w:val="00A64112"/>
    <w:rsid w:val="00A64ACF"/>
    <w:rsid w:val="00A653FB"/>
    <w:rsid w:val="00A70106"/>
    <w:rsid w:val="00A70D05"/>
    <w:rsid w:val="00A70E36"/>
    <w:rsid w:val="00A722E8"/>
    <w:rsid w:val="00A7283E"/>
    <w:rsid w:val="00A72F79"/>
    <w:rsid w:val="00A731EE"/>
    <w:rsid w:val="00A73A22"/>
    <w:rsid w:val="00A73C1D"/>
    <w:rsid w:val="00A759E9"/>
    <w:rsid w:val="00A760A2"/>
    <w:rsid w:val="00A7613D"/>
    <w:rsid w:val="00A76278"/>
    <w:rsid w:val="00A77A1D"/>
    <w:rsid w:val="00A77B21"/>
    <w:rsid w:val="00A77BB8"/>
    <w:rsid w:val="00A77D96"/>
    <w:rsid w:val="00A77E59"/>
    <w:rsid w:val="00A77EDD"/>
    <w:rsid w:val="00A80E99"/>
    <w:rsid w:val="00A8121F"/>
    <w:rsid w:val="00A84948"/>
    <w:rsid w:val="00A84C91"/>
    <w:rsid w:val="00A84D5E"/>
    <w:rsid w:val="00A85C49"/>
    <w:rsid w:val="00A85E80"/>
    <w:rsid w:val="00A8667F"/>
    <w:rsid w:val="00A86AEF"/>
    <w:rsid w:val="00A87D42"/>
    <w:rsid w:val="00A87FD7"/>
    <w:rsid w:val="00A90373"/>
    <w:rsid w:val="00A9141D"/>
    <w:rsid w:val="00A915FE"/>
    <w:rsid w:val="00A9240B"/>
    <w:rsid w:val="00A92E0A"/>
    <w:rsid w:val="00A932D1"/>
    <w:rsid w:val="00A93A76"/>
    <w:rsid w:val="00A953CA"/>
    <w:rsid w:val="00A956E3"/>
    <w:rsid w:val="00A959D0"/>
    <w:rsid w:val="00A9697F"/>
    <w:rsid w:val="00A96E06"/>
    <w:rsid w:val="00A976CA"/>
    <w:rsid w:val="00A979DB"/>
    <w:rsid w:val="00A97EAE"/>
    <w:rsid w:val="00AA0963"/>
    <w:rsid w:val="00AA0C41"/>
    <w:rsid w:val="00AA1B62"/>
    <w:rsid w:val="00AA2345"/>
    <w:rsid w:val="00AA3C38"/>
    <w:rsid w:val="00AA423D"/>
    <w:rsid w:val="00AA476C"/>
    <w:rsid w:val="00AA477D"/>
    <w:rsid w:val="00AA5270"/>
    <w:rsid w:val="00AA5548"/>
    <w:rsid w:val="00AB0105"/>
    <w:rsid w:val="00AB0404"/>
    <w:rsid w:val="00AB04C4"/>
    <w:rsid w:val="00AB06AC"/>
    <w:rsid w:val="00AB109C"/>
    <w:rsid w:val="00AB20A7"/>
    <w:rsid w:val="00AB24DA"/>
    <w:rsid w:val="00AB28A8"/>
    <w:rsid w:val="00AB379C"/>
    <w:rsid w:val="00AB3F38"/>
    <w:rsid w:val="00AB48B7"/>
    <w:rsid w:val="00AB4ECC"/>
    <w:rsid w:val="00AB5416"/>
    <w:rsid w:val="00AB5D02"/>
    <w:rsid w:val="00AB5D6A"/>
    <w:rsid w:val="00AB652C"/>
    <w:rsid w:val="00AB66D2"/>
    <w:rsid w:val="00AB6DEC"/>
    <w:rsid w:val="00AB6E04"/>
    <w:rsid w:val="00AC06F2"/>
    <w:rsid w:val="00AC08F0"/>
    <w:rsid w:val="00AC1C32"/>
    <w:rsid w:val="00AC2525"/>
    <w:rsid w:val="00AC286B"/>
    <w:rsid w:val="00AC2944"/>
    <w:rsid w:val="00AC29A9"/>
    <w:rsid w:val="00AC4735"/>
    <w:rsid w:val="00AC4744"/>
    <w:rsid w:val="00AC65C2"/>
    <w:rsid w:val="00AC692F"/>
    <w:rsid w:val="00AC732B"/>
    <w:rsid w:val="00AD0873"/>
    <w:rsid w:val="00AD151E"/>
    <w:rsid w:val="00AD15D0"/>
    <w:rsid w:val="00AD1EB7"/>
    <w:rsid w:val="00AD2647"/>
    <w:rsid w:val="00AD277A"/>
    <w:rsid w:val="00AD39ED"/>
    <w:rsid w:val="00AD3A0D"/>
    <w:rsid w:val="00AD40C4"/>
    <w:rsid w:val="00AD4F4B"/>
    <w:rsid w:val="00AD5910"/>
    <w:rsid w:val="00AD673C"/>
    <w:rsid w:val="00AD703F"/>
    <w:rsid w:val="00AD7341"/>
    <w:rsid w:val="00AD7425"/>
    <w:rsid w:val="00AD7971"/>
    <w:rsid w:val="00AD7BAA"/>
    <w:rsid w:val="00AE05ED"/>
    <w:rsid w:val="00AE11D9"/>
    <w:rsid w:val="00AE176D"/>
    <w:rsid w:val="00AE3008"/>
    <w:rsid w:val="00AE3122"/>
    <w:rsid w:val="00AE34C1"/>
    <w:rsid w:val="00AE3A61"/>
    <w:rsid w:val="00AE4646"/>
    <w:rsid w:val="00AE476A"/>
    <w:rsid w:val="00AE5E85"/>
    <w:rsid w:val="00AE5F34"/>
    <w:rsid w:val="00AE60F1"/>
    <w:rsid w:val="00AE63E5"/>
    <w:rsid w:val="00AE707B"/>
    <w:rsid w:val="00AE7A5C"/>
    <w:rsid w:val="00AE7B45"/>
    <w:rsid w:val="00AF0204"/>
    <w:rsid w:val="00AF0BDD"/>
    <w:rsid w:val="00AF0FD4"/>
    <w:rsid w:val="00AF116E"/>
    <w:rsid w:val="00AF1B6D"/>
    <w:rsid w:val="00AF1E9E"/>
    <w:rsid w:val="00AF1FF7"/>
    <w:rsid w:val="00AF59C2"/>
    <w:rsid w:val="00AF6A39"/>
    <w:rsid w:val="00AF6B1D"/>
    <w:rsid w:val="00AF7436"/>
    <w:rsid w:val="00B0055E"/>
    <w:rsid w:val="00B0089B"/>
    <w:rsid w:val="00B01285"/>
    <w:rsid w:val="00B02893"/>
    <w:rsid w:val="00B02ABF"/>
    <w:rsid w:val="00B03079"/>
    <w:rsid w:val="00B04127"/>
    <w:rsid w:val="00B04D28"/>
    <w:rsid w:val="00B101EE"/>
    <w:rsid w:val="00B10825"/>
    <w:rsid w:val="00B10846"/>
    <w:rsid w:val="00B11F47"/>
    <w:rsid w:val="00B12BAB"/>
    <w:rsid w:val="00B1394C"/>
    <w:rsid w:val="00B13FF6"/>
    <w:rsid w:val="00B14BF1"/>
    <w:rsid w:val="00B16BE6"/>
    <w:rsid w:val="00B17EA2"/>
    <w:rsid w:val="00B17F0D"/>
    <w:rsid w:val="00B20E21"/>
    <w:rsid w:val="00B21237"/>
    <w:rsid w:val="00B21D0E"/>
    <w:rsid w:val="00B21F4F"/>
    <w:rsid w:val="00B23ABE"/>
    <w:rsid w:val="00B2588E"/>
    <w:rsid w:val="00B3001B"/>
    <w:rsid w:val="00B32203"/>
    <w:rsid w:val="00B32495"/>
    <w:rsid w:val="00B32AF6"/>
    <w:rsid w:val="00B32D1E"/>
    <w:rsid w:val="00B32F49"/>
    <w:rsid w:val="00B33446"/>
    <w:rsid w:val="00B33791"/>
    <w:rsid w:val="00B34EB0"/>
    <w:rsid w:val="00B35795"/>
    <w:rsid w:val="00B35855"/>
    <w:rsid w:val="00B360EA"/>
    <w:rsid w:val="00B3647D"/>
    <w:rsid w:val="00B36731"/>
    <w:rsid w:val="00B36A85"/>
    <w:rsid w:val="00B36DDA"/>
    <w:rsid w:val="00B374FF"/>
    <w:rsid w:val="00B37A8A"/>
    <w:rsid w:val="00B406A8"/>
    <w:rsid w:val="00B41356"/>
    <w:rsid w:val="00B41769"/>
    <w:rsid w:val="00B420F6"/>
    <w:rsid w:val="00B42149"/>
    <w:rsid w:val="00B42CEC"/>
    <w:rsid w:val="00B44AA6"/>
    <w:rsid w:val="00B44AC0"/>
    <w:rsid w:val="00B44D13"/>
    <w:rsid w:val="00B44DB0"/>
    <w:rsid w:val="00B45DB4"/>
    <w:rsid w:val="00B46BAB"/>
    <w:rsid w:val="00B46CA5"/>
    <w:rsid w:val="00B473CF"/>
    <w:rsid w:val="00B47772"/>
    <w:rsid w:val="00B47867"/>
    <w:rsid w:val="00B47EEA"/>
    <w:rsid w:val="00B47F67"/>
    <w:rsid w:val="00B5036E"/>
    <w:rsid w:val="00B50F67"/>
    <w:rsid w:val="00B51ECC"/>
    <w:rsid w:val="00B530B8"/>
    <w:rsid w:val="00B5417A"/>
    <w:rsid w:val="00B54307"/>
    <w:rsid w:val="00B54902"/>
    <w:rsid w:val="00B55E53"/>
    <w:rsid w:val="00B55F93"/>
    <w:rsid w:val="00B56021"/>
    <w:rsid w:val="00B56408"/>
    <w:rsid w:val="00B56A6E"/>
    <w:rsid w:val="00B56CB4"/>
    <w:rsid w:val="00B56F98"/>
    <w:rsid w:val="00B572EA"/>
    <w:rsid w:val="00B60072"/>
    <w:rsid w:val="00B6084E"/>
    <w:rsid w:val="00B60D17"/>
    <w:rsid w:val="00B6245D"/>
    <w:rsid w:val="00B62D3F"/>
    <w:rsid w:val="00B63CD5"/>
    <w:rsid w:val="00B643BB"/>
    <w:rsid w:val="00B6741F"/>
    <w:rsid w:val="00B67931"/>
    <w:rsid w:val="00B67E6E"/>
    <w:rsid w:val="00B7194A"/>
    <w:rsid w:val="00B71C4D"/>
    <w:rsid w:val="00B720C4"/>
    <w:rsid w:val="00B720D2"/>
    <w:rsid w:val="00B72E39"/>
    <w:rsid w:val="00B73044"/>
    <w:rsid w:val="00B73B48"/>
    <w:rsid w:val="00B7487E"/>
    <w:rsid w:val="00B74FF9"/>
    <w:rsid w:val="00B7656F"/>
    <w:rsid w:val="00B76E3E"/>
    <w:rsid w:val="00B776E7"/>
    <w:rsid w:val="00B81012"/>
    <w:rsid w:val="00B811FD"/>
    <w:rsid w:val="00B8193C"/>
    <w:rsid w:val="00B81B43"/>
    <w:rsid w:val="00B82CE9"/>
    <w:rsid w:val="00B82E80"/>
    <w:rsid w:val="00B8319D"/>
    <w:rsid w:val="00B834A0"/>
    <w:rsid w:val="00B83AE9"/>
    <w:rsid w:val="00B83B02"/>
    <w:rsid w:val="00B8495C"/>
    <w:rsid w:val="00B84969"/>
    <w:rsid w:val="00B84BB2"/>
    <w:rsid w:val="00B84DDA"/>
    <w:rsid w:val="00B85605"/>
    <w:rsid w:val="00B85E17"/>
    <w:rsid w:val="00B87028"/>
    <w:rsid w:val="00B8743D"/>
    <w:rsid w:val="00B87FB4"/>
    <w:rsid w:val="00B90039"/>
    <w:rsid w:val="00B900CA"/>
    <w:rsid w:val="00B91CA4"/>
    <w:rsid w:val="00B91D73"/>
    <w:rsid w:val="00B91E1C"/>
    <w:rsid w:val="00B91EA6"/>
    <w:rsid w:val="00B923CD"/>
    <w:rsid w:val="00B930BF"/>
    <w:rsid w:val="00B933A9"/>
    <w:rsid w:val="00B93F15"/>
    <w:rsid w:val="00B9422B"/>
    <w:rsid w:val="00B94D1F"/>
    <w:rsid w:val="00B94D54"/>
    <w:rsid w:val="00B96117"/>
    <w:rsid w:val="00B96A39"/>
    <w:rsid w:val="00B97586"/>
    <w:rsid w:val="00BA02E3"/>
    <w:rsid w:val="00BA103F"/>
    <w:rsid w:val="00BA1DD8"/>
    <w:rsid w:val="00BA2264"/>
    <w:rsid w:val="00BA2BAC"/>
    <w:rsid w:val="00BA2F1C"/>
    <w:rsid w:val="00BA32AB"/>
    <w:rsid w:val="00BA365A"/>
    <w:rsid w:val="00BA41E0"/>
    <w:rsid w:val="00BA4539"/>
    <w:rsid w:val="00BA47F5"/>
    <w:rsid w:val="00BA4A29"/>
    <w:rsid w:val="00BA4D8B"/>
    <w:rsid w:val="00BA503A"/>
    <w:rsid w:val="00BA54DC"/>
    <w:rsid w:val="00BA61CA"/>
    <w:rsid w:val="00BA65A5"/>
    <w:rsid w:val="00BA6D00"/>
    <w:rsid w:val="00BA750E"/>
    <w:rsid w:val="00BA7B7D"/>
    <w:rsid w:val="00BB0518"/>
    <w:rsid w:val="00BB0678"/>
    <w:rsid w:val="00BB0B80"/>
    <w:rsid w:val="00BB1FB2"/>
    <w:rsid w:val="00BB2823"/>
    <w:rsid w:val="00BB2F50"/>
    <w:rsid w:val="00BB3382"/>
    <w:rsid w:val="00BB3474"/>
    <w:rsid w:val="00BB4244"/>
    <w:rsid w:val="00BB4527"/>
    <w:rsid w:val="00BB516B"/>
    <w:rsid w:val="00BB6D07"/>
    <w:rsid w:val="00BB6F32"/>
    <w:rsid w:val="00BB7A93"/>
    <w:rsid w:val="00BB7D62"/>
    <w:rsid w:val="00BC0FB8"/>
    <w:rsid w:val="00BC15C5"/>
    <w:rsid w:val="00BC1EE2"/>
    <w:rsid w:val="00BC3619"/>
    <w:rsid w:val="00BC407A"/>
    <w:rsid w:val="00BC496B"/>
    <w:rsid w:val="00BC537B"/>
    <w:rsid w:val="00BC5DFF"/>
    <w:rsid w:val="00BC631E"/>
    <w:rsid w:val="00BC649E"/>
    <w:rsid w:val="00BC7483"/>
    <w:rsid w:val="00BC7F41"/>
    <w:rsid w:val="00BD0018"/>
    <w:rsid w:val="00BD0766"/>
    <w:rsid w:val="00BD2C98"/>
    <w:rsid w:val="00BD3892"/>
    <w:rsid w:val="00BD3A8D"/>
    <w:rsid w:val="00BD5B5E"/>
    <w:rsid w:val="00BD6457"/>
    <w:rsid w:val="00BD674E"/>
    <w:rsid w:val="00BD678F"/>
    <w:rsid w:val="00BD6927"/>
    <w:rsid w:val="00BD6E81"/>
    <w:rsid w:val="00BD70C5"/>
    <w:rsid w:val="00BD7BF2"/>
    <w:rsid w:val="00BD7E28"/>
    <w:rsid w:val="00BE04CB"/>
    <w:rsid w:val="00BE1DC6"/>
    <w:rsid w:val="00BE1E24"/>
    <w:rsid w:val="00BE2181"/>
    <w:rsid w:val="00BE3574"/>
    <w:rsid w:val="00BE388E"/>
    <w:rsid w:val="00BE4032"/>
    <w:rsid w:val="00BE5BCB"/>
    <w:rsid w:val="00BE67EE"/>
    <w:rsid w:val="00BE68A5"/>
    <w:rsid w:val="00BE6CB4"/>
    <w:rsid w:val="00BE6E0B"/>
    <w:rsid w:val="00BF0FEA"/>
    <w:rsid w:val="00BF1357"/>
    <w:rsid w:val="00BF164B"/>
    <w:rsid w:val="00BF1992"/>
    <w:rsid w:val="00BF3206"/>
    <w:rsid w:val="00BF3605"/>
    <w:rsid w:val="00BF5676"/>
    <w:rsid w:val="00BF5DF3"/>
    <w:rsid w:val="00BF6451"/>
    <w:rsid w:val="00BF6E82"/>
    <w:rsid w:val="00BF70E6"/>
    <w:rsid w:val="00BF7A50"/>
    <w:rsid w:val="00C00306"/>
    <w:rsid w:val="00C00469"/>
    <w:rsid w:val="00C015CD"/>
    <w:rsid w:val="00C01AB3"/>
    <w:rsid w:val="00C01CBA"/>
    <w:rsid w:val="00C026C3"/>
    <w:rsid w:val="00C0314B"/>
    <w:rsid w:val="00C03D09"/>
    <w:rsid w:val="00C03EF2"/>
    <w:rsid w:val="00C04FA3"/>
    <w:rsid w:val="00C05EA1"/>
    <w:rsid w:val="00C063D6"/>
    <w:rsid w:val="00C06AF9"/>
    <w:rsid w:val="00C077D0"/>
    <w:rsid w:val="00C078E8"/>
    <w:rsid w:val="00C07923"/>
    <w:rsid w:val="00C100C3"/>
    <w:rsid w:val="00C106B8"/>
    <w:rsid w:val="00C11059"/>
    <w:rsid w:val="00C114D7"/>
    <w:rsid w:val="00C117A0"/>
    <w:rsid w:val="00C121DD"/>
    <w:rsid w:val="00C12984"/>
    <w:rsid w:val="00C12F50"/>
    <w:rsid w:val="00C141C1"/>
    <w:rsid w:val="00C144F1"/>
    <w:rsid w:val="00C14C35"/>
    <w:rsid w:val="00C15B09"/>
    <w:rsid w:val="00C2037D"/>
    <w:rsid w:val="00C206C5"/>
    <w:rsid w:val="00C21507"/>
    <w:rsid w:val="00C22203"/>
    <w:rsid w:val="00C2226A"/>
    <w:rsid w:val="00C224B3"/>
    <w:rsid w:val="00C24A30"/>
    <w:rsid w:val="00C24A47"/>
    <w:rsid w:val="00C24BCF"/>
    <w:rsid w:val="00C2532B"/>
    <w:rsid w:val="00C255F9"/>
    <w:rsid w:val="00C26E99"/>
    <w:rsid w:val="00C26F3A"/>
    <w:rsid w:val="00C27C81"/>
    <w:rsid w:val="00C27F61"/>
    <w:rsid w:val="00C3111B"/>
    <w:rsid w:val="00C33271"/>
    <w:rsid w:val="00C33416"/>
    <w:rsid w:val="00C349EE"/>
    <w:rsid w:val="00C34ACE"/>
    <w:rsid w:val="00C35743"/>
    <w:rsid w:val="00C36EF6"/>
    <w:rsid w:val="00C37048"/>
    <w:rsid w:val="00C3789E"/>
    <w:rsid w:val="00C4116E"/>
    <w:rsid w:val="00C412A9"/>
    <w:rsid w:val="00C42A92"/>
    <w:rsid w:val="00C42B46"/>
    <w:rsid w:val="00C4384B"/>
    <w:rsid w:val="00C43D90"/>
    <w:rsid w:val="00C44DAC"/>
    <w:rsid w:val="00C4569E"/>
    <w:rsid w:val="00C45C01"/>
    <w:rsid w:val="00C46265"/>
    <w:rsid w:val="00C46827"/>
    <w:rsid w:val="00C4794C"/>
    <w:rsid w:val="00C51607"/>
    <w:rsid w:val="00C519B4"/>
    <w:rsid w:val="00C526DC"/>
    <w:rsid w:val="00C52C4F"/>
    <w:rsid w:val="00C53796"/>
    <w:rsid w:val="00C555DD"/>
    <w:rsid w:val="00C55A23"/>
    <w:rsid w:val="00C561B6"/>
    <w:rsid w:val="00C5711D"/>
    <w:rsid w:val="00C572E8"/>
    <w:rsid w:val="00C5736C"/>
    <w:rsid w:val="00C57384"/>
    <w:rsid w:val="00C57ECF"/>
    <w:rsid w:val="00C60558"/>
    <w:rsid w:val="00C612F7"/>
    <w:rsid w:val="00C61BF4"/>
    <w:rsid w:val="00C61DD0"/>
    <w:rsid w:val="00C6201D"/>
    <w:rsid w:val="00C627FD"/>
    <w:rsid w:val="00C62C71"/>
    <w:rsid w:val="00C63ACE"/>
    <w:rsid w:val="00C641D7"/>
    <w:rsid w:val="00C64533"/>
    <w:rsid w:val="00C64F92"/>
    <w:rsid w:val="00C6561A"/>
    <w:rsid w:val="00C65F00"/>
    <w:rsid w:val="00C66E1D"/>
    <w:rsid w:val="00C67A91"/>
    <w:rsid w:val="00C70E2C"/>
    <w:rsid w:val="00C710C8"/>
    <w:rsid w:val="00C71A57"/>
    <w:rsid w:val="00C71CAB"/>
    <w:rsid w:val="00C72891"/>
    <w:rsid w:val="00C72A70"/>
    <w:rsid w:val="00C736F3"/>
    <w:rsid w:val="00C73E92"/>
    <w:rsid w:val="00C74700"/>
    <w:rsid w:val="00C74E70"/>
    <w:rsid w:val="00C761CF"/>
    <w:rsid w:val="00C7745E"/>
    <w:rsid w:val="00C77FF1"/>
    <w:rsid w:val="00C80AC8"/>
    <w:rsid w:val="00C80E5C"/>
    <w:rsid w:val="00C81229"/>
    <w:rsid w:val="00C82393"/>
    <w:rsid w:val="00C8292D"/>
    <w:rsid w:val="00C830BE"/>
    <w:rsid w:val="00C832D0"/>
    <w:rsid w:val="00C837FC"/>
    <w:rsid w:val="00C83FF7"/>
    <w:rsid w:val="00C85382"/>
    <w:rsid w:val="00C8546B"/>
    <w:rsid w:val="00C8564F"/>
    <w:rsid w:val="00C856B8"/>
    <w:rsid w:val="00C85700"/>
    <w:rsid w:val="00C903AC"/>
    <w:rsid w:val="00C90502"/>
    <w:rsid w:val="00C90A7F"/>
    <w:rsid w:val="00C91EB4"/>
    <w:rsid w:val="00C92335"/>
    <w:rsid w:val="00C92738"/>
    <w:rsid w:val="00C92F66"/>
    <w:rsid w:val="00C93423"/>
    <w:rsid w:val="00C944A5"/>
    <w:rsid w:val="00C9461F"/>
    <w:rsid w:val="00C96B8E"/>
    <w:rsid w:val="00C9716F"/>
    <w:rsid w:val="00C97324"/>
    <w:rsid w:val="00CA02DE"/>
    <w:rsid w:val="00CA0CCE"/>
    <w:rsid w:val="00CA0F2A"/>
    <w:rsid w:val="00CA0F6D"/>
    <w:rsid w:val="00CA159F"/>
    <w:rsid w:val="00CA162B"/>
    <w:rsid w:val="00CA17F5"/>
    <w:rsid w:val="00CA1E22"/>
    <w:rsid w:val="00CA23CF"/>
    <w:rsid w:val="00CA2F07"/>
    <w:rsid w:val="00CA3605"/>
    <w:rsid w:val="00CA3E50"/>
    <w:rsid w:val="00CA464E"/>
    <w:rsid w:val="00CA4879"/>
    <w:rsid w:val="00CA5650"/>
    <w:rsid w:val="00CA69FD"/>
    <w:rsid w:val="00CA6E1C"/>
    <w:rsid w:val="00CB0BBF"/>
    <w:rsid w:val="00CB1A61"/>
    <w:rsid w:val="00CB1CA0"/>
    <w:rsid w:val="00CB1D10"/>
    <w:rsid w:val="00CB3F94"/>
    <w:rsid w:val="00CB4E92"/>
    <w:rsid w:val="00CB55D1"/>
    <w:rsid w:val="00CB5D3F"/>
    <w:rsid w:val="00CB66DE"/>
    <w:rsid w:val="00CB76FA"/>
    <w:rsid w:val="00CB79E3"/>
    <w:rsid w:val="00CB7F17"/>
    <w:rsid w:val="00CB7F8E"/>
    <w:rsid w:val="00CC0652"/>
    <w:rsid w:val="00CC108B"/>
    <w:rsid w:val="00CC189B"/>
    <w:rsid w:val="00CC225D"/>
    <w:rsid w:val="00CC22AF"/>
    <w:rsid w:val="00CC2E5C"/>
    <w:rsid w:val="00CC334D"/>
    <w:rsid w:val="00CC3BCF"/>
    <w:rsid w:val="00CC3EEF"/>
    <w:rsid w:val="00CC466E"/>
    <w:rsid w:val="00CC6C41"/>
    <w:rsid w:val="00CC71A7"/>
    <w:rsid w:val="00CC7DFD"/>
    <w:rsid w:val="00CD0DB1"/>
    <w:rsid w:val="00CD0E39"/>
    <w:rsid w:val="00CD150E"/>
    <w:rsid w:val="00CD1D00"/>
    <w:rsid w:val="00CD23FD"/>
    <w:rsid w:val="00CD266B"/>
    <w:rsid w:val="00CD28BB"/>
    <w:rsid w:val="00CD3095"/>
    <w:rsid w:val="00CD31ED"/>
    <w:rsid w:val="00CD35EF"/>
    <w:rsid w:val="00CD3891"/>
    <w:rsid w:val="00CD3C15"/>
    <w:rsid w:val="00CD478E"/>
    <w:rsid w:val="00CD6A30"/>
    <w:rsid w:val="00CD7472"/>
    <w:rsid w:val="00CD751B"/>
    <w:rsid w:val="00CD7704"/>
    <w:rsid w:val="00CE00E0"/>
    <w:rsid w:val="00CE0A5D"/>
    <w:rsid w:val="00CE14AA"/>
    <w:rsid w:val="00CE34FA"/>
    <w:rsid w:val="00CE3953"/>
    <w:rsid w:val="00CE4544"/>
    <w:rsid w:val="00CE48EA"/>
    <w:rsid w:val="00CE4BB6"/>
    <w:rsid w:val="00CE59DA"/>
    <w:rsid w:val="00CE6FA8"/>
    <w:rsid w:val="00CF01C3"/>
    <w:rsid w:val="00CF0AF7"/>
    <w:rsid w:val="00CF0CA4"/>
    <w:rsid w:val="00CF0F0B"/>
    <w:rsid w:val="00CF1118"/>
    <w:rsid w:val="00CF2E16"/>
    <w:rsid w:val="00CF2FC4"/>
    <w:rsid w:val="00CF3726"/>
    <w:rsid w:val="00CF4949"/>
    <w:rsid w:val="00CF50D8"/>
    <w:rsid w:val="00CF5CE2"/>
    <w:rsid w:val="00CF63E2"/>
    <w:rsid w:val="00D009F8"/>
    <w:rsid w:val="00D01EB2"/>
    <w:rsid w:val="00D024CC"/>
    <w:rsid w:val="00D02818"/>
    <w:rsid w:val="00D04674"/>
    <w:rsid w:val="00D0496A"/>
    <w:rsid w:val="00D04BFB"/>
    <w:rsid w:val="00D05953"/>
    <w:rsid w:val="00D05B31"/>
    <w:rsid w:val="00D05E5B"/>
    <w:rsid w:val="00D06069"/>
    <w:rsid w:val="00D06EC9"/>
    <w:rsid w:val="00D073F3"/>
    <w:rsid w:val="00D10268"/>
    <w:rsid w:val="00D102EC"/>
    <w:rsid w:val="00D114BD"/>
    <w:rsid w:val="00D11D5C"/>
    <w:rsid w:val="00D11EED"/>
    <w:rsid w:val="00D12353"/>
    <w:rsid w:val="00D134E9"/>
    <w:rsid w:val="00D13CA1"/>
    <w:rsid w:val="00D14547"/>
    <w:rsid w:val="00D149E8"/>
    <w:rsid w:val="00D15C1B"/>
    <w:rsid w:val="00D15C4E"/>
    <w:rsid w:val="00D15C6E"/>
    <w:rsid w:val="00D1615A"/>
    <w:rsid w:val="00D1707D"/>
    <w:rsid w:val="00D175A9"/>
    <w:rsid w:val="00D17E95"/>
    <w:rsid w:val="00D21103"/>
    <w:rsid w:val="00D21C34"/>
    <w:rsid w:val="00D22BAE"/>
    <w:rsid w:val="00D24BE3"/>
    <w:rsid w:val="00D24D1F"/>
    <w:rsid w:val="00D25378"/>
    <w:rsid w:val="00D2569F"/>
    <w:rsid w:val="00D25AB5"/>
    <w:rsid w:val="00D262A3"/>
    <w:rsid w:val="00D26F5F"/>
    <w:rsid w:val="00D27359"/>
    <w:rsid w:val="00D27D0E"/>
    <w:rsid w:val="00D30A56"/>
    <w:rsid w:val="00D310E0"/>
    <w:rsid w:val="00D31AC5"/>
    <w:rsid w:val="00D33110"/>
    <w:rsid w:val="00D339B4"/>
    <w:rsid w:val="00D33FEE"/>
    <w:rsid w:val="00D341BB"/>
    <w:rsid w:val="00D3441D"/>
    <w:rsid w:val="00D34CDF"/>
    <w:rsid w:val="00D355F6"/>
    <w:rsid w:val="00D35B0E"/>
    <w:rsid w:val="00D35BF8"/>
    <w:rsid w:val="00D35C88"/>
    <w:rsid w:val="00D3649C"/>
    <w:rsid w:val="00D374CF"/>
    <w:rsid w:val="00D37B14"/>
    <w:rsid w:val="00D37CF3"/>
    <w:rsid w:val="00D4059F"/>
    <w:rsid w:val="00D4116C"/>
    <w:rsid w:val="00D41E56"/>
    <w:rsid w:val="00D4253B"/>
    <w:rsid w:val="00D42DA3"/>
    <w:rsid w:val="00D431A2"/>
    <w:rsid w:val="00D448F1"/>
    <w:rsid w:val="00D450C3"/>
    <w:rsid w:val="00D45378"/>
    <w:rsid w:val="00D45A3E"/>
    <w:rsid w:val="00D45D14"/>
    <w:rsid w:val="00D45D91"/>
    <w:rsid w:val="00D46582"/>
    <w:rsid w:val="00D4740B"/>
    <w:rsid w:val="00D4769D"/>
    <w:rsid w:val="00D50ABC"/>
    <w:rsid w:val="00D50AEA"/>
    <w:rsid w:val="00D524FE"/>
    <w:rsid w:val="00D539D3"/>
    <w:rsid w:val="00D543CB"/>
    <w:rsid w:val="00D54F97"/>
    <w:rsid w:val="00D55614"/>
    <w:rsid w:val="00D56172"/>
    <w:rsid w:val="00D6100F"/>
    <w:rsid w:val="00D61922"/>
    <w:rsid w:val="00D61B81"/>
    <w:rsid w:val="00D6241A"/>
    <w:rsid w:val="00D62CAE"/>
    <w:rsid w:val="00D62FDC"/>
    <w:rsid w:val="00D63DDD"/>
    <w:rsid w:val="00D6460C"/>
    <w:rsid w:val="00D64D5F"/>
    <w:rsid w:val="00D66139"/>
    <w:rsid w:val="00D66540"/>
    <w:rsid w:val="00D66DF1"/>
    <w:rsid w:val="00D6797F"/>
    <w:rsid w:val="00D67CD3"/>
    <w:rsid w:val="00D67E2D"/>
    <w:rsid w:val="00D70641"/>
    <w:rsid w:val="00D7278C"/>
    <w:rsid w:val="00D72DF1"/>
    <w:rsid w:val="00D7368F"/>
    <w:rsid w:val="00D73746"/>
    <w:rsid w:val="00D74335"/>
    <w:rsid w:val="00D7488F"/>
    <w:rsid w:val="00D7566F"/>
    <w:rsid w:val="00D7575F"/>
    <w:rsid w:val="00D75BBC"/>
    <w:rsid w:val="00D761B5"/>
    <w:rsid w:val="00D76F2A"/>
    <w:rsid w:val="00D77D52"/>
    <w:rsid w:val="00D801FD"/>
    <w:rsid w:val="00D80767"/>
    <w:rsid w:val="00D8111F"/>
    <w:rsid w:val="00D8284F"/>
    <w:rsid w:val="00D83DF9"/>
    <w:rsid w:val="00D84321"/>
    <w:rsid w:val="00D846E8"/>
    <w:rsid w:val="00D85756"/>
    <w:rsid w:val="00D85757"/>
    <w:rsid w:val="00D85C00"/>
    <w:rsid w:val="00D85D76"/>
    <w:rsid w:val="00D86027"/>
    <w:rsid w:val="00D86386"/>
    <w:rsid w:val="00D87756"/>
    <w:rsid w:val="00D87F75"/>
    <w:rsid w:val="00D90619"/>
    <w:rsid w:val="00D91175"/>
    <w:rsid w:val="00D91274"/>
    <w:rsid w:val="00D92793"/>
    <w:rsid w:val="00D928EF"/>
    <w:rsid w:val="00D92C5E"/>
    <w:rsid w:val="00D96A49"/>
    <w:rsid w:val="00D97BCD"/>
    <w:rsid w:val="00DA017E"/>
    <w:rsid w:val="00DA069D"/>
    <w:rsid w:val="00DA08FE"/>
    <w:rsid w:val="00DA0A89"/>
    <w:rsid w:val="00DA15B1"/>
    <w:rsid w:val="00DA21C6"/>
    <w:rsid w:val="00DA2AA7"/>
    <w:rsid w:val="00DA3686"/>
    <w:rsid w:val="00DA3EDD"/>
    <w:rsid w:val="00DA3FBD"/>
    <w:rsid w:val="00DA4352"/>
    <w:rsid w:val="00DA447C"/>
    <w:rsid w:val="00DA60BE"/>
    <w:rsid w:val="00DA64CF"/>
    <w:rsid w:val="00DB0C25"/>
    <w:rsid w:val="00DB114D"/>
    <w:rsid w:val="00DB1200"/>
    <w:rsid w:val="00DB1250"/>
    <w:rsid w:val="00DB198C"/>
    <w:rsid w:val="00DB341F"/>
    <w:rsid w:val="00DB4193"/>
    <w:rsid w:val="00DB4C3F"/>
    <w:rsid w:val="00DB6008"/>
    <w:rsid w:val="00DB62B3"/>
    <w:rsid w:val="00DB6D9A"/>
    <w:rsid w:val="00DC0059"/>
    <w:rsid w:val="00DC09A1"/>
    <w:rsid w:val="00DC0A10"/>
    <w:rsid w:val="00DC0D8D"/>
    <w:rsid w:val="00DC0EDF"/>
    <w:rsid w:val="00DC226F"/>
    <w:rsid w:val="00DC2638"/>
    <w:rsid w:val="00DC35D6"/>
    <w:rsid w:val="00DC397F"/>
    <w:rsid w:val="00DC553C"/>
    <w:rsid w:val="00DC58E2"/>
    <w:rsid w:val="00DC59D1"/>
    <w:rsid w:val="00DC60A6"/>
    <w:rsid w:val="00DC61BE"/>
    <w:rsid w:val="00DC6A2E"/>
    <w:rsid w:val="00DC6FB7"/>
    <w:rsid w:val="00DC7280"/>
    <w:rsid w:val="00DC7BCB"/>
    <w:rsid w:val="00DD230A"/>
    <w:rsid w:val="00DD27CE"/>
    <w:rsid w:val="00DD2998"/>
    <w:rsid w:val="00DD3D65"/>
    <w:rsid w:val="00DD4139"/>
    <w:rsid w:val="00DD4168"/>
    <w:rsid w:val="00DD4D3D"/>
    <w:rsid w:val="00DD5211"/>
    <w:rsid w:val="00DD5393"/>
    <w:rsid w:val="00DD5B86"/>
    <w:rsid w:val="00DD735A"/>
    <w:rsid w:val="00DD74E3"/>
    <w:rsid w:val="00DD75B4"/>
    <w:rsid w:val="00DD7883"/>
    <w:rsid w:val="00DD7C80"/>
    <w:rsid w:val="00DE040D"/>
    <w:rsid w:val="00DE1AD0"/>
    <w:rsid w:val="00DE207F"/>
    <w:rsid w:val="00DE22B2"/>
    <w:rsid w:val="00DE4667"/>
    <w:rsid w:val="00DE5C90"/>
    <w:rsid w:val="00DE62F6"/>
    <w:rsid w:val="00DE63E2"/>
    <w:rsid w:val="00DE780F"/>
    <w:rsid w:val="00DE789D"/>
    <w:rsid w:val="00DE7A73"/>
    <w:rsid w:val="00DE7CFF"/>
    <w:rsid w:val="00DF1481"/>
    <w:rsid w:val="00DF21F1"/>
    <w:rsid w:val="00DF22A0"/>
    <w:rsid w:val="00DF2EA6"/>
    <w:rsid w:val="00DF3FF8"/>
    <w:rsid w:val="00DF44B9"/>
    <w:rsid w:val="00DF5AE3"/>
    <w:rsid w:val="00DF5D1E"/>
    <w:rsid w:val="00DF5EC5"/>
    <w:rsid w:val="00DF6D5B"/>
    <w:rsid w:val="00DF6E68"/>
    <w:rsid w:val="00DF6F42"/>
    <w:rsid w:val="00DF7B2C"/>
    <w:rsid w:val="00E0029B"/>
    <w:rsid w:val="00E0043B"/>
    <w:rsid w:val="00E00C7B"/>
    <w:rsid w:val="00E00CA5"/>
    <w:rsid w:val="00E01748"/>
    <w:rsid w:val="00E01B17"/>
    <w:rsid w:val="00E0202E"/>
    <w:rsid w:val="00E02219"/>
    <w:rsid w:val="00E02955"/>
    <w:rsid w:val="00E02BF6"/>
    <w:rsid w:val="00E03F9C"/>
    <w:rsid w:val="00E075A0"/>
    <w:rsid w:val="00E07ECA"/>
    <w:rsid w:val="00E10AF7"/>
    <w:rsid w:val="00E1107C"/>
    <w:rsid w:val="00E11BE8"/>
    <w:rsid w:val="00E11CA0"/>
    <w:rsid w:val="00E12EF5"/>
    <w:rsid w:val="00E13558"/>
    <w:rsid w:val="00E13710"/>
    <w:rsid w:val="00E13C29"/>
    <w:rsid w:val="00E15092"/>
    <w:rsid w:val="00E150AF"/>
    <w:rsid w:val="00E1573D"/>
    <w:rsid w:val="00E15E88"/>
    <w:rsid w:val="00E1631A"/>
    <w:rsid w:val="00E175F2"/>
    <w:rsid w:val="00E17E1A"/>
    <w:rsid w:val="00E21119"/>
    <w:rsid w:val="00E226C0"/>
    <w:rsid w:val="00E22BFA"/>
    <w:rsid w:val="00E23F4E"/>
    <w:rsid w:val="00E24265"/>
    <w:rsid w:val="00E268D9"/>
    <w:rsid w:val="00E2696B"/>
    <w:rsid w:val="00E2759C"/>
    <w:rsid w:val="00E27F33"/>
    <w:rsid w:val="00E3083E"/>
    <w:rsid w:val="00E3225C"/>
    <w:rsid w:val="00E32D3A"/>
    <w:rsid w:val="00E34317"/>
    <w:rsid w:val="00E344D8"/>
    <w:rsid w:val="00E34BDC"/>
    <w:rsid w:val="00E34D39"/>
    <w:rsid w:val="00E359C2"/>
    <w:rsid w:val="00E35C92"/>
    <w:rsid w:val="00E362DE"/>
    <w:rsid w:val="00E366B0"/>
    <w:rsid w:val="00E36F33"/>
    <w:rsid w:val="00E3775F"/>
    <w:rsid w:val="00E37EB7"/>
    <w:rsid w:val="00E402F8"/>
    <w:rsid w:val="00E40AE5"/>
    <w:rsid w:val="00E40D6B"/>
    <w:rsid w:val="00E4382C"/>
    <w:rsid w:val="00E443BF"/>
    <w:rsid w:val="00E44682"/>
    <w:rsid w:val="00E45E4C"/>
    <w:rsid w:val="00E468B0"/>
    <w:rsid w:val="00E468B8"/>
    <w:rsid w:val="00E46BAC"/>
    <w:rsid w:val="00E46EDE"/>
    <w:rsid w:val="00E472DA"/>
    <w:rsid w:val="00E4761A"/>
    <w:rsid w:val="00E504A2"/>
    <w:rsid w:val="00E50C86"/>
    <w:rsid w:val="00E5196F"/>
    <w:rsid w:val="00E51B5F"/>
    <w:rsid w:val="00E526DF"/>
    <w:rsid w:val="00E53149"/>
    <w:rsid w:val="00E53AE4"/>
    <w:rsid w:val="00E5420A"/>
    <w:rsid w:val="00E54B68"/>
    <w:rsid w:val="00E55F97"/>
    <w:rsid w:val="00E57B62"/>
    <w:rsid w:val="00E60871"/>
    <w:rsid w:val="00E6103A"/>
    <w:rsid w:val="00E614D1"/>
    <w:rsid w:val="00E61591"/>
    <w:rsid w:val="00E63308"/>
    <w:rsid w:val="00E64554"/>
    <w:rsid w:val="00E65067"/>
    <w:rsid w:val="00E65763"/>
    <w:rsid w:val="00E65AF9"/>
    <w:rsid w:val="00E67668"/>
    <w:rsid w:val="00E6776E"/>
    <w:rsid w:val="00E701E5"/>
    <w:rsid w:val="00E710D2"/>
    <w:rsid w:val="00E717F9"/>
    <w:rsid w:val="00E71AE1"/>
    <w:rsid w:val="00E7371F"/>
    <w:rsid w:val="00E75589"/>
    <w:rsid w:val="00E755EC"/>
    <w:rsid w:val="00E756AC"/>
    <w:rsid w:val="00E76714"/>
    <w:rsid w:val="00E7746A"/>
    <w:rsid w:val="00E77D57"/>
    <w:rsid w:val="00E80433"/>
    <w:rsid w:val="00E80C0E"/>
    <w:rsid w:val="00E8172C"/>
    <w:rsid w:val="00E81A5C"/>
    <w:rsid w:val="00E81D03"/>
    <w:rsid w:val="00E82BA4"/>
    <w:rsid w:val="00E83762"/>
    <w:rsid w:val="00E83B91"/>
    <w:rsid w:val="00E84D38"/>
    <w:rsid w:val="00E85074"/>
    <w:rsid w:val="00E85530"/>
    <w:rsid w:val="00E85AD4"/>
    <w:rsid w:val="00E86EF0"/>
    <w:rsid w:val="00E87D16"/>
    <w:rsid w:val="00E90A06"/>
    <w:rsid w:val="00E91A9E"/>
    <w:rsid w:val="00E940D7"/>
    <w:rsid w:val="00E96221"/>
    <w:rsid w:val="00E96D78"/>
    <w:rsid w:val="00E974D9"/>
    <w:rsid w:val="00E97947"/>
    <w:rsid w:val="00E97E79"/>
    <w:rsid w:val="00EA01BA"/>
    <w:rsid w:val="00EA025B"/>
    <w:rsid w:val="00EA0FB4"/>
    <w:rsid w:val="00EA0FD2"/>
    <w:rsid w:val="00EA1384"/>
    <w:rsid w:val="00EA148F"/>
    <w:rsid w:val="00EA1809"/>
    <w:rsid w:val="00EA18E9"/>
    <w:rsid w:val="00EA25DB"/>
    <w:rsid w:val="00EA2758"/>
    <w:rsid w:val="00EA2C47"/>
    <w:rsid w:val="00EA3131"/>
    <w:rsid w:val="00EA4066"/>
    <w:rsid w:val="00EA420F"/>
    <w:rsid w:val="00EA4B2B"/>
    <w:rsid w:val="00EA5EAA"/>
    <w:rsid w:val="00EA7132"/>
    <w:rsid w:val="00EA73DA"/>
    <w:rsid w:val="00EB3433"/>
    <w:rsid w:val="00EB3C8F"/>
    <w:rsid w:val="00EB4278"/>
    <w:rsid w:val="00EB436B"/>
    <w:rsid w:val="00EB4B08"/>
    <w:rsid w:val="00EB5211"/>
    <w:rsid w:val="00EB5237"/>
    <w:rsid w:val="00EB55A4"/>
    <w:rsid w:val="00EB5CAC"/>
    <w:rsid w:val="00EB6445"/>
    <w:rsid w:val="00EB6D51"/>
    <w:rsid w:val="00EB7E3E"/>
    <w:rsid w:val="00EC125C"/>
    <w:rsid w:val="00EC14D7"/>
    <w:rsid w:val="00EC1893"/>
    <w:rsid w:val="00EC1DCF"/>
    <w:rsid w:val="00EC2AA6"/>
    <w:rsid w:val="00EC3729"/>
    <w:rsid w:val="00EC44B5"/>
    <w:rsid w:val="00EC4641"/>
    <w:rsid w:val="00EC483E"/>
    <w:rsid w:val="00EC53D0"/>
    <w:rsid w:val="00EC626F"/>
    <w:rsid w:val="00EC6F2C"/>
    <w:rsid w:val="00EC71F3"/>
    <w:rsid w:val="00EC7395"/>
    <w:rsid w:val="00ED0709"/>
    <w:rsid w:val="00ED1D7F"/>
    <w:rsid w:val="00ED2748"/>
    <w:rsid w:val="00ED426F"/>
    <w:rsid w:val="00ED4F63"/>
    <w:rsid w:val="00ED5547"/>
    <w:rsid w:val="00ED5EEE"/>
    <w:rsid w:val="00ED6006"/>
    <w:rsid w:val="00ED6B0E"/>
    <w:rsid w:val="00ED7520"/>
    <w:rsid w:val="00EE0263"/>
    <w:rsid w:val="00EE0C8A"/>
    <w:rsid w:val="00EE1A9B"/>
    <w:rsid w:val="00EE20D8"/>
    <w:rsid w:val="00EE27BB"/>
    <w:rsid w:val="00EE3B62"/>
    <w:rsid w:val="00EE409C"/>
    <w:rsid w:val="00EE4A90"/>
    <w:rsid w:val="00EE7B8E"/>
    <w:rsid w:val="00EE7BBF"/>
    <w:rsid w:val="00EE7BFB"/>
    <w:rsid w:val="00EF135D"/>
    <w:rsid w:val="00EF1B80"/>
    <w:rsid w:val="00EF2C51"/>
    <w:rsid w:val="00EF2C5C"/>
    <w:rsid w:val="00EF2CD3"/>
    <w:rsid w:val="00EF35A6"/>
    <w:rsid w:val="00EF391C"/>
    <w:rsid w:val="00EF39FB"/>
    <w:rsid w:val="00EF3BEF"/>
    <w:rsid w:val="00EF4AE2"/>
    <w:rsid w:val="00EF4EB6"/>
    <w:rsid w:val="00EF557C"/>
    <w:rsid w:val="00EF5765"/>
    <w:rsid w:val="00EF5C1B"/>
    <w:rsid w:val="00EF67BE"/>
    <w:rsid w:val="00EF7124"/>
    <w:rsid w:val="00EF7741"/>
    <w:rsid w:val="00F00896"/>
    <w:rsid w:val="00F01E1D"/>
    <w:rsid w:val="00F02188"/>
    <w:rsid w:val="00F021E3"/>
    <w:rsid w:val="00F02901"/>
    <w:rsid w:val="00F033FF"/>
    <w:rsid w:val="00F034D0"/>
    <w:rsid w:val="00F04401"/>
    <w:rsid w:val="00F055D2"/>
    <w:rsid w:val="00F0629A"/>
    <w:rsid w:val="00F06DB8"/>
    <w:rsid w:val="00F10CC7"/>
    <w:rsid w:val="00F124A2"/>
    <w:rsid w:val="00F12660"/>
    <w:rsid w:val="00F13A1C"/>
    <w:rsid w:val="00F13B04"/>
    <w:rsid w:val="00F143F9"/>
    <w:rsid w:val="00F150C6"/>
    <w:rsid w:val="00F16BD1"/>
    <w:rsid w:val="00F174CA"/>
    <w:rsid w:val="00F17532"/>
    <w:rsid w:val="00F179D3"/>
    <w:rsid w:val="00F17F0C"/>
    <w:rsid w:val="00F21319"/>
    <w:rsid w:val="00F23964"/>
    <w:rsid w:val="00F24960"/>
    <w:rsid w:val="00F25DDE"/>
    <w:rsid w:val="00F30074"/>
    <w:rsid w:val="00F30E01"/>
    <w:rsid w:val="00F30F2A"/>
    <w:rsid w:val="00F3155D"/>
    <w:rsid w:val="00F31DB0"/>
    <w:rsid w:val="00F323F7"/>
    <w:rsid w:val="00F336F4"/>
    <w:rsid w:val="00F34FA9"/>
    <w:rsid w:val="00F359C0"/>
    <w:rsid w:val="00F35CD9"/>
    <w:rsid w:val="00F373DC"/>
    <w:rsid w:val="00F37811"/>
    <w:rsid w:val="00F40579"/>
    <w:rsid w:val="00F406DA"/>
    <w:rsid w:val="00F41C33"/>
    <w:rsid w:val="00F42175"/>
    <w:rsid w:val="00F4360E"/>
    <w:rsid w:val="00F44131"/>
    <w:rsid w:val="00F4420D"/>
    <w:rsid w:val="00F443E4"/>
    <w:rsid w:val="00F44AA5"/>
    <w:rsid w:val="00F451DB"/>
    <w:rsid w:val="00F45559"/>
    <w:rsid w:val="00F459DC"/>
    <w:rsid w:val="00F466B2"/>
    <w:rsid w:val="00F466D3"/>
    <w:rsid w:val="00F47558"/>
    <w:rsid w:val="00F50068"/>
    <w:rsid w:val="00F50A6C"/>
    <w:rsid w:val="00F516B7"/>
    <w:rsid w:val="00F51706"/>
    <w:rsid w:val="00F5290B"/>
    <w:rsid w:val="00F54A14"/>
    <w:rsid w:val="00F54CDA"/>
    <w:rsid w:val="00F552D1"/>
    <w:rsid w:val="00F558ED"/>
    <w:rsid w:val="00F55DEB"/>
    <w:rsid w:val="00F56040"/>
    <w:rsid w:val="00F563BD"/>
    <w:rsid w:val="00F60E75"/>
    <w:rsid w:val="00F60EF3"/>
    <w:rsid w:val="00F61197"/>
    <w:rsid w:val="00F61E00"/>
    <w:rsid w:val="00F62191"/>
    <w:rsid w:val="00F6231B"/>
    <w:rsid w:val="00F62414"/>
    <w:rsid w:val="00F626B2"/>
    <w:rsid w:val="00F62F13"/>
    <w:rsid w:val="00F62FC1"/>
    <w:rsid w:val="00F6301E"/>
    <w:rsid w:val="00F63106"/>
    <w:rsid w:val="00F64942"/>
    <w:rsid w:val="00F64AFF"/>
    <w:rsid w:val="00F64C62"/>
    <w:rsid w:val="00F64E4C"/>
    <w:rsid w:val="00F65098"/>
    <w:rsid w:val="00F65117"/>
    <w:rsid w:val="00F667F5"/>
    <w:rsid w:val="00F676F6"/>
    <w:rsid w:val="00F67CD0"/>
    <w:rsid w:val="00F67DC9"/>
    <w:rsid w:val="00F70DB1"/>
    <w:rsid w:val="00F70EA2"/>
    <w:rsid w:val="00F71A68"/>
    <w:rsid w:val="00F73546"/>
    <w:rsid w:val="00F73806"/>
    <w:rsid w:val="00F75CDE"/>
    <w:rsid w:val="00F75E6E"/>
    <w:rsid w:val="00F76431"/>
    <w:rsid w:val="00F801F1"/>
    <w:rsid w:val="00F80CF8"/>
    <w:rsid w:val="00F80F50"/>
    <w:rsid w:val="00F81111"/>
    <w:rsid w:val="00F819CB"/>
    <w:rsid w:val="00F81ED0"/>
    <w:rsid w:val="00F8240B"/>
    <w:rsid w:val="00F82444"/>
    <w:rsid w:val="00F826E7"/>
    <w:rsid w:val="00F8289B"/>
    <w:rsid w:val="00F836D4"/>
    <w:rsid w:val="00F8380A"/>
    <w:rsid w:val="00F842E4"/>
    <w:rsid w:val="00F8474E"/>
    <w:rsid w:val="00F851CF"/>
    <w:rsid w:val="00F86197"/>
    <w:rsid w:val="00F87A2C"/>
    <w:rsid w:val="00F904D8"/>
    <w:rsid w:val="00F90E05"/>
    <w:rsid w:val="00F9106F"/>
    <w:rsid w:val="00F917B3"/>
    <w:rsid w:val="00F91F23"/>
    <w:rsid w:val="00F91FE6"/>
    <w:rsid w:val="00F9480D"/>
    <w:rsid w:val="00F94C9C"/>
    <w:rsid w:val="00F9558D"/>
    <w:rsid w:val="00F9564B"/>
    <w:rsid w:val="00F9598A"/>
    <w:rsid w:val="00F9642A"/>
    <w:rsid w:val="00F96964"/>
    <w:rsid w:val="00F9792D"/>
    <w:rsid w:val="00F97D6F"/>
    <w:rsid w:val="00FA05E0"/>
    <w:rsid w:val="00FA09BE"/>
    <w:rsid w:val="00FA305C"/>
    <w:rsid w:val="00FA3079"/>
    <w:rsid w:val="00FA522C"/>
    <w:rsid w:val="00FA5758"/>
    <w:rsid w:val="00FA6CA6"/>
    <w:rsid w:val="00FB0D95"/>
    <w:rsid w:val="00FB1D27"/>
    <w:rsid w:val="00FB2B67"/>
    <w:rsid w:val="00FB2F2A"/>
    <w:rsid w:val="00FB4D15"/>
    <w:rsid w:val="00FB4DB3"/>
    <w:rsid w:val="00FB66AE"/>
    <w:rsid w:val="00FB69C8"/>
    <w:rsid w:val="00FB6E4C"/>
    <w:rsid w:val="00FC037F"/>
    <w:rsid w:val="00FC0F37"/>
    <w:rsid w:val="00FC3CA2"/>
    <w:rsid w:val="00FC47B4"/>
    <w:rsid w:val="00FC483A"/>
    <w:rsid w:val="00FC5273"/>
    <w:rsid w:val="00FC6147"/>
    <w:rsid w:val="00FC6B11"/>
    <w:rsid w:val="00FD03C4"/>
    <w:rsid w:val="00FD1E03"/>
    <w:rsid w:val="00FD1E90"/>
    <w:rsid w:val="00FD4014"/>
    <w:rsid w:val="00FD424A"/>
    <w:rsid w:val="00FD4B1A"/>
    <w:rsid w:val="00FD66AF"/>
    <w:rsid w:val="00FE0788"/>
    <w:rsid w:val="00FE0812"/>
    <w:rsid w:val="00FE0C7D"/>
    <w:rsid w:val="00FE0D93"/>
    <w:rsid w:val="00FE1039"/>
    <w:rsid w:val="00FE1AF7"/>
    <w:rsid w:val="00FE1B8B"/>
    <w:rsid w:val="00FE1E50"/>
    <w:rsid w:val="00FE2682"/>
    <w:rsid w:val="00FE27F7"/>
    <w:rsid w:val="00FE2845"/>
    <w:rsid w:val="00FE398C"/>
    <w:rsid w:val="00FE3CF3"/>
    <w:rsid w:val="00FE424D"/>
    <w:rsid w:val="00FE4299"/>
    <w:rsid w:val="00FE471C"/>
    <w:rsid w:val="00FE4EE0"/>
    <w:rsid w:val="00FE5F9A"/>
    <w:rsid w:val="00FE7427"/>
    <w:rsid w:val="00FE7724"/>
    <w:rsid w:val="00FE7FE2"/>
    <w:rsid w:val="00FF0A54"/>
    <w:rsid w:val="00FF0BE4"/>
    <w:rsid w:val="00FF0ED7"/>
    <w:rsid w:val="00FF0F5B"/>
    <w:rsid w:val="00FF138F"/>
    <w:rsid w:val="00FF27BF"/>
    <w:rsid w:val="00FF2B74"/>
    <w:rsid w:val="00FF3DB1"/>
    <w:rsid w:val="00FF67BB"/>
    <w:rsid w:val="00FF6D34"/>
    <w:rsid w:val="00FF6EB5"/>
    <w:rsid w:val="00FF7907"/>
    <w:rsid w:val="0171EBED"/>
    <w:rsid w:val="05C4BD7E"/>
    <w:rsid w:val="05D4FE4A"/>
    <w:rsid w:val="06A5B108"/>
    <w:rsid w:val="07228C53"/>
    <w:rsid w:val="079BA85C"/>
    <w:rsid w:val="0853F6C3"/>
    <w:rsid w:val="08ED4E78"/>
    <w:rsid w:val="09119526"/>
    <w:rsid w:val="0974DE76"/>
    <w:rsid w:val="0AC30114"/>
    <w:rsid w:val="0ACC4F60"/>
    <w:rsid w:val="0AD9CB91"/>
    <w:rsid w:val="0B5C3C23"/>
    <w:rsid w:val="0BB16B2E"/>
    <w:rsid w:val="0C2457C2"/>
    <w:rsid w:val="0E02FE9B"/>
    <w:rsid w:val="121D1BE6"/>
    <w:rsid w:val="13BB1756"/>
    <w:rsid w:val="140E0B29"/>
    <w:rsid w:val="1537FDDE"/>
    <w:rsid w:val="155E3DC5"/>
    <w:rsid w:val="165A51EA"/>
    <w:rsid w:val="1700CBC1"/>
    <w:rsid w:val="176B384E"/>
    <w:rsid w:val="17D8FEDA"/>
    <w:rsid w:val="17FD82F1"/>
    <w:rsid w:val="1927B8F0"/>
    <w:rsid w:val="19C70744"/>
    <w:rsid w:val="19D6787D"/>
    <w:rsid w:val="19E0FE88"/>
    <w:rsid w:val="1A2A8BAB"/>
    <w:rsid w:val="1AFE9A7C"/>
    <w:rsid w:val="1B06B9D8"/>
    <w:rsid w:val="1C0ABB83"/>
    <w:rsid w:val="1C6BE3B8"/>
    <w:rsid w:val="1D2E5843"/>
    <w:rsid w:val="1DC3AF55"/>
    <w:rsid w:val="1E6A292C"/>
    <w:rsid w:val="1F0B78FF"/>
    <w:rsid w:val="1F3B6BD9"/>
    <w:rsid w:val="1F68368A"/>
    <w:rsid w:val="1F8F7C7B"/>
    <w:rsid w:val="1FD9CA50"/>
    <w:rsid w:val="2044FC2F"/>
    <w:rsid w:val="20AE741E"/>
    <w:rsid w:val="20B097AC"/>
    <w:rsid w:val="21B36A67"/>
    <w:rsid w:val="21C86E7C"/>
    <w:rsid w:val="21CA34E4"/>
    <w:rsid w:val="23018D05"/>
    <w:rsid w:val="2355FD5A"/>
    <w:rsid w:val="248039F5"/>
    <w:rsid w:val="2508F8E3"/>
    <w:rsid w:val="2551E769"/>
    <w:rsid w:val="2561A82A"/>
    <w:rsid w:val="25EC177C"/>
    <w:rsid w:val="2622F781"/>
    <w:rsid w:val="26FD39BF"/>
    <w:rsid w:val="271EDD11"/>
    <w:rsid w:val="278F15B2"/>
    <w:rsid w:val="27EE2685"/>
    <w:rsid w:val="282991F6"/>
    <w:rsid w:val="28FE7571"/>
    <w:rsid w:val="290436ED"/>
    <w:rsid w:val="29C43DC8"/>
    <w:rsid w:val="2A3E8466"/>
    <w:rsid w:val="2AEAA699"/>
    <w:rsid w:val="2AFEBE12"/>
    <w:rsid w:val="2B3C91C4"/>
    <w:rsid w:val="2B578A26"/>
    <w:rsid w:val="2B756468"/>
    <w:rsid w:val="2C015DFC"/>
    <w:rsid w:val="2CC03140"/>
    <w:rsid w:val="2E4D2951"/>
    <w:rsid w:val="2FA402C3"/>
    <w:rsid w:val="313E3F8D"/>
    <w:rsid w:val="314FE402"/>
    <w:rsid w:val="31FC0BD8"/>
    <w:rsid w:val="320407E4"/>
    <w:rsid w:val="3219E0DA"/>
    <w:rsid w:val="321B0532"/>
    <w:rsid w:val="32803DFA"/>
    <w:rsid w:val="32D02DB7"/>
    <w:rsid w:val="32F9913F"/>
    <w:rsid w:val="3361301B"/>
    <w:rsid w:val="3387DED8"/>
    <w:rsid w:val="347385F1"/>
    <w:rsid w:val="3543635B"/>
    <w:rsid w:val="3594D1B6"/>
    <w:rsid w:val="35AE6760"/>
    <w:rsid w:val="3817CC78"/>
    <w:rsid w:val="38464BE6"/>
    <w:rsid w:val="385A53DC"/>
    <w:rsid w:val="3A000A01"/>
    <w:rsid w:val="3C2401D8"/>
    <w:rsid w:val="3C595C1F"/>
    <w:rsid w:val="3C8584C0"/>
    <w:rsid w:val="3CBD364B"/>
    <w:rsid w:val="3CC6268C"/>
    <w:rsid w:val="3CEB5EC1"/>
    <w:rsid w:val="3D094B80"/>
    <w:rsid w:val="3D73EADE"/>
    <w:rsid w:val="3E4F37BE"/>
    <w:rsid w:val="3E9D98F4"/>
    <w:rsid w:val="3F1F9550"/>
    <w:rsid w:val="3FCF2AA2"/>
    <w:rsid w:val="40E83062"/>
    <w:rsid w:val="4115C55C"/>
    <w:rsid w:val="412CC2AA"/>
    <w:rsid w:val="41713523"/>
    <w:rsid w:val="418FC92C"/>
    <w:rsid w:val="4190A76E"/>
    <w:rsid w:val="42F8EA8C"/>
    <w:rsid w:val="43A58D52"/>
    <w:rsid w:val="43BEF8E1"/>
    <w:rsid w:val="44174D21"/>
    <w:rsid w:val="443DBEDE"/>
    <w:rsid w:val="447CA79E"/>
    <w:rsid w:val="44F6D54D"/>
    <w:rsid w:val="4574BEDE"/>
    <w:rsid w:val="45F98733"/>
    <w:rsid w:val="475F9142"/>
    <w:rsid w:val="47D8DBC1"/>
    <w:rsid w:val="4A31BDA5"/>
    <w:rsid w:val="4B12101A"/>
    <w:rsid w:val="4CF1A87A"/>
    <w:rsid w:val="4CFEC400"/>
    <w:rsid w:val="4D4BA37E"/>
    <w:rsid w:val="4DB8D292"/>
    <w:rsid w:val="4DCDD6A7"/>
    <w:rsid w:val="4E8D1434"/>
    <w:rsid w:val="4EEE971C"/>
    <w:rsid w:val="4EF5E9F4"/>
    <w:rsid w:val="50DE3B63"/>
    <w:rsid w:val="50F07354"/>
    <w:rsid w:val="51EA2A94"/>
    <w:rsid w:val="52C9BF56"/>
    <w:rsid w:val="541D362F"/>
    <w:rsid w:val="549E366C"/>
    <w:rsid w:val="5500E844"/>
    <w:rsid w:val="56448409"/>
    <w:rsid w:val="58D685A3"/>
    <w:rsid w:val="5972A3AE"/>
    <w:rsid w:val="59BFECCA"/>
    <w:rsid w:val="5A132E2F"/>
    <w:rsid w:val="5ABCCB38"/>
    <w:rsid w:val="5CA128F5"/>
    <w:rsid w:val="5CDE5427"/>
    <w:rsid w:val="5E2EE5AD"/>
    <w:rsid w:val="5F0CA8B1"/>
    <w:rsid w:val="5F2AC7FC"/>
    <w:rsid w:val="5F4882E5"/>
    <w:rsid w:val="60FC4CB3"/>
    <w:rsid w:val="6102E310"/>
    <w:rsid w:val="616068AF"/>
    <w:rsid w:val="6214882A"/>
    <w:rsid w:val="6221DBA1"/>
    <w:rsid w:val="623189AC"/>
    <w:rsid w:val="6234097B"/>
    <w:rsid w:val="62698BFB"/>
    <w:rsid w:val="627CD6A6"/>
    <w:rsid w:val="6439EC5A"/>
    <w:rsid w:val="6448B313"/>
    <w:rsid w:val="64757241"/>
    <w:rsid w:val="64DB963C"/>
    <w:rsid w:val="65A91948"/>
    <w:rsid w:val="67BC3918"/>
    <w:rsid w:val="67E40E6D"/>
    <w:rsid w:val="6854A11D"/>
    <w:rsid w:val="6865AA1E"/>
    <w:rsid w:val="691B33BD"/>
    <w:rsid w:val="69A45091"/>
    <w:rsid w:val="6B2E4427"/>
    <w:rsid w:val="6B582120"/>
    <w:rsid w:val="6B85B61A"/>
    <w:rsid w:val="6C098F79"/>
    <w:rsid w:val="6C465964"/>
    <w:rsid w:val="6CEA4B0A"/>
    <w:rsid w:val="6CF2F562"/>
    <w:rsid w:val="6D0BB918"/>
    <w:rsid w:val="6D199D81"/>
    <w:rsid w:val="6D2E806B"/>
    <w:rsid w:val="6D8C3071"/>
    <w:rsid w:val="6E684921"/>
    <w:rsid w:val="6E8FC1E2"/>
    <w:rsid w:val="6EE84B21"/>
    <w:rsid w:val="70956758"/>
    <w:rsid w:val="70B54E4B"/>
    <w:rsid w:val="70EC9638"/>
    <w:rsid w:val="72C1FE9A"/>
    <w:rsid w:val="72CB3279"/>
    <w:rsid w:val="7371797F"/>
    <w:rsid w:val="73F460E6"/>
    <w:rsid w:val="74314E84"/>
    <w:rsid w:val="754C2544"/>
    <w:rsid w:val="759903D6"/>
    <w:rsid w:val="75C4A559"/>
    <w:rsid w:val="7683554B"/>
    <w:rsid w:val="778E3213"/>
    <w:rsid w:val="77B2A160"/>
    <w:rsid w:val="780A0C48"/>
    <w:rsid w:val="7845821A"/>
    <w:rsid w:val="7A1835C1"/>
    <w:rsid w:val="7AEC4492"/>
    <w:rsid w:val="7B3FB3D1"/>
    <w:rsid w:val="7BA45EE2"/>
    <w:rsid w:val="7C2BBC0F"/>
    <w:rsid w:val="7C8F4FAB"/>
    <w:rsid w:val="7D468837"/>
    <w:rsid w:val="7DB8BA11"/>
    <w:rsid w:val="7DFB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4E63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5C69C9"/>
    <w:pPr>
      <w:keepNext/>
      <w:keepLines/>
      <w:spacing w:before="240" w:after="240"/>
      <w:outlineLvl w:val="0"/>
    </w:pPr>
    <w:rPr>
      <w:rFonts w:eastAsiaTheme="majorEastAsia" w:cstheme="majorBidi"/>
      <w:color w:val="004270"/>
      <w:sz w:val="36"/>
      <w:szCs w:val="36"/>
    </w:rPr>
  </w:style>
  <w:style w:type="paragraph" w:styleId="Heading2">
    <w:name w:val="heading 2"/>
    <w:basedOn w:val="Normal"/>
    <w:next w:val="Normal"/>
    <w:link w:val="Heading2Char"/>
    <w:uiPriority w:val="9"/>
    <w:unhideWhenUsed/>
    <w:qFormat/>
    <w:rsid w:val="005C69C9"/>
    <w:pPr>
      <w:keepNext/>
      <w:keepLines/>
      <w:spacing w:before="240"/>
      <w:outlineLvl w:val="1"/>
    </w:pPr>
    <w:rPr>
      <w:rFonts w:eastAsiaTheme="majorEastAsia" w:cstheme="majorBidi"/>
      <w:color w:val="004270"/>
      <w:sz w:val="28"/>
      <w:szCs w:val="28"/>
    </w:rPr>
  </w:style>
  <w:style w:type="paragraph" w:styleId="Heading3">
    <w:name w:val="heading 3"/>
    <w:basedOn w:val="Normal"/>
    <w:next w:val="Normal"/>
    <w:link w:val="Heading3Char"/>
    <w:uiPriority w:val="9"/>
    <w:unhideWhenUsed/>
    <w:qFormat/>
    <w:rsid w:val="009D1B3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aliases w:val="Footnote text,5_G,Footnote Text Char Char Char Char Char Char,Footnote Text Char Char Char Char Char Char Char Char Char Char Char Char Char Char Char Char Char,C"/>
    <w:basedOn w:val="Normal"/>
    <w:link w:val="FootnoteTextChar"/>
    <w:uiPriority w:val="99"/>
    <w:unhideWhenUsed/>
    <w:qFormat/>
    <w:rsid w:val="00C33416"/>
    <w:rPr>
      <w:sz w:val="20"/>
    </w:rPr>
  </w:style>
  <w:style w:type="character" w:customStyle="1" w:styleId="FootnoteTextChar">
    <w:name w:val="Footnote Text Char"/>
    <w:aliases w:val="Footnote text Char,5_G Char,Footnote Text Char Char Char Char Char Char Char,Footnote Text Char Char Char Char Char Char Char Char Char Char Char Char Char Char Char Char Char Char,C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5C69C9"/>
    <w:rPr>
      <w:rFonts w:ascii="Arial" w:eastAsiaTheme="majorEastAsia" w:hAnsi="Arial" w:cstheme="majorBidi"/>
      <w:color w:val="004270"/>
      <w:sz w:val="36"/>
      <w:szCs w:val="36"/>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9056F4"/>
    <w:pPr>
      <w:tabs>
        <w:tab w:val="right" w:leader="dot" w:pos="8296"/>
      </w:tabs>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C69C9"/>
    <w:rPr>
      <w:rFonts w:ascii="Arial" w:eastAsiaTheme="majorEastAsia" w:hAnsi="Arial" w:cstheme="majorBidi"/>
      <w:color w:val="004270"/>
      <w:sz w:val="28"/>
      <w:szCs w:val="28"/>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C69C9"/>
    <w:rPr>
      <w:rFonts w:ascii="Arial" w:hAnsi="Arial"/>
      <w:b/>
      <w:bCs/>
      <w:color w:val="000000" w:themeColor="text1"/>
      <w:sz w:val="22"/>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1"/>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2"/>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character" w:customStyle="1" w:styleId="UnresolvedMention1">
    <w:name w:val="Unresolved Mention1"/>
    <w:basedOn w:val="DefaultParagraphFont"/>
    <w:uiPriority w:val="99"/>
    <w:semiHidden/>
    <w:unhideWhenUsed/>
    <w:rsid w:val="00F60E75"/>
    <w:rPr>
      <w:color w:val="605E5C"/>
      <w:shd w:val="clear" w:color="auto" w:fill="E1DFDD"/>
    </w:rPr>
  </w:style>
  <w:style w:type="paragraph" w:styleId="Revision">
    <w:name w:val="Revision"/>
    <w:hidden/>
    <w:uiPriority w:val="99"/>
    <w:semiHidden/>
    <w:rsid w:val="00B720D2"/>
    <w:rPr>
      <w:rFonts w:ascii="Arial" w:hAnsi="Arial"/>
      <w:color w:val="000000" w:themeColor="text1"/>
      <w:sz w:val="22"/>
      <w:lang w:val="en-AU"/>
    </w:rPr>
  </w:style>
  <w:style w:type="character" w:styleId="FollowedHyperlink">
    <w:name w:val="FollowedHyperlink"/>
    <w:basedOn w:val="DefaultParagraphFont"/>
    <w:uiPriority w:val="99"/>
    <w:semiHidden/>
    <w:unhideWhenUsed/>
    <w:rsid w:val="00450612"/>
    <w:rPr>
      <w:color w:val="800080" w:themeColor="followedHyperlink"/>
      <w:u w:val="single"/>
    </w:rPr>
  </w:style>
  <w:style w:type="character" w:styleId="Emphasis">
    <w:name w:val="Emphasis"/>
    <w:basedOn w:val="DefaultParagraphFont"/>
    <w:uiPriority w:val="20"/>
    <w:qFormat/>
    <w:rsid w:val="00733617"/>
    <w:rPr>
      <w:i/>
      <w:iCs/>
    </w:rPr>
  </w:style>
  <w:style w:type="paragraph" w:customStyle="1" w:styleId="Default">
    <w:name w:val="Default"/>
    <w:rsid w:val="00EE1A9B"/>
    <w:pPr>
      <w:autoSpaceDE w:val="0"/>
      <w:autoSpaceDN w:val="0"/>
      <w:adjustRightInd w:val="0"/>
    </w:pPr>
    <w:rPr>
      <w:rFonts w:ascii="Trade Gothic Next Rounded" w:eastAsiaTheme="minorHAnsi" w:hAnsi="Trade Gothic Next Rounded" w:cs="Trade Gothic Next Rounded"/>
      <w:color w:val="000000"/>
      <w:lang w:val="en-AU"/>
      <w14:ligatures w14:val="standardContextual"/>
    </w:rPr>
  </w:style>
  <w:style w:type="character" w:customStyle="1" w:styleId="SingleTxtGChar">
    <w:name w:val="_ Single Txt_G Char"/>
    <w:basedOn w:val="DefaultParagraphFont"/>
    <w:link w:val="SingleTxtG"/>
    <w:locked/>
    <w:rsid w:val="00EE1A9B"/>
    <w:rPr>
      <w:lang w:val="en-GB"/>
    </w:rPr>
  </w:style>
  <w:style w:type="paragraph" w:customStyle="1" w:styleId="SingleTxtG">
    <w:name w:val="_ Single Txt_G"/>
    <w:basedOn w:val="Normal"/>
    <w:link w:val="SingleTxtGChar"/>
    <w:qFormat/>
    <w:rsid w:val="00EE1A9B"/>
    <w:pPr>
      <w:suppressAutoHyphens/>
      <w:spacing w:line="240" w:lineRule="atLeast"/>
      <w:ind w:left="1134" w:right="1134"/>
      <w:jc w:val="both"/>
    </w:pPr>
    <w:rPr>
      <w:rFonts w:asciiTheme="minorHAnsi" w:hAnsiTheme="minorHAnsi"/>
      <w:color w:val="auto"/>
      <w:sz w:val="24"/>
      <w:lang w:val="en-GB"/>
    </w:rPr>
  </w:style>
  <w:style w:type="character" w:styleId="UnresolvedMention">
    <w:name w:val="Unresolved Mention"/>
    <w:basedOn w:val="DefaultParagraphFont"/>
    <w:uiPriority w:val="99"/>
    <w:semiHidden/>
    <w:unhideWhenUsed/>
    <w:rsid w:val="00EF3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6068">
      <w:bodyDiv w:val="1"/>
      <w:marLeft w:val="0"/>
      <w:marRight w:val="0"/>
      <w:marTop w:val="0"/>
      <w:marBottom w:val="0"/>
      <w:divBdr>
        <w:top w:val="none" w:sz="0" w:space="0" w:color="auto"/>
        <w:left w:val="none" w:sz="0" w:space="0" w:color="auto"/>
        <w:bottom w:val="none" w:sz="0" w:space="0" w:color="auto"/>
        <w:right w:val="none" w:sz="0" w:space="0" w:color="auto"/>
      </w:divBdr>
    </w:div>
    <w:div w:id="554777016">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760179444">
      <w:bodyDiv w:val="1"/>
      <w:marLeft w:val="0"/>
      <w:marRight w:val="0"/>
      <w:marTop w:val="0"/>
      <w:marBottom w:val="0"/>
      <w:divBdr>
        <w:top w:val="none" w:sz="0" w:space="0" w:color="auto"/>
        <w:left w:val="none" w:sz="0" w:space="0" w:color="auto"/>
        <w:bottom w:val="none" w:sz="0" w:space="0" w:color="auto"/>
        <w:right w:val="none" w:sz="0" w:space="0" w:color="auto"/>
      </w:divBdr>
    </w:div>
    <w:div w:id="841890269">
      <w:bodyDiv w:val="1"/>
      <w:marLeft w:val="0"/>
      <w:marRight w:val="0"/>
      <w:marTop w:val="0"/>
      <w:marBottom w:val="0"/>
      <w:divBdr>
        <w:top w:val="none" w:sz="0" w:space="0" w:color="auto"/>
        <w:left w:val="none" w:sz="0" w:space="0" w:color="auto"/>
        <w:bottom w:val="none" w:sz="0" w:space="0" w:color="auto"/>
        <w:right w:val="none" w:sz="0" w:space="0" w:color="auto"/>
      </w:divBdr>
    </w:div>
    <w:div w:id="923414219">
      <w:bodyDiv w:val="1"/>
      <w:marLeft w:val="0"/>
      <w:marRight w:val="0"/>
      <w:marTop w:val="0"/>
      <w:marBottom w:val="0"/>
      <w:divBdr>
        <w:top w:val="none" w:sz="0" w:space="0" w:color="auto"/>
        <w:left w:val="none" w:sz="0" w:space="0" w:color="auto"/>
        <w:bottom w:val="none" w:sz="0" w:space="0" w:color="auto"/>
        <w:right w:val="none" w:sz="0" w:space="0" w:color="auto"/>
      </w:divBdr>
    </w:div>
    <w:div w:id="928082313">
      <w:bodyDiv w:val="1"/>
      <w:marLeft w:val="0"/>
      <w:marRight w:val="0"/>
      <w:marTop w:val="0"/>
      <w:marBottom w:val="0"/>
      <w:divBdr>
        <w:top w:val="none" w:sz="0" w:space="0" w:color="auto"/>
        <w:left w:val="none" w:sz="0" w:space="0" w:color="auto"/>
        <w:bottom w:val="none" w:sz="0" w:space="0" w:color="auto"/>
        <w:right w:val="none" w:sz="0" w:space="0" w:color="auto"/>
      </w:divBdr>
    </w:div>
    <w:div w:id="1050567534">
      <w:bodyDiv w:val="1"/>
      <w:marLeft w:val="0"/>
      <w:marRight w:val="0"/>
      <w:marTop w:val="0"/>
      <w:marBottom w:val="0"/>
      <w:divBdr>
        <w:top w:val="none" w:sz="0" w:space="0" w:color="auto"/>
        <w:left w:val="none" w:sz="0" w:space="0" w:color="auto"/>
        <w:bottom w:val="none" w:sz="0" w:space="0" w:color="auto"/>
        <w:right w:val="none" w:sz="0" w:space="0" w:color="auto"/>
      </w:divBdr>
      <w:divsChild>
        <w:div w:id="1730573949">
          <w:marLeft w:val="0"/>
          <w:marRight w:val="0"/>
          <w:marTop w:val="0"/>
          <w:marBottom w:val="495"/>
          <w:divBdr>
            <w:top w:val="none" w:sz="0" w:space="0" w:color="auto"/>
            <w:left w:val="none" w:sz="0" w:space="0" w:color="auto"/>
            <w:bottom w:val="none" w:sz="0" w:space="0" w:color="auto"/>
            <w:right w:val="none" w:sz="0" w:space="0" w:color="auto"/>
          </w:divBdr>
          <w:divsChild>
            <w:div w:id="454717330">
              <w:marLeft w:val="-255"/>
              <w:marRight w:val="-255"/>
              <w:marTop w:val="0"/>
              <w:marBottom w:val="0"/>
              <w:divBdr>
                <w:top w:val="none" w:sz="0" w:space="0" w:color="auto"/>
                <w:left w:val="none" w:sz="0" w:space="0" w:color="auto"/>
                <w:bottom w:val="none" w:sz="0" w:space="0" w:color="auto"/>
                <w:right w:val="none" w:sz="0" w:space="0" w:color="auto"/>
              </w:divBdr>
              <w:divsChild>
                <w:div w:id="970598553">
                  <w:marLeft w:val="0"/>
                  <w:marRight w:val="0"/>
                  <w:marTop w:val="0"/>
                  <w:marBottom w:val="0"/>
                  <w:divBdr>
                    <w:top w:val="none" w:sz="0" w:space="0" w:color="auto"/>
                    <w:left w:val="none" w:sz="0" w:space="0" w:color="auto"/>
                    <w:bottom w:val="none" w:sz="0" w:space="0" w:color="auto"/>
                    <w:right w:val="none" w:sz="0" w:space="0" w:color="auto"/>
                  </w:divBdr>
                  <w:divsChild>
                    <w:div w:id="17659820">
                      <w:marLeft w:val="0"/>
                      <w:marRight w:val="0"/>
                      <w:marTop w:val="0"/>
                      <w:marBottom w:val="0"/>
                      <w:divBdr>
                        <w:top w:val="none" w:sz="0" w:space="0" w:color="auto"/>
                        <w:left w:val="none" w:sz="0" w:space="0" w:color="auto"/>
                        <w:bottom w:val="none" w:sz="0" w:space="0" w:color="auto"/>
                        <w:right w:val="none" w:sz="0" w:space="0" w:color="auto"/>
                      </w:divBdr>
                      <w:divsChild>
                        <w:div w:id="1316376958">
                          <w:marLeft w:val="0"/>
                          <w:marRight w:val="0"/>
                          <w:marTop w:val="0"/>
                          <w:marBottom w:val="0"/>
                          <w:divBdr>
                            <w:top w:val="none" w:sz="0" w:space="0" w:color="auto"/>
                            <w:left w:val="none" w:sz="0" w:space="0" w:color="auto"/>
                            <w:bottom w:val="none" w:sz="0" w:space="0" w:color="auto"/>
                            <w:right w:val="none" w:sz="0" w:space="0" w:color="auto"/>
                          </w:divBdr>
                          <w:divsChild>
                            <w:div w:id="1142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88929">
      <w:bodyDiv w:val="1"/>
      <w:marLeft w:val="0"/>
      <w:marRight w:val="0"/>
      <w:marTop w:val="0"/>
      <w:marBottom w:val="0"/>
      <w:divBdr>
        <w:top w:val="none" w:sz="0" w:space="0" w:color="auto"/>
        <w:left w:val="none" w:sz="0" w:space="0" w:color="auto"/>
        <w:bottom w:val="none" w:sz="0" w:space="0" w:color="auto"/>
        <w:right w:val="none" w:sz="0" w:space="0" w:color="auto"/>
      </w:divBdr>
    </w:div>
    <w:div w:id="1621645957">
      <w:bodyDiv w:val="1"/>
      <w:marLeft w:val="0"/>
      <w:marRight w:val="0"/>
      <w:marTop w:val="0"/>
      <w:marBottom w:val="0"/>
      <w:divBdr>
        <w:top w:val="none" w:sz="0" w:space="0" w:color="auto"/>
        <w:left w:val="none" w:sz="0" w:space="0" w:color="auto"/>
        <w:bottom w:val="none" w:sz="0" w:space="0" w:color="auto"/>
        <w:right w:val="none" w:sz="0" w:space="0" w:color="auto"/>
      </w:divBdr>
    </w:div>
    <w:div w:id="1836267063">
      <w:bodyDiv w:val="1"/>
      <w:marLeft w:val="0"/>
      <w:marRight w:val="0"/>
      <w:marTop w:val="0"/>
      <w:marBottom w:val="0"/>
      <w:divBdr>
        <w:top w:val="none" w:sz="0" w:space="0" w:color="auto"/>
        <w:left w:val="none" w:sz="0" w:space="0" w:color="auto"/>
        <w:bottom w:val="none" w:sz="0" w:space="0" w:color="auto"/>
        <w:right w:val="none" w:sz="0" w:space="0" w:color="auto"/>
      </w:divBdr>
    </w:div>
    <w:div w:id="1880436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8442B-ABDD-427C-8F1F-BB92A731D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7662</Words>
  <Characters>43678</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51238</CharactersWithSpaces>
  <SharedDoc>false</SharedDoc>
  <HLinks>
    <vt:vector size="144" baseType="variant">
      <vt:variant>
        <vt:i4>1310780</vt:i4>
      </vt:variant>
      <vt:variant>
        <vt:i4>140</vt:i4>
      </vt:variant>
      <vt:variant>
        <vt:i4>0</vt:i4>
      </vt:variant>
      <vt:variant>
        <vt:i4>5</vt:i4>
      </vt:variant>
      <vt:variant>
        <vt:lpwstr/>
      </vt:variant>
      <vt:variant>
        <vt:lpwstr>_Toc159404464</vt:lpwstr>
      </vt:variant>
      <vt:variant>
        <vt:i4>1310780</vt:i4>
      </vt:variant>
      <vt:variant>
        <vt:i4>134</vt:i4>
      </vt:variant>
      <vt:variant>
        <vt:i4>0</vt:i4>
      </vt:variant>
      <vt:variant>
        <vt:i4>5</vt:i4>
      </vt:variant>
      <vt:variant>
        <vt:lpwstr/>
      </vt:variant>
      <vt:variant>
        <vt:lpwstr>_Toc159404463</vt:lpwstr>
      </vt:variant>
      <vt:variant>
        <vt:i4>1310780</vt:i4>
      </vt:variant>
      <vt:variant>
        <vt:i4>128</vt:i4>
      </vt:variant>
      <vt:variant>
        <vt:i4>0</vt:i4>
      </vt:variant>
      <vt:variant>
        <vt:i4>5</vt:i4>
      </vt:variant>
      <vt:variant>
        <vt:lpwstr/>
      </vt:variant>
      <vt:variant>
        <vt:lpwstr>_Toc159404462</vt:lpwstr>
      </vt:variant>
      <vt:variant>
        <vt:i4>1310780</vt:i4>
      </vt:variant>
      <vt:variant>
        <vt:i4>122</vt:i4>
      </vt:variant>
      <vt:variant>
        <vt:i4>0</vt:i4>
      </vt:variant>
      <vt:variant>
        <vt:i4>5</vt:i4>
      </vt:variant>
      <vt:variant>
        <vt:lpwstr/>
      </vt:variant>
      <vt:variant>
        <vt:lpwstr>_Toc159404461</vt:lpwstr>
      </vt:variant>
      <vt:variant>
        <vt:i4>1310780</vt:i4>
      </vt:variant>
      <vt:variant>
        <vt:i4>116</vt:i4>
      </vt:variant>
      <vt:variant>
        <vt:i4>0</vt:i4>
      </vt:variant>
      <vt:variant>
        <vt:i4>5</vt:i4>
      </vt:variant>
      <vt:variant>
        <vt:lpwstr/>
      </vt:variant>
      <vt:variant>
        <vt:lpwstr>_Toc159404460</vt:lpwstr>
      </vt:variant>
      <vt:variant>
        <vt:i4>1507388</vt:i4>
      </vt:variant>
      <vt:variant>
        <vt:i4>110</vt:i4>
      </vt:variant>
      <vt:variant>
        <vt:i4>0</vt:i4>
      </vt:variant>
      <vt:variant>
        <vt:i4>5</vt:i4>
      </vt:variant>
      <vt:variant>
        <vt:lpwstr/>
      </vt:variant>
      <vt:variant>
        <vt:lpwstr>_Toc159404459</vt:lpwstr>
      </vt:variant>
      <vt:variant>
        <vt:i4>1507388</vt:i4>
      </vt:variant>
      <vt:variant>
        <vt:i4>104</vt:i4>
      </vt:variant>
      <vt:variant>
        <vt:i4>0</vt:i4>
      </vt:variant>
      <vt:variant>
        <vt:i4>5</vt:i4>
      </vt:variant>
      <vt:variant>
        <vt:lpwstr/>
      </vt:variant>
      <vt:variant>
        <vt:lpwstr>_Toc159404458</vt:lpwstr>
      </vt:variant>
      <vt:variant>
        <vt:i4>1507388</vt:i4>
      </vt:variant>
      <vt:variant>
        <vt:i4>98</vt:i4>
      </vt:variant>
      <vt:variant>
        <vt:i4>0</vt:i4>
      </vt:variant>
      <vt:variant>
        <vt:i4>5</vt:i4>
      </vt:variant>
      <vt:variant>
        <vt:lpwstr/>
      </vt:variant>
      <vt:variant>
        <vt:lpwstr>_Toc159404457</vt:lpwstr>
      </vt:variant>
      <vt:variant>
        <vt:i4>1507388</vt:i4>
      </vt:variant>
      <vt:variant>
        <vt:i4>92</vt:i4>
      </vt:variant>
      <vt:variant>
        <vt:i4>0</vt:i4>
      </vt:variant>
      <vt:variant>
        <vt:i4>5</vt:i4>
      </vt:variant>
      <vt:variant>
        <vt:lpwstr/>
      </vt:variant>
      <vt:variant>
        <vt:lpwstr>_Toc159404456</vt:lpwstr>
      </vt:variant>
      <vt:variant>
        <vt:i4>1507388</vt:i4>
      </vt:variant>
      <vt:variant>
        <vt:i4>86</vt:i4>
      </vt:variant>
      <vt:variant>
        <vt:i4>0</vt:i4>
      </vt:variant>
      <vt:variant>
        <vt:i4>5</vt:i4>
      </vt:variant>
      <vt:variant>
        <vt:lpwstr/>
      </vt:variant>
      <vt:variant>
        <vt:lpwstr>_Toc159404455</vt:lpwstr>
      </vt:variant>
      <vt:variant>
        <vt:i4>1507388</vt:i4>
      </vt:variant>
      <vt:variant>
        <vt:i4>80</vt:i4>
      </vt:variant>
      <vt:variant>
        <vt:i4>0</vt:i4>
      </vt:variant>
      <vt:variant>
        <vt:i4>5</vt:i4>
      </vt:variant>
      <vt:variant>
        <vt:lpwstr/>
      </vt:variant>
      <vt:variant>
        <vt:lpwstr>_Toc159404454</vt:lpwstr>
      </vt:variant>
      <vt:variant>
        <vt:i4>1507388</vt:i4>
      </vt:variant>
      <vt:variant>
        <vt:i4>74</vt:i4>
      </vt:variant>
      <vt:variant>
        <vt:i4>0</vt:i4>
      </vt:variant>
      <vt:variant>
        <vt:i4>5</vt:i4>
      </vt:variant>
      <vt:variant>
        <vt:lpwstr/>
      </vt:variant>
      <vt:variant>
        <vt:lpwstr>_Toc159404453</vt:lpwstr>
      </vt:variant>
      <vt:variant>
        <vt:i4>1507388</vt:i4>
      </vt:variant>
      <vt:variant>
        <vt:i4>68</vt:i4>
      </vt:variant>
      <vt:variant>
        <vt:i4>0</vt:i4>
      </vt:variant>
      <vt:variant>
        <vt:i4>5</vt:i4>
      </vt:variant>
      <vt:variant>
        <vt:lpwstr/>
      </vt:variant>
      <vt:variant>
        <vt:lpwstr>_Toc159404452</vt:lpwstr>
      </vt:variant>
      <vt:variant>
        <vt:i4>1507388</vt:i4>
      </vt:variant>
      <vt:variant>
        <vt:i4>62</vt:i4>
      </vt:variant>
      <vt:variant>
        <vt:i4>0</vt:i4>
      </vt:variant>
      <vt:variant>
        <vt:i4>5</vt:i4>
      </vt:variant>
      <vt:variant>
        <vt:lpwstr/>
      </vt:variant>
      <vt:variant>
        <vt:lpwstr>_Toc159404451</vt:lpwstr>
      </vt:variant>
      <vt:variant>
        <vt:i4>1507388</vt:i4>
      </vt:variant>
      <vt:variant>
        <vt:i4>56</vt:i4>
      </vt:variant>
      <vt:variant>
        <vt:i4>0</vt:i4>
      </vt:variant>
      <vt:variant>
        <vt:i4>5</vt:i4>
      </vt:variant>
      <vt:variant>
        <vt:lpwstr/>
      </vt:variant>
      <vt:variant>
        <vt:lpwstr>_Toc159404450</vt:lpwstr>
      </vt:variant>
      <vt:variant>
        <vt:i4>1441852</vt:i4>
      </vt:variant>
      <vt:variant>
        <vt:i4>50</vt:i4>
      </vt:variant>
      <vt:variant>
        <vt:i4>0</vt:i4>
      </vt:variant>
      <vt:variant>
        <vt:i4>5</vt:i4>
      </vt:variant>
      <vt:variant>
        <vt:lpwstr/>
      </vt:variant>
      <vt:variant>
        <vt:lpwstr>_Toc159404449</vt:lpwstr>
      </vt:variant>
      <vt:variant>
        <vt:i4>1441852</vt:i4>
      </vt:variant>
      <vt:variant>
        <vt:i4>44</vt:i4>
      </vt:variant>
      <vt:variant>
        <vt:i4>0</vt:i4>
      </vt:variant>
      <vt:variant>
        <vt:i4>5</vt:i4>
      </vt:variant>
      <vt:variant>
        <vt:lpwstr/>
      </vt:variant>
      <vt:variant>
        <vt:lpwstr>_Toc159404448</vt:lpwstr>
      </vt:variant>
      <vt:variant>
        <vt:i4>1441852</vt:i4>
      </vt:variant>
      <vt:variant>
        <vt:i4>38</vt:i4>
      </vt:variant>
      <vt:variant>
        <vt:i4>0</vt:i4>
      </vt:variant>
      <vt:variant>
        <vt:i4>5</vt:i4>
      </vt:variant>
      <vt:variant>
        <vt:lpwstr/>
      </vt:variant>
      <vt:variant>
        <vt:lpwstr>_Toc159404447</vt:lpwstr>
      </vt:variant>
      <vt:variant>
        <vt:i4>1441852</vt:i4>
      </vt:variant>
      <vt:variant>
        <vt:i4>32</vt:i4>
      </vt:variant>
      <vt:variant>
        <vt:i4>0</vt:i4>
      </vt:variant>
      <vt:variant>
        <vt:i4>5</vt:i4>
      </vt:variant>
      <vt:variant>
        <vt:lpwstr/>
      </vt:variant>
      <vt:variant>
        <vt:lpwstr>_Toc159404446</vt:lpwstr>
      </vt:variant>
      <vt:variant>
        <vt:i4>1441852</vt:i4>
      </vt:variant>
      <vt:variant>
        <vt:i4>26</vt:i4>
      </vt:variant>
      <vt:variant>
        <vt:i4>0</vt:i4>
      </vt:variant>
      <vt:variant>
        <vt:i4>5</vt:i4>
      </vt:variant>
      <vt:variant>
        <vt:lpwstr/>
      </vt:variant>
      <vt:variant>
        <vt:lpwstr>_Toc159404445</vt:lpwstr>
      </vt:variant>
      <vt:variant>
        <vt:i4>1441852</vt:i4>
      </vt:variant>
      <vt:variant>
        <vt:i4>20</vt:i4>
      </vt:variant>
      <vt:variant>
        <vt:i4>0</vt:i4>
      </vt:variant>
      <vt:variant>
        <vt:i4>5</vt:i4>
      </vt:variant>
      <vt:variant>
        <vt:lpwstr/>
      </vt:variant>
      <vt:variant>
        <vt:lpwstr>_Toc159404444</vt:lpwstr>
      </vt:variant>
      <vt:variant>
        <vt:i4>1441852</vt:i4>
      </vt:variant>
      <vt:variant>
        <vt:i4>14</vt:i4>
      </vt:variant>
      <vt:variant>
        <vt:i4>0</vt:i4>
      </vt:variant>
      <vt:variant>
        <vt:i4>5</vt:i4>
      </vt:variant>
      <vt:variant>
        <vt:lpwstr/>
      </vt:variant>
      <vt:variant>
        <vt:lpwstr>_Toc159404443</vt:lpwstr>
      </vt:variant>
      <vt:variant>
        <vt:i4>1441852</vt:i4>
      </vt:variant>
      <vt:variant>
        <vt:i4>8</vt:i4>
      </vt:variant>
      <vt:variant>
        <vt:i4>0</vt:i4>
      </vt:variant>
      <vt:variant>
        <vt:i4>5</vt:i4>
      </vt:variant>
      <vt:variant>
        <vt:lpwstr/>
      </vt:variant>
      <vt:variant>
        <vt:lpwstr>_Toc159404442</vt:lpwstr>
      </vt:variant>
      <vt:variant>
        <vt:i4>1441852</vt:i4>
      </vt:variant>
      <vt:variant>
        <vt:i4>2</vt:i4>
      </vt:variant>
      <vt:variant>
        <vt:i4>0</vt:i4>
      </vt:variant>
      <vt:variant>
        <vt:i4>5</vt:i4>
      </vt:variant>
      <vt:variant>
        <vt:lpwstr/>
      </vt:variant>
      <vt:variant>
        <vt:lpwstr>_Toc159404441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2024-02-22T06:20:00Z</dcterms:created>
  <dcterms:modified xsi:type="dcterms:W3CDTF">2024-02-22T06:20:00Z</dcterms:modified>
</cp:coreProperties>
</file>