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28347C86" w14:textId="43055843" w:rsidR="0035517B" w:rsidRDefault="0035517B" w:rsidP="00260847">
          <w:pPr>
            <w:pStyle w:val="NoSpacing"/>
            <w:spacing w:before="120" w:after="120"/>
            <w:rPr>
              <w:rFonts w:ascii="Arial" w:hAnsi="Arial" w:cs="Arial"/>
              <w:bCs/>
              <w:sz w:val="28"/>
            </w:rPr>
          </w:pPr>
        </w:p>
        <w:p w14:paraId="0099F773" w14:textId="77777777" w:rsidR="0035517B" w:rsidRDefault="0035517B" w:rsidP="00260847">
          <w:pPr>
            <w:pStyle w:val="NoSpacing"/>
            <w:spacing w:before="120" w:after="120"/>
            <w:rPr>
              <w:rFonts w:ascii="Arial" w:hAnsi="Arial" w:cs="Arial"/>
              <w:bCs/>
              <w:sz w:val="28"/>
            </w:rPr>
          </w:pPr>
        </w:p>
        <w:p w14:paraId="2DB6B74B"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571D197F" wp14:editId="126805F7">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5A27AC8" w14:textId="77777777" w:rsidR="0035517B" w:rsidRDefault="0035517B" w:rsidP="00260847">
          <w:pPr>
            <w:pStyle w:val="NoSpacing"/>
            <w:spacing w:before="120" w:after="120"/>
            <w:rPr>
              <w:rFonts w:ascii="Arial" w:hAnsi="Arial" w:cs="Arial"/>
              <w:bCs/>
              <w:sz w:val="28"/>
            </w:rPr>
          </w:pPr>
        </w:p>
        <w:p w14:paraId="554D3B63" w14:textId="77777777" w:rsidR="0035517B" w:rsidRDefault="0035517B" w:rsidP="00260847">
          <w:pPr>
            <w:pStyle w:val="NoSpacing"/>
            <w:spacing w:before="120" w:after="120"/>
            <w:rPr>
              <w:rFonts w:ascii="Arial" w:hAnsi="Arial" w:cs="Arial"/>
              <w:bCs/>
              <w:sz w:val="28"/>
            </w:rPr>
          </w:pPr>
        </w:p>
        <w:p w14:paraId="0EEC1657" w14:textId="77777777" w:rsidR="0035517B" w:rsidRDefault="0035517B" w:rsidP="00260847">
          <w:pPr>
            <w:pStyle w:val="NoSpacing"/>
            <w:spacing w:before="120" w:after="120"/>
            <w:rPr>
              <w:rFonts w:ascii="Arial" w:hAnsi="Arial" w:cs="Arial"/>
              <w:bCs/>
              <w:sz w:val="28"/>
            </w:rPr>
          </w:pPr>
        </w:p>
        <w:p w14:paraId="1221C520" w14:textId="77777777" w:rsidR="0035517B" w:rsidRDefault="0035517B" w:rsidP="00260847">
          <w:pPr>
            <w:pStyle w:val="NoSpacing"/>
            <w:spacing w:before="120" w:after="120"/>
            <w:rPr>
              <w:rFonts w:ascii="Arial" w:hAnsi="Arial" w:cs="Arial"/>
              <w:bCs/>
              <w:sz w:val="28"/>
            </w:rPr>
          </w:pPr>
        </w:p>
        <w:p w14:paraId="349414F9" w14:textId="77777777" w:rsidR="0035517B" w:rsidRDefault="0035517B" w:rsidP="00260847">
          <w:pPr>
            <w:pStyle w:val="NoSpacing"/>
            <w:spacing w:before="120" w:after="120"/>
            <w:rPr>
              <w:rFonts w:ascii="Arial" w:hAnsi="Arial" w:cs="Arial"/>
              <w:bCs/>
              <w:sz w:val="28"/>
            </w:rPr>
          </w:pPr>
        </w:p>
        <w:p w14:paraId="733F462E" w14:textId="768CB45C" w:rsidR="0035517B" w:rsidRPr="0035517B" w:rsidRDefault="00F16EB4" w:rsidP="0035517B">
          <w:pPr>
            <w:pStyle w:val="Title"/>
          </w:pPr>
          <w:r w:rsidRPr="00F16EB4">
            <w:br/>
            <w:t>Queensland Community Safety Bill 2024</w:t>
          </w:r>
          <w:r>
            <w:t xml:space="preserve"> </w:t>
          </w:r>
        </w:p>
        <w:p w14:paraId="5D743949" w14:textId="5717C5F4" w:rsidR="00260847" w:rsidRDefault="00260847" w:rsidP="0035517B">
          <w:pPr>
            <w:pStyle w:val="Heading2"/>
          </w:pPr>
          <w:bookmarkStart w:id="0" w:name="_Toc166600052"/>
          <w:bookmarkStart w:id="1" w:name="_Toc166659210"/>
          <w:bookmarkStart w:id="2" w:name="_Toc166767042"/>
          <w:bookmarkStart w:id="3" w:name="_Toc166839042"/>
          <w:r w:rsidRPr="00260847">
            <w:t>Submission</w:t>
          </w:r>
          <w:r>
            <w:t xml:space="preserve"> </w:t>
          </w:r>
          <w:r w:rsidRPr="00260847">
            <w:t>to</w:t>
          </w:r>
          <w:r>
            <w:t xml:space="preserve"> </w:t>
          </w:r>
          <w:r w:rsidR="00F16EB4">
            <w:t>Community Safety and Legal Affairs Committee</w:t>
          </w:r>
          <w:bookmarkEnd w:id="0"/>
          <w:bookmarkEnd w:id="1"/>
          <w:bookmarkEnd w:id="2"/>
          <w:bookmarkEnd w:id="3"/>
        </w:p>
        <w:p w14:paraId="4EC698FC" w14:textId="14702585" w:rsidR="00260847" w:rsidRDefault="007B1289" w:rsidP="0035517B">
          <w:pPr>
            <w:pStyle w:val="Heading2"/>
          </w:pPr>
          <w:bookmarkStart w:id="4" w:name="_Toc166600053"/>
          <w:bookmarkStart w:id="5" w:name="_Toc166659211"/>
          <w:bookmarkStart w:id="6" w:name="_Toc166767043"/>
          <w:bookmarkStart w:id="7" w:name="_Toc166839043"/>
          <w:r w:rsidRPr="00390A2B">
            <w:t>1</w:t>
          </w:r>
          <w:r w:rsidR="00EF4A23" w:rsidRPr="00390A2B">
            <w:t>7</w:t>
          </w:r>
          <w:r>
            <w:t xml:space="preserve"> May 2024</w:t>
          </w:r>
          <w:bookmarkEnd w:id="4"/>
          <w:bookmarkEnd w:id="5"/>
          <w:bookmarkEnd w:id="6"/>
          <w:bookmarkEnd w:id="7"/>
        </w:p>
        <w:p w14:paraId="33E7D1DE" w14:textId="77777777" w:rsidR="00260847" w:rsidRDefault="00260847">
          <w:pPr>
            <w:rPr>
              <w:rFonts w:cs="Arial"/>
              <w:bCs/>
              <w:sz w:val="28"/>
              <w:szCs w:val="22"/>
              <w:lang w:val="en-US"/>
            </w:rPr>
          </w:pPr>
          <w:r>
            <w:rPr>
              <w:rFonts w:cs="Arial"/>
              <w:bCs/>
              <w:sz w:val="28"/>
            </w:rPr>
            <w:br w:type="page"/>
          </w:r>
        </w:p>
        <w:p w14:paraId="5F6AEEB7" w14:textId="77777777" w:rsidR="004A2375" w:rsidRDefault="004A2375" w:rsidP="00260847">
          <w:pPr>
            <w:pStyle w:val="NoSpacing"/>
            <w:spacing w:before="120" w:after="120"/>
          </w:pPr>
        </w:p>
        <w:p w14:paraId="2454BDBF" w14:textId="77777777" w:rsidR="00A16356" w:rsidRPr="004A2375" w:rsidRDefault="00A31286">
          <w:pPr>
            <w:rPr>
              <w:rFonts w:eastAsiaTheme="majorEastAsia" w:cstheme="majorBidi"/>
              <w:b/>
              <w:color w:val="365F91" w:themeColor="accent1" w:themeShade="BF"/>
              <w:sz w:val="16"/>
              <w:szCs w:val="16"/>
            </w:rPr>
          </w:pPr>
        </w:p>
      </w:sdtContent>
    </w:sdt>
    <w:bookmarkStart w:id="8" w:name="_Toc166600054" w:displacedByCustomXml="next"/>
    <w:bookmarkStart w:id="9" w:name="_Toc166659212" w:displacedByCustomXml="next"/>
    <w:bookmarkStart w:id="10" w:name="_Toc166767044" w:displacedByCustomXml="next"/>
    <w:bookmarkStart w:id="11" w:name="_Toc166839044"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color w:val="000000" w:themeColor="text1"/>
          <w:sz w:val="22"/>
          <w:lang w:val="en-AU"/>
        </w:rPr>
      </w:sdtEndPr>
      <w:sdtContent>
        <w:p w14:paraId="62000501" w14:textId="77777777" w:rsidR="00A16356" w:rsidRPr="00A16356" w:rsidRDefault="00260847" w:rsidP="00260847">
          <w:pPr>
            <w:pStyle w:val="Heading1"/>
          </w:pPr>
          <w:r>
            <w:t>Table of c</w:t>
          </w:r>
          <w:r w:rsidR="00A16356" w:rsidRPr="00A16356">
            <w:t>ontents</w:t>
          </w:r>
          <w:bookmarkEnd w:id="11"/>
          <w:bookmarkEnd w:id="10"/>
          <w:bookmarkEnd w:id="9"/>
          <w:bookmarkEnd w:id="8"/>
        </w:p>
        <w:p w14:paraId="5A12D5C1" w14:textId="29B35282" w:rsidR="00CF7C7D" w:rsidRDefault="00A16356" w:rsidP="00CF7C7D">
          <w:pPr>
            <w:pStyle w:val="TOC2"/>
            <w:rPr>
              <w:rFonts w:asciiTheme="minorHAnsi" w:hAnsiTheme="minorHAnsi"/>
              <w:noProof/>
              <w:color w:val="auto"/>
              <w:kern w:val="2"/>
              <w:sz w:val="24"/>
              <w:lang w:eastAsia="en-AU"/>
              <w14:ligatures w14:val="standardContextual"/>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p>
        <w:p w14:paraId="1F9F2229" w14:textId="0A76C35E" w:rsidR="00CF7C7D" w:rsidRDefault="00A31286">
          <w:pPr>
            <w:pStyle w:val="TOC1"/>
            <w:tabs>
              <w:tab w:val="right" w:leader="dot" w:pos="8296"/>
            </w:tabs>
            <w:rPr>
              <w:rFonts w:asciiTheme="minorHAnsi" w:hAnsiTheme="minorHAnsi"/>
              <w:noProof/>
              <w:color w:val="auto"/>
              <w:kern w:val="2"/>
              <w:sz w:val="24"/>
              <w:lang w:eastAsia="en-AU"/>
              <w14:ligatures w14:val="standardContextual"/>
            </w:rPr>
          </w:pPr>
          <w:hyperlink w:anchor="_Toc166839045" w:history="1">
            <w:r w:rsidR="00CF7C7D" w:rsidRPr="00CD053A">
              <w:rPr>
                <w:rStyle w:val="Hyperlink"/>
                <w:noProof/>
              </w:rPr>
              <w:t>About the Commission</w:t>
            </w:r>
            <w:r w:rsidR="00CF7C7D">
              <w:rPr>
                <w:noProof/>
                <w:webHidden/>
              </w:rPr>
              <w:tab/>
            </w:r>
            <w:r w:rsidR="00CF7C7D">
              <w:rPr>
                <w:noProof/>
                <w:webHidden/>
              </w:rPr>
              <w:fldChar w:fldCharType="begin"/>
            </w:r>
            <w:r w:rsidR="00CF7C7D">
              <w:rPr>
                <w:noProof/>
                <w:webHidden/>
              </w:rPr>
              <w:instrText xml:space="preserve"> PAGEREF _Toc166839045 \h </w:instrText>
            </w:r>
            <w:r w:rsidR="00CF7C7D">
              <w:rPr>
                <w:noProof/>
                <w:webHidden/>
              </w:rPr>
            </w:r>
            <w:r w:rsidR="00CF7C7D">
              <w:rPr>
                <w:noProof/>
                <w:webHidden/>
              </w:rPr>
              <w:fldChar w:fldCharType="separate"/>
            </w:r>
            <w:r w:rsidR="0089137B">
              <w:rPr>
                <w:noProof/>
                <w:webHidden/>
              </w:rPr>
              <w:t>2</w:t>
            </w:r>
            <w:r w:rsidR="00CF7C7D">
              <w:rPr>
                <w:noProof/>
                <w:webHidden/>
              </w:rPr>
              <w:fldChar w:fldCharType="end"/>
            </w:r>
          </w:hyperlink>
        </w:p>
        <w:p w14:paraId="36EE3897" w14:textId="7F88D562" w:rsidR="00CF7C7D" w:rsidRDefault="00A31286">
          <w:pPr>
            <w:pStyle w:val="TOC1"/>
            <w:tabs>
              <w:tab w:val="right" w:leader="dot" w:pos="8296"/>
            </w:tabs>
            <w:rPr>
              <w:rFonts w:asciiTheme="minorHAnsi" w:hAnsiTheme="minorHAnsi"/>
              <w:noProof/>
              <w:color w:val="auto"/>
              <w:kern w:val="2"/>
              <w:sz w:val="24"/>
              <w:lang w:eastAsia="en-AU"/>
              <w14:ligatures w14:val="standardContextual"/>
            </w:rPr>
          </w:pPr>
          <w:hyperlink w:anchor="_Toc166839046" w:history="1">
            <w:r w:rsidR="00CF7C7D" w:rsidRPr="00CD053A">
              <w:rPr>
                <w:rStyle w:val="Hyperlink"/>
                <w:noProof/>
                <w:lang w:val="en-US"/>
              </w:rPr>
              <w:t>Introduction</w:t>
            </w:r>
            <w:r w:rsidR="00CF7C7D">
              <w:rPr>
                <w:noProof/>
                <w:webHidden/>
              </w:rPr>
              <w:tab/>
            </w:r>
            <w:r w:rsidR="00CF7C7D">
              <w:rPr>
                <w:noProof/>
                <w:webHidden/>
              </w:rPr>
              <w:fldChar w:fldCharType="begin"/>
            </w:r>
            <w:r w:rsidR="00CF7C7D">
              <w:rPr>
                <w:noProof/>
                <w:webHidden/>
              </w:rPr>
              <w:instrText xml:space="preserve"> PAGEREF _Toc166839046 \h </w:instrText>
            </w:r>
            <w:r w:rsidR="00CF7C7D">
              <w:rPr>
                <w:noProof/>
                <w:webHidden/>
              </w:rPr>
            </w:r>
            <w:r w:rsidR="00CF7C7D">
              <w:rPr>
                <w:noProof/>
                <w:webHidden/>
              </w:rPr>
              <w:fldChar w:fldCharType="separate"/>
            </w:r>
            <w:r w:rsidR="0089137B">
              <w:rPr>
                <w:noProof/>
                <w:webHidden/>
              </w:rPr>
              <w:t>2</w:t>
            </w:r>
            <w:r w:rsidR="00CF7C7D">
              <w:rPr>
                <w:noProof/>
                <w:webHidden/>
              </w:rPr>
              <w:fldChar w:fldCharType="end"/>
            </w:r>
          </w:hyperlink>
        </w:p>
        <w:p w14:paraId="6BFDCD72" w14:textId="230CBEC6" w:rsidR="00CF7C7D" w:rsidRDefault="00A31286">
          <w:pPr>
            <w:pStyle w:val="TOC1"/>
            <w:tabs>
              <w:tab w:val="right" w:leader="dot" w:pos="8296"/>
            </w:tabs>
            <w:rPr>
              <w:rFonts w:asciiTheme="minorHAnsi" w:hAnsiTheme="minorHAnsi"/>
              <w:noProof/>
              <w:color w:val="auto"/>
              <w:kern w:val="2"/>
              <w:sz w:val="24"/>
              <w:lang w:eastAsia="en-AU"/>
              <w14:ligatures w14:val="standardContextual"/>
            </w:rPr>
          </w:pPr>
          <w:hyperlink w:anchor="_Toc166839047" w:history="1">
            <w:r w:rsidR="00CF7C7D" w:rsidRPr="00CD053A">
              <w:rPr>
                <w:rStyle w:val="Hyperlink"/>
                <w:noProof/>
              </w:rPr>
              <w:t>Positive changes</w:t>
            </w:r>
            <w:r w:rsidR="00CF7C7D">
              <w:rPr>
                <w:noProof/>
                <w:webHidden/>
              </w:rPr>
              <w:tab/>
            </w:r>
            <w:r w:rsidR="00CF7C7D">
              <w:rPr>
                <w:noProof/>
                <w:webHidden/>
              </w:rPr>
              <w:fldChar w:fldCharType="begin"/>
            </w:r>
            <w:r w:rsidR="00CF7C7D">
              <w:rPr>
                <w:noProof/>
                <w:webHidden/>
              </w:rPr>
              <w:instrText xml:space="preserve"> PAGEREF _Toc166839047 \h </w:instrText>
            </w:r>
            <w:r w:rsidR="00CF7C7D">
              <w:rPr>
                <w:noProof/>
                <w:webHidden/>
              </w:rPr>
            </w:r>
            <w:r w:rsidR="00CF7C7D">
              <w:rPr>
                <w:noProof/>
                <w:webHidden/>
              </w:rPr>
              <w:fldChar w:fldCharType="separate"/>
            </w:r>
            <w:r w:rsidR="0089137B">
              <w:rPr>
                <w:noProof/>
                <w:webHidden/>
              </w:rPr>
              <w:t>2</w:t>
            </w:r>
            <w:r w:rsidR="00CF7C7D">
              <w:rPr>
                <w:noProof/>
                <w:webHidden/>
              </w:rPr>
              <w:fldChar w:fldCharType="end"/>
            </w:r>
          </w:hyperlink>
        </w:p>
        <w:p w14:paraId="02BF9165" w14:textId="76B64C5A" w:rsidR="00CF7C7D" w:rsidRDefault="00A31286">
          <w:pPr>
            <w:pStyle w:val="TOC1"/>
            <w:tabs>
              <w:tab w:val="right" w:leader="dot" w:pos="8296"/>
            </w:tabs>
            <w:rPr>
              <w:rFonts w:asciiTheme="minorHAnsi" w:hAnsiTheme="minorHAnsi"/>
              <w:noProof/>
              <w:color w:val="auto"/>
              <w:kern w:val="2"/>
              <w:sz w:val="24"/>
              <w:lang w:eastAsia="en-AU"/>
              <w14:ligatures w14:val="standardContextual"/>
            </w:rPr>
          </w:pPr>
          <w:hyperlink w:anchor="_Toc166839048" w:history="1">
            <w:r w:rsidR="00CF7C7D" w:rsidRPr="00CD053A">
              <w:rPr>
                <w:rStyle w:val="Hyperlink"/>
                <w:noProof/>
              </w:rPr>
              <w:t>Key concerns</w:t>
            </w:r>
            <w:r w:rsidR="00CF7C7D">
              <w:rPr>
                <w:noProof/>
                <w:webHidden/>
              </w:rPr>
              <w:tab/>
            </w:r>
            <w:r w:rsidR="00CF7C7D">
              <w:rPr>
                <w:noProof/>
                <w:webHidden/>
              </w:rPr>
              <w:fldChar w:fldCharType="begin"/>
            </w:r>
            <w:r w:rsidR="00CF7C7D">
              <w:rPr>
                <w:noProof/>
                <w:webHidden/>
              </w:rPr>
              <w:instrText xml:space="preserve"> PAGEREF _Toc166839048 \h </w:instrText>
            </w:r>
            <w:r w:rsidR="00CF7C7D">
              <w:rPr>
                <w:noProof/>
                <w:webHidden/>
              </w:rPr>
            </w:r>
            <w:r w:rsidR="00CF7C7D">
              <w:rPr>
                <w:noProof/>
                <w:webHidden/>
              </w:rPr>
              <w:fldChar w:fldCharType="separate"/>
            </w:r>
            <w:r w:rsidR="0089137B">
              <w:rPr>
                <w:noProof/>
                <w:webHidden/>
              </w:rPr>
              <w:t>2</w:t>
            </w:r>
            <w:r w:rsidR="00CF7C7D">
              <w:rPr>
                <w:noProof/>
                <w:webHidden/>
              </w:rPr>
              <w:fldChar w:fldCharType="end"/>
            </w:r>
          </w:hyperlink>
        </w:p>
        <w:p w14:paraId="0A39704A" w14:textId="5DC24BEC" w:rsidR="00CF7C7D" w:rsidRDefault="00A31286">
          <w:pPr>
            <w:pStyle w:val="TOC2"/>
            <w:rPr>
              <w:rFonts w:asciiTheme="minorHAnsi" w:hAnsiTheme="minorHAnsi"/>
              <w:noProof/>
              <w:color w:val="auto"/>
              <w:kern w:val="2"/>
              <w:sz w:val="24"/>
              <w:lang w:eastAsia="en-AU"/>
              <w14:ligatures w14:val="standardContextual"/>
            </w:rPr>
          </w:pPr>
          <w:hyperlink w:anchor="_Toc166839049" w:history="1">
            <w:r w:rsidR="00CF7C7D" w:rsidRPr="00CD053A">
              <w:rPr>
                <w:rStyle w:val="Hyperlink"/>
                <w:noProof/>
              </w:rPr>
              <w:t>Expansion of wanding powers</w:t>
            </w:r>
            <w:r w:rsidR="00CF7C7D">
              <w:rPr>
                <w:noProof/>
                <w:webHidden/>
              </w:rPr>
              <w:tab/>
            </w:r>
            <w:r w:rsidR="00CF7C7D">
              <w:rPr>
                <w:noProof/>
                <w:webHidden/>
              </w:rPr>
              <w:fldChar w:fldCharType="begin"/>
            </w:r>
            <w:r w:rsidR="00CF7C7D">
              <w:rPr>
                <w:noProof/>
                <w:webHidden/>
              </w:rPr>
              <w:instrText xml:space="preserve"> PAGEREF _Toc166839049 \h </w:instrText>
            </w:r>
            <w:r w:rsidR="00CF7C7D">
              <w:rPr>
                <w:noProof/>
                <w:webHidden/>
              </w:rPr>
            </w:r>
            <w:r w:rsidR="00CF7C7D">
              <w:rPr>
                <w:noProof/>
                <w:webHidden/>
              </w:rPr>
              <w:fldChar w:fldCharType="separate"/>
            </w:r>
            <w:r w:rsidR="0089137B">
              <w:rPr>
                <w:noProof/>
                <w:webHidden/>
              </w:rPr>
              <w:t>3</w:t>
            </w:r>
            <w:r w:rsidR="00CF7C7D">
              <w:rPr>
                <w:noProof/>
                <w:webHidden/>
              </w:rPr>
              <w:fldChar w:fldCharType="end"/>
            </w:r>
          </w:hyperlink>
        </w:p>
        <w:p w14:paraId="58957AE2" w14:textId="2BB9292A" w:rsidR="00CF7C7D" w:rsidRDefault="00A31286">
          <w:pPr>
            <w:pStyle w:val="TOC3"/>
            <w:tabs>
              <w:tab w:val="right" w:leader="dot" w:pos="8296"/>
            </w:tabs>
            <w:rPr>
              <w:rFonts w:asciiTheme="minorHAnsi" w:hAnsiTheme="minorHAnsi"/>
              <w:noProof/>
              <w:color w:val="auto"/>
              <w:kern w:val="2"/>
              <w:sz w:val="24"/>
              <w:lang w:eastAsia="en-AU"/>
              <w14:ligatures w14:val="standardContextual"/>
            </w:rPr>
          </w:pPr>
          <w:hyperlink w:anchor="_Toc166839050" w:history="1">
            <w:r w:rsidR="00CF7C7D" w:rsidRPr="00CD053A">
              <w:rPr>
                <w:rStyle w:val="Hyperlink"/>
                <w:noProof/>
              </w:rPr>
              <w:t>Previous submissions</w:t>
            </w:r>
            <w:r w:rsidR="00CF7C7D">
              <w:rPr>
                <w:noProof/>
                <w:webHidden/>
              </w:rPr>
              <w:tab/>
            </w:r>
            <w:r w:rsidR="00CF7C7D">
              <w:rPr>
                <w:noProof/>
                <w:webHidden/>
              </w:rPr>
              <w:fldChar w:fldCharType="begin"/>
            </w:r>
            <w:r w:rsidR="00CF7C7D">
              <w:rPr>
                <w:noProof/>
                <w:webHidden/>
              </w:rPr>
              <w:instrText xml:space="preserve"> PAGEREF _Toc166839050 \h </w:instrText>
            </w:r>
            <w:r w:rsidR="00CF7C7D">
              <w:rPr>
                <w:noProof/>
                <w:webHidden/>
              </w:rPr>
            </w:r>
            <w:r w:rsidR="00CF7C7D">
              <w:rPr>
                <w:noProof/>
                <w:webHidden/>
              </w:rPr>
              <w:fldChar w:fldCharType="separate"/>
            </w:r>
            <w:r w:rsidR="0089137B">
              <w:rPr>
                <w:noProof/>
                <w:webHidden/>
              </w:rPr>
              <w:t>3</w:t>
            </w:r>
            <w:r w:rsidR="00CF7C7D">
              <w:rPr>
                <w:noProof/>
                <w:webHidden/>
              </w:rPr>
              <w:fldChar w:fldCharType="end"/>
            </w:r>
          </w:hyperlink>
        </w:p>
        <w:p w14:paraId="7998232E" w14:textId="6651B374" w:rsidR="00CF7C7D" w:rsidRDefault="00A31286">
          <w:pPr>
            <w:pStyle w:val="TOC3"/>
            <w:tabs>
              <w:tab w:val="right" w:leader="dot" w:pos="8296"/>
            </w:tabs>
            <w:rPr>
              <w:rFonts w:asciiTheme="minorHAnsi" w:hAnsiTheme="minorHAnsi"/>
              <w:noProof/>
              <w:color w:val="auto"/>
              <w:kern w:val="2"/>
              <w:sz w:val="24"/>
              <w:lang w:eastAsia="en-AU"/>
              <w14:ligatures w14:val="standardContextual"/>
            </w:rPr>
          </w:pPr>
          <w:hyperlink w:anchor="_Toc166839051" w:history="1">
            <w:r w:rsidR="00CF7C7D" w:rsidRPr="00CD053A">
              <w:rPr>
                <w:rStyle w:val="Hyperlink"/>
                <w:noProof/>
              </w:rPr>
              <w:t>Consideration of current Bill</w:t>
            </w:r>
            <w:r w:rsidR="00CF7C7D">
              <w:rPr>
                <w:noProof/>
                <w:webHidden/>
              </w:rPr>
              <w:tab/>
            </w:r>
            <w:r w:rsidR="00CF7C7D">
              <w:rPr>
                <w:noProof/>
                <w:webHidden/>
              </w:rPr>
              <w:fldChar w:fldCharType="begin"/>
            </w:r>
            <w:r w:rsidR="00CF7C7D">
              <w:rPr>
                <w:noProof/>
                <w:webHidden/>
              </w:rPr>
              <w:instrText xml:space="preserve"> PAGEREF _Toc166839051 \h </w:instrText>
            </w:r>
            <w:r w:rsidR="00CF7C7D">
              <w:rPr>
                <w:noProof/>
                <w:webHidden/>
              </w:rPr>
            </w:r>
            <w:r w:rsidR="00CF7C7D">
              <w:rPr>
                <w:noProof/>
                <w:webHidden/>
              </w:rPr>
              <w:fldChar w:fldCharType="separate"/>
            </w:r>
            <w:r w:rsidR="0089137B">
              <w:rPr>
                <w:noProof/>
                <w:webHidden/>
              </w:rPr>
              <w:t>4</w:t>
            </w:r>
            <w:r w:rsidR="00CF7C7D">
              <w:rPr>
                <w:noProof/>
                <w:webHidden/>
              </w:rPr>
              <w:fldChar w:fldCharType="end"/>
            </w:r>
          </w:hyperlink>
        </w:p>
        <w:p w14:paraId="5C8A8CA0" w14:textId="2AE8330F" w:rsidR="00CF7C7D" w:rsidRDefault="00A31286">
          <w:pPr>
            <w:pStyle w:val="TOC2"/>
            <w:rPr>
              <w:rFonts w:asciiTheme="minorHAnsi" w:hAnsiTheme="minorHAnsi"/>
              <w:noProof/>
              <w:color w:val="auto"/>
              <w:kern w:val="2"/>
              <w:sz w:val="24"/>
              <w:lang w:eastAsia="en-AU"/>
              <w14:ligatures w14:val="standardContextual"/>
            </w:rPr>
          </w:pPr>
          <w:hyperlink w:anchor="_Toc166839052" w:history="1">
            <w:r w:rsidR="00CF7C7D" w:rsidRPr="00CD053A">
              <w:rPr>
                <w:rStyle w:val="Hyperlink"/>
                <w:noProof/>
              </w:rPr>
              <w:t>Access to Childrens Court proceedings</w:t>
            </w:r>
            <w:r w:rsidR="00CF7C7D">
              <w:rPr>
                <w:noProof/>
                <w:webHidden/>
              </w:rPr>
              <w:tab/>
            </w:r>
            <w:r w:rsidR="00CF7C7D">
              <w:rPr>
                <w:noProof/>
                <w:webHidden/>
              </w:rPr>
              <w:fldChar w:fldCharType="begin"/>
            </w:r>
            <w:r w:rsidR="00CF7C7D">
              <w:rPr>
                <w:noProof/>
                <w:webHidden/>
              </w:rPr>
              <w:instrText xml:space="preserve"> PAGEREF _Toc166839052 \h </w:instrText>
            </w:r>
            <w:r w:rsidR="00CF7C7D">
              <w:rPr>
                <w:noProof/>
                <w:webHidden/>
              </w:rPr>
            </w:r>
            <w:r w:rsidR="00CF7C7D">
              <w:rPr>
                <w:noProof/>
                <w:webHidden/>
              </w:rPr>
              <w:fldChar w:fldCharType="separate"/>
            </w:r>
            <w:r w:rsidR="0089137B">
              <w:rPr>
                <w:noProof/>
                <w:webHidden/>
              </w:rPr>
              <w:t>6</w:t>
            </w:r>
            <w:r w:rsidR="00CF7C7D">
              <w:rPr>
                <w:noProof/>
                <w:webHidden/>
              </w:rPr>
              <w:fldChar w:fldCharType="end"/>
            </w:r>
          </w:hyperlink>
        </w:p>
        <w:p w14:paraId="4A41CC23" w14:textId="543BF6DA" w:rsidR="00CF7C7D" w:rsidRDefault="00A31286">
          <w:pPr>
            <w:pStyle w:val="TOC3"/>
            <w:tabs>
              <w:tab w:val="right" w:leader="dot" w:pos="8296"/>
            </w:tabs>
            <w:rPr>
              <w:rFonts w:asciiTheme="minorHAnsi" w:hAnsiTheme="minorHAnsi"/>
              <w:noProof/>
              <w:color w:val="auto"/>
              <w:kern w:val="2"/>
              <w:sz w:val="24"/>
              <w:lang w:eastAsia="en-AU"/>
              <w14:ligatures w14:val="standardContextual"/>
            </w:rPr>
          </w:pPr>
          <w:hyperlink w:anchor="_Toc166839053" w:history="1">
            <w:r w:rsidR="00CF7C7D" w:rsidRPr="00CD053A">
              <w:rPr>
                <w:rStyle w:val="Hyperlink"/>
                <w:noProof/>
              </w:rPr>
              <w:t>Attendance from another room</w:t>
            </w:r>
            <w:r w:rsidR="00CF7C7D">
              <w:rPr>
                <w:noProof/>
                <w:webHidden/>
              </w:rPr>
              <w:tab/>
            </w:r>
            <w:r w:rsidR="00CF7C7D">
              <w:rPr>
                <w:noProof/>
                <w:webHidden/>
              </w:rPr>
              <w:fldChar w:fldCharType="begin"/>
            </w:r>
            <w:r w:rsidR="00CF7C7D">
              <w:rPr>
                <w:noProof/>
                <w:webHidden/>
              </w:rPr>
              <w:instrText xml:space="preserve"> PAGEREF _Toc166839053 \h </w:instrText>
            </w:r>
            <w:r w:rsidR="00CF7C7D">
              <w:rPr>
                <w:noProof/>
                <w:webHidden/>
              </w:rPr>
            </w:r>
            <w:r w:rsidR="00CF7C7D">
              <w:rPr>
                <w:noProof/>
                <w:webHidden/>
              </w:rPr>
              <w:fldChar w:fldCharType="separate"/>
            </w:r>
            <w:r w:rsidR="0089137B">
              <w:rPr>
                <w:noProof/>
                <w:webHidden/>
              </w:rPr>
              <w:t>8</w:t>
            </w:r>
            <w:r w:rsidR="00CF7C7D">
              <w:rPr>
                <w:noProof/>
                <w:webHidden/>
              </w:rPr>
              <w:fldChar w:fldCharType="end"/>
            </w:r>
          </w:hyperlink>
        </w:p>
        <w:p w14:paraId="594137C6" w14:textId="30970475" w:rsidR="00CF7C7D" w:rsidRDefault="00A31286">
          <w:pPr>
            <w:pStyle w:val="TOC3"/>
            <w:tabs>
              <w:tab w:val="right" w:leader="dot" w:pos="8296"/>
            </w:tabs>
            <w:rPr>
              <w:rFonts w:asciiTheme="minorHAnsi" w:hAnsiTheme="minorHAnsi"/>
              <w:noProof/>
              <w:color w:val="auto"/>
              <w:kern w:val="2"/>
              <w:sz w:val="24"/>
              <w:lang w:eastAsia="en-AU"/>
              <w14:ligatures w14:val="standardContextual"/>
            </w:rPr>
          </w:pPr>
          <w:hyperlink w:anchor="_Toc166839054" w:history="1">
            <w:r w:rsidR="00CF7C7D" w:rsidRPr="00CD053A">
              <w:rPr>
                <w:rStyle w:val="Hyperlink"/>
                <w:noProof/>
              </w:rPr>
              <w:t>Criteria for exclusion orders</w:t>
            </w:r>
            <w:r w:rsidR="00CF7C7D">
              <w:rPr>
                <w:noProof/>
                <w:webHidden/>
              </w:rPr>
              <w:tab/>
            </w:r>
            <w:r w:rsidR="00CF7C7D">
              <w:rPr>
                <w:noProof/>
                <w:webHidden/>
              </w:rPr>
              <w:fldChar w:fldCharType="begin"/>
            </w:r>
            <w:r w:rsidR="00CF7C7D">
              <w:rPr>
                <w:noProof/>
                <w:webHidden/>
              </w:rPr>
              <w:instrText xml:space="preserve"> PAGEREF _Toc166839054 \h </w:instrText>
            </w:r>
            <w:r w:rsidR="00CF7C7D">
              <w:rPr>
                <w:noProof/>
                <w:webHidden/>
              </w:rPr>
            </w:r>
            <w:r w:rsidR="00CF7C7D">
              <w:rPr>
                <w:noProof/>
                <w:webHidden/>
              </w:rPr>
              <w:fldChar w:fldCharType="separate"/>
            </w:r>
            <w:r w:rsidR="0089137B">
              <w:rPr>
                <w:noProof/>
                <w:webHidden/>
              </w:rPr>
              <w:t>8</w:t>
            </w:r>
            <w:r w:rsidR="00CF7C7D">
              <w:rPr>
                <w:noProof/>
                <w:webHidden/>
              </w:rPr>
              <w:fldChar w:fldCharType="end"/>
            </w:r>
          </w:hyperlink>
        </w:p>
        <w:p w14:paraId="360597B3" w14:textId="15502102" w:rsidR="00CF7C7D" w:rsidRDefault="00A31286">
          <w:pPr>
            <w:pStyle w:val="TOC3"/>
            <w:tabs>
              <w:tab w:val="right" w:leader="dot" w:pos="8296"/>
            </w:tabs>
            <w:rPr>
              <w:rFonts w:asciiTheme="minorHAnsi" w:hAnsiTheme="minorHAnsi"/>
              <w:noProof/>
              <w:color w:val="auto"/>
              <w:kern w:val="2"/>
              <w:sz w:val="24"/>
              <w:lang w:eastAsia="en-AU"/>
              <w14:ligatures w14:val="standardContextual"/>
            </w:rPr>
          </w:pPr>
          <w:hyperlink w:anchor="_Toc166839055" w:history="1">
            <w:r w:rsidR="00CF7C7D" w:rsidRPr="00CD053A">
              <w:rPr>
                <w:rStyle w:val="Hyperlink"/>
                <w:noProof/>
              </w:rPr>
              <w:t>Safeguards on reporting</w:t>
            </w:r>
            <w:r w:rsidR="00CF7C7D">
              <w:rPr>
                <w:noProof/>
                <w:webHidden/>
              </w:rPr>
              <w:tab/>
            </w:r>
            <w:r w:rsidR="00CF7C7D">
              <w:rPr>
                <w:noProof/>
                <w:webHidden/>
              </w:rPr>
              <w:fldChar w:fldCharType="begin"/>
            </w:r>
            <w:r w:rsidR="00CF7C7D">
              <w:rPr>
                <w:noProof/>
                <w:webHidden/>
              </w:rPr>
              <w:instrText xml:space="preserve"> PAGEREF _Toc166839055 \h </w:instrText>
            </w:r>
            <w:r w:rsidR="00CF7C7D">
              <w:rPr>
                <w:noProof/>
                <w:webHidden/>
              </w:rPr>
            </w:r>
            <w:r w:rsidR="00CF7C7D">
              <w:rPr>
                <w:noProof/>
                <w:webHidden/>
              </w:rPr>
              <w:fldChar w:fldCharType="separate"/>
            </w:r>
            <w:r w:rsidR="0089137B">
              <w:rPr>
                <w:noProof/>
                <w:webHidden/>
              </w:rPr>
              <w:t>9</w:t>
            </w:r>
            <w:r w:rsidR="00CF7C7D">
              <w:rPr>
                <w:noProof/>
                <w:webHidden/>
              </w:rPr>
              <w:fldChar w:fldCharType="end"/>
            </w:r>
          </w:hyperlink>
        </w:p>
        <w:p w14:paraId="0F996FAB" w14:textId="641F5701" w:rsidR="00CF7C7D" w:rsidRDefault="00A31286">
          <w:pPr>
            <w:pStyle w:val="TOC2"/>
            <w:rPr>
              <w:rFonts w:asciiTheme="minorHAnsi" w:hAnsiTheme="minorHAnsi"/>
              <w:noProof/>
              <w:color w:val="auto"/>
              <w:kern w:val="2"/>
              <w:sz w:val="24"/>
              <w:lang w:eastAsia="en-AU"/>
              <w14:ligatures w14:val="standardContextual"/>
            </w:rPr>
          </w:pPr>
          <w:hyperlink w:anchor="_Toc166839056" w:history="1">
            <w:r w:rsidR="00CF7C7D" w:rsidRPr="00CD053A">
              <w:rPr>
                <w:rStyle w:val="Hyperlink"/>
                <w:noProof/>
              </w:rPr>
              <w:t>Increased penalty for knife possession</w:t>
            </w:r>
            <w:r w:rsidR="00CF7C7D">
              <w:rPr>
                <w:noProof/>
                <w:webHidden/>
              </w:rPr>
              <w:tab/>
            </w:r>
            <w:r w:rsidR="00CF7C7D">
              <w:rPr>
                <w:noProof/>
                <w:webHidden/>
              </w:rPr>
              <w:fldChar w:fldCharType="begin"/>
            </w:r>
            <w:r w:rsidR="00CF7C7D">
              <w:rPr>
                <w:noProof/>
                <w:webHidden/>
              </w:rPr>
              <w:instrText xml:space="preserve"> PAGEREF _Toc166839056 \h </w:instrText>
            </w:r>
            <w:r w:rsidR="00CF7C7D">
              <w:rPr>
                <w:noProof/>
                <w:webHidden/>
              </w:rPr>
            </w:r>
            <w:r w:rsidR="00CF7C7D">
              <w:rPr>
                <w:noProof/>
                <w:webHidden/>
              </w:rPr>
              <w:fldChar w:fldCharType="separate"/>
            </w:r>
            <w:r w:rsidR="0089137B">
              <w:rPr>
                <w:noProof/>
                <w:webHidden/>
              </w:rPr>
              <w:t>10</w:t>
            </w:r>
            <w:r w:rsidR="00CF7C7D">
              <w:rPr>
                <w:noProof/>
                <w:webHidden/>
              </w:rPr>
              <w:fldChar w:fldCharType="end"/>
            </w:r>
          </w:hyperlink>
        </w:p>
        <w:p w14:paraId="0C5DAB19" w14:textId="0775969E" w:rsidR="00CF7C7D" w:rsidRDefault="00A31286">
          <w:pPr>
            <w:pStyle w:val="TOC2"/>
            <w:rPr>
              <w:rFonts w:asciiTheme="minorHAnsi" w:hAnsiTheme="minorHAnsi"/>
              <w:noProof/>
              <w:color w:val="auto"/>
              <w:kern w:val="2"/>
              <w:sz w:val="24"/>
              <w:lang w:eastAsia="en-AU"/>
              <w14:ligatures w14:val="standardContextual"/>
            </w:rPr>
          </w:pPr>
          <w:hyperlink w:anchor="_Toc166839057" w:history="1">
            <w:r w:rsidR="00CF7C7D" w:rsidRPr="00CD053A">
              <w:rPr>
                <w:rStyle w:val="Hyperlink"/>
                <w:noProof/>
              </w:rPr>
              <w:t>Temporary transfer of children from watch houses</w:t>
            </w:r>
            <w:r w:rsidR="00CF7C7D">
              <w:rPr>
                <w:noProof/>
                <w:webHidden/>
              </w:rPr>
              <w:tab/>
            </w:r>
            <w:r w:rsidR="00CF7C7D">
              <w:rPr>
                <w:noProof/>
                <w:webHidden/>
              </w:rPr>
              <w:fldChar w:fldCharType="begin"/>
            </w:r>
            <w:r w:rsidR="00CF7C7D">
              <w:rPr>
                <w:noProof/>
                <w:webHidden/>
              </w:rPr>
              <w:instrText xml:space="preserve"> PAGEREF _Toc166839057 \h </w:instrText>
            </w:r>
            <w:r w:rsidR="00CF7C7D">
              <w:rPr>
                <w:noProof/>
                <w:webHidden/>
              </w:rPr>
            </w:r>
            <w:r w:rsidR="00CF7C7D">
              <w:rPr>
                <w:noProof/>
                <w:webHidden/>
              </w:rPr>
              <w:fldChar w:fldCharType="separate"/>
            </w:r>
            <w:r w:rsidR="0089137B">
              <w:rPr>
                <w:noProof/>
                <w:webHidden/>
              </w:rPr>
              <w:t>11</w:t>
            </w:r>
            <w:r w:rsidR="00CF7C7D">
              <w:rPr>
                <w:noProof/>
                <w:webHidden/>
              </w:rPr>
              <w:fldChar w:fldCharType="end"/>
            </w:r>
          </w:hyperlink>
        </w:p>
        <w:p w14:paraId="00798580" w14:textId="7054A476" w:rsidR="00CF7C7D" w:rsidRDefault="00A31286">
          <w:pPr>
            <w:pStyle w:val="TOC2"/>
            <w:rPr>
              <w:rFonts w:asciiTheme="minorHAnsi" w:hAnsiTheme="minorHAnsi"/>
              <w:noProof/>
              <w:color w:val="auto"/>
              <w:kern w:val="2"/>
              <w:sz w:val="24"/>
              <w:lang w:eastAsia="en-AU"/>
              <w14:ligatures w14:val="standardContextual"/>
            </w:rPr>
          </w:pPr>
          <w:hyperlink w:anchor="_Toc166839058" w:history="1">
            <w:r w:rsidR="00CF7C7D" w:rsidRPr="00CD053A">
              <w:rPr>
                <w:rStyle w:val="Hyperlink"/>
                <w:noProof/>
              </w:rPr>
              <w:t>Endangering police officer or damaging an emergency vehicle when driving</w:t>
            </w:r>
            <w:r w:rsidR="00CF7C7D">
              <w:rPr>
                <w:noProof/>
                <w:webHidden/>
              </w:rPr>
              <w:tab/>
            </w:r>
            <w:r w:rsidR="00CF7C7D">
              <w:rPr>
                <w:noProof/>
                <w:webHidden/>
              </w:rPr>
              <w:fldChar w:fldCharType="begin"/>
            </w:r>
            <w:r w:rsidR="00CF7C7D">
              <w:rPr>
                <w:noProof/>
                <w:webHidden/>
              </w:rPr>
              <w:instrText xml:space="preserve"> PAGEREF _Toc166839058 \h </w:instrText>
            </w:r>
            <w:r w:rsidR="00CF7C7D">
              <w:rPr>
                <w:noProof/>
                <w:webHidden/>
              </w:rPr>
            </w:r>
            <w:r w:rsidR="00CF7C7D">
              <w:rPr>
                <w:noProof/>
                <w:webHidden/>
              </w:rPr>
              <w:fldChar w:fldCharType="separate"/>
            </w:r>
            <w:r w:rsidR="0089137B">
              <w:rPr>
                <w:noProof/>
                <w:webHidden/>
              </w:rPr>
              <w:t>12</w:t>
            </w:r>
            <w:r w:rsidR="00CF7C7D">
              <w:rPr>
                <w:noProof/>
                <w:webHidden/>
              </w:rPr>
              <w:fldChar w:fldCharType="end"/>
            </w:r>
          </w:hyperlink>
        </w:p>
        <w:p w14:paraId="51032171" w14:textId="0D592B11" w:rsidR="00CF7C7D" w:rsidRDefault="00A31286">
          <w:pPr>
            <w:pStyle w:val="TOC2"/>
            <w:rPr>
              <w:rFonts w:asciiTheme="minorHAnsi" w:hAnsiTheme="minorHAnsi"/>
              <w:noProof/>
              <w:color w:val="auto"/>
              <w:kern w:val="2"/>
              <w:sz w:val="24"/>
              <w:lang w:eastAsia="en-AU"/>
              <w14:ligatures w14:val="standardContextual"/>
            </w:rPr>
          </w:pPr>
          <w:hyperlink w:anchor="_Toc166839059" w:history="1">
            <w:r w:rsidR="00CF7C7D" w:rsidRPr="00CD053A">
              <w:rPr>
                <w:rStyle w:val="Hyperlink"/>
                <w:noProof/>
              </w:rPr>
              <w:t>Transfers of 18-year-olds to adult prisons</w:t>
            </w:r>
            <w:r w:rsidR="00CF7C7D">
              <w:rPr>
                <w:noProof/>
                <w:webHidden/>
              </w:rPr>
              <w:tab/>
            </w:r>
            <w:r w:rsidR="00CF7C7D">
              <w:rPr>
                <w:noProof/>
                <w:webHidden/>
              </w:rPr>
              <w:fldChar w:fldCharType="begin"/>
            </w:r>
            <w:r w:rsidR="00CF7C7D">
              <w:rPr>
                <w:noProof/>
                <w:webHidden/>
              </w:rPr>
              <w:instrText xml:space="preserve"> PAGEREF _Toc166839059 \h </w:instrText>
            </w:r>
            <w:r w:rsidR="00CF7C7D">
              <w:rPr>
                <w:noProof/>
                <w:webHidden/>
              </w:rPr>
            </w:r>
            <w:r w:rsidR="00CF7C7D">
              <w:rPr>
                <w:noProof/>
                <w:webHidden/>
              </w:rPr>
              <w:fldChar w:fldCharType="separate"/>
            </w:r>
            <w:r w:rsidR="0089137B">
              <w:rPr>
                <w:noProof/>
                <w:webHidden/>
              </w:rPr>
              <w:t>14</w:t>
            </w:r>
            <w:r w:rsidR="00CF7C7D">
              <w:rPr>
                <w:noProof/>
                <w:webHidden/>
              </w:rPr>
              <w:fldChar w:fldCharType="end"/>
            </w:r>
          </w:hyperlink>
        </w:p>
        <w:p w14:paraId="0026D0C3" w14:textId="1963ABFA" w:rsidR="00CF7C7D" w:rsidRDefault="00A31286">
          <w:pPr>
            <w:pStyle w:val="TOC2"/>
            <w:rPr>
              <w:rFonts w:asciiTheme="minorHAnsi" w:hAnsiTheme="minorHAnsi"/>
              <w:noProof/>
              <w:color w:val="auto"/>
              <w:kern w:val="2"/>
              <w:sz w:val="24"/>
              <w:lang w:eastAsia="en-AU"/>
              <w14:ligatures w14:val="standardContextual"/>
            </w:rPr>
          </w:pPr>
          <w:hyperlink w:anchor="_Toc166839060" w:history="1">
            <w:r w:rsidR="00CF7C7D" w:rsidRPr="00CD053A">
              <w:rPr>
                <w:rStyle w:val="Hyperlink"/>
                <w:noProof/>
              </w:rPr>
              <w:t>Photographing detainees and detention centres</w:t>
            </w:r>
            <w:r w:rsidR="00CF7C7D">
              <w:rPr>
                <w:noProof/>
                <w:webHidden/>
              </w:rPr>
              <w:tab/>
            </w:r>
            <w:r w:rsidR="00CF7C7D">
              <w:rPr>
                <w:noProof/>
                <w:webHidden/>
              </w:rPr>
              <w:fldChar w:fldCharType="begin"/>
            </w:r>
            <w:r w:rsidR="00CF7C7D">
              <w:rPr>
                <w:noProof/>
                <w:webHidden/>
              </w:rPr>
              <w:instrText xml:space="preserve"> PAGEREF _Toc166839060 \h </w:instrText>
            </w:r>
            <w:r w:rsidR="00CF7C7D">
              <w:rPr>
                <w:noProof/>
                <w:webHidden/>
              </w:rPr>
            </w:r>
            <w:r w:rsidR="00CF7C7D">
              <w:rPr>
                <w:noProof/>
                <w:webHidden/>
              </w:rPr>
              <w:fldChar w:fldCharType="separate"/>
            </w:r>
            <w:r w:rsidR="0089137B">
              <w:rPr>
                <w:noProof/>
                <w:webHidden/>
              </w:rPr>
              <w:t>16</w:t>
            </w:r>
            <w:r w:rsidR="00CF7C7D">
              <w:rPr>
                <w:noProof/>
                <w:webHidden/>
              </w:rPr>
              <w:fldChar w:fldCharType="end"/>
            </w:r>
          </w:hyperlink>
        </w:p>
        <w:p w14:paraId="6C236636" w14:textId="0C4689A8" w:rsidR="00CF7C7D" w:rsidRDefault="00A31286">
          <w:pPr>
            <w:pStyle w:val="TOC3"/>
            <w:tabs>
              <w:tab w:val="right" w:leader="dot" w:pos="8296"/>
            </w:tabs>
            <w:rPr>
              <w:rFonts w:asciiTheme="minorHAnsi" w:hAnsiTheme="minorHAnsi"/>
              <w:noProof/>
              <w:color w:val="auto"/>
              <w:kern w:val="2"/>
              <w:sz w:val="24"/>
              <w:lang w:eastAsia="en-AU"/>
              <w14:ligatures w14:val="standardContextual"/>
            </w:rPr>
          </w:pPr>
          <w:hyperlink w:anchor="_Toc166839061" w:history="1">
            <w:r w:rsidR="00CF7C7D" w:rsidRPr="00CD053A">
              <w:rPr>
                <w:rStyle w:val="Hyperlink"/>
                <w:noProof/>
              </w:rPr>
              <w:t>Appropriate exceptions</w:t>
            </w:r>
            <w:r w:rsidR="00CF7C7D">
              <w:rPr>
                <w:noProof/>
                <w:webHidden/>
              </w:rPr>
              <w:tab/>
            </w:r>
            <w:r w:rsidR="00CF7C7D">
              <w:rPr>
                <w:noProof/>
                <w:webHidden/>
              </w:rPr>
              <w:fldChar w:fldCharType="begin"/>
            </w:r>
            <w:r w:rsidR="00CF7C7D">
              <w:rPr>
                <w:noProof/>
                <w:webHidden/>
              </w:rPr>
              <w:instrText xml:space="preserve"> PAGEREF _Toc166839061 \h </w:instrText>
            </w:r>
            <w:r w:rsidR="00CF7C7D">
              <w:rPr>
                <w:noProof/>
                <w:webHidden/>
              </w:rPr>
            </w:r>
            <w:r w:rsidR="00CF7C7D">
              <w:rPr>
                <w:noProof/>
                <w:webHidden/>
              </w:rPr>
              <w:fldChar w:fldCharType="separate"/>
            </w:r>
            <w:r w:rsidR="0089137B">
              <w:rPr>
                <w:noProof/>
                <w:webHidden/>
              </w:rPr>
              <w:t>17</w:t>
            </w:r>
            <w:r w:rsidR="00CF7C7D">
              <w:rPr>
                <w:noProof/>
                <w:webHidden/>
              </w:rPr>
              <w:fldChar w:fldCharType="end"/>
            </w:r>
          </w:hyperlink>
        </w:p>
        <w:p w14:paraId="25150741" w14:textId="0818D654" w:rsidR="00CF7C7D" w:rsidRDefault="00A31286">
          <w:pPr>
            <w:pStyle w:val="TOC2"/>
            <w:rPr>
              <w:rFonts w:asciiTheme="minorHAnsi" w:hAnsiTheme="minorHAnsi"/>
              <w:noProof/>
              <w:color w:val="auto"/>
              <w:kern w:val="2"/>
              <w:sz w:val="24"/>
              <w:lang w:eastAsia="en-AU"/>
              <w14:ligatures w14:val="standardContextual"/>
            </w:rPr>
          </w:pPr>
          <w:hyperlink w:anchor="_Toc166839062" w:history="1">
            <w:r w:rsidR="00CF7C7D" w:rsidRPr="00CD053A">
              <w:rPr>
                <w:rStyle w:val="Hyperlink"/>
                <w:noProof/>
              </w:rPr>
              <w:t>Recording detainee calls</w:t>
            </w:r>
            <w:r w:rsidR="00CF7C7D">
              <w:rPr>
                <w:noProof/>
                <w:webHidden/>
              </w:rPr>
              <w:tab/>
            </w:r>
            <w:r w:rsidR="00CF7C7D">
              <w:rPr>
                <w:noProof/>
                <w:webHidden/>
              </w:rPr>
              <w:fldChar w:fldCharType="begin"/>
            </w:r>
            <w:r w:rsidR="00CF7C7D">
              <w:rPr>
                <w:noProof/>
                <w:webHidden/>
              </w:rPr>
              <w:instrText xml:space="preserve"> PAGEREF _Toc166839062 \h </w:instrText>
            </w:r>
            <w:r w:rsidR="00CF7C7D">
              <w:rPr>
                <w:noProof/>
                <w:webHidden/>
              </w:rPr>
            </w:r>
            <w:r w:rsidR="00CF7C7D">
              <w:rPr>
                <w:noProof/>
                <w:webHidden/>
              </w:rPr>
              <w:fldChar w:fldCharType="separate"/>
            </w:r>
            <w:r w:rsidR="0089137B">
              <w:rPr>
                <w:noProof/>
                <w:webHidden/>
              </w:rPr>
              <w:t>18</w:t>
            </w:r>
            <w:r w:rsidR="00CF7C7D">
              <w:rPr>
                <w:noProof/>
                <w:webHidden/>
              </w:rPr>
              <w:fldChar w:fldCharType="end"/>
            </w:r>
          </w:hyperlink>
        </w:p>
        <w:p w14:paraId="32C3FE30" w14:textId="1062E530" w:rsidR="00CF7C7D" w:rsidRDefault="00A31286">
          <w:pPr>
            <w:pStyle w:val="TOC3"/>
            <w:tabs>
              <w:tab w:val="right" w:leader="dot" w:pos="8296"/>
            </w:tabs>
            <w:rPr>
              <w:rFonts w:asciiTheme="minorHAnsi" w:hAnsiTheme="minorHAnsi"/>
              <w:noProof/>
              <w:color w:val="auto"/>
              <w:kern w:val="2"/>
              <w:sz w:val="24"/>
              <w:lang w:eastAsia="en-AU"/>
              <w14:ligatures w14:val="standardContextual"/>
            </w:rPr>
          </w:pPr>
          <w:hyperlink w:anchor="_Toc166839063" w:history="1">
            <w:r w:rsidR="00CF7C7D" w:rsidRPr="00CD053A">
              <w:rPr>
                <w:rStyle w:val="Hyperlink"/>
                <w:noProof/>
              </w:rPr>
              <w:t>Prescribing by regulation the ability to record certain calls</w:t>
            </w:r>
            <w:r w:rsidR="00CF7C7D">
              <w:rPr>
                <w:noProof/>
                <w:webHidden/>
              </w:rPr>
              <w:tab/>
            </w:r>
            <w:r w:rsidR="00CF7C7D">
              <w:rPr>
                <w:noProof/>
                <w:webHidden/>
              </w:rPr>
              <w:fldChar w:fldCharType="begin"/>
            </w:r>
            <w:r w:rsidR="00CF7C7D">
              <w:rPr>
                <w:noProof/>
                <w:webHidden/>
              </w:rPr>
              <w:instrText xml:space="preserve"> PAGEREF _Toc166839063 \h </w:instrText>
            </w:r>
            <w:r w:rsidR="00CF7C7D">
              <w:rPr>
                <w:noProof/>
                <w:webHidden/>
              </w:rPr>
            </w:r>
            <w:r w:rsidR="00CF7C7D">
              <w:rPr>
                <w:noProof/>
                <w:webHidden/>
              </w:rPr>
              <w:fldChar w:fldCharType="separate"/>
            </w:r>
            <w:r w:rsidR="0089137B">
              <w:rPr>
                <w:noProof/>
                <w:webHidden/>
              </w:rPr>
              <w:t>18</w:t>
            </w:r>
            <w:r w:rsidR="00CF7C7D">
              <w:rPr>
                <w:noProof/>
                <w:webHidden/>
              </w:rPr>
              <w:fldChar w:fldCharType="end"/>
            </w:r>
          </w:hyperlink>
        </w:p>
        <w:p w14:paraId="23FB4C69" w14:textId="24179FBB" w:rsidR="00CF7C7D" w:rsidRDefault="00A31286">
          <w:pPr>
            <w:pStyle w:val="TOC3"/>
            <w:tabs>
              <w:tab w:val="right" w:leader="dot" w:pos="8296"/>
            </w:tabs>
            <w:rPr>
              <w:rFonts w:asciiTheme="minorHAnsi" w:hAnsiTheme="minorHAnsi"/>
              <w:noProof/>
              <w:color w:val="auto"/>
              <w:kern w:val="2"/>
              <w:sz w:val="24"/>
              <w:lang w:eastAsia="en-AU"/>
              <w14:ligatures w14:val="standardContextual"/>
            </w:rPr>
          </w:pPr>
          <w:hyperlink w:anchor="_Toc166839064" w:history="1">
            <w:r w:rsidR="00CF7C7D" w:rsidRPr="00CD053A">
              <w:rPr>
                <w:rStyle w:val="Hyperlink"/>
                <w:noProof/>
              </w:rPr>
              <w:t>Calls with the Commission</w:t>
            </w:r>
            <w:r w:rsidR="00CF7C7D">
              <w:rPr>
                <w:noProof/>
                <w:webHidden/>
              </w:rPr>
              <w:tab/>
            </w:r>
            <w:r w:rsidR="00CF7C7D">
              <w:rPr>
                <w:noProof/>
                <w:webHidden/>
              </w:rPr>
              <w:fldChar w:fldCharType="begin"/>
            </w:r>
            <w:r w:rsidR="00CF7C7D">
              <w:rPr>
                <w:noProof/>
                <w:webHidden/>
              </w:rPr>
              <w:instrText xml:space="preserve"> PAGEREF _Toc166839064 \h </w:instrText>
            </w:r>
            <w:r w:rsidR="00CF7C7D">
              <w:rPr>
                <w:noProof/>
                <w:webHidden/>
              </w:rPr>
            </w:r>
            <w:r w:rsidR="00CF7C7D">
              <w:rPr>
                <w:noProof/>
                <w:webHidden/>
              </w:rPr>
              <w:fldChar w:fldCharType="separate"/>
            </w:r>
            <w:r w:rsidR="0089137B">
              <w:rPr>
                <w:noProof/>
                <w:webHidden/>
              </w:rPr>
              <w:t>19</w:t>
            </w:r>
            <w:r w:rsidR="00CF7C7D">
              <w:rPr>
                <w:noProof/>
                <w:webHidden/>
              </w:rPr>
              <w:fldChar w:fldCharType="end"/>
            </w:r>
          </w:hyperlink>
        </w:p>
        <w:p w14:paraId="7AAF0ADE" w14:textId="6D049189" w:rsidR="00CF7C7D" w:rsidRDefault="00A31286">
          <w:pPr>
            <w:pStyle w:val="TOC2"/>
            <w:rPr>
              <w:rFonts w:asciiTheme="minorHAnsi" w:hAnsiTheme="minorHAnsi"/>
              <w:noProof/>
              <w:color w:val="auto"/>
              <w:kern w:val="2"/>
              <w:sz w:val="24"/>
              <w:lang w:eastAsia="en-AU"/>
              <w14:ligatures w14:val="standardContextual"/>
            </w:rPr>
          </w:pPr>
          <w:hyperlink w:anchor="_Toc166839065" w:history="1">
            <w:r w:rsidR="00CF7C7D" w:rsidRPr="00CD053A">
              <w:rPr>
                <w:rStyle w:val="Hyperlink"/>
                <w:noProof/>
              </w:rPr>
              <w:t>Detention as a last resort</w:t>
            </w:r>
            <w:r w:rsidR="00CF7C7D">
              <w:rPr>
                <w:noProof/>
                <w:webHidden/>
              </w:rPr>
              <w:tab/>
            </w:r>
            <w:r w:rsidR="00CF7C7D">
              <w:rPr>
                <w:noProof/>
                <w:webHidden/>
              </w:rPr>
              <w:fldChar w:fldCharType="begin"/>
            </w:r>
            <w:r w:rsidR="00CF7C7D">
              <w:rPr>
                <w:noProof/>
                <w:webHidden/>
              </w:rPr>
              <w:instrText xml:space="preserve"> PAGEREF _Toc166839065 \h </w:instrText>
            </w:r>
            <w:r w:rsidR="00CF7C7D">
              <w:rPr>
                <w:noProof/>
                <w:webHidden/>
              </w:rPr>
            </w:r>
            <w:r w:rsidR="00CF7C7D">
              <w:rPr>
                <w:noProof/>
                <w:webHidden/>
              </w:rPr>
              <w:fldChar w:fldCharType="separate"/>
            </w:r>
            <w:r w:rsidR="0089137B">
              <w:rPr>
                <w:noProof/>
                <w:webHidden/>
              </w:rPr>
              <w:t>20</w:t>
            </w:r>
            <w:r w:rsidR="00CF7C7D">
              <w:rPr>
                <w:noProof/>
                <w:webHidden/>
              </w:rPr>
              <w:fldChar w:fldCharType="end"/>
            </w:r>
          </w:hyperlink>
        </w:p>
        <w:p w14:paraId="582AC3AC" w14:textId="2840E5BB" w:rsidR="00A16356" w:rsidRPr="00041E58" w:rsidRDefault="00A16356" w:rsidP="00466216">
          <w:pPr>
            <w:spacing w:before="120"/>
            <w:rPr>
              <w:rFonts w:cs="Arial"/>
            </w:rPr>
          </w:pPr>
          <w:r w:rsidRPr="00041E58">
            <w:rPr>
              <w:rFonts w:cs="Arial"/>
              <w:b/>
              <w:bCs/>
              <w:noProof/>
            </w:rPr>
            <w:fldChar w:fldCharType="end"/>
          </w:r>
        </w:p>
      </w:sdtContent>
    </w:sdt>
    <w:p w14:paraId="7BA17226" w14:textId="77777777" w:rsidR="004A2375" w:rsidRDefault="004A2375">
      <w:pPr>
        <w:rPr>
          <w:rFonts w:eastAsiaTheme="majorEastAsia" w:cstheme="majorBidi"/>
          <w:b/>
          <w:color w:val="365F91" w:themeColor="accent1" w:themeShade="BF"/>
          <w:sz w:val="28"/>
          <w:szCs w:val="32"/>
        </w:rPr>
        <w:sectPr w:rsidR="004A2375" w:rsidSect="00D462E3">
          <w:footerReference w:type="default" r:id="rId10"/>
          <w:headerReference w:type="first" r:id="rId11"/>
          <w:pgSz w:w="11900" w:h="16840" w:code="9"/>
          <w:pgMar w:top="1440" w:right="1797" w:bottom="1440" w:left="1797" w:header="709" w:footer="709" w:gutter="0"/>
          <w:pgNumType w:start="0"/>
          <w:cols w:space="708"/>
          <w:titlePg/>
          <w:docGrid w:linePitch="360"/>
        </w:sectPr>
      </w:pPr>
    </w:p>
    <w:p w14:paraId="4F69BCCF" w14:textId="77777777" w:rsidR="00C14821" w:rsidRDefault="00C14821" w:rsidP="00C14821">
      <w:pPr>
        <w:pStyle w:val="Heading1"/>
      </w:pPr>
      <w:bookmarkStart w:id="12" w:name="_Toc163720791"/>
      <w:bookmarkStart w:id="13" w:name="_Toc166839045"/>
      <w:bookmarkStart w:id="14" w:name="_Toc162451254"/>
      <w:r>
        <w:lastRenderedPageBreak/>
        <w:t>About the Commission</w:t>
      </w:r>
      <w:bookmarkEnd w:id="12"/>
      <w:bookmarkEnd w:id="13"/>
    </w:p>
    <w:p w14:paraId="267D2280" w14:textId="42DF2827" w:rsidR="00C14821" w:rsidRDefault="00C14821" w:rsidP="00C14821">
      <w:pPr>
        <w:pStyle w:val="Numberedparagraph"/>
        <w:rPr>
          <w:lang w:val="en-US"/>
        </w:rPr>
      </w:pPr>
      <w:r>
        <w:rPr>
          <w:lang w:val="en-US"/>
        </w:rPr>
        <w:t>The Queensland Human Rights Commission (</w:t>
      </w:r>
      <w:r>
        <w:rPr>
          <w:b/>
          <w:bCs/>
          <w:lang w:val="en-US"/>
        </w:rPr>
        <w:t>the Commission</w:t>
      </w:r>
      <w:r>
        <w:rPr>
          <w:lang w:val="en-US"/>
        </w:rPr>
        <w:t xml:space="preserve">) is an independent statutory </w:t>
      </w:r>
      <w:r w:rsidR="00255BE9">
        <w:rPr>
          <w:lang w:val="en-US"/>
        </w:rPr>
        <w:t xml:space="preserve">body </w:t>
      </w:r>
      <w:r>
        <w:rPr>
          <w:lang w:val="en-US"/>
        </w:rPr>
        <w:t xml:space="preserve">with functions under the </w:t>
      </w:r>
      <w:r>
        <w:rPr>
          <w:i/>
          <w:iCs/>
          <w:lang w:val="en-US"/>
        </w:rPr>
        <w:t>Anti-Discrimination Act 1991</w:t>
      </w:r>
      <w:r w:rsidR="007C6216">
        <w:rPr>
          <w:lang w:val="en-US"/>
        </w:rPr>
        <w:t> </w:t>
      </w:r>
      <w:r>
        <w:rPr>
          <w:lang w:val="en-US"/>
        </w:rPr>
        <w:t>(</w:t>
      </w:r>
      <w:r w:rsidR="00F31414">
        <w:rPr>
          <w:lang w:val="en-US"/>
        </w:rPr>
        <w:t xml:space="preserve">Qld) </w:t>
      </w:r>
      <w:r>
        <w:rPr>
          <w:lang w:val="en-US"/>
        </w:rPr>
        <w:t>(</w:t>
      </w:r>
      <w:r>
        <w:rPr>
          <w:b/>
          <w:bCs/>
          <w:lang w:val="en-US"/>
        </w:rPr>
        <w:t>Anti-Discrimination Act</w:t>
      </w:r>
      <w:r>
        <w:rPr>
          <w:lang w:val="en-US"/>
        </w:rPr>
        <w:t xml:space="preserve">) and the </w:t>
      </w:r>
      <w:r>
        <w:rPr>
          <w:i/>
          <w:iCs/>
          <w:lang w:val="en-US"/>
        </w:rPr>
        <w:t xml:space="preserve">Human Rights Act 2019 </w:t>
      </w:r>
      <w:r>
        <w:rPr>
          <w:lang w:val="en-US"/>
        </w:rPr>
        <w:t>(</w:t>
      </w:r>
      <w:r w:rsidR="00F31414">
        <w:rPr>
          <w:lang w:val="en-US"/>
        </w:rPr>
        <w:t>Qld)</w:t>
      </w:r>
      <w:r>
        <w:rPr>
          <w:i/>
          <w:iCs/>
          <w:lang w:val="en-US"/>
        </w:rPr>
        <w:t xml:space="preserve"> </w:t>
      </w:r>
      <w:r>
        <w:rPr>
          <w:lang w:val="en-US"/>
        </w:rPr>
        <w:t>(</w:t>
      </w:r>
      <w:r>
        <w:rPr>
          <w:b/>
          <w:bCs/>
          <w:lang w:val="en-US"/>
        </w:rPr>
        <w:t>Human Rights Act</w:t>
      </w:r>
      <w:r>
        <w:rPr>
          <w:lang w:val="en-US"/>
        </w:rPr>
        <w:t>) including dealing with complaints of discrimination and contraventions of the Human Rights Act, and promoting an understanding, acceptance</w:t>
      </w:r>
      <w:r w:rsidR="002C7A4C">
        <w:rPr>
          <w:lang w:val="en-US"/>
        </w:rPr>
        <w:t>,</w:t>
      </w:r>
      <w:r>
        <w:rPr>
          <w:lang w:val="en-US"/>
        </w:rPr>
        <w:t xml:space="preserve"> and public discussion of human rights in Queensland. </w:t>
      </w:r>
    </w:p>
    <w:p w14:paraId="29A14A83" w14:textId="77777777" w:rsidR="00C14821" w:rsidRDefault="00C14821" w:rsidP="00C14821">
      <w:pPr>
        <w:pStyle w:val="Heading1"/>
        <w:rPr>
          <w:sz w:val="36"/>
          <w:lang w:val="en-US"/>
        </w:rPr>
      </w:pPr>
      <w:bookmarkStart w:id="15" w:name="_Toc163720792"/>
      <w:bookmarkStart w:id="16" w:name="_Toc166839046"/>
      <w:r>
        <w:rPr>
          <w:lang w:val="en-US"/>
        </w:rPr>
        <w:t>Introduction</w:t>
      </w:r>
      <w:bookmarkEnd w:id="14"/>
      <w:bookmarkEnd w:id="15"/>
      <w:bookmarkEnd w:id="16"/>
    </w:p>
    <w:p w14:paraId="2BB45E68" w14:textId="6B4AF18C" w:rsidR="00C14821" w:rsidRDefault="00C14821" w:rsidP="00C14821">
      <w:pPr>
        <w:pStyle w:val="Numberedparagraph"/>
        <w:rPr>
          <w:lang w:val="en-US"/>
        </w:rPr>
      </w:pPr>
      <w:r>
        <w:rPr>
          <w:lang w:val="en-US"/>
        </w:rPr>
        <w:t xml:space="preserve">This is a submission to the Community Safety and Legal Affairs Committee </w:t>
      </w:r>
      <w:r w:rsidR="000C6BA3">
        <w:rPr>
          <w:lang w:val="en-US"/>
        </w:rPr>
        <w:t>to inform</w:t>
      </w:r>
      <w:r>
        <w:rPr>
          <w:lang w:val="en-US"/>
        </w:rPr>
        <w:t xml:space="preserve"> their consideration of the </w:t>
      </w:r>
      <w:r w:rsidRPr="00F16EB4">
        <w:t>Queensland Community Safety Bill 2024</w:t>
      </w:r>
      <w:r>
        <w:t xml:space="preserve"> </w:t>
      </w:r>
      <w:r>
        <w:rPr>
          <w:lang w:val="en-US"/>
        </w:rPr>
        <w:t>(</w:t>
      </w:r>
      <w:r>
        <w:rPr>
          <w:b/>
          <w:bCs/>
          <w:lang w:val="en-US"/>
        </w:rPr>
        <w:t>the Bill</w:t>
      </w:r>
      <w:r>
        <w:rPr>
          <w:lang w:val="en-US"/>
        </w:rPr>
        <w:t>).</w:t>
      </w:r>
    </w:p>
    <w:p w14:paraId="53F9FA54" w14:textId="0FE804D6" w:rsidR="00E205E4" w:rsidRPr="00F959D7" w:rsidRDefault="00E205E4" w:rsidP="00E205E4">
      <w:pPr>
        <w:pStyle w:val="Numberedparagraph"/>
      </w:pPr>
      <w:r w:rsidRPr="00F959D7">
        <w:t xml:space="preserve">The Bill is extensive and amends 14 </w:t>
      </w:r>
      <w:r w:rsidR="00032E32">
        <w:t>Acts</w:t>
      </w:r>
      <w:r w:rsidRPr="00F959D7">
        <w:t xml:space="preserve">. This submission does not </w:t>
      </w:r>
      <w:r w:rsidR="00EA20A3">
        <w:t>attempt to address</w:t>
      </w:r>
      <w:r w:rsidR="00EA20A3" w:rsidRPr="00F959D7">
        <w:t xml:space="preserve"> </w:t>
      </w:r>
      <w:r w:rsidR="009B530F" w:rsidRPr="00F959D7">
        <w:t>all</w:t>
      </w:r>
      <w:r w:rsidRPr="00F959D7">
        <w:t xml:space="preserve"> human rights issued raised by the </w:t>
      </w:r>
      <w:r w:rsidR="00EA20A3">
        <w:t>Bill</w:t>
      </w:r>
      <w:r w:rsidR="00A10E88">
        <w:t>,</w:t>
      </w:r>
      <w:r w:rsidRPr="00F959D7">
        <w:t xml:space="preserve"> </w:t>
      </w:r>
      <w:r w:rsidR="00A10E88">
        <w:t>but</w:t>
      </w:r>
      <w:r w:rsidRPr="00F959D7">
        <w:t xml:space="preserve"> focuses on key </w:t>
      </w:r>
      <w:r w:rsidR="002E4E89">
        <w:t>provisions</w:t>
      </w:r>
      <w:r w:rsidR="002E4E89" w:rsidRPr="00F959D7">
        <w:t xml:space="preserve"> </w:t>
      </w:r>
      <w:r w:rsidRPr="00F959D7">
        <w:t xml:space="preserve">that </w:t>
      </w:r>
      <w:r w:rsidR="00394BB2">
        <w:t>limit human rights</w:t>
      </w:r>
      <w:r w:rsidRPr="00F959D7">
        <w:t>,</w:t>
      </w:r>
      <w:r w:rsidR="008A3FD6">
        <w:t xml:space="preserve"> </w:t>
      </w:r>
      <w:r w:rsidRPr="00F959D7">
        <w:t xml:space="preserve">or </w:t>
      </w:r>
      <w:r w:rsidR="00466628">
        <w:t xml:space="preserve">where </w:t>
      </w:r>
      <w:r w:rsidRPr="00F959D7">
        <w:t>amendment</w:t>
      </w:r>
      <w:r w:rsidR="00615DE0">
        <w:t>s are</w:t>
      </w:r>
      <w:r w:rsidRPr="00F959D7">
        <w:t xml:space="preserve"> necessary. </w:t>
      </w:r>
    </w:p>
    <w:p w14:paraId="0217ACC5" w14:textId="71F01186" w:rsidR="00B364C7" w:rsidRPr="007C510E" w:rsidRDefault="00B364C7" w:rsidP="00B364C7">
      <w:pPr>
        <w:pStyle w:val="Heading1"/>
      </w:pPr>
      <w:bookmarkStart w:id="17" w:name="_Toc166839047"/>
      <w:r>
        <w:t xml:space="preserve">Positive </w:t>
      </w:r>
      <w:r w:rsidR="005B1EC9">
        <w:t>changes</w:t>
      </w:r>
      <w:bookmarkEnd w:id="17"/>
    </w:p>
    <w:p w14:paraId="5E79CF6F" w14:textId="22F3AE97" w:rsidR="00B364C7" w:rsidRPr="00A72D23" w:rsidRDefault="00A72D23" w:rsidP="00512474">
      <w:pPr>
        <w:pStyle w:val="Numberedparagraph"/>
      </w:pPr>
      <w:r w:rsidRPr="00A72D23">
        <w:t xml:space="preserve">The Bill </w:t>
      </w:r>
      <w:r w:rsidR="00A32A8B">
        <w:t>includes</w:t>
      </w:r>
      <w:r w:rsidR="00A32A8B" w:rsidRPr="00A72D23">
        <w:t xml:space="preserve"> </w:t>
      </w:r>
      <w:r w:rsidRPr="00A72D23">
        <w:t>positive changes to Queensland legislation that promote human rights, including:</w:t>
      </w:r>
    </w:p>
    <w:p w14:paraId="5971EE95" w14:textId="262F103F" w:rsidR="00B27F14" w:rsidRPr="00A72D23" w:rsidRDefault="000C7025" w:rsidP="003A1288">
      <w:pPr>
        <w:pStyle w:val="Numberedparagraph"/>
        <w:numPr>
          <w:ilvl w:val="0"/>
          <w:numId w:val="3"/>
        </w:numPr>
      </w:pPr>
      <w:r>
        <w:t xml:space="preserve">allowing </w:t>
      </w:r>
      <w:r w:rsidR="00585226">
        <w:t xml:space="preserve">the temporary </w:t>
      </w:r>
      <w:r w:rsidR="003544E2">
        <w:t xml:space="preserve">transfer of </w:t>
      </w:r>
      <w:r w:rsidR="00DA0C9B" w:rsidRPr="00A54F13">
        <w:t xml:space="preserve">children held in </w:t>
      </w:r>
      <w:r w:rsidR="00D805C7">
        <w:t>watch house</w:t>
      </w:r>
      <w:r w:rsidR="00DA0C9B" w:rsidRPr="00A54F13">
        <w:t xml:space="preserve">s to youth detention centres during the day </w:t>
      </w:r>
      <w:r w:rsidR="00DA0C9B">
        <w:t>to participate in age-appropriate programs and physical exercise</w:t>
      </w:r>
      <w:r w:rsidR="00DA0C9B" w:rsidRPr="00A72D23" w:rsidDel="00DA0C9B">
        <w:t xml:space="preserve"> </w:t>
      </w:r>
      <w:r w:rsidR="003E4270" w:rsidRPr="00A72D23">
        <w:t xml:space="preserve">(subject to </w:t>
      </w:r>
      <w:r w:rsidR="002D0EC6">
        <w:t>comments</w:t>
      </w:r>
      <w:r w:rsidR="005F19E1">
        <w:t xml:space="preserve"> at [</w:t>
      </w:r>
      <w:r w:rsidR="00244694">
        <w:fldChar w:fldCharType="begin"/>
      </w:r>
      <w:r w:rsidR="00244694">
        <w:instrText xml:space="preserve"> REF _Ref166749762 \r \h </w:instrText>
      </w:r>
      <w:r w:rsidR="00244694">
        <w:fldChar w:fldCharType="separate"/>
      </w:r>
      <w:r w:rsidR="0089137B">
        <w:t>51</w:t>
      </w:r>
      <w:r w:rsidR="00244694">
        <w:fldChar w:fldCharType="end"/>
      </w:r>
      <w:r w:rsidR="005F19E1">
        <w:t>]</w:t>
      </w:r>
      <w:r w:rsidR="000B251B">
        <w:t>)</w:t>
      </w:r>
    </w:p>
    <w:p w14:paraId="6C2C7137" w14:textId="18774018" w:rsidR="00B27F14" w:rsidRPr="00A72D23" w:rsidRDefault="00307AAA" w:rsidP="003A1288">
      <w:pPr>
        <w:pStyle w:val="Numberedparagraph"/>
        <w:numPr>
          <w:ilvl w:val="0"/>
          <w:numId w:val="3"/>
        </w:numPr>
      </w:pPr>
      <w:r>
        <w:t xml:space="preserve">recognising the importance </w:t>
      </w:r>
      <w:r w:rsidR="00913AA4">
        <w:t xml:space="preserve">of disability support </w:t>
      </w:r>
      <w:r w:rsidR="0032625B">
        <w:t xml:space="preserve">in </w:t>
      </w:r>
      <w:r w:rsidR="00824ED5">
        <w:t xml:space="preserve">the </w:t>
      </w:r>
      <w:r w:rsidR="00BC641D" w:rsidRPr="00A72D23">
        <w:t xml:space="preserve">Youth Justice Principles </w:t>
      </w:r>
    </w:p>
    <w:p w14:paraId="741B98EE" w14:textId="1A52B9B0" w:rsidR="00BD6E9C" w:rsidRPr="00A72D23" w:rsidRDefault="00402674" w:rsidP="003A1288">
      <w:pPr>
        <w:pStyle w:val="Numberedparagraph"/>
        <w:numPr>
          <w:ilvl w:val="0"/>
          <w:numId w:val="3"/>
        </w:numPr>
      </w:pPr>
      <w:r w:rsidRPr="00A72D23">
        <w:t>e</w:t>
      </w:r>
      <w:r w:rsidR="0000320E" w:rsidRPr="00A72D23">
        <w:t>ncouraging participation of young people in rehabilitative program</w:t>
      </w:r>
      <w:r w:rsidR="00EC2384" w:rsidRPr="00A72D23">
        <w:t>s</w:t>
      </w:r>
      <w:r w:rsidR="00E60EAE">
        <w:t xml:space="preserve"> by ensuring </w:t>
      </w:r>
      <w:r w:rsidR="001D02F6">
        <w:t>their involvement cannot be used as evidence against them</w:t>
      </w:r>
    </w:p>
    <w:p w14:paraId="2CD8CA81" w14:textId="1F080B30" w:rsidR="002A6F1C" w:rsidRPr="00A72D23" w:rsidRDefault="00402674" w:rsidP="003A1288">
      <w:pPr>
        <w:pStyle w:val="Numberedparagraph"/>
        <w:numPr>
          <w:ilvl w:val="0"/>
          <w:numId w:val="3"/>
        </w:numPr>
      </w:pPr>
      <w:r w:rsidRPr="00A72D23">
        <w:t>e</w:t>
      </w:r>
      <w:r w:rsidR="00415983" w:rsidRPr="00A72D23">
        <w:t>nsuring vi</w:t>
      </w:r>
      <w:r w:rsidR="001C6B8B" w:rsidRPr="00A72D23">
        <w:t xml:space="preserve">ctims can disclose information about their experiences for </w:t>
      </w:r>
      <w:r w:rsidR="00690D04" w:rsidRPr="00A72D23">
        <w:t>counselling or treatment</w:t>
      </w:r>
      <w:r w:rsidR="00162858">
        <w:t>.</w:t>
      </w:r>
    </w:p>
    <w:p w14:paraId="7BA525BF" w14:textId="4D80BA59" w:rsidR="00B82CE9" w:rsidRPr="007C510E" w:rsidRDefault="000F0C1C" w:rsidP="007C510E">
      <w:pPr>
        <w:pStyle w:val="Heading1"/>
      </w:pPr>
      <w:bookmarkStart w:id="18" w:name="_Toc166839048"/>
      <w:r>
        <w:t xml:space="preserve">Key </w:t>
      </w:r>
      <w:r w:rsidR="00B364C7">
        <w:t>concerns</w:t>
      </w:r>
      <w:bookmarkEnd w:id="18"/>
    </w:p>
    <w:p w14:paraId="5984753E" w14:textId="0EFA1FD2" w:rsidR="0078343D" w:rsidRDefault="007F3972" w:rsidP="00F959D7">
      <w:pPr>
        <w:pStyle w:val="Numberedparagraph"/>
      </w:pPr>
      <w:r w:rsidRPr="00F959D7">
        <w:t xml:space="preserve">Many </w:t>
      </w:r>
      <w:r w:rsidR="00B775BB">
        <w:t>provisions</w:t>
      </w:r>
      <w:r w:rsidR="00A01199" w:rsidRPr="00F959D7">
        <w:t xml:space="preserve"> </w:t>
      </w:r>
      <w:r w:rsidR="00F959D7" w:rsidRPr="00F959D7">
        <w:t xml:space="preserve">in the Bill </w:t>
      </w:r>
      <w:r w:rsidR="00A01199" w:rsidRPr="00F959D7">
        <w:t xml:space="preserve">are aimed at </w:t>
      </w:r>
      <w:r w:rsidR="00C369A3" w:rsidRPr="00F959D7">
        <w:t xml:space="preserve">tougher approaches to </w:t>
      </w:r>
      <w:r w:rsidR="00F959D7">
        <w:t xml:space="preserve">detect and </w:t>
      </w:r>
      <w:r w:rsidR="00C369A3" w:rsidRPr="00F959D7">
        <w:t>address crime in the community</w:t>
      </w:r>
      <w:r w:rsidR="00552BD5" w:rsidRPr="00F959D7">
        <w:t xml:space="preserve"> with the goal of enhancing public safety and security</w:t>
      </w:r>
      <w:r w:rsidR="00C369A3" w:rsidRPr="00F959D7">
        <w:t>.</w:t>
      </w:r>
      <w:r w:rsidR="004D5F3D">
        <w:t xml:space="preserve"> </w:t>
      </w:r>
      <w:r w:rsidR="00D37E87">
        <w:t xml:space="preserve">The government </w:t>
      </w:r>
      <w:r w:rsidR="00D97ACC">
        <w:t>h</w:t>
      </w:r>
      <w:r w:rsidR="0078343D">
        <w:t>as a duty to protect people from preventable harm</w:t>
      </w:r>
      <w:r w:rsidR="00055DDE">
        <w:t>,</w:t>
      </w:r>
      <w:r w:rsidR="00AC3CBA">
        <w:t xml:space="preserve"> </w:t>
      </w:r>
      <w:r w:rsidR="00055DDE">
        <w:t xml:space="preserve">to </w:t>
      </w:r>
      <w:r w:rsidR="00AC3CBA">
        <w:t xml:space="preserve">promote the right to </w:t>
      </w:r>
      <w:r w:rsidR="00055DDE">
        <w:t xml:space="preserve">security and the right to </w:t>
      </w:r>
      <w:r w:rsidR="00AC3CBA">
        <w:t>life</w:t>
      </w:r>
      <w:r w:rsidR="0078343D">
        <w:t xml:space="preserve">. </w:t>
      </w:r>
    </w:p>
    <w:p w14:paraId="75D74C93" w14:textId="4A238072" w:rsidR="002E21CC" w:rsidRDefault="00492937" w:rsidP="00F959D7">
      <w:pPr>
        <w:pStyle w:val="Numberedparagraph"/>
      </w:pPr>
      <w:r>
        <w:lastRenderedPageBreak/>
        <w:t>However, t</w:t>
      </w:r>
      <w:r w:rsidR="00174054">
        <w:t xml:space="preserve">ougher penalties and expanded police powers do not necessarily improve </w:t>
      </w:r>
      <w:r w:rsidR="002E21CC">
        <w:t>public</w:t>
      </w:r>
      <w:r w:rsidR="00174054">
        <w:t xml:space="preserve"> safety</w:t>
      </w:r>
      <w:r w:rsidR="002E21CC">
        <w:t xml:space="preserve"> and security</w:t>
      </w:r>
      <w:r w:rsidR="00174054">
        <w:t>. Some</w:t>
      </w:r>
      <w:r w:rsidR="00174054" w:rsidRPr="00F959D7">
        <w:t xml:space="preserve"> amendments proposed </w:t>
      </w:r>
      <w:r w:rsidR="00174054">
        <w:t xml:space="preserve">in the Bill </w:t>
      </w:r>
      <w:r w:rsidR="00174054" w:rsidRPr="00F959D7">
        <w:t xml:space="preserve">are </w:t>
      </w:r>
      <w:r w:rsidR="00174054">
        <w:t xml:space="preserve">not </w:t>
      </w:r>
      <w:r w:rsidR="00174054" w:rsidRPr="00F959D7">
        <w:t>supported by a clear evidence-base</w:t>
      </w:r>
      <w:r w:rsidR="00DB0A11">
        <w:t>.</w:t>
      </w:r>
    </w:p>
    <w:p w14:paraId="7EC49BFD" w14:textId="0C09AA0C" w:rsidR="000F0C1C" w:rsidRPr="00F959D7" w:rsidRDefault="00F959D7" w:rsidP="00F959D7">
      <w:pPr>
        <w:pStyle w:val="Numberedparagraph"/>
      </w:pPr>
      <w:r w:rsidRPr="00F959D7">
        <w:t>T</w:t>
      </w:r>
      <w:r w:rsidR="000F0C1C" w:rsidRPr="00F959D7">
        <w:t xml:space="preserve">he cumulative </w:t>
      </w:r>
      <w:r w:rsidR="00D25B49" w:rsidRPr="00F959D7">
        <w:t>effect</w:t>
      </w:r>
      <w:r w:rsidR="000F0C1C" w:rsidRPr="00F959D7">
        <w:t xml:space="preserve"> of</w:t>
      </w:r>
      <w:r w:rsidR="00C369A3" w:rsidRPr="00F959D7">
        <w:t xml:space="preserve"> </w:t>
      </w:r>
      <w:r w:rsidR="00174054">
        <w:t>the changes</w:t>
      </w:r>
      <w:r w:rsidR="00C369A3" w:rsidRPr="00F959D7">
        <w:t xml:space="preserve"> is likely to increase </w:t>
      </w:r>
      <w:r w:rsidRPr="00F959D7">
        <w:t xml:space="preserve">criminalisation, particularly of children and young people, </w:t>
      </w:r>
      <w:r w:rsidR="00885209">
        <w:t xml:space="preserve">and </w:t>
      </w:r>
      <w:r w:rsidR="00D25B49" w:rsidRPr="00F959D7">
        <w:t>increase numbers of children held in detention and in adult watch houses</w:t>
      </w:r>
      <w:r w:rsidR="009A2AD5">
        <w:t>. It is</w:t>
      </w:r>
      <w:r w:rsidR="00A46717">
        <w:t xml:space="preserve"> also</w:t>
      </w:r>
      <w:r w:rsidR="009A2AD5">
        <w:t xml:space="preserve"> likely to have a </w:t>
      </w:r>
      <w:r w:rsidR="00EC13D0">
        <w:t>disproportionate impact on Aboriginal and Torres Strait Islander children</w:t>
      </w:r>
      <w:r w:rsidR="009A2AD5">
        <w:t xml:space="preserve">, </w:t>
      </w:r>
      <w:r w:rsidR="00EC13D0">
        <w:t xml:space="preserve">given their overrepresentation </w:t>
      </w:r>
      <w:r w:rsidR="00862F61">
        <w:t xml:space="preserve">in the child protection and youth justice systems. </w:t>
      </w:r>
      <w:r w:rsidRPr="00F959D7">
        <w:t xml:space="preserve">In the long term, this </w:t>
      </w:r>
      <w:r w:rsidR="00995A1C">
        <w:t>will</w:t>
      </w:r>
      <w:r w:rsidR="00072C0A">
        <w:t xml:space="preserve"> undermine</w:t>
      </w:r>
      <w:r w:rsidRPr="00F959D7">
        <w:t xml:space="preserve"> community safety.</w:t>
      </w:r>
    </w:p>
    <w:p w14:paraId="09A5F9AA" w14:textId="7FA7557C" w:rsidR="00502924" w:rsidRDefault="00F43564" w:rsidP="0035517B">
      <w:pPr>
        <w:pStyle w:val="Heading2"/>
      </w:pPr>
      <w:bookmarkStart w:id="19" w:name="_Toc166839049"/>
      <w:r>
        <w:t xml:space="preserve">Expansion of </w:t>
      </w:r>
      <w:proofErr w:type="spellStart"/>
      <w:r>
        <w:t>wanding</w:t>
      </w:r>
      <w:proofErr w:type="spellEnd"/>
      <w:r>
        <w:t xml:space="preserve"> powers</w:t>
      </w:r>
      <w:bookmarkEnd w:id="19"/>
    </w:p>
    <w:p w14:paraId="3BE5AF83" w14:textId="5E206960" w:rsidR="00C238B9" w:rsidRDefault="00EC79F8" w:rsidP="00081C91">
      <w:pPr>
        <w:pStyle w:val="Numberedparagraph"/>
      </w:pPr>
      <w:r>
        <w:t xml:space="preserve">The Bill further expands police powers to </w:t>
      </w:r>
      <w:r w:rsidR="00F968AA">
        <w:t xml:space="preserve">conduct </w:t>
      </w:r>
      <w:r w:rsidR="002B19E2">
        <w:t xml:space="preserve">hand-held </w:t>
      </w:r>
      <w:r w:rsidR="00F968AA">
        <w:t>scanning searches (</w:t>
      </w:r>
      <w:proofErr w:type="spellStart"/>
      <w:r w:rsidR="00F968AA">
        <w:t>wanding</w:t>
      </w:r>
      <w:proofErr w:type="spellEnd"/>
      <w:r w:rsidR="00F968AA">
        <w:t>)</w:t>
      </w:r>
      <w:r w:rsidR="00C238B9">
        <w:t xml:space="preserve"> without </w:t>
      </w:r>
      <w:r w:rsidR="00F10260">
        <w:t xml:space="preserve">a </w:t>
      </w:r>
      <w:r w:rsidR="002B19E2">
        <w:t xml:space="preserve">warrant to </w:t>
      </w:r>
      <w:r w:rsidR="00672567">
        <w:t>additional</w:t>
      </w:r>
      <w:r w:rsidR="002B19E2">
        <w:t xml:space="preserve"> locations:</w:t>
      </w:r>
      <w:r w:rsidR="00081C91">
        <w:t xml:space="preserve"> </w:t>
      </w:r>
      <w:r w:rsidR="002B19E2">
        <w:t>retail</w:t>
      </w:r>
      <w:r w:rsidR="00081C91">
        <w:t xml:space="preserve"> premises, sporting and entertainment venues, </w:t>
      </w:r>
      <w:r w:rsidR="00C238B9">
        <w:t>licensed premises</w:t>
      </w:r>
      <w:r w:rsidR="00BD4B6B">
        <w:t>,</w:t>
      </w:r>
      <w:r w:rsidR="00081C91">
        <w:t xml:space="preserve"> and </w:t>
      </w:r>
      <w:r w:rsidR="00FA4FF1">
        <w:t>additional</w:t>
      </w:r>
      <w:r w:rsidR="00081C91">
        <w:t xml:space="preserve"> public transport locations and </w:t>
      </w:r>
      <w:r w:rsidR="00FA4FF1">
        <w:t>vehicles.</w:t>
      </w:r>
    </w:p>
    <w:p w14:paraId="397D81C2" w14:textId="6D6CAD2C" w:rsidR="00940373" w:rsidRDefault="00940373" w:rsidP="00081C91">
      <w:pPr>
        <w:pStyle w:val="Numberedparagraph"/>
      </w:pPr>
      <w:r>
        <w:t xml:space="preserve">The </w:t>
      </w:r>
      <w:r w:rsidR="00BC4092">
        <w:t xml:space="preserve">stated </w:t>
      </w:r>
      <w:r>
        <w:t xml:space="preserve">purpose of these expanded powers is to </w:t>
      </w:r>
      <w:r w:rsidR="00544462">
        <w:t xml:space="preserve">capture other public places </w:t>
      </w:r>
      <w:r w:rsidR="00A44A06">
        <w:t>t</w:t>
      </w:r>
      <w:r w:rsidR="00D26F87">
        <w:t>hat</w:t>
      </w:r>
      <w:r w:rsidR="00A44A06">
        <w:t xml:space="preserve"> </w:t>
      </w:r>
      <w:r w:rsidR="00544462">
        <w:t>have high pedestrian density and risk of offences occurring, with the goal of increasing public safety and reducing the risk of knife</w:t>
      </w:r>
      <w:r w:rsidR="00BD4B6B">
        <w:t>-</w:t>
      </w:r>
      <w:r w:rsidR="00544462">
        <w:t>related offences in those areas.</w:t>
      </w:r>
      <w:r w:rsidR="00544462">
        <w:rPr>
          <w:rStyle w:val="FootnoteReference"/>
        </w:rPr>
        <w:footnoteReference w:id="2"/>
      </w:r>
    </w:p>
    <w:p w14:paraId="5038A798" w14:textId="6810C986" w:rsidR="004776A2" w:rsidRDefault="004776A2" w:rsidP="004776A2">
      <w:pPr>
        <w:pStyle w:val="Heading3"/>
      </w:pPr>
      <w:bookmarkStart w:id="20" w:name="_Toc166839050"/>
      <w:r>
        <w:t>Previous submissions</w:t>
      </w:r>
      <w:bookmarkEnd w:id="20"/>
    </w:p>
    <w:p w14:paraId="0C31EAA9" w14:textId="4DD3CAFD" w:rsidR="00CC3FA7" w:rsidRDefault="0098070D" w:rsidP="00CC3FA7">
      <w:pPr>
        <w:pStyle w:val="Numberedparagraph"/>
      </w:pPr>
      <w:r>
        <w:t xml:space="preserve">The </w:t>
      </w:r>
      <w:r w:rsidR="00CC3FA7">
        <w:t>Police Powers and Responsibilities (Jack’s Law) Amendment Bill 2022 (</w:t>
      </w:r>
      <w:r w:rsidR="00F8310C">
        <w:t>Qld)</w:t>
      </w:r>
      <w:r w:rsidR="00CC3FA7">
        <w:t xml:space="preserve"> (</w:t>
      </w:r>
      <w:r w:rsidR="00CC3FA7" w:rsidRPr="00D01D9E">
        <w:rPr>
          <w:b/>
          <w:bCs/>
        </w:rPr>
        <w:t>Jack’s Law Bill</w:t>
      </w:r>
      <w:r w:rsidR="00CC3FA7">
        <w:t xml:space="preserve">) expanded powers to allow a trial of </w:t>
      </w:r>
      <w:proofErr w:type="spellStart"/>
      <w:r w:rsidR="00CC3FA7">
        <w:t>wanding</w:t>
      </w:r>
      <w:proofErr w:type="spellEnd"/>
      <w:r w:rsidR="00CC3FA7">
        <w:t xml:space="preserve"> </w:t>
      </w:r>
      <w:r w:rsidR="00DA045F">
        <w:t xml:space="preserve">without </w:t>
      </w:r>
      <w:r w:rsidR="00530B36">
        <w:t xml:space="preserve">a </w:t>
      </w:r>
      <w:r w:rsidR="00DA045F">
        <w:t xml:space="preserve">warrant </w:t>
      </w:r>
      <w:r w:rsidR="00CC3FA7">
        <w:t xml:space="preserve">to continue until </w:t>
      </w:r>
      <w:r w:rsidR="006F0106">
        <w:t xml:space="preserve">30 April 2025, </w:t>
      </w:r>
      <w:r w:rsidR="00B955A3">
        <w:t xml:space="preserve">and </w:t>
      </w:r>
      <w:r w:rsidR="00B75FFE">
        <w:t xml:space="preserve">extend </w:t>
      </w:r>
      <w:r w:rsidR="00CC3FA7">
        <w:t xml:space="preserve">the </w:t>
      </w:r>
      <w:r w:rsidR="00DA045F">
        <w:t>areas in which</w:t>
      </w:r>
      <w:r w:rsidR="00B75FFE">
        <w:t xml:space="preserve"> these operations</w:t>
      </w:r>
      <w:r w:rsidR="00DA045F">
        <w:t xml:space="preserve"> may occur</w:t>
      </w:r>
      <w:r w:rsidR="00CC3FA7">
        <w:t xml:space="preserve"> to all public transport stations, including vehicles.</w:t>
      </w:r>
      <w:r w:rsidR="00C865EC">
        <w:t xml:space="preserve"> </w:t>
      </w:r>
    </w:p>
    <w:p w14:paraId="59E9AB34" w14:textId="40A1F25B" w:rsidR="00C023F7" w:rsidRPr="00AF7A92" w:rsidRDefault="00977BB3" w:rsidP="00081C91">
      <w:pPr>
        <w:pStyle w:val="Numberedparagraph"/>
      </w:pPr>
      <w:r>
        <w:t xml:space="preserve">In </w:t>
      </w:r>
      <w:r w:rsidR="00530B36">
        <w:t>its</w:t>
      </w:r>
      <w:r w:rsidR="008106E7">
        <w:t xml:space="preserve"> previous</w:t>
      </w:r>
      <w:r>
        <w:t xml:space="preserve"> submission</w:t>
      </w:r>
      <w:r w:rsidR="00F35E78" w:rsidRPr="00530B36">
        <w:rPr>
          <w:rStyle w:val="FootnoteReference"/>
          <w:rFonts w:eastAsia="Arial"/>
        </w:rPr>
        <w:t xml:space="preserve"> </w:t>
      </w:r>
      <w:r w:rsidR="00F35E78">
        <w:rPr>
          <w:rStyle w:val="FootnoteReference"/>
          <w:rFonts w:eastAsia="Arial"/>
        </w:rPr>
        <w:footnoteReference w:id="3"/>
      </w:r>
      <w:r w:rsidR="00F35E78">
        <w:rPr>
          <w:rFonts w:eastAsia="Arial"/>
        </w:rPr>
        <w:t xml:space="preserve"> </w:t>
      </w:r>
      <w:r>
        <w:t xml:space="preserve">to the </w:t>
      </w:r>
      <w:r w:rsidR="003C3CEB">
        <w:t>Community Support and Services Committee</w:t>
      </w:r>
      <w:r w:rsidR="00B75FFE">
        <w:t xml:space="preserve"> </w:t>
      </w:r>
      <w:r w:rsidR="00530B36">
        <w:t>in relation to</w:t>
      </w:r>
      <w:r w:rsidR="00B75FFE">
        <w:t xml:space="preserve"> Jack’s Law Bill</w:t>
      </w:r>
      <w:r w:rsidR="003C3CEB">
        <w:t>, t</w:t>
      </w:r>
      <w:r w:rsidR="0042213F">
        <w:t>he Commission raised concerns abou</w:t>
      </w:r>
      <w:r w:rsidR="00BC07BB">
        <w:t xml:space="preserve">t </w:t>
      </w:r>
      <w:r w:rsidR="0042213F">
        <w:t xml:space="preserve">human rights </w:t>
      </w:r>
      <w:r w:rsidR="00530B36">
        <w:t xml:space="preserve">implications of </w:t>
      </w:r>
      <w:proofErr w:type="spellStart"/>
      <w:r w:rsidR="00530B36">
        <w:t>wanding</w:t>
      </w:r>
      <w:proofErr w:type="spellEnd"/>
      <w:r w:rsidR="00530B36">
        <w:t xml:space="preserve"> without </w:t>
      </w:r>
      <w:r w:rsidR="00FB39F2">
        <w:t xml:space="preserve">a </w:t>
      </w:r>
      <w:r w:rsidR="00530B36">
        <w:t>warrant</w:t>
      </w:r>
      <w:r w:rsidR="00CC3FA7">
        <w:t>,</w:t>
      </w:r>
      <w:r w:rsidR="0042213F">
        <w:rPr>
          <w:rFonts w:eastAsia="Arial"/>
        </w:rPr>
        <w:t xml:space="preserve"> and </w:t>
      </w:r>
      <w:r w:rsidR="00665A1A">
        <w:rPr>
          <w:rFonts w:eastAsia="Arial"/>
        </w:rPr>
        <w:t>highlighted</w:t>
      </w:r>
      <w:r w:rsidR="0042213F">
        <w:rPr>
          <w:rFonts w:eastAsia="Arial"/>
        </w:rPr>
        <w:t xml:space="preserve"> </w:t>
      </w:r>
      <w:r>
        <w:rPr>
          <w:rFonts w:eastAsia="Arial"/>
        </w:rPr>
        <w:t>findings and</w:t>
      </w:r>
      <w:r w:rsidR="00665A1A">
        <w:rPr>
          <w:rFonts w:eastAsia="Arial"/>
        </w:rPr>
        <w:t xml:space="preserve"> recommendations</w:t>
      </w:r>
      <w:r w:rsidR="0042213F">
        <w:rPr>
          <w:rFonts w:eastAsia="Arial"/>
        </w:rPr>
        <w:t xml:space="preserve"> </w:t>
      </w:r>
      <w:r>
        <w:rPr>
          <w:rFonts w:eastAsia="Arial"/>
        </w:rPr>
        <w:t>from</w:t>
      </w:r>
      <w:r w:rsidR="0042213F">
        <w:rPr>
          <w:rFonts w:eastAsia="Arial"/>
        </w:rPr>
        <w:t xml:space="preserve"> the Griffith Criminology </w:t>
      </w:r>
      <w:r w:rsidR="00665A1A">
        <w:rPr>
          <w:rFonts w:eastAsia="Arial"/>
        </w:rPr>
        <w:t xml:space="preserve">Institute in its independent review of the initial trial </w:t>
      </w:r>
      <w:r w:rsidR="00E523B8">
        <w:rPr>
          <w:rFonts w:eastAsia="Arial"/>
        </w:rPr>
        <w:t>(</w:t>
      </w:r>
      <w:r w:rsidR="00E523B8" w:rsidRPr="00B064F2">
        <w:rPr>
          <w:rFonts w:eastAsia="Arial"/>
          <w:b/>
          <w:bCs/>
        </w:rPr>
        <w:t xml:space="preserve">Grifith </w:t>
      </w:r>
      <w:r w:rsidR="00037374" w:rsidRPr="00B064F2">
        <w:rPr>
          <w:rFonts w:eastAsia="Arial"/>
          <w:b/>
          <w:bCs/>
        </w:rPr>
        <w:t>Review</w:t>
      </w:r>
      <w:r w:rsidR="00E523B8">
        <w:rPr>
          <w:rFonts w:eastAsia="Arial"/>
        </w:rPr>
        <w:t>).</w:t>
      </w:r>
      <w:r w:rsidR="00F35E78">
        <w:rPr>
          <w:rStyle w:val="FootnoteReference"/>
          <w:rFonts w:eastAsia="Arial"/>
        </w:rPr>
        <w:footnoteReference w:id="4"/>
      </w:r>
      <w:r w:rsidR="00E523B8">
        <w:rPr>
          <w:rFonts w:eastAsia="Arial"/>
        </w:rPr>
        <w:t xml:space="preserve"> </w:t>
      </w:r>
    </w:p>
    <w:p w14:paraId="23DCC468" w14:textId="560DB038" w:rsidR="00196C01" w:rsidRDefault="00B10683" w:rsidP="00B47F4D">
      <w:pPr>
        <w:pStyle w:val="Numberedparagraph"/>
        <w:rPr>
          <w:rFonts w:eastAsia="Arial"/>
        </w:rPr>
      </w:pPr>
      <w:r>
        <w:rPr>
          <w:rFonts w:eastAsia="Arial"/>
        </w:rPr>
        <w:t xml:space="preserve">In </w:t>
      </w:r>
      <w:r w:rsidR="00973F6A">
        <w:rPr>
          <w:rFonts w:eastAsia="Arial"/>
        </w:rPr>
        <w:t xml:space="preserve">the </w:t>
      </w:r>
      <w:r>
        <w:rPr>
          <w:rFonts w:eastAsia="Arial"/>
        </w:rPr>
        <w:t>Jack’s Law Bill</w:t>
      </w:r>
      <w:r w:rsidR="001F354F">
        <w:rPr>
          <w:rFonts w:eastAsia="Arial"/>
        </w:rPr>
        <w:t xml:space="preserve"> </w:t>
      </w:r>
      <w:r w:rsidR="0076319A">
        <w:rPr>
          <w:rFonts w:eastAsia="Arial"/>
        </w:rPr>
        <w:t>submission</w:t>
      </w:r>
      <w:r w:rsidR="00BB2D5D">
        <w:rPr>
          <w:rFonts w:eastAsia="Arial"/>
        </w:rPr>
        <w:t>,</w:t>
      </w:r>
      <w:r w:rsidR="001F354F">
        <w:rPr>
          <w:rFonts w:eastAsia="Arial"/>
        </w:rPr>
        <w:t xml:space="preserve"> the </w:t>
      </w:r>
      <w:r w:rsidR="00CF11BC">
        <w:rPr>
          <w:rFonts w:eastAsia="Arial"/>
        </w:rPr>
        <w:t>Commission</w:t>
      </w:r>
      <w:r w:rsidR="001F354F">
        <w:rPr>
          <w:rFonts w:eastAsia="Arial"/>
        </w:rPr>
        <w:t xml:space="preserve"> noted that t</w:t>
      </w:r>
      <w:r w:rsidR="00780FA9" w:rsidRPr="00780FA9">
        <w:rPr>
          <w:rFonts w:eastAsia="Arial"/>
        </w:rPr>
        <w:t xml:space="preserve">he power for a police officer to stop a person without warrant or </w:t>
      </w:r>
      <w:r w:rsidR="00037374" w:rsidRPr="00780FA9">
        <w:rPr>
          <w:rFonts w:eastAsia="Arial"/>
        </w:rPr>
        <w:t>reasonable suspicion</w:t>
      </w:r>
      <w:r w:rsidR="00780FA9" w:rsidRPr="00780FA9">
        <w:rPr>
          <w:rFonts w:eastAsia="Arial"/>
        </w:rPr>
        <w:t xml:space="preserve"> and require the person to submit to a hand</w:t>
      </w:r>
      <w:r w:rsidR="00E508CB">
        <w:rPr>
          <w:rFonts w:eastAsia="Arial"/>
        </w:rPr>
        <w:t>-</w:t>
      </w:r>
      <w:r w:rsidR="00780FA9" w:rsidRPr="00780FA9">
        <w:rPr>
          <w:rFonts w:eastAsia="Arial"/>
        </w:rPr>
        <w:t xml:space="preserve">held scanner is a significant limitation on several </w:t>
      </w:r>
      <w:r w:rsidR="00B86676">
        <w:rPr>
          <w:rFonts w:eastAsia="Arial"/>
        </w:rPr>
        <w:t xml:space="preserve">human </w:t>
      </w:r>
      <w:r w:rsidR="00780FA9" w:rsidRPr="00780FA9">
        <w:rPr>
          <w:rFonts w:eastAsia="Arial"/>
        </w:rPr>
        <w:t>rights,</w:t>
      </w:r>
      <w:r w:rsidR="005D39B6">
        <w:rPr>
          <w:rStyle w:val="FootnoteReference"/>
          <w:rFonts w:eastAsia="Arial"/>
        </w:rPr>
        <w:footnoteReference w:id="5"/>
      </w:r>
      <w:r w:rsidR="00780FA9" w:rsidRPr="00780FA9">
        <w:rPr>
          <w:rFonts w:eastAsia="Arial"/>
        </w:rPr>
        <w:t xml:space="preserve"> as well as being contrary to the common law protection that a person may only be searched where there is a reasonable suspicion. </w:t>
      </w:r>
      <w:r w:rsidR="00093158">
        <w:rPr>
          <w:rFonts w:eastAsia="Arial"/>
        </w:rPr>
        <w:t xml:space="preserve">The </w:t>
      </w:r>
      <w:r w:rsidR="00093158">
        <w:rPr>
          <w:rFonts w:eastAsia="Arial"/>
        </w:rPr>
        <w:lastRenderedPageBreak/>
        <w:t>Commission acknowledged that the limitations on rights were partly</w:t>
      </w:r>
      <w:r w:rsidR="009E7DCD">
        <w:rPr>
          <w:rFonts w:eastAsia="Arial"/>
        </w:rPr>
        <w:t xml:space="preserve"> mitigated by the quick and non-invasive nature of the search</w:t>
      </w:r>
      <w:r w:rsidR="00296A39">
        <w:rPr>
          <w:rFonts w:eastAsia="Arial"/>
        </w:rPr>
        <w:t xml:space="preserve"> </w:t>
      </w:r>
      <w:r w:rsidR="000358AE">
        <w:rPr>
          <w:rFonts w:eastAsia="Arial"/>
        </w:rPr>
        <w:t>and the Bill’s requirement</w:t>
      </w:r>
      <w:r w:rsidR="00093158">
        <w:rPr>
          <w:rFonts w:eastAsia="Arial"/>
        </w:rPr>
        <w:t xml:space="preserve"> </w:t>
      </w:r>
      <w:r w:rsidR="000358AE">
        <w:rPr>
          <w:rFonts w:eastAsia="Arial"/>
        </w:rPr>
        <w:t xml:space="preserve">that </w:t>
      </w:r>
      <w:proofErr w:type="spellStart"/>
      <w:r w:rsidR="000358AE">
        <w:rPr>
          <w:rFonts w:eastAsia="Arial"/>
        </w:rPr>
        <w:t>wanding</w:t>
      </w:r>
      <w:proofErr w:type="spellEnd"/>
      <w:r w:rsidR="000358AE">
        <w:rPr>
          <w:rFonts w:eastAsia="Arial"/>
        </w:rPr>
        <w:t xml:space="preserve"> operations only occur </w:t>
      </w:r>
      <w:r w:rsidR="00934E07">
        <w:rPr>
          <w:rFonts w:eastAsia="Arial"/>
        </w:rPr>
        <w:t>in locations where</w:t>
      </w:r>
      <w:r w:rsidR="000358AE">
        <w:rPr>
          <w:rFonts w:eastAsia="Arial"/>
        </w:rPr>
        <w:t xml:space="preserve"> </w:t>
      </w:r>
      <w:r w:rsidR="00934E07">
        <w:rPr>
          <w:rFonts w:eastAsia="Arial"/>
        </w:rPr>
        <w:t>at least one</w:t>
      </w:r>
      <w:r w:rsidR="00E4449B">
        <w:rPr>
          <w:rFonts w:eastAsia="Arial"/>
        </w:rPr>
        <w:t xml:space="preserve"> </w:t>
      </w:r>
      <w:r w:rsidR="00093158">
        <w:rPr>
          <w:rFonts w:eastAsia="Arial"/>
        </w:rPr>
        <w:t xml:space="preserve">previous knife or other violent offence </w:t>
      </w:r>
      <w:r w:rsidR="00934E07">
        <w:rPr>
          <w:rFonts w:eastAsia="Arial"/>
        </w:rPr>
        <w:t>ha</w:t>
      </w:r>
      <w:r w:rsidR="00B86676">
        <w:rPr>
          <w:rFonts w:eastAsia="Arial"/>
        </w:rPr>
        <w:t>d</w:t>
      </w:r>
      <w:r w:rsidR="00093158">
        <w:rPr>
          <w:rFonts w:eastAsia="Arial"/>
        </w:rPr>
        <w:t xml:space="preserve"> been committed </w:t>
      </w:r>
      <w:r w:rsidR="00196C01">
        <w:rPr>
          <w:rFonts w:eastAsia="Arial"/>
        </w:rPr>
        <w:t>in the previous six months</w:t>
      </w:r>
      <w:r w:rsidR="00093158">
        <w:rPr>
          <w:rFonts w:eastAsia="Arial"/>
        </w:rPr>
        <w:t xml:space="preserve">. </w:t>
      </w:r>
    </w:p>
    <w:p w14:paraId="1C7558BA" w14:textId="1D7E9CC0" w:rsidR="00B47F4D" w:rsidRPr="00200E88" w:rsidRDefault="000E5F38" w:rsidP="00200E88">
      <w:pPr>
        <w:pStyle w:val="Numberedparagraph"/>
        <w:rPr>
          <w:rFonts w:eastAsia="Arial"/>
        </w:rPr>
      </w:pPr>
      <w:r>
        <w:rPr>
          <w:rFonts w:eastAsia="Arial"/>
        </w:rPr>
        <w:t>However, t</w:t>
      </w:r>
      <w:r w:rsidR="00CF11BC">
        <w:rPr>
          <w:rFonts w:eastAsia="Arial"/>
        </w:rPr>
        <w:t xml:space="preserve">he Commission </w:t>
      </w:r>
      <w:r w:rsidR="008650CA">
        <w:rPr>
          <w:rFonts w:eastAsia="Arial"/>
        </w:rPr>
        <w:t>expressed</w:t>
      </w:r>
      <w:r w:rsidR="00CF11BC">
        <w:rPr>
          <w:rFonts w:eastAsia="Arial"/>
        </w:rPr>
        <w:t xml:space="preserve"> reservations about whether these limitations could be reasonably justified a</w:t>
      </w:r>
      <w:r w:rsidR="00037374">
        <w:rPr>
          <w:rFonts w:eastAsia="Arial"/>
        </w:rPr>
        <w:t xml:space="preserve">s </w:t>
      </w:r>
      <w:r w:rsidR="00066124">
        <w:rPr>
          <w:rFonts w:eastAsia="Arial"/>
        </w:rPr>
        <w:t xml:space="preserve">the Griffith Review </w:t>
      </w:r>
      <w:r w:rsidR="00C30CBB">
        <w:rPr>
          <w:rFonts w:eastAsia="Arial"/>
        </w:rPr>
        <w:t xml:space="preserve">found </w:t>
      </w:r>
      <w:r w:rsidR="00037374">
        <w:rPr>
          <w:rFonts w:eastAsia="Arial"/>
        </w:rPr>
        <w:t>insufficient evidence of a deterrent effect</w:t>
      </w:r>
      <w:r w:rsidR="00E508CB">
        <w:rPr>
          <w:rFonts w:eastAsia="Arial"/>
        </w:rPr>
        <w:t>.</w:t>
      </w:r>
      <w:r w:rsidR="00200E88">
        <w:rPr>
          <w:rFonts w:eastAsia="Arial"/>
        </w:rPr>
        <w:t xml:space="preserve"> The Commission also expressed</w:t>
      </w:r>
      <w:r w:rsidR="004E44A3" w:rsidRPr="00200E88">
        <w:rPr>
          <w:rFonts w:eastAsia="Arial"/>
        </w:rPr>
        <w:t xml:space="preserve"> concerns that</w:t>
      </w:r>
      <w:r w:rsidR="00B47F4D" w:rsidRPr="00200E88">
        <w:rPr>
          <w:rFonts w:eastAsia="Arial"/>
        </w:rPr>
        <w:t xml:space="preserve"> adding public transport to the places where searching may be conducted risks marginalising at-risk groups who rely on public transport to obtain essential services, attend work, and access health care</w:t>
      </w:r>
      <w:r w:rsidR="008D259E" w:rsidRPr="00200E88">
        <w:rPr>
          <w:rFonts w:eastAsia="Arial"/>
        </w:rPr>
        <w:t>.</w:t>
      </w:r>
      <w:r w:rsidR="00322502" w:rsidRPr="00200E88">
        <w:rPr>
          <w:rFonts w:eastAsia="Arial"/>
        </w:rPr>
        <w:t xml:space="preserve"> </w:t>
      </w:r>
    </w:p>
    <w:p w14:paraId="533B2829" w14:textId="31AA4683" w:rsidR="00322502" w:rsidRPr="00E92200" w:rsidRDefault="001A4D85" w:rsidP="0091731D">
      <w:pPr>
        <w:pStyle w:val="Numberedparagraph"/>
        <w:rPr>
          <w:rFonts w:eastAsia="Arial"/>
        </w:rPr>
      </w:pPr>
      <w:r>
        <w:t>Because</w:t>
      </w:r>
      <w:r w:rsidR="00200E88">
        <w:t xml:space="preserve"> of these concerns, t</w:t>
      </w:r>
      <w:r w:rsidR="0091731D">
        <w:t xml:space="preserve">he Commission </w:t>
      </w:r>
      <w:r w:rsidR="00E13EBA">
        <w:t>recommended</w:t>
      </w:r>
      <w:r w:rsidR="00322502">
        <w:t xml:space="preserve"> that t</w:t>
      </w:r>
      <w:r w:rsidR="00322502" w:rsidRPr="000A5313">
        <w:t>he government should commission a</w:t>
      </w:r>
      <w:r w:rsidR="00200E88">
        <w:t xml:space="preserve"> second</w:t>
      </w:r>
      <w:r w:rsidR="00322502" w:rsidRPr="000A5313">
        <w:t xml:space="preserve"> independent review 12 months after the implementation of </w:t>
      </w:r>
      <w:r w:rsidR="00322502">
        <w:t>the Bill</w:t>
      </w:r>
      <w:r w:rsidR="006C1708">
        <w:t xml:space="preserve"> to assess</w:t>
      </w:r>
      <w:r w:rsidR="00322502" w:rsidRPr="000A5313">
        <w:t xml:space="preserve"> the extent to which the trial has achieved a significant reduction in crimes involving weapons</w:t>
      </w:r>
      <w:r w:rsidR="00322502">
        <w:t>,</w:t>
      </w:r>
      <w:r w:rsidR="00322502" w:rsidRPr="000A5313">
        <w:t xml:space="preserve"> and </w:t>
      </w:r>
      <w:r w:rsidR="00404DE2">
        <w:t>whether</w:t>
      </w:r>
      <w:r w:rsidR="00322502" w:rsidRPr="000A5313">
        <w:t xml:space="preserve"> </w:t>
      </w:r>
      <w:r w:rsidR="00404DE2">
        <w:t>adding</w:t>
      </w:r>
      <w:r w:rsidR="00322502" w:rsidRPr="000A5313">
        <w:t xml:space="preserve"> public transport has had a disproportionate impact on certain groups.</w:t>
      </w:r>
      <w:r w:rsidR="00200E88">
        <w:t xml:space="preserve"> </w:t>
      </w:r>
    </w:p>
    <w:p w14:paraId="2140E20A" w14:textId="67170D2B" w:rsidR="004776A2" w:rsidRPr="0091731D" w:rsidRDefault="004776A2" w:rsidP="004776A2">
      <w:pPr>
        <w:pStyle w:val="Heading3"/>
      </w:pPr>
      <w:bookmarkStart w:id="21" w:name="_Toc166839051"/>
      <w:r>
        <w:t>Consideration of current Bill</w:t>
      </w:r>
      <w:bookmarkEnd w:id="21"/>
    </w:p>
    <w:p w14:paraId="3F7EA8CB" w14:textId="16E77B2E" w:rsidR="00A34514" w:rsidRDefault="00B12C60" w:rsidP="00081C91">
      <w:pPr>
        <w:pStyle w:val="Numberedparagraph"/>
      </w:pPr>
      <w:r w:rsidRPr="00B12C60">
        <w:t xml:space="preserve">Knife crime represents a significant </w:t>
      </w:r>
      <w:r w:rsidR="001301BA">
        <w:t xml:space="preserve">community </w:t>
      </w:r>
      <w:r w:rsidRPr="00B12C60">
        <w:t>concern, with the rights of victims, especially the right to life, being a paramount consideration for the government.</w:t>
      </w:r>
      <w:r>
        <w:t xml:space="preserve"> </w:t>
      </w:r>
      <w:r w:rsidR="007D16C7">
        <w:t>Community safety</w:t>
      </w:r>
      <w:r w:rsidR="00763C7D">
        <w:t xml:space="preserve"> and the preservation of lives</w:t>
      </w:r>
      <w:r w:rsidR="007D16C7">
        <w:t xml:space="preserve"> is a</w:t>
      </w:r>
      <w:r w:rsidR="00763C7D">
        <w:t xml:space="preserve"> critical and</w:t>
      </w:r>
      <w:r w:rsidR="007D16C7">
        <w:t xml:space="preserve"> legitimate aim to be </w:t>
      </w:r>
      <w:r w:rsidR="00763C7D">
        <w:t>achieved and</w:t>
      </w:r>
      <w:r w:rsidR="007D16C7">
        <w:t xml:space="preserve"> may justify the proportionate limitation of human rights of individuals.</w:t>
      </w:r>
      <w:r w:rsidR="000A4B7E">
        <w:t xml:space="preserve"> </w:t>
      </w:r>
    </w:p>
    <w:p w14:paraId="6D22A820" w14:textId="77777777" w:rsidR="00A34514" w:rsidRPr="00717341" w:rsidRDefault="00A34514" w:rsidP="00A34514">
      <w:pPr>
        <w:pStyle w:val="Numberedparagraph"/>
        <w:rPr>
          <w:rFonts w:eastAsia="Arial"/>
        </w:rPr>
      </w:pPr>
      <w:r>
        <w:t xml:space="preserve">While recognising that various safeguards remain in the existing legislation and in the Bill to limit the situations in which a </w:t>
      </w:r>
      <w:proofErr w:type="spellStart"/>
      <w:r>
        <w:t>wanding</w:t>
      </w:r>
      <w:proofErr w:type="spellEnd"/>
      <w:r>
        <w:t xml:space="preserve"> operation can be authorised, the Commission is concerned about the expansion of powers prior to a further review being conducted. </w:t>
      </w:r>
    </w:p>
    <w:p w14:paraId="1F65518F" w14:textId="204000C8" w:rsidR="00AF7A92" w:rsidRDefault="000A4B7E" w:rsidP="00081C91">
      <w:pPr>
        <w:pStyle w:val="Numberedparagraph"/>
      </w:pPr>
      <w:r>
        <w:t xml:space="preserve">The Commission questions </w:t>
      </w:r>
      <w:r w:rsidR="000F2104">
        <w:t>whether</w:t>
      </w:r>
      <w:r w:rsidR="007D16C7">
        <w:t xml:space="preserve"> </w:t>
      </w:r>
      <w:r w:rsidR="00634FB3">
        <w:t xml:space="preserve">there is enough evidence to show that </w:t>
      </w:r>
      <w:r w:rsidR="007D16C7">
        <w:t xml:space="preserve">expanding </w:t>
      </w:r>
      <w:r w:rsidR="000F2104">
        <w:t>the use of</w:t>
      </w:r>
      <w:r w:rsidR="007D16C7">
        <w:t xml:space="preserve"> searches without warrant will </w:t>
      </w:r>
      <w:r w:rsidR="00A96108">
        <w:t>improve community safety and limit the loss of life</w:t>
      </w:r>
      <w:r w:rsidR="007379EB">
        <w:t xml:space="preserve">. Further, </w:t>
      </w:r>
      <w:r w:rsidR="001F7E6E">
        <w:t>increasing</w:t>
      </w:r>
      <w:r w:rsidR="00DE5543">
        <w:t xml:space="preserve"> the number of searches and the situations in which they occur</w:t>
      </w:r>
      <w:r w:rsidR="005C409C">
        <w:t xml:space="preserve"> </w:t>
      </w:r>
      <w:r w:rsidR="007379EB">
        <w:t>could</w:t>
      </w:r>
      <w:r w:rsidR="005C409C">
        <w:t xml:space="preserve"> have other unintended consequences.</w:t>
      </w:r>
    </w:p>
    <w:p w14:paraId="38C8F380" w14:textId="48D505FB" w:rsidR="001D11FB" w:rsidRDefault="00B71D6D" w:rsidP="00081C91">
      <w:pPr>
        <w:pStyle w:val="Numberedparagraph"/>
      </w:pPr>
      <w:r>
        <w:t xml:space="preserve">The goal of </w:t>
      </w:r>
      <w:proofErr w:type="spellStart"/>
      <w:r>
        <w:t>wanding</w:t>
      </w:r>
      <w:proofErr w:type="spellEnd"/>
      <w:r>
        <w:t xml:space="preserve"> is </w:t>
      </w:r>
      <w:r w:rsidR="002A68D2">
        <w:t>to detect metal weapons</w:t>
      </w:r>
      <w:r w:rsidR="005C4583">
        <w:t>. On</w:t>
      </w:r>
      <w:r w:rsidR="002A68D2">
        <w:t xml:space="preserve"> the information available publicly the Commission understands t</w:t>
      </w:r>
      <w:r w:rsidR="001D11FB">
        <w:t xml:space="preserve">he current detection rate for </w:t>
      </w:r>
      <w:r w:rsidR="002A68D2">
        <w:t xml:space="preserve">weapons is around </w:t>
      </w:r>
      <w:r w:rsidR="00A331A9">
        <w:t>1%.</w:t>
      </w:r>
      <w:r w:rsidR="00A331A9">
        <w:rPr>
          <w:rStyle w:val="FootnoteReference"/>
        </w:rPr>
        <w:footnoteReference w:id="6"/>
      </w:r>
      <w:r w:rsidR="005C4583">
        <w:t xml:space="preserve"> It appears that </w:t>
      </w:r>
      <w:proofErr w:type="spellStart"/>
      <w:r w:rsidR="005C4583">
        <w:t>wanding</w:t>
      </w:r>
      <w:proofErr w:type="spellEnd"/>
      <w:r w:rsidR="005C4583">
        <w:t xml:space="preserve"> </w:t>
      </w:r>
      <w:r w:rsidR="004C01BF">
        <w:t>often</w:t>
      </w:r>
      <w:r w:rsidR="005C4583">
        <w:t xml:space="preserve"> lead</w:t>
      </w:r>
      <w:r w:rsidR="003332E5">
        <w:t>s</w:t>
      </w:r>
      <w:r w:rsidR="005C4583">
        <w:t xml:space="preserve"> to </w:t>
      </w:r>
      <w:r w:rsidR="00360426">
        <w:t>other kinds of charges</w:t>
      </w:r>
      <w:r w:rsidR="00487F89">
        <w:t xml:space="preserve"> </w:t>
      </w:r>
      <w:r w:rsidR="00D000A2">
        <w:t>—</w:t>
      </w:r>
      <w:r w:rsidR="00487F89">
        <w:t xml:space="preserve"> drugs, </w:t>
      </w:r>
      <w:r w:rsidR="003332E5">
        <w:t xml:space="preserve">breach of </w:t>
      </w:r>
      <w:r w:rsidR="00487F89">
        <w:t>bail</w:t>
      </w:r>
      <w:r w:rsidR="003332E5">
        <w:t>,</w:t>
      </w:r>
      <w:r w:rsidR="00487F89">
        <w:t xml:space="preserve"> and other offences.</w:t>
      </w:r>
      <w:r w:rsidR="00487F89">
        <w:rPr>
          <w:rStyle w:val="FootnoteReference"/>
        </w:rPr>
        <w:footnoteReference w:id="7"/>
      </w:r>
      <w:r w:rsidR="00487F89">
        <w:t xml:space="preserve"> </w:t>
      </w:r>
    </w:p>
    <w:p w14:paraId="7BD985D7" w14:textId="32B813E7" w:rsidR="001A688D" w:rsidRDefault="001A688D" w:rsidP="00081C91">
      <w:pPr>
        <w:pStyle w:val="Numberedparagraph"/>
      </w:pPr>
      <w:r>
        <w:lastRenderedPageBreak/>
        <w:t xml:space="preserve">Human rights may only be limited when </w:t>
      </w:r>
      <w:r w:rsidR="00870AB0">
        <w:t xml:space="preserve">reasonable and </w:t>
      </w:r>
      <w:r w:rsidR="005E521D">
        <w:t>proportionate</w:t>
      </w:r>
      <w:r w:rsidR="00973792">
        <w:t xml:space="preserve">, </w:t>
      </w:r>
      <w:r w:rsidR="002D1EDB">
        <w:t>which may include</w:t>
      </w:r>
      <w:r w:rsidR="00973792">
        <w:t xml:space="preserve"> consideration of whether there is a relationship between the limitation on rights </w:t>
      </w:r>
      <w:r w:rsidR="00CD4DD3">
        <w:t xml:space="preserve">and </w:t>
      </w:r>
      <w:r w:rsidR="00A31EF2">
        <w:t>the legitimate purpose to be achieved,</w:t>
      </w:r>
      <w:r w:rsidR="00A31EF2">
        <w:rPr>
          <w:rStyle w:val="FootnoteReference"/>
        </w:rPr>
        <w:footnoteReference w:id="8"/>
      </w:r>
      <w:r w:rsidR="00A31EF2">
        <w:t xml:space="preserve"> in this case, the enhancement of community safety.</w:t>
      </w:r>
    </w:p>
    <w:p w14:paraId="7CCC7563" w14:textId="209B884B" w:rsidR="004C01BF" w:rsidRDefault="00DA5F5A" w:rsidP="00081C91">
      <w:pPr>
        <w:pStyle w:val="Numberedparagraph"/>
      </w:pPr>
      <w:r>
        <w:t>The</w:t>
      </w:r>
      <w:r w:rsidR="00337BED">
        <w:t xml:space="preserve"> Commission considers that further evidence should be provided </w:t>
      </w:r>
      <w:r w:rsidR="00474155">
        <w:t xml:space="preserve">by the government </w:t>
      </w:r>
      <w:r w:rsidR="00337BED">
        <w:t xml:space="preserve">to show </w:t>
      </w:r>
      <w:r w:rsidR="00483190">
        <w:t xml:space="preserve">that there is a </w:t>
      </w:r>
      <w:r w:rsidR="00927AC7">
        <w:t xml:space="preserve">rational </w:t>
      </w:r>
      <w:r w:rsidR="00483190">
        <w:t xml:space="preserve">connection between removing weapons </w:t>
      </w:r>
      <w:r w:rsidR="009967A3">
        <w:t xml:space="preserve">from people </w:t>
      </w:r>
      <w:r w:rsidR="00200407">
        <w:t xml:space="preserve">in public </w:t>
      </w:r>
      <w:r w:rsidR="00474155">
        <w:t xml:space="preserve">spaces </w:t>
      </w:r>
      <w:r w:rsidR="00200407">
        <w:t xml:space="preserve">and an actual reduction in knife crime. </w:t>
      </w:r>
      <w:r w:rsidR="00BC495C">
        <w:t xml:space="preserve">Unlike guns, </w:t>
      </w:r>
      <w:r w:rsidR="00200407">
        <w:t xml:space="preserve">knives are </w:t>
      </w:r>
      <w:r w:rsidR="00BC495C">
        <w:t>present in every home in Australia</w:t>
      </w:r>
      <w:r w:rsidR="004420C4">
        <w:t xml:space="preserve"> and can be easily replaced </w:t>
      </w:r>
      <w:r w:rsidR="000C1CFA">
        <w:t>by the person</w:t>
      </w:r>
      <w:r w:rsidR="00466FE5">
        <w:t xml:space="preserve"> after </w:t>
      </w:r>
      <w:r w:rsidR="004C27DD">
        <w:t>a</w:t>
      </w:r>
      <w:r w:rsidR="00466FE5">
        <w:t xml:space="preserve"> weapon has been seized</w:t>
      </w:r>
      <w:r w:rsidR="005C30E9">
        <w:t>.</w:t>
      </w:r>
      <w:r w:rsidR="00466FE5">
        <w:t xml:space="preserve"> </w:t>
      </w:r>
      <w:r w:rsidR="0022214E">
        <w:t>Further, a</w:t>
      </w:r>
      <w:r w:rsidR="00466FE5">
        <w:t xml:space="preserve">s noted in the </w:t>
      </w:r>
      <w:r w:rsidR="008D1420">
        <w:t xml:space="preserve">Commission’s </w:t>
      </w:r>
      <w:r w:rsidR="00466FE5">
        <w:t xml:space="preserve">previous submission, the Griffith Review was unable to identify a deterrent effect </w:t>
      </w:r>
      <w:r w:rsidR="0022214E">
        <w:t xml:space="preserve">from </w:t>
      </w:r>
      <w:proofErr w:type="spellStart"/>
      <w:r w:rsidR="0022214E">
        <w:t>wanding</w:t>
      </w:r>
      <w:proofErr w:type="spellEnd"/>
      <w:r w:rsidR="004012EC">
        <w:t xml:space="preserve"> </w:t>
      </w:r>
      <w:r w:rsidR="00D124A2">
        <w:t>resulting in</w:t>
      </w:r>
      <w:r w:rsidR="004012EC">
        <w:t xml:space="preserve"> fewer people carry</w:t>
      </w:r>
      <w:r w:rsidR="00D124A2">
        <w:t>ing</w:t>
      </w:r>
      <w:r w:rsidR="004012EC">
        <w:t xml:space="preserve"> weapons</w:t>
      </w:r>
      <w:r w:rsidR="0022214E">
        <w:t>.</w:t>
      </w:r>
      <w:r w:rsidR="004012EC">
        <w:rPr>
          <w:rStyle w:val="FootnoteReference"/>
        </w:rPr>
        <w:footnoteReference w:id="9"/>
      </w:r>
    </w:p>
    <w:p w14:paraId="502F8B69" w14:textId="7BB92E66" w:rsidR="00F87425" w:rsidRDefault="00D124A2" w:rsidP="00081C91">
      <w:pPr>
        <w:pStyle w:val="Numberedparagraph"/>
      </w:pPr>
      <w:r>
        <w:t>T</w:t>
      </w:r>
      <w:r w:rsidR="00F87425">
        <w:t>he data available to the</w:t>
      </w:r>
      <w:r w:rsidR="007871E6">
        <w:t xml:space="preserve"> Griffith Review </w:t>
      </w:r>
      <w:r w:rsidR="00084F93">
        <w:t xml:space="preserve">was limited </w:t>
      </w:r>
      <w:r w:rsidR="007871E6">
        <w:t xml:space="preserve">because of </w:t>
      </w:r>
      <w:r w:rsidR="00084F93">
        <w:t>the</w:t>
      </w:r>
      <w:r w:rsidR="00B07C1A">
        <w:t xml:space="preserve"> difficult</w:t>
      </w:r>
      <w:r w:rsidR="00084F93">
        <w:t>y</w:t>
      </w:r>
      <w:r w:rsidR="00B07C1A">
        <w:t xml:space="preserve"> </w:t>
      </w:r>
      <w:r w:rsidR="00084F93">
        <w:t xml:space="preserve">in </w:t>
      </w:r>
      <w:r w:rsidR="00B07C1A">
        <w:t>extrapolat</w:t>
      </w:r>
      <w:r w:rsidR="00084F93">
        <w:t>ing</w:t>
      </w:r>
      <w:r w:rsidR="00B07C1A">
        <w:t xml:space="preserve"> from 12 months of data, the </w:t>
      </w:r>
      <w:r w:rsidR="00F87425">
        <w:t xml:space="preserve">trial period overlapping with COVID-19 </w:t>
      </w:r>
      <w:r w:rsidR="00915484">
        <w:t>(</w:t>
      </w:r>
      <w:r w:rsidR="00F87425">
        <w:t>which meant reduced crowd sizes</w:t>
      </w:r>
      <w:r w:rsidR="00D02C86">
        <w:t>),</w:t>
      </w:r>
      <w:r w:rsidR="00B07C1A">
        <w:t xml:space="preserve"> and </w:t>
      </w:r>
      <w:r w:rsidR="000134CF">
        <w:t>limitations on recording some information on the</w:t>
      </w:r>
      <w:r w:rsidR="00B07C1A">
        <w:t xml:space="preserve"> police database</w:t>
      </w:r>
      <w:r w:rsidR="000134CF">
        <w:t>.</w:t>
      </w:r>
      <w:r w:rsidR="000134CF">
        <w:rPr>
          <w:rStyle w:val="FootnoteReference"/>
        </w:rPr>
        <w:footnoteReference w:id="10"/>
      </w:r>
    </w:p>
    <w:p w14:paraId="0CE33509" w14:textId="1713E7AC" w:rsidR="00B57EAB" w:rsidRDefault="00FF3FEC" w:rsidP="00081C91">
      <w:pPr>
        <w:pStyle w:val="Numberedparagraph"/>
      </w:pPr>
      <w:r>
        <w:t>S</w:t>
      </w:r>
      <w:r w:rsidR="00AE40AD">
        <w:t xml:space="preserve">ufficient data </w:t>
      </w:r>
      <w:r>
        <w:t xml:space="preserve">may </w:t>
      </w:r>
      <w:r w:rsidR="00DA5F5A">
        <w:t xml:space="preserve">now </w:t>
      </w:r>
      <w:r>
        <w:t>have</w:t>
      </w:r>
      <w:r w:rsidR="00DA5F5A">
        <w:t xml:space="preserve"> been</w:t>
      </w:r>
      <w:r w:rsidR="00AE40AD">
        <w:t xml:space="preserve"> collected </w:t>
      </w:r>
      <w:r w:rsidR="00507A85">
        <w:t>over</w:t>
      </w:r>
      <w:r w:rsidR="002265F8">
        <w:t xml:space="preserve"> more than</w:t>
      </w:r>
      <w:r w:rsidR="00AE40AD">
        <w:t xml:space="preserve"> </w:t>
      </w:r>
      <w:r w:rsidR="00507A85">
        <w:t>two years</w:t>
      </w:r>
      <w:r w:rsidR="00B57EAB">
        <w:t xml:space="preserve"> to be able to </w:t>
      </w:r>
      <w:r w:rsidR="004C27DD">
        <w:t>evaluate</w:t>
      </w:r>
      <w:r w:rsidR="00F0678A">
        <w:t xml:space="preserve"> </w:t>
      </w:r>
      <w:r w:rsidR="00DC73C1">
        <w:t xml:space="preserve">whether </w:t>
      </w:r>
      <w:proofErr w:type="spellStart"/>
      <w:r w:rsidR="00DC73C1">
        <w:t>wanding</w:t>
      </w:r>
      <w:proofErr w:type="spellEnd"/>
      <w:r w:rsidR="00DA5F5A">
        <w:t xml:space="preserve"> without </w:t>
      </w:r>
      <w:r>
        <w:t xml:space="preserve">a </w:t>
      </w:r>
      <w:r w:rsidR="00DA5F5A">
        <w:t>warrant</w:t>
      </w:r>
      <w:r w:rsidR="00DC73C1">
        <w:t xml:space="preserve"> </w:t>
      </w:r>
      <w:r w:rsidR="00C0538A">
        <w:t>(i</w:t>
      </w:r>
      <w:r w:rsidR="00DC73C1">
        <w:t xml:space="preserve">) </w:t>
      </w:r>
      <w:r w:rsidR="00C0538A">
        <w:t xml:space="preserve">has </w:t>
      </w:r>
      <w:r w:rsidR="00DC73C1">
        <w:t>a deterrent effect</w:t>
      </w:r>
      <w:r w:rsidR="002265F8">
        <w:t>,</w:t>
      </w:r>
      <w:r w:rsidR="00DC73C1">
        <w:t xml:space="preserve"> and </w:t>
      </w:r>
      <w:r w:rsidR="00C0538A">
        <w:t>(ii</w:t>
      </w:r>
      <w:r w:rsidR="00DC73C1">
        <w:t>)</w:t>
      </w:r>
      <w:r w:rsidR="00C0538A">
        <w:t> </w:t>
      </w:r>
      <w:r w:rsidR="00C048A4">
        <w:t>leads to a reduction in knife crime</w:t>
      </w:r>
      <w:r w:rsidR="00764F9C">
        <w:t xml:space="preserve">. </w:t>
      </w:r>
      <w:r w:rsidR="00724A64">
        <w:t xml:space="preserve">If these effects </w:t>
      </w:r>
      <w:r w:rsidR="00DA5F5A">
        <w:t>cannot</w:t>
      </w:r>
      <w:r w:rsidR="00724A64">
        <w:t xml:space="preserve"> be </w:t>
      </w:r>
      <w:r w:rsidR="008735DD">
        <w:t>demonstrated</w:t>
      </w:r>
      <w:r w:rsidR="00724A64">
        <w:t>, then the limitation on rights cannot be adequately justified.</w:t>
      </w:r>
    </w:p>
    <w:p w14:paraId="09EFDA80" w14:textId="3936C96A" w:rsidR="005D2954" w:rsidRDefault="00DA5F5A" w:rsidP="00A977EC">
      <w:pPr>
        <w:pStyle w:val="Numberedparagraph"/>
      </w:pPr>
      <w:r>
        <w:t>T</w:t>
      </w:r>
      <w:r w:rsidR="005D2954">
        <w:t xml:space="preserve">he government should </w:t>
      </w:r>
      <w:r w:rsidR="00E047FE">
        <w:t>explain</w:t>
      </w:r>
      <w:r w:rsidR="00AA705D">
        <w:t xml:space="preserve"> how its approach to </w:t>
      </w:r>
      <w:proofErr w:type="spellStart"/>
      <w:r w:rsidR="00AA705D">
        <w:t>wanding</w:t>
      </w:r>
      <w:proofErr w:type="spellEnd"/>
      <w:r w:rsidR="00AA705D">
        <w:t xml:space="preserve"> </w:t>
      </w:r>
      <w:r w:rsidR="003720DE">
        <w:t>works congruently with</w:t>
      </w:r>
      <w:r w:rsidR="00AA705D">
        <w:t xml:space="preserve"> the</w:t>
      </w:r>
      <w:r w:rsidR="003720DE">
        <w:t xml:space="preserve"> shift away from punitive approaches to minor drug offences and the</w:t>
      </w:r>
      <w:r w:rsidR="00AA705D">
        <w:t xml:space="preserve"> </w:t>
      </w:r>
      <w:r w:rsidR="00E047FE">
        <w:t xml:space="preserve">expansion of the Police Drug Diversion Program, </w:t>
      </w:r>
      <w:r w:rsidR="008B76EE">
        <w:t xml:space="preserve">recently </w:t>
      </w:r>
      <w:r w:rsidR="003720DE">
        <w:t>legislated through</w:t>
      </w:r>
      <w:r w:rsidR="00BB077C">
        <w:t xml:space="preserve"> </w:t>
      </w:r>
      <w:r w:rsidR="00635879">
        <w:t xml:space="preserve">the </w:t>
      </w:r>
      <w:r w:rsidR="00BB077C" w:rsidRPr="00BB077C">
        <w:t>Police Powers and Other Legislation Amendment Bill 2023</w:t>
      </w:r>
      <w:r w:rsidR="00087C0E">
        <w:t xml:space="preserve"> (</w:t>
      </w:r>
      <w:r w:rsidR="00635879">
        <w:t xml:space="preserve">Qld) </w:t>
      </w:r>
      <w:r w:rsidR="00087C0E">
        <w:t>(</w:t>
      </w:r>
      <w:r w:rsidR="00087C0E" w:rsidRPr="00D90E34">
        <w:rPr>
          <w:b/>
          <w:bCs/>
        </w:rPr>
        <w:t>Police Powers Bill 2023</w:t>
      </w:r>
      <w:r w:rsidR="00087C0E">
        <w:t>)</w:t>
      </w:r>
      <w:r w:rsidR="00A977EC">
        <w:t xml:space="preserve">. </w:t>
      </w:r>
      <w:r w:rsidR="00682019">
        <w:t xml:space="preserve">The Commission approved of </w:t>
      </w:r>
      <w:r w:rsidR="000A14AB">
        <w:t xml:space="preserve">these </w:t>
      </w:r>
      <w:r w:rsidR="00682019">
        <w:t xml:space="preserve">legislative changes that </w:t>
      </w:r>
      <w:r w:rsidR="001E6D21">
        <w:t xml:space="preserve">recognise </w:t>
      </w:r>
      <w:r w:rsidR="00682019">
        <w:t xml:space="preserve">that people who possess drugs for personal use should be afforded the opportunity to cease </w:t>
      </w:r>
      <w:r w:rsidR="005B3CBA">
        <w:t>behaviour</w:t>
      </w:r>
      <w:r w:rsidR="00682019">
        <w:t xml:space="preserve"> and rehabilitate prior to having formal contact with the criminal justice system through the courts.</w:t>
      </w:r>
      <w:r w:rsidR="00A214F1">
        <w:rPr>
          <w:rStyle w:val="FootnoteReference"/>
        </w:rPr>
        <w:footnoteReference w:id="11"/>
      </w:r>
    </w:p>
    <w:p w14:paraId="425504E8" w14:textId="24F0F9A3" w:rsidR="00A977EC" w:rsidRDefault="00464BBB" w:rsidP="00A977EC">
      <w:pPr>
        <w:pStyle w:val="Numberedparagraph"/>
      </w:pPr>
      <w:r>
        <w:t>One</w:t>
      </w:r>
      <w:r w:rsidRPr="00464BBB">
        <w:t xml:space="preserve"> outcome of </w:t>
      </w:r>
      <w:proofErr w:type="spellStart"/>
      <w:r w:rsidRPr="00464BBB">
        <w:t>wanding</w:t>
      </w:r>
      <w:proofErr w:type="spellEnd"/>
      <w:r w:rsidRPr="00464BBB">
        <w:t xml:space="preserve"> powers</w:t>
      </w:r>
      <w:r w:rsidR="00D26A51">
        <w:t xml:space="preserve"> that can be extrapolated from the police data</w:t>
      </w:r>
      <w:r w:rsidRPr="00464BBB">
        <w:t xml:space="preserve"> is heightened drug detection, potentially conflicting with the intent of the Police Powers Bill 2023.</w:t>
      </w:r>
      <w:r w:rsidR="00F15B49">
        <w:t xml:space="preserve"> It is </w:t>
      </w:r>
      <w:r w:rsidR="00F15B49" w:rsidRPr="00F15B49">
        <w:t xml:space="preserve">crucial to gather and analyse further data on the number of individuals discovered with </w:t>
      </w:r>
      <w:r w:rsidR="004E05E5">
        <w:t xml:space="preserve">small amounts of </w:t>
      </w:r>
      <w:r w:rsidR="00F15B49" w:rsidRPr="00F15B49">
        <w:t xml:space="preserve">drugs during </w:t>
      </w:r>
      <w:proofErr w:type="spellStart"/>
      <w:r w:rsidR="00F15B49" w:rsidRPr="00F15B49">
        <w:t>wanding</w:t>
      </w:r>
      <w:proofErr w:type="spellEnd"/>
      <w:r w:rsidR="00F15B49" w:rsidRPr="00F15B49">
        <w:t xml:space="preserve"> searches and </w:t>
      </w:r>
      <w:r w:rsidR="004E05E5">
        <w:t>assess the extent to which</w:t>
      </w:r>
      <w:r w:rsidR="00F15B49" w:rsidRPr="00F15B49">
        <w:t xml:space="preserve"> </w:t>
      </w:r>
      <w:r w:rsidR="004E05E5">
        <w:t xml:space="preserve">these </w:t>
      </w:r>
      <w:r w:rsidR="00CD6E61">
        <w:t>individuals</w:t>
      </w:r>
      <w:r w:rsidR="00F15B49" w:rsidRPr="00F15B49">
        <w:t xml:space="preserve"> were diverted </w:t>
      </w:r>
      <w:r w:rsidR="002B0988">
        <w:t xml:space="preserve">(or not) </w:t>
      </w:r>
      <w:r w:rsidR="00F15B49" w:rsidRPr="00F15B49">
        <w:t>from involvement in the criminal justice system. This information should be included in an independent review process.</w:t>
      </w:r>
    </w:p>
    <w:p w14:paraId="74112A21" w14:textId="25191F52" w:rsidR="000E49A4" w:rsidRDefault="000E49A4" w:rsidP="000E49A4">
      <w:pPr>
        <w:pStyle w:val="Numberedparagraph"/>
      </w:pPr>
      <w:r>
        <w:lastRenderedPageBreak/>
        <w:t>A further</w:t>
      </w:r>
      <w:r w:rsidR="00520B49">
        <w:t xml:space="preserve"> concern is that </w:t>
      </w:r>
      <w:proofErr w:type="spellStart"/>
      <w:r w:rsidR="00AA002C">
        <w:t>wanding</w:t>
      </w:r>
      <w:proofErr w:type="spellEnd"/>
      <w:r w:rsidR="00AA002C">
        <w:t xml:space="preserve"> without </w:t>
      </w:r>
      <w:r w:rsidR="001D596B">
        <w:t xml:space="preserve">a </w:t>
      </w:r>
      <w:r w:rsidR="00AA002C">
        <w:t xml:space="preserve">warrant will disproportionately </w:t>
      </w:r>
      <w:r w:rsidR="008C06D9">
        <w:t>be conducted on people from cultural minorities</w:t>
      </w:r>
      <w:r w:rsidR="00040A4F">
        <w:t xml:space="preserve">, which may </w:t>
      </w:r>
      <w:r w:rsidR="00D122D4">
        <w:t>unjustifiably</w:t>
      </w:r>
      <w:r w:rsidR="00040A4F">
        <w:t xml:space="preserve"> limit the right to equality </w:t>
      </w:r>
      <w:r w:rsidR="00FC4A3B">
        <w:t>and non-discrimination</w:t>
      </w:r>
      <w:r w:rsidR="008C06D9">
        <w:t xml:space="preserve">. </w:t>
      </w:r>
      <w:r w:rsidR="00D61682">
        <w:t>Any</w:t>
      </w:r>
      <w:r>
        <w:t xml:space="preserve"> search process that provides broad police discretion and no requirement for reasonable suspicion may inadvertently lead to </w:t>
      </w:r>
      <w:r w:rsidR="00D61682">
        <w:t xml:space="preserve">decisions to search based on </w:t>
      </w:r>
      <w:r>
        <w:t>inappropriate stereotyping and cultural assumptions.</w:t>
      </w:r>
      <w:r>
        <w:rPr>
          <w:rStyle w:val="FootnoteReference"/>
        </w:rPr>
        <w:footnoteReference w:id="12"/>
      </w:r>
    </w:p>
    <w:p w14:paraId="0EDF35DB" w14:textId="104F606F" w:rsidR="00680333" w:rsidRPr="004776A2" w:rsidRDefault="00680333" w:rsidP="00680333">
      <w:pPr>
        <w:pStyle w:val="Numberedparagraph"/>
        <w:rPr>
          <w:rFonts w:eastAsia="Arial"/>
        </w:rPr>
      </w:pPr>
      <w:r>
        <w:t xml:space="preserve">The Commission reiterates its concerns recently raised with the Community Support and Services Committee regarding the </w:t>
      </w:r>
      <w:r w:rsidRPr="00717341">
        <w:t>Police Powers and Responsibilities and Other Legislation Amendment Bill 2024</w:t>
      </w:r>
      <w:r w:rsidR="004951C2">
        <w:t xml:space="preserve"> (Qld)</w:t>
      </w:r>
      <w:r w:rsidRPr="00717341">
        <w:t>.</w:t>
      </w:r>
      <w:r>
        <w:t xml:space="preserve"> The removal of same-sex safeguards at the same time as expansion of the powers to conduct </w:t>
      </w:r>
      <w:proofErr w:type="spellStart"/>
      <w:r>
        <w:t>wanding</w:t>
      </w:r>
      <w:proofErr w:type="spellEnd"/>
      <w:r>
        <w:t xml:space="preserve"> searches without </w:t>
      </w:r>
      <w:r w:rsidR="00DA1FAD">
        <w:t xml:space="preserve">a </w:t>
      </w:r>
      <w:r>
        <w:t>warrant may disproportionately affect women and gender diverse people.</w:t>
      </w:r>
      <w:r>
        <w:rPr>
          <w:rStyle w:val="FootnoteReference"/>
        </w:rPr>
        <w:footnoteReference w:id="13"/>
      </w:r>
    </w:p>
    <w:p w14:paraId="279B136F" w14:textId="236B75D9" w:rsidR="00CA7407" w:rsidRDefault="00B65951" w:rsidP="0012665F">
      <w:pPr>
        <w:pStyle w:val="Numberedparagraph"/>
      </w:pPr>
      <w:r>
        <w:t>Overall</w:t>
      </w:r>
      <w:r w:rsidR="00145166">
        <w:t xml:space="preserve">, the Commission urges that a second independent review occur prior to the </w:t>
      </w:r>
      <w:r w:rsidR="004D2A0F">
        <w:t>proposed</w:t>
      </w:r>
      <w:r w:rsidR="00145166">
        <w:t xml:space="preserve"> expansion of powers.</w:t>
      </w:r>
    </w:p>
    <w:tbl>
      <w:tblPr>
        <w:tblStyle w:val="TableGrid"/>
        <w:tblW w:w="0" w:type="auto"/>
        <w:tblInd w:w="-5" w:type="dxa"/>
        <w:tblLook w:val="04A0" w:firstRow="1" w:lastRow="0" w:firstColumn="1" w:lastColumn="0" w:noHBand="0" w:noVBand="1"/>
      </w:tblPr>
      <w:tblGrid>
        <w:gridCol w:w="8484"/>
      </w:tblGrid>
      <w:tr w:rsidR="00867023" w14:paraId="0E844F91" w14:textId="77777777" w:rsidTr="00867023">
        <w:trPr>
          <w:trHeight w:val="925"/>
        </w:trPr>
        <w:tc>
          <w:tcPr>
            <w:tcW w:w="8484" w:type="dxa"/>
            <w:shd w:val="clear" w:color="auto" w:fill="004270"/>
          </w:tcPr>
          <w:p w14:paraId="5CE12200" w14:textId="6CCCDD7B" w:rsidR="00867023" w:rsidRPr="00867023" w:rsidRDefault="00867023" w:rsidP="00867023">
            <w:pPr>
              <w:pStyle w:val="Heading4"/>
              <w:rPr>
                <w:b/>
                <w:bCs/>
                <w:i w:val="0"/>
                <w:iCs w:val="0"/>
                <w:color w:val="FFFFFF" w:themeColor="background1"/>
              </w:rPr>
            </w:pPr>
            <w:r w:rsidRPr="00867023">
              <w:rPr>
                <w:b/>
                <w:bCs/>
                <w:i w:val="0"/>
                <w:iCs w:val="0"/>
                <w:color w:val="FFFFFF" w:themeColor="background1"/>
              </w:rPr>
              <w:t>Recommendation</w:t>
            </w:r>
            <w:r>
              <w:rPr>
                <w:b/>
                <w:bCs/>
                <w:i w:val="0"/>
                <w:iCs w:val="0"/>
                <w:color w:val="FFFFFF" w:themeColor="background1"/>
              </w:rPr>
              <w:t>:</w:t>
            </w:r>
          </w:p>
          <w:p w14:paraId="06448A8F" w14:textId="43E24F1D" w:rsidR="00867023" w:rsidRDefault="00867023" w:rsidP="00867023">
            <w:pPr>
              <w:pStyle w:val="Numberedparagraph"/>
              <w:numPr>
                <w:ilvl w:val="0"/>
                <w:numId w:val="0"/>
              </w:numPr>
              <w:spacing w:after="120"/>
            </w:pPr>
            <w:r w:rsidRPr="00867023">
              <w:rPr>
                <w:color w:val="FFFFFF" w:themeColor="background1"/>
              </w:rPr>
              <w:t xml:space="preserve">Do </w:t>
            </w:r>
            <w:r w:rsidRPr="00867023">
              <w:rPr>
                <w:rFonts w:eastAsia="Arial"/>
                <w:color w:val="FFFFFF" w:themeColor="background1"/>
              </w:rPr>
              <w:t>not</w:t>
            </w:r>
            <w:r w:rsidRPr="00867023">
              <w:rPr>
                <w:color w:val="FFFFFF" w:themeColor="background1"/>
              </w:rPr>
              <w:t xml:space="preserve"> extend the </w:t>
            </w:r>
            <w:proofErr w:type="spellStart"/>
            <w:r w:rsidRPr="00867023">
              <w:rPr>
                <w:color w:val="FFFFFF" w:themeColor="background1"/>
              </w:rPr>
              <w:t>wanding</w:t>
            </w:r>
            <w:proofErr w:type="spellEnd"/>
            <w:r w:rsidRPr="00867023">
              <w:rPr>
                <w:color w:val="FFFFFF" w:themeColor="background1"/>
              </w:rPr>
              <w:t xml:space="preserve"> trial until such time as a second independent evaluation of the program be concluded. Amend the Bill to omit Part 2 Div 3 </w:t>
            </w:r>
            <w:proofErr w:type="spellStart"/>
            <w:r w:rsidRPr="00867023">
              <w:rPr>
                <w:color w:val="FFFFFF" w:themeColor="background1"/>
              </w:rPr>
              <w:t>Subdiv</w:t>
            </w:r>
            <w:proofErr w:type="spellEnd"/>
            <w:r w:rsidRPr="00867023">
              <w:rPr>
                <w:color w:val="FFFFFF" w:themeColor="background1"/>
              </w:rPr>
              <w:t xml:space="preserve"> 1.</w:t>
            </w:r>
          </w:p>
        </w:tc>
      </w:tr>
    </w:tbl>
    <w:p w14:paraId="28D3FBFB" w14:textId="77777777" w:rsidR="00867023" w:rsidRDefault="00867023" w:rsidP="00794796">
      <w:pPr>
        <w:pStyle w:val="Numberedparagraph"/>
        <w:numPr>
          <w:ilvl w:val="0"/>
          <w:numId w:val="0"/>
        </w:numPr>
        <w:spacing w:after="120"/>
      </w:pPr>
    </w:p>
    <w:p w14:paraId="54BC27D4" w14:textId="697A8908" w:rsidR="00F43564" w:rsidRDefault="00E547B1" w:rsidP="00F43564">
      <w:pPr>
        <w:pStyle w:val="Heading2"/>
      </w:pPr>
      <w:bookmarkStart w:id="22" w:name="_Toc166839052"/>
      <w:r>
        <w:t>A</w:t>
      </w:r>
      <w:r w:rsidR="00B03F6B">
        <w:t>ccess to</w:t>
      </w:r>
      <w:r w:rsidR="004B5896">
        <w:t xml:space="preserve"> </w:t>
      </w:r>
      <w:r w:rsidR="0072558D">
        <w:t>Childrens Court proceedings</w:t>
      </w:r>
      <w:bookmarkEnd w:id="22"/>
    </w:p>
    <w:p w14:paraId="45C69A84" w14:textId="2D1EFB60" w:rsidR="007E2518" w:rsidRDefault="00283C0B" w:rsidP="007E2518">
      <w:pPr>
        <w:pStyle w:val="Numberedparagraph"/>
      </w:pPr>
      <w:r w:rsidRPr="00283C0B">
        <w:t>The Bill propose</w:t>
      </w:r>
      <w:r w:rsidR="00391758">
        <w:t>s</w:t>
      </w:r>
      <w:r w:rsidRPr="00283C0B">
        <w:t xml:space="preserve"> amendments to s</w:t>
      </w:r>
      <w:r w:rsidR="004A3F73">
        <w:t>ection</w:t>
      </w:r>
      <w:r w:rsidRPr="00283C0B">
        <w:t xml:space="preserve"> 20 of the </w:t>
      </w:r>
      <w:r w:rsidRPr="00283C0B">
        <w:rPr>
          <w:i/>
          <w:iCs/>
        </w:rPr>
        <w:t>Children</w:t>
      </w:r>
      <w:r w:rsidR="00B03F6B">
        <w:rPr>
          <w:i/>
          <w:iCs/>
        </w:rPr>
        <w:t>s</w:t>
      </w:r>
      <w:r w:rsidRPr="00283C0B">
        <w:rPr>
          <w:i/>
          <w:iCs/>
        </w:rPr>
        <w:t xml:space="preserve"> Court Act 1992</w:t>
      </w:r>
      <w:r w:rsidR="00A6368B">
        <w:rPr>
          <w:i/>
          <w:iCs/>
        </w:rPr>
        <w:t> </w:t>
      </w:r>
      <w:r w:rsidR="00747058">
        <w:t>(Qld)</w:t>
      </w:r>
      <w:r>
        <w:t>,</w:t>
      </w:r>
      <w:r w:rsidRPr="00283C0B">
        <w:t xml:space="preserve"> expanding who may be present at a</w:t>
      </w:r>
      <w:r w:rsidR="00F4479E">
        <w:t xml:space="preserve"> criminal</w:t>
      </w:r>
      <w:r w:rsidRPr="00283C0B">
        <w:t xml:space="preserve"> proceeding</w:t>
      </w:r>
      <w:r w:rsidR="00867C4C">
        <w:t xml:space="preserve"> heard by a magistrate</w:t>
      </w:r>
      <w:r w:rsidRPr="00283C0B">
        <w:t xml:space="preserve"> </w:t>
      </w:r>
      <w:r w:rsidR="00125AF6">
        <w:t>that</w:t>
      </w:r>
      <w:r w:rsidRPr="00283C0B">
        <w:t xml:space="preserve"> relat</w:t>
      </w:r>
      <w:r w:rsidR="00125AF6">
        <w:t>es</w:t>
      </w:r>
      <w:r w:rsidRPr="00283C0B">
        <w:t xml:space="preserve"> to a child. </w:t>
      </w:r>
    </w:p>
    <w:p w14:paraId="7E6F4A3B" w14:textId="662E4389" w:rsidR="00283C0B" w:rsidRPr="00110C13" w:rsidRDefault="00201741" w:rsidP="00283C0B">
      <w:pPr>
        <w:pStyle w:val="Numberedparagraph"/>
      </w:pPr>
      <w:r>
        <w:t>Currently under s</w:t>
      </w:r>
      <w:r w:rsidR="004A3F73">
        <w:t>ection</w:t>
      </w:r>
      <w:r>
        <w:t xml:space="preserve"> 20, victims or their representatives </w:t>
      </w:r>
      <w:r w:rsidR="00915885">
        <w:t>may</w:t>
      </w:r>
      <w:r>
        <w:t xml:space="preserve"> attend proceedings, but must be excluded </w:t>
      </w:r>
      <w:r w:rsidR="00747058">
        <w:t xml:space="preserve">if the court holds the opinion that </w:t>
      </w:r>
      <w:r w:rsidR="00743413" w:rsidRPr="00557CBB">
        <w:rPr>
          <w:szCs w:val="22"/>
        </w:rPr>
        <w:t>their presence would be prejudicial to the interests of the child.</w:t>
      </w:r>
      <w:r w:rsidR="00110C13">
        <w:rPr>
          <w:szCs w:val="22"/>
        </w:rPr>
        <w:t xml:space="preserve"> Media </w:t>
      </w:r>
      <w:r w:rsidR="00097A0B">
        <w:rPr>
          <w:szCs w:val="22"/>
        </w:rPr>
        <w:t>professionals</w:t>
      </w:r>
      <w:r w:rsidR="004D37F0">
        <w:rPr>
          <w:szCs w:val="22"/>
        </w:rPr>
        <w:t xml:space="preserve"> </w:t>
      </w:r>
      <w:r w:rsidR="00110C13">
        <w:rPr>
          <w:szCs w:val="22"/>
        </w:rPr>
        <w:t>and</w:t>
      </w:r>
      <w:r w:rsidR="00BD2031">
        <w:rPr>
          <w:szCs w:val="22"/>
        </w:rPr>
        <w:t xml:space="preserve"> others</w:t>
      </w:r>
      <w:r w:rsidR="00110C13">
        <w:rPr>
          <w:szCs w:val="22"/>
        </w:rPr>
        <w:t xml:space="preserve"> </w:t>
      </w:r>
      <w:r w:rsidR="003F03DA">
        <w:rPr>
          <w:szCs w:val="22"/>
        </w:rPr>
        <w:t xml:space="preserve">who </w:t>
      </w:r>
      <w:r w:rsidR="00110C13">
        <w:rPr>
          <w:szCs w:val="22"/>
        </w:rPr>
        <w:t xml:space="preserve">the court considers have a proper interest in the case </w:t>
      </w:r>
      <w:r w:rsidR="002E7029">
        <w:rPr>
          <w:szCs w:val="22"/>
        </w:rPr>
        <w:t>can only attend by order of the court.</w:t>
      </w:r>
    </w:p>
    <w:p w14:paraId="5A8BF6A7" w14:textId="6B25CFE1" w:rsidR="00110C13" w:rsidRDefault="00110C13" w:rsidP="0016594D">
      <w:pPr>
        <w:pStyle w:val="Numberedparagraph"/>
        <w:spacing w:after="120"/>
      </w:pPr>
      <w:r>
        <w:rPr>
          <w:szCs w:val="22"/>
        </w:rPr>
        <w:t>The Bill would:</w:t>
      </w:r>
    </w:p>
    <w:p w14:paraId="1E9170A3" w14:textId="16CC7007" w:rsidR="00687EFE" w:rsidRDefault="00AA0DE8" w:rsidP="003A1288">
      <w:pPr>
        <w:pStyle w:val="ListParagraph"/>
        <w:numPr>
          <w:ilvl w:val="0"/>
          <w:numId w:val="9"/>
        </w:numPr>
      </w:pPr>
      <w:r>
        <w:t>remove the</w:t>
      </w:r>
      <w:r w:rsidR="002E6536">
        <w:t xml:space="preserve"> existing</w:t>
      </w:r>
      <w:r>
        <w:t xml:space="preserve"> requirement </w:t>
      </w:r>
      <w:r w:rsidR="00BA693D">
        <w:t>to</w:t>
      </w:r>
      <w:r>
        <w:t xml:space="preserve"> exclude victims and their representatives from Childrens Court proceedings if it would be prejudicial to the interests of the child;</w:t>
      </w:r>
    </w:p>
    <w:p w14:paraId="7D18DF67" w14:textId="5716180B" w:rsidR="001B3291" w:rsidRDefault="00AA0DE8" w:rsidP="003A1288">
      <w:pPr>
        <w:pStyle w:val="ListParagraph"/>
        <w:numPr>
          <w:ilvl w:val="0"/>
          <w:numId w:val="9"/>
        </w:numPr>
      </w:pPr>
      <w:r>
        <w:lastRenderedPageBreak/>
        <w:t>reverse the</w:t>
      </w:r>
      <w:r w:rsidR="00687EFE">
        <w:t xml:space="preserve"> existing</w:t>
      </w:r>
      <w:r>
        <w:t xml:space="preserve"> presumption</w:t>
      </w:r>
      <w:r w:rsidR="002E6536">
        <w:t>,</w:t>
      </w:r>
      <w:r>
        <w:t xml:space="preserve"> so that accredited media and people the court considers have a proper interest in the case are allowed to attend</w:t>
      </w:r>
      <w:r w:rsidR="007560FF">
        <w:t xml:space="preserve"> proceedings</w:t>
      </w:r>
      <w:r>
        <w:t xml:space="preserve"> unless excluded</w:t>
      </w:r>
      <w:r w:rsidR="00772940">
        <w:t xml:space="preserve"> by an order of the </w:t>
      </w:r>
      <w:r w:rsidR="00FA15F1">
        <w:t>c</w:t>
      </w:r>
      <w:r w:rsidR="00772940">
        <w:t>ourt</w:t>
      </w:r>
      <w:r>
        <w:t>;</w:t>
      </w:r>
      <w:r w:rsidR="001B3291">
        <w:t xml:space="preserve"> and</w:t>
      </w:r>
    </w:p>
    <w:p w14:paraId="760E2727" w14:textId="1A572B04" w:rsidR="00AA0DE8" w:rsidRDefault="00AA0DE8" w:rsidP="003A1288">
      <w:pPr>
        <w:pStyle w:val="ListParagraph"/>
        <w:numPr>
          <w:ilvl w:val="0"/>
          <w:numId w:val="9"/>
        </w:numPr>
      </w:pPr>
      <w:r>
        <w:t>provide the court with the power to exclude victims’ representatives, interested persons and accredited media (a) to prevent prejudice to the proper administration of justice; or (b) for the safety of any person, including the child</w:t>
      </w:r>
      <w:r w:rsidR="00AD4DA3">
        <w:t>.</w:t>
      </w:r>
    </w:p>
    <w:p w14:paraId="2FEEBE6C" w14:textId="05A54061" w:rsidR="008360D1" w:rsidRPr="008360D1" w:rsidRDefault="008360D1" w:rsidP="003D1A10">
      <w:pPr>
        <w:pStyle w:val="Numberedparagraph"/>
        <w:rPr>
          <w:color w:val="auto"/>
          <w:szCs w:val="22"/>
        </w:rPr>
      </w:pPr>
      <w:r>
        <w:t xml:space="preserve">Children’s rights to protection and a fair trial, the rights of victims of crime to information about proceedings, and public confidence in the justice system are all relevant </w:t>
      </w:r>
      <w:r w:rsidR="008E6234">
        <w:t xml:space="preserve">to </w:t>
      </w:r>
      <w:r>
        <w:t xml:space="preserve">these </w:t>
      </w:r>
      <w:r w:rsidR="008E6234">
        <w:t>proposed</w:t>
      </w:r>
      <w:r>
        <w:t xml:space="preserve"> amendments.</w:t>
      </w:r>
    </w:p>
    <w:p w14:paraId="737BCC2D" w14:textId="5BB54543" w:rsidR="003D1A10" w:rsidRPr="00557CBB" w:rsidRDefault="00974D41" w:rsidP="003D1A10">
      <w:pPr>
        <w:pStyle w:val="Numberedparagraph"/>
        <w:rPr>
          <w:color w:val="auto"/>
          <w:szCs w:val="22"/>
        </w:rPr>
      </w:pPr>
      <w:r>
        <w:t xml:space="preserve">The right </w:t>
      </w:r>
      <w:r w:rsidR="007030D6">
        <w:t>of children to protection</w:t>
      </w:r>
      <w:r>
        <w:t xml:space="preserve"> </w:t>
      </w:r>
      <w:r w:rsidR="00B77C7A">
        <w:t xml:space="preserve">and </w:t>
      </w:r>
      <w:r w:rsidR="007B10DA" w:rsidRPr="00557CBB">
        <w:t xml:space="preserve">special safeguards and care </w:t>
      </w:r>
      <w:r w:rsidR="007B10DA" w:rsidRPr="00557CBB">
        <w:rPr>
          <w:lang w:val="en-US"/>
        </w:rPr>
        <w:t>because of their ‘particular vulnerability’ by virtue of their physical and mental immaturity</w:t>
      </w:r>
      <w:r w:rsidR="00FE39C1">
        <w:rPr>
          <w:lang w:val="en-US"/>
        </w:rPr>
        <w:t xml:space="preserve"> is </w:t>
      </w:r>
      <w:r w:rsidR="009517B4">
        <w:rPr>
          <w:lang w:val="en-US"/>
        </w:rPr>
        <w:t>acknowledged in Queen</w:t>
      </w:r>
      <w:r w:rsidR="005578C0">
        <w:rPr>
          <w:lang w:val="en-US"/>
        </w:rPr>
        <w:t>sland legislation</w:t>
      </w:r>
      <w:r w:rsidR="00C057E9">
        <w:rPr>
          <w:lang w:val="en-US"/>
        </w:rPr>
        <w:t xml:space="preserve"> and </w:t>
      </w:r>
      <w:r w:rsidR="008E2298">
        <w:rPr>
          <w:lang w:val="en-US"/>
        </w:rPr>
        <w:t>international human rights treaties binding Australia</w:t>
      </w:r>
      <w:r w:rsidR="007B10DA" w:rsidRPr="00557CBB">
        <w:rPr>
          <w:lang w:val="en-US"/>
        </w:rPr>
        <w:t>.</w:t>
      </w:r>
      <w:r w:rsidR="007B10DA" w:rsidRPr="00557CBB">
        <w:rPr>
          <w:rStyle w:val="FootnoteReference"/>
          <w:lang w:val="en-US"/>
        </w:rPr>
        <w:footnoteReference w:id="14"/>
      </w:r>
      <w:r w:rsidR="003D1A10">
        <w:rPr>
          <w:lang w:val="en-US"/>
        </w:rPr>
        <w:t xml:space="preserve"> </w:t>
      </w:r>
      <w:r w:rsidR="003D1A10" w:rsidRPr="00557CBB">
        <w:rPr>
          <w:color w:val="auto"/>
          <w:szCs w:val="22"/>
        </w:rPr>
        <w:t xml:space="preserve">The </w:t>
      </w:r>
      <w:r w:rsidR="003D1A10" w:rsidRPr="00E230F8">
        <w:rPr>
          <w:i/>
          <w:color w:val="auto"/>
          <w:szCs w:val="22"/>
        </w:rPr>
        <w:t>United Nations Convention on the Rights of the Child</w:t>
      </w:r>
      <w:r w:rsidR="003D1A10" w:rsidRPr="00557CBB">
        <w:rPr>
          <w:color w:val="auto"/>
          <w:szCs w:val="22"/>
        </w:rPr>
        <w:t xml:space="preserve"> requires children charged with an offence to be</w:t>
      </w:r>
      <w:r w:rsidR="00915885">
        <w:rPr>
          <w:color w:val="auto"/>
          <w:szCs w:val="22"/>
        </w:rPr>
        <w:t>:</w:t>
      </w:r>
      <w:r w:rsidR="003D1A10" w:rsidRPr="00557CBB">
        <w:rPr>
          <w:color w:val="auto"/>
          <w:szCs w:val="22"/>
        </w:rPr>
        <w:t xml:space="preserve"> </w:t>
      </w:r>
    </w:p>
    <w:p w14:paraId="6F54D873" w14:textId="77777777" w:rsidR="003D1A10" w:rsidRPr="00CD1204" w:rsidRDefault="003D1A10" w:rsidP="00682E69">
      <w:pPr>
        <w:pStyle w:val="Quote"/>
        <w:rPr>
          <w:lang w:eastAsia="en-AU"/>
        </w:rPr>
      </w:pPr>
      <w:r w:rsidRPr="00CD1204">
        <w:rPr>
          <w:lang w:eastAsia="en-AU"/>
        </w:rPr>
        <w:t>treated in a manner consistent with the promotion of the child's sense of dignity and worth, which reinforces the child's respect for the human rights and fundamental freedoms of others and which takes into account the child's age and the desirability of promoting the child's reintegration and the child's assuming a constructive role in society.</w:t>
      </w:r>
      <w:r w:rsidRPr="00CD1204">
        <w:rPr>
          <w:rStyle w:val="FootnoteReference"/>
          <w:color w:val="auto"/>
          <w:lang w:eastAsia="en-AU"/>
        </w:rPr>
        <w:footnoteReference w:id="15"/>
      </w:r>
    </w:p>
    <w:p w14:paraId="2500A898" w14:textId="0711565E" w:rsidR="003D1A10" w:rsidRPr="00557CBB" w:rsidRDefault="00A67619" w:rsidP="00682E69">
      <w:pPr>
        <w:pStyle w:val="Numberedparagraph"/>
        <w:rPr>
          <w:lang w:eastAsia="en-AU"/>
        </w:rPr>
      </w:pPr>
      <w:r>
        <w:rPr>
          <w:lang w:eastAsia="en-AU"/>
        </w:rPr>
        <w:t>Upholding these rights</w:t>
      </w:r>
      <w:r w:rsidR="003D1A10" w:rsidRPr="00557CBB">
        <w:rPr>
          <w:lang w:eastAsia="en-AU"/>
        </w:rPr>
        <w:t xml:space="preserve"> includes </w:t>
      </w:r>
      <w:r>
        <w:rPr>
          <w:lang w:eastAsia="en-AU"/>
        </w:rPr>
        <w:t>ensuring that</w:t>
      </w:r>
      <w:r w:rsidR="003D1A10" w:rsidRPr="00557CBB">
        <w:rPr>
          <w:lang w:eastAsia="en-AU"/>
        </w:rPr>
        <w:t xml:space="preserve"> </w:t>
      </w:r>
      <w:r>
        <w:rPr>
          <w:lang w:eastAsia="en-AU"/>
        </w:rPr>
        <w:t>children’s</w:t>
      </w:r>
      <w:r w:rsidR="003D1A10" w:rsidRPr="00557CBB">
        <w:rPr>
          <w:lang w:eastAsia="en-AU"/>
        </w:rPr>
        <w:t xml:space="preserve"> privacy</w:t>
      </w:r>
      <w:r>
        <w:rPr>
          <w:lang w:eastAsia="en-AU"/>
        </w:rPr>
        <w:t xml:space="preserve"> is</w:t>
      </w:r>
      <w:r w:rsidR="003D1A10" w:rsidRPr="00557CBB">
        <w:rPr>
          <w:lang w:eastAsia="en-AU"/>
        </w:rPr>
        <w:t xml:space="preserve"> respected at all stages of </w:t>
      </w:r>
      <w:r w:rsidR="00F921E4">
        <w:rPr>
          <w:lang w:eastAsia="en-AU"/>
        </w:rPr>
        <w:t>court</w:t>
      </w:r>
      <w:r w:rsidR="00F921E4" w:rsidRPr="00557CBB">
        <w:rPr>
          <w:lang w:eastAsia="en-AU"/>
        </w:rPr>
        <w:t xml:space="preserve"> </w:t>
      </w:r>
      <w:r w:rsidR="003D1A10" w:rsidRPr="00557CBB">
        <w:rPr>
          <w:lang w:eastAsia="en-AU"/>
        </w:rPr>
        <w:t>proceeding</w:t>
      </w:r>
      <w:r w:rsidR="00F921E4">
        <w:rPr>
          <w:lang w:eastAsia="en-AU"/>
        </w:rPr>
        <w:t>s</w:t>
      </w:r>
      <w:r w:rsidR="003D1A10" w:rsidRPr="00557CBB">
        <w:rPr>
          <w:lang w:eastAsia="en-AU"/>
        </w:rPr>
        <w:t>.</w:t>
      </w:r>
      <w:r w:rsidR="003D1A10" w:rsidRPr="00557CBB">
        <w:rPr>
          <w:rStyle w:val="FootnoteReference"/>
          <w:color w:val="auto"/>
          <w:szCs w:val="22"/>
          <w:lang w:eastAsia="en-AU"/>
        </w:rPr>
        <w:footnoteReference w:id="16"/>
      </w:r>
      <w:r w:rsidR="003D1A10" w:rsidRPr="00557CBB">
        <w:rPr>
          <w:lang w:eastAsia="en-AU"/>
        </w:rPr>
        <w:t xml:space="preserve"> The </w:t>
      </w:r>
      <w:r w:rsidR="00DD6D60">
        <w:rPr>
          <w:lang w:eastAsia="en-AU"/>
        </w:rPr>
        <w:t xml:space="preserve">United Nations </w:t>
      </w:r>
      <w:r w:rsidR="003D1A10" w:rsidRPr="003F0FFD">
        <w:rPr>
          <w:lang w:eastAsia="en-AU"/>
        </w:rPr>
        <w:t>Committee on the Rights of the Child</w:t>
      </w:r>
      <w:r w:rsidR="003D1A10" w:rsidRPr="00557CBB">
        <w:rPr>
          <w:lang w:eastAsia="en-AU"/>
        </w:rPr>
        <w:t xml:space="preserve"> </w:t>
      </w:r>
      <w:r w:rsidR="00EE27A6">
        <w:rPr>
          <w:lang w:eastAsia="en-AU"/>
        </w:rPr>
        <w:t xml:space="preserve">has stated </w:t>
      </w:r>
      <w:r w:rsidR="003D1A10">
        <w:rPr>
          <w:lang w:eastAsia="en-AU"/>
        </w:rPr>
        <w:t>that</w:t>
      </w:r>
      <w:r w:rsidR="003D1A10" w:rsidRPr="00557CBB">
        <w:rPr>
          <w:lang w:eastAsia="en-AU"/>
        </w:rPr>
        <w:t xml:space="preserve"> child justice hearings should be conducted behind closed doors and exceptions should be very limited and clearly stated in the law. Verdicts and/or sentences announced publicly should not reveal the child’s identity and court files and records of children should be kept strictly confidential and generally closed to third parties. Case law reports should </w:t>
      </w:r>
      <w:r w:rsidR="003D1A10">
        <w:rPr>
          <w:lang w:eastAsia="en-AU"/>
        </w:rPr>
        <w:t>b</w:t>
      </w:r>
      <w:r w:rsidR="003D1A10" w:rsidRPr="00557CBB">
        <w:rPr>
          <w:lang w:eastAsia="en-AU"/>
        </w:rPr>
        <w:t xml:space="preserve">e anonymous and there should be lifelong protection from publication regarding crimes committed by children, due to risks of stigmatisation and the negative impact this will have </w:t>
      </w:r>
      <w:r w:rsidR="00676040">
        <w:rPr>
          <w:lang w:eastAsia="en-AU"/>
        </w:rPr>
        <w:t xml:space="preserve">on </w:t>
      </w:r>
      <w:r w:rsidR="003D1A10" w:rsidRPr="00557CBB">
        <w:rPr>
          <w:lang w:eastAsia="en-AU"/>
        </w:rPr>
        <w:t>the child’s life, reintegration</w:t>
      </w:r>
      <w:r w:rsidR="004407B4">
        <w:rPr>
          <w:lang w:eastAsia="en-AU"/>
        </w:rPr>
        <w:t>,</w:t>
      </w:r>
      <w:r w:rsidR="003D1A10" w:rsidRPr="00557CBB">
        <w:rPr>
          <w:lang w:eastAsia="en-AU"/>
        </w:rPr>
        <w:t xml:space="preserve"> and assumption of a constructive role in society.</w:t>
      </w:r>
      <w:r w:rsidR="003D1A10" w:rsidRPr="00557CBB">
        <w:rPr>
          <w:rStyle w:val="FootnoteReference"/>
          <w:color w:val="auto"/>
          <w:szCs w:val="22"/>
          <w:lang w:eastAsia="en-AU"/>
        </w:rPr>
        <w:footnoteReference w:id="17"/>
      </w:r>
      <w:r w:rsidR="003D1A10" w:rsidRPr="00557CBB">
        <w:rPr>
          <w:lang w:eastAsia="en-AU"/>
        </w:rPr>
        <w:t xml:space="preserve"> </w:t>
      </w:r>
    </w:p>
    <w:p w14:paraId="7B28047D" w14:textId="05CEF2CA" w:rsidR="00543DF3" w:rsidRDefault="00DA6876" w:rsidP="00543DF3">
      <w:pPr>
        <w:pStyle w:val="Numberedparagraph"/>
      </w:pPr>
      <w:r>
        <w:t xml:space="preserve">At the same time, </w:t>
      </w:r>
      <w:r w:rsidR="00280CEC">
        <w:t>victims of crime</w:t>
      </w:r>
      <w:r w:rsidR="005A1CD1">
        <w:t xml:space="preserve"> are protected by the rights to </w:t>
      </w:r>
      <w:r w:rsidR="008A4FA9">
        <w:t xml:space="preserve">privacy and to </w:t>
      </w:r>
      <w:r w:rsidR="005A1CD1">
        <w:t>freedom of expression</w:t>
      </w:r>
      <w:r w:rsidR="008A4FA9">
        <w:t xml:space="preserve">, </w:t>
      </w:r>
      <w:r w:rsidR="001747C9">
        <w:t>which includes</w:t>
      </w:r>
      <w:r w:rsidR="001747C9" w:rsidDel="005A1CD1">
        <w:t xml:space="preserve"> </w:t>
      </w:r>
      <w:r w:rsidR="001747C9">
        <w:t>the right to receive information relating to them</w:t>
      </w:r>
      <w:r w:rsidR="0011696D">
        <w:t>.</w:t>
      </w:r>
      <w:r w:rsidR="00D55018">
        <w:rPr>
          <w:rStyle w:val="FootnoteReference"/>
        </w:rPr>
        <w:footnoteReference w:id="18"/>
      </w:r>
      <w:r w:rsidR="00D55018">
        <w:t xml:space="preserve"> </w:t>
      </w:r>
      <w:r w:rsidR="00543DF3">
        <w:t>Victims’ attendance at hearings can have a positive role in</w:t>
      </w:r>
      <w:r w:rsidR="00280CEC">
        <w:t xml:space="preserve"> building the </w:t>
      </w:r>
      <w:r w:rsidR="00280CEC">
        <w:lastRenderedPageBreak/>
        <w:t>victim’s understanding and confidence in the youth justice system and assist</w:t>
      </w:r>
      <w:r w:rsidR="00C52248">
        <w:t xml:space="preserve"> </w:t>
      </w:r>
      <w:r w:rsidR="00280CEC">
        <w:t xml:space="preserve">children to better understand the impact </w:t>
      </w:r>
      <w:r w:rsidR="00F04228">
        <w:t>of their actio</w:t>
      </w:r>
      <w:r w:rsidR="00C4730C">
        <w:t xml:space="preserve">ns </w:t>
      </w:r>
      <w:r w:rsidR="00280CEC">
        <w:t>on others</w:t>
      </w:r>
      <w:r w:rsidR="00543DF3">
        <w:t>.</w:t>
      </w:r>
    </w:p>
    <w:p w14:paraId="519A11B1" w14:textId="3FE7C612" w:rsidR="009344FB" w:rsidRDefault="00543DF3" w:rsidP="00543DF3">
      <w:pPr>
        <w:pStyle w:val="Numberedparagraph"/>
      </w:pPr>
      <w:r>
        <w:t xml:space="preserve">In addition, </w:t>
      </w:r>
      <w:r w:rsidR="002C1F4A" w:rsidRPr="002C1F4A">
        <w:t>former Queensland Police Commissioner</w:t>
      </w:r>
      <w:r>
        <w:t xml:space="preserve"> </w:t>
      </w:r>
      <w:r w:rsidR="009344FB" w:rsidRPr="00543DF3">
        <w:t xml:space="preserve">Bob Atkinson’s seminal report </w:t>
      </w:r>
      <w:r w:rsidR="0065537F">
        <w:t>on</w:t>
      </w:r>
      <w:r w:rsidR="009344FB" w:rsidRPr="00543DF3">
        <w:t xml:space="preserve"> youth justice reform highlighted the critical importance of maintaining public confidence in the youth justice system. Accurate media reporting can go some way to mitigate high levels of concern about crime and improve public confidence in </w:t>
      </w:r>
      <w:r w:rsidR="00E779E4">
        <w:t xml:space="preserve">evidence-based </w:t>
      </w:r>
      <w:r w:rsidR="009344FB" w:rsidRPr="00543DF3">
        <w:t>strategies and place-based initiatives</w:t>
      </w:r>
      <w:r w:rsidR="00E779E4">
        <w:t xml:space="preserve"> </w:t>
      </w:r>
      <w:r w:rsidR="00007DE5">
        <w:t>addressing it</w:t>
      </w:r>
      <w:r w:rsidR="009344FB" w:rsidRPr="00543DF3">
        <w:t>.</w:t>
      </w:r>
      <w:r w:rsidR="009344FB" w:rsidRPr="00557CBB">
        <w:rPr>
          <w:rStyle w:val="FootnoteReference"/>
        </w:rPr>
        <w:footnoteReference w:id="19"/>
      </w:r>
    </w:p>
    <w:p w14:paraId="0F6F5435" w14:textId="0105995B" w:rsidR="004538E2" w:rsidRPr="00543DF3" w:rsidRDefault="002E2DBF" w:rsidP="00543DF3">
      <w:pPr>
        <w:pStyle w:val="Numberedparagraph"/>
      </w:pPr>
      <w:r>
        <w:t>In court proceedings, t</w:t>
      </w:r>
      <w:r w:rsidR="000A7DCA">
        <w:t>he</w:t>
      </w:r>
      <w:r w:rsidR="00BF72D1">
        <w:t xml:space="preserve"> rights and</w:t>
      </w:r>
      <w:r w:rsidR="000A7DCA">
        <w:t xml:space="preserve"> interests of children, victims of crime, and the general public </w:t>
      </w:r>
      <w:r w:rsidR="00326963">
        <w:t xml:space="preserve">are </w:t>
      </w:r>
      <w:r w:rsidR="000A7DCA">
        <w:t>mutually reinforcing and overlapping</w:t>
      </w:r>
      <w:r w:rsidR="00007DE5">
        <w:t xml:space="preserve">, and each should be accommodated to the </w:t>
      </w:r>
      <w:r w:rsidR="00326963">
        <w:t xml:space="preserve">maximum extent possible </w:t>
      </w:r>
      <w:r w:rsidR="009C2D7F">
        <w:t>as</w:t>
      </w:r>
      <w:r w:rsidR="00326963">
        <w:t xml:space="preserve"> circumstances</w:t>
      </w:r>
      <w:r w:rsidR="009C2D7F">
        <w:t xml:space="preserve"> permit</w:t>
      </w:r>
      <w:r w:rsidR="00326963">
        <w:t>.</w:t>
      </w:r>
    </w:p>
    <w:p w14:paraId="1EA58CC4" w14:textId="6D2F110A" w:rsidR="009344FB" w:rsidRDefault="001D6314" w:rsidP="00165DBE">
      <w:pPr>
        <w:pStyle w:val="Numberedparagraph"/>
      </w:pPr>
      <w:r>
        <w:t>There</w:t>
      </w:r>
      <w:r w:rsidR="00E77602">
        <w:t xml:space="preserve"> </w:t>
      </w:r>
      <w:r w:rsidR="00FC5A1C">
        <w:t>are</w:t>
      </w:r>
      <w:r w:rsidR="0091719A">
        <w:t xml:space="preserve"> </w:t>
      </w:r>
      <w:r w:rsidR="003C3408">
        <w:t xml:space="preserve">good reasons to allow access </w:t>
      </w:r>
      <w:r w:rsidR="00FC5A1C">
        <w:t xml:space="preserve">to Childrens Court proceedings </w:t>
      </w:r>
      <w:r w:rsidR="003C3408">
        <w:t xml:space="preserve">for </w:t>
      </w:r>
      <w:r w:rsidR="00FC5A1C">
        <w:t>victims, their representatives, and others in appropriate circumstances</w:t>
      </w:r>
      <w:r>
        <w:t>. However</w:t>
      </w:r>
      <w:r w:rsidR="00646035">
        <w:t>,</w:t>
      </w:r>
      <w:r>
        <w:t xml:space="preserve"> amendments should be made to the Bill to better</w:t>
      </w:r>
      <w:r w:rsidR="008D223C">
        <w:t xml:space="preserve"> </w:t>
      </w:r>
      <w:r w:rsidR="0091719A">
        <w:t>promote</w:t>
      </w:r>
      <w:r w:rsidR="008D223C">
        <w:t xml:space="preserve"> </w:t>
      </w:r>
      <w:r w:rsidR="00B36BDD">
        <w:t>the rights and interests of all involved</w:t>
      </w:r>
      <w:r w:rsidR="00646035">
        <w:t xml:space="preserve"> in the proceeding</w:t>
      </w:r>
      <w:r w:rsidR="008D223C">
        <w:t>.</w:t>
      </w:r>
    </w:p>
    <w:p w14:paraId="7A2AD38E" w14:textId="4C25FFF0" w:rsidR="00743FAA" w:rsidRDefault="00C148F8" w:rsidP="00CD7EF3">
      <w:pPr>
        <w:pStyle w:val="Heading3"/>
      </w:pPr>
      <w:bookmarkStart w:id="26" w:name="_Toc166839053"/>
      <w:r>
        <w:t>A</w:t>
      </w:r>
      <w:r w:rsidR="00743FAA">
        <w:t>ttendance from another room</w:t>
      </w:r>
      <w:bookmarkEnd w:id="26"/>
    </w:p>
    <w:p w14:paraId="5ED107FE" w14:textId="0E36A2D3" w:rsidR="00B532F3" w:rsidRDefault="00B530F2" w:rsidP="00165DBE">
      <w:pPr>
        <w:pStyle w:val="Numberedparagraph"/>
      </w:pPr>
      <w:r>
        <w:t>A</w:t>
      </w:r>
      <w:r w:rsidR="00C2099B">
        <w:t xml:space="preserve"> child’s</w:t>
      </w:r>
      <w:r w:rsidR="00743FAA">
        <w:t xml:space="preserve"> ability to understand and </w:t>
      </w:r>
      <w:r w:rsidR="0092455B">
        <w:t>meaningfully</w:t>
      </w:r>
      <w:r w:rsidR="00743FAA">
        <w:t xml:space="preserve"> participate in court proceedings can be significantly impaired by </w:t>
      </w:r>
      <w:r w:rsidR="00AA62F8">
        <w:t>the courtroom environment</w:t>
      </w:r>
      <w:r w:rsidR="00095544">
        <w:t>. This can include the presence of</w:t>
      </w:r>
      <w:r w:rsidR="00743FAA">
        <w:t xml:space="preserve"> large numbers of people</w:t>
      </w:r>
      <w:r w:rsidR="00230730">
        <w:t xml:space="preserve"> </w:t>
      </w:r>
      <w:r w:rsidR="00352659">
        <w:t>(</w:t>
      </w:r>
      <w:r w:rsidR="003D3AFF">
        <w:t>most of whom</w:t>
      </w:r>
      <w:r w:rsidR="005738C7">
        <w:t xml:space="preserve"> </w:t>
      </w:r>
      <w:r w:rsidR="003D3AFF">
        <w:t xml:space="preserve">are </w:t>
      </w:r>
      <w:r w:rsidR="00230730">
        <w:t>u</w:t>
      </w:r>
      <w:r w:rsidR="00222CA1">
        <w:t>n</w:t>
      </w:r>
      <w:r w:rsidR="00230730">
        <w:t>known</w:t>
      </w:r>
      <w:r w:rsidR="009E6DDA">
        <w:t xml:space="preserve"> to them</w:t>
      </w:r>
      <w:r w:rsidR="00352659">
        <w:t>)</w:t>
      </w:r>
      <w:r w:rsidR="00AA62F8">
        <w:t xml:space="preserve"> </w:t>
      </w:r>
      <w:r w:rsidR="00743FAA">
        <w:t>in the courtroom</w:t>
      </w:r>
      <w:r w:rsidR="003F4C60">
        <w:t xml:space="preserve">, or </w:t>
      </w:r>
      <w:r w:rsidR="00095544">
        <w:t>the</w:t>
      </w:r>
      <w:r w:rsidR="003F4C60">
        <w:t xml:space="preserve"> presence of particular individuals</w:t>
      </w:r>
      <w:r w:rsidR="00FC124D">
        <w:t>,</w:t>
      </w:r>
      <w:r w:rsidR="00095544">
        <w:t xml:space="preserve"> </w:t>
      </w:r>
      <w:r w:rsidR="00F17AFE">
        <w:t>which could</w:t>
      </w:r>
      <w:r w:rsidR="00095544">
        <w:t xml:space="preserve"> include a </w:t>
      </w:r>
      <w:r w:rsidR="003D1113">
        <w:t>victim</w:t>
      </w:r>
      <w:r w:rsidR="000A0474">
        <w:t xml:space="preserve"> or relative of a deceased victim</w:t>
      </w:r>
      <w:r w:rsidR="00743FAA">
        <w:t>.</w:t>
      </w:r>
      <w:r w:rsidR="00F03754">
        <w:rPr>
          <w:rStyle w:val="FootnoteReference"/>
        </w:rPr>
        <w:footnoteReference w:id="20"/>
      </w:r>
      <w:r w:rsidR="00743FAA">
        <w:t xml:space="preserve"> </w:t>
      </w:r>
      <w:r w:rsidR="00230730">
        <w:t>T</w:t>
      </w:r>
      <w:r w:rsidR="00CA1F05">
        <w:t>h</w:t>
      </w:r>
      <w:r w:rsidR="00F17AFE">
        <w:t>ese impacts</w:t>
      </w:r>
      <w:r w:rsidR="00CA1F05">
        <w:t xml:space="preserve"> </w:t>
      </w:r>
      <w:r w:rsidR="00627547">
        <w:t>may</w:t>
      </w:r>
      <w:r w:rsidR="00CA1F05">
        <w:t xml:space="preserve"> be mitigated </w:t>
      </w:r>
      <w:r w:rsidR="00E15763">
        <w:t>or avoided</w:t>
      </w:r>
      <w:r w:rsidR="00CA1F05">
        <w:t xml:space="preserve"> by </w:t>
      </w:r>
      <w:r w:rsidR="002E2A37">
        <w:t>making provision</w:t>
      </w:r>
      <w:r w:rsidR="00684E45">
        <w:t xml:space="preserve"> for the court to order in appropriate cases that</w:t>
      </w:r>
      <w:r w:rsidR="00343DAF">
        <w:t xml:space="preserve"> any or all of</w:t>
      </w:r>
      <w:r w:rsidR="002A3187">
        <w:t xml:space="preserve"> victims, representative</w:t>
      </w:r>
      <w:r w:rsidR="002B626D">
        <w:t xml:space="preserve">s, interested parties and/or media </w:t>
      </w:r>
      <w:r w:rsidR="00536AE9">
        <w:t xml:space="preserve">attend </w:t>
      </w:r>
      <w:r w:rsidR="00930278">
        <w:t xml:space="preserve">other than by physical presence </w:t>
      </w:r>
      <w:r w:rsidR="00CB25CC">
        <w:t>in the courtroom</w:t>
      </w:r>
      <w:r w:rsidR="002E2A37">
        <w:t xml:space="preserve"> </w:t>
      </w:r>
      <w:r w:rsidR="00930278">
        <w:t xml:space="preserve">— for example, </w:t>
      </w:r>
      <w:r w:rsidR="00297307">
        <w:t xml:space="preserve">from a separate </w:t>
      </w:r>
      <w:r w:rsidR="00FE3884">
        <w:t>room in the courthouse with secure live stream of the proceedings</w:t>
      </w:r>
      <w:r w:rsidR="00420AAC">
        <w:t>.</w:t>
      </w:r>
      <w:r w:rsidR="00420AAC">
        <w:rPr>
          <w:rStyle w:val="FootnoteReference"/>
        </w:rPr>
        <w:footnoteReference w:id="21"/>
      </w:r>
      <w:r w:rsidR="00AE6C59">
        <w:t xml:space="preserve"> </w:t>
      </w:r>
      <w:r w:rsidR="00467104">
        <w:t>In some cases s</w:t>
      </w:r>
      <w:r w:rsidR="00DC7D5B" w:rsidRPr="00DC7D5B">
        <w:t xml:space="preserve">uch arrangements </w:t>
      </w:r>
      <w:r w:rsidR="00467104">
        <w:t>will</w:t>
      </w:r>
      <w:r w:rsidR="00DC7D5B" w:rsidRPr="00DC7D5B">
        <w:t xml:space="preserve"> </w:t>
      </w:r>
      <w:r w:rsidR="002B626D">
        <w:t>better protect a</w:t>
      </w:r>
      <w:r w:rsidR="00DC7D5B" w:rsidRPr="00DC7D5B">
        <w:t xml:space="preserve"> child's rights to a fair trial and </w:t>
      </w:r>
      <w:r w:rsidR="006F707E">
        <w:t>to effectively participate</w:t>
      </w:r>
      <w:r w:rsidR="00DC7D5B" w:rsidRPr="00DC7D5B">
        <w:t xml:space="preserve"> in proceedings, while still upholding the rights and interests of others to access </w:t>
      </w:r>
      <w:r w:rsidR="00DC7D5B">
        <w:t>the</w:t>
      </w:r>
      <w:r w:rsidR="00DC7D5B" w:rsidRPr="00DC7D5B">
        <w:t xml:space="preserve"> proceedings.</w:t>
      </w:r>
    </w:p>
    <w:p w14:paraId="15B77E1C" w14:textId="2A845EEC" w:rsidR="00923FB6" w:rsidRDefault="00CD7EF3" w:rsidP="00CD7EF3">
      <w:pPr>
        <w:pStyle w:val="Heading3"/>
      </w:pPr>
      <w:bookmarkStart w:id="27" w:name="_Toc166839054"/>
      <w:r>
        <w:t>Criteria for exclusion orders</w:t>
      </w:r>
      <w:bookmarkEnd w:id="27"/>
    </w:p>
    <w:p w14:paraId="4EC438C0" w14:textId="242F62C7" w:rsidR="00CB3B1D" w:rsidRDefault="00923FB6" w:rsidP="0022649C">
      <w:pPr>
        <w:pStyle w:val="Numberedparagraph"/>
      </w:pPr>
      <w:r w:rsidRPr="00CB3B1D">
        <w:t>The Bill provides the court with the power to exclude victims’ representatives, interested persons</w:t>
      </w:r>
      <w:r w:rsidR="001D1C7F">
        <w:t>,</w:t>
      </w:r>
      <w:r w:rsidRPr="00CB3B1D">
        <w:t xml:space="preserve"> and accredited media</w:t>
      </w:r>
      <w:r w:rsidR="00BC6B82" w:rsidRPr="00CB3B1D">
        <w:t xml:space="preserve"> (but not victims of families of deceased victims)</w:t>
      </w:r>
      <w:r w:rsidR="0022649C">
        <w:t xml:space="preserve"> </w:t>
      </w:r>
      <w:r w:rsidRPr="00923FB6">
        <w:t>(a) to prevent prejudice to the proper administration of justice; or (b) for the safety of any person, including the child</w:t>
      </w:r>
      <w:r>
        <w:t xml:space="preserve">. </w:t>
      </w:r>
    </w:p>
    <w:p w14:paraId="7E81FD66" w14:textId="16814150" w:rsidR="006B3AF4" w:rsidRPr="00D0377B" w:rsidRDefault="000D685E" w:rsidP="0082125F">
      <w:pPr>
        <w:pStyle w:val="Numberedparagraph"/>
      </w:pPr>
      <w:r>
        <w:t>The</w:t>
      </w:r>
      <w:r w:rsidR="00923FB6">
        <w:t xml:space="preserve"> </w:t>
      </w:r>
      <w:r w:rsidR="00E65920">
        <w:t>Bill</w:t>
      </w:r>
      <w:r w:rsidR="00923FB6">
        <w:t xml:space="preserve"> goes on to </w:t>
      </w:r>
      <w:r w:rsidR="00933123">
        <w:t>list factors to be considered in making such an order</w:t>
      </w:r>
      <w:r w:rsidR="00BF054A">
        <w:t>, including any special vulnerabilities of the child</w:t>
      </w:r>
      <w:r w:rsidR="00C26928">
        <w:t xml:space="preserve"> and the </w:t>
      </w:r>
      <w:r w:rsidR="005A5FF7">
        <w:t>Y</w:t>
      </w:r>
      <w:r w:rsidR="00C26928">
        <w:t xml:space="preserve">outh </w:t>
      </w:r>
      <w:r w:rsidR="005A5FF7">
        <w:t>J</w:t>
      </w:r>
      <w:r w:rsidR="00C26928">
        <w:t xml:space="preserve">ustice </w:t>
      </w:r>
      <w:r w:rsidR="005A5FF7">
        <w:t>P</w:t>
      </w:r>
      <w:r w:rsidR="00C26928">
        <w:t>rinciples</w:t>
      </w:r>
      <w:r>
        <w:t xml:space="preserve">. </w:t>
      </w:r>
      <w:r>
        <w:lastRenderedPageBreak/>
        <w:t>However</w:t>
      </w:r>
      <w:r w:rsidR="00BF054A">
        <w:t>, these are only relevant insofar as they inform the assessment of whether the criteria in (a) or (b) have been met.</w:t>
      </w:r>
      <w:r w:rsidR="00C4328D">
        <w:t xml:space="preserve"> This may not provide the court with </w:t>
      </w:r>
      <w:r w:rsidR="0041266B">
        <w:t xml:space="preserve">a </w:t>
      </w:r>
      <w:r w:rsidR="00C4328D">
        <w:t>sufficient</w:t>
      </w:r>
      <w:r w:rsidR="0041266B">
        <w:t xml:space="preserve"> degree of</w:t>
      </w:r>
      <w:r w:rsidR="00C4328D">
        <w:t xml:space="preserve"> discretion to exclude </w:t>
      </w:r>
      <w:r w:rsidR="0041266B">
        <w:rPr>
          <w:rFonts w:eastAsia="Arial"/>
        </w:rPr>
        <w:t xml:space="preserve">people from the hearing </w:t>
      </w:r>
      <w:r w:rsidR="00453FF1">
        <w:rPr>
          <w:rFonts w:eastAsia="Arial"/>
        </w:rPr>
        <w:t>where this is necessary</w:t>
      </w:r>
      <w:r w:rsidR="00A85C06">
        <w:rPr>
          <w:rFonts w:eastAsia="Arial"/>
        </w:rPr>
        <w:t xml:space="preserve"> and proportionate</w:t>
      </w:r>
      <w:r w:rsidR="00453FF1">
        <w:rPr>
          <w:rFonts w:eastAsia="Arial"/>
        </w:rPr>
        <w:t xml:space="preserve"> to</w:t>
      </w:r>
      <w:r w:rsidR="00C26928">
        <w:rPr>
          <w:rFonts w:eastAsia="Arial"/>
        </w:rPr>
        <w:t xml:space="preserve"> protect the best interests of the child</w:t>
      </w:r>
      <w:r w:rsidR="00CE00F6">
        <w:rPr>
          <w:rFonts w:eastAsia="Arial"/>
        </w:rPr>
        <w:t xml:space="preserve"> </w:t>
      </w:r>
      <w:r w:rsidR="001A442E">
        <w:rPr>
          <w:rFonts w:eastAsia="Arial"/>
        </w:rPr>
        <w:t>and the prospects</w:t>
      </w:r>
      <w:r w:rsidR="00BC6B82">
        <w:rPr>
          <w:rFonts w:eastAsia="Arial"/>
        </w:rPr>
        <w:t xml:space="preserve"> of their reintegration into society</w:t>
      </w:r>
      <w:r w:rsidR="003E17D8">
        <w:rPr>
          <w:rFonts w:eastAsia="Arial"/>
        </w:rPr>
        <w:t>.</w:t>
      </w:r>
      <w:r w:rsidR="00254D17" w:rsidRPr="00D0377B">
        <w:t xml:space="preserve"> </w:t>
      </w:r>
    </w:p>
    <w:p w14:paraId="1192402B" w14:textId="4287B1A8" w:rsidR="00AD61FC" w:rsidRDefault="00D45AD4" w:rsidP="0082125F">
      <w:pPr>
        <w:pStyle w:val="Numberedparagraph"/>
      </w:pPr>
      <w:r>
        <w:rPr>
          <w:rFonts w:eastAsia="Arial"/>
        </w:rPr>
        <w:t>This</w:t>
      </w:r>
      <w:r w:rsidR="006B3AF4">
        <w:rPr>
          <w:rFonts w:eastAsia="Arial"/>
        </w:rPr>
        <w:t xml:space="preserve"> issue</w:t>
      </w:r>
      <w:r>
        <w:rPr>
          <w:rFonts w:eastAsia="Arial"/>
        </w:rPr>
        <w:t xml:space="preserve"> could be addressed by </w:t>
      </w:r>
      <w:r w:rsidR="007E1F32">
        <w:rPr>
          <w:rFonts w:eastAsia="Arial"/>
        </w:rPr>
        <w:t xml:space="preserve">either </w:t>
      </w:r>
      <w:r>
        <w:rPr>
          <w:rFonts w:eastAsia="Arial"/>
        </w:rPr>
        <w:t>amending</w:t>
      </w:r>
      <w:r w:rsidR="0069190E">
        <w:rPr>
          <w:rFonts w:eastAsia="Arial"/>
        </w:rPr>
        <w:t xml:space="preserve"> the new section 20(2)</w:t>
      </w:r>
      <w:r>
        <w:rPr>
          <w:rFonts w:eastAsia="Arial"/>
        </w:rPr>
        <w:t>(a) so that it reflects</w:t>
      </w:r>
      <w:r w:rsidR="0069190E">
        <w:rPr>
          <w:rFonts w:eastAsia="Arial"/>
        </w:rPr>
        <w:t xml:space="preserve"> the open justice principle in</w:t>
      </w:r>
      <w:r>
        <w:rPr>
          <w:rFonts w:eastAsia="Arial"/>
        </w:rPr>
        <w:t xml:space="preserve"> section 31 of the </w:t>
      </w:r>
      <w:r w:rsidRPr="00D0377B">
        <w:rPr>
          <w:rFonts w:eastAsia="Arial"/>
        </w:rPr>
        <w:t>Human Rights Act</w:t>
      </w:r>
      <w:r>
        <w:rPr>
          <w:rFonts w:eastAsia="Arial"/>
        </w:rPr>
        <w:t xml:space="preserve"> (</w:t>
      </w:r>
      <w:r w:rsidR="009763D8">
        <w:rPr>
          <w:rFonts w:eastAsia="Arial"/>
        </w:rPr>
        <w:t xml:space="preserve">media and others may be excluded </w:t>
      </w:r>
      <w:r w:rsidR="00786390">
        <w:rPr>
          <w:rFonts w:eastAsia="Arial"/>
        </w:rPr>
        <w:t>‘</w:t>
      </w:r>
      <w:r>
        <w:rPr>
          <w:rFonts w:eastAsia="Arial"/>
        </w:rPr>
        <w:t>in the</w:t>
      </w:r>
      <w:r w:rsidR="009E3F6B">
        <w:rPr>
          <w:rFonts w:eastAsia="Arial"/>
        </w:rPr>
        <w:t xml:space="preserve"> public interest or in the</w:t>
      </w:r>
      <w:r>
        <w:rPr>
          <w:rFonts w:eastAsia="Arial"/>
        </w:rPr>
        <w:t xml:space="preserve"> interests of justice</w:t>
      </w:r>
      <w:r w:rsidR="00786390">
        <w:rPr>
          <w:rFonts w:eastAsia="Arial"/>
        </w:rPr>
        <w:t>’</w:t>
      </w:r>
      <w:r>
        <w:rPr>
          <w:rFonts w:eastAsia="Arial"/>
        </w:rPr>
        <w:t xml:space="preserve">) or by including an </w:t>
      </w:r>
      <w:r w:rsidDel="0060441E">
        <w:rPr>
          <w:rFonts w:eastAsia="Arial"/>
        </w:rPr>
        <w:t xml:space="preserve">additional </w:t>
      </w:r>
      <w:r w:rsidR="0060441E">
        <w:rPr>
          <w:rFonts w:eastAsia="Arial"/>
        </w:rPr>
        <w:t>criterion</w:t>
      </w:r>
      <w:r>
        <w:rPr>
          <w:rFonts w:eastAsia="Arial"/>
        </w:rPr>
        <w:t xml:space="preserve"> referencing the child’s best interests.</w:t>
      </w:r>
    </w:p>
    <w:p w14:paraId="7ACA58C7" w14:textId="0FA03550" w:rsidR="003A41C0" w:rsidRPr="003A41C0" w:rsidRDefault="009763D8" w:rsidP="00CD7EF3">
      <w:pPr>
        <w:pStyle w:val="Heading3"/>
      </w:pPr>
      <w:bookmarkStart w:id="28" w:name="_Toc166839055"/>
      <w:r>
        <w:t xml:space="preserve">Safeguards </w:t>
      </w:r>
      <w:r w:rsidR="004B4637">
        <w:t>on reporting</w:t>
      </w:r>
      <w:bookmarkEnd w:id="28"/>
    </w:p>
    <w:p w14:paraId="179403F8" w14:textId="02C22C21" w:rsidR="00170CD7" w:rsidRDefault="00170CD7" w:rsidP="0000437D">
      <w:pPr>
        <w:pStyle w:val="Numberedparagraph"/>
        <w:numPr>
          <w:ilvl w:val="0"/>
          <w:numId w:val="10"/>
        </w:numPr>
        <w:spacing w:after="200"/>
        <w:rPr>
          <w:szCs w:val="22"/>
        </w:rPr>
      </w:pPr>
      <w:r w:rsidRPr="00170CD7">
        <w:t xml:space="preserve">To ensure the proposed approach is compatible with the right to a fair hearing and the rights of the child, appropriate restrictions and safeguards </w:t>
      </w:r>
      <w:r w:rsidR="00656518">
        <w:t>must be in</w:t>
      </w:r>
      <w:r w:rsidR="00087E2B">
        <w:t xml:space="preserve"> place on reporting of any proceedings</w:t>
      </w:r>
      <w:r w:rsidR="007816F1">
        <w:t xml:space="preserve"> involving children</w:t>
      </w:r>
      <w:r w:rsidR="00087E2B">
        <w:t>.</w:t>
      </w:r>
      <w:r w:rsidR="00087E2B" w:rsidRPr="00087E2B">
        <w:t xml:space="preserve"> </w:t>
      </w:r>
      <w:r w:rsidR="00087E2B">
        <w:t xml:space="preserve">In this regard, the Commission </w:t>
      </w:r>
      <w:r w:rsidR="0060441E">
        <w:t xml:space="preserve">supports </w:t>
      </w:r>
      <w:r w:rsidR="00087E2B">
        <w:t>the Bill</w:t>
      </w:r>
      <w:r w:rsidR="0013004A">
        <w:t>’s approach to</w:t>
      </w:r>
      <w:r w:rsidR="00087E2B">
        <w:t xml:space="preserve"> limiting media access to Childrens Court hearings to </w:t>
      </w:r>
      <w:r w:rsidR="0013004A">
        <w:t>‘</w:t>
      </w:r>
      <w:r w:rsidR="00087E2B">
        <w:t>accredited media</w:t>
      </w:r>
      <w:r w:rsidR="0013004A">
        <w:t>’</w:t>
      </w:r>
      <w:r w:rsidR="00E30F2E">
        <w:t xml:space="preserve"> </w:t>
      </w:r>
      <w:r w:rsidR="0013004A">
        <w:t>only</w:t>
      </w:r>
      <w:r w:rsidR="00485AB1">
        <w:t>,</w:t>
      </w:r>
      <w:r w:rsidR="0013004A">
        <w:t xml:space="preserve"> </w:t>
      </w:r>
      <w:r w:rsidR="00E30F2E">
        <w:t xml:space="preserve">as defined in the Bill. </w:t>
      </w:r>
      <w:r w:rsidR="004B4637">
        <w:t xml:space="preserve">This could be further strengthened by requiring </w:t>
      </w:r>
      <w:r w:rsidR="00E30F2E">
        <w:t xml:space="preserve">media to undertake </w:t>
      </w:r>
      <w:r w:rsidR="009A4607">
        <w:t xml:space="preserve">specialised </w:t>
      </w:r>
      <w:r w:rsidR="009D07AD">
        <w:t xml:space="preserve">training on </w:t>
      </w:r>
      <w:r w:rsidR="009D07AD" w:rsidRPr="00170CD7">
        <w:rPr>
          <w:szCs w:val="22"/>
        </w:rPr>
        <w:t xml:space="preserve">reporting </w:t>
      </w:r>
      <w:r w:rsidR="009D07AD">
        <w:t>Childrens Court</w:t>
      </w:r>
      <w:r w:rsidR="009D07AD" w:rsidRPr="00170CD7">
        <w:rPr>
          <w:szCs w:val="22"/>
        </w:rPr>
        <w:t xml:space="preserve"> matters</w:t>
      </w:r>
      <w:r w:rsidR="009D07AD">
        <w:t xml:space="preserve"> to achieve accreditation</w:t>
      </w:r>
      <w:r w:rsidR="006C352B">
        <w:t>.</w:t>
      </w:r>
    </w:p>
    <w:p w14:paraId="06006E66" w14:textId="4B454193" w:rsidR="003E493B" w:rsidRPr="003E493B" w:rsidRDefault="003E493B" w:rsidP="0000437D">
      <w:pPr>
        <w:pStyle w:val="Numberedparagraph"/>
        <w:numPr>
          <w:ilvl w:val="0"/>
          <w:numId w:val="10"/>
        </w:numPr>
        <w:spacing w:after="262"/>
        <w:rPr>
          <w:color w:val="auto"/>
          <w:szCs w:val="22"/>
        </w:rPr>
      </w:pPr>
      <w:r w:rsidRPr="003E493B">
        <w:rPr>
          <w:color w:val="auto"/>
          <w:szCs w:val="22"/>
        </w:rPr>
        <w:t xml:space="preserve">If access to the Childrens Court is to be expanded in the way proposed by the Bill, people </w:t>
      </w:r>
      <w:r w:rsidR="00057592">
        <w:rPr>
          <w:color w:val="auto"/>
          <w:szCs w:val="22"/>
        </w:rPr>
        <w:t>who</w:t>
      </w:r>
      <w:r w:rsidR="00057592" w:rsidRPr="003E493B">
        <w:rPr>
          <w:color w:val="auto"/>
          <w:szCs w:val="22"/>
        </w:rPr>
        <w:t xml:space="preserve"> </w:t>
      </w:r>
      <w:r w:rsidRPr="003E493B">
        <w:rPr>
          <w:color w:val="auto"/>
          <w:szCs w:val="22"/>
        </w:rPr>
        <w:t>attend</w:t>
      </w:r>
      <w:r w:rsidR="00057592">
        <w:rPr>
          <w:color w:val="auto"/>
          <w:szCs w:val="22"/>
        </w:rPr>
        <w:t xml:space="preserve"> </w:t>
      </w:r>
      <w:r w:rsidR="00AD2CAC">
        <w:rPr>
          <w:color w:val="auto"/>
          <w:szCs w:val="22"/>
        </w:rPr>
        <w:t>a proceeding</w:t>
      </w:r>
      <w:r w:rsidRPr="003E493B">
        <w:rPr>
          <w:color w:val="auto"/>
          <w:szCs w:val="22"/>
        </w:rPr>
        <w:t xml:space="preserve"> </w:t>
      </w:r>
      <w:r w:rsidR="00256106">
        <w:rPr>
          <w:color w:val="auto"/>
          <w:szCs w:val="22"/>
        </w:rPr>
        <w:t xml:space="preserve">must </w:t>
      </w:r>
      <w:r w:rsidRPr="003E493B">
        <w:rPr>
          <w:color w:val="auto"/>
          <w:szCs w:val="22"/>
        </w:rPr>
        <w:t xml:space="preserve">have a clear understanding of the reporting restrictions, restrictions on identification, and penalties under other existing laws. The Commission strongly supports the </w:t>
      </w:r>
      <w:r w:rsidR="006C352B">
        <w:rPr>
          <w:color w:val="auto"/>
          <w:szCs w:val="22"/>
        </w:rPr>
        <w:t>c</w:t>
      </w:r>
      <w:r w:rsidRPr="003E493B">
        <w:rPr>
          <w:color w:val="auto"/>
          <w:szCs w:val="22"/>
        </w:rPr>
        <w:t>ourt being provided sufficient resources to ensure victims, relatives of deceased victims, and victims</w:t>
      </w:r>
      <w:r w:rsidR="00B0470A">
        <w:rPr>
          <w:color w:val="auto"/>
          <w:szCs w:val="22"/>
        </w:rPr>
        <w:t>’</w:t>
      </w:r>
      <w:r w:rsidRPr="003E493B">
        <w:rPr>
          <w:color w:val="auto"/>
          <w:szCs w:val="22"/>
        </w:rPr>
        <w:t xml:space="preserve"> representatives attending hearings understand the content and purpose of these restrictions.</w:t>
      </w:r>
    </w:p>
    <w:p w14:paraId="084CF020" w14:textId="5FF7B7D5" w:rsidR="006236AB" w:rsidRPr="0079156F" w:rsidRDefault="00CD6CEA" w:rsidP="0000437D">
      <w:pPr>
        <w:pStyle w:val="Numberedparagraph"/>
        <w:numPr>
          <w:ilvl w:val="0"/>
          <w:numId w:val="10"/>
        </w:numPr>
        <w:spacing w:after="262"/>
        <w:rPr>
          <w:color w:val="auto"/>
          <w:szCs w:val="22"/>
        </w:rPr>
      </w:pPr>
      <w:r>
        <w:rPr>
          <w:color w:val="auto"/>
          <w:szCs w:val="22"/>
        </w:rPr>
        <w:t>P</w:t>
      </w:r>
      <w:r w:rsidR="00C73688">
        <w:rPr>
          <w:color w:val="auto"/>
          <w:szCs w:val="22"/>
        </w:rPr>
        <w:t>eople or units</w:t>
      </w:r>
      <w:r w:rsidR="00170CD7" w:rsidRPr="00170CD7">
        <w:rPr>
          <w:color w:val="auto"/>
          <w:szCs w:val="22"/>
        </w:rPr>
        <w:t xml:space="preserve"> responsible for enforc</w:t>
      </w:r>
      <w:r w:rsidR="003A4A12">
        <w:rPr>
          <w:color w:val="auto"/>
          <w:szCs w:val="22"/>
        </w:rPr>
        <w:t>ing</w:t>
      </w:r>
      <w:r w:rsidR="00170CD7" w:rsidRPr="00170CD7">
        <w:rPr>
          <w:color w:val="auto"/>
          <w:szCs w:val="22"/>
        </w:rPr>
        <w:t xml:space="preserve"> restrictions on reporting </w:t>
      </w:r>
      <w:r w:rsidR="008616DD">
        <w:rPr>
          <w:color w:val="auto"/>
          <w:szCs w:val="22"/>
        </w:rPr>
        <w:t>must be</w:t>
      </w:r>
      <w:r w:rsidR="008616DD" w:rsidRPr="00170CD7">
        <w:rPr>
          <w:color w:val="auto"/>
          <w:szCs w:val="22"/>
        </w:rPr>
        <w:t xml:space="preserve"> </w:t>
      </w:r>
      <w:r w:rsidR="00170CD7" w:rsidRPr="00170CD7">
        <w:rPr>
          <w:color w:val="auto"/>
          <w:szCs w:val="22"/>
        </w:rPr>
        <w:t xml:space="preserve">appropriately </w:t>
      </w:r>
      <w:r w:rsidR="00DB05E0">
        <w:rPr>
          <w:color w:val="auto"/>
          <w:szCs w:val="22"/>
        </w:rPr>
        <w:t xml:space="preserve">supported and </w:t>
      </w:r>
      <w:r w:rsidR="00170CD7" w:rsidRPr="00170CD7">
        <w:rPr>
          <w:color w:val="auto"/>
          <w:szCs w:val="22"/>
        </w:rPr>
        <w:t xml:space="preserve">resourced to take immediate action </w:t>
      </w:r>
      <w:r w:rsidR="00650627">
        <w:rPr>
          <w:color w:val="auto"/>
          <w:szCs w:val="22"/>
        </w:rPr>
        <w:t>should</w:t>
      </w:r>
      <w:r w:rsidR="00170CD7" w:rsidRPr="00170CD7">
        <w:rPr>
          <w:color w:val="auto"/>
          <w:szCs w:val="22"/>
        </w:rPr>
        <w:t xml:space="preserve"> a media outlet</w:t>
      </w:r>
      <w:r w:rsidR="007310A2">
        <w:rPr>
          <w:color w:val="auto"/>
          <w:szCs w:val="22"/>
        </w:rPr>
        <w:t xml:space="preserve"> or other attendee</w:t>
      </w:r>
      <w:r w:rsidR="00170CD7" w:rsidRPr="00170CD7">
        <w:rPr>
          <w:color w:val="auto"/>
          <w:szCs w:val="22"/>
        </w:rPr>
        <w:t xml:space="preserve"> fail to observe the law</w:t>
      </w:r>
      <w:r w:rsidR="0040051B">
        <w:rPr>
          <w:color w:val="auto"/>
          <w:szCs w:val="22"/>
        </w:rPr>
        <w:t>.</w:t>
      </w:r>
    </w:p>
    <w:tbl>
      <w:tblPr>
        <w:tblStyle w:val="TableGrid"/>
        <w:tblW w:w="8586" w:type="dxa"/>
        <w:shd w:val="clear" w:color="auto" w:fill="004270"/>
        <w:tblLook w:val="04A0" w:firstRow="1" w:lastRow="0" w:firstColumn="1" w:lastColumn="0" w:noHBand="0" w:noVBand="1"/>
      </w:tblPr>
      <w:tblGrid>
        <w:gridCol w:w="8586"/>
      </w:tblGrid>
      <w:tr w:rsidR="006236AB" w:rsidRPr="006236AB" w14:paraId="7C62B21E" w14:textId="77777777" w:rsidTr="006236AB">
        <w:trPr>
          <w:trHeight w:val="5782"/>
        </w:trPr>
        <w:tc>
          <w:tcPr>
            <w:tcW w:w="8586" w:type="dxa"/>
            <w:shd w:val="clear" w:color="auto" w:fill="004270"/>
          </w:tcPr>
          <w:p w14:paraId="519E241B" w14:textId="77777777" w:rsidR="006236AB" w:rsidRDefault="006236AB" w:rsidP="006236AB">
            <w:pPr>
              <w:pStyle w:val="Heading4"/>
              <w:rPr>
                <w:b/>
                <w:bCs/>
                <w:i w:val="0"/>
                <w:iCs w:val="0"/>
                <w:color w:val="FFFFFF" w:themeColor="background1"/>
              </w:rPr>
            </w:pPr>
          </w:p>
          <w:p w14:paraId="0792AB3C" w14:textId="154D4D60" w:rsidR="006236AB" w:rsidRPr="006236AB" w:rsidRDefault="006236AB" w:rsidP="006236AB">
            <w:pPr>
              <w:pStyle w:val="Heading4"/>
              <w:rPr>
                <w:b/>
                <w:bCs/>
                <w:i w:val="0"/>
                <w:iCs w:val="0"/>
                <w:color w:val="FFFFFF" w:themeColor="background1"/>
              </w:rPr>
            </w:pPr>
            <w:r w:rsidRPr="006236AB">
              <w:rPr>
                <w:b/>
                <w:bCs/>
                <w:i w:val="0"/>
                <w:iCs w:val="0"/>
                <w:color w:val="FFFFFF" w:themeColor="background1"/>
              </w:rPr>
              <w:t>Recommendations</w:t>
            </w:r>
          </w:p>
          <w:p w14:paraId="20BFE2B5" w14:textId="3DCA3239" w:rsidR="006236AB" w:rsidRPr="006236AB" w:rsidRDefault="006236AB" w:rsidP="003A1288">
            <w:pPr>
              <w:pStyle w:val="Numberedparagraph"/>
              <w:numPr>
                <w:ilvl w:val="0"/>
                <w:numId w:val="4"/>
              </w:numPr>
              <w:spacing w:after="120"/>
              <w:rPr>
                <w:rFonts w:eastAsia="Arial"/>
                <w:color w:val="FFFFFF" w:themeColor="background1"/>
              </w:rPr>
            </w:pPr>
            <w:r w:rsidRPr="006236AB">
              <w:rPr>
                <w:rFonts w:eastAsia="Arial"/>
                <w:color w:val="FFFFFF" w:themeColor="background1"/>
              </w:rPr>
              <w:t>Include a specific provision in clause 112 of the Bill allowing the court to order attendance by particular individuals, or categories of individuals, other than by physical presence in the courtroom.</w:t>
            </w:r>
          </w:p>
          <w:p w14:paraId="7C68FF49" w14:textId="77777777" w:rsidR="006236AB" w:rsidRPr="006236AB" w:rsidRDefault="006236AB" w:rsidP="003A1288">
            <w:pPr>
              <w:pStyle w:val="Numberedparagraph"/>
              <w:numPr>
                <w:ilvl w:val="0"/>
                <w:numId w:val="4"/>
              </w:numPr>
              <w:spacing w:after="120"/>
              <w:rPr>
                <w:rFonts w:eastAsia="Arial"/>
                <w:color w:val="FFFFFF" w:themeColor="background1"/>
              </w:rPr>
            </w:pPr>
            <w:r w:rsidRPr="006236AB">
              <w:rPr>
                <w:rFonts w:eastAsia="Arial"/>
                <w:color w:val="FFFFFF" w:themeColor="background1"/>
              </w:rPr>
              <w:t xml:space="preserve">Include an additional, alternative criteria in the new section 20(2) to exclude representatives, interested persons, or accredited media as follows: </w:t>
            </w:r>
          </w:p>
          <w:p w14:paraId="631682F0" w14:textId="77777777" w:rsidR="006236AB" w:rsidRPr="006236AB" w:rsidRDefault="006236AB" w:rsidP="006236AB">
            <w:pPr>
              <w:pStyle w:val="Numberedparagraph"/>
              <w:numPr>
                <w:ilvl w:val="0"/>
                <w:numId w:val="0"/>
              </w:numPr>
              <w:spacing w:after="120"/>
              <w:ind w:left="1080"/>
              <w:rPr>
                <w:rFonts w:eastAsia="Arial"/>
                <w:color w:val="FFFFFF" w:themeColor="background1"/>
              </w:rPr>
            </w:pPr>
            <w:r w:rsidRPr="006236AB">
              <w:rPr>
                <w:rFonts w:eastAsia="Arial"/>
                <w:color w:val="FFFFFF" w:themeColor="background1"/>
              </w:rPr>
              <w:t>‘or, (c) to prevent prejudice to the best interests of the child or their prospects of reintegration to the community’.</w:t>
            </w:r>
          </w:p>
          <w:p w14:paraId="71AA0EEC" w14:textId="77777777" w:rsidR="006236AB" w:rsidRPr="006236AB" w:rsidRDefault="006236AB" w:rsidP="006236AB">
            <w:pPr>
              <w:pStyle w:val="Numberedparagraph"/>
              <w:numPr>
                <w:ilvl w:val="0"/>
                <w:numId w:val="0"/>
              </w:numPr>
              <w:ind w:left="720"/>
              <w:rPr>
                <w:color w:val="FFFFFF" w:themeColor="background1"/>
              </w:rPr>
            </w:pPr>
            <w:r w:rsidRPr="006236AB">
              <w:rPr>
                <w:rFonts w:eastAsia="Arial"/>
                <w:color w:val="FFFFFF" w:themeColor="background1"/>
              </w:rPr>
              <w:t>Alternatively, replace proposed section 20(2)(a) with ‘in the public interest or the interests of justice’, mirroring section 31 of the Human Rights Act.</w:t>
            </w:r>
          </w:p>
          <w:p w14:paraId="6BE99E16" w14:textId="417FB7C4" w:rsidR="006236AB" w:rsidRPr="006236AB" w:rsidRDefault="006236AB" w:rsidP="003A1288">
            <w:pPr>
              <w:pStyle w:val="Numberedparagraph"/>
              <w:numPr>
                <w:ilvl w:val="0"/>
                <w:numId w:val="4"/>
              </w:numPr>
              <w:rPr>
                <w:b/>
                <w:bCs/>
                <w:i/>
                <w:iCs/>
                <w:color w:val="FFFFFF" w:themeColor="background1"/>
              </w:rPr>
            </w:pPr>
            <w:r w:rsidRPr="006236AB">
              <w:rPr>
                <w:rFonts w:eastAsia="Arial"/>
                <w:color w:val="FFFFFF" w:themeColor="background1"/>
              </w:rPr>
              <w:t xml:space="preserve">Provide the court with appropriate resources to ensure that victims, relatives of deceased victims, victims’ representatives, interested persons and accredited media attending Childrens Court hearings </w:t>
            </w:r>
            <w:r w:rsidRPr="006236AB">
              <w:rPr>
                <w:color w:val="FFFFFF" w:themeColor="background1"/>
                <w:szCs w:val="22"/>
              </w:rPr>
              <w:t>understand the content and purpose of reporting restrictions, including through the publication of detailed guidelines.</w:t>
            </w:r>
          </w:p>
        </w:tc>
      </w:tr>
    </w:tbl>
    <w:p w14:paraId="4A89A4CE" w14:textId="77777777" w:rsidR="007E3667" w:rsidRDefault="007E3667" w:rsidP="007E3667">
      <w:pPr>
        <w:pStyle w:val="Numberedparagraph"/>
        <w:numPr>
          <w:ilvl w:val="0"/>
          <w:numId w:val="0"/>
        </w:numPr>
        <w:ind w:left="567"/>
      </w:pPr>
    </w:p>
    <w:p w14:paraId="1F0928E2" w14:textId="6D6A3C89" w:rsidR="00F3171C" w:rsidRDefault="00F3171C" w:rsidP="00F3171C">
      <w:pPr>
        <w:pStyle w:val="Heading2"/>
      </w:pPr>
      <w:bookmarkStart w:id="29" w:name="_Toc166839056"/>
      <w:r>
        <w:t xml:space="preserve">Increased penalty for </w:t>
      </w:r>
      <w:r w:rsidR="006D51DD">
        <w:t>knife possession</w:t>
      </w:r>
      <w:bookmarkEnd w:id="29"/>
    </w:p>
    <w:p w14:paraId="6C83A867" w14:textId="564904E6" w:rsidR="003879AE" w:rsidRDefault="003879AE" w:rsidP="003879AE">
      <w:pPr>
        <w:pStyle w:val="Numberedparagraph"/>
      </w:pPr>
      <w:r>
        <w:t xml:space="preserve">The Bill amends </w:t>
      </w:r>
      <w:r w:rsidR="007500F1">
        <w:t>section 51 of the</w:t>
      </w:r>
      <w:r>
        <w:t xml:space="preserve"> </w:t>
      </w:r>
      <w:r w:rsidRPr="000F68A2">
        <w:rPr>
          <w:i/>
        </w:rPr>
        <w:t>Weapons Act</w:t>
      </w:r>
      <w:r w:rsidR="000F68A2" w:rsidRPr="000F68A2">
        <w:rPr>
          <w:i/>
        </w:rPr>
        <w:t xml:space="preserve"> </w:t>
      </w:r>
      <w:r w:rsidR="000F68A2" w:rsidRPr="000F68A2">
        <w:rPr>
          <w:i/>
          <w:iCs/>
        </w:rPr>
        <w:t>1990</w:t>
      </w:r>
      <w:r w:rsidR="000F68A2">
        <w:t xml:space="preserve"> (Qld)</w:t>
      </w:r>
      <w:r w:rsidR="00B211A3">
        <w:t xml:space="preserve"> (</w:t>
      </w:r>
      <w:r w:rsidR="00B211A3" w:rsidRPr="003F0B7C">
        <w:rPr>
          <w:b/>
        </w:rPr>
        <w:t>Weapons Act</w:t>
      </w:r>
      <w:r w:rsidR="00B211A3">
        <w:t>)</w:t>
      </w:r>
      <w:r>
        <w:t xml:space="preserve"> </w:t>
      </w:r>
      <w:r w:rsidR="00423C75">
        <w:t xml:space="preserve">to increase the maximum penalty </w:t>
      </w:r>
      <w:r w:rsidR="00AB4284">
        <w:t xml:space="preserve">for an existing </w:t>
      </w:r>
      <w:r w:rsidR="00A53472">
        <w:t>offence</w:t>
      </w:r>
      <w:r w:rsidR="00AB4284">
        <w:t xml:space="preserve"> that prohibits a person from physically possessing a knife in a public place or school without reasonable excuse.</w:t>
      </w:r>
    </w:p>
    <w:p w14:paraId="3BF3C1F0" w14:textId="5B2D97B0" w:rsidR="00D43CFD" w:rsidRDefault="001F3DA0" w:rsidP="00567E96">
      <w:pPr>
        <w:pStyle w:val="Numberedparagraph"/>
      </w:pPr>
      <w:r>
        <w:t>An</w:t>
      </w:r>
      <w:r w:rsidR="00D43CFD">
        <w:t xml:space="preserve"> opportunity has been</w:t>
      </w:r>
      <w:r w:rsidR="00312DED">
        <w:t xml:space="preserve"> missed to clarify the law in relation to </w:t>
      </w:r>
      <w:r w:rsidR="001B7AE1">
        <w:t>Sikh persons attending at schools wearing a kirpan</w:t>
      </w:r>
      <w:r w:rsidR="009D4696">
        <w:t xml:space="preserve">, whether that be as students or </w:t>
      </w:r>
      <w:r w:rsidR="00F66AE9">
        <w:t>broader members of the school community such as parents</w:t>
      </w:r>
      <w:r w:rsidR="001B7AE1">
        <w:t>.</w:t>
      </w:r>
    </w:p>
    <w:p w14:paraId="62626FC3" w14:textId="6C944B9D" w:rsidR="00567E96" w:rsidRDefault="008A5B81" w:rsidP="00567E96">
      <w:pPr>
        <w:pStyle w:val="Numberedparagraph"/>
      </w:pPr>
      <w:r>
        <w:t xml:space="preserve">While </w:t>
      </w:r>
      <w:r w:rsidR="007A6B30">
        <w:t>section 51(4)</w:t>
      </w:r>
      <w:r w:rsidR="00B211A3">
        <w:t xml:space="preserve"> of the Weapons Act</w:t>
      </w:r>
      <w:r w:rsidR="007A6B30">
        <w:t xml:space="preserve"> states that it is a reasonable excuse to carry a kirpan in all public places other than schools, s</w:t>
      </w:r>
      <w:r w:rsidR="00567E96">
        <w:t>ection 51(5)</w:t>
      </w:r>
      <w:r w:rsidR="001B7AE1">
        <w:t xml:space="preserve"> currently</w:t>
      </w:r>
      <w:r w:rsidR="00567E96">
        <w:t xml:space="preserve"> states that it is </w:t>
      </w:r>
      <w:r w:rsidR="00567E96" w:rsidRPr="007A6B30">
        <w:t>not</w:t>
      </w:r>
      <w:r w:rsidR="00567E96">
        <w:t xml:space="preserve"> a reasonable excuse to physically possess a knife in a school for genuine religious purposes.  </w:t>
      </w:r>
    </w:p>
    <w:p w14:paraId="17E77793" w14:textId="58C7A444" w:rsidR="00E04311" w:rsidRDefault="007500F1" w:rsidP="003879AE">
      <w:pPr>
        <w:pStyle w:val="Numberedparagraph"/>
      </w:pPr>
      <w:r>
        <w:t xml:space="preserve">The Commission </w:t>
      </w:r>
      <w:r w:rsidR="000F68A2">
        <w:t>brings to the Committee’s notice the</w:t>
      </w:r>
      <w:r>
        <w:t xml:space="preserve"> recent case of </w:t>
      </w:r>
      <w:r w:rsidR="008C5E34" w:rsidRPr="00C84E43">
        <w:rPr>
          <w:i/>
        </w:rPr>
        <w:t>Athwal v State of Queensland</w:t>
      </w:r>
      <w:r w:rsidR="008C5E34" w:rsidRPr="008C5E34">
        <w:t xml:space="preserve"> [2023] QCA 156</w:t>
      </w:r>
      <w:r w:rsidR="000F68A2">
        <w:t>. In that matter, the Queensland Cour</w:t>
      </w:r>
      <w:r w:rsidR="008562B2">
        <w:t xml:space="preserve">t </w:t>
      </w:r>
      <w:r w:rsidR="000F68A2">
        <w:t>of Appeal declared that section 51(5)</w:t>
      </w:r>
      <w:r w:rsidR="00567E96">
        <w:t xml:space="preserve"> </w:t>
      </w:r>
      <w:r w:rsidR="000F68A2">
        <w:t xml:space="preserve">is </w:t>
      </w:r>
      <w:r w:rsidR="00BE6AFF">
        <w:t xml:space="preserve">inconsistent with section 10 of the </w:t>
      </w:r>
      <w:r w:rsidR="00BE6AFF" w:rsidRPr="00ED6A49">
        <w:rPr>
          <w:i/>
        </w:rPr>
        <w:t>Racial Discrimination Act 1975</w:t>
      </w:r>
      <w:r w:rsidR="00BE6AFF">
        <w:t xml:space="preserve"> (</w:t>
      </w:r>
      <w:proofErr w:type="spellStart"/>
      <w:r w:rsidR="00BE6AFF">
        <w:t>Cth</w:t>
      </w:r>
      <w:proofErr w:type="spellEnd"/>
      <w:r w:rsidR="00BE6AFF">
        <w:t xml:space="preserve">) and is therefore invalid under the </w:t>
      </w:r>
      <w:r w:rsidR="00BE6AFF" w:rsidRPr="00ED6A49">
        <w:rPr>
          <w:i/>
        </w:rPr>
        <w:t>Commonwealth Constitution</w:t>
      </w:r>
      <w:r w:rsidR="00BE6AFF">
        <w:t>.</w:t>
      </w:r>
    </w:p>
    <w:p w14:paraId="1356A4F9" w14:textId="2F05F4CE" w:rsidR="00F56E21" w:rsidRDefault="00F56E21" w:rsidP="003879AE">
      <w:pPr>
        <w:pStyle w:val="Numberedparagraph"/>
      </w:pPr>
      <w:r>
        <w:lastRenderedPageBreak/>
        <w:t xml:space="preserve">The </w:t>
      </w:r>
      <w:r w:rsidR="00A2057E">
        <w:t xml:space="preserve">outcome of this </w:t>
      </w:r>
      <w:r>
        <w:t>case makes</w:t>
      </w:r>
      <w:r w:rsidR="008D76D5">
        <w:t xml:space="preserve"> the legal position </w:t>
      </w:r>
      <w:r>
        <w:t>clear that a Sikh person does not commit</w:t>
      </w:r>
      <w:r w:rsidR="00847823">
        <w:t xml:space="preserve"> a criminal offence against section 51 of the Weapons Act by having physical possession of a kirpan at a school for religious reasons.</w:t>
      </w:r>
      <w:r w:rsidR="00D02C33">
        <w:rPr>
          <w:rStyle w:val="FootnoteReference"/>
        </w:rPr>
        <w:footnoteReference w:id="22"/>
      </w:r>
    </w:p>
    <w:p w14:paraId="6DE4C618" w14:textId="40B1AC8F" w:rsidR="0019629B" w:rsidRPr="00F82E63" w:rsidRDefault="002C413F" w:rsidP="00F82E63">
      <w:pPr>
        <w:pStyle w:val="Numberedparagraph"/>
      </w:pPr>
      <w:r>
        <w:t>Despite</w:t>
      </w:r>
      <w:r w:rsidR="000A2C50">
        <w:t xml:space="preserve"> the law be</w:t>
      </w:r>
      <w:r>
        <w:t>ing</w:t>
      </w:r>
      <w:r w:rsidR="000A2C50">
        <w:t xml:space="preserve"> settled by the Queensland Court of Appeal</w:t>
      </w:r>
      <w:r>
        <w:t xml:space="preserve"> decision in </w:t>
      </w:r>
      <w:r w:rsidR="00623D6D" w:rsidRPr="00750D06">
        <w:rPr>
          <w:i/>
          <w:iCs/>
        </w:rPr>
        <w:t>At</w:t>
      </w:r>
      <w:r w:rsidR="006D732B" w:rsidRPr="00750D06">
        <w:rPr>
          <w:i/>
          <w:iCs/>
        </w:rPr>
        <w:t>hwal</w:t>
      </w:r>
      <w:r w:rsidR="000A2C50">
        <w:t xml:space="preserve">, the </w:t>
      </w:r>
      <w:r w:rsidR="00EC4D7C">
        <w:t>legislative provision</w:t>
      </w:r>
      <w:r w:rsidR="000A2C50">
        <w:t xml:space="preserve"> </w:t>
      </w:r>
      <w:r w:rsidR="00C61393">
        <w:t>remains</w:t>
      </w:r>
      <w:r w:rsidR="000A2C50">
        <w:t xml:space="preserve"> the same. The Commission recommends repeal of section 51(5)</w:t>
      </w:r>
      <w:r w:rsidR="0076115F">
        <w:t xml:space="preserve"> of the Weapons Act</w:t>
      </w:r>
      <w:r w:rsidR="00C84E43">
        <w:t xml:space="preserve">. The consequence of retaining it is that it may </w:t>
      </w:r>
      <w:r w:rsidR="008845F7">
        <w:t xml:space="preserve">create unnecessary confusion about the state of the law in Queensland on this issue, and if a Sikh person was now charged under </w:t>
      </w:r>
      <w:r w:rsidR="003A3594">
        <w:t>this law</w:t>
      </w:r>
      <w:r w:rsidR="008845F7">
        <w:t xml:space="preserve">, the consequences are </w:t>
      </w:r>
      <w:r w:rsidR="007370EF">
        <w:t>more extreme</w:t>
      </w:r>
      <w:r w:rsidR="003A3594">
        <w:t xml:space="preserve"> because of increased penalties</w:t>
      </w:r>
      <w:r w:rsidR="007370EF">
        <w:t>.</w:t>
      </w:r>
    </w:p>
    <w:tbl>
      <w:tblPr>
        <w:tblStyle w:val="TableGrid"/>
        <w:tblW w:w="8566" w:type="dxa"/>
        <w:tblInd w:w="-5" w:type="dxa"/>
        <w:tblLook w:val="04A0" w:firstRow="1" w:lastRow="0" w:firstColumn="1" w:lastColumn="0" w:noHBand="0" w:noVBand="1"/>
      </w:tblPr>
      <w:tblGrid>
        <w:gridCol w:w="8566"/>
      </w:tblGrid>
      <w:tr w:rsidR="00F82E63" w14:paraId="6F7494FE" w14:textId="77777777" w:rsidTr="00766960">
        <w:trPr>
          <w:trHeight w:val="840"/>
        </w:trPr>
        <w:tc>
          <w:tcPr>
            <w:tcW w:w="8566" w:type="dxa"/>
            <w:shd w:val="clear" w:color="auto" w:fill="004270"/>
          </w:tcPr>
          <w:p w14:paraId="657A7558" w14:textId="77777777" w:rsidR="00F82E63" w:rsidRPr="00F82E63" w:rsidRDefault="00F82E63" w:rsidP="00F82E63">
            <w:pPr>
              <w:pStyle w:val="Heading4"/>
              <w:rPr>
                <w:b/>
                <w:bCs/>
                <w:i w:val="0"/>
                <w:iCs w:val="0"/>
                <w:color w:val="FFFFFF" w:themeColor="background1"/>
              </w:rPr>
            </w:pPr>
            <w:r w:rsidRPr="00F82E63">
              <w:rPr>
                <w:b/>
                <w:bCs/>
                <w:i w:val="0"/>
                <w:iCs w:val="0"/>
                <w:color w:val="FFFFFF" w:themeColor="background1"/>
              </w:rPr>
              <w:t>Recommendation</w:t>
            </w:r>
          </w:p>
          <w:p w14:paraId="57EB0D93" w14:textId="25F4ABEE" w:rsidR="00F82E63" w:rsidRDefault="00F82E63" w:rsidP="00F82E63">
            <w:pPr>
              <w:pStyle w:val="Numberedparagraph"/>
              <w:numPr>
                <w:ilvl w:val="0"/>
                <w:numId w:val="0"/>
              </w:numPr>
              <w:spacing w:after="120"/>
              <w:rPr>
                <w:i/>
                <w:iCs/>
              </w:rPr>
            </w:pPr>
            <w:r w:rsidRPr="00F82E63">
              <w:rPr>
                <w:color w:val="FFFFFF" w:themeColor="background1"/>
              </w:rPr>
              <w:t xml:space="preserve">Amend the Bill to repeal section 51(5) of the </w:t>
            </w:r>
            <w:r w:rsidRPr="00F82E63">
              <w:rPr>
                <w:i/>
                <w:iCs/>
                <w:color w:val="FFFFFF" w:themeColor="background1"/>
              </w:rPr>
              <w:t xml:space="preserve">Weapons Act 1990 </w:t>
            </w:r>
            <w:r w:rsidRPr="00F82E63">
              <w:rPr>
                <w:color w:val="FFFFFF" w:themeColor="background1"/>
              </w:rPr>
              <w:t>(Qld).</w:t>
            </w:r>
          </w:p>
        </w:tc>
      </w:tr>
    </w:tbl>
    <w:p w14:paraId="0476A364" w14:textId="77777777" w:rsidR="00F82E63" w:rsidRPr="0019629B" w:rsidRDefault="00F82E63" w:rsidP="00F82E63">
      <w:pPr>
        <w:pStyle w:val="Numberedparagraph"/>
        <w:numPr>
          <w:ilvl w:val="0"/>
          <w:numId w:val="0"/>
        </w:numPr>
        <w:spacing w:after="120"/>
        <w:ind w:left="567" w:hanging="567"/>
        <w:rPr>
          <w:i/>
          <w:iCs/>
        </w:rPr>
      </w:pPr>
    </w:p>
    <w:p w14:paraId="7077D3FC" w14:textId="2EAB1518" w:rsidR="00BE241E" w:rsidRDefault="00BE241E" w:rsidP="00BB7461">
      <w:pPr>
        <w:pStyle w:val="Heading2"/>
      </w:pPr>
      <w:bookmarkStart w:id="30" w:name="_Toc166839057"/>
      <w:r>
        <w:t>Temporary transfer of children from watch houses</w:t>
      </w:r>
      <w:bookmarkEnd w:id="30"/>
    </w:p>
    <w:p w14:paraId="130A7034" w14:textId="77777777" w:rsidR="006244BD" w:rsidRPr="006244BD" w:rsidRDefault="00BE241E" w:rsidP="00BE241E">
      <w:pPr>
        <w:pStyle w:val="Numberedparagraph"/>
        <w:rPr>
          <w:color w:val="000000"/>
        </w:rPr>
      </w:pPr>
      <w:bookmarkStart w:id="31" w:name="_Ref166749762"/>
      <w:r w:rsidRPr="00A54F13">
        <w:rPr>
          <w:color w:val="000000"/>
        </w:rPr>
        <w:t xml:space="preserve">The </w:t>
      </w:r>
      <w:r w:rsidRPr="00D0663E">
        <w:t>Commission</w:t>
      </w:r>
      <w:r w:rsidRPr="00A54F13">
        <w:rPr>
          <w:color w:val="000000"/>
        </w:rPr>
        <w:t xml:space="preserve"> strongly </w:t>
      </w:r>
      <w:r>
        <w:rPr>
          <w:color w:val="000000"/>
        </w:rPr>
        <w:t>opposes detaining children in police watch</w:t>
      </w:r>
      <w:r w:rsidR="0076115F">
        <w:rPr>
          <w:color w:val="000000"/>
        </w:rPr>
        <w:t xml:space="preserve"> </w:t>
      </w:r>
      <w:r>
        <w:rPr>
          <w:color w:val="000000"/>
        </w:rPr>
        <w:t>houses for longer than 24 hours. However, if the practice is to continue, the Commission</w:t>
      </w:r>
      <w:r w:rsidRPr="00A54F13">
        <w:rPr>
          <w:color w:val="000000"/>
        </w:rPr>
        <w:t xml:space="preserve"> supports reforms</w:t>
      </w:r>
      <w:r w:rsidRPr="00A54F13">
        <w:t xml:space="preserve"> </w:t>
      </w:r>
      <w:r w:rsidR="00AC3FC9">
        <w:t>t</w:t>
      </w:r>
      <w:r w:rsidR="009E3FA1">
        <w:t>hat</w:t>
      </w:r>
      <w:r w:rsidRPr="00A54F13">
        <w:t xml:space="preserve"> allow children held in watch</w:t>
      </w:r>
      <w:r w:rsidR="0076115F">
        <w:t xml:space="preserve"> </w:t>
      </w:r>
      <w:r w:rsidRPr="00A54F13">
        <w:t xml:space="preserve">houses to be taken to youth detention centres during the day </w:t>
      </w:r>
      <w:r>
        <w:t>to participate in age-appropriate programs and physical exercise.</w:t>
      </w:r>
      <w:r>
        <w:rPr>
          <w:rStyle w:val="FootnoteReference"/>
        </w:rPr>
        <w:footnoteReference w:id="23"/>
      </w:r>
      <w:bookmarkEnd w:id="31"/>
      <w:r w:rsidR="0020161E">
        <w:t xml:space="preserve"> </w:t>
      </w:r>
    </w:p>
    <w:p w14:paraId="2C896D5F" w14:textId="1E5878D2" w:rsidR="00BE241E" w:rsidRPr="00766960" w:rsidRDefault="0020161E" w:rsidP="00BE241E">
      <w:pPr>
        <w:pStyle w:val="Numberedparagraph"/>
        <w:rPr>
          <w:color w:val="FFFFFF" w:themeColor="background1"/>
        </w:rPr>
      </w:pPr>
      <w:r>
        <w:t xml:space="preserve">To facilitate use </w:t>
      </w:r>
      <w:r w:rsidR="007A60BB">
        <w:t>of this provision where</w:t>
      </w:r>
      <w:r w:rsidR="00695CBC">
        <w:t>ver possible</w:t>
      </w:r>
      <w:r w:rsidR="00A544BA">
        <w:t>,</w:t>
      </w:r>
      <w:r w:rsidR="00E20AC2">
        <w:t xml:space="preserve"> </w:t>
      </w:r>
      <w:r>
        <w:t xml:space="preserve">administrative processes should be </w:t>
      </w:r>
      <w:r w:rsidR="00832587">
        <w:t>streamlined</w:t>
      </w:r>
      <w:r w:rsidR="00C14327">
        <w:t>. In addition,</w:t>
      </w:r>
      <w:r w:rsidR="002E4B2E">
        <w:t xml:space="preserve"> the Bill should specifically require collection and publication of data on </w:t>
      </w:r>
      <w:r w:rsidR="005D23AF">
        <w:t>its use</w:t>
      </w:r>
      <w:r w:rsidR="00EF2113">
        <w:t xml:space="preserve">, to enable public scrutiny of the extent to which this provision is used to mitigate the harmful effects of detaining children in watch </w:t>
      </w:r>
      <w:r w:rsidR="00B921E0">
        <w:t>houses.</w:t>
      </w:r>
      <w:r w:rsidR="00EF2113" w:rsidRPr="00766960">
        <w:rPr>
          <w:color w:val="FFFFFF" w:themeColor="background1"/>
        </w:rPr>
        <w:t>es.</w:t>
      </w:r>
    </w:p>
    <w:tbl>
      <w:tblPr>
        <w:tblStyle w:val="TableGrid"/>
        <w:tblW w:w="8521" w:type="dxa"/>
        <w:tblInd w:w="-5" w:type="dxa"/>
        <w:shd w:val="clear" w:color="auto" w:fill="004270"/>
        <w:tblLook w:val="04A0" w:firstRow="1" w:lastRow="0" w:firstColumn="1" w:lastColumn="0" w:noHBand="0" w:noVBand="1"/>
      </w:tblPr>
      <w:tblGrid>
        <w:gridCol w:w="8521"/>
      </w:tblGrid>
      <w:tr w:rsidR="00766960" w:rsidRPr="00766960" w14:paraId="2A0BC029" w14:textId="77777777" w:rsidTr="00766960">
        <w:trPr>
          <w:trHeight w:val="3018"/>
        </w:trPr>
        <w:tc>
          <w:tcPr>
            <w:tcW w:w="8521" w:type="dxa"/>
            <w:shd w:val="clear" w:color="auto" w:fill="004270"/>
          </w:tcPr>
          <w:p w14:paraId="352BA152" w14:textId="77777777" w:rsidR="00766960" w:rsidRPr="00766960" w:rsidRDefault="00766960" w:rsidP="00766960">
            <w:pPr>
              <w:pStyle w:val="Heading4"/>
              <w:rPr>
                <w:b/>
                <w:bCs/>
                <w:i w:val="0"/>
                <w:iCs w:val="0"/>
                <w:color w:val="FFFFFF" w:themeColor="background1"/>
              </w:rPr>
            </w:pPr>
            <w:r w:rsidRPr="00766960">
              <w:rPr>
                <w:b/>
                <w:bCs/>
                <w:i w:val="0"/>
                <w:iCs w:val="0"/>
                <w:color w:val="FFFFFF" w:themeColor="background1"/>
              </w:rPr>
              <w:t>Recommendations</w:t>
            </w:r>
          </w:p>
          <w:p w14:paraId="65D8A951" w14:textId="77777777" w:rsidR="00766960" w:rsidRPr="00766960" w:rsidRDefault="00766960" w:rsidP="003A1288">
            <w:pPr>
              <w:pStyle w:val="Numberedparagraph"/>
              <w:numPr>
                <w:ilvl w:val="0"/>
                <w:numId w:val="4"/>
              </w:numPr>
              <w:spacing w:after="120"/>
              <w:rPr>
                <w:color w:val="FFFFFF" w:themeColor="background1"/>
              </w:rPr>
            </w:pPr>
            <w:r w:rsidRPr="00766960">
              <w:rPr>
                <w:color w:val="FFFFFF" w:themeColor="background1"/>
              </w:rPr>
              <w:t>The Commissioner of Police and Chief Executive should develop framework agreements and streamlined processes to facilitate transfers of children from watch houses to access services in youth detention centres under the new section 56A of the Youth Justice Act.</w:t>
            </w:r>
          </w:p>
          <w:p w14:paraId="7A7D0A94" w14:textId="3FE78B83" w:rsidR="00766960" w:rsidRPr="00766960" w:rsidRDefault="00766960" w:rsidP="003A1288">
            <w:pPr>
              <w:pStyle w:val="Numberedparagraph"/>
              <w:numPr>
                <w:ilvl w:val="0"/>
                <w:numId w:val="4"/>
              </w:numPr>
              <w:spacing w:after="120"/>
              <w:rPr>
                <w:color w:val="FFFFFF" w:themeColor="background1"/>
              </w:rPr>
            </w:pPr>
            <w:r w:rsidRPr="00766960">
              <w:rPr>
                <w:color w:val="FFFFFF" w:themeColor="background1"/>
              </w:rPr>
              <w:t>Amend draft section 56A to require collection and reporting of data on the use of new section 56A, disaggregated by watch house, number of total transfers, unique number of children transferred, age of children transferred, and length of stay in the watch house at first use of transfer.</w:t>
            </w:r>
          </w:p>
        </w:tc>
      </w:tr>
    </w:tbl>
    <w:p w14:paraId="22864DFA" w14:textId="77777777" w:rsidR="007E3667" w:rsidRDefault="007E3667" w:rsidP="007E3667">
      <w:pPr>
        <w:pStyle w:val="Numberedparagraph"/>
        <w:numPr>
          <w:ilvl w:val="0"/>
          <w:numId w:val="0"/>
        </w:numPr>
        <w:ind w:left="567"/>
      </w:pPr>
    </w:p>
    <w:p w14:paraId="0C2D60C2" w14:textId="6F72C620" w:rsidR="00BB7461" w:rsidRDefault="006E7820" w:rsidP="00BB7461">
      <w:pPr>
        <w:pStyle w:val="Heading2"/>
      </w:pPr>
      <w:bookmarkStart w:id="32" w:name="_Toc166839058"/>
      <w:r>
        <w:lastRenderedPageBreak/>
        <w:t>Endangering</w:t>
      </w:r>
      <w:r w:rsidR="008D44A1">
        <w:t xml:space="preserve"> police officer</w:t>
      </w:r>
      <w:r w:rsidR="00180F46">
        <w:t xml:space="preserve"> </w:t>
      </w:r>
      <w:r w:rsidR="00763F56">
        <w:t xml:space="preserve">or damaging an emergency vehicle </w:t>
      </w:r>
      <w:r w:rsidR="00180F46">
        <w:t>when driving</w:t>
      </w:r>
      <w:bookmarkEnd w:id="32"/>
    </w:p>
    <w:p w14:paraId="46FB092E" w14:textId="2377C2AD" w:rsidR="005703B3" w:rsidRDefault="005703B3" w:rsidP="005703B3">
      <w:pPr>
        <w:pStyle w:val="Numberedparagraph"/>
      </w:pPr>
      <w:r>
        <w:t>The Bill</w:t>
      </w:r>
      <w:r w:rsidR="00480AE2">
        <w:t xml:space="preserve"> creates</w:t>
      </w:r>
      <w:r w:rsidR="00B0156C">
        <w:t xml:space="preserve"> several</w:t>
      </w:r>
      <w:r w:rsidR="00480AE2">
        <w:t xml:space="preserve"> new driving offences </w:t>
      </w:r>
      <w:r w:rsidR="009B2816">
        <w:t>and circumstances of aggravation accompanied by</w:t>
      </w:r>
      <w:r w:rsidR="00855EDC">
        <w:t xml:space="preserve"> serious</w:t>
      </w:r>
      <w:r w:rsidR="00480AE2">
        <w:t xml:space="preserve"> penalties</w:t>
      </w:r>
      <w:r w:rsidR="006E3C06">
        <w:t xml:space="preserve"> to recognise the importance of protecting emergency workers in the course of their duties</w:t>
      </w:r>
      <w:r w:rsidR="00480AE2">
        <w:t xml:space="preserve">. </w:t>
      </w:r>
      <w:r w:rsidR="003010F7">
        <w:t>The aim of the changes is to</w:t>
      </w:r>
      <w:r w:rsidR="00F613AA">
        <w:t xml:space="preserve"> address violent </w:t>
      </w:r>
      <w:r w:rsidR="000D3B20">
        <w:t>behaviours</w:t>
      </w:r>
      <w:r w:rsidR="00F613AA">
        <w:t xml:space="preserve"> targeted at emergency workers</w:t>
      </w:r>
      <w:r w:rsidR="0015396A">
        <w:t>.</w:t>
      </w:r>
      <w:r w:rsidR="000D3B20">
        <w:rPr>
          <w:rStyle w:val="FootnoteReference"/>
        </w:rPr>
        <w:footnoteReference w:id="24"/>
      </w:r>
      <w:r w:rsidR="000D3B20">
        <w:t xml:space="preserve"> </w:t>
      </w:r>
      <w:r w:rsidR="00E05A92">
        <w:t>‘</w:t>
      </w:r>
      <w:r w:rsidR="000D3B20">
        <w:t>Emergency workers</w:t>
      </w:r>
      <w:r w:rsidR="00E05A92">
        <w:t>’</w:t>
      </w:r>
      <w:r w:rsidR="000D3B20">
        <w:t xml:space="preserve"> </w:t>
      </w:r>
      <w:r w:rsidR="001352C5">
        <w:t xml:space="preserve">is defined by the Bill to </w:t>
      </w:r>
      <w:r w:rsidR="000D3B20">
        <w:t>include police, ambulance and fire services workers.</w:t>
      </w:r>
    </w:p>
    <w:p w14:paraId="2BDA2261" w14:textId="24CB8202" w:rsidR="00515A5F" w:rsidRDefault="004D1A29" w:rsidP="007B0335">
      <w:pPr>
        <w:pStyle w:val="Numberedparagraph"/>
      </w:pPr>
      <w:r>
        <w:t>While recognising the seriousness of actions targeting emergency workers, t</w:t>
      </w:r>
      <w:r w:rsidR="00C70E3B">
        <w:t xml:space="preserve">he Commission considers that further justification should be provided in relation to the </w:t>
      </w:r>
      <w:r w:rsidR="00C0412D">
        <w:t xml:space="preserve">proposed </w:t>
      </w:r>
      <w:r w:rsidR="001352C5">
        <w:t xml:space="preserve">Criminal Code </w:t>
      </w:r>
      <w:r w:rsidR="00C70E3B">
        <w:t>offence</w:t>
      </w:r>
      <w:r w:rsidR="00763F56">
        <w:t>s</w:t>
      </w:r>
      <w:r w:rsidR="00C70E3B">
        <w:t xml:space="preserve"> of </w:t>
      </w:r>
      <w:r w:rsidR="00763F56">
        <w:t>‘Damaging emergency vehicle when operating motor vehicle’ and</w:t>
      </w:r>
      <w:r w:rsidR="00C70E3B">
        <w:t xml:space="preserve"> </w:t>
      </w:r>
      <w:r w:rsidR="00E51552">
        <w:t>‘</w:t>
      </w:r>
      <w:r w:rsidR="00C70E3B">
        <w:t>Endangering police officer when driving motor vehicle</w:t>
      </w:r>
      <w:r w:rsidR="00E51552">
        <w:t>’</w:t>
      </w:r>
      <w:r w:rsidR="00C70E3B">
        <w:t>.</w:t>
      </w:r>
      <w:r w:rsidR="00C70E3B">
        <w:rPr>
          <w:rStyle w:val="FootnoteReference"/>
        </w:rPr>
        <w:footnoteReference w:id="25"/>
      </w:r>
      <w:r w:rsidR="00784F6A">
        <w:t xml:space="preserve"> </w:t>
      </w:r>
      <w:r w:rsidR="00515A5F">
        <w:t>The offence</w:t>
      </w:r>
      <w:r w:rsidR="00601D5E">
        <w:t xml:space="preserve">s both </w:t>
      </w:r>
      <w:r w:rsidR="006F540A">
        <w:t>contain</w:t>
      </w:r>
      <w:r w:rsidR="00515A5F">
        <w:t xml:space="preserve"> a</w:t>
      </w:r>
      <w:r w:rsidR="007B0335">
        <w:t xml:space="preserve"> maximum</w:t>
      </w:r>
      <w:r w:rsidR="00515A5F">
        <w:t xml:space="preserve"> penalty of 14 years</w:t>
      </w:r>
      <w:r w:rsidR="00265ABA">
        <w:t xml:space="preserve"> imprisonment</w:t>
      </w:r>
      <w:r w:rsidR="00515A5F">
        <w:t xml:space="preserve">. </w:t>
      </w:r>
    </w:p>
    <w:p w14:paraId="36F7BBDF" w14:textId="16CC3BC7" w:rsidR="00BF7193" w:rsidRPr="00444B63" w:rsidRDefault="00444B63" w:rsidP="00444B63">
      <w:pPr>
        <w:pStyle w:val="Numberedparagraph"/>
        <w:rPr>
          <w:color w:val="auto"/>
        </w:rPr>
      </w:pPr>
      <w:r w:rsidRPr="00695D91">
        <w:rPr>
          <w:color w:val="auto"/>
          <w:shd w:val="clear" w:color="auto" w:fill="FFFFFF"/>
        </w:rPr>
        <w:t>Emergency workers have the right to safety in their workplace</w:t>
      </w:r>
      <w:r>
        <w:rPr>
          <w:color w:val="auto"/>
        </w:rPr>
        <w:t xml:space="preserve">. </w:t>
      </w:r>
      <w:r w:rsidR="00784F6A">
        <w:t xml:space="preserve">The </w:t>
      </w:r>
      <w:r w:rsidR="009B2816">
        <w:t xml:space="preserve">justification for </w:t>
      </w:r>
      <w:r w:rsidR="00601D5E">
        <w:t>these</w:t>
      </w:r>
      <w:r w:rsidR="009B2816">
        <w:t xml:space="preserve"> new offence</w:t>
      </w:r>
      <w:r w:rsidR="00975DD8">
        <w:t xml:space="preserve">s </w:t>
      </w:r>
      <w:r w:rsidR="006F540A">
        <w:t>is</w:t>
      </w:r>
      <w:r w:rsidR="00975DD8">
        <w:t xml:space="preserve"> </w:t>
      </w:r>
      <w:r w:rsidR="00F93105">
        <w:t xml:space="preserve">to </w:t>
      </w:r>
      <w:r w:rsidR="00FF09C7">
        <w:t xml:space="preserve">send a message that </w:t>
      </w:r>
      <w:r w:rsidR="001E5A49">
        <w:t>conduct like ramming an emergency vehicle</w:t>
      </w:r>
      <w:r w:rsidR="009B2816">
        <w:t xml:space="preserve"> </w:t>
      </w:r>
      <w:r w:rsidR="00893DBA">
        <w:t xml:space="preserve">is serious and has an adverse impact on </w:t>
      </w:r>
      <w:r w:rsidR="009A60DC">
        <w:t>service delivery,</w:t>
      </w:r>
      <w:r w:rsidR="006F540A">
        <w:rPr>
          <w:rStyle w:val="FootnoteReference"/>
        </w:rPr>
        <w:footnoteReference w:id="26"/>
      </w:r>
      <w:r w:rsidR="00F93105">
        <w:t xml:space="preserve"> </w:t>
      </w:r>
      <w:r w:rsidR="009A60DC">
        <w:t>and</w:t>
      </w:r>
      <w:r w:rsidR="00784F6A">
        <w:t xml:space="preserve"> ensuring </w:t>
      </w:r>
      <w:r w:rsidR="000F14F2">
        <w:t>that the ‘occupational vulnerability of police officers is adequately acknowledged at law’.</w:t>
      </w:r>
      <w:r w:rsidR="00B5257C">
        <w:rPr>
          <w:rStyle w:val="FootnoteReference"/>
        </w:rPr>
        <w:footnoteReference w:id="27"/>
      </w:r>
      <w:r w:rsidR="00D37B33">
        <w:t xml:space="preserve"> </w:t>
      </w:r>
    </w:p>
    <w:p w14:paraId="69D078F2" w14:textId="6D071D17" w:rsidR="00BF7193" w:rsidRDefault="00BF7193" w:rsidP="005703B3">
      <w:pPr>
        <w:pStyle w:val="Numberedparagraph"/>
      </w:pPr>
      <w:r>
        <w:t>Both offences</w:t>
      </w:r>
      <w:r w:rsidR="00752C7D">
        <w:t xml:space="preserve"> involve</w:t>
      </w:r>
      <w:r w:rsidR="000A0BCC">
        <w:t xml:space="preserve"> </w:t>
      </w:r>
      <w:r w:rsidR="002475FA">
        <w:t>a crime being committed where</w:t>
      </w:r>
      <w:r w:rsidR="000A0BCC">
        <w:t xml:space="preserve"> a person</w:t>
      </w:r>
      <w:r w:rsidR="00A51F13">
        <w:t>:</w:t>
      </w:r>
    </w:p>
    <w:p w14:paraId="0707D268" w14:textId="3EB336F3" w:rsidR="00A51F13" w:rsidRDefault="00A51F13" w:rsidP="003A1288">
      <w:pPr>
        <w:pStyle w:val="Bulletedlist"/>
        <w:numPr>
          <w:ilvl w:val="0"/>
          <w:numId w:val="8"/>
        </w:numPr>
        <w:ind w:left="993" w:hanging="426"/>
      </w:pPr>
      <w:r>
        <w:t>Intentionally causes damage, injury or endangerment to safety; or</w:t>
      </w:r>
    </w:p>
    <w:p w14:paraId="6943B6D8" w14:textId="6C06A7C2" w:rsidR="00A51F13" w:rsidRDefault="00A51F13" w:rsidP="003A1288">
      <w:pPr>
        <w:pStyle w:val="ListParagraph"/>
        <w:numPr>
          <w:ilvl w:val="0"/>
          <w:numId w:val="8"/>
        </w:numPr>
        <w:ind w:left="993" w:hanging="426"/>
      </w:pPr>
      <w:r>
        <w:t>Knows, or ought to reasonably know</w:t>
      </w:r>
      <w:r w:rsidR="00591F00">
        <w:t xml:space="preserve">, </w:t>
      </w:r>
      <w:r w:rsidR="00FD5D4B">
        <w:t xml:space="preserve">that their actions </w:t>
      </w:r>
      <w:r w:rsidR="00B55ECC">
        <w:t xml:space="preserve">endanger safety, </w:t>
      </w:r>
      <w:r w:rsidR="00BE1F7A">
        <w:t xml:space="preserve">cause injury </w:t>
      </w:r>
      <w:r w:rsidR="00B55ECC">
        <w:t xml:space="preserve">or </w:t>
      </w:r>
      <w:r w:rsidR="003E112B">
        <w:t xml:space="preserve">could cause </w:t>
      </w:r>
      <w:r w:rsidR="00DB42FE">
        <w:t>damage</w:t>
      </w:r>
      <w:r w:rsidR="00752C7D">
        <w:t>.</w:t>
      </w:r>
    </w:p>
    <w:p w14:paraId="52F45EB6" w14:textId="44F62AF5" w:rsidR="001A26D8" w:rsidRDefault="002475FA" w:rsidP="002475FA">
      <w:pPr>
        <w:pStyle w:val="Numberedparagraph"/>
      </w:pPr>
      <w:r>
        <w:t>The new offences require a person to know (or ought to rea</w:t>
      </w:r>
      <w:r w:rsidR="009159D4">
        <w:t>s</w:t>
      </w:r>
      <w:r>
        <w:t>onably know) that it was an emergency vehicle or an on-duty police officer</w:t>
      </w:r>
      <w:r w:rsidR="00B424C9">
        <w:t xml:space="preserve"> who was placed at risk</w:t>
      </w:r>
      <w:r>
        <w:t>.</w:t>
      </w:r>
    </w:p>
    <w:p w14:paraId="6D6C855B" w14:textId="074C625B" w:rsidR="00CD5FA6" w:rsidRDefault="003002DD" w:rsidP="005703B3">
      <w:pPr>
        <w:pStyle w:val="Numberedparagraph"/>
      </w:pPr>
      <w:r>
        <w:t xml:space="preserve">The Statement of Compatibility refers </w:t>
      </w:r>
      <w:r w:rsidR="0050655A">
        <w:t>to t</w:t>
      </w:r>
      <w:r w:rsidR="00BE1751">
        <w:t xml:space="preserve">he </w:t>
      </w:r>
      <w:r w:rsidR="00F530EC">
        <w:t xml:space="preserve">Bill promoting </w:t>
      </w:r>
      <w:r w:rsidR="00D7779F">
        <w:t xml:space="preserve">an </w:t>
      </w:r>
      <w:r w:rsidR="00F530EC">
        <w:t>officer’s right to life, privacy</w:t>
      </w:r>
      <w:r w:rsidR="00D7779F">
        <w:t>,</w:t>
      </w:r>
      <w:r w:rsidR="00F530EC">
        <w:t xml:space="preserve"> and liberty and security of the person</w:t>
      </w:r>
      <w:r w:rsidR="008E2BE0">
        <w:t xml:space="preserve"> in situations where officers face deliberate harm or attempts to harm them. </w:t>
      </w:r>
      <w:r w:rsidR="003A169E">
        <w:t xml:space="preserve">The examples provided in the Statement of </w:t>
      </w:r>
      <w:r w:rsidR="00D7779F">
        <w:t>C</w:t>
      </w:r>
      <w:r w:rsidR="003A169E">
        <w:t xml:space="preserve">ompatibility are </w:t>
      </w:r>
      <w:r w:rsidR="00E450E2">
        <w:t xml:space="preserve">focussed on </w:t>
      </w:r>
      <w:r w:rsidR="003A169E">
        <w:t xml:space="preserve">situations where </w:t>
      </w:r>
      <w:r w:rsidR="00E91866">
        <w:t xml:space="preserve">a person deliberately or intentionally </w:t>
      </w:r>
      <w:r w:rsidR="00E450E2">
        <w:t>takes an action</w:t>
      </w:r>
      <w:r w:rsidR="00E91866">
        <w:t xml:space="preserve"> </w:t>
      </w:r>
      <w:r w:rsidR="008D5EC0">
        <w:t>such as</w:t>
      </w:r>
      <w:r w:rsidR="00E91866">
        <w:t xml:space="preserve"> swerving towards a person on foot or </w:t>
      </w:r>
      <w:r w:rsidR="00E450E2">
        <w:t>deliberately driving into a police officer.</w:t>
      </w:r>
      <w:r w:rsidR="0076698C" w:rsidRPr="0076698C">
        <w:rPr>
          <w:rStyle w:val="FootnoteReference"/>
        </w:rPr>
        <w:t xml:space="preserve"> </w:t>
      </w:r>
      <w:r w:rsidR="0076698C">
        <w:rPr>
          <w:rStyle w:val="FootnoteReference"/>
        </w:rPr>
        <w:footnoteReference w:id="28"/>
      </w:r>
      <w:r w:rsidR="008D5EC0">
        <w:t xml:space="preserve"> </w:t>
      </w:r>
    </w:p>
    <w:p w14:paraId="19F340CE" w14:textId="593F5906" w:rsidR="00524590" w:rsidRDefault="00524590" w:rsidP="005703B3">
      <w:pPr>
        <w:pStyle w:val="Numberedparagraph"/>
      </w:pPr>
      <w:r>
        <w:lastRenderedPageBreak/>
        <w:t>However, the Commission considers that inadequate justification has been provided</w:t>
      </w:r>
      <w:r w:rsidR="0076698C">
        <w:t xml:space="preserve"> </w:t>
      </w:r>
      <w:r w:rsidR="00CD5FA6">
        <w:t xml:space="preserve">as </w:t>
      </w:r>
      <w:r w:rsidR="00342F9F">
        <w:t xml:space="preserve">to </w:t>
      </w:r>
      <w:r w:rsidR="00CD5FA6">
        <w:t>why to</w:t>
      </w:r>
      <w:r w:rsidR="0076698C">
        <w:t xml:space="preserve"> the provision</w:t>
      </w:r>
      <w:r w:rsidR="000E425E">
        <w:t>s</w:t>
      </w:r>
      <w:r w:rsidR="0076698C">
        <w:t xml:space="preserve"> </w:t>
      </w:r>
      <w:r w:rsidR="00CD5FA6">
        <w:t xml:space="preserve">extend to </w:t>
      </w:r>
      <w:r w:rsidR="0076698C">
        <w:t xml:space="preserve">situations where a person has </w:t>
      </w:r>
      <w:r w:rsidR="0076698C" w:rsidRPr="00802F40">
        <w:rPr>
          <w:i/>
        </w:rPr>
        <w:t>unintentionally</w:t>
      </w:r>
      <w:r w:rsidR="0076698C">
        <w:t xml:space="preserve"> placed an officer in danger</w:t>
      </w:r>
      <w:r w:rsidR="005A71E8">
        <w:t xml:space="preserve"> </w:t>
      </w:r>
      <w:r w:rsidR="00D1629B">
        <w:t>or caused damage.</w:t>
      </w:r>
    </w:p>
    <w:p w14:paraId="6B34ECC8" w14:textId="3CD78793" w:rsidR="00941F38" w:rsidRDefault="006954B3" w:rsidP="00941F38">
      <w:pPr>
        <w:pStyle w:val="Numberedparagraph"/>
      </w:pPr>
      <w:r>
        <w:t>Section 328D</w:t>
      </w:r>
      <w:r w:rsidR="00941F38">
        <w:t xml:space="preserve"> capture</w:t>
      </w:r>
      <w:r>
        <w:t>s</w:t>
      </w:r>
      <w:r w:rsidR="00941F38">
        <w:t xml:space="preserve"> </w:t>
      </w:r>
      <w:r w:rsidR="0062772C">
        <w:t xml:space="preserve">situations </w:t>
      </w:r>
      <w:r w:rsidR="00672F5E">
        <w:t>where</w:t>
      </w:r>
      <w:r w:rsidR="0062772C">
        <w:t xml:space="preserve"> individuals</w:t>
      </w:r>
      <w:r w:rsidR="00941F38">
        <w:t xml:space="preserve"> </w:t>
      </w:r>
      <w:r w:rsidR="00083E81">
        <w:t>drive</w:t>
      </w:r>
      <w:r w:rsidR="00941F38">
        <w:t xml:space="preserve"> dangerously or recklessly in the general vicinity of police officers. </w:t>
      </w:r>
      <w:r w:rsidR="0062772C">
        <w:t xml:space="preserve">This could draw in accidental but reckless behaviours </w:t>
      </w:r>
      <w:r w:rsidR="00FB4565">
        <w:t>that are otherwise less serious offences but are made serious criminal offences when occurring</w:t>
      </w:r>
      <w:r w:rsidR="0062772C">
        <w:t xml:space="preserve"> near a police officer. </w:t>
      </w:r>
      <w:r w:rsidR="00DB045D">
        <w:t>Section 328D does not require there to have been any damage or injury.</w:t>
      </w:r>
    </w:p>
    <w:p w14:paraId="5EA33DF6" w14:textId="53E9B5D8" w:rsidR="00CA09E6" w:rsidRDefault="00CA09E6" w:rsidP="00941F38">
      <w:pPr>
        <w:pStyle w:val="Numberedparagraph"/>
      </w:pPr>
      <w:r>
        <w:t xml:space="preserve">There are already existing offences that would appear to cover </w:t>
      </w:r>
      <w:r w:rsidR="00156BAD">
        <w:t>the</w:t>
      </w:r>
      <w:r>
        <w:t xml:space="preserve"> conduct</w:t>
      </w:r>
      <w:r w:rsidR="00156BAD">
        <w:t xml:space="preserve"> </w:t>
      </w:r>
      <w:r w:rsidR="006739FA">
        <w:t>prohibited by section 328C and section 328D</w:t>
      </w:r>
      <w:r>
        <w:t>:</w:t>
      </w:r>
    </w:p>
    <w:p w14:paraId="2F4BE5EA" w14:textId="53F57EF9" w:rsidR="00FF0085" w:rsidRDefault="007B3797" w:rsidP="003A1288">
      <w:pPr>
        <w:pStyle w:val="Bulletedlist"/>
        <w:numPr>
          <w:ilvl w:val="0"/>
          <w:numId w:val="7"/>
        </w:numPr>
      </w:pPr>
      <w:r w:rsidRPr="000E4D84">
        <w:t>Dangerous operation of a vehicle</w:t>
      </w:r>
      <w:r w:rsidR="007A4E3D">
        <w:rPr>
          <w:rStyle w:val="FootnoteReference"/>
        </w:rPr>
        <w:footnoteReference w:id="29"/>
      </w:r>
    </w:p>
    <w:p w14:paraId="70A333FB" w14:textId="602A75CB" w:rsidR="00BD3D3D" w:rsidRDefault="00A24CD1" w:rsidP="003A1288">
      <w:pPr>
        <w:pStyle w:val="Bulletedlist"/>
        <w:numPr>
          <w:ilvl w:val="0"/>
          <w:numId w:val="7"/>
        </w:numPr>
      </w:pPr>
      <w:r w:rsidRPr="000E4D84">
        <w:t>Careless driving</w:t>
      </w:r>
      <w:r w:rsidR="0003648E">
        <w:t xml:space="preserve"> of motor vehicles</w:t>
      </w:r>
      <w:r w:rsidR="00B24573">
        <w:rPr>
          <w:rStyle w:val="FootnoteReference"/>
        </w:rPr>
        <w:footnoteReference w:id="30"/>
      </w:r>
      <w:r w:rsidR="00BD3D3D">
        <w:t xml:space="preserve"> </w:t>
      </w:r>
    </w:p>
    <w:p w14:paraId="0408D630" w14:textId="2A6DF8BF" w:rsidR="006168CF" w:rsidRDefault="006168CF" w:rsidP="003A1288">
      <w:pPr>
        <w:pStyle w:val="Bulletedlist"/>
        <w:numPr>
          <w:ilvl w:val="0"/>
          <w:numId w:val="7"/>
        </w:numPr>
      </w:pPr>
      <w:r>
        <w:t>Wilful damage</w:t>
      </w:r>
      <w:r w:rsidR="00794A07">
        <w:rPr>
          <w:rStyle w:val="FootnoteReference"/>
        </w:rPr>
        <w:footnoteReference w:id="31"/>
      </w:r>
    </w:p>
    <w:p w14:paraId="6F2F4324" w14:textId="4F365AB5" w:rsidR="003F72AF" w:rsidRPr="00695D91" w:rsidRDefault="005022C7" w:rsidP="00A30BBE">
      <w:pPr>
        <w:pStyle w:val="Numberedparagraph"/>
        <w:rPr>
          <w:color w:val="auto"/>
        </w:rPr>
      </w:pPr>
      <w:r w:rsidRPr="00695D91">
        <w:rPr>
          <w:color w:val="auto"/>
        </w:rPr>
        <w:t xml:space="preserve">In cases where dangerous driving has caused grievous bodily harm or death, a person </w:t>
      </w:r>
      <w:r w:rsidR="00FF0085" w:rsidRPr="00695D91">
        <w:rPr>
          <w:color w:val="auto"/>
        </w:rPr>
        <w:t>may</w:t>
      </w:r>
      <w:r w:rsidRPr="00695D91">
        <w:rPr>
          <w:color w:val="auto"/>
        </w:rPr>
        <w:t xml:space="preserve"> be charged with </w:t>
      </w:r>
      <w:r w:rsidRPr="00695D91">
        <w:rPr>
          <w:color w:val="auto"/>
          <w:shd w:val="clear" w:color="auto" w:fill="FFFFFF"/>
        </w:rPr>
        <w:t>dangerous operation of a motor vehicle causing death (Criminal Code section 328A(4)</w:t>
      </w:r>
      <w:r w:rsidR="00A20461" w:rsidRPr="00695D91">
        <w:rPr>
          <w:color w:val="auto"/>
          <w:shd w:val="clear" w:color="auto" w:fill="FFFFFF"/>
        </w:rPr>
        <w:t xml:space="preserve"> – current </w:t>
      </w:r>
      <w:r w:rsidR="00824865" w:rsidRPr="00695D91">
        <w:rPr>
          <w:color w:val="auto"/>
          <w:shd w:val="clear" w:color="auto" w:fill="FFFFFF"/>
        </w:rPr>
        <w:t xml:space="preserve">maximum penalty </w:t>
      </w:r>
      <w:r w:rsidR="0026569D">
        <w:rPr>
          <w:color w:val="auto"/>
          <w:shd w:val="clear" w:color="auto" w:fill="FFFFFF"/>
        </w:rPr>
        <w:t xml:space="preserve">is </w:t>
      </w:r>
      <w:r w:rsidR="00824865" w:rsidRPr="00695D91">
        <w:rPr>
          <w:color w:val="auto"/>
          <w:shd w:val="clear" w:color="auto" w:fill="FFFFFF"/>
        </w:rPr>
        <w:t xml:space="preserve">10 </w:t>
      </w:r>
      <w:r w:rsidR="00FA5648">
        <w:rPr>
          <w:color w:val="auto"/>
          <w:shd w:val="clear" w:color="auto" w:fill="FFFFFF"/>
        </w:rPr>
        <w:t>to</w:t>
      </w:r>
      <w:r w:rsidR="00824865" w:rsidRPr="00695D91">
        <w:rPr>
          <w:color w:val="auto"/>
          <w:shd w:val="clear" w:color="auto" w:fill="FFFFFF"/>
        </w:rPr>
        <w:t xml:space="preserve"> 14 years</w:t>
      </w:r>
      <w:r w:rsidR="006A4163">
        <w:rPr>
          <w:color w:val="auto"/>
          <w:shd w:val="clear" w:color="auto" w:fill="FFFFFF"/>
        </w:rPr>
        <w:t xml:space="preserve"> im</w:t>
      </w:r>
      <w:r w:rsidR="0026569D">
        <w:rPr>
          <w:color w:val="auto"/>
          <w:shd w:val="clear" w:color="auto" w:fill="FFFFFF"/>
        </w:rPr>
        <w:t>prisonment</w:t>
      </w:r>
      <w:r w:rsidRPr="00695D91">
        <w:rPr>
          <w:color w:val="auto"/>
          <w:shd w:val="clear" w:color="auto" w:fill="FFFFFF"/>
        </w:rPr>
        <w:t>)</w:t>
      </w:r>
      <w:r w:rsidR="005507E5">
        <w:rPr>
          <w:color w:val="auto"/>
          <w:shd w:val="clear" w:color="auto" w:fill="FFFFFF"/>
        </w:rPr>
        <w:t>,</w:t>
      </w:r>
      <w:r w:rsidR="003C6F0A" w:rsidRPr="00695D91">
        <w:rPr>
          <w:rStyle w:val="FootnoteReference"/>
          <w:color w:val="auto"/>
          <w:shd w:val="clear" w:color="auto" w:fill="FFFFFF"/>
        </w:rPr>
        <w:footnoteReference w:id="32"/>
      </w:r>
      <w:r w:rsidRPr="00695D91">
        <w:rPr>
          <w:color w:val="auto"/>
        </w:rPr>
        <w:t xml:space="preserve"> </w:t>
      </w:r>
      <w:r w:rsidR="005507E5">
        <w:rPr>
          <w:color w:val="auto"/>
        </w:rPr>
        <w:t xml:space="preserve">or careless driving causing </w:t>
      </w:r>
      <w:r w:rsidR="00325927">
        <w:rPr>
          <w:color w:val="auto"/>
        </w:rPr>
        <w:t>grievous bodily harm or death</w:t>
      </w:r>
      <w:r w:rsidR="00837005">
        <w:rPr>
          <w:color w:val="auto"/>
        </w:rPr>
        <w:t>.</w:t>
      </w:r>
      <w:r w:rsidR="00837005">
        <w:rPr>
          <w:rStyle w:val="FootnoteReference"/>
          <w:color w:val="auto"/>
        </w:rPr>
        <w:footnoteReference w:id="33"/>
      </w:r>
      <w:r w:rsidR="00837005">
        <w:rPr>
          <w:color w:val="auto"/>
        </w:rPr>
        <w:t xml:space="preserve"> </w:t>
      </w:r>
      <w:r w:rsidRPr="00695D91">
        <w:rPr>
          <w:color w:val="auto"/>
          <w:shd w:val="clear" w:color="auto" w:fill="FFFFFF"/>
        </w:rPr>
        <w:t>A person could also be charged with</w:t>
      </w:r>
      <w:r w:rsidR="009D6EEC" w:rsidRPr="00695D91">
        <w:rPr>
          <w:color w:val="auto"/>
          <w:shd w:val="clear" w:color="auto" w:fill="FFFFFF"/>
        </w:rPr>
        <w:t xml:space="preserve"> manslaughter</w:t>
      </w:r>
      <w:r w:rsidR="00B43506" w:rsidRPr="00695D91">
        <w:rPr>
          <w:color w:val="auto"/>
          <w:shd w:val="clear" w:color="auto" w:fill="FFFFFF"/>
        </w:rPr>
        <w:t xml:space="preserve"> </w:t>
      </w:r>
      <w:r w:rsidR="006A4256" w:rsidRPr="00695D91">
        <w:rPr>
          <w:color w:val="auto"/>
          <w:shd w:val="clear" w:color="auto" w:fill="FFFFFF"/>
        </w:rPr>
        <w:t>or murder</w:t>
      </w:r>
      <w:r w:rsidRPr="00695D91">
        <w:rPr>
          <w:color w:val="auto"/>
          <w:shd w:val="clear" w:color="auto" w:fill="FFFFFF"/>
        </w:rPr>
        <w:t xml:space="preserve"> where dangerous driving has </w:t>
      </w:r>
      <w:r w:rsidR="000E4D84" w:rsidRPr="00695D91">
        <w:rPr>
          <w:color w:val="auto"/>
          <w:shd w:val="clear" w:color="auto" w:fill="FFFFFF"/>
        </w:rPr>
        <w:t xml:space="preserve">caused the death of another </w:t>
      </w:r>
      <w:r w:rsidR="006E1883" w:rsidRPr="00695D91">
        <w:rPr>
          <w:color w:val="auto"/>
          <w:shd w:val="clear" w:color="auto" w:fill="FFFFFF"/>
        </w:rPr>
        <w:t xml:space="preserve">person </w:t>
      </w:r>
      <w:r w:rsidR="00B43506" w:rsidRPr="00695D91">
        <w:rPr>
          <w:color w:val="auto"/>
          <w:shd w:val="clear" w:color="auto" w:fill="FFFFFF"/>
        </w:rPr>
        <w:t>(Criminal Code s</w:t>
      </w:r>
      <w:r w:rsidR="00754E5F" w:rsidRPr="00695D91">
        <w:rPr>
          <w:color w:val="auto"/>
          <w:shd w:val="clear" w:color="auto" w:fill="FFFFFF"/>
        </w:rPr>
        <w:t>ec</w:t>
      </w:r>
      <w:r w:rsidR="00E02F4A" w:rsidRPr="00695D91">
        <w:rPr>
          <w:color w:val="auto"/>
          <w:shd w:val="clear" w:color="auto" w:fill="FFFFFF"/>
        </w:rPr>
        <w:t>tion</w:t>
      </w:r>
      <w:r w:rsidR="00FA5648">
        <w:rPr>
          <w:color w:val="auto"/>
          <w:shd w:val="clear" w:color="auto" w:fill="FFFFFF"/>
        </w:rPr>
        <w:t>s</w:t>
      </w:r>
      <w:r w:rsidR="00E02F4A" w:rsidRPr="00695D91">
        <w:rPr>
          <w:color w:val="auto"/>
          <w:shd w:val="clear" w:color="auto" w:fill="FFFFFF"/>
        </w:rPr>
        <w:t xml:space="preserve"> </w:t>
      </w:r>
      <w:r w:rsidR="00B43506" w:rsidRPr="00695D91">
        <w:rPr>
          <w:color w:val="auto"/>
          <w:shd w:val="clear" w:color="auto" w:fill="FFFFFF"/>
        </w:rPr>
        <w:t>300, 302, 303)</w:t>
      </w:r>
      <w:r w:rsidR="00F25520" w:rsidRPr="00695D91">
        <w:rPr>
          <w:color w:val="auto"/>
          <w:shd w:val="clear" w:color="auto" w:fill="FFFFFF"/>
        </w:rPr>
        <w:t xml:space="preserve"> depending on the circumstances</w:t>
      </w:r>
      <w:r w:rsidR="000E4D84" w:rsidRPr="00695D91">
        <w:rPr>
          <w:color w:val="auto"/>
          <w:shd w:val="clear" w:color="auto" w:fill="FFFFFF"/>
        </w:rPr>
        <w:t>.</w:t>
      </w:r>
    </w:p>
    <w:p w14:paraId="5D580F1B" w14:textId="3761E6FB" w:rsidR="00C2213F" w:rsidRPr="00433FB7" w:rsidRDefault="001C150F" w:rsidP="005022C7">
      <w:pPr>
        <w:pStyle w:val="Numberedparagraph"/>
        <w:rPr>
          <w:color w:val="auto"/>
        </w:rPr>
      </w:pPr>
      <w:r w:rsidRPr="00695D91">
        <w:rPr>
          <w:color w:val="auto"/>
          <w:shd w:val="clear" w:color="auto" w:fill="FFFFFF"/>
        </w:rPr>
        <w:t>As these situations are already</w:t>
      </w:r>
      <w:r w:rsidR="00ED685C" w:rsidRPr="00695D91">
        <w:rPr>
          <w:color w:val="auto"/>
          <w:shd w:val="clear" w:color="auto" w:fill="FFFFFF"/>
        </w:rPr>
        <w:t xml:space="preserve"> </w:t>
      </w:r>
      <w:r w:rsidRPr="00695D91">
        <w:rPr>
          <w:color w:val="auto"/>
          <w:shd w:val="clear" w:color="auto" w:fill="FFFFFF"/>
        </w:rPr>
        <w:t>covered by</w:t>
      </w:r>
      <w:r w:rsidR="007A4E3D">
        <w:rPr>
          <w:color w:val="auto"/>
          <w:shd w:val="clear" w:color="auto" w:fill="FFFFFF"/>
        </w:rPr>
        <w:t xml:space="preserve"> </w:t>
      </w:r>
      <w:r w:rsidR="00695D91">
        <w:rPr>
          <w:color w:val="auto"/>
          <w:shd w:val="clear" w:color="auto" w:fill="FFFFFF"/>
        </w:rPr>
        <w:t xml:space="preserve">existing </w:t>
      </w:r>
      <w:r w:rsidRPr="00695D91">
        <w:rPr>
          <w:color w:val="auto"/>
          <w:shd w:val="clear" w:color="auto" w:fill="FFFFFF"/>
        </w:rPr>
        <w:t>laws, the</w:t>
      </w:r>
      <w:r w:rsidR="000E4D84" w:rsidRPr="00695D91">
        <w:rPr>
          <w:color w:val="auto"/>
          <w:shd w:val="clear" w:color="auto" w:fill="FFFFFF"/>
        </w:rPr>
        <w:t xml:space="preserve"> Commission assumes the</w:t>
      </w:r>
      <w:r w:rsidR="00FA62CA" w:rsidRPr="00695D91">
        <w:rPr>
          <w:color w:val="auto"/>
          <w:shd w:val="clear" w:color="auto" w:fill="FFFFFF"/>
        </w:rPr>
        <w:t xml:space="preserve"> purpose of the additional </w:t>
      </w:r>
      <w:r w:rsidR="00BF108C" w:rsidRPr="00695D91">
        <w:rPr>
          <w:color w:val="auto"/>
          <w:shd w:val="clear" w:color="auto" w:fill="FFFFFF"/>
        </w:rPr>
        <w:t>offence</w:t>
      </w:r>
      <w:r w:rsidR="00FA62CA" w:rsidRPr="00695D91">
        <w:rPr>
          <w:color w:val="auto"/>
          <w:shd w:val="clear" w:color="auto" w:fill="FFFFFF"/>
        </w:rPr>
        <w:t xml:space="preserve"> </w:t>
      </w:r>
      <w:r w:rsidR="001746CA">
        <w:rPr>
          <w:color w:val="auto"/>
          <w:shd w:val="clear" w:color="auto" w:fill="FFFFFF"/>
        </w:rPr>
        <w:t>in section</w:t>
      </w:r>
      <w:r w:rsidR="00BA3B80">
        <w:rPr>
          <w:color w:val="auto"/>
          <w:shd w:val="clear" w:color="auto" w:fill="FFFFFF"/>
        </w:rPr>
        <w:t>s 32</w:t>
      </w:r>
      <w:r w:rsidR="000F22E0">
        <w:rPr>
          <w:color w:val="auto"/>
          <w:shd w:val="clear" w:color="auto" w:fill="FFFFFF"/>
        </w:rPr>
        <w:t>8C and</w:t>
      </w:r>
      <w:r w:rsidR="001746CA">
        <w:rPr>
          <w:color w:val="auto"/>
          <w:shd w:val="clear" w:color="auto" w:fill="FFFFFF"/>
        </w:rPr>
        <w:t xml:space="preserve"> 328D</w:t>
      </w:r>
      <w:r w:rsidR="00FA62CA" w:rsidRPr="00695D91">
        <w:rPr>
          <w:color w:val="auto"/>
          <w:shd w:val="clear" w:color="auto" w:fill="FFFFFF"/>
        </w:rPr>
        <w:t xml:space="preserve"> is to cover situations </w:t>
      </w:r>
      <w:r w:rsidR="00FA5648">
        <w:rPr>
          <w:color w:val="auto"/>
          <w:shd w:val="clear" w:color="auto" w:fill="FFFFFF"/>
        </w:rPr>
        <w:t>that</w:t>
      </w:r>
      <w:r w:rsidR="00FA5648" w:rsidRPr="00695D91">
        <w:rPr>
          <w:color w:val="auto"/>
          <w:shd w:val="clear" w:color="auto" w:fill="FFFFFF"/>
        </w:rPr>
        <w:t xml:space="preserve"> </w:t>
      </w:r>
      <w:r w:rsidR="00BF108C" w:rsidRPr="00695D91">
        <w:rPr>
          <w:color w:val="auto"/>
          <w:shd w:val="clear" w:color="auto" w:fill="FFFFFF"/>
        </w:rPr>
        <w:t xml:space="preserve">do </w:t>
      </w:r>
      <w:r w:rsidR="00FA62CA" w:rsidRPr="00695D91">
        <w:rPr>
          <w:color w:val="auto"/>
          <w:shd w:val="clear" w:color="auto" w:fill="FFFFFF"/>
        </w:rPr>
        <w:t xml:space="preserve">not result </w:t>
      </w:r>
      <w:r w:rsidR="00095B0D">
        <w:rPr>
          <w:color w:val="auto"/>
          <w:shd w:val="clear" w:color="auto" w:fill="FFFFFF"/>
        </w:rPr>
        <w:t>in death or serious injury</w:t>
      </w:r>
      <w:r w:rsidR="000E4D84" w:rsidRPr="00695D91">
        <w:rPr>
          <w:color w:val="auto"/>
          <w:shd w:val="clear" w:color="auto" w:fill="FFFFFF"/>
        </w:rPr>
        <w:t>.</w:t>
      </w:r>
      <w:r w:rsidRPr="00695D91">
        <w:rPr>
          <w:color w:val="auto"/>
          <w:shd w:val="clear" w:color="auto" w:fill="FFFFFF"/>
        </w:rPr>
        <w:t xml:space="preserve"> If this is the case, the maximum penalty </w:t>
      </w:r>
      <w:r w:rsidR="001746CA">
        <w:rPr>
          <w:color w:val="auto"/>
          <w:shd w:val="clear" w:color="auto" w:fill="FFFFFF"/>
        </w:rPr>
        <w:t xml:space="preserve">of 14 years for these two offences </w:t>
      </w:r>
      <w:r w:rsidR="0023169E">
        <w:rPr>
          <w:color w:val="auto"/>
          <w:shd w:val="clear" w:color="auto" w:fill="FFFFFF"/>
        </w:rPr>
        <w:t>is</w:t>
      </w:r>
      <w:r w:rsidR="00BF108C" w:rsidRPr="00695D91">
        <w:rPr>
          <w:color w:val="auto"/>
          <w:shd w:val="clear" w:color="auto" w:fill="FFFFFF"/>
        </w:rPr>
        <w:t xml:space="preserve"> disproportionate</w:t>
      </w:r>
      <w:r w:rsidR="007A4E3D">
        <w:rPr>
          <w:color w:val="auto"/>
          <w:shd w:val="clear" w:color="auto" w:fill="FFFFFF"/>
        </w:rPr>
        <w:t xml:space="preserve"> when compared with other </w:t>
      </w:r>
      <w:r w:rsidR="00C7792B">
        <w:rPr>
          <w:color w:val="auto"/>
          <w:shd w:val="clear" w:color="auto" w:fill="FFFFFF"/>
        </w:rPr>
        <w:t>similar offences</w:t>
      </w:r>
      <w:r w:rsidR="007A4E3D">
        <w:rPr>
          <w:color w:val="auto"/>
          <w:shd w:val="clear" w:color="auto" w:fill="FFFFFF"/>
        </w:rPr>
        <w:t xml:space="preserve"> already prohibited in Queensland</w:t>
      </w:r>
      <w:r w:rsidR="00E6365C">
        <w:rPr>
          <w:color w:val="auto"/>
          <w:shd w:val="clear" w:color="auto" w:fill="FFFFFF"/>
        </w:rPr>
        <w:t>.</w:t>
      </w:r>
    </w:p>
    <w:p w14:paraId="723E3F32" w14:textId="77777777" w:rsidR="00566561" w:rsidRDefault="00D34FF8" w:rsidP="00501E70">
      <w:pPr>
        <w:pStyle w:val="Numberedparagraph"/>
        <w:rPr>
          <w:color w:val="auto"/>
        </w:rPr>
      </w:pPr>
      <w:r w:rsidRPr="00D34FF8">
        <w:rPr>
          <w:color w:val="auto"/>
        </w:rPr>
        <w:t xml:space="preserve">The proposed amendments in the Bill </w:t>
      </w:r>
      <w:r w:rsidR="00E50FA4">
        <w:rPr>
          <w:color w:val="auto"/>
        </w:rPr>
        <w:t>mean that the</w:t>
      </w:r>
      <w:r w:rsidR="0020438D">
        <w:rPr>
          <w:color w:val="auto"/>
        </w:rPr>
        <w:t xml:space="preserve"> same</w:t>
      </w:r>
      <w:r w:rsidRPr="00D34FF8">
        <w:rPr>
          <w:color w:val="auto"/>
        </w:rPr>
        <w:t xml:space="preserve"> maximum penalty of 14 years' imprisonment </w:t>
      </w:r>
      <w:r w:rsidR="0020438D">
        <w:rPr>
          <w:color w:val="auto"/>
        </w:rPr>
        <w:t>would apply to</w:t>
      </w:r>
      <w:r w:rsidR="00566561">
        <w:rPr>
          <w:color w:val="auto"/>
        </w:rPr>
        <w:t>:</w:t>
      </w:r>
      <w:r w:rsidR="0020438D">
        <w:rPr>
          <w:color w:val="auto"/>
        </w:rPr>
        <w:t xml:space="preserve"> </w:t>
      </w:r>
    </w:p>
    <w:p w14:paraId="224E7174" w14:textId="77777777" w:rsidR="00566561" w:rsidRDefault="00D34FF8" w:rsidP="00566561">
      <w:pPr>
        <w:pStyle w:val="Numberedparagraph"/>
        <w:numPr>
          <w:ilvl w:val="0"/>
          <w:numId w:val="11"/>
        </w:numPr>
        <w:rPr>
          <w:color w:val="auto"/>
        </w:rPr>
      </w:pPr>
      <w:r w:rsidRPr="00D34FF8">
        <w:rPr>
          <w:color w:val="auto"/>
        </w:rPr>
        <w:t>dangerous driving resulting in the death of a non-police officer</w:t>
      </w:r>
      <w:r w:rsidR="00207ACC">
        <w:rPr>
          <w:color w:val="auto"/>
        </w:rPr>
        <w:t xml:space="preserve"> (in section 328A)</w:t>
      </w:r>
    </w:p>
    <w:p w14:paraId="3B055F89" w14:textId="41AD27AB" w:rsidR="00566561" w:rsidRDefault="00D34FF8" w:rsidP="00566561">
      <w:pPr>
        <w:pStyle w:val="Numberedparagraph"/>
        <w:numPr>
          <w:ilvl w:val="0"/>
          <w:numId w:val="11"/>
        </w:numPr>
        <w:rPr>
          <w:color w:val="auto"/>
        </w:rPr>
      </w:pPr>
      <w:r w:rsidRPr="00D34FF8">
        <w:rPr>
          <w:color w:val="auto"/>
        </w:rPr>
        <w:lastRenderedPageBreak/>
        <w:t>cases of endangering a police officer</w:t>
      </w:r>
      <w:r w:rsidR="00FE4595">
        <w:rPr>
          <w:color w:val="auto"/>
        </w:rPr>
        <w:t xml:space="preserve"> under section 328</w:t>
      </w:r>
      <w:r w:rsidR="00680D18">
        <w:rPr>
          <w:color w:val="auto"/>
        </w:rPr>
        <w:t>D</w:t>
      </w:r>
      <w:r w:rsidRPr="00D34FF8">
        <w:rPr>
          <w:color w:val="auto"/>
        </w:rPr>
        <w:t xml:space="preserve">, even if </w:t>
      </w:r>
      <w:r>
        <w:rPr>
          <w:color w:val="auto"/>
        </w:rPr>
        <w:t>the</w:t>
      </w:r>
      <w:r w:rsidRPr="00D34FF8">
        <w:rPr>
          <w:color w:val="auto"/>
        </w:rPr>
        <w:t xml:space="preserve"> actions were unintentional and the officer remained unharmed</w:t>
      </w:r>
      <w:r w:rsidR="00566561">
        <w:rPr>
          <w:color w:val="auto"/>
        </w:rPr>
        <w:t xml:space="preserve">; </w:t>
      </w:r>
      <w:r w:rsidR="007B5F12">
        <w:rPr>
          <w:color w:val="auto"/>
        </w:rPr>
        <w:t>and</w:t>
      </w:r>
    </w:p>
    <w:p w14:paraId="60BDC676" w14:textId="4FBE6F87" w:rsidR="00501E70" w:rsidRPr="00501E70" w:rsidRDefault="007E2E99" w:rsidP="007D07E8">
      <w:pPr>
        <w:pStyle w:val="Numberedparagraph"/>
        <w:numPr>
          <w:ilvl w:val="0"/>
          <w:numId w:val="11"/>
        </w:numPr>
        <w:rPr>
          <w:color w:val="auto"/>
        </w:rPr>
      </w:pPr>
      <w:r>
        <w:rPr>
          <w:color w:val="auto"/>
        </w:rPr>
        <w:t xml:space="preserve">where </w:t>
      </w:r>
      <w:r w:rsidR="00907DC0">
        <w:rPr>
          <w:color w:val="auto"/>
        </w:rPr>
        <w:t xml:space="preserve">an emergency vehicle </w:t>
      </w:r>
      <w:r w:rsidR="00566561">
        <w:rPr>
          <w:color w:val="auto"/>
        </w:rPr>
        <w:t>is</w:t>
      </w:r>
      <w:r w:rsidR="00907DC0">
        <w:rPr>
          <w:color w:val="auto"/>
        </w:rPr>
        <w:t xml:space="preserve"> damaged, even if </w:t>
      </w:r>
      <w:r w:rsidR="00566561">
        <w:rPr>
          <w:color w:val="auto"/>
        </w:rPr>
        <w:t xml:space="preserve">unintentional </w:t>
      </w:r>
      <w:r w:rsidR="000C3D0C">
        <w:rPr>
          <w:color w:val="auto"/>
        </w:rPr>
        <w:t xml:space="preserve">and where </w:t>
      </w:r>
      <w:r w:rsidR="00907DC0">
        <w:rPr>
          <w:color w:val="auto"/>
        </w:rPr>
        <w:t xml:space="preserve">no emergency workers were in </w:t>
      </w:r>
      <w:r w:rsidR="0091756C">
        <w:rPr>
          <w:color w:val="auto"/>
        </w:rPr>
        <w:t>or near the vehicle</w:t>
      </w:r>
      <w:r w:rsidR="00907DC0">
        <w:rPr>
          <w:color w:val="auto"/>
        </w:rPr>
        <w:t xml:space="preserve"> at the time</w:t>
      </w:r>
      <w:r w:rsidR="00DF0A12">
        <w:rPr>
          <w:color w:val="auto"/>
        </w:rPr>
        <w:t xml:space="preserve"> (under section 328C)</w:t>
      </w:r>
      <w:r w:rsidR="00907DC0">
        <w:rPr>
          <w:color w:val="auto"/>
        </w:rPr>
        <w:t>.</w:t>
      </w:r>
      <w:r w:rsidR="000F22E0">
        <w:rPr>
          <w:color w:val="auto"/>
        </w:rPr>
        <w:t xml:space="preserve"> </w:t>
      </w:r>
    </w:p>
    <w:tbl>
      <w:tblPr>
        <w:tblStyle w:val="TableGrid"/>
        <w:tblW w:w="0" w:type="auto"/>
        <w:shd w:val="clear" w:color="auto" w:fill="004270"/>
        <w:tblLook w:val="04A0" w:firstRow="1" w:lastRow="0" w:firstColumn="1" w:lastColumn="0" w:noHBand="0" w:noVBand="1"/>
      </w:tblPr>
      <w:tblGrid>
        <w:gridCol w:w="8488"/>
      </w:tblGrid>
      <w:tr w:rsidR="000B5569" w14:paraId="3AE007CD" w14:textId="77777777" w:rsidTr="000B5569">
        <w:trPr>
          <w:trHeight w:val="2142"/>
        </w:trPr>
        <w:tc>
          <w:tcPr>
            <w:tcW w:w="8488" w:type="dxa"/>
            <w:shd w:val="clear" w:color="auto" w:fill="004270"/>
          </w:tcPr>
          <w:p w14:paraId="3F981AC4" w14:textId="77777777" w:rsidR="000B5569" w:rsidRPr="000517CB" w:rsidRDefault="000B5569" w:rsidP="000B5569">
            <w:pPr>
              <w:pStyle w:val="Heading4"/>
              <w:rPr>
                <w:b/>
                <w:bCs/>
                <w:i w:val="0"/>
                <w:iCs w:val="0"/>
                <w:color w:val="FFFFFF" w:themeColor="background1"/>
              </w:rPr>
            </w:pPr>
            <w:r w:rsidRPr="000517CB">
              <w:rPr>
                <w:b/>
                <w:bCs/>
                <w:i w:val="0"/>
                <w:iCs w:val="0"/>
                <w:color w:val="FFFFFF" w:themeColor="background1"/>
              </w:rPr>
              <w:t>Recommendation</w:t>
            </w:r>
          </w:p>
          <w:p w14:paraId="1F9BB7DF" w14:textId="77777777" w:rsidR="000B5569" w:rsidRPr="00DC48A6" w:rsidRDefault="000B5569" w:rsidP="003A1288">
            <w:pPr>
              <w:pStyle w:val="Numberedparagraph"/>
              <w:numPr>
                <w:ilvl w:val="0"/>
                <w:numId w:val="4"/>
              </w:numPr>
              <w:spacing w:after="120"/>
              <w:rPr>
                <w:color w:val="auto"/>
              </w:rPr>
            </w:pPr>
            <w:r w:rsidRPr="000517CB">
              <w:rPr>
                <w:color w:val="FFFFFF" w:themeColor="background1"/>
              </w:rPr>
              <w:t>Confine the new offence in Criminal Code section 328D to situations where a person has deliberately harmed or attempted to harm a police officer (section 328D(1)(i)). If reckless endangerment is maintained (section 328D(1)(ii)), it should have a lower maximum penalty more commensurate with other like offences.</w:t>
            </w:r>
          </w:p>
          <w:p w14:paraId="3847F072" w14:textId="31825E12" w:rsidR="000B5569" w:rsidRPr="000B5569" w:rsidRDefault="008B58BE" w:rsidP="003A1288">
            <w:pPr>
              <w:pStyle w:val="Numberedparagraph"/>
              <w:numPr>
                <w:ilvl w:val="0"/>
                <w:numId w:val="4"/>
              </w:numPr>
              <w:spacing w:after="120"/>
              <w:rPr>
                <w:color w:val="auto"/>
              </w:rPr>
            </w:pPr>
            <w:r>
              <w:rPr>
                <w:color w:val="auto"/>
              </w:rPr>
              <w:t xml:space="preserve">Reduce the maximum penalty </w:t>
            </w:r>
            <w:r w:rsidR="008F1F72">
              <w:rPr>
                <w:color w:val="auto"/>
              </w:rPr>
              <w:t xml:space="preserve">in section 328C </w:t>
            </w:r>
            <w:r>
              <w:rPr>
                <w:color w:val="auto"/>
              </w:rPr>
              <w:t xml:space="preserve">of 14 years </w:t>
            </w:r>
            <w:r w:rsidR="00F81C62">
              <w:rPr>
                <w:color w:val="auto"/>
              </w:rPr>
              <w:t xml:space="preserve">to </w:t>
            </w:r>
            <w:r w:rsidR="00F81C62" w:rsidRPr="000517CB">
              <w:rPr>
                <w:color w:val="FFFFFF" w:themeColor="background1"/>
              </w:rPr>
              <w:t>have a lower maximum penalty more commensurate with other like offences.</w:t>
            </w:r>
          </w:p>
        </w:tc>
      </w:tr>
    </w:tbl>
    <w:p w14:paraId="0B66413D" w14:textId="77777777" w:rsidR="000B5569" w:rsidRDefault="000B5569" w:rsidP="000B5569">
      <w:pPr>
        <w:pStyle w:val="Numberedparagraph"/>
        <w:numPr>
          <w:ilvl w:val="0"/>
          <w:numId w:val="0"/>
        </w:numPr>
        <w:rPr>
          <w:color w:val="auto"/>
        </w:rPr>
      </w:pPr>
    </w:p>
    <w:p w14:paraId="3D86F43E" w14:textId="77777777" w:rsidR="00A15663" w:rsidRDefault="00A15663" w:rsidP="00A15663">
      <w:pPr>
        <w:pStyle w:val="Heading2"/>
      </w:pPr>
      <w:bookmarkStart w:id="34" w:name="_Toc166839059"/>
      <w:r>
        <w:t>Transfers of 18-year-olds to adult prisons</w:t>
      </w:r>
      <w:bookmarkEnd w:id="34"/>
    </w:p>
    <w:p w14:paraId="50ED9B3E" w14:textId="6D10901E" w:rsidR="00927E5A" w:rsidRDefault="00927E5A" w:rsidP="00AA14FF">
      <w:pPr>
        <w:pStyle w:val="Numberedparagraph"/>
      </w:pPr>
      <w:r>
        <w:t xml:space="preserve">The Bill sets out a new process for </w:t>
      </w:r>
      <w:r w:rsidR="008C1622">
        <w:t xml:space="preserve">decision-making </w:t>
      </w:r>
      <w:r w:rsidR="007A46DF">
        <w:t>on the</w:t>
      </w:r>
      <w:r w:rsidR="008C1622">
        <w:t xml:space="preserve"> transfer of </w:t>
      </w:r>
      <w:r w:rsidR="007A46DF">
        <w:t>young people</w:t>
      </w:r>
      <w:r w:rsidR="008C1622">
        <w:t xml:space="preserve"> to adult prisons after they</w:t>
      </w:r>
      <w:r w:rsidR="00AA14FF" w:rsidRPr="00A54F13">
        <w:t xml:space="preserve"> turn 18</w:t>
      </w:r>
      <w:r w:rsidR="008C1622">
        <w:t>.</w:t>
      </w:r>
      <w:r w:rsidR="007D62B5">
        <w:rPr>
          <w:rStyle w:val="FootnoteReference"/>
        </w:rPr>
        <w:footnoteReference w:id="34"/>
      </w:r>
      <w:r w:rsidR="007A46DF">
        <w:t xml:space="preserve"> </w:t>
      </w:r>
      <w:r w:rsidR="00DD7522">
        <w:t>While the Commission does not support</w:t>
      </w:r>
      <w:r w:rsidR="007A46DF">
        <w:t xml:space="preserve"> </w:t>
      </w:r>
      <w:r w:rsidR="005F0255">
        <w:t>a</w:t>
      </w:r>
      <w:r w:rsidR="00393FF6">
        <w:t>n automatic</w:t>
      </w:r>
      <w:r w:rsidR="005F0255">
        <w:t xml:space="preserve"> presumption of prompt transfer</w:t>
      </w:r>
      <w:r w:rsidR="00990370">
        <w:t xml:space="preserve"> for the reasons discussed below</w:t>
      </w:r>
      <w:r w:rsidR="005F0255">
        <w:t xml:space="preserve">, the </w:t>
      </w:r>
      <w:r w:rsidR="007A46DF">
        <w:t>Commission</w:t>
      </w:r>
      <w:r w:rsidR="00DB6F99">
        <w:t xml:space="preserve"> welcomes </w:t>
      </w:r>
      <w:r w:rsidR="00ED7BAD">
        <w:t xml:space="preserve">that the process </w:t>
      </w:r>
      <w:r w:rsidR="00296ACD">
        <w:t xml:space="preserve">at least </w:t>
      </w:r>
      <w:r w:rsidR="00ED7BAD">
        <w:t>requires consideration of each young person’s circumstances</w:t>
      </w:r>
      <w:r w:rsidR="00B51E3B">
        <w:t xml:space="preserve"> by the chief executive</w:t>
      </w:r>
      <w:r w:rsidR="006A00A8">
        <w:t xml:space="preserve">, </w:t>
      </w:r>
      <w:r w:rsidR="009C4E09">
        <w:t>and allows for a delay in transfer</w:t>
      </w:r>
      <w:r w:rsidR="007C2F06">
        <w:t xml:space="preserve"> up to the age of 18 years and six months where </w:t>
      </w:r>
      <w:r w:rsidR="00F63D53">
        <w:t xml:space="preserve">special </w:t>
      </w:r>
      <w:r w:rsidR="003C7A49">
        <w:t xml:space="preserve">circumstances </w:t>
      </w:r>
      <w:r w:rsidR="0021609E">
        <w:t xml:space="preserve">justify </w:t>
      </w:r>
      <w:r w:rsidR="00C239AF">
        <w:t xml:space="preserve">the </w:t>
      </w:r>
      <w:r w:rsidR="00555602">
        <w:t xml:space="preserve">person’s </w:t>
      </w:r>
      <w:r w:rsidR="00C239AF">
        <w:t xml:space="preserve">continued </w:t>
      </w:r>
      <w:r w:rsidR="008D7087">
        <w:t>detention in the youth detention centre</w:t>
      </w:r>
      <w:r w:rsidR="007C2F06">
        <w:t>.</w:t>
      </w:r>
      <w:r w:rsidR="00F63D53">
        <w:rPr>
          <w:rStyle w:val="FootnoteReference"/>
        </w:rPr>
        <w:footnoteReference w:id="35"/>
      </w:r>
    </w:p>
    <w:p w14:paraId="1A8E51A8" w14:textId="10EAEBCB" w:rsidR="00CC318B" w:rsidRDefault="00CC318B" w:rsidP="00CC318B">
      <w:pPr>
        <w:pStyle w:val="Numberedparagraph"/>
      </w:pPr>
      <w:r>
        <w:t xml:space="preserve">The Commission also welcomes the safeguards that have been </w:t>
      </w:r>
      <w:r w:rsidR="00B108BE">
        <w:t>retained</w:t>
      </w:r>
      <w:r>
        <w:t xml:space="preserve"> in the Bill </w:t>
      </w:r>
      <w:r w:rsidR="00B108BE">
        <w:t>concerning</w:t>
      </w:r>
      <w:r>
        <w:t xml:space="preserve"> notices of decision, arranging consultation with a lawyer, providing for review</w:t>
      </w:r>
      <w:r w:rsidR="0084589A">
        <w:t xml:space="preserve"> and reasons by the chief executive</w:t>
      </w:r>
      <w:r>
        <w:t xml:space="preserve">, </w:t>
      </w:r>
      <w:r w:rsidR="00B108BE">
        <w:t>review of the chief executive’s decision</w:t>
      </w:r>
      <w:r>
        <w:t xml:space="preserve"> by the Childrens Court, and automatic stay of transfer</w:t>
      </w:r>
      <w:r w:rsidR="00AA14FF" w:rsidRPr="00A54F13">
        <w:t xml:space="preserve"> while </w:t>
      </w:r>
      <w:r>
        <w:t>review processes are ongoing.</w:t>
      </w:r>
    </w:p>
    <w:p w14:paraId="655947D5" w14:textId="503CA9B7" w:rsidR="00AA14FF" w:rsidRPr="00A54F13" w:rsidRDefault="00CC318B" w:rsidP="00AA14FF">
      <w:pPr>
        <w:pStyle w:val="Numberedparagraph"/>
      </w:pPr>
      <w:r>
        <w:t xml:space="preserve">These aspects of the Bill </w:t>
      </w:r>
      <w:r w:rsidR="003C6875">
        <w:t xml:space="preserve">are </w:t>
      </w:r>
      <w:r w:rsidR="00B4550B">
        <w:t xml:space="preserve">crucial to </w:t>
      </w:r>
      <w:r w:rsidR="000711CF">
        <w:t>ensure that</w:t>
      </w:r>
      <w:r w:rsidR="00663DF4">
        <w:t xml:space="preserve"> transfer of young people from </w:t>
      </w:r>
      <w:r w:rsidR="00AA14FF" w:rsidRPr="00A54F13">
        <w:t xml:space="preserve">youth detention </w:t>
      </w:r>
      <w:r w:rsidR="00663DF4">
        <w:t xml:space="preserve">centres to adult prisons </w:t>
      </w:r>
      <w:r w:rsidR="00DA58A1">
        <w:t xml:space="preserve">is </w:t>
      </w:r>
      <w:r w:rsidR="00663DF4">
        <w:t xml:space="preserve">not automatic </w:t>
      </w:r>
      <w:r w:rsidR="00E1674D">
        <w:t xml:space="preserve">once </w:t>
      </w:r>
      <w:r w:rsidR="001965B2">
        <w:t>a</w:t>
      </w:r>
      <w:r w:rsidR="00E1674D">
        <w:t xml:space="preserve"> young pe</w:t>
      </w:r>
      <w:r w:rsidR="001965B2">
        <w:t>rson</w:t>
      </w:r>
      <w:r w:rsidR="00E1674D">
        <w:t xml:space="preserve"> turn</w:t>
      </w:r>
      <w:r w:rsidR="00900896">
        <w:t>s</w:t>
      </w:r>
      <w:r w:rsidR="00E1674D">
        <w:t xml:space="preserve"> 18</w:t>
      </w:r>
      <w:r w:rsidR="00C72339">
        <w:t>.</w:t>
      </w:r>
      <w:r w:rsidR="00E1674D">
        <w:t xml:space="preserve"> </w:t>
      </w:r>
      <w:r w:rsidR="00C72339">
        <w:t>In</w:t>
      </w:r>
      <w:r w:rsidR="00AA14FF" w:rsidRPr="00A54F13">
        <w:t xml:space="preserve"> its </w:t>
      </w:r>
      <w:r w:rsidR="00AA14FF" w:rsidRPr="00BB1B11">
        <w:rPr>
          <w:i/>
          <w:iCs/>
        </w:rPr>
        <w:t>General Comment No 24 on Children’s Rights in the Child Justice System</w:t>
      </w:r>
      <w:r w:rsidR="00C72339">
        <w:rPr>
          <w:color w:val="000000"/>
        </w:rPr>
        <w:t>,</w:t>
      </w:r>
      <w:r w:rsidR="00AA14FF" w:rsidRPr="00A54F13">
        <w:t xml:space="preserve"> </w:t>
      </w:r>
      <w:r w:rsidR="00C72339">
        <w:t>the United Nations Committee on the Rights of the Child</w:t>
      </w:r>
      <w:r w:rsidR="00AA14FF" w:rsidRPr="00A54F13">
        <w:t xml:space="preserve"> stated that the principle that adults and children should be detained in separate facilities:</w:t>
      </w:r>
    </w:p>
    <w:p w14:paraId="2D259DA2" w14:textId="426E03AC" w:rsidR="00AA14FF" w:rsidRPr="00A54F13" w:rsidRDefault="00AA14FF" w:rsidP="00AA14FF">
      <w:pPr>
        <w:pStyle w:val="Quote"/>
      </w:pPr>
      <w:r w:rsidRPr="00A54F13">
        <w:lastRenderedPageBreak/>
        <w:t>… does not mean that a child placed in a facility for children should be moved to a facility for adults immediately after he or she reaches the age of 18. The continuation of his or her stay in the facility for children should be possible if that is in his or her best interests and not contrary to the best interests of the children in the facility</w:t>
      </w:r>
      <w:r w:rsidR="00AA0596">
        <w:t>.</w:t>
      </w:r>
      <w:r w:rsidR="001C6F30" w:rsidRPr="001C6F30">
        <w:rPr>
          <w:rStyle w:val="FootnoteReference"/>
          <w:color w:val="000000"/>
          <w:sz w:val="22"/>
        </w:rPr>
        <w:t xml:space="preserve"> </w:t>
      </w:r>
      <w:r w:rsidR="00AA0596">
        <w:rPr>
          <w:rStyle w:val="FootnoteReference"/>
          <w:color w:val="000000"/>
          <w:sz w:val="22"/>
        </w:rPr>
        <w:footnoteReference w:id="36"/>
      </w:r>
    </w:p>
    <w:p w14:paraId="429C3CC5" w14:textId="77777777" w:rsidR="00DA5A1A" w:rsidRDefault="00DA5A1A" w:rsidP="00DA5A1A">
      <w:pPr>
        <w:pStyle w:val="Numberedparagraph"/>
      </w:pPr>
      <w:r>
        <w:t xml:space="preserve">This has also recently been emphasised by the United Nations Special Rapporteur on Torture in her report on </w:t>
      </w:r>
      <w:r w:rsidRPr="00DA5A1A">
        <w:rPr>
          <w:i/>
          <w:iCs/>
        </w:rPr>
        <w:t>Current issues and good practices in prison management</w:t>
      </w:r>
      <w:r>
        <w:rPr>
          <w:i/>
          <w:iCs/>
        </w:rPr>
        <w:t xml:space="preserve"> </w:t>
      </w:r>
      <w:r>
        <w:t>(2024). She noted that ‘[s]</w:t>
      </w:r>
      <w:proofErr w:type="spellStart"/>
      <w:r>
        <w:t>pecial</w:t>
      </w:r>
      <w:proofErr w:type="spellEnd"/>
      <w:r>
        <w:t xml:space="preserve"> consideration needs to be given to children approaching the end of childhood’, and that decisions about if and when to move children to adult prisons should involve </w:t>
      </w:r>
    </w:p>
    <w:p w14:paraId="03C70B0D" w14:textId="0417F50A" w:rsidR="00DA5A1A" w:rsidRDefault="00DA5A1A" w:rsidP="00DA5A1A">
      <w:pPr>
        <w:pStyle w:val="Quote"/>
      </w:pPr>
      <w:r>
        <w:t>a needs and risk assessment that takes into account all relevant factors, including the rights and needs of the other children in the youth facility, the suitability of prison in view of any underlying conditions, and the avoidance of disruption to any continuing education or vocational training.</w:t>
      </w:r>
      <w:r>
        <w:rPr>
          <w:rStyle w:val="FootnoteReference"/>
        </w:rPr>
        <w:footnoteReference w:id="37"/>
      </w:r>
    </w:p>
    <w:p w14:paraId="54AC621A" w14:textId="318534DF" w:rsidR="00DA5A1A" w:rsidRDefault="00DA5A1A" w:rsidP="00AA14FF">
      <w:pPr>
        <w:pStyle w:val="Numberedparagraph"/>
      </w:pPr>
      <w:r>
        <w:t>According to the Special Rapporteur, this ‘recognizes that the needs and vulnerabilities of children do not change when they reach the age of majority’ and ‘helps minimize disruption to supportive relationships that young people have formed with youth justice services’.</w:t>
      </w:r>
      <w:r>
        <w:rPr>
          <w:rStyle w:val="FootnoteReference"/>
        </w:rPr>
        <w:footnoteReference w:id="38"/>
      </w:r>
    </w:p>
    <w:p w14:paraId="50D02B45" w14:textId="3DCF4C3C" w:rsidR="00AA14FF" w:rsidRPr="00A54F13" w:rsidRDefault="00884C31" w:rsidP="00AA14FF">
      <w:pPr>
        <w:pStyle w:val="Numberedparagraph"/>
      </w:pPr>
      <w:r>
        <w:t>In</w:t>
      </w:r>
      <w:r w:rsidR="00B5632A">
        <w:t xml:space="preserve"> </w:t>
      </w:r>
      <w:r w:rsidR="00485E45">
        <w:t>this context</w:t>
      </w:r>
      <w:r>
        <w:t>,</w:t>
      </w:r>
      <w:r w:rsidR="00AA14FF" w:rsidRPr="00A54F13">
        <w:t xml:space="preserve"> the rights of </w:t>
      </w:r>
      <w:r w:rsidR="00B5632A">
        <w:t>1</w:t>
      </w:r>
      <w:r w:rsidR="00AA14FF" w:rsidRPr="00A54F13">
        <w:t>8</w:t>
      </w:r>
      <w:r w:rsidR="00970B50">
        <w:t>-</w:t>
      </w:r>
      <w:r w:rsidR="00AA14FF" w:rsidRPr="00A54F13">
        <w:t>year</w:t>
      </w:r>
      <w:r w:rsidR="00970B50">
        <w:t>-</w:t>
      </w:r>
      <w:r w:rsidR="00AA14FF" w:rsidRPr="00A54F13">
        <w:t>old</w:t>
      </w:r>
      <w:r w:rsidR="00B5632A">
        <w:t>s</w:t>
      </w:r>
      <w:r w:rsidR="00AA14FF" w:rsidRPr="00A54F13">
        <w:t xml:space="preserve"> </w:t>
      </w:r>
      <w:r w:rsidR="00083E81">
        <w:t>as well as</w:t>
      </w:r>
      <w:r w:rsidR="00083E81" w:rsidRPr="00A54F13">
        <w:t xml:space="preserve"> </w:t>
      </w:r>
      <w:r w:rsidR="00AA14FF" w:rsidRPr="00A54F13">
        <w:t>the rights and best interests of children detained in the</w:t>
      </w:r>
      <w:r w:rsidR="00435634">
        <w:t xml:space="preserve"> youth detention</w:t>
      </w:r>
      <w:r w:rsidR="00AA14FF" w:rsidRPr="00A54F13">
        <w:t xml:space="preserve"> facility</w:t>
      </w:r>
      <w:r w:rsidR="00B5632A">
        <w:t xml:space="preserve"> must be considered</w:t>
      </w:r>
      <w:r w:rsidR="00AA14FF" w:rsidRPr="00A54F13">
        <w:t xml:space="preserve">. The extent to which both can be protected by the individual remaining in the youth detention centre </w:t>
      </w:r>
      <w:r w:rsidR="00106C03">
        <w:t xml:space="preserve">after turning 18 </w:t>
      </w:r>
      <w:r w:rsidR="00AA14FF" w:rsidRPr="00A54F13">
        <w:t xml:space="preserve">may be highly dynamic, depending on circumstances in the particular facility and across the </w:t>
      </w:r>
      <w:r w:rsidR="00D16DBE">
        <w:t>s</w:t>
      </w:r>
      <w:r w:rsidR="00AA14FF" w:rsidRPr="00A54F13">
        <w:t xml:space="preserve">tate at the time. </w:t>
      </w:r>
    </w:p>
    <w:p w14:paraId="0BF34ED6" w14:textId="7BEA9571" w:rsidR="00620972" w:rsidRDefault="00620972" w:rsidP="00AA14FF">
      <w:pPr>
        <w:pStyle w:val="Numberedparagraph"/>
      </w:pPr>
      <w:r>
        <w:t xml:space="preserve">The list of matters that the </w:t>
      </w:r>
      <w:r w:rsidR="003E74A8">
        <w:t>chief executive may have regard to in deciding whether there are ‘special circumstances’ to justify delaying transfer</w:t>
      </w:r>
      <w:r w:rsidR="0066639E">
        <w:t xml:space="preserve"> </w:t>
      </w:r>
      <w:r w:rsidR="00105934">
        <w:t xml:space="preserve">are </w:t>
      </w:r>
      <w:r w:rsidR="00ED0994">
        <w:t>generally appropriate.</w:t>
      </w:r>
      <w:r w:rsidR="0068223A">
        <w:rPr>
          <w:rStyle w:val="FootnoteReference"/>
        </w:rPr>
        <w:footnoteReference w:id="39"/>
      </w:r>
      <w:r w:rsidR="00ED0994">
        <w:t xml:space="preserve"> </w:t>
      </w:r>
      <w:r w:rsidR="00373307">
        <w:t>However, a</w:t>
      </w:r>
      <w:r w:rsidR="00FB0B98">
        <w:t>n additional element</w:t>
      </w:r>
      <w:r w:rsidR="00ED0994">
        <w:t xml:space="preserve"> that should be </w:t>
      </w:r>
      <w:r w:rsidR="00FB0B98">
        <w:t>considered</w:t>
      </w:r>
      <w:r w:rsidR="00ED0994">
        <w:t xml:space="preserve"> is whether a young person is on remand or </w:t>
      </w:r>
      <w:r w:rsidR="00B42C6F">
        <w:t xml:space="preserve">convicted and </w:t>
      </w:r>
      <w:r w:rsidR="00ED0994">
        <w:t>sentenced</w:t>
      </w:r>
      <w:r w:rsidR="00917C3F">
        <w:t>.</w:t>
      </w:r>
      <w:r w:rsidR="0069400D">
        <w:t xml:space="preserve"> </w:t>
      </w:r>
      <w:r w:rsidR="00917C3F">
        <w:t>T</w:t>
      </w:r>
      <w:r w:rsidR="000E7B95">
        <w:t xml:space="preserve">he fact that a young person is on remand </w:t>
      </w:r>
      <w:r w:rsidR="005D070E">
        <w:t>should</w:t>
      </w:r>
      <w:r w:rsidR="000E7B95">
        <w:t xml:space="preserve"> </w:t>
      </w:r>
      <w:r w:rsidR="00EE4928">
        <w:t>justify delay</w:t>
      </w:r>
      <w:r w:rsidR="00ED6EE8">
        <w:t>ing</w:t>
      </w:r>
      <w:r w:rsidR="00EE4928">
        <w:t xml:space="preserve"> </w:t>
      </w:r>
      <w:r w:rsidR="00767DBF">
        <w:t>transfer</w:t>
      </w:r>
      <w:r w:rsidR="00B53783">
        <w:t xml:space="preserve"> given the p</w:t>
      </w:r>
      <w:r w:rsidR="00C96B43">
        <w:t xml:space="preserve">resumption of innocence and the </w:t>
      </w:r>
      <w:r w:rsidR="00B53783">
        <w:t>possibility of charges being withdrawn</w:t>
      </w:r>
      <w:r w:rsidR="000E7B95">
        <w:t>.</w:t>
      </w:r>
      <w:r w:rsidR="0069400D">
        <w:t xml:space="preserve"> </w:t>
      </w:r>
    </w:p>
    <w:p w14:paraId="3999196C" w14:textId="39BD49C0" w:rsidR="000B4566" w:rsidRDefault="002F340E" w:rsidP="00AA14FF">
      <w:pPr>
        <w:pStyle w:val="Numberedparagraph"/>
      </w:pPr>
      <w:r>
        <w:t xml:space="preserve">The </w:t>
      </w:r>
      <w:r w:rsidR="003A32BF">
        <w:t xml:space="preserve">Commission is </w:t>
      </w:r>
      <w:r w:rsidR="00675890">
        <w:t>concerned</w:t>
      </w:r>
      <w:r w:rsidR="00782106">
        <w:t xml:space="preserve"> that the Bill </w:t>
      </w:r>
      <w:r w:rsidR="0024731F">
        <w:t>restates</w:t>
      </w:r>
      <w:r w:rsidR="00782106">
        <w:t xml:space="preserve"> an overriding pr</w:t>
      </w:r>
      <w:r w:rsidR="00671FEF">
        <w:t>inciple</w:t>
      </w:r>
      <w:r w:rsidR="00782106">
        <w:t xml:space="preserve"> that</w:t>
      </w:r>
      <w:r w:rsidR="009003A5">
        <w:t>, without exception,</w:t>
      </w:r>
      <w:r w:rsidR="00782106">
        <w:t xml:space="preserve"> a young person </w:t>
      </w:r>
      <w:r w:rsidR="009C4838">
        <w:t xml:space="preserve">18 years and six months or older is not to be detained at a youth detention centre. It is possible to envisage circumstances where this could lead to </w:t>
      </w:r>
      <w:r w:rsidR="009818E9">
        <w:t>significant injustice and be contrary to the public interest</w:t>
      </w:r>
      <w:r w:rsidR="009C4838">
        <w:t xml:space="preserve"> </w:t>
      </w:r>
      <w:r w:rsidR="009C4838">
        <w:lastRenderedPageBreak/>
        <w:t>(for example,</w:t>
      </w:r>
      <w:r w:rsidR="00F02BD2">
        <w:t xml:space="preserve"> requiring the transfer to an adult prison of</w:t>
      </w:r>
      <w:r w:rsidR="009C4838">
        <w:t xml:space="preserve"> a </w:t>
      </w:r>
      <w:r w:rsidR="003905C7">
        <w:t xml:space="preserve">vulnerable </w:t>
      </w:r>
      <w:r w:rsidR="009C4838">
        <w:t>young person</w:t>
      </w:r>
      <w:r w:rsidR="00965439">
        <w:t xml:space="preserve"> actively </w:t>
      </w:r>
      <w:r w:rsidR="004F3D88">
        <w:t>engag</w:t>
      </w:r>
      <w:r w:rsidR="00871C4A">
        <w:t>ed</w:t>
      </w:r>
      <w:r w:rsidR="00965439">
        <w:t xml:space="preserve"> in rehabilitative activities in the youth detention centre who will be eligible for supervised release at the</w:t>
      </w:r>
      <w:r w:rsidR="004F3D88">
        <w:t xml:space="preserve"> age of 18 years and seven months</w:t>
      </w:r>
      <w:r w:rsidR="00F02BD2">
        <w:t>).</w:t>
      </w:r>
      <w:r w:rsidR="00F74BC6">
        <w:t xml:space="preserve"> To </w:t>
      </w:r>
      <w:r w:rsidR="003421B1">
        <w:t xml:space="preserve">address such </w:t>
      </w:r>
      <w:r w:rsidR="00DE39F4">
        <w:t>situations the Bill should include an exception to the principle where there are ‘exceptional circumstances’</w:t>
      </w:r>
      <w:r w:rsidR="001E5F6A">
        <w:t>.</w:t>
      </w:r>
    </w:p>
    <w:p w14:paraId="1B4F59CB" w14:textId="5D54F953" w:rsidR="00C01BA6" w:rsidRDefault="00915B70" w:rsidP="00AA14FF">
      <w:pPr>
        <w:pStyle w:val="Numberedparagraph"/>
      </w:pPr>
      <w:r w:rsidRPr="004E3D01">
        <w:t xml:space="preserve">The </w:t>
      </w:r>
      <w:r w:rsidR="00E533FB" w:rsidRPr="004E3D01">
        <w:t xml:space="preserve">Commission notes that </w:t>
      </w:r>
      <w:r w:rsidR="006B283F" w:rsidRPr="004E3D01">
        <w:t>a major</w:t>
      </w:r>
      <w:r w:rsidR="00FA1AC1" w:rsidRPr="004E3D01">
        <w:t xml:space="preserve"> justification for transferring 18</w:t>
      </w:r>
      <w:r w:rsidR="002A4F71">
        <w:t>-</w:t>
      </w:r>
      <w:r w:rsidR="00FA1AC1" w:rsidRPr="004E3D01">
        <w:t>year</w:t>
      </w:r>
      <w:r w:rsidR="002A4F71">
        <w:t>-</w:t>
      </w:r>
      <w:r w:rsidR="00FA1AC1" w:rsidRPr="004E3D01">
        <w:t>olds to adult prisons is to promote the best interests of other children, particularly young children, detained in youth detention centres</w:t>
      </w:r>
      <w:r w:rsidR="00545041" w:rsidRPr="004E3D01">
        <w:t xml:space="preserve"> </w:t>
      </w:r>
      <w:r w:rsidR="0011118E">
        <w:t>or</w:t>
      </w:r>
      <w:r w:rsidR="00545041" w:rsidRPr="004E3D01">
        <w:t xml:space="preserve"> awaiting places in youth detention centres</w:t>
      </w:r>
      <w:r w:rsidR="00FA1AC1" w:rsidRPr="004E3D01">
        <w:t>.</w:t>
      </w:r>
      <w:r w:rsidR="006B283F" w:rsidRPr="004E3D01">
        <w:t xml:space="preserve"> T</w:t>
      </w:r>
      <w:r w:rsidR="00617804">
        <w:t xml:space="preserve">his </w:t>
      </w:r>
      <w:r w:rsidR="00475E32" w:rsidRPr="004E3D01">
        <w:t xml:space="preserve">may be </w:t>
      </w:r>
      <w:r w:rsidR="008B1914" w:rsidRPr="004E3D01">
        <w:t>particularly pressing where</w:t>
      </w:r>
      <w:r w:rsidR="00475E32" w:rsidRPr="004E3D01">
        <w:t xml:space="preserve"> children are detained in watch houses while awaiting space in youth detention centres. </w:t>
      </w:r>
      <w:r w:rsidR="00121414">
        <w:t>At the same time</w:t>
      </w:r>
      <w:r w:rsidR="00C9796C" w:rsidRPr="004E3D01">
        <w:t>, adult prisons are also overcrowded</w:t>
      </w:r>
      <w:r w:rsidR="000E72A6">
        <w:t>,</w:t>
      </w:r>
      <w:r w:rsidR="00C9796C" w:rsidRPr="004E3D01">
        <w:t xml:space="preserve"> </w:t>
      </w:r>
      <w:r w:rsidR="0030178F">
        <w:t>and this</w:t>
      </w:r>
      <w:r w:rsidR="00271673">
        <w:t xml:space="preserve"> has an </w:t>
      </w:r>
      <w:r w:rsidR="00617804">
        <w:t>impact on</w:t>
      </w:r>
      <w:r w:rsidR="00257FAE">
        <w:t xml:space="preserve"> the </w:t>
      </w:r>
      <w:r w:rsidR="004D0071">
        <w:t>human rights of</w:t>
      </w:r>
      <w:r w:rsidR="00B216B0" w:rsidRPr="004E3D01">
        <w:t xml:space="preserve"> 18</w:t>
      </w:r>
      <w:r w:rsidR="002D35C7">
        <w:t>-</w:t>
      </w:r>
      <w:r w:rsidR="00B216B0" w:rsidRPr="004E3D01">
        <w:t>year</w:t>
      </w:r>
      <w:r w:rsidR="002D35C7">
        <w:t>-</w:t>
      </w:r>
      <w:r w:rsidR="00B216B0" w:rsidRPr="004E3D01">
        <w:t>olds transferred there</w:t>
      </w:r>
      <w:r w:rsidR="004D0071">
        <w:t xml:space="preserve">, including </w:t>
      </w:r>
      <w:r w:rsidR="0030178F">
        <w:t xml:space="preserve">the right </w:t>
      </w:r>
      <w:r w:rsidR="004D0071">
        <w:t>to humane conditions of detention</w:t>
      </w:r>
      <w:r w:rsidR="00683770">
        <w:t>, and their risk of further criminalisation</w:t>
      </w:r>
      <w:r w:rsidR="003A4667" w:rsidRPr="004E3D01">
        <w:t xml:space="preserve">. </w:t>
      </w:r>
    </w:p>
    <w:p w14:paraId="1BB26346" w14:textId="77777777" w:rsidR="00F26251" w:rsidRDefault="00D01F6A">
      <w:pPr>
        <w:pStyle w:val="Numberedparagraph"/>
        <w:spacing w:after="0"/>
      </w:pPr>
      <w:r w:rsidRPr="004E3D01">
        <w:t xml:space="preserve">Rather than streamlining </w:t>
      </w:r>
      <w:r w:rsidR="0030178F">
        <w:t xml:space="preserve">the </w:t>
      </w:r>
      <w:r w:rsidRPr="004E3D01">
        <w:t>transfer</w:t>
      </w:r>
      <w:r w:rsidR="00A91ABE" w:rsidRPr="004E3D01">
        <w:t xml:space="preserve"> of </w:t>
      </w:r>
      <w:r w:rsidR="00BF7514" w:rsidRPr="004E3D01">
        <w:t>vulnerable young people to overcrowded prisons</w:t>
      </w:r>
      <w:r w:rsidRPr="004E3D01">
        <w:t xml:space="preserve">, the rights of </w:t>
      </w:r>
      <w:r w:rsidR="006E2273">
        <w:t>children and young people</w:t>
      </w:r>
      <w:r w:rsidR="00A91ABE" w:rsidRPr="004E3D01">
        <w:t>, and the interests of</w:t>
      </w:r>
      <w:r w:rsidR="00A505E8">
        <w:t xml:space="preserve"> victims and</w:t>
      </w:r>
      <w:r w:rsidR="00A91ABE" w:rsidRPr="004E3D01">
        <w:t xml:space="preserve"> the community</w:t>
      </w:r>
      <w:r w:rsidR="00BF7514" w:rsidRPr="004E3D01">
        <w:t xml:space="preserve">, </w:t>
      </w:r>
      <w:r w:rsidR="001F384F">
        <w:t>are</w:t>
      </w:r>
      <w:r w:rsidR="00BF7514" w:rsidRPr="004E3D01">
        <w:t xml:space="preserve"> better served by</w:t>
      </w:r>
      <w:r w:rsidR="00F26251">
        <w:t>:</w:t>
      </w:r>
    </w:p>
    <w:p w14:paraId="2FE8B065" w14:textId="6230BFE9" w:rsidR="00F26251" w:rsidRPr="00426AF7" w:rsidRDefault="002F45E9" w:rsidP="003A1288">
      <w:pPr>
        <w:pStyle w:val="Bulletedlist"/>
        <w:numPr>
          <w:ilvl w:val="0"/>
          <w:numId w:val="6"/>
        </w:numPr>
      </w:pPr>
      <w:r w:rsidRPr="00426AF7">
        <w:t>raising the minimum age of</w:t>
      </w:r>
      <w:r w:rsidR="00D41C90" w:rsidRPr="00426AF7">
        <w:t xml:space="preserve"> detention of any child </w:t>
      </w:r>
      <w:r w:rsidRPr="00426AF7">
        <w:t>to</w:t>
      </w:r>
      <w:r w:rsidR="00D41C90" w:rsidRPr="00426AF7">
        <w:t xml:space="preserve"> 1</w:t>
      </w:r>
      <w:r w:rsidR="008155CE" w:rsidRPr="00426AF7">
        <w:t>6</w:t>
      </w:r>
      <w:r w:rsidR="00D41C90" w:rsidRPr="00426AF7">
        <w:t xml:space="preserve"> years of age</w:t>
      </w:r>
      <w:r w:rsidR="007F564B" w:rsidRPr="00426AF7">
        <w:t xml:space="preserve"> (as </w:t>
      </w:r>
      <w:r w:rsidRPr="00426AF7">
        <w:t>committed to by the Tasmanian Government</w:t>
      </w:r>
      <w:r w:rsidR="001A4411" w:rsidRPr="00021CEA">
        <w:rPr>
          <w:rStyle w:val="FootnoteReference"/>
        </w:rPr>
        <w:footnoteReference w:id="40"/>
      </w:r>
      <w:r w:rsidR="007F564B" w:rsidRPr="00426AF7">
        <w:t xml:space="preserve">) and </w:t>
      </w:r>
      <w:r w:rsidR="00645E3C" w:rsidRPr="00426AF7">
        <w:t>raising the age of criminal responsibility</w:t>
      </w:r>
      <w:r w:rsidRPr="00426AF7">
        <w:t xml:space="preserve"> to 14 years of age</w:t>
      </w:r>
      <w:r w:rsidR="00080ACF">
        <w:t>;</w:t>
      </w:r>
    </w:p>
    <w:p w14:paraId="5800C0BB" w14:textId="1C8EA6EA" w:rsidR="00C1761C" w:rsidRPr="00426AF7" w:rsidRDefault="00F26251" w:rsidP="003A1288">
      <w:pPr>
        <w:pStyle w:val="Bulletedlist"/>
        <w:numPr>
          <w:ilvl w:val="0"/>
          <w:numId w:val="6"/>
        </w:numPr>
      </w:pPr>
      <w:r w:rsidRPr="00426AF7">
        <w:t xml:space="preserve">repealing </w:t>
      </w:r>
      <w:r w:rsidR="007F0D7D" w:rsidRPr="00426AF7">
        <w:t>provisions contributin</w:t>
      </w:r>
      <w:r w:rsidR="00FE7D20" w:rsidRPr="00426AF7">
        <w:t>g to increasing numbers of detained children</w:t>
      </w:r>
      <w:r w:rsidR="00080ACF">
        <w:t>; and</w:t>
      </w:r>
    </w:p>
    <w:p w14:paraId="668E96FE" w14:textId="6C440533" w:rsidR="00DB6361" w:rsidRPr="00426AF7" w:rsidRDefault="00C1761C" w:rsidP="003A1288">
      <w:pPr>
        <w:pStyle w:val="Bulletedlist"/>
        <w:numPr>
          <w:ilvl w:val="0"/>
          <w:numId w:val="6"/>
        </w:numPr>
        <w:ind w:left="1434" w:hanging="357"/>
        <w:contextualSpacing w:val="0"/>
      </w:pPr>
      <w:r w:rsidRPr="00426AF7">
        <w:t>increasing investment</w:t>
      </w:r>
      <w:r w:rsidR="00785E04" w:rsidRPr="00426AF7">
        <w:t xml:space="preserve"> </w:t>
      </w:r>
      <w:r w:rsidR="003B40C5" w:rsidRPr="00426AF7">
        <w:t xml:space="preserve">in </w:t>
      </w:r>
      <w:r w:rsidR="007A50E8" w:rsidRPr="00426AF7">
        <w:t xml:space="preserve">alternatives to detention </w:t>
      </w:r>
      <w:r w:rsidR="006E66DB" w:rsidRPr="00426AF7">
        <w:t xml:space="preserve">combined with </w:t>
      </w:r>
      <w:r w:rsidR="007A50E8" w:rsidRPr="00426AF7">
        <w:t>intensive support</w:t>
      </w:r>
      <w:r w:rsidR="00A35FD3" w:rsidRPr="00426AF7">
        <w:t xml:space="preserve"> for children in contact with the criminal justice system.</w:t>
      </w:r>
    </w:p>
    <w:tbl>
      <w:tblPr>
        <w:tblStyle w:val="TableGrid"/>
        <w:tblW w:w="0" w:type="auto"/>
        <w:shd w:val="clear" w:color="auto" w:fill="004270"/>
        <w:tblLook w:val="04A0" w:firstRow="1" w:lastRow="0" w:firstColumn="1" w:lastColumn="0" w:noHBand="0" w:noVBand="1"/>
      </w:tblPr>
      <w:tblGrid>
        <w:gridCol w:w="8488"/>
      </w:tblGrid>
      <w:tr w:rsidR="00BD7909" w14:paraId="4F999122" w14:textId="77777777" w:rsidTr="00BD7909">
        <w:tc>
          <w:tcPr>
            <w:tcW w:w="8488" w:type="dxa"/>
            <w:shd w:val="clear" w:color="auto" w:fill="004270"/>
          </w:tcPr>
          <w:p w14:paraId="06B68ADE" w14:textId="77777777" w:rsidR="00BD7909" w:rsidRPr="008431BB" w:rsidRDefault="00BD7909" w:rsidP="008431BB">
            <w:pPr>
              <w:pStyle w:val="Heading4"/>
              <w:spacing w:after="120"/>
              <w:rPr>
                <w:b/>
                <w:bCs/>
                <w:i w:val="0"/>
                <w:iCs w:val="0"/>
                <w:color w:val="FFFFFF" w:themeColor="background1"/>
              </w:rPr>
            </w:pPr>
            <w:r w:rsidRPr="008431BB">
              <w:rPr>
                <w:b/>
                <w:bCs/>
                <w:i w:val="0"/>
                <w:iCs w:val="0"/>
                <w:color w:val="FFFFFF" w:themeColor="background1"/>
              </w:rPr>
              <w:t>Recommendation</w:t>
            </w:r>
          </w:p>
          <w:p w14:paraId="23FA0B84" w14:textId="77777777" w:rsidR="00BD7909" w:rsidRPr="00122B16" w:rsidRDefault="00BD7909" w:rsidP="00BD7909">
            <w:pPr>
              <w:pStyle w:val="Bulletedlist"/>
              <w:keepNext/>
              <w:numPr>
                <w:ilvl w:val="0"/>
                <w:numId w:val="0"/>
              </w:numPr>
              <w:rPr>
                <w:color w:val="FFFFFF" w:themeColor="background1"/>
              </w:rPr>
            </w:pPr>
            <w:r w:rsidRPr="00122B16">
              <w:rPr>
                <w:color w:val="FFFFFF" w:themeColor="background1"/>
              </w:rPr>
              <w:t>Amend the Bill to:</w:t>
            </w:r>
          </w:p>
          <w:p w14:paraId="4A988884" w14:textId="77777777" w:rsidR="00BD7909" w:rsidRPr="00122B16" w:rsidRDefault="00BD7909" w:rsidP="003A1288">
            <w:pPr>
              <w:pStyle w:val="Numberedparagraph"/>
              <w:numPr>
                <w:ilvl w:val="0"/>
                <w:numId w:val="4"/>
              </w:numPr>
              <w:spacing w:after="120"/>
              <w:rPr>
                <w:color w:val="FFFFFF" w:themeColor="background1"/>
              </w:rPr>
            </w:pPr>
            <w:r w:rsidRPr="00122B16">
              <w:rPr>
                <w:color w:val="FFFFFF" w:themeColor="background1"/>
              </w:rPr>
              <w:t>include in the factors set out in section 276C(4) whether the detainee is on remand or sentenced following conviction; and</w:t>
            </w:r>
          </w:p>
          <w:p w14:paraId="58F1CEDB" w14:textId="5DE7A99C" w:rsidR="00BD7909" w:rsidRPr="00BD7909" w:rsidRDefault="00BD7909" w:rsidP="003A1288">
            <w:pPr>
              <w:pStyle w:val="Numberedparagraph"/>
              <w:numPr>
                <w:ilvl w:val="0"/>
                <w:numId w:val="4"/>
              </w:numPr>
              <w:spacing w:after="120"/>
            </w:pPr>
            <w:r w:rsidRPr="00122B16">
              <w:rPr>
                <w:color w:val="FFFFFF" w:themeColor="background1"/>
              </w:rPr>
              <w:t>allow for the continued detention of a young person older than 18 years and six months in a youth detention centre in ‘exceptional circumstances’.</w:t>
            </w:r>
          </w:p>
        </w:tc>
      </w:tr>
    </w:tbl>
    <w:p w14:paraId="11D5B5CF" w14:textId="77777777" w:rsidR="0010202B" w:rsidRDefault="0010202B" w:rsidP="0010202B">
      <w:pPr>
        <w:pStyle w:val="Numberedparagraph"/>
        <w:numPr>
          <w:ilvl w:val="0"/>
          <w:numId w:val="0"/>
        </w:numPr>
        <w:ind w:left="567"/>
      </w:pPr>
    </w:p>
    <w:p w14:paraId="7282E293" w14:textId="544262D0" w:rsidR="004D27A2" w:rsidRPr="004D27A2" w:rsidRDefault="00A10AC3" w:rsidP="004D27A2">
      <w:pPr>
        <w:pStyle w:val="Heading2"/>
      </w:pPr>
      <w:bookmarkStart w:id="35" w:name="_Toc166839060"/>
      <w:r>
        <w:t>Photographing detainees</w:t>
      </w:r>
      <w:r w:rsidR="00BF7B6E">
        <w:t xml:space="preserve"> and detention centres</w:t>
      </w:r>
      <w:bookmarkEnd w:id="35"/>
    </w:p>
    <w:p w14:paraId="200C4310" w14:textId="19C0664F" w:rsidR="009377D5" w:rsidRPr="009377D5" w:rsidRDefault="009F630D">
      <w:pPr>
        <w:pStyle w:val="Numberedparagraph"/>
        <w:rPr>
          <w:rStyle w:val="eop"/>
          <w:rFonts w:ascii="Segoe UI" w:hAnsi="Segoe UI" w:cs="Segoe UI"/>
          <w:szCs w:val="22"/>
        </w:rPr>
      </w:pPr>
      <w:r w:rsidRPr="00FF30AA">
        <w:rPr>
          <w:rStyle w:val="normaltextrun"/>
          <w:color w:val="000000"/>
          <w:szCs w:val="22"/>
        </w:rPr>
        <w:t>The Bill would</w:t>
      </w:r>
      <w:r w:rsidR="0079652A" w:rsidRPr="00FF30AA">
        <w:rPr>
          <w:rStyle w:val="normaltextrun"/>
          <w:color w:val="000000"/>
          <w:szCs w:val="22"/>
        </w:rPr>
        <w:t xml:space="preserve"> make it a crime to photograph or attempt to photograph a detainee in a </w:t>
      </w:r>
      <w:r w:rsidR="00EF4691" w:rsidRPr="00FF30AA">
        <w:rPr>
          <w:rStyle w:val="normaltextrun"/>
          <w:color w:val="000000"/>
          <w:szCs w:val="22"/>
        </w:rPr>
        <w:t>youth detention centre or part of a youth detention centre,</w:t>
      </w:r>
      <w:r w:rsidR="0079652A" w:rsidRPr="00FF30AA">
        <w:rPr>
          <w:rStyle w:val="normaltextrun"/>
          <w:color w:val="000000"/>
          <w:szCs w:val="22"/>
        </w:rPr>
        <w:t xml:space="preserve"> subject to </w:t>
      </w:r>
      <w:r w:rsidR="00EF4691" w:rsidRPr="00FF30AA">
        <w:rPr>
          <w:rStyle w:val="normaltextrun"/>
          <w:color w:val="000000"/>
          <w:szCs w:val="22"/>
        </w:rPr>
        <w:t>two</w:t>
      </w:r>
      <w:r w:rsidR="0079652A" w:rsidRPr="00FF30AA">
        <w:rPr>
          <w:rStyle w:val="normaltextrun"/>
          <w:color w:val="000000"/>
          <w:szCs w:val="22"/>
        </w:rPr>
        <w:t xml:space="preserve"> years imprisonment.</w:t>
      </w:r>
      <w:r w:rsidRPr="000E595B">
        <w:rPr>
          <w:rStyle w:val="FootnoteReference"/>
          <w:color w:val="000000"/>
          <w:szCs w:val="22"/>
        </w:rPr>
        <w:footnoteReference w:id="41"/>
      </w:r>
      <w:r w:rsidR="00EF4691" w:rsidRPr="00FF30AA">
        <w:rPr>
          <w:rStyle w:val="eop"/>
          <w:color w:val="000000"/>
          <w:szCs w:val="22"/>
        </w:rPr>
        <w:t xml:space="preserve"> </w:t>
      </w:r>
    </w:p>
    <w:p w14:paraId="18B3D3D8" w14:textId="40FCE8D8" w:rsidR="0044436B" w:rsidRPr="008F1D11" w:rsidRDefault="000F7217" w:rsidP="006B027C">
      <w:pPr>
        <w:pStyle w:val="Numberedparagraph"/>
        <w:rPr>
          <w:rStyle w:val="eop"/>
          <w:rFonts w:ascii="Segoe UI" w:hAnsi="Segoe UI" w:cs="Segoe UI"/>
          <w:szCs w:val="22"/>
        </w:rPr>
      </w:pPr>
      <w:r>
        <w:rPr>
          <w:rStyle w:val="eop"/>
          <w:color w:val="000000"/>
          <w:szCs w:val="22"/>
        </w:rPr>
        <w:t>While a general prohibition on photography</w:t>
      </w:r>
      <w:r w:rsidRPr="00FF30AA">
        <w:rPr>
          <w:rStyle w:val="eop"/>
          <w:color w:val="000000"/>
          <w:szCs w:val="22"/>
        </w:rPr>
        <w:t xml:space="preserve"> in youth detention centres is consistent with current departmental policy, introducing a criminal penalty is a </w:t>
      </w:r>
      <w:r w:rsidRPr="00FF30AA">
        <w:rPr>
          <w:rStyle w:val="eop"/>
          <w:color w:val="000000"/>
          <w:szCs w:val="22"/>
        </w:rPr>
        <w:lastRenderedPageBreak/>
        <w:t>significant change with the potential to unreasonably limit human rights</w:t>
      </w:r>
      <w:r>
        <w:rPr>
          <w:rStyle w:val="eop"/>
          <w:color w:val="000000"/>
          <w:szCs w:val="22"/>
        </w:rPr>
        <w:t xml:space="preserve">. </w:t>
      </w:r>
      <w:r w:rsidR="00DD1D40" w:rsidRPr="00FF30AA">
        <w:rPr>
          <w:rStyle w:val="eop"/>
          <w:color w:val="000000"/>
          <w:szCs w:val="22"/>
        </w:rPr>
        <w:t xml:space="preserve">Although </w:t>
      </w:r>
      <w:r w:rsidR="00675DFF">
        <w:rPr>
          <w:rStyle w:val="eop"/>
          <w:color w:val="000000"/>
          <w:szCs w:val="22"/>
        </w:rPr>
        <w:t>it</w:t>
      </w:r>
      <w:r w:rsidR="00CB6F19" w:rsidRPr="00FF30AA">
        <w:rPr>
          <w:rStyle w:val="eop"/>
          <w:color w:val="000000"/>
          <w:szCs w:val="22"/>
        </w:rPr>
        <w:t xml:space="preserve"> may promote the right to privacy of individual children,</w:t>
      </w:r>
      <w:r w:rsidR="00620438">
        <w:rPr>
          <w:rStyle w:val="eop"/>
          <w:color w:val="000000"/>
          <w:szCs w:val="22"/>
        </w:rPr>
        <w:t xml:space="preserve"> the amendment</w:t>
      </w:r>
      <w:r w:rsidR="00BE5A01" w:rsidRPr="00FF30AA">
        <w:rPr>
          <w:rStyle w:val="eop"/>
          <w:color w:val="000000"/>
          <w:szCs w:val="22"/>
        </w:rPr>
        <w:t xml:space="preserve"> has the potential to limit </w:t>
      </w:r>
      <w:r w:rsidR="00AD5C17" w:rsidRPr="00FF30AA">
        <w:rPr>
          <w:rStyle w:val="eop"/>
          <w:color w:val="000000"/>
          <w:szCs w:val="22"/>
        </w:rPr>
        <w:t>the ability of children and</w:t>
      </w:r>
      <w:r w:rsidR="00BE5A01" w:rsidRPr="00FF30AA">
        <w:rPr>
          <w:rStyle w:val="eop"/>
          <w:color w:val="000000"/>
          <w:szCs w:val="22"/>
        </w:rPr>
        <w:t xml:space="preserve"> </w:t>
      </w:r>
      <w:r w:rsidR="00025F5F" w:rsidRPr="00FF30AA">
        <w:rPr>
          <w:rStyle w:val="eop"/>
          <w:color w:val="000000"/>
          <w:szCs w:val="22"/>
        </w:rPr>
        <w:t xml:space="preserve">others to </w:t>
      </w:r>
      <w:r w:rsidR="00AF1DD9">
        <w:rPr>
          <w:rStyle w:val="eop"/>
          <w:color w:val="000000"/>
          <w:szCs w:val="22"/>
        </w:rPr>
        <w:t>provide evidence of</w:t>
      </w:r>
      <w:r w:rsidR="00A63C5F">
        <w:rPr>
          <w:rStyle w:val="eop"/>
          <w:color w:val="000000"/>
          <w:szCs w:val="22"/>
        </w:rPr>
        <w:t xml:space="preserve"> ill-treatment and </w:t>
      </w:r>
      <w:r w:rsidR="001232D2">
        <w:rPr>
          <w:rStyle w:val="eop"/>
          <w:color w:val="000000"/>
          <w:szCs w:val="22"/>
        </w:rPr>
        <w:t xml:space="preserve">other </w:t>
      </w:r>
      <w:r w:rsidR="00025F5F" w:rsidRPr="00FF30AA">
        <w:rPr>
          <w:rStyle w:val="eop"/>
          <w:color w:val="000000"/>
          <w:szCs w:val="22"/>
        </w:rPr>
        <w:t xml:space="preserve">practices that are </w:t>
      </w:r>
      <w:r w:rsidR="002B59EF" w:rsidRPr="00FF30AA">
        <w:rPr>
          <w:rStyle w:val="eop"/>
          <w:color w:val="000000"/>
          <w:szCs w:val="22"/>
        </w:rPr>
        <w:t>not compatible with their right to humane conditions of detention</w:t>
      </w:r>
      <w:r w:rsidR="002E5381" w:rsidRPr="00FF30AA">
        <w:rPr>
          <w:rStyle w:val="eop"/>
          <w:color w:val="000000"/>
          <w:szCs w:val="22"/>
        </w:rPr>
        <w:t>.</w:t>
      </w:r>
      <w:r w:rsidR="00FF30AA" w:rsidRPr="00FF30AA">
        <w:rPr>
          <w:rStyle w:val="eop"/>
          <w:color w:val="000000"/>
          <w:szCs w:val="22"/>
        </w:rPr>
        <w:t xml:space="preserve"> </w:t>
      </w:r>
    </w:p>
    <w:p w14:paraId="57208CEC" w14:textId="64299C0B" w:rsidR="008F1D11" w:rsidRPr="0044436B" w:rsidRDefault="008F1D11" w:rsidP="006B027C">
      <w:pPr>
        <w:pStyle w:val="Numberedparagraph"/>
        <w:rPr>
          <w:rStyle w:val="eop"/>
          <w:rFonts w:ascii="Segoe UI" w:hAnsi="Segoe UI" w:cs="Segoe UI"/>
          <w:szCs w:val="22"/>
        </w:rPr>
      </w:pPr>
      <w:r>
        <w:rPr>
          <w:rStyle w:val="eop"/>
          <w:color w:val="000000"/>
          <w:szCs w:val="22"/>
        </w:rPr>
        <w:t>Protection of the right to privacy of individual detainees and protection of the safety and good order of the detention centre can be achieved in less restrictive ways through the enforcement of existing policies, including workplace policies.</w:t>
      </w:r>
    </w:p>
    <w:p w14:paraId="6B152D86" w14:textId="1D4FEEDF" w:rsidR="00866EFE" w:rsidRPr="00FF30AA" w:rsidRDefault="00637666" w:rsidP="006B027C">
      <w:pPr>
        <w:pStyle w:val="Numberedparagraph"/>
        <w:rPr>
          <w:rStyle w:val="eop"/>
          <w:rFonts w:ascii="Segoe UI" w:hAnsi="Segoe UI" w:cs="Segoe UI"/>
          <w:szCs w:val="22"/>
        </w:rPr>
      </w:pPr>
      <w:r>
        <w:rPr>
          <w:rStyle w:val="eop"/>
          <w:color w:val="000000"/>
          <w:szCs w:val="22"/>
        </w:rPr>
        <w:t>The Commission</w:t>
      </w:r>
      <w:r w:rsidR="000F7217">
        <w:rPr>
          <w:rStyle w:val="eop"/>
          <w:color w:val="000000"/>
          <w:szCs w:val="22"/>
        </w:rPr>
        <w:t xml:space="preserve"> recommends against the introduction of this provision. </w:t>
      </w:r>
      <w:r w:rsidR="005275EC">
        <w:rPr>
          <w:rStyle w:val="eop"/>
          <w:color w:val="000000"/>
          <w:szCs w:val="22"/>
        </w:rPr>
        <w:t>However, i</w:t>
      </w:r>
      <w:r w:rsidR="000F7217">
        <w:rPr>
          <w:rStyle w:val="eop"/>
          <w:color w:val="000000"/>
          <w:szCs w:val="22"/>
        </w:rPr>
        <w:t>f it is to be introduced</w:t>
      </w:r>
      <w:r w:rsidR="005275EC">
        <w:rPr>
          <w:rStyle w:val="eop"/>
          <w:color w:val="000000"/>
          <w:szCs w:val="22"/>
        </w:rPr>
        <w:t>,</w:t>
      </w:r>
      <w:r w:rsidR="000F7217">
        <w:rPr>
          <w:rStyle w:val="eop"/>
          <w:color w:val="000000"/>
          <w:szCs w:val="22"/>
        </w:rPr>
        <w:t xml:space="preserve"> further exceptions are required to </w:t>
      </w:r>
      <w:r w:rsidR="00253AF5">
        <w:rPr>
          <w:rStyle w:val="eop"/>
          <w:color w:val="000000"/>
          <w:szCs w:val="22"/>
        </w:rPr>
        <w:t>avoid in</w:t>
      </w:r>
      <w:r w:rsidR="005275EC">
        <w:rPr>
          <w:rStyle w:val="eop"/>
          <w:color w:val="000000"/>
          <w:szCs w:val="22"/>
        </w:rPr>
        <w:t>compatibility with the Human Rights Act.</w:t>
      </w:r>
    </w:p>
    <w:p w14:paraId="41DA657A" w14:textId="4E0F31BA" w:rsidR="00D2725C" w:rsidRPr="00D2725C" w:rsidRDefault="00314C5E" w:rsidP="00D2725C">
      <w:pPr>
        <w:pStyle w:val="Heading3"/>
        <w:rPr>
          <w:rStyle w:val="eop"/>
        </w:rPr>
      </w:pPr>
      <w:bookmarkStart w:id="36" w:name="_Toc166839061"/>
      <w:r>
        <w:rPr>
          <w:rStyle w:val="eop"/>
        </w:rPr>
        <w:t>Appropriate e</w:t>
      </w:r>
      <w:r w:rsidR="00D2725C" w:rsidRPr="00D2725C">
        <w:rPr>
          <w:rStyle w:val="eop"/>
        </w:rPr>
        <w:t>xceptions</w:t>
      </w:r>
      <w:bookmarkEnd w:id="36"/>
    </w:p>
    <w:p w14:paraId="077F4DC3" w14:textId="03CB0340" w:rsidR="0079652A" w:rsidRPr="00FD7058" w:rsidRDefault="008C019F" w:rsidP="007B7660">
      <w:pPr>
        <w:pStyle w:val="Numberedparagraph"/>
        <w:rPr>
          <w:rStyle w:val="eop"/>
          <w:rFonts w:ascii="Segoe UI" w:hAnsi="Segoe UI" w:cs="Segoe UI"/>
          <w:color w:val="000000"/>
          <w:szCs w:val="22"/>
        </w:rPr>
      </w:pPr>
      <w:r w:rsidRPr="007B7660">
        <w:rPr>
          <w:rStyle w:val="eop"/>
          <w:color w:val="000000"/>
          <w:szCs w:val="22"/>
        </w:rPr>
        <w:t xml:space="preserve">The Bill appropriately contains </w:t>
      </w:r>
      <w:r w:rsidR="00936EBC" w:rsidRPr="007B7660">
        <w:rPr>
          <w:rStyle w:val="eop"/>
          <w:color w:val="000000"/>
          <w:szCs w:val="22"/>
        </w:rPr>
        <w:t>an exception that allows</w:t>
      </w:r>
      <w:r w:rsidR="008F65DD" w:rsidRPr="007B7660">
        <w:rPr>
          <w:rStyle w:val="eop"/>
          <w:color w:val="000000"/>
          <w:szCs w:val="22"/>
        </w:rPr>
        <w:t xml:space="preserve"> photographs</w:t>
      </w:r>
      <w:r w:rsidRPr="007B7660">
        <w:rPr>
          <w:rStyle w:val="eop"/>
          <w:color w:val="000000"/>
          <w:szCs w:val="22"/>
        </w:rPr>
        <w:t xml:space="preserve"> </w:t>
      </w:r>
      <w:r w:rsidR="00936EBC" w:rsidRPr="007B7660">
        <w:rPr>
          <w:rStyle w:val="normaltextrun"/>
          <w:color w:val="000000"/>
          <w:szCs w:val="22"/>
        </w:rPr>
        <w:t>to be taken by a</w:t>
      </w:r>
      <w:r w:rsidR="0079652A" w:rsidRPr="007B7660">
        <w:rPr>
          <w:rStyle w:val="normaltextrun"/>
          <w:color w:val="000000"/>
          <w:szCs w:val="22"/>
        </w:rPr>
        <w:t xml:space="preserve"> detainee’s lawyer, </w:t>
      </w:r>
      <w:r w:rsidRPr="007B7660">
        <w:rPr>
          <w:rStyle w:val="normaltextrun"/>
          <w:color w:val="000000"/>
          <w:szCs w:val="22"/>
        </w:rPr>
        <w:t xml:space="preserve">a </w:t>
      </w:r>
      <w:r w:rsidR="0079652A" w:rsidRPr="007B7660">
        <w:rPr>
          <w:rStyle w:val="normaltextrun"/>
          <w:color w:val="000000"/>
          <w:szCs w:val="22"/>
        </w:rPr>
        <w:t xml:space="preserve">child advocacy officer, </w:t>
      </w:r>
      <w:r w:rsidR="00070605" w:rsidRPr="007B7660">
        <w:rPr>
          <w:rStyle w:val="normaltextrun"/>
          <w:color w:val="000000"/>
          <w:szCs w:val="22"/>
        </w:rPr>
        <w:t xml:space="preserve">a </w:t>
      </w:r>
      <w:r w:rsidR="0079652A" w:rsidRPr="007B7660">
        <w:rPr>
          <w:rStyle w:val="normaltextrun"/>
          <w:color w:val="000000"/>
          <w:szCs w:val="22"/>
        </w:rPr>
        <w:t>community visitor, law enforcement</w:t>
      </w:r>
      <w:r w:rsidR="009F5AF7" w:rsidRPr="007B7660">
        <w:rPr>
          <w:rStyle w:val="normaltextrun"/>
          <w:color w:val="000000"/>
          <w:szCs w:val="22"/>
        </w:rPr>
        <w:t xml:space="preserve"> officers</w:t>
      </w:r>
      <w:r w:rsidR="0079652A" w:rsidRPr="007B7660">
        <w:rPr>
          <w:rStyle w:val="normaltextrun"/>
          <w:color w:val="000000"/>
          <w:szCs w:val="22"/>
        </w:rPr>
        <w:t xml:space="preserve">, </w:t>
      </w:r>
      <w:r w:rsidR="005F03B8" w:rsidRPr="007B7660">
        <w:rPr>
          <w:rStyle w:val="normaltextrun"/>
          <w:color w:val="000000"/>
          <w:szCs w:val="22"/>
        </w:rPr>
        <w:t>the United Nations Subcommittee on the Prevention of Torture</w:t>
      </w:r>
      <w:r w:rsidR="007504A2" w:rsidRPr="007B7660">
        <w:rPr>
          <w:rStyle w:val="normaltextrun"/>
          <w:color w:val="000000"/>
          <w:szCs w:val="22"/>
        </w:rPr>
        <w:t xml:space="preserve"> and Other Cruel, Inhuman or Degrading Treatment or Punishment</w:t>
      </w:r>
      <w:r w:rsidR="0079652A" w:rsidRPr="007B7660">
        <w:rPr>
          <w:rStyle w:val="normaltextrun"/>
          <w:color w:val="000000"/>
          <w:szCs w:val="22"/>
        </w:rPr>
        <w:t>,</w:t>
      </w:r>
      <w:r w:rsidR="00D2725C" w:rsidRPr="007B7660">
        <w:rPr>
          <w:rStyle w:val="normaltextrun"/>
          <w:color w:val="000000"/>
          <w:szCs w:val="22"/>
        </w:rPr>
        <w:t xml:space="preserve"> the</w:t>
      </w:r>
      <w:r w:rsidR="0079652A" w:rsidRPr="007B7660">
        <w:rPr>
          <w:rStyle w:val="normaltextrun"/>
          <w:color w:val="000000"/>
          <w:szCs w:val="22"/>
        </w:rPr>
        <w:t xml:space="preserve"> </w:t>
      </w:r>
      <w:r w:rsidR="001A6191">
        <w:rPr>
          <w:rStyle w:val="normaltextrun"/>
          <w:color w:val="000000"/>
          <w:szCs w:val="22"/>
        </w:rPr>
        <w:t>H</w:t>
      </w:r>
      <w:r w:rsidR="00936EBC" w:rsidRPr="000E595B">
        <w:rPr>
          <w:rStyle w:val="normaltextrun"/>
          <w:color w:val="000000"/>
          <w:szCs w:val="22"/>
        </w:rPr>
        <w:t xml:space="preserve">uman </w:t>
      </w:r>
      <w:r w:rsidR="001A6191">
        <w:rPr>
          <w:rStyle w:val="normaltextrun"/>
          <w:color w:val="000000"/>
          <w:szCs w:val="22"/>
        </w:rPr>
        <w:t>R</w:t>
      </w:r>
      <w:r w:rsidR="00936EBC" w:rsidRPr="000E595B">
        <w:rPr>
          <w:rStyle w:val="normaltextrun"/>
          <w:color w:val="000000"/>
          <w:szCs w:val="22"/>
        </w:rPr>
        <w:t xml:space="preserve">ights </w:t>
      </w:r>
      <w:r w:rsidR="001A6191">
        <w:rPr>
          <w:rStyle w:val="normaltextrun"/>
          <w:color w:val="000000"/>
          <w:szCs w:val="22"/>
        </w:rPr>
        <w:t>C</w:t>
      </w:r>
      <w:r w:rsidR="00936EBC" w:rsidRPr="000E595B">
        <w:rPr>
          <w:rStyle w:val="normaltextrun"/>
          <w:color w:val="000000"/>
          <w:szCs w:val="22"/>
        </w:rPr>
        <w:t>ommissioner</w:t>
      </w:r>
      <w:r w:rsidR="00936EBC" w:rsidRPr="007B7660">
        <w:rPr>
          <w:rStyle w:val="normaltextrun"/>
          <w:b/>
          <w:bCs/>
          <w:color w:val="000000"/>
          <w:szCs w:val="22"/>
        </w:rPr>
        <w:t>,</w:t>
      </w:r>
      <w:r w:rsidR="006F7931" w:rsidRPr="007B7660">
        <w:rPr>
          <w:rStyle w:val="normaltextrun"/>
          <w:b/>
          <w:bCs/>
          <w:color w:val="000000"/>
          <w:szCs w:val="22"/>
        </w:rPr>
        <w:t xml:space="preserve"> </w:t>
      </w:r>
      <w:r w:rsidR="006F7931" w:rsidRPr="007B7660">
        <w:rPr>
          <w:rStyle w:val="normaltextrun"/>
          <w:color w:val="000000"/>
          <w:szCs w:val="22"/>
        </w:rPr>
        <w:t>the</w:t>
      </w:r>
      <w:r w:rsidR="00936EBC" w:rsidRPr="007B7660">
        <w:rPr>
          <w:rStyle w:val="normaltextrun"/>
          <w:color w:val="000000"/>
          <w:szCs w:val="22"/>
        </w:rPr>
        <w:t xml:space="preserve"> </w:t>
      </w:r>
      <w:r w:rsidR="001A6191">
        <w:rPr>
          <w:rStyle w:val="normaltextrun"/>
          <w:color w:val="000000"/>
          <w:szCs w:val="22"/>
        </w:rPr>
        <w:t>I</w:t>
      </w:r>
      <w:r w:rsidR="00936EBC" w:rsidRPr="000E595B">
        <w:rPr>
          <w:rStyle w:val="normaltextrun"/>
          <w:color w:val="000000"/>
          <w:szCs w:val="22"/>
        </w:rPr>
        <w:t>nspector</w:t>
      </w:r>
      <w:r w:rsidR="00D2725C" w:rsidRPr="007B7660">
        <w:rPr>
          <w:rStyle w:val="normaltextrun"/>
          <w:b/>
          <w:bCs/>
          <w:color w:val="000000"/>
          <w:szCs w:val="22"/>
        </w:rPr>
        <w:t xml:space="preserve"> </w:t>
      </w:r>
      <w:r w:rsidR="0079652A" w:rsidRPr="007B7660">
        <w:rPr>
          <w:rStyle w:val="normaltextrun"/>
          <w:color w:val="000000"/>
          <w:szCs w:val="22"/>
        </w:rPr>
        <w:t xml:space="preserve">of </w:t>
      </w:r>
      <w:r w:rsidR="002F7A9D">
        <w:rPr>
          <w:rStyle w:val="normaltextrun"/>
          <w:color w:val="000000"/>
          <w:szCs w:val="22"/>
        </w:rPr>
        <w:t>D</w:t>
      </w:r>
      <w:r w:rsidR="0079652A" w:rsidRPr="000E595B">
        <w:rPr>
          <w:rStyle w:val="normaltextrun"/>
          <w:color w:val="000000"/>
          <w:szCs w:val="22"/>
        </w:rPr>
        <w:t xml:space="preserve">etention </w:t>
      </w:r>
      <w:r w:rsidR="002F7A9D">
        <w:rPr>
          <w:rStyle w:val="normaltextrun"/>
          <w:color w:val="000000"/>
          <w:szCs w:val="22"/>
        </w:rPr>
        <w:t>S</w:t>
      </w:r>
      <w:r w:rsidR="0079652A" w:rsidRPr="007B7660">
        <w:rPr>
          <w:rStyle w:val="normaltextrun"/>
          <w:color w:val="000000"/>
          <w:szCs w:val="22"/>
        </w:rPr>
        <w:t>ervices,</w:t>
      </w:r>
      <w:r w:rsidR="002C5DD6" w:rsidRPr="007B7660">
        <w:rPr>
          <w:rStyle w:val="normaltextrun"/>
          <w:color w:val="000000"/>
          <w:szCs w:val="22"/>
        </w:rPr>
        <w:t xml:space="preserve"> the</w:t>
      </w:r>
      <w:r w:rsidR="0079652A" w:rsidRPr="007B7660">
        <w:rPr>
          <w:rStyle w:val="normaltextrun"/>
          <w:color w:val="000000"/>
          <w:szCs w:val="22"/>
        </w:rPr>
        <w:t xml:space="preserve"> </w:t>
      </w:r>
      <w:r w:rsidR="002F7A9D">
        <w:rPr>
          <w:rStyle w:val="normaltextrun"/>
          <w:color w:val="000000"/>
          <w:szCs w:val="22"/>
        </w:rPr>
        <w:t>O</w:t>
      </w:r>
      <w:r w:rsidR="0079652A" w:rsidRPr="007B7660">
        <w:rPr>
          <w:rStyle w:val="normaltextrun"/>
          <w:color w:val="000000"/>
          <w:szCs w:val="22"/>
        </w:rPr>
        <w:t xml:space="preserve">mbudsman, </w:t>
      </w:r>
      <w:r w:rsidR="002C5DD6" w:rsidRPr="007B7660">
        <w:rPr>
          <w:rStyle w:val="normaltextrun"/>
          <w:color w:val="000000"/>
          <w:szCs w:val="22"/>
        </w:rPr>
        <w:t xml:space="preserve">the </w:t>
      </w:r>
      <w:r w:rsidR="002F7A9D">
        <w:rPr>
          <w:rStyle w:val="normaltextrun"/>
          <w:color w:val="000000"/>
          <w:szCs w:val="22"/>
        </w:rPr>
        <w:t>P</w:t>
      </w:r>
      <w:r w:rsidR="0079652A" w:rsidRPr="000E595B">
        <w:rPr>
          <w:rStyle w:val="normaltextrun"/>
          <w:color w:val="000000"/>
          <w:szCs w:val="22"/>
        </w:rPr>
        <w:t xml:space="preserve">ublic </w:t>
      </w:r>
      <w:r w:rsidR="002F7A9D">
        <w:rPr>
          <w:rStyle w:val="normaltextrun"/>
          <w:color w:val="000000"/>
          <w:szCs w:val="22"/>
        </w:rPr>
        <w:t>G</w:t>
      </w:r>
      <w:r w:rsidR="0079652A" w:rsidRPr="007B7660">
        <w:rPr>
          <w:rStyle w:val="normaltextrun"/>
          <w:color w:val="000000"/>
          <w:szCs w:val="22"/>
        </w:rPr>
        <w:t xml:space="preserve">uardian, or with written approval of the </w:t>
      </w:r>
      <w:r w:rsidR="002C5DD6" w:rsidRPr="007B7660">
        <w:rPr>
          <w:rStyle w:val="normaltextrun"/>
          <w:color w:val="000000"/>
          <w:szCs w:val="22"/>
        </w:rPr>
        <w:t>c</w:t>
      </w:r>
      <w:r w:rsidR="0079652A" w:rsidRPr="007B7660">
        <w:rPr>
          <w:rStyle w:val="normaltextrun"/>
          <w:color w:val="000000"/>
          <w:szCs w:val="22"/>
        </w:rPr>
        <w:t xml:space="preserve">hief </w:t>
      </w:r>
      <w:r w:rsidR="002C5DD6" w:rsidRPr="007B7660">
        <w:rPr>
          <w:rStyle w:val="normaltextrun"/>
          <w:color w:val="000000"/>
          <w:szCs w:val="22"/>
        </w:rPr>
        <w:t>e</w:t>
      </w:r>
      <w:r w:rsidR="0079652A" w:rsidRPr="007B7660">
        <w:rPr>
          <w:rStyle w:val="normaltextrun"/>
          <w:color w:val="000000"/>
          <w:szCs w:val="22"/>
        </w:rPr>
        <w:t>xecutive.</w:t>
      </w:r>
      <w:r w:rsidR="007B7660">
        <w:rPr>
          <w:rStyle w:val="FootnoteReference"/>
          <w:color w:val="000000"/>
          <w:szCs w:val="22"/>
        </w:rPr>
        <w:footnoteReference w:id="42"/>
      </w:r>
      <w:r w:rsidR="0079652A" w:rsidRPr="007B7660">
        <w:rPr>
          <w:rStyle w:val="eop"/>
          <w:rFonts w:eastAsiaTheme="majorEastAsia"/>
          <w:color w:val="000000"/>
          <w:szCs w:val="22"/>
        </w:rPr>
        <w:t> </w:t>
      </w:r>
    </w:p>
    <w:p w14:paraId="1D7D0D0B" w14:textId="4D4DAE99" w:rsidR="00FD7058" w:rsidRPr="00FD7058" w:rsidRDefault="006A68B1" w:rsidP="00FD7058">
      <w:pPr>
        <w:pStyle w:val="Heading4"/>
        <w:rPr>
          <w:rStyle w:val="eop"/>
        </w:rPr>
      </w:pPr>
      <w:r>
        <w:rPr>
          <w:rStyle w:val="eop"/>
        </w:rPr>
        <w:t xml:space="preserve">Queensland </w:t>
      </w:r>
      <w:r w:rsidR="00FD7058" w:rsidRPr="00FD7058">
        <w:rPr>
          <w:rStyle w:val="eop"/>
        </w:rPr>
        <w:t>Human Rights Commission</w:t>
      </w:r>
      <w:r w:rsidR="00FD7058">
        <w:rPr>
          <w:rStyle w:val="eop"/>
        </w:rPr>
        <w:t>er</w:t>
      </w:r>
    </w:p>
    <w:p w14:paraId="48312B4A" w14:textId="35F82D63" w:rsidR="00FD7058" w:rsidRPr="000E595B" w:rsidRDefault="00FD7058" w:rsidP="00FD7058">
      <w:pPr>
        <w:pStyle w:val="Numberedparagraph"/>
        <w:rPr>
          <w:color w:val="000000"/>
          <w:szCs w:val="22"/>
        </w:rPr>
      </w:pPr>
      <w:bookmarkStart w:id="37" w:name="_Ref166685008"/>
      <w:r>
        <w:rPr>
          <w:color w:val="000000"/>
          <w:szCs w:val="22"/>
        </w:rPr>
        <w:t>T</w:t>
      </w:r>
      <w:r w:rsidRPr="000E595B">
        <w:rPr>
          <w:color w:val="000000"/>
          <w:szCs w:val="22"/>
        </w:rPr>
        <w:t xml:space="preserve">he reference in the </w:t>
      </w:r>
      <w:r>
        <w:rPr>
          <w:color w:val="000000"/>
          <w:szCs w:val="22"/>
        </w:rPr>
        <w:t xml:space="preserve">exceptions </w:t>
      </w:r>
      <w:r w:rsidRPr="000E595B">
        <w:rPr>
          <w:color w:val="000000"/>
          <w:szCs w:val="22"/>
        </w:rPr>
        <w:t xml:space="preserve">to the ‘the Human Rights Commissioner under the </w:t>
      </w:r>
      <w:r w:rsidRPr="000E595B">
        <w:rPr>
          <w:i/>
          <w:iCs/>
          <w:color w:val="000000"/>
          <w:szCs w:val="22"/>
        </w:rPr>
        <w:t>Anti-Discrimination Act 1991</w:t>
      </w:r>
      <w:r w:rsidRPr="000E595B">
        <w:rPr>
          <w:color w:val="000000"/>
          <w:szCs w:val="22"/>
        </w:rPr>
        <w:t xml:space="preserve">’ is unnecessarily confusing. The other independent statutory agencies listed in section </w:t>
      </w:r>
      <w:r>
        <w:rPr>
          <w:color w:val="000000"/>
          <w:szCs w:val="22"/>
        </w:rPr>
        <w:t>279B(2)</w:t>
      </w:r>
      <w:r w:rsidRPr="000E595B">
        <w:rPr>
          <w:color w:val="000000"/>
          <w:szCs w:val="22"/>
        </w:rPr>
        <w:t xml:space="preserve"> are not stated with reference to </w:t>
      </w:r>
      <w:r w:rsidR="00EE315C">
        <w:rPr>
          <w:color w:val="000000"/>
          <w:szCs w:val="22"/>
        </w:rPr>
        <w:t>the Acts establishing the</w:t>
      </w:r>
      <w:r w:rsidR="00A2398E">
        <w:rPr>
          <w:color w:val="000000"/>
          <w:szCs w:val="22"/>
        </w:rPr>
        <w:t>ir office</w:t>
      </w:r>
      <w:r w:rsidRPr="000E595B">
        <w:rPr>
          <w:color w:val="000000"/>
          <w:szCs w:val="22"/>
        </w:rPr>
        <w:t xml:space="preserve"> e.g. the </w:t>
      </w:r>
      <w:r w:rsidR="007F2658">
        <w:rPr>
          <w:color w:val="000000"/>
          <w:szCs w:val="22"/>
        </w:rPr>
        <w:t>O</w:t>
      </w:r>
      <w:r w:rsidRPr="000E595B">
        <w:rPr>
          <w:color w:val="000000"/>
          <w:szCs w:val="22"/>
        </w:rPr>
        <w:t xml:space="preserve">mbudsman, the </w:t>
      </w:r>
      <w:r w:rsidR="007F2658">
        <w:rPr>
          <w:color w:val="000000"/>
          <w:szCs w:val="22"/>
        </w:rPr>
        <w:t>P</w:t>
      </w:r>
      <w:r w:rsidRPr="000E595B">
        <w:rPr>
          <w:color w:val="000000"/>
          <w:szCs w:val="22"/>
        </w:rPr>
        <w:t xml:space="preserve">ublic </w:t>
      </w:r>
      <w:r w:rsidR="007F2658">
        <w:rPr>
          <w:color w:val="000000"/>
          <w:szCs w:val="22"/>
        </w:rPr>
        <w:t>G</w:t>
      </w:r>
      <w:r w:rsidRPr="000E595B">
        <w:rPr>
          <w:color w:val="000000"/>
          <w:szCs w:val="22"/>
        </w:rPr>
        <w:t>uardian.</w:t>
      </w:r>
      <w:bookmarkEnd w:id="37"/>
      <w:r w:rsidR="006F1172" w:rsidRPr="000E595B">
        <w:rPr>
          <w:color w:val="000000"/>
          <w:szCs w:val="22"/>
        </w:rPr>
        <w:t xml:space="preserve"> </w:t>
      </w:r>
    </w:p>
    <w:p w14:paraId="21568370" w14:textId="521118E0" w:rsidR="00FD7058" w:rsidRDefault="006313FD" w:rsidP="00FD7058">
      <w:pPr>
        <w:pStyle w:val="Numberedparagraph"/>
      </w:pPr>
      <w:bookmarkStart w:id="38" w:name="_Ref166756482"/>
      <w:r>
        <w:t xml:space="preserve">While the </w:t>
      </w:r>
      <w:r w:rsidR="00AA4D8B">
        <w:t xml:space="preserve">position of Commissioner is established under section 234 of the </w:t>
      </w:r>
      <w:r w:rsidR="00AA4D8B" w:rsidRPr="007E6528">
        <w:rPr>
          <w:i/>
          <w:iCs/>
        </w:rPr>
        <w:t>Anti-Discrimination Act 1991</w:t>
      </w:r>
      <w:r w:rsidR="00AA4D8B">
        <w:t xml:space="preserve"> (Qld),</w:t>
      </w:r>
      <w:r w:rsidR="00FD7058">
        <w:t xml:space="preserve"> the Commission</w:t>
      </w:r>
      <w:r w:rsidR="00A2398E">
        <w:t>er</w:t>
      </w:r>
      <w:r w:rsidR="00FD7058">
        <w:t xml:space="preserve"> also has functions under the </w:t>
      </w:r>
      <w:r w:rsidR="00FD7058" w:rsidRPr="00CF758A">
        <w:t>Human Rights Act</w:t>
      </w:r>
      <w:r w:rsidR="00FD7058">
        <w:rPr>
          <w:i/>
          <w:iCs/>
        </w:rPr>
        <w:t xml:space="preserve">, </w:t>
      </w:r>
      <w:r w:rsidR="00FD7058">
        <w:t xml:space="preserve">including to </w:t>
      </w:r>
      <w:r w:rsidR="00A515CF">
        <w:t xml:space="preserve">deal with </w:t>
      </w:r>
      <w:r w:rsidR="00AE2628">
        <w:t xml:space="preserve">human rights </w:t>
      </w:r>
      <w:r w:rsidR="00FD7058">
        <w:t xml:space="preserve">enquiries and complaints from children and to review public entities’ </w:t>
      </w:r>
      <w:r w:rsidR="00A515CF">
        <w:t xml:space="preserve">policies and </w:t>
      </w:r>
      <w:r w:rsidR="00FD7058">
        <w:t>practices</w:t>
      </w:r>
      <w:r w:rsidR="00AE2628">
        <w:t>.</w:t>
      </w:r>
      <w:r w:rsidR="00B901AC">
        <w:t xml:space="preserve"> </w:t>
      </w:r>
      <w:r w:rsidR="002356DA">
        <w:t>By mentioning only the Anti-Discrimination Act</w:t>
      </w:r>
      <w:r w:rsidR="00FD7058">
        <w:t xml:space="preserve"> </w:t>
      </w:r>
      <w:r w:rsidR="00AE169C">
        <w:t xml:space="preserve">the impression may be created </w:t>
      </w:r>
      <w:r w:rsidR="00DE660C">
        <w:t xml:space="preserve">that </w:t>
      </w:r>
      <w:r w:rsidR="00FD7058">
        <w:t xml:space="preserve">the exception </w:t>
      </w:r>
      <w:r w:rsidR="00DE660C">
        <w:t xml:space="preserve">is limited </w:t>
      </w:r>
      <w:r w:rsidR="00FD7058">
        <w:t xml:space="preserve">to the </w:t>
      </w:r>
      <w:r w:rsidR="00DE660C">
        <w:t xml:space="preserve">Commissioner’s </w:t>
      </w:r>
      <w:r w:rsidR="00FD7058">
        <w:t>functions under the Anti-Discrimination Act.</w:t>
      </w:r>
      <w:r w:rsidR="00B95CC1">
        <w:t xml:space="preserve"> </w:t>
      </w:r>
      <w:r w:rsidR="00503917">
        <w:t>This would not be co</w:t>
      </w:r>
      <w:r w:rsidR="00CD48D8">
        <w:t xml:space="preserve">nsistent with the Commissioner’s role under the Human Rights Act, or </w:t>
      </w:r>
      <w:r w:rsidR="00804CC8">
        <w:t xml:space="preserve">effective protection of </w:t>
      </w:r>
      <w:r w:rsidR="00CD48D8">
        <w:t xml:space="preserve">the </w:t>
      </w:r>
      <w:r w:rsidR="00804CC8">
        <w:t>rights of detained children.</w:t>
      </w:r>
      <w:r w:rsidR="00CD48D8">
        <w:t xml:space="preserve"> </w:t>
      </w:r>
      <w:r w:rsidR="007D4382">
        <w:t xml:space="preserve">Consistent with </w:t>
      </w:r>
      <w:r w:rsidR="003D10CB">
        <w:t xml:space="preserve">how other </w:t>
      </w:r>
      <w:r w:rsidR="007D4382">
        <w:t>statutory positions</w:t>
      </w:r>
      <w:r w:rsidR="003D10CB">
        <w:t xml:space="preserve"> are referred to in </w:t>
      </w:r>
      <w:r w:rsidR="007D4382">
        <w:t xml:space="preserve">the exception, the reference to the </w:t>
      </w:r>
      <w:r w:rsidR="007D4382">
        <w:rPr>
          <w:i/>
          <w:iCs/>
        </w:rPr>
        <w:t>Anti-Discrimination Act 1991</w:t>
      </w:r>
      <w:r w:rsidR="0047549A">
        <w:t xml:space="preserve"> </w:t>
      </w:r>
      <w:r w:rsidR="00D378D0">
        <w:t xml:space="preserve">(Qld) in </w:t>
      </w:r>
      <w:r w:rsidR="0035424E">
        <w:t>section 279B(2)(</w:t>
      </w:r>
      <w:r w:rsidR="00D93677">
        <w:t xml:space="preserve">f) </w:t>
      </w:r>
      <w:r w:rsidR="0047549A">
        <w:t>should be removed.</w:t>
      </w:r>
      <w:bookmarkEnd w:id="38"/>
    </w:p>
    <w:p w14:paraId="33D94732" w14:textId="6DB8E67B" w:rsidR="00FD7058" w:rsidRDefault="00FD7058" w:rsidP="00FD7058">
      <w:pPr>
        <w:pStyle w:val="Heading4"/>
      </w:pPr>
      <w:r>
        <w:t>Health professionals</w:t>
      </w:r>
      <w:r w:rsidR="00CF25FE">
        <w:t xml:space="preserve"> and whistleblowers</w:t>
      </w:r>
    </w:p>
    <w:p w14:paraId="5E114E71" w14:textId="44DCEF49" w:rsidR="00CF25FE" w:rsidRPr="00CF25FE" w:rsidRDefault="00CF25FE" w:rsidP="00CF25FE">
      <w:pPr>
        <w:pStyle w:val="Numberedparagraph"/>
        <w:rPr>
          <w:szCs w:val="22"/>
        </w:rPr>
      </w:pPr>
      <w:r w:rsidRPr="00C170F1">
        <w:rPr>
          <w:rStyle w:val="eop"/>
          <w:color w:val="000000"/>
          <w:szCs w:val="22"/>
        </w:rPr>
        <w:t xml:space="preserve">Photographs of detainees or of parts of a youth detention centre may also provide evidence of acts or practices that are not compatible with human rights, </w:t>
      </w:r>
      <w:r w:rsidRPr="00CF25FE">
        <w:rPr>
          <w:rStyle w:val="eop"/>
        </w:rPr>
        <w:lastRenderedPageBreak/>
        <w:t>including</w:t>
      </w:r>
      <w:r w:rsidRPr="00C170F1">
        <w:rPr>
          <w:rStyle w:val="eop"/>
          <w:color w:val="000000"/>
          <w:szCs w:val="22"/>
        </w:rPr>
        <w:t xml:space="preserve"> the right to be free from torture and </w:t>
      </w:r>
      <w:r w:rsidR="00A734F2" w:rsidRPr="00C170F1">
        <w:rPr>
          <w:rStyle w:val="eop"/>
          <w:color w:val="000000"/>
          <w:szCs w:val="22"/>
        </w:rPr>
        <w:t xml:space="preserve">cruel, inhuman </w:t>
      </w:r>
      <w:r w:rsidR="0011499F" w:rsidRPr="00C170F1">
        <w:rPr>
          <w:rStyle w:val="eop"/>
          <w:color w:val="000000"/>
          <w:szCs w:val="22"/>
        </w:rPr>
        <w:t>or degrading</w:t>
      </w:r>
      <w:r w:rsidR="00397FA0" w:rsidRPr="00C170F1">
        <w:rPr>
          <w:rStyle w:val="eop"/>
          <w:color w:val="000000"/>
          <w:szCs w:val="22"/>
        </w:rPr>
        <w:t xml:space="preserve"> treatment</w:t>
      </w:r>
      <w:r w:rsidR="008452A7">
        <w:rPr>
          <w:rStyle w:val="eop"/>
          <w:color w:val="000000"/>
          <w:szCs w:val="22"/>
        </w:rPr>
        <w:t xml:space="preserve"> or punishment</w:t>
      </w:r>
      <w:r w:rsidR="005929AC" w:rsidRPr="00C170F1">
        <w:rPr>
          <w:rStyle w:val="eop"/>
          <w:color w:val="000000"/>
          <w:szCs w:val="22"/>
        </w:rPr>
        <w:t xml:space="preserve"> (‘other ill-treatment’)</w:t>
      </w:r>
      <w:r w:rsidRPr="00C170F1">
        <w:rPr>
          <w:rStyle w:val="eop"/>
          <w:color w:val="000000"/>
          <w:szCs w:val="22"/>
        </w:rPr>
        <w:t xml:space="preserve">, and the right to humane conditions of detention. </w:t>
      </w:r>
      <w:r w:rsidR="00365D15" w:rsidRPr="00C170F1">
        <w:rPr>
          <w:rStyle w:val="eop"/>
          <w:color w:val="000000"/>
          <w:szCs w:val="22"/>
        </w:rPr>
        <w:t>I</w:t>
      </w:r>
      <w:r w:rsidR="000C354B" w:rsidRPr="00C170F1">
        <w:rPr>
          <w:rStyle w:val="eop"/>
          <w:color w:val="000000"/>
          <w:szCs w:val="22"/>
        </w:rPr>
        <w:t xml:space="preserve">n closed environments such as </w:t>
      </w:r>
      <w:r w:rsidR="00B06170" w:rsidRPr="00C170F1">
        <w:rPr>
          <w:rStyle w:val="eop"/>
          <w:color w:val="000000"/>
          <w:szCs w:val="22"/>
        </w:rPr>
        <w:t>detention centres</w:t>
      </w:r>
      <w:r w:rsidR="000C354B" w:rsidRPr="00C170F1">
        <w:rPr>
          <w:rStyle w:val="eop"/>
          <w:color w:val="000000"/>
          <w:szCs w:val="22"/>
        </w:rPr>
        <w:t xml:space="preserve"> the</w:t>
      </w:r>
      <w:r w:rsidRPr="00C170F1">
        <w:rPr>
          <w:rStyle w:val="eop"/>
          <w:color w:val="000000"/>
          <w:szCs w:val="22"/>
        </w:rPr>
        <w:t xml:space="preserve"> law should not criminalise </w:t>
      </w:r>
      <w:r w:rsidR="0016113E" w:rsidRPr="00C170F1">
        <w:rPr>
          <w:rStyle w:val="eop"/>
          <w:color w:val="000000"/>
          <w:szCs w:val="22"/>
        </w:rPr>
        <w:t xml:space="preserve">taking </w:t>
      </w:r>
      <w:r w:rsidR="00342C48" w:rsidRPr="00C170F1">
        <w:rPr>
          <w:rStyle w:val="eop"/>
          <w:color w:val="000000"/>
          <w:szCs w:val="22"/>
        </w:rPr>
        <w:t>photograph</w:t>
      </w:r>
      <w:r w:rsidR="0016113E" w:rsidRPr="00C170F1">
        <w:rPr>
          <w:rStyle w:val="eop"/>
          <w:color w:val="000000"/>
          <w:szCs w:val="22"/>
        </w:rPr>
        <w:t>s</w:t>
      </w:r>
      <w:r w:rsidR="00342C48" w:rsidRPr="00C170F1">
        <w:rPr>
          <w:rStyle w:val="eop"/>
          <w:color w:val="000000"/>
          <w:szCs w:val="22"/>
        </w:rPr>
        <w:t xml:space="preserve"> for this purpose.</w:t>
      </w:r>
    </w:p>
    <w:p w14:paraId="209D98EE" w14:textId="52C9D642" w:rsidR="00E02AC2" w:rsidRPr="009819BE" w:rsidRDefault="005C0F06" w:rsidP="009819BE">
      <w:pPr>
        <w:pStyle w:val="Numberedparagraph"/>
      </w:pPr>
      <w:r w:rsidRPr="009819BE">
        <w:t xml:space="preserve">To </w:t>
      </w:r>
      <w:r w:rsidR="00A34B4C" w:rsidRPr="009819BE">
        <w:t xml:space="preserve">effectively </w:t>
      </w:r>
      <w:r w:rsidRPr="009819BE">
        <w:t>protect the ri</w:t>
      </w:r>
      <w:r w:rsidR="003922FE" w:rsidRPr="009819BE">
        <w:t xml:space="preserve">ght to be free from torture and </w:t>
      </w:r>
      <w:r w:rsidR="00657204">
        <w:t>other ill-</w:t>
      </w:r>
      <w:r w:rsidR="00621277">
        <w:t>treatment</w:t>
      </w:r>
      <w:r w:rsidR="003922FE" w:rsidRPr="009819BE">
        <w:t xml:space="preserve"> the Bill </w:t>
      </w:r>
      <w:r w:rsidR="0090042A" w:rsidRPr="009819BE">
        <w:t>must</w:t>
      </w:r>
      <w:r w:rsidR="00AF3BF7" w:rsidRPr="009819BE">
        <w:t xml:space="preserve"> </w:t>
      </w:r>
      <w:r w:rsidR="00E220A7" w:rsidRPr="009819BE">
        <w:t xml:space="preserve">include an exception </w:t>
      </w:r>
      <w:r w:rsidR="00EA0AE5" w:rsidRPr="009819BE">
        <w:t xml:space="preserve">to allow </w:t>
      </w:r>
      <w:r w:rsidR="008666D7" w:rsidRPr="009819BE">
        <w:t>health professionals examining or</w:t>
      </w:r>
      <w:r w:rsidR="00E220A7" w:rsidRPr="009819BE">
        <w:t xml:space="preserve"> treating </w:t>
      </w:r>
      <w:r w:rsidR="00AF2D7E" w:rsidRPr="009819BE">
        <w:t xml:space="preserve">a </w:t>
      </w:r>
      <w:r w:rsidR="008B565E" w:rsidRPr="009819BE">
        <w:t>child</w:t>
      </w:r>
      <w:r w:rsidR="000B77FF" w:rsidRPr="009819BE">
        <w:t xml:space="preserve"> detained</w:t>
      </w:r>
      <w:r w:rsidR="008B565E" w:rsidRPr="009819BE">
        <w:t xml:space="preserve"> in a youth detention centre</w:t>
      </w:r>
      <w:r w:rsidR="007246AF" w:rsidRPr="009819BE">
        <w:t>, whether on reception to the youth detention centre or otherwise,</w:t>
      </w:r>
      <w:r w:rsidR="00AD67E8" w:rsidRPr="009819BE">
        <w:t xml:space="preserve"> to </w:t>
      </w:r>
      <w:r w:rsidR="00574DC4" w:rsidRPr="009819BE">
        <w:t xml:space="preserve">confidentially </w:t>
      </w:r>
      <w:r w:rsidR="00EA0AE5" w:rsidRPr="009819BE">
        <w:t>document</w:t>
      </w:r>
      <w:r w:rsidR="00AD67E8" w:rsidRPr="009819BE">
        <w:t xml:space="preserve"> </w:t>
      </w:r>
      <w:r w:rsidR="008666D7" w:rsidRPr="009819BE">
        <w:t>any injuries</w:t>
      </w:r>
      <w:r w:rsidR="00EA0AE5" w:rsidRPr="009819BE">
        <w:t xml:space="preserve"> observed</w:t>
      </w:r>
      <w:r w:rsidR="00A50268">
        <w:t xml:space="preserve"> by photographic</w:t>
      </w:r>
      <w:r w:rsidR="00573922">
        <w:t xml:space="preserve"> means</w:t>
      </w:r>
      <w:r w:rsidR="00284DC1" w:rsidRPr="009819BE">
        <w:t>.</w:t>
      </w:r>
      <w:r w:rsidR="00284DC1">
        <w:rPr>
          <w:rStyle w:val="FootnoteReference"/>
          <w:color w:val="000000"/>
          <w:szCs w:val="22"/>
        </w:rPr>
        <w:footnoteReference w:id="43"/>
      </w:r>
    </w:p>
    <w:p w14:paraId="4A2C91E9" w14:textId="1DB41486" w:rsidR="0090042A" w:rsidRPr="000E595B" w:rsidRDefault="0090042A" w:rsidP="00790EB8">
      <w:pPr>
        <w:pStyle w:val="Numberedparagraph"/>
        <w:textAlignment w:val="baseline"/>
        <w:rPr>
          <w:color w:val="000000"/>
          <w:szCs w:val="22"/>
        </w:rPr>
      </w:pPr>
      <w:r>
        <w:rPr>
          <w:color w:val="000000"/>
          <w:szCs w:val="22"/>
        </w:rPr>
        <w:t>In addition</w:t>
      </w:r>
      <w:r w:rsidR="009819BE">
        <w:rPr>
          <w:color w:val="000000"/>
          <w:szCs w:val="22"/>
        </w:rPr>
        <w:t xml:space="preserve">, the </w:t>
      </w:r>
      <w:r w:rsidR="000F2F92">
        <w:rPr>
          <w:color w:val="000000"/>
          <w:szCs w:val="22"/>
        </w:rPr>
        <w:t>Bill</w:t>
      </w:r>
      <w:r w:rsidR="000A2150">
        <w:rPr>
          <w:color w:val="000000"/>
          <w:szCs w:val="22"/>
        </w:rPr>
        <w:t xml:space="preserve"> should provide specific protection for whistleblowers who take photographs to </w:t>
      </w:r>
      <w:r w:rsidR="00573922">
        <w:rPr>
          <w:color w:val="000000"/>
          <w:szCs w:val="22"/>
        </w:rPr>
        <w:t xml:space="preserve">document </w:t>
      </w:r>
      <w:r w:rsidR="009F79D5">
        <w:rPr>
          <w:color w:val="000000"/>
          <w:szCs w:val="22"/>
        </w:rPr>
        <w:t xml:space="preserve">concerns </w:t>
      </w:r>
      <w:r w:rsidR="00F60EBC">
        <w:rPr>
          <w:color w:val="000000"/>
          <w:szCs w:val="22"/>
        </w:rPr>
        <w:t xml:space="preserve">about </w:t>
      </w:r>
      <w:r w:rsidR="00CA6FAF">
        <w:rPr>
          <w:color w:val="000000"/>
          <w:szCs w:val="22"/>
        </w:rPr>
        <w:t xml:space="preserve">treatment or </w:t>
      </w:r>
      <w:r w:rsidR="00F60EBC">
        <w:rPr>
          <w:color w:val="000000"/>
          <w:szCs w:val="22"/>
        </w:rPr>
        <w:t xml:space="preserve">practices that may amount to torture or </w:t>
      </w:r>
      <w:r w:rsidR="00B31F76">
        <w:rPr>
          <w:color w:val="000000"/>
          <w:szCs w:val="22"/>
        </w:rPr>
        <w:t>other ill-</w:t>
      </w:r>
      <w:r w:rsidR="00F200D6">
        <w:rPr>
          <w:color w:val="000000"/>
          <w:szCs w:val="22"/>
        </w:rPr>
        <w:t>treatment</w:t>
      </w:r>
      <w:r w:rsidR="00F60EBC">
        <w:rPr>
          <w:color w:val="000000"/>
          <w:szCs w:val="22"/>
        </w:rPr>
        <w:t xml:space="preserve">, or to </w:t>
      </w:r>
      <w:r w:rsidR="00F200D6">
        <w:rPr>
          <w:color w:val="000000"/>
          <w:szCs w:val="22"/>
        </w:rPr>
        <w:t>record</w:t>
      </w:r>
      <w:r w:rsidR="00F60EBC">
        <w:rPr>
          <w:color w:val="000000"/>
          <w:szCs w:val="22"/>
        </w:rPr>
        <w:t xml:space="preserve"> </w:t>
      </w:r>
      <w:r w:rsidR="00CA6FAF">
        <w:rPr>
          <w:color w:val="000000"/>
          <w:szCs w:val="22"/>
        </w:rPr>
        <w:t>inhumane conditions of detention</w:t>
      </w:r>
      <w:r w:rsidR="006A587E">
        <w:rPr>
          <w:color w:val="000000"/>
          <w:szCs w:val="22"/>
        </w:rPr>
        <w:t>, subject to appropriate protections</w:t>
      </w:r>
      <w:r w:rsidR="00A81295">
        <w:rPr>
          <w:color w:val="000000"/>
          <w:szCs w:val="22"/>
        </w:rPr>
        <w:t xml:space="preserve"> relating to disclosure and publication</w:t>
      </w:r>
      <w:r w:rsidR="003F1862">
        <w:rPr>
          <w:color w:val="000000"/>
          <w:szCs w:val="22"/>
        </w:rPr>
        <w:t xml:space="preserve"> to protect</w:t>
      </w:r>
      <w:r w:rsidR="006A587E">
        <w:rPr>
          <w:color w:val="000000"/>
          <w:szCs w:val="22"/>
        </w:rPr>
        <w:t xml:space="preserve"> the privacy of individual children.</w:t>
      </w:r>
    </w:p>
    <w:tbl>
      <w:tblPr>
        <w:tblStyle w:val="TableGrid"/>
        <w:tblW w:w="0" w:type="auto"/>
        <w:shd w:val="clear" w:color="auto" w:fill="004270"/>
        <w:tblLook w:val="04A0" w:firstRow="1" w:lastRow="0" w:firstColumn="1" w:lastColumn="0" w:noHBand="0" w:noVBand="1"/>
      </w:tblPr>
      <w:tblGrid>
        <w:gridCol w:w="8488"/>
      </w:tblGrid>
      <w:tr w:rsidR="002D614C" w14:paraId="59B71F82" w14:textId="77777777" w:rsidTr="002D614C">
        <w:tc>
          <w:tcPr>
            <w:tcW w:w="8488" w:type="dxa"/>
            <w:shd w:val="clear" w:color="auto" w:fill="004270"/>
          </w:tcPr>
          <w:p w14:paraId="0FC91E23" w14:textId="77777777" w:rsidR="002D614C" w:rsidRPr="002D614C" w:rsidRDefault="002D614C" w:rsidP="002D614C">
            <w:pPr>
              <w:pStyle w:val="Heading4"/>
              <w:rPr>
                <w:rFonts w:cs="Arial"/>
                <w:b/>
                <w:bCs/>
                <w:i w:val="0"/>
                <w:iCs w:val="0"/>
                <w:color w:val="FFFFFF" w:themeColor="background1"/>
              </w:rPr>
            </w:pPr>
            <w:r w:rsidRPr="002D614C">
              <w:rPr>
                <w:b/>
                <w:bCs/>
                <w:i w:val="0"/>
                <w:iCs w:val="0"/>
                <w:color w:val="FFFFFF" w:themeColor="background1"/>
              </w:rPr>
              <w:t>Recommendations</w:t>
            </w:r>
          </w:p>
          <w:p w14:paraId="3195E3CE" w14:textId="31DB90B4" w:rsidR="002D614C" w:rsidRPr="002D614C" w:rsidRDefault="002D614C" w:rsidP="003A1288">
            <w:pPr>
              <w:pStyle w:val="Numberedparagraph"/>
              <w:numPr>
                <w:ilvl w:val="0"/>
                <w:numId w:val="4"/>
              </w:numPr>
              <w:spacing w:after="120"/>
              <w:rPr>
                <w:color w:val="FFFFFF" w:themeColor="background1"/>
              </w:rPr>
            </w:pPr>
            <w:r w:rsidRPr="002D614C">
              <w:rPr>
                <w:color w:val="FFFFFF" w:themeColor="background1"/>
              </w:rPr>
              <w:t xml:space="preserve">Remove clause 129, inserting section 279B into the </w:t>
            </w:r>
            <w:r w:rsidRPr="002D614C">
              <w:rPr>
                <w:i/>
                <w:iCs/>
                <w:color w:val="FFFFFF" w:themeColor="background1"/>
              </w:rPr>
              <w:t>Youth Justice Act</w:t>
            </w:r>
            <w:r w:rsidR="00845756">
              <w:rPr>
                <w:i/>
                <w:iCs/>
                <w:color w:val="FFFFFF" w:themeColor="background1"/>
              </w:rPr>
              <w:t xml:space="preserve"> 1992</w:t>
            </w:r>
            <w:r w:rsidR="001D08C3">
              <w:rPr>
                <w:i/>
                <w:iCs/>
                <w:color w:val="FFFFFF" w:themeColor="background1"/>
              </w:rPr>
              <w:t> </w:t>
            </w:r>
            <w:r w:rsidR="00845756">
              <w:rPr>
                <w:color w:val="FFFFFF" w:themeColor="background1"/>
              </w:rPr>
              <w:t>(Qld)</w:t>
            </w:r>
            <w:r w:rsidRPr="002D614C">
              <w:rPr>
                <w:color w:val="FFFFFF" w:themeColor="background1"/>
              </w:rPr>
              <w:t>, from the Bill.</w:t>
            </w:r>
          </w:p>
          <w:p w14:paraId="5E512D6D" w14:textId="77777777" w:rsidR="002D614C" w:rsidRPr="002D614C" w:rsidRDefault="002D614C" w:rsidP="003A1288">
            <w:pPr>
              <w:pStyle w:val="Numberedparagraph"/>
              <w:numPr>
                <w:ilvl w:val="0"/>
                <w:numId w:val="4"/>
              </w:numPr>
              <w:spacing w:after="120"/>
              <w:rPr>
                <w:color w:val="FFFFFF" w:themeColor="background1"/>
              </w:rPr>
            </w:pPr>
            <w:r w:rsidRPr="002D614C">
              <w:rPr>
                <w:color w:val="FFFFFF" w:themeColor="background1"/>
              </w:rPr>
              <w:t>If section 279B is retained:</w:t>
            </w:r>
          </w:p>
          <w:p w14:paraId="6B489566" w14:textId="47F573FA" w:rsidR="002D614C" w:rsidRPr="002D614C" w:rsidRDefault="002D614C" w:rsidP="002D614C">
            <w:pPr>
              <w:pStyle w:val="Bulletedlist"/>
              <w:rPr>
                <w:color w:val="FFFFFF" w:themeColor="background1"/>
              </w:rPr>
            </w:pPr>
            <w:r w:rsidRPr="002D614C">
              <w:rPr>
                <w:color w:val="FFFFFF" w:themeColor="background1"/>
              </w:rPr>
              <w:t xml:space="preserve">amend section 279B(2)(f) to replace ‘the Human Rights Commissioner under the </w:t>
            </w:r>
            <w:r w:rsidRPr="002D614C">
              <w:rPr>
                <w:i/>
                <w:iCs/>
                <w:color w:val="FFFFFF" w:themeColor="background1"/>
              </w:rPr>
              <w:t>Anti-Discrimination Act 1991</w:t>
            </w:r>
            <w:r w:rsidRPr="002D614C">
              <w:rPr>
                <w:color w:val="FFFFFF" w:themeColor="background1"/>
              </w:rPr>
              <w:t>’ with the ‘Queensland Human Rights Commissioner’</w:t>
            </w:r>
            <w:r w:rsidR="00190FD6">
              <w:rPr>
                <w:color w:val="FFFFFF" w:themeColor="background1"/>
              </w:rPr>
              <w:t>;</w:t>
            </w:r>
          </w:p>
          <w:p w14:paraId="5A984BFC" w14:textId="65CD4520" w:rsidR="002D614C" w:rsidRPr="002D614C" w:rsidRDefault="002D614C" w:rsidP="002D614C">
            <w:pPr>
              <w:pStyle w:val="Bulletedlist"/>
              <w:rPr>
                <w:color w:val="FFFFFF" w:themeColor="background1"/>
              </w:rPr>
            </w:pPr>
            <w:r w:rsidRPr="002D614C">
              <w:rPr>
                <w:color w:val="FFFFFF" w:themeColor="background1"/>
              </w:rPr>
              <w:t>include an additional exception in section 279B(2) for health professionals examining or treating a detainee</w:t>
            </w:r>
            <w:r w:rsidR="00190FD6">
              <w:rPr>
                <w:color w:val="FFFFFF" w:themeColor="background1"/>
              </w:rPr>
              <w:t>; and</w:t>
            </w:r>
          </w:p>
          <w:p w14:paraId="354957B9" w14:textId="7DCA37A5" w:rsidR="002D614C" w:rsidRPr="002D614C" w:rsidRDefault="002D614C" w:rsidP="002D614C">
            <w:pPr>
              <w:pStyle w:val="Bulletedlist"/>
            </w:pPr>
            <w:r w:rsidRPr="002D614C">
              <w:rPr>
                <w:color w:val="FFFFFF" w:themeColor="background1"/>
              </w:rPr>
              <w:t>include an additional specific exception in the Bill to protect whistleblowers.</w:t>
            </w:r>
          </w:p>
        </w:tc>
      </w:tr>
    </w:tbl>
    <w:p w14:paraId="6F76BA82" w14:textId="77777777" w:rsidR="009864C1" w:rsidRDefault="009864C1" w:rsidP="009864C1">
      <w:pPr>
        <w:pStyle w:val="Numberedparagraph"/>
        <w:numPr>
          <w:ilvl w:val="0"/>
          <w:numId w:val="0"/>
        </w:numPr>
      </w:pPr>
    </w:p>
    <w:p w14:paraId="3775F9C5" w14:textId="781C4457" w:rsidR="002205B6" w:rsidRDefault="00710E69" w:rsidP="00710E69">
      <w:pPr>
        <w:pStyle w:val="Heading2"/>
      </w:pPr>
      <w:bookmarkStart w:id="39" w:name="_Toc166839062"/>
      <w:r>
        <w:t>Recording detainee calls</w:t>
      </w:r>
      <w:bookmarkEnd w:id="39"/>
      <w:r>
        <w:t xml:space="preserve"> </w:t>
      </w:r>
    </w:p>
    <w:p w14:paraId="38BAA9F1" w14:textId="60365D97" w:rsidR="00EB4D60" w:rsidRDefault="00EB4D60" w:rsidP="00851328">
      <w:pPr>
        <w:pStyle w:val="Heading3"/>
      </w:pPr>
      <w:bookmarkStart w:id="40" w:name="_Toc166839063"/>
      <w:r>
        <w:t xml:space="preserve">Prescribing </w:t>
      </w:r>
      <w:r w:rsidR="000129ED">
        <w:t>by regulation the ability to record certain calls</w:t>
      </w:r>
      <w:bookmarkEnd w:id="40"/>
    </w:p>
    <w:p w14:paraId="27864365" w14:textId="27F2AB6A" w:rsidR="000129ED" w:rsidRDefault="000129ED" w:rsidP="000129ED">
      <w:pPr>
        <w:pStyle w:val="Numberedparagraph"/>
      </w:pPr>
      <w:r>
        <w:t xml:space="preserve">The Bill </w:t>
      </w:r>
      <w:r w:rsidR="0045237E">
        <w:t>a</w:t>
      </w:r>
      <w:r w:rsidR="0035267E">
        <w:t xml:space="preserve">mends </w:t>
      </w:r>
      <w:r w:rsidR="0035267E" w:rsidRPr="0035267E">
        <w:t xml:space="preserve">section 263A of the </w:t>
      </w:r>
      <w:r w:rsidR="0035267E" w:rsidRPr="0035267E">
        <w:rPr>
          <w:i/>
          <w:iCs/>
        </w:rPr>
        <w:t>Youth Justice Act 1992</w:t>
      </w:r>
      <w:r w:rsidR="0035267E" w:rsidRPr="0035267E">
        <w:t xml:space="preserve"> (Qld) </w:t>
      </w:r>
      <w:r w:rsidR="0035267E">
        <w:t xml:space="preserve">to permit the </w:t>
      </w:r>
      <w:r w:rsidR="0045237E">
        <w:t xml:space="preserve">recording of telephone calls </w:t>
      </w:r>
      <w:r w:rsidR="00857348">
        <w:t>when</w:t>
      </w:r>
      <w:r w:rsidR="0013111F">
        <w:t xml:space="preserve"> done for a purpose</w:t>
      </w:r>
      <w:r w:rsidR="00B1782C">
        <w:t xml:space="preserve"> </w:t>
      </w:r>
      <w:r w:rsidR="0045237E">
        <w:t>prescribed by regulation. As the proposed circumstances in which calls will be recorded</w:t>
      </w:r>
      <w:r w:rsidR="0035267E">
        <w:t xml:space="preserve"> </w:t>
      </w:r>
      <w:r w:rsidR="0045237E">
        <w:t xml:space="preserve">are not yet clear, it is difficult for the Commission to </w:t>
      </w:r>
      <w:r w:rsidR="0035267E">
        <w:t>comment on whether the proposal will be compatible with human rights.</w:t>
      </w:r>
    </w:p>
    <w:p w14:paraId="7816766B" w14:textId="19C4AFAB" w:rsidR="00CC2DB9" w:rsidRDefault="00CC2DB9" w:rsidP="000129ED">
      <w:pPr>
        <w:pStyle w:val="Numberedparagraph"/>
      </w:pPr>
      <w:r>
        <w:t xml:space="preserve">The Commission has reservations about </w:t>
      </w:r>
      <w:r w:rsidR="00385C00">
        <w:t>recording ca</w:t>
      </w:r>
      <w:r w:rsidR="00A04696">
        <w:t>lls of children</w:t>
      </w:r>
      <w:r w:rsidR="001E44C4">
        <w:t xml:space="preserve"> in detention unless there </w:t>
      </w:r>
      <w:r w:rsidR="00A076C0">
        <w:t>are</w:t>
      </w:r>
      <w:r w:rsidR="001E44C4">
        <w:t xml:space="preserve"> compelling reason</w:t>
      </w:r>
      <w:r w:rsidR="00A076C0">
        <w:t>s</w:t>
      </w:r>
      <w:r w:rsidR="001E44C4">
        <w:t xml:space="preserve"> </w:t>
      </w:r>
      <w:r w:rsidR="00A076C0">
        <w:t>to</w:t>
      </w:r>
      <w:r w:rsidR="001E44C4">
        <w:t xml:space="preserve"> justif</w:t>
      </w:r>
      <w:r w:rsidR="00554364">
        <w:t>y</w:t>
      </w:r>
      <w:r w:rsidR="001E44C4">
        <w:t xml:space="preserve"> it. If there is strong evidence, for </w:t>
      </w:r>
      <w:r w:rsidR="001E44C4">
        <w:lastRenderedPageBreak/>
        <w:t>instance, that children are frequently using the phone service to breach domestic violence orders or intim</w:t>
      </w:r>
      <w:r w:rsidR="00BB6FCE">
        <w:t>id</w:t>
      </w:r>
      <w:r w:rsidR="001E44C4">
        <w:t>ate witnesses,</w:t>
      </w:r>
      <w:r w:rsidR="00CE7206">
        <w:rPr>
          <w:rStyle w:val="FootnoteReference"/>
        </w:rPr>
        <w:footnoteReference w:id="44"/>
      </w:r>
      <w:r w:rsidR="001E44C4">
        <w:t xml:space="preserve"> </w:t>
      </w:r>
      <w:r w:rsidR="00D01871">
        <w:t>these</w:t>
      </w:r>
      <w:r w:rsidR="001E44C4">
        <w:t xml:space="preserve"> may be legitimate reasons</w:t>
      </w:r>
      <w:r w:rsidR="00A076C0">
        <w:t xml:space="preserve"> to limit rights</w:t>
      </w:r>
      <w:r w:rsidR="001E44C4">
        <w:t>.</w:t>
      </w:r>
      <w:r w:rsidR="005B5803">
        <w:t xml:space="preserve"> This should be balanced </w:t>
      </w:r>
      <w:r w:rsidR="002F358A">
        <w:t xml:space="preserve">with the fact that </w:t>
      </w:r>
      <w:r w:rsidR="00A076C0">
        <w:t xml:space="preserve">recording interferes with </w:t>
      </w:r>
      <w:r w:rsidR="009151CE">
        <w:t xml:space="preserve">the privacy of children’s phone </w:t>
      </w:r>
      <w:r w:rsidR="00A076C0">
        <w:t>calls and may limit the right to family (since calls will include those with parents and siblings</w:t>
      </w:r>
      <w:r w:rsidR="000C4D7D">
        <w:t>) and</w:t>
      </w:r>
      <w:r w:rsidR="009151CE">
        <w:t xml:space="preserve"> </w:t>
      </w:r>
      <w:r w:rsidR="00A076C0">
        <w:t>be contrary to the</w:t>
      </w:r>
      <w:r w:rsidR="009151CE">
        <w:t xml:space="preserve"> child’s best interests. </w:t>
      </w:r>
      <w:r w:rsidR="003F1609">
        <w:t>The child’s best</w:t>
      </w:r>
      <w:r w:rsidR="00D01871">
        <w:t xml:space="preserve"> interests should </w:t>
      </w:r>
      <w:r w:rsidR="000B08CC">
        <w:t>make allowance for</w:t>
      </w:r>
      <w:r w:rsidR="00D01871">
        <w:t xml:space="preserve"> </w:t>
      </w:r>
      <w:r w:rsidR="005B5803">
        <w:t xml:space="preserve">the relative immaturity and </w:t>
      </w:r>
      <w:r w:rsidR="00ED26AD">
        <w:t xml:space="preserve">lack of </w:t>
      </w:r>
      <w:r w:rsidR="00BB13DB">
        <w:t xml:space="preserve">discretion that children are likely to </w:t>
      </w:r>
      <w:r w:rsidR="00CC61B8">
        <w:t>exhibit in their communications</w:t>
      </w:r>
      <w:r w:rsidR="00BB13DB">
        <w:t xml:space="preserve"> compared with adult prisoners.</w:t>
      </w:r>
    </w:p>
    <w:p w14:paraId="5AD5C635" w14:textId="550B365A" w:rsidR="00C45539" w:rsidRPr="000129ED" w:rsidRDefault="00CE7206" w:rsidP="000129ED">
      <w:pPr>
        <w:pStyle w:val="Numberedparagraph"/>
      </w:pPr>
      <w:r>
        <w:t>A</w:t>
      </w:r>
      <w:r w:rsidR="004E38A3">
        <w:t xml:space="preserve">ny subsequent changes to the </w:t>
      </w:r>
      <w:r w:rsidR="004E38A3" w:rsidRPr="00CE7206">
        <w:rPr>
          <w:i/>
        </w:rPr>
        <w:t>Youth Justice Regulation</w:t>
      </w:r>
      <w:r w:rsidR="00477003" w:rsidRPr="00CE7206">
        <w:rPr>
          <w:i/>
        </w:rPr>
        <w:t xml:space="preserve"> 2016</w:t>
      </w:r>
      <w:r>
        <w:rPr>
          <w:i/>
        </w:rPr>
        <w:t xml:space="preserve"> </w:t>
      </w:r>
      <w:r>
        <w:t>will need to be accompanied by</w:t>
      </w:r>
      <w:r w:rsidR="004E38A3">
        <w:t xml:space="preserve"> </w:t>
      </w:r>
      <w:r w:rsidR="00C071C7">
        <w:t>a Human Rights Certificate</w:t>
      </w:r>
      <w:r>
        <w:t xml:space="preserve"> </w:t>
      </w:r>
      <w:r w:rsidR="004E38A3">
        <w:t>explain</w:t>
      </w:r>
      <w:r>
        <w:t>ing</w:t>
      </w:r>
      <w:r w:rsidR="004E38A3">
        <w:t xml:space="preserve"> how </w:t>
      </w:r>
      <w:r w:rsidR="004031B5">
        <w:t>the proposed approach to recording calls</w:t>
      </w:r>
      <w:r w:rsidR="004E38A3">
        <w:t xml:space="preserve"> is compatible with human rights.</w:t>
      </w:r>
      <w:r w:rsidR="004031B5">
        <w:t xml:space="preserve"> </w:t>
      </w:r>
      <w:r w:rsidR="00FF5E71">
        <w:t xml:space="preserve">This process </w:t>
      </w:r>
      <w:r w:rsidR="00ED3D16">
        <w:t>results in</w:t>
      </w:r>
      <w:r w:rsidR="004031B5">
        <w:t xml:space="preserve"> significantly reduced </w:t>
      </w:r>
      <w:r w:rsidR="0045359B">
        <w:t xml:space="preserve">parliamentary </w:t>
      </w:r>
      <w:r w:rsidR="004031B5">
        <w:t xml:space="preserve">scrutiny of regulations compared with primary legislation. </w:t>
      </w:r>
      <w:r w:rsidR="00EA3F97">
        <w:t>K</w:t>
      </w:r>
      <w:r w:rsidR="004031B5">
        <w:t xml:space="preserve">ey stakeholders </w:t>
      </w:r>
      <w:r w:rsidR="00EA3F97">
        <w:t xml:space="preserve">must therefore be </w:t>
      </w:r>
      <w:r w:rsidR="008D3F91">
        <w:t xml:space="preserve">consulted regarding </w:t>
      </w:r>
      <w:r w:rsidR="004E38A3">
        <w:t>amendments to the Youth Justice Regulation.</w:t>
      </w:r>
    </w:p>
    <w:p w14:paraId="2D241BB1" w14:textId="0DD17D25" w:rsidR="00851328" w:rsidRDefault="00851328" w:rsidP="00851328">
      <w:pPr>
        <w:pStyle w:val="Heading3"/>
      </w:pPr>
      <w:bookmarkStart w:id="41" w:name="_Toc166839064"/>
      <w:r>
        <w:t>Calls with the Commission</w:t>
      </w:r>
      <w:bookmarkEnd w:id="41"/>
    </w:p>
    <w:p w14:paraId="69154B8C" w14:textId="075B2458" w:rsidR="00F96DDE" w:rsidRDefault="00D812C7" w:rsidP="00F96DDE">
      <w:pPr>
        <w:pStyle w:val="Numberedparagraph"/>
      </w:pPr>
      <w:r>
        <w:t>The Commission supports a change</w:t>
      </w:r>
      <w:r w:rsidR="009650C2">
        <w:t xml:space="preserve"> to</w:t>
      </w:r>
      <w:r w:rsidR="00720F1B">
        <w:t xml:space="preserve"> make it</w:t>
      </w:r>
      <w:r>
        <w:t xml:space="preserve"> clearer that calls </w:t>
      </w:r>
      <w:r w:rsidR="00C4299E">
        <w:t>between a</w:t>
      </w:r>
      <w:r>
        <w:t xml:space="preserve"> child in a detention centre and the Queensland Human Rights Commission</w:t>
      </w:r>
      <w:r w:rsidR="000A1416">
        <w:t xml:space="preserve"> </w:t>
      </w:r>
      <w:r w:rsidR="00E04058">
        <w:t xml:space="preserve">should </w:t>
      </w:r>
      <w:r w:rsidR="009650C2">
        <w:t>not be recorded.</w:t>
      </w:r>
      <w:r w:rsidR="00F96DDE" w:rsidRPr="00F96DDE">
        <w:t xml:space="preserve"> </w:t>
      </w:r>
      <w:r w:rsidR="00F96DDE">
        <w:t xml:space="preserve">The Commission has previously recommended that a similar change be made under the </w:t>
      </w:r>
      <w:r w:rsidR="00F96DDE" w:rsidRPr="0098596E">
        <w:rPr>
          <w:i/>
        </w:rPr>
        <w:t>Corrective Services Act</w:t>
      </w:r>
      <w:r w:rsidR="00F96DDE">
        <w:t xml:space="preserve"> </w:t>
      </w:r>
      <w:r w:rsidR="00F96DDE">
        <w:rPr>
          <w:i/>
          <w:iCs/>
        </w:rPr>
        <w:t xml:space="preserve">2006 </w:t>
      </w:r>
      <w:r w:rsidR="00F96DDE">
        <w:t>(Qld) section 52E, to ensure that calls by adults are not monitored or recorded, but this has not been implemented to date.</w:t>
      </w:r>
      <w:r w:rsidR="00F96DDE">
        <w:rPr>
          <w:rStyle w:val="FootnoteReference"/>
        </w:rPr>
        <w:footnoteReference w:id="45"/>
      </w:r>
    </w:p>
    <w:p w14:paraId="3E53995F" w14:textId="1FAAC808" w:rsidR="008452A7" w:rsidRDefault="008452A7" w:rsidP="008452A7">
      <w:pPr>
        <w:pStyle w:val="Numberedparagraph"/>
        <w:widowControl w:val="0"/>
      </w:pPr>
      <w:r>
        <w:t xml:space="preserve">However, as discussed above at </w:t>
      </w:r>
      <w:r w:rsidRPr="008D5ABF">
        <w:t>[</w:t>
      </w:r>
      <w:r w:rsidRPr="00D13F91">
        <w:rPr>
          <w:highlight w:val="yellow"/>
        </w:rPr>
        <w:fldChar w:fldCharType="begin"/>
      </w:r>
      <w:r w:rsidRPr="008D5ABF">
        <w:instrText xml:space="preserve"> REF _Ref166685008 \r \h </w:instrText>
      </w:r>
      <w:r>
        <w:rPr>
          <w:highlight w:val="yellow"/>
        </w:rPr>
        <w:instrText xml:space="preserve"> \* MERGEFORMAT </w:instrText>
      </w:r>
      <w:r w:rsidRPr="00D13F91">
        <w:rPr>
          <w:highlight w:val="yellow"/>
        </w:rPr>
      </w:r>
      <w:r w:rsidRPr="00D13F91">
        <w:rPr>
          <w:highlight w:val="yellow"/>
        </w:rPr>
        <w:fldChar w:fldCharType="separate"/>
      </w:r>
      <w:r w:rsidR="0089137B">
        <w:t>80</w:t>
      </w:r>
      <w:r w:rsidRPr="00D13F91">
        <w:rPr>
          <w:highlight w:val="yellow"/>
        </w:rPr>
        <w:fldChar w:fldCharType="end"/>
      </w:r>
      <w:r w:rsidRPr="008D5ABF">
        <w:t>]‒[</w:t>
      </w:r>
      <w:r>
        <w:rPr>
          <w:color w:val="000000"/>
          <w:szCs w:val="22"/>
        </w:rPr>
        <w:fldChar w:fldCharType="begin"/>
      </w:r>
      <w:r>
        <w:rPr>
          <w:color w:val="000000"/>
          <w:szCs w:val="22"/>
        </w:rPr>
        <w:instrText xml:space="preserve"> REF _Ref166756482 \r \h </w:instrText>
      </w:r>
      <w:r>
        <w:rPr>
          <w:color w:val="000000"/>
          <w:szCs w:val="22"/>
        </w:rPr>
      </w:r>
      <w:r>
        <w:rPr>
          <w:color w:val="000000"/>
          <w:szCs w:val="22"/>
        </w:rPr>
        <w:fldChar w:fldCharType="separate"/>
      </w:r>
      <w:r w:rsidR="0089137B">
        <w:rPr>
          <w:color w:val="000000"/>
          <w:szCs w:val="22"/>
        </w:rPr>
        <w:t>81</w:t>
      </w:r>
      <w:r>
        <w:rPr>
          <w:color w:val="000000"/>
          <w:szCs w:val="22"/>
        </w:rPr>
        <w:fldChar w:fldCharType="end"/>
      </w:r>
      <w:r w:rsidRPr="008D5ABF">
        <w:t>]</w:t>
      </w:r>
      <w:r>
        <w:t xml:space="preserve">, the proposed wording of ‘the Human Rights Commissioner under the </w:t>
      </w:r>
      <w:r>
        <w:rPr>
          <w:i/>
          <w:iCs/>
        </w:rPr>
        <w:t>Anti-Discrimination Act 1991</w:t>
      </w:r>
      <w:r>
        <w:t>’ is unnecessarily confusing and may be interpreted too restrictively. Any reference should be to the Queensland Human Rights Commissioner without qualification by reference to a particular Act.</w:t>
      </w:r>
    </w:p>
    <w:tbl>
      <w:tblPr>
        <w:tblStyle w:val="TableGrid"/>
        <w:tblpPr w:leftFromText="180" w:rightFromText="180" w:vertAnchor="text" w:tblpY="1"/>
        <w:tblOverlap w:val="never"/>
        <w:tblW w:w="8573" w:type="dxa"/>
        <w:shd w:val="clear" w:color="auto" w:fill="004270"/>
        <w:tblLook w:val="04A0" w:firstRow="1" w:lastRow="0" w:firstColumn="1" w:lastColumn="0" w:noHBand="0" w:noVBand="1"/>
      </w:tblPr>
      <w:tblGrid>
        <w:gridCol w:w="8573"/>
      </w:tblGrid>
      <w:tr w:rsidR="00B30F9C" w14:paraId="42DADC5E" w14:textId="77777777" w:rsidTr="008452A7">
        <w:trPr>
          <w:trHeight w:val="3251"/>
        </w:trPr>
        <w:tc>
          <w:tcPr>
            <w:tcW w:w="8573" w:type="dxa"/>
            <w:shd w:val="clear" w:color="auto" w:fill="004270"/>
          </w:tcPr>
          <w:p w14:paraId="74219CE2" w14:textId="108A8BF9" w:rsidR="00B30F9C" w:rsidRPr="00A47172" w:rsidRDefault="00B30F9C" w:rsidP="008452A7">
            <w:pPr>
              <w:pStyle w:val="Heading4"/>
              <w:rPr>
                <w:b/>
                <w:bCs/>
                <w:i w:val="0"/>
                <w:iCs w:val="0"/>
                <w:color w:val="FFFFFF" w:themeColor="background1"/>
              </w:rPr>
            </w:pPr>
            <w:r w:rsidRPr="00A47172">
              <w:rPr>
                <w:b/>
                <w:bCs/>
                <w:i w:val="0"/>
                <w:iCs w:val="0"/>
                <w:color w:val="FFFFFF" w:themeColor="background1"/>
              </w:rPr>
              <w:t>Recommendation</w:t>
            </w:r>
            <w:r w:rsidR="008452A7">
              <w:rPr>
                <w:b/>
                <w:bCs/>
                <w:i w:val="0"/>
                <w:iCs w:val="0"/>
                <w:color w:val="FFFFFF" w:themeColor="background1"/>
              </w:rPr>
              <w:t>s</w:t>
            </w:r>
          </w:p>
          <w:p w14:paraId="488C6DFB" w14:textId="77777777" w:rsidR="00B30F9C" w:rsidRPr="00A47172" w:rsidRDefault="00B30F9C" w:rsidP="008452A7">
            <w:pPr>
              <w:pStyle w:val="Numberedparagraph"/>
              <w:numPr>
                <w:ilvl w:val="0"/>
                <w:numId w:val="4"/>
              </w:numPr>
              <w:spacing w:after="120"/>
              <w:rPr>
                <w:color w:val="FFFFFF" w:themeColor="background1"/>
              </w:rPr>
            </w:pPr>
            <w:r w:rsidRPr="00A47172">
              <w:rPr>
                <w:color w:val="FFFFFF" w:themeColor="background1"/>
              </w:rPr>
              <w:t xml:space="preserve">Amend the Bill to replace the reference in section 263A(3)(i) to ‘the Human Rights Commissioner under the </w:t>
            </w:r>
            <w:r w:rsidRPr="00A47172">
              <w:rPr>
                <w:i/>
                <w:iCs/>
                <w:color w:val="FFFFFF" w:themeColor="background1"/>
              </w:rPr>
              <w:t>Anti-Discrimination Act 1991</w:t>
            </w:r>
            <w:r w:rsidRPr="00A47172">
              <w:rPr>
                <w:color w:val="FFFFFF" w:themeColor="background1"/>
              </w:rPr>
              <w:t>’ with the ‘Queensland Human Rights Commissioner’.</w:t>
            </w:r>
          </w:p>
          <w:p w14:paraId="70853F50" w14:textId="65FFC50A" w:rsidR="00B30F9C" w:rsidRPr="008452A7" w:rsidRDefault="00B30F9C" w:rsidP="008452A7">
            <w:pPr>
              <w:pStyle w:val="Numberedparagraph"/>
              <w:numPr>
                <w:ilvl w:val="0"/>
                <w:numId w:val="4"/>
              </w:numPr>
              <w:spacing w:after="120"/>
              <w:rPr>
                <w:color w:val="FFFFFF" w:themeColor="background1"/>
              </w:rPr>
            </w:pPr>
            <w:r w:rsidRPr="00A47172">
              <w:rPr>
                <w:color w:val="FFFFFF" w:themeColor="background1"/>
              </w:rPr>
              <w:t xml:space="preserve">For consistency across statutes, add the Queensland Human Rights Commissioner to a list of oversight bodies listed under section 52E of the </w:t>
            </w:r>
            <w:r w:rsidRPr="00A47172">
              <w:rPr>
                <w:i/>
                <w:iCs/>
                <w:color w:val="FFFFFF" w:themeColor="background1"/>
              </w:rPr>
              <w:t xml:space="preserve">Corrective Services Act 2006 </w:t>
            </w:r>
            <w:r w:rsidRPr="00A47172">
              <w:rPr>
                <w:color w:val="FFFFFF" w:themeColor="background1"/>
              </w:rPr>
              <w:t>(Qld) to enable prisoners to freely contact the Commission without their communications being subject to recording or monitoring.</w:t>
            </w:r>
          </w:p>
        </w:tc>
      </w:tr>
    </w:tbl>
    <w:p w14:paraId="7C98F652" w14:textId="77777777" w:rsidR="008452A7" w:rsidRDefault="008452A7" w:rsidP="008452A7">
      <w:pPr>
        <w:pStyle w:val="Numberedparagraph"/>
        <w:numPr>
          <w:ilvl w:val="0"/>
          <w:numId w:val="0"/>
        </w:numPr>
        <w:ind w:left="567" w:hanging="567"/>
      </w:pPr>
    </w:p>
    <w:tbl>
      <w:tblPr>
        <w:tblStyle w:val="TableGrid"/>
        <w:tblpPr w:leftFromText="180" w:rightFromText="180" w:vertAnchor="text" w:tblpY="1"/>
        <w:tblOverlap w:val="never"/>
        <w:tblW w:w="8573" w:type="dxa"/>
        <w:shd w:val="clear" w:color="auto" w:fill="004270"/>
        <w:tblLook w:val="04A0" w:firstRow="1" w:lastRow="0" w:firstColumn="1" w:lastColumn="0" w:noHBand="0" w:noVBand="1"/>
      </w:tblPr>
      <w:tblGrid>
        <w:gridCol w:w="8573"/>
      </w:tblGrid>
      <w:tr w:rsidR="008452A7" w14:paraId="7FFBC73E" w14:textId="77777777" w:rsidTr="008452A7">
        <w:trPr>
          <w:trHeight w:val="1833"/>
        </w:trPr>
        <w:tc>
          <w:tcPr>
            <w:tcW w:w="8573" w:type="dxa"/>
            <w:shd w:val="clear" w:color="auto" w:fill="004270"/>
          </w:tcPr>
          <w:p w14:paraId="4C76729A" w14:textId="5E3ACEB8" w:rsidR="008452A7" w:rsidRPr="00A47172" w:rsidRDefault="008452A7" w:rsidP="005D0824">
            <w:pPr>
              <w:pStyle w:val="Heading4"/>
              <w:rPr>
                <w:b/>
                <w:bCs/>
                <w:i w:val="0"/>
                <w:iCs w:val="0"/>
                <w:color w:val="FFFFFF" w:themeColor="background1"/>
              </w:rPr>
            </w:pPr>
            <w:r w:rsidRPr="00A47172">
              <w:rPr>
                <w:b/>
                <w:bCs/>
                <w:i w:val="0"/>
                <w:iCs w:val="0"/>
                <w:color w:val="FFFFFF" w:themeColor="background1"/>
              </w:rPr>
              <w:t>Recommendation</w:t>
            </w:r>
            <w:r>
              <w:rPr>
                <w:b/>
                <w:bCs/>
                <w:i w:val="0"/>
                <w:iCs w:val="0"/>
                <w:color w:val="FFFFFF" w:themeColor="background1"/>
              </w:rPr>
              <w:t>s (</w:t>
            </w:r>
            <w:proofErr w:type="spellStart"/>
            <w:r>
              <w:rPr>
                <w:b/>
                <w:bCs/>
                <w:i w:val="0"/>
                <w:iCs w:val="0"/>
                <w:color w:val="FFFFFF" w:themeColor="background1"/>
              </w:rPr>
              <w:t>cont</w:t>
            </w:r>
            <w:proofErr w:type="spellEnd"/>
            <w:r>
              <w:rPr>
                <w:b/>
                <w:bCs/>
                <w:i w:val="0"/>
                <w:iCs w:val="0"/>
                <w:color w:val="FFFFFF" w:themeColor="background1"/>
              </w:rPr>
              <w:t>)</w:t>
            </w:r>
          </w:p>
          <w:p w14:paraId="108957D9" w14:textId="77777777" w:rsidR="008452A7" w:rsidRPr="00A47172" w:rsidRDefault="008452A7" w:rsidP="005D0824">
            <w:pPr>
              <w:pStyle w:val="Numberedparagraph"/>
              <w:numPr>
                <w:ilvl w:val="0"/>
                <w:numId w:val="4"/>
              </w:numPr>
              <w:spacing w:after="120"/>
            </w:pPr>
            <w:r w:rsidRPr="00A47172">
              <w:rPr>
                <w:color w:val="FFFFFF" w:themeColor="background1"/>
              </w:rPr>
              <w:t>Key stakeholders including the Queensland Human Rights Commission should be engaged in the development of subsequent amendments to the Youth Justice Regulation to prescribe the situations in which calls can be recorded.</w:t>
            </w:r>
          </w:p>
        </w:tc>
      </w:tr>
    </w:tbl>
    <w:p w14:paraId="32AA5B1F" w14:textId="77777777" w:rsidR="008452A7" w:rsidRDefault="008452A7" w:rsidP="00B30F9C">
      <w:pPr>
        <w:pStyle w:val="Numberedparagraph"/>
        <w:numPr>
          <w:ilvl w:val="0"/>
          <w:numId w:val="0"/>
        </w:numPr>
        <w:ind w:left="567"/>
      </w:pPr>
    </w:p>
    <w:p w14:paraId="3203E2B2" w14:textId="6144E92C" w:rsidR="002205B6" w:rsidRDefault="0086357D" w:rsidP="00710E69">
      <w:pPr>
        <w:pStyle w:val="Heading2"/>
      </w:pPr>
      <w:bookmarkStart w:id="42" w:name="_Toc166839065"/>
      <w:r>
        <w:t>D</w:t>
      </w:r>
      <w:r w:rsidR="00FC02B0">
        <w:t>etention as a last resort</w:t>
      </w:r>
      <w:bookmarkEnd w:id="42"/>
    </w:p>
    <w:p w14:paraId="1D4B9D56" w14:textId="3CE28B40" w:rsidR="00683390" w:rsidRDefault="00103854" w:rsidP="00E93FF5">
      <w:pPr>
        <w:pStyle w:val="Numberedparagraph"/>
      </w:pPr>
      <w:r>
        <w:t xml:space="preserve">The Bill amends the Youth Justice Principles that currently state that </w:t>
      </w:r>
      <w:r w:rsidR="00E36394">
        <w:t>detention of children in custody is the last resort option.</w:t>
      </w:r>
      <w:r w:rsidR="00295690">
        <w:rPr>
          <w:rStyle w:val="FootnoteReference"/>
        </w:rPr>
        <w:footnoteReference w:id="46"/>
      </w:r>
      <w:r w:rsidR="002D2258">
        <w:t xml:space="preserve"> The proposed amendment seeks to rephrase this </w:t>
      </w:r>
      <w:r w:rsidR="00295690">
        <w:t>principle to</w:t>
      </w:r>
      <w:r w:rsidR="00E93FF5">
        <w:t xml:space="preserve"> state that </w:t>
      </w:r>
      <w:r w:rsidR="00EF54CE" w:rsidRPr="00EF54CE">
        <w:t xml:space="preserve">a child should be detained in custody only when necessary, particularly to ensure community safety, when non-custodial measures would not suffice. </w:t>
      </w:r>
      <w:r w:rsidR="00683390">
        <w:t>The amended wording includes</w:t>
      </w:r>
      <w:r w:rsidR="00E73AA3">
        <w:t xml:space="preserve"> clarification</w:t>
      </w:r>
      <w:r w:rsidR="00EF54CE" w:rsidRPr="00EF54CE">
        <w:t xml:space="preserve"> that detention should not exceed the time required to achieve its purpose. </w:t>
      </w:r>
    </w:p>
    <w:p w14:paraId="6AB92C12" w14:textId="745BA992" w:rsidR="006F53FA" w:rsidRDefault="006F53FA" w:rsidP="006F53FA">
      <w:pPr>
        <w:pStyle w:val="Numberedparagraph"/>
      </w:pPr>
      <w:r w:rsidRPr="00003C7F">
        <w:t>Detention as a last resort acknowledges that in certain cases, such as when offenders pose a threat to public safety or have committed serious crimes, detention may be necessary. However, it does not imply that there are no effective alternatives for addressing youth offending. Many countries have implemented diversion and prevention programs aimed at reducing rec</w:t>
      </w:r>
      <w:r w:rsidR="00AC60DA">
        <w:t>riminalisation</w:t>
      </w:r>
      <w:r w:rsidRPr="00003C7F">
        <w:t>.</w:t>
      </w:r>
    </w:p>
    <w:p w14:paraId="0204C32D" w14:textId="700AC3AE" w:rsidR="00DF7F8E" w:rsidRDefault="00DF7F8E" w:rsidP="00E93FF5">
      <w:pPr>
        <w:pStyle w:val="Numberedparagraph"/>
      </w:pPr>
      <w:r>
        <w:t xml:space="preserve">The Commission </w:t>
      </w:r>
      <w:r w:rsidR="00FE78C9">
        <w:t>maintain</w:t>
      </w:r>
      <w:r w:rsidR="007C7415">
        <w:t>s</w:t>
      </w:r>
      <w:r>
        <w:t xml:space="preserve"> that </w:t>
      </w:r>
      <w:r w:rsidR="0046035F">
        <w:t>the principle of</w:t>
      </w:r>
      <w:r>
        <w:t xml:space="preserve"> detention as a last resort is </w:t>
      </w:r>
      <w:r w:rsidR="0046035F">
        <w:t>central to</w:t>
      </w:r>
      <w:r>
        <w:t xml:space="preserve"> Queensland’s </w:t>
      </w:r>
      <w:r w:rsidR="002E7EA5">
        <w:t>youth justice legislation</w:t>
      </w:r>
      <w:r>
        <w:t>.</w:t>
      </w:r>
      <w:r w:rsidR="00AB7CF0">
        <w:t xml:space="preserve"> It </w:t>
      </w:r>
      <w:r w:rsidR="0046035F">
        <w:t>must</w:t>
      </w:r>
      <w:r w:rsidR="00AB7CF0">
        <w:t xml:space="preserve"> remain in place to</w:t>
      </w:r>
      <w:r w:rsidR="002273CC">
        <w:t xml:space="preserve"> </w:t>
      </w:r>
      <w:r w:rsidR="00E931F9">
        <w:t xml:space="preserve">uphold obligations under </w:t>
      </w:r>
      <w:r w:rsidR="00A02841">
        <w:t xml:space="preserve">the </w:t>
      </w:r>
      <w:r w:rsidR="00A02841" w:rsidRPr="00A02841">
        <w:rPr>
          <w:i/>
          <w:iCs/>
        </w:rPr>
        <w:t xml:space="preserve">United Nations </w:t>
      </w:r>
      <w:r w:rsidR="00AB7CF0" w:rsidRPr="00A02841">
        <w:rPr>
          <w:i/>
          <w:iCs/>
        </w:rPr>
        <w:t>Convention on the Rights of the Child</w:t>
      </w:r>
      <w:r w:rsidR="00650EA9">
        <w:t xml:space="preserve"> and to prevent children from becoming entrenched in the criminal justice system, </w:t>
      </w:r>
      <w:r w:rsidR="00C002AF">
        <w:t>thereby</w:t>
      </w:r>
      <w:r w:rsidR="00650EA9">
        <w:t xml:space="preserve"> undermining community safety in the long term. </w:t>
      </w:r>
    </w:p>
    <w:p w14:paraId="2BD85FCB" w14:textId="79685393" w:rsidR="00003C7F" w:rsidRDefault="00003C7F" w:rsidP="007D4356">
      <w:pPr>
        <w:pStyle w:val="Numberedparagraph"/>
      </w:pPr>
      <w:r>
        <w:t>While outside of the scope of this Bill, the Commission reiterates its previous public comments that u</w:t>
      </w:r>
      <w:r w:rsidRPr="00003C7F">
        <w:t>rgent action is needed to address the prolonged detention of children in adult watch houses, along with the implementation of well-resourced, evidence-based early intervention programs, to ensure both immediate and long-term community safety.</w:t>
      </w:r>
    </w:p>
    <w:p w14:paraId="3DC61241" w14:textId="6668CD3D" w:rsidR="006D1E88" w:rsidRPr="00F3171C" w:rsidRDefault="006D1E88" w:rsidP="007D4356">
      <w:pPr>
        <w:pStyle w:val="Numberedparagraph"/>
      </w:pPr>
      <w:r>
        <w:t xml:space="preserve">Thank you for the opportunity to provide a submission. The Commission would be pleased to provide any further </w:t>
      </w:r>
      <w:r w:rsidR="00B217AC">
        <w:t>information the Committee may require.</w:t>
      </w:r>
    </w:p>
    <w:p w14:paraId="442DFF8F" w14:textId="77777777" w:rsidR="0072558D" w:rsidRPr="0072558D" w:rsidRDefault="0072558D" w:rsidP="0072558D"/>
    <w:p w14:paraId="5EC8C43C" w14:textId="6E28A436" w:rsidR="004418EC" w:rsidRDefault="004418EC" w:rsidP="007C510E">
      <w:pPr>
        <w:pStyle w:val="Heading1"/>
      </w:pPr>
      <w:r>
        <w:t xml:space="preserve"> </w:t>
      </w:r>
    </w:p>
    <w:sectPr w:rsidR="004418EC" w:rsidSect="00D462E3">
      <w:headerReference w:type="default" r:id="rId12"/>
      <w:headerReference w:type="first" r:id="rId13"/>
      <w:footerReference w:type="first" r:id="rId14"/>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3E9BC" w14:textId="77777777" w:rsidR="00FC1DBE" w:rsidRDefault="00FC1DBE" w:rsidP="0034134D">
      <w:r>
        <w:separator/>
      </w:r>
    </w:p>
  </w:endnote>
  <w:endnote w:type="continuationSeparator" w:id="0">
    <w:p w14:paraId="4A5F8DC3" w14:textId="77777777" w:rsidR="00FC1DBE" w:rsidRDefault="00FC1DBE" w:rsidP="0034134D">
      <w:r>
        <w:continuationSeparator/>
      </w:r>
    </w:p>
  </w:endnote>
  <w:endnote w:type="continuationNotice" w:id="1">
    <w:p w14:paraId="5B961FBE" w14:textId="77777777" w:rsidR="00FC1DBE" w:rsidRDefault="00FC1D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61D58"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5E53BCDA" wp14:editId="4D80EE7B">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E3A2F" w14:textId="77777777" w:rsidR="007C510E" w:rsidRDefault="007C510E" w:rsidP="000731D3">
    <w:pPr>
      <w:pStyle w:val="Footer"/>
      <w:pBdr>
        <w:top w:val="single" w:sz="4" w:space="1" w:color="auto"/>
      </w:pBdr>
      <w:jc w:val="right"/>
      <w:rPr>
        <w:rFonts w:cs="Arial"/>
        <w:sz w:val="20"/>
        <w:szCs w:val="20"/>
      </w:rPr>
    </w:pPr>
  </w:p>
  <w:p w14:paraId="207B2213"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30198" w14:textId="77777777" w:rsidR="00FC1DBE" w:rsidRDefault="00FC1DBE" w:rsidP="0034134D">
      <w:r>
        <w:separator/>
      </w:r>
    </w:p>
  </w:footnote>
  <w:footnote w:type="continuationSeparator" w:id="0">
    <w:p w14:paraId="70157848" w14:textId="77777777" w:rsidR="00FC1DBE" w:rsidRDefault="00FC1DBE" w:rsidP="0034134D">
      <w:r>
        <w:continuationSeparator/>
      </w:r>
    </w:p>
  </w:footnote>
  <w:footnote w:type="continuationNotice" w:id="1">
    <w:p w14:paraId="5CEC1811" w14:textId="77777777" w:rsidR="00FC1DBE" w:rsidRDefault="00FC1DBE">
      <w:pPr>
        <w:spacing w:after="0"/>
      </w:pPr>
    </w:p>
  </w:footnote>
  <w:footnote w:id="2">
    <w:p w14:paraId="0F8CBA96" w14:textId="11BABF56" w:rsidR="00544462" w:rsidRPr="00544462" w:rsidRDefault="00544462">
      <w:pPr>
        <w:pStyle w:val="FootnoteText"/>
        <w:rPr>
          <w:lang w:val="en-GB"/>
        </w:rPr>
      </w:pPr>
      <w:r>
        <w:rPr>
          <w:rStyle w:val="FootnoteReference"/>
        </w:rPr>
        <w:footnoteRef/>
      </w:r>
      <w:r>
        <w:t xml:space="preserve"> </w:t>
      </w:r>
      <w:r>
        <w:rPr>
          <w:lang w:val="en-GB"/>
        </w:rPr>
        <w:t xml:space="preserve">Explanatory Notes, </w:t>
      </w:r>
      <w:r w:rsidR="00F810C3" w:rsidRPr="00F810C3">
        <w:rPr>
          <w:lang w:val="en-GB"/>
        </w:rPr>
        <w:t>Queensland Community Safety Bill 2024</w:t>
      </w:r>
      <w:r w:rsidR="00F31414">
        <w:rPr>
          <w:lang w:val="en-GB"/>
        </w:rPr>
        <w:t xml:space="preserve"> (Qld)</w:t>
      </w:r>
      <w:r w:rsidR="00774EC3">
        <w:rPr>
          <w:lang w:val="en-GB"/>
        </w:rPr>
        <w:t>, 17.</w:t>
      </w:r>
    </w:p>
  </w:footnote>
  <w:footnote w:id="3">
    <w:p w14:paraId="2E1BD81F" w14:textId="03F30FB5" w:rsidR="00F35E78" w:rsidRPr="008650CA" w:rsidRDefault="00F35E78" w:rsidP="00F35E78">
      <w:pPr>
        <w:pStyle w:val="FootnoteText"/>
        <w:rPr>
          <w:lang w:val="en-GB"/>
        </w:rPr>
      </w:pPr>
      <w:r>
        <w:rPr>
          <w:rStyle w:val="FootnoteReference"/>
        </w:rPr>
        <w:footnoteRef/>
      </w:r>
      <w:r>
        <w:t xml:space="preserve"> </w:t>
      </w:r>
      <w:r>
        <w:rPr>
          <w:lang w:val="en-GB"/>
        </w:rPr>
        <w:t xml:space="preserve">Queensland Human Rights Commission, Submission </w:t>
      </w:r>
      <w:r w:rsidR="006F0FDD">
        <w:rPr>
          <w:lang w:val="en-GB"/>
        </w:rPr>
        <w:t xml:space="preserve">No </w:t>
      </w:r>
      <w:r w:rsidR="00A72B35">
        <w:rPr>
          <w:lang w:val="en-GB"/>
        </w:rPr>
        <w:t xml:space="preserve">06 </w:t>
      </w:r>
      <w:r>
        <w:rPr>
          <w:lang w:val="en-GB"/>
        </w:rPr>
        <w:t xml:space="preserve">to </w:t>
      </w:r>
      <w:r w:rsidRPr="006E13E7">
        <w:rPr>
          <w:lang w:val="en-GB"/>
        </w:rPr>
        <w:t>Community Support and Services Committee</w:t>
      </w:r>
      <w:r w:rsidR="00CD0E0E">
        <w:rPr>
          <w:lang w:val="en-GB"/>
        </w:rPr>
        <w:t>, Queensland Parliament</w:t>
      </w:r>
      <w:r>
        <w:rPr>
          <w:lang w:val="en-GB"/>
        </w:rPr>
        <w:t xml:space="preserve">, </w:t>
      </w:r>
      <w:r w:rsidR="00AB7692">
        <w:rPr>
          <w:i/>
          <w:iCs/>
          <w:lang w:val="en-GB"/>
        </w:rPr>
        <w:t xml:space="preserve">Police Powers and Responsibilities (Jack’s Law) Amendment Bill 2022 </w:t>
      </w:r>
      <w:r w:rsidR="00311607">
        <w:rPr>
          <w:lang w:val="en-GB"/>
        </w:rPr>
        <w:t>(</w:t>
      </w:r>
      <w:r>
        <w:rPr>
          <w:lang w:val="en-GB"/>
        </w:rPr>
        <w:t>13 January 2023</w:t>
      </w:r>
      <w:r w:rsidR="007F698E">
        <w:rPr>
          <w:lang w:val="en-GB"/>
        </w:rPr>
        <w:t>)</w:t>
      </w:r>
      <w:r>
        <w:rPr>
          <w:lang w:val="en-GB"/>
        </w:rPr>
        <w:t>.</w:t>
      </w:r>
    </w:p>
  </w:footnote>
  <w:footnote w:id="4">
    <w:p w14:paraId="339D654F" w14:textId="15BB8F54" w:rsidR="00F35E78" w:rsidRPr="00F35E78" w:rsidRDefault="00F35E78" w:rsidP="00F35E78">
      <w:pPr>
        <w:pStyle w:val="FootnoteText"/>
      </w:pPr>
      <w:r>
        <w:rPr>
          <w:rStyle w:val="FootnoteReference"/>
        </w:rPr>
        <w:footnoteRef/>
      </w:r>
      <w:r>
        <w:t xml:space="preserve"> Janet Ransley et al, Griffith Criminology Institute, </w:t>
      </w:r>
      <w:r w:rsidRPr="003A24EB">
        <w:rPr>
          <w:i/>
          <w:iCs/>
        </w:rPr>
        <w:t xml:space="preserve">Review of the Queensland Police Service </w:t>
      </w:r>
      <w:r w:rsidRPr="003A24EB">
        <w:rPr>
          <w:i/>
          <w:iCs/>
        </w:rPr>
        <w:t>Wanding Trial</w:t>
      </w:r>
      <w:r>
        <w:t xml:space="preserve"> </w:t>
      </w:r>
      <w:r w:rsidR="00E33F56">
        <w:t>(Report</w:t>
      </w:r>
      <w:r w:rsidR="00F96CB2">
        <w:t xml:space="preserve">, </w:t>
      </w:r>
      <w:r>
        <w:t>August 2022</w:t>
      </w:r>
      <w:r w:rsidR="00F96CB2">
        <w:t>)</w:t>
      </w:r>
      <w:r>
        <w:t>.</w:t>
      </w:r>
    </w:p>
  </w:footnote>
  <w:footnote w:id="5">
    <w:p w14:paraId="136EFD27" w14:textId="1ADA6FE3" w:rsidR="005D39B6" w:rsidRPr="005D39B6" w:rsidRDefault="005D39B6">
      <w:pPr>
        <w:pStyle w:val="FootnoteText"/>
      </w:pPr>
      <w:r>
        <w:rPr>
          <w:rStyle w:val="FootnoteReference"/>
        </w:rPr>
        <w:footnoteRef/>
      </w:r>
      <w:r>
        <w:t xml:space="preserve"> </w:t>
      </w:r>
      <w:r w:rsidR="00097A48">
        <w:t>Freedom of movement,</w:t>
      </w:r>
      <w:r w:rsidR="00F10622">
        <w:t xml:space="preserve"> right to privacy, </w:t>
      </w:r>
      <w:r w:rsidR="00A92127">
        <w:t xml:space="preserve">and </w:t>
      </w:r>
      <w:r w:rsidR="00F10622">
        <w:t>property rights</w:t>
      </w:r>
      <w:r w:rsidR="004E3E39">
        <w:t>.</w:t>
      </w:r>
    </w:p>
  </w:footnote>
  <w:footnote w:id="6">
    <w:p w14:paraId="771E7B09" w14:textId="1D34D565" w:rsidR="00A331A9" w:rsidRPr="00A331A9" w:rsidRDefault="00A331A9">
      <w:pPr>
        <w:pStyle w:val="FootnoteText"/>
      </w:pPr>
      <w:r>
        <w:rPr>
          <w:rStyle w:val="FootnoteReference"/>
        </w:rPr>
        <w:footnoteRef/>
      </w:r>
      <w:r>
        <w:t xml:space="preserve"> </w:t>
      </w:r>
      <w:r w:rsidR="005906CE">
        <w:t xml:space="preserve">Queensland Police Service, </w:t>
      </w:r>
      <w:r w:rsidR="001759A8">
        <w:t xml:space="preserve">‘Police seize 500 weapons in first year of Jack’s </w:t>
      </w:r>
      <w:r w:rsidR="00072EC2">
        <w:t>Law’</w:t>
      </w:r>
      <w:r w:rsidR="00E262C1">
        <w:t xml:space="preserve">, </w:t>
      </w:r>
      <w:r w:rsidR="00E262C1" w:rsidRPr="00F23139">
        <w:rPr>
          <w:i/>
          <w:iCs/>
        </w:rPr>
        <w:t>myPolice Brisbane West</w:t>
      </w:r>
      <w:r w:rsidR="00327EA1">
        <w:t xml:space="preserve"> (</w:t>
      </w:r>
      <w:r w:rsidR="0039164F">
        <w:t>Web Page</w:t>
      </w:r>
      <w:r w:rsidR="004629B6">
        <w:t>, 4 April 2024</w:t>
      </w:r>
      <w:r w:rsidR="00C51E5E">
        <w:t xml:space="preserve">) </w:t>
      </w:r>
      <w:r w:rsidR="008B2FBB">
        <w:t>&lt;</w:t>
      </w:r>
      <w:r w:rsidR="008B2FBB" w:rsidRPr="008B2FBB">
        <w:t>https://mypolice.qld.gov.au/brisbanewest/2024/04/04/police-seize-500-weapons-in-first-year-of-jacks-law/</w:t>
      </w:r>
      <w:r w:rsidR="008B2FBB">
        <w:t>&gt;</w:t>
      </w:r>
      <w:r w:rsidR="00072EC2">
        <w:t xml:space="preserve">. </w:t>
      </w:r>
      <w:r w:rsidR="00801447">
        <w:t xml:space="preserve">The Queensland Police </w:t>
      </w:r>
      <w:r w:rsidR="00F171C7">
        <w:t>source stated</w:t>
      </w:r>
      <w:r w:rsidR="00801447">
        <w:t xml:space="preserve"> that 508 weapons were seized </w:t>
      </w:r>
      <w:r w:rsidR="00F171C7">
        <w:t xml:space="preserve">from </w:t>
      </w:r>
      <w:r w:rsidR="00801447">
        <w:t xml:space="preserve">51,000 searches. </w:t>
      </w:r>
    </w:p>
  </w:footnote>
  <w:footnote w:id="7">
    <w:p w14:paraId="27895DE2" w14:textId="05AC90D4" w:rsidR="00487F89" w:rsidRPr="00487F89" w:rsidRDefault="00487F89">
      <w:pPr>
        <w:pStyle w:val="FootnoteText"/>
        <w:rPr>
          <w:lang w:val="en-GB"/>
        </w:rPr>
      </w:pPr>
      <w:r>
        <w:rPr>
          <w:rStyle w:val="FootnoteReference"/>
        </w:rPr>
        <w:footnoteRef/>
      </w:r>
      <w:r>
        <w:t xml:space="preserve"> </w:t>
      </w:r>
      <w:r w:rsidR="007A2386">
        <w:t xml:space="preserve">Ibid. </w:t>
      </w:r>
      <w:r>
        <w:rPr>
          <w:lang w:val="en-GB"/>
        </w:rPr>
        <w:t>While 508 wea</w:t>
      </w:r>
      <w:r w:rsidR="007A2386">
        <w:rPr>
          <w:lang w:val="en-GB"/>
        </w:rPr>
        <w:t>p</w:t>
      </w:r>
      <w:r>
        <w:rPr>
          <w:lang w:val="en-GB"/>
        </w:rPr>
        <w:t xml:space="preserve">ons were detected, </w:t>
      </w:r>
      <w:r w:rsidR="007A2386">
        <w:rPr>
          <w:lang w:val="en-GB"/>
        </w:rPr>
        <w:t>1</w:t>
      </w:r>
      <w:r w:rsidR="004075B6">
        <w:rPr>
          <w:lang w:val="en-GB"/>
        </w:rPr>
        <w:t>,</w:t>
      </w:r>
      <w:r w:rsidR="007A2386">
        <w:rPr>
          <w:lang w:val="en-GB"/>
        </w:rPr>
        <w:t xml:space="preserve">369 people </w:t>
      </w:r>
      <w:r w:rsidR="00BA6563">
        <w:rPr>
          <w:lang w:val="en-GB"/>
        </w:rPr>
        <w:t>were</w:t>
      </w:r>
      <w:r w:rsidR="007A2386">
        <w:rPr>
          <w:lang w:val="en-GB"/>
        </w:rPr>
        <w:t xml:space="preserve"> </w:t>
      </w:r>
      <w:r w:rsidR="001B5899">
        <w:rPr>
          <w:lang w:val="en-GB"/>
        </w:rPr>
        <w:t>apprehended</w:t>
      </w:r>
      <w:r w:rsidR="007A2386">
        <w:rPr>
          <w:lang w:val="en-GB"/>
        </w:rPr>
        <w:t xml:space="preserve"> </w:t>
      </w:r>
      <w:r w:rsidR="00C46184">
        <w:rPr>
          <w:lang w:val="en-GB"/>
        </w:rPr>
        <w:t xml:space="preserve">on </w:t>
      </w:r>
      <w:r w:rsidR="007A2386">
        <w:rPr>
          <w:lang w:val="en-GB"/>
        </w:rPr>
        <w:t>2</w:t>
      </w:r>
      <w:r w:rsidR="00C46184">
        <w:rPr>
          <w:lang w:val="en-GB"/>
        </w:rPr>
        <w:t>,</w:t>
      </w:r>
      <w:r w:rsidR="007A2386">
        <w:rPr>
          <w:lang w:val="en-GB"/>
        </w:rPr>
        <w:t xml:space="preserve">469 charges. The breakdown of the charges by offence was not provided in </w:t>
      </w:r>
      <w:r w:rsidR="00373FE9">
        <w:rPr>
          <w:lang w:val="en-GB"/>
        </w:rPr>
        <w:t>the source other than to state</w:t>
      </w:r>
      <w:r w:rsidR="00373FE9" w:rsidRPr="00373FE9">
        <w:t> </w:t>
      </w:r>
      <w:r w:rsidR="009A7C22">
        <w:t>‘</w:t>
      </w:r>
      <w:r w:rsidR="00373FE9" w:rsidRPr="00373FE9">
        <w:t>in relation to weapon, drug, bail and other offences</w:t>
      </w:r>
      <w:r w:rsidR="009A7C22">
        <w:t>’</w:t>
      </w:r>
      <w:r w:rsidR="00E67F41">
        <w:rPr>
          <w:lang w:val="en-GB"/>
        </w:rPr>
        <w:t>.</w:t>
      </w:r>
    </w:p>
  </w:footnote>
  <w:footnote w:id="8">
    <w:p w14:paraId="4A51FF4E" w14:textId="483CBB3B" w:rsidR="00A31EF2" w:rsidRPr="00A31EF2" w:rsidRDefault="00A31EF2">
      <w:pPr>
        <w:pStyle w:val="FootnoteText"/>
      </w:pPr>
      <w:r>
        <w:rPr>
          <w:rStyle w:val="FootnoteReference"/>
        </w:rPr>
        <w:footnoteRef/>
      </w:r>
      <w:r>
        <w:t xml:space="preserve"> </w:t>
      </w:r>
      <w:r>
        <w:rPr>
          <w:i/>
          <w:iCs/>
        </w:rPr>
        <w:t xml:space="preserve">Human Rights Act 2019 </w:t>
      </w:r>
      <w:r>
        <w:t>(Qld) s 13.</w:t>
      </w:r>
    </w:p>
  </w:footnote>
  <w:footnote w:id="9">
    <w:p w14:paraId="16F290E0" w14:textId="14C62137" w:rsidR="004012EC" w:rsidRPr="004012EC" w:rsidRDefault="004012EC" w:rsidP="00EF62F6">
      <w:pPr>
        <w:pStyle w:val="FootnoteText"/>
      </w:pPr>
      <w:r>
        <w:rPr>
          <w:rStyle w:val="FootnoteReference"/>
        </w:rPr>
        <w:footnoteRef/>
      </w:r>
      <w:r>
        <w:t xml:space="preserve"> </w:t>
      </w:r>
      <w:r w:rsidR="009A7C22">
        <w:t xml:space="preserve">Janet Ransley et al, Griffith Criminology Institute, </w:t>
      </w:r>
      <w:r w:rsidR="009A7C22" w:rsidRPr="003A24EB">
        <w:rPr>
          <w:i/>
          <w:iCs/>
        </w:rPr>
        <w:t xml:space="preserve">Review of the Queensland Police Service </w:t>
      </w:r>
      <w:r w:rsidR="009A7C22" w:rsidRPr="003A24EB">
        <w:rPr>
          <w:i/>
          <w:iCs/>
        </w:rPr>
        <w:t>Wanding Trial</w:t>
      </w:r>
      <w:r w:rsidR="009A7C22">
        <w:t xml:space="preserve"> (Report, August 2022)</w:t>
      </w:r>
      <w:r>
        <w:t xml:space="preserve"> </w:t>
      </w:r>
      <w:r w:rsidR="006B5D9D">
        <w:t>iv, 81</w:t>
      </w:r>
      <w:r w:rsidR="00EF62F6">
        <w:t>.</w:t>
      </w:r>
    </w:p>
  </w:footnote>
  <w:footnote w:id="10">
    <w:p w14:paraId="53F1C018" w14:textId="314BB816" w:rsidR="000134CF" w:rsidRPr="000134CF" w:rsidRDefault="000134CF">
      <w:pPr>
        <w:pStyle w:val="FootnoteText"/>
      </w:pPr>
      <w:r>
        <w:rPr>
          <w:rStyle w:val="FootnoteReference"/>
        </w:rPr>
        <w:footnoteRef/>
      </w:r>
      <w:r>
        <w:t xml:space="preserve"> Ibid, </w:t>
      </w:r>
      <w:r w:rsidR="00615CCE">
        <w:t>iii.</w:t>
      </w:r>
    </w:p>
  </w:footnote>
  <w:footnote w:id="11">
    <w:p w14:paraId="20141B34" w14:textId="37A3811C" w:rsidR="00A214F1" w:rsidRPr="00B41DE5" w:rsidRDefault="00A214F1">
      <w:pPr>
        <w:pStyle w:val="FootnoteText"/>
        <w:rPr>
          <w:lang w:val="en-US"/>
        </w:rPr>
      </w:pPr>
      <w:r>
        <w:rPr>
          <w:rStyle w:val="FootnoteReference"/>
        </w:rPr>
        <w:footnoteRef/>
      </w:r>
      <w:r>
        <w:t xml:space="preserve"> </w:t>
      </w:r>
      <w:r>
        <w:rPr>
          <w:lang w:val="en-GB"/>
        </w:rPr>
        <w:t xml:space="preserve">Queensland Human Rights Commission, </w:t>
      </w:r>
      <w:r w:rsidR="007F77D9" w:rsidRPr="004B6CEE">
        <w:rPr>
          <w:iCs/>
          <w:lang w:val="en-GB"/>
        </w:rPr>
        <w:t xml:space="preserve">Submission </w:t>
      </w:r>
      <w:r w:rsidR="00803D49">
        <w:rPr>
          <w:iCs/>
          <w:lang w:val="en-GB"/>
        </w:rPr>
        <w:t xml:space="preserve">No </w:t>
      </w:r>
      <w:r w:rsidR="002927D9">
        <w:rPr>
          <w:iCs/>
          <w:lang w:val="en-GB"/>
        </w:rPr>
        <w:t xml:space="preserve">5 </w:t>
      </w:r>
      <w:r w:rsidR="007F77D9" w:rsidRPr="004B6CEE">
        <w:rPr>
          <w:iCs/>
          <w:lang w:val="en-GB"/>
        </w:rPr>
        <w:t>to Legal Affairs and Safety Committee</w:t>
      </w:r>
      <w:r w:rsidR="004014C0">
        <w:rPr>
          <w:iCs/>
          <w:lang w:val="en-GB"/>
        </w:rPr>
        <w:t>, Queensland Parliament</w:t>
      </w:r>
      <w:r w:rsidR="00F1726B">
        <w:rPr>
          <w:iCs/>
          <w:lang w:val="en-GB"/>
        </w:rPr>
        <w:t>,</w:t>
      </w:r>
      <w:r w:rsidR="00B41DE5" w:rsidRPr="003F1065">
        <w:rPr>
          <w:i/>
          <w:lang w:val="en-GB"/>
        </w:rPr>
        <w:t xml:space="preserve"> Police Powers and Responsibilities and Other Legislation Amendment Bill 2023</w:t>
      </w:r>
      <w:r w:rsidR="003F1065">
        <w:rPr>
          <w:lang w:val="en-GB"/>
        </w:rPr>
        <w:t xml:space="preserve"> </w:t>
      </w:r>
      <w:r w:rsidR="00801D00">
        <w:rPr>
          <w:lang w:val="en-GB"/>
        </w:rPr>
        <w:t>(</w:t>
      </w:r>
      <w:r w:rsidR="003F1065">
        <w:rPr>
          <w:lang w:val="en-GB"/>
        </w:rPr>
        <w:t>10 March 2023</w:t>
      </w:r>
      <w:r w:rsidR="00801D00">
        <w:rPr>
          <w:lang w:val="en-GB"/>
        </w:rPr>
        <w:t>)</w:t>
      </w:r>
      <w:r w:rsidR="003F1065">
        <w:rPr>
          <w:lang w:val="en-GB"/>
        </w:rPr>
        <w:t>.</w:t>
      </w:r>
    </w:p>
  </w:footnote>
  <w:footnote w:id="12">
    <w:p w14:paraId="518A2CC6" w14:textId="1AB91800" w:rsidR="000E49A4" w:rsidRPr="001F197F" w:rsidRDefault="000E49A4" w:rsidP="000E49A4">
      <w:pPr>
        <w:pStyle w:val="FootnoteText"/>
      </w:pPr>
      <w:r>
        <w:rPr>
          <w:rStyle w:val="FootnoteReference"/>
        </w:rPr>
        <w:footnoteRef/>
      </w:r>
      <w:r>
        <w:t xml:space="preserve"> Janet Ransley, Nadine Connell et al, Griffith Criminology Institute, </w:t>
      </w:r>
      <w:r w:rsidRPr="003A24EB">
        <w:rPr>
          <w:i/>
          <w:iCs/>
        </w:rPr>
        <w:t xml:space="preserve">Report - Review of the Queensland Police Service </w:t>
      </w:r>
      <w:r w:rsidRPr="003A24EB">
        <w:rPr>
          <w:i/>
          <w:iCs/>
        </w:rPr>
        <w:t>Wanding Trial</w:t>
      </w:r>
      <w:r>
        <w:t>, August 2022, 72–73.</w:t>
      </w:r>
    </w:p>
  </w:footnote>
  <w:footnote w:id="13">
    <w:p w14:paraId="2421DCF7" w14:textId="5ED510E6" w:rsidR="00680333" w:rsidRPr="00B91D78" w:rsidRDefault="00680333" w:rsidP="00680333">
      <w:pPr>
        <w:pStyle w:val="FootnoteText"/>
      </w:pPr>
      <w:r>
        <w:rPr>
          <w:rStyle w:val="FootnoteReference"/>
        </w:rPr>
        <w:footnoteRef/>
      </w:r>
      <w:r>
        <w:t xml:space="preserve"> Queensland Human Rights Commission, Submission 05 to </w:t>
      </w:r>
      <w:r w:rsidRPr="000166ED">
        <w:t xml:space="preserve">Community Support and Services Committee, Queensland Parliament, </w:t>
      </w:r>
      <w:r w:rsidRPr="000166ED">
        <w:rPr>
          <w:i/>
          <w:iCs/>
        </w:rPr>
        <w:t>Police Powers and Responsibilities and Other Legislation Amendment Bill 2024</w:t>
      </w:r>
      <w:r w:rsidRPr="000166ED">
        <w:t>,</w:t>
      </w:r>
      <w:r>
        <w:t xml:space="preserve"> 12 April 2024 [44]-[49]. The Commission raised concerns that removing the requirement for women to search women reduces the level of current protections and may lead to more situations where male officers search women.</w:t>
      </w:r>
    </w:p>
  </w:footnote>
  <w:footnote w:id="14">
    <w:p w14:paraId="2220905C" w14:textId="14424E26" w:rsidR="007B10DA" w:rsidRDefault="007B10DA" w:rsidP="007B10DA">
      <w:pPr>
        <w:pStyle w:val="FootnoteText"/>
        <w:rPr>
          <w:lang w:val="en-US"/>
        </w:rPr>
      </w:pPr>
      <w:r>
        <w:rPr>
          <w:rStyle w:val="FootnoteReference"/>
        </w:rPr>
        <w:footnoteRef/>
      </w:r>
      <w:r>
        <w:t xml:space="preserve"> </w:t>
      </w:r>
      <w:r>
        <w:rPr>
          <w:i/>
          <w:iCs/>
          <w:lang w:val="en-US"/>
        </w:rPr>
        <w:t>Human Rights Act 2019</w:t>
      </w:r>
      <w:r>
        <w:rPr>
          <w:lang w:val="en-US"/>
        </w:rPr>
        <w:t xml:space="preserve"> (Qld) </w:t>
      </w:r>
      <w:r>
        <w:t xml:space="preserve">s 26(2); </w:t>
      </w:r>
      <w:bookmarkStart w:id="23" w:name="_Hlk126594159"/>
      <w:r>
        <w:rPr>
          <w:rFonts w:cs="Arial"/>
          <w:lang w:val="en-US"/>
        </w:rPr>
        <w:t xml:space="preserve">Explanatory Notes, </w:t>
      </w:r>
      <w:bookmarkStart w:id="24" w:name="_Hlk104909819"/>
      <w:r>
        <w:rPr>
          <w:rFonts w:cs="Arial"/>
          <w:lang w:val="en-US"/>
        </w:rPr>
        <w:t>Human Rights Bill 2018</w:t>
      </w:r>
      <w:bookmarkEnd w:id="23"/>
      <w:bookmarkEnd w:id="24"/>
      <w:r>
        <w:rPr>
          <w:rFonts w:cs="Arial"/>
          <w:lang w:val="en-US"/>
        </w:rPr>
        <w:t xml:space="preserve"> </w:t>
      </w:r>
      <w:r w:rsidR="00D177A3">
        <w:rPr>
          <w:rFonts w:cs="Arial"/>
          <w:lang w:val="en-US"/>
        </w:rPr>
        <w:t xml:space="preserve">(Qld) </w:t>
      </w:r>
      <w:r>
        <w:rPr>
          <w:lang w:val="en-US"/>
        </w:rPr>
        <w:t xml:space="preserve">22; </w:t>
      </w:r>
      <w:r>
        <w:rPr>
          <w:i/>
          <w:iCs/>
        </w:rPr>
        <w:t>United Nations Convention on the Rights of the Child</w:t>
      </w:r>
      <w:r>
        <w:t xml:space="preserve"> </w:t>
      </w:r>
      <w:r>
        <w:rPr>
          <w:lang w:val="en-US"/>
        </w:rPr>
        <w:t>preamble.</w:t>
      </w:r>
    </w:p>
  </w:footnote>
  <w:footnote w:id="15">
    <w:p w14:paraId="1DBB2C71" w14:textId="6A91AD31" w:rsidR="003D1A10" w:rsidRPr="0066073B" w:rsidRDefault="003D1A10" w:rsidP="003D1A10">
      <w:pPr>
        <w:pStyle w:val="FootnoteText"/>
        <w:rPr>
          <w:lang w:val="en-US"/>
        </w:rPr>
      </w:pPr>
      <w:r>
        <w:rPr>
          <w:rStyle w:val="FootnoteReference"/>
        </w:rPr>
        <w:footnoteRef/>
      </w:r>
      <w:r>
        <w:t xml:space="preserve"> </w:t>
      </w:r>
      <w:r w:rsidRPr="00F36F6B">
        <w:rPr>
          <w:i/>
          <w:iCs/>
        </w:rPr>
        <w:t>Convention on the Rights of the Child</w:t>
      </w:r>
      <w:r w:rsidRPr="00F36F6B">
        <w:t>, UN Doc A/RES/44/25 (20 November 1989, entered into force generally on 2 September 1990)</w:t>
      </w:r>
      <w:r w:rsidRPr="00F36F6B">
        <w:rPr>
          <w:i/>
          <w:iCs/>
        </w:rPr>
        <w:t xml:space="preserve"> </w:t>
      </w:r>
      <w:r>
        <w:t>Art 40</w:t>
      </w:r>
      <w:r w:rsidR="00B66956">
        <w:rPr>
          <w:lang w:val="en-US"/>
        </w:rPr>
        <w:t>(</w:t>
      </w:r>
      <w:r>
        <w:rPr>
          <w:lang w:val="en-US"/>
        </w:rPr>
        <w:t>1</w:t>
      </w:r>
      <w:r w:rsidR="00B66956">
        <w:rPr>
          <w:lang w:val="en-US"/>
        </w:rPr>
        <w:t>)</w:t>
      </w:r>
      <w:r>
        <w:rPr>
          <w:lang w:val="en-US"/>
        </w:rPr>
        <w:t>.</w:t>
      </w:r>
    </w:p>
  </w:footnote>
  <w:footnote w:id="16">
    <w:p w14:paraId="30A4A293" w14:textId="1D874C95" w:rsidR="003D1A10" w:rsidRPr="0066073B" w:rsidRDefault="003D1A10" w:rsidP="003D1A10">
      <w:pPr>
        <w:pStyle w:val="FootnoteText"/>
        <w:rPr>
          <w:lang w:val="en-US"/>
        </w:rPr>
      </w:pPr>
      <w:r>
        <w:rPr>
          <w:rStyle w:val="FootnoteReference"/>
        </w:rPr>
        <w:footnoteRef/>
      </w:r>
      <w:r>
        <w:t xml:space="preserve"> Ibid Art 40</w:t>
      </w:r>
      <w:r w:rsidR="00B66956">
        <w:rPr>
          <w:lang w:val="en-US"/>
        </w:rPr>
        <w:t>(</w:t>
      </w:r>
      <w:r>
        <w:rPr>
          <w:lang w:val="en-US"/>
        </w:rPr>
        <w:t>2</w:t>
      </w:r>
      <w:r w:rsidR="00B66956">
        <w:rPr>
          <w:lang w:val="en-US"/>
        </w:rPr>
        <w:t>)</w:t>
      </w:r>
      <w:r>
        <w:rPr>
          <w:lang w:val="en-US"/>
        </w:rPr>
        <w:t>(vii).</w:t>
      </w:r>
    </w:p>
  </w:footnote>
  <w:footnote w:id="17">
    <w:p w14:paraId="36FDABBB" w14:textId="77777777" w:rsidR="003D1A10" w:rsidRPr="005F7A9B" w:rsidRDefault="003D1A10" w:rsidP="003D1A10">
      <w:pPr>
        <w:pStyle w:val="FootnoteText"/>
        <w:rPr>
          <w:lang w:val="en-US"/>
        </w:rPr>
      </w:pPr>
      <w:r>
        <w:rPr>
          <w:rStyle w:val="FootnoteReference"/>
        </w:rPr>
        <w:footnoteRef/>
      </w:r>
      <w:r>
        <w:t xml:space="preserve"> </w:t>
      </w:r>
      <w:r w:rsidRPr="00F36F6B">
        <w:t xml:space="preserve">Committee on the Rights of the Child, </w:t>
      </w:r>
      <w:r w:rsidRPr="00F36F6B">
        <w:rPr>
          <w:i/>
        </w:rPr>
        <w:t>General Comment No. 24 on children’s rights in the child justice system</w:t>
      </w:r>
      <w:r w:rsidRPr="00F36F6B">
        <w:rPr>
          <w:iCs/>
        </w:rPr>
        <w:t>, UN Doc CRC/C/GC/24 (18 September 2019)</w:t>
      </w:r>
      <w:r w:rsidRPr="00F36F6B">
        <w:t xml:space="preserve"> </w:t>
      </w:r>
      <w:r w:rsidRPr="00F36F6B">
        <w:rPr>
          <w:lang w:val="en-US"/>
        </w:rPr>
        <w:t>[66]-[71].</w:t>
      </w:r>
    </w:p>
  </w:footnote>
  <w:footnote w:id="18">
    <w:p w14:paraId="2EE50E24" w14:textId="77777777" w:rsidR="00D55018" w:rsidRDefault="00D55018" w:rsidP="00D55018">
      <w:pPr>
        <w:pStyle w:val="FootnoteText"/>
      </w:pPr>
      <w:r>
        <w:rPr>
          <w:rStyle w:val="FootnoteReference"/>
        </w:rPr>
        <w:footnoteRef/>
      </w:r>
      <w:r>
        <w:t xml:space="preserve"> </w:t>
      </w:r>
      <w:r>
        <w:rPr>
          <w:i/>
          <w:iCs/>
          <w:lang w:val="en-US"/>
        </w:rPr>
        <w:t>Human Rights Act 2019</w:t>
      </w:r>
      <w:r>
        <w:rPr>
          <w:lang w:val="en-US"/>
        </w:rPr>
        <w:t xml:space="preserve"> (Qld) ss 21(2), 25.</w:t>
      </w:r>
    </w:p>
  </w:footnote>
  <w:footnote w:id="19">
    <w:p w14:paraId="797FE0AF" w14:textId="77777777" w:rsidR="009344FB" w:rsidRPr="00CD17C1" w:rsidRDefault="009344FB" w:rsidP="009344FB">
      <w:pPr>
        <w:pStyle w:val="FootnoteText"/>
        <w:rPr>
          <w:lang w:val="en-US"/>
        </w:rPr>
      </w:pPr>
      <w:r>
        <w:rPr>
          <w:rStyle w:val="FootnoteReference"/>
        </w:rPr>
        <w:footnoteRef/>
      </w:r>
      <w:r>
        <w:t xml:space="preserve"> </w:t>
      </w:r>
      <w:bookmarkStart w:id="25" w:name="_Hlk137756688"/>
      <w:r>
        <w:rPr>
          <w:rFonts w:cs="Arial"/>
        </w:rPr>
        <w:t xml:space="preserve">Bob Atkinson, </w:t>
      </w:r>
      <w:r>
        <w:rPr>
          <w:rFonts w:cs="Arial"/>
          <w:i/>
        </w:rPr>
        <w:t xml:space="preserve">Report on Youth Justice </w:t>
      </w:r>
      <w:r>
        <w:rPr>
          <w:rFonts w:cs="Arial"/>
        </w:rPr>
        <w:t>(Version 2, 8 June 2018)</w:t>
      </w:r>
      <w:bookmarkEnd w:id="25"/>
      <w:r>
        <w:rPr>
          <w:rFonts w:cs="Arial"/>
        </w:rPr>
        <w:t>, 28-29.</w:t>
      </w:r>
    </w:p>
  </w:footnote>
  <w:footnote w:id="20">
    <w:p w14:paraId="6043E71F" w14:textId="690CB7B2" w:rsidR="00F03754" w:rsidRPr="0067425B" w:rsidRDefault="00F03754">
      <w:pPr>
        <w:pStyle w:val="FootnoteText"/>
      </w:pPr>
      <w:r>
        <w:rPr>
          <w:rStyle w:val="FootnoteReference"/>
        </w:rPr>
        <w:footnoteRef/>
      </w:r>
      <w:r>
        <w:t xml:space="preserve"> See, </w:t>
      </w:r>
      <w:r w:rsidR="004E1D5E">
        <w:t>for example</w:t>
      </w:r>
      <w:r>
        <w:t xml:space="preserve">, </w:t>
      </w:r>
      <w:r w:rsidR="00A250D5">
        <w:t>European Union Agency for Fundamental Rights</w:t>
      </w:r>
      <w:r w:rsidR="008F1F71">
        <w:t>,</w:t>
      </w:r>
      <w:r w:rsidR="00A250D5">
        <w:t xml:space="preserve"> </w:t>
      </w:r>
      <w:r w:rsidR="00A250D5" w:rsidRPr="0067425B">
        <w:rPr>
          <w:i/>
          <w:iCs/>
        </w:rPr>
        <w:t>Child-Friendly Justice: Perspectives and experiences of children involved in judicial proceedings as victims, witnesses or parties in nine EU Member States</w:t>
      </w:r>
      <w:r w:rsidR="0067425B">
        <w:t xml:space="preserve"> </w:t>
      </w:r>
      <w:r w:rsidR="002B7C7A">
        <w:t>(</w:t>
      </w:r>
      <w:r w:rsidR="008F6F26">
        <w:t xml:space="preserve">Report, </w:t>
      </w:r>
      <w:r w:rsidR="009D208C">
        <w:t xml:space="preserve">2017) </w:t>
      </w:r>
      <w:r w:rsidR="00FE231C">
        <w:t>27</w:t>
      </w:r>
      <w:r w:rsidR="00FE231C">
        <w:rPr>
          <w:rFonts w:cs="Arial"/>
        </w:rPr>
        <w:t>‒</w:t>
      </w:r>
      <w:r w:rsidR="00FE231C">
        <w:t>8.</w:t>
      </w:r>
    </w:p>
  </w:footnote>
  <w:footnote w:id="21">
    <w:p w14:paraId="2FA22352" w14:textId="26FEFA5D" w:rsidR="00420AAC" w:rsidRDefault="00420AAC">
      <w:pPr>
        <w:pStyle w:val="FootnoteText"/>
      </w:pPr>
      <w:r>
        <w:rPr>
          <w:rStyle w:val="FootnoteReference"/>
        </w:rPr>
        <w:footnoteRef/>
      </w:r>
      <w:r>
        <w:t xml:space="preserve"> And appropriate measures in place to ensure no unauthorised video or audio recording of proceedings.</w:t>
      </w:r>
    </w:p>
  </w:footnote>
  <w:footnote w:id="22">
    <w:p w14:paraId="405106C2" w14:textId="3F6E4EF6" w:rsidR="00D02C33" w:rsidRPr="00D02C33" w:rsidRDefault="00D02C33">
      <w:pPr>
        <w:pStyle w:val="FootnoteText"/>
        <w:rPr>
          <w:lang w:val="en-GB"/>
        </w:rPr>
      </w:pPr>
      <w:r>
        <w:rPr>
          <w:rStyle w:val="FootnoteReference"/>
        </w:rPr>
        <w:footnoteRef/>
      </w:r>
      <w:r>
        <w:t xml:space="preserve"> </w:t>
      </w:r>
      <w:r w:rsidR="00A2057E" w:rsidRPr="00A2057E">
        <w:rPr>
          <w:i/>
          <w:iCs/>
        </w:rPr>
        <w:t>Athwal v State of Queensland</w:t>
      </w:r>
      <w:r w:rsidR="00A2057E" w:rsidRPr="00A2057E">
        <w:t xml:space="preserve"> [2023] QCA 156 </w:t>
      </w:r>
      <w:r w:rsidR="00A2057E">
        <w:rPr>
          <w:lang w:val="en-GB"/>
        </w:rPr>
        <w:t>[122]</w:t>
      </w:r>
      <w:r w:rsidR="00D76B92">
        <w:rPr>
          <w:lang w:val="en-GB"/>
        </w:rPr>
        <w:t>.</w:t>
      </w:r>
    </w:p>
  </w:footnote>
  <w:footnote w:id="23">
    <w:p w14:paraId="25EE42BF" w14:textId="00218ADD" w:rsidR="00BE241E" w:rsidRPr="00AA07CB" w:rsidRDefault="00BE241E" w:rsidP="00BE241E">
      <w:pPr>
        <w:pStyle w:val="FootnoteText"/>
        <w:rPr>
          <w:lang w:val="en-GB"/>
        </w:rPr>
      </w:pPr>
      <w:r>
        <w:rPr>
          <w:rStyle w:val="FootnoteReference"/>
        </w:rPr>
        <w:footnoteRef/>
      </w:r>
      <w:r>
        <w:t xml:space="preserve"> </w:t>
      </w:r>
      <w:r w:rsidR="00B0687D">
        <w:t xml:space="preserve">Queensland </w:t>
      </w:r>
      <w:r w:rsidR="006F288B">
        <w:t>Community Safety</w:t>
      </w:r>
      <w:r>
        <w:t xml:space="preserve"> </w:t>
      </w:r>
      <w:r>
        <w:rPr>
          <w:lang w:val="en-GB"/>
        </w:rPr>
        <w:t xml:space="preserve">Bill </w:t>
      </w:r>
      <w:r w:rsidR="00105B95">
        <w:rPr>
          <w:lang w:val="en-GB"/>
        </w:rPr>
        <w:t>2024 (Qld)</w:t>
      </w:r>
      <w:r>
        <w:rPr>
          <w:lang w:val="en-GB"/>
        </w:rPr>
        <w:t xml:space="preserve"> cl 120 (Insertion of </w:t>
      </w:r>
      <w:r>
        <w:rPr>
          <w:lang w:val="en-GB"/>
        </w:rPr>
        <w:t>new s 56A</w:t>
      </w:r>
      <w:r w:rsidR="00D41F84">
        <w:rPr>
          <w:lang w:val="en-GB"/>
        </w:rPr>
        <w:t xml:space="preserve"> into the </w:t>
      </w:r>
      <w:r w:rsidR="00D41F84" w:rsidRPr="0031074C">
        <w:rPr>
          <w:i/>
          <w:lang w:val="en-GB"/>
        </w:rPr>
        <w:t>Youth Justice Act 1992</w:t>
      </w:r>
      <w:r w:rsidR="00D41F84">
        <w:rPr>
          <w:lang w:val="en-GB"/>
        </w:rPr>
        <w:t xml:space="preserve"> (Qld)</w:t>
      </w:r>
      <w:r>
        <w:rPr>
          <w:lang w:val="en-GB"/>
        </w:rPr>
        <w:t>).</w:t>
      </w:r>
    </w:p>
  </w:footnote>
  <w:footnote w:id="24">
    <w:p w14:paraId="795CF36B" w14:textId="56E0D5AD" w:rsidR="000D3B20" w:rsidRPr="000D3B20" w:rsidRDefault="000D3B20">
      <w:pPr>
        <w:pStyle w:val="FootnoteText"/>
        <w:rPr>
          <w:lang w:val="en-GB"/>
        </w:rPr>
      </w:pPr>
      <w:r>
        <w:rPr>
          <w:rStyle w:val="FootnoteReference"/>
        </w:rPr>
        <w:footnoteRef/>
      </w:r>
      <w:r>
        <w:t xml:space="preserve"> </w:t>
      </w:r>
      <w:r w:rsidR="000074FF">
        <w:rPr>
          <w:lang w:val="en-GB"/>
        </w:rPr>
        <w:t>Explanatory Notes, Queensland Community Safety Bill 2024</w:t>
      </w:r>
      <w:r w:rsidR="00C44488">
        <w:rPr>
          <w:lang w:val="en-GB"/>
        </w:rPr>
        <w:t xml:space="preserve"> (Qld)</w:t>
      </w:r>
      <w:r w:rsidR="000074FF">
        <w:rPr>
          <w:lang w:val="en-GB"/>
        </w:rPr>
        <w:t xml:space="preserve"> 25.</w:t>
      </w:r>
    </w:p>
  </w:footnote>
  <w:footnote w:id="25">
    <w:p w14:paraId="5E33E2E2" w14:textId="61A02C63" w:rsidR="00C70E3B" w:rsidRPr="00C70E3B" w:rsidRDefault="00C70E3B">
      <w:pPr>
        <w:pStyle w:val="FootnoteText"/>
        <w:rPr>
          <w:lang w:val="en-GB"/>
        </w:rPr>
      </w:pPr>
      <w:r>
        <w:rPr>
          <w:rStyle w:val="FootnoteReference"/>
        </w:rPr>
        <w:footnoteRef/>
      </w:r>
      <w:r>
        <w:t xml:space="preserve"> </w:t>
      </w:r>
      <w:bookmarkStart w:id="33" w:name="_Hlk166701483"/>
      <w:r w:rsidR="00A44D69">
        <w:t xml:space="preserve">Queensland Community Safety Bill 2024 (Qld) </w:t>
      </w:r>
      <w:bookmarkEnd w:id="33"/>
      <w:r w:rsidR="00A44D69">
        <w:t>cl 14</w:t>
      </w:r>
      <w:r w:rsidR="00874363">
        <w:t xml:space="preserve"> </w:t>
      </w:r>
      <w:r w:rsidR="00623389">
        <w:t>(</w:t>
      </w:r>
      <w:r w:rsidR="003D31C0">
        <w:t xml:space="preserve">Insertion of </w:t>
      </w:r>
      <w:r w:rsidR="003D31C0" w:rsidRPr="00EA0FEF">
        <w:rPr>
          <w:lang w:val="en-GB"/>
        </w:rPr>
        <w:t>n</w:t>
      </w:r>
      <w:r w:rsidRPr="00EA0FEF">
        <w:rPr>
          <w:lang w:val="en-GB"/>
        </w:rPr>
        <w:t>ew section</w:t>
      </w:r>
      <w:r w:rsidR="00763F56">
        <w:rPr>
          <w:lang w:val="en-GB"/>
        </w:rPr>
        <w:t>s</w:t>
      </w:r>
      <w:r w:rsidRPr="00EA0FEF">
        <w:rPr>
          <w:lang w:val="en-GB"/>
        </w:rPr>
        <w:t xml:space="preserve"> </w:t>
      </w:r>
      <w:r w:rsidR="00763F56">
        <w:rPr>
          <w:lang w:val="en-GB"/>
        </w:rPr>
        <w:t>328C and</w:t>
      </w:r>
      <w:r w:rsidRPr="00EA0FEF">
        <w:rPr>
          <w:lang w:val="en-GB"/>
        </w:rPr>
        <w:t xml:space="preserve"> 328D</w:t>
      </w:r>
      <w:r w:rsidR="00820C95" w:rsidRPr="00EA0FEF">
        <w:rPr>
          <w:lang w:val="en-GB"/>
        </w:rPr>
        <w:t xml:space="preserve"> into the Criminal Code</w:t>
      </w:r>
      <w:r w:rsidR="008F557F" w:rsidRPr="00EA0FEF">
        <w:rPr>
          <w:lang w:val="en-GB"/>
        </w:rPr>
        <w:t>)</w:t>
      </w:r>
      <w:r w:rsidRPr="00EA0FEF">
        <w:rPr>
          <w:lang w:val="en-GB"/>
        </w:rPr>
        <w:t>.</w:t>
      </w:r>
    </w:p>
  </w:footnote>
  <w:footnote w:id="26">
    <w:p w14:paraId="4A4BA497" w14:textId="3A82192C" w:rsidR="006F540A" w:rsidRPr="006F540A" w:rsidRDefault="006F540A">
      <w:pPr>
        <w:pStyle w:val="FootnoteText"/>
      </w:pPr>
      <w:r>
        <w:rPr>
          <w:rStyle w:val="FootnoteReference"/>
        </w:rPr>
        <w:footnoteRef/>
      </w:r>
      <w:r>
        <w:t xml:space="preserve"> Statement of Compatibility, </w:t>
      </w:r>
      <w:r>
        <w:rPr>
          <w:lang w:val="en-GB"/>
        </w:rPr>
        <w:t>Queensland Community Safety Bill 2024 (Qld), 51.</w:t>
      </w:r>
    </w:p>
  </w:footnote>
  <w:footnote w:id="27">
    <w:p w14:paraId="308C4DA0" w14:textId="65955059" w:rsidR="00B5257C" w:rsidRPr="00B5257C" w:rsidRDefault="00B5257C">
      <w:pPr>
        <w:pStyle w:val="FootnoteText"/>
      </w:pPr>
      <w:r>
        <w:rPr>
          <w:rStyle w:val="FootnoteReference"/>
        </w:rPr>
        <w:footnoteRef/>
      </w:r>
      <w:r>
        <w:t xml:space="preserve"> </w:t>
      </w:r>
      <w:r w:rsidR="005111A1">
        <w:rPr>
          <w:lang w:val="en-GB"/>
        </w:rPr>
        <w:t>Explanatory Notes, Queensland Community Safety Bill 2024</w:t>
      </w:r>
      <w:r w:rsidR="00776EDF">
        <w:rPr>
          <w:lang w:val="en-GB"/>
        </w:rPr>
        <w:t xml:space="preserve"> (Qld)</w:t>
      </w:r>
      <w:r w:rsidR="005111A1">
        <w:rPr>
          <w:lang w:val="en-GB"/>
        </w:rPr>
        <w:t xml:space="preserve"> 2</w:t>
      </w:r>
      <w:r w:rsidR="00626A62">
        <w:rPr>
          <w:lang w:val="en-GB"/>
        </w:rPr>
        <w:t>6.</w:t>
      </w:r>
    </w:p>
  </w:footnote>
  <w:footnote w:id="28">
    <w:p w14:paraId="5B14BCE8" w14:textId="2C384651" w:rsidR="0076698C" w:rsidRPr="005C619E" w:rsidRDefault="0076698C" w:rsidP="0076698C">
      <w:pPr>
        <w:pStyle w:val="FootnoteText"/>
      </w:pPr>
      <w:r>
        <w:rPr>
          <w:rStyle w:val="FootnoteReference"/>
        </w:rPr>
        <w:footnoteRef/>
      </w:r>
      <w:r>
        <w:t xml:space="preserve"> </w:t>
      </w:r>
      <w:r>
        <w:rPr>
          <w:lang w:val="en-GB"/>
        </w:rPr>
        <w:t xml:space="preserve">Explanatory Notes, Queensland Community Safety Bill 2024 </w:t>
      </w:r>
      <w:r w:rsidR="00E51552">
        <w:rPr>
          <w:lang w:val="en-GB"/>
        </w:rPr>
        <w:t>(Qld)</w:t>
      </w:r>
      <w:r>
        <w:rPr>
          <w:lang w:val="en-GB"/>
        </w:rPr>
        <w:t xml:space="preserve"> 7, 50.</w:t>
      </w:r>
    </w:p>
  </w:footnote>
  <w:footnote w:id="29">
    <w:p w14:paraId="0C14F28C" w14:textId="07170FC8" w:rsidR="007A4E3D" w:rsidRPr="007A4E3D" w:rsidRDefault="007A4E3D">
      <w:pPr>
        <w:pStyle w:val="FootnoteText"/>
      </w:pPr>
      <w:r>
        <w:rPr>
          <w:rStyle w:val="FootnoteReference"/>
        </w:rPr>
        <w:footnoteRef/>
      </w:r>
      <w:r>
        <w:t xml:space="preserve"> </w:t>
      </w:r>
      <w:r w:rsidRPr="00BD3D3D">
        <w:rPr>
          <w:i/>
          <w:iCs/>
        </w:rPr>
        <w:t>Criminal Code</w:t>
      </w:r>
      <w:r>
        <w:rPr>
          <w:i/>
          <w:iCs/>
        </w:rPr>
        <w:t xml:space="preserve"> </w:t>
      </w:r>
      <w:r w:rsidR="00ED7744">
        <w:rPr>
          <w:i/>
          <w:iCs/>
        </w:rPr>
        <w:t>Ac</w:t>
      </w:r>
      <w:r w:rsidR="00070479">
        <w:rPr>
          <w:i/>
          <w:iCs/>
        </w:rPr>
        <w:t>t</w:t>
      </w:r>
      <w:r w:rsidR="00ED7744">
        <w:rPr>
          <w:i/>
          <w:iCs/>
        </w:rPr>
        <w:t xml:space="preserve"> 1899 </w:t>
      </w:r>
      <w:r w:rsidR="00ED7744">
        <w:t xml:space="preserve">(Qld) </w:t>
      </w:r>
      <w:r w:rsidR="00EE0B88">
        <w:t>s</w:t>
      </w:r>
      <w:r>
        <w:t xml:space="preserve"> 328</w:t>
      </w:r>
      <w:r w:rsidRPr="000E4D84">
        <w:t>A</w:t>
      </w:r>
      <w:r w:rsidR="00B24573">
        <w:t>. C</w:t>
      </w:r>
      <w:r>
        <w:t xml:space="preserve">urrent maximum penalty </w:t>
      </w:r>
      <w:r w:rsidR="001F6376">
        <w:t>is</w:t>
      </w:r>
      <w:r>
        <w:t xml:space="preserve"> 3 years</w:t>
      </w:r>
      <w:r w:rsidR="001F55AD">
        <w:t xml:space="preserve"> imprisonment</w:t>
      </w:r>
      <w:r w:rsidR="00B24573">
        <w:t>.</w:t>
      </w:r>
    </w:p>
  </w:footnote>
  <w:footnote w:id="30">
    <w:p w14:paraId="2AEA71AF" w14:textId="5E2E3E6B" w:rsidR="00B24573" w:rsidRPr="00B24573" w:rsidRDefault="00B24573">
      <w:pPr>
        <w:pStyle w:val="FootnoteText"/>
      </w:pPr>
      <w:r>
        <w:rPr>
          <w:rStyle w:val="FootnoteReference"/>
        </w:rPr>
        <w:footnoteRef/>
      </w:r>
      <w:r>
        <w:t xml:space="preserve"> </w:t>
      </w:r>
      <w:r w:rsidRPr="00BD3D3D">
        <w:rPr>
          <w:i/>
          <w:iCs/>
        </w:rPr>
        <w:t>Transport Operations (Road Use Management) Act</w:t>
      </w:r>
      <w:r w:rsidRPr="005F3B41">
        <w:rPr>
          <w:i/>
        </w:rPr>
        <w:t xml:space="preserve"> </w:t>
      </w:r>
      <w:r w:rsidR="00A32C33" w:rsidRPr="005F3B41">
        <w:rPr>
          <w:i/>
        </w:rPr>
        <w:t>1995</w:t>
      </w:r>
      <w:r w:rsidR="00A32C33">
        <w:t xml:space="preserve"> (Qld) s</w:t>
      </w:r>
      <w:r>
        <w:t xml:space="preserve"> 83. Maximum penalty </w:t>
      </w:r>
      <w:r w:rsidR="009C5CF2">
        <w:t>is</w:t>
      </w:r>
      <w:r>
        <w:t xml:space="preserve"> 6 months</w:t>
      </w:r>
      <w:r w:rsidR="009C5CF2">
        <w:t xml:space="preserve"> imprisonment</w:t>
      </w:r>
      <w:r>
        <w:t>.</w:t>
      </w:r>
    </w:p>
  </w:footnote>
  <w:footnote w:id="31">
    <w:p w14:paraId="57EC91F9" w14:textId="38C683CA" w:rsidR="00794A07" w:rsidRPr="00794A07" w:rsidRDefault="00794A07">
      <w:pPr>
        <w:pStyle w:val="FootnoteText"/>
      </w:pPr>
      <w:r>
        <w:rPr>
          <w:rStyle w:val="FootnoteReference"/>
        </w:rPr>
        <w:footnoteRef/>
      </w:r>
      <w:r>
        <w:t xml:space="preserve"> </w:t>
      </w:r>
      <w:r w:rsidRPr="00BD3D3D">
        <w:rPr>
          <w:i/>
          <w:iCs/>
        </w:rPr>
        <w:t>Criminal Code</w:t>
      </w:r>
      <w:r>
        <w:rPr>
          <w:i/>
          <w:iCs/>
        </w:rPr>
        <w:t xml:space="preserve"> Act 1899 </w:t>
      </w:r>
      <w:r>
        <w:t xml:space="preserve">(Qld) s 469. Maximum penalty is </w:t>
      </w:r>
      <w:r w:rsidR="00074DC8">
        <w:t>5 years, or 7 years for aggravated offence.</w:t>
      </w:r>
    </w:p>
  </w:footnote>
  <w:footnote w:id="32">
    <w:p w14:paraId="75F0B7FF" w14:textId="7167C5B7" w:rsidR="003C6F0A" w:rsidRPr="003C6F0A" w:rsidRDefault="003C6F0A">
      <w:pPr>
        <w:pStyle w:val="FootnoteText"/>
        <w:rPr>
          <w:lang w:val="en-GB"/>
        </w:rPr>
      </w:pPr>
      <w:r>
        <w:rPr>
          <w:rStyle w:val="FootnoteReference"/>
        </w:rPr>
        <w:footnoteRef/>
      </w:r>
      <w:r>
        <w:t xml:space="preserve"> </w:t>
      </w:r>
      <w:r w:rsidRPr="00D40464">
        <w:rPr>
          <w:lang w:val="en-GB"/>
        </w:rPr>
        <w:t>The Bill</w:t>
      </w:r>
      <w:r w:rsidR="00C079F1">
        <w:rPr>
          <w:lang w:val="en-GB"/>
        </w:rPr>
        <w:t xml:space="preserve"> amends the </w:t>
      </w:r>
      <w:r w:rsidR="007D2923">
        <w:rPr>
          <w:lang w:val="en-GB"/>
        </w:rPr>
        <w:t xml:space="preserve">Criminal Code </w:t>
      </w:r>
      <w:r w:rsidR="00B31E3C">
        <w:rPr>
          <w:lang w:val="en-GB"/>
        </w:rPr>
        <w:t xml:space="preserve">in section 328A </w:t>
      </w:r>
      <w:r w:rsidR="007D2923">
        <w:rPr>
          <w:lang w:val="en-GB"/>
        </w:rPr>
        <w:t>to</w:t>
      </w:r>
      <w:r w:rsidRPr="00D40464">
        <w:rPr>
          <w:lang w:val="en-GB"/>
        </w:rPr>
        <w:t xml:space="preserve"> increases the maximum penalty </w:t>
      </w:r>
      <w:r w:rsidR="00827831">
        <w:rPr>
          <w:lang w:val="en-GB"/>
        </w:rPr>
        <w:t xml:space="preserve">for </w:t>
      </w:r>
      <w:r w:rsidR="009267E0">
        <w:rPr>
          <w:lang w:val="en-GB"/>
        </w:rPr>
        <w:t xml:space="preserve">dangerous operation of a motor vehicle causing death or grievous bodily harm from 10 </w:t>
      </w:r>
      <w:r w:rsidR="00D77D29" w:rsidRPr="00D40464">
        <w:rPr>
          <w:lang w:val="en-GB"/>
        </w:rPr>
        <w:t xml:space="preserve">to </w:t>
      </w:r>
      <w:r w:rsidR="004B469B" w:rsidRPr="00D40464">
        <w:rPr>
          <w:lang w:val="en-GB"/>
        </w:rPr>
        <w:t>14 years</w:t>
      </w:r>
      <w:r w:rsidR="00C6541D">
        <w:rPr>
          <w:lang w:val="en-GB"/>
        </w:rPr>
        <w:t xml:space="preserve">. Where aggravating circumstances are present, the Bill </w:t>
      </w:r>
      <w:r w:rsidR="00696879">
        <w:rPr>
          <w:lang w:val="en-GB"/>
        </w:rPr>
        <w:t>increase</w:t>
      </w:r>
      <w:r w:rsidR="0026569D">
        <w:rPr>
          <w:lang w:val="en-GB"/>
        </w:rPr>
        <w:t>s</w:t>
      </w:r>
      <w:r w:rsidR="00C6541D">
        <w:rPr>
          <w:lang w:val="en-GB"/>
        </w:rPr>
        <w:t xml:space="preserve"> the maximum penalty </w:t>
      </w:r>
      <w:r w:rsidR="00696879">
        <w:rPr>
          <w:lang w:val="en-GB"/>
        </w:rPr>
        <w:t>from 14 to</w:t>
      </w:r>
      <w:r w:rsidR="004B469B" w:rsidRPr="00D40464">
        <w:rPr>
          <w:lang w:val="en-GB"/>
        </w:rPr>
        <w:t xml:space="preserve"> </w:t>
      </w:r>
      <w:r w:rsidR="00D77D29" w:rsidRPr="00D40464">
        <w:rPr>
          <w:lang w:val="en-GB"/>
        </w:rPr>
        <w:t>20 years.</w:t>
      </w:r>
    </w:p>
  </w:footnote>
  <w:footnote w:id="33">
    <w:p w14:paraId="081D5783" w14:textId="2F1D7646" w:rsidR="00837005" w:rsidRPr="00837005" w:rsidRDefault="00837005">
      <w:pPr>
        <w:pStyle w:val="FootnoteText"/>
        <w:rPr>
          <w:lang w:val="en-GB"/>
        </w:rPr>
      </w:pPr>
      <w:r>
        <w:rPr>
          <w:rStyle w:val="FootnoteReference"/>
        </w:rPr>
        <w:footnoteRef/>
      </w:r>
      <w:r>
        <w:t xml:space="preserve"> </w:t>
      </w:r>
      <w:r>
        <w:rPr>
          <w:lang w:val="en-GB"/>
        </w:rPr>
        <w:t>Maximum penalty is 1 year</w:t>
      </w:r>
      <w:r w:rsidR="0026569D">
        <w:rPr>
          <w:lang w:val="en-GB"/>
        </w:rPr>
        <w:t xml:space="preserve"> imprisonment</w:t>
      </w:r>
      <w:r>
        <w:rPr>
          <w:lang w:val="en-GB"/>
        </w:rPr>
        <w:t xml:space="preserve"> or 2 years if unlicensed. </w:t>
      </w:r>
    </w:p>
  </w:footnote>
  <w:footnote w:id="34">
    <w:p w14:paraId="53F94D8F" w14:textId="1DF04B13" w:rsidR="007D62B5" w:rsidRPr="00A17E38" w:rsidRDefault="007D62B5">
      <w:pPr>
        <w:pStyle w:val="FootnoteText"/>
      </w:pPr>
      <w:r>
        <w:rPr>
          <w:rStyle w:val="FootnoteReference"/>
        </w:rPr>
        <w:footnoteRef/>
      </w:r>
      <w:r>
        <w:t xml:space="preserve"> </w:t>
      </w:r>
      <w:r w:rsidR="00A52966">
        <w:t>Queensland Community Safety Bill 2024 (Qld)</w:t>
      </w:r>
      <w:r w:rsidR="00445FDE">
        <w:t xml:space="preserve"> cl 126 </w:t>
      </w:r>
      <w:r w:rsidR="00987BEB">
        <w:t>(</w:t>
      </w:r>
      <w:r w:rsidR="00E77673">
        <w:t>Amended</w:t>
      </w:r>
      <w:r>
        <w:t xml:space="preserve"> </w:t>
      </w:r>
      <w:r w:rsidR="00FF6709">
        <w:t xml:space="preserve">Part 8, </w:t>
      </w:r>
      <w:r>
        <w:t xml:space="preserve">Division 2A </w:t>
      </w:r>
      <w:r w:rsidR="006D1F20">
        <w:t>inserted into the</w:t>
      </w:r>
      <w:r>
        <w:t xml:space="preserve"> </w:t>
      </w:r>
      <w:r>
        <w:rPr>
          <w:i/>
          <w:iCs/>
        </w:rPr>
        <w:t xml:space="preserve">Youth Justice Act </w:t>
      </w:r>
      <w:r w:rsidR="00A17E38">
        <w:rPr>
          <w:i/>
          <w:iCs/>
        </w:rPr>
        <w:t>1992</w:t>
      </w:r>
      <w:r w:rsidR="00A17E38">
        <w:t xml:space="preserve"> (Qld</w:t>
      </w:r>
      <w:r w:rsidR="00127120">
        <w:t>).</w:t>
      </w:r>
    </w:p>
  </w:footnote>
  <w:footnote w:id="35">
    <w:p w14:paraId="18D10F55" w14:textId="267CDB91" w:rsidR="00F63D53" w:rsidRDefault="00F63D53">
      <w:pPr>
        <w:pStyle w:val="FootnoteText"/>
      </w:pPr>
      <w:r>
        <w:rPr>
          <w:rStyle w:val="FootnoteReference"/>
        </w:rPr>
        <w:footnoteRef/>
      </w:r>
      <w:r>
        <w:t xml:space="preserve"> </w:t>
      </w:r>
      <w:r w:rsidR="00EF5240">
        <w:t xml:space="preserve">We note that the Statement of Compatibility refers to </w:t>
      </w:r>
      <w:r w:rsidR="007B401E">
        <w:t>mandatory</w:t>
      </w:r>
      <w:r w:rsidR="003408AF">
        <w:t xml:space="preserve"> transfer </w:t>
      </w:r>
      <w:r w:rsidR="007B401E">
        <w:t>unless there are</w:t>
      </w:r>
      <w:r w:rsidR="00EF5240">
        <w:t xml:space="preserve"> ‘exceptional circumstances’ </w:t>
      </w:r>
      <w:r w:rsidR="009D73E3">
        <w:t xml:space="preserve">(at </w:t>
      </w:r>
      <w:r w:rsidR="00396636">
        <w:t>78</w:t>
      </w:r>
      <w:r w:rsidR="00E037AE">
        <w:t xml:space="preserve"> and</w:t>
      </w:r>
      <w:r w:rsidR="004A1153">
        <w:t xml:space="preserve"> 80</w:t>
      </w:r>
      <w:r w:rsidR="00396636">
        <w:t>)</w:t>
      </w:r>
      <w:r w:rsidR="00EF5240">
        <w:t xml:space="preserve"> but t</w:t>
      </w:r>
      <w:r w:rsidR="009D73E3">
        <w:t xml:space="preserve">his does not reflect what is in the </w:t>
      </w:r>
      <w:r w:rsidR="00396636">
        <w:t xml:space="preserve">Bill or </w:t>
      </w:r>
      <w:r w:rsidR="00BE0DFA">
        <w:t xml:space="preserve">the </w:t>
      </w:r>
      <w:r w:rsidR="009D73E3">
        <w:t xml:space="preserve">Explanatory </w:t>
      </w:r>
      <w:r w:rsidR="00396636">
        <w:t xml:space="preserve">Note (at </w:t>
      </w:r>
      <w:r w:rsidR="00BE0DFA">
        <w:t>37).</w:t>
      </w:r>
    </w:p>
  </w:footnote>
  <w:footnote w:id="36">
    <w:p w14:paraId="5217241B" w14:textId="1EFFFDFA" w:rsidR="00AA0596" w:rsidRPr="00067EF0" w:rsidRDefault="00AA0596">
      <w:pPr>
        <w:pStyle w:val="FootnoteText"/>
        <w:rPr>
          <w:lang w:val="en-US"/>
        </w:rPr>
      </w:pPr>
      <w:r>
        <w:rPr>
          <w:rStyle w:val="FootnoteReference"/>
        </w:rPr>
        <w:footnoteRef/>
      </w:r>
      <w:r w:rsidR="001C6F30">
        <w:t xml:space="preserve"> United Natons Committee on the Rights of the Child</w:t>
      </w:r>
      <w:r w:rsidR="003F1649">
        <w:t>,</w:t>
      </w:r>
      <w:r w:rsidR="001C6F30">
        <w:t xml:space="preserve"> </w:t>
      </w:r>
      <w:r w:rsidR="001C6F30">
        <w:rPr>
          <w:i/>
        </w:rPr>
        <w:t>General Comment No. 24 on children’s rights in the child justice system</w:t>
      </w:r>
      <w:r w:rsidR="001C6F30">
        <w:rPr>
          <w:iCs/>
        </w:rPr>
        <w:t xml:space="preserve">, UN Doc CRC/C/GC/24 (18 September 2019) [93]. </w:t>
      </w:r>
      <w:r w:rsidR="001C6F30">
        <w:t>See also [3</w:t>
      </w:r>
      <w:r w:rsidR="00B43A81">
        <w:t>5</w:t>
      </w:r>
      <w:r w:rsidR="001C6F30">
        <w:t>] (</w:t>
      </w:r>
      <w:r w:rsidR="001C6F30" w:rsidRPr="00A54F13">
        <w:t>‘children who turn 18 before completing a … custodial measure be permitted to complete the … measure or sentence, and not be sent to centres for adults’</w:t>
      </w:r>
      <w:r w:rsidR="001C6F30">
        <w:t>).</w:t>
      </w:r>
    </w:p>
  </w:footnote>
  <w:footnote w:id="37">
    <w:p w14:paraId="650B2C64" w14:textId="77777777" w:rsidR="00DA5A1A" w:rsidRPr="00DA5A1A" w:rsidRDefault="00DA5A1A" w:rsidP="00DA5A1A">
      <w:pPr>
        <w:pStyle w:val="FootnoteText"/>
      </w:pPr>
      <w:r>
        <w:rPr>
          <w:rStyle w:val="FootnoteReference"/>
        </w:rPr>
        <w:footnoteRef/>
      </w:r>
      <w:r>
        <w:t xml:space="preserve"> United Nations Special Rapporteur on torture and other cruel, inhuman, or degrading treatment or punishment, </w:t>
      </w:r>
      <w:r>
        <w:rPr>
          <w:i/>
          <w:iCs/>
        </w:rPr>
        <w:t>Current issues and good practices in prison management</w:t>
      </w:r>
      <w:r>
        <w:t>, UN Doc A/HRC/55/52 (20 February 2024) [82].</w:t>
      </w:r>
    </w:p>
  </w:footnote>
  <w:footnote w:id="38">
    <w:p w14:paraId="5E4A142B" w14:textId="3BFFC864" w:rsidR="00DA5A1A" w:rsidRPr="00DA5A1A" w:rsidRDefault="00DA5A1A">
      <w:pPr>
        <w:pStyle w:val="FootnoteText"/>
      </w:pPr>
      <w:r>
        <w:rPr>
          <w:rStyle w:val="FootnoteReference"/>
        </w:rPr>
        <w:footnoteRef/>
      </w:r>
      <w:r>
        <w:t xml:space="preserve"> </w:t>
      </w:r>
      <w:r w:rsidRPr="00DA5A1A">
        <w:rPr>
          <w:i/>
          <w:iCs/>
        </w:rPr>
        <w:t>Ibid</w:t>
      </w:r>
      <w:r>
        <w:t>.</w:t>
      </w:r>
    </w:p>
  </w:footnote>
  <w:footnote w:id="39">
    <w:p w14:paraId="21DD9571" w14:textId="6BD7B6DA" w:rsidR="0068223A" w:rsidRDefault="0068223A">
      <w:pPr>
        <w:pStyle w:val="FootnoteText"/>
      </w:pPr>
      <w:r>
        <w:rPr>
          <w:rStyle w:val="FootnoteReference"/>
        </w:rPr>
        <w:footnoteRef/>
      </w:r>
      <w:r>
        <w:t xml:space="preserve"> </w:t>
      </w:r>
      <w:r w:rsidR="003B2513">
        <w:t xml:space="preserve">As set out in </w:t>
      </w:r>
      <w:r w:rsidR="0062182C">
        <w:t xml:space="preserve">Queensland Community Safety Bill 2024 (Qld) cl 126 </w:t>
      </w:r>
      <w:r w:rsidR="006D1F20">
        <w:t>(R</w:t>
      </w:r>
      <w:r w:rsidR="00403FE3">
        <w:t xml:space="preserve">eplacement </w:t>
      </w:r>
      <w:r w:rsidR="00891F0A">
        <w:t xml:space="preserve">of </w:t>
      </w:r>
      <w:r w:rsidR="00AE173D" w:rsidRPr="005F3B41">
        <w:rPr>
          <w:i/>
          <w:iCs/>
        </w:rPr>
        <w:t>Youth Justice Act 1992</w:t>
      </w:r>
      <w:r w:rsidR="00AE173D">
        <w:t xml:space="preserve"> (Qld)</w:t>
      </w:r>
      <w:r w:rsidR="00403FE3">
        <w:t xml:space="preserve"> </w:t>
      </w:r>
      <w:r>
        <w:t>s 276C(</w:t>
      </w:r>
      <w:r w:rsidR="003B2513">
        <w:t>4)</w:t>
      </w:r>
      <w:r w:rsidR="006D1F20">
        <w:t>)</w:t>
      </w:r>
      <w:r w:rsidR="003B2513">
        <w:t>.</w:t>
      </w:r>
    </w:p>
  </w:footnote>
  <w:footnote w:id="40">
    <w:p w14:paraId="74FBD3B0" w14:textId="3303A43E" w:rsidR="001A4411" w:rsidRPr="001A4411" w:rsidRDefault="001A4411">
      <w:pPr>
        <w:pStyle w:val="FootnoteText"/>
        <w:rPr>
          <w:lang w:val="en-GB"/>
        </w:rPr>
      </w:pPr>
      <w:r>
        <w:rPr>
          <w:rStyle w:val="FootnoteReference"/>
        </w:rPr>
        <w:footnoteRef/>
      </w:r>
      <w:r>
        <w:t xml:space="preserve"> </w:t>
      </w:r>
      <w:r w:rsidR="003946A2" w:rsidRPr="003946A2">
        <w:t>Roger Jaensch, Minister for Education, Children and Youth</w:t>
      </w:r>
      <w:r w:rsidR="00963EDC">
        <w:t xml:space="preserve"> (Tas)</w:t>
      </w:r>
      <w:r w:rsidR="003946A2">
        <w:t>, ‘</w:t>
      </w:r>
      <w:r w:rsidR="001E6359" w:rsidRPr="001E6359">
        <w:t>Clear pathway to reform Tasmania's youth justice system</w:t>
      </w:r>
      <w:r w:rsidR="003946A2">
        <w:t>’ (Media release, 6 December 2023).</w:t>
      </w:r>
    </w:p>
  </w:footnote>
  <w:footnote w:id="41">
    <w:p w14:paraId="086FBE9C" w14:textId="182862F0" w:rsidR="009F630D" w:rsidRPr="00124B00" w:rsidRDefault="009F630D">
      <w:pPr>
        <w:pStyle w:val="FootnoteText"/>
        <w:rPr>
          <w:lang w:val="en-GB"/>
        </w:rPr>
      </w:pPr>
      <w:r>
        <w:rPr>
          <w:rStyle w:val="FootnoteReference"/>
        </w:rPr>
        <w:footnoteRef/>
      </w:r>
      <w:r>
        <w:t xml:space="preserve"> </w:t>
      </w:r>
      <w:r w:rsidR="008C3E64">
        <w:t xml:space="preserve">Queensland </w:t>
      </w:r>
      <w:r w:rsidR="00D64447">
        <w:t>Co</w:t>
      </w:r>
      <w:r w:rsidR="00881593">
        <w:t>m</w:t>
      </w:r>
      <w:r w:rsidR="00D64447">
        <w:t xml:space="preserve">munity Safety </w:t>
      </w:r>
      <w:r w:rsidR="00881593">
        <w:t xml:space="preserve">Bill 2024 (Qld) </w:t>
      </w:r>
      <w:r w:rsidR="00881593">
        <w:rPr>
          <w:lang w:val="en-GB"/>
        </w:rPr>
        <w:t>c</w:t>
      </w:r>
      <w:r w:rsidR="0078024B">
        <w:rPr>
          <w:lang w:val="en-GB"/>
        </w:rPr>
        <w:t xml:space="preserve">l </w:t>
      </w:r>
      <w:r w:rsidR="00375C4E">
        <w:rPr>
          <w:lang w:val="en-GB"/>
        </w:rPr>
        <w:t xml:space="preserve">127 </w:t>
      </w:r>
      <w:r w:rsidR="006D1F20">
        <w:rPr>
          <w:lang w:val="en-GB"/>
        </w:rPr>
        <w:t>(I</w:t>
      </w:r>
      <w:r w:rsidR="0078024B">
        <w:rPr>
          <w:lang w:val="en-GB"/>
        </w:rPr>
        <w:t>nserti</w:t>
      </w:r>
      <w:r w:rsidR="006D1F20">
        <w:rPr>
          <w:lang w:val="en-GB"/>
        </w:rPr>
        <w:t>on</w:t>
      </w:r>
      <w:r w:rsidR="0078024B">
        <w:rPr>
          <w:lang w:val="en-GB"/>
        </w:rPr>
        <w:t xml:space="preserve"> </w:t>
      </w:r>
      <w:r w:rsidR="006D1F20">
        <w:rPr>
          <w:lang w:val="en-GB"/>
        </w:rPr>
        <w:t>of</w:t>
      </w:r>
      <w:r w:rsidR="0078024B">
        <w:rPr>
          <w:lang w:val="en-GB"/>
        </w:rPr>
        <w:t xml:space="preserve"> s 279B</w:t>
      </w:r>
      <w:r w:rsidR="00BE673B">
        <w:rPr>
          <w:lang w:val="en-GB"/>
        </w:rPr>
        <w:t>(1)</w:t>
      </w:r>
      <w:r w:rsidR="0078024B">
        <w:rPr>
          <w:lang w:val="en-GB"/>
        </w:rPr>
        <w:t xml:space="preserve"> </w:t>
      </w:r>
      <w:r w:rsidR="005D5634">
        <w:rPr>
          <w:lang w:val="en-GB"/>
        </w:rPr>
        <w:t>in</w:t>
      </w:r>
      <w:r w:rsidR="00D16FB6">
        <w:rPr>
          <w:lang w:val="en-GB"/>
        </w:rPr>
        <w:t>to</w:t>
      </w:r>
      <w:r w:rsidR="0078024B">
        <w:rPr>
          <w:lang w:val="en-GB"/>
        </w:rPr>
        <w:t xml:space="preserve"> the </w:t>
      </w:r>
      <w:r w:rsidR="0078024B">
        <w:rPr>
          <w:i/>
          <w:iCs/>
          <w:lang w:val="en-GB"/>
        </w:rPr>
        <w:t xml:space="preserve">Youth Justice Act </w:t>
      </w:r>
      <w:r w:rsidR="00124B00">
        <w:rPr>
          <w:i/>
          <w:iCs/>
          <w:lang w:val="en-GB"/>
        </w:rPr>
        <w:t>1992</w:t>
      </w:r>
      <w:r w:rsidR="00124B00">
        <w:rPr>
          <w:lang w:val="en-GB"/>
        </w:rPr>
        <w:t xml:space="preserve"> (Qld)</w:t>
      </w:r>
      <w:r w:rsidR="006D1F20">
        <w:rPr>
          <w:lang w:val="en-GB"/>
        </w:rPr>
        <w:t>)</w:t>
      </w:r>
      <w:r w:rsidR="00124B00">
        <w:rPr>
          <w:lang w:val="en-GB"/>
        </w:rPr>
        <w:t>.</w:t>
      </w:r>
    </w:p>
  </w:footnote>
  <w:footnote w:id="42">
    <w:p w14:paraId="120B3FCC" w14:textId="4C7A9AB9" w:rsidR="007B7660" w:rsidRPr="00CF090A" w:rsidRDefault="007B7660">
      <w:pPr>
        <w:pStyle w:val="FootnoteText"/>
      </w:pPr>
      <w:r>
        <w:rPr>
          <w:rStyle w:val="FootnoteReference"/>
        </w:rPr>
        <w:footnoteRef/>
      </w:r>
      <w:r w:rsidR="004E13DA">
        <w:t>Queensland Community Safety</w:t>
      </w:r>
      <w:r>
        <w:t xml:space="preserve"> Bill</w:t>
      </w:r>
      <w:r w:rsidR="004E13DA">
        <w:t xml:space="preserve"> 2024 (Qld)</w:t>
      </w:r>
      <w:r>
        <w:t xml:space="preserve"> cl </w:t>
      </w:r>
      <w:r w:rsidR="00CF090A">
        <w:t xml:space="preserve">127 </w:t>
      </w:r>
      <w:r w:rsidR="006D1F20">
        <w:t>(I</w:t>
      </w:r>
      <w:r w:rsidR="00CF090A">
        <w:t>nsert</w:t>
      </w:r>
      <w:r w:rsidR="003011E9">
        <w:t>ion</w:t>
      </w:r>
      <w:r w:rsidR="00CF090A">
        <w:t xml:space="preserve"> </w:t>
      </w:r>
      <w:r w:rsidR="003011E9">
        <w:t>of</w:t>
      </w:r>
      <w:r w:rsidR="00CF090A">
        <w:t xml:space="preserve"> s 279B(2) </w:t>
      </w:r>
      <w:r w:rsidR="004E13DA">
        <w:t>in</w:t>
      </w:r>
      <w:r w:rsidR="0062182C">
        <w:t>to</w:t>
      </w:r>
      <w:r w:rsidR="00CF090A">
        <w:t xml:space="preserve"> the </w:t>
      </w:r>
      <w:r w:rsidR="00CF090A">
        <w:rPr>
          <w:i/>
          <w:iCs/>
        </w:rPr>
        <w:t>Youth Justice Act 1992</w:t>
      </w:r>
      <w:r w:rsidR="00CF090A">
        <w:t xml:space="preserve"> (Qld)</w:t>
      </w:r>
      <w:r w:rsidR="003011E9">
        <w:t>)</w:t>
      </w:r>
      <w:r w:rsidR="00CF090A">
        <w:t>.</w:t>
      </w:r>
    </w:p>
  </w:footnote>
  <w:footnote w:id="43">
    <w:p w14:paraId="075F131A" w14:textId="1E4EE6FC" w:rsidR="00284DC1" w:rsidRPr="00284DC1" w:rsidRDefault="00284DC1">
      <w:pPr>
        <w:pStyle w:val="FootnoteText"/>
        <w:rPr>
          <w:lang w:val="en-GB"/>
        </w:rPr>
      </w:pPr>
      <w:r>
        <w:rPr>
          <w:rStyle w:val="FootnoteReference"/>
        </w:rPr>
        <w:footnoteRef/>
      </w:r>
      <w:r>
        <w:t xml:space="preserve"> </w:t>
      </w:r>
      <w:r>
        <w:rPr>
          <w:lang w:val="en-GB"/>
        </w:rPr>
        <w:t>See</w:t>
      </w:r>
      <w:r w:rsidR="0024762F">
        <w:rPr>
          <w:lang w:val="en-GB"/>
        </w:rPr>
        <w:t xml:space="preserve">, for example, </w:t>
      </w:r>
      <w:r w:rsidR="004217D0">
        <w:rPr>
          <w:lang w:val="en-GB"/>
        </w:rPr>
        <w:t xml:space="preserve">United Nations </w:t>
      </w:r>
      <w:r w:rsidR="00225F6E">
        <w:rPr>
          <w:lang w:val="en-GB"/>
        </w:rPr>
        <w:t>Office of the High Commissioner for Human Rights,</w:t>
      </w:r>
      <w:r w:rsidR="0024762F">
        <w:rPr>
          <w:lang w:val="en-GB"/>
        </w:rPr>
        <w:t xml:space="preserve"> </w:t>
      </w:r>
      <w:r w:rsidR="0024762F" w:rsidRPr="0024762F">
        <w:rPr>
          <w:i/>
          <w:iCs/>
          <w:lang w:val="en-GB"/>
        </w:rPr>
        <w:t>Istanbul Protocol: Manual on the Effective Investigation and Documentation of Torture and Other Cruel, Inhuman or Degrading Treatment or Punishment</w:t>
      </w:r>
      <w:r w:rsidR="0024762F" w:rsidRPr="0024762F">
        <w:rPr>
          <w:lang w:val="en-GB"/>
        </w:rPr>
        <w:t xml:space="preserve"> (</w:t>
      </w:r>
      <w:r w:rsidR="00CB0B89">
        <w:rPr>
          <w:lang w:val="en-GB"/>
        </w:rPr>
        <w:t xml:space="preserve">Professional Training Series No </w:t>
      </w:r>
      <w:r w:rsidR="000716E9">
        <w:rPr>
          <w:lang w:val="en-GB"/>
        </w:rPr>
        <w:t xml:space="preserve">8 / Rev 2, </w:t>
      </w:r>
      <w:r w:rsidR="0024762F" w:rsidRPr="0024762F">
        <w:rPr>
          <w:lang w:val="en-GB"/>
        </w:rPr>
        <w:t>2022)</w:t>
      </w:r>
      <w:r w:rsidR="009435B2">
        <w:rPr>
          <w:lang w:val="en-GB"/>
        </w:rPr>
        <w:t xml:space="preserve"> 1-25 ‘(Relevant International Legal Norms and Standards’).</w:t>
      </w:r>
    </w:p>
  </w:footnote>
  <w:footnote w:id="44">
    <w:p w14:paraId="11FA3045" w14:textId="2909AF33" w:rsidR="00CE7206" w:rsidRPr="00CE7206" w:rsidRDefault="00CE7206">
      <w:pPr>
        <w:pStyle w:val="FootnoteText"/>
      </w:pPr>
      <w:r>
        <w:rPr>
          <w:rStyle w:val="FootnoteReference"/>
        </w:rPr>
        <w:footnoteRef/>
      </w:r>
      <w:r>
        <w:t xml:space="preserve"> Explanatory Notes, </w:t>
      </w:r>
      <w:r w:rsidR="0088208F">
        <w:t xml:space="preserve">Queensland </w:t>
      </w:r>
      <w:r w:rsidR="00BA3A07">
        <w:t>Community Safety Bill 2024 (Qld)</w:t>
      </w:r>
      <w:r w:rsidR="00924C08">
        <w:t xml:space="preserve"> 14.</w:t>
      </w:r>
    </w:p>
  </w:footnote>
  <w:footnote w:id="45">
    <w:p w14:paraId="2F6D18BF" w14:textId="7867CFAE" w:rsidR="00F96DDE" w:rsidRPr="00897C8D" w:rsidRDefault="00F96DDE" w:rsidP="00F96DDE">
      <w:pPr>
        <w:pStyle w:val="FootnoteText"/>
        <w:rPr>
          <w:lang w:val="en-GB"/>
        </w:rPr>
      </w:pPr>
      <w:r>
        <w:rPr>
          <w:rStyle w:val="FootnoteReference"/>
        </w:rPr>
        <w:footnoteRef/>
      </w:r>
      <w:r>
        <w:t xml:space="preserve"> </w:t>
      </w:r>
      <w:r>
        <w:rPr>
          <w:lang w:val="en-GB"/>
        </w:rPr>
        <w:t>Queensland Human Rights Commission, Submission No 06</w:t>
      </w:r>
      <w:r w:rsidR="00EE3D03">
        <w:rPr>
          <w:lang w:val="en-GB"/>
        </w:rPr>
        <w:t xml:space="preserve"> to</w:t>
      </w:r>
      <w:r>
        <w:rPr>
          <w:lang w:val="en-GB"/>
        </w:rPr>
        <w:t xml:space="preserve"> </w:t>
      </w:r>
      <w:r w:rsidRPr="00F650AD">
        <w:rPr>
          <w:lang w:val="en-GB"/>
        </w:rPr>
        <w:t>Community Safety and Legal Affairs Committee</w:t>
      </w:r>
      <w:r>
        <w:rPr>
          <w:lang w:val="en-GB"/>
        </w:rPr>
        <w:t xml:space="preserve">, Queensland Parliament, </w:t>
      </w:r>
      <w:r>
        <w:rPr>
          <w:i/>
          <w:iCs/>
          <w:lang w:val="en-GB"/>
        </w:rPr>
        <w:t xml:space="preserve">Corrective Services (Promoting Safety) and Other Legislation Amendment Bill 2024 </w:t>
      </w:r>
      <w:r w:rsidR="009F7C82">
        <w:rPr>
          <w:lang w:val="en-GB"/>
        </w:rPr>
        <w:t>(29 February 2024)</w:t>
      </w:r>
      <w:r>
        <w:rPr>
          <w:i/>
          <w:iCs/>
          <w:lang w:val="en-GB"/>
        </w:rPr>
        <w:t xml:space="preserve"> </w:t>
      </w:r>
      <w:r>
        <w:rPr>
          <w:lang w:val="en-GB"/>
        </w:rPr>
        <w:t>7.</w:t>
      </w:r>
    </w:p>
  </w:footnote>
  <w:footnote w:id="46">
    <w:p w14:paraId="06FF63C1" w14:textId="616FB988" w:rsidR="00295690" w:rsidRPr="00295690" w:rsidRDefault="00295690">
      <w:pPr>
        <w:pStyle w:val="FootnoteText"/>
        <w:rPr>
          <w:lang w:val="en-GB"/>
        </w:rPr>
      </w:pPr>
      <w:r>
        <w:rPr>
          <w:rStyle w:val="FootnoteReference"/>
        </w:rPr>
        <w:footnoteRef/>
      </w:r>
      <w:r w:rsidR="00A8368C">
        <w:t xml:space="preserve"> </w:t>
      </w:r>
      <w:r w:rsidR="00A8368C" w:rsidRPr="007D387E">
        <w:rPr>
          <w:i/>
          <w:iCs/>
        </w:rPr>
        <w:t xml:space="preserve">Youth Justice Act </w:t>
      </w:r>
      <w:r w:rsidR="008678ED" w:rsidRPr="007D387E">
        <w:rPr>
          <w:i/>
          <w:iCs/>
        </w:rPr>
        <w:t>1992</w:t>
      </w:r>
      <w:r w:rsidR="00BA0005">
        <w:t xml:space="preserve"> (Qld) sch 1 </w:t>
      </w:r>
      <w:r w:rsidR="000F572F">
        <w:t>(‘Charter of youth justice principles’)</w:t>
      </w:r>
      <w:r w:rsidR="00A60104">
        <w:t xml:space="preserve"> </w:t>
      </w:r>
      <w:r w:rsidR="00D72458" w:rsidRPr="00CF0232">
        <w:rPr>
          <w:lang w:val="en-GB"/>
        </w:rPr>
        <w:t>p</w:t>
      </w:r>
      <w:r w:rsidRPr="00CF0232">
        <w:rPr>
          <w:lang w:val="en-GB"/>
        </w:rPr>
        <w:t>rinciple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AFFE8" w14:textId="77777777" w:rsidR="007C510E" w:rsidRDefault="007C510E" w:rsidP="00260847">
    <w:pPr>
      <w:pStyle w:val="Header"/>
      <w:tabs>
        <w:tab w:val="clear" w:pos="4513"/>
        <w:tab w:val="clear" w:pos="9026"/>
      </w:tabs>
      <w:spacing w:before="240"/>
    </w:pPr>
  </w:p>
  <w:p w14:paraId="21385EA5"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66A01" w14:textId="77777777" w:rsidR="007C510E" w:rsidRPr="000731D3" w:rsidRDefault="007C510E"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CB998"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0458D337" w14:textId="77777777" w:rsidR="007C510E" w:rsidRPr="000731D3" w:rsidRDefault="007C510E" w:rsidP="000731D3">
    <w:pPr>
      <w:pStyle w:val="Header"/>
      <w:pBdr>
        <w:bottom w:val="single" w:sz="4" w:space="1" w:color="auto"/>
      </w:pBdr>
      <w:rPr>
        <w:rFonts w:cs="Arial"/>
        <w:sz w:val="20"/>
        <w:szCs w:val="20"/>
      </w:rPr>
    </w:pPr>
  </w:p>
  <w:p w14:paraId="5EAB9409"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74F"/>
    <w:multiLevelType w:val="hybridMultilevel"/>
    <w:tmpl w:val="242ABD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250E7E"/>
    <w:multiLevelType w:val="multilevel"/>
    <w:tmpl w:val="A1E6769C"/>
    <w:lvl w:ilvl="0">
      <w:start w:val="1"/>
      <w:numFmt w:val="decimal"/>
      <w:pStyle w:val="Numberedparagraph"/>
      <w:lvlText w:val="%1."/>
      <w:lvlJc w:val="left"/>
      <w:pPr>
        <w:ind w:left="567" w:hanging="567"/>
      </w:pPr>
      <w:rPr>
        <w:rFonts w:ascii="Arial" w:hAnsi="Arial" w:cs="Arial" w:hint="default"/>
        <w:color w:val="000000" w:themeColor="text1"/>
        <w:sz w:val="22"/>
        <w:szCs w:val="22"/>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1CED6A35"/>
    <w:multiLevelType w:val="hybridMultilevel"/>
    <w:tmpl w:val="7C962B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93492B"/>
    <w:multiLevelType w:val="hybridMultilevel"/>
    <w:tmpl w:val="601A3CB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C0D2304"/>
    <w:multiLevelType w:val="hybridMultilevel"/>
    <w:tmpl w:val="C64E3368"/>
    <w:lvl w:ilvl="0" w:tplc="748E03FC">
      <w:start w:val="1"/>
      <w:numFmt w:val="bullet"/>
      <w:lvlText w:val=""/>
      <w:lvlJc w:val="left"/>
      <w:pPr>
        <w:ind w:left="720" w:hanging="360"/>
      </w:pPr>
      <w:rPr>
        <w:rFonts w:ascii="Symbol" w:hAnsi="Symbol" w:hint="default"/>
        <w:color w:val="FFFFFF" w:themeColor="background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A0771E"/>
    <w:multiLevelType w:val="hybridMultilevel"/>
    <w:tmpl w:val="3AFE95C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63C82C1E"/>
    <w:multiLevelType w:val="hybridMultilevel"/>
    <w:tmpl w:val="4C4684F8"/>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680E217B"/>
    <w:multiLevelType w:val="multilevel"/>
    <w:tmpl w:val="2EEA3ACC"/>
    <w:lvl w:ilvl="0">
      <w:start w:val="1"/>
      <w:numFmt w:val="bullet"/>
      <w:pStyle w:val="Bulletedlist"/>
      <w:lvlText w:val=""/>
      <w:lvlJc w:val="left"/>
      <w:pPr>
        <w:ind w:left="1287" w:hanging="567"/>
      </w:pPr>
      <w:rPr>
        <w:rFonts w:ascii="Symbol" w:hAnsi="Symbol" w:hint="default"/>
        <w:color w:val="FFFFFF" w:themeColor="background1"/>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8" w15:restartNumberingAfterBreak="0">
    <w:nsid w:val="7F036884"/>
    <w:multiLevelType w:val="hybridMultilevel"/>
    <w:tmpl w:val="96ACEB68"/>
    <w:lvl w:ilvl="0" w:tplc="34E0FC16">
      <w:start w:val="6"/>
      <w:numFmt w:val="bullet"/>
      <w:lvlText w:val=""/>
      <w:lvlJc w:val="left"/>
      <w:pPr>
        <w:ind w:left="927" w:hanging="360"/>
      </w:pPr>
      <w:rPr>
        <w:rFonts w:ascii="Symbol" w:eastAsiaTheme="minorEastAsia"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334379581">
    <w:abstractNumId w:val="1"/>
  </w:num>
  <w:num w:numId="2" w16cid:durableId="138038055">
    <w:abstractNumId w:val="7"/>
  </w:num>
  <w:num w:numId="3" w16cid:durableId="96828531">
    <w:abstractNumId w:val="8"/>
  </w:num>
  <w:num w:numId="4" w16cid:durableId="1980107470">
    <w:abstractNumId w:val="4"/>
  </w:num>
  <w:num w:numId="5" w16cid:durableId="1853186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0970873">
    <w:abstractNumId w:val="0"/>
  </w:num>
  <w:num w:numId="7" w16cid:durableId="1705518311">
    <w:abstractNumId w:val="6"/>
  </w:num>
  <w:num w:numId="8" w16cid:durableId="1360817256">
    <w:abstractNumId w:val="2"/>
  </w:num>
  <w:num w:numId="9" w16cid:durableId="733700944">
    <w:abstractNumId w:val="5"/>
  </w:num>
  <w:num w:numId="10" w16cid:durableId="1777865130">
    <w:abstractNumId w:val="1"/>
  </w:num>
  <w:num w:numId="11" w16cid:durableId="156717953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E3"/>
    <w:rsid w:val="00000118"/>
    <w:rsid w:val="00000119"/>
    <w:rsid w:val="00000393"/>
    <w:rsid w:val="00000479"/>
    <w:rsid w:val="0000054F"/>
    <w:rsid w:val="00000656"/>
    <w:rsid w:val="00000997"/>
    <w:rsid w:val="0000119D"/>
    <w:rsid w:val="000017CB"/>
    <w:rsid w:val="00001DCA"/>
    <w:rsid w:val="000022FF"/>
    <w:rsid w:val="00002D8D"/>
    <w:rsid w:val="00002F05"/>
    <w:rsid w:val="0000320E"/>
    <w:rsid w:val="00003663"/>
    <w:rsid w:val="000036F1"/>
    <w:rsid w:val="0000396C"/>
    <w:rsid w:val="00003C7F"/>
    <w:rsid w:val="00003D67"/>
    <w:rsid w:val="000041E7"/>
    <w:rsid w:val="0000437D"/>
    <w:rsid w:val="000046EC"/>
    <w:rsid w:val="00004FAE"/>
    <w:rsid w:val="00005510"/>
    <w:rsid w:val="0000680D"/>
    <w:rsid w:val="000074FF"/>
    <w:rsid w:val="000079E4"/>
    <w:rsid w:val="00007DE5"/>
    <w:rsid w:val="000101B3"/>
    <w:rsid w:val="00010A0E"/>
    <w:rsid w:val="00010F51"/>
    <w:rsid w:val="0001159F"/>
    <w:rsid w:val="00012065"/>
    <w:rsid w:val="000129B3"/>
    <w:rsid w:val="000129C5"/>
    <w:rsid w:val="000129ED"/>
    <w:rsid w:val="00013318"/>
    <w:rsid w:val="000134CF"/>
    <w:rsid w:val="00013B76"/>
    <w:rsid w:val="0001411D"/>
    <w:rsid w:val="000146D6"/>
    <w:rsid w:val="000149B3"/>
    <w:rsid w:val="00015550"/>
    <w:rsid w:val="000155E1"/>
    <w:rsid w:val="00015BB8"/>
    <w:rsid w:val="00015DFC"/>
    <w:rsid w:val="00016241"/>
    <w:rsid w:val="00016375"/>
    <w:rsid w:val="000166ED"/>
    <w:rsid w:val="000173EF"/>
    <w:rsid w:val="0001743A"/>
    <w:rsid w:val="00017C54"/>
    <w:rsid w:val="00020650"/>
    <w:rsid w:val="000215B9"/>
    <w:rsid w:val="000219F3"/>
    <w:rsid w:val="00021C75"/>
    <w:rsid w:val="00021CEA"/>
    <w:rsid w:val="000223AB"/>
    <w:rsid w:val="0002274E"/>
    <w:rsid w:val="0002351E"/>
    <w:rsid w:val="00023BB4"/>
    <w:rsid w:val="000240A9"/>
    <w:rsid w:val="000242E7"/>
    <w:rsid w:val="00024332"/>
    <w:rsid w:val="000246D6"/>
    <w:rsid w:val="0002572A"/>
    <w:rsid w:val="00025A76"/>
    <w:rsid w:val="00025F5F"/>
    <w:rsid w:val="000261D0"/>
    <w:rsid w:val="0002627F"/>
    <w:rsid w:val="00026A87"/>
    <w:rsid w:val="00030512"/>
    <w:rsid w:val="000308A8"/>
    <w:rsid w:val="00030DE3"/>
    <w:rsid w:val="000325B5"/>
    <w:rsid w:val="00032622"/>
    <w:rsid w:val="000328B5"/>
    <w:rsid w:val="00032E32"/>
    <w:rsid w:val="00034148"/>
    <w:rsid w:val="000344AE"/>
    <w:rsid w:val="0003451F"/>
    <w:rsid w:val="0003456E"/>
    <w:rsid w:val="0003481B"/>
    <w:rsid w:val="00034E3F"/>
    <w:rsid w:val="000351EB"/>
    <w:rsid w:val="00035396"/>
    <w:rsid w:val="00035558"/>
    <w:rsid w:val="000356C1"/>
    <w:rsid w:val="000358AE"/>
    <w:rsid w:val="00036135"/>
    <w:rsid w:val="0003648E"/>
    <w:rsid w:val="00036C67"/>
    <w:rsid w:val="00037374"/>
    <w:rsid w:val="00037529"/>
    <w:rsid w:val="000375EF"/>
    <w:rsid w:val="0004031B"/>
    <w:rsid w:val="00040A4F"/>
    <w:rsid w:val="00040B1D"/>
    <w:rsid w:val="000415DA"/>
    <w:rsid w:val="00041BDD"/>
    <w:rsid w:val="00041E58"/>
    <w:rsid w:val="00042235"/>
    <w:rsid w:val="00042A2F"/>
    <w:rsid w:val="00042B94"/>
    <w:rsid w:val="00042D5F"/>
    <w:rsid w:val="000443AC"/>
    <w:rsid w:val="000449AD"/>
    <w:rsid w:val="00044A7F"/>
    <w:rsid w:val="00045967"/>
    <w:rsid w:val="00045B46"/>
    <w:rsid w:val="00045EEA"/>
    <w:rsid w:val="00046553"/>
    <w:rsid w:val="000466D8"/>
    <w:rsid w:val="00046D88"/>
    <w:rsid w:val="00047983"/>
    <w:rsid w:val="00050530"/>
    <w:rsid w:val="00050CE5"/>
    <w:rsid w:val="0005120E"/>
    <w:rsid w:val="0005147C"/>
    <w:rsid w:val="000517CB"/>
    <w:rsid w:val="000520D4"/>
    <w:rsid w:val="00052636"/>
    <w:rsid w:val="000526EF"/>
    <w:rsid w:val="00052932"/>
    <w:rsid w:val="00052A13"/>
    <w:rsid w:val="00053319"/>
    <w:rsid w:val="00054120"/>
    <w:rsid w:val="00054177"/>
    <w:rsid w:val="0005535F"/>
    <w:rsid w:val="00055DDE"/>
    <w:rsid w:val="00056960"/>
    <w:rsid w:val="00056CA2"/>
    <w:rsid w:val="00057023"/>
    <w:rsid w:val="00057592"/>
    <w:rsid w:val="00057975"/>
    <w:rsid w:val="00057D21"/>
    <w:rsid w:val="00060E36"/>
    <w:rsid w:val="00061BC8"/>
    <w:rsid w:val="0006274A"/>
    <w:rsid w:val="00063412"/>
    <w:rsid w:val="00063D9D"/>
    <w:rsid w:val="00063EDF"/>
    <w:rsid w:val="0006482C"/>
    <w:rsid w:val="00065FD3"/>
    <w:rsid w:val="00066124"/>
    <w:rsid w:val="0006771C"/>
    <w:rsid w:val="00067834"/>
    <w:rsid w:val="0007025D"/>
    <w:rsid w:val="00070479"/>
    <w:rsid w:val="00070605"/>
    <w:rsid w:val="000707F6"/>
    <w:rsid w:val="00070F6E"/>
    <w:rsid w:val="000711CF"/>
    <w:rsid w:val="000716E9"/>
    <w:rsid w:val="000720B0"/>
    <w:rsid w:val="00072C05"/>
    <w:rsid w:val="00072C0A"/>
    <w:rsid w:val="00072CE6"/>
    <w:rsid w:val="00072CE7"/>
    <w:rsid w:val="00072EC2"/>
    <w:rsid w:val="000731D3"/>
    <w:rsid w:val="000731F1"/>
    <w:rsid w:val="00073221"/>
    <w:rsid w:val="00073536"/>
    <w:rsid w:val="00073812"/>
    <w:rsid w:val="00073BC9"/>
    <w:rsid w:val="000740D2"/>
    <w:rsid w:val="00074C26"/>
    <w:rsid w:val="00074DC8"/>
    <w:rsid w:val="00074FC1"/>
    <w:rsid w:val="00075750"/>
    <w:rsid w:val="00075AB0"/>
    <w:rsid w:val="00075E0F"/>
    <w:rsid w:val="0007668E"/>
    <w:rsid w:val="0007682B"/>
    <w:rsid w:val="00076A1E"/>
    <w:rsid w:val="00076A29"/>
    <w:rsid w:val="00077A3F"/>
    <w:rsid w:val="00077B03"/>
    <w:rsid w:val="000808A7"/>
    <w:rsid w:val="00080ACF"/>
    <w:rsid w:val="00081471"/>
    <w:rsid w:val="000816A6"/>
    <w:rsid w:val="00081ACC"/>
    <w:rsid w:val="00081B0C"/>
    <w:rsid w:val="00081C91"/>
    <w:rsid w:val="00082029"/>
    <w:rsid w:val="0008213C"/>
    <w:rsid w:val="00082346"/>
    <w:rsid w:val="00082882"/>
    <w:rsid w:val="00082A22"/>
    <w:rsid w:val="00082F8C"/>
    <w:rsid w:val="00083BEC"/>
    <w:rsid w:val="00083E81"/>
    <w:rsid w:val="00084F93"/>
    <w:rsid w:val="000850EB"/>
    <w:rsid w:val="000859F6"/>
    <w:rsid w:val="00086348"/>
    <w:rsid w:val="000867F3"/>
    <w:rsid w:val="00086CB9"/>
    <w:rsid w:val="000870C7"/>
    <w:rsid w:val="0008746D"/>
    <w:rsid w:val="00087758"/>
    <w:rsid w:val="00087C0C"/>
    <w:rsid w:val="00087C0E"/>
    <w:rsid w:val="00087E2B"/>
    <w:rsid w:val="00090374"/>
    <w:rsid w:val="00090958"/>
    <w:rsid w:val="00091309"/>
    <w:rsid w:val="00091327"/>
    <w:rsid w:val="00091408"/>
    <w:rsid w:val="00091422"/>
    <w:rsid w:val="000916D8"/>
    <w:rsid w:val="00091D2F"/>
    <w:rsid w:val="000927F2"/>
    <w:rsid w:val="00093158"/>
    <w:rsid w:val="00094791"/>
    <w:rsid w:val="00094B0A"/>
    <w:rsid w:val="000952FC"/>
    <w:rsid w:val="00095544"/>
    <w:rsid w:val="000958AB"/>
    <w:rsid w:val="00095B0D"/>
    <w:rsid w:val="00095FBB"/>
    <w:rsid w:val="00096517"/>
    <w:rsid w:val="00096FD6"/>
    <w:rsid w:val="000972E7"/>
    <w:rsid w:val="000976C9"/>
    <w:rsid w:val="00097907"/>
    <w:rsid w:val="00097A0B"/>
    <w:rsid w:val="00097A48"/>
    <w:rsid w:val="000A0474"/>
    <w:rsid w:val="000A0BCC"/>
    <w:rsid w:val="000A132F"/>
    <w:rsid w:val="000A1416"/>
    <w:rsid w:val="000A14AB"/>
    <w:rsid w:val="000A1EB3"/>
    <w:rsid w:val="000A201B"/>
    <w:rsid w:val="000A2150"/>
    <w:rsid w:val="000A27C5"/>
    <w:rsid w:val="000A2C50"/>
    <w:rsid w:val="000A30F8"/>
    <w:rsid w:val="000A325C"/>
    <w:rsid w:val="000A3283"/>
    <w:rsid w:val="000A36B0"/>
    <w:rsid w:val="000A41F1"/>
    <w:rsid w:val="000A420C"/>
    <w:rsid w:val="000A4B7E"/>
    <w:rsid w:val="000A5485"/>
    <w:rsid w:val="000A5929"/>
    <w:rsid w:val="000A6BE2"/>
    <w:rsid w:val="000A734F"/>
    <w:rsid w:val="000A76E6"/>
    <w:rsid w:val="000A791B"/>
    <w:rsid w:val="000A7DCA"/>
    <w:rsid w:val="000A7E44"/>
    <w:rsid w:val="000B01A1"/>
    <w:rsid w:val="000B08CC"/>
    <w:rsid w:val="000B08CF"/>
    <w:rsid w:val="000B0DA9"/>
    <w:rsid w:val="000B0E8B"/>
    <w:rsid w:val="000B166B"/>
    <w:rsid w:val="000B1E64"/>
    <w:rsid w:val="000B2385"/>
    <w:rsid w:val="000B2409"/>
    <w:rsid w:val="000B251B"/>
    <w:rsid w:val="000B32CB"/>
    <w:rsid w:val="000B34E9"/>
    <w:rsid w:val="000B37EB"/>
    <w:rsid w:val="000B3C4D"/>
    <w:rsid w:val="000B4566"/>
    <w:rsid w:val="000B4A61"/>
    <w:rsid w:val="000B5569"/>
    <w:rsid w:val="000B6943"/>
    <w:rsid w:val="000B6C72"/>
    <w:rsid w:val="000B77FF"/>
    <w:rsid w:val="000B794F"/>
    <w:rsid w:val="000B7BA6"/>
    <w:rsid w:val="000C02F2"/>
    <w:rsid w:val="000C04B8"/>
    <w:rsid w:val="000C10AF"/>
    <w:rsid w:val="000C1CFA"/>
    <w:rsid w:val="000C1ECC"/>
    <w:rsid w:val="000C2260"/>
    <w:rsid w:val="000C2934"/>
    <w:rsid w:val="000C354B"/>
    <w:rsid w:val="000C3D0C"/>
    <w:rsid w:val="000C4324"/>
    <w:rsid w:val="000C43A9"/>
    <w:rsid w:val="000C4432"/>
    <w:rsid w:val="000C4B3D"/>
    <w:rsid w:val="000C4D7D"/>
    <w:rsid w:val="000C5182"/>
    <w:rsid w:val="000C51BB"/>
    <w:rsid w:val="000C67D4"/>
    <w:rsid w:val="000C6831"/>
    <w:rsid w:val="000C6BA3"/>
    <w:rsid w:val="000C6F10"/>
    <w:rsid w:val="000C7025"/>
    <w:rsid w:val="000C7454"/>
    <w:rsid w:val="000C74FE"/>
    <w:rsid w:val="000C7F26"/>
    <w:rsid w:val="000D051A"/>
    <w:rsid w:val="000D056D"/>
    <w:rsid w:val="000D0643"/>
    <w:rsid w:val="000D2571"/>
    <w:rsid w:val="000D3B20"/>
    <w:rsid w:val="000D4402"/>
    <w:rsid w:val="000D47E9"/>
    <w:rsid w:val="000D49A5"/>
    <w:rsid w:val="000D4AA8"/>
    <w:rsid w:val="000D528B"/>
    <w:rsid w:val="000D638F"/>
    <w:rsid w:val="000D685E"/>
    <w:rsid w:val="000D6874"/>
    <w:rsid w:val="000E0206"/>
    <w:rsid w:val="000E1039"/>
    <w:rsid w:val="000E16F9"/>
    <w:rsid w:val="000E18DC"/>
    <w:rsid w:val="000E1C97"/>
    <w:rsid w:val="000E27EE"/>
    <w:rsid w:val="000E28A8"/>
    <w:rsid w:val="000E2F6E"/>
    <w:rsid w:val="000E300B"/>
    <w:rsid w:val="000E425E"/>
    <w:rsid w:val="000E467D"/>
    <w:rsid w:val="000E49A4"/>
    <w:rsid w:val="000E4D84"/>
    <w:rsid w:val="000E4EF0"/>
    <w:rsid w:val="000E4F46"/>
    <w:rsid w:val="000E595B"/>
    <w:rsid w:val="000E5F38"/>
    <w:rsid w:val="000E626A"/>
    <w:rsid w:val="000E6EF4"/>
    <w:rsid w:val="000E72A6"/>
    <w:rsid w:val="000E766F"/>
    <w:rsid w:val="000E7B95"/>
    <w:rsid w:val="000E7C62"/>
    <w:rsid w:val="000F01A7"/>
    <w:rsid w:val="000F04FF"/>
    <w:rsid w:val="000F0BC1"/>
    <w:rsid w:val="000F0C1C"/>
    <w:rsid w:val="000F0C73"/>
    <w:rsid w:val="000F142B"/>
    <w:rsid w:val="000F14F2"/>
    <w:rsid w:val="000F2104"/>
    <w:rsid w:val="000F22E0"/>
    <w:rsid w:val="000F2430"/>
    <w:rsid w:val="000F2BB5"/>
    <w:rsid w:val="000F2F8C"/>
    <w:rsid w:val="000F2F92"/>
    <w:rsid w:val="000F39B9"/>
    <w:rsid w:val="000F4006"/>
    <w:rsid w:val="000F4098"/>
    <w:rsid w:val="000F4DC5"/>
    <w:rsid w:val="000F52E6"/>
    <w:rsid w:val="000F572F"/>
    <w:rsid w:val="000F68A2"/>
    <w:rsid w:val="000F7217"/>
    <w:rsid w:val="000F753C"/>
    <w:rsid w:val="0010005E"/>
    <w:rsid w:val="0010049A"/>
    <w:rsid w:val="0010083B"/>
    <w:rsid w:val="001009B6"/>
    <w:rsid w:val="00100D34"/>
    <w:rsid w:val="0010149E"/>
    <w:rsid w:val="0010202B"/>
    <w:rsid w:val="00102803"/>
    <w:rsid w:val="00102CA7"/>
    <w:rsid w:val="00102E34"/>
    <w:rsid w:val="0010366D"/>
    <w:rsid w:val="0010380E"/>
    <w:rsid w:val="00103854"/>
    <w:rsid w:val="00103E51"/>
    <w:rsid w:val="00105217"/>
    <w:rsid w:val="00105239"/>
    <w:rsid w:val="00105462"/>
    <w:rsid w:val="001057FA"/>
    <w:rsid w:val="00105934"/>
    <w:rsid w:val="00105B95"/>
    <w:rsid w:val="00105E37"/>
    <w:rsid w:val="001066BD"/>
    <w:rsid w:val="0010698F"/>
    <w:rsid w:val="00106C03"/>
    <w:rsid w:val="00106EC7"/>
    <w:rsid w:val="0010790C"/>
    <w:rsid w:val="00110158"/>
    <w:rsid w:val="001108E5"/>
    <w:rsid w:val="00110C13"/>
    <w:rsid w:val="00110E53"/>
    <w:rsid w:val="0011118E"/>
    <w:rsid w:val="00111434"/>
    <w:rsid w:val="001119C5"/>
    <w:rsid w:val="00111B20"/>
    <w:rsid w:val="00112EE9"/>
    <w:rsid w:val="00113398"/>
    <w:rsid w:val="001137A1"/>
    <w:rsid w:val="0011499F"/>
    <w:rsid w:val="0011541D"/>
    <w:rsid w:val="00115964"/>
    <w:rsid w:val="001164A9"/>
    <w:rsid w:val="0011696D"/>
    <w:rsid w:val="00116D39"/>
    <w:rsid w:val="001171EF"/>
    <w:rsid w:val="00117A97"/>
    <w:rsid w:val="001206FB"/>
    <w:rsid w:val="00120DAC"/>
    <w:rsid w:val="00121221"/>
    <w:rsid w:val="00121414"/>
    <w:rsid w:val="0012151F"/>
    <w:rsid w:val="00121DEE"/>
    <w:rsid w:val="00121E6F"/>
    <w:rsid w:val="00122594"/>
    <w:rsid w:val="00122717"/>
    <w:rsid w:val="00122B01"/>
    <w:rsid w:val="00122B16"/>
    <w:rsid w:val="00122BE6"/>
    <w:rsid w:val="001232D2"/>
    <w:rsid w:val="001235A1"/>
    <w:rsid w:val="001239D0"/>
    <w:rsid w:val="0012422F"/>
    <w:rsid w:val="0012480E"/>
    <w:rsid w:val="00124A35"/>
    <w:rsid w:val="00124B00"/>
    <w:rsid w:val="00124F8F"/>
    <w:rsid w:val="001258F7"/>
    <w:rsid w:val="00125A8B"/>
    <w:rsid w:val="00125AF6"/>
    <w:rsid w:val="001263B3"/>
    <w:rsid w:val="0012665F"/>
    <w:rsid w:val="00126AB0"/>
    <w:rsid w:val="00127120"/>
    <w:rsid w:val="00127798"/>
    <w:rsid w:val="001277FE"/>
    <w:rsid w:val="0012798D"/>
    <w:rsid w:val="0013004A"/>
    <w:rsid w:val="00130062"/>
    <w:rsid w:val="001301BA"/>
    <w:rsid w:val="001304EE"/>
    <w:rsid w:val="00130E46"/>
    <w:rsid w:val="00130E7C"/>
    <w:rsid w:val="0013111F"/>
    <w:rsid w:val="001314CD"/>
    <w:rsid w:val="0013152D"/>
    <w:rsid w:val="0013186D"/>
    <w:rsid w:val="00131B16"/>
    <w:rsid w:val="00131E3E"/>
    <w:rsid w:val="00131F05"/>
    <w:rsid w:val="00131F32"/>
    <w:rsid w:val="00132231"/>
    <w:rsid w:val="0013252E"/>
    <w:rsid w:val="00132B7C"/>
    <w:rsid w:val="001330EF"/>
    <w:rsid w:val="001343BD"/>
    <w:rsid w:val="001349DE"/>
    <w:rsid w:val="001352C5"/>
    <w:rsid w:val="00135475"/>
    <w:rsid w:val="001354AC"/>
    <w:rsid w:val="001354F9"/>
    <w:rsid w:val="001360D2"/>
    <w:rsid w:val="00137154"/>
    <w:rsid w:val="001413F4"/>
    <w:rsid w:val="001416AA"/>
    <w:rsid w:val="00141BF8"/>
    <w:rsid w:val="00141C92"/>
    <w:rsid w:val="00141CEE"/>
    <w:rsid w:val="00143438"/>
    <w:rsid w:val="00143C54"/>
    <w:rsid w:val="001442F3"/>
    <w:rsid w:val="001445EE"/>
    <w:rsid w:val="00144A8B"/>
    <w:rsid w:val="00144F7A"/>
    <w:rsid w:val="00145166"/>
    <w:rsid w:val="00145173"/>
    <w:rsid w:val="00145B9A"/>
    <w:rsid w:val="00145F93"/>
    <w:rsid w:val="0014658F"/>
    <w:rsid w:val="00146764"/>
    <w:rsid w:val="00146B8A"/>
    <w:rsid w:val="00151857"/>
    <w:rsid w:val="00152313"/>
    <w:rsid w:val="00152550"/>
    <w:rsid w:val="001526CE"/>
    <w:rsid w:val="001528A9"/>
    <w:rsid w:val="00152B88"/>
    <w:rsid w:val="0015327C"/>
    <w:rsid w:val="00153412"/>
    <w:rsid w:val="0015396A"/>
    <w:rsid w:val="00153A22"/>
    <w:rsid w:val="00153DC4"/>
    <w:rsid w:val="00154136"/>
    <w:rsid w:val="0015415A"/>
    <w:rsid w:val="00154216"/>
    <w:rsid w:val="0015439F"/>
    <w:rsid w:val="00154CBD"/>
    <w:rsid w:val="00154E43"/>
    <w:rsid w:val="00154ED4"/>
    <w:rsid w:val="001552F3"/>
    <w:rsid w:val="00155306"/>
    <w:rsid w:val="0015570D"/>
    <w:rsid w:val="00156330"/>
    <w:rsid w:val="00156364"/>
    <w:rsid w:val="00156BAD"/>
    <w:rsid w:val="00156DFC"/>
    <w:rsid w:val="00156EDA"/>
    <w:rsid w:val="001577D5"/>
    <w:rsid w:val="0016024D"/>
    <w:rsid w:val="001604C7"/>
    <w:rsid w:val="001605C0"/>
    <w:rsid w:val="00160CAF"/>
    <w:rsid w:val="0016113E"/>
    <w:rsid w:val="001611CA"/>
    <w:rsid w:val="00162512"/>
    <w:rsid w:val="00162858"/>
    <w:rsid w:val="00162E6F"/>
    <w:rsid w:val="001636ED"/>
    <w:rsid w:val="00163E9E"/>
    <w:rsid w:val="00163FDE"/>
    <w:rsid w:val="001643BC"/>
    <w:rsid w:val="00164FF4"/>
    <w:rsid w:val="0016553F"/>
    <w:rsid w:val="0016594D"/>
    <w:rsid w:val="00165DBE"/>
    <w:rsid w:val="00165E29"/>
    <w:rsid w:val="001662EE"/>
    <w:rsid w:val="0016699F"/>
    <w:rsid w:val="00166CC3"/>
    <w:rsid w:val="00167287"/>
    <w:rsid w:val="001704F4"/>
    <w:rsid w:val="00170789"/>
    <w:rsid w:val="00170B73"/>
    <w:rsid w:val="00170B74"/>
    <w:rsid w:val="00170CD7"/>
    <w:rsid w:val="00171133"/>
    <w:rsid w:val="00171C6F"/>
    <w:rsid w:val="00171EA1"/>
    <w:rsid w:val="00173708"/>
    <w:rsid w:val="001739E2"/>
    <w:rsid w:val="00173A34"/>
    <w:rsid w:val="00174054"/>
    <w:rsid w:val="0017439F"/>
    <w:rsid w:val="0017443B"/>
    <w:rsid w:val="001746CA"/>
    <w:rsid w:val="001747C9"/>
    <w:rsid w:val="00174D6C"/>
    <w:rsid w:val="00175020"/>
    <w:rsid w:val="001759A8"/>
    <w:rsid w:val="0017651A"/>
    <w:rsid w:val="00176AA8"/>
    <w:rsid w:val="00177A42"/>
    <w:rsid w:val="00180424"/>
    <w:rsid w:val="00180C3D"/>
    <w:rsid w:val="00180F46"/>
    <w:rsid w:val="00181481"/>
    <w:rsid w:val="00182208"/>
    <w:rsid w:val="001823A0"/>
    <w:rsid w:val="00182499"/>
    <w:rsid w:val="001825CB"/>
    <w:rsid w:val="0018272F"/>
    <w:rsid w:val="00182865"/>
    <w:rsid w:val="00182E06"/>
    <w:rsid w:val="00183279"/>
    <w:rsid w:val="0018364E"/>
    <w:rsid w:val="00183B7C"/>
    <w:rsid w:val="00183D3F"/>
    <w:rsid w:val="00184835"/>
    <w:rsid w:val="001849E8"/>
    <w:rsid w:val="00184C75"/>
    <w:rsid w:val="0018650F"/>
    <w:rsid w:val="0018652B"/>
    <w:rsid w:val="00186771"/>
    <w:rsid w:val="00186C71"/>
    <w:rsid w:val="00186F5E"/>
    <w:rsid w:val="001872E9"/>
    <w:rsid w:val="00190343"/>
    <w:rsid w:val="00190A08"/>
    <w:rsid w:val="00190FD6"/>
    <w:rsid w:val="0019109F"/>
    <w:rsid w:val="00191291"/>
    <w:rsid w:val="0019149B"/>
    <w:rsid w:val="001916E4"/>
    <w:rsid w:val="0019203A"/>
    <w:rsid w:val="0019203E"/>
    <w:rsid w:val="0019223A"/>
    <w:rsid w:val="00192BD6"/>
    <w:rsid w:val="00194095"/>
    <w:rsid w:val="0019413A"/>
    <w:rsid w:val="00194313"/>
    <w:rsid w:val="001944D2"/>
    <w:rsid w:val="00194646"/>
    <w:rsid w:val="00194735"/>
    <w:rsid w:val="00194A18"/>
    <w:rsid w:val="00194A2A"/>
    <w:rsid w:val="00195C3B"/>
    <w:rsid w:val="00195C5A"/>
    <w:rsid w:val="00195E9F"/>
    <w:rsid w:val="00196003"/>
    <w:rsid w:val="0019629B"/>
    <w:rsid w:val="001963F6"/>
    <w:rsid w:val="001964EA"/>
    <w:rsid w:val="001965B2"/>
    <w:rsid w:val="00196C01"/>
    <w:rsid w:val="0019727A"/>
    <w:rsid w:val="00197473"/>
    <w:rsid w:val="001A003D"/>
    <w:rsid w:val="001A03D8"/>
    <w:rsid w:val="001A0A91"/>
    <w:rsid w:val="001A1083"/>
    <w:rsid w:val="001A1285"/>
    <w:rsid w:val="001A12BD"/>
    <w:rsid w:val="001A1C59"/>
    <w:rsid w:val="001A21D0"/>
    <w:rsid w:val="001A25F6"/>
    <w:rsid w:val="001A26D8"/>
    <w:rsid w:val="001A287C"/>
    <w:rsid w:val="001A2BE1"/>
    <w:rsid w:val="001A2BE2"/>
    <w:rsid w:val="001A32D3"/>
    <w:rsid w:val="001A3B13"/>
    <w:rsid w:val="001A3DBA"/>
    <w:rsid w:val="001A4411"/>
    <w:rsid w:val="001A442E"/>
    <w:rsid w:val="001A47AC"/>
    <w:rsid w:val="001A4D85"/>
    <w:rsid w:val="001A56AB"/>
    <w:rsid w:val="001A5C37"/>
    <w:rsid w:val="001A5C76"/>
    <w:rsid w:val="001A6191"/>
    <w:rsid w:val="001A688D"/>
    <w:rsid w:val="001B00AA"/>
    <w:rsid w:val="001B0DAA"/>
    <w:rsid w:val="001B11B5"/>
    <w:rsid w:val="001B1489"/>
    <w:rsid w:val="001B158B"/>
    <w:rsid w:val="001B17CA"/>
    <w:rsid w:val="001B18BB"/>
    <w:rsid w:val="001B1A27"/>
    <w:rsid w:val="001B1F5A"/>
    <w:rsid w:val="001B1FD4"/>
    <w:rsid w:val="001B2395"/>
    <w:rsid w:val="001B25E1"/>
    <w:rsid w:val="001B29D0"/>
    <w:rsid w:val="001B2FB3"/>
    <w:rsid w:val="001B3291"/>
    <w:rsid w:val="001B33F6"/>
    <w:rsid w:val="001B4680"/>
    <w:rsid w:val="001B5470"/>
    <w:rsid w:val="001B57C6"/>
    <w:rsid w:val="001B5899"/>
    <w:rsid w:val="001B5A8D"/>
    <w:rsid w:val="001B5F2F"/>
    <w:rsid w:val="001B64A6"/>
    <w:rsid w:val="001B6601"/>
    <w:rsid w:val="001B6D1A"/>
    <w:rsid w:val="001B7979"/>
    <w:rsid w:val="001B7AE1"/>
    <w:rsid w:val="001C01FD"/>
    <w:rsid w:val="001C057B"/>
    <w:rsid w:val="001C0904"/>
    <w:rsid w:val="001C0F3E"/>
    <w:rsid w:val="001C11BD"/>
    <w:rsid w:val="001C127F"/>
    <w:rsid w:val="001C150F"/>
    <w:rsid w:val="001C1E68"/>
    <w:rsid w:val="001C2286"/>
    <w:rsid w:val="001C22BC"/>
    <w:rsid w:val="001C23DE"/>
    <w:rsid w:val="001C327A"/>
    <w:rsid w:val="001C3848"/>
    <w:rsid w:val="001C4575"/>
    <w:rsid w:val="001C5A21"/>
    <w:rsid w:val="001C5CB6"/>
    <w:rsid w:val="001C66C8"/>
    <w:rsid w:val="001C6B8B"/>
    <w:rsid w:val="001C6F30"/>
    <w:rsid w:val="001C7B8E"/>
    <w:rsid w:val="001C7DB3"/>
    <w:rsid w:val="001D02F6"/>
    <w:rsid w:val="001D0467"/>
    <w:rsid w:val="001D08C3"/>
    <w:rsid w:val="001D11FB"/>
    <w:rsid w:val="001D1802"/>
    <w:rsid w:val="001D182E"/>
    <w:rsid w:val="001D1C7F"/>
    <w:rsid w:val="001D2438"/>
    <w:rsid w:val="001D24A5"/>
    <w:rsid w:val="001D2D46"/>
    <w:rsid w:val="001D3056"/>
    <w:rsid w:val="001D355B"/>
    <w:rsid w:val="001D3D57"/>
    <w:rsid w:val="001D490C"/>
    <w:rsid w:val="001D50C0"/>
    <w:rsid w:val="001D50C8"/>
    <w:rsid w:val="001D54A2"/>
    <w:rsid w:val="001D596B"/>
    <w:rsid w:val="001D5BBA"/>
    <w:rsid w:val="001D6314"/>
    <w:rsid w:val="001D6BCF"/>
    <w:rsid w:val="001D6BE1"/>
    <w:rsid w:val="001D739A"/>
    <w:rsid w:val="001D76A6"/>
    <w:rsid w:val="001D7758"/>
    <w:rsid w:val="001D7EAB"/>
    <w:rsid w:val="001D7FEC"/>
    <w:rsid w:val="001E0307"/>
    <w:rsid w:val="001E084E"/>
    <w:rsid w:val="001E08E3"/>
    <w:rsid w:val="001E0931"/>
    <w:rsid w:val="001E0B64"/>
    <w:rsid w:val="001E199A"/>
    <w:rsid w:val="001E1C58"/>
    <w:rsid w:val="001E22B7"/>
    <w:rsid w:val="001E2CB2"/>
    <w:rsid w:val="001E2D6D"/>
    <w:rsid w:val="001E31A1"/>
    <w:rsid w:val="001E3993"/>
    <w:rsid w:val="001E3A26"/>
    <w:rsid w:val="001E4156"/>
    <w:rsid w:val="001E44C4"/>
    <w:rsid w:val="001E44D5"/>
    <w:rsid w:val="001E4969"/>
    <w:rsid w:val="001E5A49"/>
    <w:rsid w:val="001E5F6A"/>
    <w:rsid w:val="001E6359"/>
    <w:rsid w:val="001E6374"/>
    <w:rsid w:val="001E667A"/>
    <w:rsid w:val="001E6C14"/>
    <w:rsid w:val="001E6D21"/>
    <w:rsid w:val="001E7160"/>
    <w:rsid w:val="001E72EF"/>
    <w:rsid w:val="001E7C86"/>
    <w:rsid w:val="001E7DE4"/>
    <w:rsid w:val="001F197F"/>
    <w:rsid w:val="001F25B7"/>
    <w:rsid w:val="001F2FDE"/>
    <w:rsid w:val="001F354F"/>
    <w:rsid w:val="001F384F"/>
    <w:rsid w:val="001F386B"/>
    <w:rsid w:val="001F3B8E"/>
    <w:rsid w:val="001F3DA0"/>
    <w:rsid w:val="001F3F19"/>
    <w:rsid w:val="001F4337"/>
    <w:rsid w:val="001F4563"/>
    <w:rsid w:val="001F49BB"/>
    <w:rsid w:val="001F4B0E"/>
    <w:rsid w:val="001F4DBA"/>
    <w:rsid w:val="001F55AD"/>
    <w:rsid w:val="001F5F4B"/>
    <w:rsid w:val="001F6376"/>
    <w:rsid w:val="001F63DF"/>
    <w:rsid w:val="001F6931"/>
    <w:rsid w:val="001F6F84"/>
    <w:rsid w:val="001F76C9"/>
    <w:rsid w:val="001F7739"/>
    <w:rsid w:val="001F7DE1"/>
    <w:rsid w:val="001F7E6E"/>
    <w:rsid w:val="001F7FB7"/>
    <w:rsid w:val="00200407"/>
    <w:rsid w:val="00200E88"/>
    <w:rsid w:val="0020161E"/>
    <w:rsid w:val="00201741"/>
    <w:rsid w:val="00202288"/>
    <w:rsid w:val="00202D5C"/>
    <w:rsid w:val="00202EE5"/>
    <w:rsid w:val="00203794"/>
    <w:rsid w:val="0020438D"/>
    <w:rsid w:val="00204B28"/>
    <w:rsid w:val="00204DA3"/>
    <w:rsid w:val="00205158"/>
    <w:rsid w:val="00205884"/>
    <w:rsid w:val="00206587"/>
    <w:rsid w:val="002067D3"/>
    <w:rsid w:val="002074B9"/>
    <w:rsid w:val="002074DA"/>
    <w:rsid w:val="00207ACC"/>
    <w:rsid w:val="00210484"/>
    <w:rsid w:val="0021060B"/>
    <w:rsid w:val="00210A18"/>
    <w:rsid w:val="0021102B"/>
    <w:rsid w:val="00212698"/>
    <w:rsid w:val="00212CCB"/>
    <w:rsid w:val="00213067"/>
    <w:rsid w:val="0021313E"/>
    <w:rsid w:val="00213381"/>
    <w:rsid w:val="002139D8"/>
    <w:rsid w:val="00214E53"/>
    <w:rsid w:val="002153F0"/>
    <w:rsid w:val="00215CF5"/>
    <w:rsid w:val="0021609E"/>
    <w:rsid w:val="0021697D"/>
    <w:rsid w:val="00216FEB"/>
    <w:rsid w:val="00217136"/>
    <w:rsid w:val="00217333"/>
    <w:rsid w:val="002205B6"/>
    <w:rsid w:val="00220BBB"/>
    <w:rsid w:val="00221047"/>
    <w:rsid w:val="002213E1"/>
    <w:rsid w:val="00221403"/>
    <w:rsid w:val="00221A93"/>
    <w:rsid w:val="00221CA5"/>
    <w:rsid w:val="00221D64"/>
    <w:rsid w:val="0022214E"/>
    <w:rsid w:val="00222BFA"/>
    <w:rsid w:val="00222CA1"/>
    <w:rsid w:val="00223600"/>
    <w:rsid w:val="002243AC"/>
    <w:rsid w:val="00224BB2"/>
    <w:rsid w:val="00225EFA"/>
    <w:rsid w:val="00225F6E"/>
    <w:rsid w:val="0022649C"/>
    <w:rsid w:val="002265F8"/>
    <w:rsid w:val="0022684A"/>
    <w:rsid w:val="00226B5E"/>
    <w:rsid w:val="00227129"/>
    <w:rsid w:val="00227178"/>
    <w:rsid w:val="002273CC"/>
    <w:rsid w:val="002305B8"/>
    <w:rsid w:val="00230730"/>
    <w:rsid w:val="00230B4B"/>
    <w:rsid w:val="0023169E"/>
    <w:rsid w:val="00232075"/>
    <w:rsid w:val="002323D4"/>
    <w:rsid w:val="002326EC"/>
    <w:rsid w:val="00232A1D"/>
    <w:rsid w:val="00232F0B"/>
    <w:rsid w:val="00232F50"/>
    <w:rsid w:val="00233440"/>
    <w:rsid w:val="002337A0"/>
    <w:rsid w:val="00233F52"/>
    <w:rsid w:val="002340AB"/>
    <w:rsid w:val="00234593"/>
    <w:rsid w:val="00235307"/>
    <w:rsid w:val="00235527"/>
    <w:rsid w:val="002356DA"/>
    <w:rsid w:val="00235E3B"/>
    <w:rsid w:val="0023640E"/>
    <w:rsid w:val="00236668"/>
    <w:rsid w:val="0023668A"/>
    <w:rsid w:val="00236CCD"/>
    <w:rsid w:val="00237071"/>
    <w:rsid w:val="002372B9"/>
    <w:rsid w:val="00237911"/>
    <w:rsid w:val="0023794C"/>
    <w:rsid w:val="00237E66"/>
    <w:rsid w:val="00240A70"/>
    <w:rsid w:val="00240EF9"/>
    <w:rsid w:val="0024194E"/>
    <w:rsid w:val="002420DD"/>
    <w:rsid w:val="002420F7"/>
    <w:rsid w:val="00242D23"/>
    <w:rsid w:val="00242FB3"/>
    <w:rsid w:val="00243720"/>
    <w:rsid w:val="002437E0"/>
    <w:rsid w:val="00243F2C"/>
    <w:rsid w:val="00244694"/>
    <w:rsid w:val="0024477E"/>
    <w:rsid w:val="002449AD"/>
    <w:rsid w:val="00245D58"/>
    <w:rsid w:val="0024731F"/>
    <w:rsid w:val="00247419"/>
    <w:rsid w:val="002475FA"/>
    <w:rsid w:val="0024762F"/>
    <w:rsid w:val="00247990"/>
    <w:rsid w:val="00251796"/>
    <w:rsid w:val="00251914"/>
    <w:rsid w:val="00251A22"/>
    <w:rsid w:val="002538DD"/>
    <w:rsid w:val="00253A08"/>
    <w:rsid w:val="00253ADD"/>
    <w:rsid w:val="00253AF5"/>
    <w:rsid w:val="00253B42"/>
    <w:rsid w:val="00253D68"/>
    <w:rsid w:val="00254D17"/>
    <w:rsid w:val="00255AB3"/>
    <w:rsid w:val="00255BE9"/>
    <w:rsid w:val="00255D9C"/>
    <w:rsid w:val="00256106"/>
    <w:rsid w:val="00256740"/>
    <w:rsid w:val="00256A52"/>
    <w:rsid w:val="00256E3E"/>
    <w:rsid w:val="002574AA"/>
    <w:rsid w:val="00257D07"/>
    <w:rsid w:val="00257FAE"/>
    <w:rsid w:val="002600F3"/>
    <w:rsid w:val="00260847"/>
    <w:rsid w:val="00260BC5"/>
    <w:rsid w:val="00261787"/>
    <w:rsid w:val="00261D69"/>
    <w:rsid w:val="002625CF"/>
    <w:rsid w:val="002631C7"/>
    <w:rsid w:val="00264123"/>
    <w:rsid w:val="002642BB"/>
    <w:rsid w:val="00264868"/>
    <w:rsid w:val="002650D8"/>
    <w:rsid w:val="00265359"/>
    <w:rsid w:val="0026569D"/>
    <w:rsid w:val="0026580B"/>
    <w:rsid w:val="00265ABA"/>
    <w:rsid w:val="0026659C"/>
    <w:rsid w:val="00266642"/>
    <w:rsid w:val="00266AB2"/>
    <w:rsid w:val="00266BAC"/>
    <w:rsid w:val="00267E6A"/>
    <w:rsid w:val="00267E7C"/>
    <w:rsid w:val="002702C4"/>
    <w:rsid w:val="0027095A"/>
    <w:rsid w:val="00270B60"/>
    <w:rsid w:val="00270F93"/>
    <w:rsid w:val="00271673"/>
    <w:rsid w:val="00272703"/>
    <w:rsid w:val="002728CD"/>
    <w:rsid w:val="002734DB"/>
    <w:rsid w:val="0027397A"/>
    <w:rsid w:val="00273C6C"/>
    <w:rsid w:val="00273CC0"/>
    <w:rsid w:val="002744AF"/>
    <w:rsid w:val="00274EA8"/>
    <w:rsid w:val="00275523"/>
    <w:rsid w:val="00276090"/>
    <w:rsid w:val="002778D3"/>
    <w:rsid w:val="00280329"/>
    <w:rsid w:val="00280582"/>
    <w:rsid w:val="00280B0B"/>
    <w:rsid w:val="00280CEC"/>
    <w:rsid w:val="00281225"/>
    <w:rsid w:val="00281836"/>
    <w:rsid w:val="00282860"/>
    <w:rsid w:val="00282F63"/>
    <w:rsid w:val="00283308"/>
    <w:rsid w:val="002834FA"/>
    <w:rsid w:val="002835AE"/>
    <w:rsid w:val="002837A5"/>
    <w:rsid w:val="00283C0B"/>
    <w:rsid w:val="00283D88"/>
    <w:rsid w:val="00283ED9"/>
    <w:rsid w:val="00284DC1"/>
    <w:rsid w:val="00284FF0"/>
    <w:rsid w:val="002852BC"/>
    <w:rsid w:val="00286444"/>
    <w:rsid w:val="0028685B"/>
    <w:rsid w:val="00286E05"/>
    <w:rsid w:val="002876E4"/>
    <w:rsid w:val="00290ED5"/>
    <w:rsid w:val="002915B4"/>
    <w:rsid w:val="00291D9B"/>
    <w:rsid w:val="00292059"/>
    <w:rsid w:val="002927D9"/>
    <w:rsid w:val="00292C50"/>
    <w:rsid w:val="00294A2D"/>
    <w:rsid w:val="00295074"/>
    <w:rsid w:val="00295690"/>
    <w:rsid w:val="002957DF"/>
    <w:rsid w:val="00295D46"/>
    <w:rsid w:val="00296336"/>
    <w:rsid w:val="0029652D"/>
    <w:rsid w:val="00296A39"/>
    <w:rsid w:val="00296ACD"/>
    <w:rsid w:val="00297307"/>
    <w:rsid w:val="00297400"/>
    <w:rsid w:val="00297610"/>
    <w:rsid w:val="00297A7D"/>
    <w:rsid w:val="00297D65"/>
    <w:rsid w:val="002A03F1"/>
    <w:rsid w:val="002A089E"/>
    <w:rsid w:val="002A21A3"/>
    <w:rsid w:val="002A2392"/>
    <w:rsid w:val="002A27A4"/>
    <w:rsid w:val="002A2EA6"/>
    <w:rsid w:val="002A305D"/>
    <w:rsid w:val="002A3187"/>
    <w:rsid w:val="002A37CA"/>
    <w:rsid w:val="002A45AE"/>
    <w:rsid w:val="002A47F6"/>
    <w:rsid w:val="002A4F71"/>
    <w:rsid w:val="002A5662"/>
    <w:rsid w:val="002A5D4B"/>
    <w:rsid w:val="002A60D4"/>
    <w:rsid w:val="002A68D2"/>
    <w:rsid w:val="002A6F1C"/>
    <w:rsid w:val="002A7337"/>
    <w:rsid w:val="002A7438"/>
    <w:rsid w:val="002A7A6F"/>
    <w:rsid w:val="002B0396"/>
    <w:rsid w:val="002B0524"/>
    <w:rsid w:val="002B0988"/>
    <w:rsid w:val="002B19E2"/>
    <w:rsid w:val="002B25FC"/>
    <w:rsid w:val="002B2738"/>
    <w:rsid w:val="002B2AC3"/>
    <w:rsid w:val="002B306B"/>
    <w:rsid w:val="002B34A8"/>
    <w:rsid w:val="002B3BF9"/>
    <w:rsid w:val="002B49FE"/>
    <w:rsid w:val="002B4EF3"/>
    <w:rsid w:val="002B5486"/>
    <w:rsid w:val="002B55B1"/>
    <w:rsid w:val="002B59EF"/>
    <w:rsid w:val="002B5AE5"/>
    <w:rsid w:val="002B5C3E"/>
    <w:rsid w:val="002B6041"/>
    <w:rsid w:val="002B626D"/>
    <w:rsid w:val="002B628C"/>
    <w:rsid w:val="002B65D4"/>
    <w:rsid w:val="002B6922"/>
    <w:rsid w:val="002B6DB0"/>
    <w:rsid w:val="002B6ECB"/>
    <w:rsid w:val="002B7C7A"/>
    <w:rsid w:val="002C076E"/>
    <w:rsid w:val="002C1F4A"/>
    <w:rsid w:val="002C262A"/>
    <w:rsid w:val="002C2744"/>
    <w:rsid w:val="002C413F"/>
    <w:rsid w:val="002C487C"/>
    <w:rsid w:val="002C492B"/>
    <w:rsid w:val="002C4E5B"/>
    <w:rsid w:val="002C5C65"/>
    <w:rsid w:val="002C5DD6"/>
    <w:rsid w:val="002C6D1A"/>
    <w:rsid w:val="002C706E"/>
    <w:rsid w:val="002C7344"/>
    <w:rsid w:val="002C7A4C"/>
    <w:rsid w:val="002D05B2"/>
    <w:rsid w:val="002D08C7"/>
    <w:rsid w:val="002D0EC6"/>
    <w:rsid w:val="002D130B"/>
    <w:rsid w:val="002D1900"/>
    <w:rsid w:val="002D198C"/>
    <w:rsid w:val="002D1EDB"/>
    <w:rsid w:val="002D20E1"/>
    <w:rsid w:val="002D2258"/>
    <w:rsid w:val="002D30B1"/>
    <w:rsid w:val="002D35C7"/>
    <w:rsid w:val="002D38C3"/>
    <w:rsid w:val="002D3E23"/>
    <w:rsid w:val="002D46A2"/>
    <w:rsid w:val="002D51B6"/>
    <w:rsid w:val="002D5E9E"/>
    <w:rsid w:val="002D614C"/>
    <w:rsid w:val="002D6886"/>
    <w:rsid w:val="002D695A"/>
    <w:rsid w:val="002D6C43"/>
    <w:rsid w:val="002D7A1D"/>
    <w:rsid w:val="002D7BB1"/>
    <w:rsid w:val="002E0407"/>
    <w:rsid w:val="002E1238"/>
    <w:rsid w:val="002E18AA"/>
    <w:rsid w:val="002E1AA1"/>
    <w:rsid w:val="002E1F0E"/>
    <w:rsid w:val="002E21CC"/>
    <w:rsid w:val="002E2A37"/>
    <w:rsid w:val="002E2B6F"/>
    <w:rsid w:val="002E2DBF"/>
    <w:rsid w:val="002E3423"/>
    <w:rsid w:val="002E399A"/>
    <w:rsid w:val="002E3EAC"/>
    <w:rsid w:val="002E433B"/>
    <w:rsid w:val="002E48CF"/>
    <w:rsid w:val="002E4B2E"/>
    <w:rsid w:val="002E4C0D"/>
    <w:rsid w:val="002E4D99"/>
    <w:rsid w:val="002E4E89"/>
    <w:rsid w:val="002E5234"/>
    <w:rsid w:val="002E5381"/>
    <w:rsid w:val="002E6413"/>
    <w:rsid w:val="002E6536"/>
    <w:rsid w:val="002E6C87"/>
    <w:rsid w:val="002E7029"/>
    <w:rsid w:val="002E70A9"/>
    <w:rsid w:val="002E79A7"/>
    <w:rsid w:val="002E7EA5"/>
    <w:rsid w:val="002F0CC1"/>
    <w:rsid w:val="002F1F7E"/>
    <w:rsid w:val="002F2ECA"/>
    <w:rsid w:val="002F340E"/>
    <w:rsid w:val="002F358A"/>
    <w:rsid w:val="002F3799"/>
    <w:rsid w:val="002F3911"/>
    <w:rsid w:val="002F3A11"/>
    <w:rsid w:val="002F45AC"/>
    <w:rsid w:val="002F45E9"/>
    <w:rsid w:val="002F4A2F"/>
    <w:rsid w:val="002F584B"/>
    <w:rsid w:val="002F5E25"/>
    <w:rsid w:val="002F6F76"/>
    <w:rsid w:val="002F71F2"/>
    <w:rsid w:val="002F7A9D"/>
    <w:rsid w:val="003002DD"/>
    <w:rsid w:val="00300768"/>
    <w:rsid w:val="00301067"/>
    <w:rsid w:val="003010F7"/>
    <w:rsid w:val="003011E9"/>
    <w:rsid w:val="0030178F"/>
    <w:rsid w:val="003017C7"/>
    <w:rsid w:val="003019A1"/>
    <w:rsid w:val="0030203E"/>
    <w:rsid w:val="00302D3C"/>
    <w:rsid w:val="00303206"/>
    <w:rsid w:val="00303291"/>
    <w:rsid w:val="003038C8"/>
    <w:rsid w:val="00305133"/>
    <w:rsid w:val="003056EF"/>
    <w:rsid w:val="0030630A"/>
    <w:rsid w:val="003065F2"/>
    <w:rsid w:val="003068EF"/>
    <w:rsid w:val="00306D22"/>
    <w:rsid w:val="0030706F"/>
    <w:rsid w:val="0030764F"/>
    <w:rsid w:val="0030780C"/>
    <w:rsid w:val="00307AAA"/>
    <w:rsid w:val="00307B6B"/>
    <w:rsid w:val="003105CE"/>
    <w:rsid w:val="00310633"/>
    <w:rsid w:val="0031074C"/>
    <w:rsid w:val="00310880"/>
    <w:rsid w:val="003108F6"/>
    <w:rsid w:val="00310C6A"/>
    <w:rsid w:val="00310CB2"/>
    <w:rsid w:val="00311607"/>
    <w:rsid w:val="00312C2A"/>
    <w:rsid w:val="00312CC7"/>
    <w:rsid w:val="00312DED"/>
    <w:rsid w:val="00312EB0"/>
    <w:rsid w:val="00313526"/>
    <w:rsid w:val="003136F2"/>
    <w:rsid w:val="00313A63"/>
    <w:rsid w:val="00313D83"/>
    <w:rsid w:val="00314222"/>
    <w:rsid w:val="00314601"/>
    <w:rsid w:val="0031486C"/>
    <w:rsid w:val="00314AA9"/>
    <w:rsid w:val="00314C5E"/>
    <w:rsid w:val="00315236"/>
    <w:rsid w:val="0031576A"/>
    <w:rsid w:val="00316691"/>
    <w:rsid w:val="0031714D"/>
    <w:rsid w:val="003200D6"/>
    <w:rsid w:val="003204FA"/>
    <w:rsid w:val="0032116E"/>
    <w:rsid w:val="00321278"/>
    <w:rsid w:val="00321445"/>
    <w:rsid w:val="00321599"/>
    <w:rsid w:val="00321AD0"/>
    <w:rsid w:val="00322502"/>
    <w:rsid w:val="003226E0"/>
    <w:rsid w:val="00322DA0"/>
    <w:rsid w:val="00323D6A"/>
    <w:rsid w:val="00324196"/>
    <w:rsid w:val="00324C31"/>
    <w:rsid w:val="00324CF2"/>
    <w:rsid w:val="0032516B"/>
    <w:rsid w:val="00325927"/>
    <w:rsid w:val="00326187"/>
    <w:rsid w:val="0032625B"/>
    <w:rsid w:val="003263FC"/>
    <w:rsid w:val="00326963"/>
    <w:rsid w:val="003279D8"/>
    <w:rsid w:val="00327EA1"/>
    <w:rsid w:val="00327F21"/>
    <w:rsid w:val="003302EE"/>
    <w:rsid w:val="003317DD"/>
    <w:rsid w:val="00331F3A"/>
    <w:rsid w:val="0033216F"/>
    <w:rsid w:val="00333263"/>
    <w:rsid w:val="003332E5"/>
    <w:rsid w:val="00334336"/>
    <w:rsid w:val="003345D5"/>
    <w:rsid w:val="00334B6D"/>
    <w:rsid w:val="00334C3C"/>
    <w:rsid w:val="003353A6"/>
    <w:rsid w:val="00336844"/>
    <w:rsid w:val="00337B6A"/>
    <w:rsid w:val="00337BED"/>
    <w:rsid w:val="003408AF"/>
    <w:rsid w:val="0034134D"/>
    <w:rsid w:val="00341A07"/>
    <w:rsid w:val="003421B1"/>
    <w:rsid w:val="00342735"/>
    <w:rsid w:val="00342C48"/>
    <w:rsid w:val="00342F9F"/>
    <w:rsid w:val="00343AB9"/>
    <w:rsid w:val="00343DAF"/>
    <w:rsid w:val="00343F53"/>
    <w:rsid w:val="003441F3"/>
    <w:rsid w:val="0034486C"/>
    <w:rsid w:val="00344F59"/>
    <w:rsid w:val="003450AF"/>
    <w:rsid w:val="0034523F"/>
    <w:rsid w:val="00345FA3"/>
    <w:rsid w:val="003468ED"/>
    <w:rsid w:val="00346AB8"/>
    <w:rsid w:val="00347774"/>
    <w:rsid w:val="00347A10"/>
    <w:rsid w:val="00350458"/>
    <w:rsid w:val="00350846"/>
    <w:rsid w:val="00350B48"/>
    <w:rsid w:val="00350D39"/>
    <w:rsid w:val="00350F99"/>
    <w:rsid w:val="00351823"/>
    <w:rsid w:val="00351881"/>
    <w:rsid w:val="00352659"/>
    <w:rsid w:val="0035267E"/>
    <w:rsid w:val="003528D9"/>
    <w:rsid w:val="00352A74"/>
    <w:rsid w:val="003538A6"/>
    <w:rsid w:val="00353CF5"/>
    <w:rsid w:val="0035424E"/>
    <w:rsid w:val="003544E2"/>
    <w:rsid w:val="00354FB4"/>
    <w:rsid w:val="0035517B"/>
    <w:rsid w:val="0035530B"/>
    <w:rsid w:val="0035546E"/>
    <w:rsid w:val="00355709"/>
    <w:rsid w:val="00355F04"/>
    <w:rsid w:val="003562D6"/>
    <w:rsid w:val="003563BF"/>
    <w:rsid w:val="0035654D"/>
    <w:rsid w:val="00356718"/>
    <w:rsid w:val="00356D00"/>
    <w:rsid w:val="003571F6"/>
    <w:rsid w:val="003579D3"/>
    <w:rsid w:val="003602DE"/>
    <w:rsid w:val="00360426"/>
    <w:rsid w:val="00360438"/>
    <w:rsid w:val="00360920"/>
    <w:rsid w:val="00360C59"/>
    <w:rsid w:val="00361127"/>
    <w:rsid w:val="00361C6B"/>
    <w:rsid w:val="00362659"/>
    <w:rsid w:val="00362A02"/>
    <w:rsid w:val="003639DC"/>
    <w:rsid w:val="00363B0C"/>
    <w:rsid w:val="00364478"/>
    <w:rsid w:val="00364E56"/>
    <w:rsid w:val="00365774"/>
    <w:rsid w:val="00365CA3"/>
    <w:rsid w:val="00365D15"/>
    <w:rsid w:val="003662BA"/>
    <w:rsid w:val="0036730F"/>
    <w:rsid w:val="00367B17"/>
    <w:rsid w:val="00370336"/>
    <w:rsid w:val="00370EC3"/>
    <w:rsid w:val="0037122A"/>
    <w:rsid w:val="003715D2"/>
    <w:rsid w:val="0037169B"/>
    <w:rsid w:val="00371C9E"/>
    <w:rsid w:val="00371E4E"/>
    <w:rsid w:val="003720DE"/>
    <w:rsid w:val="00373307"/>
    <w:rsid w:val="003734AA"/>
    <w:rsid w:val="00373C43"/>
    <w:rsid w:val="00373EE0"/>
    <w:rsid w:val="00373F03"/>
    <w:rsid w:val="00373FE9"/>
    <w:rsid w:val="00374BFF"/>
    <w:rsid w:val="00374CBB"/>
    <w:rsid w:val="00374D24"/>
    <w:rsid w:val="00375670"/>
    <w:rsid w:val="00375C4E"/>
    <w:rsid w:val="0037650F"/>
    <w:rsid w:val="00376A7E"/>
    <w:rsid w:val="00376F84"/>
    <w:rsid w:val="0038129F"/>
    <w:rsid w:val="003813B9"/>
    <w:rsid w:val="00381D88"/>
    <w:rsid w:val="00381ECF"/>
    <w:rsid w:val="00382133"/>
    <w:rsid w:val="0038217E"/>
    <w:rsid w:val="00382673"/>
    <w:rsid w:val="0038268C"/>
    <w:rsid w:val="0038341B"/>
    <w:rsid w:val="00383CD7"/>
    <w:rsid w:val="00384046"/>
    <w:rsid w:val="003847F0"/>
    <w:rsid w:val="00385516"/>
    <w:rsid w:val="0038553A"/>
    <w:rsid w:val="00385BEE"/>
    <w:rsid w:val="00385C00"/>
    <w:rsid w:val="00387333"/>
    <w:rsid w:val="003877BE"/>
    <w:rsid w:val="003878A6"/>
    <w:rsid w:val="003879AE"/>
    <w:rsid w:val="0039000F"/>
    <w:rsid w:val="003905C7"/>
    <w:rsid w:val="00390A2B"/>
    <w:rsid w:val="00390D8F"/>
    <w:rsid w:val="0039134F"/>
    <w:rsid w:val="0039164F"/>
    <w:rsid w:val="00391758"/>
    <w:rsid w:val="003922FE"/>
    <w:rsid w:val="00392522"/>
    <w:rsid w:val="00392A6B"/>
    <w:rsid w:val="00392AF2"/>
    <w:rsid w:val="00392DFB"/>
    <w:rsid w:val="00393694"/>
    <w:rsid w:val="00393FF6"/>
    <w:rsid w:val="00394340"/>
    <w:rsid w:val="003946A2"/>
    <w:rsid w:val="00394BB2"/>
    <w:rsid w:val="00395332"/>
    <w:rsid w:val="0039553A"/>
    <w:rsid w:val="00396636"/>
    <w:rsid w:val="00396B9A"/>
    <w:rsid w:val="00397FA0"/>
    <w:rsid w:val="003A0EF6"/>
    <w:rsid w:val="003A1288"/>
    <w:rsid w:val="003A169E"/>
    <w:rsid w:val="003A17BD"/>
    <w:rsid w:val="003A24EB"/>
    <w:rsid w:val="003A2D2C"/>
    <w:rsid w:val="003A2D57"/>
    <w:rsid w:val="003A2E97"/>
    <w:rsid w:val="003A32BF"/>
    <w:rsid w:val="003A34A1"/>
    <w:rsid w:val="003A34EB"/>
    <w:rsid w:val="003A3594"/>
    <w:rsid w:val="003A3809"/>
    <w:rsid w:val="003A3E66"/>
    <w:rsid w:val="003A41C0"/>
    <w:rsid w:val="003A4667"/>
    <w:rsid w:val="003A4A12"/>
    <w:rsid w:val="003A4D0A"/>
    <w:rsid w:val="003A546D"/>
    <w:rsid w:val="003A5C37"/>
    <w:rsid w:val="003A666E"/>
    <w:rsid w:val="003A7416"/>
    <w:rsid w:val="003A754A"/>
    <w:rsid w:val="003A7FFC"/>
    <w:rsid w:val="003B0480"/>
    <w:rsid w:val="003B08F5"/>
    <w:rsid w:val="003B1046"/>
    <w:rsid w:val="003B12F2"/>
    <w:rsid w:val="003B166B"/>
    <w:rsid w:val="003B197E"/>
    <w:rsid w:val="003B1DBE"/>
    <w:rsid w:val="003B2167"/>
    <w:rsid w:val="003B2513"/>
    <w:rsid w:val="003B27EB"/>
    <w:rsid w:val="003B3074"/>
    <w:rsid w:val="003B39C7"/>
    <w:rsid w:val="003B3C7D"/>
    <w:rsid w:val="003B3D0D"/>
    <w:rsid w:val="003B40C5"/>
    <w:rsid w:val="003B436A"/>
    <w:rsid w:val="003B4D46"/>
    <w:rsid w:val="003B5DB6"/>
    <w:rsid w:val="003B6117"/>
    <w:rsid w:val="003B64A9"/>
    <w:rsid w:val="003B692A"/>
    <w:rsid w:val="003B7167"/>
    <w:rsid w:val="003B7987"/>
    <w:rsid w:val="003C012C"/>
    <w:rsid w:val="003C17E3"/>
    <w:rsid w:val="003C2709"/>
    <w:rsid w:val="003C3208"/>
    <w:rsid w:val="003C3408"/>
    <w:rsid w:val="003C3CEB"/>
    <w:rsid w:val="003C443B"/>
    <w:rsid w:val="003C460A"/>
    <w:rsid w:val="003C5B18"/>
    <w:rsid w:val="003C5C5E"/>
    <w:rsid w:val="003C5E25"/>
    <w:rsid w:val="003C5F42"/>
    <w:rsid w:val="003C5F4D"/>
    <w:rsid w:val="003C6875"/>
    <w:rsid w:val="003C6A61"/>
    <w:rsid w:val="003C6CFB"/>
    <w:rsid w:val="003C6F0A"/>
    <w:rsid w:val="003C7601"/>
    <w:rsid w:val="003C7638"/>
    <w:rsid w:val="003C7A49"/>
    <w:rsid w:val="003D04AB"/>
    <w:rsid w:val="003D0B2A"/>
    <w:rsid w:val="003D0C16"/>
    <w:rsid w:val="003D10CB"/>
    <w:rsid w:val="003D1113"/>
    <w:rsid w:val="003D1890"/>
    <w:rsid w:val="003D18E1"/>
    <w:rsid w:val="003D1A10"/>
    <w:rsid w:val="003D2266"/>
    <w:rsid w:val="003D2344"/>
    <w:rsid w:val="003D2AF7"/>
    <w:rsid w:val="003D31C0"/>
    <w:rsid w:val="003D3511"/>
    <w:rsid w:val="003D3AAC"/>
    <w:rsid w:val="003D3AFF"/>
    <w:rsid w:val="003D3B7D"/>
    <w:rsid w:val="003D4C3B"/>
    <w:rsid w:val="003D4FA2"/>
    <w:rsid w:val="003D4FD5"/>
    <w:rsid w:val="003D507F"/>
    <w:rsid w:val="003D5907"/>
    <w:rsid w:val="003D625C"/>
    <w:rsid w:val="003D67A6"/>
    <w:rsid w:val="003D6924"/>
    <w:rsid w:val="003D744F"/>
    <w:rsid w:val="003D74AB"/>
    <w:rsid w:val="003D7545"/>
    <w:rsid w:val="003E0341"/>
    <w:rsid w:val="003E080B"/>
    <w:rsid w:val="003E0B8D"/>
    <w:rsid w:val="003E112B"/>
    <w:rsid w:val="003E17D8"/>
    <w:rsid w:val="003E1D5B"/>
    <w:rsid w:val="003E2A98"/>
    <w:rsid w:val="003E3982"/>
    <w:rsid w:val="003E3E22"/>
    <w:rsid w:val="003E3F60"/>
    <w:rsid w:val="003E4270"/>
    <w:rsid w:val="003E491E"/>
    <w:rsid w:val="003E493B"/>
    <w:rsid w:val="003E5054"/>
    <w:rsid w:val="003E57D2"/>
    <w:rsid w:val="003E5868"/>
    <w:rsid w:val="003E5DE6"/>
    <w:rsid w:val="003E64C1"/>
    <w:rsid w:val="003E677F"/>
    <w:rsid w:val="003E6D75"/>
    <w:rsid w:val="003E7281"/>
    <w:rsid w:val="003E74A8"/>
    <w:rsid w:val="003E7E77"/>
    <w:rsid w:val="003F03DA"/>
    <w:rsid w:val="003F07E5"/>
    <w:rsid w:val="003F084D"/>
    <w:rsid w:val="003F0B6A"/>
    <w:rsid w:val="003F0B7C"/>
    <w:rsid w:val="003F0FFD"/>
    <w:rsid w:val="003F1065"/>
    <w:rsid w:val="003F1609"/>
    <w:rsid w:val="003F1649"/>
    <w:rsid w:val="003F17A3"/>
    <w:rsid w:val="003F1862"/>
    <w:rsid w:val="003F1ED1"/>
    <w:rsid w:val="003F217A"/>
    <w:rsid w:val="003F23B2"/>
    <w:rsid w:val="003F23F0"/>
    <w:rsid w:val="003F2F27"/>
    <w:rsid w:val="003F4913"/>
    <w:rsid w:val="003F49C6"/>
    <w:rsid w:val="003F4AAC"/>
    <w:rsid w:val="003F4B53"/>
    <w:rsid w:val="003F4C60"/>
    <w:rsid w:val="003F6218"/>
    <w:rsid w:val="003F66BD"/>
    <w:rsid w:val="003F67D5"/>
    <w:rsid w:val="003F6F7E"/>
    <w:rsid w:val="003F72AF"/>
    <w:rsid w:val="004004B8"/>
    <w:rsid w:val="0040051B"/>
    <w:rsid w:val="00400653"/>
    <w:rsid w:val="004008B5"/>
    <w:rsid w:val="00400A4D"/>
    <w:rsid w:val="004012EC"/>
    <w:rsid w:val="004014C0"/>
    <w:rsid w:val="00402039"/>
    <w:rsid w:val="00402674"/>
    <w:rsid w:val="00402BA8"/>
    <w:rsid w:val="004031B5"/>
    <w:rsid w:val="0040395F"/>
    <w:rsid w:val="00403F19"/>
    <w:rsid w:val="00403FE3"/>
    <w:rsid w:val="00404DE2"/>
    <w:rsid w:val="0040506C"/>
    <w:rsid w:val="0040510A"/>
    <w:rsid w:val="00405763"/>
    <w:rsid w:val="00405C74"/>
    <w:rsid w:val="00405DAC"/>
    <w:rsid w:val="00405DFE"/>
    <w:rsid w:val="00406904"/>
    <w:rsid w:val="00406A66"/>
    <w:rsid w:val="00406EED"/>
    <w:rsid w:val="0040700A"/>
    <w:rsid w:val="004075B6"/>
    <w:rsid w:val="004076CB"/>
    <w:rsid w:val="00407E6B"/>
    <w:rsid w:val="00410B57"/>
    <w:rsid w:val="00410F00"/>
    <w:rsid w:val="00411217"/>
    <w:rsid w:val="00411B68"/>
    <w:rsid w:val="0041209B"/>
    <w:rsid w:val="004122AF"/>
    <w:rsid w:val="0041233C"/>
    <w:rsid w:val="00412403"/>
    <w:rsid w:val="0041266B"/>
    <w:rsid w:val="004126B2"/>
    <w:rsid w:val="004132EA"/>
    <w:rsid w:val="004148D0"/>
    <w:rsid w:val="00414C1C"/>
    <w:rsid w:val="00415459"/>
    <w:rsid w:val="004155D8"/>
    <w:rsid w:val="004158C9"/>
    <w:rsid w:val="00415983"/>
    <w:rsid w:val="00415C92"/>
    <w:rsid w:val="004168D5"/>
    <w:rsid w:val="004173C5"/>
    <w:rsid w:val="00417603"/>
    <w:rsid w:val="00417FFA"/>
    <w:rsid w:val="00420AAC"/>
    <w:rsid w:val="00420D85"/>
    <w:rsid w:val="00421214"/>
    <w:rsid w:val="00421429"/>
    <w:rsid w:val="0042147B"/>
    <w:rsid w:val="004217D0"/>
    <w:rsid w:val="00421CA3"/>
    <w:rsid w:val="0042213F"/>
    <w:rsid w:val="004224AC"/>
    <w:rsid w:val="00422B7B"/>
    <w:rsid w:val="00422FC7"/>
    <w:rsid w:val="00423C75"/>
    <w:rsid w:val="00424745"/>
    <w:rsid w:val="004248A9"/>
    <w:rsid w:val="004266C1"/>
    <w:rsid w:val="00426AF7"/>
    <w:rsid w:val="00426BF6"/>
    <w:rsid w:val="00427B7E"/>
    <w:rsid w:val="00430084"/>
    <w:rsid w:val="0043023E"/>
    <w:rsid w:val="0043053B"/>
    <w:rsid w:val="00431D51"/>
    <w:rsid w:val="0043306C"/>
    <w:rsid w:val="00433E6E"/>
    <w:rsid w:val="00433FB7"/>
    <w:rsid w:val="00434188"/>
    <w:rsid w:val="0043446D"/>
    <w:rsid w:val="00434B0A"/>
    <w:rsid w:val="00435634"/>
    <w:rsid w:val="004356A2"/>
    <w:rsid w:val="004373BD"/>
    <w:rsid w:val="00437BF3"/>
    <w:rsid w:val="0044036A"/>
    <w:rsid w:val="004407B4"/>
    <w:rsid w:val="004407B8"/>
    <w:rsid w:val="004409C4"/>
    <w:rsid w:val="0044148A"/>
    <w:rsid w:val="00441697"/>
    <w:rsid w:val="004418EC"/>
    <w:rsid w:val="004420C4"/>
    <w:rsid w:val="004424F3"/>
    <w:rsid w:val="00442F72"/>
    <w:rsid w:val="004437CA"/>
    <w:rsid w:val="00443C43"/>
    <w:rsid w:val="00443FD7"/>
    <w:rsid w:val="00444013"/>
    <w:rsid w:val="0044436B"/>
    <w:rsid w:val="00444604"/>
    <w:rsid w:val="00444675"/>
    <w:rsid w:val="00444B63"/>
    <w:rsid w:val="00444C65"/>
    <w:rsid w:val="00444F55"/>
    <w:rsid w:val="004453BB"/>
    <w:rsid w:val="00445FDE"/>
    <w:rsid w:val="00446928"/>
    <w:rsid w:val="0044775D"/>
    <w:rsid w:val="00447D7C"/>
    <w:rsid w:val="0045131A"/>
    <w:rsid w:val="00451416"/>
    <w:rsid w:val="0045196A"/>
    <w:rsid w:val="0045237E"/>
    <w:rsid w:val="0045359B"/>
    <w:rsid w:val="004538E2"/>
    <w:rsid w:val="004538FC"/>
    <w:rsid w:val="00453AD1"/>
    <w:rsid w:val="00453FF1"/>
    <w:rsid w:val="0045442D"/>
    <w:rsid w:val="0045532B"/>
    <w:rsid w:val="004562AE"/>
    <w:rsid w:val="004566F3"/>
    <w:rsid w:val="0045765D"/>
    <w:rsid w:val="004577AB"/>
    <w:rsid w:val="0046035F"/>
    <w:rsid w:val="0046271E"/>
    <w:rsid w:val="004629B6"/>
    <w:rsid w:val="004635FC"/>
    <w:rsid w:val="00463BEF"/>
    <w:rsid w:val="0046403E"/>
    <w:rsid w:val="004640EA"/>
    <w:rsid w:val="00464BBB"/>
    <w:rsid w:val="004654DC"/>
    <w:rsid w:val="00466216"/>
    <w:rsid w:val="00466628"/>
    <w:rsid w:val="00466ECC"/>
    <w:rsid w:val="00466FE5"/>
    <w:rsid w:val="00467104"/>
    <w:rsid w:val="00467747"/>
    <w:rsid w:val="00470A7E"/>
    <w:rsid w:val="004713D7"/>
    <w:rsid w:val="00471946"/>
    <w:rsid w:val="00472142"/>
    <w:rsid w:val="00472459"/>
    <w:rsid w:val="0047354A"/>
    <w:rsid w:val="00473CC9"/>
    <w:rsid w:val="00474059"/>
    <w:rsid w:val="00474155"/>
    <w:rsid w:val="00474501"/>
    <w:rsid w:val="00475191"/>
    <w:rsid w:val="0047549A"/>
    <w:rsid w:val="004757E7"/>
    <w:rsid w:val="00475B53"/>
    <w:rsid w:val="00475E32"/>
    <w:rsid w:val="00475E59"/>
    <w:rsid w:val="00476528"/>
    <w:rsid w:val="0047660D"/>
    <w:rsid w:val="00477003"/>
    <w:rsid w:val="004776A2"/>
    <w:rsid w:val="00477F6C"/>
    <w:rsid w:val="004805FF"/>
    <w:rsid w:val="00480AE2"/>
    <w:rsid w:val="00480EA7"/>
    <w:rsid w:val="004818E2"/>
    <w:rsid w:val="00481BEC"/>
    <w:rsid w:val="004829E9"/>
    <w:rsid w:val="00482B35"/>
    <w:rsid w:val="00482B79"/>
    <w:rsid w:val="00483190"/>
    <w:rsid w:val="00483471"/>
    <w:rsid w:val="00483822"/>
    <w:rsid w:val="00485AB1"/>
    <w:rsid w:val="00485C05"/>
    <w:rsid w:val="00485E45"/>
    <w:rsid w:val="004876B1"/>
    <w:rsid w:val="00487755"/>
    <w:rsid w:val="00487E41"/>
    <w:rsid w:val="00487F11"/>
    <w:rsid w:val="00487F89"/>
    <w:rsid w:val="00490319"/>
    <w:rsid w:val="00491026"/>
    <w:rsid w:val="00491B09"/>
    <w:rsid w:val="00492125"/>
    <w:rsid w:val="00492937"/>
    <w:rsid w:val="004931C2"/>
    <w:rsid w:val="004931EF"/>
    <w:rsid w:val="00493290"/>
    <w:rsid w:val="004934FB"/>
    <w:rsid w:val="00493567"/>
    <w:rsid w:val="00493A2A"/>
    <w:rsid w:val="00493A9E"/>
    <w:rsid w:val="00493B7B"/>
    <w:rsid w:val="00493E8E"/>
    <w:rsid w:val="004951C2"/>
    <w:rsid w:val="004952B2"/>
    <w:rsid w:val="00495434"/>
    <w:rsid w:val="0049568B"/>
    <w:rsid w:val="004958F3"/>
    <w:rsid w:val="00495E42"/>
    <w:rsid w:val="004960ED"/>
    <w:rsid w:val="0049709C"/>
    <w:rsid w:val="00497129"/>
    <w:rsid w:val="004972CF"/>
    <w:rsid w:val="004A0580"/>
    <w:rsid w:val="004A05A6"/>
    <w:rsid w:val="004A0BD0"/>
    <w:rsid w:val="004A0E1C"/>
    <w:rsid w:val="004A1153"/>
    <w:rsid w:val="004A1172"/>
    <w:rsid w:val="004A15B2"/>
    <w:rsid w:val="004A179C"/>
    <w:rsid w:val="004A1A97"/>
    <w:rsid w:val="004A2375"/>
    <w:rsid w:val="004A2C34"/>
    <w:rsid w:val="004A2C8B"/>
    <w:rsid w:val="004A2CEB"/>
    <w:rsid w:val="004A307D"/>
    <w:rsid w:val="004A3498"/>
    <w:rsid w:val="004A3A54"/>
    <w:rsid w:val="004A3F73"/>
    <w:rsid w:val="004A551A"/>
    <w:rsid w:val="004A5F41"/>
    <w:rsid w:val="004A6368"/>
    <w:rsid w:val="004A6F71"/>
    <w:rsid w:val="004A784F"/>
    <w:rsid w:val="004A7B26"/>
    <w:rsid w:val="004A7D16"/>
    <w:rsid w:val="004B0599"/>
    <w:rsid w:val="004B1065"/>
    <w:rsid w:val="004B113B"/>
    <w:rsid w:val="004B12CA"/>
    <w:rsid w:val="004B1381"/>
    <w:rsid w:val="004B154E"/>
    <w:rsid w:val="004B1720"/>
    <w:rsid w:val="004B1915"/>
    <w:rsid w:val="004B1A6B"/>
    <w:rsid w:val="004B26AB"/>
    <w:rsid w:val="004B2ABC"/>
    <w:rsid w:val="004B3038"/>
    <w:rsid w:val="004B35EA"/>
    <w:rsid w:val="004B3A02"/>
    <w:rsid w:val="004B3C2B"/>
    <w:rsid w:val="004B4087"/>
    <w:rsid w:val="004B43C8"/>
    <w:rsid w:val="004B4637"/>
    <w:rsid w:val="004B469B"/>
    <w:rsid w:val="004B5896"/>
    <w:rsid w:val="004B5EC8"/>
    <w:rsid w:val="004B6A3F"/>
    <w:rsid w:val="004B6CEE"/>
    <w:rsid w:val="004B6FF8"/>
    <w:rsid w:val="004B71ED"/>
    <w:rsid w:val="004B7893"/>
    <w:rsid w:val="004C01BE"/>
    <w:rsid w:val="004C01BF"/>
    <w:rsid w:val="004C038C"/>
    <w:rsid w:val="004C17FC"/>
    <w:rsid w:val="004C1999"/>
    <w:rsid w:val="004C27DD"/>
    <w:rsid w:val="004C2886"/>
    <w:rsid w:val="004C3891"/>
    <w:rsid w:val="004C38E7"/>
    <w:rsid w:val="004C3CC4"/>
    <w:rsid w:val="004C3CF5"/>
    <w:rsid w:val="004C40C0"/>
    <w:rsid w:val="004C4249"/>
    <w:rsid w:val="004C53A8"/>
    <w:rsid w:val="004C5D81"/>
    <w:rsid w:val="004C5DAC"/>
    <w:rsid w:val="004C6136"/>
    <w:rsid w:val="004C63E5"/>
    <w:rsid w:val="004D0071"/>
    <w:rsid w:val="004D0FD3"/>
    <w:rsid w:val="004D1132"/>
    <w:rsid w:val="004D1560"/>
    <w:rsid w:val="004D1A29"/>
    <w:rsid w:val="004D27A2"/>
    <w:rsid w:val="004D2A0F"/>
    <w:rsid w:val="004D2A10"/>
    <w:rsid w:val="004D2DA9"/>
    <w:rsid w:val="004D2E4E"/>
    <w:rsid w:val="004D37F0"/>
    <w:rsid w:val="004D3C7B"/>
    <w:rsid w:val="004D4AF6"/>
    <w:rsid w:val="004D4D93"/>
    <w:rsid w:val="004D4E03"/>
    <w:rsid w:val="004D5361"/>
    <w:rsid w:val="004D574B"/>
    <w:rsid w:val="004D575D"/>
    <w:rsid w:val="004D5F3D"/>
    <w:rsid w:val="004D6838"/>
    <w:rsid w:val="004D6B70"/>
    <w:rsid w:val="004D7743"/>
    <w:rsid w:val="004E007D"/>
    <w:rsid w:val="004E05E5"/>
    <w:rsid w:val="004E1355"/>
    <w:rsid w:val="004E13DA"/>
    <w:rsid w:val="004E1D5E"/>
    <w:rsid w:val="004E21E7"/>
    <w:rsid w:val="004E271D"/>
    <w:rsid w:val="004E2B43"/>
    <w:rsid w:val="004E2CB2"/>
    <w:rsid w:val="004E3194"/>
    <w:rsid w:val="004E3709"/>
    <w:rsid w:val="004E38A3"/>
    <w:rsid w:val="004E3D01"/>
    <w:rsid w:val="004E3D6B"/>
    <w:rsid w:val="004E3E39"/>
    <w:rsid w:val="004E436D"/>
    <w:rsid w:val="004E44A3"/>
    <w:rsid w:val="004E4ECD"/>
    <w:rsid w:val="004E58C1"/>
    <w:rsid w:val="004E6E2B"/>
    <w:rsid w:val="004E701E"/>
    <w:rsid w:val="004E74A4"/>
    <w:rsid w:val="004E75E5"/>
    <w:rsid w:val="004E76E7"/>
    <w:rsid w:val="004E77FE"/>
    <w:rsid w:val="004F012B"/>
    <w:rsid w:val="004F03B8"/>
    <w:rsid w:val="004F095B"/>
    <w:rsid w:val="004F12E6"/>
    <w:rsid w:val="004F1B7C"/>
    <w:rsid w:val="004F1D71"/>
    <w:rsid w:val="004F25A9"/>
    <w:rsid w:val="004F2CB8"/>
    <w:rsid w:val="004F34C4"/>
    <w:rsid w:val="004F3BA2"/>
    <w:rsid w:val="004F3D88"/>
    <w:rsid w:val="004F4494"/>
    <w:rsid w:val="004F4CB1"/>
    <w:rsid w:val="004F4FCF"/>
    <w:rsid w:val="004F4FE2"/>
    <w:rsid w:val="004F52A4"/>
    <w:rsid w:val="004F54E3"/>
    <w:rsid w:val="004F5BCC"/>
    <w:rsid w:val="004F6747"/>
    <w:rsid w:val="004F6785"/>
    <w:rsid w:val="004F7330"/>
    <w:rsid w:val="004F796B"/>
    <w:rsid w:val="005009D5"/>
    <w:rsid w:val="00501E70"/>
    <w:rsid w:val="005022C7"/>
    <w:rsid w:val="005027D6"/>
    <w:rsid w:val="00502924"/>
    <w:rsid w:val="00502B8D"/>
    <w:rsid w:val="005031C8"/>
    <w:rsid w:val="005035BB"/>
    <w:rsid w:val="00503917"/>
    <w:rsid w:val="00503E29"/>
    <w:rsid w:val="00503F7F"/>
    <w:rsid w:val="00504D5C"/>
    <w:rsid w:val="00505315"/>
    <w:rsid w:val="00505E3E"/>
    <w:rsid w:val="00506109"/>
    <w:rsid w:val="0050623D"/>
    <w:rsid w:val="005064CD"/>
    <w:rsid w:val="00506535"/>
    <w:rsid w:val="0050655A"/>
    <w:rsid w:val="00506584"/>
    <w:rsid w:val="00506B9F"/>
    <w:rsid w:val="005071EF"/>
    <w:rsid w:val="00507974"/>
    <w:rsid w:val="00507A85"/>
    <w:rsid w:val="00507AC2"/>
    <w:rsid w:val="00507C96"/>
    <w:rsid w:val="00507FB5"/>
    <w:rsid w:val="00510351"/>
    <w:rsid w:val="00510B97"/>
    <w:rsid w:val="005111A1"/>
    <w:rsid w:val="0051192F"/>
    <w:rsid w:val="00511EDC"/>
    <w:rsid w:val="00512474"/>
    <w:rsid w:val="0051365F"/>
    <w:rsid w:val="00513BDB"/>
    <w:rsid w:val="0051474D"/>
    <w:rsid w:val="0051482A"/>
    <w:rsid w:val="00514D12"/>
    <w:rsid w:val="00515973"/>
    <w:rsid w:val="00515A5F"/>
    <w:rsid w:val="00515BA6"/>
    <w:rsid w:val="00516283"/>
    <w:rsid w:val="005163D5"/>
    <w:rsid w:val="00516CB8"/>
    <w:rsid w:val="00516F1F"/>
    <w:rsid w:val="00517596"/>
    <w:rsid w:val="0051762E"/>
    <w:rsid w:val="005178AA"/>
    <w:rsid w:val="00517A0D"/>
    <w:rsid w:val="00517A62"/>
    <w:rsid w:val="00517D74"/>
    <w:rsid w:val="00517F78"/>
    <w:rsid w:val="00520B49"/>
    <w:rsid w:val="00521554"/>
    <w:rsid w:val="00521C4F"/>
    <w:rsid w:val="00522095"/>
    <w:rsid w:val="00522348"/>
    <w:rsid w:val="00522F73"/>
    <w:rsid w:val="00522F9A"/>
    <w:rsid w:val="00523042"/>
    <w:rsid w:val="0052349A"/>
    <w:rsid w:val="0052350B"/>
    <w:rsid w:val="0052422B"/>
    <w:rsid w:val="0052429E"/>
    <w:rsid w:val="00524590"/>
    <w:rsid w:val="00524D5F"/>
    <w:rsid w:val="00525466"/>
    <w:rsid w:val="0052581C"/>
    <w:rsid w:val="00526758"/>
    <w:rsid w:val="00526A22"/>
    <w:rsid w:val="00527570"/>
    <w:rsid w:val="005275EC"/>
    <w:rsid w:val="00527AD8"/>
    <w:rsid w:val="00530381"/>
    <w:rsid w:val="00530B36"/>
    <w:rsid w:val="005313BA"/>
    <w:rsid w:val="0053152D"/>
    <w:rsid w:val="0053163A"/>
    <w:rsid w:val="005316C3"/>
    <w:rsid w:val="0053178B"/>
    <w:rsid w:val="005319E6"/>
    <w:rsid w:val="005328FD"/>
    <w:rsid w:val="00532D05"/>
    <w:rsid w:val="0053321A"/>
    <w:rsid w:val="0053353F"/>
    <w:rsid w:val="00534479"/>
    <w:rsid w:val="005344C4"/>
    <w:rsid w:val="00534ABA"/>
    <w:rsid w:val="00534BBD"/>
    <w:rsid w:val="00534EDE"/>
    <w:rsid w:val="0053501B"/>
    <w:rsid w:val="005358C2"/>
    <w:rsid w:val="00535949"/>
    <w:rsid w:val="0053639A"/>
    <w:rsid w:val="0053650A"/>
    <w:rsid w:val="00536636"/>
    <w:rsid w:val="00536AE9"/>
    <w:rsid w:val="00536FAA"/>
    <w:rsid w:val="00537FB5"/>
    <w:rsid w:val="00540633"/>
    <w:rsid w:val="005414D4"/>
    <w:rsid w:val="00541B16"/>
    <w:rsid w:val="00542245"/>
    <w:rsid w:val="0054270B"/>
    <w:rsid w:val="00543AE9"/>
    <w:rsid w:val="00543B8C"/>
    <w:rsid w:val="00543DF3"/>
    <w:rsid w:val="00544462"/>
    <w:rsid w:val="00545041"/>
    <w:rsid w:val="0054529A"/>
    <w:rsid w:val="0054576C"/>
    <w:rsid w:val="005469D5"/>
    <w:rsid w:val="00547B59"/>
    <w:rsid w:val="00547CB9"/>
    <w:rsid w:val="005507E5"/>
    <w:rsid w:val="005518F0"/>
    <w:rsid w:val="00552BD5"/>
    <w:rsid w:val="005534E6"/>
    <w:rsid w:val="00553741"/>
    <w:rsid w:val="0055411F"/>
    <w:rsid w:val="00554364"/>
    <w:rsid w:val="005554ED"/>
    <w:rsid w:val="00555602"/>
    <w:rsid w:val="005565D4"/>
    <w:rsid w:val="00556C54"/>
    <w:rsid w:val="00556E42"/>
    <w:rsid w:val="005578C0"/>
    <w:rsid w:val="00560375"/>
    <w:rsid w:val="005603F1"/>
    <w:rsid w:val="00560F23"/>
    <w:rsid w:val="00561061"/>
    <w:rsid w:val="00562060"/>
    <w:rsid w:val="005625B9"/>
    <w:rsid w:val="00562756"/>
    <w:rsid w:val="0056307E"/>
    <w:rsid w:val="0056346F"/>
    <w:rsid w:val="00563605"/>
    <w:rsid w:val="00563F10"/>
    <w:rsid w:val="00564618"/>
    <w:rsid w:val="0056498A"/>
    <w:rsid w:val="00564D92"/>
    <w:rsid w:val="00565027"/>
    <w:rsid w:val="00565226"/>
    <w:rsid w:val="005653BE"/>
    <w:rsid w:val="0056616E"/>
    <w:rsid w:val="00566489"/>
    <w:rsid w:val="00566561"/>
    <w:rsid w:val="00566F40"/>
    <w:rsid w:val="00567987"/>
    <w:rsid w:val="00567DF8"/>
    <w:rsid w:val="00567E96"/>
    <w:rsid w:val="005703B3"/>
    <w:rsid w:val="00570940"/>
    <w:rsid w:val="0057152D"/>
    <w:rsid w:val="00571573"/>
    <w:rsid w:val="005718B6"/>
    <w:rsid w:val="005738C7"/>
    <w:rsid w:val="00573922"/>
    <w:rsid w:val="005742E1"/>
    <w:rsid w:val="005745DB"/>
    <w:rsid w:val="0057475C"/>
    <w:rsid w:val="00574DC4"/>
    <w:rsid w:val="00574E7A"/>
    <w:rsid w:val="00574FA6"/>
    <w:rsid w:val="00575CA5"/>
    <w:rsid w:val="00575EF6"/>
    <w:rsid w:val="0057614C"/>
    <w:rsid w:val="00576351"/>
    <w:rsid w:val="00576B34"/>
    <w:rsid w:val="00580022"/>
    <w:rsid w:val="00580083"/>
    <w:rsid w:val="005802C4"/>
    <w:rsid w:val="00580ED3"/>
    <w:rsid w:val="00581369"/>
    <w:rsid w:val="00581EE7"/>
    <w:rsid w:val="00582C37"/>
    <w:rsid w:val="005836BF"/>
    <w:rsid w:val="00583792"/>
    <w:rsid w:val="00583EDC"/>
    <w:rsid w:val="0058452D"/>
    <w:rsid w:val="005847D0"/>
    <w:rsid w:val="00584859"/>
    <w:rsid w:val="00584B85"/>
    <w:rsid w:val="00585226"/>
    <w:rsid w:val="0058543D"/>
    <w:rsid w:val="00585610"/>
    <w:rsid w:val="00585E1D"/>
    <w:rsid w:val="005875A7"/>
    <w:rsid w:val="005879B3"/>
    <w:rsid w:val="00590270"/>
    <w:rsid w:val="005906CE"/>
    <w:rsid w:val="00590772"/>
    <w:rsid w:val="00590AA8"/>
    <w:rsid w:val="00590EE7"/>
    <w:rsid w:val="00591088"/>
    <w:rsid w:val="005916EB"/>
    <w:rsid w:val="00591CDB"/>
    <w:rsid w:val="00591F00"/>
    <w:rsid w:val="005924C7"/>
    <w:rsid w:val="005929AC"/>
    <w:rsid w:val="00592AB6"/>
    <w:rsid w:val="00592B30"/>
    <w:rsid w:val="00593096"/>
    <w:rsid w:val="00595092"/>
    <w:rsid w:val="00595A98"/>
    <w:rsid w:val="00596886"/>
    <w:rsid w:val="00597006"/>
    <w:rsid w:val="00597042"/>
    <w:rsid w:val="005971E0"/>
    <w:rsid w:val="005A042D"/>
    <w:rsid w:val="005A0B75"/>
    <w:rsid w:val="005A11BD"/>
    <w:rsid w:val="005A1CD1"/>
    <w:rsid w:val="005A229A"/>
    <w:rsid w:val="005A22B9"/>
    <w:rsid w:val="005A3934"/>
    <w:rsid w:val="005A3C2A"/>
    <w:rsid w:val="005A3EAF"/>
    <w:rsid w:val="005A42AC"/>
    <w:rsid w:val="005A507E"/>
    <w:rsid w:val="005A57C5"/>
    <w:rsid w:val="005A5E99"/>
    <w:rsid w:val="005A5FF7"/>
    <w:rsid w:val="005A62E0"/>
    <w:rsid w:val="005A648D"/>
    <w:rsid w:val="005A71E8"/>
    <w:rsid w:val="005A7C1D"/>
    <w:rsid w:val="005B134D"/>
    <w:rsid w:val="005B13FE"/>
    <w:rsid w:val="005B1877"/>
    <w:rsid w:val="005B1EC9"/>
    <w:rsid w:val="005B26A4"/>
    <w:rsid w:val="005B28D0"/>
    <w:rsid w:val="005B296F"/>
    <w:rsid w:val="005B29CD"/>
    <w:rsid w:val="005B34DD"/>
    <w:rsid w:val="005B35E4"/>
    <w:rsid w:val="005B38E5"/>
    <w:rsid w:val="005B3CBA"/>
    <w:rsid w:val="005B404C"/>
    <w:rsid w:val="005B4551"/>
    <w:rsid w:val="005B4CD8"/>
    <w:rsid w:val="005B51F2"/>
    <w:rsid w:val="005B5803"/>
    <w:rsid w:val="005B6375"/>
    <w:rsid w:val="005B6A24"/>
    <w:rsid w:val="005B7131"/>
    <w:rsid w:val="005B7A9C"/>
    <w:rsid w:val="005B7E50"/>
    <w:rsid w:val="005C0392"/>
    <w:rsid w:val="005C03E0"/>
    <w:rsid w:val="005C0F06"/>
    <w:rsid w:val="005C1606"/>
    <w:rsid w:val="005C16D6"/>
    <w:rsid w:val="005C19E9"/>
    <w:rsid w:val="005C1E40"/>
    <w:rsid w:val="005C1E5F"/>
    <w:rsid w:val="005C290E"/>
    <w:rsid w:val="005C2CC8"/>
    <w:rsid w:val="005C30E9"/>
    <w:rsid w:val="005C379B"/>
    <w:rsid w:val="005C3CC7"/>
    <w:rsid w:val="005C3F62"/>
    <w:rsid w:val="005C3FB8"/>
    <w:rsid w:val="005C409C"/>
    <w:rsid w:val="005C4583"/>
    <w:rsid w:val="005C4626"/>
    <w:rsid w:val="005C463E"/>
    <w:rsid w:val="005C4B98"/>
    <w:rsid w:val="005C4E3A"/>
    <w:rsid w:val="005C4F08"/>
    <w:rsid w:val="005C5CB8"/>
    <w:rsid w:val="005C5D5C"/>
    <w:rsid w:val="005C5FAB"/>
    <w:rsid w:val="005C619E"/>
    <w:rsid w:val="005C63ED"/>
    <w:rsid w:val="005C67DF"/>
    <w:rsid w:val="005C6F88"/>
    <w:rsid w:val="005C6FC1"/>
    <w:rsid w:val="005C743C"/>
    <w:rsid w:val="005C74BE"/>
    <w:rsid w:val="005C7C53"/>
    <w:rsid w:val="005C7CCE"/>
    <w:rsid w:val="005D0087"/>
    <w:rsid w:val="005D02CF"/>
    <w:rsid w:val="005D0580"/>
    <w:rsid w:val="005D070E"/>
    <w:rsid w:val="005D1090"/>
    <w:rsid w:val="005D1419"/>
    <w:rsid w:val="005D19B0"/>
    <w:rsid w:val="005D1DD9"/>
    <w:rsid w:val="005D23AF"/>
    <w:rsid w:val="005D2954"/>
    <w:rsid w:val="005D2989"/>
    <w:rsid w:val="005D3289"/>
    <w:rsid w:val="005D35E6"/>
    <w:rsid w:val="005D3689"/>
    <w:rsid w:val="005D39B6"/>
    <w:rsid w:val="005D5094"/>
    <w:rsid w:val="005D5513"/>
    <w:rsid w:val="005D5634"/>
    <w:rsid w:val="005D5A16"/>
    <w:rsid w:val="005D69D3"/>
    <w:rsid w:val="005D6E60"/>
    <w:rsid w:val="005D6EAC"/>
    <w:rsid w:val="005D6FE4"/>
    <w:rsid w:val="005D7778"/>
    <w:rsid w:val="005D7A26"/>
    <w:rsid w:val="005D7E60"/>
    <w:rsid w:val="005E0182"/>
    <w:rsid w:val="005E1362"/>
    <w:rsid w:val="005E16F2"/>
    <w:rsid w:val="005E1D22"/>
    <w:rsid w:val="005E2BB8"/>
    <w:rsid w:val="005E2BBB"/>
    <w:rsid w:val="005E3281"/>
    <w:rsid w:val="005E426D"/>
    <w:rsid w:val="005E452A"/>
    <w:rsid w:val="005E4A11"/>
    <w:rsid w:val="005E4C68"/>
    <w:rsid w:val="005E5159"/>
    <w:rsid w:val="005E517C"/>
    <w:rsid w:val="005E521D"/>
    <w:rsid w:val="005E590E"/>
    <w:rsid w:val="005E68EC"/>
    <w:rsid w:val="005E6C7A"/>
    <w:rsid w:val="005E73A9"/>
    <w:rsid w:val="005F0255"/>
    <w:rsid w:val="005F03B8"/>
    <w:rsid w:val="005F057F"/>
    <w:rsid w:val="005F07B7"/>
    <w:rsid w:val="005F0F47"/>
    <w:rsid w:val="005F176D"/>
    <w:rsid w:val="005F19E1"/>
    <w:rsid w:val="005F2CE0"/>
    <w:rsid w:val="005F2D65"/>
    <w:rsid w:val="005F30DE"/>
    <w:rsid w:val="005F3B41"/>
    <w:rsid w:val="005F3E0D"/>
    <w:rsid w:val="005F3EA0"/>
    <w:rsid w:val="005F4273"/>
    <w:rsid w:val="005F4605"/>
    <w:rsid w:val="005F5DBB"/>
    <w:rsid w:val="006012C6"/>
    <w:rsid w:val="00601525"/>
    <w:rsid w:val="00601592"/>
    <w:rsid w:val="00601D5E"/>
    <w:rsid w:val="00602019"/>
    <w:rsid w:val="006021C3"/>
    <w:rsid w:val="00602610"/>
    <w:rsid w:val="0060285B"/>
    <w:rsid w:val="00602B2E"/>
    <w:rsid w:val="00603A43"/>
    <w:rsid w:val="00603D26"/>
    <w:rsid w:val="0060441E"/>
    <w:rsid w:val="0060448E"/>
    <w:rsid w:val="00604586"/>
    <w:rsid w:val="006047A2"/>
    <w:rsid w:val="006048D2"/>
    <w:rsid w:val="00605D7E"/>
    <w:rsid w:val="00606144"/>
    <w:rsid w:val="00607377"/>
    <w:rsid w:val="00607CA3"/>
    <w:rsid w:val="00607DC7"/>
    <w:rsid w:val="006107FE"/>
    <w:rsid w:val="006119DD"/>
    <w:rsid w:val="00611B55"/>
    <w:rsid w:val="00611EA9"/>
    <w:rsid w:val="0061234B"/>
    <w:rsid w:val="00612514"/>
    <w:rsid w:val="00612679"/>
    <w:rsid w:val="00612F1D"/>
    <w:rsid w:val="0061324F"/>
    <w:rsid w:val="0061358E"/>
    <w:rsid w:val="006135EF"/>
    <w:rsid w:val="006141CE"/>
    <w:rsid w:val="00614240"/>
    <w:rsid w:val="00614879"/>
    <w:rsid w:val="006150FD"/>
    <w:rsid w:val="0061555E"/>
    <w:rsid w:val="006156D0"/>
    <w:rsid w:val="00615CCE"/>
    <w:rsid w:val="00615DE0"/>
    <w:rsid w:val="00615E62"/>
    <w:rsid w:val="006168CF"/>
    <w:rsid w:val="00617804"/>
    <w:rsid w:val="00617E4F"/>
    <w:rsid w:val="006200AD"/>
    <w:rsid w:val="00620438"/>
    <w:rsid w:val="00620499"/>
    <w:rsid w:val="006208BF"/>
    <w:rsid w:val="00620972"/>
    <w:rsid w:val="00620991"/>
    <w:rsid w:val="006211D4"/>
    <w:rsid w:val="00621277"/>
    <w:rsid w:val="006212A6"/>
    <w:rsid w:val="00621590"/>
    <w:rsid w:val="0062182C"/>
    <w:rsid w:val="00621A8F"/>
    <w:rsid w:val="00621ADE"/>
    <w:rsid w:val="006227B8"/>
    <w:rsid w:val="006228F3"/>
    <w:rsid w:val="00623389"/>
    <w:rsid w:val="00623494"/>
    <w:rsid w:val="006236AB"/>
    <w:rsid w:val="00623D6D"/>
    <w:rsid w:val="006244BD"/>
    <w:rsid w:val="006246E0"/>
    <w:rsid w:val="00624824"/>
    <w:rsid w:val="0062497D"/>
    <w:rsid w:val="00625B16"/>
    <w:rsid w:val="00626582"/>
    <w:rsid w:val="006265A4"/>
    <w:rsid w:val="00626A62"/>
    <w:rsid w:val="006270CA"/>
    <w:rsid w:val="00627334"/>
    <w:rsid w:val="00627547"/>
    <w:rsid w:val="006275CC"/>
    <w:rsid w:val="00627626"/>
    <w:rsid w:val="0062772C"/>
    <w:rsid w:val="00627FD8"/>
    <w:rsid w:val="00630484"/>
    <w:rsid w:val="00630B0C"/>
    <w:rsid w:val="006313FD"/>
    <w:rsid w:val="006326EA"/>
    <w:rsid w:val="00632D3D"/>
    <w:rsid w:val="00633317"/>
    <w:rsid w:val="006335BE"/>
    <w:rsid w:val="00634C2B"/>
    <w:rsid w:val="00634FB3"/>
    <w:rsid w:val="00635879"/>
    <w:rsid w:val="00635E55"/>
    <w:rsid w:val="00636E2A"/>
    <w:rsid w:val="00636EA1"/>
    <w:rsid w:val="00637666"/>
    <w:rsid w:val="00637D50"/>
    <w:rsid w:val="00637F76"/>
    <w:rsid w:val="00640491"/>
    <w:rsid w:val="0064075C"/>
    <w:rsid w:val="006409D1"/>
    <w:rsid w:val="006410E0"/>
    <w:rsid w:val="00641E9F"/>
    <w:rsid w:val="00642059"/>
    <w:rsid w:val="00642F39"/>
    <w:rsid w:val="0064357C"/>
    <w:rsid w:val="006435CE"/>
    <w:rsid w:val="00643666"/>
    <w:rsid w:val="00643C82"/>
    <w:rsid w:val="00644B9B"/>
    <w:rsid w:val="00644E93"/>
    <w:rsid w:val="00645661"/>
    <w:rsid w:val="00645A68"/>
    <w:rsid w:val="00645E3B"/>
    <w:rsid w:val="00645E3C"/>
    <w:rsid w:val="00646035"/>
    <w:rsid w:val="006466AD"/>
    <w:rsid w:val="00647C70"/>
    <w:rsid w:val="006502DE"/>
    <w:rsid w:val="00650627"/>
    <w:rsid w:val="00650EA9"/>
    <w:rsid w:val="0065181A"/>
    <w:rsid w:val="0065215F"/>
    <w:rsid w:val="00653049"/>
    <w:rsid w:val="0065448C"/>
    <w:rsid w:val="006544EF"/>
    <w:rsid w:val="00654971"/>
    <w:rsid w:val="00654DC5"/>
    <w:rsid w:val="0065537F"/>
    <w:rsid w:val="00655D93"/>
    <w:rsid w:val="00656518"/>
    <w:rsid w:val="00656BB9"/>
    <w:rsid w:val="00656EFB"/>
    <w:rsid w:val="00657204"/>
    <w:rsid w:val="00657DE0"/>
    <w:rsid w:val="0066050B"/>
    <w:rsid w:val="00660AAA"/>
    <w:rsid w:val="006626E3"/>
    <w:rsid w:val="00662767"/>
    <w:rsid w:val="00663385"/>
    <w:rsid w:val="00663DF4"/>
    <w:rsid w:val="00664357"/>
    <w:rsid w:val="0066488B"/>
    <w:rsid w:val="00664D76"/>
    <w:rsid w:val="00665031"/>
    <w:rsid w:val="00665A1A"/>
    <w:rsid w:val="00665B20"/>
    <w:rsid w:val="00666073"/>
    <w:rsid w:val="0066639E"/>
    <w:rsid w:val="00666BC4"/>
    <w:rsid w:val="00666D51"/>
    <w:rsid w:val="00667C0B"/>
    <w:rsid w:val="00667D50"/>
    <w:rsid w:val="00667EF0"/>
    <w:rsid w:val="00667F40"/>
    <w:rsid w:val="006710C7"/>
    <w:rsid w:val="00671143"/>
    <w:rsid w:val="0067147A"/>
    <w:rsid w:val="006715BA"/>
    <w:rsid w:val="00671E2A"/>
    <w:rsid w:val="00671FEF"/>
    <w:rsid w:val="00672567"/>
    <w:rsid w:val="00672AB8"/>
    <w:rsid w:val="00672F5E"/>
    <w:rsid w:val="0067384B"/>
    <w:rsid w:val="0067387B"/>
    <w:rsid w:val="006739FA"/>
    <w:rsid w:val="00673CB1"/>
    <w:rsid w:val="00673FD5"/>
    <w:rsid w:val="00674097"/>
    <w:rsid w:val="0067425B"/>
    <w:rsid w:val="006744BA"/>
    <w:rsid w:val="006745A3"/>
    <w:rsid w:val="00675549"/>
    <w:rsid w:val="0067554F"/>
    <w:rsid w:val="00675890"/>
    <w:rsid w:val="00675A6D"/>
    <w:rsid w:val="00675DFF"/>
    <w:rsid w:val="00676040"/>
    <w:rsid w:val="00676473"/>
    <w:rsid w:val="006769BF"/>
    <w:rsid w:val="00676C67"/>
    <w:rsid w:val="00676D00"/>
    <w:rsid w:val="00676EF4"/>
    <w:rsid w:val="00680331"/>
    <w:rsid w:val="00680333"/>
    <w:rsid w:val="00680617"/>
    <w:rsid w:val="0068063C"/>
    <w:rsid w:val="00680C0B"/>
    <w:rsid w:val="00680D18"/>
    <w:rsid w:val="00682019"/>
    <w:rsid w:val="00682059"/>
    <w:rsid w:val="0068223A"/>
    <w:rsid w:val="0068254D"/>
    <w:rsid w:val="0068273D"/>
    <w:rsid w:val="00682E69"/>
    <w:rsid w:val="00683390"/>
    <w:rsid w:val="00683770"/>
    <w:rsid w:val="00683A6F"/>
    <w:rsid w:val="0068476E"/>
    <w:rsid w:val="00684E45"/>
    <w:rsid w:val="0068561E"/>
    <w:rsid w:val="006860A1"/>
    <w:rsid w:val="00687341"/>
    <w:rsid w:val="00687EFE"/>
    <w:rsid w:val="00690196"/>
    <w:rsid w:val="00690B25"/>
    <w:rsid w:val="00690D04"/>
    <w:rsid w:val="00691277"/>
    <w:rsid w:val="0069190E"/>
    <w:rsid w:val="006919C4"/>
    <w:rsid w:val="006921F1"/>
    <w:rsid w:val="00692E60"/>
    <w:rsid w:val="006938B1"/>
    <w:rsid w:val="0069400D"/>
    <w:rsid w:val="00694221"/>
    <w:rsid w:val="00694DF0"/>
    <w:rsid w:val="00695117"/>
    <w:rsid w:val="006951E5"/>
    <w:rsid w:val="006954B3"/>
    <w:rsid w:val="00695913"/>
    <w:rsid w:val="00695CBC"/>
    <w:rsid w:val="00695D2B"/>
    <w:rsid w:val="00695D91"/>
    <w:rsid w:val="00695FFE"/>
    <w:rsid w:val="00696879"/>
    <w:rsid w:val="00696DF2"/>
    <w:rsid w:val="006A00A8"/>
    <w:rsid w:val="006A0E86"/>
    <w:rsid w:val="006A0FCB"/>
    <w:rsid w:val="006A22EE"/>
    <w:rsid w:val="006A39A0"/>
    <w:rsid w:val="006A3D28"/>
    <w:rsid w:val="006A4163"/>
    <w:rsid w:val="006A4256"/>
    <w:rsid w:val="006A447B"/>
    <w:rsid w:val="006A49F2"/>
    <w:rsid w:val="006A54A0"/>
    <w:rsid w:val="006A587E"/>
    <w:rsid w:val="006A68B1"/>
    <w:rsid w:val="006A7B3A"/>
    <w:rsid w:val="006B027C"/>
    <w:rsid w:val="006B0C2B"/>
    <w:rsid w:val="006B2577"/>
    <w:rsid w:val="006B25B4"/>
    <w:rsid w:val="006B2801"/>
    <w:rsid w:val="006B283F"/>
    <w:rsid w:val="006B38C3"/>
    <w:rsid w:val="006B3AF4"/>
    <w:rsid w:val="006B41E6"/>
    <w:rsid w:val="006B4AF3"/>
    <w:rsid w:val="006B55DE"/>
    <w:rsid w:val="006B5872"/>
    <w:rsid w:val="006B5A16"/>
    <w:rsid w:val="006B5A33"/>
    <w:rsid w:val="006B5D9D"/>
    <w:rsid w:val="006B6E69"/>
    <w:rsid w:val="006B758E"/>
    <w:rsid w:val="006B7A20"/>
    <w:rsid w:val="006C025B"/>
    <w:rsid w:val="006C06C7"/>
    <w:rsid w:val="006C12E0"/>
    <w:rsid w:val="006C1708"/>
    <w:rsid w:val="006C352B"/>
    <w:rsid w:val="006C35BA"/>
    <w:rsid w:val="006C3839"/>
    <w:rsid w:val="006C3EE3"/>
    <w:rsid w:val="006C41C4"/>
    <w:rsid w:val="006C45CD"/>
    <w:rsid w:val="006C4EE3"/>
    <w:rsid w:val="006C5276"/>
    <w:rsid w:val="006C5FD2"/>
    <w:rsid w:val="006C7062"/>
    <w:rsid w:val="006C7578"/>
    <w:rsid w:val="006C7861"/>
    <w:rsid w:val="006D01E5"/>
    <w:rsid w:val="006D0A4E"/>
    <w:rsid w:val="006D0AA5"/>
    <w:rsid w:val="006D0CD6"/>
    <w:rsid w:val="006D0D27"/>
    <w:rsid w:val="006D107D"/>
    <w:rsid w:val="006D1225"/>
    <w:rsid w:val="006D1889"/>
    <w:rsid w:val="006D1BC8"/>
    <w:rsid w:val="006D1C0D"/>
    <w:rsid w:val="006D1E88"/>
    <w:rsid w:val="006D1F20"/>
    <w:rsid w:val="006D2B98"/>
    <w:rsid w:val="006D3FAE"/>
    <w:rsid w:val="006D4242"/>
    <w:rsid w:val="006D51DD"/>
    <w:rsid w:val="006D5FCF"/>
    <w:rsid w:val="006D61DD"/>
    <w:rsid w:val="006D6276"/>
    <w:rsid w:val="006D72E7"/>
    <w:rsid w:val="006D732B"/>
    <w:rsid w:val="006D735A"/>
    <w:rsid w:val="006D7B11"/>
    <w:rsid w:val="006D7D5B"/>
    <w:rsid w:val="006E0289"/>
    <w:rsid w:val="006E05F3"/>
    <w:rsid w:val="006E08FB"/>
    <w:rsid w:val="006E13E7"/>
    <w:rsid w:val="006E1883"/>
    <w:rsid w:val="006E1A4C"/>
    <w:rsid w:val="006E1D2B"/>
    <w:rsid w:val="006E2273"/>
    <w:rsid w:val="006E2447"/>
    <w:rsid w:val="006E2DA1"/>
    <w:rsid w:val="006E2F49"/>
    <w:rsid w:val="006E306A"/>
    <w:rsid w:val="006E32D1"/>
    <w:rsid w:val="006E3C06"/>
    <w:rsid w:val="006E45CE"/>
    <w:rsid w:val="006E4644"/>
    <w:rsid w:val="006E479F"/>
    <w:rsid w:val="006E4C19"/>
    <w:rsid w:val="006E50F3"/>
    <w:rsid w:val="006E5749"/>
    <w:rsid w:val="006E61BA"/>
    <w:rsid w:val="006E66DB"/>
    <w:rsid w:val="006E6ADE"/>
    <w:rsid w:val="006E7820"/>
    <w:rsid w:val="006E7ACA"/>
    <w:rsid w:val="006F0106"/>
    <w:rsid w:val="006F05D4"/>
    <w:rsid w:val="006F0979"/>
    <w:rsid w:val="006F0B20"/>
    <w:rsid w:val="006F0FDD"/>
    <w:rsid w:val="006F1172"/>
    <w:rsid w:val="006F1EFD"/>
    <w:rsid w:val="006F1F8D"/>
    <w:rsid w:val="006F24C1"/>
    <w:rsid w:val="006F25FC"/>
    <w:rsid w:val="006F288B"/>
    <w:rsid w:val="006F2BBB"/>
    <w:rsid w:val="006F326D"/>
    <w:rsid w:val="006F40B6"/>
    <w:rsid w:val="006F45B1"/>
    <w:rsid w:val="006F45F9"/>
    <w:rsid w:val="006F4ABA"/>
    <w:rsid w:val="006F53D8"/>
    <w:rsid w:val="006F53FA"/>
    <w:rsid w:val="006F540A"/>
    <w:rsid w:val="006F5CBD"/>
    <w:rsid w:val="006F6156"/>
    <w:rsid w:val="006F6167"/>
    <w:rsid w:val="006F65C7"/>
    <w:rsid w:val="006F674B"/>
    <w:rsid w:val="006F707E"/>
    <w:rsid w:val="006F7247"/>
    <w:rsid w:val="006F7931"/>
    <w:rsid w:val="006F7DD0"/>
    <w:rsid w:val="0070041E"/>
    <w:rsid w:val="00700789"/>
    <w:rsid w:val="00700C90"/>
    <w:rsid w:val="0070194D"/>
    <w:rsid w:val="00701BE5"/>
    <w:rsid w:val="00701CCA"/>
    <w:rsid w:val="007030D6"/>
    <w:rsid w:val="00703184"/>
    <w:rsid w:val="00705BBA"/>
    <w:rsid w:val="00706482"/>
    <w:rsid w:val="0070694A"/>
    <w:rsid w:val="007069A1"/>
    <w:rsid w:val="00706A05"/>
    <w:rsid w:val="007073F6"/>
    <w:rsid w:val="00707817"/>
    <w:rsid w:val="007079FD"/>
    <w:rsid w:val="00710E69"/>
    <w:rsid w:val="00710FD0"/>
    <w:rsid w:val="0071233E"/>
    <w:rsid w:val="007124B6"/>
    <w:rsid w:val="007132FD"/>
    <w:rsid w:val="00713570"/>
    <w:rsid w:val="00714602"/>
    <w:rsid w:val="0071484E"/>
    <w:rsid w:val="00714A0B"/>
    <w:rsid w:val="00715E83"/>
    <w:rsid w:val="00716B65"/>
    <w:rsid w:val="00716D67"/>
    <w:rsid w:val="00717341"/>
    <w:rsid w:val="007176B9"/>
    <w:rsid w:val="00717A80"/>
    <w:rsid w:val="007208C5"/>
    <w:rsid w:val="00720EAD"/>
    <w:rsid w:val="00720F1B"/>
    <w:rsid w:val="00720F1C"/>
    <w:rsid w:val="0072154C"/>
    <w:rsid w:val="007217B9"/>
    <w:rsid w:val="007220D9"/>
    <w:rsid w:val="007246AF"/>
    <w:rsid w:val="00724A64"/>
    <w:rsid w:val="00724CB2"/>
    <w:rsid w:val="00724E09"/>
    <w:rsid w:val="00724FC2"/>
    <w:rsid w:val="0072514F"/>
    <w:rsid w:val="0072558D"/>
    <w:rsid w:val="00725AEA"/>
    <w:rsid w:val="00725E8E"/>
    <w:rsid w:val="007260CB"/>
    <w:rsid w:val="0072656D"/>
    <w:rsid w:val="00726E65"/>
    <w:rsid w:val="007272DA"/>
    <w:rsid w:val="00727CCE"/>
    <w:rsid w:val="0073010D"/>
    <w:rsid w:val="00730224"/>
    <w:rsid w:val="007310A2"/>
    <w:rsid w:val="00731315"/>
    <w:rsid w:val="007314AC"/>
    <w:rsid w:val="00731AA7"/>
    <w:rsid w:val="00731E14"/>
    <w:rsid w:val="007321F8"/>
    <w:rsid w:val="00732913"/>
    <w:rsid w:val="00732CED"/>
    <w:rsid w:val="00732F14"/>
    <w:rsid w:val="007343CF"/>
    <w:rsid w:val="00734CD7"/>
    <w:rsid w:val="0073594B"/>
    <w:rsid w:val="00735BA1"/>
    <w:rsid w:val="00736532"/>
    <w:rsid w:val="007365CE"/>
    <w:rsid w:val="00736785"/>
    <w:rsid w:val="00736DF7"/>
    <w:rsid w:val="007370EF"/>
    <w:rsid w:val="007379EB"/>
    <w:rsid w:val="00737DE4"/>
    <w:rsid w:val="0074075A"/>
    <w:rsid w:val="00741C88"/>
    <w:rsid w:val="007423D5"/>
    <w:rsid w:val="0074286F"/>
    <w:rsid w:val="00743413"/>
    <w:rsid w:val="007437DE"/>
    <w:rsid w:val="007439C4"/>
    <w:rsid w:val="00743F3B"/>
    <w:rsid w:val="00743FAA"/>
    <w:rsid w:val="007441A7"/>
    <w:rsid w:val="00744451"/>
    <w:rsid w:val="007447F9"/>
    <w:rsid w:val="0074545A"/>
    <w:rsid w:val="00746437"/>
    <w:rsid w:val="00746AC8"/>
    <w:rsid w:val="00747058"/>
    <w:rsid w:val="00747718"/>
    <w:rsid w:val="007500F1"/>
    <w:rsid w:val="007504A2"/>
    <w:rsid w:val="0075077A"/>
    <w:rsid w:val="00750D06"/>
    <w:rsid w:val="00750E78"/>
    <w:rsid w:val="00751673"/>
    <w:rsid w:val="00751844"/>
    <w:rsid w:val="00751AE0"/>
    <w:rsid w:val="0075233F"/>
    <w:rsid w:val="00752C7D"/>
    <w:rsid w:val="007531C7"/>
    <w:rsid w:val="0075337C"/>
    <w:rsid w:val="00753671"/>
    <w:rsid w:val="007536E5"/>
    <w:rsid w:val="007544B5"/>
    <w:rsid w:val="00754E42"/>
    <w:rsid w:val="00754E5F"/>
    <w:rsid w:val="00754F7D"/>
    <w:rsid w:val="00755CED"/>
    <w:rsid w:val="007560FF"/>
    <w:rsid w:val="007561AF"/>
    <w:rsid w:val="007569AA"/>
    <w:rsid w:val="00757424"/>
    <w:rsid w:val="00757A8D"/>
    <w:rsid w:val="00760D6E"/>
    <w:rsid w:val="0076115F"/>
    <w:rsid w:val="007613F3"/>
    <w:rsid w:val="00761673"/>
    <w:rsid w:val="0076181F"/>
    <w:rsid w:val="007619FB"/>
    <w:rsid w:val="00762776"/>
    <w:rsid w:val="00762995"/>
    <w:rsid w:val="0076319A"/>
    <w:rsid w:val="00763604"/>
    <w:rsid w:val="00763C7D"/>
    <w:rsid w:val="00763F56"/>
    <w:rsid w:val="0076495C"/>
    <w:rsid w:val="00764D67"/>
    <w:rsid w:val="00764F9C"/>
    <w:rsid w:val="00765606"/>
    <w:rsid w:val="00765EFF"/>
    <w:rsid w:val="00766155"/>
    <w:rsid w:val="00766518"/>
    <w:rsid w:val="00766960"/>
    <w:rsid w:val="0076698C"/>
    <w:rsid w:val="00766DB1"/>
    <w:rsid w:val="007678AA"/>
    <w:rsid w:val="00767BEA"/>
    <w:rsid w:val="00767D60"/>
    <w:rsid w:val="00767DBF"/>
    <w:rsid w:val="007705E5"/>
    <w:rsid w:val="0077177A"/>
    <w:rsid w:val="00771C24"/>
    <w:rsid w:val="0077237D"/>
    <w:rsid w:val="00772940"/>
    <w:rsid w:val="00772A5F"/>
    <w:rsid w:val="00773DEB"/>
    <w:rsid w:val="007743EF"/>
    <w:rsid w:val="00774EC3"/>
    <w:rsid w:val="007761F6"/>
    <w:rsid w:val="00776EDF"/>
    <w:rsid w:val="00776F92"/>
    <w:rsid w:val="0078024B"/>
    <w:rsid w:val="007802BF"/>
    <w:rsid w:val="007807CA"/>
    <w:rsid w:val="00780F54"/>
    <w:rsid w:val="00780FA9"/>
    <w:rsid w:val="007816F1"/>
    <w:rsid w:val="00781913"/>
    <w:rsid w:val="00781BDA"/>
    <w:rsid w:val="00782106"/>
    <w:rsid w:val="00783174"/>
    <w:rsid w:val="00783350"/>
    <w:rsid w:val="0078343D"/>
    <w:rsid w:val="00783616"/>
    <w:rsid w:val="00783CDA"/>
    <w:rsid w:val="00784C1E"/>
    <w:rsid w:val="00784F6A"/>
    <w:rsid w:val="00785AE0"/>
    <w:rsid w:val="00785E04"/>
    <w:rsid w:val="00786390"/>
    <w:rsid w:val="0078646D"/>
    <w:rsid w:val="007864E7"/>
    <w:rsid w:val="00786CA6"/>
    <w:rsid w:val="00786E8E"/>
    <w:rsid w:val="007871E6"/>
    <w:rsid w:val="00787497"/>
    <w:rsid w:val="007876E2"/>
    <w:rsid w:val="00787B00"/>
    <w:rsid w:val="00787CC9"/>
    <w:rsid w:val="00790EB8"/>
    <w:rsid w:val="0079152F"/>
    <w:rsid w:val="0079156F"/>
    <w:rsid w:val="00791605"/>
    <w:rsid w:val="007917D3"/>
    <w:rsid w:val="00792936"/>
    <w:rsid w:val="00792AC5"/>
    <w:rsid w:val="00794796"/>
    <w:rsid w:val="00794A07"/>
    <w:rsid w:val="0079500C"/>
    <w:rsid w:val="007963E8"/>
    <w:rsid w:val="007964DE"/>
    <w:rsid w:val="0079652A"/>
    <w:rsid w:val="00796B32"/>
    <w:rsid w:val="00796CF4"/>
    <w:rsid w:val="0079715E"/>
    <w:rsid w:val="007976E1"/>
    <w:rsid w:val="00797D2D"/>
    <w:rsid w:val="007A0287"/>
    <w:rsid w:val="007A0447"/>
    <w:rsid w:val="007A07C2"/>
    <w:rsid w:val="007A0C71"/>
    <w:rsid w:val="007A1662"/>
    <w:rsid w:val="007A18CD"/>
    <w:rsid w:val="007A21B9"/>
    <w:rsid w:val="007A22E1"/>
    <w:rsid w:val="007A2386"/>
    <w:rsid w:val="007A2488"/>
    <w:rsid w:val="007A2683"/>
    <w:rsid w:val="007A2C87"/>
    <w:rsid w:val="007A3774"/>
    <w:rsid w:val="007A3A1D"/>
    <w:rsid w:val="007A44E5"/>
    <w:rsid w:val="007A45D7"/>
    <w:rsid w:val="007A46DF"/>
    <w:rsid w:val="007A48B3"/>
    <w:rsid w:val="007A4E3D"/>
    <w:rsid w:val="007A50E8"/>
    <w:rsid w:val="007A54AC"/>
    <w:rsid w:val="007A55CD"/>
    <w:rsid w:val="007A60BB"/>
    <w:rsid w:val="007A6848"/>
    <w:rsid w:val="007A6B30"/>
    <w:rsid w:val="007A6E15"/>
    <w:rsid w:val="007A71A9"/>
    <w:rsid w:val="007A7738"/>
    <w:rsid w:val="007B0335"/>
    <w:rsid w:val="007B0355"/>
    <w:rsid w:val="007B03EB"/>
    <w:rsid w:val="007B08D2"/>
    <w:rsid w:val="007B10DA"/>
    <w:rsid w:val="007B1289"/>
    <w:rsid w:val="007B1F9D"/>
    <w:rsid w:val="007B2F5A"/>
    <w:rsid w:val="007B32DF"/>
    <w:rsid w:val="007B36D8"/>
    <w:rsid w:val="007B3797"/>
    <w:rsid w:val="007B3A45"/>
    <w:rsid w:val="007B401E"/>
    <w:rsid w:val="007B41B5"/>
    <w:rsid w:val="007B4491"/>
    <w:rsid w:val="007B52E0"/>
    <w:rsid w:val="007B538A"/>
    <w:rsid w:val="007B58CE"/>
    <w:rsid w:val="007B5F12"/>
    <w:rsid w:val="007B6156"/>
    <w:rsid w:val="007B6980"/>
    <w:rsid w:val="007B6D39"/>
    <w:rsid w:val="007B70D9"/>
    <w:rsid w:val="007B7660"/>
    <w:rsid w:val="007C013D"/>
    <w:rsid w:val="007C01B6"/>
    <w:rsid w:val="007C0890"/>
    <w:rsid w:val="007C0CD6"/>
    <w:rsid w:val="007C1ACF"/>
    <w:rsid w:val="007C219E"/>
    <w:rsid w:val="007C2AE6"/>
    <w:rsid w:val="007C2F06"/>
    <w:rsid w:val="007C31CE"/>
    <w:rsid w:val="007C47D8"/>
    <w:rsid w:val="007C510E"/>
    <w:rsid w:val="007C5739"/>
    <w:rsid w:val="007C6216"/>
    <w:rsid w:val="007C62E7"/>
    <w:rsid w:val="007C65B7"/>
    <w:rsid w:val="007C727A"/>
    <w:rsid w:val="007C7415"/>
    <w:rsid w:val="007C7CA6"/>
    <w:rsid w:val="007C7F28"/>
    <w:rsid w:val="007D0694"/>
    <w:rsid w:val="007D07E8"/>
    <w:rsid w:val="007D087F"/>
    <w:rsid w:val="007D0AF8"/>
    <w:rsid w:val="007D1681"/>
    <w:rsid w:val="007D16C7"/>
    <w:rsid w:val="007D2923"/>
    <w:rsid w:val="007D3450"/>
    <w:rsid w:val="007D375B"/>
    <w:rsid w:val="007D387E"/>
    <w:rsid w:val="007D4003"/>
    <w:rsid w:val="007D4356"/>
    <w:rsid w:val="007D4382"/>
    <w:rsid w:val="007D47DC"/>
    <w:rsid w:val="007D4894"/>
    <w:rsid w:val="007D4CBE"/>
    <w:rsid w:val="007D588C"/>
    <w:rsid w:val="007D61FD"/>
    <w:rsid w:val="007D62B5"/>
    <w:rsid w:val="007D6EEA"/>
    <w:rsid w:val="007D728E"/>
    <w:rsid w:val="007D78E6"/>
    <w:rsid w:val="007E11C8"/>
    <w:rsid w:val="007E181E"/>
    <w:rsid w:val="007E1EDC"/>
    <w:rsid w:val="007E1F32"/>
    <w:rsid w:val="007E2518"/>
    <w:rsid w:val="007E2E31"/>
    <w:rsid w:val="007E2E99"/>
    <w:rsid w:val="007E3667"/>
    <w:rsid w:val="007E4677"/>
    <w:rsid w:val="007E585F"/>
    <w:rsid w:val="007E598A"/>
    <w:rsid w:val="007E59F4"/>
    <w:rsid w:val="007E6031"/>
    <w:rsid w:val="007E6528"/>
    <w:rsid w:val="007F004D"/>
    <w:rsid w:val="007F09D8"/>
    <w:rsid w:val="007F0A88"/>
    <w:rsid w:val="007F0BB9"/>
    <w:rsid w:val="007F0C65"/>
    <w:rsid w:val="007F0D7D"/>
    <w:rsid w:val="007F1457"/>
    <w:rsid w:val="007F1B77"/>
    <w:rsid w:val="007F2658"/>
    <w:rsid w:val="007F2C7F"/>
    <w:rsid w:val="007F31C4"/>
    <w:rsid w:val="007F3396"/>
    <w:rsid w:val="007F3972"/>
    <w:rsid w:val="007F3B88"/>
    <w:rsid w:val="007F4E6A"/>
    <w:rsid w:val="007F4F44"/>
    <w:rsid w:val="007F540D"/>
    <w:rsid w:val="007F5525"/>
    <w:rsid w:val="007F564B"/>
    <w:rsid w:val="007F593C"/>
    <w:rsid w:val="007F5C2E"/>
    <w:rsid w:val="007F698E"/>
    <w:rsid w:val="007F69DA"/>
    <w:rsid w:val="007F6AA2"/>
    <w:rsid w:val="007F739D"/>
    <w:rsid w:val="007F7614"/>
    <w:rsid w:val="007F76C4"/>
    <w:rsid w:val="007F77D9"/>
    <w:rsid w:val="007F7AD6"/>
    <w:rsid w:val="007F7B71"/>
    <w:rsid w:val="007F7FF3"/>
    <w:rsid w:val="008000A3"/>
    <w:rsid w:val="00800AF6"/>
    <w:rsid w:val="00801447"/>
    <w:rsid w:val="00801D00"/>
    <w:rsid w:val="0080290B"/>
    <w:rsid w:val="00802DBE"/>
    <w:rsid w:val="00802EB9"/>
    <w:rsid w:val="00802F40"/>
    <w:rsid w:val="00803331"/>
    <w:rsid w:val="008034C3"/>
    <w:rsid w:val="008037F9"/>
    <w:rsid w:val="0080389F"/>
    <w:rsid w:val="00803D49"/>
    <w:rsid w:val="00804A0C"/>
    <w:rsid w:val="00804CC8"/>
    <w:rsid w:val="00805768"/>
    <w:rsid w:val="00805912"/>
    <w:rsid w:val="00805D43"/>
    <w:rsid w:val="00806D3B"/>
    <w:rsid w:val="00806F29"/>
    <w:rsid w:val="0080740B"/>
    <w:rsid w:val="00807F90"/>
    <w:rsid w:val="008101EC"/>
    <w:rsid w:val="0081053C"/>
    <w:rsid w:val="008106E7"/>
    <w:rsid w:val="00810739"/>
    <w:rsid w:val="00810881"/>
    <w:rsid w:val="00811876"/>
    <w:rsid w:val="00811C66"/>
    <w:rsid w:val="00812A23"/>
    <w:rsid w:val="00814CEF"/>
    <w:rsid w:val="008150C8"/>
    <w:rsid w:val="008152A5"/>
    <w:rsid w:val="008155CE"/>
    <w:rsid w:val="00815F4C"/>
    <w:rsid w:val="008163AF"/>
    <w:rsid w:val="00817739"/>
    <w:rsid w:val="00820C95"/>
    <w:rsid w:val="00820E4A"/>
    <w:rsid w:val="00821188"/>
    <w:rsid w:val="0082125F"/>
    <w:rsid w:val="0082182B"/>
    <w:rsid w:val="0082214D"/>
    <w:rsid w:val="00822411"/>
    <w:rsid w:val="008229C0"/>
    <w:rsid w:val="008234BB"/>
    <w:rsid w:val="0082371D"/>
    <w:rsid w:val="00823B21"/>
    <w:rsid w:val="00823E75"/>
    <w:rsid w:val="00824865"/>
    <w:rsid w:val="00824C95"/>
    <w:rsid w:val="00824ED5"/>
    <w:rsid w:val="008252DA"/>
    <w:rsid w:val="00825712"/>
    <w:rsid w:val="0082574A"/>
    <w:rsid w:val="00826BB7"/>
    <w:rsid w:val="00827429"/>
    <w:rsid w:val="008276AE"/>
    <w:rsid w:val="00827831"/>
    <w:rsid w:val="00827CF6"/>
    <w:rsid w:val="0083043F"/>
    <w:rsid w:val="00831360"/>
    <w:rsid w:val="00832587"/>
    <w:rsid w:val="00833544"/>
    <w:rsid w:val="008335B8"/>
    <w:rsid w:val="00833D5C"/>
    <w:rsid w:val="008342A0"/>
    <w:rsid w:val="0083484B"/>
    <w:rsid w:val="00835698"/>
    <w:rsid w:val="008360D1"/>
    <w:rsid w:val="008365AD"/>
    <w:rsid w:val="00837005"/>
    <w:rsid w:val="00840111"/>
    <w:rsid w:val="008406E8"/>
    <w:rsid w:val="00840DC3"/>
    <w:rsid w:val="00841D5B"/>
    <w:rsid w:val="00841EDD"/>
    <w:rsid w:val="00842616"/>
    <w:rsid w:val="0084285D"/>
    <w:rsid w:val="008431BB"/>
    <w:rsid w:val="008439DA"/>
    <w:rsid w:val="00843C81"/>
    <w:rsid w:val="00844489"/>
    <w:rsid w:val="008452A7"/>
    <w:rsid w:val="00845756"/>
    <w:rsid w:val="0084589A"/>
    <w:rsid w:val="00845D25"/>
    <w:rsid w:val="008470F3"/>
    <w:rsid w:val="00847408"/>
    <w:rsid w:val="00847823"/>
    <w:rsid w:val="008479FD"/>
    <w:rsid w:val="00847EC4"/>
    <w:rsid w:val="00847F2D"/>
    <w:rsid w:val="00850155"/>
    <w:rsid w:val="00850319"/>
    <w:rsid w:val="008503F9"/>
    <w:rsid w:val="0085062E"/>
    <w:rsid w:val="00851328"/>
    <w:rsid w:val="00852357"/>
    <w:rsid w:val="00852B6B"/>
    <w:rsid w:val="00852C48"/>
    <w:rsid w:val="00852F7A"/>
    <w:rsid w:val="0085374A"/>
    <w:rsid w:val="008537D1"/>
    <w:rsid w:val="00853EAE"/>
    <w:rsid w:val="0085442F"/>
    <w:rsid w:val="00855C45"/>
    <w:rsid w:val="00855D22"/>
    <w:rsid w:val="00855EDC"/>
    <w:rsid w:val="008562B2"/>
    <w:rsid w:val="008563CE"/>
    <w:rsid w:val="00856449"/>
    <w:rsid w:val="00856CB5"/>
    <w:rsid w:val="00856D98"/>
    <w:rsid w:val="00857348"/>
    <w:rsid w:val="008607F9"/>
    <w:rsid w:val="008616DD"/>
    <w:rsid w:val="00861834"/>
    <w:rsid w:val="00861886"/>
    <w:rsid w:val="008619AB"/>
    <w:rsid w:val="008627A3"/>
    <w:rsid w:val="00862EC9"/>
    <w:rsid w:val="00862F61"/>
    <w:rsid w:val="0086309F"/>
    <w:rsid w:val="008634E7"/>
    <w:rsid w:val="00863538"/>
    <w:rsid w:val="0086357D"/>
    <w:rsid w:val="00863C43"/>
    <w:rsid w:val="0086439D"/>
    <w:rsid w:val="00864D43"/>
    <w:rsid w:val="00864D4B"/>
    <w:rsid w:val="008650CA"/>
    <w:rsid w:val="00865456"/>
    <w:rsid w:val="0086576C"/>
    <w:rsid w:val="00865920"/>
    <w:rsid w:val="008659DB"/>
    <w:rsid w:val="008665E5"/>
    <w:rsid w:val="0086667E"/>
    <w:rsid w:val="008666D7"/>
    <w:rsid w:val="00866EFE"/>
    <w:rsid w:val="00867023"/>
    <w:rsid w:val="008678ED"/>
    <w:rsid w:val="00867AFD"/>
    <w:rsid w:val="00867C4C"/>
    <w:rsid w:val="00867F00"/>
    <w:rsid w:val="008704D0"/>
    <w:rsid w:val="00870AB0"/>
    <w:rsid w:val="00870BB9"/>
    <w:rsid w:val="00871324"/>
    <w:rsid w:val="008718A8"/>
    <w:rsid w:val="00871C4A"/>
    <w:rsid w:val="00871E55"/>
    <w:rsid w:val="008721C6"/>
    <w:rsid w:val="008724A9"/>
    <w:rsid w:val="008726A0"/>
    <w:rsid w:val="008735DD"/>
    <w:rsid w:val="00874363"/>
    <w:rsid w:val="008753FF"/>
    <w:rsid w:val="0087544A"/>
    <w:rsid w:val="008760C4"/>
    <w:rsid w:val="008764FC"/>
    <w:rsid w:val="00877303"/>
    <w:rsid w:val="008814C0"/>
    <w:rsid w:val="00881593"/>
    <w:rsid w:val="008816B4"/>
    <w:rsid w:val="0088208F"/>
    <w:rsid w:val="00882760"/>
    <w:rsid w:val="008834C6"/>
    <w:rsid w:val="0088367C"/>
    <w:rsid w:val="008845F7"/>
    <w:rsid w:val="00884C31"/>
    <w:rsid w:val="00885199"/>
    <w:rsid w:val="00885209"/>
    <w:rsid w:val="00886A4F"/>
    <w:rsid w:val="00886B30"/>
    <w:rsid w:val="00886DF7"/>
    <w:rsid w:val="008875A2"/>
    <w:rsid w:val="008878D6"/>
    <w:rsid w:val="00887CAA"/>
    <w:rsid w:val="00890038"/>
    <w:rsid w:val="00890148"/>
    <w:rsid w:val="00890544"/>
    <w:rsid w:val="0089137B"/>
    <w:rsid w:val="00891486"/>
    <w:rsid w:val="00891E0C"/>
    <w:rsid w:val="00891F0A"/>
    <w:rsid w:val="0089208D"/>
    <w:rsid w:val="008926E6"/>
    <w:rsid w:val="008930A1"/>
    <w:rsid w:val="00893DBA"/>
    <w:rsid w:val="00893F57"/>
    <w:rsid w:val="008950B0"/>
    <w:rsid w:val="00895349"/>
    <w:rsid w:val="008955C2"/>
    <w:rsid w:val="008958B3"/>
    <w:rsid w:val="008959D1"/>
    <w:rsid w:val="0089649E"/>
    <w:rsid w:val="008970A8"/>
    <w:rsid w:val="00897142"/>
    <w:rsid w:val="008977CB"/>
    <w:rsid w:val="00897C8D"/>
    <w:rsid w:val="008A067E"/>
    <w:rsid w:val="008A0B8A"/>
    <w:rsid w:val="008A10E0"/>
    <w:rsid w:val="008A11B1"/>
    <w:rsid w:val="008A12FA"/>
    <w:rsid w:val="008A1D68"/>
    <w:rsid w:val="008A22B1"/>
    <w:rsid w:val="008A2929"/>
    <w:rsid w:val="008A3727"/>
    <w:rsid w:val="008A393F"/>
    <w:rsid w:val="008A3FD6"/>
    <w:rsid w:val="008A4133"/>
    <w:rsid w:val="008A42A3"/>
    <w:rsid w:val="008A4BD7"/>
    <w:rsid w:val="008A4FA9"/>
    <w:rsid w:val="008A53F5"/>
    <w:rsid w:val="008A5694"/>
    <w:rsid w:val="008A57AF"/>
    <w:rsid w:val="008A58E5"/>
    <w:rsid w:val="008A5B81"/>
    <w:rsid w:val="008A6568"/>
    <w:rsid w:val="008A7A76"/>
    <w:rsid w:val="008A7B42"/>
    <w:rsid w:val="008B0352"/>
    <w:rsid w:val="008B0623"/>
    <w:rsid w:val="008B06C9"/>
    <w:rsid w:val="008B112F"/>
    <w:rsid w:val="008B1914"/>
    <w:rsid w:val="008B23CA"/>
    <w:rsid w:val="008B248B"/>
    <w:rsid w:val="008B2A4F"/>
    <w:rsid w:val="008B2FBB"/>
    <w:rsid w:val="008B3191"/>
    <w:rsid w:val="008B31FE"/>
    <w:rsid w:val="008B4ADB"/>
    <w:rsid w:val="008B5376"/>
    <w:rsid w:val="008B565E"/>
    <w:rsid w:val="008B56BD"/>
    <w:rsid w:val="008B58BE"/>
    <w:rsid w:val="008B5C26"/>
    <w:rsid w:val="008B5F83"/>
    <w:rsid w:val="008B5FB2"/>
    <w:rsid w:val="008B6C15"/>
    <w:rsid w:val="008B76EE"/>
    <w:rsid w:val="008B7C6F"/>
    <w:rsid w:val="008B7D63"/>
    <w:rsid w:val="008C005B"/>
    <w:rsid w:val="008C019F"/>
    <w:rsid w:val="008C06D9"/>
    <w:rsid w:val="008C1622"/>
    <w:rsid w:val="008C1BDE"/>
    <w:rsid w:val="008C3029"/>
    <w:rsid w:val="008C34ED"/>
    <w:rsid w:val="008C3D59"/>
    <w:rsid w:val="008C3E64"/>
    <w:rsid w:val="008C3FB3"/>
    <w:rsid w:val="008C566D"/>
    <w:rsid w:val="008C59C3"/>
    <w:rsid w:val="008C5BA2"/>
    <w:rsid w:val="008C5E34"/>
    <w:rsid w:val="008C6189"/>
    <w:rsid w:val="008C6908"/>
    <w:rsid w:val="008C7E33"/>
    <w:rsid w:val="008D0A2D"/>
    <w:rsid w:val="008D1420"/>
    <w:rsid w:val="008D1F93"/>
    <w:rsid w:val="008D223C"/>
    <w:rsid w:val="008D259E"/>
    <w:rsid w:val="008D2683"/>
    <w:rsid w:val="008D29B3"/>
    <w:rsid w:val="008D2A90"/>
    <w:rsid w:val="008D2C86"/>
    <w:rsid w:val="008D32D8"/>
    <w:rsid w:val="008D347E"/>
    <w:rsid w:val="008D3F91"/>
    <w:rsid w:val="008D40CF"/>
    <w:rsid w:val="008D44A1"/>
    <w:rsid w:val="008D4D8D"/>
    <w:rsid w:val="008D57DB"/>
    <w:rsid w:val="008D5ABF"/>
    <w:rsid w:val="008D5D16"/>
    <w:rsid w:val="008D5EC0"/>
    <w:rsid w:val="008D7082"/>
    <w:rsid w:val="008D7087"/>
    <w:rsid w:val="008D76D5"/>
    <w:rsid w:val="008D779C"/>
    <w:rsid w:val="008D7ECA"/>
    <w:rsid w:val="008E007A"/>
    <w:rsid w:val="008E088E"/>
    <w:rsid w:val="008E1308"/>
    <w:rsid w:val="008E144E"/>
    <w:rsid w:val="008E17A6"/>
    <w:rsid w:val="008E2298"/>
    <w:rsid w:val="008E2AE0"/>
    <w:rsid w:val="008E2BE0"/>
    <w:rsid w:val="008E2FB8"/>
    <w:rsid w:val="008E304C"/>
    <w:rsid w:val="008E30B5"/>
    <w:rsid w:val="008E3CC0"/>
    <w:rsid w:val="008E3D17"/>
    <w:rsid w:val="008E3DEA"/>
    <w:rsid w:val="008E49F6"/>
    <w:rsid w:val="008E5597"/>
    <w:rsid w:val="008E6234"/>
    <w:rsid w:val="008E6CA0"/>
    <w:rsid w:val="008E72B4"/>
    <w:rsid w:val="008E792D"/>
    <w:rsid w:val="008E7C85"/>
    <w:rsid w:val="008F1D11"/>
    <w:rsid w:val="008F1F71"/>
    <w:rsid w:val="008F1F72"/>
    <w:rsid w:val="008F2377"/>
    <w:rsid w:val="008F2535"/>
    <w:rsid w:val="008F28E7"/>
    <w:rsid w:val="008F2B18"/>
    <w:rsid w:val="008F31B2"/>
    <w:rsid w:val="008F3356"/>
    <w:rsid w:val="008F343A"/>
    <w:rsid w:val="008F4186"/>
    <w:rsid w:val="008F4ADB"/>
    <w:rsid w:val="008F557F"/>
    <w:rsid w:val="008F5A2B"/>
    <w:rsid w:val="008F5D33"/>
    <w:rsid w:val="008F614F"/>
    <w:rsid w:val="008F65DD"/>
    <w:rsid w:val="008F6C65"/>
    <w:rsid w:val="008F6D22"/>
    <w:rsid w:val="008F6F26"/>
    <w:rsid w:val="008F7B37"/>
    <w:rsid w:val="008F7E50"/>
    <w:rsid w:val="009003A5"/>
    <w:rsid w:val="0090042A"/>
    <w:rsid w:val="0090042C"/>
    <w:rsid w:val="00900539"/>
    <w:rsid w:val="00900896"/>
    <w:rsid w:val="00900EAA"/>
    <w:rsid w:val="0090102E"/>
    <w:rsid w:val="00901378"/>
    <w:rsid w:val="009017DB"/>
    <w:rsid w:val="00901DEF"/>
    <w:rsid w:val="00903423"/>
    <w:rsid w:val="00903702"/>
    <w:rsid w:val="009047C6"/>
    <w:rsid w:val="00904940"/>
    <w:rsid w:val="00904FBA"/>
    <w:rsid w:val="00905435"/>
    <w:rsid w:val="00905723"/>
    <w:rsid w:val="00905A21"/>
    <w:rsid w:val="009061FE"/>
    <w:rsid w:val="00906C0B"/>
    <w:rsid w:val="009077FA"/>
    <w:rsid w:val="00907DC0"/>
    <w:rsid w:val="00910860"/>
    <w:rsid w:val="00910FAD"/>
    <w:rsid w:val="00911041"/>
    <w:rsid w:val="009116DC"/>
    <w:rsid w:val="009118B2"/>
    <w:rsid w:val="00912103"/>
    <w:rsid w:val="0091264B"/>
    <w:rsid w:val="00912E7D"/>
    <w:rsid w:val="00912FC8"/>
    <w:rsid w:val="00913AA4"/>
    <w:rsid w:val="00913BA6"/>
    <w:rsid w:val="00914828"/>
    <w:rsid w:val="00914B10"/>
    <w:rsid w:val="00914CC1"/>
    <w:rsid w:val="00914E03"/>
    <w:rsid w:val="00915167"/>
    <w:rsid w:val="009151CE"/>
    <w:rsid w:val="00915484"/>
    <w:rsid w:val="00915885"/>
    <w:rsid w:val="009159D4"/>
    <w:rsid w:val="00915B70"/>
    <w:rsid w:val="00916565"/>
    <w:rsid w:val="00916738"/>
    <w:rsid w:val="00916BC8"/>
    <w:rsid w:val="009170C6"/>
    <w:rsid w:val="0091719A"/>
    <w:rsid w:val="0091731D"/>
    <w:rsid w:val="0091756C"/>
    <w:rsid w:val="00917C3F"/>
    <w:rsid w:val="00917F10"/>
    <w:rsid w:val="009200F3"/>
    <w:rsid w:val="0092051B"/>
    <w:rsid w:val="0092093E"/>
    <w:rsid w:val="00920AC8"/>
    <w:rsid w:val="00920E46"/>
    <w:rsid w:val="009221C2"/>
    <w:rsid w:val="00922FC3"/>
    <w:rsid w:val="00923950"/>
    <w:rsid w:val="00923D47"/>
    <w:rsid w:val="00923FB6"/>
    <w:rsid w:val="0092455B"/>
    <w:rsid w:val="0092466C"/>
    <w:rsid w:val="009247A3"/>
    <w:rsid w:val="00924C08"/>
    <w:rsid w:val="00925673"/>
    <w:rsid w:val="00925CD4"/>
    <w:rsid w:val="00926482"/>
    <w:rsid w:val="009267E0"/>
    <w:rsid w:val="00927A63"/>
    <w:rsid w:val="00927AC7"/>
    <w:rsid w:val="00927E5A"/>
    <w:rsid w:val="00930278"/>
    <w:rsid w:val="00930F94"/>
    <w:rsid w:val="009311FC"/>
    <w:rsid w:val="00931752"/>
    <w:rsid w:val="00931B32"/>
    <w:rsid w:val="00931B3B"/>
    <w:rsid w:val="00932114"/>
    <w:rsid w:val="00933123"/>
    <w:rsid w:val="009337B2"/>
    <w:rsid w:val="009344FB"/>
    <w:rsid w:val="00934541"/>
    <w:rsid w:val="0093471B"/>
    <w:rsid w:val="009348A8"/>
    <w:rsid w:val="00934E07"/>
    <w:rsid w:val="00935384"/>
    <w:rsid w:val="00935581"/>
    <w:rsid w:val="009360C4"/>
    <w:rsid w:val="00936758"/>
    <w:rsid w:val="00936CCE"/>
    <w:rsid w:val="00936EBC"/>
    <w:rsid w:val="00937048"/>
    <w:rsid w:val="009376B9"/>
    <w:rsid w:val="009377D5"/>
    <w:rsid w:val="0093784C"/>
    <w:rsid w:val="00937BDD"/>
    <w:rsid w:val="00940373"/>
    <w:rsid w:val="009403E3"/>
    <w:rsid w:val="00941099"/>
    <w:rsid w:val="00941284"/>
    <w:rsid w:val="00941525"/>
    <w:rsid w:val="00941980"/>
    <w:rsid w:val="00941C6D"/>
    <w:rsid w:val="00941F38"/>
    <w:rsid w:val="009429BD"/>
    <w:rsid w:val="00942C66"/>
    <w:rsid w:val="009430EC"/>
    <w:rsid w:val="009435B2"/>
    <w:rsid w:val="00943738"/>
    <w:rsid w:val="00943CA6"/>
    <w:rsid w:val="00943CDA"/>
    <w:rsid w:val="00943E9D"/>
    <w:rsid w:val="009442F4"/>
    <w:rsid w:val="00944A87"/>
    <w:rsid w:val="00944AAA"/>
    <w:rsid w:val="0094515D"/>
    <w:rsid w:val="00945E46"/>
    <w:rsid w:val="00946329"/>
    <w:rsid w:val="0094774F"/>
    <w:rsid w:val="00947957"/>
    <w:rsid w:val="00947C81"/>
    <w:rsid w:val="00947D4D"/>
    <w:rsid w:val="0095057E"/>
    <w:rsid w:val="00951163"/>
    <w:rsid w:val="009517B4"/>
    <w:rsid w:val="00952CAE"/>
    <w:rsid w:val="0095307B"/>
    <w:rsid w:val="00953221"/>
    <w:rsid w:val="0095357B"/>
    <w:rsid w:val="0095361F"/>
    <w:rsid w:val="00953685"/>
    <w:rsid w:val="00954293"/>
    <w:rsid w:val="00954DF5"/>
    <w:rsid w:val="00954EEF"/>
    <w:rsid w:val="00955981"/>
    <w:rsid w:val="00957002"/>
    <w:rsid w:val="009572A0"/>
    <w:rsid w:val="0095735C"/>
    <w:rsid w:val="00957A17"/>
    <w:rsid w:val="00957E34"/>
    <w:rsid w:val="0096143F"/>
    <w:rsid w:val="00961A94"/>
    <w:rsid w:val="00961DFD"/>
    <w:rsid w:val="00962D4F"/>
    <w:rsid w:val="009636D4"/>
    <w:rsid w:val="0096397A"/>
    <w:rsid w:val="00963B9D"/>
    <w:rsid w:val="00963C54"/>
    <w:rsid w:val="00963EDC"/>
    <w:rsid w:val="00964483"/>
    <w:rsid w:val="009648A8"/>
    <w:rsid w:val="009650C2"/>
    <w:rsid w:val="00965439"/>
    <w:rsid w:val="00965999"/>
    <w:rsid w:val="00965D12"/>
    <w:rsid w:val="00966157"/>
    <w:rsid w:val="00966550"/>
    <w:rsid w:val="00966B16"/>
    <w:rsid w:val="0096722E"/>
    <w:rsid w:val="00967F20"/>
    <w:rsid w:val="0097037B"/>
    <w:rsid w:val="00970B50"/>
    <w:rsid w:val="00970BFF"/>
    <w:rsid w:val="00970F0B"/>
    <w:rsid w:val="0097102E"/>
    <w:rsid w:val="00971829"/>
    <w:rsid w:val="00971F91"/>
    <w:rsid w:val="00971FB6"/>
    <w:rsid w:val="00972076"/>
    <w:rsid w:val="0097231F"/>
    <w:rsid w:val="00972808"/>
    <w:rsid w:val="00972FCF"/>
    <w:rsid w:val="00973278"/>
    <w:rsid w:val="00973792"/>
    <w:rsid w:val="00973A99"/>
    <w:rsid w:val="00973F6A"/>
    <w:rsid w:val="0097415F"/>
    <w:rsid w:val="009746DD"/>
    <w:rsid w:val="00974D41"/>
    <w:rsid w:val="00975DD8"/>
    <w:rsid w:val="0097614F"/>
    <w:rsid w:val="009763D8"/>
    <w:rsid w:val="0097660C"/>
    <w:rsid w:val="00977BB3"/>
    <w:rsid w:val="0098070D"/>
    <w:rsid w:val="00980EB9"/>
    <w:rsid w:val="009812D6"/>
    <w:rsid w:val="009812F8"/>
    <w:rsid w:val="0098183E"/>
    <w:rsid w:val="009818E9"/>
    <w:rsid w:val="009819BE"/>
    <w:rsid w:val="00981A3C"/>
    <w:rsid w:val="0098222D"/>
    <w:rsid w:val="009823A8"/>
    <w:rsid w:val="00982740"/>
    <w:rsid w:val="00982991"/>
    <w:rsid w:val="00983303"/>
    <w:rsid w:val="009838C8"/>
    <w:rsid w:val="009840AE"/>
    <w:rsid w:val="00984334"/>
    <w:rsid w:val="00984DA8"/>
    <w:rsid w:val="00984EBE"/>
    <w:rsid w:val="0098596E"/>
    <w:rsid w:val="00985A92"/>
    <w:rsid w:val="009864C1"/>
    <w:rsid w:val="0098700F"/>
    <w:rsid w:val="00987057"/>
    <w:rsid w:val="00987BEB"/>
    <w:rsid w:val="00990370"/>
    <w:rsid w:val="00990768"/>
    <w:rsid w:val="0099138C"/>
    <w:rsid w:val="0099215D"/>
    <w:rsid w:val="00992345"/>
    <w:rsid w:val="00994143"/>
    <w:rsid w:val="00994236"/>
    <w:rsid w:val="009942ED"/>
    <w:rsid w:val="009944E4"/>
    <w:rsid w:val="00995A1C"/>
    <w:rsid w:val="00996245"/>
    <w:rsid w:val="009967A3"/>
    <w:rsid w:val="009968AA"/>
    <w:rsid w:val="009976C1"/>
    <w:rsid w:val="00997EA0"/>
    <w:rsid w:val="009A054C"/>
    <w:rsid w:val="009A068B"/>
    <w:rsid w:val="009A165E"/>
    <w:rsid w:val="009A2AD5"/>
    <w:rsid w:val="009A322D"/>
    <w:rsid w:val="009A362C"/>
    <w:rsid w:val="009A3AAE"/>
    <w:rsid w:val="009A4204"/>
    <w:rsid w:val="009A4607"/>
    <w:rsid w:val="009A47BA"/>
    <w:rsid w:val="009A4817"/>
    <w:rsid w:val="009A4893"/>
    <w:rsid w:val="009A4B68"/>
    <w:rsid w:val="009A5319"/>
    <w:rsid w:val="009A556B"/>
    <w:rsid w:val="009A56A9"/>
    <w:rsid w:val="009A5755"/>
    <w:rsid w:val="009A601D"/>
    <w:rsid w:val="009A60DC"/>
    <w:rsid w:val="009A721A"/>
    <w:rsid w:val="009A7C22"/>
    <w:rsid w:val="009B039A"/>
    <w:rsid w:val="009B070F"/>
    <w:rsid w:val="009B07FB"/>
    <w:rsid w:val="009B08A1"/>
    <w:rsid w:val="009B24B5"/>
    <w:rsid w:val="009B2816"/>
    <w:rsid w:val="009B3223"/>
    <w:rsid w:val="009B3939"/>
    <w:rsid w:val="009B4046"/>
    <w:rsid w:val="009B490C"/>
    <w:rsid w:val="009B4CD9"/>
    <w:rsid w:val="009B4F0D"/>
    <w:rsid w:val="009B530F"/>
    <w:rsid w:val="009B5D82"/>
    <w:rsid w:val="009B66CD"/>
    <w:rsid w:val="009B75CB"/>
    <w:rsid w:val="009B7B7E"/>
    <w:rsid w:val="009C06C5"/>
    <w:rsid w:val="009C08D7"/>
    <w:rsid w:val="009C162F"/>
    <w:rsid w:val="009C22A2"/>
    <w:rsid w:val="009C2899"/>
    <w:rsid w:val="009C2905"/>
    <w:rsid w:val="009C2BA8"/>
    <w:rsid w:val="009C2D7F"/>
    <w:rsid w:val="009C2E1F"/>
    <w:rsid w:val="009C3088"/>
    <w:rsid w:val="009C3B8F"/>
    <w:rsid w:val="009C3D15"/>
    <w:rsid w:val="009C466B"/>
    <w:rsid w:val="009C4838"/>
    <w:rsid w:val="009C4E09"/>
    <w:rsid w:val="009C5CF2"/>
    <w:rsid w:val="009C5D2C"/>
    <w:rsid w:val="009C664E"/>
    <w:rsid w:val="009C6D28"/>
    <w:rsid w:val="009C6D82"/>
    <w:rsid w:val="009D07AD"/>
    <w:rsid w:val="009D0844"/>
    <w:rsid w:val="009D0FB3"/>
    <w:rsid w:val="009D208C"/>
    <w:rsid w:val="009D2484"/>
    <w:rsid w:val="009D24C5"/>
    <w:rsid w:val="009D2A96"/>
    <w:rsid w:val="009D3109"/>
    <w:rsid w:val="009D3A0F"/>
    <w:rsid w:val="009D3B40"/>
    <w:rsid w:val="009D4696"/>
    <w:rsid w:val="009D4E19"/>
    <w:rsid w:val="009D4FA7"/>
    <w:rsid w:val="009D51A2"/>
    <w:rsid w:val="009D5922"/>
    <w:rsid w:val="009D6EEC"/>
    <w:rsid w:val="009D73E3"/>
    <w:rsid w:val="009D78E0"/>
    <w:rsid w:val="009E038A"/>
    <w:rsid w:val="009E0FB3"/>
    <w:rsid w:val="009E1090"/>
    <w:rsid w:val="009E1447"/>
    <w:rsid w:val="009E1770"/>
    <w:rsid w:val="009E1EFD"/>
    <w:rsid w:val="009E2640"/>
    <w:rsid w:val="009E34C5"/>
    <w:rsid w:val="009E3B8C"/>
    <w:rsid w:val="009E3F6B"/>
    <w:rsid w:val="009E3FA1"/>
    <w:rsid w:val="009E408B"/>
    <w:rsid w:val="009E43E5"/>
    <w:rsid w:val="009E44D5"/>
    <w:rsid w:val="009E47A1"/>
    <w:rsid w:val="009E4887"/>
    <w:rsid w:val="009E527C"/>
    <w:rsid w:val="009E5E88"/>
    <w:rsid w:val="009E5EEF"/>
    <w:rsid w:val="009E622F"/>
    <w:rsid w:val="009E6876"/>
    <w:rsid w:val="009E6BC0"/>
    <w:rsid w:val="009E6DDA"/>
    <w:rsid w:val="009E7DCD"/>
    <w:rsid w:val="009E7F2F"/>
    <w:rsid w:val="009F0182"/>
    <w:rsid w:val="009F0569"/>
    <w:rsid w:val="009F08CC"/>
    <w:rsid w:val="009F097D"/>
    <w:rsid w:val="009F0D0C"/>
    <w:rsid w:val="009F1896"/>
    <w:rsid w:val="009F2115"/>
    <w:rsid w:val="009F278A"/>
    <w:rsid w:val="009F2809"/>
    <w:rsid w:val="009F288C"/>
    <w:rsid w:val="009F2F44"/>
    <w:rsid w:val="009F3CE5"/>
    <w:rsid w:val="009F3E8A"/>
    <w:rsid w:val="009F42AF"/>
    <w:rsid w:val="009F5693"/>
    <w:rsid w:val="009F5AF7"/>
    <w:rsid w:val="009F630D"/>
    <w:rsid w:val="009F6799"/>
    <w:rsid w:val="009F6B37"/>
    <w:rsid w:val="009F79D5"/>
    <w:rsid w:val="009F79E5"/>
    <w:rsid w:val="009F7C82"/>
    <w:rsid w:val="00A0082F"/>
    <w:rsid w:val="00A01199"/>
    <w:rsid w:val="00A01532"/>
    <w:rsid w:val="00A02015"/>
    <w:rsid w:val="00A023C1"/>
    <w:rsid w:val="00A02841"/>
    <w:rsid w:val="00A04696"/>
    <w:rsid w:val="00A04C8C"/>
    <w:rsid w:val="00A0613E"/>
    <w:rsid w:val="00A063E6"/>
    <w:rsid w:val="00A06824"/>
    <w:rsid w:val="00A0684A"/>
    <w:rsid w:val="00A069D8"/>
    <w:rsid w:val="00A06AF6"/>
    <w:rsid w:val="00A06CD6"/>
    <w:rsid w:val="00A076C0"/>
    <w:rsid w:val="00A07A34"/>
    <w:rsid w:val="00A07A58"/>
    <w:rsid w:val="00A07D9C"/>
    <w:rsid w:val="00A10AC3"/>
    <w:rsid w:val="00A10BC8"/>
    <w:rsid w:val="00A10E88"/>
    <w:rsid w:val="00A1111E"/>
    <w:rsid w:val="00A1147C"/>
    <w:rsid w:val="00A114BF"/>
    <w:rsid w:val="00A11A9F"/>
    <w:rsid w:val="00A12E3C"/>
    <w:rsid w:val="00A1304F"/>
    <w:rsid w:val="00A13181"/>
    <w:rsid w:val="00A137EB"/>
    <w:rsid w:val="00A1493B"/>
    <w:rsid w:val="00A14A15"/>
    <w:rsid w:val="00A15663"/>
    <w:rsid w:val="00A1598B"/>
    <w:rsid w:val="00A15D94"/>
    <w:rsid w:val="00A16356"/>
    <w:rsid w:val="00A1684F"/>
    <w:rsid w:val="00A168DF"/>
    <w:rsid w:val="00A17B4A"/>
    <w:rsid w:val="00A17C43"/>
    <w:rsid w:val="00A17E38"/>
    <w:rsid w:val="00A17F57"/>
    <w:rsid w:val="00A20144"/>
    <w:rsid w:val="00A20461"/>
    <w:rsid w:val="00A204DD"/>
    <w:rsid w:val="00A2057E"/>
    <w:rsid w:val="00A20AFD"/>
    <w:rsid w:val="00A20C18"/>
    <w:rsid w:val="00A20DA1"/>
    <w:rsid w:val="00A214F1"/>
    <w:rsid w:val="00A217E8"/>
    <w:rsid w:val="00A220B8"/>
    <w:rsid w:val="00A220CC"/>
    <w:rsid w:val="00A2398E"/>
    <w:rsid w:val="00A23C19"/>
    <w:rsid w:val="00A24CD1"/>
    <w:rsid w:val="00A24DFD"/>
    <w:rsid w:val="00A250D5"/>
    <w:rsid w:val="00A25AF6"/>
    <w:rsid w:val="00A262AB"/>
    <w:rsid w:val="00A272FA"/>
    <w:rsid w:val="00A274F3"/>
    <w:rsid w:val="00A27913"/>
    <w:rsid w:val="00A27C80"/>
    <w:rsid w:val="00A27CAB"/>
    <w:rsid w:val="00A30198"/>
    <w:rsid w:val="00A30525"/>
    <w:rsid w:val="00A30BBE"/>
    <w:rsid w:val="00A31216"/>
    <w:rsid w:val="00A31286"/>
    <w:rsid w:val="00A31CBF"/>
    <w:rsid w:val="00A31EF2"/>
    <w:rsid w:val="00A3285E"/>
    <w:rsid w:val="00A329E9"/>
    <w:rsid w:val="00A32A8B"/>
    <w:rsid w:val="00A32C33"/>
    <w:rsid w:val="00A32E48"/>
    <w:rsid w:val="00A32FAE"/>
    <w:rsid w:val="00A33179"/>
    <w:rsid w:val="00A331A9"/>
    <w:rsid w:val="00A33490"/>
    <w:rsid w:val="00A3380C"/>
    <w:rsid w:val="00A33C7F"/>
    <w:rsid w:val="00A34514"/>
    <w:rsid w:val="00A34B4C"/>
    <w:rsid w:val="00A34BB3"/>
    <w:rsid w:val="00A3525A"/>
    <w:rsid w:val="00A35BBA"/>
    <w:rsid w:val="00A35C37"/>
    <w:rsid w:val="00A35FD3"/>
    <w:rsid w:val="00A3623E"/>
    <w:rsid w:val="00A3646E"/>
    <w:rsid w:val="00A36EFE"/>
    <w:rsid w:val="00A37409"/>
    <w:rsid w:val="00A37697"/>
    <w:rsid w:val="00A377B7"/>
    <w:rsid w:val="00A377DC"/>
    <w:rsid w:val="00A401CF"/>
    <w:rsid w:val="00A40C58"/>
    <w:rsid w:val="00A41D29"/>
    <w:rsid w:val="00A420E8"/>
    <w:rsid w:val="00A42491"/>
    <w:rsid w:val="00A42F79"/>
    <w:rsid w:val="00A432DD"/>
    <w:rsid w:val="00A44A06"/>
    <w:rsid w:val="00A44B2E"/>
    <w:rsid w:val="00A44D69"/>
    <w:rsid w:val="00A45314"/>
    <w:rsid w:val="00A45369"/>
    <w:rsid w:val="00A454A5"/>
    <w:rsid w:val="00A46655"/>
    <w:rsid w:val="00A46717"/>
    <w:rsid w:val="00A46B25"/>
    <w:rsid w:val="00A47172"/>
    <w:rsid w:val="00A501E1"/>
    <w:rsid w:val="00A50268"/>
    <w:rsid w:val="00A505E8"/>
    <w:rsid w:val="00A515CF"/>
    <w:rsid w:val="00A51A8E"/>
    <w:rsid w:val="00A51CF8"/>
    <w:rsid w:val="00A51DAE"/>
    <w:rsid w:val="00A51F13"/>
    <w:rsid w:val="00A52966"/>
    <w:rsid w:val="00A52981"/>
    <w:rsid w:val="00A532A1"/>
    <w:rsid w:val="00A53472"/>
    <w:rsid w:val="00A534F4"/>
    <w:rsid w:val="00A53D1F"/>
    <w:rsid w:val="00A543B8"/>
    <w:rsid w:val="00A544BA"/>
    <w:rsid w:val="00A55EB5"/>
    <w:rsid w:val="00A560DA"/>
    <w:rsid w:val="00A56327"/>
    <w:rsid w:val="00A5673E"/>
    <w:rsid w:val="00A56839"/>
    <w:rsid w:val="00A56FEC"/>
    <w:rsid w:val="00A57652"/>
    <w:rsid w:val="00A578E7"/>
    <w:rsid w:val="00A60086"/>
    <w:rsid w:val="00A60104"/>
    <w:rsid w:val="00A60352"/>
    <w:rsid w:val="00A60DB2"/>
    <w:rsid w:val="00A61596"/>
    <w:rsid w:val="00A61681"/>
    <w:rsid w:val="00A63168"/>
    <w:rsid w:val="00A6368B"/>
    <w:rsid w:val="00A636A3"/>
    <w:rsid w:val="00A63A04"/>
    <w:rsid w:val="00A63C5F"/>
    <w:rsid w:val="00A64940"/>
    <w:rsid w:val="00A64AB1"/>
    <w:rsid w:val="00A64E39"/>
    <w:rsid w:val="00A651FB"/>
    <w:rsid w:val="00A65E69"/>
    <w:rsid w:val="00A668E2"/>
    <w:rsid w:val="00A66E3C"/>
    <w:rsid w:val="00A672B1"/>
    <w:rsid w:val="00A67496"/>
    <w:rsid w:val="00A675B7"/>
    <w:rsid w:val="00A67619"/>
    <w:rsid w:val="00A67B92"/>
    <w:rsid w:val="00A67F08"/>
    <w:rsid w:val="00A67F32"/>
    <w:rsid w:val="00A7027B"/>
    <w:rsid w:val="00A706AB"/>
    <w:rsid w:val="00A70973"/>
    <w:rsid w:val="00A709CB"/>
    <w:rsid w:val="00A70E2E"/>
    <w:rsid w:val="00A70E36"/>
    <w:rsid w:val="00A7114B"/>
    <w:rsid w:val="00A7168E"/>
    <w:rsid w:val="00A71C36"/>
    <w:rsid w:val="00A72091"/>
    <w:rsid w:val="00A72244"/>
    <w:rsid w:val="00A7270C"/>
    <w:rsid w:val="00A72B35"/>
    <w:rsid w:val="00A72D23"/>
    <w:rsid w:val="00A733BD"/>
    <w:rsid w:val="00A734F2"/>
    <w:rsid w:val="00A73536"/>
    <w:rsid w:val="00A73DCB"/>
    <w:rsid w:val="00A73E69"/>
    <w:rsid w:val="00A74114"/>
    <w:rsid w:val="00A747D7"/>
    <w:rsid w:val="00A76212"/>
    <w:rsid w:val="00A7666C"/>
    <w:rsid w:val="00A76AB8"/>
    <w:rsid w:val="00A76B7C"/>
    <w:rsid w:val="00A771BE"/>
    <w:rsid w:val="00A7749D"/>
    <w:rsid w:val="00A77684"/>
    <w:rsid w:val="00A77C77"/>
    <w:rsid w:val="00A807B0"/>
    <w:rsid w:val="00A807D6"/>
    <w:rsid w:val="00A80C69"/>
    <w:rsid w:val="00A81295"/>
    <w:rsid w:val="00A82550"/>
    <w:rsid w:val="00A82885"/>
    <w:rsid w:val="00A82B08"/>
    <w:rsid w:val="00A82F13"/>
    <w:rsid w:val="00A83656"/>
    <w:rsid w:val="00A8368C"/>
    <w:rsid w:val="00A83949"/>
    <w:rsid w:val="00A839C0"/>
    <w:rsid w:val="00A839EA"/>
    <w:rsid w:val="00A83F31"/>
    <w:rsid w:val="00A8513B"/>
    <w:rsid w:val="00A85310"/>
    <w:rsid w:val="00A85822"/>
    <w:rsid w:val="00A85A0D"/>
    <w:rsid w:val="00A85C06"/>
    <w:rsid w:val="00A85C08"/>
    <w:rsid w:val="00A876C8"/>
    <w:rsid w:val="00A90373"/>
    <w:rsid w:val="00A90623"/>
    <w:rsid w:val="00A91781"/>
    <w:rsid w:val="00A91ABE"/>
    <w:rsid w:val="00A91AD4"/>
    <w:rsid w:val="00A92127"/>
    <w:rsid w:val="00A92301"/>
    <w:rsid w:val="00A92758"/>
    <w:rsid w:val="00A92A32"/>
    <w:rsid w:val="00A93A59"/>
    <w:rsid w:val="00A94073"/>
    <w:rsid w:val="00A941EA"/>
    <w:rsid w:val="00A94265"/>
    <w:rsid w:val="00A947CC"/>
    <w:rsid w:val="00A951E3"/>
    <w:rsid w:val="00A952BA"/>
    <w:rsid w:val="00A95355"/>
    <w:rsid w:val="00A95F02"/>
    <w:rsid w:val="00A95FF0"/>
    <w:rsid w:val="00A96108"/>
    <w:rsid w:val="00A9618F"/>
    <w:rsid w:val="00A96C91"/>
    <w:rsid w:val="00A96CB2"/>
    <w:rsid w:val="00A97215"/>
    <w:rsid w:val="00A97429"/>
    <w:rsid w:val="00A977EC"/>
    <w:rsid w:val="00A97E5E"/>
    <w:rsid w:val="00AA002C"/>
    <w:rsid w:val="00AA0067"/>
    <w:rsid w:val="00AA0097"/>
    <w:rsid w:val="00AA0419"/>
    <w:rsid w:val="00AA043E"/>
    <w:rsid w:val="00AA0596"/>
    <w:rsid w:val="00AA07CB"/>
    <w:rsid w:val="00AA0DE8"/>
    <w:rsid w:val="00AA144A"/>
    <w:rsid w:val="00AA14FF"/>
    <w:rsid w:val="00AA220A"/>
    <w:rsid w:val="00AA23DB"/>
    <w:rsid w:val="00AA256C"/>
    <w:rsid w:val="00AA2AE5"/>
    <w:rsid w:val="00AA2D75"/>
    <w:rsid w:val="00AA32BE"/>
    <w:rsid w:val="00AA32E0"/>
    <w:rsid w:val="00AA36C0"/>
    <w:rsid w:val="00AA3973"/>
    <w:rsid w:val="00AA4106"/>
    <w:rsid w:val="00AA4D8B"/>
    <w:rsid w:val="00AA4D8D"/>
    <w:rsid w:val="00AA5B35"/>
    <w:rsid w:val="00AA62F8"/>
    <w:rsid w:val="00AA705C"/>
    <w:rsid w:val="00AA705D"/>
    <w:rsid w:val="00AA72E5"/>
    <w:rsid w:val="00AA7E7F"/>
    <w:rsid w:val="00AB03F8"/>
    <w:rsid w:val="00AB04B3"/>
    <w:rsid w:val="00AB0AF2"/>
    <w:rsid w:val="00AB1218"/>
    <w:rsid w:val="00AB184C"/>
    <w:rsid w:val="00AB1EBE"/>
    <w:rsid w:val="00AB2066"/>
    <w:rsid w:val="00AB2B63"/>
    <w:rsid w:val="00AB2DD7"/>
    <w:rsid w:val="00AB32CB"/>
    <w:rsid w:val="00AB4284"/>
    <w:rsid w:val="00AB4330"/>
    <w:rsid w:val="00AB52B7"/>
    <w:rsid w:val="00AB5E26"/>
    <w:rsid w:val="00AB61A8"/>
    <w:rsid w:val="00AB621D"/>
    <w:rsid w:val="00AB6988"/>
    <w:rsid w:val="00AB6B4D"/>
    <w:rsid w:val="00AB7494"/>
    <w:rsid w:val="00AB7692"/>
    <w:rsid w:val="00AB7763"/>
    <w:rsid w:val="00AB7CF0"/>
    <w:rsid w:val="00AC20CE"/>
    <w:rsid w:val="00AC25ED"/>
    <w:rsid w:val="00AC2F8E"/>
    <w:rsid w:val="00AC31F7"/>
    <w:rsid w:val="00AC3CBA"/>
    <w:rsid w:val="00AC3FC9"/>
    <w:rsid w:val="00AC4E24"/>
    <w:rsid w:val="00AC5395"/>
    <w:rsid w:val="00AC5D20"/>
    <w:rsid w:val="00AC60DA"/>
    <w:rsid w:val="00AC7887"/>
    <w:rsid w:val="00AC7AA3"/>
    <w:rsid w:val="00AC7DA8"/>
    <w:rsid w:val="00AC7DB4"/>
    <w:rsid w:val="00AD039E"/>
    <w:rsid w:val="00AD1883"/>
    <w:rsid w:val="00AD1B71"/>
    <w:rsid w:val="00AD2620"/>
    <w:rsid w:val="00AD2CAC"/>
    <w:rsid w:val="00AD3A35"/>
    <w:rsid w:val="00AD3A7A"/>
    <w:rsid w:val="00AD3B62"/>
    <w:rsid w:val="00AD4B49"/>
    <w:rsid w:val="00AD4DA3"/>
    <w:rsid w:val="00AD4DDE"/>
    <w:rsid w:val="00AD4DE3"/>
    <w:rsid w:val="00AD5AC3"/>
    <w:rsid w:val="00AD5C17"/>
    <w:rsid w:val="00AD61FC"/>
    <w:rsid w:val="00AD67E8"/>
    <w:rsid w:val="00AD6ED2"/>
    <w:rsid w:val="00AD758B"/>
    <w:rsid w:val="00AD7E52"/>
    <w:rsid w:val="00AE0971"/>
    <w:rsid w:val="00AE0D71"/>
    <w:rsid w:val="00AE1064"/>
    <w:rsid w:val="00AE1249"/>
    <w:rsid w:val="00AE14C1"/>
    <w:rsid w:val="00AE169C"/>
    <w:rsid w:val="00AE173D"/>
    <w:rsid w:val="00AE176D"/>
    <w:rsid w:val="00AE1991"/>
    <w:rsid w:val="00AE19D1"/>
    <w:rsid w:val="00AE1F01"/>
    <w:rsid w:val="00AE1FAD"/>
    <w:rsid w:val="00AE2628"/>
    <w:rsid w:val="00AE2861"/>
    <w:rsid w:val="00AE296B"/>
    <w:rsid w:val="00AE2BF4"/>
    <w:rsid w:val="00AE3A61"/>
    <w:rsid w:val="00AE40AD"/>
    <w:rsid w:val="00AE4B7A"/>
    <w:rsid w:val="00AE5063"/>
    <w:rsid w:val="00AE69F0"/>
    <w:rsid w:val="00AE6C59"/>
    <w:rsid w:val="00AE71CF"/>
    <w:rsid w:val="00AE7999"/>
    <w:rsid w:val="00AF0612"/>
    <w:rsid w:val="00AF0BDD"/>
    <w:rsid w:val="00AF107C"/>
    <w:rsid w:val="00AF11ED"/>
    <w:rsid w:val="00AF1602"/>
    <w:rsid w:val="00AF1BCC"/>
    <w:rsid w:val="00AF1DD9"/>
    <w:rsid w:val="00AF2D7E"/>
    <w:rsid w:val="00AF3174"/>
    <w:rsid w:val="00AF3BF7"/>
    <w:rsid w:val="00AF3E35"/>
    <w:rsid w:val="00AF43B8"/>
    <w:rsid w:val="00AF43BB"/>
    <w:rsid w:val="00AF485A"/>
    <w:rsid w:val="00AF5207"/>
    <w:rsid w:val="00AF54F8"/>
    <w:rsid w:val="00AF63D6"/>
    <w:rsid w:val="00AF65D1"/>
    <w:rsid w:val="00AF68C8"/>
    <w:rsid w:val="00AF6AC1"/>
    <w:rsid w:val="00AF71FF"/>
    <w:rsid w:val="00AF7A92"/>
    <w:rsid w:val="00B00870"/>
    <w:rsid w:val="00B00EE0"/>
    <w:rsid w:val="00B01540"/>
    <w:rsid w:val="00B0156C"/>
    <w:rsid w:val="00B0236F"/>
    <w:rsid w:val="00B02A10"/>
    <w:rsid w:val="00B02F98"/>
    <w:rsid w:val="00B03079"/>
    <w:rsid w:val="00B031B0"/>
    <w:rsid w:val="00B03F6B"/>
    <w:rsid w:val="00B04483"/>
    <w:rsid w:val="00B0470A"/>
    <w:rsid w:val="00B04EAE"/>
    <w:rsid w:val="00B055D9"/>
    <w:rsid w:val="00B05E76"/>
    <w:rsid w:val="00B06170"/>
    <w:rsid w:val="00B064F2"/>
    <w:rsid w:val="00B0687D"/>
    <w:rsid w:val="00B069A8"/>
    <w:rsid w:val="00B07553"/>
    <w:rsid w:val="00B07C1A"/>
    <w:rsid w:val="00B07E33"/>
    <w:rsid w:val="00B07F63"/>
    <w:rsid w:val="00B10500"/>
    <w:rsid w:val="00B1060A"/>
    <w:rsid w:val="00B10683"/>
    <w:rsid w:val="00B108BE"/>
    <w:rsid w:val="00B10A98"/>
    <w:rsid w:val="00B114C5"/>
    <w:rsid w:val="00B115CF"/>
    <w:rsid w:val="00B119B6"/>
    <w:rsid w:val="00B12540"/>
    <w:rsid w:val="00B12832"/>
    <w:rsid w:val="00B12C60"/>
    <w:rsid w:val="00B12DB9"/>
    <w:rsid w:val="00B1349C"/>
    <w:rsid w:val="00B13A5D"/>
    <w:rsid w:val="00B13EF7"/>
    <w:rsid w:val="00B140CD"/>
    <w:rsid w:val="00B14BBF"/>
    <w:rsid w:val="00B150E7"/>
    <w:rsid w:val="00B15122"/>
    <w:rsid w:val="00B1544D"/>
    <w:rsid w:val="00B154F2"/>
    <w:rsid w:val="00B16483"/>
    <w:rsid w:val="00B16623"/>
    <w:rsid w:val="00B167D7"/>
    <w:rsid w:val="00B16B4D"/>
    <w:rsid w:val="00B16D40"/>
    <w:rsid w:val="00B16DA6"/>
    <w:rsid w:val="00B172F6"/>
    <w:rsid w:val="00B17773"/>
    <w:rsid w:val="00B1782C"/>
    <w:rsid w:val="00B20344"/>
    <w:rsid w:val="00B211A3"/>
    <w:rsid w:val="00B216B0"/>
    <w:rsid w:val="00B217AC"/>
    <w:rsid w:val="00B2194E"/>
    <w:rsid w:val="00B21DE6"/>
    <w:rsid w:val="00B22D75"/>
    <w:rsid w:val="00B2368A"/>
    <w:rsid w:val="00B2394F"/>
    <w:rsid w:val="00B239C2"/>
    <w:rsid w:val="00B23A85"/>
    <w:rsid w:val="00B23E1C"/>
    <w:rsid w:val="00B24573"/>
    <w:rsid w:val="00B24D10"/>
    <w:rsid w:val="00B25851"/>
    <w:rsid w:val="00B25BAA"/>
    <w:rsid w:val="00B26887"/>
    <w:rsid w:val="00B27ED2"/>
    <w:rsid w:val="00B27F14"/>
    <w:rsid w:val="00B30206"/>
    <w:rsid w:val="00B30505"/>
    <w:rsid w:val="00B305D3"/>
    <w:rsid w:val="00B30C29"/>
    <w:rsid w:val="00B30F9C"/>
    <w:rsid w:val="00B31882"/>
    <w:rsid w:val="00B31E3C"/>
    <w:rsid w:val="00B31F76"/>
    <w:rsid w:val="00B329FC"/>
    <w:rsid w:val="00B32DE5"/>
    <w:rsid w:val="00B33279"/>
    <w:rsid w:val="00B33478"/>
    <w:rsid w:val="00B33866"/>
    <w:rsid w:val="00B33F14"/>
    <w:rsid w:val="00B343CC"/>
    <w:rsid w:val="00B34D4E"/>
    <w:rsid w:val="00B3552B"/>
    <w:rsid w:val="00B35D92"/>
    <w:rsid w:val="00B360EA"/>
    <w:rsid w:val="00B364C7"/>
    <w:rsid w:val="00B3672F"/>
    <w:rsid w:val="00B36BDD"/>
    <w:rsid w:val="00B37A48"/>
    <w:rsid w:val="00B37FC3"/>
    <w:rsid w:val="00B404E3"/>
    <w:rsid w:val="00B406F8"/>
    <w:rsid w:val="00B412BA"/>
    <w:rsid w:val="00B41356"/>
    <w:rsid w:val="00B41DE5"/>
    <w:rsid w:val="00B424C9"/>
    <w:rsid w:val="00B4259B"/>
    <w:rsid w:val="00B425CD"/>
    <w:rsid w:val="00B42C6F"/>
    <w:rsid w:val="00B4336C"/>
    <w:rsid w:val="00B43506"/>
    <w:rsid w:val="00B43522"/>
    <w:rsid w:val="00B43A81"/>
    <w:rsid w:val="00B44824"/>
    <w:rsid w:val="00B4550B"/>
    <w:rsid w:val="00B45541"/>
    <w:rsid w:val="00B4679F"/>
    <w:rsid w:val="00B46BAB"/>
    <w:rsid w:val="00B470A6"/>
    <w:rsid w:val="00B474A7"/>
    <w:rsid w:val="00B47AB7"/>
    <w:rsid w:val="00B47D42"/>
    <w:rsid w:val="00B47E25"/>
    <w:rsid w:val="00B47F4D"/>
    <w:rsid w:val="00B50F67"/>
    <w:rsid w:val="00B512BD"/>
    <w:rsid w:val="00B514BD"/>
    <w:rsid w:val="00B51B08"/>
    <w:rsid w:val="00B51D06"/>
    <w:rsid w:val="00B51E3B"/>
    <w:rsid w:val="00B52237"/>
    <w:rsid w:val="00B5257C"/>
    <w:rsid w:val="00B530F2"/>
    <w:rsid w:val="00B53100"/>
    <w:rsid w:val="00B532F3"/>
    <w:rsid w:val="00B53783"/>
    <w:rsid w:val="00B53B21"/>
    <w:rsid w:val="00B53FE9"/>
    <w:rsid w:val="00B54397"/>
    <w:rsid w:val="00B54697"/>
    <w:rsid w:val="00B54CEC"/>
    <w:rsid w:val="00B55D53"/>
    <w:rsid w:val="00B55ECC"/>
    <w:rsid w:val="00B5632A"/>
    <w:rsid w:val="00B5662E"/>
    <w:rsid w:val="00B57EAB"/>
    <w:rsid w:val="00B6023A"/>
    <w:rsid w:val="00B60491"/>
    <w:rsid w:val="00B60DA1"/>
    <w:rsid w:val="00B60F84"/>
    <w:rsid w:val="00B6111C"/>
    <w:rsid w:val="00B6131D"/>
    <w:rsid w:val="00B6139F"/>
    <w:rsid w:val="00B62A7F"/>
    <w:rsid w:val="00B62C3B"/>
    <w:rsid w:val="00B63A23"/>
    <w:rsid w:val="00B63D7B"/>
    <w:rsid w:val="00B64A22"/>
    <w:rsid w:val="00B64D7F"/>
    <w:rsid w:val="00B64E31"/>
    <w:rsid w:val="00B6521C"/>
    <w:rsid w:val="00B654AF"/>
    <w:rsid w:val="00B65951"/>
    <w:rsid w:val="00B66805"/>
    <w:rsid w:val="00B66956"/>
    <w:rsid w:val="00B67B9D"/>
    <w:rsid w:val="00B67E6E"/>
    <w:rsid w:val="00B70325"/>
    <w:rsid w:val="00B70C8B"/>
    <w:rsid w:val="00B71D6D"/>
    <w:rsid w:val="00B725C4"/>
    <w:rsid w:val="00B72F12"/>
    <w:rsid w:val="00B73531"/>
    <w:rsid w:val="00B737CE"/>
    <w:rsid w:val="00B7381E"/>
    <w:rsid w:val="00B75C94"/>
    <w:rsid w:val="00B75FFE"/>
    <w:rsid w:val="00B76B87"/>
    <w:rsid w:val="00B775BB"/>
    <w:rsid w:val="00B779E4"/>
    <w:rsid w:val="00B77C7A"/>
    <w:rsid w:val="00B8083E"/>
    <w:rsid w:val="00B80A0A"/>
    <w:rsid w:val="00B8113C"/>
    <w:rsid w:val="00B81D32"/>
    <w:rsid w:val="00B8290E"/>
    <w:rsid w:val="00B82CE9"/>
    <w:rsid w:val="00B82D52"/>
    <w:rsid w:val="00B82D64"/>
    <w:rsid w:val="00B82FD4"/>
    <w:rsid w:val="00B837CF"/>
    <w:rsid w:val="00B83AE9"/>
    <w:rsid w:val="00B841B2"/>
    <w:rsid w:val="00B84F40"/>
    <w:rsid w:val="00B84FB4"/>
    <w:rsid w:val="00B853A5"/>
    <w:rsid w:val="00B85448"/>
    <w:rsid w:val="00B85E0B"/>
    <w:rsid w:val="00B85FC6"/>
    <w:rsid w:val="00B86676"/>
    <w:rsid w:val="00B867BE"/>
    <w:rsid w:val="00B86A0C"/>
    <w:rsid w:val="00B87430"/>
    <w:rsid w:val="00B8743D"/>
    <w:rsid w:val="00B87FB4"/>
    <w:rsid w:val="00B901AC"/>
    <w:rsid w:val="00B90DA9"/>
    <w:rsid w:val="00B91D78"/>
    <w:rsid w:val="00B91EA6"/>
    <w:rsid w:val="00B92130"/>
    <w:rsid w:val="00B921E0"/>
    <w:rsid w:val="00B92ECE"/>
    <w:rsid w:val="00B933A9"/>
    <w:rsid w:val="00B9348A"/>
    <w:rsid w:val="00B955A3"/>
    <w:rsid w:val="00B9599A"/>
    <w:rsid w:val="00B95CC1"/>
    <w:rsid w:val="00B97E80"/>
    <w:rsid w:val="00BA0005"/>
    <w:rsid w:val="00BA01C7"/>
    <w:rsid w:val="00BA09F2"/>
    <w:rsid w:val="00BA0D0B"/>
    <w:rsid w:val="00BA0E79"/>
    <w:rsid w:val="00BA1647"/>
    <w:rsid w:val="00BA164E"/>
    <w:rsid w:val="00BA173E"/>
    <w:rsid w:val="00BA1DE1"/>
    <w:rsid w:val="00BA1DEB"/>
    <w:rsid w:val="00BA27B6"/>
    <w:rsid w:val="00BA3315"/>
    <w:rsid w:val="00BA3796"/>
    <w:rsid w:val="00BA3A07"/>
    <w:rsid w:val="00BA3B80"/>
    <w:rsid w:val="00BA48CB"/>
    <w:rsid w:val="00BA527B"/>
    <w:rsid w:val="00BA5482"/>
    <w:rsid w:val="00BA5856"/>
    <w:rsid w:val="00BA5A09"/>
    <w:rsid w:val="00BA5A31"/>
    <w:rsid w:val="00BA6563"/>
    <w:rsid w:val="00BA6663"/>
    <w:rsid w:val="00BA693D"/>
    <w:rsid w:val="00BA7301"/>
    <w:rsid w:val="00BA7B75"/>
    <w:rsid w:val="00BB06BF"/>
    <w:rsid w:val="00BB077C"/>
    <w:rsid w:val="00BB07F9"/>
    <w:rsid w:val="00BB08B1"/>
    <w:rsid w:val="00BB0B80"/>
    <w:rsid w:val="00BB0D05"/>
    <w:rsid w:val="00BB0E1C"/>
    <w:rsid w:val="00BB0E8A"/>
    <w:rsid w:val="00BB12F1"/>
    <w:rsid w:val="00BB13DB"/>
    <w:rsid w:val="00BB13E7"/>
    <w:rsid w:val="00BB1B11"/>
    <w:rsid w:val="00BB279A"/>
    <w:rsid w:val="00BB2D5D"/>
    <w:rsid w:val="00BB2F50"/>
    <w:rsid w:val="00BB36DB"/>
    <w:rsid w:val="00BB3AFF"/>
    <w:rsid w:val="00BB3C46"/>
    <w:rsid w:val="00BB43C0"/>
    <w:rsid w:val="00BB4ED7"/>
    <w:rsid w:val="00BB50C9"/>
    <w:rsid w:val="00BB5614"/>
    <w:rsid w:val="00BB59F0"/>
    <w:rsid w:val="00BB5F5F"/>
    <w:rsid w:val="00BB61C0"/>
    <w:rsid w:val="00BB6FCE"/>
    <w:rsid w:val="00BB7461"/>
    <w:rsid w:val="00BB7B2A"/>
    <w:rsid w:val="00BC044E"/>
    <w:rsid w:val="00BC07BB"/>
    <w:rsid w:val="00BC0C29"/>
    <w:rsid w:val="00BC0FB0"/>
    <w:rsid w:val="00BC1A02"/>
    <w:rsid w:val="00BC1F27"/>
    <w:rsid w:val="00BC33FE"/>
    <w:rsid w:val="00BC361F"/>
    <w:rsid w:val="00BC3A2F"/>
    <w:rsid w:val="00BC4092"/>
    <w:rsid w:val="00BC495C"/>
    <w:rsid w:val="00BC4D18"/>
    <w:rsid w:val="00BC51F1"/>
    <w:rsid w:val="00BC5944"/>
    <w:rsid w:val="00BC5A2A"/>
    <w:rsid w:val="00BC5D85"/>
    <w:rsid w:val="00BC641D"/>
    <w:rsid w:val="00BC64A7"/>
    <w:rsid w:val="00BC6B82"/>
    <w:rsid w:val="00BC6F54"/>
    <w:rsid w:val="00BC72B3"/>
    <w:rsid w:val="00BC7B89"/>
    <w:rsid w:val="00BD07A8"/>
    <w:rsid w:val="00BD07EB"/>
    <w:rsid w:val="00BD0924"/>
    <w:rsid w:val="00BD117F"/>
    <w:rsid w:val="00BD1799"/>
    <w:rsid w:val="00BD2031"/>
    <w:rsid w:val="00BD2DAA"/>
    <w:rsid w:val="00BD34FB"/>
    <w:rsid w:val="00BD3D3D"/>
    <w:rsid w:val="00BD40E4"/>
    <w:rsid w:val="00BD453C"/>
    <w:rsid w:val="00BD4B6B"/>
    <w:rsid w:val="00BD662F"/>
    <w:rsid w:val="00BD676A"/>
    <w:rsid w:val="00BD6E9C"/>
    <w:rsid w:val="00BD7084"/>
    <w:rsid w:val="00BD7909"/>
    <w:rsid w:val="00BE006C"/>
    <w:rsid w:val="00BE0DE3"/>
    <w:rsid w:val="00BE0DFA"/>
    <w:rsid w:val="00BE1751"/>
    <w:rsid w:val="00BE18F3"/>
    <w:rsid w:val="00BE1F7A"/>
    <w:rsid w:val="00BE2088"/>
    <w:rsid w:val="00BE241E"/>
    <w:rsid w:val="00BE2D6A"/>
    <w:rsid w:val="00BE3422"/>
    <w:rsid w:val="00BE3980"/>
    <w:rsid w:val="00BE39BD"/>
    <w:rsid w:val="00BE417F"/>
    <w:rsid w:val="00BE50D7"/>
    <w:rsid w:val="00BE5A01"/>
    <w:rsid w:val="00BE5A39"/>
    <w:rsid w:val="00BE61BC"/>
    <w:rsid w:val="00BE61D0"/>
    <w:rsid w:val="00BE650B"/>
    <w:rsid w:val="00BE673B"/>
    <w:rsid w:val="00BE68D1"/>
    <w:rsid w:val="00BE6AFF"/>
    <w:rsid w:val="00BE705D"/>
    <w:rsid w:val="00BE73EB"/>
    <w:rsid w:val="00BF028E"/>
    <w:rsid w:val="00BF054A"/>
    <w:rsid w:val="00BF0DE4"/>
    <w:rsid w:val="00BF108C"/>
    <w:rsid w:val="00BF1529"/>
    <w:rsid w:val="00BF1CF8"/>
    <w:rsid w:val="00BF2503"/>
    <w:rsid w:val="00BF2658"/>
    <w:rsid w:val="00BF2B9F"/>
    <w:rsid w:val="00BF2CDF"/>
    <w:rsid w:val="00BF2D27"/>
    <w:rsid w:val="00BF434F"/>
    <w:rsid w:val="00BF4793"/>
    <w:rsid w:val="00BF4A5E"/>
    <w:rsid w:val="00BF4B31"/>
    <w:rsid w:val="00BF5347"/>
    <w:rsid w:val="00BF596D"/>
    <w:rsid w:val="00BF59DA"/>
    <w:rsid w:val="00BF5C28"/>
    <w:rsid w:val="00BF5F6F"/>
    <w:rsid w:val="00BF7193"/>
    <w:rsid w:val="00BF72D1"/>
    <w:rsid w:val="00BF7514"/>
    <w:rsid w:val="00BF7B6E"/>
    <w:rsid w:val="00BF7B72"/>
    <w:rsid w:val="00BF7D6C"/>
    <w:rsid w:val="00BF7E8A"/>
    <w:rsid w:val="00C002AF"/>
    <w:rsid w:val="00C00AB4"/>
    <w:rsid w:val="00C00BFF"/>
    <w:rsid w:val="00C00D8C"/>
    <w:rsid w:val="00C010CD"/>
    <w:rsid w:val="00C013BB"/>
    <w:rsid w:val="00C01BA6"/>
    <w:rsid w:val="00C023F7"/>
    <w:rsid w:val="00C02613"/>
    <w:rsid w:val="00C036E8"/>
    <w:rsid w:val="00C03BAF"/>
    <w:rsid w:val="00C0412D"/>
    <w:rsid w:val="00C04576"/>
    <w:rsid w:val="00C048A4"/>
    <w:rsid w:val="00C04F43"/>
    <w:rsid w:val="00C0538A"/>
    <w:rsid w:val="00C05574"/>
    <w:rsid w:val="00C0562B"/>
    <w:rsid w:val="00C057E9"/>
    <w:rsid w:val="00C0647A"/>
    <w:rsid w:val="00C0677D"/>
    <w:rsid w:val="00C06AA7"/>
    <w:rsid w:val="00C06E3D"/>
    <w:rsid w:val="00C071C7"/>
    <w:rsid w:val="00C079F1"/>
    <w:rsid w:val="00C10C59"/>
    <w:rsid w:val="00C10E48"/>
    <w:rsid w:val="00C1146B"/>
    <w:rsid w:val="00C121BE"/>
    <w:rsid w:val="00C1276F"/>
    <w:rsid w:val="00C128CD"/>
    <w:rsid w:val="00C12AF0"/>
    <w:rsid w:val="00C13608"/>
    <w:rsid w:val="00C1364F"/>
    <w:rsid w:val="00C137A6"/>
    <w:rsid w:val="00C14327"/>
    <w:rsid w:val="00C14821"/>
    <w:rsid w:val="00C148F8"/>
    <w:rsid w:val="00C14990"/>
    <w:rsid w:val="00C14D02"/>
    <w:rsid w:val="00C157E4"/>
    <w:rsid w:val="00C15A94"/>
    <w:rsid w:val="00C15E02"/>
    <w:rsid w:val="00C16104"/>
    <w:rsid w:val="00C16471"/>
    <w:rsid w:val="00C16953"/>
    <w:rsid w:val="00C16DA4"/>
    <w:rsid w:val="00C170F1"/>
    <w:rsid w:val="00C17424"/>
    <w:rsid w:val="00C1761C"/>
    <w:rsid w:val="00C17D2C"/>
    <w:rsid w:val="00C20271"/>
    <w:rsid w:val="00C20904"/>
    <w:rsid w:val="00C2099B"/>
    <w:rsid w:val="00C20D9D"/>
    <w:rsid w:val="00C2213F"/>
    <w:rsid w:val="00C2244A"/>
    <w:rsid w:val="00C238B9"/>
    <w:rsid w:val="00C239AF"/>
    <w:rsid w:val="00C23FA2"/>
    <w:rsid w:val="00C25056"/>
    <w:rsid w:val="00C25397"/>
    <w:rsid w:val="00C255F9"/>
    <w:rsid w:val="00C25E74"/>
    <w:rsid w:val="00C26928"/>
    <w:rsid w:val="00C26E0C"/>
    <w:rsid w:val="00C2776E"/>
    <w:rsid w:val="00C27D15"/>
    <w:rsid w:val="00C3006E"/>
    <w:rsid w:val="00C30CBB"/>
    <w:rsid w:val="00C316C6"/>
    <w:rsid w:val="00C31B63"/>
    <w:rsid w:val="00C332EF"/>
    <w:rsid w:val="00C33416"/>
    <w:rsid w:val="00C345F2"/>
    <w:rsid w:val="00C34C04"/>
    <w:rsid w:val="00C3505C"/>
    <w:rsid w:val="00C35743"/>
    <w:rsid w:val="00C368B6"/>
    <w:rsid w:val="00C369A3"/>
    <w:rsid w:val="00C373EA"/>
    <w:rsid w:val="00C4116E"/>
    <w:rsid w:val="00C421C8"/>
    <w:rsid w:val="00C4299E"/>
    <w:rsid w:val="00C4328D"/>
    <w:rsid w:val="00C432C6"/>
    <w:rsid w:val="00C43660"/>
    <w:rsid w:val="00C43DB0"/>
    <w:rsid w:val="00C44488"/>
    <w:rsid w:val="00C45216"/>
    <w:rsid w:val="00C45539"/>
    <w:rsid w:val="00C45E1D"/>
    <w:rsid w:val="00C45EAB"/>
    <w:rsid w:val="00C46184"/>
    <w:rsid w:val="00C46458"/>
    <w:rsid w:val="00C46786"/>
    <w:rsid w:val="00C46D6A"/>
    <w:rsid w:val="00C4730C"/>
    <w:rsid w:val="00C500D9"/>
    <w:rsid w:val="00C50FC8"/>
    <w:rsid w:val="00C51E5E"/>
    <w:rsid w:val="00C51F52"/>
    <w:rsid w:val="00C51FD3"/>
    <w:rsid w:val="00C52248"/>
    <w:rsid w:val="00C526DC"/>
    <w:rsid w:val="00C52FB9"/>
    <w:rsid w:val="00C531B8"/>
    <w:rsid w:val="00C53439"/>
    <w:rsid w:val="00C53D5B"/>
    <w:rsid w:val="00C542AC"/>
    <w:rsid w:val="00C552E1"/>
    <w:rsid w:val="00C5543A"/>
    <w:rsid w:val="00C55DD6"/>
    <w:rsid w:val="00C56635"/>
    <w:rsid w:val="00C56804"/>
    <w:rsid w:val="00C56B15"/>
    <w:rsid w:val="00C56FE4"/>
    <w:rsid w:val="00C57C0A"/>
    <w:rsid w:val="00C60181"/>
    <w:rsid w:val="00C60412"/>
    <w:rsid w:val="00C60A61"/>
    <w:rsid w:val="00C6100A"/>
    <w:rsid w:val="00C6109E"/>
    <w:rsid w:val="00C61393"/>
    <w:rsid w:val="00C61402"/>
    <w:rsid w:val="00C6151B"/>
    <w:rsid w:val="00C61992"/>
    <w:rsid w:val="00C627FD"/>
    <w:rsid w:val="00C62E53"/>
    <w:rsid w:val="00C630C2"/>
    <w:rsid w:val="00C63A08"/>
    <w:rsid w:val="00C6409F"/>
    <w:rsid w:val="00C641D7"/>
    <w:rsid w:val="00C64B90"/>
    <w:rsid w:val="00C65251"/>
    <w:rsid w:val="00C6541D"/>
    <w:rsid w:val="00C66E1D"/>
    <w:rsid w:val="00C674E0"/>
    <w:rsid w:val="00C67CE4"/>
    <w:rsid w:val="00C702E8"/>
    <w:rsid w:val="00C70E3B"/>
    <w:rsid w:val="00C7211B"/>
    <w:rsid w:val="00C72339"/>
    <w:rsid w:val="00C72A36"/>
    <w:rsid w:val="00C72E20"/>
    <w:rsid w:val="00C72F4C"/>
    <w:rsid w:val="00C73632"/>
    <w:rsid w:val="00C73688"/>
    <w:rsid w:val="00C741E1"/>
    <w:rsid w:val="00C742BA"/>
    <w:rsid w:val="00C747F1"/>
    <w:rsid w:val="00C74D6D"/>
    <w:rsid w:val="00C76403"/>
    <w:rsid w:val="00C769B5"/>
    <w:rsid w:val="00C775CC"/>
    <w:rsid w:val="00C7792B"/>
    <w:rsid w:val="00C80199"/>
    <w:rsid w:val="00C8022C"/>
    <w:rsid w:val="00C807CE"/>
    <w:rsid w:val="00C81995"/>
    <w:rsid w:val="00C8227D"/>
    <w:rsid w:val="00C82DB7"/>
    <w:rsid w:val="00C83481"/>
    <w:rsid w:val="00C8429D"/>
    <w:rsid w:val="00C84E43"/>
    <w:rsid w:val="00C8502A"/>
    <w:rsid w:val="00C85570"/>
    <w:rsid w:val="00C8564F"/>
    <w:rsid w:val="00C85E92"/>
    <w:rsid w:val="00C85FCC"/>
    <w:rsid w:val="00C865EC"/>
    <w:rsid w:val="00C869DD"/>
    <w:rsid w:val="00C86BB6"/>
    <w:rsid w:val="00C903C2"/>
    <w:rsid w:val="00C90B8C"/>
    <w:rsid w:val="00C91373"/>
    <w:rsid w:val="00C91A65"/>
    <w:rsid w:val="00C91E28"/>
    <w:rsid w:val="00C92621"/>
    <w:rsid w:val="00C927DD"/>
    <w:rsid w:val="00C934A5"/>
    <w:rsid w:val="00C9392B"/>
    <w:rsid w:val="00C93B7B"/>
    <w:rsid w:val="00C94CB7"/>
    <w:rsid w:val="00C95283"/>
    <w:rsid w:val="00C952D3"/>
    <w:rsid w:val="00C956F4"/>
    <w:rsid w:val="00C957D4"/>
    <w:rsid w:val="00C958AA"/>
    <w:rsid w:val="00C9652E"/>
    <w:rsid w:val="00C96B43"/>
    <w:rsid w:val="00C9716F"/>
    <w:rsid w:val="00C973C8"/>
    <w:rsid w:val="00C9796C"/>
    <w:rsid w:val="00C97D67"/>
    <w:rsid w:val="00CA06F8"/>
    <w:rsid w:val="00CA09E6"/>
    <w:rsid w:val="00CA162B"/>
    <w:rsid w:val="00CA190C"/>
    <w:rsid w:val="00CA1C76"/>
    <w:rsid w:val="00CA1F05"/>
    <w:rsid w:val="00CA20F5"/>
    <w:rsid w:val="00CA23CF"/>
    <w:rsid w:val="00CA260F"/>
    <w:rsid w:val="00CA3104"/>
    <w:rsid w:val="00CA4879"/>
    <w:rsid w:val="00CA4E78"/>
    <w:rsid w:val="00CA5601"/>
    <w:rsid w:val="00CA5A1F"/>
    <w:rsid w:val="00CA5A98"/>
    <w:rsid w:val="00CA6696"/>
    <w:rsid w:val="00CA66A9"/>
    <w:rsid w:val="00CA6825"/>
    <w:rsid w:val="00CA691B"/>
    <w:rsid w:val="00CA6C4C"/>
    <w:rsid w:val="00CA6FAF"/>
    <w:rsid w:val="00CA70A9"/>
    <w:rsid w:val="00CA73DF"/>
    <w:rsid w:val="00CA7407"/>
    <w:rsid w:val="00CB05C4"/>
    <w:rsid w:val="00CB0AF7"/>
    <w:rsid w:val="00CB0B89"/>
    <w:rsid w:val="00CB0BBF"/>
    <w:rsid w:val="00CB0EF5"/>
    <w:rsid w:val="00CB146E"/>
    <w:rsid w:val="00CB1481"/>
    <w:rsid w:val="00CB1870"/>
    <w:rsid w:val="00CB2464"/>
    <w:rsid w:val="00CB25CC"/>
    <w:rsid w:val="00CB3148"/>
    <w:rsid w:val="00CB3A58"/>
    <w:rsid w:val="00CB3B1D"/>
    <w:rsid w:val="00CB5591"/>
    <w:rsid w:val="00CB590B"/>
    <w:rsid w:val="00CB67EC"/>
    <w:rsid w:val="00CB6F19"/>
    <w:rsid w:val="00CB7684"/>
    <w:rsid w:val="00CC0846"/>
    <w:rsid w:val="00CC0F99"/>
    <w:rsid w:val="00CC13E3"/>
    <w:rsid w:val="00CC1856"/>
    <w:rsid w:val="00CC2139"/>
    <w:rsid w:val="00CC2798"/>
    <w:rsid w:val="00CC2889"/>
    <w:rsid w:val="00CC2DB9"/>
    <w:rsid w:val="00CC2E5C"/>
    <w:rsid w:val="00CC318B"/>
    <w:rsid w:val="00CC3EC2"/>
    <w:rsid w:val="00CC3FA7"/>
    <w:rsid w:val="00CC516E"/>
    <w:rsid w:val="00CC59E6"/>
    <w:rsid w:val="00CC61B8"/>
    <w:rsid w:val="00CC6226"/>
    <w:rsid w:val="00CC6495"/>
    <w:rsid w:val="00CC691A"/>
    <w:rsid w:val="00CC6D06"/>
    <w:rsid w:val="00CC733D"/>
    <w:rsid w:val="00CC7732"/>
    <w:rsid w:val="00CC791D"/>
    <w:rsid w:val="00CC7AB8"/>
    <w:rsid w:val="00CC7FDB"/>
    <w:rsid w:val="00CD0620"/>
    <w:rsid w:val="00CD0E0E"/>
    <w:rsid w:val="00CD162C"/>
    <w:rsid w:val="00CD1BAF"/>
    <w:rsid w:val="00CD1F4F"/>
    <w:rsid w:val="00CD2DE6"/>
    <w:rsid w:val="00CD3835"/>
    <w:rsid w:val="00CD3A1B"/>
    <w:rsid w:val="00CD44DE"/>
    <w:rsid w:val="00CD48D8"/>
    <w:rsid w:val="00CD4CD4"/>
    <w:rsid w:val="00CD4DD3"/>
    <w:rsid w:val="00CD582B"/>
    <w:rsid w:val="00CD5FA6"/>
    <w:rsid w:val="00CD5FCE"/>
    <w:rsid w:val="00CD633D"/>
    <w:rsid w:val="00CD6CEA"/>
    <w:rsid w:val="00CD6E61"/>
    <w:rsid w:val="00CD72EF"/>
    <w:rsid w:val="00CD7543"/>
    <w:rsid w:val="00CD7704"/>
    <w:rsid w:val="00CD7EF3"/>
    <w:rsid w:val="00CE0058"/>
    <w:rsid w:val="00CE00F6"/>
    <w:rsid w:val="00CE041C"/>
    <w:rsid w:val="00CE0702"/>
    <w:rsid w:val="00CE0AAF"/>
    <w:rsid w:val="00CE14AA"/>
    <w:rsid w:val="00CE1CBD"/>
    <w:rsid w:val="00CE1DDD"/>
    <w:rsid w:val="00CE1E43"/>
    <w:rsid w:val="00CE2322"/>
    <w:rsid w:val="00CE2E7C"/>
    <w:rsid w:val="00CE35E9"/>
    <w:rsid w:val="00CE3A93"/>
    <w:rsid w:val="00CE4544"/>
    <w:rsid w:val="00CE4F48"/>
    <w:rsid w:val="00CE522D"/>
    <w:rsid w:val="00CE585A"/>
    <w:rsid w:val="00CE5E35"/>
    <w:rsid w:val="00CE6404"/>
    <w:rsid w:val="00CE7206"/>
    <w:rsid w:val="00CE762B"/>
    <w:rsid w:val="00CE7C88"/>
    <w:rsid w:val="00CE7E92"/>
    <w:rsid w:val="00CF0232"/>
    <w:rsid w:val="00CF042C"/>
    <w:rsid w:val="00CF090A"/>
    <w:rsid w:val="00CF11BC"/>
    <w:rsid w:val="00CF1860"/>
    <w:rsid w:val="00CF1910"/>
    <w:rsid w:val="00CF1F5A"/>
    <w:rsid w:val="00CF256D"/>
    <w:rsid w:val="00CF25FE"/>
    <w:rsid w:val="00CF26AC"/>
    <w:rsid w:val="00CF2998"/>
    <w:rsid w:val="00CF2DCA"/>
    <w:rsid w:val="00CF33E7"/>
    <w:rsid w:val="00CF352D"/>
    <w:rsid w:val="00CF3D9A"/>
    <w:rsid w:val="00CF4AA4"/>
    <w:rsid w:val="00CF4B0A"/>
    <w:rsid w:val="00CF5C23"/>
    <w:rsid w:val="00CF6FA3"/>
    <w:rsid w:val="00CF7105"/>
    <w:rsid w:val="00CF72AD"/>
    <w:rsid w:val="00CF7435"/>
    <w:rsid w:val="00CF758A"/>
    <w:rsid w:val="00CF7A77"/>
    <w:rsid w:val="00CF7C7D"/>
    <w:rsid w:val="00CF7E84"/>
    <w:rsid w:val="00D000A2"/>
    <w:rsid w:val="00D00270"/>
    <w:rsid w:val="00D008F5"/>
    <w:rsid w:val="00D00D64"/>
    <w:rsid w:val="00D01175"/>
    <w:rsid w:val="00D01276"/>
    <w:rsid w:val="00D01871"/>
    <w:rsid w:val="00D01C9C"/>
    <w:rsid w:val="00D01D9E"/>
    <w:rsid w:val="00D01F6A"/>
    <w:rsid w:val="00D023E9"/>
    <w:rsid w:val="00D02C33"/>
    <w:rsid w:val="00D02C86"/>
    <w:rsid w:val="00D03633"/>
    <w:rsid w:val="00D0377B"/>
    <w:rsid w:val="00D0444D"/>
    <w:rsid w:val="00D05539"/>
    <w:rsid w:val="00D05870"/>
    <w:rsid w:val="00D0591B"/>
    <w:rsid w:val="00D05D37"/>
    <w:rsid w:val="00D05ED2"/>
    <w:rsid w:val="00D0663E"/>
    <w:rsid w:val="00D0764E"/>
    <w:rsid w:val="00D1028A"/>
    <w:rsid w:val="00D102EC"/>
    <w:rsid w:val="00D10487"/>
    <w:rsid w:val="00D10671"/>
    <w:rsid w:val="00D10818"/>
    <w:rsid w:val="00D122D4"/>
    <w:rsid w:val="00D124A2"/>
    <w:rsid w:val="00D12C58"/>
    <w:rsid w:val="00D130AC"/>
    <w:rsid w:val="00D132A2"/>
    <w:rsid w:val="00D13A0D"/>
    <w:rsid w:val="00D13EA7"/>
    <w:rsid w:val="00D13F91"/>
    <w:rsid w:val="00D140F0"/>
    <w:rsid w:val="00D15018"/>
    <w:rsid w:val="00D1504B"/>
    <w:rsid w:val="00D1504F"/>
    <w:rsid w:val="00D16201"/>
    <w:rsid w:val="00D16291"/>
    <w:rsid w:val="00D1629B"/>
    <w:rsid w:val="00D16775"/>
    <w:rsid w:val="00D16DBE"/>
    <w:rsid w:val="00D16FB6"/>
    <w:rsid w:val="00D17513"/>
    <w:rsid w:val="00D177A3"/>
    <w:rsid w:val="00D202FA"/>
    <w:rsid w:val="00D20E32"/>
    <w:rsid w:val="00D210BD"/>
    <w:rsid w:val="00D21103"/>
    <w:rsid w:val="00D2131D"/>
    <w:rsid w:val="00D22E7B"/>
    <w:rsid w:val="00D2341C"/>
    <w:rsid w:val="00D23BAC"/>
    <w:rsid w:val="00D24805"/>
    <w:rsid w:val="00D24A32"/>
    <w:rsid w:val="00D24B13"/>
    <w:rsid w:val="00D24F6F"/>
    <w:rsid w:val="00D25B49"/>
    <w:rsid w:val="00D2602F"/>
    <w:rsid w:val="00D26A23"/>
    <w:rsid w:val="00D26A51"/>
    <w:rsid w:val="00D26D64"/>
    <w:rsid w:val="00D26F87"/>
    <w:rsid w:val="00D2725C"/>
    <w:rsid w:val="00D27C0B"/>
    <w:rsid w:val="00D27FD5"/>
    <w:rsid w:val="00D30C87"/>
    <w:rsid w:val="00D30E90"/>
    <w:rsid w:val="00D31679"/>
    <w:rsid w:val="00D33110"/>
    <w:rsid w:val="00D33FEE"/>
    <w:rsid w:val="00D3430A"/>
    <w:rsid w:val="00D34FF8"/>
    <w:rsid w:val="00D35709"/>
    <w:rsid w:val="00D35B0E"/>
    <w:rsid w:val="00D374E1"/>
    <w:rsid w:val="00D3757B"/>
    <w:rsid w:val="00D378D0"/>
    <w:rsid w:val="00D37B33"/>
    <w:rsid w:val="00D37E87"/>
    <w:rsid w:val="00D40464"/>
    <w:rsid w:val="00D407CB"/>
    <w:rsid w:val="00D40A8F"/>
    <w:rsid w:val="00D40B27"/>
    <w:rsid w:val="00D41665"/>
    <w:rsid w:val="00D41990"/>
    <w:rsid w:val="00D41C90"/>
    <w:rsid w:val="00D41F84"/>
    <w:rsid w:val="00D42575"/>
    <w:rsid w:val="00D4280F"/>
    <w:rsid w:val="00D430AB"/>
    <w:rsid w:val="00D430C4"/>
    <w:rsid w:val="00D430E5"/>
    <w:rsid w:val="00D43CFD"/>
    <w:rsid w:val="00D43E09"/>
    <w:rsid w:val="00D43FC4"/>
    <w:rsid w:val="00D452D1"/>
    <w:rsid w:val="00D45656"/>
    <w:rsid w:val="00D45AD4"/>
    <w:rsid w:val="00D45EE1"/>
    <w:rsid w:val="00D45EFE"/>
    <w:rsid w:val="00D462E3"/>
    <w:rsid w:val="00D46AEB"/>
    <w:rsid w:val="00D46EBA"/>
    <w:rsid w:val="00D46FB4"/>
    <w:rsid w:val="00D47A12"/>
    <w:rsid w:val="00D5168A"/>
    <w:rsid w:val="00D51ECE"/>
    <w:rsid w:val="00D5272E"/>
    <w:rsid w:val="00D53155"/>
    <w:rsid w:val="00D54A3C"/>
    <w:rsid w:val="00D55018"/>
    <w:rsid w:val="00D551E2"/>
    <w:rsid w:val="00D552AC"/>
    <w:rsid w:val="00D55F76"/>
    <w:rsid w:val="00D55FC0"/>
    <w:rsid w:val="00D562F1"/>
    <w:rsid w:val="00D56341"/>
    <w:rsid w:val="00D56B51"/>
    <w:rsid w:val="00D57A20"/>
    <w:rsid w:val="00D57EFD"/>
    <w:rsid w:val="00D60118"/>
    <w:rsid w:val="00D60474"/>
    <w:rsid w:val="00D60D50"/>
    <w:rsid w:val="00D60DAC"/>
    <w:rsid w:val="00D60E0F"/>
    <w:rsid w:val="00D6147B"/>
    <w:rsid w:val="00D61682"/>
    <w:rsid w:val="00D61A7F"/>
    <w:rsid w:val="00D61AE8"/>
    <w:rsid w:val="00D61B81"/>
    <w:rsid w:val="00D6241A"/>
    <w:rsid w:val="00D626CE"/>
    <w:rsid w:val="00D62A6D"/>
    <w:rsid w:val="00D63560"/>
    <w:rsid w:val="00D636A7"/>
    <w:rsid w:val="00D64447"/>
    <w:rsid w:val="00D64CDC"/>
    <w:rsid w:val="00D65C7E"/>
    <w:rsid w:val="00D65DCD"/>
    <w:rsid w:val="00D660CA"/>
    <w:rsid w:val="00D675A0"/>
    <w:rsid w:val="00D6787C"/>
    <w:rsid w:val="00D71ED8"/>
    <w:rsid w:val="00D72458"/>
    <w:rsid w:val="00D72CD3"/>
    <w:rsid w:val="00D7336C"/>
    <w:rsid w:val="00D73638"/>
    <w:rsid w:val="00D73AFA"/>
    <w:rsid w:val="00D74335"/>
    <w:rsid w:val="00D74485"/>
    <w:rsid w:val="00D745E2"/>
    <w:rsid w:val="00D75355"/>
    <w:rsid w:val="00D7535D"/>
    <w:rsid w:val="00D758F8"/>
    <w:rsid w:val="00D766C5"/>
    <w:rsid w:val="00D76B92"/>
    <w:rsid w:val="00D76F2A"/>
    <w:rsid w:val="00D7779F"/>
    <w:rsid w:val="00D77D29"/>
    <w:rsid w:val="00D805C7"/>
    <w:rsid w:val="00D80B77"/>
    <w:rsid w:val="00D81267"/>
    <w:rsid w:val="00D812C7"/>
    <w:rsid w:val="00D812FC"/>
    <w:rsid w:val="00D8144C"/>
    <w:rsid w:val="00D81A72"/>
    <w:rsid w:val="00D81E4F"/>
    <w:rsid w:val="00D8276F"/>
    <w:rsid w:val="00D831AC"/>
    <w:rsid w:val="00D8352D"/>
    <w:rsid w:val="00D83DDF"/>
    <w:rsid w:val="00D83E82"/>
    <w:rsid w:val="00D840C9"/>
    <w:rsid w:val="00D84B4C"/>
    <w:rsid w:val="00D84F5A"/>
    <w:rsid w:val="00D85DF5"/>
    <w:rsid w:val="00D86009"/>
    <w:rsid w:val="00D86386"/>
    <w:rsid w:val="00D868FB"/>
    <w:rsid w:val="00D86B7C"/>
    <w:rsid w:val="00D907D5"/>
    <w:rsid w:val="00D90E34"/>
    <w:rsid w:val="00D91998"/>
    <w:rsid w:val="00D91D41"/>
    <w:rsid w:val="00D927FE"/>
    <w:rsid w:val="00D92DC7"/>
    <w:rsid w:val="00D93169"/>
    <w:rsid w:val="00D93234"/>
    <w:rsid w:val="00D932ED"/>
    <w:rsid w:val="00D9343B"/>
    <w:rsid w:val="00D93677"/>
    <w:rsid w:val="00D95F18"/>
    <w:rsid w:val="00D97ABB"/>
    <w:rsid w:val="00D97ACC"/>
    <w:rsid w:val="00DA045F"/>
    <w:rsid w:val="00DA0C9B"/>
    <w:rsid w:val="00DA0F3C"/>
    <w:rsid w:val="00DA12EA"/>
    <w:rsid w:val="00DA1435"/>
    <w:rsid w:val="00DA1FAD"/>
    <w:rsid w:val="00DA2BDB"/>
    <w:rsid w:val="00DA37A1"/>
    <w:rsid w:val="00DA493F"/>
    <w:rsid w:val="00DA578B"/>
    <w:rsid w:val="00DA58A1"/>
    <w:rsid w:val="00DA5A1A"/>
    <w:rsid w:val="00DA5F5A"/>
    <w:rsid w:val="00DA61D1"/>
    <w:rsid w:val="00DA6876"/>
    <w:rsid w:val="00DA79AC"/>
    <w:rsid w:val="00DA7B82"/>
    <w:rsid w:val="00DB045D"/>
    <w:rsid w:val="00DB05E0"/>
    <w:rsid w:val="00DB0A11"/>
    <w:rsid w:val="00DB29D1"/>
    <w:rsid w:val="00DB33C2"/>
    <w:rsid w:val="00DB42FE"/>
    <w:rsid w:val="00DB6361"/>
    <w:rsid w:val="00DB6B99"/>
    <w:rsid w:val="00DB6F99"/>
    <w:rsid w:val="00DB763E"/>
    <w:rsid w:val="00DC0A10"/>
    <w:rsid w:val="00DC0EDF"/>
    <w:rsid w:val="00DC14D6"/>
    <w:rsid w:val="00DC15E5"/>
    <w:rsid w:val="00DC1666"/>
    <w:rsid w:val="00DC289C"/>
    <w:rsid w:val="00DC2CD8"/>
    <w:rsid w:val="00DC3070"/>
    <w:rsid w:val="00DC3868"/>
    <w:rsid w:val="00DC4365"/>
    <w:rsid w:val="00DC48A6"/>
    <w:rsid w:val="00DC493E"/>
    <w:rsid w:val="00DC4B37"/>
    <w:rsid w:val="00DC517D"/>
    <w:rsid w:val="00DC553C"/>
    <w:rsid w:val="00DC565C"/>
    <w:rsid w:val="00DC56B9"/>
    <w:rsid w:val="00DC6619"/>
    <w:rsid w:val="00DC6A14"/>
    <w:rsid w:val="00DC6E15"/>
    <w:rsid w:val="00DC7280"/>
    <w:rsid w:val="00DC73C1"/>
    <w:rsid w:val="00DC7D5B"/>
    <w:rsid w:val="00DD15B4"/>
    <w:rsid w:val="00DD1725"/>
    <w:rsid w:val="00DD1B9A"/>
    <w:rsid w:val="00DD1D40"/>
    <w:rsid w:val="00DD2163"/>
    <w:rsid w:val="00DD2357"/>
    <w:rsid w:val="00DD2998"/>
    <w:rsid w:val="00DD352A"/>
    <w:rsid w:val="00DD3D8C"/>
    <w:rsid w:val="00DD3FA4"/>
    <w:rsid w:val="00DD4126"/>
    <w:rsid w:val="00DD4168"/>
    <w:rsid w:val="00DD47B1"/>
    <w:rsid w:val="00DD5570"/>
    <w:rsid w:val="00DD5A54"/>
    <w:rsid w:val="00DD5B86"/>
    <w:rsid w:val="00DD6161"/>
    <w:rsid w:val="00DD659E"/>
    <w:rsid w:val="00DD6D60"/>
    <w:rsid w:val="00DD732C"/>
    <w:rsid w:val="00DD7522"/>
    <w:rsid w:val="00DD7605"/>
    <w:rsid w:val="00DD77B0"/>
    <w:rsid w:val="00DD7883"/>
    <w:rsid w:val="00DE02A2"/>
    <w:rsid w:val="00DE071A"/>
    <w:rsid w:val="00DE16D2"/>
    <w:rsid w:val="00DE27FF"/>
    <w:rsid w:val="00DE39F4"/>
    <w:rsid w:val="00DE4EF6"/>
    <w:rsid w:val="00DE5543"/>
    <w:rsid w:val="00DE5B77"/>
    <w:rsid w:val="00DE5D90"/>
    <w:rsid w:val="00DE62F6"/>
    <w:rsid w:val="00DE63E3"/>
    <w:rsid w:val="00DE6436"/>
    <w:rsid w:val="00DE660C"/>
    <w:rsid w:val="00DE7D23"/>
    <w:rsid w:val="00DF02A6"/>
    <w:rsid w:val="00DF052E"/>
    <w:rsid w:val="00DF05F0"/>
    <w:rsid w:val="00DF0A12"/>
    <w:rsid w:val="00DF0AA4"/>
    <w:rsid w:val="00DF1BE9"/>
    <w:rsid w:val="00DF1F15"/>
    <w:rsid w:val="00DF20B7"/>
    <w:rsid w:val="00DF25D0"/>
    <w:rsid w:val="00DF36A0"/>
    <w:rsid w:val="00DF3A77"/>
    <w:rsid w:val="00DF3B56"/>
    <w:rsid w:val="00DF3DDE"/>
    <w:rsid w:val="00DF3FAA"/>
    <w:rsid w:val="00DF4EE6"/>
    <w:rsid w:val="00DF5AE3"/>
    <w:rsid w:val="00DF670E"/>
    <w:rsid w:val="00DF6AAB"/>
    <w:rsid w:val="00DF7F8E"/>
    <w:rsid w:val="00E00644"/>
    <w:rsid w:val="00E0074E"/>
    <w:rsid w:val="00E01312"/>
    <w:rsid w:val="00E015E4"/>
    <w:rsid w:val="00E018B7"/>
    <w:rsid w:val="00E024FE"/>
    <w:rsid w:val="00E02AC2"/>
    <w:rsid w:val="00E02BF6"/>
    <w:rsid w:val="00E02D52"/>
    <w:rsid w:val="00E02F4A"/>
    <w:rsid w:val="00E035AB"/>
    <w:rsid w:val="00E037AE"/>
    <w:rsid w:val="00E037C3"/>
    <w:rsid w:val="00E04058"/>
    <w:rsid w:val="00E04311"/>
    <w:rsid w:val="00E047FE"/>
    <w:rsid w:val="00E0491F"/>
    <w:rsid w:val="00E04E4E"/>
    <w:rsid w:val="00E05A92"/>
    <w:rsid w:val="00E060DE"/>
    <w:rsid w:val="00E076F5"/>
    <w:rsid w:val="00E0793E"/>
    <w:rsid w:val="00E101C3"/>
    <w:rsid w:val="00E105EE"/>
    <w:rsid w:val="00E10D5C"/>
    <w:rsid w:val="00E11864"/>
    <w:rsid w:val="00E11940"/>
    <w:rsid w:val="00E11CBA"/>
    <w:rsid w:val="00E1235A"/>
    <w:rsid w:val="00E1281A"/>
    <w:rsid w:val="00E12886"/>
    <w:rsid w:val="00E12901"/>
    <w:rsid w:val="00E1297E"/>
    <w:rsid w:val="00E12A05"/>
    <w:rsid w:val="00E12C30"/>
    <w:rsid w:val="00E134CA"/>
    <w:rsid w:val="00E13EBA"/>
    <w:rsid w:val="00E145F1"/>
    <w:rsid w:val="00E15356"/>
    <w:rsid w:val="00E156FA"/>
    <w:rsid w:val="00E15763"/>
    <w:rsid w:val="00E15E88"/>
    <w:rsid w:val="00E1631A"/>
    <w:rsid w:val="00E1674D"/>
    <w:rsid w:val="00E16EE2"/>
    <w:rsid w:val="00E17224"/>
    <w:rsid w:val="00E17775"/>
    <w:rsid w:val="00E205E4"/>
    <w:rsid w:val="00E20AC2"/>
    <w:rsid w:val="00E21B25"/>
    <w:rsid w:val="00E21BA0"/>
    <w:rsid w:val="00E21E30"/>
    <w:rsid w:val="00E220A7"/>
    <w:rsid w:val="00E2215B"/>
    <w:rsid w:val="00E22DE2"/>
    <w:rsid w:val="00E230F8"/>
    <w:rsid w:val="00E2316B"/>
    <w:rsid w:val="00E233FE"/>
    <w:rsid w:val="00E237B7"/>
    <w:rsid w:val="00E238C3"/>
    <w:rsid w:val="00E238FB"/>
    <w:rsid w:val="00E23B5D"/>
    <w:rsid w:val="00E24410"/>
    <w:rsid w:val="00E24F47"/>
    <w:rsid w:val="00E250F8"/>
    <w:rsid w:val="00E258B0"/>
    <w:rsid w:val="00E25AE8"/>
    <w:rsid w:val="00E262C1"/>
    <w:rsid w:val="00E262EC"/>
    <w:rsid w:val="00E263A4"/>
    <w:rsid w:val="00E26CC2"/>
    <w:rsid w:val="00E27B3A"/>
    <w:rsid w:val="00E30138"/>
    <w:rsid w:val="00E30681"/>
    <w:rsid w:val="00E30EB3"/>
    <w:rsid w:val="00E30F2E"/>
    <w:rsid w:val="00E31065"/>
    <w:rsid w:val="00E3148E"/>
    <w:rsid w:val="00E3195B"/>
    <w:rsid w:val="00E31C48"/>
    <w:rsid w:val="00E322A1"/>
    <w:rsid w:val="00E32385"/>
    <w:rsid w:val="00E33574"/>
    <w:rsid w:val="00E33827"/>
    <w:rsid w:val="00E33F56"/>
    <w:rsid w:val="00E34397"/>
    <w:rsid w:val="00E3491C"/>
    <w:rsid w:val="00E34C85"/>
    <w:rsid w:val="00E358A7"/>
    <w:rsid w:val="00E36394"/>
    <w:rsid w:val="00E365DA"/>
    <w:rsid w:val="00E36E5F"/>
    <w:rsid w:val="00E37025"/>
    <w:rsid w:val="00E37067"/>
    <w:rsid w:val="00E37352"/>
    <w:rsid w:val="00E40DFE"/>
    <w:rsid w:val="00E42167"/>
    <w:rsid w:val="00E42693"/>
    <w:rsid w:val="00E427FE"/>
    <w:rsid w:val="00E435EF"/>
    <w:rsid w:val="00E4449B"/>
    <w:rsid w:val="00E44A01"/>
    <w:rsid w:val="00E44ABB"/>
    <w:rsid w:val="00E450E2"/>
    <w:rsid w:val="00E45CCF"/>
    <w:rsid w:val="00E479E2"/>
    <w:rsid w:val="00E501C3"/>
    <w:rsid w:val="00E508CB"/>
    <w:rsid w:val="00E50FA4"/>
    <w:rsid w:val="00E51552"/>
    <w:rsid w:val="00E523B8"/>
    <w:rsid w:val="00E5241C"/>
    <w:rsid w:val="00E524DA"/>
    <w:rsid w:val="00E5274D"/>
    <w:rsid w:val="00E52AF4"/>
    <w:rsid w:val="00E533FB"/>
    <w:rsid w:val="00E53996"/>
    <w:rsid w:val="00E53AEC"/>
    <w:rsid w:val="00E53B8A"/>
    <w:rsid w:val="00E54738"/>
    <w:rsid w:val="00E547B1"/>
    <w:rsid w:val="00E549D3"/>
    <w:rsid w:val="00E54B68"/>
    <w:rsid w:val="00E552CD"/>
    <w:rsid w:val="00E56C65"/>
    <w:rsid w:val="00E57F40"/>
    <w:rsid w:val="00E60EAE"/>
    <w:rsid w:val="00E6150D"/>
    <w:rsid w:val="00E618CE"/>
    <w:rsid w:val="00E61F02"/>
    <w:rsid w:val="00E61FF2"/>
    <w:rsid w:val="00E631BF"/>
    <w:rsid w:val="00E6340C"/>
    <w:rsid w:val="00E635C2"/>
    <w:rsid w:val="00E6365C"/>
    <w:rsid w:val="00E6384F"/>
    <w:rsid w:val="00E64180"/>
    <w:rsid w:val="00E64C32"/>
    <w:rsid w:val="00E65920"/>
    <w:rsid w:val="00E660E1"/>
    <w:rsid w:val="00E66157"/>
    <w:rsid w:val="00E66851"/>
    <w:rsid w:val="00E670B8"/>
    <w:rsid w:val="00E671BB"/>
    <w:rsid w:val="00E6723F"/>
    <w:rsid w:val="00E6776E"/>
    <w:rsid w:val="00E67F41"/>
    <w:rsid w:val="00E701F8"/>
    <w:rsid w:val="00E70ADD"/>
    <w:rsid w:val="00E70BC1"/>
    <w:rsid w:val="00E70E41"/>
    <w:rsid w:val="00E714F6"/>
    <w:rsid w:val="00E717A5"/>
    <w:rsid w:val="00E717D8"/>
    <w:rsid w:val="00E71CA4"/>
    <w:rsid w:val="00E7209E"/>
    <w:rsid w:val="00E73456"/>
    <w:rsid w:val="00E73AA3"/>
    <w:rsid w:val="00E7407F"/>
    <w:rsid w:val="00E741A5"/>
    <w:rsid w:val="00E74520"/>
    <w:rsid w:val="00E7468C"/>
    <w:rsid w:val="00E74E37"/>
    <w:rsid w:val="00E75DD2"/>
    <w:rsid w:val="00E76976"/>
    <w:rsid w:val="00E76BDC"/>
    <w:rsid w:val="00E76F55"/>
    <w:rsid w:val="00E76F73"/>
    <w:rsid w:val="00E7746A"/>
    <w:rsid w:val="00E77602"/>
    <w:rsid w:val="00E77673"/>
    <w:rsid w:val="00E77927"/>
    <w:rsid w:val="00E779E4"/>
    <w:rsid w:val="00E77DDB"/>
    <w:rsid w:val="00E77F6E"/>
    <w:rsid w:val="00E80186"/>
    <w:rsid w:val="00E810BF"/>
    <w:rsid w:val="00E810F4"/>
    <w:rsid w:val="00E8197B"/>
    <w:rsid w:val="00E8296B"/>
    <w:rsid w:val="00E82DD3"/>
    <w:rsid w:val="00E831E4"/>
    <w:rsid w:val="00E83BAC"/>
    <w:rsid w:val="00E83E7C"/>
    <w:rsid w:val="00E846A6"/>
    <w:rsid w:val="00E84F4A"/>
    <w:rsid w:val="00E85187"/>
    <w:rsid w:val="00E85C65"/>
    <w:rsid w:val="00E86380"/>
    <w:rsid w:val="00E863C0"/>
    <w:rsid w:val="00E867F4"/>
    <w:rsid w:val="00E8698B"/>
    <w:rsid w:val="00E86AEA"/>
    <w:rsid w:val="00E872A6"/>
    <w:rsid w:val="00E87C49"/>
    <w:rsid w:val="00E87CD0"/>
    <w:rsid w:val="00E87DC4"/>
    <w:rsid w:val="00E87FE2"/>
    <w:rsid w:val="00E90070"/>
    <w:rsid w:val="00E90BE3"/>
    <w:rsid w:val="00E90DC0"/>
    <w:rsid w:val="00E9112D"/>
    <w:rsid w:val="00E9135A"/>
    <w:rsid w:val="00E91866"/>
    <w:rsid w:val="00E91A9E"/>
    <w:rsid w:val="00E92200"/>
    <w:rsid w:val="00E9270E"/>
    <w:rsid w:val="00E931F9"/>
    <w:rsid w:val="00E936DF"/>
    <w:rsid w:val="00E939E7"/>
    <w:rsid w:val="00E93FF5"/>
    <w:rsid w:val="00E940D7"/>
    <w:rsid w:val="00E94288"/>
    <w:rsid w:val="00E94A4C"/>
    <w:rsid w:val="00E964FA"/>
    <w:rsid w:val="00E972FC"/>
    <w:rsid w:val="00E97317"/>
    <w:rsid w:val="00EA0584"/>
    <w:rsid w:val="00EA063A"/>
    <w:rsid w:val="00EA0AE5"/>
    <w:rsid w:val="00EA0FB4"/>
    <w:rsid w:val="00EA0FEF"/>
    <w:rsid w:val="00EA11EA"/>
    <w:rsid w:val="00EA14B6"/>
    <w:rsid w:val="00EA1646"/>
    <w:rsid w:val="00EA1B8E"/>
    <w:rsid w:val="00EA209B"/>
    <w:rsid w:val="00EA20A3"/>
    <w:rsid w:val="00EA20F1"/>
    <w:rsid w:val="00EA2734"/>
    <w:rsid w:val="00EA3186"/>
    <w:rsid w:val="00EA3826"/>
    <w:rsid w:val="00EA3B38"/>
    <w:rsid w:val="00EA3F97"/>
    <w:rsid w:val="00EA4066"/>
    <w:rsid w:val="00EA41D6"/>
    <w:rsid w:val="00EA44F0"/>
    <w:rsid w:val="00EA53D4"/>
    <w:rsid w:val="00EA5EA9"/>
    <w:rsid w:val="00EA6691"/>
    <w:rsid w:val="00EA67D1"/>
    <w:rsid w:val="00EA729E"/>
    <w:rsid w:val="00EA7A7A"/>
    <w:rsid w:val="00EB0095"/>
    <w:rsid w:val="00EB027F"/>
    <w:rsid w:val="00EB07D0"/>
    <w:rsid w:val="00EB19D1"/>
    <w:rsid w:val="00EB1BB5"/>
    <w:rsid w:val="00EB28EE"/>
    <w:rsid w:val="00EB3386"/>
    <w:rsid w:val="00EB3433"/>
    <w:rsid w:val="00EB45B7"/>
    <w:rsid w:val="00EB482E"/>
    <w:rsid w:val="00EB4872"/>
    <w:rsid w:val="00EB4D60"/>
    <w:rsid w:val="00EB5004"/>
    <w:rsid w:val="00EB5211"/>
    <w:rsid w:val="00EB54F7"/>
    <w:rsid w:val="00EB594A"/>
    <w:rsid w:val="00EB6445"/>
    <w:rsid w:val="00EB6910"/>
    <w:rsid w:val="00EB6F85"/>
    <w:rsid w:val="00EB7D8E"/>
    <w:rsid w:val="00EB7E3E"/>
    <w:rsid w:val="00EB7E94"/>
    <w:rsid w:val="00EC07A2"/>
    <w:rsid w:val="00EC13D0"/>
    <w:rsid w:val="00EC1D96"/>
    <w:rsid w:val="00EC2384"/>
    <w:rsid w:val="00EC2C4B"/>
    <w:rsid w:val="00EC2CD8"/>
    <w:rsid w:val="00EC3F20"/>
    <w:rsid w:val="00EC3F79"/>
    <w:rsid w:val="00EC4376"/>
    <w:rsid w:val="00EC4641"/>
    <w:rsid w:val="00EC46D0"/>
    <w:rsid w:val="00EC4B41"/>
    <w:rsid w:val="00EC4D7C"/>
    <w:rsid w:val="00EC53B7"/>
    <w:rsid w:val="00EC5523"/>
    <w:rsid w:val="00EC6100"/>
    <w:rsid w:val="00EC6F3C"/>
    <w:rsid w:val="00EC7227"/>
    <w:rsid w:val="00EC7343"/>
    <w:rsid w:val="00EC79F8"/>
    <w:rsid w:val="00ED02E5"/>
    <w:rsid w:val="00ED0709"/>
    <w:rsid w:val="00ED0994"/>
    <w:rsid w:val="00ED0A57"/>
    <w:rsid w:val="00ED21FF"/>
    <w:rsid w:val="00ED25C1"/>
    <w:rsid w:val="00ED26AD"/>
    <w:rsid w:val="00ED2DF2"/>
    <w:rsid w:val="00ED387A"/>
    <w:rsid w:val="00ED3D16"/>
    <w:rsid w:val="00ED40AF"/>
    <w:rsid w:val="00ED426F"/>
    <w:rsid w:val="00ED4C29"/>
    <w:rsid w:val="00ED5FCD"/>
    <w:rsid w:val="00ED6006"/>
    <w:rsid w:val="00ED685C"/>
    <w:rsid w:val="00ED6A49"/>
    <w:rsid w:val="00ED6EE8"/>
    <w:rsid w:val="00ED7744"/>
    <w:rsid w:val="00ED7BAD"/>
    <w:rsid w:val="00EE094E"/>
    <w:rsid w:val="00EE0B88"/>
    <w:rsid w:val="00EE0E3D"/>
    <w:rsid w:val="00EE1725"/>
    <w:rsid w:val="00EE1C35"/>
    <w:rsid w:val="00EE1F6C"/>
    <w:rsid w:val="00EE20D8"/>
    <w:rsid w:val="00EE210E"/>
    <w:rsid w:val="00EE2145"/>
    <w:rsid w:val="00EE25E5"/>
    <w:rsid w:val="00EE27A6"/>
    <w:rsid w:val="00EE315C"/>
    <w:rsid w:val="00EE3331"/>
    <w:rsid w:val="00EE33D5"/>
    <w:rsid w:val="00EE3D03"/>
    <w:rsid w:val="00EE3EC2"/>
    <w:rsid w:val="00EE4820"/>
    <w:rsid w:val="00EE4928"/>
    <w:rsid w:val="00EE51E0"/>
    <w:rsid w:val="00EE5886"/>
    <w:rsid w:val="00EE5C8A"/>
    <w:rsid w:val="00EE6BC0"/>
    <w:rsid w:val="00EE71E8"/>
    <w:rsid w:val="00EE7358"/>
    <w:rsid w:val="00EE7AA1"/>
    <w:rsid w:val="00EF006C"/>
    <w:rsid w:val="00EF0215"/>
    <w:rsid w:val="00EF0440"/>
    <w:rsid w:val="00EF06F9"/>
    <w:rsid w:val="00EF0DAD"/>
    <w:rsid w:val="00EF1410"/>
    <w:rsid w:val="00EF2113"/>
    <w:rsid w:val="00EF2A6E"/>
    <w:rsid w:val="00EF2CD3"/>
    <w:rsid w:val="00EF3698"/>
    <w:rsid w:val="00EF4691"/>
    <w:rsid w:val="00EF4A23"/>
    <w:rsid w:val="00EF5240"/>
    <w:rsid w:val="00EF54CE"/>
    <w:rsid w:val="00EF558A"/>
    <w:rsid w:val="00EF62F6"/>
    <w:rsid w:val="00EF6FB9"/>
    <w:rsid w:val="00EF7BE1"/>
    <w:rsid w:val="00F00F4D"/>
    <w:rsid w:val="00F01B4A"/>
    <w:rsid w:val="00F0296C"/>
    <w:rsid w:val="00F02BD2"/>
    <w:rsid w:val="00F02D3C"/>
    <w:rsid w:val="00F03754"/>
    <w:rsid w:val="00F03A1C"/>
    <w:rsid w:val="00F04228"/>
    <w:rsid w:val="00F047D9"/>
    <w:rsid w:val="00F05BCB"/>
    <w:rsid w:val="00F06131"/>
    <w:rsid w:val="00F0639D"/>
    <w:rsid w:val="00F0678A"/>
    <w:rsid w:val="00F06ABE"/>
    <w:rsid w:val="00F07C15"/>
    <w:rsid w:val="00F10260"/>
    <w:rsid w:val="00F105C8"/>
    <w:rsid w:val="00F10622"/>
    <w:rsid w:val="00F107A0"/>
    <w:rsid w:val="00F11915"/>
    <w:rsid w:val="00F11A2F"/>
    <w:rsid w:val="00F11B55"/>
    <w:rsid w:val="00F12660"/>
    <w:rsid w:val="00F12B88"/>
    <w:rsid w:val="00F13322"/>
    <w:rsid w:val="00F1465A"/>
    <w:rsid w:val="00F148C0"/>
    <w:rsid w:val="00F14B89"/>
    <w:rsid w:val="00F14D28"/>
    <w:rsid w:val="00F1527B"/>
    <w:rsid w:val="00F15716"/>
    <w:rsid w:val="00F15B49"/>
    <w:rsid w:val="00F15F8E"/>
    <w:rsid w:val="00F16633"/>
    <w:rsid w:val="00F166A6"/>
    <w:rsid w:val="00F16EB4"/>
    <w:rsid w:val="00F171C7"/>
    <w:rsid w:val="00F1726B"/>
    <w:rsid w:val="00F173DA"/>
    <w:rsid w:val="00F17AFE"/>
    <w:rsid w:val="00F200D6"/>
    <w:rsid w:val="00F208D0"/>
    <w:rsid w:val="00F213EE"/>
    <w:rsid w:val="00F21794"/>
    <w:rsid w:val="00F22630"/>
    <w:rsid w:val="00F23139"/>
    <w:rsid w:val="00F23A9B"/>
    <w:rsid w:val="00F24978"/>
    <w:rsid w:val="00F24E70"/>
    <w:rsid w:val="00F24FCB"/>
    <w:rsid w:val="00F25168"/>
    <w:rsid w:val="00F253B5"/>
    <w:rsid w:val="00F25520"/>
    <w:rsid w:val="00F25971"/>
    <w:rsid w:val="00F25B42"/>
    <w:rsid w:val="00F25BF2"/>
    <w:rsid w:val="00F26251"/>
    <w:rsid w:val="00F26947"/>
    <w:rsid w:val="00F26E4F"/>
    <w:rsid w:val="00F27182"/>
    <w:rsid w:val="00F3017C"/>
    <w:rsid w:val="00F30479"/>
    <w:rsid w:val="00F30B90"/>
    <w:rsid w:val="00F31414"/>
    <w:rsid w:val="00F3171C"/>
    <w:rsid w:val="00F329F1"/>
    <w:rsid w:val="00F32D0B"/>
    <w:rsid w:val="00F330FD"/>
    <w:rsid w:val="00F33342"/>
    <w:rsid w:val="00F33604"/>
    <w:rsid w:val="00F33871"/>
    <w:rsid w:val="00F33A3D"/>
    <w:rsid w:val="00F340AF"/>
    <w:rsid w:val="00F350DD"/>
    <w:rsid w:val="00F355C2"/>
    <w:rsid w:val="00F35770"/>
    <w:rsid w:val="00F35848"/>
    <w:rsid w:val="00F35E78"/>
    <w:rsid w:val="00F362CA"/>
    <w:rsid w:val="00F3754E"/>
    <w:rsid w:val="00F37E02"/>
    <w:rsid w:val="00F400E5"/>
    <w:rsid w:val="00F408D6"/>
    <w:rsid w:val="00F415B1"/>
    <w:rsid w:val="00F4165B"/>
    <w:rsid w:val="00F4168E"/>
    <w:rsid w:val="00F417C3"/>
    <w:rsid w:val="00F41857"/>
    <w:rsid w:val="00F41EA7"/>
    <w:rsid w:val="00F42AA2"/>
    <w:rsid w:val="00F43564"/>
    <w:rsid w:val="00F4420D"/>
    <w:rsid w:val="00F44222"/>
    <w:rsid w:val="00F4479E"/>
    <w:rsid w:val="00F44CA3"/>
    <w:rsid w:val="00F45304"/>
    <w:rsid w:val="00F466EF"/>
    <w:rsid w:val="00F47029"/>
    <w:rsid w:val="00F47982"/>
    <w:rsid w:val="00F47B8F"/>
    <w:rsid w:val="00F504E4"/>
    <w:rsid w:val="00F506AB"/>
    <w:rsid w:val="00F50F49"/>
    <w:rsid w:val="00F51EA8"/>
    <w:rsid w:val="00F521AE"/>
    <w:rsid w:val="00F530EC"/>
    <w:rsid w:val="00F53E01"/>
    <w:rsid w:val="00F53E7B"/>
    <w:rsid w:val="00F54BBF"/>
    <w:rsid w:val="00F55277"/>
    <w:rsid w:val="00F552D1"/>
    <w:rsid w:val="00F552F2"/>
    <w:rsid w:val="00F5573C"/>
    <w:rsid w:val="00F558ED"/>
    <w:rsid w:val="00F55DEB"/>
    <w:rsid w:val="00F55E1B"/>
    <w:rsid w:val="00F56E21"/>
    <w:rsid w:val="00F5777B"/>
    <w:rsid w:val="00F57B71"/>
    <w:rsid w:val="00F57E01"/>
    <w:rsid w:val="00F60EBC"/>
    <w:rsid w:val="00F61287"/>
    <w:rsid w:val="00F613AA"/>
    <w:rsid w:val="00F618A6"/>
    <w:rsid w:val="00F61EDE"/>
    <w:rsid w:val="00F62667"/>
    <w:rsid w:val="00F626FB"/>
    <w:rsid w:val="00F63167"/>
    <w:rsid w:val="00F63398"/>
    <w:rsid w:val="00F63902"/>
    <w:rsid w:val="00F63AD7"/>
    <w:rsid w:val="00F63D53"/>
    <w:rsid w:val="00F64232"/>
    <w:rsid w:val="00F64771"/>
    <w:rsid w:val="00F650AD"/>
    <w:rsid w:val="00F6536C"/>
    <w:rsid w:val="00F666D7"/>
    <w:rsid w:val="00F66AE9"/>
    <w:rsid w:val="00F677D0"/>
    <w:rsid w:val="00F7014B"/>
    <w:rsid w:val="00F71B15"/>
    <w:rsid w:val="00F72EB3"/>
    <w:rsid w:val="00F7311A"/>
    <w:rsid w:val="00F73546"/>
    <w:rsid w:val="00F74200"/>
    <w:rsid w:val="00F74306"/>
    <w:rsid w:val="00F74397"/>
    <w:rsid w:val="00F74BC6"/>
    <w:rsid w:val="00F75045"/>
    <w:rsid w:val="00F75CFE"/>
    <w:rsid w:val="00F7750F"/>
    <w:rsid w:val="00F777EB"/>
    <w:rsid w:val="00F80086"/>
    <w:rsid w:val="00F80151"/>
    <w:rsid w:val="00F80402"/>
    <w:rsid w:val="00F810C3"/>
    <w:rsid w:val="00F81AC0"/>
    <w:rsid w:val="00F81B27"/>
    <w:rsid w:val="00F81C62"/>
    <w:rsid w:val="00F82593"/>
    <w:rsid w:val="00F82E63"/>
    <w:rsid w:val="00F82F01"/>
    <w:rsid w:val="00F8310C"/>
    <w:rsid w:val="00F83322"/>
    <w:rsid w:val="00F83324"/>
    <w:rsid w:val="00F8467A"/>
    <w:rsid w:val="00F847F6"/>
    <w:rsid w:val="00F84CE1"/>
    <w:rsid w:val="00F85386"/>
    <w:rsid w:val="00F8632E"/>
    <w:rsid w:val="00F86506"/>
    <w:rsid w:val="00F868D0"/>
    <w:rsid w:val="00F872B0"/>
    <w:rsid w:val="00F87425"/>
    <w:rsid w:val="00F8763E"/>
    <w:rsid w:val="00F876C3"/>
    <w:rsid w:val="00F90548"/>
    <w:rsid w:val="00F91D2C"/>
    <w:rsid w:val="00F921E4"/>
    <w:rsid w:val="00F92303"/>
    <w:rsid w:val="00F93105"/>
    <w:rsid w:val="00F935E4"/>
    <w:rsid w:val="00F93BC8"/>
    <w:rsid w:val="00F940C0"/>
    <w:rsid w:val="00F94172"/>
    <w:rsid w:val="00F94C65"/>
    <w:rsid w:val="00F959D7"/>
    <w:rsid w:val="00F962F5"/>
    <w:rsid w:val="00F964AE"/>
    <w:rsid w:val="00F968AA"/>
    <w:rsid w:val="00F96CB2"/>
    <w:rsid w:val="00F96DDE"/>
    <w:rsid w:val="00F96E5C"/>
    <w:rsid w:val="00F970A4"/>
    <w:rsid w:val="00F9717D"/>
    <w:rsid w:val="00F972B4"/>
    <w:rsid w:val="00F97D3A"/>
    <w:rsid w:val="00F97E94"/>
    <w:rsid w:val="00FA0344"/>
    <w:rsid w:val="00FA07F7"/>
    <w:rsid w:val="00FA1064"/>
    <w:rsid w:val="00FA1269"/>
    <w:rsid w:val="00FA15F1"/>
    <w:rsid w:val="00FA16A2"/>
    <w:rsid w:val="00FA1A17"/>
    <w:rsid w:val="00FA1AC1"/>
    <w:rsid w:val="00FA1FF6"/>
    <w:rsid w:val="00FA20DE"/>
    <w:rsid w:val="00FA2285"/>
    <w:rsid w:val="00FA3BDF"/>
    <w:rsid w:val="00FA415F"/>
    <w:rsid w:val="00FA44CC"/>
    <w:rsid w:val="00FA4FF1"/>
    <w:rsid w:val="00FA5090"/>
    <w:rsid w:val="00FA5648"/>
    <w:rsid w:val="00FA5A3B"/>
    <w:rsid w:val="00FA62CA"/>
    <w:rsid w:val="00FA652A"/>
    <w:rsid w:val="00FA6E51"/>
    <w:rsid w:val="00FA74E2"/>
    <w:rsid w:val="00FB05A1"/>
    <w:rsid w:val="00FB0B98"/>
    <w:rsid w:val="00FB1511"/>
    <w:rsid w:val="00FB1EDB"/>
    <w:rsid w:val="00FB31F5"/>
    <w:rsid w:val="00FB35BB"/>
    <w:rsid w:val="00FB383D"/>
    <w:rsid w:val="00FB39F2"/>
    <w:rsid w:val="00FB3BC5"/>
    <w:rsid w:val="00FB4565"/>
    <w:rsid w:val="00FB47C6"/>
    <w:rsid w:val="00FB4BE1"/>
    <w:rsid w:val="00FB4D15"/>
    <w:rsid w:val="00FB4E50"/>
    <w:rsid w:val="00FB4F23"/>
    <w:rsid w:val="00FB520C"/>
    <w:rsid w:val="00FB5B01"/>
    <w:rsid w:val="00FB60A5"/>
    <w:rsid w:val="00FB7B2C"/>
    <w:rsid w:val="00FC02B0"/>
    <w:rsid w:val="00FC05E0"/>
    <w:rsid w:val="00FC0D15"/>
    <w:rsid w:val="00FC124D"/>
    <w:rsid w:val="00FC1914"/>
    <w:rsid w:val="00FC1DBE"/>
    <w:rsid w:val="00FC2127"/>
    <w:rsid w:val="00FC345D"/>
    <w:rsid w:val="00FC3502"/>
    <w:rsid w:val="00FC39C8"/>
    <w:rsid w:val="00FC45E9"/>
    <w:rsid w:val="00FC4A3B"/>
    <w:rsid w:val="00FC4D20"/>
    <w:rsid w:val="00FC5531"/>
    <w:rsid w:val="00FC5A1C"/>
    <w:rsid w:val="00FC5EF7"/>
    <w:rsid w:val="00FC732D"/>
    <w:rsid w:val="00FC74C9"/>
    <w:rsid w:val="00FD006E"/>
    <w:rsid w:val="00FD0169"/>
    <w:rsid w:val="00FD0B14"/>
    <w:rsid w:val="00FD1075"/>
    <w:rsid w:val="00FD1E62"/>
    <w:rsid w:val="00FD2999"/>
    <w:rsid w:val="00FD311A"/>
    <w:rsid w:val="00FD31D2"/>
    <w:rsid w:val="00FD4014"/>
    <w:rsid w:val="00FD567A"/>
    <w:rsid w:val="00FD5D4B"/>
    <w:rsid w:val="00FD6549"/>
    <w:rsid w:val="00FD679C"/>
    <w:rsid w:val="00FD6FF9"/>
    <w:rsid w:val="00FD7058"/>
    <w:rsid w:val="00FD75B5"/>
    <w:rsid w:val="00FD78EF"/>
    <w:rsid w:val="00FE0914"/>
    <w:rsid w:val="00FE231A"/>
    <w:rsid w:val="00FE231C"/>
    <w:rsid w:val="00FE28CD"/>
    <w:rsid w:val="00FE2A51"/>
    <w:rsid w:val="00FE2C07"/>
    <w:rsid w:val="00FE3265"/>
    <w:rsid w:val="00FE3884"/>
    <w:rsid w:val="00FE39C1"/>
    <w:rsid w:val="00FE4595"/>
    <w:rsid w:val="00FE4EB1"/>
    <w:rsid w:val="00FE50D4"/>
    <w:rsid w:val="00FE6086"/>
    <w:rsid w:val="00FE6180"/>
    <w:rsid w:val="00FE64D1"/>
    <w:rsid w:val="00FE6DC0"/>
    <w:rsid w:val="00FE78C9"/>
    <w:rsid w:val="00FE7D20"/>
    <w:rsid w:val="00FE7FE2"/>
    <w:rsid w:val="00FF0085"/>
    <w:rsid w:val="00FF09C7"/>
    <w:rsid w:val="00FF0FBE"/>
    <w:rsid w:val="00FF1024"/>
    <w:rsid w:val="00FF2748"/>
    <w:rsid w:val="00FF30AA"/>
    <w:rsid w:val="00FF31D5"/>
    <w:rsid w:val="00FF336A"/>
    <w:rsid w:val="00FF34F5"/>
    <w:rsid w:val="00FF3FEC"/>
    <w:rsid w:val="00FF475E"/>
    <w:rsid w:val="00FF48E4"/>
    <w:rsid w:val="00FF5644"/>
    <w:rsid w:val="00FF5E71"/>
    <w:rsid w:val="00FF6709"/>
    <w:rsid w:val="00FF7157"/>
    <w:rsid w:val="00FF78DE"/>
    <w:rsid w:val="00FF79D5"/>
    <w:rsid w:val="00FF7C7A"/>
    <w:rsid w:val="00FF7E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24360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paragraph" w:styleId="Heading4">
    <w:name w:val="heading 4"/>
    <w:basedOn w:val="Normal"/>
    <w:next w:val="Normal"/>
    <w:link w:val="Heading4Char"/>
    <w:uiPriority w:val="9"/>
    <w:unhideWhenUsed/>
    <w:qFormat/>
    <w:rsid w:val="0019629B"/>
    <w:pPr>
      <w:keepNext/>
      <w:keepLines/>
      <w:spacing w:before="40" w:after="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rsid w:val="00C33416"/>
    <w:rPr>
      <w:rFonts w:ascii="Arial" w:hAnsi="Arial"/>
      <w:sz w:val="20"/>
    </w:rPr>
  </w:style>
  <w:style w:type="character" w:styleId="FootnoteReference">
    <w:name w:val="footnote reference"/>
    <w:aliases w:val="4_G,Footnote number,Footnotes refss,Footnote,Stinking Styles"/>
    <w:basedOn w:val="DefaultParagraphFont"/>
    <w:unhideWhenUsed/>
    <w:qFormat/>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E33827"/>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5"/>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2"/>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styleId="UnresolvedMention">
    <w:name w:val="Unresolved Mention"/>
    <w:basedOn w:val="DefaultParagraphFont"/>
    <w:uiPriority w:val="99"/>
    <w:semiHidden/>
    <w:unhideWhenUsed/>
    <w:rsid w:val="006E2447"/>
    <w:rPr>
      <w:color w:val="605E5C"/>
      <w:shd w:val="clear" w:color="auto" w:fill="E1DFDD"/>
    </w:rPr>
  </w:style>
  <w:style w:type="paragraph" w:styleId="NormalWeb">
    <w:name w:val="Normal (Web)"/>
    <w:basedOn w:val="Normal"/>
    <w:uiPriority w:val="99"/>
    <w:semiHidden/>
    <w:unhideWhenUsed/>
    <w:rsid w:val="000F68A2"/>
    <w:pPr>
      <w:spacing w:before="100" w:beforeAutospacing="1" w:after="100" w:afterAutospacing="1"/>
    </w:pPr>
    <w:rPr>
      <w:rFonts w:ascii="Times New Roman" w:eastAsia="Times New Roman" w:hAnsi="Times New Roman" w:cs="Times New Roman"/>
      <w:color w:val="auto"/>
      <w:sz w:val="24"/>
      <w:lang w:eastAsia="zh-CN" w:bidi="th-TH"/>
    </w:rPr>
  </w:style>
  <w:style w:type="character" w:styleId="Strong">
    <w:name w:val="Strong"/>
    <w:basedOn w:val="DefaultParagraphFont"/>
    <w:uiPriority w:val="22"/>
    <w:qFormat/>
    <w:rsid w:val="000F68A2"/>
    <w:rPr>
      <w:b/>
      <w:bCs/>
    </w:rPr>
  </w:style>
  <w:style w:type="character" w:styleId="FollowedHyperlink">
    <w:name w:val="FollowedHyperlink"/>
    <w:basedOn w:val="DefaultParagraphFont"/>
    <w:uiPriority w:val="99"/>
    <w:semiHidden/>
    <w:unhideWhenUsed/>
    <w:rsid w:val="00E04311"/>
    <w:rPr>
      <w:color w:val="800080" w:themeColor="followedHyperlink"/>
      <w:u w:val="single"/>
    </w:rPr>
  </w:style>
  <w:style w:type="character" w:styleId="Emphasis">
    <w:name w:val="Emphasis"/>
    <w:basedOn w:val="DefaultParagraphFont"/>
    <w:uiPriority w:val="20"/>
    <w:qFormat/>
    <w:rsid w:val="00AA7E7F"/>
    <w:rPr>
      <w:i/>
      <w:iCs/>
    </w:rPr>
  </w:style>
  <w:style w:type="character" w:customStyle="1" w:styleId="Heading4Char">
    <w:name w:val="Heading 4 Char"/>
    <w:basedOn w:val="DefaultParagraphFont"/>
    <w:link w:val="Heading4"/>
    <w:uiPriority w:val="9"/>
    <w:rsid w:val="0019629B"/>
    <w:rPr>
      <w:rFonts w:ascii="Arial" w:eastAsiaTheme="majorEastAsia" w:hAnsi="Arial" w:cstheme="majorBidi"/>
      <w:i/>
      <w:iCs/>
      <w:color w:val="365F91" w:themeColor="accent1" w:themeShade="BF"/>
      <w:sz w:val="22"/>
      <w:lang w:val="en-AU"/>
    </w:rPr>
  </w:style>
  <w:style w:type="paragraph" w:customStyle="1" w:styleId="Default">
    <w:name w:val="Default"/>
    <w:rsid w:val="009572A0"/>
    <w:pPr>
      <w:autoSpaceDE w:val="0"/>
      <w:autoSpaceDN w:val="0"/>
      <w:adjustRightInd w:val="0"/>
    </w:pPr>
    <w:rPr>
      <w:rFonts w:ascii="Arial" w:eastAsiaTheme="minorHAnsi" w:hAnsi="Arial" w:cs="Arial"/>
      <w:color w:val="000000"/>
      <w:lang w:val="en-AU"/>
    </w:rPr>
  </w:style>
  <w:style w:type="paragraph" w:styleId="Revision">
    <w:name w:val="Revision"/>
    <w:hidden/>
    <w:uiPriority w:val="99"/>
    <w:semiHidden/>
    <w:rsid w:val="00747058"/>
    <w:rPr>
      <w:rFonts w:ascii="Arial" w:hAnsi="Arial"/>
      <w:color w:val="000000" w:themeColor="text1"/>
      <w:sz w:val="22"/>
      <w:lang w:val="en-AU"/>
    </w:rPr>
  </w:style>
  <w:style w:type="paragraph" w:customStyle="1" w:styleId="paragraph">
    <w:name w:val="paragraph"/>
    <w:basedOn w:val="Normal"/>
    <w:rsid w:val="0079652A"/>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79652A"/>
  </w:style>
  <w:style w:type="character" w:customStyle="1" w:styleId="eop">
    <w:name w:val="eop"/>
    <w:basedOn w:val="DefaultParagraphFont"/>
    <w:rsid w:val="0079652A"/>
  </w:style>
  <w:style w:type="character" w:styleId="Mention">
    <w:name w:val="Mention"/>
    <w:basedOn w:val="DefaultParagraphFont"/>
    <w:uiPriority w:val="99"/>
    <w:unhideWhenUsed/>
    <w:rsid w:val="00F96DDE"/>
    <w:rPr>
      <w:color w:val="2B579A"/>
      <w:shd w:val="clear" w:color="auto" w:fill="E1DFDD"/>
    </w:rPr>
  </w:style>
  <w:style w:type="paragraph" w:customStyle="1" w:styleId="SingleTxtG">
    <w:name w:val="_ Single Txt_G"/>
    <w:basedOn w:val="Normal"/>
    <w:qFormat/>
    <w:rsid w:val="00DA5A1A"/>
    <w:pPr>
      <w:tabs>
        <w:tab w:val="left" w:pos="1701"/>
        <w:tab w:val="left" w:pos="2268"/>
      </w:tabs>
      <w:suppressAutoHyphens/>
      <w:kinsoku w:val="0"/>
      <w:overflowPunct w:val="0"/>
      <w:autoSpaceDE w:val="0"/>
      <w:autoSpaceDN w:val="0"/>
      <w:adjustRightInd w:val="0"/>
      <w:snapToGrid w:val="0"/>
      <w:spacing w:line="240" w:lineRule="atLeast"/>
      <w:ind w:left="1134" w:right="1134"/>
      <w:jc w:val="both"/>
    </w:pPr>
    <w:rPr>
      <w:rFonts w:ascii="Times New Roman" w:eastAsiaTheme="minorHAnsi" w:hAnsi="Times New Roman" w:cs="Times New Roman"/>
      <w:color w:val="aut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39738">
      <w:bodyDiv w:val="1"/>
      <w:marLeft w:val="0"/>
      <w:marRight w:val="0"/>
      <w:marTop w:val="0"/>
      <w:marBottom w:val="0"/>
      <w:divBdr>
        <w:top w:val="none" w:sz="0" w:space="0" w:color="auto"/>
        <w:left w:val="none" w:sz="0" w:space="0" w:color="auto"/>
        <w:bottom w:val="none" w:sz="0" w:space="0" w:color="auto"/>
        <w:right w:val="none" w:sz="0" w:space="0" w:color="auto"/>
      </w:divBdr>
    </w:div>
    <w:div w:id="463043168">
      <w:bodyDiv w:val="1"/>
      <w:marLeft w:val="0"/>
      <w:marRight w:val="0"/>
      <w:marTop w:val="0"/>
      <w:marBottom w:val="0"/>
      <w:divBdr>
        <w:top w:val="none" w:sz="0" w:space="0" w:color="auto"/>
        <w:left w:val="none" w:sz="0" w:space="0" w:color="auto"/>
        <w:bottom w:val="none" w:sz="0" w:space="0" w:color="auto"/>
        <w:right w:val="none" w:sz="0" w:space="0" w:color="auto"/>
      </w:divBdr>
    </w:div>
    <w:div w:id="491027113">
      <w:bodyDiv w:val="1"/>
      <w:marLeft w:val="0"/>
      <w:marRight w:val="0"/>
      <w:marTop w:val="0"/>
      <w:marBottom w:val="0"/>
      <w:divBdr>
        <w:top w:val="none" w:sz="0" w:space="0" w:color="auto"/>
        <w:left w:val="none" w:sz="0" w:space="0" w:color="auto"/>
        <w:bottom w:val="none" w:sz="0" w:space="0" w:color="auto"/>
        <w:right w:val="none" w:sz="0" w:space="0" w:color="auto"/>
      </w:divBdr>
    </w:div>
    <w:div w:id="694383442">
      <w:bodyDiv w:val="1"/>
      <w:marLeft w:val="0"/>
      <w:marRight w:val="0"/>
      <w:marTop w:val="0"/>
      <w:marBottom w:val="0"/>
      <w:divBdr>
        <w:top w:val="none" w:sz="0" w:space="0" w:color="auto"/>
        <w:left w:val="none" w:sz="0" w:space="0" w:color="auto"/>
        <w:bottom w:val="none" w:sz="0" w:space="0" w:color="auto"/>
        <w:right w:val="none" w:sz="0" w:space="0" w:color="auto"/>
      </w:divBdr>
      <w:divsChild>
        <w:div w:id="27489536">
          <w:marLeft w:val="0"/>
          <w:marRight w:val="0"/>
          <w:marTop w:val="0"/>
          <w:marBottom w:val="0"/>
          <w:divBdr>
            <w:top w:val="none" w:sz="0" w:space="0" w:color="auto"/>
            <w:left w:val="none" w:sz="0" w:space="0" w:color="auto"/>
            <w:bottom w:val="none" w:sz="0" w:space="0" w:color="auto"/>
            <w:right w:val="none" w:sz="0" w:space="0" w:color="auto"/>
          </w:divBdr>
        </w:div>
        <w:div w:id="482739642">
          <w:marLeft w:val="0"/>
          <w:marRight w:val="0"/>
          <w:marTop w:val="0"/>
          <w:marBottom w:val="0"/>
          <w:divBdr>
            <w:top w:val="none" w:sz="0" w:space="0" w:color="auto"/>
            <w:left w:val="none" w:sz="0" w:space="0" w:color="auto"/>
            <w:bottom w:val="none" w:sz="0" w:space="0" w:color="auto"/>
            <w:right w:val="none" w:sz="0" w:space="0" w:color="auto"/>
          </w:divBdr>
        </w:div>
        <w:div w:id="486556470">
          <w:marLeft w:val="0"/>
          <w:marRight w:val="0"/>
          <w:marTop w:val="0"/>
          <w:marBottom w:val="0"/>
          <w:divBdr>
            <w:top w:val="none" w:sz="0" w:space="0" w:color="auto"/>
            <w:left w:val="none" w:sz="0" w:space="0" w:color="auto"/>
            <w:bottom w:val="none" w:sz="0" w:space="0" w:color="auto"/>
            <w:right w:val="none" w:sz="0" w:space="0" w:color="auto"/>
          </w:divBdr>
        </w:div>
        <w:div w:id="487938978">
          <w:marLeft w:val="0"/>
          <w:marRight w:val="0"/>
          <w:marTop w:val="0"/>
          <w:marBottom w:val="0"/>
          <w:divBdr>
            <w:top w:val="none" w:sz="0" w:space="0" w:color="auto"/>
            <w:left w:val="none" w:sz="0" w:space="0" w:color="auto"/>
            <w:bottom w:val="none" w:sz="0" w:space="0" w:color="auto"/>
            <w:right w:val="none" w:sz="0" w:space="0" w:color="auto"/>
          </w:divBdr>
        </w:div>
        <w:div w:id="643043701">
          <w:marLeft w:val="0"/>
          <w:marRight w:val="0"/>
          <w:marTop w:val="0"/>
          <w:marBottom w:val="0"/>
          <w:divBdr>
            <w:top w:val="none" w:sz="0" w:space="0" w:color="auto"/>
            <w:left w:val="none" w:sz="0" w:space="0" w:color="auto"/>
            <w:bottom w:val="none" w:sz="0" w:space="0" w:color="auto"/>
            <w:right w:val="none" w:sz="0" w:space="0" w:color="auto"/>
          </w:divBdr>
        </w:div>
        <w:div w:id="948925676">
          <w:marLeft w:val="0"/>
          <w:marRight w:val="0"/>
          <w:marTop w:val="0"/>
          <w:marBottom w:val="0"/>
          <w:divBdr>
            <w:top w:val="none" w:sz="0" w:space="0" w:color="auto"/>
            <w:left w:val="none" w:sz="0" w:space="0" w:color="auto"/>
            <w:bottom w:val="none" w:sz="0" w:space="0" w:color="auto"/>
            <w:right w:val="none" w:sz="0" w:space="0" w:color="auto"/>
          </w:divBdr>
        </w:div>
        <w:div w:id="961688274">
          <w:marLeft w:val="0"/>
          <w:marRight w:val="0"/>
          <w:marTop w:val="0"/>
          <w:marBottom w:val="0"/>
          <w:divBdr>
            <w:top w:val="none" w:sz="0" w:space="0" w:color="auto"/>
            <w:left w:val="none" w:sz="0" w:space="0" w:color="auto"/>
            <w:bottom w:val="none" w:sz="0" w:space="0" w:color="auto"/>
            <w:right w:val="none" w:sz="0" w:space="0" w:color="auto"/>
          </w:divBdr>
        </w:div>
        <w:div w:id="979964631">
          <w:marLeft w:val="0"/>
          <w:marRight w:val="0"/>
          <w:marTop w:val="0"/>
          <w:marBottom w:val="0"/>
          <w:divBdr>
            <w:top w:val="none" w:sz="0" w:space="0" w:color="auto"/>
            <w:left w:val="none" w:sz="0" w:space="0" w:color="auto"/>
            <w:bottom w:val="none" w:sz="0" w:space="0" w:color="auto"/>
            <w:right w:val="none" w:sz="0" w:space="0" w:color="auto"/>
          </w:divBdr>
        </w:div>
        <w:div w:id="1035891405">
          <w:marLeft w:val="0"/>
          <w:marRight w:val="0"/>
          <w:marTop w:val="0"/>
          <w:marBottom w:val="0"/>
          <w:divBdr>
            <w:top w:val="none" w:sz="0" w:space="0" w:color="auto"/>
            <w:left w:val="none" w:sz="0" w:space="0" w:color="auto"/>
            <w:bottom w:val="none" w:sz="0" w:space="0" w:color="auto"/>
            <w:right w:val="none" w:sz="0" w:space="0" w:color="auto"/>
          </w:divBdr>
        </w:div>
        <w:div w:id="1049498742">
          <w:marLeft w:val="0"/>
          <w:marRight w:val="0"/>
          <w:marTop w:val="0"/>
          <w:marBottom w:val="0"/>
          <w:divBdr>
            <w:top w:val="none" w:sz="0" w:space="0" w:color="auto"/>
            <w:left w:val="none" w:sz="0" w:space="0" w:color="auto"/>
            <w:bottom w:val="none" w:sz="0" w:space="0" w:color="auto"/>
            <w:right w:val="none" w:sz="0" w:space="0" w:color="auto"/>
          </w:divBdr>
        </w:div>
        <w:div w:id="1168331464">
          <w:marLeft w:val="0"/>
          <w:marRight w:val="0"/>
          <w:marTop w:val="0"/>
          <w:marBottom w:val="0"/>
          <w:divBdr>
            <w:top w:val="none" w:sz="0" w:space="0" w:color="auto"/>
            <w:left w:val="none" w:sz="0" w:space="0" w:color="auto"/>
            <w:bottom w:val="none" w:sz="0" w:space="0" w:color="auto"/>
            <w:right w:val="none" w:sz="0" w:space="0" w:color="auto"/>
          </w:divBdr>
        </w:div>
        <w:div w:id="1169977709">
          <w:marLeft w:val="0"/>
          <w:marRight w:val="0"/>
          <w:marTop w:val="0"/>
          <w:marBottom w:val="0"/>
          <w:divBdr>
            <w:top w:val="none" w:sz="0" w:space="0" w:color="auto"/>
            <w:left w:val="none" w:sz="0" w:space="0" w:color="auto"/>
            <w:bottom w:val="none" w:sz="0" w:space="0" w:color="auto"/>
            <w:right w:val="none" w:sz="0" w:space="0" w:color="auto"/>
          </w:divBdr>
        </w:div>
        <w:div w:id="1466048663">
          <w:marLeft w:val="0"/>
          <w:marRight w:val="0"/>
          <w:marTop w:val="0"/>
          <w:marBottom w:val="0"/>
          <w:divBdr>
            <w:top w:val="none" w:sz="0" w:space="0" w:color="auto"/>
            <w:left w:val="none" w:sz="0" w:space="0" w:color="auto"/>
            <w:bottom w:val="none" w:sz="0" w:space="0" w:color="auto"/>
            <w:right w:val="none" w:sz="0" w:space="0" w:color="auto"/>
          </w:divBdr>
        </w:div>
        <w:div w:id="1610963935">
          <w:marLeft w:val="0"/>
          <w:marRight w:val="0"/>
          <w:marTop w:val="0"/>
          <w:marBottom w:val="0"/>
          <w:divBdr>
            <w:top w:val="none" w:sz="0" w:space="0" w:color="auto"/>
            <w:left w:val="none" w:sz="0" w:space="0" w:color="auto"/>
            <w:bottom w:val="none" w:sz="0" w:space="0" w:color="auto"/>
            <w:right w:val="none" w:sz="0" w:space="0" w:color="auto"/>
          </w:divBdr>
        </w:div>
        <w:div w:id="1615745267">
          <w:marLeft w:val="0"/>
          <w:marRight w:val="0"/>
          <w:marTop w:val="0"/>
          <w:marBottom w:val="0"/>
          <w:divBdr>
            <w:top w:val="none" w:sz="0" w:space="0" w:color="auto"/>
            <w:left w:val="none" w:sz="0" w:space="0" w:color="auto"/>
            <w:bottom w:val="none" w:sz="0" w:space="0" w:color="auto"/>
            <w:right w:val="none" w:sz="0" w:space="0" w:color="auto"/>
          </w:divBdr>
        </w:div>
        <w:div w:id="1841655317">
          <w:marLeft w:val="0"/>
          <w:marRight w:val="0"/>
          <w:marTop w:val="0"/>
          <w:marBottom w:val="0"/>
          <w:divBdr>
            <w:top w:val="none" w:sz="0" w:space="0" w:color="auto"/>
            <w:left w:val="none" w:sz="0" w:space="0" w:color="auto"/>
            <w:bottom w:val="none" w:sz="0" w:space="0" w:color="auto"/>
            <w:right w:val="none" w:sz="0" w:space="0" w:color="auto"/>
          </w:divBdr>
        </w:div>
        <w:div w:id="1981423641">
          <w:marLeft w:val="0"/>
          <w:marRight w:val="0"/>
          <w:marTop w:val="0"/>
          <w:marBottom w:val="0"/>
          <w:divBdr>
            <w:top w:val="none" w:sz="0" w:space="0" w:color="auto"/>
            <w:left w:val="none" w:sz="0" w:space="0" w:color="auto"/>
            <w:bottom w:val="none" w:sz="0" w:space="0" w:color="auto"/>
            <w:right w:val="none" w:sz="0" w:space="0" w:color="auto"/>
          </w:divBdr>
        </w:div>
        <w:div w:id="2025670486">
          <w:marLeft w:val="0"/>
          <w:marRight w:val="0"/>
          <w:marTop w:val="0"/>
          <w:marBottom w:val="0"/>
          <w:divBdr>
            <w:top w:val="none" w:sz="0" w:space="0" w:color="auto"/>
            <w:left w:val="none" w:sz="0" w:space="0" w:color="auto"/>
            <w:bottom w:val="none" w:sz="0" w:space="0" w:color="auto"/>
            <w:right w:val="none" w:sz="0" w:space="0" w:color="auto"/>
          </w:divBdr>
        </w:div>
      </w:divsChild>
    </w:div>
    <w:div w:id="731076132">
      <w:bodyDiv w:val="1"/>
      <w:marLeft w:val="0"/>
      <w:marRight w:val="0"/>
      <w:marTop w:val="0"/>
      <w:marBottom w:val="0"/>
      <w:divBdr>
        <w:top w:val="none" w:sz="0" w:space="0" w:color="auto"/>
        <w:left w:val="none" w:sz="0" w:space="0" w:color="auto"/>
        <w:bottom w:val="none" w:sz="0" w:space="0" w:color="auto"/>
        <w:right w:val="none" w:sz="0" w:space="0" w:color="auto"/>
      </w:divBdr>
    </w:div>
    <w:div w:id="752820318">
      <w:bodyDiv w:val="1"/>
      <w:marLeft w:val="0"/>
      <w:marRight w:val="0"/>
      <w:marTop w:val="0"/>
      <w:marBottom w:val="0"/>
      <w:divBdr>
        <w:top w:val="none" w:sz="0" w:space="0" w:color="auto"/>
        <w:left w:val="none" w:sz="0" w:space="0" w:color="auto"/>
        <w:bottom w:val="none" w:sz="0" w:space="0" w:color="auto"/>
        <w:right w:val="none" w:sz="0" w:space="0" w:color="auto"/>
      </w:divBdr>
    </w:div>
    <w:div w:id="909660163">
      <w:bodyDiv w:val="1"/>
      <w:marLeft w:val="0"/>
      <w:marRight w:val="0"/>
      <w:marTop w:val="0"/>
      <w:marBottom w:val="0"/>
      <w:divBdr>
        <w:top w:val="none" w:sz="0" w:space="0" w:color="auto"/>
        <w:left w:val="none" w:sz="0" w:space="0" w:color="auto"/>
        <w:bottom w:val="none" w:sz="0" w:space="0" w:color="auto"/>
        <w:right w:val="none" w:sz="0" w:space="0" w:color="auto"/>
      </w:divBdr>
    </w:div>
    <w:div w:id="1201668272">
      <w:bodyDiv w:val="1"/>
      <w:marLeft w:val="0"/>
      <w:marRight w:val="0"/>
      <w:marTop w:val="0"/>
      <w:marBottom w:val="0"/>
      <w:divBdr>
        <w:top w:val="none" w:sz="0" w:space="0" w:color="auto"/>
        <w:left w:val="none" w:sz="0" w:space="0" w:color="auto"/>
        <w:bottom w:val="none" w:sz="0" w:space="0" w:color="auto"/>
        <w:right w:val="none" w:sz="0" w:space="0" w:color="auto"/>
      </w:divBdr>
    </w:div>
    <w:div w:id="1450970825">
      <w:bodyDiv w:val="1"/>
      <w:marLeft w:val="0"/>
      <w:marRight w:val="0"/>
      <w:marTop w:val="0"/>
      <w:marBottom w:val="0"/>
      <w:divBdr>
        <w:top w:val="none" w:sz="0" w:space="0" w:color="auto"/>
        <w:left w:val="none" w:sz="0" w:space="0" w:color="auto"/>
        <w:bottom w:val="none" w:sz="0" w:space="0" w:color="auto"/>
        <w:right w:val="none" w:sz="0" w:space="0" w:color="auto"/>
      </w:divBdr>
    </w:div>
    <w:div w:id="1662848293">
      <w:bodyDiv w:val="1"/>
      <w:marLeft w:val="0"/>
      <w:marRight w:val="0"/>
      <w:marTop w:val="0"/>
      <w:marBottom w:val="0"/>
      <w:divBdr>
        <w:top w:val="none" w:sz="0" w:space="0" w:color="auto"/>
        <w:left w:val="none" w:sz="0" w:space="0" w:color="auto"/>
        <w:bottom w:val="none" w:sz="0" w:space="0" w:color="auto"/>
        <w:right w:val="none" w:sz="0" w:space="0" w:color="auto"/>
      </w:divBdr>
    </w:div>
    <w:div w:id="1713964509">
      <w:bodyDiv w:val="1"/>
      <w:marLeft w:val="0"/>
      <w:marRight w:val="0"/>
      <w:marTop w:val="0"/>
      <w:marBottom w:val="0"/>
      <w:divBdr>
        <w:top w:val="none" w:sz="0" w:space="0" w:color="auto"/>
        <w:left w:val="none" w:sz="0" w:space="0" w:color="auto"/>
        <w:bottom w:val="none" w:sz="0" w:space="0" w:color="auto"/>
        <w:right w:val="none" w:sz="0" w:space="0" w:color="auto"/>
      </w:divBdr>
    </w:div>
    <w:div w:id="1862818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9AFA3E-27C7-41FD-8C3B-2D0B6D1A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6510</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43536</CharactersWithSpaces>
  <SharedDoc>false</SharedDoc>
  <HLinks>
    <vt:vector size="114" baseType="variant">
      <vt:variant>
        <vt:i4>1900592</vt:i4>
      </vt:variant>
      <vt:variant>
        <vt:i4>110</vt:i4>
      </vt:variant>
      <vt:variant>
        <vt:i4>0</vt:i4>
      </vt:variant>
      <vt:variant>
        <vt:i4>5</vt:i4>
      </vt:variant>
      <vt:variant>
        <vt:lpwstr/>
      </vt:variant>
      <vt:variant>
        <vt:lpwstr>_Toc166659231</vt:lpwstr>
      </vt:variant>
      <vt:variant>
        <vt:i4>1900592</vt:i4>
      </vt:variant>
      <vt:variant>
        <vt:i4>104</vt:i4>
      </vt:variant>
      <vt:variant>
        <vt:i4>0</vt:i4>
      </vt:variant>
      <vt:variant>
        <vt:i4>5</vt:i4>
      </vt:variant>
      <vt:variant>
        <vt:lpwstr/>
      </vt:variant>
      <vt:variant>
        <vt:lpwstr>_Toc166659230</vt:lpwstr>
      </vt:variant>
      <vt:variant>
        <vt:i4>1835056</vt:i4>
      </vt:variant>
      <vt:variant>
        <vt:i4>98</vt:i4>
      </vt:variant>
      <vt:variant>
        <vt:i4>0</vt:i4>
      </vt:variant>
      <vt:variant>
        <vt:i4>5</vt:i4>
      </vt:variant>
      <vt:variant>
        <vt:lpwstr/>
      </vt:variant>
      <vt:variant>
        <vt:lpwstr>_Toc166659229</vt:lpwstr>
      </vt:variant>
      <vt:variant>
        <vt:i4>1835056</vt:i4>
      </vt:variant>
      <vt:variant>
        <vt:i4>92</vt:i4>
      </vt:variant>
      <vt:variant>
        <vt:i4>0</vt:i4>
      </vt:variant>
      <vt:variant>
        <vt:i4>5</vt:i4>
      </vt:variant>
      <vt:variant>
        <vt:lpwstr/>
      </vt:variant>
      <vt:variant>
        <vt:lpwstr>_Toc166659228</vt:lpwstr>
      </vt:variant>
      <vt:variant>
        <vt:i4>1835056</vt:i4>
      </vt:variant>
      <vt:variant>
        <vt:i4>86</vt:i4>
      </vt:variant>
      <vt:variant>
        <vt:i4>0</vt:i4>
      </vt:variant>
      <vt:variant>
        <vt:i4>5</vt:i4>
      </vt:variant>
      <vt:variant>
        <vt:lpwstr/>
      </vt:variant>
      <vt:variant>
        <vt:lpwstr>_Toc166659227</vt:lpwstr>
      </vt:variant>
      <vt:variant>
        <vt:i4>1835056</vt:i4>
      </vt:variant>
      <vt:variant>
        <vt:i4>80</vt:i4>
      </vt:variant>
      <vt:variant>
        <vt:i4>0</vt:i4>
      </vt:variant>
      <vt:variant>
        <vt:i4>5</vt:i4>
      </vt:variant>
      <vt:variant>
        <vt:lpwstr/>
      </vt:variant>
      <vt:variant>
        <vt:lpwstr>_Toc166659226</vt:lpwstr>
      </vt:variant>
      <vt:variant>
        <vt:i4>1835056</vt:i4>
      </vt:variant>
      <vt:variant>
        <vt:i4>74</vt:i4>
      </vt:variant>
      <vt:variant>
        <vt:i4>0</vt:i4>
      </vt:variant>
      <vt:variant>
        <vt:i4>5</vt:i4>
      </vt:variant>
      <vt:variant>
        <vt:lpwstr/>
      </vt:variant>
      <vt:variant>
        <vt:lpwstr>_Toc166659225</vt:lpwstr>
      </vt:variant>
      <vt:variant>
        <vt:i4>1835056</vt:i4>
      </vt:variant>
      <vt:variant>
        <vt:i4>68</vt:i4>
      </vt:variant>
      <vt:variant>
        <vt:i4>0</vt:i4>
      </vt:variant>
      <vt:variant>
        <vt:i4>5</vt:i4>
      </vt:variant>
      <vt:variant>
        <vt:lpwstr/>
      </vt:variant>
      <vt:variant>
        <vt:lpwstr>_Toc166659224</vt:lpwstr>
      </vt:variant>
      <vt:variant>
        <vt:i4>1835056</vt:i4>
      </vt:variant>
      <vt:variant>
        <vt:i4>62</vt:i4>
      </vt:variant>
      <vt:variant>
        <vt:i4>0</vt:i4>
      </vt:variant>
      <vt:variant>
        <vt:i4>5</vt:i4>
      </vt:variant>
      <vt:variant>
        <vt:lpwstr/>
      </vt:variant>
      <vt:variant>
        <vt:lpwstr>_Toc166659223</vt:lpwstr>
      </vt:variant>
      <vt:variant>
        <vt:i4>1835056</vt:i4>
      </vt:variant>
      <vt:variant>
        <vt:i4>56</vt:i4>
      </vt:variant>
      <vt:variant>
        <vt:i4>0</vt:i4>
      </vt:variant>
      <vt:variant>
        <vt:i4>5</vt:i4>
      </vt:variant>
      <vt:variant>
        <vt:lpwstr/>
      </vt:variant>
      <vt:variant>
        <vt:lpwstr>_Toc166659222</vt:lpwstr>
      </vt:variant>
      <vt:variant>
        <vt:i4>1835056</vt:i4>
      </vt:variant>
      <vt:variant>
        <vt:i4>50</vt:i4>
      </vt:variant>
      <vt:variant>
        <vt:i4>0</vt:i4>
      </vt:variant>
      <vt:variant>
        <vt:i4>5</vt:i4>
      </vt:variant>
      <vt:variant>
        <vt:lpwstr/>
      </vt:variant>
      <vt:variant>
        <vt:lpwstr>_Toc166659221</vt:lpwstr>
      </vt:variant>
      <vt:variant>
        <vt:i4>1835056</vt:i4>
      </vt:variant>
      <vt:variant>
        <vt:i4>44</vt:i4>
      </vt:variant>
      <vt:variant>
        <vt:i4>0</vt:i4>
      </vt:variant>
      <vt:variant>
        <vt:i4>5</vt:i4>
      </vt:variant>
      <vt:variant>
        <vt:lpwstr/>
      </vt:variant>
      <vt:variant>
        <vt:lpwstr>_Toc166659220</vt:lpwstr>
      </vt:variant>
      <vt:variant>
        <vt:i4>2031664</vt:i4>
      </vt:variant>
      <vt:variant>
        <vt:i4>38</vt:i4>
      </vt:variant>
      <vt:variant>
        <vt:i4>0</vt:i4>
      </vt:variant>
      <vt:variant>
        <vt:i4>5</vt:i4>
      </vt:variant>
      <vt:variant>
        <vt:lpwstr/>
      </vt:variant>
      <vt:variant>
        <vt:lpwstr>_Toc166659219</vt:lpwstr>
      </vt:variant>
      <vt:variant>
        <vt:i4>2031664</vt:i4>
      </vt:variant>
      <vt:variant>
        <vt:i4>32</vt:i4>
      </vt:variant>
      <vt:variant>
        <vt:i4>0</vt:i4>
      </vt:variant>
      <vt:variant>
        <vt:i4>5</vt:i4>
      </vt:variant>
      <vt:variant>
        <vt:lpwstr/>
      </vt:variant>
      <vt:variant>
        <vt:lpwstr>_Toc166659218</vt:lpwstr>
      </vt:variant>
      <vt:variant>
        <vt:i4>2031664</vt:i4>
      </vt:variant>
      <vt:variant>
        <vt:i4>26</vt:i4>
      </vt:variant>
      <vt:variant>
        <vt:i4>0</vt:i4>
      </vt:variant>
      <vt:variant>
        <vt:i4>5</vt:i4>
      </vt:variant>
      <vt:variant>
        <vt:lpwstr/>
      </vt:variant>
      <vt:variant>
        <vt:lpwstr>_Toc166659217</vt:lpwstr>
      </vt:variant>
      <vt:variant>
        <vt:i4>2031664</vt:i4>
      </vt:variant>
      <vt:variant>
        <vt:i4>20</vt:i4>
      </vt:variant>
      <vt:variant>
        <vt:i4>0</vt:i4>
      </vt:variant>
      <vt:variant>
        <vt:i4>5</vt:i4>
      </vt:variant>
      <vt:variant>
        <vt:lpwstr/>
      </vt:variant>
      <vt:variant>
        <vt:lpwstr>_Toc166659216</vt:lpwstr>
      </vt:variant>
      <vt:variant>
        <vt:i4>2031664</vt:i4>
      </vt:variant>
      <vt:variant>
        <vt:i4>14</vt:i4>
      </vt:variant>
      <vt:variant>
        <vt:i4>0</vt:i4>
      </vt:variant>
      <vt:variant>
        <vt:i4>5</vt:i4>
      </vt:variant>
      <vt:variant>
        <vt:lpwstr/>
      </vt:variant>
      <vt:variant>
        <vt:lpwstr>_Toc166659215</vt:lpwstr>
      </vt:variant>
      <vt:variant>
        <vt:i4>2031664</vt:i4>
      </vt:variant>
      <vt:variant>
        <vt:i4>8</vt:i4>
      </vt:variant>
      <vt:variant>
        <vt:i4>0</vt:i4>
      </vt:variant>
      <vt:variant>
        <vt:i4>5</vt:i4>
      </vt:variant>
      <vt:variant>
        <vt:lpwstr/>
      </vt:variant>
      <vt:variant>
        <vt:lpwstr>_Toc166659214</vt:lpwstr>
      </vt:variant>
      <vt:variant>
        <vt:i4>2031664</vt:i4>
      </vt:variant>
      <vt:variant>
        <vt:i4>2</vt:i4>
      </vt:variant>
      <vt:variant>
        <vt:i4>0</vt:i4>
      </vt:variant>
      <vt:variant>
        <vt:i4>5</vt:i4>
      </vt:variant>
      <vt:variant>
        <vt:lpwstr/>
      </vt:variant>
      <vt:variant>
        <vt:lpwstr>_Toc166659213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2024-05-17T02:01:00Z</dcterms:created>
  <dcterms:modified xsi:type="dcterms:W3CDTF">2024-05-17T02:01:00Z</dcterms:modified>
</cp:coreProperties>
</file>