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67608509"/>
        <w:docPartObj>
          <w:docPartGallery w:val="Cover Pages"/>
          <w:docPartUnique/>
        </w:docPartObj>
      </w:sdtPr>
      <w:sdtEndPr>
        <w:rPr>
          <w:sz w:val="16"/>
          <w:szCs w:val="16"/>
        </w:rPr>
      </w:sdtEndPr>
      <w:sdtContent>
        <w:p w14:paraId="2FED991D" w14:textId="77777777" w:rsidR="00A16356" w:rsidRDefault="00A16356" w:rsidP="00A44DFA">
          <w:pPr>
            <w:spacing w:before="1200"/>
          </w:pPr>
        </w:p>
        <w:p w14:paraId="290B0ED5" w14:textId="76B83CD6" w:rsidR="00E23405" w:rsidRPr="00FF689A" w:rsidRDefault="00E23405" w:rsidP="00E23405">
          <w:pPr>
            <w:pStyle w:val="Title"/>
          </w:pPr>
          <w:r w:rsidRPr="00FF689A">
            <w:t xml:space="preserve">Review of the </w:t>
          </w:r>
          <w:r w:rsidRPr="00FF689A">
            <w:rPr>
              <w:i/>
              <w:iCs/>
            </w:rPr>
            <w:t xml:space="preserve">Online Safety Act 2021 </w:t>
          </w:r>
          <w:r w:rsidRPr="00FF689A">
            <w:t>(</w:t>
          </w:r>
          <w:proofErr w:type="spellStart"/>
          <w:r w:rsidR="00FF689A" w:rsidRPr="00FF689A">
            <w:t>C</w:t>
          </w:r>
          <w:r w:rsidR="00FF689A">
            <w:t>th</w:t>
          </w:r>
          <w:proofErr w:type="spellEnd"/>
          <w:r w:rsidRPr="00FF689A">
            <w:t xml:space="preserve">) </w:t>
          </w:r>
        </w:p>
        <w:p w14:paraId="2844D35A" w14:textId="203EA29D" w:rsidR="00E23405" w:rsidRPr="00FF689A" w:rsidRDefault="00E23405" w:rsidP="00E23405">
          <w:pPr>
            <w:rPr>
              <w:color w:val="004270"/>
              <w:sz w:val="36"/>
              <w:szCs w:val="36"/>
            </w:rPr>
          </w:pPr>
          <w:r w:rsidRPr="00FF689A">
            <w:rPr>
              <w:color w:val="004270"/>
              <w:sz w:val="36"/>
              <w:szCs w:val="36"/>
            </w:rPr>
            <w:t>Submission to the Australian Government</w:t>
          </w:r>
          <w:r w:rsidRPr="00FF689A">
            <w:rPr>
              <w:color w:val="004270"/>
              <w:sz w:val="36"/>
              <w:szCs w:val="36"/>
            </w:rPr>
            <w:br/>
            <w:t xml:space="preserve">Department of Infrastructure, Transport, Regional Development, Communication and the Arts </w:t>
          </w:r>
        </w:p>
        <w:p w14:paraId="0EC0807B" w14:textId="77777777" w:rsidR="004A2375" w:rsidRDefault="00A16356">
          <w:r>
            <w:br w:type="page"/>
          </w:r>
        </w:p>
        <w:p w14:paraId="0A0DB81E" w14:textId="44A3B409" w:rsidR="00A16356" w:rsidRPr="004A2375" w:rsidRDefault="00FF689A">
          <w:pPr>
            <w:rPr>
              <w:rFonts w:eastAsiaTheme="majorEastAsia" w:cstheme="majorBidi"/>
              <w:b/>
              <w:color w:val="365F91" w:themeColor="accent1" w:themeShade="BF"/>
              <w:sz w:val="16"/>
              <w:szCs w:val="16"/>
            </w:rPr>
          </w:pPr>
        </w:p>
      </w:sdtContent>
    </w:sdt>
    <w:sdt>
      <w:sdtPr>
        <w:rPr>
          <w:rFonts w:asciiTheme="minorHAnsi" w:eastAsiaTheme="minorEastAsia" w:hAnsiTheme="minorHAnsi" w:cstheme="minorBidi"/>
          <w:b w:val="0"/>
          <w:color w:val="auto"/>
          <w:sz w:val="24"/>
          <w:szCs w:val="24"/>
          <w:lang w:val="en-US"/>
        </w:rPr>
        <w:id w:val="-331140652"/>
        <w:docPartObj>
          <w:docPartGallery w:val="Table of Contents"/>
          <w:docPartUnique/>
        </w:docPartObj>
      </w:sdtPr>
      <w:sdtEndPr>
        <w:rPr>
          <w:rFonts w:ascii="Arial" w:hAnsi="Arial" w:cs="Arial"/>
          <w:bCs/>
          <w:noProof/>
          <w:lang w:val="en-AU"/>
        </w:rPr>
      </w:sdtEndPr>
      <w:sdtContent>
        <w:p w14:paraId="4B5D0AAC" w14:textId="77777777" w:rsidR="00A16356" w:rsidRPr="00FF689A" w:rsidRDefault="00A16356" w:rsidP="0022037D">
          <w:pPr>
            <w:pStyle w:val="TOCHeading"/>
            <w:spacing w:before="120" w:after="120"/>
            <w:rPr>
              <w:rFonts w:ascii="Arial" w:hAnsi="Arial" w:cs="Arial"/>
              <w:b w:val="0"/>
              <w:color w:val="004270"/>
            </w:rPr>
          </w:pPr>
          <w:r w:rsidRPr="00FF689A">
            <w:rPr>
              <w:rFonts w:ascii="Arial" w:hAnsi="Arial" w:cs="Arial"/>
              <w:color w:val="004270"/>
            </w:rPr>
            <w:t>Table of Contents</w:t>
          </w:r>
        </w:p>
        <w:p w14:paraId="01CF7C98" w14:textId="0EFF12AF" w:rsidR="00F32776" w:rsidRPr="00F32776" w:rsidRDefault="00A16356">
          <w:pPr>
            <w:pStyle w:val="TOC1"/>
            <w:rPr>
              <w:rFonts w:asciiTheme="minorHAnsi" w:hAnsiTheme="minorHAnsi"/>
              <w:noProof/>
              <w:kern w:val="2"/>
              <w:sz w:val="22"/>
              <w:szCs w:val="22"/>
              <w:lang w:eastAsia="en-AU"/>
              <w14:ligatures w14:val="standardContextual"/>
            </w:rPr>
          </w:pPr>
          <w:r w:rsidRPr="00857062">
            <w:rPr>
              <w:rFonts w:cs="Arial"/>
              <w:b/>
              <w:bCs/>
              <w:noProof/>
            </w:rPr>
            <w:fldChar w:fldCharType="begin"/>
          </w:r>
          <w:r w:rsidRPr="00857062">
            <w:rPr>
              <w:rFonts w:cs="Arial"/>
              <w:b/>
              <w:bCs/>
              <w:noProof/>
            </w:rPr>
            <w:instrText xml:space="preserve"> TOC \o "1-3" \h \z \u </w:instrText>
          </w:r>
          <w:r w:rsidRPr="00857062">
            <w:rPr>
              <w:rFonts w:cs="Arial"/>
              <w:b/>
              <w:bCs/>
              <w:noProof/>
            </w:rPr>
            <w:fldChar w:fldCharType="separate"/>
          </w:r>
          <w:hyperlink w:anchor="_Toc169517525" w:history="1">
            <w:r w:rsidR="00F32776" w:rsidRPr="00F32776">
              <w:rPr>
                <w:rStyle w:val="Hyperlink"/>
                <w:noProof/>
                <w:sz w:val="22"/>
                <w:szCs w:val="22"/>
              </w:rPr>
              <w:t>About this submission</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_Toc169517525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2</w:t>
            </w:r>
            <w:r w:rsidR="00F32776" w:rsidRPr="00F32776">
              <w:rPr>
                <w:noProof/>
                <w:webHidden/>
                <w:sz w:val="22"/>
                <w:szCs w:val="22"/>
              </w:rPr>
              <w:fldChar w:fldCharType="end"/>
            </w:r>
          </w:hyperlink>
        </w:p>
        <w:p w14:paraId="0FEB89EB" w14:textId="10477653" w:rsidR="00F32776" w:rsidRPr="00F32776" w:rsidRDefault="00FF689A">
          <w:pPr>
            <w:pStyle w:val="TOC1"/>
            <w:rPr>
              <w:rFonts w:asciiTheme="minorHAnsi" w:hAnsiTheme="minorHAnsi"/>
              <w:noProof/>
              <w:kern w:val="2"/>
              <w:sz w:val="22"/>
              <w:szCs w:val="22"/>
              <w:lang w:eastAsia="en-AU"/>
              <w14:ligatures w14:val="standardContextual"/>
            </w:rPr>
          </w:pPr>
          <w:hyperlink w:anchor="_Toc169517526" w:history="1">
            <w:r w:rsidR="00F32776" w:rsidRPr="00F32776">
              <w:rPr>
                <w:rStyle w:val="Hyperlink"/>
                <w:bCs/>
                <w:noProof/>
                <w:sz w:val="22"/>
                <w:szCs w:val="22"/>
              </w:rPr>
              <w:t>About the Queensland Human Rights Commission</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_Toc169517526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3</w:t>
            </w:r>
            <w:r w:rsidR="00F32776" w:rsidRPr="00F32776">
              <w:rPr>
                <w:noProof/>
                <w:webHidden/>
                <w:sz w:val="22"/>
                <w:szCs w:val="22"/>
              </w:rPr>
              <w:fldChar w:fldCharType="end"/>
            </w:r>
          </w:hyperlink>
        </w:p>
        <w:p w14:paraId="5A16C6C7" w14:textId="3FC70069" w:rsidR="00F32776" w:rsidRPr="00F32776" w:rsidRDefault="00FF689A">
          <w:pPr>
            <w:pStyle w:val="TOC1"/>
            <w:rPr>
              <w:rFonts w:asciiTheme="minorHAnsi" w:hAnsiTheme="minorHAnsi"/>
              <w:noProof/>
              <w:kern w:val="2"/>
              <w:sz w:val="22"/>
              <w:szCs w:val="22"/>
              <w:lang w:eastAsia="en-AU"/>
              <w14:ligatures w14:val="standardContextual"/>
            </w:rPr>
          </w:pPr>
          <w:hyperlink w:anchor="_Toc169517527" w:history="1">
            <w:r w:rsidR="00F32776" w:rsidRPr="00F32776">
              <w:rPr>
                <w:rStyle w:val="Hyperlink"/>
                <w:noProof/>
                <w:sz w:val="22"/>
                <w:szCs w:val="22"/>
              </w:rPr>
              <w:t>Vilification and hate speech</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_Toc169517527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4</w:t>
            </w:r>
            <w:r w:rsidR="00F32776" w:rsidRPr="00F32776">
              <w:rPr>
                <w:noProof/>
                <w:webHidden/>
                <w:sz w:val="22"/>
                <w:szCs w:val="22"/>
              </w:rPr>
              <w:fldChar w:fldCharType="end"/>
            </w:r>
          </w:hyperlink>
        </w:p>
        <w:p w14:paraId="36D498EF" w14:textId="3A46CA4F" w:rsidR="00F32776" w:rsidRPr="00F32776" w:rsidRDefault="00FF689A">
          <w:pPr>
            <w:pStyle w:val="TOC1"/>
            <w:rPr>
              <w:rFonts w:asciiTheme="minorHAnsi" w:hAnsiTheme="minorHAnsi"/>
              <w:noProof/>
              <w:kern w:val="2"/>
              <w:sz w:val="22"/>
              <w:szCs w:val="22"/>
              <w:lang w:eastAsia="en-AU"/>
              <w14:ligatures w14:val="standardContextual"/>
            </w:rPr>
          </w:pPr>
          <w:hyperlink w:anchor="_Toc169517528" w:history="1">
            <w:r w:rsidR="00F32776" w:rsidRPr="00F32776">
              <w:rPr>
                <w:rStyle w:val="Hyperlink"/>
                <w:noProof/>
                <w:sz w:val="22"/>
                <w:szCs w:val="22"/>
              </w:rPr>
              <w:t>Queensland protections for online hate and vilification</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_Toc169517528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5</w:t>
            </w:r>
            <w:r w:rsidR="00F32776" w:rsidRPr="00F32776">
              <w:rPr>
                <w:noProof/>
                <w:webHidden/>
                <w:sz w:val="22"/>
                <w:szCs w:val="22"/>
              </w:rPr>
              <w:fldChar w:fldCharType="end"/>
            </w:r>
          </w:hyperlink>
        </w:p>
        <w:p w14:paraId="14FBDE18" w14:textId="46BED110" w:rsidR="00F32776" w:rsidRPr="00F32776" w:rsidRDefault="00FF689A">
          <w:pPr>
            <w:pStyle w:val="TOC2"/>
            <w:rPr>
              <w:rFonts w:asciiTheme="minorHAnsi" w:hAnsiTheme="minorHAnsi"/>
              <w:noProof/>
              <w:kern w:val="2"/>
              <w:sz w:val="22"/>
              <w:szCs w:val="22"/>
              <w:lang w:eastAsia="en-AU"/>
              <w14:ligatures w14:val="standardContextual"/>
            </w:rPr>
          </w:pPr>
          <w:hyperlink w:anchor="_Toc169517529" w:history="1">
            <w:r w:rsidR="00F32776" w:rsidRPr="00F32776">
              <w:rPr>
                <w:rStyle w:val="Hyperlink"/>
                <w:noProof/>
                <w:sz w:val="22"/>
                <w:szCs w:val="22"/>
              </w:rPr>
              <w:t>Criminal offences</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_Toc169517529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5</w:t>
            </w:r>
            <w:r w:rsidR="00F32776" w:rsidRPr="00F32776">
              <w:rPr>
                <w:noProof/>
                <w:webHidden/>
                <w:sz w:val="22"/>
                <w:szCs w:val="22"/>
              </w:rPr>
              <w:fldChar w:fldCharType="end"/>
            </w:r>
          </w:hyperlink>
        </w:p>
        <w:p w14:paraId="1D840D52" w14:textId="1C9D7D29" w:rsidR="00F32776" w:rsidRPr="00F32776" w:rsidRDefault="00FF689A">
          <w:pPr>
            <w:pStyle w:val="TOC2"/>
            <w:rPr>
              <w:rFonts w:asciiTheme="minorHAnsi" w:hAnsiTheme="minorHAnsi"/>
              <w:noProof/>
              <w:kern w:val="2"/>
              <w:sz w:val="22"/>
              <w:szCs w:val="22"/>
              <w:lang w:eastAsia="en-AU"/>
              <w14:ligatures w14:val="standardContextual"/>
            </w:rPr>
          </w:pPr>
          <w:hyperlink w:anchor="_Toc169517530" w:history="1">
            <w:r w:rsidR="00F32776" w:rsidRPr="00F32776">
              <w:rPr>
                <w:rStyle w:val="Hyperlink"/>
                <w:noProof/>
                <w:sz w:val="22"/>
                <w:szCs w:val="22"/>
              </w:rPr>
              <w:t>General prohibition</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_Toc169517530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5</w:t>
            </w:r>
            <w:r w:rsidR="00F32776" w:rsidRPr="00F32776">
              <w:rPr>
                <w:noProof/>
                <w:webHidden/>
                <w:sz w:val="22"/>
                <w:szCs w:val="22"/>
              </w:rPr>
              <w:fldChar w:fldCharType="end"/>
            </w:r>
          </w:hyperlink>
        </w:p>
        <w:p w14:paraId="6DFFCB04" w14:textId="4EE52D49" w:rsidR="00F32776" w:rsidRDefault="00FF689A">
          <w:pPr>
            <w:pStyle w:val="TOC1"/>
            <w:rPr>
              <w:rFonts w:asciiTheme="minorHAnsi" w:hAnsiTheme="minorHAnsi"/>
              <w:noProof/>
              <w:kern w:val="2"/>
              <w:lang w:eastAsia="en-AU"/>
              <w14:ligatures w14:val="standardContextual"/>
            </w:rPr>
          </w:pPr>
          <w:hyperlink w:anchor="_Toc169517531" w:history="1">
            <w:r w:rsidR="00F32776" w:rsidRPr="00F32776">
              <w:rPr>
                <w:rStyle w:val="Hyperlink"/>
                <w:noProof/>
                <w:sz w:val="22"/>
                <w:szCs w:val="22"/>
              </w:rPr>
              <w:t>Civil remedy</w:t>
            </w:r>
            <w:r w:rsidR="00F32776" w:rsidRPr="00F32776">
              <w:rPr>
                <w:noProof/>
                <w:webHidden/>
                <w:sz w:val="22"/>
                <w:szCs w:val="22"/>
              </w:rPr>
              <w:tab/>
            </w:r>
            <w:r w:rsidR="00F32776" w:rsidRPr="00F32776">
              <w:rPr>
                <w:noProof/>
                <w:webHidden/>
                <w:sz w:val="22"/>
                <w:szCs w:val="22"/>
              </w:rPr>
              <w:fldChar w:fldCharType="begin"/>
            </w:r>
            <w:r w:rsidR="00F32776" w:rsidRPr="00F32776">
              <w:rPr>
                <w:noProof/>
                <w:webHidden/>
                <w:sz w:val="22"/>
                <w:szCs w:val="22"/>
              </w:rPr>
              <w:instrText xml:space="preserve"> PAGEREF _Toc169517531 \h </w:instrText>
            </w:r>
            <w:r w:rsidR="00F32776" w:rsidRPr="00F32776">
              <w:rPr>
                <w:noProof/>
                <w:webHidden/>
                <w:sz w:val="22"/>
                <w:szCs w:val="22"/>
              </w:rPr>
            </w:r>
            <w:r w:rsidR="00F32776" w:rsidRPr="00F32776">
              <w:rPr>
                <w:noProof/>
                <w:webHidden/>
                <w:sz w:val="22"/>
                <w:szCs w:val="22"/>
              </w:rPr>
              <w:fldChar w:fldCharType="separate"/>
            </w:r>
            <w:r w:rsidR="00F32776" w:rsidRPr="00F32776">
              <w:rPr>
                <w:noProof/>
                <w:webHidden/>
                <w:sz w:val="22"/>
                <w:szCs w:val="22"/>
              </w:rPr>
              <w:t>6</w:t>
            </w:r>
            <w:r w:rsidR="00F32776" w:rsidRPr="00F32776">
              <w:rPr>
                <w:noProof/>
                <w:webHidden/>
                <w:sz w:val="22"/>
                <w:szCs w:val="22"/>
              </w:rPr>
              <w:fldChar w:fldCharType="end"/>
            </w:r>
          </w:hyperlink>
        </w:p>
        <w:p w14:paraId="091C5C8E" w14:textId="34776022" w:rsidR="00F32776" w:rsidRDefault="00FF689A">
          <w:pPr>
            <w:pStyle w:val="TOC1"/>
            <w:rPr>
              <w:rFonts w:asciiTheme="minorHAnsi" w:hAnsiTheme="minorHAnsi"/>
              <w:noProof/>
              <w:kern w:val="2"/>
              <w:lang w:eastAsia="en-AU"/>
              <w14:ligatures w14:val="standardContextual"/>
            </w:rPr>
          </w:pPr>
          <w:hyperlink w:anchor="_Toc169517532" w:history="1">
            <w:r w:rsidR="00F32776" w:rsidRPr="00136D73">
              <w:rPr>
                <w:rStyle w:val="Hyperlink"/>
                <w:noProof/>
              </w:rPr>
              <w:t>Conclusion</w:t>
            </w:r>
            <w:r w:rsidR="00F32776">
              <w:rPr>
                <w:noProof/>
                <w:webHidden/>
              </w:rPr>
              <w:tab/>
            </w:r>
            <w:r w:rsidR="00F32776">
              <w:rPr>
                <w:noProof/>
                <w:webHidden/>
              </w:rPr>
              <w:fldChar w:fldCharType="begin"/>
            </w:r>
            <w:r w:rsidR="00F32776">
              <w:rPr>
                <w:noProof/>
                <w:webHidden/>
              </w:rPr>
              <w:instrText xml:space="preserve"> PAGEREF _Toc169517532 \h </w:instrText>
            </w:r>
            <w:r w:rsidR="00F32776">
              <w:rPr>
                <w:noProof/>
                <w:webHidden/>
              </w:rPr>
            </w:r>
            <w:r w:rsidR="00F32776">
              <w:rPr>
                <w:noProof/>
                <w:webHidden/>
              </w:rPr>
              <w:fldChar w:fldCharType="separate"/>
            </w:r>
            <w:r w:rsidR="00F32776">
              <w:rPr>
                <w:noProof/>
                <w:webHidden/>
              </w:rPr>
              <w:t>7</w:t>
            </w:r>
            <w:r w:rsidR="00F32776">
              <w:rPr>
                <w:noProof/>
                <w:webHidden/>
              </w:rPr>
              <w:fldChar w:fldCharType="end"/>
            </w:r>
          </w:hyperlink>
        </w:p>
        <w:p w14:paraId="2017700E" w14:textId="73C1C95E" w:rsidR="00F32776" w:rsidRPr="00162C91" w:rsidRDefault="00FF689A">
          <w:pPr>
            <w:pStyle w:val="TOC1"/>
            <w:rPr>
              <w:rFonts w:asciiTheme="minorHAnsi" w:hAnsiTheme="minorHAnsi"/>
              <w:noProof/>
              <w:kern w:val="2"/>
              <w:sz w:val="22"/>
              <w:szCs w:val="22"/>
              <w:lang w:eastAsia="en-AU"/>
              <w14:ligatures w14:val="standardContextual"/>
            </w:rPr>
          </w:pPr>
          <w:hyperlink w:anchor="_Toc169517533" w:history="1">
            <w:r w:rsidR="00F32776" w:rsidRPr="00162C91">
              <w:rPr>
                <w:rStyle w:val="Hyperlink"/>
                <w:noProof/>
                <w:sz w:val="22"/>
                <w:szCs w:val="22"/>
              </w:rPr>
              <w:t>Appendix 1 – Serious vilification (offence)</w:t>
            </w:r>
            <w:r w:rsidR="00F32776" w:rsidRPr="00162C91">
              <w:rPr>
                <w:noProof/>
                <w:webHidden/>
                <w:sz w:val="22"/>
                <w:szCs w:val="22"/>
              </w:rPr>
              <w:tab/>
            </w:r>
            <w:r w:rsidR="00F32776" w:rsidRPr="00162C91">
              <w:rPr>
                <w:noProof/>
                <w:webHidden/>
                <w:sz w:val="22"/>
                <w:szCs w:val="22"/>
              </w:rPr>
              <w:fldChar w:fldCharType="begin"/>
            </w:r>
            <w:r w:rsidR="00F32776" w:rsidRPr="00162C91">
              <w:rPr>
                <w:noProof/>
                <w:webHidden/>
                <w:sz w:val="22"/>
                <w:szCs w:val="22"/>
              </w:rPr>
              <w:instrText xml:space="preserve"> PAGEREF _Toc169517533 \h </w:instrText>
            </w:r>
            <w:r w:rsidR="00F32776" w:rsidRPr="00162C91">
              <w:rPr>
                <w:noProof/>
                <w:webHidden/>
                <w:sz w:val="22"/>
                <w:szCs w:val="22"/>
              </w:rPr>
            </w:r>
            <w:r w:rsidR="00F32776" w:rsidRPr="00162C91">
              <w:rPr>
                <w:noProof/>
                <w:webHidden/>
                <w:sz w:val="22"/>
                <w:szCs w:val="22"/>
              </w:rPr>
              <w:fldChar w:fldCharType="separate"/>
            </w:r>
            <w:r w:rsidR="00F32776" w:rsidRPr="00162C91">
              <w:rPr>
                <w:noProof/>
                <w:webHidden/>
                <w:sz w:val="22"/>
                <w:szCs w:val="22"/>
              </w:rPr>
              <w:t>9</w:t>
            </w:r>
            <w:r w:rsidR="00F32776" w:rsidRPr="00162C91">
              <w:rPr>
                <w:noProof/>
                <w:webHidden/>
                <w:sz w:val="22"/>
                <w:szCs w:val="22"/>
              </w:rPr>
              <w:fldChar w:fldCharType="end"/>
            </w:r>
          </w:hyperlink>
        </w:p>
        <w:p w14:paraId="3E3292F7" w14:textId="714FCE76" w:rsidR="00F32776" w:rsidRPr="00162C91" w:rsidRDefault="00FF689A">
          <w:pPr>
            <w:pStyle w:val="TOC1"/>
            <w:rPr>
              <w:rFonts w:asciiTheme="minorHAnsi" w:hAnsiTheme="minorHAnsi"/>
              <w:noProof/>
              <w:kern w:val="2"/>
              <w:sz w:val="22"/>
              <w:szCs w:val="22"/>
              <w:lang w:eastAsia="en-AU"/>
              <w14:ligatures w14:val="standardContextual"/>
            </w:rPr>
          </w:pPr>
          <w:hyperlink w:anchor="_Toc169517534" w:history="1">
            <w:r w:rsidR="00F32776" w:rsidRPr="00162C91">
              <w:rPr>
                <w:rStyle w:val="Hyperlink"/>
                <w:noProof/>
                <w:sz w:val="22"/>
                <w:szCs w:val="22"/>
              </w:rPr>
              <w:t>Appendix 2 – Vilification (civil remedy)</w:t>
            </w:r>
            <w:r w:rsidR="00F32776" w:rsidRPr="00162C91">
              <w:rPr>
                <w:noProof/>
                <w:webHidden/>
                <w:sz w:val="22"/>
                <w:szCs w:val="22"/>
              </w:rPr>
              <w:tab/>
            </w:r>
            <w:r w:rsidR="00F32776" w:rsidRPr="00162C91">
              <w:rPr>
                <w:noProof/>
                <w:webHidden/>
                <w:sz w:val="22"/>
                <w:szCs w:val="22"/>
              </w:rPr>
              <w:fldChar w:fldCharType="begin"/>
            </w:r>
            <w:r w:rsidR="00F32776" w:rsidRPr="00162C91">
              <w:rPr>
                <w:noProof/>
                <w:webHidden/>
                <w:sz w:val="22"/>
                <w:szCs w:val="22"/>
              </w:rPr>
              <w:instrText xml:space="preserve"> PAGEREF _Toc169517534 \h </w:instrText>
            </w:r>
            <w:r w:rsidR="00F32776" w:rsidRPr="00162C91">
              <w:rPr>
                <w:noProof/>
                <w:webHidden/>
                <w:sz w:val="22"/>
                <w:szCs w:val="22"/>
              </w:rPr>
            </w:r>
            <w:r w:rsidR="00F32776" w:rsidRPr="00162C91">
              <w:rPr>
                <w:noProof/>
                <w:webHidden/>
                <w:sz w:val="22"/>
                <w:szCs w:val="22"/>
              </w:rPr>
              <w:fldChar w:fldCharType="separate"/>
            </w:r>
            <w:r w:rsidR="00F32776" w:rsidRPr="00162C91">
              <w:rPr>
                <w:noProof/>
                <w:webHidden/>
                <w:sz w:val="22"/>
                <w:szCs w:val="22"/>
              </w:rPr>
              <w:t>10</w:t>
            </w:r>
            <w:r w:rsidR="00F32776" w:rsidRPr="00162C91">
              <w:rPr>
                <w:noProof/>
                <w:webHidden/>
                <w:sz w:val="22"/>
                <w:szCs w:val="22"/>
              </w:rPr>
              <w:fldChar w:fldCharType="end"/>
            </w:r>
          </w:hyperlink>
        </w:p>
        <w:p w14:paraId="3D3F6708" w14:textId="353CEB51" w:rsidR="00A16356" w:rsidRPr="00041E58" w:rsidRDefault="00A16356" w:rsidP="0022037D">
          <w:pPr>
            <w:spacing w:before="120" w:after="120"/>
            <w:rPr>
              <w:rFonts w:cs="Arial"/>
            </w:rPr>
          </w:pPr>
          <w:r w:rsidRPr="00857062">
            <w:rPr>
              <w:rFonts w:cs="Arial"/>
              <w:b/>
              <w:bCs/>
              <w:noProof/>
            </w:rPr>
            <w:fldChar w:fldCharType="end"/>
          </w:r>
        </w:p>
      </w:sdtContent>
    </w:sdt>
    <w:p w14:paraId="44607B91" w14:textId="77777777" w:rsidR="004A2375" w:rsidRDefault="004A2375">
      <w:pPr>
        <w:rPr>
          <w:rFonts w:eastAsiaTheme="majorEastAsia" w:cstheme="majorBidi"/>
          <w:b/>
          <w:color w:val="365F91" w:themeColor="accent1" w:themeShade="BF"/>
          <w:sz w:val="28"/>
          <w:szCs w:val="32"/>
        </w:rPr>
        <w:sectPr w:rsidR="004A2375" w:rsidSect="00A44DFA">
          <w:footerReference w:type="default" r:id="rId9"/>
          <w:headerReference w:type="first" r:id="rId10"/>
          <w:footerReference w:type="first" r:id="rId11"/>
          <w:pgSz w:w="11900" w:h="16840" w:code="9"/>
          <w:pgMar w:top="992" w:right="1474" w:bottom="1440" w:left="1474" w:header="709" w:footer="709" w:gutter="0"/>
          <w:pgNumType w:start="0"/>
          <w:cols w:space="708"/>
          <w:titlePg/>
          <w:docGrid w:linePitch="360"/>
        </w:sectPr>
      </w:pPr>
    </w:p>
    <w:p w14:paraId="3CC09626" w14:textId="77777777" w:rsidR="00A44DFA" w:rsidRPr="00FF689A" w:rsidRDefault="00A44DFA" w:rsidP="00E23405">
      <w:pPr>
        <w:pStyle w:val="Heading1"/>
        <w:rPr>
          <w:color w:val="004270"/>
        </w:rPr>
      </w:pPr>
      <w:bookmarkStart w:id="0" w:name="_Toc169517525"/>
      <w:r w:rsidRPr="00FF689A">
        <w:rPr>
          <w:color w:val="004270"/>
        </w:rPr>
        <w:lastRenderedPageBreak/>
        <w:t>About this submission</w:t>
      </w:r>
      <w:bookmarkEnd w:id="0"/>
    </w:p>
    <w:p w14:paraId="434CFBDB" w14:textId="5A8BF1DC" w:rsidR="00A44DFA" w:rsidRPr="00E23405" w:rsidRDefault="00A44DFA" w:rsidP="008B79F8">
      <w:pPr>
        <w:pStyle w:val="ListParagraph"/>
        <w:numPr>
          <w:ilvl w:val="0"/>
          <w:numId w:val="6"/>
        </w:numPr>
        <w:spacing w:before="120" w:after="240" w:line="278" w:lineRule="auto"/>
        <w:ind w:left="425" w:hanging="425"/>
        <w:contextualSpacing w:val="0"/>
        <w:rPr>
          <w:sz w:val="22"/>
          <w:szCs w:val="22"/>
        </w:rPr>
      </w:pPr>
      <w:r w:rsidRPr="00E23405">
        <w:rPr>
          <w:sz w:val="22"/>
          <w:szCs w:val="22"/>
        </w:rPr>
        <w:t xml:space="preserve">This submission </w:t>
      </w:r>
      <w:r w:rsidR="008B4ED9" w:rsidRPr="00E23405">
        <w:rPr>
          <w:sz w:val="22"/>
          <w:szCs w:val="22"/>
        </w:rPr>
        <w:t xml:space="preserve">by the </w:t>
      </w:r>
      <w:r w:rsidR="008B4ED9" w:rsidRPr="00E23405">
        <w:rPr>
          <w:rFonts w:cs="Arial"/>
          <w:sz w:val="22"/>
          <w:szCs w:val="22"/>
        </w:rPr>
        <w:t xml:space="preserve">Queensland Human Rights Commission (the </w:t>
      </w:r>
      <w:r w:rsidR="008B4ED9" w:rsidRPr="00E23405">
        <w:rPr>
          <w:rFonts w:cs="Arial"/>
          <w:b/>
          <w:bCs/>
          <w:sz w:val="22"/>
          <w:szCs w:val="22"/>
        </w:rPr>
        <w:t>Commission</w:t>
      </w:r>
      <w:r w:rsidR="008B4ED9" w:rsidRPr="00E23405">
        <w:rPr>
          <w:rFonts w:cs="Arial"/>
          <w:sz w:val="22"/>
          <w:szCs w:val="22"/>
        </w:rPr>
        <w:t xml:space="preserve">) </w:t>
      </w:r>
      <w:r w:rsidRPr="00E23405">
        <w:rPr>
          <w:sz w:val="22"/>
          <w:szCs w:val="22"/>
        </w:rPr>
        <w:t xml:space="preserve">focuses on </w:t>
      </w:r>
      <w:r w:rsidR="0084672F">
        <w:rPr>
          <w:sz w:val="22"/>
          <w:szCs w:val="22"/>
        </w:rPr>
        <w:t>achieving</w:t>
      </w:r>
      <w:r w:rsidR="00E94875">
        <w:rPr>
          <w:sz w:val="22"/>
          <w:szCs w:val="22"/>
        </w:rPr>
        <w:t xml:space="preserve"> </w:t>
      </w:r>
      <w:r w:rsidRPr="00E23405">
        <w:rPr>
          <w:sz w:val="22"/>
          <w:szCs w:val="22"/>
        </w:rPr>
        <w:t xml:space="preserve">better protection for people who are the subjects of online hate and online vilification.  </w:t>
      </w:r>
    </w:p>
    <w:p w14:paraId="26B841CC" w14:textId="77777777" w:rsidR="00E23405" w:rsidRPr="00E23405" w:rsidRDefault="00E23405" w:rsidP="008B79F8">
      <w:pPr>
        <w:pStyle w:val="ListParagraph"/>
        <w:numPr>
          <w:ilvl w:val="0"/>
          <w:numId w:val="6"/>
        </w:numPr>
        <w:spacing w:before="120" w:after="240" w:line="278" w:lineRule="auto"/>
        <w:ind w:left="425" w:hanging="425"/>
        <w:contextualSpacing w:val="0"/>
        <w:rPr>
          <w:sz w:val="22"/>
          <w:szCs w:val="22"/>
        </w:rPr>
      </w:pPr>
      <w:r w:rsidRPr="00E23405">
        <w:rPr>
          <w:sz w:val="22"/>
          <w:szCs w:val="22"/>
        </w:rPr>
        <w:t>The Commission notes:</w:t>
      </w:r>
    </w:p>
    <w:p w14:paraId="1F5FD720" w14:textId="77777777" w:rsidR="00E23405" w:rsidRPr="00E23405" w:rsidRDefault="008B4ED9" w:rsidP="00C87A0D">
      <w:pPr>
        <w:pStyle w:val="ListParagraph"/>
        <w:numPr>
          <w:ilvl w:val="1"/>
          <w:numId w:val="6"/>
        </w:numPr>
        <w:spacing w:before="120" w:after="240" w:line="278" w:lineRule="auto"/>
        <w:ind w:left="993" w:hanging="426"/>
        <w:contextualSpacing w:val="0"/>
        <w:rPr>
          <w:sz w:val="22"/>
          <w:szCs w:val="22"/>
        </w:rPr>
      </w:pPr>
      <w:r w:rsidRPr="00E23405">
        <w:rPr>
          <w:sz w:val="22"/>
          <w:szCs w:val="22"/>
        </w:rPr>
        <w:t xml:space="preserve">The objects of the </w:t>
      </w:r>
      <w:r w:rsidRPr="00E23405">
        <w:rPr>
          <w:i/>
          <w:iCs/>
          <w:sz w:val="22"/>
          <w:szCs w:val="22"/>
        </w:rPr>
        <w:t>Online Safety Act 2021</w:t>
      </w:r>
      <w:r w:rsidRPr="00E23405">
        <w:rPr>
          <w:sz w:val="22"/>
          <w:szCs w:val="22"/>
        </w:rPr>
        <w:t xml:space="preserve"> (</w:t>
      </w:r>
      <w:proofErr w:type="spellStart"/>
      <w:r w:rsidRPr="00E23405">
        <w:rPr>
          <w:sz w:val="22"/>
          <w:szCs w:val="22"/>
        </w:rPr>
        <w:t>Cth</w:t>
      </w:r>
      <w:proofErr w:type="spellEnd"/>
      <w:r w:rsidRPr="00E23405">
        <w:rPr>
          <w:sz w:val="22"/>
          <w:szCs w:val="22"/>
        </w:rPr>
        <w:t xml:space="preserve">) are to improve and promote </w:t>
      </w:r>
      <w:r w:rsidR="00EB3089" w:rsidRPr="00E23405">
        <w:rPr>
          <w:sz w:val="22"/>
          <w:szCs w:val="22"/>
        </w:rPr>
        <w:t xml:space="preserve">online safety for Australians.  </w:t>
      </w:r>
    </w:p>
    <w:p w14:paraId="55EA6CFF" w14:textId="142ACEBA" w:rsidR="00E23405" w:rsidRPr="00E23405" w:rsidRDefault="00EB3089" w:rsidP="00C87A0D">
      <w:pPr>
        <w:pStyle w:val="ListParagraph"/>
        <w:numPr>
          <w:ilvl w:val="1"/>
          <w:numId w:val="6"/>
        </w:numPr>
        <w:spacing w:before="120" w:after="240" w:line="278" w:lineRule="auto"/>
        <w:ind w:left="993" w:hanging="426"/>
        <w:contextualSpacing w:val="0"/>
        <w:rPr>
          <w:sz w:val="22"/>
          <w:szCs w:val="22"/>
        </w:rPr>
      </w:pPr>
      <w:r w:rsidRPr="00E23405">
        <w:rPr>
          <w:sz w:val="22"/>
          <w:szCs w:val="22"/>
        </w:rPr>
        <w:t xml:space="preserve">The </w:t>
      </w:r>
      <w:r w:rsidRPr="0026020E">
        <w:rPr>
          <w:color w:val="000000" w:themeColor="text1"/>
          <w:sz w:val="22"/>
          <w:szCs w:val="22"/>
        </w:rPr>
        <w:t xml:space="preserve">Office </w:t>
      </w:r>
      <w:r w:rsidRPr="00E23405">
        <w:rPr>
          <w:sz w:val="22"/>
          <w:szCs w:val="22"/>
        </w:rPr>
        <w:t xml:space="preserve">of the </w:t>
      </w:r>
      <w:proofErr w:type="spellStart"/>
      <w:r w:rsidRPr="00E23405">
        <w:rPr>
          <w:sz w:val="22"/>
          <w:szCs w:val="22"/>
        </w:rPr>
        <w:t>eSafety</w:t>
      </w:r>
      <w:proofErr w:type="spellEnd"/>
      <w:r w:rsidRPr="00E23405">
        <w:rPr>
          <w:sz w:val="22"/>
          <w:szCs w:val="22"/>
        </w:rPr>
        <w:t xml:space="preserve"> Commissioner administers </w:t>
      </w:r>
      <w:r w:rsidR="002C439E" w:rsidRPr="00E23405">
        <w:rPr>
          <w:sz w:val="22"/>
          <w:szCs w:val="22"/>
        </w:rPr>
        <w:t xml:space="preserve">four </w:t>
      </w:r>
      <w:r w:rsidRPr="00E23405">
        <w:rPr>
          <w:sz w:val="22"/>
          <w:szCs w:val="22"/>
        </w:rPr>
        <w:t>complaint</w:t>
      </w:r>
      <w:r w:rsidR="002C439E" w:rsidRPr="00E23405">
        <w:rPr>
          <w:sz w:val="22"/>
          <w:szCs w:val="22"/>
        </w:rPr>
        <w:t xml:space="preserve"> and content-based removal</w:t>
      </w:r>
      <w:r w:rsidRPr="00E23405">
        <w:rPr>
          <w:sz w:val="22"/>
          <w:szCs w:val="22"/>
        </w:rPr>
        <w:t xml:space="preserve"> schemes</w:t>
      </w:r>
      <w:r w:rsidR="005267CA" w:rsidRPr="00E23405">
        <w:rPr>
          <w:sz w:val="22"/>
          <w:szCs w:val="22"/>
        </w:rPr>
        <w:t xml:space="preserve"> for specific types of harmful online material</w:t>
      </w:r>
      <w:r w:rsidR="002C439E" w:rsidRPr="00E23405">
        <w:rPr>
          <w:sz w:val="22"/>
          <w:szCs w:val="22"/>
        </w:rPr>
        <w:t xml:space="preserve">: the child cyberbullying scheme; the adult cyber-abuse scheme; the non-consensual sharing </w:t>
      </w:r>
      <w:r w:rsidR="005267CA" w:rsidRPr="00E23405">
        <w:rPr>
          <w:sz w:val="22"/>
          <w:szCs w:val="22"/>
        </w:rPr>
        <w:t xml:space="preserve">of intimate images scheme; and the </w:t>
      </w:r>
      <w:r w:rsidR="00F64EEC">
        <w:rPr>
          <w:sz w:val="22"/>
          <w:szCs w:val="22"/>
        </w:rPr>
        <w:t>o</w:t>
      </w:r>
      <w:r w:rsidR="005267CA" w:rsidRPr="00E23405">
        <w:rPr>
          <w:sz w:val="22"/>
          <w:szCs w:val="22"/>
        </w:rPr>
        <w:t xml:space="preserve">nline </w:t>
      </w:r>
      <w:r w:rsidR="00F64EEC">
        <w:rPr>
          <w:sz w:val="22"/>
          <w:szCs w:val="22"/>
        </w:rPr>
        <w:t>c</w:t>
      </w:r>
      <w:r w:rsidR="005267CA" w:rsidRPr="00E23405">
        <w:rPr>
          <w:sz w:val="22"/>
          <w:szCs w:val="22"/>
        </w:rPr>
        <w:t xml:space="preserve">ontent </w:t>
      </w:r>
      <w:r w:rsidR="00F64EEC">
        <w:rPr>
          <w:sz w:val="22"/>
          <w:szCs w:val="22"/>
        </w:rPr>
        <w:t>s</w:t>
      </w:r>
      <w:r w:rsidR="005267CA" w:rsidRPr="00E23405">
        <w:rPr>
          <w:sz w:val="22"/>
          <w:szCs w:val="22"/>
        </w:rPr>
        <w:t xml:space="preserve">cheme.  </w:t>
      </w:r>
    </w:p>
    <w:p w14:paraId="2D0D2807" w14:textId="77777777" w:rsidR="00E23405" w:rsidRPr="00E23405" w:rsidRDefault="005267CA" w:rsidP="00C87A0D">
      <w:pPr>
        <w:pStyle w:val="ListParagraph"/>
        <w:numPr>
          <w:ilvl w:val="1"/>
          <w:numId w:val="6"/>
        </w:numPr>
        <w:spacing w:before="120" w:after="240" w:line="278" w:lineRule="auto"/>
        <w:ind w:left="993" w:hanging="426"/>
        <w:contextualSpacing w:val="0"/>
        <w:rPr>
          <w:sz w:val="22"/>
          <w:szCs w:val="22"/>
        </w:rPr>
      </w:pPr>
      <w:r w:rsidRPr="00E23405">
        <w:rPr>
          <w:sz w:val="22"/>
          <w:szCs w:val="22"/>
        </w:rPr>
        <w:t xml:space="preserve">For each scheme, the </w:t>
      </w:r>
      <w:proofErr w:type="spellStart"/>
      <w:r w:rsidRPr="00E23405">
        <w:rPr>
          <w:sz w:val="22"/>
          <w:szCs w:val="22"/>
        </w:rPr>
        <w:t>eSafety</w:t>
      </w:r>
      <w:proofErr w:type="spellEnd"/>
      <w:r w:rsidRPr="00E23405">
        <w:rPr>
          <w:sz w:val="22"/>
          <w:szCs w:val="22"/>
        </w:rPr>
        <w:t xml:space="preserve"> Commissioner can issue a removal notice requiring harmful content to be removed.  </w:t>
      </w:r>
    </w:p>
    <w:p w14:paraId="4B0E30A0" w14:textId="77777777" w:rsidR="00E23405" w:rsidRPr="00E23405" w:rsidRDefault="005267CA" w:rsidP="00C87A0D">
      <w:pPr>
        <w:pStyle w:val="ListParagraph"/>
        <w:numPr>
          <w:ilvl w:val="1"/>
          <w:numId w:val="6"/>
        </w:numPr>
        <w:spacing w:before="120" w:after="240" w:line="278" w:lineRule="auto"/>
        <w:ind w:left="993" w:hanging="426"/>
        <w:contextualSpacing w:val="0"/>
        <w:rPr>
          <w:sz w:val="22"/>
          <w:szCs w:val="22"/>
        </w:rPr>
      </w:pPr>
      <w:r w:rsidRPr="00E23405">
        <w:rPr>
          <w:sz w:val="22"/>
          <w:szCs w:val="22"/>
        </w:rPr>
        <w:t xml:space="preserve">The </w:t>
      </w:r>
      <w:proofErr w:type="spellStart"/>
      <w:r w:rsidRPr="00E23405">
        <w:rPr>
          <w:sz w:val="22"/>
          <w:szCs w:val="22"/>
        </w:rPr>
        <w:t>eSafety</w:t>
      </w:r>
      <w:proofErr w:type="spellEnd"/>
      <w:r w:rsidRPr="00E23405">
        <w:rPr>
          <w:sz w:val="22"/>
          <w:szCs w:val="22"/>
        </w:rPr>
        <w:t xml:space="preserve"> Commissioner also has power to require </w:t>
      </w:r>
      <w:r w:rsidR="00832CF1" w:rsidRPr="00E23405">
        <w:rPr>
          <w:sz w:val="22"/>
          <w:szCs w:val="22"/>
        </w:rPr>
        <w:t>a website or hosting service to block</w:t>
      </w:r>
      <w:r w:rsidRPr="00E23405">
        <w:rPr>
          <w:sz w:val="22"/>
          <w:szCs w:val="22"/>
        </w:rPr>
        <w:t xml:space="preserve"> material depicting abhorrent violent conduct.</w:t>
      </w:r>
      <w:r w:rsidRPr="00E23405">
        <w:rPr>
          <w:rStyle w:val="FootnoteReference"/>
          <w:sz w:val="22"/>
          <w:szCs w:val="22"/>
        </w:rPr>
        <w:footnoteReference w:id="1"/>
      </w:r>
    </w:p>
    <w:p w14:paraId="2974CA01" w14:textId="77777777" w:rsidR="00E23405" w:rsidRPr="00E23405" w:rsidRDefault="00C343A5" w:rsidP="00C87A0D">
      <w:pPr>
        <w:pStyle w:val="ListParagraph"/>
        <w:numPr>
          <w:ilvl w:val="1"/>
          <w:numId w:val="6"/>
        </w:numPr>
        <w:spacing w:before="120" w:after="240" w:line="278" w:lineRule="auto"/>
        <w:ind w:left="993" w:hanging="426"/>
        <w:contextualSpacing w:val="0"/>
        <w:rPr>
          <w:sz w:val="22"/>
          <w:szCs w:val="22"/>
        </w:rPr>
      </w:pPr>
      <w:r w:rsidRPr="00E23405">
        <w:rPr>
          <w:sz w:val="22"/>
          <w:szCs w:val="22"/>
        </w:rPr>
        <w:t xml:space="preserve">Complaints under the schemes may be made by the targeted individual </w:t>
      </w:r>
      <w:r w:rsidR="00D250C7" w:rsidRPr="00E23405">
        <w:rPr>
          <w:sz w:val="22"/>
          <w:szCs w:val="22"/>
        </w:rPr>
        <w:t xml:space="preserve">or a person authorised by the targeted individual (or responsible person for a child).  </w:t>
      </w:r>
    </w:p>
    <w:p w14:paraId="3E9C1877" w14:textId="5CC277EF" w:rsidR="00C343A5" w:rsidRPr="00E23405" w:rsidRDefault="00D250C7" w:rsidP="00C87A0D">
      <w:pPr>
        <w:pStyle w:val="ListParagraph"/>
        <w:numPr>
          <w:ilvl w:val="1"/>
          <w:numId w:val="6"/>
        </w:numPr>
        <w:spacing w:before="120" w:after="240" w:line="278" w:lineRule="auto"/>
        <w:ind w:left="993" w:hanging="426"/>
        <w:contextualSpacing w:val="0"/>
        <w:rPr>
          <w:sz w:val="22"/>
          <w:szCs w:val="22"/>
        </w:rPr>
      </w:pPr>
      <w:r w:rsidRPr="00E23405">
        <w:rPr>
          <w:sz w:val="22"/>
          <w:szCs w:val="22"/>
        </w:rPr>
        <w:t xml:space="preserve">The schemes may not cover a person affected by an abusive post targeted at a group of people (such as a race or </w:t>
      </w:r>
      <w:r w:rsidR="006D235D">
        <w:rPr>
          <w:sz w:val="22"/>
          <w:szCs w:val="22"/>
        </w:rPr>
        <w:t xml:space="preserve">people with a </w:t>
      </w:r>
      <w:r w:rsidRPr="00E23405">
        <w:rPr>
          <w:sz w:val="22"/>
          <w:szCs w:val="22"/>
        </w:rPr>
        <w:t xml:space="preserve">religious belief), or complaints by </w:t>
      </w:r>
      <w:r w:rsidR="002244E7">
        <w:rPr>
          <w:sz w:val="22"/>
          <w:szCs w:val="22"/>
        </w:rPr>
        <w:t xml:space="preserve">someone other than the </w:t>
      </w:r>
      <w:r w:rsidRPr="00E23405">
        <w:rPr>
          <w:sz w:val="22"/>
          <w:szCs w:val="22"/>
        </w:rPr>
        <w:t>targeted individual.</w:t>
      </w:r>
    </w:p>
    <w:p w14:paraId="7B66E868" w14:textId="3D24B23C" w:rsidR="00A44DFA" w:rsidRPr="00E23405" w:rsidRDefault="008B4ED9" w:rsidP="008B79F8">
      <w:pPr>
        <w:pStyle w:val="ListParagraph"/>
        <w:numPr>
          <w:ilvl w:val="0"/>
          <w:numId w:val="6"/>
        </w:numPr>
        <w:spacing w:before="120" w:after="120" w:line="278" w:lineRule="auto"/>
        <w:ind w:left="425" w:hanging="425"/>
        <w:contextualSpacing w:val="0"/>
        <w:rPr>
          <w:sz w:val="22"/>
          <w:szCs w:val="22"/>
        </w:rPr>
      </w:pPr>
      <w:r w:rsidRPr="00E23405">
        <w:rPr>
          <w:sz w:val="22"/>
          <w:szCs w:val="22"/>
        </w:rPr>
        <w:t>The Commission</w:t>
      </w:r>
      <w:r w:rsidR="00A44DFA" w:rsidRPr="00E23405">
        <w:rPr>
          <w:sz w:val="22"/>
          <w:szCs w:val="22"/>
        </w:rPr>
        <w:t xml:space="preserve"> </w:t>
      </w:r>
      <w:r w:rsidR="00832CF1" w:rsidRPr="00E23405">
        <w:rPr>
          <w:sz w:val="22"/>
          <w:szCs w:val="22"/>
        </w:rPr>
        <w:t xml:space="preserve">recommends </w:t>
      </w:r>
      <w:r w:rsidR="00A44DFA" w:rsidRPr="00E23405">
        <w:rPr>
          <w:sz w:val="22"/>
          <w:szCs w:val="22"/>
        </w:rPr>
        <w:t>that:</w:t>
      </w:r>
    </w:p>
    <w:p w14:paraId="35EED48B" w14:textId="2E2C20A7" w:rsidR="00A44DFA" w:rsidRPr="00E23405" w:rsidRDefault="00A44DFA" w:rsidP="008B79F8">
      <w:pPr>
        <w:pStyle w:val="ListParagraph"/>
        <w:numPr>
          <w:ilvl w:val="0"/>
          <w:numId w:val="7"/>
        </w:numPr>
        <w:spacing w:before="120" w:after="120" w:line="278" w:lineRule="auto"/>
        <w:ind w:left="1134" w:hanging="425"/>
        <w:contextualSpacing w:val="0"/>
        <w:rPr>
          <w:sz w:val="22"/>
          <w:szCs w:val="22"/>
        </w:rPr>
      </w:pPr>
      <w:r w:rsidRPr="00E23405">
        <w:rPr>
          <w:sz w:val="22"/>
          <w:szCs w:val="22"/>
        </w:rPr>
        <w:t xml:space="preserve">A new scheme is created for </w:t>
      </w:r>
      <w:r w:rsidR="003E7FC4">
        <w:rPr>
          <w:sz w:val="22"/>
          <w:szCs w:val="22"/>
        </w:rPr>
        <w:t xml:space="preserve">reporting </w:t>
      </w:r>
      <w:r w:rsidRPr="00E23405">
        <w:rPr>
          <w:sz w:val="22"/>
          <w:szCs w:val="22"/>
        </w:rPr>
        <w:t>online hate and online vilification.</w:t>
      </w:r>
    </w:p>
    <w:p w14:paraId="265CAE97" w14:textId="76AFA4B8" w:rsidR="00A44DFA" w:rsidRPr="00E23405" w:rsidRDefault="00A44DFA" w:rsidP="008B79F8">
      <w:pPr>
        <w:pStyle w:val="ListParagraph"/>
        <w:numPr>
          <w:ilvl w:val="0"/>
          <w:numId w:val="7"/>
        </w:numPr>
        <w:spacing w:before="120" w:after="120" w:line="278" w:lineRule="auto"/>
        <w:ind w:left="1134" w:hanging="425"/>
        <w:contextualSpacing w:val="0"/>
        <w:rPr>
          <w:sz w:val="22"/>
          <w:szCs w:val="22"/>
        </w:rPr>
      </w:pPr>
      <w:r w:rsidRPr="00E23405">
        <w:rPr>
          <w:sz w:val="22"/>
          <w:szCs w:val="22"/>
        </w:rPr>
        <w:t xml:space="preserve">The scheme and powers of the </w:t>
      </w:r>
      <w:proofErr w:type="spellStart"/>
      <w:r w:rsidRPr="00E23405">
        <w:rPr>
          <w:sz w:val="22"/>
          <w:szCs w:val="22"/>
        </w:rPr>
        <w:t>eSafety</w:t>
      </w:r>
      <w:proofErr w:type="spellEnd"/>
      <w:r w:rsidRPr="00E23405">
        <w:rPr>
          <w:sz w:val="22"/>
          <w:szCs w:val="22"/>
        </w:rPr>
        <w:t xml:space="preserve"> Commissioner include </w:t>
      </w:r>
      <w:r w:rsidR="003E7FC4">
        <w:rPr>
          <w:sz w:val="22"/>
          <w:szCs w:val="22"/>
        </w:rPr>
        <w:t xml:space="preserve">dealing with </w:t>
      </w:r>
      <w:r w:rsidRPr="00E23405">
        <w:rPr>
          <w:sz w:val="22"/>
          <w:szCs w:val="22"/>
        </w:rPr>
        <w:t>hate and vilification about a group of people as well as individuals.</w:t>
      </w:r>
    </w:p>
    <w:p w14:paraId="4CA2A561" w14:textId="1E3C8C32" w:rsidR="00C87A0D" w:rsidRDefault="00A44DFA" w:rsidP="008B79F8">
      <w:pPr>
        <w:pStyle w:val="ListParagraph"/>
        <w:numPr>
          <w:ilvl w:val="0"/>
          <w:numId w:val="7"/>
        </w:numPr>
        <w:spacing w:before="120" w:after="240" w:line="278" w:lineRule="auto"/>
        <w:ind w:left="1134" w:hanging="425"/>
        <w:contextualSpacing w:val="0"/>
        <w:rPr>
          <w:sz w:val="22"/>
          <w:szCs w:val="22"/>
        </w:rPr>
      </w:pPr>
      <w:r w:rsidRPr="00E23405">
        <w:rPr>
          <w:sz w:val="22"/>
          <w:szCs w:val="22"/>
        </w:rPr>
        <w:t xml:space="preserve">Any person, including entities and bystanders, can report offending material to </w:t>
      </w:r>
      <w:r w:rsidR="0026020E">
        <w:rPr>
          <w:sz w:val="22"/>
          <w:szCs w:val="22"/>
        </w:rPr>
        <w:t xml:space="preserve">the </w:t>
      </w:r>
      <w:proofErr w:type="spellStart"/>
      <w:r w:rsidRPr="00E23405">
        <w:rPr>
          <w:sz w:val="22"/>
          <w:szCs w:val="22"/>
        </w:rPr>
        <w:t>eSafety</w:t>
      </w:r>
      <w:proofErr w:type="spellEnd"/>
      <w:r w:rsidR="0026020E">
        <w:rPr>
          <w:sz w:val="22"/>
          <w:szCs w:val="22"/>
        </w:rPr>
        <w:t xml:space="preserve"> Commissioner</w:t>
      </w:r>
      <w:r w:rsidRPr="00E23405">
        <w:rPr>
          <w:sz w:val="22"/>
          <w:szCs w:val="22"/>
        </w:rPr>
        <w:t>.</w:t>
      </w:r>
    </w:p>
    <w:p w14:paraId="6DCC36BA" w14:textId="77777777" w:rsidR="00C87A0D" w:rsidRDefault="00C87A0D">
      <w:pPr>
        <w:rPr>
          <w:sz w:val="22"/>
          <w:szCs w:val="22"/>
        </w:rPr>
      </w:pPr>
      <w:r>
        <w:rPr>
          <w:sz w:val="22"/>
          <w:szCs w:val="22"/>
        </w:rPr>
        <w:br w:type="page"/>
      </w:r>
    </w:p>
    <w:p w14:paraId="16AF61DE" w14:textId="77777777" w:rsidR="00A44DFA" w:rsidRPr="00FF689A" w:rsidRDefault="00A44DFA" w:rsidP="00A44DFA">
      <w:pPr>
        <w:pStyle w:val="Heading1"/>
        <w:spacing w:before="360" w:after="80" w:line="278" w:lineRule="auto"/>
        <w:rPr>
          <w:bCs/>
          <w:color w:val="004270"/>
          <w:kern w:val="2"/>
          <w:szCs w:val="40"/>
          <w14:ligatures w14:val="standardContextual"/>
        </w:rPr>
      </w:pPr>
      <w:bookmarkStart w:id="1" w:name="_Toc169517526"/>
      <w:r w:rsidRPr="00FF689A">
        <w:rPr>
          <w:bCs/>
          <w:color w:val="004270"/>
          <w:kern w:val="2"/>
          <w:szCs w:val="40"/>
          <w14:ligatures w14:val="standardContextual"/>
        </w:rPr>
        <w:lastRenderedPageBreak/>
        <w:t>About the Queensland Human Rights Commission</w:t>
      </w:r>
      <w:bookmarkEnd w:id="1"/>
    </w:p>
    <w:p w14:paraId="614A3D24" w14:textId="5121808D" w:rsidR="00A44DFA" w:rsidRPr="00E23405" w:rsidRDefault="00A44DFA" w:rsidP="008B79F8">
      <w:pPr>
        <w:pStyle w:val="ListParagraph"/>
        <w:numPr>
          <w:ilvl w:val="0"/>
          <w:numId w:val="6"/>
        </w:numPr>
        <w:spacing w:before="120" w:after="240" w:line="278" w:lineRule="auto"/>
        <w:ind w:left="425" w:hanging="425"/>
        <w:contextualSpacing w:val="0"/>
        <w:rPr>
          <w:rFonts w:cs="Arial"/>
          <w:sz w:val="22"/>
          <w:szCs w:val="22"/>
        </w:rPr>
      </w:pPr>
      <w:r w:rsidRPr="00E23405">
        <w:rPr>
          <w:rFonts w:cs="Arial"/>
          <w:sz w:val="22"/>
          <w:szCs w:val="22"/>
        </w:rPr>
        <w:t xml:space="preserve">The Commission deals with complaints </w:t>
      </w:r>
      <w:r w:rsidR="00AC2A4A">
        <w:rPr>
          <w:rFonts w:cs="Arial"/>
          <w:sz w:val="22"/>
          <w:szCs w:val="22"/>
        </w:rPr>
        <w:t>of</w:t>
      </w:r>
      <w:r w:rsidRPr="00E23405">
        <w:rPr>
          <w:rFonts w:cs="Arial"/>
          <w:sz w:val="22"/>
          <w:szCs w:val="22"/>
        </w:rPr>
        <w:t xml:space="preserve"> alleged contraventions of the </w:t>
      </w:r>
      <w:r w:rsidRPr="00E23405">
        <w:rPr>
          <w:rFonts w:cs="Arial"/>
          <w:i/>
          <w:iCs/>
          <w:sz w:val="22"/>
          <w:szCs w:val="22"/>
        </w:rPr>
        <w:t>Anti-Discrimination Act 1991</w:t>
      </w:r>
      <w:r w:rsidRPr="00E23405">
        <w:rPr>
          <w:rFonts w:cs="Arial"/>
          <w:sz w:val="22"/>
          <w:szCs w:val="22"/>
        </w:rPr>
        <w:t xml:space="preserve"> (the </w:t>
      </w:r>
      <w:r w:rsidRPr="00E23405">
        <w:rPr>
          <w:rFonts w:cs="Arial"/>
          <w:b/>
          <w:bCs/>
          <w:sz w:val="22"/>
          <w:szCs w:val="22"/>
        </w:rPr>
        <w:t>AD Act</w:t>
      </w:r>
      <w:r w:rsidRPr="00E23405">
        <w:rPr>
          <w:rFonts w:cs="Arial"/>
          <w:sz w:val="22"/>
          <w:szCs w:val="22"/>
        </w:rPr>
        <w:t xml:space="preserve">).  These include complaints of discrimination and vilification.  The </w:t>
      </w:r>
      <w:r w:rsidR="00F52BE8">
        <w:rPr>
          <w:rFonts w:cs="Arial"/>
          <w:sz w:val="22"/>
          <w:szCs w:val="22"/>
        </w:rPr>
        <w:t>Commission’s role is to assist the parties to resolve the complaint</w:t>
      </w:r>
      <w:r w:rsidRPr="00E23405">
        <w:rPr>
          <w:rFonts w:cs="Arial"/>
          <w:sz w:val="22"/>
          <w:szCs w:val="22"/>
        </w:rPr>
        <w:t xml:space="preserve"> through conciliation.  If a complaint is not resolved, it may be referred to a tribunal </w:t>
      </w:r>
      <w:r w:rsidR="00F52BE8">
        <w:rPr>
          <w:rFonts w:cs="Arial"/>
          <w:sz w:val="22"/>
          <w:szCs w:val="22"/>
        </w:rPr>
        <w:t>where it can be heard and determined</w:t>
      </w:r>
      <w:r w:rsidRPr="00E23405">
        <w:rPr>
          <w:rFonts w:cs="Arial"/>
          <w:sz w:val="22"/>
          <w:szCs w:val="22"/>
        </w:rPr>
        <w:t>.</w:t>
      </w:r>
      <w:r w:rsidRPr="00E23405">
        <w:rPr>
          <w:rStyle w:val="FootnoteReference"/>
          <w:rFonts w:cs="Arial"/>
          <w:sz w:val="22"/>
          <w:szCs w:val="22"/>
        </w:rPr>
        <w:footnoteReference w:id="2"/>
      </w:r>
    </w:p>
    <w:p w14:paraId="78187075" w14:textId="4560AF18" w:rsidR="00A44DFA" w:rsidRPr="00E23405" w:rsidRDefault="00F52BE8" w:rsidP="008B79F8">
      <w:pPr>
        <w:pStyle w:val="ListParagraph"/>
        <w:numPr>
          <w:ilvl w:val="0"/>
          <w:numId w:val="6"/>
        </w:numPr>
        <w:spacing w:before="120" w:after="240" w:line="278" w:lineRule="auto"/>
        <w:ind w:left="425" w:hanging="425"/>
        <w:contextualSpacing w:val="0"/>
        <w:rPr>
          <w:rFonts w:cs="Arial"/>
          <w:sz w:val="22"/>
          <w:szCs w:val="22"/>
        </w:rPr>
      </w:pPr>
      <w:r>
        <w:rPr>
          <w:rFonts w:cs="Arial"/>
          <w:sz w:val="22"/>
          <w:szCs w:val="22"/>
        </w:rPr>
        <w:t>It is also a function of the Commission to</w:t>
      </w:r>
      <w:r w:rsidR="00A44DFA" w:rsidRPr="00E23405">
        <w:rPr>
          <w:rFonts w:cs="Arial"/>
          <w:sz w:val="22"/>
          <w:szCs w:val="22"/>
        </w:rPr>
        <w:t xml:space="preserve"> consult with organisations to ascertain means of improving services and conditions affecting groups that are subjected to contraventions of the AD Act.</w:t>
      </w:r>
    </w:p>
    <w:p w14:paraId="5C9F254C" w14:textId="40104029" w:rsidR="00A44DFA" w:rsidRPr="00E23405" w:rsidRDefault="00A44DFA" w:rsidP="00F52BE8">
      <w:pPr>
        <w:pStyle w:val="ListParagraph"/>
        <w:numPr>
          <w:ilvl w:val="0"/>
          <w:numId w:val="6"/>
        </w:numPr>
        <w:spacing w:before="120" w:after="120" w:line="278" w:lineRule="auto"/>
        <w:ind w:left="425" w:hanging="425"/>
        <w:contextualSpacing w:val="0"/>
        <w:rPr>
          <w:rFonts w:cs="Arial"/>
          <w:sz w:val="22"/>
          <w:szCs w:val="22"/>
        </w:rPr>
      </w:pPr>
      <w:r w:rsidRPr="00E23405">
        <w:rPr>
          <w:rFonts w:cs="Arial"/>
          <w:sz w:val="22"/>
          <w:szCs w:val="22"/>
        </w:rPr>
        <w:t>The Commission has consulted with community representatives and other stakeholders about the effectiveness of current laws in addressing vilification and hate crimes.  This has included:</w:t>
      </w:r>
    </w:p>
    <w:p w14:paraId="6066CAEB" w14:textId="77777777" w:rsidR="00A44DFA" w:rsidRPr="00E23405" w:rsidRDefault="00A44DFA" w:rsidP="00F52BE8">
      <w:pPr>
        <w:pStyle w:val="ListParagraph"/>
        <w:numPr>
          <w:ilvl w:val="1"/>
          <w:numId w:val="6"/>
        </w:numPr>
        <w:spacing w:before="120" w:after="120" w:line="276" w:lineRule="auto"/>
        <w:ind w:left="1134" w:hanging="425"/>
        <w:contextualSpacing w:val="0"/>
        <w:rPr>
          <w:rFonts w:cs="Arial"/>
          <w:sz w:val="22"/>
          <w:szCs w:val="22"/>
        </w:rPr>
      </w:pPr>
      <w:r w:rsidRPr="00E23405">
        <w:rPr>
          <w:rFonts w:cs="Arial"/>
          <w:sz w:val="22"/>
          <w:szCs w:val="22"/>
        </w:rPr>
        <w:t xml:space="preserve">In 2015, holding a seminar of academics, police, and Commission officers about the effectiveness of vilification laws; </w:t>
      </w:r>
    </w:p>
    <w:p w14:paraId="6283924E" w14:textId="77777777" w:rsidR="00A44DFA" w:rsidRPr="00E23405" w:rsidRDefault="00A44DFA" w:rsidP="00F52BE8">
      <w:pPr>
        <w:pStyle w:val="ListParagraph"/>
        <w:numPr>
          <w:ilvl w:val="1"/>
          <w:numId w:val="6"/>
        </w:numPr>
        <w:spacing w:before="120" w:after="120" w:line="276" w:lineRule="auto"/>
        <w:ind w:left="1134" w:hanging="425"/>
        <w:contextualSpacing w:val="0"/>
        <w:rPr>
          <w:rFonts w:cs="Arial"/>
          <w:sz w:val="22"/>
          <w:szCs w:val="22"/>
        </w:rPr>
      </w:pPr>
      <w:r w:rsidRPr="00E23405">
        <w:rPr>
          <w:rFonts w:cs="Arial"/>
          <w:sz w:val="22"/>
          <w:szCs w:val="22"/>
        </w:rPr>
        <w:t xml:space="preserve">In 2016, consulting with </w:t>
      </w:r>
      <w:proofErr w:type="spellStart"/>
      <w:r w:rsidRPr="00E23405">
        <w:rPr>
          <w:rFonts w:cs="Arial"/>
          <w:sz w:val="22"/>
          <w:szCs w:val="22"/>
        </w:rPr>
        <w:t>Translink</w:t>
      </w:r>
      <w:proofErr w:type="spellEnd"/>
      <w:r w:rsidRPr="00E23405">
        <w:rPr>
          <w:rStyle w:val="FootnoteReference"/>
          <w:rFonts w:cs="Arial"/>
          <w:sz w:val="22"/>
          <w:szCs w:val="22"/>
        </w:rPr>
        <w:footnoteReference w:id="3"/>
      </w:r>
      <w:r w:rsidRPr="00E23405">
        <w:rPr>
          <w:rFonts w:cs="Arial"/>
          <w:sz w:val="22"/>
          <w:szCs w:val="22"/>
        </w:rPr>
        <w:t xml:space="preserve"> and the Queensland Police Service to improve the transport service experiences of groups subjected to vilification.  Outcomes included the Commission developing and delivering tailored training for bus operators; and</w:t>
      </w:r>
    </w:p>
    <w:p w14:paraId="6C909A9E" w14:textId="6DBFC7EC" w:rsidR="00A44DFA" w:rsidRPr="00E23405" w:rsidRDefault="00A44DFA" w:rsidP="00F52BE8">
      <w:pPr>
        <w:pStyle w:val="ListParagraph"/>
        <w:numPr>
          <w:ilvl w:val="1"/>
          <w:numId w:val="6"/>
        </w:numPr>
        <w:spacing w:before="120" w:after="240" w:line="276" w:lineRule="auto"/>
        <w:ind w:left="1134" w:hanging="425"/>
        <w:contextualSpacing w:val="0"/>
        <w:rPr>
          <w:rFonts w:cs="Arial"/>
          <w:sz w:val="22"/>
          <w:szCs w:val="22"/>
        </w:rPr>
      </w:pPr>
      <w:r w:rsidRPr="00E23405">
        <w:rPr>
          <w:rFonts w:cs="Arial"/>
          <w:sz w:val="22"/>
          <w:szCs w:val="22"/>
        </w:rPr>
        <w:t xml:space="preserve">In 2020, facilitating the development and advocacy of </w:t>
      </w:r>
      <w:r w:rsidR="00F52BE8">
        <w:rPr>
          <w:rFonts w:cs="Arial"/>
          <w:sz w:val="22"/>
          <w:szCs w:val="22"/>
        </w:rPr>
        <w:t>a</w:t>
      </w:r>
      <w:r w:rsidRPr="00E23405">
        <w:rPr>
          <w:rFonts w:cs="Arial"/>
          <w:sz w:val="22"/>
          <w:szCs w:val="22"/>
        </w:rPr>
        <w:t xml:space="preserve"> group, the Cohesive Communities Coalition (the </w:t>
      </w:r>
      <w:r w:rsidRPr="00E23405">
        <w:rPr>
          <w:rFonts w:cs="Arial"/>
          <w:b/>
          <w:bCs/>
          <w:sz w:val="22"/>
          <w:szCs w:val="22"/>
        </w:rPr>
        <w:t>Coalition</w:t>
      </w:r>
      <w:r w:rsidRPr="00E23405">
        <w:rPr>
          <w:rFonts w:cs="Arial"/>
          <w:sz w:val="22"/>
          <w:szCs w:val="22"/>
        </w:rPr>
        <w:t xml:space="preserve">).  The Coalition is a group of representatives of Queensland diverse ethnic and religious communities.  The Coalition has advocated for strengthening laws to better protect </w:t>
      </w:r>
      <w:r w:rsidR="00AA1C52">
        <w:rPr>
          <w:rFonts w:cs="Arial"/>
          <w:sz w:val="22"/>
          <w:szCs w:val="22"/>
        </w:rPr>
        <w:t>people</w:t>
      </w:r>
      <w:r w:rsidR="00AA1C52" w:rsidRPr="00E23405">
        <w:rPr>
          <w:rFonts w:cs="Arial"/>
          <w:sz w:val="22"/>
          <w:szCs w:val="22"/>
        </w:rPr>
        <w:t xml:space="preserve"> </w:t>
      </w:r>
      <w:r w:rsidRPr="00E23405">
        <w:rPr>
          <w:rFonts w:cs="Arial"/>
          <w:sz w:val="22"/>
          <w:szCs w:val="22"/>
        </w:rPr>
        <w:t>who experience hate crimes and serious vilification.</w:t>
      </w:r>
    </w:p>
    <w:p w14:paraId="028888E7" w14:textId="0F4594CA" w:rsidR="00A44DFA" w:rsidRPr="00E23405" w:rsidRDefault="00F52BE8" w:rsidP="008B79F8">
      <w:pPr>
        <w:pStyle w:val="ListParagraph"/>
        <w:numPr>
          <w:ilvl w:val="0"/>
          <w:numId w:val="6"/>
        </w:numPr>
        <w:spacing w:before="120" w:after="240" w:line="278" w:lineRule="auto"/>
        <w:ind w:left="425" w:hanging="425"/>
        <w:contextualSpacing w:val="0"/>
        <w:rPr>
          <w:rFonts w:cs="Arial"/>
          <w:sz w:val="22"/>
          <w:szCs w:val="22"/>
        </w:rPr>
      </w:pPr>
      <w:r>
        <w:rPr>
          <w:rFonts w:cs="Arial"/>
          <w:sz w:val="22"/>
          <w:szCs w:val="22"/>
        </w:rPr>
        <w:t>With t</w:t>
      </w:r>
      <w:r w:rsidR="00A44DFA" w:rsidRPr="00E23405">
        <w:rPr>
          <w:rFonts w:cs="Arial"/>
          <w:sz w:val="22"/>
          <w:szCs w:val="22"/>
        </w:rPr>
        <w:t>he Commission</w:t>
      </w:r>
      <w:r>
        <w:rPr>
          <w:rFonts w:cs="Arial"/>
          <w:sz w:val="22"/>
          <w:szCs w:val="22"/>
        </w:rPr>
        <w:t>’s</w:t>
      </w:r>
      <w:r w:rsidR="00A44DFA" w:rsidRPr="00E23405">
        <w:rPr>
          <w:rFonts w:cs="Arial"/>
          <w:sz w:val="22"/>
          <w:szCs w:val="22"/>
        </w:rPr>
        <w:t xml:space="preserve"> </w:t>
      </w:r>
      <w:r>
        <w:rPr>
          <w:rFonts w:cs="Arial"/>
          <w:sz w:val="22"/>
          <w:szCs w:val="22"/>
        </w:rPr>
        <w:t>assistance,</w:t>
      </w:r>
      <w:r w:rsidR="00A44DFA" w:rsidRPr="00E23405">
        <w:rPr>
          <w:rFonts w:cs="Arial"/>
          <w:sz w:val="22"/>
          <w:szCs w:val="22"/>
        </w:rPr>
        <w:t xml:space="preserve"> the Coalition develop</w:t>
      </w:r>
      <w:r>
        <w:rPr>
          <w:rFonts w:cs="Arial"/>
          <w:sz w:val="22"/>
          <w:szCs w:val="22"/>
        </w:rPr>
        <w:t>ed</w:t>
      </w:r>
      <w:r w:rsidR="00A44DFA" w:rsidRPr="00E23405">
        <w:rPr>
          <w:rFonts w:cs="Arial"/>
          <w:sz w:val="22"/>
          <w:szCs w:val="22"/>
        </w:rPr>
        <w:t xml:space="preserve"> an Options Paper, </w:t>
      </w:r>
      <w:r w:rsidR="00A44DFA" w:rsidRPr="00E23405">
        <w:rPr>
          <w:rFonts w:cs="Arial"/>
          <w:i/>
          <w:sz w:val="22"/>
          <w:szCs w:val="22"/>
        </w:rPr>
        <w:t>Serious vilification and hate crime: The need for legislative law</w:t>
      </w:r>
      <w:r w:rsidR="00A44DFA" w:rsidRPr="00E23405">
        <w:rPr>
          <w:rFonts w:cs="Arial"/>
          <w:sz w:val="22"/>
          <w:szCs w:val="22"/>
        </w:rPr>
        <w:t xml:space="preserve"> </w:t>
      </w:r>
      <w:r w:rsidR="00A44DFA" w:rsidRPr="00E23405">
        <w:rPr>
          <w:rFonts w:cs="Arial"/>
          <w:i/>
          <w:sz w:val="22"/>
          <w:szCs w:val="22"/>
        </w:rPr>
        <w:t>reform</w:t>
      </w:r>
      <w:r>
        <w:rPr>
          <w:rFonts w:cs="Arial"/>
          <w:i/>
          <w:sz w:val="22"/>
          <w:szCs w:val="22"/>
        </w:rPr>
        <w:t xml:space="preserve"> </w:t>
      </w:r>
      <w:r>
        <w:rPr>
          <w:rFonts w:cs="Arial"/>
          <w:iCs/>
          <w:sz w:val="22"/>
          <w:szCs w:val="22"/>
        </w:rPr>
        <w:t xml:space="preserve">that was presented to the </w:t>
      </w:r>
      <w:r w:rsidR="00AA1C52">
        <w:rPr>
          <w:rFonts w:cs="Arial"/>
          <w:iCs/>
          <w:sz w:val="22"/>
          <w:szCs w:val="22"/>
        </w:rPr>
        <w:t>Queensland G</w:t>
      </w:r>
      <w:r>
        <w:rPr>
          <w:rFonts w:cs="Arial"/>
          <w:iCs/>
          <w:sz w:val="22"/>
          <w:szCs w:val="22"/>
        </w:rPr>
        <w:t>overnment</w:t>
      </w:r>
      <w:r w:rsidR="00A44DFA" w:rsidRPr="00E23405">
        <w:rPr>
          <w:rFonts w:cs="Arial"/>
          <w:sz w:val="22"/>
          <w:szCs w:val="22"/>
        </w:rPr>
        <w:t xml:space="preserve">.  </w:t>
      </w:r>
      <w:r w:rsidR="000146E3">
        <w:rPr>
          <w:rFonts w:cs="Arial"/>
          <w:sz w:val="22"/>
          <w:szCs w:val="22"/>
        </w:rPr>
        <w:t xml:space="preserve">Consequently, </w:t>
      </w:r>
      <w:r w:rsidR="000146E3" w:rsidRPr="00E23405">
        <w:rPr>
          <w:rFonts w:cs="Arial"/>
          <w:sz w:val="22"/>
          <w:szCs w:val="22"/>
        </w:rPr>
        <w:t xml:space="preserve">an Inquiry into serious vilification and hate </w:t>
      </w:r>
      <w:r w:rsidR="00F82B51" w:rsidRPr="00E23405">
        <w:rPr>
          <w:rFonts w:cs="Arial"/>
          <w:sz w:val="22"/>
          <w:szCs w:val="22"/>
        </w:rPr>
        <w:t xml:space="preserve">crimes </w:t>
      </w:r>
      <w:r w:rsidR="00F82B51">
        <w:rPr>
          <w:rFonts w:cs="Arial"/>
          <w:sz w:val="22"/>
          <w:szCs w:val="22"/>
        </w:rPr>
        <w:t>was</w:t>
      </w:r>
      <w:r w:rsidR="000146E3">
        <w:rPr>
          <w:rFonts w:cs="Arial"/>
          <w:sz w:val="22"/>
          <w:szCs w:val="22"/>
        </w:rPr>
        <w:t xml:space="preserve"> conducted by t</w:t>
      </w:r>
      <w:r w:rsidR="00A44DFA" w:rsidRPr="00E23405">
        <w:rPr>
          <w:rFonts w:cs="Arial"/>
          <w:sz w:val="22"/>
          <w:szCs w:val="22"/>
        </w:rPr>
        <w:t>he former Queensland Parliamentary Legal Affairs and Safety Committee</w:t>
      </w:r>
      <w:r w:rsidR="008E7F55">
        <w:rPr>
          <w:rFonts w:cs="Arial"/>
          <w:sz w:val="22"/>
          <w:szCs w:val="22"/>
        </w:rPr>
        <w:t>.</w:t>
      </w:r>
    </w:p>
    <w:p w14:paraId="4AF8AFCD" w14:textId="00020A32" w:rsidR="00A44DFA" w:rsidRPr="00E23405" w:rsidRDefault="00A44DFA" w:rsidP="008B79F8">
      <w:pPr>
        <w:pStyle w:val="ListParagraph"/>
        <w:numPr>
          <w:ilvl w:val="0"/>
          <w:numId w:val="6"/>
        </w:numPr>
        <w:spacing w:before="120" w:after="240" w:line="278" w:lineRule="auto"/>
        <w:ind w:left="425" w:hanging="425"/>
        <w:contextualSpacing w:val="0"/>
        <w:rPr>
          <w:rFonts w:cs="Arial"/>
          <w:sz w:val="22"/>
          <w:szCs w:val="22"/>
        </w:rPr>
      </w:pPr>
      <w:r w:rsidRPr="00E23405">
        <w:rPr>
          <w:rFonts w:cs="Arial"/>
          <w:sz w:val="22"/>
          <w:szCs w:val="22"/>
        </w:rPr>
        <w:t xml:space="preserve">The Commission participated in the Parliamentary Inquiry by </w:t>
      </w:r>
      <w:r w:rsidR="002244E7">
        <w:rPr>
          <w:rFonts w:cs="Arial"/>
          <w:sz w:val="22"/>
          <w:szCs w:val="22"/>
        </w:rPr>
        <w:t>briefing the Committee</w:t>
      </w:r>
      <w:r w:rsidRPr="00E23405">
        <w:rPr>
          <w:rFonts w:cs="Arial"/>
          <w:sz w:val="22"/>
          <w:szCs w:val="22"/>
        </w:rPr>
        <w:t xml:space="preserve"> and appearing at a public brief</w:t>
      </w:r>
      <w:r w:rsidR="002244E7">
        <w:rPr>
          <w:rFonts w:cs="Arial"/>
          <w:sz w:val="22"/>
          <w:szCs w:val="22"/>
        </w:rPr>
        <w:t>ing</w:t>
      </w:r>
      <w:r w:rsidRPr="00E23405">
        <w:rPr>
          <w:rFonts w:cs="Arial"/>
          <w:sz w:val="22"/>
          <w:szCs w:val="22"/>
        </w:rPr>
        <w:t>.  The Commission also provided a submission, a supplementary submission, and gave evidence at a public hearing before the Committee.</w:t>
      </w:r>
    </w:p>
    <w:p w14:paraId="417D39EB" w14:textId="56F9EAF8" w:rsidR="00A44DFA" w:rsidRPr="00830757" w:rsidRDefault="00A44DFA" w:rsidP="00830757">
      <w:pPr>
        <w:pStyle w:val="ListParagraph"/>
        <w:numPr>
          <w:ilvl w:val="0"/>
          <w:numId w:val="6"/>
        </w:numPr>
        <w:spacing w:before="120" w:after="240" w:line="278" w:lineRule="auto"/>
        <w:ind w:left="425" w:hanging="425"/>
        <w:contextualSpacing w:val="0"/>
        <w:rPr>
          <w:rFonts w:cs="Arial"/>
          <w:sz w:val="22"/>
          <w:szCs w:val="22"/>
        </w:rPr>
      </w:pPr>
      <w:r w:rsidRPr="00830757">
        <w:rPr>
          <w:rFonts w:cs="Arial"/>
          <w:sz w:val="22"/>
          <w:szCs w:val="22"/>
        </w:rPr>
        <w:t>The Committee’s report to Parliament on the Inquiry included 17 recommendations</w:t>
      </w:r>
      <w:r w:rsidR="00F52BE8" w:rsidRPr="00830757">
        <w:rPr>
          <w:rFonts w:cs="Arial"/>
          <w:sz w:val="22"/>
          <w:szCs w:val="22"/>
        </w:rPr>
        <w:t>,</w:t>
      </w:r>
      <w:r w:rsidR="00830757">
        <w:rPr>
          <w:rStyle w:val="FootnoteReference"/>
          <w:rFonts w:cs="Arial"/>
          <w:sz w:val="22"/>
          <w:szCs w:val="22"/>
        </w:rPr>
        <w:footnoteReference w:id="4"/>
      </w:r>
      <w:r w:rsidR="00830757" w:rsidRPr="00830757">
        <w:rPr>
          <w:rFonts w:cs="Arial"/>
          <w:sz w:val="22"/>
          <w:szCs w:val="22"/>
        </w:rPr>
        <w:t xml:space="preserve"> </w:t>
      </w:r>
      <w:r w:rsidR="00F52BE8" w:rsidRPr="00830757">
        <w:rPr>
          <w:rFonts w:cs="Arial"/>
          <w:sz w:val="22"/>
          <w:szCs w:val="22"/>
        </w:rPr>
        <w:t>some of which were implemented in t</w:t>
      </w:r>
      <w:r w:rsidRPr="00830757">
        <w:rPr>
          <w:rFonts w:cs="Arial"/>
          <w:sz w:val="22"/>
          <w:szCs w:val="22"/>
        </w:rPr>
        <w:t xml:space="preserve">he Criminal Code (Serious Vilification and Hate Crimes) and Other Legislation Bill 2023.  The Commission provided submissions to the Committee on the Bill and gave evidence to the Committee at a public hearing.  The Bill </w:t>
      </w:r>
      <w:r w:rsidRPr="00830757">
        <w:rPr>
          <w:rFonts w:cs="Arial"/>
          <w:sz w:val="22"/>
          <w:szCs w:val="22"/>
        </w:rPr>
        <w:lastRenderedPageBreak/>
        <w:t>was passed on 12 October 2023 and the relevant provisions came into effect on 2</w:t>
      </w:r>
      <w:r w:rsidR="00CF791F" w:rsidRPr="00830757">
        <w:rPr>
          <w:rFonts w:cs="Arial"/>
          <w:sz w:val="22"/>
          <w:szCs w:val="22"/>
        </w:rPr>
        <w:t>9</w:t>
      </w:r>
      <w:r w:rsidRPr="00830757">
        <w:rPr>
          <w:rFonts w:cs="Arial"/>
          <w:sz w:val="22"/>
          <w:szCs w:val="22"/>
        </w:rPr>
        <w:t> April 2024.</w:t>
      </w:r>
    </w:p>
    <w:p w14:paraId="5E340D65" w14:textId="393B2B35" w:rsidR="00A61035" w:rsidRPr="00FF689A" w:rsidRDefault="00A61035" w:rsidP="00A44DFA">
      <w:pPr>
        <w:pStyle w:val="Heading1"/>
        <w:rPr>
          <w:color w:val="004270"/>
        </w:rPr>
      </w:pPr>
      <w:bookmarkStart w:id="2" w:name="_Toc169517527"/>
      <w:r w:rsidRPr="00FF689A">
        <w:rPr>
          <w:color w:val="004270"/>
        </w:rPr>
        <w:t>Vilification and hate speech</w:t>
      </w:r>
      <w:bookmarkEnd w:id="2"/>
    </w:p>
    <w:p w14:paraId="738E0179" w14:textId="1D1BEA20" w:rsidR="00A61035" w:rsidRDefault="00A61035" w:rsidP="008B79F8">
      <w:pPr>
        <w:pStyle w:val="ListParagraph"/>
        <w:numPr>
          <w:ilvl w:val="0"/>
          <w:numId w:val="6"/>
        </w:numPr>
        <w:spacing w:before="120" w:after="240" w:line="278" w:lineRule="auto"/>
        <w:ind w:left="425" w:hanging="425"/>
        <w:contextualSpacing w:val="0"/>
        <w:rPr>
          <w:rFonts w:cs="Arial"/>
          <w:color w:val="000000"/>
          <w:sz w:val="22"/>
          <w:szCs w:val="22"/>
        </w:rPr>
      </w:pPr>
      <w:r w:rsidRPr="00A61035">
        <w:rPr>
          <w:rFonts w:cs="Arial"/>
          <w:color w:val="000000"/>
          <w:sz w:val="22"/>
          <w:szCs w:val="22"/>
        </w:rPr>
        <w:t xml:space="preserve">There is no universally accepted meaning of the term ‘hate speech’, however it is generally understood as any means of communication that expresses hostility towards, or contempt for, a person or group </w:t>
      </w:r>
      <w:r w:rsidR="00F82B51" w:rsidRPr="00A61035">
        <w:rPr>
          <w:rFonts w:cs="Arial"/>
          <w:color w:val="000000"/>
          <w:sz w:val="22"/>
          <w:szCs w:val="22"/>
        </w:rPr>
        <w:t>because of</w:t>
      </w:r>
      <w:r w:rsidRPr="00A61035">
        <w:rPr>
          <w:rFonts w:cs="Arial"/>
          <w:color w:val="000000"/>
          <w:sz w:val="22"/>
          <w:szCs w:val="22"/>
        </w:rPr>
        <w:t xml:space="preserve"> common characteristics, such as race or religion.</w:t>
      </w:r>
    </w:p>
    <w:p w14:paraId="3C4BD59A" w14:textId="7DF2008D" w:rsidR="00A61035" w:rsidRDefault="00A61035" w:rsidP="008B79F8">
      <w:pPr>
        <w:pStyle w:val="ListParagraph"/>
        <w:numPr>
          <w:ilvl w:val="0"/>
          <w:numId w:val="6"/>
        </w:numPr>
        <w:spacing w:before="120" w:after="240" w:line="278" w:lineRule="auto"/>
        <w:ind w:left="425" w:hanging="425"/>
        <w:contextualSpacing w:val="0"/>
        <w:rPr>
          <w:sz w:val="22"/>
          <w:szCs w:val="22"/>
        </w:rPr>
      </w:pPr>
      <w:r w:rsidRPr="00A61035">
        <w:rPr>
          <w:rFonts w:cs="Arial"/>
          <w:color w:val="000000"/>
          <w:sz w:val="22"/>
          <w:szCs w:val="22"/>
        </w:rPr>
        <w:t>Vilification</w:t>
      </w:r>
      <w:r w:rsidRPr="00A61035">
        <w:rPr>
          <w:sz w:val="22"/>
          <w:szCs w:val="22"/>
        </w:rPr>
        <w:t xml:space="preserve"> and hate </w:t>
      </w:r>
      <w:r w:rsidR="00353BF3">
        <w:rPr>
          <w:sz w:val="22"/>
          <w:szCs w:val="22"/>
        </w:rPr>
        <w:t>speech</w:t>
      </w:r>
      <w:r w:rsidRPr="00A61035">
        <w:rPr>
          <w:sz w:val="22"/>
          <w:szCs w:val="22"/>
        </w:rPr>
        <w:t xml:space="preserve"> attack the human dignity of the targeted person or group. Targets are attacked for being who they are, impacting their sense of self and often resulting in fear and withdrawal from society.</w:t>
      </w:r>
      <w:r w:rsidR="00353BF3">
        <w:rPr>
          <w:sz w:val="22"/>
          <w:szCs w:val="22"/>
        </w:rPr>
        <w:t xml:space="preserve">  </w:t>
      </w:r>
      <w:r w:rsidR="00535811">
        <w:rPr>
          <w:sz w:val="22"/>
          <w:szCs w:val="22"/>
        </w:rPr>
        <w:t xml:space="preserve">While the effect on </w:t>
      </w:r>
      <w:r w:rsidR="00F36266">
        <w:rPr>
          <w:sz w:val="22"/>
          <w:szCs w:val="22"/>
        </w:rPr>
        <w:t xml:space="preserve">individuals </w:t>
      </w:r>
      <w:r w:rsidR="00535811">
        <w:rPr>
          <w:sz w:val="22"/>
          <w:szCs w:val="22"/>
        </w:rPr>
        <w:t>who are targeted is devastating, it also adversely affects the community as a whole.</w:t>
      </w:r>
    </w:p>
    <w:p w14:paraId="3C547481" w14:textId="372E0D0B" w:rsidR="00A61035" w:rsidRPr="00A61035" w:rsidRDefault="00353BF3" w:rsidP="00B32DB3">
      <w:pPr>
        <w:pStyle w:val="ListParagraph"/>
        <w:numPr>
          <w:ilvl w:val="0"/>
          <w:numId w:val="6"/>
        </w:numPr>
        <w:spacing w:before="120" w:after="240" w:line="278" w:lineRule="auto"/>
        <w:ind w:left="425" w:hanging="425"/>
        <w:contextualSpacing w:val="0"/>
        <w:rPr>
          <w:rFonts w:cs="Arial"/>
          <w:color w:val="000000"/>
          <w:sz w:val="22"/>
          <w:szCs w:val="22"/>
        </w:rPr>
      </w:pPr>
      <w:r>
        <w:rPr>
          <w:rFonts w:cs="Arial"/>
          <w:color w:val="000000"/>
          <w:sz w:val="22"/>
          <w:szCs w:val="22"/>
        </w:rPr>
        <w:t xml:space="preserve">Social media </w:t>
      </w:r>
      <w:r w:rsidR="00535811">
        <w:rPr>
          <w:rFonts w:cs="Arial"/>
          <w:color w:val="000000"/>
          <w:sz w:val="22"/>
          <w:szCs w:val="22"/>
        </w:rPr>
        <w:t xml:space="preserve">is a powerful communication tool which has unfortunately </w:t>
      </w:r>
      <w:r>
        <w:rPr>
          <w:rFonts w:cs="Arial"/>
          <w:color w:val="000000"/>
          <w:sz w:val="22"/>
          <w:szCs w:val="22"/>
        </w:rPr>
        <w:t>provide</w:t>
      </w:r>
      <w:r w:rsidR="00535811">
        <w:rPr>
          <w:rFonts w:cs="Arial"/>
          <w:color w:val="000000"/>
          <w:sz w:val="22"/>
          <w:szCs w:val="22"/>
        </w:rPr>
        <w:t>d</w:t>
      </w:r>
      <w:r>
        <w:rPr>
          <w:rFonts w:cs="Arial"/>
          <w:color w:val="000000"/>
          <w:sz w:val="22"/>
          <w:szCs w:val="22"/>
        </w:rPr>
        <w:t xml:space="preserve"> a platform for </w:t>
      </w:r>
      <w:r w:rsidR="00A76B4A">
        <w:rPr>
          <w:rFonts w:cs="Arial"/>
          <w:color w:val="000000"/>
          <w:sz w:val="22"/>
          <w:szCs w:val="22"/>
        </w:rPr>
        <w:t xml:space="preserve">some </w:t>
      </w:r>
      <w:r>
        <w:rPr>
          <w:rFonts w:cs="Arial"/>
          <w:color w:val="000000"/>
          <w:sz w:val="22"/>
          <w:szCs w:val="22"/>
        </w:rPr>
        <w:t xml:space="preserve">people to do harm to others.  In its report on the Inquiry into serious vilification and hate crimes, the </w:t>
      </w:r>
      <w:r w:rsidR="00DC2545">
        <w:rPr>
          <w:rFonts w:cs="Arial"/>
          <w:color w:val="000000"/>
          <w:sz w:val="22"/>
          <w:szCs w:val="22"/>
        </w:rPr>
        <w:t xml:space="preserve">Queensland Parliamentary </w:t>
      </w:r>
      <w:r>
        <w:rPr>
          <w:rFonts w:cs="Arial"/>
          <w:color w:val="000000"/>
          <w:sz w:val="22"/>
          <w:szCs w:val="22"/>
        </w:rPr>
        <w:t>Committee noted there is a proliferation of online hate speech</w:t>
      </w:r>
      <w:r w:rsidR="00A76B4A">
        <w:rPr>
          <w:rFonts w:cs="Arial"/>
          <w:color w:val="000000"/>
          <w:sz w:val="22"/>
          <w:szCs w:val="22"/>
        </w:rPr>
        <w:t>,</w:t>
      </w:r>
      <w:r>
        <w:rPr>
          <w:rFonts w:cs="Arial"/>
          <w:color w:val="000000"/>
          <w:sz w:val="22"/>
          <w:szCs w:val="22"/>
        </w:rPr>
        <w:t xml:space="preserve"> and that regulating social media and other platforms that enable online vilification must be addressed by the governments of Australia working together.</w:t>
      </w:r>
      <w:r w:rsidR="00830757" w:rsidRPr="00830757">
        <w:rPr>
          <w:rStyle w:val="FootnoteReference"/>
          <w:rFonts w:cs="Arial"/>
          <w:sz w:val="22"/>
          <w:szCs w:val="22"/>
        </w:rPr>
        <w:t xml:space="preserve"> </w:t>
      </w:r>
      <w:r w:rsidR="00830757">
        <w:rPr>
          <w:rStyle w:val="FootnoteReference"/>
          <w:rFonts w:cs="Arial"/>
          <w:sz w:val="22"/>
          <w:szCs w:val="22"/>
        </w:rPr>
        <w:footnoteReference w:id="5"/>
      </w:r>
      <w:r w:rsidR="00830757" w:rsidRPr="00830757">
        <w:rPr>
          <w:rFonts w:cs="Arial"/>
          <w:sz w:val="22"/>
          <w:szCs w:val="22"/>
        </w:rPr>
        <w:t xml:space="preserve"> </w:t>
      </w:r>
      <w:r>
        <w:rPr>
          <w:rFonts w:cs="Arial"/>
          <w:color w:val="000000"/>
          <w:sz w:val="22"/>
          <w:szCs w:val="22"/>
        </w:rPr>
        <w:t xml:space="preserve">  </w:t>
      </w:r>
    </w:p>
    <w:p w14:paraId="69002840" w14:textId="77777777" w:rsidR="00AC2A4A" w:rsidRDefault="00AC2A4A" w:rsidP="00AC2A4A">
      <w:pPr>
        <w:pStyle w:val="ListParagraph"/>
        <w:numPr>
          <w:ilvl w:val="0"/>
          <w:numId w:val="6"/>
        </w:numPr>
        <w:spacing w:before="120" w:after="240" w:line="278" w:lineRule="auto"/>
        <w:ind w:left="425" w:hanging="425"/>
        <w:contextualSpacing w:val="0"/>
        <w:rPr>
          <w:sz w:val="22"/>
          <w:szCs w:val="22"/>
        </w:rPr>
      </w:pPr>
      <w:r>
        <w:rPr>
          <w:sz w:val="22"/>
          <w:szCs w:val="22"/>
        </w:rPr>
        <w:t>The report of the Royal Commission of Inquiry into the terrorist attack on Christchurch mosques in March 2019 noted that research shows there is a link between hate speech and hate crimes.  A study in London indicated ‘a consistent positive association between Twitter hate speech targeting race and religion and offline racially and religiously aggravated offences’, demonstrating that ‘online hate victimisation is part of a wider process of harm that can begin on social media and then migrate to the physical world’.</w:t>
      </w:r>
      <w:r>
        <w:rPr>
          <w:rStyle w:val="FootnoteReference"/>
          <w:sz w:val="22"/>
          <w:szCs w:val="22"/>
        </w:rPr>
        <w:footnoteReference w:id="6"/>
      </w:r>
    </w:p>
    <w:p w14:paraId="7A853177" w14:textId="42DA9854" w:rsidR="00CF791F" w:rsidRPr="00CF791F" w:rsidRDefault="00CF791F" w:rsidP="00B32DB3">
      <w:pPr>
        <w:pStyle w:val="ListParagraph"/>
        <w:numPr>
          <w:ilvl w:val="0"/>
          <w:numId w:val="6"/>
        </w:numPr>
        <w:spacing w:before="120" w:after="240" w:line="278" w:lineRule="auto"/>
        <w:ind w:left="425" w:hanging="425"/>
        <w:contextualSpacing w:val="0"/>
        <w:rPr>
          <w:rFonts w:cs="Arial"/>
          <w:color w:val="1A1A1A"/>
          <w:spacing w:val="4"/>
          <w:sz w:val="22"/>
          <w:szCs w:val="22"/>
        </w:rPr>
      </w:pPr>
      <w:r w:rsidRPr="00CF791F">
        <w:rPr>
          <w:rFonts w:cs="Arial"/>
          <w:color w:val="1A1A1A"/>
          <w:spacing w:val="4"/>
          <w:sz w:val="22"/>
          <w:szCs w:val="22"/>
        </w:rPr>
        <w:t xml:space="preserve">The </w:t>
      </w:r>
      <w:r w:rsidRPr="00CF791F">
        <w:rPr>
          <w:sz w:val="22"/>
          <w:szCs w:val="22"/>
        </w:rPr>
        <w:t>United</w:t>
      </w:r>
      <w:r w:rsidRPr="00CF791F">
        <w:rPr>
          <w:rFonts w:cs="Arial"/>
          <w:color w:val="1A1A1A"/>
          <w:spacing w:val="4"/>
          <w:sz w:val="22"/>
          <w:szCs w:val="22"/>
        </w:rPr>
        <w:t xml:space="preserve"> Nations warns that globally there is a ‘disturbing groundswell of xenophobia, racism and intolerance’ with ‘</w:t>
      </w:r>
      <w:r w:rsidR="000E1DCC">
        <w:rPr>
          <w:rFonts w:cs="Arial"/>
          <w:color w:val="1A1A1A"/>
          <w:spacing w:val="4"/>
          <w:sz w:val="22"/>
          <w:szCs w:val="22"/>
        </w:rPr>
        <w:t>p</w:t>
      </w:r>
      <w:r w:rsidRPr="00CF791F">
        <w:rPr>
          <w:rFonts w:cs="Arial"/>
          <w:color w:val="1A1A1A"/>
          <w:spacing w:val="4"/>
          <w:sz w:val="22"/>
          <w:szCs w:val="22"/>
        </w:rPr>
        <w:t>ublic discourse being weaponised for political gain with incendiary rhetoric that stigmatizes and dehumanises’ many vulnerable groups, and the result that ‘Hate is moving into the mainstream – in liberal democracies and authoritarian systems alike.’</w:t>
      </w:r>
      <w:r w:rsidRPr="00CF791F">
        <w:rPr>
          <w:rStyle w:val="FootnoteReference"/>
          <w:rFonts w:cs="Arial"/>
          <w:color w:val="1A1A1A"/>
          <w:spacing w:val="4"/>
          <w:sz w:val="22"/>
          <w:szCs w:val="22"/>
        </w:rPr>
        <w:footnoteReference w:id="7"/>
      </w:r>
      <w:r w:rsidRPr="00CF791F">
        <w:rPr>
          <w:rFonts w:cs="Arial"/>
          <w:color w:val="1A1A1A"/>
          <w:spacing w:val="4"/>
          <w:sz w:val="22"/>
          <w:szCs w:val="22"/>
        </w:rPr>
        <w:t xml:space="preserve">  In July 2020, the UN Security Council Counter-Terrorism Committee </w:t>
      </w:r>
      <w:r w:rsidRPr="00CF791F">
        <w:rPr>
          <w:rFonts w:cs="Arial"/>
          <w:sz w:val="22"/>
          <w:szCs w:val="22"/>
        </w:rPr>
        <w:t>Executive Directorate (CTED) published a ‘Trends Alert’ that noted that ‘extreme right-wing terrorists are using COVID-19-related conspiracy theories and disinformation to radicalize, recruit and fundraise, as well as seeking to inspire plots and attacks.’</w:t>
      </w:r>
      <w:r w:rsidRPr="00CF791F">
        <w:rPr>
          <w:rStyle w:val="FootnoteReference"/>
          <w:rFonts w:cs="Arial"/>
          <w:sz w:val="22"/>
          <w:szCs w:val="22"/>
        </w:rPr>
        <w:footnoteReference w:id="8"/>
      </w:r>
      <w:r w:rsidRPr="00CF791F">
        <w:rPr>
          <w:rFonts w:cs="Arial"/>
          <w:sz w:val="22"/>
          <w:szCs w:val="22"/>
        </w:rPr>
        <w:t xml:space="preserve">   </w:t>
      </w:r>
    </w:p>
    <w:p w14:paraId="0BF393AF" w14:textId="6E5A1D08" w:rsidR="00CF791F" w:rsidRPr="00CF791F" w:rsidRDefault="00CF791F" w:rsidP="00CF791F">
      <w:pPr>
        <w:pStyle w:val="ListParagraph"/>
        <w:numPr>
          <w:ilvl w:val="0"/>
          <w:numId w:val="6"/>
        </w:numPr>
        <w:spacing w:before="120" w:after="240" w:line="278" w:lineRule="auto"/>
        <w:ind w:left="425" w:hanging="425"/>
        <w:contextualSpacing w:val="0"/>
        <w:rPr>
          <w:rFonts w:cs="Arial"/>
          <w:color w:val="000000"/>
          <w:sz w:val="22"/>
          <w:szCs w:val="22"/>
        </w:rPr>
      </w:pPr>
      <w:r w:rsidRPr="00CF791F">
        <w:rPr>
          <w:rFonts w:cs="Arial"/>
          <w:sz w:val="22"/>
          <w:szCs w:val="22"/>
        </w:rPr>
        <w:t xml:space="preserve">Research shows that anti-crime Facebook groups in Australia ‘have the effect of legitimating racial vilification, vigilantism and violence against racialized </w:t>
      </w:r>
      <w:r w:rsidR="00F82B51">
        <w:rPr>
          <w:rFonts w:cs="Arial"/>
          <w:sz w:val="22"/>
          <w:szCs w:val="22"/>
        </w:rPr>
        <w:t>“</w:t>
      </w:r>
      <w:r w:rsidRPr="00CF791F">
        <w:rPr>
          <w:rFonts w:cs="Arial"/>
          <w:sz w:val="22"/>
          <w:szCs w:val="22"/>
        </w:rPr>
        <w:t>others</w:t>
      </w:r>
      <w:r w:rsidR="00F82B51">
        <w:rPr>
          <w:rFonts w:cs="Arial"/>
          <w:sz w:val="22"/>
          <w:szCs w:val="22"/>
        </w:rPr>
        <w:t>”</w:t>
      </w:r>
      <w:r w:rsidRPr="00CF791F">
        <w:rPr>
          <w:rFonts w:cs="Arial"/>
          <w:sz w:val="22"/>
          <w:szCs w:val="22"/>
        </w:rPr>
        <w:t xml:space="preserve"> and that the current regulation of online racism and racial vilification appears to be profoundly </w:t>
      </w:r>
      <w:r w:rsidRPr="00CF791F">
        <w:rPr>
          <w:rFonts w:cs="Arial"/>
          <w:sz w:val="22"/>
          <w:szCs w:val="22"/>
        </w:rPr>
        <w:lastRenderedPageBreak/>
        <w:t>inadequate for addressing these concerns’.  It includes examples of direct links between Facebook groups and incidence of violence, and states that the constant reinforcement of racist violence is most troubling.</w:t>
      </w:r>
      <w:r w:rsidRPr="00CF791F">
        <w:rPr>
          <w:rStyle w:val="FootnoteReference"/>
          <w:rFonts w:cs="Arial"/>
          <w:sz w:val="22"/>
          <w:szCs w:val="22"/>
        </w:rPr>
        <w:footnoteReference w:id="9"/>
      </w:r>
    </w:p>
    <w:p w14:paraId="5D3CAA9E" w14:textId="03196E85" w:rsidR="00CF791F" w:rsidRPr="00CF791F" w:rsidRDefault="00CF791F" w:rsidP="00CF791F">
      <w:pPr>
        <w:pStyle w:val="ListParagraph"/>
        <w:numPr>
          <w:ilvl w:val="0"/>
          <w:numId w:val="6"/>
        </w:numPr>
        <w:spacing w:before="120" w:after="240" w:line="278" w:lineRule="auto"/>
        <w:ind w:left="425" w:hanging="425"/>
        <w:contextualSpacing w:val="0"/>
        <w:rPr>
          <w:rFonts w:cs="Arial"/>
          <w:color w:val="000000"/>
          <w:sz w:val="22"/>
          <w:szCs w:val="22"/>
        </w:rPr>
      </w:pPr>
      <w:r w:rsidRPr="00CF791F">
        <w:rPr>
          <w:sz w:val="22"/>
          <w:szCs w:val="22"/>
        </w:rPr>
        <w:t>Anti</w:t>
      </w:r>
      <w:r w:rsidRPr="00CF791F">
        <w:rPr>
          <w:rFonts w:cs="Arial"/>
          <w:color w:val="000000"/>
          <w:sz w:val="22"/>
          <w:szCs w:val="22"/>
        </w:rPr>
        <w:t xml:space="preserve">-discrimination legislation has an important role in setting standards of behaviour that are expected in a free and democratic society, and in providing avenues for redress for unacceptable conduct.  </w:t>
      </w:r>
      <w:r>
        <w:rPr>
          <w:rFonts w:cs="Arial"/>
          <w:color w:val="000000"/>
          <w:sz w:val="22"/>
          <w:szCs w:val="22"/>
        </w:rPr>
        <w:t xml:space="preserve">Criminal sanctions contribute to the regulation of behaviour.  However, more can be done to regulate online behaviour and protect those who are subjected to hate speech and vilification. </w:t>
      </w:r>
    </w:p>
    <w:p w14:paraId="7C23D32B" w14:textId="5263EAD0" w:rsidR="00A44DFA" w:rsidRPr="00FF689A" w:rsidRDefault="00A44DFA" w:rsidP="002F0580">
      <w:pPr>
        <w:pStyle w:val="Heading1"/>
        <w:spacing w:before="360"/>
        <w:rPr>
          <w:color w:val="004270"/>
        </w:rPr>
      </w:pPr>
      <w:bookmarkStart w:id="3" w:name="_Toc169517528"/>
      <w:r w:rsidRPr="00FF689A">
        <w:rPr>
          <w:color w:val="004270"/>
        </w:rPr>
        <w:t>Queensland protections for online hate and vilification</w:t>
      </w:r>
      <w:bookmarkEnd w:id="3"/>
    </w:p>
    <w:p w14:paraId="07F53779" w14:textId="77777777" w:rsidR="00D6178F" w:rsidRDefault="00D6178F" w:rsidP="008B79F8">
      <w:pPr>
        <w:pStyle w:val="ListParagraph"/>
        <w:numPr>
          <w:ilvl w:val="0"/>
          <w:numId w:val="6"/>
        </w:numPr>
        <w:spacing w:before="120" w:after="240" w:line="278" w:lineRule="auto"/>
        <w:ind w:left="425" w:hanging="425"/>
        <w:contextualSpacing w:val="0"/>
        <w:rPr>
          <w:rFonts w:cs="Arial"/>
          <w:color w:val="000000"/>
          <w:sz w:val="22"/>
          <w:szCs w:val="22"/>
        </w:rPr>
      </w:pPr>
      <w:r>
        <w:rPr>
          <w:rFonts w:cs="Arial"/>
          <w:color w:val="000000"/>
          <w:sz w:val="22"/>
          <w:szCs w:val="22"/>
        </w:rPr>
        <w:t>Protections in Queensland include a prohibition of vilification in the AD Act, a criminal offence of serious vilification, and circumstances of aggravation attaching to several other offences.</w:t>
      </w:r>
    </w:p>
    <w:p w14:paraId="37811E77" w14:textId="46A5B439" w:rsidR="00A61035" w:rsidRPr="00A61035" w:rsidRDefault="00A61035" w:rsidP="008B79F8">
      <w:pPr>
        <w:pStyle w:val="ListParagraph"/>
        <w:numPr>
          <w:ilvl w:val="0"/>
          <w:numId w:val="6"/>
        </w:numPr>
        <w:spacing w:before="120" w:after="240" w:line="278" w:lineRule="auto"/>
        <w:ind w:left="425" w:hanging="425"/>
        <w:contextualSpacing w:val="0"/>
        <w:rPr>
          <w:rFonts w:cs="Arial"/>
          <w:color w:val="000000"/>
          <w:sz w:val="22"/>
          <w:szCs w:val="22"/>
        </w:rPr>
      </w:pPr>
      <w:r w:rsidRPr="00A61035">
        <w:rPr>
          <w:rFonts w:cs="Arial"/>
          <w:color w:val="000000"/>
          <w:sz w:val="22"/>
          <w:szCs w:val="22"/>
        </w:rPr>
        <w:t xml:space="preserve">Queensland’s </w:t>
      </w:r>
      <w:r w:rsidRPr="00A61035">
        <w:rPr>
          <w:rFonts w:cs="Arial"/>
          <w:sz w:val="22"/>
          <w:szCs w:val="22"/>
        </w:rPr>
        <w:t>prohibitions</w:t>
      </w:r>
      <w:r w:rsidRPr="00A61035">
        <w:rPr>
          <w:rFonts w:cs="Arial"/>
          <w:color w:val="000000"/>
          <w:sz w:val="22"/>
          <w:szCs w:val="22"/>
        </w:rPr>
        <w:t xml:space="preserve"> on racial and religious vilification commenced on 7 June 2001,</w:t>
      </w:r>
      <w:r w:rsidRPr="00A61035">
        <w:rPr>
          <w:rStyle w:val="FootnoteReference"/>
          <w:rFonts w:cs="Arial"/>
          <w:color w:val="000000"/>
          <w:sz w:val="22"/>
          <w:szCs w:val="22"/>
        </w:rPr>
        <w:footnoteReference w:id="10"/>
      </w:r>
      <w:r w:rsidRPr="00A61035">
        <w:rPr>
          <w:rFonts w:cs="Arial"/>
          <w:color w:val="000000"/>
          <w:sz w:val="22"/>
          <w:szCs w:val="22"/>
        </w:rPr>
        <w:t xml:space="preserve"> </w:t>
      </w:r>
      <w:r w:rsidR="00D6178F">
        <w:rPr>
          <w:rFonts w:cs="Arial"/>
          <w:color w:val="000000"/>
          <w:sz w:val="22"/>
          <w:szCs w:val="22"/>
        </w:rPr>
        <w:t xml:space="preserve">long </w:t>
      </w:r>
      <w:r w:rsidRPr="00A61035">
        <w:rPr>
          <w:rFonts w:cs="Arial"/>
          <w:color w:val="000000"/>
          <w:sz w:val="22"/>
          <w:szCs w:val="22"/>
        </w:rPr>
        <w:t>before the rise of online hate speech.</w:t>
      </w:r>
    </w:p>
    <w:p w14:paraId="2D209A6F" w14:textId="77777777" w:rsidR="00A44DFA" w:rsidRPr="00FF689A" w:rsidRDefault="00A44DFA" w:rsidP="00A44DFA">
      <w:pPr>
        <w:pStyle w:val="Heading2"/>
        <w:rPr>
          <w:color w:val="004270"/>
        </w:rPr>
      </w:pPr>
      <w:bookmarkStart w:id="4" w:name="_Toc169517529"/>
      <w:r w:rsidRPr="00FF689A">
        <w:rPr>
          <w:color w:val="004270"/>
        </w:rPr>
        <w:t>Criminal offences</w:t>
      </w:r>
      <w:bookmarkEnd w:id="4"/>
    </w:p>
    <w:p w14:paraId="56D15D9A" w14:textId="7F38FBF0" w:rsidR="00A44DFA" w:rsidRPr="00627FBA" w:rsidRDefault="00AC5F58" w:rsidP="008B79F8">
      <w:pPr>
        <w:pStyle w:val="ListParagraph"/>
        <w:numPr>
          <w:ilvl w:val="0"/>
          <w:numId w:val="6"/>
        </w:numPr>
        <w:spacing w:before="120" w:after="240" w:line="278" w:lineRule="auto"/>
        <w:ind w:left="425" w:hanging="425"/>
        <w:contextualSpacing w:val="0"/>
        <w:rPr>
          <w:rFonts w:cs="Arial"/>
          <w:sz w:val="22"/>
          <w:szCs w:val="22"/>
        </w:rPr>
      </w:pPr>
      <w:r w:rsidRPr="00AC5F58">
        <w:rPr>
          <w:rFonts w:cs="Arial"/>
          <w:color w:val="000000"/>
          <w:sz w:val="22"/>
          <w:szCs w:val="22"/>
        </w:rPr>
        <w:t>The criminal offence of serious vilification is where a person knowingly or recklessly vilifies a person or group in a way that includes threatening physical harm to person or property, or inciting others to threaten physical harm to person or property.</w:t>
      </w:r>
      <w:r>
        <w:rPr>
          <w:rFonts w:cs="Arial"/>
          <w:color w:val="000000"/>
          <w:sz w:val="22"/>
          <w:szCs w:val="22"/>
        </w:rPr>
        <w:t xml:space="preserve">  </w:t>
      </w:r>
      <w:r w:rsidR="00A44DFA" w:rsidRPr="00627FBA">
        <w:rPr>
          <w:rFonts w:cs="Arial"/>
          <w:sz w:val="22"/>
          <w:szCs w:val="22"/>
        </w:rPr>
        <w:t xml:space="preserve">The offence of serious vilification is now contained in the </w:t>
      </w:r>
      <w:r w:rsidR="00A44DFA" w:rsidRPr="008E7F55">
        <w:rPr>
          <w:rFonts w:cs="Arial"/>
          <w:i/>
          <w:iCs/>
          <w:sz w:val="22"/>
          <w:szCs w:val="22"/>
        </w:rPr>
        <w:t>Criminal Code</w:t>
      </w:r>
      <w:r w:rsidRPr="008E7F55">
        <w:rPr>
          <w:rFonts w:cs="Arial"/>
          <w:i/>
          <w:iCs/>
          <w:sz w:val="22"/>
          <w:szCs w:val="22"/>
        </w:rPr>
        <w:t xml:space="preserve"> </w:t>
      </w:r>
      <w:r w:rsidR="0041719E" w:rsidRPr="008E7F55">
        <w:rPr>
          <w:rFonts w:cs="Arial"/>
          <w:i/>
          <w:iCs/>
          <w:sz w:val="22"/>
          <w:szCs w:val="22"/>
        </w:rPr>
        <w:t>Act</w:t>
      </w:r>
      <w:r w:rsidR="0041719E">
        <w:rPr>
          <w:rFonts w:cs="Arial"/>
          <w:sz w:val="22"/>
          <w:szCs w:val="22"/>
        </w:rPr>
        <w:t xml:space="preserve"> 1899 (Qld) (‘</w:t>
      </w:r>
      <w:r w:rsidR="0041719E" w:rsidRPr="008E7F55">
        <w:rPr>
          <w:rFonts w:cs="Arial"/>
          <w:i/>
          <w:iCs/>
          <w:sz w:val="22"/>
          <w:szCs w:val="22"/>
        </w:rPr>
        <w:t>Criminal Code</w:t>
      </w:r>
      <w:r w:rsidR="0041719E">
        <w:rPr>
          <w:rFonts w:cs="Arial"/>
          <w:sz w:val="22"/>
          <w:szCs w:val="22"/>
        </w:rPr>
        <w:t xml:space="preserve">’) </w:t>
      </w:r>
      <w:r>
        <w:rPr>
          <w:rFonts w:cs="Arial"/>
          <w:sz w:val="22"/>
          <w:szCs w:val="22"/>
        </w:rPr>
        <w:t xml:space="preserve">and is set out in </w:t>
      </w:r>
      <w:r w:rsidRPr="00A97BF0">
        <w:rPr>
          <w:rFonts w:cs="Arial"/>
          <w:b/>
          <w:bCs/>
          <w:sz w:val="22"/>
          <w:szCs w:val="22"/>
        </w:rPr>
        <w:t>Appendix 1</w:t>
      </w:r>
      <w:r w:rsidR="00A44DFA" w:rsidRPr="00627FBA">
        <w:rPr>
          <w:rFonts w:cs="Arial"/>
          <w:sz w:val="22"/>
          <w:szCs w:val="22"/>
        </w:rPr>
        <w:t xml:space="preserve">.  </w:t>
      </w:r>
    </w:p>
    <w:p w14:paraId="3900CF83" w14:textId="7C28039A" w:rsidR="00A44DFA" w:rsidRPr="00627FBA" w:rsidRDefault="008E714E" w:rsidP="008B79F8">
      <w:pPr>
        <w:pStyle w:val="ListParagraph"/>
        <w:numPr>
          <w:ilvl w:val="0"/>
          <w:numId w:val="6"/>
        </w:numPr>
        <w:spacing w:before="120" w:after="240" w:line="278" w:lineRule="auto"/>
        <w:ind w:left="425" w:hanging="425"/>
        <w:contextualSpacing w:val="0"/>
        <w:rPr>
          <w:rFonts w:cs="Arial"/>
          <w:sz w:val="22"/>
          <w:szCs w:val="22"/>
        </w:rPr>
      </w:pPr>
      <w:r>
        <w:rPr>
          <w:rFonts w:cs="Arial"/>
          <w:sz w:val="22"/>
          <w:szCs w:val="22"/>
        </w:rPr>
        <w:t>C</w:t>
      </w:r>
      <w:r w:rsidR="00A44DFA" w:rsidRPr="00627FBA">
        <w:rPr>
          <w:rFonts w:cs="Arial"/>
          <w:sz w:val="22"/>
          <w:szCs w:val="22"/>
        </w:rPr>
        <w:t xml:space="preserve">ertain offences under the </w:t>
      </w:r>
      <w:r w:rsidR="00A44DFA" w:rsidRPr="00627FBA">
        <w:rPr>
          <w:rFonts w:cs="Arial"/>
          <w:i/>
          <w:iCs/>
          <w:sz w:val="22"/>
          <w:szCs w:val="22"/>
        </w:rPr>
        <w:t>Summary Offences Act 2005</w:t>
      </w:r>
      <w:r w:rsidR="00A44DFA" w:rsidRPr="00627FBA">
        <w:rPr>
          <w:rFonts w:cs="Arial"/>
          <w:sz w:val="22"/>
          <w:szCs w:val="22"/>
        </w:rPr>
        <w:t xml:space="preserve"> </w:t>
      </w:r>
      <w:r w:rsidR="0041719E">
        <w:rPr>
          <w:rFonts w:cs="Arial"/>
          <w:sz w:val="22"/>
          <w:szCs w:val="22"/>
        </w:rPr>
        <w:t xml:space="preserve">(Qld) </w:t>
      </w:r>
      <w:r w:rsidR="00A44DFA" w:rsidRPr="00627FBA">
        <w:rPr>
          <w:rFonts w:cs="Arial"/>
          <w:sz w:val="22"/>
          <w:szCs w:val="22"/>
        </w:rPr>
        <w:t xml:space="preserve">and the </w:t>
      </w:r>
      <w:r w:rsidR="00A44DFA" w:rsidRPr="008E7F55">
        <w:rPr>
          <w:rFonts w:cs="Arial"/>
          <w:i/>
          <w:iCs/>
          <w:sz w:val="22"/>
          <w:szCs w:val="22"/>
        </w:rPr>
        <w:t>Criminal Code</w:t>
      </w:r>
      <w:r w:rsidR="00A44DFA" w:rsidRPr="00627FBA">
        <w:rPr>
          <w:rFonts w:cs="Arial"/>
          <w:sz w:val="22"/>
          <w:szCs w:val="22"/>
        </w:rPr>
        <w:t xml:space="preserve"> now carry greater penalties</w:t>
      </w:r>
      <w:r>
        <w:rPr>
          <w:rFonts w:cs="Arial"/>
          <w:sz w:val="22"/>
          <w:szCs w:val="22"/>
        </w:rPr>
        <w:t xml:space="preserve"> where there are circumstances of aggravation of race, religion, sexuality, sex characteristics or gender identity</w:t>
      </w:r>
      <w:r w:rsidR="00A44DFA" w:rsidRPr="00627FBA">
        <w:rPr>
          <w:rFonts w:cs="Arial"/>
          <w:sz w:val="22"/>
          <w:szCs w:val="22"/>
        </w:rPr>
        <w:t>.</w:t>
      </w:r>
      <w:r w:rsidR="009454BF" w:rsidRPr="00627FBA">
        <w:rPr>
          <w:rStyle w:val="FootnoteReference"/>
          <w:rFonts w:cs="Arial"/>
          <w:sz w:val="22"/>
          <w:szCs w:val="22"/>
        </w:rPr>
        <w:footnoteReference w:id="11"/>
      </w:r>
    </w:p>
    <w:p w14:paraId="6F25A403" w14:textId="6597BE6A" w:rsidR="00A44DFA" w:rsidRPr="00FF689A" w:rsidRDefault="001E05F2" w:rsidP="00A44DFA">
      <w:pPr>
        <w:pStyle w:val="Heading2"/>
        <w:rPr>
          <w:color w:val="004270"/>
        </w:rPr>
      </w:pPr>
      <w:bookmarkStart w:id="5" w:name="_Toc169517530"/>
      <w:r w:rsidRPr="00FF689A">
        <w:rPr>
          <w:color w:val="004270"/>
        </w:rPr>
        <w:t>General prohibition</w:t>
      </w:r>
      <w:bookmarkEnd w:id="5"/>
    </w:p>
    <w:p w14:paraId="1211F59D" w14:textId="51B6DF5A" w:rsidR="00A44DFA" w:rsidRDefault="00A44DFA" w:rsidP="008B79F8">
      <w:pPr>
        <w:pStyle w:val="ListParagraph"/>
        <w:numPr>
          <w:ilvl w:val="0"/>
          <w:numId w:val="6"/>
        </w:numPr>
        <w:spacing w:before="120" w:after="240" w:line="278" w:lineRule="auto"/>
        <w:ind w:left="425" w:hanging="425"/>
        <w:contextualSpacing w:val="0"/>
        <w:rPr>
          <w:rFonts w:cs="Arial"/>
          <w:sz w:val="22"/>
          <w:szCs w:val="22"/>
        </w:rPr>
      </w:pPr>
      <w:r w:rsidRPr="00A97BF0">
        <w:rPr>
          <w:rFonts w:cs="Arial"/>
          <w:sz w:val="22"/>
          <w:szCs w:val="22"/>
        </w:rPr>
        <w:t>In Queensland it is unlawful to incite</w:t>
      </w:r>
      <w:r w:rsidR="0060320A" w:rsidRPr="00A97BF0">
        <w:rPr>
          <w:rFonts w:cs="Arial"/>
          <w:sz w:val="22"/>
          <w:szCs w:val="22"/>
        </w:rPr>
        <w:t>, by a public act,</w:t>
      </w:r>
      <w:r w:rsidRPr="00A97BF0">
        <w:rPr>
          <w:rFonts w:cs="Arial"/>
          <w:sz w:val="22"/>
          <w:szCs w:val="22"/>
        </w:rPr>
        <w:t xml:space="preserve"> hatred for, serious contempt or severe ridicule of, a person or group </w:t>
      </w:r>
      <w:r w:rsidR="00A76B4A">
        <w:rPr>
          <w:rFonts w:cs="Arial"/>
          <w:sz w:val="22"/>
          <w:szCs w:val="22"/>
        </w:rPr>
        <w:t>on the</w:t>
      </w:r>
      <w:r w:rsidRPr="00A97BF0">
        <w:rPr>
          <w:rFonts w:cs="Arial"/>
          <w:sz w:val="22"/>
          <w:szCs w:val="22"/>
        </w:rPr>
        <w:t xml:space="preserve"> ground of certain attributes.</w:t>
      </w:r>
      <w:r w:rsidRPr="00627FBA">
        <w:rPr>
          <w:rStyle w:val="FootnoteReference"/>
          <w:rFonts w:cs="Arial"/>
          <w:sz w:val="22"/>
          <w:szCs w:val="22"/>
        </w:rPr>
        <w:footnoteReference w:id="12"/>
      </w:r>
      <w:r w:rsidRPr="00A97BF0">
        <w:rPr>
          <w:rFonts w:cs="Arial"/>
          <w:sz w:val="22"/>
          <w:szCs w:val="22"/>
        </w:rPr>
        <w:t xml:space="preserve">  Incite has </w:t>
      </w:r>
      <w:r w:rsidRPr="00A97BF0">
        <w:rPr>
          <w:rFonts w:cs="Arial"/>
          <w:sz w:val="22"/>
          <w:szCs w:val="22"/>
        </w:rPr>
        <w:lastRenderedPageBreak/>
        <w:t>been interpreted by courts and tribunals as meaning to urge on or encourage.</w:t>
      </w:r>
      <w:r w:rsidR="0060320A" w:rsidRPr="00A97BF0">
        <w:rPr>
          <w:rFonts w:cs="Arial"/>
          <w:sz w:val="22"/>
          <w:szCs w:val="22"/>
        </w:rPr>
        <w:t xml:space="preserve">  It is not necessary that any one was actually incited.</w:t>
      </w:r>
      <w:r w:rsidR="00AC5F58" w:rsidRPr="00A97BF0">
        <w:rPr>
          <w:rFonts w:cs="Arial"/>
          <w:sz w:val="22"/>
          <w:szCs w:val="22"/>
        </w:rPr>
        <w:t xml:space="preserve">  There are </w:t>
      </w:r>
      <w:r w:rsidR="00A97BF0" w:rsidRPr="00A97BF0">
        <w:rPr>
          <w:rFonts w:cs="Arial"/>
          <w:sz w:val="22"/>
          <w:szCs w:val="22"/>
        </w:rPr>
        <w:t>exceptions</w:t>
      </w:r>
      <w:r w:rsidR="00AC5F58" w:rsidRPr="00A97BF0">
        <w:rPr>
          <w:rFonts w:cs="Arial"/>
          <w:sz w:val="22"/>
          <w:szCs w:val="22"/>
        </w:rPr>
        <w:t xml:space="preserve"> that balance the protections against the right to freedom of speech, including the implied right to freedom of political communication.</w:t>
      </w:r>
      <w:r w:rsidR="00AC5F58">
        <w:rPr>
          <w:rStyle w:val="FootnoteReference"/>
          <w:rFonts w:cs="Arial"/>
          <w:sz w:val="22"/>
          <w:szCs w:val="22"/>
        </w:rPr>
        <w:footnoteReference w:id="13"/>
      </w:r>
      <w:r w:rsidR="00A97BF0">
        <w:rPr>
          <w:rFonts w:cs="Arial"/>
          <w:sz w:val="22"/>
          <w:szCs w:val="22"/>
        </w:rPr>
        <w:t xml:space="preserve">  The current provision is set out in </w:t>
      </w:r>
      <w:r w:rsidR="00A97BF0" w:rsidRPr="00A97BF0">
        <w:rPr>
          <w:rFonts w:cs="Arial"/>
          <w:b/>
          <w:bCs/>
          <w:sz w:val="22"/>
          <w:szCs w:val="22"/>
        </w:rPr>
        <w:t xml:space="preserve">Appendix </w:t>
      </w:r>
      <w:r w:rsidR="0070418A">
        <w:rPr>
          <w:rFonts w:cs="Arial"/>
          <w:b/>
          <w:bCs/>
          <w:sz w:val="22"/>
          <w:szCs w:val="22"/>
        </w:rPr>
        <w:t>2</w:t>
      </w:r>
      <w:r w:rsidR="00A97BF0">
        <w:rPr>
          <w:rFonts w:cs="Arial"/>
          <w:sz w:val="22"/>
          <w:szCs w:val="22"/>
        </w:rPr>
        <w:t>.</w:t>
      </w:r>
    </w:p>
    <w:p w14:paraId="3E55ABE0" w14:textId="77777777" w:rsidR="0070418A" w:rsidRPr="00E53ED4" w:rsidRDefault="0070418A" w:rsidP="0070418A">
      <w:pPr>
        <w:pStyle w:val="ListParagraph"/>
        <w:numPr>
          <w:ilvl w:val="0"/>
          <w:numId w:val="6"/>
        </w:numPr>
        <w:spacing w:before="120" w:after="240" w:line="278" w:lineRule="auto"/>
        <w:ind w:left="425" w:hanging="425"/>
        <w:contextualSpacing w:val="0"/>
        <w:rPr>
          <w:rFonts w:cs="Arial"/>
          <w:color w:val="000000" w:themeColor="text1"/>
          <w:sz w:val="22"/>
          <w:szCs w:val="22"/>
        </w:rPr>
      </w:pPr>
      <w:r w:rsidRPr="00E53ED4">
        <w:rPr>
          <w:rFonts w:cs="Arial"/>
          <w:color w:val="000000" w:themeColor="text1"/>
          <w:sz w:val="22"/>
          <w:szCs w:val="22"/>
        </w:rPr>
        <w:t>The attributes that are currently protected from vilification are: race, religion, sexuality, gender identity, and sex characteristics.</w:t>
      </w:r>
      <w:r w:rsidRPr="00E53ED4">
        <w:rPr>
          <w:rStyle w:val="FootnoteReference"/>
          <w:rFonts w:cs="Arial"/>
          <w:color w:val="000000" w:themeColor="text1"/>
          <w:sz w:val="22"/>
          <w:szCs w:val="22"/>
        </w:rPr>
        <w:footnoteReference w:id="14"/>
      </w:r>
      <w:r w:rsidRPr="00E53ED4">
        <w:rPr>
          <w:rFonts w:cs="Arial"/>
          <w:color w:val="000000" w:themeColor="text1"/>
          <w:sz w:val="22"/>
          <w:szCs w:val="22"/>
        </w:rPr>
        <w:t xml:space="preserve">  </w:t>
      </w:r>
    </w:p>
    <w:p w14:paraId="146CE770" w14:textId="7A55D070" w:rsidR="00A44DFA" w:rsidRPr="00E53ED4" w:rsidRDefault="00D474F7" w:rsidP="006C22FF">
      <w:pPr>
        <w:pStyle w:val="ListParagraph"/>
        <w:numPr>
          <w:ilvl w:val="0"/>
          <w:numId w:val="6"/>
        </w:numPr>
        <w:spacing w:before="120" w:after="240" w:line="278" w:lineRule="auto"/>
        <w:ind w:left="425" w:hanging="425"/>
        <w:contextualSpacing w:val="0"/>
        <w:rPr>
          <w:rFonts w:cs="Arial"/>
          <w:color w:val="000000" w:themeColor="text1"/>
          <w:sz w:val="22"/>
          <w:szCs w:val="22"/>
        </w:rPr>
      </w:pPr>
      <w:r>
        <w:rPr>
          <w:rFonts w:cs="Arial"/>
          <w:color w:val="000000" w:themeColor="text1"/>
          <w:sz w:val="22"/>
          <w:szCs w:val="22"/>
        </w:rPr>
        <w:t>Hate speech has been the vehicle for incitement in most cases of vilification proved at tribunal hearing in Queensland</w:t>
      </w:r>
      <w:r w:rsidR="00A44DFA" w:rsidRPr="00E53ED4">
        <w:rPr>
          <w:rFonts w:cs="Arial"/>
          <w:color w:val="000000" w:themeColor="text1"/>
          <w:sz w:val="22"/>
          <w:szCs w:val="22"/>
        </w:rPr>
        <w:t>.</w:t>
      </w:r>
      <w:r w:rsidR="00A44DFA" w:rsidRPr="00E53ED4">
        <w:rPr>
          <w:rStyle w:val="FootnoteReference"/>
          <w:rFonts w:cs="Arial"/>
          <w:color w:val="000000" w:themeColor="text1"/>
          <w:sz w:val="22"/>
          <w:szCs w:val="22"/>
        </w:rPr>
        <w:t xml:space="preserve"> </w:t>
      </w:r>
      <w:r w:rsidR="00A44DFA" w:rsidRPr="00E53ED4">
        <w:rPr>
          <w:rFonts w:cs="Arial"/>
          <w:color w:val="000000" w:themeColor="text1"/>
          <w:sz w:val="22"/>
          <w:szCs w:val="22"/>
        </w:rPr>
        <w:t xml:space="preserve"> </w:t>
      </w:r>
    </w:p>
    <w:p w14:paraId="3B50E516" w14:textId="6DC7FF17" w:rsidR="00A570AB" w:rsidRPr="00FF689A" w:rsidRDefault="00A570AB" w:rsidP="00A570AB">
      <w:pPr>
        <w:pStyle w:val="Heading1"/>
        <w:rPr>
          <w:color w:val="004270"/>
        </w:rPr>
      </w:pPr>
      <w:bookmarkStart w:id="6" w:name="_Toc169517531"/>
      <w:r w:rsidRPr="00FF689A">
        <w:rPr>
          <w:color w:val="004270"/>
        </w:rPr>
        <w:t>Civil remedy</w:t>
      </w:r>
      <w:bookmarkEnd w:id="6"/>
    </w:p>
    <w:p w14:paraId="35245BF3" w14:textId="6B6B2468" w:rsidR="00DB0146" w:rsidRPr="00DB0146" w:rsidRDefault="00A97BF0" w:rsidP="00A570AB">
      <w:pPr>
        <w:pStyle w:val="ListParagraph"/>
        <w:numPr>
          <w:ilvl w:val="0"/>
          <w:numId w:val="6"/>
        </w:numPr>
        <w:spacing w:before="120" w:after="240" w:line="278" w:lineRule="auto"/>
        <w:ind w:left="425" w:hanging="425"/>
        <w:contextualSpacing w:val="0"/>
        <w:rPr>
          <w:rFonts w:cs="Arial"/>
          <w:sz w:val="22"/>
          <w:szCs w:val="22"/>
        </w:rPr>
      </w:pPr>
      <w:r w:rsidRPr="00DB0146">
        <w:rPr>
          <w:rFonts w:cs="Arial"/>
          <w:sz w:val="22"/>
          <w:szCs w:val="22"/>
        </w:rPr>
        <w:t>Proceedings for t</w:t>
      </w:r>
      <w:r w:rsidR="00A44DFA" w:rsidRPr="00DB0146">
        <w:rPr>
          <w:rFonts w:cs="Arial"/>
          <w:sz w:val="22"/>
          <w:szCs w:val="22"/>
        </w:rPr>
        <w:t xml:space="preserve">he civil remedy for online vilification </w:t>
      </w:r>
      <w:r w:rsidR="00AC5F58" w:rsidRPr="00DB0146">
        <w:rPr>
          <w:rFonts w:cs="Arial"/>
          <w:sz w:val="22"/>
          <w:szCs w:val="22"/>
        </w:rPr>
        <w:t>start with</w:t>
      </w:r>
      <w:r w:rsidR="00A44DFA" w:rsidRPr="00DB0146">
        <w:rPr>
          <w:rFonts w:cs="Arial"/>
          <w:sz w:val="22"/>
          <w:szCs w:val="22"/>
        </w:rPr>
        <w:t xml:space="preserve"> a written complaint to the Commission.  The Commission’s primary function in relation to a complaint is to try to resolve the complaint through conciliation with the parties.  </w:t>
      </w:r>
      <w:r w:rsidR="00DB0146" w:rsidRPr="00DB0146">
        <w:rPr>
          <w:rFonts w:cs="Arial"/>
          <w:sz w:val="22"/>
          <w:szCs w:val="22"/>
        </w:rPr>
        <w:t>Complaint</w:t>
      </w:r>
      <w:r w:rsidR="00CB02DC">
        <w:rPr>
          <w:rFonts w:cs="Arial"/>
          <w:sz w:val="22"/>
          <w:szCs w:val="22"/>
        </w:rPr>
        <w:t>s</w:t>
      </w:r>
      <w:r w:rsidR="00DB0146" w:rsidRPr="00DB0146">
        <w:rPr>
          <w:rFonts w:cs="Arial"/>
          <w:sz w:val="22"/>
          <w:szCs w:val="22"/>
        </w:rPr>
        <w:t xml:space="preserve"> of vilification can be challenging to conciliate particularly where there is ongoing animosity and where the complaint is about online conduct.  </w:t>
      </w:r>
    </w:p>
    <w:p w14:paraId="6008D9FF" w14:textId="40072FFC" w:rsidR="00CB02DC" w:rsidRPr="003F787F" w:rsidRDefault="00CB02DC" w:rsidP="00CB02DC">
      <w:pPr>
        <w:pStyle w:val="ListParagraph"/>
        <w:numPr>
          <w:ilvl w:val="0"/>
          <w:numId w:val="6"/>
        </w:numPr>
        <w:spacing w:before="120" w:after="240" w:line="278" w:lineRule="auto"/>
        <w:ind w:left="425" w:hanging="425"/>
        <w:contextualSpacing w:val="0"/>
        <w:rPr>
          <w:rFonts w:cs="Arial"/>
          <w:color w:val="000000"/>
          <w:sz w:val="22"/>
          <w:szCs w:val="22"/>
        </w:rPr>
      </w:pPr>
      <w:r>
        <w:rPr>
          <w:rFonts w:cs="Arial"/>
          <w:sz w:val="22"/>
          <w:szCs w:val="22"/>
        </w:rPr>
        <w:t>In Queensland, a complaint of vilification may be made by an entity that has the primary purpose of promoting the interests o</w:t>
      </w:r>
      <w:r w:rsidR="00A76B4A">
        <w:rPr>
          <w:rFonts w:cs="Arial"/>
          <w:sz w:val="22"/>
          <w:szCs w:val="22"/>
        </w:rPr>
        <w:t>r</w:t>
      </w:r>
      <w:r>
        <w:rPr>
          <w:rFonts w:cs="Arial"/>
          <w:sz w:val="22"/>
          <w:szCs w:val="22"/>
        </w:rPr>
        <w:t xml:space="preserve"> welfare of persons of a particular race, religion, sexuality</w:t>
      </w:r>
      <w:r w:rsidR="00DF322F">
        <w:rPr>
          <w:rFonts w:cs="Arial"/>
          <w:sz w:val="22"/>
          <w:szCs w:val="22"/>
        </w:rPr>
        <w:t>,</w:t>
      </w:r>
      <w:r>
        <w:rPr>
          <w:rFonts w:cs="Arial"/>
          <w:sz w:val="22"/>
          <w:szCs w:val="22"/>
        </w:rPr>
        <w:t xml:space="preserve"> gender identity or having particular sex characteristics.  The entity has the burden of pursuing the complaint through the tribunal in the hope of obtaining appropriate orders.</w:t>
      </w:r>
    </w:p>
    <w:p w14:paraId="69EDCB90" w14:textId="6106D242" w:rsidR="00CB02DC" w:rsidRPr="00CB02DC" w:rsidRDefault="00CB02DC" w:rsidP="00CB02DC">
      <w:pPr>
        <w:pStyle w:val="ListParagraph"/>
        <w:numPr>
          <w:ilvl w:val="0"/>
          <w:numId w:val="6"/>
        </w:numPr>
        <w:spacing w:before="120" w:after="240" w:line="278" w:lineRule="auto"/>
        <w:ind w:left="425" w:hanging="425"/>
        <w:contextualSpacing w:val="0"/>
        <w:rPr>
          <w:rFonts w:cs="Arial"/>
          <w:sz w:val="22"/>
          <w:szCs w:val="22"/>
        </w:rPr>
      </w:pPr>
      <w:r w:rsidRPr="00CB02DC">
        <w:rPr>
          <w:rFonts w:cs="Arial"/>
          <w:sz w:val="22"/>
          <w:szCs w:val="22"/>
        </w:rPr>
        <w:t>Pursuing a complaint through the tribunal hearing process requires commitment and can be taxing on the individual, and the outcome might be unrewarding.</w:t>
      </w:r>
      <w:r w:rsidR="000E4FDF">
        <w:rPr>
          <w:rStyle w:val="FootnoteReference"/>
          <w:rFonts w:cs="Arial"/>
          <w:sz w:val="22"/>
          <w:szCs w:val="22"/>
        </w:rPr>
        <w:footnoteReference w:id="15"/>
      </w:r>
      <w:r w:rsidRPr="00CB02DC">
        <w:rPr>
          <w:rFonts w:cs="Arial"/>
          <w:sz w:val="22"/>
          <w:szCs w:val="22"/>
        </w:rPr>
        <w:t xml:space="preserve">  </w:t>
      </w:r>
    </w:p>
    <w:p w14:paraId="7559CA6A" w14:textId="265E7B6B" w:rsidR="00DB0146" w:rsidRPr="00DB0146" w:rsidRDefault="00DB0146" w:rsidP="00DB0146">
      <w:pPr>
        <w:pStyle w:val="ListParagraph"/>
        <w:numPr>
          <w:ilvl w:val="0"/>
          <w:numId w:val="6"/>
        </w:numPr>
        <w:spacing w:before="120" w:after="240" w:line="278" w:lineRule="auto"/>
        <w:ind w:left="425" w:hanging="425"/>
        <w:contextualSpacing w:val="0"/>
        <w:rPr>
          <w:rFonts w:cs="Arial"/>
          <w:sz w:val="22"/>
          <w:szCs w:val="22"/>
        </w:rPr>
      </w:pPr>
      <w:r w:rsidRPr="00DB0146">
        <w:rPr>
          <w:rFonts w:cs="Arial"/>
          <w:sz w:val="22"/>
          <w:szCs w:val="22"/>
        </w:rPr>
        <w:t>Community representatives have informed the Commission that people subjected to vilification are often reluctant to make a complaint because the process involves engaging with the person who has vilified them, or the person doesn’t participate in the conciliation and the complainant is left to refer the complaint to the tribunal and proceed to a hearing.  This places the onus and burden on the person subjected to the vilification to take action.</w:t>
      </w:r>
    </w:p>
    <w:p w14:paraId="6B169D1B" w14:textId="2F8D4BC9" w:rsidR="00A61035" w:rsidRDefault="00A61035" w:rsidP="00A570AB">
      <w:pPr>
        <w:pStyle w:val="ListParagraph"/>
        <w:numPr>
          <w:ilvl w:val="0"/>
          <w:numId w:val="6"/>
        </w:numPr>
        <w:spacing w:before="120" w:after="240" w:line="278" w:lineRule="auto"/>
        <w:ind w:left="425" w:hanging="425"/>
        <w:contextualSpacing w:val="0"/>
        <w:rPr>
          <w:rFonts w:cs="Arial"/>
          <w:color w:val="000000"/>
          <w:sz w:val="22"/>
          <w:szCs w:val="22"/>
        </w:rPr>
      </w:pPr>
      <w:r w:rsidRPr="00A570AB">
        <w:rPr>
          <w:rFonts w:cs="Arial"/>
          <w:sz w:val="22"/>
          <w:szCs w:val="22"/>
        </w:rPr>
        <w:t>Evidence</w:t>
      </w:r>
      <w:r w:rsidRPr="00A570AB">
        <w:rPr>
          <w:rFonts w:cs="Arial"/>
          <w:color w:val="000000"/>
          <w:sz w:val="22"/>
          <w:szCs w:val="22"/>
        </w:rPr>
        <w:t xml:space="preserve"> before the </w:t>
      </w:r>
      <w:r w:rsidR="00AC2A4A">
        <w:rPr>
          <w:rFonts w:cs="Arial"/>
          <w:color w:val="000000"/>
          <w:sz w:val="22"/>
          <w:szCs w:val="22"/>
        </w:rPr>
        <w:t>United Nations</w:t>
      </w:r>
      <w:r w:rsidR="00A570AB">
        <w:rPr>
          <w:rFonts w:cs="Arial"/>
          <w:color w:val="000000"/>
          <w:sz w:val="22"/>
          <w:szCs w:val="22"/>
        </w:rPr>
        <w:t xml:space="preserve"> </w:t>
      </w:r>
      <w:r w:rsidRPr="00A570AB">
        <w:rPr>
          <w:rFonts w:cs="Arial"/>
          <w:color w:val="000000"/>
          <w:sz w:val="22"/>
          <w:szCs w:val="22"/>
        </w:rPr>
        <w:t>Special Rapporteur on minority issues suggested that minorities hesitate to complain of hate speech for a number of reasons, including that authorities will not intervene, there will be no consequences for those who breach the legislation, or that the use of complaint mechanisms for social media is unlikely to remedy the situation.</w:t>
      </w:r>
      <w:r w:rsidRPr="00A570AB">
        <w:rPr>
          <w:rStyle w:val="FootnoteReference"/>
          <w:rFonts w:cs="Arial"/>
          <w:color w:val="000000"/>
          <w:sz w:val="22"/>
          <w:szCs w:val="22"/>
        </w:rPr>
        <w:footnoteReference w:id="16"/>
      </w:r>
    </w:p>
    <w:p w14:paraId="540062EE" w14:textId="78A5FB2A" w:rsidR="000E4FDF" w:rsidRDefault="000E4FDF" w:rsidP="00A570AB">
      <w:pPr>
        <w:pStyle w:val="ListParagraph"/>
        <w:numPr>
          <w:ilvl w:val="0"/>
          <w:numId w:val="6"/>
        </w:numPr>
        <w:spacing w:before="120" w:after="240" w:line="278" w:lineRule="auto"/>
        <w:ind w:left="425" w:hanging="425"/>
        <w:contextualSpacing w:val="0"/>
        <w:rPr>
          <w:rFonts w:cs="Arial"/>
          <w:color w:val="000000"/>
          <w:sz w:val="22"/>
          <w:szCs w:val="22"/>
        </w:rPr>
      </w:pPr>
      <w:r>
        <w:rPr>
          <w:rFonts w:cs="Arial"/>
          <w:color w:val="000000"/>
          <w:sz w:val="22"/>
          <w:szCs w:val="22"/>
        </w:rPr>
        <w:lastRenderedPageBreak/>
        <w:t xml:space="preserve">In the Queensland Inquiry into serious vilification and hate crimes, the Committee considered the appropriateness of a </w:t>
      </w:r>
      <w:r w:rsidR="003B4864">
        <w:rPr>
          <w:rFonts w:cs="Arial"/>
          <w:color w:val="000000"/>
          <w:sz w:val="22"/>
          <w:szCs w:val="22"/>
        </w:rPr>
        <w:t>conciliation-based</w:t>
      </w:r>
      <w:r>
        <w:rPr>
          <w:rFonts w:cs="Arial"/>
          <w:color w:val="000000"/>
          <w:sz w:val="22"/>
          <w:szCs w:val="22"/>
        </w:rPr>
        <w:t xml:space="preserve"> framework and effectiveness of the prohibition against vilification.  The report of the Committee outline</w:t>
      </w:r>
      <w:r w:rsidR="003B4864">
        <w:rPr>
          <w:rFonts w:cs="Arial"/>
          <w:color w:val="000000"/>
          <w:sz w:val="22"/>
          <w:szCs w:val="22"/>
        </w:rPr>
        <w:t>d</w:t>
      </w:r>
      <w:r>
        <w:rPr>
          <w:rFonts w:cs="Arial"/>
          <w:color w:val="000000"/>
          <w:sz w:val="22"/>
          <w:szCs w:val="22"/>
        </w:rPr>
        <w:t xml:space="preserve"> some of the evidence and submissions, including for example, that the focus of the complaint process is redress rather than protecting victims from ongoing vilification, and the process doesn’t work where the perpetrator is unknown.</w:t>
      </w:r>
      <w:r>
        <w:rPr>
          <w:rStyle w:val="FootnoteReference"/>
          <w:rFonts w:cs="Arial"/>
          <w:color w:val="000000"/>
          <w:sz w:val="22"/>
          <w:szCs w:val="22"/>
        </w:rPr>
        <w:footnoteReference w:id="17"/>
      </w:r>
    </w:p>
    <w:p w14:paraId="5AE819B7" w14:textId="1EB697EF" w:rsidR="003F787F" w:rsidRPr="00C273F8" w:rsidRDefault="003F787F" w:rsidP="00A570AB">
      <w:pPr>
        <w:pStyle w:val="ListParagraph"/>
        <w:numPr>
          <w:ilvl w:val="0"/>
          <w:numId w:val="6"/>
        </w:numPr>
        <w:spacing w:before="120" w:after="240" w:line="278" w:lineRule="auto"/>
        <w:ind w:left="425" w:hanging="425"/>
        <w:contextualSpacing w:val="0"/>
        <w:rPr>
          <w:rFonts w:cs="Arial"/>
          <w:color w:val="000000"/>
          <w:sz w:val="22"/>
          <w:szCs w:val="22"/>
        </w:rPr>
      </w:pPr>
      <w:r>
        <w:rPr>
          <w:rFonts w:cs="Arial"/>
          <w:sz w:val="22"/>
          <w:szCs w:val="22"/>
        </w:rPr>
        <w:t>An example of a complaint about social media posts and other online material is a complaint brought by the Australian Muslim Agency Network and the Islamic Council of Queensland against Fraser Anning.  The respondent</w:t>
      </w:r>
      <w:r w:rsidR="00F03DA7">
        <w:rPr>
          <w:rFonts w:cs="Arial"/>
          <w:sz w:val="22"/>
          <w:szCs w:val="22"/>
        </w:rPr>
        <w:t>,</w:t>
      </w:r>
      <w:r>
        <w:rPr>
          <w:rFonts w:cs="Arial"/>
          <w:sz w:val="22"/>
          <w:szCs w:val="22"/>
        </w:rPr>
        <w:t xml:space="preserve"> Mr Anning</w:t>
      </w:r>
      <w:r w:rsidR="00F03DA7">
        <w:rPr>
          <w:rFonts w:cs="Arial"/>
          <w:sz w:val="22"/>
          <w:szCs w:val="22"/>
        </w:rPr>
        <w:t>,</w:t>
      </w:r>
      <w:r>
        <w:rPr>
          <w:rFonts w:cs="Arial"/>
          <w:sz w:val="22"/>
          <w:szCs w:val="22"/>
        </w:rPr>
        <w:t xml:space="preserve"> did not engage in the process and after a hearing in his absence the tribunal made orders requiring Mr Anning to remove </w:t>
      </w:r>
      <w:r w:rsidR="0020262C">
        <w:rPr>
          <w:rFonts w:cs="Arial"/>
          <w:sz w:val="22"/>
          <w:szCs w:val="22"/>
        </w:rPr>
        <w:t xml:space="preserve">a </w:t>
      </w:r>
      <w:r>
        <w:rPr>
          <w:rFonts w:cs="Arial"/>
          <w:sz w:val="22"/>
          <w:szCs w:val="22"/>
        </w:rPr>
        <w:t xml:space="preserve">large </w:t>
      </w:r>
      <w:r w:rsidR="0020262C">
        <w:rPr>
          <w:rFonts w:cs="Arial"/>
          <w:sz w:val="22"/>
          <w:szCs w:val="22"/>
        </w:rPr>
        <w:t>volume</w:t>
      </w:r>
      <w:r>
        <w:rPr>
          <w:rFonts w:cs="Arial"/>
          <w:sz w:val="22"/>
          <w:szCs w:val="22"/>
        </w:rPr>
        <w:t xml:space="preserve"> of online material</w:t>
      </w:r>
      <w:r w:rsidR="0020262C">
        <w:rPr>
          <w:rFonts w:cs="Arial"/>
          <w:sz w:val="22"/>
          <w:szCs w:val="22"/>
        </w:rPr>
        <w:t xml:space="preserve"> identified in lists</w:t>
      </w:r>
      <w:r>
        <w:rPr>
          <w:rFonts w:cs="Arial"/>
          <w:sz w:val="22"/>
          <w:szCs w:val="22"/>
        </w:rPr>
        <w:t>.</w:t>
      </w:r>
      <w:r>
        <w:rPr>
          <w:rStyle w:val="FootnoteReference"/>
          <w:rFonts w:cs="Arial"/>
          <w:sz w:val="22"/>
          <w:szCs w:val="22"/>
        </w:rPr>
        <w:footnoteReference w:id="18"/>
      </w:r>
      <w:r>
        <w:rPr>
          <w:rFonts w:cs="Arial"/>
          <w:sz w:val="22"/>
          <w:szCs w:val="22"/>
        </w:rPr>
        <w:t xml:space="preserve">  After obtaining the orders, the complainant entities were left to try to convince the hosting services to remove the material.  They were successful in </w:t>
      </w:r>
      <w:r w:rsidR="00F456C2">
        <w:rPr>
          <w:rFonts w:cs="Arial"/>
          <w:sz w:val="22"/>
          <w:szCs w:val="22"/>
        </w:rPr>
        <w:t>convincing Twitter to remove the account and</w:t>
      </w:r>
      <w:r>
        <w:rPr>
          <w:rFonts w:cs="Arial"/>
          <w:sz w:val="22"/>
          <w:szCs w:val="22"/>
        </w:rPr>
        <w:t xml:space="preserve"> Facebook geo</w:t>
      </w:r>
      <w:r w:rsidR="00F456C2">
        <w:rPr>
          <w:rFonts w:cs="Arial"/>
          <w:sz w:val="22"/>
          <w:szCs w:val="22"/>
        </w:rPr>
        <w:t>-</w:t>
      </w:r>
      <w:r>
        <w:rPr>
          <w:rFonts w:cs="Arial"/>
          <w:sz w:val="22"/>
          <w:szCs w:val="22"/>
        </w:rPr>
        <w:t>block</w:t>
      </w:r>
      <w:r w:rsidR="00F456C2">
        <w:rPr>
          <w:rFonts w:cs="Arial"/>
          <w:sz w:val="22"/>
          <w:szCs w:val="22"/>
        </w:rPr>
        <w:t xml:space="preserve">ed </w:t>
      </w:r>
      <w:r>
        <w:rPr>
          <w:rFonts w:cs="Arial"/>
          <w:sz w:val="22"/>
          <w:szCs w:val="22"/>
        </w:rPr>
        <w:t>the material.</w:t>
      </w:r>
    </w:p>
    <w:p w14:paraId="024C7EC3" w14:textId="1989BD2D" w:rsidR="00C273F8" w:rsidRPr="00C273F8" w:rsidRDefault="00C273F8" w:rsidP="00A570AB">
      <w:pPr>
        <w:pStyle w:val="ListParagraph"/>
        <w:numPr>
          <w:ilvl w:val="0"/>
          <w:numId w:val="6"/>
        </w:numPr>
        <w:spacing w:before="120" w:after="240" w:line="278" w:lineRule="auto"/>
        <w:ind w:left="425" w:hanging="425"/>
        <w:contextualSpacing w:val="0"/>
        <w:rPr>
          <w:rFonts w:cs="Arial"/>
          <w:color w:val="000000"/>
          <w:sz w:val="22"/>
          <w:szCs w:val="22"/>
        </w:rPr>
      </w:pPr>
      <w:r>
        <w:rPr>
          <w:rFonts w:cs="Arial"/>
          <w:sz w:val="22"/>
          <w:szCs w:val="22"/>
        </w:rPr>
        <w:t xml:space="preserve">A complaint by </w:t>
      </w:r>
      <w:r w:rsidR="00F03DA7">
        <w:rPr>
          <w:rFonts w:cs="Arial"/>
          <w:sz w:val="22"/>
          <w:szCs w:val="22"/>
        </w:rPr>
        <w:t xml:space="preserve">the </w:t>
      </w:r>
      <w:r>
        <w:rPr>
          <w:rFonts w:cs="Arial"/>
          <w:sz w:val="22"/>
          <w:szCs w:val="22"/>
        </w:rPr>
        <w:t xml:space="preserve">Australian Muslim Agency Network Ltd about twitter posts is currently before the Queensland Civil and Administrative Tribunal.  The respondent X Corp challenged the jurisdiction of the tribunal and the application of </w:t>
      </w:r>
      <w:r w:rsidR="00F456C2">
        <w:rPr>
          <w:rFonts w:cs="Arial"/>
          <w:sz w:val="22"/>
          <w:szCs w:val="22"/>
        </w:rPr>
        <w:t xml:space="preserve">the </w:t>
      </w:r>
      <w:r>
        <w:rPr>
          <w:rFonts w:cs="Arial"/>
          <w:sz w:val="22"/>
          <w:szCs w:val="22"/>
        </w:rPr>
        <w:t>AD Act to it as a foreign corporation.  The tribunal has recently held that both X Corp and Twitter Australia Holdings Pty Limited are subject to the jurisdiction of the tribunal as respondents to a complaint of contravention of the AD Act.</w:t>
      </w:r>
      <w:r>
        <w:rPr>
          <w:rStyle w:val="FootnoteReference"/>
          <w:rFonts w:cs="Arial"/>
          <w:sz w:val="22"/>
          <w:szCs w:val="22"/>
        </w:rPr>
        <w:footnoteReference w:id="19"/>
      </w:r>
      <w:r>
        <w:rPr>
          <w:rFonts w:cs="Arial"/>
          <w:sz w:val="22"/>
          <w:szCs w:val="22"/>
        </w:rPr>
        <w:t xml:space="preserve">   </w:t>
      </w:r>
    </w:p>
    <w:p w14:paraId="4EDD204D" w14:textId="53A84884" w:rsidR="00C273F8" w:rsidRPr="00C273F8" w:rsidRDefault="00C273F8" w:rsidP="00A570AB">
      <w:pPr>
        <w:pStyle w:val="ListParagraph"/>
        <w:numPr>
          <w:ilvl w:val="0"/>
          <w:numId w:val="6"/>
        </w:numPr>
        <w:spacing w:before="120" w:after="240" w:line="278" w:lineRule="auto"/>
        <w:ind w:left="425" w:hanging="425"/>
        <w:contextualSpacing w:val="0"/>
        <w:rPr>
          <w:rFonts w:cs="Arial"/>
          <w:color w:val="000000"/>
          <w:sz w:val="22"/>
          <w:szCs w:val="22"/>
        </w:rPr>
      </w:pPr>
      <w:r>
        <w:rPr>
          <w:rFonts w:cs="Arial"/>
          <w:sz w:val="22"/>
          <w:szCs w:val="22"/>
        </w:rPr>
        <w:t>The decision determine</w:t>
      </w:r>
      <w:r w:rsidR="003B4864">
        <w:rPr>
          <w:rFonts w:cs="Arial"/>
          <w:sz w:val="22"/>
          <w:szCs w:val="22"/>
        </w:rPr>
        <w:t>d</w:t>
      </w:r>
      <w:r>
        <w:rPr>
          <w:rFonts w:cs="Arial"/>
          <w:sz w:val="22"/>
          <w:szCs w:val="22"/>
        </w:rPr>
        <w:t xml:space="preserve"> a preliminary issue, and the complaint is yet to be heard.  It demonstrates the potential complexity</w:t>
      </w:r>
      <w:r w:rsidR="00A87185">
        <w:rPr>
          <w:rFonts w:cs="Arial"/>
          <w:sz w:val="22"/>
          <w:szCs w:val="22"/>
        </w:rPr>
        <w:t xml:space="preserve"> and burden of pursuing a complaint of vilification relating to online material.</w:t>
      </w:r>
    </w:p>
    <w:p w14:paraId="652BB9B3" w14:textId="77777777" w:rsidR="004C5F91" w:rsidRPr="00FF689A" w:rsidRDefault="008F5474" w:rsidP="003B4864">
      <w:pPr>
        <w:pStyle w:val="Heading1"/>
        <w:spacing w:before="360"/>
        <w:rPr>
          <w:color w:val="004270"/>
        </w:rPr>
      </w:pPr>
      <w:bookmarkStart w:id="7" w:name="_Toc169517532"/>
      <w:r w:rsidRPr="00FF689A">
        <w:rPr>
          <w:color w:val="004270"/>
        </w:rPr>
        <w:t>Conclusion</w:t>
      </w:r>
      <w:bookmarkEnd w:id="7"/>
    </w:p>
    <w:p w14:paraId="39F119F3" w14:textId="5966732C" w:rsidR="008D061D" w:rsidRDefault="008D061D" w:rsidP="008D061D">
      <w:pPr>
        <w:pStyle w:val="ListParagraph"/>
        <w:numPr>
          <w:ilvl w:val="0"/>
          <w:numId w:val="6"/>
        </w:numPr>
        <w:spacing w:before="120" w:after="240" w:line="278" w:lineRule="auto"/>
        <w:ind w:left="425" w:hanging="425"/>
        <w:contextualSpacing w:val="0"/>
        <w:rPr>
          <w:rFonts w:cs="Arial"/>
          <w:color w:val="000000"/>
          <w:sz w:val="22"/>
          <w:szCs w:val="22"/>
        </w:rPr>
      </w:pPr>
      <w:r w:rsidRPr="008D061D">
        <w:rPr>
          <w:rFonts w:cs="Arial"/>
          <w:color w:val="000000"/>
          <w:sz w:val="22"/>
          <w:szCs w:val="22"/>
        </w:rPr>
        <w:t xml:space="preserve">While the complaint-based civil remedy and the criminal offence regimes have necessary roles in relation to online hate and vilification, in the Commission’s experience, people who are subjected to </w:t>
      </w:r>
      <w:r w:rsidR="0020262C">
        <w:rPr>
          <w:rFonts w:cs="Arial"/>
          <w:color w:val="000000"/>
          <w:sz w:val="22"/>
          <w:szCs w:val="22"/>
        </w:rPr>
        <w:t>online harm</w:t>
      </w:r>
      <w:r w:rsidRPr="008D061D">
        <w:rPr>
          <w:rFonts w:cs="Arial"/>
          <w:color w:val="000000"/>
          <w:sz w:val="22"/>
          <w:szCs w:val="22"/>
        </w:rPr>
        <w:t xml:space="preserve"> just want it to stop</w:t>
      </w:r>
      <w:r>
        <w:rPr>
          <w:rFonts w:cs="Arial"/>
          <w:color w:val="000000"/>
          <w:sz w:val="22"/>
          <w:szCs w:val="22"/>
        </w:rPr>
        <w:t xml:space="preserve">.  To achieve this, the complaint and removal schemes under the </w:t>
      </w:r>
      <w:r w:rsidRPr="008D061D">
        <w:rPr>
          <w:rFonts w:cs="Arial"/>
          <w:i/>
          <w:iCs/>
          <w:color w:val="000000"/>
          <w:sz w:val="22"/>
          <w:szCs w:val="22"/>
        </w:rPr>
        <w:t>Online Safety Act 2021</w:t>
      </w:r>
      <w:r>
        <w:rPr>
          <w:rFonts w:cs="Arial"/>
          <w:color w:val="000000"/>
          <w:sz w:val="22"/>
          <w:szCs w:val="22"/>
        </w:rPr>
        <w:t xml:space="preserve"> </w:t>
      </w:r>
      <w:r w:rsidR="00F03DA7">
        <w:rPr>
          <w:rFonts w:cs="Arial"/>
          <w:color w:val="000000"/>
          <w:sz w:val="22"/>
          <w:szCs w:val="22"/>
        </w:rPr>
        <w:t>(</w:t>
      </w:r>
      <w:proofErr w:type="spellStart"/>
      <w:r w:rsidR="00F03DA7">
        <w:rPr>
          <w:rFonts w:cs="Arial"/>
          <w:color w:val="000000"/>
          <w:sz w:val="22"/>
          <w:szCs w:val="22"/>
        </w:rPr>
        <w:t>Cth</w:t>
      </w:r>
      <w:proofErr w:type="spellEnd"/>
      <w:r w:rsidR="00F03DA7">
        <w:rPr>
          <w:rFonts w:cs="Arial"/>
          <w:color w:val="000000"/>
          <w:sz w:val="22"/>
          <w:szCs w:val="22"/>
        </w:rPr>
        <w:t xml:space="preserve">) </w:t>
      </w:r>
      <w:r>
        <w:rPr>
          <w:rFonts w:cs="Arial"/>
          <w:color w:val="000000"/>
          <w:sz w:val="22"/>
          <w:szCs w:val="22"/>
        </w:rPr>
        <w:t>need to be extended.</w:t>
      </w:r>
    </w:p>
    <w:p w14:paraId="1FF612E2" w14:textId="5134058A" w:rsidR="00B167F9" w:rsidRDefault="00B167F9" w:rsidP="008D061D">
      <w:pPr>
        <w:pStyle w:val="ListParagraph"/>
        <w:numPr>
          <w:ilvl w:val="0"/>
          <w:numId w:val="6"/>
        </w:numPr>
        <w:spacing w:before="120" w:after="240" w:line="278" w:lineRule="auto"/>
        <w:ind w:left="425" w:hanging="425"/>
        <w:contextualSpacing w:val="0"/>
        <w:rPr>
          <w:rFonts w:cs="Arial"/>
          <w:color w:val="000000"/>
          <w:sz w:val="22"/>
          <w:szCs w:val="22"/>
        </w:rPr>
      </w:pPr>
      <w:r>
        <w:rPr>
          <w:rFonts w:cs="Arial"/>
          <w:color w:val="000000"/>
          <w:sz w:val="22"/>
          <w:szCs w:val="22"/>
        </w:rPr>
        <w:t>As well as provid</w:t>
      </w:r>
      <w:r w:rsidR="0020262C">
        <w:rPr>
          <w:rFonts w:cs="Arial"/>
          <w:color w:val="000000"/>
          <w:sz w:val="22"/>
          <w:szCs w:val="22"/>
        </w:rPr>
        <w:t>ing</w:t>
      </w:r>
      <w:r>
        <w:rPr>
          <w:rFonts w:cs="Arial"/>
          <w:color w:val="000000"/>
          <w:sz w:val="22"/>
          <w:szCs w:val="22"/>
        </w:rPr>
        <w:t xml:space="preserve"> an option for victims of online hate and vilification, a scheme that empowers the </w:t>
      </w:r>
      <w:proofErr w:type="spellStart"/>
      <w:r>
        <w:rPr>
          <w:rFonts w:cs="Arial"/>
          <w:color w:val="000000"/>
          <w:sz w:val="22"/>
          <w:szCs w:val="22"/>
        </w:rPr>
        <w:t>eSafety</w:t>
      </w:r>
      <w:proofErr w:type="spellEnd"/>
      <w:r>
        <w:rPr>
          <w:rFonts w:cs="Arial"/>
          <w:color w:val="000000"/>
          <w:sz w:val="22"/>
          <w:szCs w:val="22"/>
        </w:rPr>
        <w:t xml:space="preserve"> Commissioner to direct the removal of online hate and vilification </w:t>
      </w:r>
      <w:r w:rsidR="00F03DA7">
        <w:rPr>
          <w:rFonts w:cs="Arial"/>
          <w:color w:val="000000"/>
          <w:sz w:val="22"/>
          <w:szCs w:val="22"/>
        </w:rPr>
        <w:t xml:space="preserve">material </w:t>
      </w:r>
      <w:r>
        <w:rPr>
          <w:rFonts w:cs="Arial"/>
          <w:color w:val="000000"/>
          <w:sz w:val="22"/>
          <w:szCs w:val="22"/>
        </w:rPr>
        <w:t xml:space="preserve">will help reduce hate speech and the harm it </w:t>
      </w:r>
      <w:r w:rsidR="0020262C">
        <w:rPr>
          <w:rFonts w:cs="Arial"/>
          <w:color w:val="000000"/>
          <w:sz w:val="22"/>
          <w:szCs w:val="22"/>
        </w:rPr>
        <w:t>causes and</w:t>
      </w:r>
      <w:r>
        <w:rPr>
          <w:rFonts w:cs="Arial"/>
          <w:color w:val="000000"/>
          <w:sz w:val="22"/>
          <w:szCs w:val="22"/>
        </w:rPr>
        <w:t xml:space="preserve"> limit the escalation of hate speech to hate crime and terrorism.</w:t>
      </w:r>
    </w:p>
    <w:p w14:paraId="2045760E" w14:textId="2B456C84" w:rsidR="00B167F9" w:rsidRDefault="00B167F9" w:rsidP="008D061D">
      <w:pPr>
        <w:pStyle w:val="ListParagraph"/>
        <w:numPr>
          <w:ilvl w:val="0"/>
          <w:numId w:val="6"/>
        </w:numPr>
        <w:spacing w:before="120" w:after="240" w:line="278" w:lineRule="auto"/>
        <w:ind w:left="425" w:hanging="425"/>
        <w:contextualSpacing w:val="0"/>
        <w:rPr>
          <w:rFonts w:cs="Arial"/>
          <w:color w:val="000000"/>
          <w:sz w:val="22"/>
          <w:szCs w:val="22"/>
        </w:rPr>
      </w:pPr>
      <w:r>
        <w:rPr>
          <w:rFonts w:cs="Arial"/>
          <w:color w:val="000000"/>
          <w:sz w:val="22"/>
          <w:szCs w:val="22"/>
        </w:rPr>
        <w:t xml:space="preserve">Online hate and vilification </w:t>
      </w:r>
      <w:r w:rsidR="0020262C">
        <w:rPr>
          <w:rFonts w:cs="Arial"/>
          <w:color w:val="000000"/>
          <w:sz w:val="22"/>
          <w:szCs w:val="22"/>
        </w:rPr>
        <w:t>are</w:t>
      </w:r>
      <w:r>
        <w:rPr>
          <w:rFonts w:cs="Arial"/>
          <w:color w:val="000000"/>
          <w:sz w:val="22"/>
          <w:szCs w:val="22"/>
        </w:rPr>
        <w:t xml:space="preserve"> often directed to a class or group of people, for example by their race, religion, or other attributes.  It is no less harmful than hate or vilification directed at an individual.  This type of content needs to be covered by the scheme and </w:t>
      </w:r>
      <w:r>
        <w:rPr>
          <w:rFonts w:cs="Arial"/>
          <w:color w:val="000000"/>
          <w:sz w:val="22"/>
          <w:szCs w:val="22"/>
        </w:rPr>
        <w:lastRenderedPageBreak/>
        <w:t>members o</w:t>
      </w:r>
      <w:r w:rsidR="0020262C">
        <w:rPr>
          <w:rFonts w:cs="Arial"/>
          <w:color w:val="000000"/>
          <w:sz w:val="22"/>
          <w:szCs w:val="22"/>
        </w:rPr>
        <w:t>f</w:t>
      </w:r>
      <w:r>
        <w:rPr>
          <w:rFonts w:cs="Arial"/>
          <w:color w:val="000000"/>
          <w:sz w:val="22"/>
          <w:szCs w:val="22"/>
        </w:rPr>
        <w:t xml:space="preserve"> a group or entities that represent them need to be able to make a complaint or notification to the </w:t>
      </w:r>
      <w:proofErr w:type="spellStart"/>
      <w:r>
        <w:rPr>
          <w:rFonts w:cs="Arial"/>
          <w:color w:val="000000"/>
          <w:sz w:val="22"/>
          <w:szCs w:val="22"/>
        </w:rPr>
        <w:t>eSafety</w:t>
      </w:r>
      <w:proofErr w:type="spellEnd"/>
      <w:r>
        <w:rPr>
          <w:rFonts w:cs="Arial"/>
          <w:color w:val="000000"/>
          <w:sz w:val="22"/>
          <w:szCs w:val="22"/>
        </w:rPr>
        <w:t xml:space="preserve"> Commissioner.</w:t>
      </w:r>
    </w:p>
    <w:p w14:paraId="6FD41FB4" w14:textId="5F5FFA54" w:rsidR="00B167F9" w:rsidRPr="008D061D" w:rsidRDefault="00B167F9" w:rsidP="008D061D">
      <w:pPr>
        <w:pStyle w:val="ListParagraph"/>
        <w:numPr>
          <w:ilvl w:val="0"/>
          <w:numId w:val="6"/>
        </w:numPr>
        <w:spacing w:before="120" w:after="240" w:line="278" w:lineRule="auto"/>
        <w:ind w:left="425" w:hanging="425"/>
        <w:contextualSpacing w:val="0"/>
        <w:rPr>
          <w:rFonts w:cs="Arial"/>
          <w:color w:val="000000"/>
          <w:sz w:val="22"/>
          <w:szCs w:val="22"/>
        </w:rPr>
      </w:pPr>
      <w:r>
        <w:rPr>
          <w:rFonts w:cs="Arial"/>
          <w:color w:val="000000"/>
          <w:sz w:val="22"/>
          <w:szCs w:val="22"/>
        </w:rPr>
        <w:t>Given that online hate speech and vilification is harmful for society as a whole, there is no justification to limit standing to make a complaint or notification to the individual who is targeted.</w:t>
      </w:r>
      <w:r w:rsidR="0020262C">
        <w:rPr>
          <w:rFonts w:cs="Arial"/>
          <w:color w:val="000000"/>
          <w:sz w:val="22"/>
          <w:szCs w:val="22"/>
        </w:rPr>
        <w:t xml:space="preserve">  Bystanders should also be able to report online hate and online vilification.</w:t>
      </w:r>
    </w:p>
    <w:p w14:paraId="3AE3E3B4" w14:textId="3FEA18C7" w:rsidR="002A512A" w:rsidRDefault="00B167F9" w:rsidP="00130506">
      <w:pPr>
        <w:spacing w:line="276" w:lineRule="auto"/>
        <w:rPr>
          <w:rFonts w:cs="Arial"/>
          <w:sz w:val="22"/>
          <w:szCs w:val="22"/>
        </w:rPr>
      </w:pPr>
      <w:r w:rsidRPr="00B167F9">
        <w:rPr>
          <w:rFonts w:cs="Arial"/>
          <w:sz w:val="22"/>
          <w:szCs w:val="22"/>
        </w:rPr>
        <w:t>Queensland Human Rights Commission</w:t>
      </w:r>
    </w:p>
    <w:p w14:paraId="1C07C46A" w14:textId="3761137C" w:rsidR="00130506" w:rsidRPr="00B167F9" w:rsidRDefault="00162C91" w:rsidP="00130506">
      <w:pPr>
        <w:spacing w:line="276" w:lineRule="auto"/>
        <w:rPr>
          <w:rFonts w:cs="Arial"/>
          <w:sz w:val="22"/>
          <w:szCs w:val="22"/>
        </w:rPr>
      </w:pPr>
      <w:r>
        <w:rPr>
          <w:rFonts w:cs="Arial"/>
          <w:sz w:val="22"/>
          <w:szCs w:val="22"/>
        </w:rPr>
        <w:t xml:space="preserve">19 </w:t>
      </w:r>
      <w:r w:rsidR="00130506">
        <w:rPr>
          <w:rFonts w:cs="Arial"/>
          <w:sz w:val="22"/>
          <w:szCs w:val="22"/>
        </w:rPr>
        <w:t>June 2024</w:t>
      </w:r>
    </w:p>
    <w:p w14:paraId="15731B34" w14:textId="0A994A00" w:rsidR="002A512A" w:rsidRDefault="002A512A" w:rsidP="00FE5D11">
      <w:pPr>
        <w:spacing w:after="160" w:line="276" w:lineRule="auto"/>
        <w:rPr>
          <w:rFonts w:cs="Arial"/>
        </w:rPr>
      </w:pPr>
    </w:p>
    <w:p w14:paraId="35B8A6C9" w14:textId="77777777" w:rsidR="002A512A" w:rsidRPr="005B6B4B" w:rsidRDefault="002A512A" w:rsidP="002A512A">
      <w:pPr>
        <w:spacing w:after="160" w:line="276" w:lineRule="auto"/>
        <w:ind w:left="720"/>
        <w:rPr>
          <w:rFonts w:cs="Arial"/>
        </w:rPr>
        <w:sectPr w:rsidR="002A512A" w:rsidRPr="005B6B4B" w:rsidSect="006B07D5">
          <w:headerReference w:type="default" r:id="rId12"/>
          <w:headerReference w:type="first" r:id="rId13"/>
          <w:footerReference w:type="first" r:id="rId14"/>
          <w:pgSz w:w="11900" w:h="16840" w:code="9"/>
          <w:pgMar w:top="1134" w:right="1418" w:bottom="1134" w:left="1418" w:header="851" w:footer="510" w:gutter="0"/>
          <w:cols w:space="708"/>
          <w:docGrid w:linePitch="360"/>
        </w:sectPr>
      </w:pPr>
    </w:p>
    <w:p w14:paraId="6E35BC44" w14:textId="6781457E" w:rsidR="00FE5D11" w:rsidRPr="00FF689A" w:rsidRDefault="00D73DF9" w:rsidP="00BA60BF">
      <w:pPr>
        <w:pStyle w:val="Heading1"/>
        <w:spacing w:before="0"/>
        <w:rPr>
          <w:color w:val="004270"/>
        </w:rPr>
      </w:pPr>
      <w:bookmarkStart w:id="8" w:name="_Toc169517533"/>
      <w:r w:rsidRPr="00FF689A">
        <w:rPr>
          <w:color w:val="004270"/>
        </w:rPr>
        <w:lastRenderedPageBreak/>
        <w:t xml:space="preserve">Appendix </w:t>
      </w:r>
      <w:r w:rsidR="00AC5F58" w:rsidRPr="00FF689A">
        <w:rPr>
          <w:color w:val="004270"/>
        </w:rPr>
        <w:t>1</w:t>
      </w:r>
      <w:r w:rsidR="00BA60BF" w:rsidRPr="00FF689A">
        <w:rPr>
          <w:color w:val="004270"/>
        </w:rPr>
        <w:t xml:space="preserve"> – </w:t>
      </w:r>
      <w:r w:rsidR="00AC5F58" w:rsidRPr="00FF689A">
        <w:rPr>
          <w:color w:val="004270"/>
        </w:rPr>
        <w:t xml:space="preserve">Serious vilification </w:t>
      </w:r>
      <w:r w:rsidR="008B79F8" w:rsidRPr="00FF689A">
        <w:rPr>
          <w:color w:val="004270"/>
        </w:rPr>
        <w:t>(offence)</w:t>
      </w:r>
      <w:bookmarkEnd w:id="8"/>
      <w:r w:rsidR="008B79F8" w:rsidRPr="00FF689A">
        <w:rPr>
          <w:color w:val="004270"/>
        </w:rPr>
        <w:t xml:space="preserve"> </w:t>
      </w:r>
    </w:p>
    <w:p w14:paraId="5F384AC5" w14:textId="1B11ABEE" w:rsidR="00A97BF0" w:rsidRDefault="00A97BF0" w:rsidP="008B79F8">
      <w:pPr>
        <w:spacing w:before="120" w:after="240"/>
        <w:rPr>
          <w:rFonts w:cs="Arial"/>
          <w:b/>
          <w:bCs/>
          <w:sz w:val="22"/>
          <w:szCs w:val="22"/>
        </w:rPr>
      </w:pPr>
      <w:r>
        <w:rPr>
          <w:rFonts w:cs="Arial"/>
          <w:b/>
          <w:bCs/>
          <w:sz w:val="22"/>
          <w:szCs w:val="22"/>
        </w:rPr>
        <w:t>Criminal Code (Qld)</w:t>
      </w:r>
    </w:p>
    <w:p w14:paraId="2C63AD19" w14:textId="35B79768" w:rsidR="00BA60BF" w:rsidRPr="00A97BF0" w:rsidRDefault="00A97BF0" w:rsidP="00AC5F58">
      <w:pPr>
        <w:spacing w:before="120" w:after="120"/>
        <w:rPr>
          <w:rFonts w:cs="Arial"/>
          <w:b/>
          <w:bCs/>
          <w:sz w:val="22"/>
          <w:szCs w:val="22"/>
        </w:rPr>
      </w:pPr>
      <w:r w:rsidRPr="00A97BF0">
        <w:rPr>
          <w:rFonts w:cs="Arial"/>
          <w:b/>
          <w:bCs/>
          <w:sz w:val="22"/>
          <w:szCs w:val="22"/>
        </w:rPr>
        <w:t>52A  Offence of serious racial, religious, sexuality or gender identity vilification</w:t>
      </w:r>
    </w:p>
    <w:p w14:paraId="7E2C611E" w14:textId="77777777" w:rsidR="00AC5F58" w:rsidRPr="00A97BF0" w:rsidRDefault="00AC5F58" w:rsidP="008B79F8">
      <w:pPr>
        <w:pStyle w:val="ListParagraph"/>
        <w:numPr>
          <w:ilvl w:val="0"/>
          <w:numId w:val="8"/>
        </w:numPr>
        <w:spacing w:before="120" w:after="120" w:line="278" w:lineRule="auto"/>
        <w:ind w:left="556" w:right="1264" w:hanging="556"/>
        <w:contextualSpacing w:val="0"/>
        <w:rPr>
          <w:rFonts w:cs="Arial"/>
          <w:sz w:val="22"/>
          <w:szCs w:val="22"/>
        </w:rPr>
      </w:pPr>
      <w:r w:rsidRPr="00A97BF0">
        <w:rPr>
          <w:rFonts w:cs="Arial"/>
          <w:sz w:val="22"/>
          <w:szCs w:val="22"/>
        </w:rPr>
        <w:t>A person must not, by a public act, knowingly or recklessly incite hatred towards, serious contempt for, or severe ridicule of, a person or group of persons on the ground of the race, religion, sexuality or gender identity of person or members or group in a way that includes—</w:t>
      </w:r>
    </w:p>
    <w:p w14:paraId="0796C83E" w14:textId="77777777" w:rsidR="00AC5F58" w:rsidRPr="00A97BF0" w:rsidRDefault="00AC5F58" w:rsidP="008B79F8">
      <w:pPr>
        <w:pStyle w:val="ListParagraph"/>
        <w:numPr>
          <w:ilvl w:val="1"/>
          <w:numId w:val="8"/>
        </w:numPr>
        <w:spacing w:before="120" w:after="120" w:line="278" w:lineRule="auto"/>
        <w:ind w:left="981" w:right="1264" w:hanging="425"/>
        <w:contextualSpacing w:val="0"/>
        <w:rPr>
          <w:rFonts w:cs="Arial"/>
          <w:sz w:val="22"/>
          <w:szCs w:val="22"/>
        </w:rPr>
      </w:pPr>
      <w:r w:rsidRPr="00A97BF0">
        <w:rPr>
          <w:rFonts w:cs="Arial"/>
          <w:sz w:val="22"/>
          <w:szCs w:val="22"/>
        </w:rPr>
        <w:t>threatening physical harm towards, or towards any property of the person or group of persons; or</w:t>
      </w:r>
    </w:p>
    <w:p w14:paraId="3E8CAE3E" w14:textId="77777777" w:rsidR="00AC5F58" w:rsidRPr="00A97BF0" w:rsidRDefault="00AC5F58" w:rsidP="008B79F8">
      <w:pPr>
        <w:pStyle w:val="ListParagraph"/>
        <w:numPr>
          <w:ilvl w:val="1"/>
          <w:numId w:val="8"/>
        </w:numPr>
        <w:spacing w:before="120" w:after="120" w:line="278" w:lineRule="auto"/>
        <w:ind w:left="981" w:right="1264" w:hanging="425"/>
        <w:contextualSpacing w:val="0"/>
        <w:rPr>
          <w:rFonts w:cs="Arial"/>
          <w:sz w:val="22"/>
          <w:szCs w:val="22"/>
        </w:rPr>
      </w:pPr>
      <w:r w:rsidRPr="00A97BF0">
        <w:rPr>
          <w:rFonts w:cs="Arial"/>
          <w:sz w:val="22"/>
          <w:szCs w:val="22"/>
        </w:rPr>
        <w:t>inciting others to threaten physical harm towards, or towards any property of the person or groups of persons.</w:t>
      </w:r>
    </w:p>
    <w:p w14:paraId="36055172" w14:textId="77777777" w:rsidR="00AC5F58" w:rsidRPr="00A97BF0" w:rsidRDefault="00AC5F58" w:rsidP="00A97BF0">
      <w:pPr>
        <w:spacing w:before="120" w:after="120" w:line="278" w:lineRule="auto"/>
        <w:ind w:left="556" w:right="1264"/>
        <w:rPr>
          <w:rFonts w:cs="Arial"/>
          <w:sz w:val="22"/>
          <w:szCs w:val="22"/>
        </w:rPr>
      </w:pPr>
      <w:r w:rsidRPr="00A97BF0">
        <w:rPr>
          <w:rFonts w:cs="Arial"/>
          <w:sz w:val="22"/>
          <w:szCs w:val="22"/>
        </w:rPr>
        <w:t>Maximum penalty—3 years imprisonment.</w:t>
      </w:r>
    </w:p>
    <w:p w14:paraId="051262DA" w14:textId="77777777" w:rsidR="00AC5F58" w:rsidRPr="00A97BF0" w:rsidRDefault="00AC5F58" w:rsidP="008B79F8">
      <w:pPr>
        <w:pStyle w:val="ListParagraph"/>
        <w:numPr>
          <w:ilvl w:val="0"/>
          <w:numId w:val="8"/>
        </w:numPr>
        <w:spacing w:before="120" w:after="120" w:line="278" w:lineRule="auto"/>
        <w:ind w:left="555" w:right="1264"/>
        <w:contextualSpacing w:val="0"/>
        <w:rPr>
          <w:rFonts w:cs="Arial"/>
          <w:sz w:val="22"/>
          <w:szCs w:val="22"/>
        </w:rPr>
      </w:pPr>
      <w:r w:rsidRPr="00A97BF0">
        <w:rPr>
          <w:rFonts w:cs="Arial"/>
          <w:sz w:val="22"/>
          <w:szCs w:val="22"/>
        </w:rPr>
        <w:t>In this section—</w:t>
      </w:r>
    </w:p>
    <w:p w14:paraId="2D66EFE8" w14:textId="77777777" w:rsidR="00AC5F58" w:rsidRPr="00A97BF0" w:rsidRDefault="00AC5F58" w:rsidP="00A97BF0">
      <w:pPr>
        <w:spacing w:before="120" w:after="120" w:line="278" w:lineRule="auto"/>
        <w:ind w:left="556" w:right="1264"/>
        <w:rPr>
          <w:rFonts w:cs="Arial"/>
          <w:sz w:val="22"/>
          <w:szCs w:val="22"/>
        </w:rPr>
      </w:pPr>
      <w:r w:rsidRPr="00A97BF0">
        <w:rPr>
          <w:rFonts w:cs="Arial"/>
          <w:b/>
          <w:bCs/>
          <w:i/>
          <w:iCs/>
          <w:sz w:val="22"/>
          <w:szCs w:val="22"/>
        </w:rPr>
        <w:t>public act</w:t>
      </w:r>
      <w:r w:rsidRPr="00A97BF0">
        <w:rPr>
          <w:rFonts w:cs="Arial"/>
          <w:sz w:val="22"/>
          <w:szCs w:val="22"/>
        </w:rPr>
        <w:t>—</w:t>
      </w:r>
    </w:p>
    <w:p w14:paraId="610E5F49" w14:textId="77777777" w:rsidR="00AC5F58" w:rsidRPr="00A97BF0" w:rsidRDefault="00AC5F58" w:rsidP="008B79F8">
      <w:pPr>
        <w:pStyle w:val="ListParagraph"/>
        <w:numPr>
          <w:ilvl w:val="1"/>
          <w:numId w:val="6"/>
        </w:numPr>
        <w:spacing w:before="120" w:after="120" w:line="278" w:lineRule="auto"/>
        <w:ind w:left="981" w:right="1264" w:hanging="425"/>
        <w:contextualSpacing w:val="0"/>
        <w:rPr>
          <w:rFonts w:cs="Arial"/>
          <w:sz w:val="22"/>
          <w:szCs w:val="22"/>
        </w:rPr>
      </w:pPr>
      <w:r w:rsidRPr="00A97BF0">
        <w:rPr>
          <w:rFonts w:cs="Arial"/>
          <w:sz w:val="22"/>
          <w:szCs w:val="22"/>
        </w:rPr>
        <w:t>includes—</w:t>
      </w:r>
    </w:p>
    <w:p w14:paraId="7F6A62B6" w14:textId="77777777" w:rsidR="00AC5F58" w:rsidRPr="00A97BF0" w:rsidRDefault="00AC5F58" w:rsidP="008B79F8">
      <w:pPr>
        <w:pStyle w:val="ListParagraph"/>
        <w:numPr>
          <w:ilvl w:val="2"/>
          <w:numId w:val="6"/>
        </w:numPr>
        <w:spacing w:before="120" w:after="120" w:line="278" w:lineRule="auto"/>
        <w:ind w:left="1440" w:right="1264" w:hanging="317"/>
        <w:contextualSpacing w:val="0"/>
        <w:rPr>
          <w:rFonts w:cs="Arial"/>
          <w:sz w:val="22"/>
          <w:szCs w:val="22"/>
        </w:rPr>
      </w:pPr>
      <w:r w:rsidRPr="00A97BF0">
        <w:rPr>
          <w:rFonts w:cs="Arial"/>
          <w:sz w:val="22"/>
          <w:szCs w:val="22"/>
        </w:rPr>
        <w:t>any form of communication to the public, including by speaking, writing, printing, displaying notices, broadcasting, telecasting, screening or playing of tapes or other recorded material, or by electronic means; and</w:t>
      </w:r>
    </w:p>
    <w:p w14:paraId="2F59CF3D" w14:textId="77777777" w:rsidR="00AC5F58" w:rsidRPr="00A97BF0" w:rsidRDefault="00AC5F58" w:rsidP="008B79F8">
      <w:pPr>
        <w:pStyle w:val="ListParagraph"/>
        <w:numPr>
          <w:ilvl w:val="2"/>
          <w:numId w:val="6"/>
        </w:numPr>
        <w:spacing w:before="120" w:after="120" w:line="278" w:lineRule="auto"/>
        <w:ind w:left="1441" w:right="1264" w:hanging="318"/>
        <w:contextualSpacing w:val="0"/>
        <w:rPr>
          <w:rFonts w:cs="Arial"/>
          <w:sz w:val="22"/>
          <w:szCs w:val="22"/>
        </w:rPr>
      </w:pPr>
      <w:r w:rsidRPr="00A97BF0">
        <w:rPr>
          <w:rFonts w:cs="Arial"/>
          <w:sz w:val="22"/>
          <w:szCs w:val="22"/>
        </w:rPr>
        <w:t>any conduct that is observable by the public, including actions, gestures and the wearing or display of clothing, signs, flags, emblems or insignia; but</w:t>
      </w:r>
    </w:p>
    <w:p w14:paraId="23701906" w14:textId="77777777" w:rsidR="00AC5F58" w:rsidRPr="00A97BF0" w:rsidRDefault="00AC5F58" w:rsidP="008B79F8">
      <w:pPr>
        <w:pStyle w:val="ListParagraph"/>
        <w:numPr>
          <w:ilvl w:val="1"/>
          <w:numId w:val="6"/>
        </w:numPr>
        <w:spacing w:before="120" w:after="120" w:line="278" w:lineRule="auto"/>
        <w:ind w:left="981" w:right="1264" w:hanging="425"/>
        <w:contextualSpacing w:val="0"/>
        <w:rPr>
          <w:rFonts w:cs="Arial"/>
          <w:sz w:val="22"/>
          <w:szCs w:val="22"/>
        </w:rPr>
      </w:pPr>
      <w:r w:rsidRPr="00A97BF0">
        <w:rPr>
          <w:rFonts w:cs="Arial"/>
          <w:sz w:val="22"/>
          <w:szCs w:val="22"/>
        </w:rPr>
        <w:t>does not include the distribution or dissemination of any matter by a person to the public if the person does not know, and could not reasonable be expected to know, the content of the matter.</w:t>
      </w:r>
    </w:p>
    <w:p w14:paraId="79239478" w14:textId="77777777" w:rsidR="00AC5F58" w:rsidRDefault="00AC5F58" w:rsidP="00AC5F58">
      <w:pPr>
        <w:spacing w:before="120" w:after="120"/>
        <w:rPr>
          <w:rFonts w:cs="Arial"/>
          <w:sz w:val="22"/>
          <w:szCs w:val="22"/>
        </w:rPr>
      </w:pPr>
    </w:p>
    <w:p w14:paraId="381989A1" w14:textId="77777777" w:rsidR="00AC5F58" w:rsidRDefault="00AC5F58" w:rsidP="00AC5F58">
      <w:pPr>
        <w:spacing w:after="160" w:line="276" w:lineRule="auto"/>
        <w:rPr>
          <w:rFonts w:cs="Arial"/>
        </w:rPr>
      </w:pPr>
    </w:p>
    <w:p w14:paraId="46C1AB8C" w14:textId="77777777" w:rsidR="00AC5F58" w:rsidRPr="005B6B4B" w:rsidRDefault="00AC5F58" w:rsidP="00AC5F58">
      <w:pPr>
        <w:spacing w:after="160" w:line="276" w:lineRule="auto"/>
        <w:ind w:left="720"/>
        <w:rPr>
          <w:rFonts w:cs="Arial"/>
        </w:rPr>
        <w:sectPr w:rsidR="00AC5F58" w:rsidRPr="005B6B4B" w:rsidSect="00AC5F58">
          <w:headerReference w:type="default" r:id="rId15"/>
          <w:headerReference w:type="first" r:id="rId16"/>
          <w:footerReference w:type="first" r:id="rId17"/>
          <w:pgSz w:w="11900" w:h="16840" w:code="9"/>
          <w:pgMar w:top="1134" w:right="1418" w:bottom="1134" w:left="1418" w:header="709" w:footer="510" w:gutter="0"/>
          <w:cols w:space="708"/>
          <w:docGrid w:linePitch="360"/>
        </w:sectPr>
      </w:pPr>
    </w:p>
    <w:p w14:paraId="4607FFCC" w14:textId="76FA3911" w:rsidR="00AC5F58" w:rsidRPr="00FF689A" w:rsidRDefault="00AC5F58" w:rsidP="00AC5F58">
      <w:pPr>
        <w:pStyle w:val="Heading1"/>
        <w:spacing w:before="0"/>
        <w:rPr>
          <w:color w:val="004270"/>
        </w:rPr>
      </w:pPr>
      <w:bookmarkStart w:id="9" w:name="_Toc169517534"/>
      <w:r w:rsidRPr="00FF689A">
        <w:rPr>
          <w:color w:val="004270"/>
        </w:rPr>
        <w:lastRenderedPageBreak/>
        <w:t xml:space="preserve">Appendix 2 – </w:t>
      </w:r>
      <w:r w:rsidR="00C87A0D" w:rsidRPr="00FF689A">
        <w:rPr>
          <w:color w:val="004270"/>
        </w:rPr>
        <w:t>Vilification (civil remedy)</w:t>
      </w:r>
      <w:bookmarkEnd w:id="9"/>
    </w:p>
    <w:p w14:paraId="3E991545" w14:textId="77777777" w:rsidR="00C87A0D" w:rsidRPr="008B79F8" w:rsidRDefault="00C87A0D" w:rsidP="00C87A0D">
      <w:pPr>
        <w:spacing w:before="120" w:after="240"/>
        <w:rPr>
          <w:rFonts w:cs="Arial"/>
          <w:b/>
          <w:bCs/>
          <w:sz w:val="22"/>
          <w:szCs w:val="22"/>
        </w:rPr>
      </w:pPr>
      <w:r w:rsidRPr="008B79F8">
        <w:rPr>
          <w:rFonts w:cs="Arial"/>
          <w:b/>
          <w:bCs/>
          <w:i/>
          <w:iCs/>
          <w:sz w:val="22"/>
          <w:szCs w:val="22"/>
        </w:rPr>
        <w:t>Anti-Discrimination Act 1991</w:t>
      </w:r>
      <w:r>
        <w:rPr>
          <w:rFonts w:cs="Arial"/>
          <w:b/>
          <w:bCs/>
          <w:i/>
          <w:iCs/>
          <w:sz w:val="22"/>
          <w:szCs w:val="22"/>
        </w:rPr>
        <w:t xml:space="preserve"> </w:t>
      </w:r>
      <w:r>
        <w:rPr>
          <w:rFonts w:cs="Arial"/>
          <w:b/>
          <w:bCs/>
          <w:sz w:val="22"/>
          <w:szCs w:val="22"/>
        </w:rPr>
        <w:t>(Qld)</w:t>
      </w:r>
    </w:p>
    <w:p w14:paraId="11D1D954" w14:textId="77777777" w:rsidR="00C87A0D" w:rsidRPr="00380DBC" w:rsidRDefault="00C87A0D" w:rsidP="00C87A0D">
      <w:pPr>
        <w:pStyle w:val="NormalWeb"/>
        <w:spacing w:before="120" w:beforeAutospacing="0" w:after="120" w:afterAutospacing="0"/>
        <w:ind w:right="805"/>
        <w:rPr>
          <w:rFonts w:ascii="Arial" w:hAnsi="Arial" w:cs="Arial"/>
          <w:b/>
          <w:color w:val="000000"/>
          <w:sz w:val="22"/>
          <w:szCs w:val="22"/>
        </w:rPr>
      </w:pPr>
      <w:r w:rsidRPr="00380DBC">
        <w:rPr>
          <w:rFonts w:ascii="Arial" w:hAnsi="Arial" w:cs="Arial"/>
          <w:b/>
          <w:color w:val="000000"/>
          <w:sz w:val="22"/>
          <w:szCs w:val="22"/>
        </w:rPr>
        <w:t xml:space="preserve">124A </w:t>
      </w:r>
      <w:r>
        <w:rPr>
          <w:rFonts w:ascii="Arial" w:hAnsi="Arial" w:cs="Arial"/>
          <w:b/>
          <w:color w:val="000000"/>
          <w:sz w:val="22"/>
          <w:szCs w:val="22"/>
        </w:rPr>
        <w:t xml:space="preserve"> </w:t>
      </w:r>
      <w:r w:rsidRPr="00380DBC">
        <w:rPr>
          <w:rFonts w:ascii="Arial" w:hAnsi="Arial" w:cs="Arial"/>
          <w:b/>
          <w:color w:val="000000"/>
          <w:sz w:val="22"/>
          <w:szCs w:val="22"/>
        </w:rPr>
        <w:t>Vilification on grounds of race, religion, sexuality or gender identity unlawful</w:t>
      </w:r>
    </w:p>
    <w:p w14:paraId="3A8B1627" w14:textId="77777777" w:rsidR="00C87A0D" w:rsidRPr="00380DBC" w:rsidRDefault="00C87A0D" w:rsidP="00C87A0D">
      <w:pPr>
        <w:pStyle w:val="NormalWeb"/>
        <w:numPr>
          <w:ilvl w:val="0"/>
          <w:numId w:val="5"/>
        </w:numPr>
        <w:spacing w:before="120" w:beforeAutospacing="0" w:after="120" w:afterAutospacing="0" w:line="278" w:lineRule="auto"/>
        <w:ind w:left="425" w:right="805" w:hanging="425"/>
        <w:rPr>
          <w:rFonts w:ascii="Arial" w:hAnsi="Arial" w:cs="Arial"/>
          <w:color w:val="000000"/>
          <w:sz w:val="22"/>
          <w:szCs w:val="22"/>
        </w:rPr>
      </w:pPr>
      <w:r w:rsidRPr="00380DBC">
        <w:rPr>
          <w:rFonts w:ascii="Arial" w:hAnsi="Arial" w:cs="Arial"/>
          <w:color w:val="000000"/>
          <w:sz w:val="22"/>
          <w:szCs w:val="22"/>
        </w:rPr>
        <w:t>A person must not, by a public act, incite hatred towards, serious contempt for, or severe ridicule of, a person or group of person</w:t>
      </w:r>
      <w:r>
        <w:rPr>
          <w:rFonts w:ascii="Arial" w:hAnsi="Arial" w:cs="Arial"/>
          <w:color w:val="000000"/>
          <w:sz w:val="22"/>
          <w:szCs w:val="22"/>
        </w:rPr>
        <w:t>s</w:t>
      </w:r>
      <w:r w:rsidRPr="00380DBC">
        <w:rPr>
          <w:rFonts w:ascii="Arial" w:hAnsi="Arial" w:cs="Arial"/>
          <w:color w:val="000000"/>
          <w:sz w:val="22"/>
          <w:szCs w:val="22"/>
        </w:rPr>
        <w:t xml:space="preserve"> on the ground of race, religion, sexuality or gender identity of the person or members of the group.</w:t>
      </w:r>
    </w:p>
    <w:p w14:paraId="04DD9736" w14:textId="77777777" w:rsidR="00C87A0D" w:rsidRPr="00380DBC" w:rsidRDefault="00C87A0D" w:rsidP="00C87A0D">
      <w:pPr>
        <w:pStyle w:val="NormalWeb"/>
        <w:numPr>
          <w:ilvl w:val="0"/>
          <w:numId w:val="5"/>
        </w:numPr>
        <w:spacing w:before="120" w:beforeAutospacing="0" w:after="120" w:afterAutospacing="0" w:line="278" w:lineRule="auto"/>
        <w:ind w:left="425" w:right="805" w:hanging="425"/>
        <w:rPr>
          <w:rFonts w:ascii="Arial" w:hAnsi="Arial" w:cs="Arial"/>
          <w:color w:val="000000"/>
          <w:sz w:val="22"/>
          <w:szCs w:val="22"/>
        </w:rPr>
      </w:pPr>
      <w:r w:rsidRPr="00380DBC">
        <w:rPr>
          <w:rFonts w:ascii="Arial" w:hAnsi="Arial" w:cs="Arial"/>
          <w:color w:val="000000"/>
          <w:sz w:val="22"/>
          <w:szCs w:val="22"/>
        </w:rPr>
        <w:t xml:space="preserve">Subsection (1) does not make unlawful – </w:t>
      </w:r>
    </w:p>
    <w:p w14:paraId="43FE9935" w14:textId="77777777" w:rsidR="00C87A0D" w:rsidRPr="00380DBC" w:rsidRDefault="00C87A0D" w:rsidP="00C87A0D">
      <w:pPr>
        <w:pStyle w:val="NormalWeb"/>
        <w:numPr>
          <w:ilvl w:val="1"/>
          <w:numId w:val="5"/>
        </w:numPr>
        <w:spacing w:before="120" w:beforeAutospacing="0" w:after="120" w:afterAutospacing="0" w:line="278" w:lineRule="auto"/>
        <w:ind w:left="992" w:right="805" w:hanging="425"/>
        <w:rPr>
          <w:rFonts w:ascii="Arial" w:hAnsi="Arial" w:cs="Arial"/>
          <w:color w:val="000000"/>
          <w:sz w:val="22"/>
          <w:szCs w:val="22"/>
        </w:rPr>
      </w:pPr>
      <w:r w:rsidRPr="00380DBC">
        <w:rPr>
          <w:rFonts w:ascii="Arial" w:hAnsi="Arial" w:cs="Arial"/>
          <w:color w:val="000000"/>
          <w:sz w:val="22"/>
          <w:szCs w:val="22"/>
        </w:rPr>
        <w:t>the publication of a fair report of a public act mentioned in subsection (1); or</w:t>
      </w:r>
    </w:p>
    <w:p w14:paraId="19484EA3" w14:textId="77777777" w:rsidR="00C87A0D" w:rsidRPr="00380DBC" w:rsidRDefault="00C87A0D" w:rsidP="00C87A0D">
      <w:pPr>
        <w:pStyle w:val="NormalWeb"/>
        <w:numPr>
          <w:ilvl w:val="1"/>
          <w:numId w:val="5"/>
        </w:numPr>
        <w:spacing w:before="120" w:beforeAutospacing="0" w:after="120" w:afterAutospacing="0" w:line="278" w:lineRule="auto"/>
        <w:ind w:left="992" w:right="805" w:hanging="425"/>
        <w:rPr>
          <w:rFonts w:ascii="Arial" w:hAnsi="Arial" w:cs="Arial"/>
          <w:color w:val="000000"/>
          <w:sz w:val="22"/>
          <w:szCs w:val="22"/>
        </w:rPr>
      </w:pPr>
      <w:r w:rsidRPr="00380DBC">
        <w:rPr>
          <w:rFonts w:ascii="Arial" w:hAnsi="Arial" w:cs="Arial"/>
          <w:color w:val="000000"/>
          <w:sz w:val="22"/>
          <w:szCs w:val="22"/>
        </w:rPr>
        <w:t>the publication of material in circumstances in which the publication would be subject to a defence of absolute privilege in proceedings for defamation; or</w:t>
      </w:r>
    </w:p>
    <w:p w14:paraId="05FD8887" w14:textId="77777777" w:rsidR="00C87A0D" w:rsidRPr="00380DBC" w:rsidRDefault="00C87A0D" w:rsidP="00C87A0D">
      <w:pPr>
        <w:pStyle w:val="NormalWeb"/>
        <w:numPr>
          <w:ilvl w:val="1"/>
          <w:numId w:val="5"/>
        </w:numPr>
        <w:spacing w:before="120" w:beforeAutospacing="0" w:after="240" w:afterAutospacing="0" w:line="278" w:lineRule="auto"/>
        <w:ind w:left="992" w:right="805" w:hanging="425"/>
        <w:rPr>
          <w:rFonts w:ascii="Arial" w:hAnsi="Arial" w:cs="Arial"/>
          <w:color w:val="000000"/>
          <w:sz w:val="22"/>
          <w:szCs w:val="22"/>
        </w:rPr>
      </w:pPr>
      <w:r w:rsidRPr="00380DBC">
        <w:rPr>
          <w:rFonts w:ascii="Arial" w:hAnsi="Arial" w:cs="Arial"/>
          <w:color w:val="000000"/>
          <w:sz w:val="22"/>
          <w:szCs w:val="22"/>
        </w:rPr>
        <w:t>a public act, done reasonably and in good faith, for academic, artistic, scientific or research purposes or for other purposes in the public interest, including public discussion or debate about, and expositions of, any act or matter.</w:t>
      </w:r>
    </w:p>
    <w:p w14:paraId="6A6B5731" w14:textId="77777777" w:rsidR="00C87A0D" w:rsidRPr="00A97BF0" w:rsidRDefault="00C87A0D" w:rsidP="00C87A0D">
      <w:pPr>
        <w:pStyle w:val="ListParagraph"/>
        <w:numPr>
          <w:ilvl w:val="0"/>
          <w:numId w:val="8"/>
        </w:numPr>
        <w:spacing w:before="120" w:after="120" w:line="278" w:lineRule="auto"/>
        <w:ind w:left="555" w:right="1264"/>
        <w:contextualSpacing w:val="0"/>
        <w:rPr>
          <w:rFonts w:cs="Arial"/>
          <w:sz w:val="22"/>
          <w:szCs w:val="22"/>
        </w:rPr>
      </w:pPr>
      <w:r w:rsidRPr="00A97BF0">
        <w:rPr>
          <w:rFonts w:cs="Arial"/>
          <w:sz w:val="22"/>
          <w:szCs w:val="22"/>
        </w:rPr>
        <w:t>In this section—</w:t>
      </w:r>
    </w:p>
    <w:p w14:paraId="32FCDCD3" w14:textId="77777777" w:rsidR="00C87A0D" w:rsidRPr="00A97BF0" w:rsidRDefault="00C87A0D" w:rsidP="00C87A0D">
      <w:pPr>
        <w:spacing w:before="120" w:after="120" w:line="278" w:lineRule="auto"/>
        <w:ind w:left="556" w:right="1264"/>
        <w:rPr>
          <w:rFonts w:cs="Arial"/>
          <w:sz w:val="22"/>
          <w:szCs w:val="22"/>
        </w:rPr>
      </w:pPr>
      <w:r w:rsidRPr="00A97BF0">
        <w:rPr>
          <w:rFonts w:cs="Arial"/>
          <w:b/>
          <w:bCs/>
          <w:i/>
          <w:iCs/>
          <w:sz w:val="22"/>
          <w:szCs w:val="22"/>
        </w:rPr>
        <w:t>public act</w:t>
      </w:r>
      <w:r w:rsidRPr="00A97BF0">
        <w:rPr>
          <w:rFonts w:cs="Arial"/>
          <w:sz w:val="22"/>
          <w:szCs w:val="22"/>
        </w:rPr>
        <w:t>—</w:t>
      </w:r>
    </w:p>
    <w:p w14:paraId="29B06551" w14:textId="77777777" w:rsidR="00C87A0D" w:rsidRPr="00A97BF0" w:rsidRDefault="00C87A0D" w:rsidP="00C87A0D">
      <w:pPr>
        <w:pStyle w:val="ListParagraph"/>
        <w:numPr>
          <w:ilvl w:val="0"/>
          <w:numId w:val="9"/>
        </w:numPr>
        <w:spacing w:before="120" w:after="120" w:line="278" w:lineRule="auto"/>
        <w:ind w:left="993" w:right="1264" w:hanging="426"/>
        <w:contextualSpacing w:val="0"/>
        <w:rPr>
          <w:rFonts w:cs="Arial"/>
          <w:sz w:val="22"/>
          <w:szCs w:val="22"/>
        </w:rPr>
      </w:pPr>
      <w:r w:rsidRPr="00A97BF0">
        <w:rPr>
          <w:rFonts w:cs="Arial"/>
          <w:sz w:val="22"/>
          <w:szCs w:val="22"/>
        </w:rPr>
        <w:t>includes—</w:t>
      </w:r>
    </w:p>
    <w:p w14:paraId="6F2BA605" w14:textId="77777777" w:rsidR="00C87A0D" w:rsidRPr="00A97BF0" w:rsidRDefault="00C87A0D" w:rsidP="00C87A0D">
      <w:pPr>
        <w:pStyle w:val="ListParagraph"/>
        <w:numPr>
          <w:ilvl w:val="2"/>
          <w:numId w:val="6"/>
        </w:numPr>
        <w:spacing w:before="120" w:after="120" w:line="278" w:lineRule="auto"/>
        <w:ind w:left="1440" w:right="1264" w:hanging="317"/>
        <w:contextualSpacing w:val="0"/>
        <w:rPr>
          <w:rFonts w:cs="Arial"/>
          <w:sz w:val="22"/>
          <w:szCs w:val="22"/>
        </w:rPr>
      </w:pPr>
      <w:r w:rsidRPr="00A97BF0">
        <w:rPr>
          <w:rFonts w:cs="Arial"/>
          <w:sz w:val="22"/>
          <w:szCs w:val="22"/>
        </w:rPr>
        <w:t>any form of communication to the public, including by speaking, writing, printing, displaying notices, broadcasting, telecasting, screening or playing of tapes or other recorded material, or by electronic means; and</w:t>
      </w:r>
    </w:p>
    <w:p w14:paraId="788D0699" w14:textId="77777777" w:rsidR="00C87A0D" w:rsidRPr="00A97BF0" w:rsidRDefault="00C87A0D" w:rsidP="00C87A0D">
      <w:pPr>
        <w:pStyle w:val="ListParagraph"/>
        <w:numPr>
          <w:ilvl w:val="2"/>
          <w:numId w:val="6"/>
        </w:numPr>
        <w:spacing w:before="120" w:after="120" w:line="278" w:lineRule="auto"/>
        <w:ind w:left="1440" w:right="1264" w:hanging="317"/>
        <w:contextualSpacing w:val="0"/>
        <w:rPr>
          <w:rFonts w:cs="Arial"/>
          <w:sz w:val="22"/>
          <w:szCs w:val="22"/>
        </w:rPr>
      </w:pPr>
      <w:r w:rsidRPr="00A97BF0">
        <w:rPr>
          <w:rFonts w:cs="Arial"/>
          <w:sz w:val="22"/>
          <w:szCs w:val="22"/>
        </w:rPr>
        <w:t>any conduct that is observable by the public, including actions, gestures and the wearing or display of clothing, signs, flags, emblems or insignia; but</w:t>
      </w:r>
    </w:p>
    <w:p w14:paraId="5543144A" w14:textId="77777777" w:rsidR="00C87A0D" w:rsidRPr="00A97BF0" w:rsidRDefault="00C87A0D" w:rsidP="00C87A0D">
      <w:pPr>
        <w:pStyle w:val="ListParagraph"/>
        <w:numPr>
          <w:ilvl w:val="0"/>
          <w:numId w:val="9"/>
        </w:numPr>
        <w:spacing w:before="120" w:after="120" w:line="278" w:lineRule="auto"/>
        <w:ind w:left="993" w:right="1264" w:hanging="426"/>
        <w:contextualSpacing w:val="0"/>
        <w:rPr>
          <w:rFonts w:cs="Arial"/>
          <w:sz w:val="22"/>
          <w:szCs w:val="22"/>
        </w:rPr>
      </w:pPr>
      <w:r w:rsidRPr="00A97BF0">
        <w:rPr>
          <w:rFonts w:cs="Arial"/>
          <w:sz w:val="22"/>
          <w:szCs w:val="22"/>
        </w:rPr>
        <w:t>does not include the distribution or dissemination of any matter by a person to the public if the person does not know, and could not reasonable be expected to know, the content of the matter.</w:t>
      </w:r>
    </w:p>
    <w:p w14:paraId="096E4CB4" w14:textId="77777777" w:rsidR="00C87A0D" w:rsidRDefault="00C87A0D" w:rsidP="00C87A0D">
      <w:pPr>
        <w:spacing w:before="120" w:after="120"/>
        <w:rPr>
          <w:rFonts w:cs="Arial"/>
          <w:sz w:val="22"/>
          <w:szCs w:val="22"/>
        </w:rPr>
      </w:pPr>
    </w:p>
    <w:p w14:paraId="5A067D3F" w14:textId="695817B0" w:rsidR="00C87A0D" w:rsidRPr="00C87A0D" w:rsidRDefault="00C87A0D" w:rsidP="00C87A0D"/>
    <w:sectPr w:rsidR="00C87A0D" w:rsidRPr="00C87A0D" w:rsidSect="00931EAF">
      <w:headerReference w:type="default" r:id="rId18"/>
      <w:pgSz w:w="11900" w:h="16840" w:code="9"/>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BA826" w14:textId="77777777" w:rsidR="00F83AEB" w:rsidRDefault="00F83AEB" w:rsidP="0034134D">
      <w:r>
        <w:separator/>
      </w:r>
    </w:p>
  </w:endnote>
  <w:endnote w:type="continuationSeparator" w:id="0">
    <w:p w14:paraId="79A9C1D0" w14:textId="77777777" w:rsidR="00F83AEB" w:rsidRDefault="00F83AEB"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40F37" w14:textId="77777777" w:rsidR="00F83AEB" w:rsidRDefault="00F83AEB" w:rsidP="006D0CD6">
    <w:pPr>
      <w:pStyle w:val="Footer"/>
      <w:pBdr>
        <w:top w:val="single" w:sz="4" w:space="1" w:color="auto"/>
      </w:pBdr>
      <w:jc w:val="right"/>
      <w:rPr>
        <w:rFonts w:cs="Arial"/>
        <w:sz w:val="20"/>
        <w:szCs w:val="20"/>
      </w:rPr>
    </w:pPr>
  </w:p>
  <w:p w14:paraId="10688C65" w14:textId="13254EAD" w:rsidR="00F83AEB" w:rsidRPr="006D0CD6" w:rsidRDefault="00F83AEB" w:rsidP="006D0CD6">
    <w:pPr>
      <w:pStyle w:val="Footer"/>
      <w:jc w:val="right"/>
      <w:rPr>
        <w:rFonts w:cs="Arial"/>
        <w:sz w:val="20"/>
        <w:szCs w:val="20"/>
      </w:rPr>
    </w:pP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236C04">
      <w:rPr>
        <w:rFonts w:cs="Arial"/>
        <w:noProof/>
        <w:sz w:val="20"/>
        <w:szCs w:val="20"/>
      </w:rPr>
      <w:t>50</w:t>
    </w:r>
    <w:r w:rsidRPr="004A237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C22C" w14:textId="25A35993" w:rsidR="00285CFC" w:rsidRPr="00285CFC" w:rsidRDefault="00285CFC" w:rsidP="00285CFC">
    <w:pPr>
      <w:pStyle w:val="Footer"/>
      <w:jc w:val="center"/>
      <w:rPr>
        <w:color w:val="004270"/>
        <w:sz w:val="28"/>
        <w:szCs w:val="28"/>
        <w:lang w:val="en-GB"/>
      </w:rPr>
    </w:pPr>
    <w:r w:rsidRPr="00285CFC">
      <w:rPr>
        <w:color w:val="004270"/>
        <w:sz w:val="28"/>
        <w:szCs w:val="28"/>
        <w:lang w:val="en-GB"/>
      </w:rPr>
      <w:t>1</w:t>
    </w:r>
    <w:r w:rsidR="00162C91">
      <w:rPr>
        <w:color w:val="004270"/>
        <w:sz w:val="28"/>
        <w:szCs w:val="28"/>
        <w:lang w:val="en-GB"/>
      </w:rPr>
      <w:t>9</w:t>
    </w:r>
    <w:r w:rsidRPr="00285CFC">
      <w:rPr>
        <w:color w:val="004270"/>
        <w:sz w:val="28"/>
        <w:szCs w:val="28"/>
        <w:lang w:val="en-GB"/>
      </w:rPr>
      <w:t xml:space="preserve"> 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7433A" w14:textId="77777777" w:rsidR="00F83AEB" w:rsidRDefault="00F83AEB" w:rsidP="000731D3">
    <w:pPr>
      <w:pStyle w:val="Footer"/>
      <w:pBdr>
        <w:top w:val="single" w:sz="4" w:space="1" w:color="auto"/>
      </w:pBdr>
      <w:jc w:val="right"/>
      <w:rPr>
        <w:rFonts w:cs="Arial"/>
        <w:sz w:val="20"/>
        <w:szCs w:val="20"/>
      </w:rPr>
    </w:pPr>
  </w:p>
  <w:p w14:paraId="6FAAE13B" w14:textId="77777777" w:rsidR="00F83AEB" w:rsidRPr="004A2375" w:rsidRDefault="00F83AEB"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3757" w14:textId="77777777" w:rsidR="00AC5F58" w:rsidRDefault="00AC5F58" w:rsidP="000731D3">
    <w:pPr>
      <w:pStyle w:val="Footer"/>
      <w:pBdr>
        <w:top w:val="single" w:sz="4" w:space="1" w:color="auto"/>
      </w:pBdr>
      <w:jc w:val="right"/>
      <w:rPr>
        <w:rFonts w:cs="Arial"/>
        <w:sz w:val="20"/>
        <w:szCs w:val="20"/>
      </w:rPr>
    </w:pPr>
  </w:p>
  <w:p w14:paraId="5446D168" w14:textId="77777777" w:rsidR="00AC5F58" w:rsidRPr="004A2375" w:rsidRDefault="00AC5F58"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96688" w14:textId="77777777" w:rsidR="00F83AEB" w:rsidRDefault="00F83AEB" w:rsidP="0034134D">
      <w:r>
        <w:separator/>
      </w:r>
    </w:p>
  </w:footnote>
  <w:footnote w:type="continuationSeparator" w:id="0">
    <w:p w14:paraId="51B26118" w14:textId="77777777" w:rsidR="00F83AEB" w:rsidRDefault="00F83AEB" w:rsidP="0034134D">
      <w:r>
        <w:continuationSeparator/>
      </w:r>
    </w:p>
  </w:footnote>
  <w:footnote w:id="1">
    <w:p w14:paraId="10C85426" w14:textId="1860AA70" w:rsidR="005267CA" w:rsidRPr="001E05F2" w:rsidRDefault="005267CA">
      <w:pPr>
        <w:pStyle w:val="FootnoteText"/>
      </w:pPr>
      <w:r w:rsidRPr="001E05F2">
        <w:rPr>
          <w:rStyle w:val="FootnoteReference"/>
        </w:rPr>
        <w:footnoteRef/>
      </w:r>
      <w:r w:rsidRPr="001E05F2">
        <w:t xml:space="preserve"> Abhorrent violent material is defined in the </w:t>
      </w:r>
      <w:r w:rsidRPr="008E7F55">
        <w:rPr>
          <w:i/>
          <w:iCs/>
        </w:rPr>
        <w:t>Criminal Code</w:t>
      </w:r>
      <w:r w:rsidR="006D235D" w:rsidRPr="008E7F55">
        <w:rPr>
          <w:i/>
          <w:iCs/>
        </w:rPr>
        <w:t xml:space="preserve"> Act 1995</w:t>
      </w:r>
      <w:r w:rsidRPr="001E05F2">
        <w:t xml:space="preserve"> </w:t>
      </w:r>
      <w:r w:rsidR="0026020E">
        <w:t>(</w:t>
      </w:r>
      <w:proofErr w:type="spellStart"/>
      <w:r w:rsidRPr="001E05F2">
        <w:t>Cth</w:t>
      </w:r>
      <w:proofErr w:type="spellEnd"/>
      <w:r w:rsidR="0026020E">
        <w:t>)</w:t>
      </w:r>
      <w:r w:rsidR="00832CF1" w:rsidRPr="001E05F2">
        <w:t xml:space="preserve"> </w:t>
      </w:r>
      <w:r w:rsidR="006D235D">
        <w:t>to include</w:t>
      </w:r>
      <w:r w:rsidR="006D235D" w:rsidRPr="001E05F2">
        <w:t xml:space="preserve"> </w:t>
      </w:r>
      <w:r w:rsidR="00832CF1" w:rsidRPr="001E05F2">
        <w:t>certain terrorist acts.  Failure to comply with a notice may constitute a criminal offence.</w:t>
      </w:r>
    </w:p>
  </w:footnote>
  <w:footnote w:id="2">
    <w:p w14:paraId="1FE1350D" w14:textId="77777777" w:rsidR="00A44DFA" w:rsidRPr="001E05F2" w:rsidRDefault="00A44DFA" w:rsidP="00A44DFA">
      <w:pPr>
        <w:pStyle w:val="FootnoteText"/>
        <w:rPr>
          <w:rFonts w:cs="Arial"/>
        </w:rPr>
      </w:pPr>
      <w:r w:rsidRPr="001E05F2">
        <w:rPr>
          <w:rStyle w:val="FootnoteReference"/>
          <w:rFonts w:cs="Arial"/>
        </w:rPr>
        <w:footnoteRef/>
      </w:r>
      <w:r w:rsidRPr="001E05F2">
        <w:rPr>
          <w:rFonts w:cs="Arial"/>
        </w:rPr>
        <w:t xml:space="preserve"> For work-related complaints the tribunal is the Queensland Industrial Relations Commission.  For all other complaints the tribunal is the Queensland Civil and Administrative Tribunal.</w:t>
      </w:r>
    </w:p>
  </w:footnote>
  <w:footnote w:id="3">
    <w:p w14:paraId="1DBCF2E4" w14:textId="32C8B14A" w:rsidR="00A44DFA" w:rsidRPr="001E05F2" w:rsidRDefault="00A44DFA" w:rsidP="00A44DFA">
      <w:pPr>
        <w:pStyle w:val="FootnoteText"/>
        <w:rPr>
          <w:rFonts w:cs="Arial"/>
        </w:rPr>
      </w:pPr>
      <w:r w:rsidRPr="001E05F2">
        <w:rPr>
          <w:rStyle w:val="FootnoteReference"/>
          <w:rFonts w:cs="Arial"/>
        </w:rPr>
        <w:footnoteRef/>
      </w:r>
      <w:r w:rsidRPr="001E05F2">
        <w:rPr>
          <w:rFonts w:cs="Arial"/>
        </w:rPr>
        <w:t xml:space="preserve"> </w:t>
      </w:r>
      <w:proofErr w:type="spellStart"/>
      <w:r w:rsidRPr="001E05F2">
        <w:rPr>
          <w:rFonts w:cs="Arial"/>
        </w:rPr>
        <w:t>Translink</w:t>
      </w:r>
      <w:proofErr w:type="spellEnd"/>
      <w:r w:rsidRPr="001E05F2">
        <w:rPr>
          <w:rFonts w:cs="Arial"/>
        </w:rPr>
        <w:t xml:space="preserve"> is the public transit agency for Queensland </w:t>
      </w:r>
      <w:r w:rsidR="00042DF5" w:rsidRPr="001E05F2">
        <w:rPr>
          <w:rFonts w:cs="Arial"/>
        </w:rPr>
        <w:t xml:space="preserve">that is </w:t>
      </w:r>
      <w:r w:rsidRPr="001E05F2">
        <w:rPr>
          <w:rFonts w:cs="Arial"/>
        </w:rPr>
        <w:t>responsible for providing an integrated transport network.</w:t>
      </w:r>
    </w:p>
  </w:footnote>
  <w:footnote w:id="4">
    <w:p w14:paraId="16F6CA77" w14:textId="7FBD20CD" w:rsidR="00830757" w:rsidRPr="003C0255" w:rsidRDefault="00830757" w:rsidP="00830757">
      <w:pPr>
        <w:pStyle w:val="FootnoteText"/>
        <w:rPr>
          <w:lang w:val="en-US"/>
        </w:rPr>
      </w:pPr>
      <w:r>
        <w:rPr>
          <w:rStyle w:val="FootnoteReference"/>
        </w:rPr>
        <w:footnoteRef/>
      </w:r>
      <w:r>
        <w:t xml:space="preserve"> </w:t>
      </w:r>
      <w:r>
        <w:rPr>
          <w:lang w:val="en-US"/>
        </w:rPr>
        <w:t xml:space="preserve">Legal Affairs and Safety Committee, Queensland Parliament, </w:t>
      </w:r>
      <w:r w:rsidRPr="003C0255">
        <w:rPr>
          <w:i/>
          <w:iCs/>
          <w:lang w:val="en-US"/>
        </w:rPr>
        <w:t>Inquiry into Serious Vilification and Hate Crimes</w:t>
      </w:r>
      <w:r>
        <w:rPr>
          <w:lang w:val="en-US"/>
        </w:rPr>
        <w:t xml:space="preserve"> (Report No. 22, 2022). </w:t>
      </w:r>
    </w:p>
  </w:footnote>
  <w:footnote w:id="5">
    <w:p w14:paraId="1E838911" w14:textId="77777777" w:rsidR="00830757" w:rsidRPr="003C0255" w:rsidRDefault="00830757" w:rsidP="00830757">
      <w:pPr>
        <w:pStyle w:val="FootnoteText"/>
        <w:rPr>
          <w:lang w:val="en-US"/>
        </w:rPr>
      </w:pPr>
      <w:r>
        <w:rPr>
          <w:rStyle w:val="FootnoteReference"/>
        </w:rPr>
        <w:footnoteRef/>
      </w:r>
      <w:r>
        <w:t xml:space="preserve"> </w:t>
      </w:r>
      <w:r>
        <w:rPr>
          <w:lang w:val="en-US"/>
        </w:rPr>
        <w:t>Ibid vii.</w:t>
      </w:r>
    </w:p>
  </w:footnote>
  <w:footnote w:id="6">
    <w:p w14:paraId="4615077A" w14:textId="77777777" w:rsidR="00AC2A4A" w:rsidRPr="006422A9" w:rsidRDefault="00AC2A4A" w:rsidP="00AC2A4A">
      <w:pPr>
        <w:pStyle w:val="FootnoteText"/>
        <w:rPr>
          <w:lang w:val="en-US"/>
        </w:rPr>
      </w:pPr>
      <w:r>
        <w:rPr>
          <w:rStyle w:val="FootnoteReference"/>
        </w:rPr>
        <w:footnoteRef/>
      </w:r>
      <w:r>
        <w:t xml:space="preserve"> </w:t>
      </w:r>
      <w:r>
        <w:rPr>
          <w:sz w:val="18"/>
          <w:szCs w:val="18"/>
        </w:rPr>
        <w:t xml:space="preserve">Royal Commission of Inquiry into the terrorist attack on Christchurch </w:t>
      </w:r>
      <w:proofErr w:type="spellStart"/>
      <w:r>
        <w:rPr>
          <w:sz w:val="18"/>
          <w:szCs w:val="18"/>
        </w:rPr>
        <w:t>masjidain</w:t>
      </w:r>
      <w:proofErr w:type="spellEnd"/>
      <w:r>
        <w:rPr>
          <w:sz w:val="18"/>
          <w:szCs w:val="18"/>
        </w:rPr>
        <w:t xml:space="preserve"> on 15 March 2019, </w:t>
      </w:r>
      <w:r>
        <w:rPr>
          <w:i/>
          <w:iCs/>
          <w:sz w:val="18"/>
          <w:szCs w:val="18"/>
        </w:rPr>
        <w:t xml:space="preserve">Ko </w:t>
      </w:r>
      <w:proofErr w:type="spellStart"/>
      <w:r>
        <w:rPr>
          <w:i/>
          <w:iCs/>
          <w:sz w:val="18"/>
          <w:szCs w:val="18"/>
        </w:rPr>
        <w:t>tō</w:t>
      </w:r>
      <w:proofErr w:type="spellEnd"/>
      <w:r>
        <w:rPr>
          <w:i/>
          <w:iCs/>
          <w:sz w:val="18"/>
          <w:szCs w:val="18"/>
        </w:rPr>
        <w:t xml:space="preserve"> </w:t>
      </w:r>
      <w:proofErr w:type="spellStart"/>
      <w:r>
        <w:rPr>
          <w:i/>
          <w:iCs/>
          <w:sz w:val="18"/>
          <w:szCs w:val="18"/>
        </w:rPr>
        <w:t>tātou</w:t>
      </w:r>
      <w:proofErr w:type="spellEnd"/>
      <w:r>
        <w:rPr>
          <w:i/>
          <w:iCs/>
          <w:sz w:val="18"/>
          <w:szCs w:val="18"/>
        </w:rPr>
        <w:t xml:space="preserve"> </w:t>
      </w:r>
      <w:proofErr w:type="spellStart"/>
      <w:r>
        <w:rPr>
          <w:i/>
          <w:iCs/>
          <w:sz w:val="18"/>
          <w:szCs w:val="18"/>
        </w:rPr>
        <w:t>kāinga</w:t>
      </w:r>
      <w:proofErr w:type="spellEnd"/>
      <w:r>
        <w:rPr>
          <w:i/>
          <w:iCs/>
          <w:sz w:val="18"/>
          <w:szCs w:val="18"/>
        </w:rPr>
        <w:t xml:space="preserve"> </w:t>
      </w:r>
      <w:proofErr w:type="spellStart"/>
      <w:r>
        <w:rPr>
          <w:i/>
          <w:iCs/>
          <w:sz w:val="18"/>
          <w:szCs w:val="18"/>
        </w:rPr>
        <w:t>tēnei</w:t>
      </w:r>
      <w:proofErr w:type="spellEnd"/>
      <w:r>
        <w:rPr>
          <w:i/>
          <w:iCs/>
          <w:sz w:val="18"/>
          <w:szCs w:val="18"/>
        </w:rPr>
        <w:t xml:space="preserve"> </w:t>
      </w:r>
      <w:r>
        <w:rPr>
          <w:sz w:val="18"/>
          <w:szCs w:val="18"/>
        </w:rPr>
        <w:t xml:space="preserve">(Report, 26 November 2020) </w:t>
      </w:r>
      <w:r>
        <w:rPr>
          <w:szCs w:val="20"/>
        </w:rPr>
        <w:t>Part 9, 4.1 [13]–[14].</w:t>
      </w:r>
    </w:p>
  </w:footnote>
  <w:footnote w:id="7">
    <w:p w14:paraId="62C79DB6" w14:textId="77777777" w:rsidR="00CF791F" w:rsidRPr="000B72A0" w:rsidRDefault="00CF791F" w:rsidP="00CF791F">
      <w:pPr>
        <w:rPr>
          <w:rFonts w:cs="Arial"/>
          <w:sz w:val="20"/>
          <w:szCs w:val="20"/>
          <w:lang w:val="en-US"/>
        </w:rPr>
      </w:pPr>
      <w:r w:rsidRPr="000B72A0">
        <w:rPr>
          <w:rStyle w:val="FootnoteReference"/>
          <w:rFonts w:cs="Arial"/>
          <w:sz w:val="20"/>
          <w:szCs w:val="20"/>
        </w:rPr>
        <w:footnoteRef/>
      </w:r>
      <w:r w:rsidRPr="000B72A0">
        <w:rPr>
          <w:rFonts w:cs="Arial"/>
          <w:sz w:val="20"/>
          <w:szCs w:val="20"/>
        </w:rPr>
        <w:t xml:space="preserve"> </w:t>
      </w:r>
      <w:r w:rsidRPr="000B72A0">
        <w:rPr>
          <w:rFonts w:cs="Arial"/>
          <w:color w:val="000000" w:themeColor="text1"/>
          <w:sz w:val="20"/>
          <w:szCs w:val="20"/>
        </w:rPr>
        <w:t>United Nations</w:t>
      </w:r>
      <w:r>
        <w:rPr>
          <w:rFonts w:cs="Arial"/>
          <w:color w:val="000000" w:themeColor="text1"/>
          <w:sz w:val="20"/>
          <w:szCs w:val="20"/>
        </w:rPr>
        <w:t>,</w:t>
      </w:r>
      <w:r w:rsidRPr="000B72A0">
        <w:rPr>
          <w:rFonts w:cs="Arial"/>
          <w:color w:val="000000" w:themeColor="text1"/>
          <w:sz w:val="20"/>
          <w:szCs w:val="20"/>
        </w:rPr>
        <w:t xml:space="preserve"> </w:t>
      </w:r>
      <w:r w:rsidRPr="00807B4F">
        <w:rPr>
          <w:rFonts w:cs="Arial"/>
          <w:bCs/>
          <w:i/>
          <w:color w:val="000000" w:themeColor="text1"/>
          <w:sz w:val="20"/>
          <w:szCs w:val="20"/>
        </w:rPr>
        <w:t>Strategy and Plan of Action on Hate Speech</w:t>
      </w:r>
      <w:r w:rsidRPr="000B72A0">
        <w:rPr>
          <w:rFonts w:cs="Arial"/>
          <w:bCs/>
          <w:color w:val="000000" w:themeColor="text1"/>
          <w:sz w:val="20"/>
          <w:szCs w:val="20"/>
        </w:rPr>
        <w:t xml:space="preserve"> </w:t>
      </w:r>
      <w:r>
        <w:rPr>
          <w:rFonts w:cs="Arial"/>
          <w:bCs/>
          <w:color w:val="000000" w:themeColor="text1"/>
          <w:sz w:val="20"/>
          <w:szCs w:val="20"/>
        </w:rPr>
        <w:t xml:space="preserve">(May </w:t>
      </w:r>
      <w:r w:rsidRPr="000B72A0">
        <w:rPr>
          <w:rFonts w:cs="Arial"/>
          <w:bCs/>
          <w:color w:val="000000" w:themeColor="text1"/>
          <w:sz w:val="20"/>
          <w:szCs w:val="20"/>
        </w:rPr>
        <w:t>2019</w:t>
      </w:r>
      <w:r>
        <w:rPr>
          <w:rFonts w:cs="Arial"/>
          <w:bCs/>
          <w:color w:val="000000" w:themeColor="text1"/>
          <w:sz w:val="20"/>
          <w:szCs w:val="20"/>
        </w:rPr>
        <w:t>)</w:t>
      </w:r>
      <w:r w:rsidRPr="000B72A0">
        <w:rPr>
          <w:rFonts w:cs="Arial"/>
          <w:bCs/>
          <w:color w:val="000000" w:themeColor="text1"/>
          <w:sz w:val="20"/>
          <w:szCs w:val="20"/>
        </w:rPr>
        <w:t xml:space="preserve"> </w:t>
      </w:r>
      <w:r>
        <w:rPr>
          <w:rFonts w:cs="Arial"/>
          <w:bCs/>
          <w:color w:val="000000" w:themeColor="text1"/>
          <w:sz w:val="20"/>
          <w:szCs w:val="20"/>
        </w:rPr>
        <w:t>1.</w:t>
      </w:r>
    </w:p>
  </w:footnote>
  <w:footnote w:id="8">
    <w:p w14:paraId="1EFA3625" w14:textId="77777777" w:rsidR="00CF791F" w:rsidRPr="000B72A0" w:rsidRDefault="00CF791F" w:rsidP="00CF791F">
      <w:pPr>
        <w:pStyle w:val="FootnoteText"/>
        <w:rPr>
          <w:rFonts w:cs="Arial"/>
          <w:szCs w:val="20"/>
          <w:lang w:val="en-US"/>
        </w:rPr>
      </w:pPr>
      <w:r w:rsidRPr="000B72A0">
        <w:rPr>
          <w:rStyle w:val="FootnoteReference"/>
          <w:rFonts w:cs="Arial"/>
          <w:szCs w:val="20"/>
        </w:rPr>
        <w:footnoteRef/>
      </w:r>
      <w:r w:rsidRPr="000B72A0">
        <w:rPr>
          <w:rFonts w:cs="Arial"/>
          <w:szCs w:val="20"/>
        </w:rPr>
        <w:t xml:space="preserve"> </w:t>
      </w:r>
      <w:r>
        <w:rPr>
          <w:rFonts w:cs="Arial"/>
          <w:szCs w:val="20"/>
        </w:rPr>
        <w:t xml:space="preserve">United Nations Security Council. Counter-Terrorism Committee, ‘Member States concerned by the growing and increasingly transnational threat of extreme right-wing terrorism’ </w:t>
      </w:r>
      <w:r w:rsidRPr="007A24A6">
        <w:rPr>
          <w:rFonts w:cs="Arial"/>
          <w:i/>
          <w:szCs w:val="20"/>
        </w:rPr>
        <w:t>CTED Trends Alert</w:t>
      </w:r>
      <w:r>
        <w:rPr>
          <w:rFonts w:cs="Arial"/>
          <w:szCs w:val="20"/>
        </w:rPr>
        <w:t>, July 2020.</w:t>
      </w:r>
    </w:p>
  </w:footnote>
  <w:footnote w:id="9">
    <w:p w14:paraId="1A754FC8" w14:textId="77777777" w:rsidR="00CF791F" w:rsidRPr="006369AF" w:rsidRDefault="00CF791F" w:rsidP="00CF791F">
      <w:pPr>
        <w:pStyle w:val="FootnoteText"/>
        <w:rPr>
          <w:lang w:val="en-US"/>
        </w:rPr>
      </w:pPr>
      <w:r>
        <w:rPr>
          <w:rStyle w:val="FootnoteReference"/>
        </w:rPr>
        <w:footnoteRef/>
      </w:r>
      <w:r>
        <w:t xml:space="preserve"> </w:t>
      </w:r>
      <w:r>
        <w:rPr>
          <w:lang w:val="en-US"/>
        </w:rPr>
        <w:t xml:space="preserve">Chris Cunneen and Sophie Russell, ‘Vilification, vigilantism and violence: Troubling social media in Australia’ in Kim D Weinert, Karen Crawley and Kieran Tranter (eds), </w:t>
      </w:r>
      <w:r>
        <w:rPr>
          <w:i/>
          <w:lang w:val="en-US"/>
        </w:rPr>
        <w:t xml:space="preserve">Law, Lawyers and Justice </w:t>
      </w:r>
      <w:r>
        <w:rPr>
          <w:lang w:val="en-US"/>
        </w:rPr>
        <w:t xml:space="preserve">(Routledge, 2020) </w:t>
      </w:r>
      <w:proofErr w:type="spellStart"/>
      <w:r>
        <w:rPr>
          <w:lang w:val="en-US"/>
        </w:rPr>
        <w:t>ch</w:t>
      </w:r>
      <w:proofErr w:type="spellEnd"/>
      <w:r>
        <w:rPr>
          <w:lang w:val="en-US"/>
        </w:rPr>
        <w:t xml:space="preserve"> 5.  See also media report of vigilantism in Townsville: </w:t>
      </w:r>
      <w:r w:rsidRPr="001C045C">
        <w:rPr>
          <w:szCs w:val="20"/>
        </w:rPr>
        <w:t xml:space="preserve">Sofie Wainwright, ‘Vigilantes chasing stolen cars, patrolling streets, as youth crime rises in Townsville’ </w:t>
      </w:r>
      <w:r w:rsidRPr="001C045C">
        <w:rPr>
          <w:i/>
          <w:szCs w:val="20"/>
        </w:rPr>
        <w:t xml:space="preserve">ABC News </w:t>
      </w:r>
      <w:r w:rsidRPr="001C045C">
        <w:rPr>
          <w:szCs w:val="20"/>
        </w:rPr>
        <w:t>(online), 29 September 2020, &lt;https://www.abc.net.au/news/2020-09-29/townsville-vigilantes-hit-the-streets-amid-spike-in-crime/12696864&gt;.</w:t>
      </w:r>
    </w:p>
  </w:footnote>
  <w:footnote w:id="10">
    <w:p w14:paraId="49152EFC" w14:textId="2F392D5B" w:rsidR="00A61035" w:rsidRPr="001E05F2" w:rsidRDefault="00A61035" w:rsidP="00A61035">
      <w:pPr>
        <w:pStyle w:val="FootnoteText"/>
      </w:pPr>
      <w:r w:rsidRPr="001E05F2">
        <w:rPr>
          <w:rStyle w:val="FootnoteReference"/>
        </w:rPr>
        <w:footnoteRef/>
      </w:r>
      <w:r w:rsidRPr="001E05F2">
        <w:t xml:space="preserve"> When the Act commenced in June 1992, it included a provision making it an offence to incite unlawful discrimination or another contravention of the Act by advocating racial or religious hatred or hostility.  That provision was repealed when the prohibitions of vilification on the grounds of race and religion were inserted</w:t>
      </w:r>
      <w:r w:rsidR="00C87A0D" w:rsidRPr="001E05F2">
        <w:t xml:space="preserve"> and took effect from 7 June 2001</w:t>
      </w:r>
      <w:r w:rsidRPr="001E05F2">
        <w:t>.  The inclusion of the grounds of sexuality and gender identity commenced 31</w:t>
      </w:r>
      <w:r w:rsidR="00C87A0D" w:rsidRPr="001E05F2">
        <w:t> </w:t>
      </w:r>
      <w:r w:rsidRPr="001E05F2">
        <w:t>March 2002.</w:t>
      </w:r>
    </w:p>
  </w:footnote>
  <w:footnote w:id="11">
    <w:p w14:paraId="5E07E1CD" w14:textId="7086B49F" w:rsidR="009454BF" w:rsidRPr="001E05F2" w:rsidRDefault="009454BF">
      <w:pPr>
        <w:pStyle w:val="FootnoteText"/>
      </w:pPr>
      <w:r w:rsidRPr="001E05F2">
        <w:rPr>
          <w:rStyle w:val="FootnoteReference"/>
        </w:rPr>
        <w:footnoteRef/>
      </w:r>
      <w:r w:rsidRPr="001E05F2">
        <w:t xml:space="preserve"> The </w:t>
      </w:r>
      <w:r w:rsidR="0070418A" w:rsidRPr="001E05F2">
        <w:t xml:space="preserve">relevant </w:t>
      </w:r>
      <w:r w:rsidRPr="001E05F2">
        <w:t xml:space="preserve">offences </w:t>
      </w:r>
      <w:r w:rsidR="0070418A" w:rsidRPr="001E05F2">
        <w:t xml:space="preserve">in the </w:t>
      </w:r>
      <w:r w:rsidR="0070418A" w:rsidRPr="008E7F55">
        <w:rPr>
          <w:i/>
          <w:iCs/>
        </w:rPr>
        <w:t>Criminal Code</w:t>
      </w:r>
      <w:r w:rsidR="0070418A" w:rsidRPr="001E05F2">
        <w:t xml:space="preserve"> are</w:t>
      </w:r>
      <w:r w:rsidR="001E05F2" w:rsidRPr="001E05F2">
        <w:t>: Going armed so as to cause fear (s</w:t>
      </w:r>
      <w:r w:rsidR="0041719E">
        <w:t xml:space="preserve"> </w:t>
      </w:r>
      <w:r w:rsidR="001E05F2" w:rsidRPr="001E05F2">
        <w:t>69); Threatening violence (s</w:t>
      </w:r>
      <w:r w:rsidR="0041719E">
        <w:t xml:space="preserve"> </w:t>
      </w:r>
      <w:r w:rsidR="001E05F2" w:rsidRPr="001E05F2">
        <w:t>75); Disturbing religious worship (s</w:t>
      </w:r>
      <w:r w:rsidR="0041719E">
        <w:t xml:space="preserve"> </w:t>
      </w:r>
      <w:r w:rsidR="001E05F2" w:rsidRPr="001E05F2">
        <w:t xml:space="preserve">207); Common assault </w:t>
      </w:r>
      <w:r w:rsidR="0041719E">
        <w:t>(</w:t>
      </w:r>
      <w:r w:rsidR="001E05F2" w:rsidRPr="001E05F2">
        <w:t>s</w:t>
      </w:r>
      <w:r w:rsidR="0041719E">
        <w:t xml:space="preserve"> </w:t>
      </w:r>
      <w:r w:rsidR="001E05F2" w:rsidRPr="001E05F2">
        <w:t>335); Assaults occasioning bodily harm (s</w:t>
      </w:r>
      <w:r w:rsidR="0041719E">
        <w:t xml:space="preserve"> </w:t>
      </w:r>
      <w:r w:rsidR="001E05F2" w:rsidRPr="001E05F2">
        <w:t>339); Threats (s</w:t>
      </w:r>
      <w:r w:rsidR="0041719E">
        <w:t xml:space="preserve"> </w:t>
      </w:r>
      <w:r w:rsidR="001E05F2" w:rsidRPr="001E05F2">
        <w:t>359); Punishment of unlawful stalking, intimidation, harassment or abuse (s</w:t>
      </w:r>
      <w:r w:rsidR="0041719E">
        <w:t xml:space="preserve"> </w:t>
      </w:r>
      <w:r w:rsidR="001E05F2" w:rsidRPr="001E05F2">
        <w:t xml:space="preserve">359E); and Wilful </w:t>
      </w:r>
      <w:r w:rsidR="001E05F2">
        <w:t>damage (s</w:t>
      </w:r>
      <w:r w:rsidR="0041719E">
        <w:t xml:space="preserve"> </w:t>
      </w:r>
      <w:r w:rsidR="001E05F2">
        <w:t xml:space="preserve">469).  The relevant offences in the </w:t>
      </w:r>
      <w:r w:rsidR="001E05F2">
        <w:rPr>
          <w:i/>
          <w:iCs/>
        </w:rPr>
        <w:t xml:space="preserve">Summary Offences Act 2005 </w:t>
      </w:r>
      <w:r w:rsidR="001E05F2">
        <w:t xml:space="preserve">are: Public nuisance </w:t>
      </w:r>
      <w:r w:rsidR="003B4864">
        <w:t>(</w:t>
      </w:r>
      <w:r w:rsidR="001E05F2">
        <w:t>s</w:t>
      </w:r>
      <w:r w:rsidR="0041719E">
        <w:t xml:space="preserve"> </w:t>
      </w:r>
      <w:r w:rsidR="001E05F2">
        <w:t>6); and Trespass (s</w:t>
      </w:r>
      <w:r w:rsidR="0041719E">
        <w:t xml:space="preserve"> </w:t>
      </w:r>
      <w:r w:rsidR="001E05F2">
        <w:t>11).</w:t>
      </w:r>
    </w:p>
  </w:footnote>
  <w:footnote w:id="12">
    <w:p w14:paraId="74BECD05" w14:textId="64868ADB" w:rsidR="00A44DFA" w:rsidRPr="001E05F2" w:rsidRDefault="00A44DFA" w:rsidP="00A44DFA">
      <w:pPr>
        <w:pStyle w:val="FootnoteText"/>
      </w:pPr>
      <w:r w:rsidRPr="001E05F2">
        <w:rPr>
          <w:rStyle w:val="FootnoteReference"/>
        </w:rPr>
        <w:footnoteRef/>
      </w:r>
      <w:r w:rsidRPr="001E05F2">
        <w:t xml:space="preserve"> </w:t>
      </w:r>
      <w:r w:rsidRPr="001E05F2">
        <w:rPr>
          <w:i/>
          <w:iCs/>
        </w:rPr>
        <w:t xml:space="preserve">Anti-Discrimination Act 1991 </w:t>
      </w:r>
      <w:r w:rsidRPr="001E05F2">
        <w:t>s 124A.</w:t>
      </w:r>
    </w:p>
  </w:footnote>
  <w:footnote w:id="13">
    <w:p w14:paraId="20803086" w14:textId="1BDB6F6A" w:rsidR="00AC5F58" w:rsidRPr="001E05F2" w:rsidRDefault="00AC5F58">
      <w:pPr>
        <w:pStyle w:val="FootnoteText"/>
      </w:pPr>
      <w:r w:rsidRPr="001E05F2">
        <w:rPr>
          <w:rStyle w:val="FootnoteReference"/>
        </w:rPr>
        <w:footnoteRef/>
      </w:r>
      <w:r w:rsidRPr="001E05F2">
        <w:t xml:space="preserve"> </w:t>
      </w:r>
      <w:r w:rsidRPr="001E05F2">
        <w:rPr>
          <w:i/>
        </w:rPr>
        <w:t xml:space="preserve">Owen v Menzies </w:t>
      </w:r>
      <w:r w:rsidRPr="001E05F2">
        <w:t xml:space="preserve">[2013] 2 </w:t>
      </w:r>
      <w:proofErr w:type="spellStart"/>
      <w:r w:rsidRPr="001E05F2">
        <w:t>Qd</w:t>
      </w:r>
      <w:proofErr w:type="spellEnd"/>
      <w:r w:rsidRPr="001E05F2">
        <w:t xml:space="preserve"> R 327; [2012] QCA 170.</w:t>
      </w:r>
    </w:p>
  </w:footnote>
  <w:footnote w:id="14">
    <w:p w14:paraId="77AF8172" w14:textId="54C2641C" w:rsidR="0070418A" w:rsidRPr="001E05F2" w:rsidRDefault="0070418A" w:rsidP="0070418A">
      <w:pPr>
        <w:pStyle w:val="FootnoteText"/>
      </w:pPr>
      <w:r w:rsidRPr="001E05F2">
        <w:rPr>
          <w:rStyle w:val="FootnoteReference"/>
        </w:rPr>
        <w:footnoteRef/>
      </w:r>
      <w:r w:rsidRPr="001E05F2">
        <w:t xml:space="preserve"> The Respect at Work and Other Matters Amendment Bill 2024 </w:t>
      </w:r>
      <w:r w:rsidR="00C10D74">
        <w:t xml:space="preserve">introduced into the Queensland Parliament on 14 June 2024 </w:t>
      </w:r>
      <w:r w:rsidRPr="001E05F2">
        <w:t>would replace the attribute of ‘sexuality’ with ‘sexual orientation’ and extend the attributes protected from vilification to include age, impairment, and sex.</w:t>
      </w:r>
    </w:p>
  </w:footnote>
  <w:footnote w:id="15">
    <w:p w14:paraId="5DBD2363" w14:textId="2D4D19D7" w:rsidR="000E4FDF" w:rsidRPr="006B07D5" w:rsidRDefault="000E4FDF">
      <w:pPr>
        <w:pStyle w:val="FootnoteText"/>
        <w:rPr>
          <w:lang w:val="en-US"/>
        </w:rPr>
      </w:pPr>
      <w:r>
        <w:rPr>
          <w:rStyle w:val="FootnoteReference"/>
        </w:rPr>
        <w:footnoteRef/>
      </w:r>
      <w:r>
        <w:t xml:space="preserve"> </w:t>
      </w:r>
      <w:r>
        <w:rPr>
          <w:lang w:val="en-US"/>
        </w:rPr>
        <w:t>For example, in a case where a woman experienced verbal abuse and insults over a period of time, the tribunal found that the woman had been vilified and ordered the perpetrator not to ma</w:t>
      </w:r>
      <w:r w:rsidR="00DF322F">
        <w:rPr>
          <w:lang w:val="en-US"/>
        </w:rPr>
        <w:t>ke</w:t>
      </w:r>
      <w:r>
        <w:rPr>
          <w:lang w:val="en-US"/>
        </w:rPr>
        <w:t xml:space="preserve"> any remark that may constitute racial vilification of the woman.</w:t>
      </w:r>
      <w:r w:rsidR="006B07D5">
        <w:rPr>
          <w:lang w:val="en-US"/>
        </w:rPr>
        <w:t xml:space="preserve">  See </w:t>
      </w:r>
      <w:r w:rsidR="006B07D5">
        <w:rPr>
          <w:i/>
          <w:iCs/>
          <w:lang w:val="en-US"/>
        </w:rPr>
        <w:t xml:space="preserve">Donovan v Tobin </w:t>
      </w:r>
      <w:r w:rsidR="006B07D5">
        <w:rPr>
          <w:lang w:val="en-US"/>
        </w:rPr>
        <w:t>[2015] QCAT 332.</w:t>
      </w:r>
    </w:p>
  </w:footnote>
  <w:footnote w:id="16">
    <w:p w14:paraId="27E0139C" w14:textId="77777777" w:rsidR="00A61035" w:rsidRPr="001E05F2" w:rsidRDefault="00A61035" w:rsidP="00A61035">
      <w:pPr>
        <w:pStyle w:val="FootnoteText"/>
      </w:pPr>
      <w:r w:rsidRPr="001E05F2">
        <w:rPr>
          <w:rStyle w:val="FootnoteReference"/>
        </w:rPr>
        <w:footnoteRef/>
      </w:r>
      <w:r w:rsidRPr="001E05F2">
        <w:t xml:space="preserve"> Fernand de Varennes, </w:t>
      </w:r>
      <w:r w:rsidRPr="001E05F2">
        <w:rPr>
          <w:i/>
        </w:rPr>
        <w:t xml:space="preserve">Report of the Special Rapporteur on minority issues, </w:t>
      </w:r>
      <w:r w:rsidRPr="001E05F2">
        <w:t>UN Doc A/HRC/46/57 (3 March 2021) [46].</w:t>
      </w:r>
    </w:p>
  </w:footnote>
  <w:footnote w:id="17">
    <w:p w14:paraId="62C67BAC" w14:textId="407F7DEC" w:rsidR="000E4FDF" w:rsidRPr="003B4864" w:rsidRDefault="000E4FDF">
      <w:pPr>
        <w:pStyle w:val="FootnoteText"/>
        <w:rPr>
          <w:lang w:val="en-US"/>
        </w:rPr>
      </w:pPr>
      <w:r>
        <w:rPr>
          <w:rStyle w:val="FootnoteReference"/>
        </w:rPr>
        <w:footnoteRef/>
      </w:r>
      <w:r>
        <w:t xml:space="preserve"> </w:t>
      </w:r>
      <w:r w:rsidR="003B4864">
        <w:rPr>
          <w:lang w:val="en-US"/>
        </w:rPr>
        <w:t xml:space="preserve">Legal Affairs and Safety Committee, Queensland Parliament, </w:t>
      </w:r>
      <w:r w:rsidR="003B4864">
        <w:rPr>
          <w:i/>
          <w:iCs/>
          <w:lang w:val="en-US"/>
        </w:rPr>
        <w:t xml:space="preserve">Inquiry into </w:t>
      </w:r>
      <w:r w:rsidR="00F03DA7">
        <w:rPr>
          <w:i/>
          <w:iCs/>
          <w:lang w:val="en-US"/>
        </w:rPr>
        <w:t>S</w:t>
      </w:r>
      <w:r w:rsidR="003B4864">
        <w:rPr>
          <w:i/>
          <w:iCs/>
          <w:lang w:val="en-US"/>
        </w:rPr>
        <w:t xml:space="preserve">erious </w:t>
      </w:r>
      <w:r w:rsidR="00F03DA7">
        <w:rPr>
          <w:i/>
          <w:iCs/>
          <w:lang w:val="en-US"/>
        </w:rPr>
        <w:t>V</w:t>
      </w:r>
      <w:r w:rsidR="003B4864">
        <w:rPr>
          <w:i/>
          <w:iCs/>
          <w:lang w:val="en-US"/>
        </w:rPr>
        <w:t xml:space="preserve">ilification and </w:t>
      </w:r>
      <w:r w:rsidR="00F03DA7">
        <w:rPr>
          <w:i/>
          <w:iCs/>
          <w:lang w:val="en-US"/>
        </w:rPr>
        <w:t>H</w:t>
      </w:r>
      <w:r w:rsidR="003B4864">
        <w:rPr>
          <w:i/>
          <w:iCs/>
          <w:lang w:val="en-US"/>
        </w:rPr>
        <w:t xml:space="preserve">ate </w:t>
      </w:r>
      <w:r w:rsidR="00F03DA7">
        <w:rPr>
          <w:i/>
          <w:iCs/>
          <w:lang w:val="en-US"/>
        </w:rPr>
        <w:t>C</w:t>
      </w:r>
      <w:r w:rsidR="003B4864">
        <w:rPr>
          <w:i/>
          <w:iCs/>
          <w:lang w:val="en-US"/>
        </w:rPr>
        <w:t>rimes</w:t>
      </w:r>
      <w:r w:rsidR="003B4864">
        <w:rPr>
          <w:lang w:val="en-US"/>
        </w:rPr>
        <w:t xml:space="preserve"> (</w:t>
      </w:r>
      <w:r w:rsidR="00DF322F">
        <w:rPr>
          <w:lang w:val="en-US"/>
        </w:rPr>
        <w:t xml:space="preserve">Report No. 22, </w:t>
      </w:r>
      <w:r w:rsidR="003B4864">
        <w:rPr>
          <w:lang w:val="en-US"/>
        </w:rPr>
        <w:t>2022) 34-37.</w:t>
      </w:r>
    </w:p>
  </w:footnote>
  <w:footnote w:id="18">
    <w:p w14:paraId="01229B40" w14:textId="09E5A1AA" w:rsidR="003F787F" w:rsidRPr="00AC2A4A" w:rsidRDefault="003F787F">
      <w:pPr>
        <w:pStyle w:val="FootnoteText"/>
        <w:rPr>
          <w:szCs w:val="20"/>
        </w:rPr>
      </w:pPr>
      <w:r w:rsidRPr="00AC2A4A">
        <w:rPr>
          <w:rStyle w:val="FootnoteReference"/>
          <w:szCs w:val="20"/>
        </w:rPr>
        <w:footnoteRef/>
      </w:r>
      <w:r w:rsidRPr="00AC2A4A">
        <w:rPr>
          <w:szCs w:val="20"/>
        </w:rPr>
        <w:t xml:space="preserve"> Reasons for the decision were subsequently published by the tribunal at </w:t>
      </w:r>
      <w:r w:rsidR="00AC6A35" w:rsidRPr="00AC2A4A">
        <w:rPr>
          <w:rFonts w:cs="Arial"/>
          <w:i/>
          <w:szCs w:val="20"/>
        </w:rPr>
        <w:t xml:space="preserve">Australian Muslim Advocacy Network &amp; Islamic Council of Queensland v Anning </w:t>
      </w:r>
      <w:r w:rsidR="00AC6A35" w:rsidRPr="00AC2A4A">
        <w:rPr>
          <w:rFonts w:cs="Arial"/>
          <w:iCs/>
          <w:szCs w:val="20"/>
        </w:rPr>
        <w:t>[2021] QCAT 452.</w:t>
      </w:r>
    </w:p>
  </w:footnote>
  <w:footnote w:id="19">
    <w:p w14:paraId="6EA734AF" w14:textId="3B8BBDBF" w:rsidR="00C273F8" w:rsidRPr="001E05F2" w:rsidRDefault="00C273F8">
      <w:pPr>
        <w:pStyle w:val="FootnoteText"/>
      </w:pPr>
      <w:r w:rsidRPr="00AC2A4A">
        <w:rPr>
          <w:rStyle w:val="FootnoteReference"/>
          <w:szCs w:val="20"/>
        </w:rPr>
        <w:footnoteRef/>
      </w:r>
      <w:r w:rsidRPr="00AC2A4A">
        <w:rPr>
          <w:szCs w:val="20"/>
        </w:rPr>
        <w:t xml:space="preserve"> </w:t>
      </w:r>
      <w:r w:rsidRPr="00AC2A4A">
        <w:rPr>
          <w:i/>
          <w:iCs/>
          <w:szCs w:val="20"/>
        </w:rPr>
        <w:t xml:space="preserve">Australian Muslim Advocacy Network Ltd v Twitter Australia Holdings Pty Limited &amp; Anor </w:t>
      </w:r>
      <w:r w:rsidRPr="00AC2A4A">
        <w:rPr>
          <w:szCs w:val="20"/>
        </w:rPr>
        <w:t>[2024]</w:t>
      </w:r>
      <w:r w:rsidRPr="001E05F2">
        <w:t xml:space="preserve"> QCAT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4577" w14:textId="77777777" w:rsidR="00F83AEB" w:rsidRDefault="00F83AEB" w:rsidP="000731D3">
    <w:pPr>
      <w:pStyle w:val="Header"/>
      <w:tabs>
        <w:tab w:val="clear" w:pos="4513"/>
        <w:tab w:val="clear" w:pos="9026"/>
      </w:tabs>
      <w:spacing w:before="240"/>
      <w:jc w:val="center"/>
    </w:pPr>
    <w:r w:rsidRPr="00F63848">
      <w:rPr>
        <w:noProof/>
        <w:lang w:eastAsia="en-AU"/>
      </w:rPr>
      <w:drawing>
        <wp:inline distT="0" distB="0" distL="0" distR="0" wp14:anchorId="0660BB33" wp14:editId="47FA547D">
          <wp:extent cx="4095750" cy="1635396"/>
          <wp:effectExtent l="0" t="0" r="0" b="0"/>
          <wp:docPr id="6" name="Picture 6"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D0495F5" w14:textId="77777777" w:rsidR="00F83AEB" w:rsidRDefault="00F83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8E2B" w14:textId="6E5E3C71" w:rsidR="00F83AEB" w:rsidRDefault="00AC2A4A" w:rsidP="006369AF">
    <w:pPr>
      <w:pStyle w:val="Header"/>
      <w:spacing w:after="80"/>
      <w:rPr>
        <w:rFonts w:cs="Arial"/>
        <w:color w:val="365F91" w:themeColor="accent1" w:themeShade="BF"/>
        <w:sz w:val="22"/>
        <w:szCs w:val="22"/>
      </w:rPr>
    </w:pPr>
    <w:r>
      <w:rPr>
        <w:rFonts w:cs="Arial"/>
        <w:color w:val="365F91" w:themeColor="accent1" w:themeShade="BF"/>
        <w:sz w:val="22"/>
        <w:szCs w:val="22"/>
      </w:rPr>
      <w:t xml:space="preserve">Review of the </w:t>
    </w:r>
    <w:r w:rsidRPr="00AC2A4A">
      <w:rPr>
        <w:rFonts w:cs="Arial"/>
        <w:i/>
        <w:iCs/>
        <w:color w:val="365F91" w:themeColor="accent1" w:themeShade="BF"/>
        <w:sz w:val="22"/>
        <w:szCs w:val="22"/>
      </w:rPr>
      <w:t>Online Safety Act 2021</w:t>
    </w:r>
    <w:r>
      <w:rPr>
        <w:rFonts w:cs="Arial"/>
        <w:color w:val="365F91" w:themeColor="accent1" w:themeShade="BF"/>
        <w:sz w:val="22"/>
        <w:szCs w:val="22"/>
      </w:rPr>
      <w:t xml:space="preserve"> (</w:t>
    </w:r>
    <w:proofErr w:type="spellStart"/>
    <w:r>
      <w:rPr>
        <w:rFonts w:cs="Arial"/>
        <w:color w:val="365F91" w:themeColor="accent1" w:themeShade="BF"/>
        <w:sz w:val="22"/>
        <w:szCs w:val="22"/>
      </w:rPr>
      <w:t>Cth</w:t>
    </w:r>
    <w:proofErr w:type="spellEnd"/>
    <w:r>
      <w:rPr>
        <w:rFonts w:cs="Arial"/>
        <w:color w:val="365F91" w:themeColor="accent1" w:themeShade="BF"/>
        <w:sz w:val="22"/>
        <w:szCs w:val="22"/>
      </w:rPr>
      <w:t>)</w:t>
    </w:r>
  </w:p>
  <w:p w14:paraId="363D43CD" w14:textId="77777777" w:rsidR="00F83AEB" w:rsidRPr="00AC2A4A" w:rsidRDefault="00F83AEB" w:rsidP="006369AF">
    <w:pPr>
      <w:pStyle w:val="Header"/>
      <w:pBdr>
        <w:top w:val="single" w:sz="4" w:space="1" w:color="auto"/>
      </w:pBdr>
      <w:spacing w:after="80"/>
      <w:rPr>
        <w:rFonts w:cs="Arial"/>
        <w:color w:val="365F91" w:themeColor="accent1" w:themeShade="BF"/>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87E82" w14:textId="77777777" w:rsidR="00F83AEB" w:rsidRPr="000731D3" w:rsidRDefault="00F83AEB" w:rsidP="000731D3">
    <w:pPr>
      <w:pStyle w:val="Header"/>
      <w:pBdr>
        <w:bottom w:val="single" w:sz="4" w:space="1" w:color="auto"/>
      </w:pBdr>
      <w:rPr>
        <w:rFonts w:cs="Arial"/>
        <w:sz w:val="20"/>
        <w:szCs w:val="20"/>
      </w:rPr>
    </w:pPr>
  </w:p>
  <w:p w14:paraId="75A9F41A" w14:textId="77777777" w:rsidR="00F83AEB" w:rsidRPr="000731D3" w:rsidRDefault="00F83AEB" w:rsidP="000731D3">
    <w:pPr>
      <w:pStyle w:val="Header"/>
      <w:rPr>
        <w:rFonts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ED55" w14:textId="77777777" w:rsidR="00AC5F58" w:rsidRDefault="00AC5F58" w:rsidP="006369AF">
    <w:pPr>
      <w:pStyle w:val="Header"/>
      <w:spacing w:after="80"/>
      <w:rPr>
        <w:rFonts w:cs="Arial"/>
        <w:color w:val="365F91" w:themeColor="accent1" w:themeShade="BF"/>
        <w:sz w:val="22"/>
        <w:szCs w:val="22"/>
      </w:rPr>
    </w:pPr>
    <w:r>
      <w:rPr>
        <w:rFonts w:cs="Arial"/>
        <w:color w:val="365F91" w:themeColor="accent1" w:themeShade="BF"/>
        <w:sz w:val="22"/>
        <w:szCs w:val="22"/>
      </w:rPr>
      <w:t>Inquiry into serious vilification and hate crimes</w:t>
    </w:r>
  </w:p>
  <w:p w14:paraId="194396B2" w14:textId="77777777" w:rsidR="00AC5F58" w:rsidRPr="006369AF" w:rsidRDefault="00AC5F58" w:rsidP="006369AF">
    <w:pPr>
      <w:pStyle w:val="Header"/>
      <w:pBdr>
        <w:top w:val="single" w:sz="4" w:space="1" w:color="auto"/>
      </w:pBdr>
      <w:spacing w:after="80"/>
      <w:rPr>
        <w:rFonts w:cs="Arial"/>
        <w:color w:val="365F91" w:themeColor="accent1" w:themeShade="BF"/>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E34DC" w14:textId="77777777" w:rsidR="00AC5F58" w:rsidRPr="000731D3" w:rsidRDefault="00AC5F58" w:rsidP="000731D3">
    <w:pPr>
      <w:pStyle w:val="Header"/>
      <w:pBdr>
        <w:bottom w:val="single" w:sz="4" w:space="1" w:color="auto"/>
      </w:pBdr>
      <w:rPr>
        <w:rFonts w:cs="Arial"/>
        <w:sz w:val="20"/>
        <w:szCs w:val="20"/>
      </w:rPr>
    </w:pPr>
  </w:p>
  <w:p w14:paraId="5CDEC678" w14:textId="77777777" w:rsidR="00AC5F58" w:rsidRPr="000731D3" w:rsidRDefault="00AC5F58" w:rsidP="000731D3">
    <w:pPr>
      <w:pStyle w:val="Header"/>
      <w:rPr>
        <w:rFonts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7020" w14:textId="77777777" w:rsidR="00F83AEB" w:rsidRPr="00B50D7B" w:rsidRDefault="00F83AEB" w:rsidP="00B50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01E24"/>
    <w:multiLevelType w:val="hybridMultilevel"/>
    <w:tmpl w:val="FA067182"/>
    <w:lvl w:ilvl="0" w:tplc="C962360E">
      <w:start w:val="1"/>
      <w:numFmt w:val="decimal"/>
      <w:lvlText w:val="%1."/>
      <w:lvlJc w:val="left"/>
      <w:pPr>
        <w:ind w:left="720" w:hanging="360"/>
      </w:pPr>
      <w:rPr>
        <w:rFonts w:ascii="Arial" w:hAnsi="Arial" w:hint="default"/>
        <w:b w:val="0"/>
        <w:i w:val="0"/>
        <w:color w:val="000000" w:themeColor="text1"/>
        <w:sz w:val="24"/>
      </w:rPr>
    </w:lvl>
    <w:lvl w:ilvl="1" w:tplc="088C559A">
      <w:start w:val="1"/>
      <w:numFmt w:val="lowerLetter"/>
      <w:lvlText w:val="(%2)"/>
      <w:lvlJc w:val="left"/>
      <w:pPr>
        <w:ind w:left="1440" w:hanging="360"/>
      </w:pPr>
      <w:rPr>
        <w:rFonts w:ascii="Arial" w:hAnsi="Arial" w:cs="Arial" w:hint="default"/>
        <w:b w:val="0"/>
        <w:i w:val="0"/>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829694F"/>
    <w:multiLevelType w:val="hybridMultilevel"/>
    <w:tmpl w:val="59A2179C"/>
    <w:lvl w:ilvl="0" w:tplc="B8925852">
      <w:start w:val="1"/>
      <w:numFmt w:val="decimal"/>
      <w:lvlText w:val="%1."/>
      <w:lvlJc w:val="left"/>
      <w:pPr>
        <w:ind w:left="502" w:hanging="360"/>
      </w:pPr>
      <w:rPr>
        <w:rFonts w:ascii="Arial" w:hAnsi="Arial" w:hint="default"/>
        <w:b w:val="0"/>
        <w:i w:val="0"/>
        <w:sz w:val="22"/>
      </w:rPr>
    </w:lvl>
    <w:lvl w:ilvl="1" w:tplc="0C090005">
      <w:start w:val="1"/>
      <w:numFmt w:val="bullet"/>
      <w:lvlText w:val=""/>
      <w:lvlJc w:val="left"/>
      <w:pPr>
        <w:ind w:left="1440" w:hanging="360"/>
      </w:pPr>
      <w:rPr>
        <w:rFonts w:ascii="Wingdings" w:hAnsi="Wingdings" w:hint="default"/>
      </w:rPr>
    </w:lvl>
    <w:lvl w:ilvl="2" w:tplc="4FE4748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15913"/>
    <w:multiLevelType w:val="hybridMultilevel"/>
    <w:tmpl w:val="09C075BA"/>
    <w:lvl w:ilvl="0" w:tplc="36746886">
      <w:start w:val="1"/>
      <w:numFmt w:val="decimal"/>
      <w:lvlText w:val="(%1)"/>
      <w:lvlJc w:val="left"/>
      <w:pPr>
        <w:ind w:left="1275" w:hanging="555"/>
      </w:pPr>
      <w:rPr>
        <w:rFonts w:hint="default"/>
      </w:rPr>
    </w:lvl>
    <w:lvl w:ilvl="1" w:tplc="08E0D31A">
      <w:start w:val="1"/>
      <w:numFmt w:val="lowerLetter"/>
      <w:lvlText w:val="(%2)"/>
      <w:lvlJc w:val="left"/>
      <w:pPr>
        <w:ind w:left="144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71B2376"/>
    <w:multiLevelType w:val="hybridMultilevel"/>
    <w:tmpl w:val="49DCF0B4"/>
    <w:lvl w:ilvl="0" w:tplc="A3208470">
      <w:start w:val="1"/>
      <w:numFmt w:val="lowerLetter"/>
      <w:lvlText w:val="(%1)"/>
      <w:lvlJc w:val="left"/>
      <w:pPr>
        <w:ind w:left="144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022C2E"/>
    <w:multiLevelType w:val="hybridMultilevel"/>
    <w:tmpl w:val="6A1C2ED8"/>
    <w:lvl w:ilvl="0" w:tplc="59A21AC8">
      <w:start w:val="1"/>
      <w:numFmt w:val="decimal"/>
      <w:lvlText w:val="(%1)"/>
      <w:lvlJc w:val="left"/>
      <w:pPr>
        <w:ind w:left="1494" w:hanging="360"/>
      </w:pPr>
      <w:rPr>
        <w:rFonts w:hint="default"/>
      </w:rPr>
    </w:lvl>
    <w:lvl w:ilvl="1" w:tplc="9738AEC6">
      <w:start w:val="1"/>
      <w:numFmt w:val="lowerLetter"/>
      <w:lvlText w:val="(%2)"/>
      <w:lvlJc w:val="left"/>
      <w:pPr>
        <w:ind w:left="2214" w:hanging="360"/>
      </w:pPr>
      <w:rPr>
        <w:rFonts w:hint="default"/>
      </w:rPr>
    </w:lvl>
    <w:lvl w:ilvl="2" w:tplc="848EC7CC">
      <w:start w:val="1"/>
      <w:numFmt w:val="decimal"/>
      <w:lvlText w:val="%3."/>
      <w:lvlJc w:val="left"/>
      <w:pPr>
        <w:ind w:left="3114" w:hanging="360"/>
      </w:pPr>
      <w:rPr>
        <w:rFonts w:hint="default"/>
      </w:r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4DB14587"/>
    <w:multiLevelType w:val="hybridMultilevel"/>
    <w:tmpl w:val="2556AF02"/>
    <w:lvl w:ilvl="0" w:tplc="5EC66206">
      <w:start w:val="1"/>
      <w:numFmt w:val="decimal"/>
      <w:lvlText w:val="%1."/>
      <w:lvlJc w:val="left"/>
      <w:pPr>
        <w:ind w:left="5322" w:hanging="360"/>
      </w:pPr>
      <w:rPr>
        <w:rFonts w:ascii="Arial" w:hAnsi="Arial" w:hint="default"/>
        <w:b w:val="0"/>
        <w:i w:val="0"/>
        <w:color w:val="000000" w:themeColor="text1"/>
        <w:sz w:val="24"/>
      </w:rPr>
    </w:lvl>
    <w:lvl w:ilvl="1" w:tplc="088C559A">
      <w:start w:val="1"/>
      <w:numFmt w:val="lowerLetter"/>
      <w:lvlText w:val="(%2)"/>
      <w:lvlJc w:val="left"/>
      <w:pPr>
        <w:ind w:left="1797" w:hanging="360"/>
      </w:pPr>
      <w:rPr>
        <w:rFonts w:ascii="Arial" w:hAnsi="Arial" w:cs="Arial" w:hint="default"/>
        <w:b w:val="0"/>
        <w:i w:val="0"/>
        <w:sz w:val="22"/>
      </w:rPr>
    </w:lvl>
    <w:lvl w:ilvl="2" w:tplc="5FDAB712">
      <w:start w:val="1"/>
      <w:numFmt w:val="bullet"/>
      <w:lvlText w:val=""/>
      <w:lvlJc w:val="left"/>
      <w:pPr>
        <w:ind w:left="2517" w:hanging="180"/>
      </w:pPr>
      <w:rPr>
        <w:rFonts w:ascii="Symbol" w:hAnsi="Symbol" w:hint="default"/>
        <w:sz w:val="20"/>
        <w:szCs w:val="20"/>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8" w15:restartNumberingAfterBreak="0">
    <w:nsid w:val="7F024599"/>
    <w:multiLevelType w:val="hybridMultilevel"/>
    <w:tmpl w:val="45927ECE"/>
    <w:lvl w:ilvl="0" w:tplc="4ADAF3AA">
      <w:start w:val="1"/>
      <w:numFmt w:val="upperLetter"/>
      <w:lvlText w:val="%1."/>
      <w:lvlJc w:val="left"/>
      <w:pPr>
        <w:ind w:left="1440" w:hanging="720"/>
      </w:pPr>
      <w:rPr>
        <w:rFonts w:hint="default"/>
        <w:color w:val="000000"/>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70529651">
    <w:abstractNumId w:val="6"/>
  </w:num>
  <w:num w:numId="2" w16cid:durableId="1229656368">
    <w:abstractNumId w:val="1"/>
  </w:num>
  <w:num w:numId="3" w16cid:durableId="307631152">
    <w:abstractNumId w:val="7"/>
  </w:num>
  <w:num w:numId="4" w16cid:durableId="1725181925">
    <w:abstractNumId w:val="0"/>
  </w:num>
  <w:num w:numId="5" w16cid:durableId="1028726459">
    <w:abstractNumId w:val="5"/>
  </w:num>
  <w:num w:numId="6" w16cid:durableId="510073057">
    <w:abstractNumId w:val="2"/>
  </w:num>
  <w:num w:numId="7" w16cid:durableId="489758589">
    <w:abstractNumId w:val="8"/>
  </w:num>
  <w:num w:numId="8" w16cid:durableId="1700205896">
    <w:abstractNumId w:val="3"/>
  </w:num>
  <w:num w:numId="9" w16cid:durableId="53878874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2B"/>
    <w:rsid w:val="00002F05"/>
    <w:rsid w:val="000030ED"/>
    <w:rsid w:val="00003D20"/>
    <w:rsid w:val="00005BD1"/>
    <w:rsid w:val="00007FD2"/>
    <w:rsid w:val="00010976"/>
    <w:rsid w:val="000120E1"/>
    <w:rsid w:val="00012B56"/>
    <w:rsid w:val="00013764"/>
    <w:rsid w:val="000146E3"/>
    <w:rsid w:val="000149D7"/>
    <w:rsid w:val="0002325A"/>
    <w:rsid w:val="0002351E"/>
    <w:rsid w:val="00034B87"/>
    <w:rsid w:val="00034C83"/>
    <w:rsid w:val="00037E68"/>
    <w:rsid w:val="00041E58"/>
    <w:rsid w:val="00042DF5"/>
    <w:rsid w:val="00043A6F"/>
    <w:rsid w:val="00044A7F"/>
    <w:rsid w:val="0004571C"/>
    <w:rsid w:val="00045B46"/>
    <w:rsid w:val="000464D9"/>
    <w:rsid w:val="00047983"/>
    <w:rsid w:val="00051170"/>
    <w:rsid w:val="00054120"/>
    <w:rsid w:val="00054EDF"/>
    <w:rsid w:val="0005503C"/>
    <w:rsid w:val="00055693"/>
    <w:rsid w:val="00056960"/>
    <w:rsid w:val="00057023"/>
    <w:rsid w:val="00057D21"/>
    <w:rsid w:val="00057EA3"/>
    <w:rsid w:val="0006155A"/>
    <w:rsid w:val="00061B2B"/>
    <w:rsid w:val="00062A9F"/>
    <w:rsid w:val="00063563"/>
    <w:rsid w:val="00063E15"/>
    <w:rsid w:val="00063EDF"/>
    <w:rsid w:val="0006439D"/>
    <w:rsid w:val="00071CD9"/>
    <w:rsid w:val="00072CE6"/>
    <w:rsid w:val="000731D3"/>
    <w:rsid w:val="00074147"/>
    <w:rsid w:val="00075AB0"/>
    <w:rsid w:val="0007682B"/>
    <w:rsid w:val="00081B92"/>
    <w:rsid w:val="0008388F"/>
    <w:rsid w:val="00087B6E"/>
    <w:rsid w:val="00091C5C"/>
    <w:rsid w:val="00092207"/>
    <w:rsid w:val="000936BA"/>
    <w:rsid w:val="00095FBB"/>
    <w:rsid w:val="00096517"/>
    <w:rsid w:val="000A201B"/>
    <w:rsid w:val="000A56A0"/>
    <w:rsid w:val="000B0669"/>
    <w:rsid w:val="000B395E"/>
    <w:rsid w:val="000B6C72"/>
    <w:rsid w:val="000B72A0"/>
    <w:rsid w:val="000B794F"/>
    <w:rsid w:val="000C585D"/>
    <w:rsid w:val="000D1519"/>
    <w:rsid w:val="000D175F"/>
    <w:rsid w:val="000D49A5"/>
    <w:rsid w:val="000E1039"/>
    <w:rsid w:val="000E1B5B"/>
    <w:rsid w:val="000E1DCC"/>
    <w:rsid w:val="000E352B"/>
    <w:rsid w:val="000E3A3C"/>
    <w:rsid w:val="000E3A7A"/>
    <w:rsid w:val="000E4FDF"/>
    <w:rsid w:val="000F0BC1"/>
    <w:rsid w:val="000F3A55"/>
    <w:rsid w:val="000F4098"/>
    <w:rsid w:val="000F4FAA"/>
    <w:rsid w:val="001012F4"/>
    <w:rsid w:val="00102887"/>
    <w:rsid w:val="001047F1"/>
    <w:rsid w:val="00105217"/>
    <w:rsid w:val="001066BD"/>
    <w:rsid w:val="001122F7"/>
    <w:rsid w:val="00114587"/>
    <w:rsid w:val="00120064"/>
    <w:rsid w:val="001205F8"/>
    <w:rsid w:val="00121BD8"/>
    <w:rsid w:val="00121E6F"/>
    <w:rsid w:val="001248F7"/>
    <w:rsid w:val="00124A35"/>
    <w:rsid w:val="001304EE"/>
    <w:rsid w:val="00130506"/>
    <w:rsid w:val="001308C4"/>
    <w:rsid w:val="00133770"/>
    <w:rsid w:val="001338FD"/>
    <w:rsid w:val="00137C8D"/>
    <w:rsid w:val="00143D93"/>
    <w:rsid w:val="001507B9"/>
    <w:rsid w:val="00152FA3"/>
    <w:rsid w:val="00153139"/>
    <w:rsid w:val="0015534D"/>
    <w:rsid w:val="00155B6A"/>
    <w:rsid w:val="00155E24"/>
    <w:rsid w:val="00157209"/>
    <w:rsid w:val="001627CC"/>
    <w:rsid w:val="00162C91"/>
    <w:rsid w:val="00166F3C"/>
    <w:rsid w:val="001719DF"/>
    <w:rsid w:val="00180CAE"/>
    <w:rsid w:val="001825CB"/>
    <w:rsid w:val="00182865"/>
    <w:rsid w:val="00182E06"/>
    <w:rsid w:val="00183C3B"/>
    <w:rsid w:val="00183FA4"/>
    <w:rsid w:val="001900B6"/>
    <w:rsid w:val="001916E4"/>
    <w:rsid w:val="0019203A"/>
    <w:rsid w:val="001950D2"/>
    <w:rsid w:val="00195E9F"/>
    <w:rsid w:val="0019775E"/>
    <w:rsid w:val="00197E86"/>
    <w:rsid w:val="001A03C9"/>
    <w:rsid w:val="001A12BD"/>
    <w:rsid w:val="001A416E"/>
    <w:rsid w:val="001A4926"/>
    <w:rsid w:val="001A575E"/>
    <w:rsid w:val="001A5B03"/>
    <w:rsid w:val="001A6B0A"/>
    <w:rsid w:val="001B1A27"/>
    <w:rsid w:val="001B3831"/>
    <w:rsid w:val="001B5470"/>
    <w:rsid w:val="001B57C6"/>
    <w:rsid w:val="001B5957"/>
    <w:rsid w:val="001B5C85"/>
    <w:rsid w:val="001B6249"/>
    <w:rsid w:val="001B7806"/>
    <w:rsid w:val="001C01FD"/>
    <w:rsid w:val="001C127F"/>
    <w:rsid w:val="001C56D3"/>
    <w:rsid w:val="001C6492"/>
    <w:rsid w:val="001C68DC"/>
    <w:rsid w:val="001D07BA"/>
    <w:rsid w:val="001D50C0"/>
    <w:rsid w:val="001D7758"/>
    <w:rsid w:val="001D7A1B"/>
    <w:rsid w:val="001E05F2"/>
    <w:rsid w:val="001E2395"/>
    <w:rsid w:val="001E3A26"/>
    <w:rsid w:val="001E6640"/>
    <w:rsid w:val="001E70E7"/>
    <w:rsid w:val="001F3F19"/>
    <w:rsid w:val="001F5F4B"/>
    <w:rsid w:val="002019BF"/>
    <w:rsid w:val="0020262C"/>
    <w:rsid w:val="002058A9"/>
    <w:rsid w:val="00212C2B"/>
    <w:rsid w:val="00214B45"/>
    <w:rsid w:val="00215450"/>
    <w:rsid w:val="0022037D"/>
    <w:rsid w:val="002244E7"/>
    <w:rsid w:val="002264E2"/>
    <w:rsid w:val="0022657D"/>
    <w:rsid w:val="00226686"/>
    <w:rsid w:val="0022696F"/>
    <w:rsid w:val="00227178"/>
    <w:rsid w:val="00230151"/>
    <w:rsid w:val="00232763"/>
    <w:rsid w:val="0023306E"/>
    <w:rsid w:val="00233F52"/>
    <w:rsid w:val="0023451F"/>
    <w:rsid w:val="00235527"/>
    <w:rsid w:val="00236C04"/>
    <w:rsid w:val="002375F3"/>
    <w:rsid w:val="00237C78"/>
    <w:rsid w:val="00237E48"/>
    <w:rsid w:val="00240EF9"/>
    <w:rsid w:val="0024194E"/>
    <w:rsid w:val="00245A89"/>
    <w:rsid w:val="002479A8"/>
    <w:rsid w:val="00253B42"/>
    <w:rsid w:val="0026020E"/>
    <w:rsid w:val="00262529"/>
    <w:rsid w:val="0026322D"/>
    <w:rsid w:val="00277FA4"/>
    <w:rsid w:val="00280494"/>
    <w:rsid w:val="00280A7F"/>
    <w:rsid w:val="00283A26"/>
    <w:rsid w:val="00283D88"/>
    <w:rsid w:val="00284FF0"/>
    <w:rsid w:val="00285CFC"/>
    <w:rsid w:val="00290574"/>
    <w:rsid w:val="00292C50"/>
    <w:rsid w:val="0029315E"/>
    <w:rsid w:val="002931EF"/>
    <w:rsid w:val="00295757"/>
    <w:rsid w:val="002A03F1"/>
    <w:rsid w:val="002A408C"/>
    <w:rsid w:val="002A512A"/>
    <w:rsid w:val="002B05B5"/>
    <w:rsid w:val="002B0F1E"/>
    <w:rsid w:val="002B1729"/>
    <w:rsid w:val="002B39F8"/>
    <w:rsid w:val="002B65D4"/>
    <w:rsid w:val="002C1019"/>
    <w:rsid w:val="002C439E"/>
    <w:rsid w:val="002D0A46"/>
    <w:rsid w:val="002D1B6C"/>
    <w:rsid w:val="002D42F2"/>
    <w:rsid w:val="002D46A2"/>
    <w:rsid w:val="002D4BC3"/>
    <w:rsid w:val="002E24AC"/>
    <w:rsid w:val="002E2C7E"/>
    <w:rsid w:val="002E433B"/>
    <w:rsid w:val="002E461C"/>
    <w:rsid w:val="002E6BBE"/>
    <w:rsid w:val="002F03E1"/>
    <w:rsid w:val="002F0580"/>
    <w:rsid w:val="002F238A"/>
    <w:rsid w:val="002F2D6C"/>
    <w:rsid w:val="002F4AB4"/>
    <w:rsid w:val="002F7053"/>
    <w:rsid w:val="00301FFE"/>
    <w:rsid w:val="00303936"/>
    <w:rsid w:val="00306DD0"/>
    <w:rsid w:val="00310CB2"/>
    <w:rsid w:val="00312C2A"/>
    <w:rsid w:val="003144B5"/>
    <w:rsid w:val="0031657C"/>
    <w:rsid w:val="003204FA"/>
    <w:rsid w:val="00321445"/>
    <w:rsid w:val="00321EE0"/>
    <w:rsid w:val="003241CC"/>
    <w:rsid w:val="0032516B"/>
    <w:rsid w:val="0033216F"/>
    <w:rsid w:val="00334C0E"/>
    <w:rsid w:val="0034134D"/>
    <w:rsid w:val="00342ECA"/>
    <w:rsid w:val="00343FDD"/>
    <w:rsid w:val="00344F59"/>
    <w:rsid w:val="003455E8"/>
    <w:rsid w:val="003469CC"/>
    <w:rsid w:val="00350D39"/>
    <w:rsid w:val="00350F49"/>
    <w:rsid w:val="00351595"/>
    <w:rsid w:val="00353BF3"/>
    <w:rsid w:val="0035654D"/>
    <w:rsid w:val="0036592A"/>
    <w:rsid w:val="00370336"/>
    <w:rsid w:val="003717AA"/>
    <w:rsid w:val="003738C4"/>
    <w:rsid w:val="00373A94"/>
    <w:rsid w:val="003747BE"/>
    <w:rsid w:val="00374B1E"/>
    <w:rsid w:val="00376232"/>
    <w:rsid w:val="0038014E"/>
    <w:rsid w:val="00380598"/>
    <w:rsid w:val="00383588"/>
    <w:rsid w:val="003847F0"/>
    <w:rsid w:val="00385125"/>
    <w:rsid w:val="003910D1"/>
    <w:rsid w:val="00392522"/>
    <w:rsid w:val="00395332"/>
    <w:rsid w:val="003965D7"/>
    <w:rsid w:val="003977F4"/>
    <w:rsid w:val="00397835"/>
    <w:rsid w:val="00397BD9"/>
    <w:rsid w:val="003A0786"/>
    <w:rsid w:val="003A3887"/>
    <w:rsid w:val="003A666E"/>
    <w:rsid w:val="003B197E"/>
    <w:rsid w:val="003B4864"/>
    <w:rsid w:val="003B4F2B"/>
    <w:rsid w:val="003B5A28"/>
    <w:rsid w:val="003C22AF"/>
    <w:rsid w:val="003C2709"/>
    <w:rsid w:val="003C6A61"/>
    <w:rsid w:val="003D0373"/>
    <w:rsid w:val="003D1B39"/>
    <w:rsid w:val="003D263B"/>
    <w:rsid w:val="003D29D2"/>
    <w:rsid w:val="003D3AAC"/>
    <w:rsid w:val="003D4F3D"/>
    <w:rsid w:val="003D625C"/>
    <w:rsid w:val="003E01C9"/>
    <w:rsid w:val="003E054B"/>
    <w:rsid w:val="003E17F8"/>
    <w:rsid w:val="003E3672"/>
    <w:rsid w:val="003E7FC4"/>
    <w:rsid w:val="003F370E"/>
    <w:rsid w:val="003F6F7E"/>
    <w:rsid w:val="003F741D"/>
    <w:rsid w:val="003F787F"/>
    <w:rsid w:val="00400445"/>
    <w:rsid w:val="00407CE3"/>
    <w:rsid w:val="0041039B"/>
    <w:rsid w:val="00413015"/>
    <w:rsid w:val="004140C3"/>
    <w:rsid w:val="0041574C"/>
    <w:rsid w:val="0041719E"/>
    <w:rsid w:val="004174D2"/>
    <w:rsid w:val="00420BFC"/>
    <w:rsid w:val="00420FF8"/>
    <w:rsid w:val="00421429"/>
    <w:rsid w:val="00422D04"/>
    <w:rsid w:val="00431D51"/>
    <w:rsid w:val="004328B6"/>
    <w:rsid w:val="00435A37"/>
    <w:rsid w:val="00437F35"/>
    <w:rsid w:val="0044029F"/>
    <w:rsid w:val="004418EC"/>
    <w:rsid w:val="00441C21"/>
    <w:rsid w:val="004423EA"/>
    <w:rsid w:val="004424F3"/>
    <w:rsid w:val="00444D7E"/>
    <w:rsid w:val="00451416"/>
    <w:rsid w:val="00451AB9"/>
    <w:rsid w:val="004538FC"/>
    <w:rsid w:val="00454E95"/>
    <w:rsid w:val="00455885"/>
    <w:rsid w:val="00455917"/>
    <w:rsid w:val="0045765D"/>
    <w:rsid w:val="00462D8B"/>
    <w:rsid w:val="00463BEF"/>
    <w:rsid w:val="00466216"/>
    <w:rsid w:val="00473F47"/>
    <w:rsid w:val="00474AB4"/>
    <w:rsid w:val="004804F0"/>
    <w:rsid w:val="0048281A"/>
    <w:rsid w:val="00483E8F"/>
    <w:rsid w:val="00490073"/>
    <w:rsid w:val="00495766"/>
    <w:rsid w:val="004A2375"/>
    <w:rsid w:val="004A649C"/>
    <w:rsid w:val="004A6F71"/>
    <w:rsid w:val="004A78D2"/>
    <w:rsid w:val="004A7C45"/>
    <w:rsid w:val="004B0599"/>
    <w:rsid w:val="004B0EE0"/>
    <w:rsid w:val="004B3141"/>
    <w:rsid w:val="004B586B"/>
    <w:rsid w:val="004B6FB1"/>
    <w:rsid w:val="004B71ED"/>
    <w:rsid w:val="004C0FBA"/>
    <w:rsid w:val="004C17FC"/>
    <w:rsid w:val="004C2886"/>
    <w:rsid w:val="004C36C1"/>
    <w:rsid w:val="004C4065"/>
    <w:rsid w:val="004C4B87"/>
    <w:rsid w:val="004C5477"/>
    <w:rsid w:val="004C5F91"/>
    <w:rsid w:val="004C74C7"/>
    <w:rsid w:val="004D1763"/>
    <w:rsid w:val="004E021B"/>
    <w:rsid w:val="004E278F"/>
    <w:rsid w:val="004E3D6B"/>
    <w:rsid w:val="004E5378"/>
    <w:rsid w:val="004E55B8"/>
    <w:rsid w:val="004E58C1"/>
    <w:rsid w:val="004E6797"/>
    <w:rsid w:val="004E73E8"/>
    <w:rsid w:val="004F2CB8"/>
    <w:rsid w:val="004F4CB1"/>
    <w:rsid w:val="005009D5"/>
    <w:rsid w:val="00502924"/>
    <w:rsid w:val="00504818"/>
    <w:rsid w:val="00511C03"/>
    <w:rsid w:val="00514765"/>
    <w:rsid w:val="00516283"/>
    <w:rsid w:val="00517D74"/>
    <w:rsid w:val="00517E86"/>
    <w:rsid w:val="00520946"/>
    <w:rsid w:val="005267CA"/>
    <w:rsid w:val="005345DE"/>
    <w:rsid w:val="00535811"/>
    <w:rsid w:val="005379F1"/>
    <w:rsid w:val="00541441"/>
    <w:rsid w:val="00543597"/>
    <w:rsid w:val="005463FE"/>
    <w:rsid w:val="00546F24"/>
    <w:rsid w:val="005557EC"/>
    <w:rsid w:val="005620BF"/>
    <w:rsid w:val="00562219"/>
    <w:rsid w:val="0056244F"/>
    <w:rsid w:val="00571028"/>
    <w:rsid w:val="00571DE0"/>
    <w:rsid w:val="00572989"/>
    <w:rsid w:val="005739B5"/>
    <w:rsid w:val="00574F40"/>
    <w:rsid w:val="00575A2B"/>
    <w:rsid w:val="00580083"/>
    <w:rsid w:val="00583DA9"/>
    <w:rsid w:val="00584422"/>
    <w:rsid w:val="00584A22"/>
    <w:rsid w:val="00584ABA"/>
    <w:rsid w:val="005859E4"/>
    <w:rsid w:val="005916EB"/>
    <w:rsid w:val="00591C59"/>
    <w:rsid w:val="00592493"/>
    <w:rsid w:val="00592597"/>
    <w:rsid w:val="005957A9"/>
    <w:rsid w:val="00596E0C"/>
    <w:rsid w:val="005A0CC3"/>
    <w:rsid w:val="005A1137"/>
    <w:rsid w:val="005A1ACF"/>
    <w:rsid w:val="005A2730"/>
    <w:rsid w:val="005B404C"/>
    <w:rsid w:val="005B6B4B"/>
    <w:rsid w:val="005B7E50"/>
    <w:rsid w:val="005B7F7A"/>
    <w:rsid w:val="005C1954"/>
    <w:rsid w:val="005C2385"/>
    <w:rsid w:val="005C2605"/>
    <w:rsid w:val="005C26C9"/>
    <w:rsid w:val="005C3FB8"/>
    <w:rsid w:val="005C551D"/>
    <w:rsid w:val="005D0F98"/>
    <w:rsid w:val="005D5A16"/>
    <w:rsid w:val="005D5EDC"/>
    <w:rsid w:val="005D741D"/>
    <w:rsid w:val="005E2036"/>
    <w:rsid w:val="005E210F"/>
    <w:rsid w:val="005E3526"/>
    <w:rsid w:val="005E452A"/>
    <w:rsid w:val="005E5159"/>
    <w:rsid w:val="005F0F47"/>
    <w:rsid w:val="005F11F7"/>
    <w:rsid w:val="005F47EE"/>
    <w:rsid w:val="005F4E56"/>
    <w:rsid w:val="0060320A"/>
    <w:rsid w:val="00603FB1"/>
    <w:rsid w:val="006044B0"/>
    <w:rsid w:val="00605305"/>
    <w:rsid w:val="0061048B"/>
    <w:rsid w:val="006109D6"/>
    <w:rsid w:val="00613183"/>
    <w:rsid w:val="006150F0"/>
    <w:rsid w:val="00617E4F"/>
    <w:rsid w:val="00626F14"/>
    <w:rsid w:val="00627334"/>
    <w:rsid w:val="00627FBA"/>
    <w:rsid w:val="006335BE"/>
    <w:rsid w:val="006369AF"/>
    <w:rsid w:val="00637283"/>
    <w:rsid w:val="006422A9"/>
    <w:rsid w:val="00644CAE"/>
    <w:rsid w:val="00644E93"/>
    <w:rsid w:val="006466AD"/>
    <w:rsid w:val="00652D40"/>
    <w:rsid w:val="006530FA"/>
    <w:rsid w:val="00653483"/>
    <w:rsid w:val="006551F5"/>
    <w:rsid w:val="006573E0"/>
    <w:rsid w:val="00661663"/>
    <w:rsid w:val="006715BB"/>
    <w:rsid w:val="00676927"/>
    <w:rsid w:val="006769BF"/>
    <w:rsid w:val="00680A8A"/>
    <w:rsid w:val="0068205C"/>
    <w:rsid w:val="0068224C"/>
    <w:rsid w:val="006833C4"/>
    <w:rsid w:val="00683E98"/>
    <w:rsid w:val="00685647"/>
    <w:rsid w:val="00687941"/>
    <w:rsid w:val="00694221"/>
    <w:rsid w:val="006A39A0"/>
    <w:rsid w:val="006A5837"/>
    <w:rsid w:val="006A6906"/>
    <w:rsid w:val="006A7B3A"/>
    <w:rsid w:val="006B07D5"/>
    <w:rsid w:val="006B2F9E"/>
    <w:rsid w:val="006C1C71"/>
    <w:rsid w:val="006C3C27"/>
    <w:rsid w:val="006C3C9A"/>
    <w:rsid w:val="006C613F"/>
    <w:rsid w:val="006C75BC"/>
    <w:rsid w:val="006D0CD6"/>
    <w:rsid w:val="006D0D8E"/>
    <w:rsid w:val="006D126E"/>
    <w:rsid w:val="006D1FAF"/>
    <w:rsid w:val="006D235D"/>
    <w:rsid w:val="006D31E5"/>
    <w:rsid w:val="006D46BA"/>
    <w:rsid w:val="006D6572"/>
    <w:rsid w:val="006D6A8A"/>
    <w:rsid w:val="006E2167"/>
    <w:rsid w:val="006E2878"/>
    <w:rsid w:val="006E3B88"/>
    <w:rsid w:val="006E3C00"/>
    <w:rsid w:val="006E40C8"/>
    <w:rsid w:val="006E4D86"/>
    <w:rsid w:val="006E5D18"/>
    <w:rsid w:val="006E7ACA"/>
    <w:rsid w:val="006F0979"/>
    <w:rsid w:val="006F0E93"/>
    <w:rsid w:val="006F1B9D"/>
    <w:rsid w:val="006F1EFD"/>
    <w:rsid w:val="006F1F8D"/>
    <w:rsid w:val="006F6F29"/>
    <w:rsid w:val="006F7971"/>
    <w:rsid w:val="0070042E"/>
    <w:rsid w:val="00700740"/>
    <w:rsid w:val="00701BE5"/>
    <w:rsid w:val="0070418A"/>
    <w:rsid w:val="00705873"/>
    <w:rsid w:val="0070656F"/>
    <w:rsid w:val="007069A1"/>
    <w:rsid w:val="00706A05"/>
    <w:rsid w:val="0071227F"/>
    <w:rsid w:val="0071335F"/>
    <w:rsid w:val="00715BCF"/>
    <w:rsid w:val="00715F6C"/>
    <w:rsid w:val="00717049"/>
    <w:rsid w:val="00730224"/>
    <w:rsid w:val="00732EB8"/>
    <w:rsid w:val="00735BA1"/>
    <w:rsid w:val="00742B71"/>
    <w:rsid w:val="00743B55"/>
    <w:rsid w:val="00751AE0"/>
    <w:rsid w:val="00751B12"/>
    <w:rsid w:val="00752BB6"/>
    <w:rsid w:val="00755289"/>
    <w:rsid w:val="00755C84"/>
    <w:rsid w:val="00755CAF"/>
    <w:rsid w:val="00756C87"/>
    <w:rsid w:val="0075733E"/>
    <w:rsid w:val="00757B20"/>
    <w:rsid w:val="00761970"/>
    <w:rsid w:val="007619FB"/>
    <w:rsid w:val="007635BE"/>
    <w:rsid w:val="00763604"/>
    <w:rsid w:val="00765C4F"/>
    <w:rsid w:val="00772CF8"/>
    <w:rsid w:val="00773792"/>
    <w:rsid w:val="00774AA2"/>
    <w:rsid w:val="007817EC"/>
    <w:rsid w:val="00781CA8"/>
    <w:rsid w:val="007826E7"/>
    <w:rsid w:val="007844A3"/>
    <w:rsid w:val="00784C50"/>
    <w:rsid w:val="00787618"/>
    <w:rsid w:val="007A00B6"/>
    <w:rsid w:val="007A24A6"/>
    <w:rsid w:val="007A2C0D"/>
    <w:rsid w:val="007A45D7"/>
    <w:rsid w:val="007A7CD2"/>
    <w:rsid w:val="007B0F89"/>
    <w:rsid w:val="007B16AE"/>
    <w:rsid w:val="007B538A"/>
    <w:rsid w:val="007B589F"/>
    <w:rsid w:val="007B674F"/>
    <w:rsid w:val="007B6AAF"/>
    <w:rsid w:val="007C0BDC"/>
    <w:rsid w:val="007C192D"/>
    <w:rsid w:val="007C29E5"/>
    <w:rsid w:val="007C2EA5"/>
    <w:rsid w:val="007C3139"/>
    <w:rsid w:val="007C47D8"/>
    <w:rsid w:val="007C510E"/>
    <w:rsid w:val="007C5206"/>
    <w:rsid w:val="007C62E7"/>
    <w:rsid w:val="007C6727"/>
    <w:rsid w:val="007D0694"/>
    <w:rsid w:val="007D0AF8"/>
    <w:rsid w:val="007D381A"/>
    <w:rsid w:val="007D461F"/>
    <w:rsid w:val="007E7857"/>
    <w:rsid w:val="007E7E27"/>
    <w:rsid w:val="007F46E9"/>
    <w:rsid w:val="007F4F44"/>
    <w:rsid w:val="007F67EF"/>
    <w:rsid w:val="0080290B"/>
    <w:rsid w:val="00803505"/>
    <w:rsid w:val="008037F9"/>
    <w:rsid w:val="00804C3F"/>
    <w:rsid w:val="00805768"/>
    <w:rsid w:val="00806003"/>
    <w:rsid w:val="00807711"/>
    <w:rsid w:val="00807B4F"/>
    <w:rsid w:val="008101EC"/>
    <w:rsid w:val="00810D74"/>
    <w:rsid w:val="008148FC"/>
    <w:rsid w:val="00820270"/>
    <w:rsid w:val="00820769"/>
    <w:rsid w:val="00821712"/>
    <w:rsid w:val="0082330C"/>
    <w:rsid w:val="00827429"/>
    <w:rsid w:val="00827E90"/>
    <w:rsid w:val="00830757"/>
    <w:rsid w:val="00832CF1"/>
    <w:rsid w:val="008355C0"/>
    <w:rsid w:val="00835E0F"/>
    <w:rsid w:val="00840515"/>
    <w:rsid w:val="00843B4B"/>
    <w:rsid w:val="008449A2"/>
    <w:rsid w:val="00844E9D"/>
    <w:rsid w:val="0084672F"/>
    <w:rsid w:val="008470F3"/>
    <w:rsid w:val="00850155"/>
    <w:rsid w:val="008514B0"/>
    <w:rsid w:val="00855C5C"/>
    <w:rsid w:val="00856C7A"/>
    <w:rsid w:val="00857062"/>
    <w:rsid w:val="008601EF"/>
    <w:rsid w:val="0086439D"/>
    <w:rsid w:val="00867AFD"/>
    <w:rsid w:val="00871324"/>
    <w:rsid w:val="008743D1"/>
    <w:rsid w:val="00876CA1"/>
    <w:rsid w:val="00877B6B"/>
    <w:rsid w:val="008852AA"/>
    <w:rsid w:val="0088607A"/>
    <w:rsid w:val="008918D5"/>
    <w:rsid w:val="0089208D"/>
    <w:rsid w:val="008930A1"/>
    <w:rsid w:val="008942AB"/>
    <w:rsid w:val="008961FC"/>
    <w:rsid w:val="00896225"/>
    <w:rsid w:val="008970A8"/>
    <w:rsid w:val="008A2479"/>
    <w:rsid w:val="008A6291"/>
    <w:rsid w:val="008A756A"/>
    <w:rsid w:val="008B0352"/>
    <w:rsid w:val="008B3191"/>
    <w:rsid w:val="008B4ED9"/>
    <w:rsid w:val="008B5CB5"/>
    <w:rsid w:val="008B79F8"/>
    <w:rsid w:val="008C37D3"/>
    <w:rsid w:val="008C3D59"/>
    <w:rsid w:val="008C4979"/>
    <w:rsid w:val="008C6189"/>
    <w:rsid w:val="008C7C06"/>
    <w:rsid w:val="008D061D"/>
    <w:rsid w:val="008D0CE2"/>
    <w:rsid w:val="008D29B3"/>
    <w:rsid w:val="008D48FD"/>
    <w:rsid w:val="008D4D8D"/>
    <w:rsid w:val="008D53EE"/>
    <w:rsid w:val="008E2FB8"/>
    <w:rsid w:val="008E304C"/>
    <w:rsid w:val="008E4BEE"/>
    <w:rsid w:val="008E714E"/>
    <w:rsid w:val="008E792D"/>
    <w:rsid w:val="008E7F55"/>
    <w:rsid w:val="008F06B2"/>
    <w:rsid w:val="008F132C"/>
    <w:rsid w:val="008F19CE"/>
    <w:rsid w:val="008F1D4D"/>
    <w:rsid w:val="008F1D57"/>
    <w:rsid w:val="008F5474"/>
    <w:rsid w:val="0090102E"/>
    <w:rsid w:val="00905A21"/>
    <w:rsid w:val="009063DB"/>
    <w:rsid w:val="009077A4"/>
    <w:rsid w:val="009116DC"/>
    <w:rsid w:val="00912E7D"/>
    <w:rsid w:val="00914828"/>
    <w:rsid w:val="00914CDD"/>
    <w:rsid w:val="00927432"/>
    <w:rsid w:val="00931EAF"/>
    <w:rsid w:val="00934B1C"/>
    <w:rsid w:val="009367A8"/>
    <w:rsid w:val="009454BF"/>
    <w:rsid w:val="00946534"/>
    <w:rsid w:val="00947F73"/>
    <w:rsid w:val="00952971"/>
    <w:rsid w:val="0096351D"/>
    <w:rsid w:val="00964EBC"/>
    <w:rsid w:val="009653A7"/>
    <w:rsid w:val="00965429"/>
    <w:rsid w:val="0096620A"/>
    <w:rsid w:val="009746DD"/>
    <w:rsid w:val="00975687"/>
    <w:rsid w:val="009805AE"/>
    <w:rsid w:val="009812F7"/>
    <w:rsid w:val="009815F6"/>
    <w:rsid w:val="00987057"/>
    <w:rsid w:val="00987DCA"/>
    <w:rsid w:val="00987F1C"/>
    <w:rsid w:val="009921B7"/>
    <w:rsid w:val="00996424"/>
    <w:rsid w:val="009A25FD"/>
    <w:rsid w:val="009A3D36"/>
    <w:rsid w:val="009A556B"/>
    <w:rsid w:val="009A6225"/>
    <w:rsid w:val="009A6807"/>
    <w:rsid w:val="009A6CEA"/>
    <w:rsid w:val="009A7A4E"/>
    <w:rsid w:val="009A7A7F"/>
    <w:rsid w:val="009A7E66"/>
    <w:rsid w:val="009B630C"/>
    <w:rsid w:val="009C2862"/>
    <w:rsid w:val="009C2D0B"/>
    <w:rsid w:val="009C4A02"/>
    <w:rsid w:val="009C528E"/>
    <w:rsid w:val="009C59DB"/>
    <w:rsid w:val="009C75B2"/>
    <w:rsid w:val="009D26AF"/>
    <w:rsid w:val="009D3109"/>
    <w:rsid w:val="009D3B40"/>
    <w:rsid w:val="009D71EE"/>
    <w:rsid w:val="009E1332"/>
    <w:rsid w:val="009F0D21"/>
    <w:rsid w:val="009F0E11"/>
    <w:rsid w:val="009F3E8A"/>
    <w:rsid w:val="009F4BAD"/>
    <w:rsid w:val="009F5082"/>
    <w:rsid w:val="00A0082F"/>
    <w:rsid w:val="00A023C1"/>
    <w:rsid w:val="00A12A3C"/>
    <w:rsid w:val="00A15800"/>
    <w:rsid w:val="00A16356"/>
    <w:rsid w:val="00A201F5"/>
    <w:rsid w:val="00A2218B"/>
    <w:rsid w:val="00A222AC"/>
    <w:rsid w:val="00A2275D"/>
    <w:rsid w:val="00A2506A"/>
    <w:rsid w:val="00A26794"/>
    <w:rsid w:val="00A30198"/>
    <w:rsid w:val="00A33DE7"/>
    <w:rsid w:val="00A33ED9"/>
    <w:rsid w:val="00A35BBA"/>
    <w:rsid w:val="00A3604A"/>
    <w:rsid w:val="00A44DFA"/>
    <w:rsid w:val="00A45369"/>
    <w:rsid w:val="00A469DD"/>
    <w:rsid w:val="00A47A65"/>
    <w:rsid w:val="00A509AE"/>
    <w:rsid w:val="00A520C6"/>
    <w:rsid w:val="00A53A33"/>
    <w:rsid w:val="00A53D1F"/>
    <w:rsid w:val="00A570AB"/>
    <w:rsid w:val="00A61035"/>
    <w:rsid w:val="00A70E36"/>
    <w:rsid w:val="00A76116"/>
    <w:rsid w:val="00A76B4A"/>
    <w:rsid w:val="00A76CD8"/>
    <w:rsid w:val="00A817F8"/>
    <w:rsid w:val="00A87185"/>
    <w:rsid w:val="00A90373"/>
    <w:rsid w:val="00A92D3E"/>
    <w:rsid w:val="00A93A6E"/>
    <w:rsid w:val="00A97BF0"/>
    <w:rsid w:val="00AA1C52"/>
    <w:rsid w:val="00AA5E30"/>
    <w:rsid w:val="00AA7716"/>
    <w:rsid w:val="00AB02E9"/>
    <w:rsid w:val="00AB06E6"/>
    <w:rsid w:val="00AB0900"/>
    <w:rsid w:val="00AB2514"/>
    <w:rsid w:val="00AB44A5"/>
    <w:rsid w:val="00AB6D72"/>
    <w:rsid w:val="00AB7C0D"/>
    <w:rsid w:val="00AC2A4A"/>
    <w:rsid w:val="00AC5F58"/>
    <w:rsid w:val="00AC6A35"/>
    <w:rsid w:val="00AC75F6"/>
    <w:rsid w:val="00AD667A"/>
    <w:rsid w:val="00AE176D"/>
    <w:rsid w:val="00AE2165"/>
    <w:rsid w:val="00AE3A61"/>
    <w:rsid w:val="00AE3D5C"/>
    <w:rsid w:val="00AF0BDD"/>
    <w:rsid w:val="00AF1035"/>
    <w:rsid w:val="00AF4B7C"/>
    <w:rsid w:val="00B03079"/>
    <w:rsid w:val="00B04F6F"/>
    <w:rsid w:val="00B07DC9"/>
    <w:rsid w:val="00B12919"/>
    <w:rsid w:val="00B14BA0"/>
    <w:rsid w:val="00B15778"/>
    <w:rsid w:val="00B167F9"/>
    <w:rsid w:val="00B16D65"/>
    <w:rsid w:val="00B17261"/>
    <w:rsid w:val="00B22A3E"/>
    <w:rsid w:val="00B24CC6"/>
    <w:rsid w:val="00B27A4D"/>
    <w:rsid w:val="00B32DB3"/>
    <w:rsid w:val="00B33C06"/>
    <w:rsid w:val="00B360EA"/>
    <w:rsid w:val="00B41356"/>
    <w:rsid w:val="00B414BB"/>
    <w:rsid w:val="00B416A9"/>
    <w:rsid w:val="00B46BAB"/>
    <w:rsid w:val="00B50D05"/>
    <w:rsid w:val="00B50D7B"/>
    <w:rsid w:val="00B50F67"/>
    <w:rsid w:val="00B54D50"/>
    <w:rsid w:val="00B55E3F"/>
    <w:rsid w:val="00B56A49"/>
    <w:rsid w:val="00B63EC1"/>
    <w:rsid w:val="00B666A3"/>
    <w:rsid w:val="00B67E6E"/>
    <w:rsid w:val="00B80D77"/>
    <w:rsid w:val="00B82CE9"/>
    <w:rsid w:val="00B83AE9"/>
    <w:rsid w:val="00B84EDD"/>
    <w:rsid w:val="00B86FDC"/>
    <w:rsid w:val="00B8743D"/>
    <w:rsid w:val="00B87FB4"/>
    <w:rsid w:val="00B9187A"/>
    <w:rsid w:val="00B91EA6"/>
    <w:rsid w:val="00B933A9"/>
    <w:rsid w:val="00B94B50"/>
    <w:rsid w:val="00B96989"/>
    <w:rsid w:val="00B972B2"/>
    <w:rsid w:val="00BA1742"/>
    <w:rsid w:val="00BA1856"/>
    <w:rsid w:val="00BA50E0"/>
    <w:rsid w:val="00BA60BF"/>
    <w:rsid w:val="00BA6E38"/>
    <w:rsid w:val="00BB0330"/>
    <w:rsid w:val="00BB0B80"/>
    <w:rsid w:val="00BB1932"/>
    <w:rsid w:val="00BB238A"/>
    <w:rsid w:val="00BB2D66"/>
    <w:rsid w:val="00BB2F50"/>
    <w:rsid w:val="00BC2D69"/>
    <w:rsid w:val="00BC7187"/>
    <w:rsid w:val="00BD241F"/>
    <w:rsid w:val="00BD2707"/>
    <w:rsid w:val="00BD34DC"/>
    <w:rsid w:val="00BD3BFB"/>
    <w:rsid w:val="00BE0F7A"/>
    <w:rsid w:val="00BE34DD"/>
    <w:rsid w:val="00BE7F5B"/>
    <w:rsid w:val="00BF016F"/>
    <w:rsid w:val="00BF4BAD"/>
    <w:rsid w:val="00BF5BE6"/>
    <w:rsid w:val="00BF6002"/>
    <w:rsid w:val="00BF7864"/>
    <w:rsid w:val="00C00E52"/>
    <w:rsid w:val="00C03B64"/>
    <w:rsid w:val="00C064A5"/>
    <w:rsid w:val="00C07E20"/>
    <w:rsid w:val="00C10D74"/>
    <w:rsid w:val="00C10F8B"/>
    <w:rsid w:val="00C15283"/>
    <w:rsid w:val="00C15CCD"/>
    <w:rsid w:val="00C24A0F"/>
    <w:rsid w:val="00C255F9"/>
    <w:rsid w:val="00C273F8"/>
    <w:rsid w:val="00C3049E"/>
    <w:rsid w:val="00C31053"/>
    <w:rsid w:val="00C321C0"/>
    <w:rsid w:val="00C33416"/>
    <w:rsid w:val="00C343A5"/>
    <w:rsid w:val="00C34E53"/>
    <w:rsid w:val="00C35743"/>
    <w:rsid w:val="00C373B5"/>
    <w:rsid w:val="00C37E14"/>
    <w:rsid w:val="00C4116E"/>
    <w:rsid w:val="00C43A49"/>
    <w:rsid w:val="00C50AFF"/>
    <w:rsid w:val="00C51895"/>
    <w:rsid w:val="00C526DC"/>
    <w:rsid w:val="00C546E5"/>
    <w:rsid w:val="00C54D67"/>
    <w:rsid w:val="00C6264C"/>
    <w:rsid w:val="00C627FD"/>
    <w:rsid w:val="00C641D7"/>
    <w:rsid w:val="00C65ECE"/>
    <w:rsid w:val="00C66E1D"/>
    <w:rsid w:val="00C83C9F"/>
    <w:rsid w:val="00C8564F"/>
    <w:rsid w:val="00C87082"/>
    <w:rsid w:val="00C87A0D"/>
    <w:rsid w:val="00C9262C"/>
    <w:rsid w:val="00C9568E"/>
    <w:rsid w:val="00C9716F"/>
    <w:rsid w:val="00CA0FAA"/>
    <w:rsid w:val="00CA162B"/>
    <w:rsid w:val="00CA23CF"/>
    <w:rsid w:val="00CA2CE5"/>
    <w:rsid w:val="00CA306B"/>
    <w:rsid w:val="00CA4879"/>
    <w:rsid w:val="00CA77F5"/>
    <w:rsid w:val="00CB02DC"/>
    <w:rsid w:val="00CB0BBF"/>
    <w:rsid w:val="00CB4063"/>
    <w:rsid w:val="00CB52D3"/>
    <w:rsid w:val="00CC1B42"/>
    <w:rsid w:val="00CC2930"/>
    <w:rsid w:val="00CC2E5C"/>
    <w:rsid w:val="00CC3FF1"/>
    <w:rsid w:val="00CD36AE"/>
    <w:rsid w:val="00CD3CD3"/>
    <w:rsid w:val="00CD4FA1"/>
    <w:rsid w:val="00CD76F9"/>
    <w:rsid w:val="00CD7704"/>
    <w:rsid w:val="00CE14AA"/>
    <w:rsid w:val="00CE1D50"/>
    <w:rsid w:val="00CE1D81"/>
    <w:rsid w:val="00CE33CF"/>
    <w:rsid w:val="00CE403B"/>
    <w:rsid w:val="00CE4544"/>
    <w:rsid w:val="00CE5E4D"/>
    <w:rsid w:val="00CF1625"/>
    <w:rsid w:val="00CF1902"/>
    <w:rsid w:val="00CF44EA"/>
    <w:rsid w:val="00CF69AE"/>
    <w:rsid w:val="00CF791F"/>
    <w:rsid w:val="00D00254"/>
    <w:rsid w:val="00D00D62"/>
    <w:rsid w:val="00D05102"/>
    <w:rsid w:val="00D07A22"/>
    <w:rsid w:val="00D102EC"/>
    <w:rsid w:val="00D11F6F"/>
    <w:rsid w:val="00D14304"/>
    <w:rsid w:val="00D1551A"/>
    <w:rsid w:val="00D1577C"/>
    <w:rsid w:val="00D17866"/>
    <w:rsid w:val="00D21103"/>
    <w:rsid w:val="00D250C7"/>
    <w:rsid w:val="00D3128D"/>
    <w:rsid w:val="00D32789"/>
    <w:rsid w:val="00D33110"/>
    <w:rsid w:val="00D33FEE"/>
    <w:rsid w:val="00D35AB9"/>
    <w:rsid w:val="00D35B0E"/>
    <w:rsid w:val="00D41DEC"/>
    <w:rsid w:val="00D426EB"/>
    <w:rsid w:val="00D42939"/>
    <w:rsid w:val="00D46260"/>
    <w:rsid w:val="00D46CFC"/>
    <w:rsid w:val="00D474F7"/>
    <w:rsid w:val="00D50215"/>
    <w:rsid w:val="00D52636"/>
    <w:rsid w:val="00D53BC3"/>
    <w:rsid w:val="00D55238"/>
    <w:rsid w:val="00D55580"/>
    <w:rsid w:val="00D57675"/>
    <w:rsid w:val="00D60384"/>
    <w:rsid w:val="00D6178F"/>
    <w:rsid w:val="00D61B81"/>
    <w:rsid w:val="00D61DB4"/>
    <w:rsid w:val="00D6241A"/>
    <w:rsid w:val="00D65752"/>
    <w:rsid w:val="00D70E21"/>
    <w:rsid w:val="00D71324"/>
    <w:rsid w:val="00D73DF9"/>
    <w:rsid w:val="00D73FE0"/>
    <w:rsid w:val="00D74335"/>
    <w:rsid w:val="00D74372"/>
    <w:rsid w:val="00D76F2A"/>
    <w:rsid w:val="00D8484F"/>
    <w:rsid w:val="00D86187"/>
    <w:rsid w:val="00D86386"/>
    <w:rsid w:val="00D87A14"/>
    <w:rsid w:val="00D92201"/>
    <w:rsid w:val="00D927B9"/>
    <w:rsid w:val="00D93C4A"/>
    <w:rsid w:val="00D941EB"/>
    <w:rsid w:val="00D9481C"/>
    <w:rsid w:val="00D96185"/>
    <w:rsid w:val="00DA0B29"/>
    <w:rsid w:val="00DA27DB"/>
    <w:rsid w:val="00DA3A48"/>
    <w:rsid w:val="00DA7FD7"/>
    <w:rsid w:val="00DB0146"/>
    <w:rsid w:val="00DB3646"/>
    <w:rsid w:val="00DB527C"/>
    <w:rsid w:val="00DC0A10"/>
    <w:rsid w:val="00DC0EDF"/>
    <w:rsid w:val="00DC1BAC"/>
    <w:rsid w:val="00DC2545"/>
    <w:rsid w:val="00DC553C"/>
    <w:rsid w:val="00DC7280"/>
    <w:rsid w:val="00DD0CF7"/>
    <w:rsid w:val="00DD2998"/>
    <w:rsid w:val="00DD4168"/>
    <w:rsid w:val="00DD5B86"/>
    <w:rsid w:val="00DD698D"/>
    <w:rsid w:val="00DD7883"/>
    <w:rsid w:val="00DE3B63"/>
    <w:rsid w:val="00DE568F"/>
    <w:rsid w:val="00DE62F6"/>
    <w:rsid w:val="00DF098A"/>
    <w:rsid w:val="00DF322F"/>
    <w:rsid w:val="00DF50CE"/>
    <w:rsid w:val="00DF5AE3"/>
    <w:rsid w:val="00E02A42"/>
    <w:rsid w:val="00E02BF6"/>
    <w:rsid w:val="00E03327"/>
    <w:rsid w:val="00E058FD"/>
    <w:rsid w:val="00E10D8C"/>
    <w:rsid w:val="00E15E88"/>
    <w:rsid w:val="00E1631A"/>
    <w:rsid w:val="00E17E1B"/>
    <w:rsid w:val="00E23405"/>
    <w:rsid w:val="00E3092A"/>
    <w:rsid w:val="00E32982"/>
    <w:rsid w:val="00E3745C"/>
    <w:rsid w:val="00E45E08"/>
    <w:rsid w:val="00E514DB"/>
    <w:rsid w:val="00E53ED4"/>
    <w:rsid w:val="00E54B68"/>
    <w:rsid w:val="00E55DFB"/>
    <w:rsid w:val="00E569BB"/>
    <w:rsid w:val="00E57628"/>
    <w:rsid w:val="00E57DA8"/>
    <w:rsid w:val="00E60AB2"/>
    <w:rsid w:val="00E64195"/>
    <w:rsid w:val="00E65EF2"/>
    <w:rsid w:val="00E6776E"/>
    <w:rsid w:val="00E72537"/>
    <w:rsid w:val="00E73D68"/>
    <w:rsid w:val="00E7746A"/>
    <w:rsid w:val="00E80841"/>
    <w:rsid w:val="00E83035"/>
    <w:rsid w:val="00E84955"/>
    <w:rsid w:val="00E87D92"/>
    <w:rsid w:val="00E91A9E"/>
    <w:rsid w:val="00E940D7"/>
    <w:rsid w:val="00E94875"/>
    <w:rsid w:val="00EA0FB4"/>
    <w:rsid w:val="00EA15FB"/>
    <w:rsid w:val="00EA2E9D"/>
    <w:rsid w:val="00EA4066"/>
    <w:rsid w:val="00EA4BD7"/>
    <w:rsid w:val="00EA56A7"/>
    <w:rsid w:val="00EB2D50"/>
    <w:rsid w:val="00EB3089"/>
    <w:rsid w:val="00EB3433"/>
    <w:rsid w:val="00EB43F3"/>
    <w:rsid w:val="00EB5211"/>
    <w:rsid w:val="00EB6445"/>
    <w:rsid w:val="00EB7E3E"/>
    <w:rsid w:val="00EC0BEF"/>
    <w:rsid w:val="00EC4278"/>
    <w:rsid w:val="00EC4641"/>
    <w:rsid w:val="00EC4E7E"/>
    <w:rsid w:val="00EC71A2"/>
    <w:rsid w:val="00EC7EBD"/>
    <w:rsid w:val="00ED0709"/>
    <w:rsid w:val="00ED13DD"/>
    <w:rsid w:val="00ED3A08"/>
    <w:rsid w:val="00ED426F"/>
    <w:rsid w:val="00ED4E77"/>
    <w:rsid w:val="00ED6006"/>
    <w:rsid w:val="00ED6ADD"/>
    <w:rsid w:val="00ED723C"/>
    <w:rsid w:val="00EE20D8"/>
    <w:rsid w:val="00EE47D6"/>
    <w:rsid w:val="00EE4810"/>
    <w:rsid w:val="00EE5677"/>
    <w:rsid w:val="00EE707A"/>
    <w:rsid w:val="00EF27B1"/>
    <w:rsid w:val="00EF2CD3"/>
    <w:rsid w:val="00EF34D1"/>
    <w:rsid w:val="00EF79A4"/>
    <w:rsid w:val="00F01DA4"/>
    <w:rsid w:val="00F03603"/>
    <w:rsid w:val="00F03DA7"/>
    <w:rsid w:val="00F05076"/>
    <w:rsid w:val="00F055A6"/>
    <w:rsid w:val="00F12660"/>
    <w:rsid w:val="00F2270B"/>
    <w:rsid w:val="00F23A23"/>
    <w:rsid w:val="00F23A6C"/>
    <w:rsid w:val="00F26FB2"/>
    <w:rsid w:val="00F30CE2"/>
    <w:rsid w:val="00F310A1"/>
    <w:rsid w:val="00F32776"/>
    <w:rsid w:val="00F3595C"/>
    <w:rsid w:val="00F36266"/>
    <w:rsid w:val="00F37F4E"/>
    <w:rsid w:val="00F41D27"/>
    <w:rsid w:val="00F425E4"/>
    <w:rsid w:val="00F42A99"/>
    <w:rsid w:val="00F4420D"/>
    <w:rsid w:val="00F456C2"/>
    <w:rsid w:val="00F51A83"/>
    <w:rsid w:val="00F52BE8"/>
    <w:rsid w:val="00F552D1"/>
    <w:rsid w:val="00F558ED"/>
    <w:rsid w:val="00F55DEB"/>
    <w:rsid w:val="00F57AF4"/>
    <w:rsid w:val="00F63407"/>
    <w:rsid w:val="00F64EEC"/>
    <w:rsid w:val="00F656F5"/>
    <w:rsid w:val="00F70469"/>
    <w:rsid w:val="00F7098D"/>
    <w:rsid w:val="00F73260"/>
    <w:rsid w:val="00F734EB"/>
    <w:rsid w:val="00F73546"/>
    <w:rsid w:val="00F75967"/>
    <w:rsid w:val="00F76EDD"/>
    <w:rsid w:val="00F801B3"/>
    <w:rsid w:val="00F817A1"/>
    <w:rsid w:val="00F82647"/>
    <w:rsid w:val="00F82A95"/>
    <w:rsid w:val="00F82B51"/>
    <w:rsid w:val="00F83AEB"/>
    <w:rsid w:val="00F84112"/>
    <w:rsid w:val="00F857EC"/>
    <w:rsid w:val="00F94696"/>
    <w:rsid w:val="00FA016B"/>
    <w:rsid w:val="00FA24FA"/>
    <w:rsid w:val="00FA4A39"/>
    <w:rsid w:val="00FA551C"/>
    <w:rsid w:val="00FA583C"/>
    <w:rsid w:val="00FB4D15"/>
    <w:rsid w:val="00FB681C"/>
    <w:rsid w:val="00FC7606"/>
    <w:rsid w:val="00FD4014"/>
    <w:rsid w:val="00FD6271"/>
    <w:rsid w:val="00FD6B90"/>
    <w:rsid w:val="00FE5D11"/>
    <w:rsid w:val="00FE6347"/>
    <w:rsid w:val="00FE7FE2"/>
    <w:rsid w:val="00FF091D"/>
    <w:rsid w:val="00FF2BC8"/>
    <w:rsid w:val="00FF4CD2"/>
    <w:rsid w:val="00FF689A"/>
    <w:rsid w:val="00FF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o:shapelayout v:ext="edit">
      <o:idmap v:ext="edit" data="1"/>
    </o:shapelayout>
  </w:shapeDefaults>
  <w:decimalSymbol w:val="."/>
  <w:listSeparator w:val=","/>
  <w14:docId w14:val="4246F3B7"/>
  <w14:defaultImageDpi w14:val="300"/>
  <w15:docId w15:val="{2E283501-A12F-49E6-8810-2DECED1D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2A"/>
    <w:rPr>
      <w:rFonts w:ascii="Arial" w:hAnsi="Arial"/>
      <w:lang w:val="en-AU"/>
    </w:rPr>
  </w:style>
  <w:style w:type="paragraph" w:styleId="Heading1">
    <w:name w:val="heading 1"/>
    <w:basedOn w:val="Normal"/>
    <w:next w:val="Normal"/>
    <w:link w:val="Heading1Char"/>
    <w:uiPriority w:val="9"/>
    <w:qFormat/>
    <w:rsid w:val="00E23405"/>
    <w:pPr>
      <w:keepNext/>
      <w:keepLines/>
      <w:spacing w:before="240" w:after="240"/>
      <w:outlineLvl w:val="0"/>
    </w:pPr>
    <w:rPr>
      <w:rFonts w:eastAsiaTheme="majorEastAsia"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676927"/>
    <w:pPr>
      <w:keepNext/>
      <w:keepLines/>
      <w:spacing w:before="240" w:after="120"/>
      <w:outlineLvl w:val="1"/>
    </w:pPr>
    <w:rPr>
      <w:rFonts w:eastAsiaTheme="majorEastAsia" w:cstheme="majorBidi"/>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E23405"/>
    <w:rPr>
      <w:rFonts w:ascii="Arial" w:eastAsiaTheme="majorEastAsia" w:hAnsi="Arial" w:cstheme="majorBidi"/>
      <w:color w:val="365F91" w:themeColor="accent1" w:themeShade="BF"/>
      <w:sz w:val="36"/>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FE5D11"/>
    <w:pPr>
      <w:tabs>
        <w:tab w:val="right" w:leader="dot" w:pos="8296"/>
      </w:tabs>
      <w:spacing w:before="120" w:after="12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676927"/>
    <w:rPr>
      <w:rFonts w:ascii="Arial" w:eastAsiaTheme="majorEastAsia" w:hAnsi="Arial" w:cstheme="majorBidi"/>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2"/>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3"/>
      </w:numPr>
      <w:spacing w:after="240"/>
    </w:pPr>
    <w:rPr>
      <w:rFonts w:cs="Arial"/>
    </w:rPr>
  </w:style>
  <w:style w:type="paragraph" w:styleId="NormalWeb">
    <w:name w:val="Normal (Web)"/>
    <w:basedOn w:val="Normal"/>
    <w:uiPriority w:val="99"/>
    <w:unhideWhenUsed/>
    <w:rsid w:val="008C37D3"/>
    <w:pPr>
      <w:spacing w:before="100" w:beforeAutospacing="1" w:after="100" w:afterAutospacing="1"/>
    </w:pPr>
    <w:rPr>
      <w:rFonts w:ascii="Times New Roman" w:eastAsia="Times New Roman" w:hAnsi="Times New Roman" w:cs="Times New Roman"/>
      <w:lang w:eastAsia="en-AU"/>
    </w:rPr>
  </w:style>
  <w:style w:type="character" w:customStyle="1" w:styleId="content-elementreference">
    <w:name w:val="content-element__reference"/>
    <w:basedOn w:val="DefaultParagraphFont"/>
    <w:rsid w:val="008C37D3"/>
  </w:style>
  <w:style w:type="character" w:styleId="Emphasis">
    <w:name w:val="Emphasis"/>
    <w:basedOn w:val="DefaultParagraphFont"/>
    <w:uiPriority w:val="20"/>
    <w:qFormat/>
    <w:rsid w:val="008C37D3"/>
    <w:rPr>
      <w:i/>
      <w:iCs/>
    </w:rPr>
  </w:style>
  <w:style w:type="paragraph" w:customStyle="1" w:styleId="Pa2">
    <w:name w:val="Pa2"/>
    <w:basedOn w:val="Normal"/>
    <w:uiPriority w:val="99"/>
    <w:rsid w:val="000D1519"/>
    <w:pPr>
      <w:autoSpaceDE w:val="0"/>
      <w:autoSpaceDN w:val="0"/>
      <w:spacing w:line="221" w:lineRule="atLeast"/>
    </w:pPr>
    <w:rPr>
      <w:rFonts w:ascii="Myriad Pro" w:eastAsiaTheme="minorHAnsi" w:hAnsi="Myriad Pro" w:cs="Times New Roman"/>
      <w:lang w:eastAsia="en-AU"/>
    </w:rPr>
  </w:style>
  <w:style w:type="paragraph" w:customStyle="1" w:styleId="Pa7">
    <w:name w:val="Pa7"/>
    <w:basedOn w:val="Normal"/>
    <w:uiPriority w:val="99"/>
    <w:rsid w:val="000D1519"/>
    <w:pPr>
      <w:autoSpaceDE w:val="0"/>
      <w:autoSpaceDN w:val="0"/>
      <w:spacing w:line="281" w:lineRule="atLeast"/>
    </w:pPr>
    <w:rPr>
      <w:rFonts w:ascii="Myriad Pro" w:eastAsiaTheme="minorHAnsi" w:hAnsi="Myriad Pro" w:cs="Times New Roman"/>
      <w:lang w:eastAsia="en-AU"/>
    </w:rPr>
  </w:style>
  <w:style w:type="paragraph" w:customStyle="1" w:styleId="Pa3">
    <w:name w:val="Pa3"/>
    <w:basedOn w:val="Normal"/>
    <w:uiPriority w:val="99"/>
    <w:rsid w:val="000D1519"/>
    <w:pPr>
      <w:autoSpaceDE w:val="0"/>
      <w:autoSpaceDN w:val="0"/>
      <w:spacing w:line="221" w:lineRule="atLeast"/>
    </w:pPr>
    <w:rPr>
      <w:rFonts w:ascii="Myriad Pro" w:eastAsiaTheme="minorHAnsi" w:hAnsi="Myriad Pro" w:cs="Times New Roman"/>
      <w:lang w:eastAsia="en-AU"/>
    </w:rPr>
  </w:style>
  <w:style w:type="character" w:customStyle="1" w:styleId="A15">
    <w:name w:val="A15"/>
    <w:basedOn w:val="DefaultParagraphFont"/>
    <w:uiPriority w:val="99"/>
    <w:rsid w:val="000D1519"/>
    <w:rPr>
      <w:rFonts w:ascii="Myriad Pro" w:hAnsi="Myriad Pro" w:hint="default"/>
      <w:color w:val="000000"/>
    </w:rPr>
  </w:style>
  <w:style w:type="character" w:customStyle="1" w:styleId="A7">
    <w:name w:val="A7"/>
    <w:basedOn w:val="DefaultParagraphFont"/>
    <w:uiPriority w:val="99"/>
    <w:rsid w:val="000D1519"/>
    <w:rPr>
      <w:rFonts w:ascii="Myriad Pro" w:hAnsi="Myriad Pro" w:hint="default"/>
      <w:color w:val="000000"/>
      <w:u w:val="single"/>
    </w:rPr>
  </w:style>
  <w:style w:type="paragraph" w:styleId="Revision">
    <w:name w:val="Revision"/>
    <w:hidden/>
    <w:uiPriority w:val="99"/>
    <w:semiHidden/>
    <w:rsid w:val="00D11F6F"/>
    <w:rPr>
      <w:lang w:val="en-AU"/>
    </w:rPr>
  </w:style>
  <w:style w:type="character" w:styleId="FollowedHyperlink">
    <w:name w:val="FollowedHyperlink"/>
    <w:basedOn w:val="DefaultParagraphFont"/>
    <w:uiPriority w:val="99"/>
    <w:semiHidden/>
    <w:unhideWhenUsed/>
    <w:rsid w:val="00520946"/>
    <w:rPr>
      <w:color w:val="800080" w:themeColor="followedHyperlink"/>
      <w:u w:val="single"/>
    </w:rPr>
  </w:style>
  <w:style w:type="paragraph" w:customStyle="1" w:styleId="Default">
    <w:name w:val="Default"/>
    <w:rsid w:val="00F2270B"/>
    <w:pPr>
      <w:autoSpaceDE w:val="0"/>
      <w:autoSpaceDN w:val="0"/>
      <w:adjustRightInd w:val="0"/>
    </w:pPr>
    <w:rPr>
      <w:rFonts w:ascii="Verdana" w:hAnsi="Verdana" w:cs="Verdana"/>
      <w:color w:val="000000"/>
      <w:lang w:val="en-AU"/>
    </w:rPr>
  </w:style>
  <w:style w:type="paragraph" w:styleId="Title">
    <w:name w:val="Title"/>
    <w:basedOn w:val="Normal"/>
    <w:next w:val="Normal"/>
    <w:link w:val="TitleChar"/>
    <w:uiPriority w:val="10"/>
    <w:qFormat/>
    <w:rsid w:val="00E23405"/>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E23405"/>
    <w:rPr>
      <w:rFonts w:ascii="Arial" w:eastAsiaTheme="majorEastAsia" w:hAnsi="Arial" w:cstheme="majorBidi"/>
      <w:color w:val="004270"/>
      <w:spacing w:val="-10"/>
      <w:kern w:val="28"/>
      <w:sz w:val="60"/>
      <w:szCs w:val="56"/>
      <w:lang w:val="en-AU"/>
    </w:rPr>
  </w:style>
  <w:style w:type="character" w:styleId="UnresolvedMention">
    <w:name w:val="Unresolved Mention"/>
    <w:basedOn w:val="DefaultParagraphFont"/>
    <w:uiPriority w:val="99"/>
    <w:semiHidden/>
    <w:unhideWhenUsed/>
    <w:rsid w:val="006D235D"/>
    <w:rPr>
      <w:color w:val="605E5C"/>
      <w:shd w:val="clear" w:color="auto" w:fill="E1DFDD"/>
    </w:rPr>
  </w:style>
  <w:style w:type="paragraph" w:styleId="EndnoteText">
    <w:name w:val="endnote text"/>
    <w:basedOn w:val="Normal"/>
    <w:link w:val="EndnoteTextChar"/>
    <w:uiPriority w:val="99"/>
    <w:semiHidden/>
    <w:unhideWhenUsed/>
    <w:rsid w:val="00F36266"/>
    <w:rPr>
      <w:sz w:val="20"/>
      <w:szCs w:val="20"/>
    </w:rPr>
  </w:style>
  <w:style w:type="character" w:customStyle="1" w:styleId="EndnoteTextChar">
    <w:name w:val="Endnote Text Char"/>
    <w:basedOn w:val="DefaultParagraphFont"/>
    <w:link w:val="EndnoteText"/>
    <w:uiPriority w:val="99"/>
    <w:semiHidden/>
    <w:rsid w:val="00F36266"/>
    <w:rPr>
      <w:rFonts w:ascii="Arial" w:hAnsi="Arial"/>
      <w:sz w:val="20"/>
      <w:szCs w:val="20"/>
      <w:lang w:val="en-AU"/>
    </w:rPr>
  </w:style>
  <w:style w:type="character" w:styleId="EndnoteReference">
    <w:name w:val="endnote reference"/>
    <w:basedOn w:val="DefaultParagraphFont"/>
    <w:uiPriority w:val="99"/>
    <w:semiHidden/>
    <w:unhideWhenUsed/>
    <w:rsid w:val="00F36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760016">
      <w:bodyDiv w:val="1"/>
      <w:marLeft w:val="0"/>
      <w:marRight w:val="0"/>
      <w:marTop w:val="0"/>
      <w:marBottom w:val="0"/>
      <w:divBdr>
        <w:top w:val="none" w:sz="0" w:space="0" w:color="auto"/>
        <w:left w:val="none" w:sz="0" w:space="0" w:color="auto"/>
        <w:bottom w:val="none" w:sz="0" w:space="0" w:color="auto"/>
        <w:right w:val="none" w:sz="0" w:space="0" w:color="auto"/>
      </w:divBdr>
    </w:div>
    <w:div w:id="1506018456">
      <w:bodyDiv w:val="1"/>
      <w:marLeft w:val="0"/>
      <w:marRight w:val="0"/>
      <w:marTop w:val="0"/>
      <w:marBottom w:val="0"/>
      <w:divBdr>
        <w:top w:val="none" w:sz="0" w:space="0" w:color="auto"/>
        <w:left w:val="none" w:sz="0" w:space="0" w:color="auto"/>
        <w:bottom w:val="none" w:sz="0" w:space="0" w:color="auto"/>
        <w:right w:val="none" w:sz="0" w:space="0" w:color="auto"/>
      </w:divBdr>
    </w:div>
    <w:div w:id="1905333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613C6B-BFC6-49A9-9BB2-8CAD9D3A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Review of the Online Safety Act 2021 (Cth)</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Online Safety Act 2021 (Cth)</dc:title>
  <dc:subject/>
  <dc:creator>Julie Ball</dc:creator>
  <cp:keywords/>
  <dc:description/>
  <cp:lastModifiedBy>Kate Marsh</cp:lastModifiedBy>
  <cp:revision>7</cp:revision>
  <cp:lastPrinted>2021-07-12T00:37:00Z</cp:lastPrinted>
  <dcterms:created xsi:type="dcterms:W3CDTF">2024-06-17T01:16:00Z</dcterms:created>
  <dcterms:modified xsi:type="dcterms:W3CDTF">2024-07-10T00:28:00Z</dcterms:modified>
</cp:coreProperties>
</file>