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046BE9DB" w14:textId="77777777" w:rsidR="0035517B" w:rsidRDefault="0035517B" w:rsidP="00260847">
          <w:pPr>
            <w:pStyle w:val="NoSpacing"/>
            <w:spacing w:before="120" w:after="120"/>
            <w:rPr>
              <w:rFonts w:ascii="Arial" w:hAnsi="Arial" w:cs="Arial"/>
              <w:bCs/>
              <w:sz w:val="28"/>
            </w:rPr>
          </w:pPr>
        </w:p>
        <w:p w14:paraId="3AF72577" w14:textId="77777777" w:rsidR="0035517B" w:rsidRDefault="0035517B" w:rsidP="00260847">
          <w:pPr>
            <w:pStyle w:val="NoSpacing"/>
            <w:spacing w:before="120" w:after="120"/>
            <w:rPr>
              <w:rFonts w:ascii="Arial" w:hAnsi="Arial" w:cs="Arial"/>
              <w:bCs/>
              <w:sz w:val="28"/>
            </w:rPr>
          </w:pPr>
        </w:p>
        <w:p w14:paraId="366514D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196CEDE7" wp14:editId="02EF6800">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EDCF79C" w14:textId="77777777" w:rsidR="0035517B" w:rsidRDefault="0035517B" w:rsidP="00260847">
          <w:pPr>
            <w:pStyle w:val="NoSpacing"/>
            <w:spacing w:before="120" w:after="120"/>
            <w:rPr>
              <w:rFonts w:ascii="Arial" w:hAnsi="Arial" w:cs="Arial"/>
              <w:bCs/>
              <w:sz w:val="28"/>
            </w:rPr>
          </w:pPr>
        </w:p>
        <w:p w14:paraId="5E13F968" w14:textId="77777777" w:rsidR="0035517B" w:rsidRDefault="0035517B" w:rsidP="00260847">
          <w:pPr>
            <w:pStyle w:val="NoSpacing"/>
            <w:spacing w:before="120" w:after="120"/>
            <w:rPr>
              <w:rFonts w:ascii="Arial" w:hAnsi="Arial" w:cs="Arial"/>
              <w:bCs/>
              <w:sz w:val="28"/>
            </w:rPr>
          </w:pPr>
        </w:p>
        <w:p w14:paraId="3F53ED89" w14:textId="77777777" w:rsidR="0035517B" w:rsidRDefault="0035517B" w:rsidP="00260847">
          <w:pPr>
            <w:pStyle w:val="NoSpacing"/>
            <w:spacing w:before="120" w:after="120"/>
            <w:rPr>
              <w:rFonts w:ascii="Arial" w:hAnsi="Arial" w:cs="Arial"/>
              <w:bCs/>
              <w:sz w:val="28"/>
            </w:rPr>
          </w:pPr>
        </w:p>
        <w:p w14:paraId="11CC8A0C" w14:textId="77777777" w:rsidR="0035517B" w:rsidRDefault="0035517B" w:rsidP="00260847">
          <w:pPr>
            <w:pStyle w:val="NoSpacing"/>
            <w:spacing w:before="120" w:after="120"/>
            <w:rPr>
              <w:rFonts w:ascii="Arial" w:hAnsi="Arial" w:cs="Arial"/>
              <w:bCs/>
              <w:sz w:val="28"/>
            </w:rPr>
          </w:pPr>
        </w:p>
        <w:p w14:paraId="6ED8A9B3" w14:textId="77777777" w:rsidR="0035517B" w:rsidRDefault="0035517B" w:rsidP="00260847">
          <w:pPr>
            <w:pStyle w:val="NoSpacing"/>
            <w:spacing w:before="120" w:after="120"/>
            <w:rPr>
              <w:rFonts w:ascii="Arial" w:hAnsi="Arial" w:cs="Arial"/>
              <w:bCs/>
              <w:sz w:val="28"/>
            </w:rPr>
          </w:pPr>
        </w:p>
        <w:p w14:paraId="08F332D7" w14:textId="77777777" w:rsidR="0035517B" w:rsidRDefault="0035517B" w:rsidP="00260847">
          <w:pPr>
            <w:pStyle w:val="NoSpacing"/>
            <w:spacing w:before="120" w:after="120"/>
            <w:rPr>
              <w:rFonts w:ascii="Arial" w:hAnsi="Arial" w:cs="Arial"/>
              <w:bCs/>
              <w:sz w:val="28"/>
            </w:rPr>
          </w:pPr>
        </w:p>
        <w:p w14:paraId="74F20A7D" w14:textId="7DAC0599" w:rsidR="0035517B" w:rsidRPr="0035517B" w:rsidRDefault="002A3591" w:rsidP="0035517B">
          <w:pPr>
            <w:pStyle w:val="Title"/>
          </w:pPr>
          <w:r>
            <w:t>Youth Justice Reform in Queensland</w:t>
          </w:r>
        </w:p>
        <w:p w14:paraId="048959F2" w14:textId="3CAC7967" w:rsidR="00260847" w:rsidRPr="00B35855" w:rsidRDefault="002A3591" w:rsidP="00B35855">
          <w:pPr>
            <w:rPr>
              <w:color w:val="002060"/>
              <w:sz w:val="36"/>
              <w:szCs w:val="36"/>
            </w:rPr>
          </w:pPr>
          <w:r>
            <w:rPr>
              <w:color w:val="002060"/>
              <w:sz w:val="36"/>
              <w:szCs w:val="36"/>
            </w:rPr>
            <w:t xml:space="preserve">Additional </w:t>
          </w:r>
          <w:r w:rsidR="00260847" w:rsidRPr="00B35855">
            <w:rPr>
              <w:color w:val="002060"/>
              <w:sz w:val="36"/>
              <w:szCs w:val="36"/>
            </w:rPr>
            <w:t xml:space="preserve">Submission to </w:t>
          </w:r>
          <w:r>
            <w:rPr>
              <w:color w:val="002060"/>
              <w:sz w:val="36"/>
              <w:szCs w:val="36"/>
            </w:rPr>
            <w:t>Youth Justice Reform Select Committee</w:t>
          </w:r>
        </w:p>
        <w:p w14:paraId="244C4832" w14:textId="3842534E" w:rsidR="00260847" w:rsidRPr="00B35855" w:rsidRDefault="00EE1A9B" w:rsidP="00B35855">
          <w:pPr>
            <w:rPr>
              <w:color w:val="002060"/>
              <w:sz w:val="36"/>
              <w:szCs w:val="36"/>
            </w:rPr>
          </w:pPr>
          <w:r>
            <w:rPr>
              <w:color w:val="002060"/>
              <w:sz w:val="36"/>
              <w:szCs w:val="36"/>
            </w:rPr>
            <w:t>2</w:t>
          </w:r>
          <w:r w:rsidR="000B7102">
            <w:rPr>
              <w:color w:val="002060"/>
              <w:sz w:val="36"/>
              <w:szCs w:val="36"/>
            </w:rPr>
            <w:t>8</w:t>
          </w:r>
          <w:r w:rsidR="00F5290B" w:rsidRPr="00B35855">
            <w:rPr>
              <w:color w:val="002060"/>
              <w:sz w:val="36"/>
              <w:szCs w:val="36"/>
            </w:rPr>
            <w:t xml:space="preserve"> February 2024</w:t>
          </w:r>
        </w:p>
        <w:p w14:paraId="1D7A713F" w14:textId="77777777" w:rsidR="00260847" w:rsidRDefault="00260847">
          <w:pPr>
            <w:rPr>
              <w:rFonts w:cs="Arial"/>
              <w:bCs/>
              <w:sz w:val="28"/>
              <w:szCs w:val="22"/>
              <w:lang w:val="en-US"/>
            </w:rPr>
          </w:pPr>
          <w:r>
            <w:rPr>
              <w:rFonts w:cs="Arial"/>
              <w:bCs/>
              <w:sz w:val="28"/>
            </w:rPr>
            <w:br w:type="page"/>
          </w:r>
        </w:p>
        <w:p w14:paraId="7D573182" w14:textId="77777777" w:rsidR="004A2375" w:rsidRDefault="004A2375" w:rsidP="00260847">
          <w:pPr>
            <w:pStyle w:val="NoSpacing"/>
            <w:spacing w:before="120" w:after="120"/>
          </w:pPr>
        </w:p>
        <w:p w14:paraId="15134E34" w14:textId="77777777" w:rsidR="00A16356" w:rsidRPr="004A2375" w:rsidRDefault="00FE4078">
          <w:pPr>
            <w:rPr>
              <w:rFonts w:eastAsiaTheme="majorEastAsia" w:cstheme="majorBidi"/>
              <w:b/>
              <w:color w:val="365F91" w:themeColor="accent1" w:themeShade="BF"/>
              <w:sz w:val="16"/>
              <w:szCs w:val="16"/>
            </w:rPr>
          </w:pPr>
        </w:p>
      </w:sdtContent>
    </w:sdt>
    <w:bookmarkStart w:id="0" w:name="_Toc159856890" w:displacedByCustomXml="next"/>
    <w:bookmarkStart w:id="1" w:name="_Toc159944882" w:displacedByCustomXml="next"/>
    <w:bookmarkStart w:id="2" w:name="_Toc159945288"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b/>
          <w:bCs/>
          <w:noProof/>
          <w:color w:val="000000" w:themeColor="text1"/>
          <w:sz w:val="22"/>
          <w:szCs w:val="22"/>
          <w:lang w:val="en-AU"/>
        </w:rPr>
      </w:sdtEndPr>
      <w:sdtContent>
        <w:p w14:paraId="20ABCBAD" w14:textId="77777777" w:rsidR="00A16356" w:rsidRPr="00A16356" w:rsidRDefault="00260847" w:rsidP="005C69C9">
          <w:pPr>
            <w:pStyle w:val="Heading1"/>
          </w:pPr>
          <w:r>
            <w:t>Table of c</w:t>
          </w:r>
          <w:r w:rsidR="00A16356" w:rsidRPr="00A16356">
            <w:t>ontents</w:t>
          </w:r>
          <w:bookmarkEnd w:id="2"/>
          <w:bookmarkEnd w:id="1"/>
          <w:bookmarkEnd w:id="0"/>
        </w:p>
        <w:p w14:paraId="1F49FA38" w14:textId="5415097C" w:rsidR="009300C9" w:rsidRDefault="00A16356">
          <w:pPr>
            <w:pStyle w:val="TOC1"/>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59945288" w:history="1"/>
        </w:p>
        <w:p w14:paraId="7411064A" w14:textId="7D6469ED" w:rsidR="009300C9" w:rsidRDefault="00FE4078">
          <w:pPr>
            <w:pStyle w:val="TOC1"/>
            <w:rPr>
              <w:rFonts w:asciiTheme="minorHAnsi" w:hAnsiTheme="minorHAnsi"/>
              <w:noProof/>
              <w:color w:val="auto"/>
              <w:kern w:val="2"/>
              <w:sz w:val="24"/>
              <w:lang w:eastAsia="en-AU"/>
              <w14:ligatures w14:val="standardContextual"/>
            </w:rPr>
          </w:pPr>
          <w:hyperlink w:anchor="_Toc159945289" w:history="1">
            <w:r w:rsidR="009300C9" w:rsidRPr="00D658E6">
              <w:rPr>
                <w:rStyle w:val="Hyperlink"/>
                <w:noProof/>
              </w:rPr>
              <w:t>Introduction</w:t>
            </w:r>
            <w:r w:rsidR="009300C9">
              <w:rPr>
                <w:noProof/>
                <w:webHidden/>
              </w:rPr>
              <w:tab/>
            </w:r>
            <w:r w:rsidR="009300C9">
              <w:rPr>
                <w:noProof/>
                <w:webHidden/>
              </w:rPr>
              <w:fldChar w:fldCharType="begin"/>
            </w:r>
            <w:r w:rsidR="009300C9">
              <w:rPr>
                <w:noProof/>
                <w:webHidden/>
              </w:rPr>
              <w:instrText xml:space="preserve"> PAGEREF _Toc159945289 \h </w:instrText>
            </w:r>
            <w:r w:rsidR="009300C9">
              <w:rPr>
                <w:noProof/>
                <w:webHidden/>
              </w:rPr>
            </w:r>
            <w:r w:rsidR="009300C9">
              <w:rPr>
                <w:noProof/>
                <w:webHidden/>
              </w:rPr>
              <w:fldChar w:fldCharType="separate"/>
            </w:r>
            <w:r w:rsidR="001821D0">
              <w:rPr>
                <w:noProof/>
                <w:webHidden/>
              </w:rPr>
              <w:t>2</w:t>
            </w:r>
            <w:r w:rsidR="009300C9">
              <w:rPr>
                <w:noProof/>
                <w:webHidden/>
              </w:rPr>
              <w:fldChar w:fldCharType="end"/>
            </w:r>
          </w:hyperlink>
        </w:p>
        <w:p w14:paraId="4C2B3DD1" w14:textId="7C074AFD" w:rsidR="009300C9" w:rsidRDefault="00FE4078">
          <w:pPr>
            <w:pStyle w:val="TOC1"/>
            <w:rPr>
              <w:rFonts w:asciiTheme="minorHAnsi" w:hAnsiTheme="minorHAnsi"/>
              <w:noProof/>
              <w:color w:val="auto"/>
              <w:kern w:val="2"/>
              <w:sz w:val="24"/>
              <w:lang w:eastAsia="en-AU"/>
              <w14:ligatures w14:val="standardContextual"/>
            </w:rPr>
          </w:pPr>
          <w:hyperlink w:anchor="_Toc159945290" w:history="1">
            <w:r w:rsidR="009300C9" w:rsidRPr="00D658E6">
              <w:rPr>
                <w:rStyle w:val="Hyperlink"/>
                <w:noProof/>
                <w:lang w:val="en-US"/>
              </w:rPr>
              <w:t>Human rights and guidance from UN Bodies</w:t>
            </w:r>
            <w:r w:rsidR="009300C9">
              <w:rPr>
                <w:noProof/>
                <w:webHidden/>
              </w:rPr>
              <w:tab/>
            </w:r>
            <w:r w:rsidR="009300C9">
              <w:rPr>
                <w:noProof/>
                <w:webHidden/>
              </w:rPr>
              <w:fldChar w:fldCharType="begin"/>
            </w:r>
            <w:r w:rsidR="009300C9">
              <w:rPr>
                <w:noProof/>
                <w:webHidden/>
              </w:rPr>
              <w:instrText xml:space="preserve"> PAGEREF _Toc159945290 \h </w:instrText>
            </w:r>
            <w:r w:rsidR="009300C9">
              <w:rPr>
                <w:noProof/>
                <w:webHidden/>
              </w:rPr>
            </w:r>
            <w:r w:rsidR="009300C9">
              <w:rPr>
                <w:noProof/>
                <w:webHidden/>
              </w:rPr>
              <w:fldChar w:fldCharType="separate"/>
            </w:r>
            <w:r w:rsidR="001821D0">
              <w:rPr>
                <w:noProof/>
                <w:webHidden/>
              </w:rPr>
              <w:t>2</w:t>
            </w:r>
            <w:r w:rsidR="009300C9">
              <w:rPr>
                <w:noProof/>
                <w:webHidden/>
              </w:rPr>
              <w:fldChar w:fldCharType="end"/>
            </w:r>
          </w:hyperlink>
        </w:p>
        <w:p w14:paraId="31EF5B5C" w14:textId="03CFAFE9" w:rsidR="009300C9" w:rsidRDefault="00FE4078">
          <w:pPr>
            <w:pStyle w:val="TOC1"/>
            <w:rPr>
              <w:rFonts w:asciiTheme="minorHAnsi" w:hAnsiTheme="minorHAnsi"/>
              <w:noProof/>
              <w:color w:val="auto"/>
              <w:kern w:val="2"/>
              <w:sz w:val="24"/>
              <w:lang w:eastAsia="en-AU"/>
              <w14:ligatures w14:val="standardContextual"/>
            </w:rPr>
          </w:pPr>
          <w:hyperlink w:anchor="_Toc159945291" w:history="1">
            <w:r w:rsidR="009300C9" w:rsidRPr="00D658E6">
              <w:rPr>
                <w:rStyle w:val="Hyperlink"/>
                <w:noProof/>
                <w:lang w:val="en-US"/>
              </w:rPr>
              <w:t>General Comment on the child justice system (2019)</w:t>
            </w:r>
            <w:r w:rsidR="009300C9">
              <w:rPr>
                <w:noProof/>
                <w:webHidden/>
              </w:rPr>
              <w:tab/>
            </w:r>
            <w:r w:rsidR="009300C9">
              <w:rPr>
                <w:noProof/>
                <w:webHidden/>
              </w:rPr>
              <w:fldChar w:fldCharType="begin"/>
            </w:r>
            <w:r w:rsidR="009300C9">
              <w:rPr>
                <w:noProof/>
                <w:webHidden/>
              </w:rPr>
              <w:instrText xml:space="preserve"> PAGEREF _Toc159945291 \h </w:instrText>
            </w:r>
            <w:r w:rsidR="009300C9">
              <w:rPr>
                <w:noProof/>
                <w:webHidden/>
              </w:rPr>
            </w:r>
            <w:r w:rsidR="009300C9">
              <w:rPr>
                <w:noProof/>
                <w:webHidden/>
              </w:rPr>
              <w:fldChar w:fldCharType="separate"/>
            </w:r>
            <w:r w:rsidR="001821D0">
              <w:rPr>
                <w:noProof/>
                <w:webHidden/>
              </w:rPr>
              <w:t>3</w:t>
            </w:r>
            <w:r w:rsidR="009300C9">
              <w:rPr>
                <w:noProof/>
                <w:webHidden/>
              </w:rPr>
              <w:fldChar w:fldCharType="end"/>
            </w:r>
          </w:hyperlink>
        </w:p>
        <w:p w14:paraId="4690A97F" w14:textId="705760F5" w:rsidR="009300C9" w:rsidRDefault="00FE4078">
          <w:pPr>
            <w:pStyle w:val="TOC1"/>
            <w:rPr>
              <w:rFonts w:asciiTheme="minorHAnsi" w:hAnsiTheme="minorHAnsi"/>
              <w:noProof/>
              <w:color w:val="auto"/>
              <w:kern w:val="2"/>
              <w:sz w:val="24"/>
              <w:lang w:eastAsia="en-AU"/>
              <w14:ligatures w14:val="standardContextual"/>
            </w:rPr>
          </w:pPr>
          <w:hyperlink w:anchor="_Toc159945292" w:history="1">
            <w:r w:rsidR="009300C9" w:rsidRPr="00D658E6">
              <w:rPr>
                <w:rStyle w:val="Hyperlink"/>
                <w:noProof/>
                <w:lang w:val="en-US"/>
              </w:rPr>
              <w:t>CRC statements relevant to identified priority areas</w:t>
            </w:r>
            <w:r w:rsidR="009300C9">
              <w:rPr>
                <w:noProof/>
                <w:webHidden/>
              </w:rPr>
              <w:tab/>
            </w:r>
            <w:r w:rsidR="009300C9">
              <w:rPr>
                <w:noProof/>
                <w:webHidden/>
              </w:rPr>
              <w:fldChar w:fldCharType="begin"/>
            </w:r>
            <w:r w:rsidR="009300C9">
              <w:rPr>
                <w:noProof/>
                <w:webHidden/>
              </w:rPr>
              <w:instrText xml:space="preserve"> PAGEREF _Toc159945292 \h </w:instrText>
            </w:r>
            <w:r w:rsidR="009300C9">
              <w:rPr>
                <w:noProof/>
                <w:webHidden/>
              </w:rPr>
            </w:r>
            <w:r w:rsidR="009300C9">
              <w:rPr>
                <w:noProof/>
                <w:webHidden/>
              </w:rPr>
              <w:fldChar w:fldCharType="separate"/>
            </w:r>
            <w:r w:rsidR="001821D0">
              <w:rPr>
                <w:noProof/>
                <w:webHidden/>
              </w:rPr>
              <w:t>4</w:t>
            </w:r>
            <w:r w:rsidR="009300C9">
              <w:rPr>
                <w:noProof/>
                <w:webHidden/>
              </w:rPr>
              <w:fldChar w:fldCharType="end"/>
            </w:r>
          </w:hyperlink>
        </w:p>
        <w:p w14:paraId="36C33525" w14:textId="31029DDF" w:rsidR="009300C9" w:rsidRDefault="00FE4078">
          <w:pPr>
            <w:pStyle w:val="TOC2"/>
            <w:rPr>
              <w:rFonts w:asciiTheme="minorHAnsi" w:hAnsiTheme="minorHAnsi"/>
              <w:noProof/>
              <w:color w:val="auto"/>
              <w:kern w:val="2"/>
              <w:sz w:val="24"/>
              <w:lang w:eastAsia="en-AU"/>
              <w14:ligatures w14:val="standardContextual"/>
            </w:rPr>
          </w:pPr>
          <w:hyperlink w:anchor="_Toc159945293" w:history="1">
            <w:r w:rsidR="009300C9" w:rsidRPr="00D658E6">
              <w:rPr>
                <w:rStyle w:val="Hyperlink"/>
                <w:noProof/>
              </w:rPr>
              <w:t>1. A whole of government strategy</w:t>
            </w:r>
            <w:r w:rsidR="009300C9">
              <w:rPr>
                <w:noProof/>
                <w:webHidden/>
              </w:rPr>
              <w:tab/>
            </w:r>
            <w:r w:rsidR="009300C9">
              <w:rPr>
                <w:noProof/>
                <w:webHidden/>
              </w:rPr>
              <w:fldChar w:fldCharType="begin"/>
            </w:r>
            <w:r w:rsidR="009300C9">
              <w:rPr>
                <w:noProof/>
                <w:webHidden/>
              </w:rPr>
              <w:instrText xml:space="preserve"> PAGEREF _Toc159945293 \h </w:instrText>
            </w:r>
            <w:r w:rsidR="009300C9">
              <w:rPr>
                <w:noProof/>
                <w:webHidden/>
              </w:rPr>
            </w:r>
            <w:r w:rsidR="009300C9">
              <w:rPr>
                <w:noProof/>
                <w:webHidden/>
              </w:rPr>
              <w:fldChar w:fldCharType="separate"/>
            </w:r>
            <w:r w:rsidR="001821D0">
              <w:rPr>
                <w:noProof/>
                <w:webHidden/>
              </w:rPr>
              <w:t>4</w:t>
            </w:r>
            <w:r w:rsidR="009300C9">
              <w:rPr>
                <w:noProof/>
                <w:webHidden/>
              </w:rPr>
              <w:fldChar w:fldCharType="end"/>
            </w:r>
          </w:hyperlink>
        </w:p>
        <w:p w14:paraId="79DA9545" w14:textId="624A358D" w:rsidR="009300C9" w:rsidRDefault="00FE4078">
          <w:pPr>
            <w:pStyle w:val="TOC2"/>
            <w:rPr>
              <w:rFonts w:asciiTheme="minorHAnsi" w:hAnsiTheme="minorHAnsi"/>
              <w:noProof/>
              <w:color w:val="auto"/>
              <w:kern w:val="2"/>
              <w:sz w:val="24"/>
              <w:lang w:eastAsia="en-AU"/>
              <w14:ligatures w14:val="standardContextual"/>
            </w:rPr>
          </w:pPr>
          <w:hyperlink w:anchor="_Toc159945294" w:history="1">
            <w:r w:rsidR="009300C9" w:rsidRPr="00D658E6">
              <w:rPr>
                <w:rStyle w:val="Hyperlink"/>
                <w:noProof/>
              </w:rPr>
              <w:t>2. Assessment, intervention and prevention strategies</w:t>
            </w:r>
            <w:r w:rsidR="009300C9">
              <w:rPr>
                <w:noProof/>
                <w:webHidden/>
              </w:rPr>
              <w:tab/>
            </w:r>
            <w:r w:rsidR="009300C9">
              <w:rPr>
                <w:noProof/>
                <w:webHidden/>
              </w:rPr>
              <w:fldChar w:fldCharType="begin"/>
            </w:r>
            <w:r w:rsidR="009300C9">
              <w:rPr>
                <w:noProof/>
                <w:webHidden/>
              </w:rPr>
              <w:instrText xml:space="preserve"> PAGEREF _Toc159945294 \h </w:instrText>
            </w:r>
            <w:r w:rsidR="009300C9">
              <w:rPr>
                <w:noProof/>
                <w:webHidden/>
              </w:rPr>
            </w:r>
            <w:r w:rsidR="009300C9">
              <w:rPr>
                <w:noProof/>
                <w:webHidden/>
              </w:rPr>
              <w:fldChar w:fldCharType="separate"/>
            </w:r>
            <w:r w:rsidR="001821D0">
              <w:rPr>
                <w:noProof/>
                <w:webHidden/>
              </w:rPr>
              <w:t>5</w:t>
            </w:r>
            <w:r w:rsidR="009300C9">
              <w:rPr>
                <w:noProof/>
                <w:webHidden/>
              </w:rPr>
              <w:fldChar w:fldCharType="end"/>
            </w:r>
          </w:hyperlink>
        </w:p>
        <w:p w14:paraId="519D672F" w14:textId="03D14F2F" w:rsidR="009300C9" w:rsidRDefault="00FE4078">
          <w:pPr>
            <w:pStyle w:val="TOC2"/>
            <w:rPr>
              <w:rFonts w:asciiTheme="minorHAnsi" w:hAnsiTheme="minorHAnsi"/>
              <w:noProof/>
              <w:color w:val="auto"/>
              <w:kern w:val="2"/>
              <w:sz w:val="24"/>
              <w:lang w:eastAsia="en-AU"/>
              <w14:ligatures w14:val="standardContextual"/>
            </w:rPr>
          </w:pPr>
          <w:hyperlink w:anchor="_Toc159945295" w:history="1">
            <w:r w:rsidR="009300C9" w:rsidRPr="00D658E6">
              <w:rPr>
                <w:rStyle w:val="Hyperlink"/>
                <w:noProof/>
              </w:rPr>
              <w:t>3. Reimagining youth justice infrastructure</w:t>
            </w:r>
            <w:r w:rsidR="009300C9">
              <w:rPr>
                <w:noProof/>
                <w:webHidden/>
              </w:rPr>
              <w:tab/>
            </w:r>
            <w:r w:rsidR="009300C9">
              <w:rPr>
                <w:noProof/>
                <w:webHidden/>
              </w:rPr>
              <w:fldChar w:fldCharType="begin"/>
            </w:r>
            <w:r w:rsidR="009300C9">
              <w:rPr>
                <w:noProof/>
                <w:webHidden/>
              </w:rPr>
              <w:instrText xml:space="preserve"> PAGEREF _Toc159945295 \h </w:instrText>
            </w:r>
            <w:r w:rsidR="009300C9">
              <w:rPr>
                <w:noProof/>
                <w:webHidden/>
              </w:rPr>
            </w:r>
            <w:r w:rsidR="009300C9">
              <w:rPr>
                <w:noProof/>
                <w:webHidden/>
              </w:rPr>
              <w:fldChar w:fldCharType="separate"/>
            </w:r>
            <w:r w:rsidR="001821D0">
              <w:rPr>
                <w:noProof/>
                <w:webHidden/>
              </w:rPr>
              <w:t>8</w:t>
            </w:r>
            <w:r w:rsidR="009300C9">
              <w:rPr>
                <w:noProof/>
                <w:webHidden/>
              </w:rPr>
              <w:fldChar w:fldCharType="end"/>
            </w:r>
          </w:hyperlink>
        </w:p>
        <w:p w14:paraId="1E8C5E4D" w14:textId="57E117BF" w:rsidR="009300C9" w:rsidRDefault="00FE4078">
          <w:pPr>
            <w:pStyle w:val="TOC2"/>
            <w:rPr>
              <w:rFonts w:asciiTheme="minorHAnsi" w:hAnsiTheme="minorHAnsi"/>
              <w:noProof/>
              <w:color w:val="auto"/>
              <w:kern w:val="2"/>
              <w:sz w:val="24"/>
              <w:lang w:eastAsia="en-AU"/>
              <w14:ligatures w14:val="standardContextual"/>
            </w:rPr>
          </w:pPr>
          <w:hyperlink w:anchor="_Toc159945296" w:history="1">
            <w:r w:rsidR="009300C9" w:rsidRPr="00D658E6">
              <w:rPr>
                <w:rStyle w:val="Hyperlink"/>
                <w:noProof/>
              </w:rPr>
              <w:t xml:space="preserve">5. The current operation of the </w:t>
            </w:r>
            <w:r w:rsidR="009300C9" w:rsidRPr="00D658E6">
              <w:rPr>
                <w:rStyle w:val="Hyperlink"/>
                <w:i/>
                <w:iCs/>
                <w:noProof/>
              </w:rPr>
              <w:t>Youth Justice Act 1992</w:t>
            </w:r>
            <w:r w:rsidR="009300C9">
              <w:rPr>
                <w:noProof/>
                <w:webHidden/>
              </w:rPr>
              <w:tab/>
            </w:r>
            <w:r w:rsidR="009300C9">
              <w:rPr>
                <w:noProof/>
                <w:webHidden/>
              </w:rPr>
              <w:fldChar w:fldCharType="begin"/>
            </w:r>
            <w:r w:rsidR="009300C9">
              <w:rPr>
                <w:noProof/>
                <w:webHidden/>
              </w:rPr>
              <w:instrText xml:space="preserve"> PAGEREF _Toc159945296 \h </w:instrText>
            </w:r>
            <w:r w:rsidR="009300C9">
              <w:rPr>
                <w:noProof/>
                <w:webHidden/>
              </w:rPr>
            </w:r>
            <w:r w:rsidR="009300C9">
              <w:rPr>
                <w:noProof/>
                <w:webHidden/>
              </w:rPr>
              <w:fldChar w:fldCharType="separate"/>
            </w:r>
            <w:r w:rsidR="001821D0">
              <w:rPr>
                <w:noProof/>
                <w:webHidden/>
              </w:rPr>
              <w:t>10</w:t>
            </w:r>
            <w:r w:rsidR="009300C9">
              <w:rPr>
                <w:noProof/>
                <w:webHidden/>
              </w:rPr>
              <w:fldChar w:fldCharType="end"/>
            </w:r>
          </w:hyperlink>
        </w:p>
        <w:p w14:paraId="0A0A7CDA" w14:textId="79175820" w:rsidR="009300C9" w:rsidRDefault="00FE4078">
          <w:pPr>
            <w:pStyle w:val="TOC2"/>
            <w:rPr>
              <w:rFonts w:asciiTheme="minorHAnsi" w:hAnsiTheme="minorHAnsi"/>
              <w:noProof/>
              <w:color w:val="auto"/>
              <w:kern w:val="2"/>
              <w:sz w:val="24"/>
              <w:lang w:eastAsia="en-AU"/>
              <w14:ligatures w14:val="standardContextual"/>
            </w:rPr>
          </w:pPr>
          <w:hyperlink w:anchor="_Toc159945297" w:history="1">
            <w:r w:rsidR="009300C9" w:rsidRPr="00D658E6">
              <w:rPr>
                <w:rStyle w:val="Hyperlink"/>
                <w:noProof/>
              </w:rPr>
              <w:t>6. Strengthening public confidence in the youth justice system</w:t>
            </w:r>
            <w:r w:rsidR="009300C9">
              <w:rPr>
                <w:noProof/>
                <w:webHidden/>
              </w:rPr>
              <w:tab/>
            </w:r>
            <w:r w:rsidR="009300C9">
              <w:rPr>
                <w:noProof/>
                <w:webHidden/>
              </w:rPr>
              <w:fldChar w:fldCharType="begin"/>
            </w:r>
            <w:r w:rsidR="009300C9">
              <w:rPr>
                <w:noProof/>
                <w:webHidden/>
              </w:rPr>
              <w:instrText xml:space="preserve"> PAGEREF _Toc159945297 \h </w:instrText>
            </w:r>
            <w:r w:rsidR="009300C9">
              <w:rPr>
                <w:noProof/>
                <w:webHidden/>
              </w:rPr>
            </w:r>
            <w:r w:rsidR="009300C9">
              <w:rPr>
                <w:noProof/>
                <w:webHidden/>
              </w:rPr>
              <w:fldChar w:fldCharType="separate"/>
            </w:r>
            <w:r w:rsidR="001821D0">
              <w:rPr>
                <w:noProof/>
                <w:webHidden/>
              </w:rPr>
              <w:t>11</w:t>
            </w:r>
            <w:r w:rsidR="009300C9">
              <w:rPr>
                <w:noProof/>
                <w:webHidden/>
              </w:rPr>
              <w:fldChar w:fldCharType="end"/>
            </w:r>
          </w:hyperlink>
        </w:p>
        <w:p w14:paraId="4F64789B" w14:textId="0B36F798" w:rsidR="009300C9" w:rsidRDefault="00FE4078">
          <w:pPr>
            <w:pStyle w:val="TOC1"/>
            <w:rPr>
              <w:rFonts w:asciiTheme="minorHAnsi" w:hAnsiTheme="minorHAnsi"/>
              <w:noProof/>
              <w:color w:val="auto"/>
              <w:kern w:val="2"/>
              <w:sz w:val="24"/>
              <w:lang w:eastAsia="en-AU"/>
              <w14:ligatures w14:val="standardContextual"/>
            </w:rPr>
          </w:pPr>
          <w:hyperlink w:anchor="_Toc159945298" w:history="1">
            <w:r w:rsidR="009300C9" w:rsidRPr="00D658E6">
              <w:rPr>
                <w:rStyle w:val="Hyperlink"/>
                <w:noProof/>
                <w:lang w:val="en-US"/>
              </w:rPr>
              <w:t>About the Queensland Human Rights Commission</w:t>
            </w:r>
            <w:r w:rsidR="009300C9">
              <w:rPr>
                <w:noProof/>
                <w:webHidden/>
              </w:rPr>
              <w:tab/>
            </w:r>
            <w:r w:rsidR="009300C9">
              <w:rPr>
                <w:noProof/>
                <w:webHidden/>
              </w:rPr>
              <w:fldChar w:fldCharType="begin"/>
            </w:r>
            <w:r w:rsidR="009300C9">
              <w:rPr>
                <w:noProof/>
                <w:webHidden/>
              </w:rPr>
              <w:instrText xml:space="preserve"> PAGEREF _Toc159945298 \h </w:instrText>
            </w:r>
            <w:r w:rsidR="009300C9">
              <w:rPr>
                <w:noProof/>
                <w:webHidden/>
              </w:rPr>
            </w:r>
            <w:r w:rsidR="009300C9">
              <w:rPr>
                <w:noProof/>
                <w:webHidden/>
              </w:rPr>
              <w:fldChar w:fldCharType="separate"/>
            </w:r>
            <w:r w:rsidR="001821D0">
              <w:rPr>
                <w:noProof/>
                <w:webHidden/>
              </w:rPr>
              <w:t>12</w:t>
            </w:r>
            <w:r w:rsidR="009300C9">
              <w:rPr>
                <w:noProof/>
                <w:webHidden/>
              </w:rPr>
              <w:fldChar w:fldCharType="end"/>
            </w:r>
          </w:hyperlink>
        </w:p>
        <w:p w14:paraId="5C73C21A" w14:textId="68954938" w:rsidR="009300C9" w:rsidRDefault="00FE4078">
          <w:pPr>
            <w:pStyle w:val="TOC1"/>
            <w:rPr>
              <w:rFonts w:asciiTheme="minorHAnsi" w:hAnsiTheme="minorHAnsi"/>
              <w:noProof/>
              <w:color w:val="auto"/>
              <w:kern w:val="2"/>
              <w:sz w:val="24"/>
              <w:lang w:eastAsia="en-AU"/>
              <w14:ligatures w14:val="standardContextual"/>
            </w:rPr>
          </w:pPr>
          <w:hyperlink w:anchor="_Toc159945299" w:history="1">
            <w:r w:rsidR="009300C9" w:rsidRPr="00D658E6">
              <w:rPr>
                <w:rStyle w:val="Hyperlink"/>
                <w:noProof/>
              </w:rPr>
              <w:t>The relevance of human rights to this inquiry</w:t>
            </w:r>
            <w:r w:rsidR="009300C9">
              <w:rPr>
                <w:noProof/>
                <w:webHidden/>
              </w:rPr>
              <w:tab/>
            </w:r>
            <w:r w:rsidR="009300C9">
              <w:rPr>
                <w:noProof/>
                <w:webHidden/>
              </w:rPr>
              <w:fldChar w:fldCharType="begin"/>
            </w:r>
            <w:r w:rsidR="009300C9">
              <w:rPr>
                <w:noProof/>
                <w:webHidden/>
              </w:rPr>
              <w:instrText xml:space="preserve"> PAGEREF _Toc159945299 \h </w:instrText>
            </w:r>
            <w:r w:rsidR="009300C9">
              <w:rPr>
                <w:noProof/>
                <w:webHidden/>
              </w:rPr>
            </w:r>
            <w:r w:rsidR="009300C9">
              <w:rPr>
                <w:noProof/>
                <w:webHidden/>
              </w:rPr>
              <w:fldChar w:fldCharType="separate"/>
            </w:r>
            <w:r w:rsidR="001821D0">
              <w:rPr>
                <w:noProof/>
                <w:webHidden/>
              </w:rPr>
              <w:t>12</w:t>
            </w:r>
            <w:r w:rsidR="009300C9">
              <w:rPr>
                <w:noProof/>
                <w:webHidden/>
              </w:rPr>
              <w:fldChar w:fldCharType="end"/>
            </w:r>
          </w:hyperlink>
        </w:p>
        <w:p w14:paraId="5FEA3995" w14:textId="0A643CBF" w:rsidR="009300C9" w:rsidRDefault="00FE4078">
          <w:pPr>
            <w:pStyle w:val="TOC1"/>
            <w:rPr>
              <w:rFonts w:asciiTheme="minorHAnsi" w:hAnsiTheme="minorHAnsi"/>
              <w:noProof/>
              <w:color w:val="auto"/>
              <w:kern w:val="2"/>
              <w:sz w:val="24"/>
              <w:lang w:eastAsia="en-AU"/>
              <w14:ligatures w14:val="standardContextual"/>
            </w:rPr>
          </w:pPr>
          <w:hyperlink w:anchor="_Toc159945300" w:history="1">
            <w:r w:rsidR="009300C9" w:rsidRPr="00D658E6">
              <w:rPr>
                <w:rStyle w:val="Hyperlink"/>
                <w:noProof/>
              </w:rPr>
              <w:t>Appendix A</w:t>
            </w:r>
          </w:hyperlink>
        </w:p>
        <w:p w14:paraId="37AFF6AD" w14:textId="5E97BD58" w:rsidR="009300C9" w:rsidRDefault="00FE4078">
          <w:pPr>
            <w:pStyle w:val="TOC2"/>
            <w:rPr>
              <w:rFonts w:asciiTheme="minorHAnsi" w:hAnsiTheme="minorHAnsi"/>
              <w:noProof/>
              <w:color w:val="auto"/>
              <w:kern w:val="2"/>
              <w:sz w:val="24"/>
              <w:lang w:eastAsia="en-AU"/>
              <w14:ligatures w14:val="standardContextual"/>
            </w:rPr>
          </w:pPr>
          <w:hyperlink w:anchor="_Toc159945301" w:history="1">
            <w:r w:rsidR="009300C9" w:rsidRPr="00D658E6">
              <w:rPr>
                <w:rStyle w:val="Hyperlink"/>
                <w:noProof/>
              </w:rPr>
              <w:t>Committee on the Rights of the Child, ‘General Comment No. 24 on children’s rights in the child justice system</w:t>
            </w:r>
            <w:r w:rsidR="009B343F">
              <w:rPr>
                <w:rStyle w:val="Hyperlink"/>
                <w:noProof/>
              </w:rPr>
              <w:t>’</w:t>
            </w:r>
            <w:r w:rsidR="009300C9" w:rsidRPr="00D658E6">
              <w:rPr>
                <w:rStyle w:val="Hyperlink"/>
                <w:noProof/>
              </w:rPr>
              <w:t xml:space="preserve"> (2019)</w:t>
            </w:r>
          </w:hyperlink>
          <w:r w:rsidR="009B343F">
            <w:rPr>
              <w:rFonts w:asciiTheme="minorHAnsi" w:hAnsiTheme="minorHAnsi"/>
              <w:noProof/>
              <w:color w:val="auto"/>
              <w:kern w:val="2"/>
              <w:sz w:val="24"/>
              <w:lang w:eastAsia="en-AU"/>
              <w14:ligatures w14:val="standardContextual"/>
            </w:rPr>
            <w:t xml:space="preserve"> </w:t>
          </w:r>
        </w:p>
        <w:p w14:paraId="749713C0" w14:textId="0927ECC7" w:rsidR="009300C9" w:rsidRDefault="00FE4078">
          <w:pPr>
            <w:pStyle w:val="TOC1"/>
            <w:rPr>
              <w:rFonts w:asciiTheme="minorHAnsi" w:hAnsiTheme="minorHAnsi"/>
              <w:noProof/>
              <w:color w:val="auto"/>
              <w:kern w:val="2"/>
              <w:sz w:val="24"/>
              <w:lang w:eastAsia="en-AU"/>
              <w14:ligatures w14:val="standardContextual"/>
            </w:rPr>
          </w:pPr>
          <w:hyperlink w:anchor="_Toc159945302" w:history="1">
            <w:r w:rsidR="009300C9" w:rsidRPr="00D658E6">
              <w:rPr>
                <w:rStyle w:val="Hyperlink"/>
                <w:noProof/>
              </w:rPr>
              <w:t>Appendix B</w:t>
            </w:r>
          </w:hyperlink>
        </w:p>
        <w:p w14:paraId="62DDA2D6" w14:textId="68592B6C" w:rsidR="009300C9" w:rsidRDefault="00FE4078">
          <w:pPr>
            <w:pStyle w:val="TOC2"/>
            <w:rPr>
              <w:rFonts w:asciiTheme="minorHAnsi" w:hAnsiTheme="minorHAnsi"/>
              <w:noProof/>
              <w:color w:val="auto"/>
              <w:kern w:val="2"/>
              <w:sz w:val="24"/>
              <w:lang w:eastAsia="en-AU"/>
              <w14:ligatures w14:val="standardContextual"/>
            </w:rPr>
          </w:pPr>
          <w:hyperlink w:anchor="_Toc159945303" w:history="1">
            <w:r w:rsidR="009300C9" w:rsidRPr="00D658E6">
              <w:rPr>
                <w:rStyle w:val="Hyperlink"/>
                <w:noProof/>
              </w:rPr>
              <w:t xml:space="preserve">Queensland Human Rights Commission, ‘Putting Queensland Kids First: Consultation Draft’ (Submission to Department of the Premier and Cabinet, </w:t>
            </w:r>
            <w:r w:rsidR="002218BA">
              <w:rPr>
                <w:rStyle w:val="Hyperlink"/>
                <w:noProof/>
              </w:rPr>
              <w:t xml:space="preserve">21 </w:t>
            </w:r>
            <w:r w:rsidR="009300C9" w:rsidRPr="00D658E6">
              <w:rPr>
                <w:rStyle w:val="Hyperlink"/>
                <w:noProof/>
              </w:rPr>
              <w:t>February 2024)</w:t>
            </w:r>
          </w:hyperlink>
          <w:r w:rsidR="009B343F">
            <w:rPr>
              <w:rFonts w:asciiTheme="minorHAnsi" w:hAnsiTheme="minorHAnsi"/>
              <w:noProof/>
              <w:color w:val="auto"/>
              <w:kern w:val="2"/>
              <w:sz w:val="24"/>
              <w:lang w:eastAsia="en-AU"/>
              <w14:ligatures w14:val="standardContextual"/>
            </w:rPr>
            <w:t xml:space="preserve"> </w:t>
          </w:r>
        </w:p>
        <w:p w14:paraId="73E263C8" w14:textId="6BBCCFC5" w:rsidR="00A16356" w:rsidRPr="00041E58" w:rsidRDefault="00A16356" w:rsidP="00466216">
          <w:pPr>
            <w:spacing w:before="120"/>
            <w:rPr>
              <w:rFonts w:cs="Arial"/>
            </w:rPr>
          </w:pPr>
          <w:r w:rsidRPr="00041E58">
            <w:rPr>
              <w:rFonts w:cs="Arial"/>
              <w:b/>
              <w:bCs/>
              <w:noProof/>
            </w:rPr>
            <w:fldChar w:fldCharType="end"/>
          </w:r>
        </w:p>
      </w:sdtContent>
    </w:sdt>
    <w:p w14:paraId="4F1AF747" w14:textId="77777777" w:rsidR="004A2375" w:rsidRDefault="004A2375">
      <w:pPr>
        <w:rPr>
          <w:rFonts w:eastAsiaTheme="majorEastAsia" w:cstheme="majorBidi"/>
          <w:b/>
          <w:color w:val="365F91" w:themeColor="accent1" w:themeShade="BF"/>
          <w:sz w:val="28"/>
          <w:szCs w:val="32"/>
        </w:rPr>
        <w:sectPr w:rsidR="004A2375" w:rsidSect="003E723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15A570B5" w14:textId="77777777" w:rsidR="00F5290B" w:rsidRPr="005C69C9" w:rsidRDefault="00F5290B" w:rsidP="005C69C9">
      <w:pPr>
        <w:pStyle w:val="Heading1"/>
      </w:pPr>
      <w:bookmarkStart w:id="3" w:name="_Toc159945289"/>
      <w:r w:rsidRPr="005C69C9">
        <w:lastRenderedPageBreak/>
        <w:t>Introduction</w:t>
      </w:r>
      <w:bookmarkEnd w:id="3"/>
      <w:r w:rsidRPr="005C69C9">
        <w:t xml:space="preserve"> </w:t>
      </w:r>
    </w:p>
    <w:p w14:paraId="5E519719" w14:textId="7029B2C7" w:rsidR="002A3591" w:rsidRPr="002A3591" w:rsidRDefault="002A3591" w:rsidP="002A3591">
      <w:pPr>
        <w:pStyle w:val="Numberedparagraph"/>
        <w:rPr>
          <w:lang w:val="en-US"/>
        </w:rPr>
      </w:pPr>
      <w:r w:rsidRPr="002A3591">
        <w:t xml:space="preserve">On 12 </w:t>
      </w:r>
      <w:r w:rsidRPr="002A3591">
        <w:rPr>
          <w:lang w:val="en-US"/>
        </w:rPr>
        <w:t>October</w:t>
      </w:r>
      <w:r w:rsidRPr="002A3591">
        <w:t xml:space="preserve"> 2023 the Youth Justice Reform Select Committee</w:t>
      </w:r>
      <w:r>
        <w:t xml:space="preserve"> (the </w:t>
      </w:r>
      <w:r w:rsidR="00142788" w:rsidRPr="00142788">
        <w:rPr>
          <w:b/>
          <w:bCs/>
        </w:rPr>
        <w:t>Select</w:t>
      </w:r>
      <w:r w:rsidR="00142788">
        <w:t xml:space="preserve"> </w:t>
      </w:r>
      <w:r w:rsidRPr="002A3591">
        <w:rPr>
          <w:b/>
          <w:bCs/>
        </w:rPr>
        <w:t>Committee</w:t>
      </w:r>
      <w:r>
        <w:t>)</w:t>
      </w:r>
      <w:r w:rsidRPr="002A3591">
        <w:t xml:space="preserve"> was established to conduct an inquiry to examine ongoing reforms to the youth justice system and support for victims of crime.</w:t>
      </w:r>
      <w:r>
        <w:t xml:space="preserve"> </w:t>
      </w:r>
    </w:p>
    <w:p w14:paraId="632A54B8" w14:textId="767E45E3" w:rsidR="002A3591" w:rsidRPr="002A3591" w:rsidRDefault="002A3591" w:rsidP="00B61FE5">
      <w:pPr>
        <w:pStyle w:val="Numberedparagraph"/>
        <w:rPr>
          <w:lang w:val="en-US"/>
        </w:rPr>
      </w:pPr>
      <w:r>
        <w:t>The Queensland Human Rights Commission (</w:t>
      </w:r>
      <w:r w:rsidR="00180677">
        <w:t xml:space="preserve">the </w:t>
      </w:r>
      <w:r w:rsidRPr="002A3591">
        <w:rPr>
          <w:b/>
          <w:bCs/>
        </w:rPr>
        <w:t>Commission</w:t>
      </w:r>
      <w:r>
        <w:t xml:space="preserve">) made a submission to the </w:t>
      </w:r>
      <w:r w:rsidR="00180677">
        <w:t xml:space="preserve">Select </w:t>
      </w:r>
      <w:r>
        <w:t xml:space="preserve">Committee on 15 November 2023, </w:t>
      </w:r>
      <w:r w:rsidRPr="002A3591">
        <w:rPr>
          <w:lang w:val="en-US"/>
        </w:rPr>
        <w:t xml:space="preserve">and the Human Rights Commissioner, Scott McDougall, gave evidence to the </w:t>
      </w:r>
      <w:r w:rsidR="00180677">
        <w:rPr>
          <w:lang w:val="en-US"/>
        </w:rPr>
        <w:t xml:space="preserve">Select </w:t>
      </w:r>
      <w:r w:rsidRPr="002A3591">
        <w:rPr>
          <w:lang w:val="en-US"/>
        </w:rPr>
        <w:t xml:space="preserve">Committee on </w:t>
      </w:r>
      <w:r w:rsidR="00B62F53">
        <w:rPr>
          <w:lang w:val="en-US"/>
        </w:rPr>
        <w:t>24 November</w:t>
      </w:r>
      <w:r w:rsidRPr="002A3591">
        <w:rPr>
          <w:lang w:val="en-US"/>
        </w:rPr>
        <w:t xml:space="preserve"> 2023.</w:t>
      </w:r>
    </w:p>
    <w:p w14:paraId="25F0D4D3" w14:textId="5037E8AA" w:rsidR="004776B8" w:rsidRDefault="002A3591" w:rsidP="001102CE">
      <w:pPr>
        <w:pStyle w:val="Numberedparagraph"/>
        <w:rPr>
          <w:lang w:val="en-US"/>
        </w:rPr>
      </w:pPr>
      <w:r w:rsidRPr="00CF4C88">
        <w:rPr>
          <w:lang w:val="en-US"/>
        </w:rPr>
        <w:t xml:space="preserve">This submission responds to the </w:t>
      </w:r>
      <w:r w:rsidR="00A20DE1">
        <w:rPr>
          <w:lang w:val="en-US"/>
        </w:rPr>
        <w:t xml:space="preserve">Select </w:t>
      </w:r>
      <w:r w:rsidRPr="00CF4C88">
        <w:rPr>
          <w:lang w:val="en-US"/>
        </w:rPr>
        <w:t xml:space="preserve">Committee’s call for further submissions on </w:t>
      </w:r>
      <w:r w:rsidR="00B62F53">
        <w:rPr>
          <w:lang w:val="en-US"/>
        </w:rPr>
        <w:t>identified</w:t>
      </w:r>
      <w:r w:rsidRPr="00CF4C88">
        <w:rPr>
          <w:lang w:val="en-US"/>
        </w:rPr>
        <w:t xml:space="preserve"> priority areas. </w:t>
      </w:r>
      <w:r w:rsidR="00CF4C88" w:rsidRPr="00CF4C88">
        <w:rPr>
          <w:lang w:val="en-US"/>
        </w:rPr>
        <w:t>Rather than repeating</w:t>
      </w:r>
      <w:r w:rsidRPr="00CF4C88">
        <w:rPr>
          <w:lang w:val="en-US"/>
        </w:rPr>
        <w:t xml:space="preserve"> evidence already provided to the </w:t>
      </w:r>
      <w:r w:rsidR="00A20DE1">
        <w:rPr>
          <w:lang w:val="en-US"/>
        </w:rPr>
        <w:t xml:space="preserve">Select </w:t>
      </w:r>
      <w:r w:rsidRPr="00CF4C88">
        <w:rPr>
          <w:lang w:val="en-US"/>
        </w:rPr>
        <w:t>Committee</w:t>
      </w:r>
      <w:r w:rsidR="00CF4C88" w:rsidRPr="00CF4C88">
        <w:rPr>
          <w:lang w:val="en-US"/>
        </w:rPr>
        <w:t>, in this submission the Commission</w:t>
      </w:r>
      <w:r w:rsidR="004776B8">
        <w:rPr>
          <w:lang w:val="en-US"/>
        </w:rPr>
        <w:t xml:space="preserve"> provides:</w:t>
      </w:r>
    </w:p>
    <w:p w14:paraId="03616C05" w14:textId="0ECD4F87" w:rsidR="004776B8" w:rsidRDefault="004776B8" w:rsidP="004776B8">
      <w:pPr>
        <w:pStyle w:val="Bulletedlist"/>
        <w:rPr>
          <w:lang w:val="en-US"/>
        </w:rPr>
      </w:pPr>
      <w:r>
        <w:rPr>
          <w:lang w:val="en-US"/>
        </w:rPr>
        <w:t>a copy of another recent submission that the Commission has made to the Department of the Premier and Cabinet on a whole-of-government strategy for children, relevant to the first priority area</w:t>
      </w:r>
    </w:p>
    <w:p w14:paraId="3CB1EA42" w14:textId="328F9CE4" w:rsidR="004776B8" w:rsidRDefault="00B73D64" w:rsidP="004776B8">
      <w:pPr>
        <w:pStyle w:val="Bulletedlist"/>
        <w:rPr>
          <w:lang w:val="en-US"/>
        </w:rPr>
      </w:pPr>
      <w:r>
        <w:rPr>
          <w:lang w:val="en-US"/>
        </w:rPr>
        <w:t xml:space="preserve">specific </w:t>
      </w:r>
      <w:r w:rsidR="004776B8">
        <w:rPr>
          <w:lang w:val="en-US"/>
        </w:rPr>
        <w:t>references to</w:t>
      </w:r>
      <w:r w:rsidR="00180677">
        <w:rPr>
          <w:lang w:val="en-US"/>
        </w:rPr>
        <w:t xml:space="preserve"> select</w:t>
      </w:r>
      <w:r w:rsidR="00701E7A">
        <w:rPr>
          <w:lang w:val="en-US"/>
        </w:rPr>
        <w:t xml:space="preserve"> document</w:t>
      </w:r>
      <w:r w:rsidR="00180677">
        <w:rPr>
          <w:lang w:val="en-US"/>
        </w:rPr>
        <w:t>s</w:t>
      </w:r>
      <w:r w:rsidR="00701E7A">
        <w:rPr>
          <w:lang w:val="en-US"/>
        </w:rPr>
        <w:t xml:space="preserve"> </w:t>
      </w:r>
      <w:r w:rsidR="00CF4C88">
        <w:rPr>
          <w:lang w:val="en-US"/>
        </w:rPr>
        <w:t>issued by United Nations</w:t>
      </w:r>
      <w:r w:rsidR="00180677">
        <w:rPr>
          <w:lang w:val="en-US"/>
        </w:rPr>
        <w:t xml:space="preserve"> </w:t>
      </w:r>
      <w:r w:rsidR="00396FFB">
        <w:rPr>
          <w:lang w:val="en-US"/>
        </w:rPr>
        <w:t>(</w:t>
      </w:r>
      <w:r w:rsidR="00396FFB" w:rsidRPr="00396FFB">
        <w:rPr>
          <w:b/>
          <w:bCs/>
          <w:lang w:val="en-US"/>
        </w:rPr>
        <w:t>UN</w:t>
      </w:r>
      <w:r w:rsidR="00396FFB">
        <w:rPr>
          <w:lang w:val="en-US"/>
        </w:rPr>
        <w:t xml:space="preserve">) </w:t>
      </w:r>
      <w:r w:rsidR="00180677" w:rsidRPr="00396FFB">
        <w:rPr>
          <w:lang w:val="en-US"/>
        </w:rPr>
        <w:t>human</w:t>
      </w:r>
      <w:r w:rsidR="00180677">
        <w:rPr>
          <w:lang w:val="en-US"/>
        </w:rPr>
        <w:t xml:space="preserve"> rights expert bodies </w:t>
      </w:r>
      <w:r w:rsidR="004776B8">
        <w:rPr>
          <w:lang w:val="en-US"/>
        </w:rPr>
        <w:t xml:space="preserve">relevant </w:t>
      </w:r>
      <w:r w:rsidR="00180677">
        <w:rPr>
          <w:lang w:val="en-US"/>
        </w:rPr>
        <w:t xml:space="preserve">to </w:t>
      </w:r>
      <w:r w:rsidR="004776B8">
        <w:rPr>
          <w:lang w:val="en-US"/>
        </w:rPr>
        <w:t>the priority areas</w:t>
      </w:r>
      <w:r w:rsidR="00180677">
        <w:rPr>
          <w:lang w:val="en-US"/>
        </w:rPr>
        <w:t xml:space="preserve">, in particular a document issued by the Committee on the Rights of the Child (the </w:t>
      </w:r>
      <w:r w:rsidR="00180677" w:rsidRPr="00180677">
        <w:rPr>
          <w:b/>
          <w:bCs/>
          <w:lang w:val="en-US"/>
        </w:rPr>
        <w:t>CRC</w:t>
      </w:r>
      <w:r w:rsidR="00180677">
        <w:rPr>
          <w:lang w:val="en-US"/>
        </w:rPr>
        <w:t xml:space="preserve">) </w:t>
      </w:r>
      <w:r w:rsidR="00180677" w:rsidRPr="00180677">
        <w:rPr>
          <w:lang w:val="en-US"/>
        </w:rPr>
        <w:t>concerning</w:t>
      </w:r>
      <w:r w:rsidR="00180677">
        <w:rPr>
          <w:lang w:val="en-US"/>
        </w:rPr>
        <w:t xml:space="preserve"> child justice systems</w:t>
      </w:r>
      <w:r w:rsidR="00CF4C88">
        <w:rPr>
          <w:lang w:val="en-US"/>
        </w:rPr>
        <w:t xml:space="preserve">. </w:t>
      </w:r>
    </w:p>
    <w:p w14:paraId="0F4EA71F" w14:textId="4EC1D3DB" w:rsidR="002A3591" w:rsidRDefault="0019730B" w:rsidP="001102CE">
      <w:pPr>
        <w:pStyle w:val="Numberedparagraph"/>
        <w:rPr>
          <w:lang w:val="en-US"/>
        </w:rPr>
      </w:pPr>
      <w:r w:rsidRPr="00CF4C88">
        <w:rPr>
          <w:lang w:val="en-US"/>
        </w:rPr>
        <w:t xml:space="preserve">As </w:t>
      </w:r>
      <w:r w:rsidR="00CF4C88">
        <w:rPr>
          <w:lang w:val="en-US"/>
        </w:rPr>
        <w:t xml:space="preserve">the body tasked with overseeing implementation of states’ obligations under the Convention on the Rights of the Child, with experience across a wide range of countries and legal systems, the CRC is </w:t>
      </w:r>
      <w:r w:rsidRPr="00CF4C88">
        <w:rPr>
          <w:lang w:val="en-US"/>
        </w:rPr>
        <w:t>well placed to contribute to the</w:t>
      </w:r>
      <w:r w:rsidR="001B568B" w:rsidRPr="00CF4C88">
        <w:rPr>
          <w:lang w:val="en-US"/>
        </w:rPr>
        <w:t xml:space="preserve"> </w:t>
      </w:r>
      <w:r w:rsidR="00A20DE1">
        <w:rPr>
          <w:lang w:val="en-US"/>
        </w:rPr>
        <w:t xml:space="preserve">Select </w:t>
      </w:r>
      <w:r w:rsidR="001B568B" w:rsidRPr="00CF4C88">
        <w:rPr>
          <w:lang w:val="en-US"/>
        </w:rPr>
        <w:t xml:space="preserve">Committee’s understanding of how </w:t>
      </w:r>
      <w:r w:rsidRPr="00CF4C88">
        <w:rPr>
          <w:lang w:val="en-US"/>
        </w:rPr>
        <w:t xml:space="preserve">the human </w:t>
      </w:r>
      <w:r w:rsidR="001B568B" w:rsidRPr="00CF4C88">
        <w:rPr>
          <w:lang w:val="en-US"/>
        </w:rPr>
        <w:t>rights</w:t>
      </w:r>
      <w:r w:rsidRPr="00CF4C88">
        <w:rPr>
          <w:lang w:val="en-US"/>
        </w:rPr>
        <w:t xml:space="preserve"> of all</w:t>
      </w:r>
      <w:r w:rsidR="001B568B" w:rsidRPr="00CF4C88">
        <w:rPr>
          <w:lang w:val="en-US"/>
        </w:rPr>
        <w:t xml:space="preserve"> can best be protected and promoted</w:t>
      </w:r>
      <w:r w:rsidRPr="00CF4C88">
        <w:rPr>
          <w:lang w:val="en-US"/>
        </w:rPr>
        <w:t xml:space="preserve"> in </w:t>
      </w:r>
      <w:r w:rsidR="00701E7A">
        <w:rPr>
          <w:lang w:val="en-US"/>
        </w:rPr>
        <w:t>the priority areas identified</w:t>
      </w:r>
      <w:r w:rsidRPr="00CF4C88">
        <w:rPr>
          <w:lang w:val="en-US"/>
        </w:rPr>
        <w:t>.</w:t>
      </w:r>
    </w:p>
    <w:p w14:paraId="77BA7CB5" w14:textId="7B1B9243" w:rsidR="005D736B" w:rsidRDefault="008041AD" w:rsidP="001102CE">
      <w:pPr>
        <w:pStyle w:val="Numberedparagraph"/>
        <w:rPr>
          <w:lang w:val="en-US"/>
        </w:rPr>
      </w:pPr>
      <w:r>
        <w:rPr>
          <w:lang w:val="en-US"/>
        </w:rPr>
        <w:t>Further background information about the Commission and the relevance of human rights to the Inquiry is provided further below</w:t>
      </w:r>
      <w:r w:rsidR="005D736B">
        <w:rPr>
          <w:lang w:val="en-US"/>
        </w:rPr>
        <w:t xml:space="preserve"> at paragraphs [</w:t>
      </w:r>
      <w:r w:rsidR="00B62F53">
        <w:rPr>
          <w:lang w:val="en-US"/>
        </w:rPr>
        <w:fldChar w:fldCharType="begin"/>
      </w:r>
      <w:r w:rsidR="00B62F53">
        <w:rPr>
          <w:lang w:val="en-US"/>
        </w:rPr>
        <w:instrText xml:space="preserve"> REF _Ref159856214 \r \h </w:instrText>
      </w:r>
      <w:r w:rsidR="00B62F53">
        <w:rPr>
          <w:lang w:val="en-US"/>
        </w:rPr>
      </w:r>
      <w:r w:rsidR="00B62F53">
        <w:rPr>
          <w:lang w:val="en-US"/>
        </w:rPr>
        <w:fldChar w:fldCharType="separate"/>
      </w:r>
      <w:r w:rsidR="001821D0">
        <w:rPr>
          <w:lang w:val="en-US"/>
        </w:rPr>
        <w:t>26</w:t>
      </w:r>
      <w:r w:rsidR="00B62F53">
        <w:rPr>
          <w:lang w:val="en-US"/>
        </w:rPr>
        <w:fldChar w:fldCharType="end"/>
      </w:r>
      <w:r w:rsidR="005D736B">
        <w:rPr>
          <w:lang w:val="en-US"/>
        </w:rPr>
        <w:t>]—[</w:t>
      </w:r>
      <w:r w:rsidR="00B62F53">
        <w:rPr>
          <w:lang w:val="en-US"/>
        </w:rPr>
        <w:fldChar w:fldCharType="begin"/>
      </w:r>
      <w:r w:rsidR="00B62F53">
        <w:rPr>
          <w:lang w:val="en-US"/>
        </w:rPr>
        <w:instrText xml:space="preserve"> REF _Ref159856236 \r \h </w:instrText>
      </w:r>
      <w:r w:rsidR="00B62F53">
        <w:rPr>
          <w:lang w:val="en-US"/>
        </w:rPr>
      </w:r>
      <w:r w:rsidR="00B62F53">
        <w:rPr>
          <w:lang w:val="en-US"/>
        </w:rPr>
        <w:fldChar w:fldCharType="separate"/>
      </w:r>
      <w:r w:rsidR="001821D0">
        <w:rPr>
          <w:lang w:val="en-US"/>
        </w:rPr>
        <w:t>30</w:t>
      </w:r>
      <w:r w:rsidR="00B62F53">
        <w:rPr>
          <w:lang w:val="en-US"/>
        </w:rPr>
        <w:fldChar w:fldCharType="end"/>
      </w:r>
      <w:r w:rsidR="005D736B">
        <w:rPr>
          <w:lang w:val="en-US"/>
        </w:rPr>
        <w:t>]</w:t>
      </w:r>
      <w:r>
        <w:rPr>
          <w:lang w:val="en-US"/>
        </w:rPr>
        <w:t xml:space="preserve">. </w:t>
      </w:r>
    </w:p>
    <w:p w14:paraId="4B081B96" w14:textId="2B5B9EC2" w:rsidR="00F42CAA" w:rsidRDefault="00DF695A" w:rsidP="00F42CAA">
      <w:pPr>
        <w:pStyle w:val="Heading1"/>
        <w:rPr>
          <w:lang w:val="en-US"/>
        </w:rPr>
      </w:pPr>
      <w:bookmarkStart w:id="4" w:name="_Toc159945290"/>
      <w:r>
        <w:rPr>
          <w:lang w:val="en-US"/>
        </w:rPr>
        <w:t>Human rights and guidance from UN Bodies</w:t>
      </w:r>
      <w:bookmarkEnd w:id="4"/>
    </w:p>
    <w:p w14:paraId="7A837F45" w14:textId="1F2DA9AD" w:rsidR="004776B8" w:rsidRPr="004776B8" w:rsidRDefault="004776B8" w:rsidP="005D736B">
      <w:pPr>
        <w:pStyle w:val="Numberedparagraph"/>
        <w:rPr>
          <w:lang w:val="en-US"/>
        </w:rPr>
      </w:pPr>
      <w:r>
        <w:rPr>
          <w:lang w:val="en-US"/>
        </w:rPr>
        <w:t xml:space="preserve">The </w:t>
      </w:r>
      <w:r>
        <w:rPr>
          <w:i/>
          <w:iCs/>
          <w:lang w:val="en-US"/>
        </w:rPr>
        <w:t>Human Rights Act 2019</w:t>
      </w:r>
      <w:r>
        <w:rPr>
          <w:lang w:val="en-US"/>
        </w:rPr>
        <w:t xml:space="preserve"> (Qld) (</w:t>
      </w:r>
      <w:r w:rsidR="00180677">
        <w:rPr>
          <w:lang w:val="en-US"/>
        </w:rPr>
        <w:t xml:space="preserve">the </w:t>
      </w:r>
      <w:r>
        <w:rPr>
          <w:b/>
          <w:bCs/>
          <w:lang w:val="en-US"/>
        </w:rPr>
        <w:t xml:space="preserve">Human Rights </w:t>
      </w:r>
      <w:r w:rsidRPr="00AB76CC">
        <w:rPr>
          <w:b/>
          <w:bCs/>
          <w:lang w:val="en-US"/>
        </w:rPr>
        <w:t>Act</w:t>
      </w:r>
      <w:r>
        <w:rPr>
          <w:lang w:val="en-US"/>
        </w:rPr>
        <w:t xml:space="preserve">) </w:t>
      </w:r>
      <w:r w:rsidRPr="00AB76CC">
        <w:t>consolidates</w:t>
      </w:r>
      <w:r>
        <w:t xml:space="preserve"> and establishes statutory protections for certain rights recognised under international law.</w:t>
      </w:r>
      <w:r w:rsidRPr="004776B8">
        <w:t xml:space="preserve"> </w:t>
      </w:r>
      <w:r>
        <w:t>In this Inquiry, the rights of victims of crime, children and young people, and those working in the youth justice system are particularly relevant (noting that some of these categories can overlap). The aim must be to maximise the rights of all involved in a way that is consistent with the Human Rights Act, read in light of Australia’s international obligations.</w:t>
      </w:r>
    </w:p>
    <w:p w14:paraId="2DF385A1" w14:textId="401F4399" w:rsidR="00B73D64" w:rsidRPr="00B73D64" w:rsidRDefault="004776B8" w:rsidP="005D736B">
      <w:pPr>
        <w:pStyle w:val="Numberedparagraph"/>
        <w:rPr>
          <w:lang w:val="en-US"/>
        </w:rPr>
      </w:pPr>
      <w:r>
        <w:t>Numerous rights</w:t>
      </w:r>
      <w:r w:rsidR="00B73D64">
        <w:t xml:space="preserve"> protected under the Human Rights Act</w:t>
      </w:r>
      <w:r>
        <w:t xml:space="preserve"> are </w:t>
      </w:r>
      <w:r w:rsidR="00B73D64">
        <w:t>importan</w:t>
      </w:r>
      <w:r>
        <w:t>t</w:t>
      </w:r>
      <w:r w:rsidR="00B73D64">
        <w:t xml:space="preserve"> in</w:t>
      </w:r>
      <w:r>
        <w:t xml:space="preserve"> this inquiry, including the right to life</w:t>
      </w:r>
      <w:r w:rsidR="00B73D64">
        <w:t>, security of the person,</w:t>
      </w:r>
      <w:r>
        <w:t xml:space="preserve"> and to property of those potentially impacted by crime</w:t>
      </w:r>
      <w:r w:rsidR="00B73D64">
        <w:t xml:space="preserve">, and rights to equality, liberty, freedom from torture or ill-treatment, fair trial rights, cultural rights and access to education and health for </w:t>
      </w:r>
      <w:r w:rsidR="002C2A35">
        <w:t xml:space="preserve">children and </w:t>
      </w:r>
      <w:r w:rsidR="00B73D64">
        <w:t>young people.</w:t>
      </w:r>
      <w:r>
        <w:t xml:space="preserve">  </w:t>
      </w:r>
      <w:r w:rsidR="00B73D64">
        <w:t xml:space="preserve">Given the Inquiry’s focus on the Youth Justice system, two specific rights are particularly relevant: </w:t>
      </w:r>
    </w:p>
    <w:p w14:paraId="38CC27C4" w14:textId="1BD399DA" w:rsidR="00B73D64" w:rsidRPr="00B73D64" w:rsidRDefault="00B73D64" w:rsidP="00B73D64">
      <w:pPr>
        <w:pStyle w:val="Bulletedlist"/>
        <w:rPr>
          <w:lang w:val="en-US"/>
        </w:rPr>
      </w:pPr>
      <w:r>
        <w:lastRenderedPageBreak/>
        <w:t xml:space="preserve">the rights that children have, without discrimination, to the protection that is needed by them as children, and that is in their best interests (s 26) </w:t>
      </w:r>
    </w:p>
    <w:p w14:paraId="17B611A4" w14:textId="4C1EB6C8" w:rsidR="004776B8" w:rsidRPr="004776B8" w:rsidRDefault="00B73D64" w:rsidP="00B73D64">
      <w:pPr>
        <w:pStyle w:val="Bulletedlist"/>
        <w:rPr>
          <w:lang w:val="en-US"/>
        </w:rPr>
      </w:pPr>
      <w:r>
        <w:t xml:space="preserve">the specific rights of children in the criminal process (s 33). </w:t>
      </w:r>
      <w:r w:rsidR="004776B8">
        <w:t xml:space="preserve"> </w:t>
      </w:r>
    </w:p>
    <w:p w14:paraId="3675D7D9" w14:textId="2F3CD600" w:rsidR="00D64402" w:rsidRDefault="00DF695A" w:rsidP="005D736B">
      <w:pPr>
        <w:pStyle w:val="Numberedparagraph"/>
        <w:rPr>
          <w:lang w:val="en-US"/>
        </w:rPr>
      </w:pPr>
      <w:r>
        <w:rPr>
          <w:lang w:val="en-US"/>
        </w:rPr>
        <w:t xml:space="preserve">To help </w:t>
      </w:r>
      <w:r w:rsidR="005077E4">
        <w:rPr>
          <w:lang w:val="en-US"/>
        </w:rPr>
        <w:t>S</w:t>
      </w:r>
      <w:r>
        <w:rPr>
          <w:lang w:val="en-US"/>
        </w:rPr>
        <w:t>tates to fulfil their obligations to protect human rights, the core international human rights treaties establish committees made up of independent experts. These committees</w:t>
      </w:r>
      <w:r w:rsidR="003911D1">
        <w:rPr>
          <w:lang w:val="en-US"/>
        </w:rPr>
        <w:t>, known as Treaty Bodies,</w:t>
      </w:r>
      <w:r>
        <w:rPr>
          <w:lang w:val="en-US"/>
        </w:rPr>
        <w:t xml:space="preserve"> monitor implementation of a particular human rights treaty and give guidance to </w:t>
      </w:r>
      <w:r w:rsidR="005077E4">
        <w:rPr>
          <w:lang w:val="en-US"/>
        </w:rPr>
        <w:t>S</w:t>
      </w:r>
      <w:r>
        <w:rPr>
          <w:lang w:val="en-US"/>
        </w:rPr>
        <w:t xml:space="preserve">tates, including through issuing official documents known as General Comments (or General Recommendations) which provide detailed consideration of how human rights </w:t>
      </w:r>
      <w:r w:rsidR="005077E4">
        <w:rPr>
          <w:lang w:val="en-US"/>
        </w:rPr>
        <w:t>apply and intersect</w:t>
      </w:r>
      <w:r>
        <w:rPr>
          <w:lang w:val="en-US"/>
        </w:rPr>
        <w:t xml:space="preserve"> in particular areas.</w:t>
      </w:r>
      <w:r w:rsidR="002C2A35">
        <w:rPr>
          <w:lang w:val="en-US"/>
        </w:rPr>
        <w:t xml:space="preserve"> </w:t>
      </w:r>
      <w:r w:rsidR="003911D1">
        <w:rPr>
          <w:lang w:val="en-US"/>
        </w:rPr>
        <w:t xml:space="preserve">The </w:t>
      </w:r>
      <w:r w:rsidR="00396FFB">
        <w:rPr>
          <w:lang w:val="en-US"/>
        </w:rPr>
        <w:t>UN</w:t>
      </w:r>
      <w:r w:rsidR="003911D1">
        <w:rPr>
          <w:lang w:val="en-US"/>
        </w:rPr>
        <w:t xml:space="preserve"> Human Rights Council also appoints independent human rights experts</w:t>
      </w:r>
      <w:r w:rsidR="00D64402">
        <w:rPr>
          <w:lang w:val="en-US"/>
        </w:rPr>
        <w:t xml:space="preserve"> (including Special Rapporteurs)</w:t>
      </w:r>
      <w:r w:rsidR="003911D1">
        <w:rPr>
          <w:lang w:val="en-US"/>
        </w:rPr>
        <w:t xml:space="preserve"> with mandates to report and advise on particular human rights. </w:t>
      </w:r>
    </w:p>
    <w:p w14:paraId="3B6618A5" w14:textId="02880008" w:rsidR="00DF695A" w:rsidRDefault="003911D1" w:rsidP="005D736B">
      <w:pPr>
        <w:pStyle w:val="Numberedparagraph"/>
        <w:rPr>
          <w:lang w:val="en-US"/>
        </w:rPr>
      </w:pPr>
      <w:r>
        <w:rPr>
          <w:lang w:val="en-US"/>
        </w:rPr>
        <w:t xml:space="preserve">Official documents by UN Treaty Bodies and Special Rapporteurs </w:t>
      </w:r>
      <w:r w:rsidR="002C2A35">
        <w:rPr>
          <w:lang w:val="en-US"/>
        </w:rPr>
        <w:t xml:space="preserve">can assist the Select Committee in its consideration of how </w:t>
      </w:r>
      <w:r>
        <w:rPr>
          <w:lang w:val="en-US"/>
        </w:rPr>
        <w:t xml:space="preserve">rights protected under </w:t>
      </w:r>
      <w:r w:rsidR="002C2A35">
        <w:rPr>
          <w:lang w:val="en-US"/>
        </w:rPr>
        <w:t>the Human Rights Act can best be implemented in the context of the Youth Justice system.</w:t>
      </w:r>
    </w:p>
    <w:p w14:paraId="560B9C0C" w14:textId="0CE3CE9F" w:rsidR="00DF695A" w:rsidRDefault="00DF695A" w:rsidP="00DF695A">
      <w:pPr>
        <w:pStyle w:val="Heading1"/>
        <w:rPr>
          <w:lang w:val="en-US"/>
        </w:rPr>
      </w:pPr>
      <w:bookmarkStart w:id="5" w:name="_Toc159945291"/>
      <w:r>
        <w:rPr>
          <w:lang w:val="en-US"/>
        </w:rPr>
        <w:t>General Comment on the child justice system (2019)</w:t>
      </w:r>
      <w:bookmarkEnd w:id="5"/>
    </w:p>
    <w:p w14:paraId="7CEEED5A" w14:textId="1071E0A0" w:rsidR="004776B8" w:rsidRDefault="003911D1" w:rsidP="005D736B">
      <w:pPr>
        <w:pStyle w:val="Numberedparagraph"/>
        <w:rPr>
          <w:lang w:val="en-US"/>
        </w:rPr>
      </w:pPr>
      <w:r>
        <w:rPr>
          <w:lang w:val="en-US"/>
        </w:rPr>
        <w:t xml:space="preserve">The CRC is a </w:t>
      </w:r>
      <w:r w:rsidR="00142788">
        <w:rPr>
          <w:lang w:val="en-US"/>
        </w:rPr>
        <w:t xml:space="preserve">treaty body </w:t>
      </w:r>
      <w:r w:rsidR="00DF695A">
        <w:rPr>
          <w:lang w:val="en-US"/>
        </w:rPr>
        <w:t>with particular expertise in the area the focus of this inquiry</w:t>
      </w:r>
      <w:r w:rsidR="005077E4">
        <w:rPr>
          <w:lang w:val="en-US"/>
        </w:rPr>
        <w:t>. It</w:t>
      </w:r>
      <w:r w:rsidR="00DF695A">
        <w:rPr>
          <w:lang w:val="en-US"/>
        </w:rPr>
        <w:t xml:space="preserve"> monitors implementation of the Convention on the Rights of the Child</w:t>
      </w:r>
      <w:r w:rsidR="00142788">
        <w:rPr>
          <w:lang w:val="en-US"/>
        </w:rPr>
        <w:t>, which Australia signed in 1990</w:t>
      </w:r>
      <w:r w:rsidR="00DF695A">
        <w:rPr>
          <w:lang w:val="en-US"/>
        </w:rPr>
        <w:t xml:space="preserve">. In 2019 </w:t>
      </w:r>
      <w:r w:rsidR="00142788">
        <w:rPr>
          <w:lang w:val="en-US"/>
        </w:rPr>
        <w:t>the CRC</w:t>
      </w:r>
      <w:r w:rsidR="00DF695A">
        <w:rPr>
          <w:lang w:val="en-US"/>
        </w:rPr>
        <w:t xml:space="preserve"> issued </w:t>
      </w:r>
      <w:r w:rsidR="00DF695A" w:rsidRPr="00F64C48">
        <w:rPr>
          <w:i/>
          <w:iCs/>
          <w:lang w:val="en-US"/>
        </w:rPr>
        <w:t>General Comment No. 24 on children’s rights in the child justice system</w:t>
      </w:r>
      <w:r w:rsidR="005077E4">
        <w:rPr>
          <w:lang w:val="en-US"/>
        </w:rPr>
        <w:t xml:space="preserve"> (</w:t>
      </w:r>
      <w:r w:rsidR="005077E4">
        <w:rPr>
          <w:b/>
          <w:bCs/>
          <w:lang w:val="en-US"/>
        </w:rPr>
        <w:t>General Comment No 24</w:t>
      </w:r>
      <w:r w:rsidR="005077E4">
        <w:rPr>
          <w:lang w:val="en-US"/>
        </w:rPr>
        <w:t>)</w:t>
      </w:r>
      <w:r w:rsidR="00DF695A">
        <w:rPr>
          <w:lang w:val="en-US"/>
        </w:rPr>
        <w:t>.</w:t>
      </w:r>
      <w:r w:rsidR="00763506">
        <w:rPr>
          <w:rStyle w:val="FootnoteReference"/>
          <w:lang w:val="en-US"/>
        </w:rPr>
        <w:footnoteReference w:id="2"/>
      </w:r>
      <w:r w:rsidR="00DF695A">
        <w:rPr>
          <w:lang w:val="en-US"/>
        </w:rPr>
        <w:t xml:space="preserve"> </w:t>
      </w:r>
      <w:r w:rsidR="00142788">
        <w:rPr>
          <w:lang w:val="en-US"/>
        </w:rPr>
        <w:t>This touches on a number of issues relevant to the priority areas identified by the Select Committee.</w:t>
      </w:r>
    </w:p>
    <w:p w14:paraId="38743B0E" w14:textId="0CDCD550" w:rsidR="00DF695A" w:rsidRDefault="005077E4" w:rsidP="005D736B">
      <w:pPr>
        <w:pStyle w:val="Numberedparagraph"/>
        <w:rPr>
          <w:lang w:val="en-US"/>
        </w:rPr>
      </w:pPr>
      <w:r>
        <w:rPr>
          <w:lang w:val="en-US"/>
        </w:rPr>
        <w:t>General Comment No 24</w:t>
      </w:r>
      <w:r w:rsidR="00142788">
        <w:rPr>
          <w:lang w:val="en-US"/>
        </w:rPr>
        <w:t xml:space="preserve"> explains the </w:t>
      </w:r>
      <w:r w:rsidR="00097994">
        <w:rPr>
          <w:lang w:val="en-US"/>
        </w:rPr>
        <w:t>CRC</w:t>
      </w:r>
      <w:r w:rsidR="00142788">
        <w:rPr>
          <w:lang w:val="en-US"/>
        </w:rPr>
        <w:t>’s understanding of how children’s rights can best be implemented</w:t>
      </w:r>
      <w:r>
        <w:rPr>
          <w:lang w:val="en-US"/>
        </w:rPr>
        <w:t xml:space="preserve"> while promoting public safety. Its insights are</w:t>
      </w:r>
      <w:r w:rsidR="00142788">
        <w:rPr>
          <w:lang w:val="en-US"/>
        </w:rPr>
        <w:t xml:space="preserve"> </w:t>
      </w:r>
      <w:r>
        <w:rPr>
          <w:lang w:val="en-US"/>
        </w:rPr>
        <w:t>drawn from its</w:t>
      </w:r>
      <w:r w:rsidR="00142788">
        <w:rPr>
          <w:lang w:val="en-US"/>
        </w:rPr>
        <w:t xml:space="preserve"> review of practice across numerous states</w:t>
      </w:r>
      <w:r>
        <w:rPr>
          <w:lang w:val="en-US"/>
        </w:rPr>
        <w:t xml:space="preserve"> and</w:t>
      </w:r>
      <w:r w:rsidR="00142788">
        <w:rPr>
          <w:lang w:val="en-US"/>
        </w:rPr>
        <w:t xml:space="preserve"> experience in applying the Convention to individual complaints, and</w:t>
      </w:r>
      <w:r>
        <w:rPr>
          <w:lang w:val="en-US"/>
        </w:rPr>
        <w:t xml:space="preserve"> are</w:t>
      </w:r>
      <w:r w:rsidR="00142788">
        <w:rPr>
          <w:lang w:val="en-US"/>
        </w:rPr>
        <w:t xml:space="preserve"> informed by the views of </w:t>
      </w:r>
      <w:r w:rsidR="00FB3A9F">
        <w:rPr>
          <w:lang w:val="en-US"/>
        </w:rPr>
        <w:t>S</w:t>
      </w:r>
      <w:r w:rsidR="00142788">
        <w:rPr>
          <w:lang w:val="en-US"/>
        </w:rPr>
        <w:t xml:space="preserve">tates and non-governmental </w:t>
      </w:r>
      <w:proofErr w:type="spellStart"/>
      <w:r w:rsidR="00142788">
        <w:rPr>
          <w:lang w:val="en-US"/>
        </w:rPr>
        <w:t>organisations</w:t>
      </w:r>
      <w:proofErr w:type="spellEnd"/>
      <w:r w:rsidR="00142788">
        <w:rPr>
          <w:lang w:val="en-US"/>
        </w:rPr>
        <w:t xml:space="preserve"> during the drafting of the General Comment.</w:t>
      </w:r>
      <w:r w:rsidR="009C7569">
        <w:rPr>
          <w:rStyle w:val="FootnoteReference"/>
          <w:lang w:val="en-US"/>
        </w:rPr>
        <w:footnoteReference w:id="3"/>
      </w:r>
      <w:r w:rsidR="00142788">
        <w:rPr>
          <w:lang w:val="en-US"/>
        </w:rPr>
        <w:t xml:space="preserve"> This General Comment replaces a previous document, from 2007, reflecting </w:t>
      </w:r>
    </w:p>
    <w:p w14:paraId="0F7814AE" w14:textId="363A8676" w:rsidR="00142788" w:rsidRDefault="00142788" w:rsidP="00142788">
      <w:pPr>
        <w:pStyle w:val="Quote"/>
        <w:rPr>
          <w:lang w:val="en-US"/>
        </w:rPr>
      </w:pPr>
      <w:r>
        <w:t>the developments that have occurred since 2007 as a result of the promulgation of international and regional standards, the Committee’s jurisprudence, new knowledge about child and adolescent development, and evidence of effective practices, including those relating to restorative justice.</w:t>
      </w:r>
      <w:r>
        <w:rPr>
          <w:rStyle w:val="FootnoteReference"/>
        </w:rPr>
        <w:footnoteReference w:id="4"/>
      </w:r>
    </w:p>
    <w:p w14:paraId="7BCCE8B9" w14:textId="426A18F1" w:rsidR="00142788" w:rsidRDefault="00142788" w:rsidP="00142788">
      <w:pPr>
        <w:pStyle w:val="Numberedparagraph"/>
        <w:rPr>
          <w:lang w:val="en-US"/>
        </w:rPr>
      </w:pPr>
      <w:r>
        <w:rPr>
          <w:lang w:val="en-US"/>
        </w:rPr>
        <w:lastRenderedPageBreak/>
        <w:t xml:space="preserve">At the outset, </w:t>
      </w:r>
      <w:r w:rsidR="005077E4">
        <w:rPr>
          <w:lang w:val="en-US"/>
        </w:rPr>
        <w:t>General Comment No 24</w:t>
      </w:r>
      <w:r>
        <w:rPr>
          <w:lang w:val="en-US"/>
        </w:rPr>
        <w:t xml:space="preserve"> notes that there are </w:t>
      </w:r>
      <w:r w:rsidR="005077E4">
        <w:rPr>
          <w:lang w:val="en-US"/>
        </w:rPr>
        <w:t>important</w:t>
      </w:r>
      <w:r>
        <w:rPr>
          <w:lang w:val="en-US"/>
        </w:rPr>
        <w:t xml:space="preserve"> reasons to approach child justice differently to </w:t>
      </w:r>
      <w:r w:rsidR="005077E4">
        <w:rPr>
          <w:lang w:val="en-US"/>
        </w:rPr>
        <w:t xml:space="preserve">the </w:t>
      </w:r>
      <w:r>
        <w:rPr>
          <w:lang w:val="en-US"/>
        </w:rPr>
        <w:t>adult justice system:</w:t>
      </w:r>
    </w:p>
    <w:p w14:paraId="7F0903E1" w14:textId="77777777" w:rsidR="00142788" w:rsidRDefault="00142788" w:rsidP="00142788">
      <w:pPr>
        <w:pStyle w:val="Quote"/>
        <w:rPr>
          <w:rFonts w:ascii="Times New Roman" w:hAnsi="Times New Roman"/>
          <w:color w:val="auto"/>
          <w:lang w:val="en-US"/>
        </w:rPr>
      </w:pPr>
      <w:r>
        <w:rPr>
          <w:lang w:val="en-US"/>
        </w:rPr>
        <w:t>Children differ from adults in their physical and psychological development. Such differences constitute the basis for the recognition of lesser culpability, and for a separate system with a differentiated, individualized approach. Exposure to the criminal justice system has been demonstrated to cause harm to children, limiting their chances of becoming responsible adults.</w:t>
      </w:r>
      <w:r>
        <w:rPr>
          <w:rStyle w:val="FootnoteReference"/>
          <w:lang w:val="en-US"/>
        </w:rPr>
        <w:footnoteReference w:id="5"/>
      </w:r>
    </w:p>
    <w:p w14:paraId="17E6C68D" w14:textId="7B4BB0BD" w:rsidR="00142788" w:rsidRPr="002305B8" w:rsidRDefault="00A20DE1" w:rsidP="00142788">
      <w:pPr>
        <w:pStyle w:val="Numberedparagraph"/>
      </w:pPr>
      <w:r>
        <w:rPr>
          <w:lang w:val="en-US"/>
        </w:rPr>
        <w:t>Like the Select Committee, t</w:t>
      </w:r>
      <w:r w:rsidR="00142788">
        <w:rPr>
          <w:lang w:val="en-US"/>
        </w:rPr>
        <w:t xml:space="preserve">he </w:t>
      </w:r>
      <w:r>
        <w:rPr>
          <w:lang w:val="en-US"/>
        </w:rPr>
        <w:t>CRC</w:t>
      </w:r>
      <w:r w:rsidR="00142788">
        <w:rPr>
          <w:lang w:val="en-US"/>
        </w:rPr>
        <w:t xml:space="preserve"> </w:t>
      </w:r>
      <w:proofErr w:type="spellStart"/>
      <w:r w:rsidR="00142788">
        <w:rPr>
          <w:lang w:val="en-US"/>
        </w:rPr>
        <w:t>recognises</w:t>
      </w:r>
      <w:proofErr w:type="spellEnd"/>
      <w:r w:rsidR="00142788">
        <w:rPr>
          <w:lang w:val="en-US"/>
        </w:rPr>
        <w:t xml:space="preserve"> the importance of preserving public safety as a legitimate aim of the justice system</w:t>
      </w:r>
      <w:r>
        <w:rPr>
          <w:lang w:val="en-US"/>
        </w:rPr>
        <w:t>.</w:t>
      </w:r>
      <w:r>
        <w:rPr>
          <w:rStyle w:val="FootnoteReference"/>
          <w:lang w:val="en-US"/>
        </w:rPr>
        <w:footnoteReference w:id="6"/>
      </w:r>
      <w:r w:rsidR="00142788">
        <w:rPr>
          <w:lang w:val="en-US"/>
        </w:rPr>
        <w:t xml:space="preserve"> </w:t>
      </w:r>
      <w:r>
        <w:rPr>
          <w:lang w:val="en-US"/>
        </w:rPr>
        <w:t xml:space="preserve">It </w:t>
      </w:r>
      <w:r w:rsidR="00142788">
        <w:rPr>
          <w:lang w:val="en-US"/>
        </w:rPr>
        <w:t>notes that an approach that respects the rights of children as enshrined in the Convention on the Rights of the Child (including always treating children in a manner consistent with the promotion of the child’s sense of dignity and worth</w:t>
      </w:r>
      <w:r w:rsidR="005077E4">
        <w:rPr>
          <w:rStyle w:val="FootnoteReference"/>
          <w:lang w:val="en-US"/>
        </w:rPr>
        <w:footnoteReference w:id="7"/>
      </w:r>
      <w:r w:rsidR="00142788">
        <w:rPr>
          <w:lang w:val="en-US"/>
        </w:rPr>
        <w:t>) tends to be matched by a decrease in the prevalence of crime committed by children.</w:t>
      </w:r>
      <w:r w:rsidR="00142788">
        <w:rPr>
          <w:rStyle w:val="FootnoteReference"/>
          <w:lang w:val="en-US"/>
        </w:rPr>
        <w:footnoteReference w:id="8"/>
      </w:r>
      <w:r w:rsidR="00142788">
        <w:rPr>
          <w:lang w:val="en-US"/>
        </w:rPr>
        <w:t xml:space="preserve">  </w:t>
      </w:r>
    </w:p>
    <w:p w14:paraId="1A08E9DD" w14:textId="15EE2083" w:rsidR="005D736B" w:rsidRPr="00CF4C88" w:rsidRDefault="005D736B" w:rsidP="005D736B">
      <w:pPr>
        <w:pStyle w:val="Numberedparagraph"/>
        <w:rPr>
          <w:lang w:val="en-US"/>
        </w:rPr>
      </w:pPr>
      <w:r>
        <w:rPr>
          <w:lang w:val="en-US"/>
        </w:rPr>
        <w:t xml:space="preserve">A full copy of the CRC’s </w:t>
      </w:r>
      <w:r>
        <w:rPr>
          <w:i/>
          <w:iCs/>
          <w:lang w:val="en-US"/>
        </w:rPr>
        <w:t xml:space="preserve">General Comment No 24 (2019) on children’s rights in the child justice system </w:t>
      </w:r>
      <w:r>
        <w:rPr>
          <w:lang w:val="en-US"/>
        </w:rPr>
        <w:t xml:space="preserve">is attached as </w:t>
      </w:r>
      <w:r w:rsidRPr="00B52542">
        <w:rPr>
          <w:b/>
          <w:bCs/>
          <w:lang w:val="en-US"/>
        </w:rPr>
        <w:t>Appendix</w:t>
      </w:r>
      <w:r w:rsidR="00A20DE1" w:rsidRPr="00B52542">
        <w:rPr>
          <w:b/>
          <w:bCs/>
          <w:lang w:val="en-US"/>
        </w:rPr>
        <w:t xml:space="preserve"> A</w:t>
      </w:r>
      <w:r>
        <w:rPr>
          <w:lang w:val="en-US"/>
        </w:rPr>
        <w:t>.</w:t>
      </w:r>
      <w:r w:rsidR="00142788">
        <w:rPr>
          <w:lang w:val="en-US"/>
        </w:rPr>
        <w:t xml:space="preserve"> The remainder of the submission references specific sections relevant to identified priority areas.</w:t>
      </w:r>
    </w:p>
    <w:p w14:paraId="5A60D3D4" w14:textId="259172E8" w:rsidR="000C1AA1" w:rsidRDefault="006A7934" w:rsidP="000C1AA1">
      <w:pPr>
        <w:pStyle w:val="Heading1"/>
        <w:rPr>
          <w:lang w:val="en-US"/>
        </w:rPr>
      </w:pPr>
      <w:bookmarkStart w:id="6" w:name="_Toc159945292"/>
      <w:r>
        <w:rPr>
          <w:lang w:val="en-US"/>
        </w:rPr>
        <w:t xml:space="preserve">CRC </w:t>
      </w:r>
      <w:r w:rsidR="00C1596E">
        <w:rPr>
          <w:lang w:val="en-US"/>
        </w:rPr>
        <w:t>statements</w:t>
      </w:r>
      <w:r>
        <w:rPr>
          <w:lang w:val="en-US"/>
        </w:rPr>
        <w:t xml:space="preserve"> relevant to identified priority areas</w:t>
      </w:r>
      <w:bookmarkEnd w:id="6"/>
    </w:p>
    <w:p w14:paraId="20CF1E30" w14:textId="054D6CFC" w:rsidR="002E5437" w:rsidRDefault="00A12B4A" w:rsidP="002305B8">
      <w:pPr>
        <w:pStyle w:val="Heading2"/>
      </w:pPr>
      <w:bookmarkStart w:id="7" w:name="_Toc159945293"/>
      <w:r>
        <w:t>1. A whole of government strategy</w:t>
      </w:r>
      <w:bookmarkEnd w:id="7"/>
      <w:r>
        <w:t xml:space="preserve"> </w:t>
      </w:r>
    </w:p>
    <w:p w14:paraId="5AE8749E" w14:textId="200C4E5B" w:rsidR="00A12B4A" w:rsidRPr="00BB0AF5" w:rsidRDefault="00A12B4A" w:rsidP="00A12B4A">
      <w:pPr>
        <w:rPr>
          <w:b/>
          <w:bCs/>
        </w:rPr>
      </w:pPr>
      <w:r w:rsidRPr="00BB0AF5">
        <w:rPr>
          <w:b/>
          <w:bCs/>
          <w:i/>
          <w:iCs/>
        </w:rPr>
        <w:t>A 10-year strategy for youth justice in Queensland that engages all government agencies and community organisations which deliver services along the youth justice service continuum.</w:t>
      </w:r>
    </w:p>
    <w:p w14:paraId="28F47249" w14:textId="667009B2" w:rsidR="00A12B4A" w:rsidRDefault="00856AC1" w:rsidP="00EB2A56">
      <w:pPr>
        <w:pStyle w:val="Numberedparagraph"/>
      </w:pPr>
      <w:r>
        <w:t>General Comment</w:t>
      </w:r>
      <w:r w:rsidR="00286DBF">
        <w:t xml:space="preserve"> No</w:t>
      </w:r>
      <w:r>
        <w:t xml:space="preserve"> 24 places great emphasis on the need for early, coordinated, multidisciplinary responses to prevent and respond to children’s involvement in the child justice system (see relevant extracts in next section, below).</w:t>
      </w:r>
    </w:p>
    <w:p w14:paraId="529183F9" w14:textId="4A5A4A78" w:rsidR="00856AC1" w:rsidRDefault="00856AC1" w:rsidP="00EB2A56">
      <w:pPr>
        <w:pStyle w:val="Numberedparagraph"/>
      </w:pPr>
      <w:r>
        <w:t xml:space="preserve">The Commission is supportive of a long-term whole-of-government strategy that coordinates action between all relevant agencies relating to Youth Justice. However, such a strategy must be aligned with broader prevention and early intervention measures reaching children and young people as early as possible. In this respect any youth justice strategy must be fully aligned with, or part of, a broader government children’s plan. We attach </w:t>
      </w:r>
      <w:r w:rsidR="00B52542">
        <w:t xml:space="preserve">as </w:t>
      </w:r>
      <w:r w:rsidR="00B52542" w:rsidRPr="00B52542">
        <w:rPr>
          <w:b/>
          <w:bCs/>
        </w:rPr>
        <w:t>Appendix B</w:t>
      </w:r>
      <w:r w:rsidR="00B52542">
        <w:t xml:space="preserve"> </w:t>
      </w:r>
      <w:r>
        <w:t xml:space="preserve">our recent submission to the Department of the Premier and Cabinet on its draft </w:t>
      </w:r>
      <w:r w:rsidRPr="00B52542">
        <w:rPr>
          <w:i/>
          <w:iCs/>
        </w:rPr>
        <w:t>Putting Queensland Kids First</w:t>
      </w:r>
      <w:r>
        <w:t xml:space="preserve"> </w:t>
      </w:r>
      <w:r w:rsidR="00A31ACD">
        <w:t>strategy</w:t>
      </w:r>
      <w:r>
        <w:t xml:space="preserve">. In it, the Commission recommends, among other things, that any such strategy should </w:t>
      </w:r>
    </w:p>
    <w:p w14:paraId="2BA17956" w14:textId="0445CA6F" w:rsidR="00856AC1" w:rsidRDefault="00856AC1" w:rsidP="00856AC1">
      <w:pPr>
        <w:pStyle w:val="Bulletedlist"/>
      </w:pPr>
      <w:r w:rsidRPr="00EE1A9B">
        <w:t>establish mechanisms to ensure existing and future legislation, policies</w:t>
      </w:r>
      <w:r>
        <w:t>,</w:t>
      </w:r>
      <w:r w:rsidRPr="00EE1A9B">
        <w:t xml:space="preserve"> and practices do not frustrate the objectives of the </w:t>
      </w:r>
      <w:r w:rsidR="00A31ACD">
        <w:t>strategy</w:t>
      </w:r>
    </w:p>
    <w:p w14:paraId="0BCCE6D9" w14:textId="77777777" w:rsidR="00856AC1" w:rsidRDefault="00856AC1" w:rsidP="00856AC1">
      <w:pPr>
        <w:pStyle w:val="Bulletedlist"/>
      </w:pPr>
      <w:r>
        <w:lastRenderedPageBreak/>
        <w:t>centre the role of human rights in underpinning responsibilities to children and families, and in providing minimum standards to be achieved</w:t>
      </w:r>
    </w:p>
    <w:p w14:paraId="3820B141" w14:textId="77777777" w:rsidR="00856AC1" w:rsidRDefault="00856AC1" w:rsidP="00434F20">
      <w:pPr>
        <w:pStyle w:val="Bulletedlist"/>
      </w:pPr>
      <w:r>
        <w:t xml:space="preserve">widen the scope of identified priorities to include maintaining engagement in schooling, addressing racism in schools, investing in schools to support </w:t>
      </w:r>
      <w:r w:rsidRPr="005F1806">
        <w:t xml:space="preserve">strong cultural practices and </w:t>
      </w:r>
      <w:r>
        <w:t>a positive sense of cultural identity, and responding therapeutically to challenging behaviours</w:t>
      </w:r>
    </w:p>
    <w:p w14:paraId="03742135" w14:textId="77777777" w:rsidR="00856AC1" w:rsidRDefault="00856AC1" w:rsidP="00856AC1">
      <w:pPr>
        <w:pStyle w:val="Bulletedlist"/>
      </w:pPr>
      <w:r>
        <w:t xml:space="preserve">require the development of an implementation roadmap of </w:t>
      </w:r>
      <w:r w:rsidRPr="00EE1A9B">
        <w:t xml:space="preserve">immediate, medium-term, and long-term </w:t>
      </w:r>
      <w:r>
        <w:t>activities with clearly assigned responsibilities and timelines</w:t>
      </w:r>
    </w:p>
    <w:p w14:paraId="3C8A95DE" w14:textId="77777777" w:rsidR="00856AC1" w:rsidRDefault="00856AC1" w:rsidP="00856AC1">
      <w:pPr>
        <w:pStyle w:val="Bulletedlist"/>
      </w:pPr>
      <w:r w:rsidRPr="008C7FBF">
        <w:t xml:space="preserve">establish outcomes and key indicators against which progress </w:t>
      </w:r>
      <w:r>
        <w:t>is</w:t>
      </w:r>
      <w:r w:rsidRPr="008C7FBF">
        <w:t xml:space="preserve"> measured</w:t>
      </w:r>
    </w:p>
    <w:p w14:paraId="57D4F4DD" w14:textId="56B734FF" w:rsidR="00856AC1" w:rsidRDefault="00856AC1" w:rsidP="00856AC1">
      <w:pPr>
        <w:pStyle w:val="Bulletedlist"/>
      </w:pPr>
      <w:r w:rsidRPr="00EE1A9B">
        <w:t>require publication of data on implementation in a coordinated and easily accessible format</w:t>
      </w:r>
      <w:r>
        <w:t>.</w:t>
      </w:r>
    </w:p>
    <w:p w14:paraId="59004BBC" w14:textId="0AB6EE61" w:rsidR="00856AC1" w:rsidRPr="00A12B4A" w:rsidRDefault="00856AC1" w:rsidP="005F529E">
      <w:pPr>
        <w:pStyle w:val="Numberedparagraph"/>
      </w:pPr>
      <w:r w:rsidRPr="0070652F">
        <w:rPr>
          <w:lang w:val="en-US"/>
        </w:rPr>
        <w:t>As previously raised in its submission to the Select Committee, the Commission also recommend</w:t>
      </w:r>
      <w:r w:rsidR="0070652F" w:rsidRPr="0070652F">
        <w:rPr>
          <w:lang w:val="en-US"/>
        </w:rPr>
        <w:t>ed in its submission on the</w:t>
      </w:r>
      <w:r w:rsidR="00A31ACD">
        <w:rPr>
          <w:lang w:val="en-US"/>
        </w:rPr>
        <w:t xml:space="preserve"> draft</w:t>
      </w:r>
      <w:r w:rsidR="0070652F" w:rsidRPr="0070652F">
        <w:rPr>
          <w:lang w:val="en-US"/>
        </w:rPr>
        <w:t xml:space="preserve"> </w:t>
      </w:r>
      <w:r w:rsidR="0070652F" w:rsidRPr="00A31ACD">
        <w:rPr>
          <w:i/>
          <w:iCs/>
          <w:lang w:val="en-US"/>
        </w:rPr>
        <w:t>Putting Queensland Kids First</w:t>
      </w:r>
      <w:r w:rsidR="0070652F" w:rsidRPr="0070652F">
        <w:rPr>
          <w:lang w:val="en-US"/>
        </w:rPr>
        <w:t xml:space="preserve"> </w:t>
      </w:r>
      <w:r w:rsidR="00A31ACD">
        <w:rPr>
          <w:lang w:val="en-US"/>
        </w:rPr>
        <w:t>strategy</w:t>
      </w:r>
      <w:r w:rsidRPr="0070652F">
        <w:rPr>
          <w:lang w:val="en-US"/>
        </w:rPr>
        <w:t xml:space="preserve"> that the Queensland Government </w:t>
      </w:r>
      <w:r>
        <w:t>a</w:t>
      </w:r>
      <w:r w:rsidRPr="00EE1A9B">
        <w:t>ppoint</w:t>
      </w:r>
      <w:r w:rsidRPr="0070652F">
        <w:rPr>
          <w:lang w:val="en-US"/>
        </w:rPr>
        <w:t xml:space="preserve"> a Minister for Children and Families with a standalone department that has sufficient authority to </w:t>
      </w:r>
      <w:r w:rsidRPr="0070652F">
        <w:t>coordinate</w:t>
      </w:r>
      <w:r w:rsidRPr="0070652F">
        <w:rPr>
          <w:lang w:val="en-US"/>
        </w:rPr>
        <w:t xml:space="preserve"> strategies across multiple portfolios. </w:t>
      </w:r>
      <w:r w:rsidR="0070652F">
        <w:rPr>
          <w:lang w:val="en-US"/>
        </w:rPr>
        <w:t>This is necessary to ensure alignment and coordination between broader, universal prevention and intervention work, and targeted support arising out of direct involvement with the Youth Justice system.</w:t>
      </w:r>
    </w:p>
    <w:p w14:paraId="75D4E458" w14:textId="44CA9EA9" w:rsidR="002E5437" w:rsidRDefault="002E5437" w:rsidP="002E5437">
      <w:pPr>
        <w:pStyle w:val="Heading2"/>
      </w:pPr>
      <w:bookmarkStart w:id="8" w:name="_Toc159945294"/>
      <w:r>
        <w:t xml:space="preserve">2. </w:t>
      </w:r>
      <w:r w:rsidR="00A12B4A">
        <w:t>A</w:t>
      </w:r>
      <w:r>
        <w:t>ssessment, intervention and prevention strategies</w:t>
      </w:r>
      <w:bookmarkEnd w:id="8"/>
    </w:p>
    <w:p w14:paraId="1C392F2C" w14:textId="24CCD39D" w:rsidR="00A12B4A" w:rsidRDefault="00A12B4A" w:rsidP="00A12B4A">
      <w:pPr>
        <w:rPr>
          <w:i/>
          <w:iCs/>
        </w:rPr>
      </w:pPr>
      <w:r w:rsidRPr="00BB0AF5">
        <w:rPr>
          <w:b/>
          <w:bCs/>
          <w:i/>
          <w:iCs/>
        </w:rPr>
        <w:t>How to instigate earlier assessment, intervention and prevention strategies that support children and their families to access health, education, housing and other services</w:t>
      </w:r>
      <w:r w:rsidRPr="00A12B4A">
        <w:rPr>
          <w:i/>
          <w:iCs/>
        </w:rPr>
        <w:t>.</w:t>
      </w:r>
    </w:p>
    <w:p w14:paraId="5E5E3684" w14:textId="1BE483DB" w:rsidR="00D82A1B" w:rsidRPr="00D82A1B" w:rsidRDefault="00D82A1B" w:rsidP="00D82A1B">
      <w:pPr>
        <w:pStyle w:val="Numberedparagraph"/>
      </w:pPr>
      <w:r>
        <w:t xml:space="preserve">General Comment </w:t>
      </w:r>
      <w:r w:rsidR="00A31ACD">
        <w:t xml:space="preserve">No </w:t>
      </w:r>
      <w:r>
        <w:t xml:space="preserve">24 emphasises the importance of identifying root causes of children’s involvement in the criminal justice system, and gives guidance as to how early intervention and prevention strategies should be designed and delivered, including through diversion when children are above the age of criminal responsibility: </w:t>
      </w:r>
    </w:p>
    <w:p w14:paraId="77444D56" w14:textId="00ABEAE0" w:rsidR="005B3E28" w:rsidRPr="005B3E28" w:rsidRDefault="005B3E28" w:rsidP="005B3E28">
      <w:pPr>
        <w:pStyle w:val="Quote"/>
        <w:rPr>
          <w:rFonts w:ascii="Times New Roman" w:hAnsi="Times New Roman"/>
          <w:b/>
          <w:bCs/>
          <w:color w:val="auto"/>
          <w:sz w:val="24"/>
          <w:lang w:val="en-US"/>
        </w:rPr>
      </w:pPr>
      <w:r w:rsidRPr="005B3E28">
        <w:rPr>
          <w:b/>
          <w:bCs/>
        </w:rPr>
        <w:t>A.</w:t>
      </w:r>
      <w:r w:rsidRPr="005B3E28">
        <w:rPr>
          <w:b/>
          <w:bCs/>
        </w:rPr>
        <w:tab/>
        <w:t>Prevention of child offending, including early intervention directed at children below the minimum age of criminal responsibility</w:t>
      </w:r>
    </w:p>
    <w:p w14:paraId="1257C6F1" w14:textId="77777777" w:rsidR="005B3E28" w:rsidRDefault="005B3E28" w:rsidP="005B3E28">
      <w:pPr>
        <w:pStyle w:val="Quote"/>
        <w:rPr>
          <w:lang w:val="en-US"/>
        </w:rPr>
      </w:pPr>
      <w:r>
        <w:rPr>
          <w:lang w:val="en-US"/>
        </w:rPr>
        <w:t>9.</w:t>
      </w:r>
      <w:r>
        <w:rPr>
          <w:lang w:val="en-US"/>
        </w:rPr>
        <w:tab/>
        <w:t xml:space="preserve">States parties should consult the United Nations Model Strategies and Practical Measures on the Elimination of Violence against Children in the Field of Crime Prevention and Criminal Justice and comparative national and international research on root causes of children’s involvement in the child justice system and undertake their own research to inform the development of a prevention strategy. </w:t>
      </w:r>
      <w:r w:rsidRPr="00D82A1B">
        <w:rPr>
          <w:b/>
          <w:bCs/>
          <w:shd w:val="clear" w:color="auto" w:fill="FFFFFF"/>
        </w:rPr>
        <w:t>Research has demonstrated that intensive family- and community-based treatment programmes designed to make positive changes in aspects of the various social systems (home, school, community, peer relations) that contribute to the serious behavioural difficulties of children reduce the risk of children coming into child justice systems.</w:t>
      </w:r>
      <w:r w:rsidRPr="00D82A1B">
        <w:rPr>
          <w:b/>
          <w:bCs/>
          <w:lang w:val="en-US"/>
        </w:rPr>
        <w:t xml:space="preserve"> Prevention and early intervention </w:t>
      </w:r>
      <w:proofErr w:type="spellStart"/>
      <w:r w:rsidRPr="00D82A1B">
        <w:rPr>
          <w:b/>
          <w:bCs/>
          <w:lang w:val="en-US"/>
        </w:rPr>
        <w:t>programmes</w:t>
      </w:r>
      <w:proofErr w:type="spellEnd"/>
      <w:r w:rsidRPr="00D82A1B">
        <w:rPr>
          <w:b/>
          <w:bCs/>
          <w:lang w:val="en-US"/>
        </w:rPr>
        <w:t xml:space="preserve"> should be focused on support for families, in particular those in vulnerable situations or where violence occurs. Support should be provided to children at risk, particularly children who stop attending school, are excluded or </w:t>
      </w:r>
      <w:r w:rsidRPr="00D82A1B">
        <w:rPr>
          <w:b/>
          <w:bCs/>
        </w:rPr>
        <w:t>otherwise</w:t>
      </w:r>
      <w:r w:rsidRPr="00D82A1B">
        <w:rPr>
          <w:b/>
          <w:bCs/>
          <w:lang w:val="en-US"/>
        </w:rPr>
        <w:t xml:space="preserve"> do not complete their education. Peer group support and a strong involvement of </w:t>
      </w:r>
      <w:r w:rsidRPr="00D82A1B">
        <w:rPr>
          <w:b/>
          <w:bCs/>
          <w:lang w:val="en-US"/>
        </w:rPr>
        <w:lastRenderedPageBreak/>
        <w:t xml:space="preserve">parents are recommended. States parties should also develop community-based services and </w:t>
      </w:r>
      <w:proofErr w:type="spellStart"/>
      <w:r w:rsidRPr="00D82A1B">
        <w:rPr>
          <w:b/>
          <w:bCs/>
          <w:lang w:val="en-US"/>
        </w:rPr>
        <w:t>programmes</w:t>
      </w:r>
      <w:proofErr w:type="spellEnd"/>
      <w:r w:rsidRPr="00D82A1B">
        <w:rPr>
          <w:b/>
          <w:bCs/>
          <w:lang w:val="en-US"/>
        </w:rPr>
        <w:t xml:space="preserve"> that respond to the specific needs, problems, concerns and interests of children, and that provide appropriate counselling and guidance to their families</w:t>
      </w:r>
      <w:r>
        <w:rPr>
          <w:lang w:val="en-US"/>
        </w:rPr>
        <w:t>.</w:t>
      </w:r>
    </w:p>
    <w:p w14:paraId="4C77D834" w14:textId="77777777" w:rsidR="005B3E28" w:rsidRPr="00D82A1B" w:rsidRDefault="005B3E28" w:rsidP="005B3E28">
      <w:pPr>
        <w:pStyle w:val="Quote"/>
        <w:rPr>
          <w:b/>
          <w:bCs/>
          <w:lang w:val="en-US"/>
        </w:rPr>
      </w:pPr>
      <w:r>
        <w:rPr>
          <w:lang w:val="en-US"/>
        </w:rPr>
        <w:t>10.</w:t>
      </w:r>
      <w:r>
        <w:rPr>
          <w:lang w:val="en-US"/>
        </w:rPr>
        <w:tab/>
        <w:t xml:space="preserve">Articles 18 and 27 of the Convention confirm the importance of the responsibility of parents for the upbringing of their children, but at the same time the Convention requires States parties to provide the assistance to parents (or other caregivers) </w:t>
      </w:r>
      <w:r>
        <w:t>necessary</w:t>
      </w:r>
      <w:r>
        <w:rPr>
          <w:lang w:val="en-US"/>
        </w:rPr>
        <w:t xml:space="preserve"> to carry out their child-rearing responsibilities. </w:t>
      </w:r>
      <w:r w:rsidRPr="00D82A1B">
        <w:rPr>
          <w:b/>
          <w:bCs/>
          <w:lang w:val="en-US"/>
        </w:rPr>
        <w:t xml:space="preserve">Investment in early childhood care and education correlates with lower rates of future violence and crime. This can commence when the child is very young, for example with home visitation </w:t>
      </w:r>
      <w:proofErr w:type="spellStart"/>
      <w:r w:rsidRPr="00D82A1B">
        <w:rPr>
          <w:b/>
          <w:bCs/>
          <w:lang w:val="en-US"/>
        </w:rPr>
        <w:t>programmes</w:t>
      </w:r>
      <w:proofErr w:type="spellEnd"/>
      <w:r w:rsidRPr="00D82A1B">
        <w:rPr>
          <w:b/>
          <w:bCs/>
          <w:lang w:val="en-US"/>
        </w:rPr>
        <w:t xml:space="preserve"> to enhance parenting capacity. Measures of assistance should draw on the wealth of information on community and family-based prevention </w:t>
      </w:r>
      <w:proofErr w:type="spellStart"/>
      <w:r w:rsidRPr="00D82A1B">
        <w:rPr>
          <w:b/>
          <w:bCs/>
          <w:lang w:val="en-US"/>
        </w:rPr>
        <w:t>programmes</w:t>
      </w:r>
      <w:proofErr w:type="spellEnd"/>
      <w:r w:rsidRPr="00D82A1B">
        <w:rPr>
          <w:b/>
          <w:bCs/>
          <w:lang w:val="en-US"/>
        </w:rPr>
        <w:t xml:space="preserve">, such as </w:t>
      </w:r>
      <w:proofErr w:type="spellStart"/>
      <w:r w:rsidRPr="00D82A1B">
        <w:rPr>
          <w:b/>
          <w:bCs/>
          <w:lang w:val="en-US"/>
        </w:rPr>
        <w:t>programmes</w:t>
      </w:r>
      <w:proofErr w:type="spellEnd"/>
      <w:r w:rsidRPr="00D82A1B">
        <w:rPr>
          <w:b/>
          <w:bCs/>
          <w:lang w:val="en-US"/>
        </w:rPr>
        <w:t xml:space="preserve"> to improve parent-child interaction, partnerships with schools, positive peer association and cultural and leisure activities. </w:t>
      </w:r>
    </w:p>
    <w:p w14:paraId="2CAE15C3" w14:textId="77777777" w:rsidR="005B3E28" w:rsidRDefault="005B3E28" w:rsidP="005B3E28">
      <w:pPr>
        <w:pStyle w:val="Quote"/>
        <w:rPr>
          <w:lang w:val="en-US"/>
        </w:rPr>
      </w:pPr>
      <w:r>
        <w:rPr>
          <w:lang w:val="en-US"/>
        </w:rPr>
        <w:t>11.</w:t>
      </w:r>
      <w:r>
        <w:rPr>
          <w:lang w:val="en-US"/>
        </w:rPr>
        <w:tab/>
        <w:t xml:space="preserve">Early intervention for children who are below the </w:t>
      </w:r>
      <w:r>
        <w:t>minimum age of criminal responsibility</w:t>
      </w:r>
      <w:r>
        <w:rPr>
          <w:lang w:val="en-US"/>
        </w:rPr>
        <w:t xml:space="preserve"> requires </w:t>
      </w:r>
      <w:r w:rsidRPr="00D82A1B">
        <w:rPr>
          <w:b/>
          <w:bCs/>
          <w:lang w:val="en-US"/>
        </w:rPr>
        <w:t xml:space="preserve">child-friendly and multidisciplinary responses to the first signs of </w:t>
      </w:r>
      <w:proofErr w:type="spellStart"/>
      <w:r w:rsidRPr="00D82A1B">
        <w:rPr>
          <w:b/>
          <w:bCs/>
          <w:lang w:val="en-US"/>
        </w:rPr>
        <w:t>behaviour</w:t>
      </w:r>
      <w:proofErr w:type="spellEnd"/>
      <w:r w:rsidRPr="00D82A1B">
        <w:rPr>
          <w:b/>
          <w:bCs/>
          <w:lang w:val="en-US"/>
        </w:rPr>
        <w:t xml:space="preserve"> that would, if the child were above the </w:t>
      </w:r>
      <w:r w:rsidRPr="00D82A1B">
        <w:rPr>
          <w:b/>
          <w:bCs/>
        </w:rPr>
        <w:t>minimum age of criminal responsibility</w:t>
      </w:r>
      <w:r w:rsidRPr="00D82A1B">
        <w:rPr>
          <w:b/>
          <w:bCs/>
          <w:lang w:val="en-US"/>
        </w:rPr>
        <w:t>, be considered an offence.</w:t>
      </w:r>
      <w:r>
        <w:rPr>
          <w:lang w:val="en-US"/>
        </w:rPr>
        <w:t xml:space="preserve"> Evidence-based intervention </w:t>
      </w:r>
      <w:proofErr w:type="spellStart"/>
      <w:r>
        <w:rPr>
          <w:lang w:val="en-US"/>
        </w:rPr>
        <w:t>programmes</w:t>
      </w:r>
      <w:proofErr w:type="spellEnd"/>
      <w:r>
        <w:rPr>
          <w:lang w:val="en-US"/>
        </w:rPr>
        <w:t xml:space="preserve"> should be developed that reflect not only the multiple psychosocial causes of such </w:t>
      </w:r>
      <w:proofErr w:type="spellStart"/>
      <w:r>
        <w:rPr>
          <w:lang w:val="en-US"/>
        </w:rPr>
        <w:t>behaviour</w:t>
      </w:r>
      <w:proofErr w:type="spellEnd"/>
      <w:r>
        <w:rPr>
          <w:lang w:val="en-US"/>
        </w:rPr>
        <w:t>, but also the protective factors that may strengthen resilience</w:t>
      </w:r>
      <w:r w:rsidRPr="00D82A1B">
        <w:rPr>
          <w:b/>
          <w:bCs/>
          <w:lang w:val="en-US"/>
        </w:rPr>
        <w:t>. Interventions must be preceded by a comprehensive and interdisciplinary assessment of the child’s needs. As an absolute priority, children should be supported within their families and communities</w:t>
      </w:r>
      <w:r>
        <w:rPr>
          <w:lang w:val="en-US"/>
        </w:rPr>
        <w:t>. In the exceptional cases that require an out-of-home placement, such alternative care should preferably be in a family setting, although placement in residential care may be appropriate in some instances, to provide the necessary array of professional services. It is to be used only as a measure of last resort and for the shortest appropriate period of time and should be subject to judicial review.</w:t>
      </w:r>
    </w:p>
    <w:p w14:paraId="2D85AFA2" w14:textId="26156731" w:rsidR="005B3E28" w:rsidRDefault="00D82A1B" w:rsidP="005B3E28">
      <w:pPr>
        <w:pStyle w:val="Quote"/>
        <w:rPr>
          <w:lang w:val="en-US"/>
        </w:rPr>
      </w:pPr>
      <w:r>
        <w:rPr>
          <w:lang w:val="en-US"/>
        </w:rPr>
        <w:t>…</w:t>
      </w:r>
    </w:p>
    <w:p w14:paraId="68B227CB" w14:textId="423E4EC8" w:rsidR="005B3E28" w:rsidRPr="005B3E28" w:rsidRDefault="005B3E28" w:rsidP="005B3E28">
      <w:pPr>
        <w:pStyle w:val="Quote"/>
        <w:rPr>
          <w:rFonts w:ascii="Times New Roman" w:hAnsi="Times New Roman"/>
          <w:b/>
          <w:bCs/>
          <w:color w:val="auto"/>
          <w:sz w:val="24"/>
        </w:rPr>
      </w:pPr>
      <w:r w:rsidRPr="005B3E28">
        <w:rPr>
          <w:b/>
          <w:bCs/>
        </w:rPr>
        <w:t xml:space="preserve">Interventions for children above the minimum age of criminal responsibility </w:t>
      </w:r>
    </w:p>
    <w:p w14:paraId="15AD7E9A" w14:textId="77777777" w:rsidR="005B3E28" w:rsidRDefault="005B3E28" w:rsidP="005B3E28">
      <w:pPr>
        <w:pStyle w:val="Quote"/>
        <w:rPr>
          <w:lang w:val="en-US"/>
        </w:rPr>
      </w:pPr>
      <w:r>
        <w:rPr>
          <w:lang w:val="en-US"/>
        </w:rPr>
        <w:t>13.</w:t>
      </w:r>
      <w:r>
        <w:rPr>
          <w:lang w:val="en-US"/>
        </w:rPr>
        <w:tab/>
        <w:t xml:space="preserve">Under article 40 (3) (b) of the Convention, States parties are required to promote the establishment of measures for dealing with children without resorting to judicial proceedings, whenever appropriate. In practice, the measures generally fall into two categories: </w:t>
      </w:r>
    </w:p>
    <w:p w14:paraId="3BDE83FB" w14:textId="77777777" w:rsidR="005B3E28" w:rsidRDefault="005B3E28" w:rsidP="005B3E28">
      <w:pPr>
        <w:pStyle w:val="Quote"/>
        <w:rPr>
          <w:lang w:val="en-GB"/>
        </w:rPr>
      </w:pPr>
      <w:r>
        <w:t>(a)</w:t>
      </w:r>
      <w:r>
        <w:tab/>
        <w:t xml:space="preserve">Measures referring children away from the judicial system, any time prior to or during the relevant proceedings (diversion);  </w:t>
      </w:r>
    </w:p>
    <w:p w14:paraId="627A0A33" w14:textId="77777777" w:rsidR="005B3E28" w:rsidRDefault="005B3E28" w:rsidP="005B3E28">
      <w:pPr>
        <w:pStyle w:val="Quote"/>
      </w:pPr>
      <w:r>
        <w:t>(b)</w:t>
      </w:r>
      <w:r>
        <w:tab/>
        <w:t xml:space="preserve">Measures in the context of judicial proceedings. </w:t>
      </w:r>
    </w:p>
    <w:p w14:paraId="7EE63472" w14:textId="77777777" w:rsidR="005B3E28" w:rsidRDefault="005B3E28" w:rsidP="005B3E28">
      <w:pPr>
        <w:pStyle w:val="Quote"/>
      </w:pPr>
      <w:r>
        <w:t>14.</w:t>
      </w:r>
      <w:r>
        <w:tab/>
        <w:t xml:space="preserve">The Committee reminds States parties that, in applying measures under both categories of intervention, utmost care should be taken to </w:t>
      </w:r>
      <w:r>
        <w:lastRenderedPageBreak/>
        <w:t>ensure that the child’s human rights and legal safeguards are fully respected and protected.</w:t>
      </w:r>
    </w:p>
    <w:p w14:paraId="6076E529" w14:textId="1D7C9DB5" w:rsidR="005B3E28" w:rsidRPr="005B3E28" w:rsidRDefault="005B3E28" w:rsidP="005B3E28">
      <w:pPr>
        <w:pStyle w:val="Quote"/>
        <w:rPr>
          <w:b/>
          <w:bCs/>
          <w:i/>
          <w:iCs/>
        </w:rPr>
      </w:pPr>
      <w:r w:rsidRPr="005B3E28">
        <w:rPr>
          <w:b/>
          <w:bCs/>
          <w:i/>
          <w:iCs/>
        </w:rPr>
        <w:t xml:space="preserve">Interventions that avoid resorting to judicial proceedings </w:t>
      </w:r>
    </w:p>
    <w:p w14:paraId="4C423787" w14:textId="77777777" w:rsidR="005B3E28" w:rsidRDefault="005B3E28" w:rsidP="005B3E28">
      <w:pPr>
        <w:pStyle w:val="Quote"/>
        <w:rPr>
          <w:lang w:val="en-US"/>
        </w:rPr>
      </w:pPr>
      <w:r>
        <w:rPr>
          <w:lang w:val="en-US"/>
        </w:rPr>
        <w:t>15.</w:t>
      </w:r>
      <w:r>
        <w:rPr>
          <w:lang w:val="en-US"/>
        </w:rPr>
        <w:tab/>
        <w:t xml:space="preserve">Measures dealing with children that avoid resorting to judicial proceedings have been introduced into many systems around the world, and are generally referred to as diversion. </w:t>
      </w:r>
      <w:r w:rsidRPr="00D82A1B">
        <w:rPr>
          <w:b/>
          <w:bCs/>
          <w:lang w:val="en-US"/>
        </w:rPr>
        <w:t xml:space="preserve">Diversion involves the referral of matters away from the formal criminal justice system, usually to </w:t>
      </w:r>
      <w:proofErr w:type="spellStart"/>
      <w:r w:rsidRPr="00D82A1B">
        <w:rPr>
          <w:b/>
          <w:bCs/>
          <w:lang w:val="en-US"/>
        </w:rPr>
        <w:t>programmes</w:t>
      </w:r>
      <w:proofErr w:type="spellEnd"/>
      <w:r w:rsidRPr="00D82A1B">
        <w:rPr>
          <w:b/>
          <w:bCs/>
          <w:lang w:val="en-US"/>
        </w:rPr>
        <w:t xml:space="preserve"> or activities. In addition to avoiding stigmatization and criminal records, this approach yields good results for children, is congruent with public safety and has proved to be cost-effective.</w:t>
      </w:r>
    </w:p>
    <w:p w14:paraId="23590385" w14:textId="77777777" w:rsidR="005B3E28" w:rsidRPr="00D82A1B" w:rsidRDefault="005B3E28" w:rsidP="005B3E28">
      <w:pPr>
        <w:pStyle w:val="Quote"/>
        <w:rPr>
          <w:b/>
          <w:bCs/>
          <w:lang w:val="en-US"/>
        </w:rPr>
      </w:pPr>
      <w:r>
        <w:rPr>
          <w:lang w:val="en-US"/>
        </w:rPr>
        <w:t>16.</w:t>
      </w:r>
      <w:r>
        <w:rPr>
          <w:lang w:val="en-US"/>
        </w:rPr>
        <w:tab/>
        <w:t xml:space="preserve">Diversion should be the preferred manner of dealing with children in the majority of cases. States parties should continually extend the range of offences for which diversion is possible, including serious offences where appropriate. </w:t>
      </w:r>
      <w:r w:rsidRPr="00D82A1B">
        <w:rPr>
          <w:b/>
          <w:bCs/>
          <w:lang w:val="en-US"/>
        </w:rPr>
        <w:t xml:space="preserve">Opportunities for diversion should be available from as early as possible after contact with the system, and at various stages throughout the process. Diversion should be an integral part of the child justice system, and, in accordance with art. 40 (3) (b) of the Convention, children’s human rights and legal safeguards are to be fully respected and protected in all diversion processes and </w:t>
      </w:r>
      <w:proofErr w:type="spellStart"/>
      <w:r w:rsidRPr="00D82A1B">
        <w:rPr>
          <w:b/>
          <w:bCs/>
          <w:lang w:val="en-US"/>
        </w:rPr>
        <w:t>programmes</w:t>
      </w:r>
      <w:proofErr w:type="spellEnd"/>
      <w:r w:rsidRPr="00D82A1B">
        <w:rPr>
          <w:b/>
          <w:bCs/>
          <w:lang w:val="en-US"/>
        </w:rPr>
        <w:t xml:space="preserve"> </w:t>
      </w:r>
    </w:p>
    <w:p w14:paraId="28E8D81D" w14:textId="77777777" w:rsidR="005B3E28" w:rsidRDefault="005B3E28" w:rsidP="005B3E28">
      <w:pPr>
        <w:pStyle w:val="Quote"/>
        <w:rPr>
          <w:lang w:val="en-US"/>
        </w:rPr>
      </w:pPr>
      <w:r>
        <w:rPr>
          <w:lang w:val="en-US"/>
        </w:rPr>
        <w:t>17.</w:t>
      </w:r>
      <w:r>
        <w:rPr>
          <w:lang w:val="en-US"/>
        </w:rPr>
        <w:tab/>
        <w:t xml:space="preserve">It is left to the discretion of States parties to decide on the exact nature and content of </w:t>
      </w:r>
      <w:r>
        <w:t>measures</w:t>
      </w:r>
      <w:r>
        <w:rPr>
          <w:lang w:val="en-US"/>
        </w:rPr>
        <w:t xml:space="preserve"> of diversion, and to take the necessary legislative and other measures for their implementation. The Committee takes note that a variety of community-based </w:t>
      </w:r>
      <w:proofErr w:type="spellStart"/>
      <w:r>
        <w:rPr>
          <w:lang w:val="en-US"/>
        </w:rPr>
        <w:t>programmes</w:t>
      </w:r>
      <w:proofErr w:type="spellEnd"/>
      <w:r>
        <w:rPr>
          <w:lang w:val="en-US"/>
        </w:rPr>
        <w:t xml:space="preserve"> have been developed, such as community service, supervision and guidance by designated officials, family conferencing and other restorative justice options, including reparation to victims. </w:t>
      </w:r>
    </w:p>
    <w:p w14:paraId="7E266BE9" w14:textId="37830866" w:rsidR="005B3E28" w:rsidRDefault="00D82A1B" w:rsidP="005B3E28">
      <w:pPr>
        <w:pStyle w:val="Quote"/>
      </w:pPr>
      <w:r>
        <w:rPr>
          <w:lang w:val="en-US"/>
        </w:rPr>
        <w:t>…</w:t>
      </w:r>
    </w:p>
    <w:p w14:paraId="2306BA6A" w14:textId="606B63DB" w:rsidR="005B3E28" w:rsidRPr="005B3E28" w:rsidRDefault="005B3E28" w:rsidP="005B3E28">
      <w:pPr>
        <w:pStyle w:val="Quote"/>
        <w:keepNext/>
        <w:ind w:right="845"/>
        <w:rPr>
          <w:b/>
          <w:bCs/>
          <w:i/>
          <w:iCs/>
        </w:rPr>
      </w:pPr>
      <w:r w:rsidRPr="005B3E28">
        <w:rPr>
          <w:b/>
          <w:bCs/>
          <w:i/>
          <w:iCs/>
        </w:rPr>
        <w:t>Interventions in the context of judicial proceedings (disposition)</w:t>
      </w:r>
    </w:p>
    <w:p w14:paraId="542A3638" w14:textId="77777777" w:rsidR="005B3E28" w:rsidRPr="00D82A1B" w:rsidRDefault="005B3E28" w:rsidP="005B3E28">
      <w:pPr>
        <w:pStyle w:val="Quote"/>
        <w:rPr>
          <w:b/>
          <w:bCs/>
          <w:lang w:val="en-US"/>
        </w:rPr>
      </w:pPr>
      <w:r>
        <w:rPr>
          <w:lang w:val="en-US"/>
        </w:rPr>
        <w:t>19.</w:t>
      </w:r>
      <w:r>
        <w:rPr>
          <w:lang w:val="en-US"/>
        </w:rPr>
        <w:tab/>
        <w:t xml:space="preserve">When judicial proceedings are initiated by the competent authority, the principles of a fair and just trial are applicable (see section D below). </w:t>
      </w:r>
      <w:r w:rsidRPr="00D82A1B">
        <w:rPr>
          <w:b/>
          <w:bCs/>
          <w:lang w:val="en-US"/>
        </w:rPr>
        <w:t xml:space="preserve">The child justice system should provide ample opportunities to apply social and educational measures, and to strictly limit the use of deprivation of liberty, from the moment of arrest, throughout the proceedings and in sentencing. States parties should have in place a probation service or similar agency with well-trained staff to ensure the maximum and effective use of measures such as guidance and supervision orders, probation, community monitoring or day reporting </w:t>
      </w:r>
      <w:proofErr w:type="spellStart"/>
      <w:r w:rsidRPr="00D82A1B">
        <w:rPr>
          <w:b/>
          <w:bCs/>
          <w:lang w:val="en-US"/>
        </w:rPr>
        <w:t>centres</w:t>
      </w:r>
      <w:proofErr w:type="spellEnd"/>
      <w:r w:rsidRPr="00D82A1B">
        <w:rPr>
          <w:b/>
          <w:bCs/>
          <w:lang w:val="en-US"/>
        </w:rPr>
        <w:t>, and the possibility of early release from detention.</w:t>
      </w:r>
    </w:p>
    <w:p w14:paraId="14CAE6BB" w14:textId="6DED514F" w:rsidR="005B3E28" w:rsidRDefault="005B3E28" w:rsidP="005B3E28">
      <w:pPr>
        <w:rPr>
          <w:lang w:val="en-US"/>
        </w:rPr>
      </w:pPr>
      <w:r>
        <w:rPr>
          <w:lang w:val="en-US"/>
        </w:rPr>
        <w:t>…</w:t>
      </w:r>
    </w:p>
    <w:p w14:paraId="1C57F3F0" w14:textId="77777777" w:rsidR="005B3E28" w:rsidRPr="005B3E28" w:rsidRDefault="005B3E28" w:rsidP="005B3E28">
      <w:pPr>
        <w:pStyle w:val="Quote"/>
        <w:rPr>
          <w:rFonts w:ascii="Times New Roman" w:hAnsi="Times New Roman"/>
          <w:b/>
          <w:bCs/>
          <w:color w:val="auto"/>
          <w:lang w:val="en-US"/>
        </w:rPr>
      </w:pPr>
      <w:r w:rsidRPr="005B3E28">
        <w:rPr>
          <w:b/>
          <w:bCs/>
          <w:lang w:val="en-US"/>
        </w:rPr>
        <w:t>Children lacking criminal responsibility for reasons related to developmental delays or neurodevelopmental disorders or disabilities</w:t>
      </w:r>
    </w:p>
    <w:p w14:paraId="75360391" w14:textId="77777777" w:rsidR="005B3E28" w:rsidRPr="0003116C" w:rsidRDefault="005B3E28" w:rsidP="005B3E28">
      <w:pPr>
        <w:pStyle w:val="Quote"/>
        <w:rPr>
          <w:lang w:val="en-US"/>
        </w:rPr>
      </w:pPr>
      <w:r w:rsidRPr="0003116C">
        <w:rPr>
          <w:lang w:val="en-US"/>
        </w:rPr>
        <w:t>28.</w:t>
      </w:r>
      <w:r w:rsidRPr="0003116C">
        <w:rPr>
          <w:lang w:val="en-US"/>
        </w:rPr>
        <w:tab/>
      </w:r>
      <w:r w:rsidRPr="0003116C">
        <w:rPr>
          <w:b/>
          <w:bCs/>
          <w:lang w:val="en-US"/>
        </w:rPr>
        <w:t>Children with developmental delays or neurodevelopmental disorders or disabilities</w:t>
      </w:r>
      <w:r w:rsidRPr="0003116C">
        <w:rPr>
          <w:lang w:val="en-US"/>
        </w:rPr>
        <w:t xml:space="preserve"> (for example, autism spectrum disorders, fetal </w:t>
      </w:r>
      <w:r w:rsidRPr="0003116C">
        <w:rPr>
          <w:lang w:val="en-US"/>
        </w:rPr>
        <w:lastRenderedPageBreak/>
        <w:t xml:space="preserve">alcohol spectrum disorders or acquired brain injuries) </w:t>
      </w:r>
      <w:r w:rsidRPr="0003116C">
        <w:rPr>
          <w:b/>
          <w:bCs/>
          <w:lang w:val="en-US"/>
        </w:rPr>
        <w:t>should not be in the child justice system at all</w:t>
      </w:r>
      <w:r w:rsidRPr="0003116C">
        <w:rPr>
          <w:lang w:val="en-US"/>
        </w:rPr>
        <w:t>, even if they have reached the minimum age of criminal responsibility. If not automatically excluded, such children should be individually assessed.</w:t>
      </w:r>
    </w:p>
    <w:p w14:paraId="23F554F0" w14:textId="0A7A3A01" w:rsidR="002E5437" w:rsidRDefault="002E5437" w:rsidP="002E5437">
      <w:pPr>
        <w:pStyle w:val="Heading2"/>
      </w:pPr>
      <w:bookmarkStart w:id="9" w:name="_Toc159945295"/>
      <w:r>
        <w:t>3. Reimagining youth justice infrastructure</w:t>
      </w:r>
      <w:bookmarkEnd w:id="9"/>
    </w:p>
    <w:p w14:paraId="1BDA2EA6" w14:textId="068211A2" w:rsidR="00A12B4A" w:rsidRDefault="00A12B4A" w:rsidP="00A12B4A">
      <w:pPr>
        <w:pStyle w:val="Numberedparagraph"/>
        <w:numPr>
          <w:ilvl w:val="0"/>
          <w:numId w:val="0"/>
        </w:numPr>
        <w:rPr>
          <w:b/>
          <w:bCs/>
          <w:i/>
          <w:iCs/>
        </w:rPr>
      </w:pPr>
      <w:r w:rsidRPr="00BB0AF5">
        <w:rPr>
          <w:b/>
          <w:bCs/>
          <w:i/>
          <w:iCs/>
        </w:rPr>
        <w:t>Reimagining youth justice infrastructure, including best practice standard accommodation for children and young people who are detained, held on remand or transitioning from detention to the community.</w:t>
      </w:r>
    </w:p>
    <w:p w14:paraId="7800BB0A" w14:textId="6C3ED44E" w:rsidR="00C40FA5" w:rsidRDefault="00C40FA5" w:rsidP="00C40FA5">
      <w:pPr>
        <w:pStyle w:val="Numberedparagraph"/>
        <w:rPr>
          <w:lang w:val="en-US"/>
        </w:rPr>
      </w:pPr>
      <w:r>
        <w:rPr>
          <w:lang w:val="en-US"/>
        </w:rPr>
        <w:t xml:space="preserve">General Comment </w:t>
      </w:r>
      <w:r w:rsidR="00A31ACD">
        <w:rPr>
          <w:lang w:val="en-US"/>
        </w:rPr>
        <w:t xml:space="preserve">No </w:t>
      </w:r>
      <w:r>
        <w:rPr>
          <w:lang w:val="en-US"/>
        </w:rPr>
        <w:t>24 is clear that states should ‘</w:t>
      </w:r>
      <w:r>
        <w:t>immediately embark on a process to reduce reliance on detention to a minimum’ (at [83]), and draws states’ attention to the</w:t>
      </w:r>
    </w:p>
    <w:p w14:paraId="3DADCDFC" w14:textId="4FC4072D" w:rsidR="00C40FA5" w:rsidRDefault="00EB2A56" w:rsidP="00C40FA5">
      <w:pPr>
        <w:pStyle w:val="Quote"/>
        <w:rPr>
          <w:lang w:val="en-US"/>
        </w:rPr>
      </w:pPr>
      <w:r>
        <w:rPr>
          <w:lang w:val="en-US"/>
        </w:rPr>
        <w:t>2018 report of the Special Rapporteur on the right of everyone to the enjoyment of the highest attainable standard of physical and mental health, in which the Special Rapporteur noted that the scale and magnitude of children’s suffering in detention and confinement called for a global commitment to the abolition of child prisons and large care institutions, alongside scaled-up investment in community-based services (A/HRC/38/36, para. 53).</w:t>
      </w:r>
      <w:r w:rsidR="00C40FA5">
        <w:rPr>
          <w:rStyle w:val="FootnoteReference"/>
          <w:lang w:val="en-US"/>
        </w:rPr>
        <w:footnoteReference w:id="9"/>
      </w:r>
    </w:p>
    <w:p w14:paraId="52E1D8F5" w14:textId="510740E2" w:rsidR="008F5487" w:rsidRDefault="008F5487" w:rsidP="00C40FA5">
      <w:pPr>
        <w:pStyle w:val="Numberedparagraph"/>
        <w:rPr>
          <w:lang w:val="en-US"/>
        </w:rPr>
      </w:pPr>
      <w:r>
        <w:rPr>
          <w:lang w:val="en-US"/>
        </w:rPr>
        <w:t xml:space="preserve">In that report, the Special Rapporteur </w:t>
      </w:r>
      <w:r w:rsidR="00995DDA">
        <w:rPr>
          <w:lang w:val="en-US"/>
        </w:rPr>
        <w:t xml:space="preserve">on the right to health </w:t>
      </w:r>
      <w:r>
        <w:rPr>
          <w:lang w:val="en-US"/>
        </w:rPr>
        <w:t>had stated:</w:t>
      </w:r>
    </w:p>
    <w:p w14:paraId="03C74532" w14:textId="7922CE1E" w:rsidR="008F5487" w:rsidRDefault="008F5487" w:rsidP="008F5487">
      <w:pPr>
        <w:pStyle w:val="Quote"/>
      </w:pPr>
      <w:r>
        <w:t xml:space="preserve">63. Adolescence is a critical period of cognitive and emotional development, affecting the whole of adulthood. The Special Rapporteur remains deeply concerned about how punitive responses to youth violence affect adolescent health and development. Criminalization and incarceration have increased, despite the evidence that public-health approaches deliver better results. In reality, children held in penal institutions, including for acts of violence, are those whose early childhood needs and rights have not been fulfilled. International human rights law requires children to be treated in accordance with their age and best interests. Ensuring the full and harmonious development of children in society, from infancy to adolescence, is a core strategy for preventing youth crime. </w:t>
      </w:r>
    </w:p>
    <w:p w14:paraId="37F41495" w14:textId="5BF9B1E6" w:rsidR="008F5487" w:rsidRDefault="008F5487" w:rsidP="008F5487">
      <w:pPr>
        <w:pStyle w:val="Quote"/>
      </w:pPr>
      <w:r>
        <w:t>64. Since the entry into force of the Convention on the Rights of the Child, neuroscience research has revealed that the brains of adolescents are still developing in many critical ways. This calls into serious question the rationale for punitive, closed environments and methods of control. Corporal punishment, humiliation, coercion and the denial of supportive environments that can ensure healthy, non-violent relationships and physical comfort can never elicit positive, long-term change in a child’s behaviour.</w:t>
      </w:r>
    </w:p>
    <w:p w14:paraId="3A3AFA86" w14:textId="2A9B29EA" w:rsidR="008F5487" w:rsidRDefault="008F5487" w:rsidP="0002040C">
      <w:pPr>
        <w:ind w:left="187" w:firstLine="720"/>
      </w:pPr>
      <w:r>
        <w:t>…</w:t>
      </w:r>
    </w:p>
    <w:p w14:paraId="15451290" w14:textId="77777777" w:rsidR="008F5487" w:rsidRDefault="008F5487" w:rsidP="008F5487">
      <w:pPr>
        <w:pStyle w:val="Quote"/>
      </w:pPr>
      <w:r>
        <w:t>68. Coping mechanisms employed by stressed and desperate children, which include assaults against themselves and others, are perceived by society and judicial and welfare systems as acts that are self-harming, anti-</w:t>
      </w:r>
      <w:r>
        <w:lastRenderedPageBreak/>
        <w:t xml:space="preserve">social and/or violent. The harm inflicted by institutions themselves too often goes unacknowledged. </w:t>
      </w:r>
    </w:p>
    <w:p w14:paraId="2EE29B18" w14:textId="15E5C8BA" w:rsidR="008F5487" w:rsidRPr="008F5487" w:rsidRDefault="008F5487" w:rsidP="008F5487">
      <w:pPr>
        <w:pStyle w:val="Quote"/>
      </w:pPr>
      <w:r>
        <w:t>69. There can be no hesitation in concluding that the act of detaining children is a form of violence. The Convention on the Rights of the Child prohibits the use of detention as a default strategy. Looking forward, a child rights-based strategy must strengthen even further the presumption against detention of children with a view to abolition.</w:t>
      </w:r>
      <w:r>
        <w:rPr>
          <w:rStyle w:val="FootnoteReference"/>
        </w:rPr>
        <w:footnoteReference w:id="10"/>
      </w:r>
    </w:p>
    <w:p w14:paraId="043E9686" w14:textId="0E4B5E01" w:rsidR="00B245B5" w:rsidRDefault="00FB184F" w:rsidP="00FB184F">
      <w:pPr>
        <w:pStyle w:val="Numberedparagraph"/>
        <w:rPr>
          <w:lang w:val="en-US"/>
        </w:rPr>
      </w:pPr>
      <w:r>
        <w:rPr>
          <w:lang w:val="en-US"/>
        </w:rPr>
        <w:t>In</w:t>
      </w:r>
      <w:r w:rsidR="00C40FA5">
        <w:rPr>
          <w:lang w:val="en-US"/>
        </w:rPr>
        <w:t xml:space="preserve"> relation to ‘the minority of cases where deprivation of liberty is deemed necessary’, </w:t>
      </w:r>
      <w:r w:rsidR="008F5487">
        <w:rPr>
          <w:lang w:val="en-US"/>
        </w:rPr>
        <w:t xml:space="preserve">General Comment </w:t>
      </w:r>
      <w:r w:rsidR="00A31ACD">
        <w:rPr>
          <w:lang w:val="en-US"/>
        </w:rPr>
        <w:t xml:space="preserve">No </w:t>
      </w:r>
      <w:r w:rsidR="008F5487">
        <w:rPr>
          <w:lang w:val="en-US"/>
        </w:rPr>
        <w:t xml:space="preserve">24 </w:t>
      </w:r>
      <w:r>
        <w:rPr>
          <w:lang w:val="en-US"/>
        </w:rPr>
        <w:t>sets out</w:t>
      </w:r>
      <w:r w:rsidR="00B245B5">
        <w:rPr>
          <w:lang w:val="en-US"/>
        </w:rPr>
        <w:t xml:space="preserve"> minimum standards applicable to the detention of children and young people as </w:t>
      </w:r>
      <w:r>
        <w:rPr>
          <w:lang w:val="en-US"/>
        </w:rPr>
        <w:t xml:space="preserve">established </w:t>
      </w:r>
      <w:r w:rsidR="00B245B5">
        <w:rPr>
          <w:lang w:val="en-US"/>
        </w:rPr>
        <w:t xml:space="preserve">in the </w:t>
      </w:r>
      <w:r w:rsidR="00B245B5" w:rsidRPr="00CA6D58">
        <w:rPr>
          <w:i/>
          <w:iCs/>
          <w:lang w:val="en-US"/>
        </w:rPr>
        <w:t>Convention on the Rights of the Child</w:t>
      </w:r>
      <w:r w:rsidR="00B245B5">
        <w:rPr>
          <w:lang w:val="en-US"/>
        </w:rPr>
        <w:t xml:space="preserve"> and </w:t>
      </w:r>
      <w:r w:rsidR="00CA6D58">
        <w:rPr>
          <w:lang w:val="en-US"/>
        </w:rPr>
        <w:t xml:space="preserve">other </w:t>
      </w:r>
      <w:r w:rsidR="00396FFB">
        <w:rPr>
          <w:lang w:val="en-US"/>
        </w:rPr>
        <w:t>UN</w:t>
      </w:r>
      <w:r w:rsidR="00B245B5">
        <w:rPr>
          <w:lang w:val="en-US"/>
        </w:rPr>
        <w:t xml:space="preserve"> </w:t>
      </w:r>
      <w:r w:rsidR="00CA6D58">
        <w:rPr>
          <w:lang w:val="en-US"/>
        </w:rPr>
        <w:t>documents</w:t>
      </w:r>
      <w:r w:rsidR="00B245B5">
        <w:rPr>
          <w:lang w:val="en-US"/>
        </w:rPr>
        <w:t xml:space="preserve"> (at [92]–[95]).</w:t>
      </w:r>
    </w:p>
    <w:p w14:paraId="51E8E917" w14:textId="275D3DE3" w:rsidR="007F7BEF" w:rsidRPr="007F7BEF" w:rsidRDefault="00492545" w:rsidP="00B245B5">
      <w:pPr>
        <w:pStyle w:val="Numberedparagraph"/>
        <w:rPr>
          <w:lang w:val="en-US"/>
        </w:rPr>
      </w:pPr>
      <w:r>
        <w:rPr>
          <w:lang w:val="en-US"/>
        </w:rPr>
        <w:t>In terms of infrastructure design</w:t>
      </w:r>
      <w:r w:rsidR="00B85C5A">
        <w:rPr>
          <w:lang w:val="en-US"/>
        </w:rPr>
        <w:t xml:space="preserve"> for </w:t>
      </w:r>
      <w:r w:rsidR="00FB184F">
        <w:rPr>
          <w:lang w:val="en-US"/>
        </w:rPr>
        <w:t xml:space="preserve">these </w:t>
      </w:r>
      <w:r w:rsidR="00B85C5A">
        <w:rPr>
          <w:lang w:val="en-US"/>
        </w:rPr>
        <w:t>limited cases,</w:t>
      </w:r>
      <w:r>
        <w:rPr>
          <w:lang w:val="en-US"/>
        </w:rPr>
        <w:t xml:space="preserve"> the</w:t>
      </w:r>
      <w:r w:rsidR="007F7BEF">
        <w:rPr>
          <w:lang w:val="en-US"/>
        </w:rPr>
        <w:t xml:space="preserve"> Council of Europe’s</w:t>
      </w:r>
      <w:r>
        <w:rPr>
          <w:lang w:val="en-US"/>
        </w:rPr>
        <w:t xml:space="preserve"> European Committee </w:t>
      </w:r>
      <w:r w:rsidR="007F7BEF">
        <w:rPr>
          <w:lang w:val="en-US"/>
        </w:rPr>
        <w:t>for</w:t>
      </w:r>
      <w:r>
        <w:rPr>
          <w:lang w:val="en-US"/>
        </w:rPr>
        <w:t xml:space="preserve"> the Prevention of Torture</w:t>
      </w:r>
      <w:r w:rsidR="007F7BEF">
        <w:rPr>
          <w:lang w:val="en-US"/>
        </w:rPr>
        <w:t xml:space="preserve"> and Inhuman or Degrading Treatment or Punishment</w:t>
      </w:r>
      <w:r w:rsidR="00B44C9B">
        <w:rPr>
          <w:rStyle w:val="FootnoteReference"/>
          <w:lang w:val="en-US"/>
        </w:rPr>
        <w:footnoteReference w:id="11"/>
      </w:r>
      <w:r w:rsidR="007F7BEF">
        <w:rPr>
          <w:lang w:val="en-US"/>
        </w:rPr>
        <w:t xml:space="preserve"> has </w:t>
      </w:r>
      <w:r w:rsidR="00685001">
        <w:rPr>
          <w:lang w:val="en-US"/>
        </w:rPr>
        <w:t xml:space="preserve">also </w:t>
      </w:r>
      <w:r w:rsidR="007F7BEF">
        <w:rPr>
          <w:lang w:val="en-US"/>
        </w:rPr>
        <w:t xml:space="preserve">stated that </w:t>
      </w:r>
    </w:p>
    <w:p w14:paraId="5B681967" w14:textId="62F9C90C" w:rsidR="00492545" w:rsidRDefault="007F7BEF" w:rsidP="007F7BEF">
      <w:pPr>
        <w:pStyle w:val="Quote"/>
        <w:rPr>
          <w:lang w:val="en-US"/>
        </w:rPr>
      </w:pPr>
      <w:r>
        <w:t>all detained juveniles who are suspected or convicted of a criminal offence should be held in detention centres specifically designed for persons of this age, offering a non-prison-like environment and regimes tailored to their needs and staffed by persons trained in dealing with the young.</w:t>
      </w:r>
      <w:r w:rsidR="00492545">
        <w:rPr>
          <w:lang w:val="en-US"/>
        </w:rPr>
        <w:t xml:space="preserve"> </w:t>
      </w:r>
      <w:r>
        <w:rPr>
          <w:lang w:val="en-US"/>
        </w:rPr>
        <w:t xml:space="preserve">… </w:t>
      </w:r>
      <w:r>
        <w:t>[T]he Committee has visited a number of juvenile establishments in several countries, which are indeed juvenile-centred and based on the concept of living units. These establishments are composed of small well-staffed units, each comprising a limited number of single rooms (usually no more than ten) as well as a communal area. Juveniles are provided with a range of purposeful activities throughout the day, and staff promote a sense of community within the unit. The CPT considers that this type of centre represents a model for holding detained juveniles in all European countries.</w:t>
      </w:r>
      <w:r>
        <w:rPr>
          <w:rStyle w:val="FootnoteReference"/>
        </w:rPr>
        <w:footnoteReference w:id="12"/>
      </w:r>
    </w:p>
    <w:p w14:paraId="7831E571" w14:textId="77777777" w:rsidR="00C1596E" w:rsidRDefault="00C1596E">
      <w:pPr>
        <w:spacing w:after="0"/>
        <w:rPr>
          <w:rFonts w:eastAsiaTheme="majorEastAsia" w:cstheme="majorBidi"/>
          <w:color w:val="004270"/>
          <w:sz w:val="28"/>
          <w:szCs w:val="28"/>
        </w:rPr>
      </w:pPr>
      <w:r>
        <w:br w:type="page"/>
      </w:r>
    </w:p>
    <w:p w14:paraId="0928BB2F" w14:textId="1F2F6492" w:rsidR="002E5437" w:rsidRDefault="002E5437" w:rsidP="002E5437">
      <w:pPr>
        <w:pStyle w:val="Heading2"/>
      </w:pPr>
      <w:bookmarkStart w:id="10" w:name="_Toc159945296"/>
      <w:r>
        <w:lastRenderedPageBreak/>
        <w:t xml:space="preserve">5. The current operation of the </w:t>
      </w:r>
      <w:r w:rsidRPr="00A12B4A">
        <w:rPr>
          <w:i/>
          <w:iCs/>
        </w:rPr>
        <w:t>Youth Justice Act 1992</w:t>
      </w:r>
      <w:bookmarkEnd w:id="10"/>
      <w:r>
        <w:t xml:space="preserve"> </w:t>
      </w:r>
    </w:p>
    <w:p w14:paraId="250DC273" w14:textId="1920DBF3" w:rsidR="00A12B4A" w:rsidRDefault="00BB0AF5" w:rsidP="00A12B4A">
      <w:pPr>
        <w:rPr>
          <w:b/>
          <w:bCs/>
          <w:i/>
          <w:iCs/>
        </w:rPr>
      </w:pPr>
      <w:r w:rsidRPr="00BB0AF5">
        <w:rPr>
          <w:b/>
          <w:bCs/>
          <w:i/>
          <w:iCs/>
        </w:rPr>
        <w:t>The current operation of the Youth Justice Act 1992, including sentencing principles, the criteria for serious repeat offender declarations and traffic offences.</w:t>
      </w:r>
    </w:p>
    <w:p w14:paraId="16728EF6" w14:textId="0C87249E" w:rsidR="00B245B5" w:rsidRDefault="00B85C5A" w:rsidP="00B245B5">
      <w:pPr>
        <w:pStyle w:val="Numberedparagraph"/>
      </w:pPr>
      <w:r>
        <w:t>In relation to sentencing of children, General Comment No 24 states:</w:t>
      </w:r>
    </w:p>
    <w:p w14:paraId="4C4497F1" w14:textId="70C0913F" w:rsidR="00B85C5A" w:rsidRDefault="00B85C5A" w:rsidP="00B85C5A">
      <w:pPr>
        <w:pStyle w:val="Quote"/>
      </w:pPr>
      <w:r>
        <w:rPr>
          <w:lang w:val="en-US"/>
        </w:rPr>
        <w:t>73.</w:t>
      </w:r>
      <w:r>
        <w:rPr>
          <w:lang w:val="en-US"/>
        </w:rPr>
        <w:tab/>
        <w:t xml:space="preserve">… The laws should contain a wide variety of non-custodial measures and should expressly prioritize the use of such </w:t>
      </w:r>
      <w:r>
        <w:t>measures to ensure that deprivation of liberty is used only as a measure of last resort and for the shortest appropriate period of time.</w:t>
      </w:r>
    </w:p>
    <w:p w14:paraId="7E85D5AF" w14:textId="77777777" w:rsidR="00B85C5A" w:rsidRDefault="00B85C5A" w:rsidP="00B85C5A">
      <w:pPr>
        <w:pStyle w:val="Quote"/>
      </w:pPr>
      <w:r>
        <w:t>74.</w:t>
      </w:r>
      <w:r>
        <w:tab/>
        <w:t>A wide range of experience with the use and implementation of non-custodial measures, including restorative justice measures, exists. States parties should benefit from this experience, and develop and implement such measures by adjusting them to their own culture and tradition. Measures amounting to forced labour or to torture or inhuman and degrading treatment are to be explicitly prohibited and penalized.</w:t>
      </w:r>
    </w:p>
    <w:p w14:paraId="6F63924F" w14:textId="77777777" w:rsidR="00B85C5A" w:rsidRDefault="00B85C5A" w:rsidP="00B85C5A">
      <w:pPr>
        <w:pStyle w:val="Quote"/>
        <w:rPr>
          <w:lang w:val="en-US"/>
        </w:rPr>
      </w:pPr>
      <w:r>
        <w:t>…</w:t>
      </w:r>
    </w:p>
    <w:p w14:paraId="59F0C4BA" w14:textId="77777777" w:rsidR="00B85C5A" w:rsidRDefault="00B85C5A" w:rsidP="00B85C5A">
      <w:pPr>
        <w:pStyle w:val="Quote"/>
        <w:rPr>
          <w:lang w:val="en-GB"/>
        </w:rPr>
      </w:pPr>
      <w:r>
        <w:rPr>
          <w:lang w:val="en-US"/>
        </w:rPr>
        <w:t>76.</w:t>
      </w:r>
      <w:r>
        <w:rPr>
          <w:lang w:val="en-US"/>
        </w:rPr>
        <w:tab/>
        <w:t>The Committee emphasizes that the reaction to an offence should always be proportionate not only to the circumstances and the gravity of the offence, but also to the personal circumstances (age, lesser culpability, circumstances and needs, including, if appropriate, the mental health needs of the child), as well as to the various and particularly long</w:t>
      </w:r>
      <w:r>
        <w:rPr>
          <w:lang w:val="en-US"/>
        </w:rPr>
        <w:noBreakHyphen/>
        <w:t xml:space="preserve">term needs of the society. A strictly </w:t>
      </w:r>
      <w:r>
        <w:t>punitive approach is not in accordance with the principles of child justice spelled out in article 40 (1) of the Convention. Where serious offences are committed by children, measures proportionate to the circumstances of the offender and to the gravity of the offence may be considered, including considerations of the need for public safety and sanctions. Weight should be given to the child’s best interests as a primary consideration as well as to the need to promote the child’s reintegration into society.</w:t>
      </w:r>
    </w:p>
    <w:p w14:paraId="04B8004C" w14:textId="77777777" w:rsidR="00B85C5A" w:rsidRDefault="00B85C5A" w:rsidP="00B85C5A">
      <w:pPr>
        <w:pStyle w:val="Quote"/>
        <w:rPr>
          <w:lang w:val="en-US"/>
        </w:rPr>
      </w:pPr>
      <w:r>
        <w:t>77.</w:t>
      </w:r>
      <w:r>
        <w:tab/>
        <w:t>Recognizing the harm caused to children and adolescents by deprivation of liberty, and its negative effects on their prospects for successful reintegration, the Committee recommends that States parties set a maximum penalty for children accused of crimes that reflects the principle of the “shortest appropriate</w:t>
      </w:r>
      <w:r>
        <w:rPr>
          <w:lang w:val="en-US"/>
        </w:rPr>
        <w:t xml:space="preserve"> period of time” (Convention on the Rights of the Child, art. 37 (b)). </w:t>
      </w:r>
    </w:p>
    <w:p w14:paraId="21F0063A" w14:textId="77777777" w:rsidR="00B85C5A" w:rsidRDefault="00B85C5A" w:rsidP="00B85C5A">
      <w:pPr>
        <w:pStyle w:val="Quote"/>
        <w:rPr>
          <w:lang w:val="en-US"/>
        </w:rPr>
      </w:pPr>
      <w:r>
        <w:rPr>
          <w:lang w:val="en-US"/>
        </w:rPr>
        <w:t>78.</w:t>
      </w:r>
      <w:r>
        <w:rPr>
          <w:lang w:val="en-US"/>
        </w:rPr>
        <w:tab/>
        <w:t>Mandatory minimum sentences are incompatible with the child justice principle of proportionality and with the requirement that detention is to be a measure of last resort and for the shortest appropriate period of time. Courts sentencing children should start with a clean slate; even discretionary mini</w:t>
      </w:r>
      <w:r>
        <w:t>m</w:t>
      </w:r>
      <w:r>
        <w:rPr>
          <w:lang w:val="en-US"/>
        </w:rPr>
        <w:t xml:space="preserve">um </w:t>
      </w:r>
      <w:r>
        <w:t>sentence</w:t>
      </w:r>
      <w:r>
        <w:rPr>
          <w:lang w:val="en-US"/>
        </w:rPr>
        <w:t xml:space="preserve"> regimes impede proper application of international standards.</w:t>
      </w:r>
    </w:p>
    <w:p w14:paraId="45F18A6A" w14:textId="77C32334" w:rsidR="00B85C5A" w:rsidRDefault="00B85C5A" w:rsidP="00B245B5">
      <w:pPr>
        <w:pStyle w:val="Numberedparagraph"/>
      </w:pPr>
      <w:r>
        <w:t xml:space="preserve">Not specifically covered by the operation of the </w:t>
      </w:r>
      <w:r>
        <w:rPr>
          <w:i/>
          <w:iCs/>
        </w:rPr>
        <w:t>Youth Justice Act 1992</w:t>
      </w:r>
      <w:r>
        <w:t>, but relevant to how it operates in practice, the CRC also</w:t>
      </w:r>
      <w:r w:rsidR="003D278B">
        <w:t xml:space="preserve"> encourages States to increase their minimum </w:t>
      </w:r>
      <w:r>
        <w:t xml:space="preserve">age of criminal responsibility </w:t>
      </w:r>
      <w:r w:rsidR="003D278B">
        <w:t>to at least</w:t>
      </w:r>
      <w:r>
        <w:t xml:space="preserve"> 14, and </w:t>
      </w:r>
      <w:r>
        <w:lastRenderedPageBreak/>
        <w:t>commends states that have higher minimum ages of criminal responsibility, such as 15 or 16:</w:t>
      </w:r>
    </w:p>
    <w:p w14:paraId="43BAAADD" w14:textId="1144AD9C" w:rsidR="00B85C5A" w:rsidRDefault="007D43F7" w:rsidP="00B85C5A">
      <w:pPr>
        <w:pStyle w:val="Quote"/>
        <w:rPr>
          <w:lang w:val="en-US"/>
        </w:rPr>
      </w:pPr>
      <w:r>
        <w:rPr>
          <w:lang w:val="en-US"/>
        </w:rPr>
        <w:t xml:space="preserve">22. </w:t>
      </w:r>
      <w:r w:rsidR="00B85C5A">
        <w:rPr>
          <w:lang w:val="en-US"/>
        </w:rPr>
        <w:t xml:space="preserve">Documented evidence in the fields of child development and neuroscience indicates that maturity and the capacity for abstract reasoning is still evolving in children aged 12 to 13 years due to the fact that their frontal cortex is still developing. Therefore, they are unlikely to understand the impact of their actions or to comprehend criminal proceedings. They are also affected by their entry into adolescence. As the Committee notes in its general comment No. 20 (2016) </w:t>
      </w:r>
      <w:r w:rsidR="00B85C5A">
        <w:t>on the implementation of the rights of the child during adolescence,</w:t>
      </w:r>
      <w:r w:rsidR="00B85C5A">
        <w:rPr>
          <w:lang w:val="en-US"/>
        </w:rPr>
        <w:t xml:space="preserve"> adolescence is a unique defining stage of human development characterized by rapid brain development, and this affects risk-taking, certain kinds of decision-making and the ability to control impulses. States parties are encouraged to take note of recent scientific findings, and to increase their minimum age accordingly, to at least 14 years of age.</w:t>
      </w:r>
      <w:r w:rsidR="00B85C5A">
        <w:rPr>
          <w:rStyle w:val="FootnoteReference"/>
          <w:lang w:val="en-US"/>
        </w:rPr>
        <w:t xml:space="preserve"> </w:t>
      </w:r>
      <w:r w:rsidR="00B85C5A">
        <w:rPr>
          <w:lang w:val="en-US"/>
        </w:rPr>
        <w:t>Moreover, the developmental and neuroscience evidence indicates that adolescent brains continue to mature even beyond the teenage years, affecting certain kinds of decision-making. Therefore, the Committee commends States parties that have a higher minimum age, for instance 15 or 16 years of age, and urges States parties not to reduce the minimum age of criminal responsibility under any circumstances, in accordance with article 41 of the Convention.</w:t>
      </w:r>
    </w:p>
    <w:p w14:paraId="7826778C" w14:textId="7AD83C3D" w:rsidR="002E5437" w:rsidRDefault="002E5437" w:rsidP="002E5437">
      <w:pPr>
        <w:pStyle w:val="Heading2"/>
      </w:pPr>
      <w:bookmarkStart w:id="11" w:name="_Toc159945297"/>
      <w:r>
        <w:t xml:space="preserve">6. </w:t>
      </w:r>
      <w:r w:rsidR="00A12B4A">
        <w:t>Strengthening</w:t>
      </w:r>
      <w:r>
        <w:t xml:space="preserve"> public confidence in the youth justice system</w:t>
      </w:r>
      <w:bookmarkEnd w:id="11"/>
    </w:p>
    <w:p w14:paraId="2968ABF3" w14:textId="6D43E5D1" w:rsidR="00BB0AF5" w:rsidRDefault="00BB0AF5" w:rsidP="00BB0AF5">
      <w:pPr>
        <w:rPr>
          <w:b/>
          <w:bCs/>
          <w:i/>
          <w:iCs/>
        </w:rPr>
      </w:pPr>
      <w:r w:rsidRPr="00BB0AF5">
        <w:rPr>
          <w:b/>
          <w:bCs/>
          <w:i/>
          <w:iCs/>
        </w:rPr>
        <w:t>How to strengthen public confidence in the youth justice system, including by: (a) examining the impact of social media and traditional news media on youth offending and community perceptions of safety (b) improving the way data on youth crime is communicated to the public</w:t>
      </w:r>
    </w:p>
    <w:p w14:paraId="72D658B0" w14:textId="1CFB7DA8" w:rsidR="0045644C" w:rsidRDefault="006A7934" w:rsidP="006A7934">
      <w:pPr>
        <w:pStyle w:val="Numberedparagraph"/>
      </w:pPr>
      <w:r>
        <w:t xml:space="preserve">In relation to </w:t>
      </w:r>
      <w:r w:rsidR="003D278B">
        <w:t>this priority issue</w:t>
      </w:r>
      <w:r>
        <w:t xml:space="preserve">, General Comment </w:t>
      </w:r>
      <w:r w:rsidR="00A31ACD">
        <w:t xml:space="preserve">No </w:t>
      </w:r>
      <w:r>
        <w:t>24 states:</w:t>
      </w:r>
    </w:p>
    <w:p w14:paraId="2C92D16E" w14:textId="77777777" w:rsidR="006A7934" w:rsidRDefault="006A7934" w:rsidP="006A7934">
      <w:pPr>
        <w:pStyle w:val="Quote"/>
        <w:rPr>
          <w:rFonts w:ascii="Times New Roman" w:hAnsi="Times New Roman"/>
          <w:color w:val="auto"/>
        </w:rPr>
      </w:pPr>
      <w:r>
        <w:rPr>
          <w:lang w:val="en-US"/>
        </w:rPr>
        <w:t>111.</w:t>
      </w:r>
      <w:r>
        <w:rPr>
          <w:lang w:val="en-US"/>
        </w:rPr>
        <w:tab/>
        <w:t xml:space="preserve">Children who commit offences are often subjected to negative publicity in the media, which contributes to a discriminatory and negative stereotyping of those children. This negative presentation or criminalization </w:t>
      </w:r>
      <w:r>
        <w:t>of children is often based on a misrepresentation and/or misunderstanding of the causes of crime, and regularly results in calls for tougher approaches (zero-tolerance and “three strikes” approaches, mandatory sentences, trial in adult courts and other primarily punitive measures). States parties should seek the active and positive involvement of Members of Parliament, non-governmental organizations and the media to promote and support education and other campaigns to ensure that all aspects of the Convention are upheld for children who are in the child justice system. It is crucial for children, in particular those who have experience with the child justice system, to be involved in these awareness-raising efforts.</w:t>
      </w:r>
    </w:p>
    <w:p w14:paraId="2B2615CF" w14:textId="77777777" w:rsidR="007D43F7" w:rsidRDefault="007D43F7">
      <w:pPr>
        <w:spacing w:after="0"/>
        <w:rPr>
          <w:rFonts w:eastAsiaTheme="majorEastAsia" w:cstheme="majorBidi"/>
          <w:color w:val="004270"/>
          <w:sz w:val="36"/>
          <w:szCs w:val="36"/>
          <w:lang w:val="en-US"/>
        </w:rPr>
      </w:pPr>
      <w:r>
        <w:rPr>
          <w:lang w:val="en-US"/>
        </w:rPr>
        <w:br w:type="page"/>
      </w:r>
    </w:p>
    <w:p w14:paraId="69174B11" w14:textId="1F8FCE64" w:rsidR="008041AD" w:rsidRDefault="008041AD" w:rsidP="008041AD">
      <w:pPr>
        <w:pStyle w:val="Heading1"/>
        <w:rPr>
          <w:lang w:val="en-US"/>
        </w:rPr>
      </w:pPr>
      <w:bookmarkStart w:id="12" w:name="_Toc159945298"/>
      <w:r>
        <w:rPr>
          <w:lang w:val="en-US"/>
        </w:rPr>
        <w:lastRenderedPageBreak/>
        <w:t xml:space="preserve">About the </w:t>
      </w:r>
      <w:r w:rsidR="00CD0AF3">
        <w:rPr>
          <w:lang w:val="en-US"/>
        </w:rPr>
        <w:t xml:space="preserve">Queensland Human Rights </w:t>
      </w:r>
      <w:r>
        <w:rPr>
          <w:lang w:val="en-US"/>
        </w:rPr>
        <w:t>Commission</w:t>
      </w:r>
      <w:bookmarkEnd w:id="12"/>
    </w:p>
    <w:p w14:paraId="3DA7BA38" w14:textId="7AF80A71" w:rsidR="008041AD" w:rsidRPr="00881C23" w:rsidRDefault="008041AD" w:rsidP="008041AD">
      <w:pPr>
        <w:pStyle w:val="Numberedparagraph"/>
        <w:rPr>
          <w:lang w:val="en-US"/>
        </w:rPr>
      </w:pPr>
      <w:bookmarkStart w:id="13" w:name="_Ref159856214"/>
      <w:r w:rsidRPr="00881C23">
        <w:rPr>
          <w:lang w:val="en-US"/>
        </w:rPr>
        <w:t xml:space="preserve">The </w:t>
      </w:r>
      <w:r>
        <w:rPr>
          <w:lang w:val="en-US"/>
        </w:rPr>
        <w:t>Commission</w:t>
      </w:r>
      <w:r w:rsidRPr="00881C23">
        <w:rPr>
          <w:lang w:val="en-US"/>
        </w:rPr>
        <w:t xml:space="preserve"> is an independent statutory authority with functions under the </w:t>
      </w:r>
      <w:r w:rsidRPr="00881C23">
        <w:rPr>
          <w:i/>
          <w:iCs/>
          <w:lang w:val="en-US"/>
        </w:rPr>
        <w:t>Anti-Discrimination Act 1991</w:t>
      </w:r>
      <w:r w:rsidRPr="00881C23">
        <w:rPr>
          <w:lang w:val="en-US"/>
        </w:rPr>
        <w:t xml:space="preserve"> and </w:t>
      </w:r>
      <w:r>
        <w:rPr>
          <w:lang w:val="en-US"/>
        </w:rPr>
        <w:t xml:space="preserve">the </w:t>
      </w:r>
      <w:r w:rsidR="00C1596E">
        <w:rPr>
          <w:lang w:val="en-US"/>
        </w:rPr>
        <w:t>Human Rights Act</w:t>
      </w:r>
      <w:r w:rsidRPr="00881C23">
        <w:rPr>
          <w:lang w:val="en-US"/>
        </w:rPr>
        <w:t>, which include:</w:t>
      </w:r>
      <w:bookmarkEnd w:id="13"/>
    </w:p>
    <w:p w14:paraId="669FD786" w14:textId="77777777" w:rsidR="008041AD" w:rsidRPr="00881C23" w:rsidRDefault="008041AD" w:rsidP="008041AD">
      <w:pPr>
        <w:pStyle w:val="Bulletedlist"/>
        <w:rPr>
          <w:lang w:val="en-US"/>
        </w:rPr>
      </w:pPr>
      <w:r w:rsidRPr="00881C23">
        <w:rPr>
          <w:lang w:val="en-US"/>
        </w:rPr>
        <w:t xml:space="preserve">dealing with complaints of discrimination, sexual harassment, vilification, reprisal (under the </w:t>
      </w:r>
      <w:r w:rsidRPr="00881C23">
        <w:rPr>
          <w:i/>
          <w:lang w:val="en-US"/>
        </w:rPr>
        <w:t>Public Interest Disclosure Act 20</w:t>
      </w:r>
      <w:r>
        <w:rPr>
          <w:i/>
          <w:lang w:val="en-US"/>
        </w:rPr>
        <w:t>10</w:t>
      </w:r>
      <w:r w:rsidRPr="00881C23">
        <w:rPr>
          <w:lang w:val="en-US"/>
        </w:rPr>
        <w:t xml:space="preserve">), and </w:t>
      </w:r>
      <w:r>
        <w:rPr>
          <w:lang w:val="en-US"/>
        </w:rPr>
        <w:t>contraventions</w:t>
      </w:r>
      <w:r w:rsidRPr="00881C23">
        <w:rPr>
          <w:lang w:val="en-US"/>
        </w:rPr>
        <w:t xml:space="preserve"> of the Human Rights Act</w:t>
      </w:r>
    </w:p>
    <w:p w14:paraId="1D1C2013" w14:textId="77777777" w:rsidR="008041AD" w:rsidRPr="00881C23" w:rsidRDefault="008041AD" w:rsidP="008041AD">
      <w:pPr>
        <w:pStyle w:val="Bulletedlist"/>
        <w:rPr>
          <w:lang w:val="en-US"/>
        </w:rPr>
      </w:pPr>
      <w:r w:rsidRPr="00881C23">
        <w:rPr>
          <w:lang w:val="en-US"/>
        </w:rPr>
        <w:t>reviewing public entities’ policies, programs, procedures, practices and services in relation to their compatibility with human rights</w:t>
      </w:r>
    </w:p>
    <w:p w14:paraId="5B073E0F" w14:textId="77777777" w:rsidR="008041AD" w:rsidRPr="00881C23" w:rsidRDefault="008041AD" w:rsidP="008041AD">
      <w:pPr>
        <w:pStyle w:val="Bulletedlist"/>
        <w:rPr>
          <w:lang w:val="en-US"/>
        </w:rPr>
      </w:pPr>
      <w:r w:rsidRPr="00881C23">
        <w:rPr>
          <w:lang w:val="en-US"/>
        </w:rPr>
        <w:t>promoting an understanding, acceptance, and public discussion of human rights and the Human Rights Act in Queensland</w:t>
      </w:r>
    </w:p>
    <w:p w14:paraId="3FE4B864" w14:textId="77777777" w:rsidR="008041AD" w:rsidRPr="00881C23" w:rsidRDefault="008041AD" w:rsidP="008041AD">
      <w:pPr>
        <w:pStyle w:val="Bulletedlist"/>
        <w:rPr>
          <w:lang w:val="en-US"/>
        </w:rPr>
      </w:pPr>
      <w:r w:rsidRPr="00881C23">
        <w:rPr>
          <w:lang w:val="en-US"/>
        </w:rPr>
        <w:t>providing education about human rights and the Human Rights Act.</w:t>
      </w:r>
    </w:p>
    <w:p w14:paraId="4482A03B" w14:textId="5C52300D" w:rsidR="008041AD" w:rsidRPr="00881C23" w:rsidRDefault="008041AD" w:rsidP="008041AD">
      <w:pPr>
        <w:pStyle w:val="Numberedparagraph"/>
        <w:rPr>
          <w:lang w:val="en-US"/>
        </w:rPr>
      </w:pPr>
      <w:bookmarkStart w:id="14" w:name="_Ref159856227"/>
      <w:r w:rsidRPr="00881C23">
        <w:rPr>
          <w:lang w:val="en-US"/>
        </w:rPr>
        <w:t xml:space="preserve">In carrying out these functions, the Commission </w:t>
      </w:r>
      <w:r>
        <w:rPr>
          <w:lang w:val="en-US"/>
        </w:rPr>
        <w:t>gives</w:t>
      </w:r>
      <w:r w:rsidRPr="00881C23">
        <w:rPr>
          <w:lang w:val="en-US"/>
        </w:rPr>
        <w:t xml:space="preserve"> detailed consideration to human rights issues arising in the </w:t>
      </w:r>
      <w:r w:rsidR="00C1596E">
        <w:rPr>
          <w:lang w:val="en-US"/>
        </w:rPr>
        <w:t>Y</w:t>
      </w:r>
      <w:r w:rsidRPr="00881C23">
        <w:rPr>
          <w:lang w:val="en-US"/>
        </w:rPr>
        <w:t xml:space="preserve">outh </w:t>
      </w:r>
      <w:r w:rsidR="00C1596E">
        <w:rPr>
          <w:lang w:val="en-US"/>
        </w:rPr>
        <w:t>J</w:t>
      </w:r>
      <w:r w:rsidRPr="00881C23">
        <w:rPr>
          <w:lang w:val="en-US"/>
        </w:rPr>
        <w:t>ustice system for offenders, victims, and the community.</w:t>
      </w:r>
      <w:bookmarkEnd w:id="14"/>
    </w:p>
    <w:p w14:paraId="6249D159" w14:textId="08C03A4B" w:rsidR="008041AD" w:rsidRDefault="008041AD" w:rsidP="008041AD">
      <w:pPr>
        <w:pStyle w:val="Heading1"/>
      </w:pPr>
      <w:bookmarkStart w:id="15" w:name="_Toc159945299"/>
      <w:r>
        <w:t xml:space="preserve">The relevance of human rights to this </w:t>
      </w:r>
      <w:r w:rsidR="00C1596E">
        <w:t>i</w:t>
      </w:r>
      <w:r>
        <w:t>nquiry</w:t>
      </w:r>
      <w:bookmarkEnd w:id="15"/>
    </w:p>
    <w:p w14:paraId="44F11BF9" w14:textId="77777777" w:rsidR="008041AD" w:rsidRPr="00AB76CC" w:rsidRDefault="008041AD" w:rsidP="008041AD">
      <w:pPr>
        <w:pStyle w:val="Numberedparagraph"/>
        <w:rPr>
          <w:lang w:val="en-US"/>
        </w:rPr>
      </w:pPr>
      <w:r>
        <w:t xml:space="preserve">Human rights are rights inherent to all human beings. By promoting respect for human rights, we recognise the dignity and worth of all people. Australia has signed a number of treaties under which it is legally obliged to respect, protect, and fulfil certain recognised human rights, and to provide remedies where those rights are violated. These treaties include the </w:t>
      </w:r>
      <w:r w:rsidRPr="00AB76CC">
        <w:rPr>
          <w:i/>
          <w:iCs/>
        </w:rPr>
        <w:t>International Covenant on Civil and Political Rights</w:t>
      </w:r>
      <w:r>
        <w:t xml:space="preserve">, the </w:t>
      </w:r>
      <w:r w:rsidRPr="00AB76CC">
        <w:rPr>
          <w:i/>
          <w:iCs/>
        </w:rPr>
        <w:t xml:space="preserve">International Covenant on Economic, Social, and Cultural Rights, </w:t>
      </w:r>
      <w:r>
        <w:t xml:space="preserve">the </w:t>
      </w:r>
      <w:r w:rsidRPr="00AB76CC">
        <w:rPr>
          <w:i/>
          <w:iCs/>
        </w:rPr>
        <w:t xml:space="preserve">Convention on the Rights of the Child, </w:t>
      </w:r>
      <w:r w:rsidRPr="00AB76CC">
        <w:t>and</w:t>
      </w:r>
      <w:r w:rsidRPr="00AB76CC">
        <w:rPr>
          <w:i/>
          <w:iCs/>
        </w:rPr>
        <w:t xml:space="preserve"> </w:t>
      </w:r>
      <w:r>
        <w:t xml:space="preserve">the </w:t>
      </w:r>
      <w:r w:rsidRPr="00AB76CC">
        <w:rPr>
          <w:i/>
          <w:iCs/>
        </w:rPr>
        <w:t>Convention on the Rights of Persons with Disabilities</w:t>
      </w:r>
      <w:r>
        <w:t>. However, a treaty only becomes a direct source of individual rights and obligations in Australia once it is incorporated into domestic legislation.</w:t>
      </w:r>
    </w:p>
    <w:p w14:paraId="70CAF4B9" w14:textId="7D5083B8" w:rsidR="008041AD" w:rsidRPr="001B773F" w:rsidRDefault="008041AD" w:rsidP="008041AD">
      <w:pPr>
        <w:pStyle w:val="Numberedparagraph"/>
        <w:rPr>
          <w:lang w:val="en-US"/>
        </w:rPr>
      </w:pPr>
      <w:r>
        <w:rPr>
          <w:lang w:val="en-US"/>
        </w:rPr>
        <w:t xml:space="preserve">The </w:t>
      </w:r>
      <w:r w:rsidR="00C1596E" w:rsidRPr="00C1596E">
        <w:rPr>
          <w:lang w:val="en-US"/>
        </w:rPr>
        <w:t>Human Rights Act</w:t>
      </w:r>
      <w:r>
        <w:rPr>
          <w:lang w:val="en-US"/>
        </w:rPr>
        <w:t xml:space="preserve"> </w:t>
      </w:r>
      <w:r w:rsidRPr="00AB76CC">
        <w:t>consolidates</w:t>
      </w:r>
      <w:r>
        <w:t xml:space="preserve"> and establishes statutory protections for certain rights recognised under international law, including those drawn from the treaties referred to above. The Human Rights Act places obligations on all three arms of government, the legislature, the judiciary and the executive. This means that: </w:t>
      </w:r>
    </w:p>
    <w:p w14:paraId="351B522C" w14:textId="77777777" w:rsidR="008041AD" w:rsidRPr="001B773F" w:rsidRDefault="008041AD" w:rsidP="008041AD">
      <w:pPr>
        <w:pStyle w:val="Bulletedlist"/>
        <w:rPr>
          <w:lang w:val="en-US"/>
        </w:rPr>
      </w:pPr>
      <w:r>
        <w:t xml:space="preserve">Parliament (the legislature) must consider human rights when proposing and scrutinising new laws. </w:t>
      </w:r>
    </w:p>
    <w:p w14:paraId="742C2A4A" w14:textId="77777777" w:rsidR="008041AD" w:rsidRPr="001B773F" w:rsidRDefault="008041AD" w:rsidP="008041AD">
      <w:pPr>
        <w:pStyle w:val="Bulletedlist"/>
        <w:rPr>
          <w:lang w:val="en-US"/>
        </w:rPr>
      </w:pPr>
      <w:r>
        <w:t xml:space="preserve">Courts and tribunals (the judiciary) so far as is possible to do so, must interpret legislation in a way that is compatible with human rights. </w:t>
      </w:r>
    </w:p>
    <w:p w14:paraId="5D5F3D96" w14:textId="77777777" w:rsidR="008041AD" w:rsidRPr="001B773F" w:rsidRDefault="008041AD" w:rsidP="008041AD">
      <w:pPr>
        <w:pStyle w:val="Bulletedlist"/>
        <w:rPr>
          <w:lang w:val="en-US"/>
        </w:rPr>
      </w:pPr>
      <w:r>
        <w:t xml:space="preserve">Public entities (the executive) – such as state government departments, local councils, state schools, the police and non-government organisations and businesses performing a public function must act compatibly with human rights. </w:t>
      </w:r>
    </w:p>
    <w:p w14:paraId="29CA8221" w14:textId="77777777" w:rsidR="008041AD" w:rsidRPr="005F78C2" w:rsidRDefault="008041AD" w:rsidP="008041AD">
      <w:pPr>
        <w:pStyle w:val="Numberedparagraph"/>
        <w:rPr>
          <w:lang w:val="en-US"/>
        </w:rPr>
      </w:pPr>
      <w:bookmarkStart w:id="16" w:name="_Ref159856236"/>
      <w:r>
        <w:lastRenderedPageBreak/>
        <w:t>The Human Rights Act makes it clear that rights can be limited, but only where it is reasonable and justifiable.</w:t>
      </w:r>
      <w:r>
        <w:rPr>
          <w:rStyle w:val="FootnoteReference"/>
        </w:rPr>
        <w:footnoteReference w:id="13"/>
      </w:r>
      <w:r>
        <w:t xml:space="preserve"> It specifies that international law and the judgments of domestic, foreign and international courts and tribunals relevant to a human rights may be considered in interpreting the Act.</w:t>
      </w:r>
      <w:r>
        <w:rPr>
          <w:rStyle w:val="FootnoteReference"/>
        </w:rPr>
        <w:footnoteReference w:id="14"/>
      </w:r>
      <w:r>
        <w:t xml:space="preserve"> In this Inquiry, the rights of victims of crime, children and young people, and those working in the youth justice system are particularly relevant (noting that some of these categories can overlap). The aim must be to maximise the rights of all involved in a way that is consistent with Australia’s international obligations. Relevant rights include:</w:t>
      </w:r>
      <w:bookmarkEnd w:id="16"/>
    </w:p>
    <w:p w14:paraId="58EEEF46" w14:textId="77777777" w:rsidR="008041AD" w:rsidRPr="005F78C2" w:rsidRDefault="008041AD" w:rsidP="008041AD">
      <w:pPr>
        <w:pStyle w:val="Bulletedlist"/>
        <w:rPr>
          <w:lang w:val="en-US"/>
        </w:rPr>
      </w:pPr>
      <w:r>
        <w:t xml:space="preserve">Right to recognition and equality before the law (section 15) </w:t>
      </w:r>
    </w:p>
    <w:p w14:paraId="615E2E9D" w14:textId="77777777" w:rsidR="008041AD" w:rsidRPr="005F78C2" w:rsidRDefault="008041AD" w:rsidP="008041AD">
      <w:pPr>
        <w:pStyle w:val="Bulletedlist"/>
        <w:rPr>
          <w:lang w:val="en-US"/>
        </w:rPr>
      </w:pPr>
      <w:r>
        <w:t xml:space="preserve">Right to life (section 16) </w:t>
      </w:r>
    </w:p>
    <w:p w14:paraId="752F233C" w14:textId="77777777" w:rsidR="008041AD" w:rsidRPr="005F78C2" w:rsidRDefault="008041AD" w:rsidP="008041AD">
      <w:pPr>
        <w:pStyle w:val="Bulletedlist"/>
        <w:rPr>
          <w:lang w:val="en-US"/>
        </w:rPr>
      </w:pPr>
      <w:r>
        <w:t xml:space="preserve">Right to protection from torture and cruel, inhuman or degrading treatment (section 17) </w:t>
      </w:r>
    </w:p>
    <w:p w14:paraId="2C67ABB6" w14:textId="77777777" w:rsidR="008041AD" w:rsidRPr="005F78C2" w:rsidRDefault="008041AD" w:rsidP="008041AD">
      <w:pPr>
        <w:pStyle w:val="Bulletedlist"/>
        <w:rPr>
          <w:lang w:val="en-US"/>
        </w:rPr>
      </w:pPr>
      <w:r>
        <w:t xml:space="preserve">Property rights (section 24) </w:t>
      </w:r>
    </w:p>
    <w:p w14:paraId="203322C9" w14:textId="77777777" w:rsidR="008041AD" w:rsidRPr="005F78C2" w:rsidRDefault="008041AD" w:rsidP="008041AD">
      <w:pPr>
        <w:pStyle w:val="Bulletedlist"/>
        <w:rPr>
          <w:lang w:val="en-US"/>
        </w:rPr>
      </w:pPr>
      <w:r>
        <w:t xml:space="preserve">Right to privacy and reputation (section 25) </w:t>
      </w:r>
    </w:p>
    <w:p w14:paraId="64CA3F4D" w14:textId="77777777" w:rsidR="008041AD" w:rsidRPr="005F78C2" w:rsidRDefault="008041AD" w:rsidP="008041AD">
      <w:pPr>
        <w:pStyle w:val="Bulletedlist"/>
        <w:rPr>
          <w:lang w:val="en-US"/>
        </w:rPr>
      </w:pPr>
      <w:r>
        <w:t xml:space="preserve">Protection of families and children (section 26) </w:t>
      </w:r>
    </w:p>
    <w:p w14:paraId="3DEB5559" w14:textId="77777777" w:rsidR="008041AD" w:rsidRPr="005F78C2" w:rsidRDefault="008041AD" w:rsidP="008041AD">
      <w:pPr>
        <w:pStyle w:val="Bulletedlist"/>
        <w:rPr>
          <w:lang w:val="en-US"/>
        </w:rPr>
      </w:pPr>
      <w:r>
        <w:t xml:space="preserve">Cultural rights – generally (section 27) </w:t>
      </w:r>
    </w:p>
    <w:p w14:paraId="08361226" w14:textId="77777777" w:rsidR="008041AD" w:rsidRPr="005F78C2" w:rsidRDefault="008041AD" w:rsidP="008041AD">
      <w:pPr>
        <w:pStyle w:val="Bulletedlist"/>
        <w:rPr>
          <w:lang w:val="en-US"/>
        </w:rPr>
      </w:pPr>
      <w:r>
        <w:t xml:space="preserve">Cultural rights – Aboriginal peoples and Torres Strait Islander peoples (section 28) </w:t>
      </w:r>
    </w:p>
    <w:p w14:paraId="1D62F4FA" w14:textId="77777777" w:rsidR="008041AD" w:rsidRPr="005F78C2" w:rsidRDefault="008041AD" w:rsidP="008041AD">
      <w:pPr>
        <w:pStyle w:val="Bulletedlist"/>
        <w:rPr>
          <w:lang w:val="en-US"/>
        </w:rPr>
      </w:pPr>
      <w:r>
        <w:t>Right to liberty and security of person (section 29)</w:t>
      </w:r>
    </w:p>
    <w:p w14:paraId="785CE4FF" w14:textId="77777777" w:rsidR="008041AD" w:rsidRPr="005F78C2" w:rsidRDefault="008041AD" w:rsidP="008041AD">
      <w:pPr>
        <w:pStyle w:val="Bulletedlist"/>
        <w:rPr>
          <w:lang w:val="en-US"/>
        </w:rPr>
      </w:pPr>
      <w:r>
        <w:t xml:space="preserve">Right to humane treatment when deprived of liberty (section 30) </w:t>
      </w:r>
    </w:p>
    <w:p w14:paraId="1ECA0419" w14:textId="77777777" w:rsidR="008041AD" w:rsidRPr="00F42CAA" w:rsidRDefault="008041AD" w:rsidP="008041AD">
      <w:pPr>
        <w:pStyle w:val="Bulletedlist"/>
        <w:rPr>
          <w:lang w:val="en-US"/>
        </w:rPr>
      </w:pPr>
      <w:r>
        <w:t xml:space="preserve">Right to a fair hearing (section 31) </w:t>
      </w:r>
    </w:p>
    <w:p w14:paraId="470BF77E" w14:textId="77777777" w:rsidR="008041AD" w:rsidRPr="005F78C2" w:rsidRDefault="008041AD" w:rsidP="008041AD">
      <w:pPr>
        <w:pStyle w:val="Bulletedlist"/>
        <w:rPr>
          <w:lang w:val="en-US"/>
        </w:rPr>
      </w:pPr>
      <w:r>
        <w:t xml:space="preserve">Rights in criminal proceedings (section 32) </w:t>
      </w:r>
    </w:p>
    <w:p w14:paraId="31227065" w14:textId="77777777" w:rsidR="008041AD" w:rsidRPr="005F78C2" w:rsidRDefault="008041AD" w:rsidP="008041AD">
      <w:pPr>
        <w:pStyle w:val="Bulletedlist"/>
        <w:rPr>
          <w:lang w:val="en-US"/>
        </w:rPr>
      </w:pPr>
      <w:r>
        <w:t xml:space="preserve">Rights of children in the criminal process (section 33) </w:t>
      </w:r>
    </w:p>
    <w:p w14:paraId="113EA172" w14:textId="77777777" w:rsidR="008041AD" w:rsidRPr="005F78C2" w:rsidRDefault="008041AD" w:rsidP="008041AD">
      <w:pPr>
        <w:pStyle w:val="Bulletedlist"/>
        <w:rPr>
          <w:lang w:val="en-US"/>
        </w:rPr>
      </w:pPr>
      <w:r>
        <w:t xml:space="preserve">Right to education (section 36) </w:t>
      </w:r>
    </w:p>
    <w:p w14:paraId="2AC44238" w14:textId="77777777" w:rsidR="008041AD" w:rsidRPr="001B773F" w:rsidRDefault="008041AD" w:rsidP="008041AD">
      <w:pPr>
        <w:pStyle w:val="Bulletedlist"/>
        <w:rPr>
          <w:lang w:val="en-US"/>
        </w:rPr>
      </w:pPr>
      <w:r>
        <w:t>Right to health services (section 37)</w:t>
      </w:r>
    </w:p>
    <w:p w14:paraId="5DF05C71" w14:textId="35DAB1B9" w:rsidR="00CD3807" w:rsidRDefault="00CD3807">
      <w:pPr>
        <w:spacing w:after="0"/>
        <w:rPr>
          <w:b/>
          <w:bCs/>
          <w:i/>
          <w:iCs/>
        </w:rPr>
      </w:pPr>
      <w:r>
        <w:rPr>
          <w:b/>
          <w:bCs/>
          <w:i/>
          <w:iCs/>
        </w:rPr>
        <w:br w:type="page"/>
      </w:r>
    </w:p>
    <w:p w14:paraId="72FEAD97" w14:textId="77777777" w:rsidR="00CD3807" w:rsidRDefault="00CD3807" w:rsidP="00CD3807">
      <w:pPr>
        <w:pStyle w:val="Heading1"/>
      </w:pPr>
      <w:bookmarkStart w:id="17" w:name="_Toc159945300"/>
      <w:r>
        <w:lastRenderedPageBreak/>
        <w:t>Appendix A</w:t>
      </w:r>
      <w:bookmarkEnd w:id="17"/>
    </w:p>
    <w:p w14:paraId="21E0D6FB" w14:textId="73196D23" w:rsidR="00FE4078" w:rsidRDefault="00CD3807" w:rsidP="00CD3807">
      <w:pPr>
        <w:pStyle w:val="Heading2"/>
      </w:pPr>
      <w:bookmarkStart w:id="18" w:name="_Toc159945301"/>
      <w:r w:rsidRPr="00CD3807">
        <w:t>Committee on the Rights of the Child, ‘General Comment No. 24 on children’s rights in the child justice system</w:t>
      </w:r>
      <w:r w:rsidR="009B343F">
        <w:t>’</w:t>
      </w:r>
      <w:r>
        <w:t xml:space="preserve"> (2019)</w:t>
      </w:r>
      <w:bookmarkEnd w:id="18"/>
    </w:p>
    <w:p w14:paraId="317CC93C" w14:textId="77777777" w:rsidR="00FE4078" w:rsidRDefault="00FE4078">
      <w:pPr>
        <w:spacing w:after="0"/>
        <w:rPr>
          <w:rFonts w:eastAsiaTheme="majorEastAsia" w:cstheme="majorBidi"/>
          <w:color w:val="004270"/>
          <w:sz w:val="28"/>
          <w:szCs w:val="28"/>
        </w:rPr>
      </w:pPr>
      <w:r>
        <w:br w:type="page"/>
      </w:r>
    </w:p>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E4078" w14:paraId="372589BF" w14:textId="77777777" w:rsidTr="00F65676">
        <w:trPr>
          <w:trHeight w:val="851"/>
        </w:trPr>
        <w:tc>
          <w:tcPr>
            <w:tcW w:w="1259" w:type="dxa"/>
            <w:tcBorders>
              <w:top w:val="nil"/>
              <w:left w:val="nil"/>
              <w:bottom w:val="single" w:sz="4" w:space="0" w:color="auto"/>
              <w:right w:val="nil"/>
            </w:tcBorders>
          </w:tcPr>
          <w:p w14:paraId="2C1B8064" w14:textId="77777777" w:rsidR="00FE4078" w:rsidRDefault="00FE4078" w:rsidP="00197DDD">
            <w:pPr>
              <w:spacing w:after="80" w:line="340" w:lineRule="exact"/>
            </w:pPr>
          </w:p>
        </w:tc>
        <w:tc>
          <w:tcPr>
            <w:tcW w:w="2236" w:type="dxa"/>
            <w:tcBorders>
              <w:top w:val="nil"/>
              <w:left w:val="nil"/>
              <w:bottom w:val="single" w:sz="4" w:space="0" w:color="auto"/>
              <w:right w:val="nil"/>
            </w:tcBorders>
            <w:vAlign w:val="bottom"/>
          </w:tcPr>
          <w:p w14:paraId="36195618" w14:textId="77777777" w:rsidR="00FE4078" w:rsidRPr="00963CBA" w:rsidRDefault="00FE4078" w:rsidP="00197DDD">
            <w:pPr>
              <w:spacing w:after="80" w:line="340" w:lineRule="exact"/>
              <w:rPr>
                <w:sz w:val="28"/>
                <w:szCs w:val="28"/>
              </w:rPr>
            </w:pPr>
            <w:r w:rsidRPr="00E110B2">
              <w:rPr>
                <w:sz w:val="28"/>
                <w:szCs w:val="28"/>
              </w:rPr>
              <w:t>United Nations</w:t>
            </w:r>
          </w:p>
        </w:tc>
        <w:tc>
          <w:tcPr>
            <w:tcW w:w="6144" w:type="dxa"/>
            <w:gridSpan w:val="2"/>
            <w:tcBorders>
              <w:top w:val="nil"/>
              <w:left w:val="nil"/>
              <w:bottom w:val="single" w:sz="4" w:space="0" w:color="auto"/>
              <w:right w:val="nil"/>
            </w:tcBorders>
            <w:vAlign w:val="bottom"/>
          </w:tcPr>
          <w:p w14:paraId="0508A16D" w14:textId="77777777" w:rsidR="00FE4078" w:rsidRPr="00942BE3" w:rsidRDefault="00FE4078" w:rsidP="004E782F">
            <w:pPr>
              <w:jc w:val="right"/>
            </w:pPr>
            <w:r w:rsidRPr="004E782F">
              <w:rPr>
                <w:sz w:val="40"/>
              </w:rPr>
              <w:t>CRC</w:t>
            </w:r>
            <w:r>
              <w:t>/C/GC/24</w:t>
            </w:r>
            <w:r w:rsidRPr="00F81F0E">
              <w:rPr>
                <w:rStyle w:val="FootnoteReference"/>
                <w:sz w:val="20"/>
                <w:vertAlign w:val="baseline"/>
              </w:rPr>
              <w:footnoteReference w:customMarkFollows="1" w:id="15"/>
              <w:t>*</w:t>
            </w:r>
          </w:p>
        </w:tc>
      </w:tr>
      <w:tr w:rsidR="00FE4078" w14:paraId="66E42332" w14:textId="77777777" w:rsidTr="00F65676">
        <w:trPr>
          <w:trHeight w:val="2835"/>
        </w:trPr>
        <w:tc>
          <w:tcPr>
            <w:tcW w:w="1259" w:type="dxa"/>
            <w:tcBorders>
              <w:top w:val="single" w:sz="4" w:space="0" w:color="auto"/>
              <w:left w:val="nil"/>
              <w:bottom w:val="single" w:sz="12" w:space="0" w:color="auto"/>
              <w:right w:val="nil"/>
            </w:tcBorders>
          </w:tcPr>
          <w:p w14:paraId="3622323D" w14:textId="77777777" w:rsidR="00FE4078" w:rsidRDefault="00FE4078" w:rsidP="00197DDD">
            <w:pPr>
              <w:spacing w:before="120"/>
              <w:jc w:val="center"/>
            </w:pPr>
            <w:r w:rsidRPr="00E110B2">
              <w:rPr>
                <w:noProof/>
                <w:lang w:val="en-US" w:eastAsia="zh-CN"/>
              </w:rPr>
              <w:drawing>
                <wp:inline distT="0" distB="0" distL="0" distR="0" wp14:anchorId="66CB943A" wp14:editId="2B026863">
                  <wp:extent cx="714375" cy="590550"/>
                  <wp:effectExtent l="0" t="0" r="9525"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8EE1D6F" w14:textId="77777777" w:rsidR="00FE4078" w:rsidRPr="00B3317B" w:rsidRDefault="00FE4078" w:rsidP="00197DDD">
            <w:pPr>
              <w:spacing w:before="120" w:line="420" w:lineRule="exact"/>
              <w:rPr>
                <w:b/>
                <w:sz w:val="40"/>
                <w:szCs w:val="40"/>
              </w:rPr>
            </w:pPr>
            <w:r w:rsidRPr="00E110B2">
              <w:rPr>
                <w:b/>
                <w:sz w:val="40"/>
                <w:szCs w:val="40"/>
              </w:rPr>
              <w:t>Convention on the</w:t>
            </w:r>
            <w:r w:rsidRPr="00E110B2">
              <w:rPr>
                <w:b/>
                <w:sz w:val="40"/>
                <w:szCs w:val="40"/>
              </w:rPr>
              <w:br/>
              <w:t>Rights of the Child</w:t>
            </w:r>
          </w:p>
        </w:tc>
        <w:tc>
          <w:tcPr>
            <w:tcW w:w="2930" w:type="dxa"/>
            <w:tcBorders>
              <w:top w:val="single" w:sz="4" w:space="0" w:color="auto"/>
              <w:left w:val="nil"/>
              <w:bottom w:val="single" w:sz="12" w:space="0" w:color="auto"/>
              <w:right w:val="nil"/>
            </w:tcBorders>
          </w:tcPr>
          <w:p w14:paraId="41EC0BE8" w14:textId="77777777" w:rsidR="00FE4078" w:rsidRDefault="00FE4078" w:rsidP="004E782F">
            <w:pPr>
              <w:spacing w:before="240" w:line="240" w:lineRule="exact"/>
            </w:pPr>
            <w:r>
              <w:t>Distr.: General</w:t>
            </w:r>
          </w:p>
          <w:p w14:paraId="1791A24B" w14:textId="77777777" w:rsidR="00FE4078" w:rsidRDefault="00FE4078" w:rsidP="004E782F">
            <w:pPr>
              <w:spacing w:line="240" w:lineRule="exact"/>
            </w:pPr>
            <w:r>
              <w:t>18 September</w:t>
            </w:r>
            <w:r w:rsidRPr="00CA6D7B">
              <w:t xml:space="preserve"> 2019</w:t>
            </w:r>
          </w:p>
          <w:p w14:paraId="490BD703" w14:textId="77777777" w:rsidR="00FE4078" w:rsidRDefault="00FE4078" w:rsidP="004E782F">
            <w:pPr>
              <w:spacing w:line="240" w:lineRule="exact"/>
            </w:pPr>
          </w:p>
          <w:p w14:paraId="664457AB" w14:textId="77777777" w:rsidR="00FE4078" w:rsidRDefault="00FE4078" w:rsidP="004E782F">
            <w:pPr>
              <w:spacing w:line="240" w:lineRule="exact"/>
            </w:pPr>
            <w:r>
              <w:t>Original: English</w:t>
            </w:r>
          </w:p>
        </w:tc>
      </w:tr>
    </w:tbl>
    <w:p w14:paraId="59271A77" w14:textId="77777777" w:rsidR="00FE4078" w:rsidRPr="00F65676" w:rsidRDefault="00FE4078" w:rsidP="00F65676">
      <w:pPr>
        <w:spacing w:before="120"/>
        <w:rPr>
          <w:b/>
          <w:sz w:val="24"/>
        </w:rPr>
      </w:pPr>
      <w:r w:rsidRPr="00F65676">
        <w:rPr>
          <w:b/>
          <w:sz w:val="24"/>
        </w:rPr>
        <w:t>Committee on the Rights of the Child</w:t>
      </w:r>
    </w:p>
    <w:p w14:paraId="4C2F373F" w14:textId="77777777" w:rsidR="00FE4078" w:rsidRPr="00F65676" w:rsidRDefault="00FE4078" w:rsidP="002C2556">
      <w:pPr>
        <w:pStyle w:val="HChG"/>
      </w:pPr>
      <w:r w:rsidRPr="00F65676">
        <w:tab/>
      </w:r>
      <w:r w:rsidRPr="00F65676">
        <w:tab/>
      </w:r>
      <w:r w:rsidRPr="00561D9D">
        <w:t xml:space="preserve">General </w:t>
      </w:r>
      <w:r>
        <w:t>c</w:t>
      </w:r>
      <w:r w:rsidRPr="00561D9D">
        <w:t xml:space="preserve">omment No. 24 (2019) </w:t>
      </w:r>
      <w:r>
        <w:t>on c</w:t>
      </w:r>
      <w:r w:rsidRPr="00561D9D">
        <w:t>hildren’s rights in the child justice system</w:t>
      </w:r>
    </w:p>
    <w:p w14:paraId="4A675AEE" w14:textId="77777777" w:rsidR="00FE4078" w:rsidRPr="000435F2" w:rsidRDefault="00FE4078" w:rsidP="004E782F">
      <w:pPr>
        <w:pStyle w:val="HChG"/>
      </w:pPr>
      <w:r>
        <w:br w:type="page"/>
      </w:r>
      <w:r w:rsidRPr="000435F2">
        <w:lastRenderedPageBreak/>
        <w:tab/>
        <w:t>I.</w:t>
      </w:r>
      <w:r w:rsidRPr="000435F2">
        <w:tab/>
        <w:t>Introduction</w:t>
      </w:r>
    </w:p>
    <w:p w14:paraId="7A183DA4" w14:textId="77777777" w:rsidR="00FE4078" w:rsidRPr="00AF3238" w:rsidRDefault="00FE4078" w:rsidP="0075567E">
      <w:pPr>
        <w:pStyle w:val="SingleTxtG"/>
      </w:pPr>
      <w:r w:rsidRPr="00AF3238">
        <w:t>1.</w:t>
      </w:r>
      <w:r w:rsidRPr="00AF3238">
        <w:tab/>
      </w:r>
      <w:r w:rsidRPr="000435F2">
        <w:t>Th</w:t>
      </w:r>
      <w:r>
        <w:t>e present</w:t>
      </w:r>
      <w:r w:rsidRPr="000435F2">
        <w:t xml:space="preserve"> general comment</w:t>
      </w:r>
      <w:r>
        <w:t xml:space="preserve"> replaces</w:t>
      </w:r>
      <w:r w:rsidRPr="000435F2">
        <w:t xml:space="preserve"> general comment No. 10</w:t>
      </w:r>
      <w:r>
        <w:t xml:space="preserve"> (</w:t>
      </w:r>
      <w:r w:rsidRPr="000435F2">
        <w:t>2007</w:t>
      </w:r>
      <w:r>
        <w:t>) on children’s rights in juvenile justice</w:t>
      </w:r>
      <w:r w:rsidRPr="000435F2">
        <w:t xml:space="preserve">. It reflects the developments that have occurred </w:t>
      </w:r>
      <w:r>
        <w:t>since 2007</w:t>
      </w:r>
      <w:r w:rsidRPr="000435F2">
        <w:t xml:space="preserve"> </w:t>
      </w:r>
      <w:r>
        <w:t>as a result of</w:t>
      </w:r>
      <w:r w:rsidRPr="000435F2">
        <w:t xml:space="preserve"> the promulgation of </w:t>
      </w:r>
      <w:r>
        <w:t>international and regional standards,</w:t>
      </w:r>
      <w:r w:rsidRPr="000435F2">
        <w:t xml:space="preserve"> the Committee’s jurisprudence</w:t>
      </w:r>
      <w:r>
        <w:t xml:space="preserve">, new </w:t>
      </w:r>
      <w:r w:rsidRPr="000435F2">
        <w:t xml:space="preserve">knowledge about child and adolescent development, </w:t>
      </w:r>
      <w:r>
        <w:t>and evidence of effective practices, including those relating to restorative justice. It also reflects</w:t>
      </w:r>
      <w:r w:rsidRPr="000435F2">
        <w:t xml:space="preserve"> concerns</w:t>
      </w:r>
      <w:r>
        <w:t xml:space="preserve"> such as the trends relating to the </w:t>
      </w:r>
      <w:r w:rsidRPr="000435F2">
        <w:t>minimum age of criminal responsibility</w:t>
      </w:r>
      <w:r>
        <w:t xml:space="preserve"> and</w:t>
      </w:r>
      <w:r w:rsidRPr="000435F2">
        <w:t xml:space="preserve"> the persistent use of deprivation of liberty</w:t>
      </w:r>
      <w:r>
        <w:t>. The general comment covers</w:t>
      </w:r>
      <w:r w:rsidRPr="000435F2">
        <w:t xml:space="preserve"> </w:t>
      </w:r>
      <w:r w:rsidRPr="00304FCD">
        <w:t xml:space="preserve">specific issues, such as </w:t>
      </w:r>
      <w:r>
        <w:t>issues</w:t>
      </w:r>
      <w:r w:rsidRPr="00304FCD">
        <w:t xml:space="preserve"> relating to children</w:t>
      </w:r>
      <w:r w:rsidRPr="000435F2">
        <w:t xml:space="preserve"> </w:t>
      </w:r>
      <w:r w:rsidRPr="008B1993">
        <w:t xml:space="preserve">recruited and used by non-State armed groups, including </w:t>
      </w:r>
      <w:r w:rsidRPr="00304FCD">
        <w:t>those</w:t>
      </w:r>
      <w:r>
        <w:t xml:space="preserve"> designated as </w:t>
      </w:r>
      <w:r w:rsidRPr="000435F2">
        <w:t>terrorist</w:t>
      </w:r>
      <w:r>
        <w:t xml:space="preserve"> groups</w:t>
      </w:r>
      <w:r w:rsidRPr="000435F2">
        <w:t xml:space="preserve">, and children </w:t>
      </w:r>
      <w:r w:rsidRPr="00AF3238">
        <w:t xml:space="preserve">in customary, indigenous or other non-State justice systems. </w:t>
      </w:r>
    </w:p>
    <w:p w14:paraId="0F01ACF9" w14:textId="77777777" w:rsidR="00FE4078" w:rsidRPr="00895F83" w:rsidRDefault="00FE4078" w:rsidP="0075567E">
      <w:pPr>
        <w:pStyle w:val="SingleTxtG"/>
        <w:rPr>
          <w:lang w:val="en-US"/>
        </w:rPr>
      </w:pPr>
      <w:r w:rsidRPr="00895F83">
        <w:t>2.</w:t>
      </w:r>
      <w:r w:rsidRPr="00895F83">
        <w:tab/>
      </w:r>
      <w:r>
        <w:rPr>
          <w:lang w:val="en-US"/>
        </w:rPr>
        <w:t>Children differ from adults in their physical and psychological development. Such differences constitute the basis for the recognition of lesser culpability, and for a separate system with a differentiated, individualized approach.</w:t>
      </w:r>
      <w:r w:rsidRPr="00636393">
        <w:rPr>
          <w:lang w:val="en-US"/>
        </w:rPr>
        <w:t xml:space="preserve"> </w:t>
      </w:r>
      <w:r w:rsidRPr="00895F83">
        <w:rPr>
          <w:lang w:val="en-US"/>
        </w:rPr>
        <w:t>Exposure to the criminal justice system has been demonstrated to cause harm to children, limiting their chances of becoming responsible adults.</w:t>
      </w:r>
    </w:p>
    <w:p w14:paraId="4E55919E" w14:textId="77777777" w:rsidR="00FE4078" w:rsidRPr="001733C8" w:rsidRDefault="00FE4078" w:rsidP="0075567E">
      <w:pPr>
        <w:pStyle w:val="SingleTxtG"/>
        <w:rPr>
          <w:lang w:val="en-US"/>
        </w:rPr>
      </w:pPr>
      <w:r w:rsidRPr="001733C8">
        <w:t>3.</w:t>
      </w:r>
      <w:r w:rsidRPr="001733C8">
        <w:tab/>
      </w:r>
      <w:r w:rsidRPr="000435F2">
        <w:t xml:space="preserve">The Committee acknowledges that </w:t>
      </w:r>
      <w:r>
        <w:t xml:space="preserve">preservation of public </w:t>
      </w:r>
      <w:r w:rsidRPr="000435F2">
        <w:t xml:space="preserve">safety is a legitimate aim of the justice system, including the </w:t>
      </w:r>
      <w:r>
        <w:t xml:space="preserve">child </w:t>
      </w:r>
      <w:r w:rsidRPr="000435F2">
        <w:t>justice system. However</w:t>
      </w:r>
      <w:r>
        <w:t xml:space="preserve">, States parties should serve this aim subject to their obligations to </w:t>
      </w:r>
      <w:r w:rsidRPr="000435F2">
        <w:t xml:space="preserve">respect and implement the principles of </w:t>
      </w:r>
      <w:r>
        <w:t xml:space="preserve">child </w:t>
      </w:r>
      <w:r w:rsidRPr="000435F2">
        <w:t>justice as enshrined in</w:t>
      </w:r>
      <w:r>
        <w:t xml:space="preserve"> </w:t>
      </w:r>
      <w:r w:rsidRPr="000435F2">
        <w:t>the</w:t>
      </w:r>
      <w:r>
        <w:t xml:space="preserve"> </w:t>
      </w:r>
      <w:r w:rsidRPr="000435F2">
        <w:t>Convention on the Rights of the Child</w:t>
      </w:r>
      <w:r>
        <w:t>.</w:t>
      </w:r>
      <w:r w:rsidRPr="0073552C">
        <w:rPr>
          <w:lang w:val="en-US"/>
        </w:rPr>
        <w:t xml:space="preserve"> </w:t>
      </w:r>
      <w:r>
        <w:rPr>
          <w:lang w:val="en-US"/>
        </w:rPr>
        <w:t xml:space="preserve">As the Convention clearly states in article 40, every child alleged as, accused of or recognized as having infringed criminal law should always be treated in a manner consistent with the promotion of the child’s sense of dignity and worth. </w:t>
      </w:r>
      <w:r w:rsidRPr="007E06A0">
        <w:rPr>
          <w:lang w:val="en-US"/>
        </w:rPr>
        <w:t xml:space="preserve">Evidence shows that the prevalence of crime committed by children tends to </w:t>
      </w:r>
      <w:r>
        <w:rPr>
          <w:lang w:val="en-US"/>
        </w:rPr>
        <w:t>decrease</w:t>
      </w:r>
      <w:r w:rsidRPr="007E06A0">
        <w:rPr>
          <w:lang w:val="en-US"/>
        </w:rPr>
        <w:t xml:space="preserve"> after the adoption of systems in line with these principles.</w:t>
      </w:r>
      <w:r>
        <w:rPr>
          <w:lang w:val="en-US"/>
        </w:rPr>
        <w:t xml:space="preserve"> </w:t>
      </w:r>
    </w:p>
    <w:p w14:paraId="43C026FA" w14:textId="77777777" w:rsidR="00FE4078" w:rsidRPr="0023048B" w:rsidRDefault="00FE4078" w:rsidP="0075567E">
      <w:pPr>
        <w:pStyle w:val="SingleTxtG"/>
      </w:pPr>
      <w:r w:rsidRPr="0023048B">
        <w:t>4.</w:t>
      </w:r>
      <w:r w:rsidRPr="0023048B">
        <w:tab/>
        <w:t>The Committee welcomes the many efforts</w:t>
      </w:r>
      <w:r>
        <w:t xml:space="preserve"> made</w:t>
      </w:r>
      <w:r w:rsidRPr="0023048B">
        <w:t xml:space="preserve"> to establish child justice systems in compliance with </w:t>
      </w:r>
      <w:r>
        <w:t>the Convention</w:t>
      </w:r>
      <w:r w:rsidRPr="0023048B">
        <w:t xml:space="preserve">. Those </w:t>
      </w:r>
      <w:r>
        <w:t>S</w:t>
      </w:r>
      <w:r w:rsidRPr="0023048B">
        <w:t>tates hav</w:t>
      </w:r>
      <w:r>
        <w:t>ing</w:t>
      </w:r>
      <w:r w:rsidRPr="0023048B">
        <w:t xml:space="preserve"> provisions </w:t>
      </w:r>
      <w:r>
        <w:t>that</w:t>
      </w:r>
      <w:r w:rsidRPr="0023048B">
        <w:t xml:space="preserve"> are more conducive to the rights of children than those contained in </w:t>
      </w:r>
      <w:r>
        <w:t>the Convention</w:t>
      </w:r>
      <w:r w:rsidRPr="0023048B">
        <w:t xml:space="preserve"> and th</w:t>
      </w:r>
      <w:r>
        <w:t>e present</w:t>
      </w:r>
      <w:r w:rsidRPr="0023048B">
        <w:t xml:space="preserve"> general comment are commended, and reminded that</w:t>
      </w:r>
      <w:r>
        <w:t>,</w:t>
      </w:r>
      <w:r w:rsidRPr="0023048B">
        <w:t xml:space="preserve"> in accordance with article 41 of the </w:t>
      </w:r>
      <w:r>
        <w:t>Convention</w:t>
      </w:r>
      <w:r w:rsidRPr="0023048B">
        <w:t xml:space="preserve">, they should not take any retrogressive steps. State party reports indicate that many States parties still </w:t>
      </w:r>
      <w:r>
        <w:t>require significant investment to achieve</w:t>
      </w:r>
      <w:r w:rsidRPr="0023048B">
        <w:t xml:space="preserve"> full compliance with the </w:t>
      </w:r>
      <w:r>
        <w:t>Convention</w:t>
      </w:r>
      <w:r w:rsidRPr="0023048B">
        <w:t xml:space="preserve">, particularly regarding prevention, early intervention, the development and implementation of diversion measures, a multidisciplinary approach, the minimum age of criminal responsibility and </w:t>
      </w:r>
      <w:r>
        <w:t xml:space="preserve">the </w:t>
      </w:r>
      <w:r w:rsidRPr="0023048B">
        <w:t>reduc</w:t>
      </w:r>
      <w:r>
        <w:t>tion of</w:t>
      </w:r>
      <w:r w:rsidRPr="0023048B">
        <w:t xml:space="preserve"> </w:t>
      </w:r>
      <w:r w:rsidRPr="0023048B">
        <w:lastRenderedPageBreak/>
        <w:t>deprivation of liberty. The Committee draws States’ attention to the</w:t>
      </w:r>
      <w:r>
        <w:t xml:space="preserve"> report of the Independent Expert leading the United Nations</w:t>
      </w:r>
      <w:r w:rsidRPr="0023048B">
        <w:t xml:space="preserve"> </w:t>
      </w:r>
      <w:r>
        <w:t>g</w:t>
      </w:r>
      <w:r w:rsidRPr="0023048B">
        <w:t xml:space="preserve">lobal </w:t>
      </w:r>
      <w:r>
        <w:t>s</w:t>
      </w:r>
      <w:r w:rsidRPr="0023048B">
        <w:t xml:space="preserve">tudy on </w:t>
      </w:r>
      <w:r>
        <w:t>c</w:t>
      </w:r>
      <w:r w:rsidRPr="0023048B">
        <w:t xml:space="preserve">hildren </w:t>
      </w:r>
      <w:r>
        <w:t>d</w:t>
      </w:r>
      <w:r w:rsidRPr="0023048B">
        <w:t xml:space="preserve">eprived of their </w:t>
      </w:r>
      <w:r>
        <w:t>l</w:t>
      </w:r>
      <w:r w:rsidRPr="0023048B">
        <w:t>iberty</w:t>
      </w:r>
      <w:r>
        <w:t xml:space="preserve"> (A/74/136)</w:t>
      </w:r>
      <w:r w:rsidRPr="0023048B">
        <w:t xml:space="preserve">, </w:t>
      </w:r>
      <w:r>
        <w:t>submitted pursuant</w:t>
      </w:r>
      <w:r w:rsidRPr="0023048B">
        <w:t xml:space="preserve"> </w:t>
      </w:r>
      <w:r>
        <w:t>to</w:t>
      </w:r>
      <w:r w:rsidRPr="0023048B">
        <w:t xml:space="preserve"> General Assembly resolution 69/157</w:t>
      </w:r>
      <w:r>
        <w:t>, which had been</w:t>
      </w:r>
      <w:r w:rsidRPr="0023048B">
        <w:t xml:space="preserve"> initiated by the Committee.</w:t>
      </w:r>
    </w:p>
    <w:p w14:paraId="3DA410B9" w14:textId="77777777" w:rsidR="00FE4078" w:rsidRPr="001733C8" w:rsidRDefault="00FE4078" w:rsidP="001733C8">
      <w:pPr>
        <w:pStyle w:val="SingleTxtG"/>
        <w:rPr>
          <w:b/>
          <w:lang w:val="en-US"/>
        </w:rPr>
      </w:pPr>
      <w:r>
        <w:rPr>
          <w:lang w:val="en-US"/>
        </w:rPr>
        <w:t>5.</w:t>
      </w:r>
      <w:r>
        <w:rPr>
          <w:lang w:val="en-US"/>
        </w:rPr>
        <w:tab/>
        <w:t>In the past decade, s</w:t>
      </w:r>
      <w:r w:rsidRPr="000435F2">
        <w:rPr>
          <w:lang w:val="en-US"/>
        </w:rPr>
        <w:t xml:space="preserve">everal declarations and guidelines </w:t>
      </w:r>
      <w:r>
        <w:rPr>
          <w:lang w:val="en-US"/>
        </w:rPr>
        <w:t>that</w:t>
      </w:r>
      <w:r w:rsidRPr="000435F2">
        <w:rPr>
          <w:lang w:val="en-US"/>
        </w:rPr>
        <w:t xml:space="preserve"> promote access to justice and child-friendly justice have been adopted by international and regional bodies. These frameworks </w:t>
      </w:r>
      <w:r>
        <w:rPr>
          <w:lang w:val="en-US"/>
        </w:rPr>
        <w:t>cover</w:t>
      </w:r>
      <w:r w:rsidRPr="000435F2">
        <w:rPr>
          <w:lang w:val="en-US"/>
        </w:rPr>
        <w:t xml:space="preserve"> children in all aspects of the justice systems, including child victims and witnesses of crime, children in welfare proceedings and </w:t>
      </w:r>
      <w:r>
        <w:rPr>
          <w:lang w:val="en-US"/>
        </w:rPr>
        <w:t xml:space="preserve">children </w:t>
      </w:r>
      <w:r w:rsidRPr="000435F2">
        <w:rPr>
          <w:lang w:val="en-US"/>
        </w:rPr>
        <w:t>before administrative tribunals. These developments, valuable though they are, fall outside of the scope of th</w:t>
      </w:r>
      <w:r>
        <w:rPr>
          <w:lang w:val="en-US"/>
        </w:rPr>
        <w:t>e present</w:t>
      </w:r>
      <w:r w:rsidRPr="000435F2">
        <w:rPr>
          <w:lang w:val="en-US"/>
        </w:rPr>
        <w:t xml:space="preserve"> general comment</w:t>
      </w:r>
      <w:r>
        <w:rPr>
          <w:lang w:val="en-US"/>
        </w:rPr>
        <w:t>, which is focused on children alleged as, accused of or recognized as having infringed criminal law</w:t>
      </w:r>
      <w:r w:rsidRPr="000435F2">
        <w:rPr>
          <w:lang w:val="en-US"/>
        </w:rPr>
        <w:t>.</w:t>
      </w:r>
      <w:r w:rsidRPr="001733C8">
        <w:rPr>
          <w:b/>
          <w:lang w:val="en-US"/>
        </w:rPr>
        <w:t xml:space="preserve"> </w:t>
      </w:r>
    </w:p>
    <w:p w14:paraId="5A22631F" w14:textId="77777777" w:rsidR="00FE4078" w:rsidRDefault="00FE4078" w:rsidP="004E782F">
      <w:pPr>
        <w:pStyle w:val="HChG"/>
        <w:rPr>
          <w:lang w:val="en-US"/>
        </w:rPr>
      </w:pPr>
      <w:r w:rsidRPr="00094C5E">
        <w:rPr>
          <w:lang w:val="en-US"/>
        </w:rPr>
        <w:tab/>
      </w:r>
      <w:r>
        <w:rPr>
          <w:lang w:val="en-US"/>
        </w:rPr>
        <w:t>II.</w:t>
      </w:r>
      <w:r>
        <w:rPr>
          <w:lang w:val="en-US"/>
        </w:rPr>
        <w:tab/>
        <w:t xml:space="preserve">Objectives and scope </w:t>
      </w:r>
    </w:p>
    <w:p w14:paraId="744174E6" w14:textId="77777777" w:rsidR="00FE4078" w:rsidRPr="00094C5E" w:rsidRDefault="00FE4078" w:rsidP="007A47DA">
      <w:pPr>
        <w:pStyle w:val="SingleTxtG"/>
        <w:rPr>
          <w:lang w:val="en-US"/>
        </w:rPr>
      </w:pPr>
      <w:r>
        <w:rPr>
          <w:lang w:val="en-US"/>
        </w:rPr>
        <w:t>6.</w:t>
      </w:r>
      <w:r>
        <w:rPr>
          <w:lang w:val="en-US"/>
        </w:rPr>
        <w:tab/>
      </w:r>
      <w:r w:rsidRPr="00094C5E">
        <w:rPr>
          <w:lang w:val="en-US"/>
        </w:rPr>
        <w:t>The objectives and scope of the present general comment are:</w:t>
      </w:r>
    </w:p>
    <w:p w14:paraId="0E2E9731" w14:textId="77777777" w:rsidR="00FE4078" w:rsidRPr="001733C8" w:rsidRDefault="00FE4078" w:rsidP="0075567E">
      <w:pPr>
        <w:pStyle w:val="SingleTxtG"/>
        <w:ind w:firstLine="567"/>
      </w:pPr>
      <w:r w:rsidRPr="001733C8">
        <w:t>(a)</w:t>
      </w:r>
      <w:r w:rsidRPr="001733C8">
        <w:tab/>
        <w:t xml:space="preserve">To provide a </w:t>
      </w:r>
      <w:r w:rsidRPr="007A47DA">
        <w:rPr>
          <w:lang w:val="en-US"/>
        </w:rPr>
        <w:t>contemporary</w:t>
      </w:r>
      <w:r w:rsidRPr="001733C8">
        <w:t xml:space="preserve"> consideration of the </w:t>
      </w:r>
      <w:r>
        <w:t xml:space="preserve">relevant </w:t>
      </w:r>
      <w:r w:rsidRPr="001733C8">
        <w:t>articles</w:t>
      </w:r>
      <w:r>
        <w:t xml:space="preserve"> and principles</w:t>
      </w:r>
      <w:r w:rsidRPr="001733C8">
        <w:t xml:space="preserve"> in the C</w:t>
      </w:r>
      <w:r>
        <w:t>onvention on the Rights of the Child</w:t>
      </w:r>
      <w:r w:rsidRPr="001733C8">
        <w:t xml:space="preserve">, and to guide </w:t>
      </w:r>
      <w:r>
        <w:t>S</w:t>
      </w:r>
      <w:r w:rsidRPr="001733C8">
        <w:t>tates towards a holistic implementation of child justice systems that promote and protect children’s rights</w:t>
      </w:r>
      <w:r>
        <w:t>;</w:t>
      </w:r>
    </w:p>
    <w:p w14:paraId="2C6ADB30" w14:textId="77777777" w:rsidR="00FE4078" w:rsidRDefault="00FE4078" w:rsidP="0075567E">
      <w:pPr>
        <w:pStyle w:val="SingleTxtG"/>
        <w:ind w:firstLine="567"/>
      </w:pPr>
      <w:r>
        <w:t>(b)</w:t>
      </w:r>
      <w:r>
        <w:tab/>
      </w:r>
      <w:r w:rsidRPr="001733C8">
        <w:t xml:space="preserve">To reiterate the importance of </w:t>
      </w:r>
      <w:r>
        <w:t xml:space="preserve">prevention and early intervention, and of </w:t>
      </w:r>
      <w:r w:rsidRPr="001733C8">
        <w:t>protecting children’s rights at all stages of the system</w:t>
      </w:r>
      <w:r>
        <w:t>;</w:t>
      </w:r>
    </w:p>
    <w:p w14:paraId="1A67969C" w14:textId="77777777" w:rsidR="00FE4078" w:rsidRPr="001733C8" w:rsidRDefault="00FE4078" w:rsidP="0075567E">
      <w:pPr>
        <w:pStyle w:val="SingleTxtG"/>
        <w:ind w:firstLine="567"/>
      </w:pPr>
      <w:r w:rsidRPr="001733C8">
        <w:t>(c)</w:t>
      </w:r>
      <w:r w:rsidRPr="001733C8">
        <w:tab/>
      </w:r>
      <w:r>
        <w:t>To promote</w:t>
      </w:r>
      <w:r w:rsidRPr="001733C8">
        <w:t xml:space="preserve"> key strategies </w:t>
      </w:r>
      <w:r>
        <w:t>for</w:t>
      </w:r>
      <w:r w:rsidRPr="001733C8">
        <w:t xml:space="preserve"> reduc</w:t>
      </w:r>
      <w:r>
        <w:t>ing</w:t>
      </w:r>
      <w:r w:rsidRPr="001733C8">
        <w:t xml:space="preserve"> the especially harmful effects</w:t>
      </w:r>
      <w:r>
        <w:t xml:space="preserve"> of contact with the criminal justice system</w:t>
      </w:r>
      <w:r w:rsidRPr="001733C8">
        <w:t>, in line with increased knowledge about children’s development, in particular</w:t>
      </w:r>
      <w:r>
        <w:t>:</w:t>
      </w:r>
    </w:p>
    <w:p w14:paraId="13098DCE" w14:textId="77777777" w:rsidR="00FE4078" w:rsidRPr="0075567E" w:rsidRDefault="00FE4078" w:rsidP="0075567E">
      <w:pPr>
        <w:pStyle w:val="SingleTxtG"/>
        <w:ind w:left="1701"/>
      </w:pPr>
      <w:r>
        <w:rPr>
          <w:rFonts w:eastAsiaTheme="minorHAnsi"/>
          <w:lang w:val="en-ZA"/>
        </w:rPr>
        <w:t>(i)</w:t>
      </w:r>
      <w:r>
        <w:rPr>
          <w:rFonts w:eastAsiaTheme="minorHAnsi"/>
          <w:lang w:val="en-ZA"/>
        </w:rPr>
        <w:tab/>
      </w:r>
      <w:r w:rsidRPr="0075567E">
        <w:t>Setting an appropriate minimum age of criminal responsibility and ensuring the appropriate treatment of children on either side of that age;</w:t>
      </w:r>
    </w:p>
    <w:p w14:paraId="7091D4FA" w14:textId="77777777" w:rsidR="00FE4078" w:rsidRPr="0075567E" w:rsidRDefault="00FE4078" w:rsidP="0075567E">
      <w:pPr>
        <w:pStyle w:val="SingleTxtG"/>
        <w:ind w:left="1701"/>
      </w:pPr>
      <w:r w:rsidRPr="001733C8">
        <w:rPr>
          <w:rFonts w:eastAsiaTheme="minorHAnsi"/>
          <w:lang w:val="en-ZA"/>
        </w:rPr>
        <w:t>(ii)</w:t>
      </w:r>
      <w:r w:rsidRPr="001733C8">
        <w:rPr>
          <w:rFonts w:eastAsiaTheme="minorHAnsi"/>
          <w:lang w:val="en-ZA"/>
        </w:rPr>
        <w:tab/>
      </w:r>
      <w:r w:rsidRPr="0075567E">
        <w:t xml:space="preserve">Scaling up the diversion of children away from formal justice processes and to effective programmes; </w:t>
      </w:r>
    </w:p>
    <w:p w14:paraId="25A45D0E" w14:textId="77777777" w:rsidR="00FE4078" w:rsidRPr="0075567E" w:rsidRDefault="00FE4078" w:rsidP="0075567E">
      <w:pPr>
        <w:pStyle w:val="SingleTxtG"/>
        <w:ind w:left="1701"/>
      </w:pPr>
      <w:r w:rsidRPr="001733C8">
        <w:rPr>
          <w:rFonts w:eastAsiaTheme="minorHAnsi"/>
          <w:lang w:val="en-ZA"/>
        </w:rPr>
        <w:t>(iii)</w:t>
      </w:r>
      <w:r w:rsidRPr="001733C8">
        <w:rPr>
          <w:rFonts w:eastAsiaTheme="minorHAnsi"/>
          <w:lang w:val="en-ZA"/>
        </w:rPr>
        <w:tab/>
      </w:r>
      <w:r w:rsidRPr="0075567E">
        <w:t>Expanding the use of non-custodial measures to ensure that detention of children is a measure of last resort;</w:t>
      </w:r>
    </w:p>
    <w:p w14:paraId="2D929AA9" w14:textId="77777777" w:rsidR="00FE4078" w:rsidRPr="0075567E" w:rsidRDefault="00FE4078" w:rsidP="0075567E">
      <w:pPr>
        <w:pStyle w:val="SingleTxtG"/>
        <w:ind w:left="1701"/>
      </w:pPr>
      <w:r w:rsidRPr="001733C8">
        <w:rPr>
          <w:rFonts w:eastAsiaTheme="minorHAnsi"/>
          <w:lang w:val="en-ZA"/>
        </w:rPr>
        <w:t>(iv)</w:t>
      </w:r>
      <w:r w:rsidRPr="001733C8">
        <w:rPr>
          <w:rFonts w:eastAsiaTheme="minorHAnsi"/>
          <w:lang w:val="en-ZA"/>
        </w:rPr>
        <w:tab/>
      </w:r>
      <w:r w:rsidRPr="0075567E">
        <w:t>Ending the use of corporal punishment, capital punishment and life sentences;</w:t>
      </w:r>
    </w:p>
    <w:p w14:paraId="6C43FE30" w14:textId="77777777" w:rsidR="00FE4078" w:rsidRPr="0075567E" w:rsidRDefault="00FE4078" w:rsidP="0075567E">
      <w:pPr>
        <w:pStyle w:val="SingleTxtG"/>
        <w:ind w:left="1701"/>
      </w:pPr>
      <w:r w:rsidRPr="001733C8">
        <w:rPr>
          <w:rFonts w:eastAsiaTheme="minorHAnsi"/>
          <w:lang w:val="en-ZA"/>
        </w:rPr>
        <w:t>(v)</w:t>
      </w:r>
      <w:r w:rsidRPr="001733C8">
        <w:rPr>
          <w:rFonts w:eastAsiaTheme="minorHAnsi"/>
          <w:lang w:val="en-ZA"/>
        </w:rPr>
        <w:tab/>
      </w:r>
      <w:r w:rsidRPr="0075567E">
        <w:t xml:space="preserve">For the few situations where deprivation of liberty is justified as a last resort, ensuring that its application </w:t>
      </w:r>
      <w:r w:rsidRPr="0075567E">
        <w:lastRenderedPageBreak/>
        <w:t>is for older children only, is strictly time limited and is subject to regular review;</w:t>
      </w:r>
    </w:p>
    <w:p w14:paraId="077B6B81" w14:textId="77777777" w:rsidR="00FE4078" w:rsidRPr="00094C5E" w:rsidRDefault="00FE4078" w:rsidP="0075567E">
      <w:pPr>
        <w:pStyle w:val="SingleTxtG"/>
        <w:ind w:firstLine="567"/>
      </w:pPr>
      <w:r w:rsidRPr="00094C5E">
        <w:t>(d)</w:t>
      </w:r>
      <w:r w:rsidRPr="00094C5E">
        <w:tab/>
      </w:r>
      <w:r w:rsidRPr="001733C8">
        <w:t xml:space="preserve">To promote </w:t>
      </w:r>
      <w:r>
        <w:t>the</w:t>
      </w:r>
      <w:r w:rsidRPr="001733C8">
        <w:t xml:space="preserve"> strengthening</w:t>
      </w:r>
      <w:r>
        <w:t xml:space="preserve"> of systems</w:t>
      </w:r>
      <w:r w:rsidRPr="001733C8">
        <w:t xml:space="preserve"> through improved organization, capacity</w:t>
      </w:r>
      <w:r>
        <w:t>-</w:t>
      </w:r>
      <w:r w:rsidRPr="001733C8">
        <w:t>building</w:t>
      </w:r>
      <w:r>
        <w:t>,</w:t>
      </w:r>
      <w:r w:rsidRPr="001733C8">
        <w:t xml:space="preserve"> data collection, evaluation and research</w:t>
      </w:r>
      <w:r>
        <w:t>;</w:t>
      </w:r>
      <w:r w:rsidRPr="001733C8">
        <w:t xml:space="preserve"> </w:t>
      </w:r>
    </w:p>
    <w:p w14:paraId="24D7F547" w14:textId="77777777" w:rsidR="00FE4078" w:rsidRPr="009A6C0E" w:rsidRDefault="00FE4078" w:rsidP="0075567E">
      <w:pPr>
        <w:pStyle w:val="SingleTxtG"/>
        <w:ind w:firstLine="567"/>
      </w:pPr>
      <w:r w:rsidRPr="009A6C0E">
        <w:t>(e)</w:t>
      </w:r>
      <w:r w:rsidRPr="009A6C0E">
        <w:tab/>
      </w:r>
      <w:r w:rsidRPr="00B214E5">
        <w:t>To provide guidance on new developments in the field, in particular the recruitment and use of children by non-State armed groups, including those designated as terrorist</w:t>
      </w:r>
      <w:r>
        <w:t xml:space="preserve"> groups</w:t>
      </w:r>
      <w:r w:rsidRPr="00B214E5">
        <w:t xml:space="preserve">, and children coming into contact with customary, indigenous </w:t>
      </w:r>
      <w:r w:rsidRPr="00CD5BFB">
        <w:t>and</w:t>
      </w:r>
      <w:r>
        <w:t xml:space="preserve"> </w:t>
      </w:r>
      <w:r w:rsidRPr="00B214E5">
        <w:t>non-</w:t>
      </w:r>
      <w:r>
        <w:t>S</w:t>
      </w:r>
      <w:r w:rsidRPr="00B214E5">
        <w:t>tate justice systems.</w:t>
      </w:r>
    </w:p>
    <w:p w14:paraId="0BE96E3A" w14:textId="77777777" w:rsidR="00FE4078" w:rsidRPr="00EB6EA1" w:rsidRDefault="00FE4078" w:rsidP="00EB6EA1">
      <w:pPr>
        <w:pStyle w:val="HChG"/>
      </w:pPr>
      <w:r w:rsidRPr="000435F2">
        <w:tab/>
        <w:t>III.</w:t>
      </w:r>
      <w:r w:rsidRPr="000435F2">
        <w:tab/>
        <w:t>Terminology</w:t>
      </w:r>
    </w:p>
    <w:p w14:paraId="15365AD9" w14:textId="77777777" w:rsidR="00FE4078" w:rsidRDefault="00FE4078" w:rsidP="007A47DA">
      <w:pPr>
        <w:pStyle w:val="SingleTxtG"/>
        <w:rPr>
          <w:lang w:val="en-US"/>
        </w:rPr>
      </w:pPr>
      <w:r>
        <w:rPr>
          <w:lang w:val="en-US"/>
        </w:rPr>
        <w:t>7.</w:t>
      </w:r>
      <w:r>
        <w:rPr>
          <w:lang w:val="en-US"/>
        </w:rPr>
        <w:tab/>
      </w:r>
      <w:r w:rsidRPr="000435F2">
        <w:rPr>
          <w:lang w:val="en-US"/>
        </w:rPr>
        <w:t>The</w:t>
      </w:r>
      <w:r>
        <w:rPr>
          <w:lang w:val="en-US"/>
        </w:rPr>
        <w:t xml:space="preserve"> Committee encourages the use of non-stigmatizing language relating to children alleged as, accused of or recognized as having infringed criminal law.</w:t>
      </w:r>
    </w:p>
    <w:p w14:paraId="6147FE03" w14:textId="77777777" w:rsidR="00FE4078" w:rsidRPr="000435F2" w:rsidRDefault="00FE4078" w:rsidP="007A47DA">
      <w:pPr>
        <w:pStyle w:val="SingleTxtG"/>
        <w:rPr>
          <w:lang w:val="en-US"/>
        </w:rPr>
      </w:pPr>
      <w:r>
        <w:rPr>
          <w:lang w:val="en-US"/>
        </w:rPr>
        <w:t>8.</w:t>
      </w:r>
      <w:r>
        <w:rPr>
          <w:lang w:val="en-US"/>
        </w:rPr>
        <w:tab/>
        <w:t>Important terms used in the present general comment are listed below</w:t>
      </w:r>
      <w:r w:rsidRPr="000435F2">
        <w:rPr>
          <w:lang w:val="en-US"/>
        </w:rPr>
        <w:t>:</w:t>
      </w:r>
    </w:p>
    <w:p w14:paraId="21E8A85C" w14:textId="77777777" w:rsidR="00FE4078" w:rsidRDefault="00FE4078" w:rsidP="0075567E">
      <w:pPr>
        <w:pStyle w:val="Bullet1G"/>
        <w:numPr>
          <w:ilvl w:val="0"/>
          <w:numId w:val="0"/>
        </w:numPr>
        <w:tabs>
          <w:tab w:val="left" w:pos="1701"/>
        </w:tabs>
        <w:ind w:left="1701" w:hanging="170"/>
      </w:pPr>
      <w:r>
        <w:t>•</w:t>
      </w:r>
      <w:r>
        <w:tab/>
      </w:r>
      <w:r w:rsidRPr="0075567E">
        <w:t>Appropriate adult:</w:t>
      </w:r>
      <w:r>
        <w:t xml:space="preserve"> in situations where the parent or legal guardian is not available to assist the child, States parties should allow for an appropriate adult to assist the child. An appropriate adult may be a person who is </w:t>
      </w:r>
      <w:r w:rsidRPr="00BB5A1D">
        <w:t>nominated b</w:t>
      </w:r>
      <w:r>
        <w:t xml:space="preserve">y the child and/or by the </w:t>
      </w:r>
      <w:r w:rsidRPr="00BB5A1D">
        <w:t>competent authority</w:t>
      </w:r>
      <w:r>
        <w:t xml:space="preserve">. </w:t>
      </w:r>
    </w:p>
    <w:p w14:paraId="758FA125" w14:textId="77777777" w:rsidR="00FE4078" w:rsidRPr="000435F2" w:rsidRDefault="00FE4078" w:rsidP="0075567E">
      <w:pPr>
        <w:pStyle w:val="Bullet1G"/>
        <w:numPr>
          <w:ilvl w:val="0"/>
          <w:numId w:val="0"/>
        </w:numPr>
        <w:tabs>
          <w:tab w:val="left" w:pos="1701"/>
        </w:tabs>
        <w:ind w:left="1701" w:hanging="170"/>
      </w:pPr>
      <w:r w:rsidRPr="000435F2">
        <w:t>•</w:t>
      </w:r>
      <w:r w:rsidRPr="000435F2">
        <w:tab/>
      </w:r>
      <w:r w:rsidRPr="0075567E">
        <w:rPr>
          <w:lang w:val="en-US"/>
        </w:rPr>
        <w:t>Child justice system</w:t>
      </w:r>
      <w:r w:rsidRPr="008D002F">
        <w:rPr>
          <w:lang w:val="en-US"/>
        </w:rPr>
        <w:t>:</w:t>
      </w:r>
      <w:r w:rsidRPr="007E44F0">
        <w:rPr>
          <w:rStyle w:val="FootnoteReference"/>
          <w:lang w:val="en-US"/>
        </w:rPr>
        <w:footnoteReference w:id="16"/>
      </w:r>
      <w:r w:rsidRPr="000435F2">
        <w:rPr>
          <w:lang w:val="en-US"/>
        </w:rPr>
        <w:t xml:space="preserve"> </w:t>
      </w:r>
      <w:r>
        <w:t>the</w:t>
      </w:r>
      <w:r w:rsidRPr="000435F2">
        <w:t xml:space="preserve"> legislation, norms and standards, procedures, mechanisms and provisions</w:t>
      </w:r>
      <w:r>
        <w:t xml:space="preserve"> specifically applicable to</w:t>
      </w:r>
      <w:r w:rsidRPr="000435F2">
        <w:t xml:space="preserve">, </w:t>
      </w:r>
      <w:r>
        <w:t xml:space="preserve">and </w:t>
      </w:r>
      <w:r w:rsidRPr="00164FE5">
        <w:t xml:space="preserve">institutions and bodies </w:t>
      </w:r>
      <w:r>
        <w:t>set up to deal with,</w:t>
      </w:r>
      <w:r w:rsidRPr="000435F2">
        <w:t xml:space="preserve"> </w:t>
      </w:r>
      <w:r w:rsidRPr="000435F2">
        <w:rPr>
          <w:lang w:val="en-US"/>
        </w:rPr>
        <w:t>c</w:t>
      </w:r>
      <w:r>
        <w:rPr>
          <w:lang w:val="en-US"/>
        </w:rPr>
        <w:t>hildren considered as offenders.</w:t>
      </w:r>
      <w:r w:rsidRPr="000435F2">
        <w:rPr>
          <w:lang w:val="en-US"/>
        </w:rPr>
        <w:t xml:space="preserve"> </w:t>
      </w:r>
    </w:p>
    <w:p w14:paraId="2225EC79" w14:textId="77777777" w:rsidR="00FE4078" w:rsidRPr="000435F2" w:rsidRDefault="00FE4078" w:rsidP="0075567E">
      <w:pPr>
        <w:pStyle w:val="Bullet1G"/>
        <w:numPr>
          <w:ilvl w:val="0"/>
          <w:numId w:val="0"/>
        </w:numPr>
        <w:tabs>
          <w:tab w:val="left" w:pos="1701"/>
        </w:tabs>
        <w:ind w:left="1701" w:hanging="170"/>
        <w:rPr>
          <w:lang w:val="en-US"/>
        </w:rPr>
      </w:pPr>
      <w:r w:rsidRPr="000435F2">
        <w:rPr>
          <w:lang w:val="en-US"/>
        </w:rPr>
        <w:t>•</w:t>
      </w:r>
      <w:r w:rsidRPr="000435F2">
        <w:rPr>
          <w:lang w:val="en-US"/>
        </w:rPr>
        <w:tab/>
      </w:r>
      <w:r w:rsidRPr="0075567E">
        <w:rPr>
          <w:lang w:val="en-US"/>
        </w:rPr>
        <w:t>Deprivation of liberty</w:t>
      </w:r>
      <w:r w:rsidRPr="000435F2">
        <w:rPr>
          <w:lang w:val="en-US"/>
        </w:rPr>
        <w:t>: any form of detention or imprisonment or the placement of a person in a public or private custodial setting, from which this person is not permitted to leave at will, by order of any judicial, administrative or other public authority</w:t>
      </w:r>
      <w:r>
        <w:rPr>
          <w:lang w:val="en-US"/>
        </w:rPr>
        <w:t>.</w:t>
      </w:r>
      <w:r w:rsidRPr="000435F2">
        <w:rPr>
          <w:rStyle w:val="FootnoteReference"/>
          <w:lang w:val="en-US"/>
        </w:rPr>
        <w:footnoteReference w:id="17"/>
      </w:r>
    </w:p>
    <w:p w14:paraId="23EDA451" w14:textId="77777777" w:rsidR="00FE4078" w:rsidRPr="000435F2" w:rsidRDefault="00FE4078" w:rsidP="0075567E">
      <w:pPr>
        <w:pStyle w:val="Bullet1G"/>
        <w:numPr>
          <w:ilvl w:val="0"/>
          <w:numId w:val="0"/>
        </w:numPr>
        <w:tabs>
          <w:tab w:val="left" w:pos="1701"/>
        </w:tabs>
        <w:ind w:left="1701" w:hanging="170"/>
      </w:pPr>
      <w:r w:rsidRPr="000435F2">
        <w:t>•</w:t>
      </w:r>
      <w:r w:rsidRPr="000435F2">
        <w:tab/>
      </w:r>
      <w:r w:rsidRPr="0075567E">
        <w:rPr>
          <w:lang w:val="en-US"/>
        </w:rPr>
        <w:t>Diversion</w:t>
      </w:r>
      <w:r w:rsidRPr="00164FE5">
        <w:rPr>
          <w:lang w:val="en-US"/>
        </w:rPr>
        <w:t xml:space="preserve">: </w:t>
      </w:r>
      <w:r w:rsidRPr="00164FE5">
        <w:t>measures</w:t>
      </w:r>
      <w:r w:rsidRPr="000435F2">
        <w:t xml:space="preserve"> for </w:t>
      </w:r>
      <w:r>
        <w:t>referring children away from the judicial system</w:t>
      </w:r>
      <w:r w:rsidRPr="000435F2">
        <w:t xml:space="preserve">, </w:t>
      </w:r>
      <w:r>
        <w:t>at any time prior to or during the</w:t>
      </w:r>
      <w:r w:rsidRPr="000435F2">
        <w:t xml:space="preserve"> </w:t>
      </w:r>
      <w:r>
        <w:t>relevant</w:t>
      </w:r>
      <w:r w:rsidRPr="000435F2">
        <w:t xml:space="preserve"> proceedings</w:t>
      </w:r>
      <w:r>
        <w:t xml:space="preserve">. </w:t>
      </w:r>
    </w:p>
    <w:p w14:paraId="6EC58067" w14:textId="77777777" w:rsidR="00FE4078" w:rsidRDefault="00FE4078" w:rsidP="0075567E">
      <w:pPr>
        <w:pStyle w:val="Bullet1G"/>
        <w:numPr>
          <w:ilvl w:val="0"/>
          <w:numId w:val="0"/>
        </w:numPr>
        <w:tabs>
          <w:tab w:val="left" w:pos="1701"/>
        </w:tabs>
        <w:ind w:left="1701" w:hanging="170"/>
      </w:pPr>
      <w:r>
        <w:t>•</w:t>
      </w:r>
      <w:r>
        <w:tab/>
      </w:r>
      <w:r w:rsidRPr="0075567E">
        <w:rPr>
          <w:lang w:val="en-US"/>
        </w:rPr>
        <w:t>Minimum age of criminal responsibility</w:t>
      </w:r>
      <w:r w:rsidRPr="002D38E3">
        <w:rPr>
          <w:lang w:val="en-US"/>
        </w:rPr>
        <w:t xml:space="preserve">: </w:t>
      </w:r>
      <w:r w:rsidRPr="000435F2">
        <w:rPr>
          <w:lang w:val="en-US"/>
        </w:rPr>
        <w:t xml:space="preserve">the </w:t>
      </w:r>
      <w:r w:rsidRPr="000435F2">
        <w:t xml:space="preserve">minimum age below which </w:t>
      </w:r>
      <w:r>
        <w:t xml:space="preserve">the law determines that </w:t>
      </w:r>
      <w:r w:rsidRPr="000435F2">
        <w:t xml:space="preserve">children </w:t>
      </w:r>
      <w:r>
        <w:t xml:space="preserve">do </w:t>
      </w:r>
      <w:r w:rsidRPr="000435F2">
        <w:t>not have the capacity to infringe the criminal law</w:t>
      </w:r>
      <w:r>
        <w:t>.</w:t>
      </w:r>
      <w:r w:rsidRPr="000435F2">
        <w:t xml:space="preserve"> </w:t>
      </w:r>
    </w:p>
    <w:p w14:paraId="29DBEC7A" w14:textId="77777777" w:rsidR="00FE4078" w:rsidRPr="000435F2" w:rsidRDefault="00FE4078" w:rsidP="0075567E">
      <w:pPr>
        <w:pStyle w:val="Bullet1G"/>
        <w:numPr>
          <w:ilvl w:val="0"/>
          <w:numId w:val="0"/>
        </w:numPr>
        <w:tabs>
          <w:tab w:val="left" w:pos="1701"/>
        </w:tabs>
        <w:ind w:left="1701" w:hanging="170"/>
      </w:pPr>
      <w:r w:rsidRPr="000435F2">
        <w:t>•</w:t>
      </w:r>
      <w:r w:rsidRPr="000435F2">
        <w:tab/>
      </w:r>
      <w:r>
        <w:t>Pretrial detention: detention from the moment of the arrest to the stage of the disposition or sentence, including detention throughout the trial.</w:t>
      </w:r>
    </w:p>
    <w:p w14:paraId="750BBDF0" w14:textId="77777777" w:rsidR="00FE4078" w:rsidRDefault="00FE4078" w:rsidP="0075567E">
      <w:pPr>
        <w:pStyle w:val="Bullet1G"/>
        <w:numPr>
          <w:ilvl w:val="0"/>
          <w:numId w:val="0"/>
        </w:numPr>
        <w:tabs>
          <w:tab w:val="left" w:pos="1701"/>
        </w:tabs>
        <w:ind w:left="1701" w:hanging="170"/>
      </w:pPr>
      <w:r>
        <w:t>•</w:t>
      </w:r>
      <w:r>
        <w:tab/>
      </w:r>
      <w:r w:rsidRPr="0075567E">
        <w:t>Restorative justice</w:t>
      </w:r>
      <w:r w:rsidRPr="00512FB9">
        <w:rPr>
          <w:lang w:val="en-US"/>
        </w:rPr>
        <w:t>:</w:t>
      </w:r>
      <w:r>
        <w:rPr>
          <w:lang w:val="en-US"/>
        </w:rPr>
        <w:t xml:space="preserve"> any </w:t>
      </w:r>
      <w:r>
        <w:t xml:space="preserve">process in which the victim, the offender and/or any other individual or community member affected by a crime actively participates together in the resolution of matters arising from the crime, often with the help of a fair and impartial third party. Examples of </w:t>
      </w:r>
      <w:r>
        <w:lastRenderedPageBreak/>
        <w:t>restorative process include mediation, conferencing, conciliation and sentencing circles.</w:t>
      </w:r>
      <w:r>
        <w:rPr>
          <w:rStyle w:val="FootnoteReference"/>
          <w:kern w:val="2"/>
        </w:rPr>
        <w:footnoteReference w:id="18"/>
      </w:r>
    </w:p>
    <w:p w14:paraId="5E82942D" w14:textId="77777777" w:rsidR="00FE4078" w:rsidRPr="000435F2" w:rsidRDefault="00FE4078" w:rsidP="00702C9E">
      <w:pPr>
        <w:pStyle w:val="HChG"/>
      </w:pPr>
      <w:r>
        <w:tab/>
        <w:t>IV.</w:t>
      </w:r>
      <w:r>
        <w:tab/>
        <w:t>C</w:t>
      </w:r>
      <w:r w:rsidRPr="008B6BC1">
        <w:t xml:space="preserve">ore </w:t>
      </w:r>
      <w:r w:rsidRPr="00702C9E">
        <w:t>elements</w:t>
      </w:r>
      <w:r w:rsidRPr="008B6BC1">
        <w:t xml:space="preserve"> of a comprehensive </w:t>
      </w:r>
      <w:r>
        <w:t xml:space="preserve">child justice </w:t>
      </w:r>
      <w:r w:rsidRPr="008B6BC1">
        <w:t>policy</w:t>
      </w:r>
    </w:p>
    <w:p w14:paraId="527B6314" w14:textId="77777777" w:rsidR="00FE4078" w:rsidRPr="008C2E56" w:rsidRDefault="00FE4078" w:rsidP="00702C9E">
      <w:pPr>
        <w:pStyle w:val="H1G"/>
        <w:rPr>
          <w:lang w:val="en-US"/>
        </w:rPr>
      </w:pPr>
      <w:r w:rsidRPr="000435F2">
        <w:tab/>
        <w:t>A.</w:t>
      </w:r>
      <w:r w:rsidRPr="000435F2">
        <w:tab/>
      </w:r>
      <w:r w:rsidRPr="00702C9E">
        <w:t>Prevention</w:t>
      </w:r>
      <w:r w:rsidRPr="000435F2">
        <w:t xml:space="preserve"> of child offending</w:t>
      </w:r>
      <w:r>
        <w:t xml:space="preserve">, including early intervention directed at children below the </w:t>
      </w:r>
      <w:r w:rsidRPr="00702C9E">
        <w:t>minimum</w:t>
      </w:r>
      <w:r>
        <w:t xml:space="preserve"> age of criminal responsibility</w:t>
      </w:r>
    </w:p>
    <w:p w14:paraId="6294E336" w14:textId="77777777" w:rsidR="00FE4078" w:rsidRPr="00EE487B" w:rsidRDefault="00FE4078" w:rsidP="00702C9E">
      <w:pPr>
        <w:pStyle w:val="SingleTxtG"/>
        <w:rPr>
          <w:lang w:val="en-US"/>
        </w:rPr>
      </w:pPr>
      <w:r>
        <w:rPr>
          <w:lang w:val="en-US"/>
        </w:rPr>
        <w:t>9.</w:t>
      </w:r>
      <w:r>
        <w:rPr>
          <w:lang w:val="en-US"/>
        </w:rPr>
        <w:tab/>
      </w:r>
      <w:r w:rsidRPr="00F17D62">
        <w:rPr>
          <w:lang w:val="en-US"/>
        </w:rPr>
        <w:t xml:space="preserve">States parties should consult the United Nations Model Strategies and Practical Measures on the Elimination of Violence against Children </w:t>
      </w:r>
      <w:r>
        <w:rPr>
          <w:lang w:val="en-US"/>
        </w:rPr>
        <w:t>in the Field of Crime Prevention and Criminal Justice</w:t>
      </w:r>
      <w:r w:rsidRPr="00F17D62">
        <w:rPr>
          <w:lang w:val="en-US"/>
        </w:rPr>
        <w:t xml:space="preserve"> </w:t>
      </w:r>
      <w:r>
        <w:rPr>
          <w:lang w:val="en-US"/>
        </w:rPr>
        <w:t>and</w:t>
      </w:r>
      <w:r w:rsidRPr="00F17D62">
        <w:rPr>
          <w:lang w:val="en-US"/>
        </w:rPr>
        <w:t xml:space="preserve"> comparative national and international research on root causes of children</w:t>
      </w:r>
      <w:r>
        <w:rPr>
          <w:lang w:val="en-US"/>
        </w:rPr>
        <w:t>’s involvement in the child justice system</w:t>
      </w:r>
      <w:r w:rsidRPr="00EE487B">
        <w:rPr>
          <w:lang w:val="en-US"/>
        </w:rPr>
        <w:t xml:space="preserve"> and undertake their own research to inform the development of a prevention strategy. </w:t>
      </w:r>
      <w:r w:rsidRPr="00EE487B">
        <w:rPr>
          <w:shd w:val="clear" w:color="auto" w:fill="FFFFFF"/>
        </w:rPr>
        <w:t>Research has demonstrated that intensive family- and community-based treatment program</w:t>
      </w:r>
      <w:r>
        <w:rPr>
          <w:shd w:val="clear" w:color="auto" w:fill="FFFFFF"/>
        </w:rPr>
        <w:t>me</w:t>
      </w:r>
      <w:r w:rsidRPr="00EE487B">
        <w:rPr>
          <w:shd w:val="clear" w:color="auto" w:fill="FFFFFF"/>
        </w:rPr>
        <w:t xml:space="preserve">s designed to make positive changes in </w:t>
      </w:r>
      <w:r>
        <w:rPr>
          <w:shd w:val="clear" w:color="auto" w:fill="FFFFFF"/>
        </w:rPr>
        <w:t xml:space="preserve">aspects of </w:t>
      </w:r>
      <w:r w:rsidRPr="00EE487B">
        <w:rPr>
          <w:shd w:val="clear" w:color="auto" w:fill="FFFFFF"/>
        </w:rPr>
        <w:t>the various social systems (home, school, community, peer relations) that contribute to the serious behavioural difficulties of children reduce the risk of children coming into child justice systems.</w:t>
      </w:r>
      <w:r w:rsidRPr="00EE487B">
        <w:rPr>
          <w:lang w:val="en-US"/>
        </w:rPr>
        <w:t xml:space="preserve"> Prevention and early intervention program</w:t>
      </w:r>
      <w:r>
        <w:rPr>
          <w:lang w:val="en-US"/>
        </w:rPr>
        <w:t>me</w:t>
      </w:r>
      <w:r w:rsidRPr="00EE487B">
        <w:rPr>
          <w:lang w:val="en-US"/>
        </w:rPr>
        <w:t xml:space="preserve">s should </w:t>
      </w:r>
      <w:r>
        <w:rPr>
          <w:lang w:val="en-US"/>
        </w:rPr>
        <w:t xml:space="preserve">be </w:t>
      </w:r>
      <w:r w:rsidRPr="00EE487B">
        <w:rPr>
          <w:lang w:val="en-US"/>
        </w:rPr>
        <w:t>focus</w:t>
      </w:r>
      <w:r>
        <w:rPr>
          <w:lang w:val="en-US"/>
        </w:rPr>
        <w:t>ed</w:t>
      </w:r>
      <w:r w:rsidRPr="00EE487B">
        <w:rPr>
          <w:lang w:val="en-US"/>
        </w:rPr>
        <w:t xml:space="preserve"> on support for families, in particular those in vulnerable situations or where violence occur</w:t>
      </w:r>
      <w:r>
        <w:rPr>
          <w:lang w:val="en-US"/>
        </w:rPr>
        <w:t>s</w:t>
      </w:r>
      <w:r w:rsidRPr="00EE487B">
        <w:rPr>
          <w:lang w:val="en-US"/>
        </w:rPr>
        <w:t xml:space="preserve">. </w:t>
      </w:r>
      <w:r>
        <w:rPr>
          <w:lang w:val="en-US"/>
        </w:rPr>
        <w:t>S</w:t>
      </w:r>
      <w:r w:rsidRPr="00EE487B">
        <w:rPr>
          <w:lang w:val="en-US"/>
        </w:rPr>
        <w:t>upport</w:t>
      </w:r>
      <w:r>
        <w:rPr>
          <w:lang w:val="en-US"/>
        </w:rPr>
        <w:t xml:space="preserve"> should be provided to</w:t>
      </w:r>
      <w:r w:rsidRPr="00EE487B">
        <w:rPr>
          <w:lang w:val="en-US"/>
        </w:rPr>
        <w:t xml:space="preserve"> children at risk, particularly children who stop attending school, are excluded or </w:t>
      </w:r>
      <w:r w:rsidRPr="00702C9E">
        <w:t>otherwise</w:t>
      </w:r>
      <w:r w:rsidRPr="00EE487B">
        <w:rPr>
          <w:lang w:val="en-US"/>
        </w:rPr>
        <w:t xml:space="preserve"> do not complete their education. Peer group support and a strong involvement of parents are recommended. States parties should also develop community-based services and program</w:t>
      </w:r>
      <w:r>
        <w:rPr>
          <w:lang w:val="en-US"/>
        </w:rPr>
        <w:t>me</w:t>
      </w:r>
      <w:r w:rsidRPr="00EE487B">
        <w:rPr>
          <w:lang w:val="en-US"/>
        </w:rPr>
        <w:t>s that respond to the specific needs, problems, concerns and interests of children, and that provide appropriate counselling and guidance to their families.</w:t>
      </w:r>
    </w:p>
    <w:p w14:paraId="04DD6C82" w14:textId="77777777" w:rsidR="00FE4078" w:rsidRDefault="00FE4078" w:rsidP="00702C9E">
      <w:pPr>
        <w:pStyle w:val="SingleTxtG"/>
        <w:rPr>
          <w:lang w:val="en-US"/>
        </w:rPr>
      </w:pPr>
      <w:r>
        <w:rPr>
          <w:lang w:val="en-US"/>
        </w:rPr>
        <w:t>10.</w:t>
      </w:r>
      <w:r>
        <w:rPr>
          <w:lang w:val="en-US"/>
        </w:rPr>
        <w:tab/>
      </w:r>
      <w:r w:rsidRPr="000435F2">
        <w:rPr>
          <w:lang w:val="en-US"/>
        </w:rPr>
        <w:t xml:space="preserve">Articles 18 and 27 of the Convention confirm the importance of the responsibility of parents for the upbringing of their children, but at the same time </w:t>
      </w:r>
      <w:r>
        <w:rPr>
          <w:lang w:val="en-US"/>
        </w:rPr>
        <w:t>the Convention</w:t>
      </w:r>
      <w:r w:rsidRPr="000435F2">
        <w:rPr>
          <w:lang w:val="en-US"/>
        </w:rPr>
        <w:t xml:space="preserve"> requires States parties to provide the assistance to parents (or other caregivers) </w:t>
      </w:r>
      <w:r w:rsidRPr="00702C9E">
        <w:t>necessary</w:t>
      </w:r>
      <w:r>
        <w:rPr>
          <w:lang w:val="en-US"/>
        </w:rPr>
        <w:t xml:space="preserve"> to carry out their child-rearing </w:t>
      </w:r>
      <w:r w:rsidRPr="000435F2">
        <w:rPr>
          <w:lang w:val="en-US"/>
        </w:rPr>
        <w:t xml:space="preserve">responsibilities. </w:t>
      </w:r>
      <w:r>
        <w:rPr>
          <w:lang w:val="en-US"/>
        </w:rPr>
        <w:t>Investment</w:t>
      </w:r>
      <w:r w:rsidRPr="000435F2">
        <w:rPr>
          <w:lang w:val="en-US"/>
        </w:rPr>
        <w:t xml:space="preserve"> in early childhood </w:t>
      </w:r>
      <w:r>
        <w:rPr>
          <w:lang w:val="en-US"/>
        </w:rPr>
        <w:t xml:space="preserve">care </w:t>
      </w:r>
      <w:r w:rsidRPr="000435F2">
        <w:rPr>
          <w:lang w:val="en-US"/>
        </w:rPr>
        <w:t>and education correlates with lower rate</w:t>
      </w:r>
      <w:r>
        <w:rPr>
          <w:lang w:val="en-US"/>
        </w:rPr>
        <w:t>s</w:t>
      </w:r>
      <w:r w:rsidRPr="000435F2">
        <w:rPr>
          <w:lang w:val="en-US"/>
        </w:rPr>
        <w:t xml:space="preserve"> of future violence and crime.</w:t>
      </w:r>
      <w:r>
        <w:rPr>
          <w:lang w:val="en-US"/>
        </w:rPr>
        <w:t xml:space="preserve"> This </w:t>
      </w:r>
      <w:r w:rsidRPr="000435F2">
        <w:rPr>
          <w:lang w:val="en-US"/>
        </w:rPr>
        <w:t>can commence when the child is very young</w:t>
      </w:r>
      <w:r>
        <w:rPr>
          <w:lang w:val="en-US"/>
        </w:rPr>
        <w:t>,</w:t>
      </w:r>
      <w:r w:rsidRPr="00957055">
        <w:rPr>
          <w:lang w:val="en-US"/>
        </w:rPr>
        <w:t xml:space="preserve"> </w:t>
      </w:r>
      <w:r>
        <w:rPr>
          <w:lang w:val="en-US"/>
        </w:rPr>
        <w:t>for example with home visitation programmes to enhance parenting capacity.</w:t>
      </w:r>
      <w:r w:rsidRPr="000435F2">
        <w:rPr>
          <w:lang w:val="en-US"/>
        </w:rPr>
        <w:t xml:space="preserve"> </w:t>
      </w:r>
      <w:r>
        <w:rPr>
          <w:lang w:val="en-US"/>
        </w:rPr>
        <w:t>M</w:t>
      </w:r>
      <w:r w:rsidRPr="000435F2">
        <w:rPr>
          <w:lang w:val="en-US"/>
        </w:rPr>
        <w:t xml:space="preserve">easures of assistance </w:t>
      </w:r>
      <w:r>
        <w:rPr>
          <w:lang w:val="en-US"/>
        </w:rPr>
        <w:t xml:space="preserve">should draw on the </w:t>
      </w:r>
      <w:r w:rsidRPr="000435F2">
        <w:rPr>
          <w:lang w:val="en-US"/>
        </w:rPr>
        <w:t xml:space="preserve">wealth of information on </w:t>
      </w:r>
      <w:r>
        <w:rPr>
          <w:lang w:val="en-US"/>
        </w:rPr>
        <w:t>community</w:t>
      </w:r>
      <w:r w:rsidRPr="000435F2">
        <w:rPr>
          <w:lang w:val="en-US"/>
        </w:rPr>
        <w:t xml:space="preserve"> and family-based </w:t>
      </w:r>
      <w:r w:rsidRPr="000435F2">
        <w:rPr>
          <w:lang w:val="en-US"/>
        </w:rPr>
        <w:lastRenderedPageBreak/>
        <w:t>prevention program</w:t>
      </w:r>
      <w:r>
        <w:rPr>
          <w:lang w:val="en-US"/>
        </w:rPr>
        <w:t>mes</w:t>
      </w:r>
      <w:r w:rsidRPr="000435F2">
        <w:rPr>
          <w:lang w:val="en-US"/>
        </w:rPr>
        <w:t xml:space="preserve">, such as </w:t>
      </w:r>
      <w:r>
        <w:rPr>
          <w:lang w:val="en-US"/>
        </w:rPr>
        <w:t xml:space="preserve">programmes to improve </w:t>
      </w:r>
      <w:r w:rsidRPr="000435F2">
        <w:rPr>
          <w:lang w:val="en-US"/>
        </w:rPr>
        <w:t>parent-child interaction</w:t>
      </w:r>
      <w:r>
        <w:rPr>
          <w:lang w:val="en-US"/>
        </w:rPr>
        <w:t>, partnerships with schools, positive peer association and cultural and leisure activities.</w:t>
      </w:r>
      <w:r w:rsidRPr="000435F2">
        <w:rPr>
          <w:lang w:val="en-US"/>
        </w:rPr>
        <w:t xml:space="preserve"> </w:t>
      </w:r>
    </w:p>
    <w:p w14:paraId="3D985B31" w14:textId="77777777" w:rsidR="00FE4078" w:rsidRPr="00EE487B" w:rsidRDefault="00FE4078" w:rsidP="00702C9E">
      <w:pPr>
        <w:pStyle w:val="SingleTxtG"/>
        <w:rPr>
          <w:lang w:val="en-US"/>
        </w:rPr>
      </w:pPr>
      <w:r>
        <w:rPr>
          <w:lang w:val="en-US"/>
        </w:rPr>
        <w:t>11.</w:t>
      </w:r>
      <w:r>
        <w:rPr>
          <w:lang w:val="en-US"/>
        </w:rPr>
        <w:tab/>
      </w:r>
      <w:r w:rsidRPr="00EC0FEC">
        <w:rPr>
          <w:lang w:val="en-US"/>
        </w:rPr>
        <w:t xml:space="preserve">Early intervention for children who are below the </w:t>
      </w:r>
      <w:r w:rsidRPr="001733C8">
        <w:t>minimum age</w:t>
      </w:r>
      <w:r>
        <w:t xml:space="preserve"> of criminal responsibility</w:t>
      </w:r>
      <w:r w:rsidRPr="00EC0FEC">
        <w:rPr>
          <w:lang w:val="en-US"/>
        </w:rPr>
        <w:t xml:space="preserve"> requires child-friendly and multidisciplinary response</w:t>
      </w:r>
      <w:r>
        <w:rPr>
          <w:lang w:val="en-US"/>
        </w:rPr>
        <w:t>s</w:t>
      </w:r>
      <w:r w:rsidRPr="00EC0FEC">
        <w:rPr>
          <w:lang w:val="en-US"/>
        </w:rPr>
        <w:t xml:space="preserve"> to the first signs of behavio</w:t>
      </w:r>
      <w:r>
        <w:rPr>
          <w:lang w:val="en-US"/>
        </w:rPr>
        <w:t>u</w:t>
      </w:r>
      <w:r w:rsidRPr="00EC0FEC">
        <w:rPr>
          <w:lang w:val="en-US"/>
        </w:rPr>
        <w:t>r that would, if the child w</w:t>
      </w:r>
      <w:r>
        <w:rPr>
          <w:lang w:val="en-US"/>
        </w:rPr>
        <w:t>ere</w:t>
      </w:r>
      <w:r w:rsidRPr="00EC0FEC">
        <w:rPr>
          <w:lang w:val="en-US"/>
        </w:rPr>
        <w:t xml:space="preserve"> above the </w:t>
      </w:r>
      <w:r w:rsidRPr="001733C8">
        <w:t>minimum age</w:t>
      </w:r>
      <w:r>
        <w:t xml:space="preserve"> of criminal responsibility</w:t>
      </w:r>
      <w:r w:rsidRPr="00EC0FEC">
        <w:rPr>
          <w:lang w:val="en-US"/>
        </w:rPr>
        <w:t>, be considered an offence. Evidence-based intervention program</w:t>
      </w:r>
      <w:r>
        <w:rPr>
          <w:lang w:val="en-US"/>
        </w:rPr>
        <w:t>me</w:t>
      </w:r>
      <w:r w:rsidRPr="00EC0FEC">
        <w:rPr>
          <w:lang w:val="en-US"/>
        </w:rPr>
        <w:t xml:space="preserve">s should be developed that reflect not only the multiple psychosocial causes of </w:t>
      </w:r>
      <w:r>
        <w:rPr>
          <w:lang w:val="en-US"/>
        </w:rPr>
        <w:t>such</w:t>
      </w:r>
      <w:r w:rsidRPr="00EC0FEC">
        <w:rPr>
          <w:lang w:val="en-US"/>
        </w:rPr>
        <w:t xml:space="preserve"> behavio</w:t>
      </w:r>
      <w:r>
        <w:rPr>
          <w:lang w:val="en-US"/>
        </w:rPr>
        <w:t>u</w:t>
      </w:r>
      <w:r w:rsidRPr="00EC0FEC">
        <w:rPr>
          <w:lang w:val="en-US"/>
        </w:rPr>
        <w:t>r, but also the protective factors that may strengthen resilience. Interventions must be preceded by a comprehensive and interdisciplinary assessment of the child</w:t>
      </w:r>
      <w:r>
        <w:rPr>
          <w:lang w:val="en-US"/>
        </w:rPr>
        <w:t>’</w:t>
      </w:r>
      <w:r w:rsidRPr="00EC0FEC">
        <w:rPr>
          <w:lang w:val="en-US"/>
        </w:rPr>
        <w:t>s needs. As an absolute priority, children should be supported within their families and communities. In the exceptional cases that require an out-of-home placement, such alternative care should preferably be in a family setting, although placement in residential care may be appropriate in some instances, to provide the necessary array of professional services. It is to be used only as a measure of last resort and for the shortest appropriate period of time and should be subject to judicial review.</w:t>
      </w:r>
    </w:p>
    <w:p w14:paraId="18EF47D6" w14:textId="77777777" w:rsidR="00FE4078" w:rsidRPr="00A53158" w:rsidRDefault="00FE4078" w:rsidP="00702C9E">
      <w:pPr>
        <w:pStyle w:val="SingleTxtG"/>
        <w:rPr>
          <w:lang w:val="en-US"/>
        </w:rPr>
      </w:pPr>
      <w:r>
        <w:rPr>
          <w:lang w:val="en-US"/>
        </w:rPr>
        <w:t>12.</w:t>
      </w:r>
      <w:r>
        <w:rPr>
          <w:lang w:val="en-US"/>
        </w:rPr>
        <w:tab/>
        <w:t xml:space="preserve">A systemic approach to prevention also includes closing pathways into the child justice system through the decriminalization of minor offences such as </w:t>
      </w:r>
      <w:r w:rsidRPr="00EE487B">
        <w:rPr>
          <w:lang w:val="en-US"/>
        </w:rPr>
        <w:t xml:space="preserve">school absence, running away, begging or trespassing, which often are the result of poverty, homelessness or family violence. Child victims of sexual exploitation and adolescents who engage with one another in consensual sexual acts are also sometimes criminalized. These acts, also known as status offences, are not considered crimes if committed by adults. The Committee urges States parties to </w:t>
      </w:r>
      <w:r w:rsidRPr="00A53158">
        <w:rPr>
          <w:lang w:val="en-US"/>
        </w:rPr>
        <w:t>remove status offences from their statutes.</w:t>
      </w:r>
    </w:p>
    <w:p w14:paraId="2EA398D6" w14:textId="77777777" w:rsidR="00FE4078" w:rsidRPr="000435F2" w:rsidRDefault="00FE4078" w:rsidP="004E782F">
      <w:pPr>
        <w:pStyle w:val="H1G"/>
      </w:pPr>
      <w:r w:rsidRPr="000435F2">
        <w:tab/>
        <w:t>B.</w:t>
      </w:r>
      <w:r w:rsidRPr="000435F2">
        <w:tab/>
      </w:r>
      <w:r>
        <w:t>Interventions for children above the minimum age of criminal responsibility</w:t>
      </w:r>
      <w:r w:rsidRPr="0075567E">
        <w:rPr>
          <w:rStyle w:val="FootnoteReference"/>
          <w:b w:val="0"/>
          <w:bCs/>
        </w:rPr>
        <w:footnoteReference w:id="19"/>
      </w:r>
      <w:r w:rsidRPr="000435F2">
        <w:t xml:space="preserve"> </w:t>
      </w:r>
    </w:p>
    <w:p w14:paraId="552B1724" w14:textId="77777777" w:rsidR="00FE4078" w:rsidRPr="008B6BC1" w:rsidRDefault="00FE4078" w:rsidP="00702C9E">
      <w:pPr>
        <w:pStyle w:val="SingleTxtG"/>
        <w:rPr>
          <w:lang w:val="en-US"/>
        </w:rPr>
      </w:pPr>
      <w:r>
        <w:rPr>
          <w:lang w:val="en-US"/>
        </w:rPr>
        <w:t>13.</w:t>
      </w:r>
      <w:r>
        <w:rPr>
          <w:lang w:val="en-US"/>
        </w:rPr>
        <w:tab/>
        <w:t xml:space="preserve">Under article 40 (3) (b) of the Convention, States parties are </w:t>
      </w:r>
      <w:r w:rsidRPr="008B6BC1">
        <w:rPr>
          <w:lang w:val="en-US"/>
        </w:rPr>
        <w:t>require</w:t>
      </w:r>
      <w:r>
        <w:rPr>
          <w:lang w:val="en-US"/>
        </w:rPr>
        <w:t>d to promote the establishment of</w:t>
      </w:r>
      <w:r w:rsidRPr="008B6BC1">
        <w:rPr>
          <w:lang w:val="en-US"/>
        </w:rPr>
        <w:t xml:space="preserve"> measures for dealing with children without resorting to </w:t>
      </w:r>
      <w:r>
        <w:rPr>
          <w:lang w:val="en-US"/>
        </w:rPr>
        <w:t>judicial</w:t>
      </w:r>
      <w:r w:rsidRPr="008B6BC1">
        <w:rPr>
          <w:lang w:val="en-US"/>
        </w:rPr>
        <w:t xml:space="preserve"> proceedings</w:t>
      </w:r>
      <w:r>
        <w:rPr>
          <w:lang w:val="en-US"/>
        </w:rPr>
        <w:t>, whenever appropriate.</w:t>
      </w:r>
      <w:r w:rsidRPr="008B6BC1">
        <w:rPr>
          <w:lang w:val="en-US"/>
        </w:rPr>
        <w:t xml:space="preserve"> In practice, the measures generally fall into two categories: </w:t>
      </w:r>
    </w:p>
    <w:p w14:paraId="7123B244" w14:textId="77777777" w:rsidR="00FE4078" w:rsidRPr="000435F2" w:rsidRDefault="00FE4078" w:rsidP="0075567E">
      <w:pPr>
        <w:pStyle w:val="SingleTxtG"/>
        <w:ind w:firstLine="567"/>
      </w:pPr>
      <w:r>
        <w:t>(a)</w:t>
      </w:r>
      <w:r>
        <w:tab/>
        <w:t>M</w:t>
      </w:r>
      <w:r w:rsidRPr="000435F2">
        <w:t xml:space="preserve">easures </w:t>
      </w:r>
      <w:r>
        <w:t>referring children away from the judicial system</w:t>
      </w:r>
      <w:r w:rsidRPr="000435F2">
        <w:t xml:space="preserve">, </w:t>
      </w:r>
      <w:r>
        <w:t>any time prior to or during the</w:t>
      </w:r>
      <w:r w:rsidRPr="000435F2">
        <w:t xml:space="preserve"> </w:t>
      </w:r>
      <w:r>
        <w:t>relevant</w:t>
      </w:r>
      <w:r w:rsidRPr="000435F2">
        <w:t xml:space="preserve"> proceedings </w:t>
      </w:r>
      <w:r>
        <w:t>(</w:t>
      </w:r>
      <w:r w:rsidRPr="000435F2">
        <w:t>diversion</w:t>
      </w:r>
      <w:r>
        <w:t>)</w:t>
      </w:r>
      <w:r w:rsidRPr="000435F2">
        <w:t xml:space="preserve">;  </w:t>
      </w:r>
    </w:p>
    <w:p w14:paraId="017AD404" w14:textId="77777777" w:rsidR="00FE4078" w:rsidRPr="000435F2" w:rsidRDefault="00FE4078" w:rsidP="0075567E">
      <w:pPr>
        <w:pStyle w:val="SingleTxtG"/>
        <w:ind w:firstLine="567"/>
      </w:pPr>
      <w:r w:rsidRPr="000435F2">
        <w:lastRenderedPageBreak/>
        <w:t>(b)</w:t>
      </w:r>
      <w:r w:rsidRPr="000435F2">
        <w:tab/>
      </w:r>
      <w:r>
        <w:t>M</w:t>
      </w:r>
      <w:r w:rsidRPr="000435F2">
        <w:t xml:space="preserve">easures in the context of judicial proceedings. </w:t>
      </w:r>
    </w:p>
    <w:p w14:paraId="602453ED" w14:textId="77777777" w:rsidR="00FE4078" w:rsidRPr="000435F2" w:rsidRDefault="00FE4078" w:rsidP="00E61469">
      <w:pPr>
        <w:pStyle w:val="SingleTxtG"/>
      </w:pPr>
      <w:r>
        <w:t>14.</w:t>
      </w:r>
      <w:r>
        <w:tab/>
        <w:t>T</w:t>
      </w:r>
      <w:r w:rsidRPr="000435F2">
        <w:t>he Committee reminds States parties that</w:t>
      </w:r>
      <w:r>
        <w:t>, in applying measures under both categories of intervention,</w:t>
      </w:r>
      <w:r w:rsidRPr="000435F2">
        <w:t xml:space="preserve"> utmost care </w:t>
      </w:r>
      <w:r>
        <w:t xml:space="preserve">should </w:t>
      </w:r>
      <w:r w:rsidRPr="000435F2">
        <w:t>be taken to ensure that the child’s human rights and legal safeguards are fully respected and protected.</w:t>
      </w:r>
    </w:p>
    <w:p w14:paraId="6CB486F5" w14:textId="77777777" w:rsidR="00FE4078" w:rsidRPr="000435F2" w:rsidRDefault="00FE4078" w:rsidP="00702C9E">
      <w:pPr>
        <w:pStyle w:val="H23G"/>
      </w:pPr>
      <w:r w:rsidRPr="000435F2">
        <w:tab/>
      </w:r>
      <w:r w:rsidRPr="000435F2">
        <w:tab/>
      </w:r>
      <w:r w:rsidRPr="00702C9E">
        <w:t>Interventions</w:t>
      </w:r>
      <w:r w:rsidRPr="000435F2">
        <w:t xml:space="preserve"> </w:t>
      </w:r>
      <w:r>
        <w:t>that avoid</w:t>
      </w:r>
      <w:r w:rsidRPr="000435F2">
        <w:t xml:space="preserve"> resorting to judicial proceedings </w:t>
      </w:r>
    </w:p>
    <w:p w14:paraId="64AA64D4" w14:textId="77777777" w:rsidR="00FE4078" w:rsidRPr="000435F2" w:rsidRDefault="00FE4078" w:rsidP="00702C9E">
      <w:pPr>
        <w:pStyle w:val="SingleTxtG"/>
        <w:rPr>
          <w:lang w:val="en-US"/>
        </w:rPr>
      </w:pPr>
      <w:r>
        <w:rPr>
          <w:lang w:val="en-US"/>
        </w:rPr>
        <w:t>15.</w:t>
      </w:r>
      <w:r>
        <w:rPr>
          <w:lang w:val="en-US"/>
        </w:rPr>
        <w:tab/>
        <w:t xml:space="preserve">Measures dealing with children that avoid resorting to judicial proceedings have been introduced into many systems around the world, and are generally referred to as diversion. Diversion involves the referral of matters away from the formal criminal justice system, usually to programmes or activities. </w:t>
      </w:r>
      <w:r w:rsidRPr="000435F2">
        <w:rPr>
          <w:lang w:val="en-US"/>
        </w:rPr>
        <w:t>In addition to avoiding stigmatization</w:t>
      </w:r>
      <w:r>
        <w:rPr>
          <w:lang w:val="en-US"/>
        </w:rPr>
        <w:t xml:space="preserve"> and criminal records</w:t>
      </w:r>
      <w:r w:rsidRPr="000435F2">
        <w:rPr>
          <w:lang w:val="en-US"/>
        </w:rPr>
        <w:t xml:space="preserve">, this approach </w:t>
      </w:r>
      <w:r>
        <w:rPr>
          <w:lang w:val="en-US"/>
        </w:rPr>
        <w:t>yields</w:t>
      </w:r>
      <w:r w:rsidRPr="000435F2">
        <w:rPr>
          <w:lang w:val="en-US"/>
        </w:rPr>
        <w:t xml:space="preserve"> good results for children</w:t>
      </w:r>
      <w:r>
        <w:rPr>
          <w:lang w:val="en-US"/>
        </w:rPr>
        <w:t>,</w:t>
      </w:r>
      <w:r w:rsidRPr="000435F2">
        <w:rPr>
          <w:lang w:val="en-US"/>
        </w:rPr>
        <w:t xml:space="preserve"> is </w:t>
      </w:r>
      <w:r>
        <w:rPr>
          <w:lang w:val="en-US"/>
        </w:rPr>
        <w:t xml:space="preserve">congruent with </w:t>
      </w:r>
      <w:r w:rsidRPr="000435F2">
        <w:rPr>
          <w:lang w:val="en-US"/>
        </w:rPr>
        <w:t>public safety and has prove</w:t>
      </w:r>
      <w:r>
        <w:rPr>
          <w:lang w:val="en-US"/>
        </w:rPr>
        <w:t>d</w:t>
      </w:r>
      <w:r w:rsidRPr="000435F2">
        <w:rPr>
          <w:lang w:val="en-US"/>
        </w:rPr>
        <w:t xml:space="preserve"> to be cost-effective.</w:t>
      </w:r>
    </w:p>
    <w:p w14:paraId="77EB14B8" w14:textId="77777777" w:rsidR="00FE4078" w:rsidRPr="000435F2" w:rsidRDefault="00FE4078" w:rsidP="00702C9E">
      <w:pPr>
        <w:pStyle w:val="SingleTxtG"/>
        <w:rPr>
          <w:lang w:val="en-US"/>
        </w:rPr>
      </w:pPr>
      <w:r>
        <w:rPr>
          <w:lang w:val="en-US"/>
        </w:rPr>
        <w:t>16.</w:t>
      </w:r>
      <w:r>
        <w:rPr>
          <w:lang w:val="en-US"/>
        </w:rPr>
        <w:tab/>
        <w:t xml:space="preserve">Diversion </w:t>
      </w:r>
      <w:r w:rsidRPr="000435F2">
        <w:rPr>
          <w:lang w:val="en-US"/>
        </w:rPr>
        <w:t>should be the preferred manner of dealing with child</w:t>
      </w:r>
      <w:r>
        <w:rPr>
          <w:lang w:val="en-US"/>
        </w:rPr>
        <w:t xml:space="preserve">ren </w:t>
      </w:r>
      <w:r w:rsidRPr="000435F2">
        <w:rPr>
          <w:lang w:val="en-US"/>
        </w:rPr>
        <w:t xml:space="preserve">in the majority of cases. States parties should continually extend the range of offences for which diversion is possible, including serious offences where appropriate. </w:t>
      </w:r>
      <w:r>
        <w:rPr>
          <w:lang w:val="en-US"/>
        </w:rPr>
        <w:t>Opportunities for diversion should be available from as early as possible after contact with the system, and at various stages throughout the process.</w:t>
      </w:r>
      <w:r w:rsidRPr="00C93379">
        <w:rPr>
          <w:lang w:val="en-US"/>
        </w:rPr>
        <w:t xml:space="preserve"> </w:t>
      </w:r>
      <w:r>
        <w:rPr>
          <w:lang w:val="en-US"/>
        </w:rPr>
        <w:t>D</w:t>
      </w:r>
      <w:r w:rsidRPr="000435F2">
        <w:rPr>
          <w:lang w:val="en-US"/>
        </w:rPr>
        <w:t xml:space="preserve">iversion </w:t>
      </w:r>
      <w:r>
        <w:rPr>
          <w:lang w:val="en-US"/>
        </w:rPr>
        <w:t xml:space="preserve">should be an </w:t>
      </w:r>
      <w:r w:rsidRPr="000435F2">
        <w:rPr>
          <w:lang w:val="en-US"/>
        </w:rPr>
        <w:t xml:space="preserve">integral part of the </w:t>
      </w:r>
      <w:r>
        <w:rPr>
          <w:lang w:val="en-US"/>
        </w:rPr>
        <w:t xml:space="preserve">child </w:t>
      </w:r>
      <w:r w:rsidRPr="000435F2">
        <w:rPr>
          <w:lang w:val="en-US"/>
        </w:rPr>
        <w:t>justice system, and</w:t>
      </w:r>
      <w:r>
        <w:rPr>
          <w:lang w:val="en-US"/>
        </w:rPr>
        <w:t>, in accordance with ar</w:t>
      </w:r>
      <w:r w:rsidRPr="000435F2">
        <w:rPr>
          <w:lang w:val="en-US"/>
        </w:rPr>
        <w:t>t. 40 (3) (b)</w:t>
      </w:r>
      <w:r>
        <w:rPr>
          <w:lang w:val="en-US"/>
        </w:rPr>
        <w:t xml:space="preserve"> of the Convention,</w:t>
      </w:r>
      <w:r w:rsidRPr="000435F2">
        <w:rPr>
          <w:lang w:val="en-US"/>
        </w:rPr>
        <w:t xml:space="preserve"> children’s human rights and legal safeguards are</w:t>
      </w:r>
      <w:r>
        <w:rPr>
          <w:lang w:val="en-US"/>
        </w:rPr>
        <w:t xml:space="preserve"> to be</w:t>
      </w:r>
      <w:r w:rsidRPr="000435F2">
        <w:rPr>
          <w:lang w:val="en-US"/>
        </w:rPr>
        <w:t xml:space="preserve"> f</w:t>
      </w:r>
      <w:r>
        <w:rPr>
          <w:lang w:val="en-US"/>
        </w:rPr>
        <w:t xml:space="preserve">ully respected and protected in all diversion processes and programmes </w:t>
      </w:r>
    </w:p>
    <w:p w14:paraId="1086D2C7" w14:textId="77777777" w:rsidR="00FE4078" w:rsidRPr="0092066F" w:rsidRDefault="00FE4078" w:rsidP="00702C9E">
      <w:pPr>
        <w:pStyle w:val="SingleTxtG"/>
        <w:rPr>
          <w:lang w:val="en-US"/>
        </w:rPr>
      </w:pPr>
      <w:r>
        <w:rPr>
          <w:lang w:val="en-US"/>
        </w:rPr>
        <w:t>17.</w:t>
      </w:r>
      <w:r>
        <w:rPr>
          <w:lang w:val="en-US"/>
        </w:rPr>
        <w:tab/>
      </w:r>
      <w:r w:rsidRPr="0092066F">
        <w:rPr>
          <w:lang w:val="en-US"/>
        </w:rPr>
        <w:t xml:space="preserve">It is left to the discretion of States parties to decide on the exact nature and content of </w:t>
      </w:r>
      <w:r w:rsidRPr="00702C9E">
        <w:t>measures</w:t>
      </w:r>
      <w:r w:rsidRPr="0092066F">
        <w:rPr>
          <w:lang w:val="en-US"/>
        </w:rPr>
        <w:t xml:space="preserve"> of diversion, and to take the necessary legislative and other measures for their implementation.</w:t>
      </w:r>
      <w:r>
        <w:rPr>
          <w:lang w:val="en-US"/>
        </w:rPr>
        <w:t xml:space="preserve"> The Committee takes note</w:t>
      </w:r>
      <w:r w:rsidRPr="0092066F">
        <w:rPr>
          <w:lang w:val="en-US"/>
        </w:rPr>
        <w:t xml:space="preserve"> that a variety of community-based program</w:t>
      </w:r>
      <w:r>
        <w:rPr>
          <w:lang w:val="en-US"/>
        </w:rPr>
        <w:t>me</w:t>
      </w:r>
      <w:r w:rsidRPr="0092066F">
        <w:rPr>
          <w:lang w:val="en-US"/>
        </w:rPr>
        <w:t>s have been developed, such as community service, supervision and guidance by</w:t>
      </w:r>
      <w:r>
        <w:rPr>
          <w:lang w:val="en-US"/>
        </w:rPr>
        <w:t xml:space="preserve"> designated officials</w:t>
      </w:r>
      <w:r w:rsidRPr="0092066F">
        <w:rPr>
          <w:lang w:val="en-US"/>
        </w:rPr>
        <w:t xml:space="preserve">, family conferencing and other restorative </w:t>
      </w:r>
      <w:r>
        <w:rPr>
          <w:lang w:val="en-US"/>
        </w:rPr>
        <w:t>justice options,</w:t>
      </w:r>
      <w:r w:rsidRPr="0092066F">
        <w:rPr>
          <w:lang w:val="en-US"/>
        </w:rPr>
        <w:t xml:space="preserve"> including </w:t>
      </w:r>
      <w:r>
        <w:rPr>
          <w:lang w:val="en-US"/>
        </w:rPr>
        <w:t>reparation to</w:t>
      </w:r>
      <w:r w:rsidRPr="0092066F">
        <w:rPr>
          <w:lang w:val="en-US"/>
        </w:rPr>
        <w:t xml:space="preserve"> victims. </w:t>
      </w:r>
    </w:p>
    <w:p w14:paraId="1F50E08E" w14:textId="77777777" w:rsidR="00FE4078" w:rsidRPr="000435F2" w:rsidRDefault="00FE4078" w:rsidP="00702C9E">
      <w:pPr>
        <w:pStyle w:val="SingleTxtG"/>
        <w:rPr>
          <w:lang w:val="en-US"/>
        </w:rPr>
      </w:pPr>
      <w:r>
        <w:rPr>
          <w:lang w:val="en-US"/>
        </w:rPr>
        <w:t>18.</w:t>
      </w:r>
      <w:r>
        <w:rPr>
          <w:lang w:val="en-US"/>
        </w:rPr>
        <w:tab/>
      </w:r>
      <w:r w:rsidRPr="000435F2">
        <w:rPr>
          <w:lang w:val="en-US"/>
        </w:rPr>
        <w:t xml:space="preserve">The </w:t>
      </w:r>
      <w:r w:rsidRPr="00702C9E">
        <w:t>Committee</w:t>
      </w:r>
      <w:r w:rsidRPr="000435F2">
        <w:rPr>
          <w:lang w:val="en-US"/>
        </w:rPr>
        <w:t xml:space="preserve"> emphasizes the following:</w:t>
      </w:r>
    </w:p>
    <w:p w14:paraId="7CC36D44" w14:textId="77777777" w:rsidR="00FE4078" w:rsidRPr="00FF3D06" w:rsidRDefault="00FE4078" w:rsidP="0075567E">
      <w:pPr>
        <w:pStyle w:val="SingleTxtG"/>
        <w:ind w:firstLine="567"/>
      </w:pPr>
      <w:r>
        <w:t>(a)</w:t>
      </w:r>
      <w:r>
        <w:tab/>
      </w:r>
      <w:r w:rsidRPr="00FF3D06">
        <w:t>Diversion should be used only when there is compelling evidence that the child committed the alleged offence,</w:t>
      </w:r>
      <w:r>
        <w:t xml:space="preserve"> that he or she</w:t>
      </w:r>
      <w:r w:rsidRPr="00FF3D06">
        <w:t xml:space="preserve"> freely and voluntarily admits responsibility, without intimidation or pressure, and that the admission </w:t>
      </w:r>
      <w:r>
        <w:t>will</w:t>
      </w:r>
      <w:r w:rsidRPr="00FF3D06">
        <w:t xml:space="preserve"> not </w:t>
      </w:r>
      <w:r>
        <w:t xml:space="preserve">be </w:t>
      </w:r>
      <w:r w:rsidRPr="00FF3D06">
        <w:t>used against the child in any subsequent legal proceeding;</w:t>
      </w:r>
    </w:p>
    <w:p w14:paraId="7043C70E" w14:textId="77777777" w:rsidR="00FE4078" w:rsidRPr="00FF3D06" w:rsidRDefault="00FE4078" w:rsidP="0075567E">
      <w:pPr>
        <w:pStyle w:val="SingleTxtG"/>
        <w:ind w:firstLine="567"/>
      </w:pPr>
      <w:r>
        <w:t>(b)</w:t>
      </w:r>
      <w:r>
        <w:tab/>
      </w:r>
      <w:r w:rsidRPr="00FF3D06">
        <w:t xml:space="preserve">The child’s free and voluntary consent to diversion should be based on adequate and specific information on the nature, content and duration of the measure, and on </w:t>
      </w:r>
      <w:r>
        <w:t xml:space="preserve">an understanding of </w:t>
      </w:r>
      <w:r w:rsidRPr="00FF3D06">
        <w:t>the consequences of a failure to cooperate or complete the measure;</w:t>
      </w:r>
    </w:p>
    <w:p w14:paraId="73385FF1" w14:textId="77777777" w:rsidR="00FE4078" w:rsidRPr="00FF3D06" w:rsidRDefault="00FE4078" w:rsidP="0075567E">
      <w:pPr>
        <w:pStyle w:val="SingleTxtG"/>
        <w:ind w:firstLine="567"/>
      </w:pPr>
      <w:r>
        <w:lastRenderedPageBreak/>
        <w:t>(c)</w:t>
      </w:r>
      <w:r>
        <w:tab/>
      </w:r>
      <w:r w:rsidRPr="00FF3D06">
        <w:t xml:space="preserve">The law should indicate the cases in which diversion is possible, and the relevant decisions of the police, prosecutors and/or other agencies should be regulated and reviewable. All State officials and actors participating in the diversion process should receive the necessary training and support; </w:t>
      </w:r>
    </w:p>
    <w:p w14:paraId="54C58421" w14:textId="77777777" w:rsidR="00FE4078" w:rsidRPr="00FF3D06" w:rsidRDefault="00FE4078" w:rsidP="0075567E">
      <w:pPr>
        <w:pStyle w:val="SingleTxtG"/>
        <w:ind w:firstLine="567"/>
      </w:pPr>
      <w:r>
        <w:t>(d)</w:t>
      </w:r>
      <w:r>
        <w:tab/>
      </w:r>
      <w:r w:rsidRPr="00FF3D06">
        <w:t xml:space="preserve">The child </w:t>
      </w:r>
      <w:r>
        <w:t>is to</w:t>
      </w:r>
      <w:r w:rsidRPr="00FF3D06">
        <w:t xml:space="preserve"> be given the opportunity to seek legal or other appropriate assistance relating to the diversion offered by the competent authorities, and the possibility of review of the measure;</w:t>
      </w:r>
    </w:p>
    <w:p w14:paraId="386ACF43" w14:textId="77777777" w:rsidR="00FE4078" w:rsidRPr="00FF3D06" w:rsidRDefault="00FE4078" w:rsidP="0075567E">
      <w:pPr>
        <w:pStyle w:val="SingleTxtG"/>
        <w:ind w:firstLine="567"/>
      </w:pPr>
      <w:r>
        <w:t>(e)</w:t>
      </w:r>
      <w:r>
        <w:tab/>
      </w:r>
      <w:r w:rsidRPr="00FF3D06">
        <w:t>Diversion measures should not include the deprivation of liberty;</w:t>
      </w:r>
    </w:p>
    <w:p w14:paraId="749E1F0B" w14:textId="77777777" w:rsidR="00FE4078" w:rsidRPr="00FF3D06" w:rsidRDefault="00FE4078" w:rsidP="0075567E">
      <w:pPr>
        <w:pStyle w:val="SingleTxtG"/>
        <w:ind w:firstLine="567"/>
      </w:pPr>
      <w:r>
        <w:t>(f)</w:t>
      </w:r>
      <w:r>
        <w:tab/>
      </w:r>
      <w:r w:rsidRPr="00FF3D06">
        <w:t>The completion of the diversion should result in a definite and final closure of the case. Although confidential records of diversion can be kept for administrative, review, investigative and research purposes, they should not be viewed as criminal convictions or result in criminal records.</w:t>
      </w:r>
    </w:p>
    <w:p w14:paraId="7119E3CD" w14:textId="77777777" w:rsidR="00FE4078" w:rsidRPr="000435F2" w:rsidRDefault="00FE4078" w:rsidP="00FF3D06">
      <w:pPr>
        <w:pStyle w:val="H23G"/>
      </w:pPr>
      <w:r>
        <w:tab/>
      </w:r>
      <w:r>
        <w:tab/>
      </w:r>
      <w:r w:rsidRPr="000435F2">
        <w:t>Interventions in the context of judicial proceedings (disposition)</w:t>
      </w:r>
    </w:p>
    <w:p w14:paraId="09452497" w14:textId="77777777" w:rsidR="00FE4078" w:rsidRPr="000435F2" w:rsidRDefault="00FE4078" w:rsidP="00FF3D06">
      <w:pPr>
        <w:pStyle w:val="SingleTxtG"/>
        <w:rPr>
          <w:lang w:val="en-US"/>
        </w:rPr>
      </w:pPr>
      <w:r>
        <w:rPr>
          <w:lang w:val="en-US"/>
        </w:rPr>
        <w:t>19.</w:t>
      </w:r>
      <w:r>
        <w:rPr>
          <w:lang w:val="en-US"/>
        </w:rPr>
        <w:tab/>
      </w:r>
      <w:r w:rsidRPr="000435F2">
        <w:rPr>
          <w:lang w:val="en-US"/>
        </w:rPr>
        <w:t xml:space="preserve">When judicial proceedings are initiated by the competent authority, the principles of a fair and just trial </w:t>
      </w:r>
      <w:r>
        <w:rPr>
          <w:lang w:val="en-US"/>
        </w:rPr>
        <w:t xml:space="preserve">are </w:t>
      </w:r>
      <w:r w:rsidRPr="000435F2">
        <w:rPr>
          <w:lang w:val="en-US"/>
        </w:rPr>
        <w:t>appli</w:t>
      </w:r>
      <w:r>
        <w:rPr>
          <w:lang w:val="en-US"/>
        </w:rPr>
        <w:t>cabl</w:t>
      </w:r>
      <w:r w:rsidRPr="000435F2">
        <w:rPr>
          <w:lang w:val="en-US"/>
        </w:rPr>
        <w:t xml:space="preserve">e (see section D below). </w:t>
      </w:r>
      <w:r>
        <w:rPr>
          <w:lang w:val="en-US"/>
        </w:rPr>
        <w:t>T</w:t>
      </w:r>
      <w:r w:rsidRPr="000435F2">
        <w:rPr>
          <w:lang w:val="en-US"/>
        </w:rPr>
        <w:t xml:space="preserve">he </w:t>
      </w:r>
      <w:r>
        <w:rPr>
          <w:lang w:val="en-US"/>
        </w:rPr>
        <w:t xml:space="preserve">child </w:t>
      </w:r>
      <w:r w:rsidRPr="000435F2">
        <w:rPr>
          <w:lang w:val="en-US"/>
        </w:rPr>
        <w:t xml:space="preserve">justice system should provide ample opportunities to </w:t>
      </w:r>
      <w:r>
        <w:rPr>
          <w:lang w:val="en-US"/>
        </w:rPr>
        <w:t xml:space="preserve">apply </w:t>
      </w:r>
      <w:r w:rsidRPr="000435F2">
        <w:rPr>
          <w:lang w:val="en-US"/>
        </w:rPr>
        <w:t>social and educational measures, and to strictly limit the use of deprivation of liberty</w:t>
      </w:r>
      <w:r>
        <w:rPr>
          <w:lang w:val="en-US"/>
        </w:rPr>
        <w:t>,</w:t>
      </w:r>
      <w:r w:rsidRPr="000435F2">
        <w:rPr>
          <w:lang w:val="en-US"/>
        </w:rPr>
        <w:t xml:space="preserve"> </w:t>
      </w:r>
      <w:r w:rsidRPr="0014596A">
        <w:rPr>
          <w:lang w:val="en-US"/>
        </w:rPr>
        <w:t>from the moment of arrest, throughout the proceedings and in sentencing</w:t>
      </w:r>
      <w:r>
        <w:rPr>
          <w:lang w:val="en-US"/>
        </w:rPr>
        <w:t>.</w:t>
      </w:r>
      <w:r w:rsidRPr="000435F2">
        <w:rPr>
          <w:lang w:val="en-US"/>
        </w:rPr>
        <w:t xml:space="preserve"> States parties should have in place a probation service </w:t>
      </w:r>
      <w:r>
        <w:rPr>
          <w:lang w:val="en-US"/>
        </w:rPr>
        <w:t xml:space="preserve">or similar agency with </w:t>
      </w:r>
      <w:r w:rsidRPr="000435F2">
        <w:rPr>
          <w:lang w:val="en-US"/>
        </w:rPr>
        <w:t>well-trained</w:t>
      </w:r>
      <w:r>
        <w:rPr>
          <w:lang w:val="en-US"/>
        </w:rPr>
        <w:t xml:space="preserve"> staff </w:t>
      </w:r>
      <w:r w:rsidRPr="000435F2">
        <w:rPr>
          <w:lang w:val="en-US"/>
        </w:rPr>
        <w:t>to</w:t>
      </w:r>
      <w:r>
        <w:rPr>
          <w:lang w:val="en-US"/>
        </w:rPr>
        <w:t xml:space="preserve"> ensure</w:t>
      </w:r>
      <w:r w:rsidRPr="000435F2">
        <w:rPr>
          <w:lang w:val="en-US"/>
        </w:rPr>
        <w:t xml:space="preserve"> the maximum and effective use of measures such as guidance and supervision orders, probation, community monitoring or day report</w:t>
      </w:r>
      <w:r>
        <w:rPr>
          <w:lang w:val="en-US"/>
        </w:rPr>
        <w:t>ing</w:t>
      </w:r>
      <w:r w:rsidRPr="000435F2">
        <w:rPr>
          <w:lang w:val="en-US"/>
        </w:rPr>
        <w:t xml:space="preserve"> centres, and the possibility of early release from detention.</w:t>
      </w:r>
    </w:p>
    <w:p w14:paraId="3C9964BC" w14:textId="77777777" w:rsidR="00FE4078" w:rsidRPr="000435F2" w:rsidRDefault="00FE4078" w:rsidP="004E782F">
      <w:pPr>
        <w:pStyle w:val="H1G"/>
      </w:pPr>
      <w:r w:rsidRPr="000435F2">
        <w:tab/>
        <w:t>C.</w:t>
      </w:r>
      <w:r w:rsidRPr="000435F2">
        <w:tab/>
        <w:t xml:space="preserve">Age and </w:t>
      </w:r>
      <w:r>
        <w:t>child justice systems</w:t>
      </w:r>
    </w:p>
    <w:p w14:paraId="63BA5CC2" w14:textId="77777777" w:rsidR="00FE4078" w:rsidRPr="000435F2" w:rsidRDefault="00FE4078" w:rsidP="004E782F">
      <w:pPr>
        <w:pStyle w:val="H23G"/>
        <w:rPr>
          <w:bCs/>
        </w:rPr>
      </w:pPr>
      <w:r w:rsidRPr="000435F2">
        <w:tab/>
      </w:r>
      <w:r w:rsidRPr="000435F2">
        <w:tab/>
      </w:r>
      <w:r>
        <w:t>M</w:t>
      </w:r>
      <w:r w:rsidRPr="000435F2">
        <w:t>inimum age of criminal responsibility</w:t>
      </w:r>
    </w:p>
    <w:p w14:paraId="7F855DDB" w14:textId="77777777" w:rsidR="00FE4078" w:rsidRPr="0093670D" w:rsidRDefault="00FE4078" w:rsidP="00FF3D06">
      <w:pPr>
        <w:pStyle w:val="SingleTxtG"/>
        <w:rPr>
          <w:lang w:val="en-US"/>
        </w:rPr>
      </w:pPr>
      <w:r>
        <w:rPr>
          <w:lang w:val="en-US"/>
        </w:rPr>
        <w:t>20.</w:t>
      </w:r>
      <w:r>
        <w:rPr>
          <w:lang w:val="en-US"/>
        </w:rPr>
        <w:tab/>
      </w:r>
      <w:r w:rsidRPr="0093670D">
        <w:rPr>
          <w:lang w:val="en-US"/>
        </w:rPr>
        <w:t xml:space="preserve">Children who </w:t>
      </w:r>
      <w:r>
        <w:rPr>
          <w:lang w:val="en-US"/>
        </w:rPr>
        <w:t xml:space="preserve">are below the minimum age of criminal responsibility at the time of the </w:t>
      </w:r>
      <w:r w:rsidRPr="0093670D">
        <w:rPr>
          <w:lang w:val="en-US"/>
        </w:rPr>
        <w:t>commi</w:t>
      </w:r>
      <w:r>
        <w:rPr>
          <w:lang w:val="en-US"/>
        </w:rPr>
        <w:t>ssion of</w:t>
      </w:r>
      <w:r w:rsidRPr="0093670D">
        <w:rPr>
          <w:lang w:val="en-US"/>
        </w:rPr>
        <w:t xml:space="preserve"> an offence cannot be held responsible in criminal law proc</w:t>
      </w:r>
      <w:r>
        <w:rPr>
          <w:lang w:val="en-US"/>
        </w:rPr>
        <w:t>eedings</w:t>
      </w:r>
      <w:r w:rsidRPr="0093670D">
        <w:rPr>
          <w:lang w:val="en-US"/>
        </w:rPr>
        <w:t>. Children at or above the minimum age at the t</w:t>
      </w:r>
      <w:r w:rsidRPr="00E41384">
        <w:rPr>
          <w:lang w:val="en-US"/>
        </w:rPr>
        <w:t xml:space="preserve">ime of the commission of an offence but younger than 18 years </w:t>
      </w:r>
      <w:r w:rsidRPr="0093670D">
        <w:rPr>
          <w:lang w:val="en-US"/>
        </w:rPr>
        <w:t>can be formally charged and subject</w:t>
      </w:r>
      <w:r>
        <w:rPr>
          <w:lang w:val="en-US"/>
        </w:rPr>
        <w:t>ed</w:t>
      </w:r>
      <w:r w:rsidRPr="0093670D">
        <w:rPr>
          <w:lang w:val="en-US"/>
        </w:rPr>
        <w:t xml:space="preserve"> to child justice procedures</w:t>
      </w:r>
      <w:r>
        <w:rPr>
          <w:lang w:val="en-US"/>
        </w:rPr>
        <w:t>, in full compliance with the Convention</w:t>
      </w:r>
      <w:r w:rsidRPr="0093670D">
        <w:rPr>
          <w:lang w:val="en-US"/>
        </w:rPr>
        <w:t>. The Committee reminds States parties that the relevant age is the age at the time of the commission of the offence.</w:t>
      </w:r>
    </w:p>
    <w:p w14:paraId="3A6EA387" w14:textId="77777777" w:rsidR="00FE4078" w:rsidRPr="000435F2" w:rsidRDefault="00FE4078" w:rsidP="00FF3D06">
      <w:pPr>
        <w:pStyle w:val="SingleTxtG"/>
        <w:rPr>
          <w:lang w:val="en-US"/>
        </w:rPr>
      </w:pPr>
      <w:r>
        <w:rPr>
          <w:lang w:val="en-US"/>
        </w:rPr>
        <w:t>21.</w:t>
      </w:r>
      <w:r>
        <w:rPr>
          <w:lang w:val="en-US"/>
        </w:rPr>
        <w:tab/>
        <w:t>Under a</w:t>
      </w:r>
      <w:r w:rsidRPr="000435F2">
        <w:rPr>
          <w:lang w:val="en-US"/>
        </w:rPr>
        <w:t>rt</w:t>
      </w:r>
      <w:r>
        <w:rPr>
          <w:lang w:val="en-US"/>
        </w:rPr>
        <w:t>icle</w:t>
      </w:r>
      <w:r w:rsidRPr="000435F2">
        <w:rPr>
          <w:lang w:val="en-US"/>
        </w:rPr>
        <w:t xml:space="preserve"> 40 (3) of </w:t>
      </w:r>
      <w:r>
        <w:rPr>
          <w:lang w:val="en-US"/>
        </w:rPr>
        <w:t>the Convention,</w:t>
      </w:r>
      <w:r w:rsidRPr="000435F2">
        <w:rPr>
          <w:lang w:val="en-US"/>
        </w:rPr>
        <w:t xml:space="preserve"> States parties</w:t>
      </w:r>
      <w:r>
        <w:rPr>
          <w:lang w:val="en-US"/>
        </w:rPr>
        <w:t xml:space="preserve"> are required</w:t>
      </w:r>
      <w:r w:rsidRPr="000435F2">
        <w:rPr>
          <w:lang w:val="en-US"/>
        </w:rPr>
        <w:t xml:space="preserve"> to establish a </w:t>
      </w:r>
      <w:r>
        <w:rPr>
          <w:lang w:val="en-US"/>
        </w:rPr>
        <w:t>minimum age of criminal responsibility,</w:t>
      </w:r>
      <w:r w:rsidRPr="000435F2">
        <w:rPr>
          <w:lang w:val="en-US"/>
        </w:rPr>
        <w:t xml:space="preserve"> but</w:t>
      </w:r>
      <w:r>
        <w:rPr>
          <w:lang w:val="en-US"/>
        </w:rPr>
        <w:t xml:space="preserve"> the article</w:t>
      </w:r>
      <w:r w:rsidRPr="000435F2">
        <w:rPr>
          <w:lang w:val="en-US"/>
        </w:rPr>
        <w:t xml:space="preserve"> does not </w:t>
      </w:r>
      <w:r>
        <w:rPr>
          <w:lang w:val="en-US"/>
        </w:rPr>
        <w:t>specify the age</w:t>
      </w:r>
      <w:r w:rsidRPr="000435F2">
        <w:rPr>
          <w:lang w:val="en-US"/>
        </w:rPr>
        <w:t xml:space="preserve">. </w:t>
      </w:r>
      <w:r>
        <w:rPr>
          <w:lang w:val="en-US"/>
        </w:rPr>
        <w:t xml:space="preserve">Over </w:t>
      </w:r>
      <w:r>
        <w:rPr>
          <w:lang w:val="en-US"/>
        </w:rPr>
        <w:lastRenderedPageBreak/>
        <w:t xml:space="preserve">50 States parties have raised the minimum age following ratification of the Convention, and the most common minimum age of criminal responsibility internationally is 14. Nevertheless, </w:t>
      </w:r>
      <w:r w:rsidRPr="000435F2">
        <w:rPr>
          <w:lang w:val="en-US"/>
        </w:rPr>
        <w:t>reports submitted by States parties</w:t>
      </w:r>
      <w:r>
        <w:rPr>
          <w:lang w:val="en-US"/>
        </w:rPr>
        <w:t xml:space="preserve"> indicate that some States retain</w:t>
      </w:r>
      <w:r w:rsidRPr="000435F2">
        <w:rPr>
          <w:lang w:val="en-US"/>
        </w:rPr>
        <w:t xml:space="preserve"> </w:t>
      </w:r>
      <w:r>
        <w:rPr>
          <w:lang w:val="en-US"/>
        </w:rPr>
        <w:t>an unacceptably low minimum age of criminal responsibility.</w:t>
      </w:r>
    </w:p>
    <w:p w14:paraId="41844D61" w14:textId="77777777" w:rsidR="00FE4078" w:rsidRDefault="00FE4078" w:rsidP="00FF3D06">
      <w:pPr>
        <w:pStyle w:val="SingleTxtG"/>
        <w:rPr>
          <w:lang w:val="en-US"/>
        </w:rPr>
      </w:pPr>
      <w:r>
        <w:rPr>
          <w:lang w:val="en-US"/>
        </w:rPr>
        <w:t>22.</w:t>
      </w:r>
      <w:r>
        <w:rPr>
          <w:lang w:val="en-US"/>
        </w:rPr>
        <w:tab/>
        <w:t xml:space="preserve">Documented evidence in the fields of child development and neuroscience indicates that maturity and the capacity for abstract reasoning is still evolving in children aged 12 to 13 years due to the fact that their frontal cortex is still developing. Therefore, they are unlikely to understand the impact of their actions or to comprehend criminal proceedings. They are also affected by their entry into adolescence. As the Committee notes in its general comment No. 20 (2016) </w:t>
      </w:r>
      <w:r>
        <w:t>on the implementation of the rights of the child during adolescence,</w:t>
      </w:r>
      <w:r>
        <w:rPr>
          <w:lang w:val="en-US"/>
        </w:rPr>
        <w:t xml:space="preserve"> adolescence is </w:t>
      </w:r>
      <w:r w:rsidRPr="004E782F">
        <w:rPr>
          <w:lang w:val="en-US"/>
        </w:rPr>
        <w:t>a unique defining stage of human development characterized by rapid brain development</w:t>
      </w:r>
      <w:r>
        <w:rPr>
          <w:lang w:val="en-US"/>
        </w:rPr>
        <w:t xml:space="preserve">, and this </w:t>
      </w:r>
      <w:r w:rsidRPr="004E782F">
        <w:rPr>
          <w:lang w:val="en-US"/>
        </w:rPr>
        <w:t>affects risk</w:t>
      </w:r>
      <w:r>
        <w:rPr>
          <w:lang w:val="en-US"/>
        </w:rPr>
        <w:t>-</w:t>
      </w:r>
      <w:r w:rsidRPr="004E782F">
        <w:rPr>
          <w:lang w:val="en-US"/>
        </w:rPr>
        <w:t>taking, certain kinds of decision</w:t>
      </w:r>
      <w:r>
        <w:rPr>
          <w:lang w:val="en-US"/>
        </w:rPr>
        <w:t>-</w:t>
      </w:r>
      <w:r w:rsidRPr="004E782F">
        <w:rPr>
          <w:lang w:val="en-US"/>
        </w:rPr>
        <w:t>making and the ability to control impulses</w:t>
      </w:r>
      <w:r w:rsidRPr="000435F2">
        <w:rPr>
          <w:lang w:val="en-US"/>
        </w:rPr>
        <w:t xml:space="preserve">. States parties are encouraged to </w:t>
      </w:r>
      <w:r>
        <w:rPr>
          <w:lang w:val="en-US"/>
        </w:rPr>
        <w:t xml:space="preserve">take note of recent scientific findings, and to </w:t>
      </w:r>
      <w:r w:rsidRPr="000435F2">
        <w:rPr>
          <w:lang w:val="en-US"/>
        </w:rPr>
        <w:t>increase their minimum age</w:t>
      </w:r>
      <w:r>
        <w:rPr>
          <w:lang w:val="en-US"/>
        </w:rPr>
        <w:t xml:space="preserve"> accordingly,</w:t>
      </w:r>
      <w:r w:rsidRPr="000435F2">
        <w:rPr>
          <w:lang w:val="en-US"/>
        </w:rPr>
        <w:t xml:space="preserve"> to at least 14 years of age.</w:t>
      </w:r>
      <w:r w:rsidRPr="00DC74D5">
        <w:rPr>
          <w:rStyle w:val="FootnoteReference"/>
        </w:rPr>
        <w:t xml:space="preserve"> </w:t>
      </w:r>
      <w:r>
        <w:rPr>
          <w:lang w:val="en-US"/>
        </w:rPr>
        <w:t>Moreover, the developmental and neuroscience evidence indicates that adolescent brains continue to mature even beyond the teenage years, affecting certain kinds of decision-making</w:t>
      </w:r>
      <w:r w:rsidRPr="000435F2">
        <w:rPr>
          <w:lang w:val="en-US"/>
        </w:rPr>
        <w:t xml:space="preserve">. </w:t>
      </w:r>
      <w:r>
        <w:rPr>
          <w:lang w:val="en-US"/>
        </w:rPr>
        <w:t>T</w:t>
      </w:r>
      <w:r w:rsidRPr="000435F2">
        <w:rPr>
          <w:lang w:val="en-US"/>
        </w:rPr>
        <w:t>he</w:t>
      </w:r>
      <w:r>
        <w:rPr>
          <w:lang w:val="en-US"/>
        </w:rPr>
        <w:t>refore, the</w:t>
      </w:r>
      <w:r w:rsidRPr="000435F2">
        <w:rPr>
          <w:lang w:val="en-US"/>
        </w:rPr>
        <w:t xml:space="preserve"> Committee commends States parties that have a higher min</w:t>
      </w:r>
      <w:r>
        <w:rPr>
          <w:lang w:val="en-US"/>
        </w:rPr>
        <w:t>imum age, for instance 15 or 16 </w:t>
      </w:r>
      <w:r w:rsidRPr="000435F2">
        <w:rPr>
          <w:lang w:val="en-US"/>
        </w:rPr>
        <w:t>years of age</w:t>
      </w:r>
      <w:r>
        <w:rPr>
          <w:lang w:val="en-US"/>
        </w:rPr>
        <w:t>,</w:t>
      </w:r>
      <w:r w:rsidRPr="000435F2">
        <w:rPr>
          <w:lang w:val="en-US"/>
        </w:rPr>
        <w:t xml:space="preserve"> </w:t>
      </w:r>
      <w:r>
        <w:rPr>
          <w:lang w:val="en-US"/>
        </w:rPr>
        <w:t xml:space="preserve">and urges </w:t>
      </w:r>
      <w:r w:rsidRPr="000435F2">
        <w:rPr>
          <w:lang w:val="en-US"/>
        </w:rPr>
        <w:t>State</w:t>
      </w:r>
      <w:r>
        <w:rPr>
          <w:lang w:val="en-US"/>
        </w:rPr>
        <w:t xml:space="preserve">s parties </w:t>
      </w:r>
      <w:r w:rsidRPr="000435F2">
        <w:rPr>
          <w:lang w:val="en-US"/>
        </w:rPr>
        <w:t>not</w:t>
      </w:r>
      <w:r>
        <w:rPr>
          <w:lang w:val="en-US"/>
        </w:rPr>
        <w:t xml:space="preserve"> to </w:t>
      </w:r>
      <w:r w:rsidRPr="000435F2">
        <w:rPr>
          <w:lang w:val="en-US"/>
        </w:rPr>
        <w:t>reduce the minimum age of criminal responsibility</w:t>
      </w:r>
      <w:r>
        <w:rPr>
          <w:lang w:val="en-US"/>
        </w:rPr>
        <w:t xml:space="preserve"> </w:t>
      </w:r>
      <w:r w:rsidRPr="000435F2">
        <w:rPr>
          <w:lang w:val="en-US"/>
        </w:rPr>
        <w:t xml:space="preserve">under </w:t>
      </w:r>
      <w:r>
        <w:rPr>
          <w:lang w:val="en-US"/>
        </w:rPr>
        <w:t>any</w:t>
      </w:r>
      <w:r w:rsidRPr="000435F2">
        <w:rPr>
          <w:lang w:val="en-US"/>
        </w:rPr>
        <w:t xml:space="preserve"> circumstances</w:t>
      </w:r>
      <w:r>
        <w:rPr>
          <w:lang w:val="en-US"/>
        </w:rPr>
        <w:t xml:space="preserve">, in accordance with article 41 of the Convention. </w:t>
      </w:r>
    </w:p>
    <w:p w14:paraId="0B996C31" w14:textId="77777777" w:rsidR="00FE4078" w:rsidRPr="00512FB9" w:rsidRDefault="00FE4078" w:rsidP="00FF3D06">
      <w:pPr>
        <w:pStyle w:val="SingleTxtG"/>
        <w:rPr>
          <w:lang w:val="en-US"/>
        </w:rPr>
      </w:pPr>
      <w:r>
        <w:rPr>
          <w:lang w:val="en-US"/>
        </w:rPr>
        <w:t>23.</w:t>
      </w:r>
      <w:r>
        <w:rPr>
          <w:lang w:val="en-US"/>
        </w:rPr>
        <w:tab/>
      </w:r>
      <w:r w:rsidRPr="00783AE5">
        <w:rPr>
          <w:lang w:val="en-US"/>
        </w:rPr>
        <w:t>The Committee recognizes that although the setting of a minimum age of criminal responsibility at a reasonably high level is important, an effective approach also depends on how each State deals with children above and below that age</w:t>
      </w:r>
      <w:r>
        <w:rPr>
          <w:lang w:val="en-US"/>
        </w:rPr>
        <w:t>. T</w:t>
      </w:r>
      <w:r w:rsidRPr="00783AE5">
        <w:rPr>
          <w:lang w:val="en-US"/>
        </w:rPr>
        <w:t>he Committee will continue to scrutinize</w:t>
      </w:r>
      <w:r>
        <w:rPr>
          <w:lang w:val="en-US"/>
        </w:rPr>
        <w:t xml:space="preserve"> this</w:t>
      </w:r>
      <w:r w:rsidRPr="00783AE5">
        <w:rPr>
          <w:lang w:val="en-US"/>
        </w:rPr>
        <w:t xml:space="preserve"> in </w:t>
      </w:r>
      <w:r>
        <w:rPr>
          <w:lang w:val="en-US"/>
        </w:rPr>
        <w:t xml:space="preserve">reviews of </w:t>
      </w:r>
      <w:r w:rsidRPr="00783AE5">
        <w:rPr>
          <w:lang w:val="en-US"/>
        </w:rPr>
        <w:t xml:space="preserve">State party </w:t>
      </w:r>
      <w:r>
        <w:rPr>
          <w:lang w:val="en-US"/>
        </w:rPr>
        <w:t>reports</w:t>
      </w:r>
      <w:r w:rsidRPr="00783AE5">
        <w:rPr>
          <w:lang w:val="en-US"/>
        </w:rPr>
        <w:t>. Children below the minimum age of criminal responsibility</w:t>
      </w:r>
      <w:r>
        <w:rPr>
          <w:lang w:val="en-US"/>
        </w:rPr>
        <w:t xml:space="preserve"> are to </w:t>
      </w:r>
      <w:r w:rsidRPr="00783AE5">
        <w:rPr>
          <w:lang w:val="en-US"/>
        </w:rPr>
        <w:t xml:space="preserve">be provided with assistance and services </w:t>
      </w:r>
      <w:r>
        <w:rPr>
          <w:lang w:val="en-US"/>
        </w:rPr>
        <w:t>according to their needs,</w:t>
      </w:r>
      <w:r w:rsidRPr="00783AE5">
        <w:rPr>
          <w:lang w:val="en-US"/>
        </w:rPr>
        <w:t xml:space="preserve"> by the appropriate authorities</w:t>
      </w:r>
      <w:r>
        <w:rPr>
          <w:lang w:val="en-US"/>
        </w:rPr>
        <w:t>, and should not be viewed as children who have committed criminal offences.</w:t>
      </w:r>
    </w:p>
    <w:p w14:paraId="17D84123" w14:textId="77777777" w:rsidR="00FE4078" w:rsidRDefault="00FE4078" w:rsidP="00FF3D06">
      <w:pPr>
        <w:pStyle w:val="SingleTxtG"/>
        <w:rPr>
          <w:lang w:val="en-US"/>
        </w:rPr>
      </w:pPr>
      <w:r>
        <w:rPr>
          <w:lang w:val="en-US"/>
        </w:rPr>
        <w:t>24.</w:t>
      </w:r>
      <w:r>
        <w:rPr>
          <w:lang w:val="en-US"/>
        </w:rPr>
        <w:tab/>
      </w:r>
      <w:r w:rsidRPr="000435F2">
        <w:rPr>
          <w:lang w:val="en-US"/>
        </w:rPr>
        <w:t xml:space="preserve">If there is no proof of age and it cannot be established that the child is </w:t>
      </w:r>
      <w:r>
        <w:rPr>
          <w:lang w:val="en-US"/>
        </w:rPr>
        <w:t xml:space="preserve">below </w:t>
      </w:r>
      <w:r w:rsidRPr="000435F2">
        <w:rPr>
          <w:lang w:val="en-US"/>
        </w:rPr>
        <w:t xml:space="preserve">or above the minimum age of criminal responsibility, the child </w:t>
      </w:r>
      <w:r>
        <w:rPr>
          <w:lang w:val="en-US"/>
        </w:rPr>
        <w:t>is to</w:t>
      </w:r>
      <w:r w:rsidRPr="000435F2">
        <w:rPr>
          <w:lang w:val="en-US"/>
        </w:rPr>
        <w:t xml:space="preserve"> </w:t>
      </w:r>
      <w:r>
        <w:rPr>
          <w:lang w:val="en-US"/>
        </w:rPr>
        <w:t xml:space="preserve">be given the benefit of the doubt and is </w:t>
      </w:r>
      <w:r w:rsidRPr="000435F2">
        <w:rPr>
          <w:lang w:val="en-US"/>
        </w:rPr>
        <w:t>not</w:t>
      </w:r>
      <w:r>
        <w:rPr>
          <w:lang w:val="en-US"/>
        </w:rPr>
        <w:t xml:space="preserve"> to</w:t>
      </w:r>
      <w:r w:rsidRPr="000435F2">
        <w:rPr>
          <w:lang w:val="en-US"/>
        </w:rPr>
        <w:t xml:space="preserve"> be held criminally responsible.</w:t>
      </w:r>
    </w:p>
    <w:p w14:paraId="5E478B11" w14:textId="77777777" w:rsidR="00FE4078" w:rsidRPr="00512FB9" w:rsidRDefault="00FE4078" w:rsidP="004E782F">
      <w:pPr>
        <w:pStyle w:val="H23G"/>
        <w:rPr>
          <w:lang w:val="en-US"/>
        </w:rPr>
      </w:pPr>
      <w:r>
        <w:tab/>
      </w:r>
      <w:r>
        <w:tab/>
      </w:r>
      <w:r w:rsidRPr="00512FB9">
        <w:t>Systems with exceptions to the minimum age</w:t>
      </w:r>
    </w:p>
    <w:p w14:paraId="79AF0395" w14:textId="77777777" w:rsidR="00FE4078" w:rsidRDefault="00FE4078" w:rsidP="00FF3D06">
      <w:pPr>
        <w:pStyle w:val="SingleTxtG"/>
        <w:rPr>
          <w:lang w:val="en-US"/>
        </w:rPr>
      </w:pPr>
      <w:r>
        <w:rPr>
          <w:lang w:val="en-US"/>
        </w:rPr>
        <w:t>25.</w:t>
      </w:r>
      <w:r>
        <w:rPr>
          <w:lang w:val="en-US"/>
        </w:rPr>
        <w:tab/>
      </w:r>
      <w:r w:rsidRPr="000435F2">
        <w:rPr>
          <w:lang w:val="en-US"/>
        </w:rPr>
        <w:t xml:space="preserve">The Committee </w:t>
      </w:r>
      <w:r>
        <w:rPr>
          <w:lang w:val="en-US"/>
        </w:rPr>
        <w:t xml:space="preserve">is </w:t>
      </w:r>
      <w:r w:rsidRPr="000435F2">
        <w:rPr>
          <w:lang w:val="en-US"/>
        </w:rPr>
        <w:t>concern</w:t>
      </w:r>
      <w:r>
        <w:rPr>
          <w:lang w:val="en-US"/>
        </w:rPr>
        <w:t>ed</w:t>
      </w:r>
      <w:r w:rsidRPr="000435F2">
        <w:rPr>
          <w:lang w:val="en-US"/>
        </w:rPr>
        <w:t xml:space="preserve"> about practice</w:t>
      </w:r>
      <w:r>
        <w:rPr>
          <w:lang w:val="en-US"/>
        </w:rPr>
        <w:t>s</w:t>
      </w:r>
      <w:r w:rsidRPr="000435F2">
        <w:rPr>
          <w:lang w:val="en-US"/>
        </w:rPr>
        <w:t xml:space="preserve"> </w:t>
      </w:r>
      <w:r>
        <w:rPr>
          <w:lang w:val="en-US"/>
        </w:rPr>
        <w:t>that</w:t>
      </w:r>
      <w:r w:rsidRPr="000435F2">
        <w:rPr>
          <w:lang w:val="en-US"/>
        </w:rPr>
        <w:t xml:space="preserve"> permit</w:t>
      </w:r>
      <w:r>
        <w:rPr>
          <w:lang w:val="en-US"/>
        </w:rPr>
        <w:t xml:space="preserve"> </w:t>
      </w:r>
      <w:r w:rsidRPr="000435F2">
        <w:rPr>
          <w:lang w:val="en-US"/>
        </w:rPr>
        <w:t xml:space="preserve">the use of a lower minimum age of criminal </w:t>
      </w:r>
      <w:r w:rsidRPr="000435F2">
        <w:rPr>
          <w:lang w:val="en-US"/>
        </w:rPr>
        <w:lastRenderedPageBreak/>
        <w:t>responsibility in cases where</w:t>
      </w:r>
      <w:r>
        <w:rPr>
          <w:lang w:val="en-US"/>
        </w:rPr>
        <w:t xml:space="preserve">, </w:t>
      </w:r>
      <w:r w:rsidRPr="000435F2">
        <w:rPr>
          <w:lang w:val="en-US"/>
        </w:rPr>
        <w:t>for example, the child</w:t>
      </w:r>
      <w:r>
        <w:rPr>
          <w:lang w:val="en-US"/>
        </w:rPr>
        <w:t xml:space="preserve"> </w:t>
      </w:r>
      <w:r w:rsidRPr="000435F2">
        <w:rPr>
          <w:lang w:val="en-US"/>
        </w:rPr>
        <w:t xml:space="preserve">is accused of </w:t>
      </w:r>
      <w:r w:rsidRPr="00FF3D06">
        <w:t>committing</w:t>
      </w:r>
      <w:r w:rsidRPr="000435F2">
        <w:rPr>
          <w:lang w:val="en-US"/>
        </w:rPr>
        <w:t xml:space="preserve"> a serious</w:t>
      </w:r>
      <w:r>
        <w:rPr>
          <w:lang w:val="en-US"/>
        </w:rPr>
        <w:t xml:space="preserve"> offence</w:t>
      </w:r>
      <w:r w:rsidRPr="000435F2">
        <w:rPr>
          <w:lang w:val="en-US"/>
        </w:rPr>
        <w:t>.</w:t>
      </w:r>
      <w:r>
        <w:rPr>
          <w:lang w:val="en-US"/>
        </w:rPr>
        <w:t xml:space="preserve"> Such practices are usually created to respond to public pressure and are not based on a rational understanding of children’s development.</w:t>
      </w:r>
      <w:r w:rsidRPr="00DC74D5">
        <w:rPr>
          <w:rStyle w:val="FootnoteReference"/>
        </w:rPr>
        <w:t xml:space="preserve"> </w:t>
      </w:r>
      <w:r w:rsidRPr="000435F2">
        <w:rPr>
          <w:lang w:val="en-US"/>
        </w:rPr>
        <w:t xml:space="preserve">The Committee strongly recommends that States parties </w:t>
      </w:r>
      <w:r>
        <w:rPr>
          <w:lang w:val="en-US"/>
        </w:rPr>
        <w:t>abolish such approaches and set one standardized age below which children cannot be held responsible in criminal law, without exception.</w:t>
      </w:r>
    </w:p>
    <w:p w14:paraId="4A29675C" w14:textId="77777777" w:rsidR="00FE4078" w:rsidRPr="001E796A" w:rsidRDefault="00FE4078" w:rsidP="00702C9E">
      <w:pPr>
        <w:pStyle w:val="H23G"/>
        <w:rPr>
          <w:lang w:val="en-US"/>
        </w:rPr>
      </w:pPr>
      <w:r>
        <w:rPr>
          <w:lang w:val="en-US"/>
        </w:rPr>
        <w:tab/>
      </w:r>
      <w:r>
        <w:rPr>
          <w:lang w:val="en-US"/>
        </w:rPr>
        <w:tab/>
        <w:t>Systems with two minimum ages</w:t>
      </w:r>
    </w:p>
    <w:p w14:paraId="316F148E" w14:textId="77777777" w:rsidR="00FE4078" w:rsidRDefault="00FE4078" w:rsidP="00FF3D06">
      <w:pPr>
        <w:pStyle w:val="SingleTxtG"/>
        <w:rPr>
          <w:lang w:val="en-US"/>
        </w:rPr>
      </w:pPr>
      <w:r>
        <w:rPr>
          <w:lang w:val="en-US"/>
        </w:rPr>
        <w:t>26.</w:t>
      </w:r>
      <w:r>
        <w:rPr>
          <w:lang w:val="en-US"/>
        </w:rPr>
        <w:tab/>
        <w:t>S</w:t>
      </w:r>
      <w:r w:rsidRPr="000435F2">
        <w:rPr>
          <w:lang w:val="en-US"/>
        </w:rPr>
        <w:t xml:space="preserve">everal States parties </w:t>
      </w:r>
      <w:r>
        <w:rPr>
          <w:lang w:val="en-US"/>
        </w:rPr>
        <w:t xml:space="preserve">apply two minimum ages of criminal responsibility (for example, 7 and 14 years), with a presumption that a child who is at or above the lower age but below the higher age lacks criminal </w:t>
      </w:r>
      <w:r w:rsidRPr="00FF3D06">
        <w:t>responsibility</w:t>
      </w:r>
      <w:r>
        <w:rPr>
          <w:lang w:val="en-US"/>
        </w:rPr>
        <w:t xml:space="preserve"> unless sufficient maturity is demonstrated. Initially devised as a protective system, it has not proved so in practice. Although there is some support for the idea of individualized assessment of criminal responsibility,</w:t>
      </w:r>
      <w:r w:rsidRPr="00DC74D5">
        <w:rPr>
          <w:rStyle w:val="FootnoteReference"/>
        </w:rPr>
        <w:t xml:space="preserve"> </w:t>
      </w:r>
      <w:r>
        <w:rPr>
          <w:lang w:val="en-US"/>
        </w:rPr>
        <w:t xml:space="preserve">the Committee has observed that this </w:t>
      </w:r>
      <w:r w:rsidRPr="000435F2">
        <w:rPr>
          <w:lang w:val="en-US"/>
        </w:rPr>
        <w:t>leaves much to the discretion of the court</w:t>
      </w:r>
      <w:r>
        <w:rPr>
          <w:lang w:val="en-US"/>
        </w:rPr>
        <w:t xml:space="preserve"> and</w:t>
      </w:r>
      <w:r w:rsidRPr="000435F2">
        <w:rPr>
          <w:lang w:val="en-US"/>
        </w:rPr>
        <w:t xml:space="preserve"> result</w:t>
      </w:r>
      <w:r>
        <w:rPr>
          <w:lang w:val="en-US"/>
        </w:rPr>
        <w:t>s</w:t>
      </w:r>
      <w:r w:rsidRPr="000435F2">
        <w:rPr>
          <w:lang w:val="en-US"/>
        </w:rPr>
        <w:t xml:space="preserve"> in discriminatory practices</w:t>
      </w:r>
      <w:r>
        <w:rPr>
          <w:lang w:val="en-US"/>
        </w:rPr>
        <w:t xml:space="preserve">. </w:t>
      </w:r>
    </w:p>
    <w:p w14:paraId="0D746727" w14:textId="77777777" w:rsidR="00FE4078" w:rsidRPr="00707508" w:rsidRDefault="00FE4078" w:rsidP="00FF3D06">
      <w:pPr>
        <w:pStyle w:val="SingleTxtG"/>
        <w:rPr>
          <w:lang w:val="en-US"/>
        </w:rPr>
      </w:pPr>
      <w:r>
        <w:rPr>
          <w:lang w:val="en-US"/>
        </w:rPr>
        <w:t>27.</w:t>
      </w:r>
      <w:r>
        <w:rPr>
          <w:lang w:val="en-US"/>
        </w:rPr>
        <w:tab/>
      </w:r>
      <w:r w:rsidRPr="00707508">
        <w:rPr>
          <w:lang w:val="en-US"/>
        </w:rPr>
        <w:t xml:space="preserve">States are </w:t>
      </w:r>
      <w:r>
        <w:rPr>
          <w:lang w:val="en-US"/>
        </w:rPr>
        <w:t>urged</w:t>
      </w:r>
      <w:r w:rsidRPr="00707508">
        <w:rPr>
          <w:lang w:val="en-US"/>
        </w:rPr>
        <w:t xml:space="preserve"> </w:t>
      </w:r>
      <w:r w:rsidRPr="00FF3D06">
        <w:t>to</w:t>
      </w:r>
      <w:r w:rsidRPr="00707508">
        <w:rPr>
          <w:lang w:val="en-US"/>
        </w:rPr>
        <w:t xml:space="preserve"> set one appropriate minimum age and </w:t>
      </w:r>
      <w:r>
        <w:rPr>
          <w:lang w:val="en-US"/>
        </w:rPr>
        <w:t xml:space="preserve">to </w:t>
      </w:r>
      <w:r w:rsidRPr="00707508">
        <w:rPr>
          <w:lang w:val="en-US"/>
        </w:rPr>
        <w:t xml:space="preserve">ensure that such legal reform </w:t>
      </w:r>
      <w:r>
        <w:rPr>
          <w:lang w:val="en-US"/>
        </w:rPr>
        <w:t>does</w:t>
      </w:r>
      <w:r w:rsidRPr="00707508">
        <w:rPr>
          <w:lang w:val="en-US"/>
        </w:rPr>
        <w:t xml:space="preserve"> not result in a retrogressive position regarding the minimum age</w:t>
      </w:r>
      <w:r>
        <w:rPr>
          <w:lang w:val="en-US"/>
        </w:rPr>
        <w:t xml:space="preserve"> of criminal responsibility</w:t>
      </w:r>
      <w:r w:rsidRPr="00707508">
        <w:rPr>
          <w:lang w:val="en-US"/>
        </w:rPr>
        <w:t xml:space="preserve">. </w:t>
      </w:r>
    </w:p>
    <w:p w14:paraId="45A5F54C" w14:textId="77777777" w:rsidR="00FE4078" w:rsidRPr="00512FB9" w:rsidRDefault="00FE4078" w:rsidP="00702C9E">
      <w:pPr>
        <w:pStyle w:val="H23G"/>
        <w:rPr>
          <w:lang w:val="en-US"/>
        </w:rPr>
      </w:pPr>
      <w:r>
        <w:rPr>
          <w:lang w:val="en-US"/>
        </w:rPr>
        <w:tab/>
      </w:r>
      <w:r>
        <w:rPr>
          <w:lang w:val="en-US"/>
        </w:rPr>
        <w:tab/>
      </w:r>
      <w:r w:rsidRPr="00512FB9">
        <w:rPr>
          <w:lang w:val="en-US"/>
        </w:rPr>
        <w:t>Children lacking criminal responsibility for reasons related to</w:t>
      </w:r>
      <w:r>
        <w:rPr>
          <w:lang w:val="en-US"/>
        </w:rPr>
        <w:t xml:space="preserve"> </w:t>
      </w:r>
      <w:r w:rsidRPr="00512FB9">
        <w:rPr>
          <w:lang w:val="en-US"/>
        </w:rPr>
        <w:t>development</w:t>
      </w:r>
      <w:r>
        <w:rPr>
          <w:lang w:val="en-US"/>
        </w:rPr>
        <w:t>al delays</w:t>
      </w:r>
      <w:r w:rsidRPr="00512FB9">
        <w:rPr>
          <w:lang w:val="en-US"/>
        </w:rPr>
        <w:t xml:space="preserve"> or neurodevelopment</w:t>
      </w:r>
      <w:r>
        <w:rPr>
          <w:lang w:val="en-US"/>
        </w:rPr>
        <w:t>al disorders or disabilities</w:t>
      </w:r>
    </w:p>
    <w:p w14:paraId="0AC02BF2" w14:textId="77777777" w:rsidR="00FE4078" w:rsidRDefault="00FE4078" w:rsidP="00FF3D06">
      <w:pPr>
        <w:pStyle w:val="SingleTxtG"/>
        <w:rPr>
          <w:lang w:val="en-US"/>
        </w:rPr>
      </w:pPr>
      <w:r>
        <w:rPr>
          <w:lang w:val="en-US"/>
        </w:rPr>
        <w:t>28.</w:t>
      </w:r>
      <w:r>
        <w:rPr>
          <w:lang w:val="en-US"/>
        </w:rPr>
        <w:tab/>
        <w:t>Children with developmental delays or neurodevelopmental disorders or disabilities (for example, autism spectrum disorders, fetal alcohol spectrum disorders or acquired brain injuries) should not be in the child justice system at all, even if they have reached the minimum age of criminal responsibility. If not automatically excluded, such children should be individually assessed.</w:t>
      </w:r>
    </w:p>
    <w:p w14:paraId="09629365" w14:textId="77777777" w:rsidR="00FE4078" w:rsidRPr="000435F2" w:rsidRDefault="00FE4078" w:rsidP="004E782F">
      <w:pPr>
        <w:pStyle w:val="H23G"/>
      </w:pPr>
      <w:r w:rsidRPr="000435F2">
        <w:tab/>
      </w:r>
      <w:r w:rsidRPr="000435F2">
        <w:tab/>
      </w:r>
      <w:r w:rsidRPr="000435F2">
        <w:tab/>
      </w:r>
      <w:r>
        <w:t>A</w:t>
      </w:r>
      <w:r w:rsidRPr="000435F2">
        <w:t>pplication of</w:t>
      </w:r>
      <w:r>
        <w:t xml:space="preserve"> the</w:t>
      </w:r>
      <w:r w:rsidRPr="000435F2">
        <w:t xml:space="preserve"> </w:t>
      </w:r>
      <w:r>
        <w:t xml:space="preserve">child </w:t>
      </w:r>
      <w:r w:rsidRPr="000435F2">
        <w:t xml:space="preserve">justice system </w:t>
      </w:r>
    </w:p>
    <w:p w14:paraId="25BD512D" w14:textId="77777777" w:rsidR="00FE4078" w:rsidRPr="000435F2" w:rsidRDefault="00FE4078" w:rsidP="00FF3D06">
      <w:pPr>
        <w:pStyle w:val="SingleTxtG"/>
        <w:rPr>
          <w:lang w:val="en-US"/>
        </w:rPr>
      </w:pPr>
      <w:r>
        <w:rPr>
          <w:lang w:val="en-US"/>
        </w:rPr>
        <w:t>29.</w:t>
      </w:r>
      <w:r>
        <w:rPr>
          <w:lang w:val="en-US"/>
        </w:rPr>
        <w:tab/>
      </w:r>
      <w:r w:rsidRPr="000435F2">
        <w:rPr>
          <w:lang w:val="en-US"/>
        </w:rPr>
        <w:t xml:space="preserve">The </w:t>
      </w:r>
      <w:r>
        <w:rPr>
          <w:lang w:val="en-US"/>
        </w:rPr>
        <w:t xml:space="preserve">child </w:t>
      </w:r>
      <w:r w:rsidRPr="000435F2">
        <w:rPr>
          <w:lang w:val="en-US"/>
        </w:rPr>
        <w:t xml:space="preserve">justice system should apply to </w:t>
      </w:r>
      <w:r>
        <w:rPr>
          <w:lang w:val="en-US"/>
        </w:rPr>
        <w:t xml:space="preserve">all </w:t>
      </w:r>
      <w:r w:rsidRPr="000435F2">
        <w:rPr>
          <w:lang w:val="en-US"/>
        </w:rPr>
        <w:t xml:space="preserve">children above the minimum age of criminal </w:t>
      </w:r>
      <w:r w:rsidRPr="00FF3D06">
        <w:t>responsibility</w:t>
      </w:r>
      <w:r w:rsidRPr="000435F2">
        <w:rPr>
          <w:lang w:val="en-US"/>
        </w:rPr>
        <w:t xml:space="preserve"> but below the age of 18 years at the time of the commission of the offence. </w:t>
      </w:r>
    </w:p>
    <w:p w14:paraId="6ADFE9C3" w14:textId="77777777" w:rsidR="00FE4078" w:rsidRPr="004E782F" w:rsidRDefault="00FE4078" w:rsidP="00FF3D06">
      <w:pPr>
        <w:pStyle w:val="SingleTxtG"/>
        <w:rPr>
          <w:lang w:val="en-US"/>
        </w:rPr>
      </w:pPr>
      <w:r>
        <w:rPr>
          <w:lang w:val="en-US"/>
        </w:rPr>
        <w:t>30.</w:t>
      </w:r>
      <w:r>
        <w:rPr>
          <w:lang w:val="en-US"/>
        </w:rPr>
        <w:tab/>
      </w:r>
      <w:r w:rsidRPr="004E782F">
        <w:rPr>
          <w:lang w:val="en-US"/>
        </w:rPr>
        <w:t xml:space="preserve">The Committee recommends that those States parties </w:t>
      </w:r>
      <w:r>
        <w:rPr>
          <w:lang w:val="en-US"/>
        </w:rPr>
        <w:t>that</w:t>
      </w:r>
      <w:r w:rsidRPr="004E782F">
        <w:rPr>
          <w:lang w:val="en-US"/>
        </w:rPr>
        <w:t xml:space="preserve"> limit the applicability of their child justice </w:t>
      </w:r>
      <w:r>
        <w:rPr>
          <w:lang w:val="en-US"/>
        </w:rPr>
        <w:t>system</w:t>
      </w:r>
      <w:r w:rsidRPr="004E782F">
        <w:rPr>
          <w:lang w:val="en-US"/>
        </w:rPr>
        <w:t xml:space="preserve"> to children under the age of 16 years (or lower), or </w:t>
      </w:r>
      <w:r>
        <w:rPr>
          <w:lang w:val="en-US"/>
        </w:rPr>
        <w:t>that</w:t>
      </w:r>
      <w:r w:rsidRPr="004E782F">
        <w:rPr>
          <w:lang w:val="en-US"/>
        </w:rPr>
        <w:t xml:space="preserve"> allow by way of exception that certain children </w:t>
      </w:r>
      <w:r w:rsidRPr="00FF3D06">
        <w:t>are</w:t>
      </w:r>
      <w:r w:rsidRPr="004E782F">
        <w:rPr>
          <w:lang w:val="en-US"/>
        </w:rPr>
        <w:t xml:space="preserve"> treated as adult offenders (for example, because of the offence category), change their laws to ensure a non-discriminatory full application of their child justice </w:t>
      </w:r>
      <w:r>
        <w:rPr>
          <w:lang w:val="en-US"/>
        </w:rPr>
        <w:t xml:space="preserve">system </w:t>
      </w:r>
      <w:r w:rsidRPr="004E782F">
        <w:rPr>
          <w:lang w:val="en-US"/>
        </w:rPr>
        <w:t xml:space="preserve">to all persons </w:t>
      </w:r>
      <w:r>
        <w:rPr>
          <w:lang w:val="en-US"/>
        </w:rPr>
        <w:t>below</w:t>
      </w:r>
      <w:r w:rsidRPr="004E782F">
        <w:rPr>
          <w:lang w:val="en-US"/>
        </w:rPr>
        <w:t xml:space="preserve"> </w:t>
      </w:r>
      <w:r w:rsidRPr="004E782F">
        <w:rPr>
          <w:lang w:val="en-US"/>
        </w:rPr>
        <w:lastRenderedPageBreak/>
        <w:t>the age of 18 years at the time of the offence</w:t>
      </w:r>
      <w:r>
        <w:rPr>
          <w:lang w:val="en-US"/>
        </w:rPr>
        <w:t xml:space="preserve"> </w:t>
      </w:r>
      <w:r w:rsidRPr="004E782F">
        <w:rPr>
          <w:lang w:val="en-US"/>
        </w:rPr>
        <w:t>(see also general comment No. 20, para</w:t>
      </w:r>
      <w:r>
        <w:rPr>
          <w:lang w:val="en-US"/>
        </w:rPr>
        <w:t>.</w:t>
      </w:r>
      <w:r w:rsidRPr="004E782F">
        <w:rPr>
          <w:lang w:val="en-US"/>
        </w:rPr>
        <w:t xml:space="preserve"> 88). </w:t>
      </w:r>
    </w:p>
    <w:p w14:paraId="2B17C372" w14:textId="77777777" w:rsidR="00FE4078" w:rsidRPr="000435F2" w:rsidRDefault="00FE4078" w:rsidP="00FF3D06">
      <w:pPr>
        <w:pStyle w:val="SingleTxtG"/>
        <w:rPr>
          <w:lang w:val="en-US"/>
        </w:rPr>
      </w:pPr>
      <w:r>
        <w:rPr>
          <w:lang w:val="en-US"/>
        </w:rPr>
        <w:t>31.</w:t>
      </w:r>
      <w:r>
        <w:rPr>
          <w:lang w:val="en-US"/>
        </w:rPr>
        <w:tab/>
        <w:t xml:space="preserve">Child </w:t>
      </w:r>
      <w:r w:rsidRPr="000435F2">
        <w:rPr>
          <w:lang w:val="en-US"/>
        </w:rPr>
        <w:t xml:space="preserve">justice systems should also </w:t>
      </w:r>
      <w:r w:rsidRPr="00FF3D06">
        <w:t>extend</w:t>
      </w:r>
      <w:r w:rsidRPr="000435F2">
        <w:rPr>
          <w:lang w:val="en-US"/>
        </w:rPr>
        <w:t xml:space="preserve"> protection to child</w:t>
      </w:r>
      <w:r>
        <w:rPr>
          <w:lang w:val="en-US"/>
        </w:rPr>
        <w:t>ren</w:t>
      </w:r>
      <w:r w:rsidRPr="000435F2">
        <w:rPr>
          <w:lang w:val="en-US"/>
        </w:rPr>
        <w:t xml:space="preserve"> who were below the age of 18 at the time of the commission of the offence but who turn 18 during the trial or sentenc</w:t>
      </w:r>
      <w:r>
        <w:rPr>
          <w:lang w:val="en-US"/>
        </w:rPr>
        <w:t>ing process</w:t>
      </w:r>
      <w:r w:rsidRPr="000435F2">
        <w:rPr>
          <w:lang w:val="en-US"/>
        </w:rPr>
        <w:t>.</w:t>
      </w:r>
    </w:p>
    <w:p w14:paraId="49B1AB94" w14:textId="77777777" w:rsidR="00FE4078" w:rsidRPr="001E796A" w:rsidRDefault="00FE4078" w:rsidP="00FF3D06">
      <w:pPr>
        <w:pStyle w:val="SingleTxtG"/>
        <w:rPr>
          <w:rStyle w:val="FootnoteReference"/>
        </w:rPr>
      </w:pPr>
      <w:r>
        <w:rPr>
          <w:lang w:val="en-US"/>
        </w:rPr>
        <w:t>32.</w:t>
      </w:r>
      <w:r>
        <w:rPr>
          <w:lang w:val="en-US"/>
        </w:rPr>
        <w:tab/>
      </w:r>
      <w:r w:rsidRPr="000435F2">
        <w:rPr>
          <w:lang w:val="en-US"/>
        </w:rPr>
        <w:t xml:space="preserve">The Committee </w:t>
      </w:r>
      <w:r>
        <w:rPr>
          <w:lang w:val="en-US"/>
        </w:rPr>
        <w:t xml:space="preserve">commends </w:t>
      </w:r>
      <w:r w:rsidRPr="000435F2">
        <w:rPr>
          <w:lang w:val="en-US"/>
        </w:rPr>
        <w:t>States parties</w:t>
      </w:r>
      <w:r>
        <w:rPr>
          <w:lang w:val="en-US"/>
        </w:rPr>
        <w:t xml:space="preserve"> that </w:t>
      </w:r>
      <w:r w:rsidRPr="000435F2">
        <w:rPr>
          <w:lang w:val="en-US"/>
        </w:rPr>
        <w:t xml:space="preserve">allow </w:t>
      </w:r>
      <w:r>
        <w:rPr>
          <w:lang w:val="en-US"/>
        </w:rPr>
        <w:t xml:space="preserve">the </w:t>
      </w:r>
      <w:r w:rsidRPr="000435F2">
        <w:rPr>
          <w:lang w:val="en-US"/>
        </w:rPr>
        <w:t xml:space="preserve">application of the </w:t>
      </w:r>
      <w:r>
        <w:rPr>
          <w:lang w:val="en-US"/>
        </w:rPr>
        <w:t xml:space="preserve">child </w:t>
      </w:r>
      <w:r w:rsidRPr="000435F2">
        <w:rPr>
          <w:lang w:val="en-US"/>
        </w:rPr>
        <w:t>justice</w:t>
      </w:r>
      <w:r>
        <w:rPr>
          <w:lang w:val="en-US"/>
        </w:rPr>
        <w:t xml:space="preserve"> system</w:t>
      </w:r>
      <w:r w:rsidRPr="000435F2">
        <w:rPr>
          <w:lang w:val="en-US"/>
        </w:rPr>
        <w:t xml:space="preserve"> to persons aged 18 and older </w:t>
      </w:r>
      <w:r w:rsidRPr="001450D8">
        <w:rPr>
          <w:lang w:val="en-US"/>
        </w:rPr>
        <w:t>whether as a general rule or by way of exception</w:t>
      </w:r>
      <w:r>
        <w:rPr>
          <w:lang w:val="en-US"/>
        </w:rPr>
        <w:t>. T</w:t>
      </w:r>
      <w:r w:rsidRPr="001450D8">
        <w:rPr>
          <w:lang w:val="en-US"/>
        </w:rPr>
        <w:t>his approach</w:t>
      </w:r>
      <w:r>
        <w:rPr>
          <w:lang w:val="en-US"/>
        </w:rPr>
        <w:t xml:space="preserve"> is</w:t>
      </w:r>
      <w:r w:rsidRPr="001450D8">
        <w:rPr>
          <w:lang w:val="en-US"/>
        </w:rPr>
        <w:t xml:space="preserve"> in </w:t>
      </w:r>
      <w:r>
        <w:rPr>
          <w:lang w:val="en-US"/>
        </w:rPr>
        <w:t>keeping with the</w:t>
      </w:r>
      <w:r w:rsidRPr="001450D8">
        <w:rPr>
          <w:lang w:val="en-US"/>
        </w:rPr>
        <w:t xml:space="preserve"> developmental and neuroscience evidence that shows</w:t>
      </w:r>
      <w:r>
        <w:rPr>
          <w:lang w:val="en-US"/>
        </w:rPr>
        <w:t xml:space="preserve"> that</w:t>
      </w:r>
      <w:r w:rsidRPr="001450D8">
        <w:rPr>
          <w:lang w:val="en-US"/>
        </w:rPr>
        <w:t xml:space="preserve"> brain development continues into </w:t>
      </w:r>
      <w:r w:rsidRPr="001D10FD">
        <w:rPr>
          <w:lang w:val="en-US"/>
        </w:rPr>
        <w:t xml:space="preserve">the early </w:t>
      </w:r>
      <w:r>
        <w:rPr>
          <w:lang w:val="en-US"/>
        </w:rPr>
        <w:t>twenties</w:t>
      </w:r>
      <w:r w:rsidRPr="001D10FD">
        <w:rPr>
          <w:lang w:val="en-US"/>
        </w:rPr>
        <w:t>.</w:t>
      </w:r>
    </w:p>
    <w:p w14:paraId="40102B53" w14:textId="77777777" w:rsidR="00FE4078" w:rsidRPr="000435F2" w:rsidRDefault="00FE4078" w:rsidP="004E782F">
      <w:pPr>
        <w:pStyle w:val="H23G"/>
      </w:pPr>
      <w:r w:rsidRPr="000435F2">
        <w:tab/>
      </w:r>
      <w:r w:rsidRPr="000435F2">
        <w:tab/>
        <w:t>Birth certificates and age determination</w:t>
      </w:r>
    </w:p>
    <w:p w14:paraId="475AF1D5" w14:textId="77777777" w:rsidR="00FE4078" w:rsidRPr="000435F2" w:rsidRDefault="00FE4078" w:rsidP="002D64A9">
      <w:pPr>
        <w:pStyle w:val="SingleTxtG"/>
        <w:rPr>
          <w:lang w:val="en-US"/>
        </w:rPr>
      </w:pPr>
      <w:r>
        <w:rPr>
          <w:lang w:val="en-US"/>
        </w:rPr>
        <w:t>33.</w:t>
      </w:r>
      <w:r>
        <w:rPr>
          <w:lang w:val="en-US"/>
        </w:rPr>
        <w:tab/>
      </w:r>
      <w:r w:rsidRPr="000435F2">
        <w:rPr>
          <w:lang w:val="en-US"/>
        </w:rPr>
        <w:t xml:space="preserve">A child who does not have a birth certificate </w:t>
      </w:r>
      <w:r>
        <w:rPr>
          <w:lang w:val="en-US"/>
        </w:rPr>
        <w:t xml:space="preserve">should </w:t>
      </w:r>
      <w:r w:rsidRPr="000435F2">
        <w:rPr>
          <w:lang w:val="en-US"/>
        </w:rPr>
        <w:t xml:space="preserve">be provided with one promptly and free of charge </w:t>
      </w:r>
      <w:r>
        <w:rPr>
          <w:lang w:val="en-US"/>
        </w:rPr>
        <w:t xml:space="preserve">by the State, </w:t>
      </w:r>
      <w:r w:rsidRPr="000435F2">
        <w:rPr>
          <w:lang w:val="en-US"/>
        </w:rPr>
        <w:t>whenever it is required to prove age.</w:t>
      </w:r>
      <w:r w:rsidRPr="001E796A">
        <w:rPr>
          <w:rStyle w:val="FootnoteReference"/>
        </w:rPr>
        <w:t xml:space="preserve"> </w:t>
      </w:r>
      <w:r w:rsidRPr="000435F2">
        <w:rPr>
          <w:lang w:val="en-US"/>
        </w:rPr>
        <w:t>If there is no proof of age by birth certificate, the authority</w:t>
      </w:r>
      <w:r>
        <w:rPr>
          <w:lang w:val="en-US"/>
        </w:rPr>
        <w:t xml:space="preserve"> </w:t>
      </w:r>
      <w:r w:rsidRPr="000435F2">
        <w:rPr>
          <w:lang w:val="en-US"/>
        </w:rPr>
        <w:t>should accept all documentation</w:t>
      </w:r>
      <w:r>
        <w:rPr>
          <w:lang w:val="en-US"/>
        </w:rPr>
        <w:t xml:space="preserve"> that can prove age,</w:t>
      </w:r>
      <w:r w:rsidRPr="000435F2">
        <w:rPr>
          <w:lang w:val="en-US"/>
        </w:rPr>
        <w:t xml:space="preserve"> such as notification of birth, </w:t>
      </w:r>
      <w:r w:rsidRPr="002D64A9">
        <w:t>extracts</w:t>
      </w:r>
      <w:r w:rsidRPr="000435F2">
        <w:rPr>
          <w:lang w:val="en-US"/>
        </w:rPr>
        <w:t xml:space="preserve"> from birth registries, baptismal or equivalent documents or school reports. Documents should be considered genuine unless there is proof to the contrary. Authorities should allow for interviews with or testimony by parents regarding age, or for permitting </w:t>
      </w:r>
      <w:r>
        <w:rPr>
          <w:lang w:val="en-US"/>
        </w:rPr>
        <w:t xml:space="preserve">affirmations </w:t>
      </w:r>
      <w:r w:rsidRPr="000435F2">
        <w:rPr>
          <w:lang w:val="en-US"/>
        </w:rPr>
        <w:t xml:space="preserve">to be filed by teachers or religious or community leaders who know the age of the child. </w:t>
      </w:r>
    </w:p>
    <w:p w14:paraId="06FC5AB0" w14:textId="77777777" w:rsidR="00FE4078" w:rsidRPr="000435F2" w:rsidRDefault="00FE4078" w:rsidP="002D64A9">
      <w:pPr>
        <w:pStyle w:val="SingleTxtG"/>
        <w:rPr>
          <w:lang w:val="en-US"/>
        </w:rPr>
      </w:pPr>
      <w:r>
        <w:rPr>
          <w:lang w:val="en-US"/>
        </w:rPr>
        <w:t>34.</w:t>
      </w:r>
      <w:r>
        <w:rPr>
          <w:lang w:val="en-US"/>
        </w:rPr>
        <w:tab/>
      </w:r>
      <w:r w:rsidRPr="000435F2">
        <w:rPr>
          <w:lang w:val="en-US"/>
        </w:rPr>
        <w:t xml:space="preserve">Only if these measures prove unsuccessful </w:t>
      </w:r>
      <w:r>
        <w:rPr>
          <w:lang w:val="en-US"/>
        </w:rPr>
        <w:t xml:space="preserve">may there be an </w:t>
      </w:r>
      <w:r w:rsidRPr="000435F2">
        <w:rPr>
          <w:lang w:val="en-US"/>
        </w:rPr>
        <w:t>assessment of the child’s physical and psychological development, conducted by specialist pediatricians</w:t>
      </w:r>
      <w:r w:rsidRPr="001E796A">
        <w:rPr>
          <w:rStyle w:val="FootnoteReference"/>
        </w:rPr>
        <w:t xml:space="preserve"> </w:t>
      </w:r>
      <w:r w:rsidRPr="000435F2">
        <w:rPr>
          <w:lang w:val="en-US"/>
        </w:rPr>
        <w:t xml:space="preserve">or other professionals skilled in </w:t>
      </w:r>
      <w:r>
        <w:rPr>
          <w:lang w:val="en-US"/>
        </w:rPr>
        <w:t xml:space="preserve">evaluating </w:t>
      </w:r>
      <w:r w:rsidRPr="000435F2">
        <w:rPr>
          <w:lang w:val="en-US"/>
        </w:rPr>
        <w:t xml:space="preserve">different aspects of </w:t>
      </w:r>
      <w:r w:rsidRPr="002D64A9">
        <w:t>development</w:t>
      </w:r>
      <w:r w:rsidRPr="000435F2">
        <w:rPr>
          <w:lang w:val="en-US"/>
        </w:rPr>
        <w:t>. Such assessments should be carried out in a prompt, child- and gender-sensitive and culturally appropriate manner, including interviews of children</w:t>
      </w:r>
      <w:r>
        <w:rPr>
          <w:lang w:val="en-US"/>
        </w:rPr>
        <w:t xml:space="preserve"> and parents or caregivers </w:t>
      </w:r>
      <w:r w:rsidRPr="000435F2">
        <w:rPr>
          <w:lang w:val="en-US"/>
        </w:rPr>
        <w:t xml:space="preserve">in a language the child understands. States should refrain from using </w:t>
      </w:r>
      <w:r>
        <w:rPr>
          <w:lang w:val="en-US"/>
        </w:rPr>
        <w:t xml:space="preserve">only </w:t>
      </w:r>
      <w:r w:rsidRPr="000435F2">
        <w:rPr>
          <w:lang w:val="en-US"/>
        </w:rPr>
        <w:t xml:space="preserve">medical methods based on, inter alia, bone and dental analysis, which </w:t>
      </w:r>
      <w:r>
        <w:rPr>
          <w:lang w:val="en-US"/>
        </w:rPr>
        <w:t xml:space="preserve">is often </w:t>
      </w:r>
      <w:r w:rsidRPr="000435F2">
        <w:rPr>
          <w:lang w:val="en-US"/>
        </w:rPr>
        <w:t xml:space="preserve">inaccurate, </w:t>
      </w:r>
      <w:r>
        <w:rPr>
          <w:lang w:val="en-US"/>
        </w:rPr>
        <w:t xml:space="preserve">due to </w:t>
      </w:r>
      <w:r w:rsidRPr="000435F2">
        <w:rPr>
          <w:lang w:val="en-US"/>
        </w:rPr>
        <w:t>wide margins of error, and can also be traumatic.</w:t>
      </w:r>
      <w:r>
        <w:rPr>
          <w:lang w:val="en-US"/>
        </w:rPr>
        <w:t xml:space="preserve"> The least invasive method of assessment should be applied.</w:t>
      </w:r>
      <w:r w:rsidRPr="000435F2">
        <w:rPr>
          <w:lang w:val="en-US"/>
        </w:rPr>
        <w:t xml:space="preserve"> In the case of inconclusive evidence, the child</w:t>
      </w:r>
      <w:r>
        <w:rPr>
          <w:lang w:val="en-US"/>
        </w:rPr>
        <w:t xml:space="preserve"> or young person</w:t>
      </w:r>
      <w:r w:rsidRPr="000435F2">
        <w:rPr>
          <w:lang w:val="en-US"/>
        </w:rPr>
        <w:t xml:space="preserve"> </w:t>
      </w:r>
      <w:r>
        <w:rPr>
          <w:lang w:val="en-US"/>
        </w:rPr>
        <w:t>is to</w:t>
      </w:r>
      <w:r w:rsidRPr="000435F2">
        <w:rPr>
          <w:lang w:val="en-US"/>
        </w:rPr>
        <w:t xml:space="preserve"> have the benefit of the doubt. </w:t>
      </w:r>
    </w:p>
    <w:p w14:paraId="1A2FD168" w14:textId="77777777" w:rsidR="00FE4078" w:rsidRPr="000435F2" w:rsidRDefault="00FE4078" w:rsidP="004E782F">
      <w:pPr>
        <w:pStyle w:val="H23G"/>
        <w:rPr>
          <w:lang w:val="en-US"/>
        </w:rPr>
      </w:pPr>
      <w:r w:rsidRPr="000435F2">
        <w:rPr>
          <w:lang w:val="en-US"/>
        </w:rPr>
        <w:tab/>
      </w:r>
      <w:r w:rsidRPr="000435F2">
        <w:rPr>
          <w:lang w:val="en-US"/>
        </w:rPr>
        <w:tab/>
        <w:t xml:space="preserve">Continuation of </w:t>
      </w:r>
      <w:r>
        <w:rPr>
          <w:lang w:val="en-US"/>
        </w:rPr>
        <w:t xml:space="preserve">child </w:t>
      </w:r>
      <w:r w:rsidRPr="000435F2">
        <w:rPr>
          <w:lang w:val="en-US"/>
        </w:rPr>
        <w:t xml:space="preserve">justice measures </w:t>
      </w:r>
    </w:p>
    <w:p w14:paraId="3781307D" w14:textId="77777777" w:rsidR="00FE4078" w:rsidRPr="006577DB" w:rsidRDefault="00FE4078" w:rsidP="002D64A9">
      <w:pPr>
        <w:pStyle w:val="SingleTxtG"/>
        <w:rPr>
          <w:rStyle w:val="FootnoteReference"/>
        </w:rPr>
      </w:pPr>
      <w:r>
        <w:rPr>
          <w:lang w:val="en-US"/>
        </w:rPr>
        <w:t>35.</w:t>
      </w:r>
      <w:r>
        <w:rPr>
          <w:lang w:val="en-US"/>
        </w:rPr>
        <w:tab/>
      </w:r>
      <w:r w:rsidRPr="000435F2">
        <w:rPr>
          <w:lang w:val="en-US"/>
        </w:rPr>
        <w:t xml:space="preserve">The Committee recommends </w:t>
      </w:r>
      <w:r>
        <w:rPr>
          <w:lang w:val="en-US"/>
        </w:rPr>
        <w:t xml:space="preserve">that children who turn 18 before completing a diversion programme or non-custodial or custodial measure be permitted to complete </w:t>
      </w:r>
      <w:r w:rsidRPr="000435F2">
        <w:rPr>
          <w:lang w:val="en-US"/>
        </w:rPr>
        <w:t xml:space="preserve">the </w:t>
      </w:r>
      <w:r>
        <w:rPr>
          <w:lang w:val="en-US"/>
        </w:rPr>
        <w:t>programme, measure</w:t>
      </w:r>
      <w:r w:rsidRPr="000435F2">
        <w:rPr>
          <w:lang w:val="en-US"/>
        </w:rPr>
        <w:t xml:space="preserve"> or sentence</w:t>
      </w:r>
      <w:r>
        <w:rPr>
          <w:lang w:val="en-US"/>
        </w:rPr>
        <w:t>,</w:t>
      </w:r>
      <w:r w:rsidRPr="000435F2">
        <w:rPr>
          <w:lang w:val="en-US"/>
        </w:rPr>
        <w:t xml:space="preserve"> and not</w:t>
      </w:r>
      <w:r>
        <w:rPr>
          <w:lang w:val="en-US"/>
        </w:rPr>
        <w:t xml:space="preserve"> be</w:t>
      </w:r>
      <w:r w:rsidRPr="000435F2">
        <w:rPr>
          <w:lang w:val="en-US"/>
        </w:rPr>
        <w:t xml:space="preserve"> sent to cent</w:t>
      </w:r>
      <w:r>
        <w:rPr>
          <w:lang w:val="en-US"/>
        </w:rPr>
        <w:t>r</w:t>
      </w:r>
      <w:r w:rsidRPr="000435F2">
        <w:rPr>
          <w:lang w:val="en-US"/>
        </w:rPr>
        <w:t>es for adults</w:t>
      </w:r>
      <w:r>
        <w:rPr>
          <w:lang w:val="en-US"/>
        </w:rPr>
        <w:t>.</w:t>
      </w:r>
      <w:r w:rsidRPr="006577DB">
        <w:rPr>
          <w:rStyle w:val="FootnoteReference"/>
        </w:rPr>
        <w:t xml:space="preserve"> </w:t>
      </w:r>
    </w:p>
    <w:p w14:paraId="722DFD9B" w14:textId="77777777" w:rsidR="00FE4078" w:rsidRPr="0075567E" w:rsidRDefault="00FE4078" w:rsidP="0075567E">
      <w:pPr>
        <w:pStyle w:val="H23G"/>
      </w:pPr>
      <w:r w:rsidRPr="000435F2">
        <w:lastRenderedPageBreak/>
        <w:tab/>
      </w:r>
      <w:r>
        <w:tab/>
      </w:r>
      <w:r>
        <w:tab/>
      </w:r>
      <w:r w:rsidRPr="000435F2">
        <w:t>Offences committed before and after 18 years and offences committed with adults</w:t>
      </w:r>
    </w:p>
    <w:p w14:paraId="6967071C" w14:textId="77777777" w:rsidR="00FE4078" w:rsidRPr="000435F2" w:rsidRDefault="00FE4078" w:rsidP="002D64A9">
      <w:pPr>
        <w:pStyle w:val="SingleTxtG"/>
        <w:rPr>
          <w:lang w:val="en-US"/>
        </w:rPr>
      </w:pPr>
      <w:r>
        <w:rPr>
          <w:lang w:val="en-US"/>
        </w:rPr>
        <w:t>36.</w:t>
      </w:r>
      <w:r>
        <w:rPr>
          <w:lang w:val="en-US"/>
        </w:rPr>
        <w:tab/>
      </w:r>
      <w:r w:rsidRPr="000435F2">
        <w:rPr>
          <w:lang w:val="en-US"/>
        </w:rPr>
        <w:t xml:space="preserve">In cases where a young </w:t>
      </w:r>
      <w:r>
        <w:rPr>
          <w:lang w:val="en-US"/>
        </w:rPr>
        <w:t xml:space="preserve">person </w:t>
      </w:r>
      <w:r w:rsidRPr="000435F2">
        <w:rPr>
          <w:lang w:val="en-US"/>
        </w:rPr>
        <w:t xml:space="preserve">commits several offences, some occurring before and some after the age of 18 years, States parties should consider providing for procedural rules </w:t>
      </w:r>
      <w:r>
        <w:rPr>
          <w:lang w:val="en-US"/>
        </w:rPr>
        <w:t>that</w:t>
      </w:r>
      <w:r w:rsidRPr="000435F2">
        <w:rPr>
          <w:lang w:val="en-US"/>
        </w:rPr>
        <w:t xml:space="preserve"> allow the </w:t>
      </w:r>
      <w:r>
        <w:rPr>
          <w:lang w:val="en-US"/>
        </w:rPr>
        <w:t xml:space="preserve">child </w:t>
      </w:r>
      <w:r w:rsidRPr="000435F2">
        <w:rPr>
          <w:lang w:val="en-US"/>
        </w:rPr>
        <w:t xml:space="preserve">justice system to be applied in respect of all the offences when there are reasonable grounds to </w:t>
      </w:r>
      <w:r>
        <w:rPr>
          <w:lang w:val="en-US"/>
        </w:rPr>
        <w:t>do so</w:t>
      </w:r>
      <w:r w:rsidRPr="000435F2">
        <w:rPr>
          <w:lang w:val="en-US"/>
        </w:rPr>
        <w:t>.</w:t>
      </w:r>
    </w:p>
    <w:p w14:paraId="3088BB47" w14:textId="77777777" w:rsidR="00FE4078" w:rsidRPr="00DA03D7" w:rsidRDefault="00FE4078" w:rsidP="002D64A9">
      <w:pPr>
        <w:pStyle w:val="SingleTxtG"/>
        <w:rPr>
          <w:lang w:val="en-US"/>
        </w:rPr>
      </w:pPr>
      <w:r>
        <w:rPr>
          <w:lang w:val="en-US"/>
        </w:rPr>
        <w:t>37.</w:t>
      </w:r>
      <w:r>
        <w:rPr>
          <w:lang w:val="en-US"/>
        </w:rPr>
        <w:tab/>
      </w:r>
      <w:r w:rsidRPr="000435F2">
        <w:rPr>
          <w:lang w:val="en-US"/>
        </w:rPr>
        <w:t xml:space="preserve">In cases where a child </w:t>
      </w:r>
      <w:r w:rsidRPr="002D64A9">
        <w:t>commits</w:t>
      </w:r>
      <w:r w:rsidRPr="000435F2">
        <w:rPr>
          <w:lang w:val="en-US"/>
        </w:rPr>
        <w:t xml:space="preserve"> an offence together with </w:t>
      </w:r>
      <w:r>
        <w:rPr>
          <w:lang w:val="en-US"/>
        </w:rPr>
        <w:t>one or more</w:t>
      </w:r>
      <w:r w:rsidRPr="000435F2">
        <w:rPr>
          <w:lang w:val="en-US"/>
        </w:rPr>
        <w:t xml:space="preserve"> adult</w:t>
      </w:r>
      <w:r>
        <w:rPr>
          <w:lang w:val="en-US"/>
        </w:rPr>
        <w:t>s</w:t>
      </w:r>
      <w:r w:rsidRPr="000435F2">
        <w:rPr>
          <w:lang w:val="en-US"/>
        </w:rPr>
        <w:t xml:space="preserve">, the </w:t>
      </w:r>
      <w:r>
        <w:rPr>
          <w:lang w:val="en-US"/>
        </w:rPr>
        <w:t xml:space="preserve">rules of the child </w:t>
      </w:r>
      <w:r w:rsidRPr="000435F2">
        <w:rPr>
          <w:lang w:val="en-US"/>
        </w:rPr>
        <w:t xml:space="preserve">justice system applies to the child, </w:t>
      </w:r>
      <w:r>
        <w:rPr>
          <w:lang w:val="en-US"/>
        </w:rPr>
        <w:t>whether they are tried jointly or separately</w:t>
      </w:r>
      <w:r w:rsidRPr="000435F2">
        <w:rPr>
          <w:lang w:val="en-US"/>
        </w:rPr>
        <w:t>.</w:t>
      </w:r>
    </w:p>
    <w:p w14:paraId="0885612C" w14:textId="77777777" w:rsidR="00FE4078" w:rsidRPr="000435F2" w:rsidRDefault="00FE4078" w:rsidP="004E782F">
      <w:pPr>
        <w:pStyle w:val="H1G"/>
      </w:pPr>
      <w:r w:rsidRPr="000435F2">
        <w:tab/>
        <w:t>D.</w:t>
      </w:r>
      <w:r w:rsidRPr="000435F2">
        <w:tab/>
      </w:r>
      <w:r>
        <w:t>G</w:t>
      </w:r>
      <w:r w:rsidRPr="000435F2">
        <w:t>uarantees for a fair trial</w:t>
      </w:r>
    </w:p>
    <w:p w14:paraId="7FED884F" w14:textId="77777777" w:rsidR="00FE4078" w:rsidRPr="000435F2" w:rsidRDefault="00FE4078" w:rsidP="002D64A9">
      <w:pPr>
        <w:pStyle w:val="SingleTxtG"/>
        <w:rPr>
          <w:lang w:val="en-US"/>
        </w:rPr>
      </w:pPr>
      <w:r>
        <w:rPr>
          <w:lang w:val="en-US"/>
        </w:rPr>
        <w:t>38.</w:t>
      </w:r>
      <w:r>
        <w:rPr>
          <w:lang w:val="en-US"/>
        </w:rPr>
        <w:tab/>
      </w:r>
      <w:r w:rsidRPr="000435F2">
        <w:rPr>
          <w:lang w:val="en-US"/>
        </w:rPr>
        <w:t>Art</w:t>
      </w:r>
      <w:r>
        <w:rPr>
          <w:lang w:val="en-US"/>
        </w:rPr>
        <w:t>icle</w:t>
      </w:r>
      <w:r w:rsidRPr="000435F2">
        <w:rPr>
          <w:lang w:val="en-US"/>
        </w:rPr>
        <w:t xml:space="preserve"> 40 (2) of </w:t>
      </w:r>
      <w:r>
        <w:rPr>
          <w:lang w:val="en-US"/>
        </w:rPr>
        <w:t>the Convention</w:t>
      </w:r>
      <w:r w:rsidRPr="000435F2">
        <w:rPr>
          <w:lang w:val="en-US"/>
        </w:rPr>
        <w:t xml:space="preserve"> contains an important list of rights and guarantees </w:t>
      </w:r>
      <w:r>
        <w:rPr>
          <w:lang w:val="en-US"/>
        </w:rPr>
        <w:t>aimed at</w:t>
      </w:r>
      <w:r w:rsidRPr="000435F2">
        <w:rPr>
          <w:lang w:val="en-US"/>
        </w:rPr>
        <w:t xml:space="preserve"> ensur</w:t>
      </w:r>
      <w:r>
        <w:rPr>
          <w:lang w:val="en-US"/>
        </w:rPr>
        <w:t>ing</w:t>
      </w:r>
      <w:r w:rsidRPr="000435F2">
        <w:rPr>
          <w:lang w:val="en-US"/>
        </w:rPr>
        <w:t xml:space="preserve"> that every child receives fair treatment and trial</w:t>
      </w:r>
      <w:r>
        <w:rPr>
          <w:lang w:val="en-US"/>
        </w:rPr>
        <w:t xml:space="preserve"> (see also</w:t>
      </w:r>
      <w:r w:rsidRPr="000435F2">
        <w:rPr>
          <w:lang w:val="en-US"/>
        </w:rPr>
        <w:t xml:space="preserve"> article 14 of the International Covenant on Civil and </w:t>
      </w:r>
      <w:r w:rsidRPr="002D64A9">
        <w:t>Political</w:t>
      </w:r>
      <w:r w:rsidRPr="000435F2">
        <w:rPr>
          <w:lang w:val="en-US"/>
        </w:rPr>
        <w:t xml:space="preserve"> Rights</w:t>
      </w:r>
      <w:r>
        <w:rPr>
          <w:lang w:val="en-US"/>
        </w:rPr>
        <w:t>). It should be noted that these are minimum standards. States parties can and should</w:t>
      </w:r>
      <w:r w:rsidRPr="00BF09EC">
        <w:rPr>
          <w:lang w:val="en-US"/>
        </w:rPr>
        <w:t xml:space="preserve"> </w:t>
      </w:r>
      <w:r w:rsidRPr="000435F2">
        <w:rPr>
          <w:lang w:val="en-US"/>
        </w:rPr>
        <w:t>try to establish and observe higher standards.</w:t>
      </w:r>
    </w:p>
    <w:p w14:paraId="569328CC" w14:textId="77777777" w:rsidR="00FE4078" w:rsidRDefault="00FE4078" w:rsidP="002D64A9">
      <w:pPr>
        <w:pStyle w:val="SingleTxtG"/>
        <w:rPr>
          <w:lang w:val="en-US"/>
        </w:rPr>
      </w:pPr>
      <w:r>
        <w:rPr>
          <w:lang w:val="en-US"/>
        </w:rPr>
        <w:t>39.</w:t>
      </w:r>
      <w:r>
        <w:rPr>
          <w:lang w:val="en-US"/>
        </w:rPr>
        <w:tab/>
        <w:t xml:space="preserve">The </w:t>
      </w:r>
      <w:r w:rsidRPr="000435F2">
        <w:rPr>
          <w:lang w:val="en-US"/>
        </w:rPr>
        <w:t>Committee emphasize</w:t>
      </w:r>
      <w:r>
        <w:rPr>
          <w:lang w:val="en-US"/>
        </w:rPr>
        <w:t>s that c</w:t>
      </w:r>
      <w:r w:rsidRPr="000435F2">
        <w:rPr>
          <w:lang w:val="en-US"/>
        </w:rPr>
        <w:t xml:space="preserve">ontinuous and systematic training of professionals </w:t>
      </w:r>
      <w:r>
        <w:rPr>
          <w:lang w:val="en-US"/>
        </w:rPr>
        <w:t>in the child justice system</w:t>
      </w:r>
      <w:r w:rsidRPr="000435F2">
        <w:rPr>
          <w:lang w:val="en-US"/>
        </w:rPr>
        <w:t xml:space="preserve"> is crucial</w:t>
      </w:r>
      <w:r>
        <w:rPr>
          <w:lang w:val="en-US"/>
        </w:rPr>
        <w:t xml:space="preserve"> to uphold those </w:t>
      </w:r>
      <w:r w:rsidRPr="002D64A9">
        <w:t>guarantees</w:t>
      </w:r>
      <w:r w:rsidRPr="000435F2">
        <w:rPr>
          <w:lang w:val="en-US"/>
        </w:rPr>
        <w:t xml:space="preserve">. </w:t>
      </w:r>
      <w:r>
        <w:rPr>
          <w:lang w:val="en-US"/>
        </w:rPr>
        <w:t>Such</w:t>
      </w:r>
      <w:r w:rsidRPr="000435F2">
        <w:rPr>
          <w:lang w:val="en-US"/>
        </w:rPr>
        <w:t xml:space="preserve"> professionals should be able to work in interdisciplinary teams,</w:t>
      </w:r>
      <w:r>
        <w:rPr>
          <w:lang w:val="en-US"/>
        </w:rPr>
        <w:t xml:space="preserve"> and should</w:t>
      </w:r>
      <w:r w:rsidRPr="000435F2">
        <w:rPr>
          <w:lang w:val="en-US"/>
        </w:rPr>
        <w:t xml:space="preserve"> be well informed about </w:t>
      </w:r>
      <w:r>
        <w:rPr>
          <w:lang w:val="en-US"/>
        </w:rPr>
        <w:t xml:space="preserve">the </w:t>
      </w:r>
      <w:r w:rsidRPr="000435F2">
        <w:rPr>
          <w:lang w:val="en-US"/>
        </w:rPr>
        <w:t>physical, psychological, mental and social development</w:t>
      </w:r>
      <w:r>
        <w:rPr>
          <w:lang w:val="en-US"/>
        </w:rPr>
        <w:t xml:space="preserve"> of children and adolescents</w:t>
      </w:r>
      <w:r w:rsidRPr="000435F2">
        <w:rPr>
          <w:lang w:val="en-US"/>
        </w:rPr>
        <w:t xml:space="preserve">, as well as about the special needs of the most </w:t>
      </w:r>
      <w:r>
        <w:rPr>
          <w:lang w:val="en-US"/>
        </w:rPr>
        <w:t xml:space="preserve">marginalized </w:t>
      </w:r>
      <w:r w:rsidRPr="000435F2">
        <w:rPr>
          <w:lang w:val="en-US"/>
        </w:rPr>
        <w:t>children.</w:t>
      </w:r>
    </w:p>
    <w:p w14:paraId="6690FBBD" w14:textId="77777777" w:rsidR="00FE4078" w:rsidRPr="00037E6A" w:rsidRDefault="00FE4078" w:rsidP="002D64A9">
      <w:pPr>
        <w:pStyle w:val="SingleTxtG"/>
        <w:rPr>
          <w:lang w:val="en-US"/>
        </w:rPr>
      </w:pPr>
      <w:r>
        <w:rPr>
          <w:lang w:val="en-US"/>
        </w:rPr>
        <w:t>40.</w:t>
      </w:r>
      <w:r>
        <w:rPr>
          <w:lang w:val="en-US"/>
        </w:rPr>
        <w:tab/>
        <w:t xml:space="preserve">Safeguards against discrimination are needed from the earliest contact with the criminal justice system and throughout the trial, and discrimination against any group of children requires active redress. </w:t>
      </w:r>
      <w:r w:rsidRPr="00037E6A">
        <w:rPr>
          <w:lang w:val="en-US"/>
        </w:rPr>
        <w:t>In particular, gender</w:t>
      </w:r>
      <w:r>
        <w:rPr>
          <w:lang w:val="en-US"/>
        </w:rPr>
        <w:t>-</w:t>
      </w:r>
      <w:r w:rsidRPr="00037E6A">
        <w:rPr>
          <w:lang w:val="en-US"/>
        </w:rPr>
        <w:t>sensitive attention should be paid to girls and</w:t>
      </w:r>
      <w:r>
        <w:rPr>
          <w:lang w:val="en-US"/>
        </w:rPr>
        <w:t xml:space="preserve"> to</w:t>
      </w:r>
      <w:r w:rsidRPr="00037E6A">
        <w:rPr>
          <w:lang w:val="en-US"/>
        </w:rPr>
        <w:t xml:space="preserve"> children who are discriminated against on the basis of sexual orientation or gender identity. </w:t>
      </w:r>
      <w:r>
        <w:rPr>
          <w:lang w:val="en-US"/>
        </w:rPr>
        <w:t>A</w:t>
      </w:r>
      <w:r w:rsidRPr="00037E6A">
        <w:rPr>
          <w:lang w:val="en-US"/>
        </w:rPr>
        <w:t xml:space="preserve">ccommodation </w:t>
      </w:r>
      <w:r>
        <w:rPr>
          <w:lang w:val="en-US"/>
        </w:rPr>
        <w:t xml:space="preserve"> should be </w:t>
      </w:r>
      <w:r w:rsidRPr="00037E6A">
        <w:rPr>
          <w:lang w:val="en-US"/>
        </w:rPr>
        <w:t>made for children with disabilities</w:t>
      </w:r>
      <w:r>
        <w:rPr>
          <w:lang w:val="en-US"/>
        </w:rPr>
        <w:t>,</w:t>
      </w:r>
      <w:r w:rsidRPr="00037E6A">
        <w:rPr>
          <w:lang w:val="en-US"/>
        </w:rPr>
        <w:t xml:space="preserve"> which may include physical access to court and other buildings, support for children with psychosocial disabilities, assistance with communication and the reading of documents, </w:t>
      </w:r>
      <w:r>
        <w:rPr>
          <w:lang w:val="en-US"/>
        </w:rPr>
        <w:t>and</w:t>
      </w:r>
      <w:r w:rsidRPr="00037E6A">
        <w:rPr>
          <w:lang w:val="en-US"/>
        </w:rPr>
        <w:t xml:space="preserve"> procedural </w:t>
      </w:r>
      <w:r>
        <w:rPr>
          <w:lang w:val="en-US"/>
        </w:rPr>
        <w:t xml:space="preserve">adjustments </w:t>
      </w:r>
      <w:r w:rsidRPr="00037E6A">
        <w:rPr>
          <w:lang w:val="en-US"/>
        </w:rPr>
        <w:t>for testimony.</w:t>
      </w:r>
      <w:r>
        <w:rPr>
          <w:lang w:val="en-US"/>
        </w:rPr>
        <w:t xml:space="preserve"> </w:t>
      </w:r>
    </w:p>
    <w:p w14:paraId="6316757F" w14:textId="77777777" w:rsidR="00FE4078" w:rsidRPr="002D64A9" w:rsidRDefault="00FE4078" w:rsidP="002D64A9">
      <w:pPr>
        <w:pStyle w:val="SingleTxtG"/>
      </w:pPr>
      <w:r>
        <w:rPr>
          <w:lang w:val="en-US"/>
        </w:rPr>
        <w:t>41.</w:t>
      </w:r>
      <w:r>
        <w:rPr>
          <w:lang w:val="en-US"/>
        </w:rPr>
        <w:tab/>
      </w:r>
      <w:r w:rsidRPr="004E782F">
        <w:rPr>
          <w:lang w:val="en-US"/>
        </w:rPr>
        <w:t>States parties should enact legislation and ensure practice</w:t>
      </w:r>
      <w:r>
        <w:rPr>
          <w:lang w:val="en-US"/>
        </w:rPr>
        <w:t>s</w:t>
      </w:r>
      <w:r w:rsidRPr="004E782F">
        <w:rPr>
          <w:lang w:val="en-US"/>
        </w:rPr>
        <w:t xml:space="preserve"> that safeguard children’s rights from the moment </w:t>
      </w:r>
      <w:r>
        <w:rPr>
          <w:lang w:val="en-US"/>
        </w:rPr>
        <w:t xml:space="preserve">of </w:t>
      </w:r>
      <w:r w:rsidRPr="004E782F">
        <w:rPr>
          <w:lang w:val="en-US"/>
        </w:rPr>
        <w:t xml:space="preserve">contact with </w:t>
      </w:r>
      <w:r>
        <w:rPr>
          <w:lang w:val="en-US"/>
        </w:rPr>
        <w:t>the system</w:t>
      </w:r>
      <w:r w:rsidRPr="004E782F">
        <w:rPr>
          <w:lang w:val="en-US"/>
        </w:rPr>
        <w:t xml:space="preserve">, including at the </w:t>
      </w:r>
      <w:r>
        <w:rPr>
          <w:lang w:val="en-US"/>
        </w:rPr>
        <w:t xml:space="preserve">stopping, warning or </w:t>
      </w:r>
      <w:r w:rsidRPr="004E782F">
        <w:rPr>
          <w:lang w:val="en-US"/>
        </w:rPr>
        <w:t>arrest stage, whil</w:t>
      </w:r>
      <w:r>
        <w:rPr>
          <w:lang w:val="en-US"/>
        </w:rPr>
        <w:t>e</w:t>
      </w:r>
      <w:r w:rsidRPr="004E782F">
        <w:rPr>
          <w:lang w:val="en-US"/>
        </w:rPr>
        <w:t xml:space="preserve"> in custody of police</w:t>
      </w:r>
      <w:r>
        <w:rPr>
          <w:lang w:val="en-US"/>
        </w:rPr>
        <w:t xml:space="preserve"> or other </w:t>
      </w:r>
      <w:r w:rsidRPr="004E782F">
        <w:rPr>
          <w:lang w:val="en-US"/>
        </w:rPr>
        <w:t xml:space="preserve">law enforcement agencies, during transfers to and from police stations, places of detention and courts, </w:t>
      </w:r>
      <w:r>
        <w:rPr>
          <w:lang w:val="en-US"/>
        </w:rPr>
        <w:t xml:space="preserve">and </w:t>
      </w:r>
      <w:r w:rsidRPr="004E782F">
        <w:rPr>
          <w:lang w:val="en-US"/>
        </w:rPr>
        <w:t xml:space="preserve">during </w:t>
      </w:r>
      <w:r w:rsidRPr="004E782F">
        <w:rPr>
          <w:lang w:val="en-US"/>
        </w:rPr>
        <w:lastRenderedPageBreak/>
        <w:t xml:space="preserve">questioning, searches and the taking of evidentiary samples. </w:t>
      </w:r>
      <w:r>
        <w:rPr>
          <w:lang w:val="en-US"/>
        </w:rPr>
        <w:t>R</w:t>
      </w:r>
      <w:r w:rsidRPr="004E782F">
        <w:rPr>
          <w:lang w:val="en-US"/>
        </w:rPr>
        <w:t>ecord</w:t>
      </w:r>
      <w:r>
        <w:rPr>
          <w:lang w:val="en-US"/>
        </w:rPr>
        <w:t>s should be kept</w:t>
      </w:r>
      <w:r w:rsidRPr="004E782F">
        <w:rPr>
          <w:lang w:val="en-US"/>
        </w:rPr>
        <w:t xml:space="preserve"> on the location and condition of the child in all phases and processes</w:t>
      </w:r>
      <w:r>
        <w:rPr>
          <w:lang w:val="en-US"/>
        </w:rPr>
        <w:t>.</w:t>
      </w:r>
      <w:r w:rsidRPr="004E782F">
        <w:rPr>
          <w:lang w:val="en-US"/>
        </w:rPr>
        <w:t xml:space="preserve"> </w:t>
      </w:r>
    </w:p>
    <w:p w14:paraId="6FA6824B" w14:textId="77777777" w:rsidR="00FE4078" w:rsidRPr="000435F2" w:rsidRDefault="00FE4078" w:rsidP="004E782F">
      <w:pPr>
        <w:pStyle w:val="H23G"/>
      </w:pPr>
      <w:r>
        <w:tab/>
      </w:r>
      <w:r>
        <w:tab/>
      </w:r>
      <w:r w:rsidRPr="000435F2">
        <w:t xml:space="preserve">No retroactive </w:t>
      </w:r>
      <w:r>
        <w:t xml:space="preserve">application of child </w:t>
      </w:r>
      <w:r w:rsidRPr="000435F2">
        <w:t>justice (art. 40 (2) (a))</w:t>
      </w:r>
    </w:p>
    <w:p w14:paraId="61E16C6F" w14:textId="77777777" w:rsidR="00FE4078" w:rsidRPr="000435F2" w:rsidRDefault="00FE4078" w:rsidP="002D64A9">
      <w:pPr>
        <w:pStyle w:val="SingleTxtG"/>
        <w:rPr>
          <w:lang w:val="en-US"/>
        </w:rPr>
      </w:pPr>
      <w:r>
        <w:rPr>
          <w:lang w:val="en-US"/>
        </w:rPr>
        <w:t>42.</w:t>
      </w:r>
      <w:r>
        <w:rPr>
          <w:lang w:val="en-US"/>
        </w:rPr>
        <w:tab/>
        <w:t>N</w:t>
      </w:r>
      <w:r w:rsidRPr="000435F2">
        <w:rPr>
          <w:lang w:val="en-US"/>
        </w:rPr>
        <w:t xml:space="preserve">o </w:t>
      </w:r>
      <w:r>
        <w:rPr>
          <w:lang w:val="en-US"/>
        </w:rPr>
        <w:t xml:space="preserve">child </w:t>
      </w:r>
      <w:r w:rsidRPr="000435F2">
        <w:rPr>
          <w:lang w:val="en-US"/>
        </w:rPr>
        <w:t xml:space="preserve">shall be held guilty of any criminal offence </w:t>
      </w:r>
      <w:r>
        <w:rPr>
          <w:lang w:val="en-US"/>
        </w:rPr>
        <w:t>that</w:t>
      </w:r>
      <w:r w:rsidRPr="000435F2">
        <w:rPr>
          <w:lang w:val="en-US"/>
        </w:rPr>
        <w:t xml:space="preserve"> did not constitute a criminal offence, under national or international law, at the time it was committed.</w:t>
      </w:r>
      <w:r>
        <w:rPr>
          <w:lang w:val="en-US"/>
        </w:rPr>
        <w:t xml:space="preserve"> </w:t>
      </w:r>
      <w:r w:rsidRPr="000435F2">
        <w:rPr>
          <w:lang w:val="en-US"/>
        </w:rPr>
        <w:t xml:space="preserve">States parties </w:t>
      </w:r>
      <w:r>
        <w:rPr>
          <w:lang w:val="en-US"/>
        </w:rPr>
        <w:t xml:space="preserve">that </w:t>
      </w:r>
      <w:r w:rsidRPr="000435F2">
        <w:rPr>
          <w:lang w:val="en-US"/>
        </w:rPr>
        <w:t xml:space="preserve">expand their criminal law provisions to prevent and combat terrorism </w:t>
      </w:r>
      <w:r>
        <w:rPr>
          <w:lang w:val="en-US"/>
        </w:rPr>
        <w:t xml:space="preserve">should </w:t>
      </w:r>
      <w:r w:rsidRPr="000435F2">
        <w:rPr>
          <w:lang w:val="en-US"/>
        </w:rPr>
        <w:t>ensure that th</w:t>
      </w:r>
      <w:r>
        <w:rPr>
          <w:lang w:val="en-US"/>
        </w:rPr>
        <w:t>o</w:t>
      </w:r>
      <w:r w:rsidRPr="000435F2">
        <w:rPr>
          <w:lang w:val="en-US"/>
        </w:rPr>
        <w:t xml:space="preserve">se changes do not result in </w:t>
      </w:r>
      <w:r>
        <w:rPr>
          <w:lang w:val="en-US"/>
        </w:rPr>
        <w:t xml:space="preserve">the </w:t>
      </w:r>
      <w:r w:rsidRPr="000435F2">
        <w:rPr>
          <w:lang w:val="en-US"/>
        </w:rPr>
        <w:t>retroactive or unintended punishment of children. No child sh</w:t>
      </w:r>
      <w:r>
        <w:rPr>
          <w:lang w:val="en-US"/>
        </w:rPr>
        <w:t>ould</w:t>
      </w:r>
      <w:r w:rsidRPr="000435F2">
        <w:rPr>
          <w:lang w:val="en-US"/>
        </w:rPr>
        <w:t xml:space="preserve"> be punished with a </w:t>
      </w:r>
      <w:r w:rsidRPr="002D64A9">
        <w:t>heavier</w:t>
      </w:r>
      <w:r w:rsidRPr="000435F2">
        <w:rPr>
          <w:lang w:val="en-US"/>
        </w:rPr>
        <w:t xml:space="preserve"> penalty than the one applicable at the time of</w:t>
      </w:r>
      <w:r>
        <w:rPr>
          <w:lang w:val="en-US"/>
        </w:rPr>
        <w:t xml:space="preserve"> the offence, b</w:t>
      </w:r>
      <w:r w:rsidRPr="000435F2">
        <w:rPr>
          <w:lang w:val="en-US"/>
        </w:rPr>
        <w:t xml:space="preserve">ut if a change of law after the </w:t>
      </w:r>
      <w:r>
        <w:rPr>
          <w:lang w:val="en-US"/>
        </w:rPr>
        <w:t xml:space="preserve">offence </w:t>
      </w:r>
      <w:r w:rsidRPr="000435F2">
        <w:rPr>
          <w:lang w:val="en-US"/>
        </w:rPr>
        <w:t>provides for a lighter penalty, the child should benefit.</w:t>
      </w:r>
    </w:p>
    <w:p w14:paraId="2009BB76" w14:textId="77777777" w:rsidR="00FE4078" w:rsidRPr="000435F2" w:rsidRDefault="00FE4078" w:rsidP="004E782F">
      <w:pPr>
        <w:pStyle w:val="H23G"/>
      </w:pPr>
      <w:r w:rsidRPr="000435F2">
        <w:tab/>
      </w:r>
      <w:r w:rsidRPr="000435F2">
        <w:tab/>
      </w:r>
      <w:r>
        <w:t>P</w:t>
      </w:r>
      <w:r w:rsidRPr="000435F2">
        <w:t>resumption of innocence (art. 40 (2) (b) (i))</w:t>
      </w:r>
    </w:p>
    <w:p w14:paraId="30696F3E" w14:textId="77777777" w:rsidR="00FE4078" w:rsidRPr="000435F2" w:rsidRDefault="00FE4078" w:rsidP="002D64A9">
      <w:pPr>
        <w:pStyle w:val="SingleTxtG"/>
        <w:rPr>
          <w:lang w:val="en-US"/>
        </w:rPr>
      </w:pPr>
      <w:r>
        <w:rPr>
          <w:lang w:val="en-US"/>
        </w:rPr>
        <w:t>43.</w:t>
      </w:r>
      <w:r>
        <w:rPr>
          <w:lang w:val="en-US"/>
        </w:rPr>
        <w:tab/>
      </w:r>
      <w:r w:rsidRPr="000435F2">
        <w:rPr>
          <w:lang w:val="en-US"/>
        </w:rPr>
        <w:t xml:space="preserve">The presumption of innocence </w:t>
      </w:r>
      <w:r>
        <w:rPr>
          <w:lang w:val="en-US"/>
        </w:rPr>
        <w:t xml:space="preserve">requires </w:t>
      </w:r>
      <w:r w:rsidRPr="000435F2">
        <w:rPr>
          <w:lang w:val="en-US"/>
        </w:rPr>
        <w:t>that the burden of proof of the charge is on the prosecution</w:t>
      </w:r>
      <w:r>
        <w:rPr>
          <w:lang w:val="en-US"/>
        </w:rPr>
        <w:t>, regardless of the nature of the offence</w:t>
      </w:r>
      <w:r w:rsidRPr="000435F2">
        <w:rPr>
          <w:lang w:val="en-US"/>
        </w:rPr>
        <w:t>. The child has the benefit of the doubt and is guilty</w:t>
      </w:r>
      <w:r>
        <w:rPr>
          <w:lang w:val="en-US"/>
        </w:rPr>
        <w:t xml:space="preserve"> </w:t>
      </w:r>
      <w:r w:rsidRPr="000435F2">
        <w:rPr>
          <w:lang w:val="en-US"/>
        </w:rPr>
        <w:t xml:space="preserve">only if the charges have been proved beyond reasonable doubt. </w:t>
      </w:r>
      <w:r>
        <w:rPr>
          <w:lang w:val="en-US"/>
        </w:rPr>
        <w:t xml:space="preserve">Suspicious behaviour on the part of the child should not lead to assumptions of guilt, as it may be due to a </w:t>
      </w:r>
      <w:r w:rsidRPr="000435F2">
        <w:rPr>
          <w:lang w:val="en-US"/>
        </w:rPr>
        <w:t>lack of understanding of the process, immaturity, fear or other</w:t>
      </w:r>
      <w:r>
        <w:rPr>
          <w:lang w:val="en-US"/>
        </w:rPr>
        <w:t xml:space="preserve"> reasons.</w:t>
      </w:r>
    </w:p>
    <w:p w14:paraId="57DD5B0A" w14:textId="77777777" w:rsidR="00FE4078" w:rsidRPr="000435F2" w:rsidRDefault="00FE4078" w:rsidP="004E782F">
      <w:pPr>
        <w:pStyle w:val="H23G"/>
      </w:pPr>
      <w:r w:rsidRPr="000435F2">
        <w:tab/>
      </w:r>
      <w:r w:rsidRPr="000435F2">
        <w:tab/>
      </w:r>
      <w:r>
        <w:t>R</w:t>
      </w:r>
      <w:r w:rsidRPr="000435F2">
        <w:t>ight to be heard (art. 12)</w:t>
      </w:r>
    </w:p>
    <w:p w14:paraId="61FA6D57" w14:textId="77777777" w:rsidR="00FE4078" w:rsidRPr="000435F2" w:rsidRDefault="00FE4078" w:rsidP="002D64A9">
      <w:pPr>
        <w:pStyle w:val="SingleTxtG"/>
        <w:rPr>
          <w:lang w:val="en-US"/>
        </w:rPr>
      </w:pPr>
      <w:r>
        <w:rPr>
          <w:lang w:val="en-US"/>
        </w:rPr>
        <w:t>44.</w:t>
      </w:r>
      <w:r>
        <w:rPr>
          <w:lang w:val="en-US"/>
        </w:rPr>
        <w:tab/>
        <w:t>In</w:t>
      </w:r>
      <w:r w:rsidRPr="009E766B">
        <w:rPr>
          <w:lang w:val="en-US"/>
        </w:rPr>
        <w:t xml:space="preserve"> </w:t>
      </w:r>
      <w:r w:rsidRPr="00B939FB">
        <w:rPr>
          <w:lang w:val="en-US"/>
        </w:rPr>
        <w:t>paragraphs 57</w:t>
      </w:r>
      <w:r>
        <w:rPr>
          <w:lang w:val="en-US"/>
        </w:rPr>
        <w:t xml:space="preserve"> to </w:t>
      </w:r>
      <w:r w:rsidRPr="00B939FB">
        <w:rPr>
          <w:lang w:val="en-US"/>
        </w:rPr>
        <w:t>64</w:t>
      </w:r>
      <w:r>
        <w:rPr>
          <w:lang w:val="en-US"/>
        </w:rPr>
        <w:t xml:space="preserve"> of </w:t>
      </w:r>
      <w:r w:rsidRPr="00B939FB">
        <w:rPr>
          <w:lang w:val="en-US"/>
        </w:rPr>
        <w:t>general comment No. 12 (2009)</w:t>
      </w:r>
      <w:r>
        <w:rPr>
          <w:lang w:val="en-US"/>
        </w:rPr>
        <w:t xml:space="preserve"> on the right of the child to be heard,</w:t>
      </w:r>
      <w:r w:rsidRPr="00B939FB">
        <w:rPr>
          <w:lang w:val="en-US"/>
        </w:rPr>
        <w:t xml:space="preserve"> </w:t>
      </w:r>
      <w:r>
        <w:rPr>
          <w:lang w:val="en-US"/>
        </w:rPr>
        <w:t xml:space="preserve">the Committee explained </w:t>
      </w:r>
      <w:r w:rsidRPr="00B939FB">
        <w:rPr>
          <w:lang w:val="en-US"/>
        </w:rPr>
        <w:t>the</w:t>
      </w:r>
      <w:r>
        <w:rPr>
          <w:lang w:val="en-US"/>
        </w:rPr>
        <w:t xml:space="preserve"> fundamental right of the child to be heard in the context of child justice.</w:t>
      </w:r>
    </w:p>
    <w:p w14:paraId="5F419339" w14:textId="77777777" w:rsidR="00FE4078" w:rsidRPr="000435F2" w:rsidRDefault="00FE4078" w:rsidP="002D64A9">
      <w:pPr>
        <w:pStyle w:val="SingleTxtG"/>
        <w:rPr>
          <w:lang w:val="en-US"/>
        </w:rPr>
      </w:pPr>
      <w:r>
        <w:rPr>
          <w:lang w:val="en-US"/>
        </w:rPr>
        <w:t>45.</w:t>
      </w:r>
      <w:r>
        <w:rPr>
          <w:lang w:val="en-US"/>
        </w:rPr>
        <w:tab/>
        <w:t>Children have</w:t>
      </w:r>
      <w:r w:rsidRPr="000435F2">
        <w:rPr>
          <w:lang w:val="en-US"/>
        </w:rPr>
        <w:t xml:space="preserve"> the right to be heard directly</w:t>
      </w:r>
      <w:r>
        <w:rPr>
          <w:lang w:val="en-US"/>
        </w:rPr>
        <w:t>,</w:t>
      </w:r>
      <w:r w:rsidRPr="000435F2">
        <w:rPr>
          <w:lang w:val="en-US"/>
        </w:rPr>
        <w:t xml:space="preserve"> and not only through a representative</w:t>
      </w:r>
      <w:r>
        <w:rPr>
          <w:lang w:val="en-US"/>
        </w:rPr>
        <w:t>,</w:t>
      </w:r>
      <w:r w:rsidRPr="000435F2">
        <w:rPr>
          <w:lang w:val="en-US"/>
        </w:rPr>
        <w:t xml:space="preserve"> at all stages of the process, starting </w:t>
      </w:r>
      <w:r>
        <w:rPr>
          <w:lang w:val="en-US"/>
        </w:rPr>
        <w:t>from the moment of contact.</w:t>
      </w:r>
      <w:r w:rsidRPr="00E477FB">
        <w:rPr>
          <w:lang w:val="en-US"/>
        </w:rPr>
        <w:t xml:space="preserve"> </w:t>
      </w:r>
      <w:r>
        <w:rPr>
          <w:lang w:val="en-US"/>
        </w:rPr>
        <w:t>T</w:t>
      </w:r>
      <w:r w:rsidRPr="000435F2">
        <w:rPr>
          <w:lang w:val="en-US"/>
        </w:rPr>
        <w:t xml:space="preserve">he child has the right to remain silent and no adverse inference should be </w:t>
      </w:r>
      <w:r w:rsidRPr="002D64A9">
        <w:t>drawn</w:t>
      </w:r>
      <w:r w:rsidRPr="000435F2">
        <w:rPr>
          <w:lang w:val="en-US"/>
        </w:rPr>
        <w:t xml:space="preserve"> </w:t>
      </w:r>
      <w:r>
        <w:rPr>
          <w:lang w:val="en-US"/>
        </w:rPr>
        <w:t xml:space="preserve">when children </w:t>
      </w:r>
      <w:r w:rsidRPr="000435F2">
        <w:rPr>
          <w:lang w:val="en-US"/>
        </w:rPr>
        <w:t xml:space="preserve">elect not to </w:t>
      </w:r>
      <w:r>
        <w:rPr>
          <w:lang w:val="en-US"/>
        </w:rPr>
        <w:t>make statements</w:t>
      </w:r>
      <w:r w:rsidRPr="000435F2">
        <w:rPr>
          <w:lang w:val="en-US"/>
        </w:rPr>
        <w:t xml:space="preserve">. </w:t>
      </w:r>
    </w:p>
    <w:p w14:paraId="71B9CBC5" w14:textId="77777777" w:rsidR="00FE4078" w:rsidRPr="000435F2" w:rsidRDefault="00FE4078" w:rsidP="00702C9E">
      <w:pPr>
        <w:pStyle w:val="H23G"/>
      </w:pPr>
      <w:r w:rsidRPr="000435F2">
        <w:tab/>
      </w:r>
      <w:r>
        <w:tab/>
      </w:r>
      <w:r>
        <w:tab/>
        <w:t>E</w:t>
      </w:r>
      <w:r w:rsidRPr="000435F2">
        <w:t xml:space="preserve">ffective </w:t>
      </w:r>
      <w:r w:rsidRPr="00702C9E">
        <w:t>participation</w:t>
      </w:r>
      <w:r w:rsidRPr="000435F2">
        <w:t xml:space="preserve"> in the proceedings (art</w:t>
      </w:r>
      <w:r>
        <w:t>.</w:t>
      </w:r>
      <w:r w:rsidRPr="000435F2">
        <w:t xml:space="preserve"> 40 (2) (b) (iv))</w:t>
      </w:r>
    </w:p>
    <w:p w14:paraId="7FCB2B24" w14:textId="77777777" w:rsidR="00FE4078" w:rsidRPr="000435F2" w:rsidRDefault="00FE4078" w:rsidP="002D64A9">
      <w:pPr>
        <w:pStyle w:val="SingleTxtG"/>
        <w:rPr>
          <w:lang w:val="en-US"/>
        </w:rPr>
      </w:pPr>
      <w:r>
        <w:rPr>
          <w:lang w:val="en-US"/>
        </w:rPr>
        <w:t>46.</w:t>
      </w:r>
      <w:r>
        <w:rPr>
          <w:lang w:val="en-US"/>
        </w:rPr>
        <w:tab/>
        <w:t>A child who is above the minimum age of criminal responsibility should be considered competent to participate throughout the child justice process. T</w:t>
      </w:r>
      <w:r w:rsidRPr="000435F2">
        <w:rPr>
          <w:lang w:val="en-US"/>
        </w:rPr>
        <w:t>o effectively participate</w:t>
      </w:r>
      <w:r>
        <w:rPr>
          <w:lang w:val="en-US"/>
        </w:rPr>
        <w:t>,</w:t>
      </w:r>
      <w:r w:rsidRPr="000435F2">
        <w:rPr>
          <w:lang w:val="en-US"/>
        </w:rPr>
        <w:t xml:space="preserve"> </w:t>
      </w:r>
      <w:r>
        <w:rPr>
          <w:lang w:val="en-US"/>
        </w:rPr>
        <w:t xml:space="preserve">a </w:t>
      </w:r>
      <w:r w:rsidRPr="000435F2">
        <w:rPr>
          <w:lang w:val="en-US"/>
        </w:rPr>
        <w:t>child needs to</w:t>
      </w:r>
      <w:r>
        <w:rPr>
          <w:lang w:val="en-US"/>
        </w:rPr>
        <w:t xml:space="preserve"> be</w:t>
      </w:r>
      <w:r w:rsidRPr="000435F2">
        <w:rPr>
          <w:lang w:val="en-US"/>
        </w:rPr>
        <w:t xml:space="preserve"> </w:t>
      </w:r>
      <w:r>
        <w:rPr>
          <w:lang w:val="en-US"/>
        </w:rPr>
        <w:t xml:space="preserve">supported by all practitioners to </w:t>
      </w:r>
      <w:r w:rsidRPr="000435F2">
        <w:rPr>
          <w:lang w:val="en-US"/>
        </w:rPr>
        <w:t xml:space="preserve">comprehend the charges and possible consequences </w:t>
      </w:r>
      <w:r>
        <w:rPr>
          <w:lang w:val="en-US"/>
        </w:rPr>
        <w:t>and options</w:t>
      </w:r>
      <w:r w:rsidRPr="000435F2">
        <w:rPr>
          <w:lang w:val="en-US"/>
        </w:rPr>
        <w:t xml:space="preserve"> in order to direct the legal representative, challenge witnesses, provide an account of events and to make appropriate decisions about evidence, testimony and the measure(s) to be imposed. </w:t>
      </w:r>
      <w:r>
        <w:rPr>
          <w:lang w:val="en-US"/>
        </w:rPr>
        <w:t>P</w:t>
      </w:r>
      <w:r w:rsidRPr="000435F2">
        <w:rPr>
          <w:lang w:val="en-US"/>
        </w:rPr>
        <w:t>roceedings</w:t>
      </w:r>
      <w:r>
        <w:rPr>
          <w:lang w:val="en-US"/>
        </w:rPr>
        <w:t xml:space="preserve"> should </w:t>
      </w:r>
      <w:r w:rsidRPr="000435F2">
        <w:rPr>
          <w:lang w:val="en-US"/>
        </w:rPr>
        <w:t xml:space="preserve">be conducted in a language the child fully understands </w:t>
      </w:r>
      <w:r>
        <w:rPr>
          <w:lang w:val="en-US"/>
        </w:rPr>
        <w:t xml:space="preserve">or </w:t>
      </w:r>
      <w:r w:rsidRPr="00DD33BE">
        <w:t>an interpreter</w:t>
      </w:r>
      <w:r>
        <w:t xml:space="preserve"> is </w:t>
      </w:r>
      <w:r>
        <w:lastRenderedPageBreak/>
        <w:t>to be provided free of charge.</w:t>
      </w:r>
      <w:r w:rsidRPr="00DD33BE">
        <w:t xml:space="preserve"> </w:t>
      </w:r>
      <w:r>
        <w:rPr>
          <w:lang w:val="en-US"/>
        </w:rPr>
        <w:t>P</w:t>
      </w:r>
      <w:r w:rsidRPr="000435F2">
        <w:rPr>
          <w:lang w:val="en-US"/>
        </w:rPr>
        <w:t>roceedings should be conducted in an atmosphere of understanding to allow child</w:t>
      </w:r>
      <w:r>
        <w:rPr>
          <w:lang w:val="en-US"/>
        </w:rPr>
        <w:t>ren</w:t>
      </w:r>
      <w:r w:rsidRPr="000435F2">
        <w:rPr>
          <w:lang w:val="en-US"/>
        </w:rPr>
        <w:t xml:space="preserve"> to</w:t>
      </w:r>
      <w:r>
        <w:rPr>
          <w:lang w:val="en-US"/>
        </w:rPr>
        <w:t xml:space="preserve"> fully</w:t>
      </w:r>
      <w:r w:rsidRPr="000435F2">
        <w:rPr>
          <w:lang w:val="en-US"/>
        </w:rPr>
        <w:t xml:space="preserve"> participate</w:t>
      </w:r>
      <w:r>
        <w:rPr>
          <w:lang w:val="en-US"/>
        </w:rPr>
        <w:t xml:space="preserve">. Developments in child-friendly justice </w:t>
      </w:r>
      <w:r w:rsidRPr="002D64A9">
        <w:t>provide</w:t>
      </w:r>
      <w:r>
        <w:rPr>
          <w:lang w:val="en-US"/>
        </w:rPr>
        <w:t xml:space="preserve"> an impetus towards child-friendly language at all stages, child-friendly layouts of interviewing spaces and courts, support by appropriate adults, removal of intimidating legal attire and adaptation of proceedings,</w:t>
      </w:r>
      <w:r w:rsidRPr="00FE540C">
        <w:rPr>
          <w:rStyle w:val="FootnoteReference"/>
        </w:rPr>
        <w:t xml:space="preserve"> </w:t>
      </w:r>
      <w:r>
        <w:rPr>
          <w:lang w:val="en-US"/>
        </w:rPr>
        <w:t>including accommodation for children with disabilities.</w:t>
      </w:r>
      <w:r>
        <w:rPr>
          <w:rStyle w:val="CommentReference"/>
        </w:rPr>
        <w:t xml:space="preserve"> </w:t>
      </w:r>
    </w:p>
    <w:p w14:paraId="3042F78B" w14:textId="77777777" w:rsidR="00FE4078" w:rsidRPr="000435F2" w:rsidRDefault="00FE4078" w:rsidP="004E782F">
      <w:pPr>
        <w:pStyle w:val="H23G"/>
      </w:pPr>
      <w:r w:rsidRPr="000435F2">
        <w:tab/>
      </w:r>
      <w:r w:rsidRPr="000435F2">
        <w:tab/>
        <w:t>Prompt and direct information of the charge(s) (art. 40 (2) (b) (ii))</w:t>
      </w:r>
    </w:p>
    <w:p w14:paraId="141F65E4" w14:textId="77777777" w:rsidR="00FE4078" w:rsidRPr="000435F2" w:rsidRDefault="00FE4078" w:rsidP="002D64A9">
      <w:pPr>
        <w:pStyle w:val="SingleTxtG"/>
        <w:rPr>
          <w:lang w:val="en-US"/>
        </w:rPr>
      </w:pPr>
      <w:r>
        <w:rPr>
          <w:lang w:val="en-US"/>
        </w:rPr>
        <w:t>47.</w:t>
      </w:r>
      <w:r>
        <w:rPr>
          <w:lang w:val="en-US"/>
        </w:rPr>
        <w:tab/>
      </w:r>
      <w:r w:rsidRPr="000435F2">
        <w:rPr>
          <w:lang w:val="en-US"/>
        </w:rPr>
        <w:t xml:space="preserve">Every child </w:t>
      </w:r>
      <w:r>
        <w:rPr>
          <w:lang w:val="en-US"/>
        </w:rPr>
        <w:t xml:space="preserve">has </w:t>
      </w:r>
      <w:r w:rsidRPr="000435F2">
        <w:rPr>
          <w:lang w:val="en-US"/>
        </w:rPr>
        <w:t>the right to be informed promptly and directly</w:t>
      </w:r>
      <w:r>
        <w:rPr>
          <w:lang w:val="en-US"/>
        </w:rPr>
        <w:t xml:space="preserve"> (or where appropriate through his or her parent or guardian)</w:t>
      </w:r>
      <w:r w:rsidRPr="000435F2">
        <w:rPr>
          <w:lang w:val="en-US"/>
        </w:rPr>
        <w:t xml:space="preserve"> of the charges brought against him</w:t>
      </w:r>
      <w:r>
        <w:rPr>
          <w:lang w:val="en-US"/>
        </w:rPr>
        <w:t xml:space="preserve"> or </w:t>
      </w:r>
      <w:r w:rsidRPr="000435F2">
        <w:rPr>
          <w:lang w:val="en-US"/>
        </w:rPr>
        <w:t>her. Prompt</w:t>
      </w:r>
      <w:r>
        <w:rPr>
          <w:lang w:val="en-US"/>
        </w:rPr>
        <w:t>ly</w:t>
      </w:r>
      <w:r w:rsidRPr="000435F2">
        <w:rPr>
          <w:lang w:val="en-US"/>
        </w:rPr>
        <w:t xml:space="preserve"> means as soon as possible</w:t>
      </w:r>
      <w:r>
        <w:rPr>
          <w:lang w:val="en-US"/>
        </w:rPr>
        <w:t xml:space="preserve"> after the first </w:t>
      </w:r>
      <w:r w:rsidRPr="002D64A9">
        <w:t>contact</w:t>
      </w:r>
      <w:r>
        <w:rPr>
          <w:lang w:val="en-US"/>
        </w:rPr>
        <w:t xml:space="preserve"> of the child with the justice system</w:t>
      </w:r>
      <w:r w:rsidRPr="000435F2">
        <w:rPr>
          <w:lang w:val="en-US"/>
        </w:rPr>
        <w:t>.</w:t>
      </w:r>
      <w:r w:rsidRPr="007B2EBF">
        <w:rPr>
          <w:lang w:val="en-US"/>
        </w:rPr>
        <w:t xml:space="preserve"> </w:t>
      </w:r>
      <w:r>
        <w:rPr>
          <w:lang w:val="en-US"/>
        </w:rPr>
        <w:t>Notification of parents should not be neglected on the grounds of convenience or resources.</w:t>
      </w:r>
      <w:r w:rsidRPr="000435F2">
        <w:rPr>
          <w:lang w:val="en-US"/>
        </w:rPr>
        <w:t xml:space="preserve"> </w:t>
      </w:r>
      <w:r>
        <w:rPr>
          <w:lang w:val="en-US"/>
        </w:rPr>
        <w:t xml:space="preserve">Children who are diverted at the charge stage need to </w:t>
      </w:r>
      <w:r w:rsidRPr="000435F2">
        <w:rPr>
          <w:lang w:val="en-US"/>
        </w:rPr>
        <w:t xml:space="preserve">understand </w:t>
      </w:r>
      <w:r>
        <w:rPr>
          <w:lang w:val="en-US"/>
        </w:rPr>
        <w:t xml:space="preserve">their </w:t>
      </w:r>
      <w:r w:rsidRPr="000435F2">
        <w:rPr>
          <w:lang w:val="en-US"/>
        </w:rPr>
        <w:t>legal options</w:t>
      </w:r>
      <w:r>
        <w:rPr>
          <w:lang w:val="en-US"/>
        </w:rPr>
        <w:t xml:space="preserve">, and </w:t>
      </w:r>
      <w:r w:rsidRPr="000435F2">
        <w:rPr>
          <w:lang w:val="en-US"/>
        </w:rPr>
        <w:t>legal safeguards should be fully respected.</w:t>
      </w:r>
      <w:r>
        <w:rPr>
          <w:lang w:val="en-US"/>
        </w:rPr>
        <w:t xml:space="preserve"> </w:t>
      </w:r>
    </w:p>
    <w:p w14:paraId="13949FDE" w14:textId="77777777" w:rsidR="00FE4078" w:rsidRDefault="00FE4078" w:rsidP="002D64A9">
      <w:pPr>
        <w:pStyle w:val="SingleTxtG"/>
        <w:rPr>
          <w:lang w:val="en-US"/>
        </w:rPr>
      </w:pPr>
      <w:r>
        <w:rPr>
          <w:lang w:val="en-US"/>
        </w:rPr>
        <w:t>48.</w:t>
      </w:r>
      <w:r>
        <w:rPr>
          <w:lang w:val="en-US"/>
        </w:rPr>
        <w:tab/>
        <w:t>A</w:t>
      </w:r>
      <w:r w:rsidRPr="00290B4F">
        <w:rPr>
          <w:lang w:val="en-US"/>
        </w:rPr>
        <w:t xml:space="preserve">uthorities </w:t>
      </w:r>
      <w:r>
        <w:rPr>
          <w:lang w:val="en-US"/>
        </w:rPr>
        <w:t xml:space="preserve">should </w:t>
      </w:r>
      <w:r w:rsidRPr="00290B4F">
        <w:rPr>
          <w:lang w:val="en-US"/>
        </w:rPr>
        <w:t>ensure that the child understands the charges, options and processes</w:t>
      </w:r>
      <w:r>
        <w:rPr>
          <w:lang w:val="en-US"/>
        </w:rPr>
        <w:t xml:space="preserve">. </w:t>
      </w:r>
      <w:r w:rsidRPr="00290B4F">
        <w:rPr>
          <w:lang w:val="en-US"/>
        </w:rPr>
        <w:t xml:space="preserve">Providing the child with an official document is insufficient and an oral explanation is necessary. Although children should be </w:t>
      </w:r>
      <w:r w:rsidRPr="002D64A9">
        <w:t>assisted</w:t>
      </w:r>
      <w:r w:rsidRPr="00290B4F">
        <w:rPr>
          <w:lang w:val="en-US"/>
        </w:rPr>
        <w:t xml:space="preserve"> in understanding </w:t>
      </w:r>
      <w:r>
        <w:rPr>
          <w:lang w:val="en-US"/>
        </w:rPr>
        <w:t xml:space="preserve">any </w:t>
      </w:r>
      <w:r w:rsidRPr="00290B4F">
        <w:rPr>
          <w:lang w:val="en-US"/>
        </w:rPr>
        <w:t xml:space="preserve">document by a parent or appropriate adult, </w:t>
      </w:r>
      <w:r w:rsidRPr="008A03D9">
        <w:rPr>
          <w:lang w:val="en-US"/>
        </w:rPr>
        <w:t>authorities should not leave the explanation of the charg</w:t>
      </w:r>
      <w:r w:rsidRPr="00290B4F">
        <w:rPr>
          <w:lang w:val="en-US"/>
        </w:rPr>
        <w:t xml:space="preserve">es to such persons. </w:t>
      </w:r>
    </w:p>
    <w:p w14:paraId="47C5B86D" w14:textId="77777777" w:rsidR="00FE4078" w:rsidRPr="008B6BC1" w:rsidRDefault="00FE4078" w:rsidP="00682DBE">
      <w:pPr>
        <w:pStyle w:val="H23G"/>
        <w:rPr>
          <w:lang w:val="en-US"/>
        </w:rPr>
      </w:pPr>
      <w:r>
        <w:rPr>
          <w:lang w:val="en-US"/>
        </w:rPr>
        <w:tab/>
      </w:r>
      <w:r>
        <w:rPr>
          <w:lang w:val="en-US"/>
        </w:rPr>
        <w:tab/>
      </w:r>
      <w:r w:rsidRPr="008B6BC1">
        <w:rPr>
          <w:lang w:val="en-US"/>
        </w:rPr>
        <w:t>Legal or other appropriate assistance (art. 40 (2) (b) (ii))</w:t>
      </w:r>
    </w:p>
    <w:p w14:paraId="074110F5" w14:textId="77777777" w:rsidR="00FE4078" w:rsidRPr="002D64A9" w:rsidRDefault="00FE4078" w:rsidP="00682DBE">
      <w:pPr>
        <w:pStyle w:val="SingleTxtG"/>
        <w:keepNext/>
        <w:keepLines/>
      </w:pPr>
      <w:r>
        <w:rPr>
          <w:lang w:val="en-US"/>
        </w:rPr>
        <w:t>49.</w:t>
      </w:r>
      <w:r>
        <w:rPr>
          <w:lang w:val="en-US"/>
        </w:rPr>
        <w:tab/>
      </w:r>
      <w:r w:rsidRPr="000435F2">
        <w:rPr>
          <w:lang w:val="en-US"/>
        </w:rPr>
        <w:t xml:space="preserve">States </w:t>
      </w:r>
      <w:r>
        <w:rPr>
          <w:lang w:val="en-US"/>
        </w:rPr>
        <w:t xml:space="preserve">should </w:t>
      </w:r>
      <w:r w:rsidRPr="000435F2">
        <w:rPr>
          <w:lang w:val="en-US"/>
        </w:rPr>
        <w:t>ensure that the child is guaranteed legal or other appropriate assistance from the outset of the proceedings</w:t>
      </w:r>
      <w:r>
        <w:rPr>
          <w:lang w:val="en-US"/>
        </w:rPr>
        <w:t>,</w:t>
      </w:r>
      <w:r w:rsidRPr="000435F2">
        <w:rPr>
          <w:lang w:val="en-US"/>
        </w:rPr>
        <w:t xml:space="preserve"> in the </w:t>
      </w:r>
      <w:r w:rsidRPr="002D64A9">
        <w:t>preparation and presentation of the defen</w:t>
      </w:r>
      <w:r>
        <w:t>c</w:t>
      </w:r>
      <w:r w:rsidRPr="002D64A9">
        <w:t>e, and until all appeals</w:t>
      </w:r>
      <w:r>
        <w:t xml:space="preserve"> and</w:t>
      </w:r>
      <w:r w:rsidRPr="002D64A9">
        <w:t>/</w:t>
      </w:r>
      <w:r>
        <w:t xml:space="preserve">or </w:t>
      </w:r>
      <w:r w:rsidRPr="002D64A9">
        <w:t>reviews are exhausted. The Committee requests State</w:t>
      </w:r>
      <w:r>
        <w:t>s</w:t>
      </w:r>
      <w:r w:rsidRPr="002D64A9">
        <w:t xml:space="preserve"> parties to withdraw any reservation </w:t>
      </w:r>
      <w:r>
        <w:t>made in respect of</w:t>
      </w:r>
      <w:r w:rsidRPr="002D64A9">
        <w:t xml:space="preserve"> article 40</w:t>
      </w:r>
      <w:r>
        <w:t> </w:t>
      </w:r>
      <w:r w:rsidRPr="002D64A9">
        <w:t>(2)</w:t>
      </w:r>
      <w:r>
        <w:t> </w:t>
      </w:r>
      <w:r w:rsidRPr="002D64A9">
        <w:t>(b)</w:t>
      </w:r>
      <w:r>
        <w:t> </w:t>
      </w:r>
      <w:r w:rsidRPr="002D64A9">
        <w:t>(ii).</w:t>
      </w:r>
    </w:p>
    <w:p w14:paraId="663434EF" w14:textId="77777777" w:rsidR="00FE4078" w:rsidRPr="002D64A9" w:rsidRDefault="00FE4078" w:rsidP="002D64A9">
      <w:pPr>
        <w:pStyle w:val="SingleTxtG"/>
      </w:pPr>
      <w:r>
        <w:t>50.</w:t>
      </w:r>
      <w:r>
        <w:tab/>
      </w:r>
      <w:r w:rsidRPr="002D64A9">
        <w:t>The Committee remains concerned that many children face criminal charges before judicial, administrative or other public authorities</w:t>
      </w:r>
      <w:r>
        <w:t>,</w:t>
      </w:r>
      <w:r w:rsidRPr="002D64A9">
        <w:t xml:space="preserve"> and are deprived of liberty, without having the benefit of legal representation. The Committee notes that in art</w:t>
      </w:r>
      <w:r>
        <w:t>icle</w:t>
      </w:r>
      <w:r w:rsidRPr="002D64A9">
        <w:t xml:space="preserve"> 14</w:t>
      </w:r>
      <w:r>
        <w:t> </w:t>
      </w:r>
      <w:r w:rsidRPr="002D64A9">
        <w:t>(3)</w:t>
      </w:r>
      <w:r>
        <w:t> </w:t>
      </w:r>
      <w:r w:rsidRPr="002D64A9">
        <w:t>(d)</w:t>
      </w:r>
      <w:r>
        <w:t xml:space="preserve"> of the International Covenant on Civil and Political Rights</w:t>
      </w:r>
      <w:r w:rsidRPr="002D64A9">
        <w:t>, the right to legal representation is a minimum guarantee in the criminal justice system for all persons, and this should equally apply to children. While th</w:t>
      </w:r>
      <w:r>
        <w:t>e</w:t>
      </w:r>
      <w:r w:rsidRPr="002D64A9">
        <w:t xml:space="preserve"> article allows the person to defend him</w:t>
      </w:r>
      <w:r>
        <w:t xml:space="preserve">self or </w:t>
      </w:r>
      <w:r w:rsidRPr="002D64A9">
        <w:t>herself in person</w:t>
      </w:r>
      <w:r>
        <w:t>,</w:t>
      </w:r>
      <w:r w:rsidRPr="002D64A9">
        <w:t xml:space="preserve"> in any case where the interests of justice so require th</w:t>
      </w:r>
      <w:r>
        <w:t>e</w:t>
      </w:r>
      <w:r w:rsidRPr="002D64A9">
        <w:t xml:space="preserve"> person </w:t>
      </w:r>
      <w:r>
        <w:t>is to</w:t>
      </w:r>
      <w:r w:rsidRPr="002D64A9">
        <w:t xml:space="preserve"> be assigned legal assistance. </w:t>
      </w:r>
    </w:p>
    <w:p w14:paraId="7BDF9BEC" w14:textId="77777777" w:rsidR="00FE4078" w:rsidRPr="000435F2" w:rsidRDefault="00FE4078" w:rsidP="002D64A9">
      <w:pPr>
        <w:pStyle w:val="SingleTxtG"/>
        <w:rPr>
          <w:lang w:val="en-US"/>
        </w:rPr>
      </w:pPr>
      <w:r>
        <w:t>51.</w:t>
      </w:r>
      <w:r>
        <w:tab/>
      </w:r>
      <w:r w:rsidRPr="002D64A9">
        <w:t>In the light of th</w:t>
      </w:r>
      <w:r>
        <w:t>e above</w:t>
      </w:r>
      <w:r w:rsidRPr="002D64A9">
        <w:t>, the Committee</w:t>
      </w:r>
      <w:r w:rsidRPr="000435F2">
        <w:rPr>
          <w:lang w:val="en-US"/>
        </w:rPr>
        <w:t xml:space="preserve"> is concerned that children are provided less protection than international law guarantees for adults. The Committee </w:t>
      </w:r>
      <w:r w:rsidRPr="000435F2">
        <w:rPr>
          <w:lang w:val="en-US"/>
        </w:rPr>
        <w:lastRenderedPageBreak/>
        <w:t xml:space="preserve">recommends that </w:t>
      </w:r>
      <w:r>
        <w:rPr>
          <w:lang w:val="en-US"/>
        </w:rPr>
        <w:t>S</w:t>
      </w:r>
      <w:r w:rsidRPr="000435F2">
        <w:rPr>
          <w:lang w:val="en-US"/>
        </w:rPr>
        <w:t xml:space="preserve">tates provide </w:t>
      </w:r>
      <w:r>
        <w:rPr>
          <w:lang w:val="en-US"/>
        </w:rPr>
        <w:t xml:space="preserve">effective </w:t>
      </w:r>
      <w:r w:rsidRPr="000435F2">
        <w:rPr>
          <w:lang w:val="en-US"/>
        </w:rPr>
        <w:t>legal representation</w:t>
      </w:r>
      <w:r>
        <w:rPr>
          <w:lang w:val="en-US"/>
        </w:rPr>
        <w:t>, free of charge,</w:t>
      </w:r>
      <w:r w:rsidRPr="000435F2">
        <w:rPr>
          <w:lang w:val="en-US"/>
        </w:rPr>
        <w:t xml:space="preserve"> for all children who are facing </w:t>
      </w:r>
      <w:r>
        <w:rPr>
          <w:lang w:val="en-US"/>
        </w:rPr>
        <w:t xml:space="preserve">criminal </w:t>
      </w:r>
      <w:r w:rsidRPr="000435F2">
        <w:rPr>
          <w:lang w:val="en-US"/>
        </w:rPr>
        <w:t>charges</w:t>
      </w:r>
      <w:r>
        <w:rPr>
          <w:lang w:val="en-US"/>
        </w:rPr>
        <w:t xml:space="preserve"> before</w:t>
      </w:r>
      <w:r w:rsidRPr="00B825D1">
        <w:rPr>
          <w:lang w:val="en-US"/>
        </w:rPr>
        <w:t xml:space="preserve"> </w:t>
      </w:r>
      <w:r w:rsidRPr="000435F2">
        <w:rPr>
          <w:lang w:val="en-US"/>
        </w:rPr>
        <w:t>judicial, administrative or other public authorit</w:t>
      </w:r>
      <w:r>
        <w:rPr>
          <w:lang w:val="en-US"/>
        </w:rPr>
        <w:t>ies</w:t>
      </w:r>
      <w:r w:rsidRPr="008A03D9">
        <w:rPr>
          <w:lang w:val="en-US"/>
        </w:rPr>
        <w:t xml:space="preserve"> </w:t>
      </w:r>
      <w:r>
        <w:rPr>
          <w:lang w:val="en-US"/>
        </w:rPr>
        <w:t xml:space="preserve">Child justice systems should not permit children to </w:t>
      </w:r>
      <w:r w:rsidRPr="001D10FD">
        <w:rPr>
          <w:lang w:val="en-US"/>
        </w:rPr>
        <w:t xml:space="preserve">waive legal representation unless </w:t>
      </w:r>
      <w:r>
        <w:rPr>
          <w:lang w:val="en-US"/>
        </w:rPr>
        <w:t>the decision to waive is made</w:t>
      </w:r>
      <w:r w:rsidRPr="001D10FD">
        <w:rPr>
          <w:lang w:val="en-US"/>
        </w:rPr>
        <w:t xml:space="preserve"> voluntar</w:t>
      </w:r>
      <w:r>
        <w:rPr>
          <w:lang w:val="en-US"/>
        </w:rPr>
        <w:t>il</w:t>
      </w:r>
      <w:r w:rsidRPr="001D10FD">
        <w:rPr>
          <w:lang w:val="en-US"/>
        </w:rPr>
        <w:t>y and under impartial judicial supervision.</w:t>
      </w:r>
    </w:p>
    <w:p w14:paraId="4C6DAA8A" w14:textId="77777777" w:rsidR="00FE4078" w:rsidRPr="002D64A9" w:rsidRDefault="00FE4078" w:rsidP="002D64A9">
      <w:pPr>
        <w:pStyle w:val="SingleTxtG"/>
      </w:pPr>
      <w:r>
        <w:rPr>
          <w:lang w:val="en-US"/>
        </w:rPr>
        <w:t>52.</w:t>
      </w:r>
      <w:r>
        <w:rPr>
          <w:lang w:val="en-US"/>
        </w:rPr>
        <w:tab/>
      </w:r>
      <w:r w:rsidRPr="000435F2">
        <w:rPr>
          <w:lang w:val="en-US"/>
        </w:rPr>
        <w:t>If children are diverted to program</w:t>
      </w:r>
      <w:r>
        <w:rPr>
          <w:lang w:val="en-US"/>
        </w:rPr>
        <w:t>me</w:t>
      </w:r>
      <w:r w:rsidRPr="000435F2">
        <w:rPr>
          <w:lang w:val="en-US"/>
        </w:rPr>
        <w:t xml:space="preserve">s or are in a system </w:t>
      </w:r>
      <w:r>
        <w:rPr>
          <w:lang w:val="en-US"/>
        </w:rPr>
        <w:t>that</w:t>
      </w:r>
      <w:r w:rsidRPr="00B825D1">
        <w:rPr>
          <w:lang w:val="en-US"/>
        </w:rPr>
        <w:t xml:space="preserve"> </w:t>
      </w:r>
      <w:r w:rsidRPr="000435F2">
        <w:rPr>
          <w:lang w:val="en-US"/>
        </w:rPr>
        <w:t xml:space="preserve">does not result in convictions, criminal records or deprivation of liberty, </w:t>
      </w:r>
      <w:r>
        <w:rPr>
          <w:lang w:val="en-US"/>
        </w:rPr>
        <w:t>“</w:t>
      </w:r>
      <w:r w:rsidRPr="000435F2">
        <w:rPr>
          <w:lang w:val="en-US"/>
        </w:rPr>
        <w:t xml:space="preserve">other </w:t>
      </w:r>
      <w:r>
        <w:rPr>
          <w:lang w:val="en-US"/>
        </w:rPr>
        <w:t xml:space="preserve">appropriate </w:t>
      </w:r>
      <w:r w:rsidRPr="000435F2">
        <w:rPr>
          <w:lang w:val="en-US"/>
        </w:rPr>
        <w:t>assistance</w:t>
      </w:r>
      <w:r>
        <w:rPr>
          <w:lang w:val="en-US"/>
        </w:rPr>
        <w:t>” by well-trained officers</w:t>
      </w:r>
      <w:r w:rsidRPr="000435F2">
        <w:rPr>
          <w:lang w:val="en-US"/>
        </w:rPr>
        <w:t xml:space="preserve"> may be an </w:t>
      </w:r>
      <w:r w:rsidRPr="002D64A9">
        <w:t xml:space="preserve">acceptable form of assistance, although </w:t>
      </w:r>
      <w:r>
        <w:t>S</w:t>
      </w:r>
      <w:r w:rsidRPr="002D64A9">
        <w:t>tates that can provide legal representation for children during all processes should do so, in accordance with article 41. Where other appropriate assistance is permissible, th</w:t>
      </w:r>
      <w:r>
        <w:t>e</w:t>
      </w:r>
      <w:r w:rsidRPr="002D64A9">
        <w:t xml:space="preserve"> person</w:t>
      </w:r>
      <w:r>
        <w:t xml:space="preserve"> providing the assistance</w:t>
      </w:r>
      <w:r w:rsidRPr="002D64A9">
        <w:t xml:space="preserve"> is required to have sufficient knowledge of the legal aspects of the child justice process and receive appropriate training. </w:t>
      </w:r>
    </w:p>
    <w:p w14:paraId="26344913" w14:textId="77777777" w:rsidR="00FE4078" w:rsidRPr="000435F2" w:rsidRDefault="00FE4078" w:rsidP="002D64A9">
      <w:pPr>
        <w:pStyle w:val="SingleTxtG"/>
        <w:rPr>
          <w:lang w:val="en-US"/>
        </w:rPr>
      </w:pPr>
      <w:r>
        <w:t>53.</w:t>
      </w:r>
      <w:r>
        <w:tab/>
      </w:r>
      <w:r w:rsidRPr="002D64A9">
        <w:t xml:space="preserve">As required </w:t>
      </w:r>
      <w:r>
        <w:t>under</w:t>
      </w:r>
      <w:r w:rsidRPr="002D64A9">
        <w:t xml:space="preserve"> article 14 (3) (b) of </w:t>
      </w:r>
      <w:r>
        <w:t>the International Covenant on Civil and Political Rights</w:t>
      </w:r>
      <w:r w:rsidRPr="002D64A9">
        <w:t xml:space="preserve">, there </w:t>
      </w:r>
      <w:r>
        <w:t>is to</w:t>
      </w:r>
      <w:r w:rsidRPr="002D64A9">
        <w:t xml:space="preserve"> be adequate time and facilities for the preparation of the defen</w:t>
      </w:r>
      <w:r>
        <w:t>c</w:t>
      </w:r>
      <w:r w:rsidRPr="002D64A9">
        <w:t xml:space="preserve">e. </w:t>
      </w:r>
      <w:r>
        <w:t>Under the Convention on the Rights of the Child,</w:t>
      </w:r>
      <w:r w:rsidRPr="002D64A9">
        <w:t xml:space="preserve"> </w:t>
      </w:r>
      <w:r>
        <w:t>the c</w:t>
      </w:r>
      <w:r w:rsidRPr="002D64A9">
        <w:t xml:space="preserve">onfidentiality of communications between the child and </w:t>
      </w:r>
      <w:r>
        <w:t>his or her</w:t>
      </w:r>
      <w:r w:rsidRPr="002D64A9">
        <w:t xml:space="preserve"> legal representative or other assistant is </w:t>
      </w:r>
      <w:r>
        <w:t xml:space="preserve">to be </w:t>
      </w:r>
      <w:r w:rsidRPr="002D64A9">
        <w:t>guaranteed</w:t>
      </w:r>
      <w:r>
        <w:t xml:space="preserve"> </w:t>
      </w:r>
      <w:r>
        <w:rPr>
          <w:lang w:val="en-US"/>
        </w:rPr>
        <w:t>(art. </w:t>
      </w:r>
      <w:r w:rsidRPr="000435F2">
        <w:rPr>
          <w:lang w:val="en-US"/>
        </w:rPr>
        <w:t>40</w:t>
      </w:r>
      <w:r>
        <w:rPr>
          <w:lang w:val="en-US"/>
        </w:rPr>
        <w:t> </w:t>
      </w:r>
      <w:r w:rsidRPr="000435F2">
        <w:rPr>
          <w:lang w:val="en-US"/>
        </w:rPr>
        <w:t>(2)</w:t>
      </w:r>
      <w:r>
        <w:rPr>
          <w:lang w:val="en-US"/>
        </w:rPr>
        <w:t> </w:t>
      </w:r>
      <w:r w:rsidRPr="000435F2">
        <w:rPr>
          <w:lang w:val="en-US"/>
        </w:rPr>
        <w:t>(b)</w:t>
      </w:r>
      <w:r>
        <w:rPr>
          <w:lang w:val="en-US"/>
        </w:rPr>
        <w:t> </w:t>
      </w:r>
      <w:r w:rsidRPr="000435F2">
        <w:rPr>
          <w:lang w:val="en-US"/>
        </w:rPr>
        <w:t>(vii)</w:t>
      </w:r>
      <w:r>
        <w:rPr>
          <w:lang w:val="en-US"/>
        </w:rPr>
        <w:t>)</w:t>
      </w:r>
      <w:r w:rsidRPr="000435F2">
        <w:rPr>
          <w:lang w:val="en-US"/>
        </w:rPr>
        <w:t xml:space="preserve">, and the </w:t>
      </w:r>
      <w:r>
        <w:rPr>
          <w:lang w:val="en-US"/>
        </w:rPr>
        <w:t xml:space="preserve">child’s </w:t>
      </w:r>
      <w:r w:rsidRPr="000435F2">
        <w:rPr>
          <w:lang w:val="en-US"/>
        </w:rPr>
        <w:t xml:space="preserve">right </w:t>
      </w:r>
      <w:r>
        <w:rPr>
          <w:lang w:val="en-US"/>
        </w:rPr>
        <w:t xml:space="preserve">of protection </w:t>
      </w:r>
      <w:r w:rsidRPr="000435F2">
        <w:rPr>
          <w:lang w:val="en-US"/>
        </w:rPr>
        <w:t xml:space="preserve">against interference with </w:t>
      </w:r>
      <w:r>
        <w:rPr>
          <w:lang w:val="en-US"/>
        </w:rPr>
        <w:t xml:space="preserve">his or her </w:t>
      </w:r>
      <w:r w:rsidRPr="000435F2">
        <w:rPr>
          <w:lang w:val="en-US"/>
        </w:rPr>
        <w:t>privacy and correspondence</w:t>
      </w:r>
      <w:r>
        <w:rPr>
          <w:lang w:val="en-US"/>
        </w:rPr>
        <w:t xml:space="preserve"> is to be respected</w:t>
      </w:r>
      <w:r w:rsidRPr="000435F2">
        <w:rPr>
          <w:lang w:val="en-US"/>
        </w:rPr>
        <w:t xml:space="preserve"> (art. 16)</w:t>
      </w:r>
      <w:r>
        <w:rPr>
          <w:lang w:val="en-US"/>
        </w:rPr>
        <w:t>.</w:t>
      </w:r>
    </w:p>
    <w:p w14:paraId="3EE428AE" w14:textId="77777777" w:rsidR="00FE4078" w:rsidRPr="000435F2" w:rsidRDefault="00FE4078" w:rsidP="00682DBE">
      <w:pPr>
        <w:pStyle w:val="H23G"/>
      </w:pPr>
      <w:r>
        <w:tab/>
      </w:r>
      <w:r>
        <w:tab/>
      </w:r>
      <w:r>
        <w:tab/>
      </w:r>
      <w:r w:rsidRPr="000435F2">
        <w:t xml:space="preserve">Decisions without delay </w:t>
      </w:r>
      <w:r w:rsidRPr="00702C9E">
        <w:t>and</w:t>
      </w:r>
      <w:r w:rsidRPr="000435F2">
        <w:t xml:space="preserve"> with</w:t>
      </w:r>
      <w:r>
        <w:t xml:space="preserve"> the</w:t>
      </w:r>
      <w:r w:rsidRPr="000435F2">
        <w:t xml:space="preserve"> involvement of parents</w:t>
      </w:r>
      <w:r>
        <w:t xml:space="preserve"> </w:t>
      </w:r>
      <w:r>
        <w:br/>
        <w:t>or guardians</w:t>
      </w:r>
      <w:r w:rsidRPr="000435F2">
        <w:t xml:space="preserve"> (art. 40 (2) (b) (iii))</w:t>
      </w:r>
    </w:p>
    <w:p w14:paraId="51F97FB0" w14:textId="77777777" w:rsidR="00FE4078" w:rsidRPr="002D64A9" w:rsidRDefault="00FE4078" w:rsidP="002D64A9">
      <w:pPr>
        <w:pStyle w:val="SingleTxtG"/>
      </w:pPr>
      <w:r>
        <w:rPr>
          <w:lang w:val="en-US"/>
        </w:rPr>
        <w:t>54.</w:t>
      </w:r>
      <w:r>
        <w:rPr>
          <w:lang w:val="en-US"/>
        </w:rPr>
        <w:tab/>
      </w:r>
      <w:r w:rsidRPr="000435F2">
        <w:rPr>
          <w:lang w:val="en-US"/>
        </w:rPr>
        <w:t xml:space="preserve">The Committee reiterates that the time between the commission of the offence </w:t>
      </w:r>
      <w:r>
        <w:rPr>
          <w:lang w:val="en-US"/>
        </w:rPr>
        <w:t xml:space="preserve">and the conclusion of proceedings </w:t>
      </w:r>
      <w:r w:rsidRPr="000435F2">
        <w:rPr>
          <w:lang w:val="en-US"/>
        </w:rPr>
        <w:t>should be as short as possible.</w:t>
      </w:r>
      <w:r>
        <w:rPr>
          <w:lang w:val="en-US"/>
        </w:rPr>
        <w:t xml:space="preserve"> </w:t>
      </w:r>
      <w:r w:rsidRPr="000435F2">
        <w:rPr>
          <w:lang w:val="en-US"/>
        </w:rPr>
        <w:t>The longer this</w:t>
      </w:r>
      <w:r>
        <w:rPr>
          <w:lang w:val="en-US"/>
        </w:rPr>
        <w:t xml:space="preserve"> </w:t>
      </w:r>
      <w:r w:rsidRPr="0097264A">
        <w:rPr>
          <w:lang w:val="en-US"/>
        </w:rPr>
        <w:t xml:space="preserve">period, the more likely it is that the response loses its </w:t>
      </w:r>
      <w:r w:rsidRPr="002D64A9">
        <w:t>desired outcome.</w:t>
      </w:r>
    </w:p>
    <w:p w14:paraId="6BA47307" w14:textId="77777777" w:rsidR="00FE4078" w:rsidRPr="002D64A9" w:rsidRDefault="00FE4078" w:rsidP="002D64A9">
      <w:pPr>
        <w:pStyle w:val="SingleTxtG"/>
      </w:pPr>
      <w:r>
        <w:t>55.</w:t>
      </w:r>
      <w:r>
        <w:tab/>
      </w:r>
      <w:r w:rsidRPr="002D64A9">
        <w:t xml:space="preserve">The Committee recommends that States parties set and implement time limits for the period between the commission of the offence and the completion of the police investigation, the decision of the prosecutor (or other competent body) to institute charges, and the final decision by the court or other judicial body. These time limits should be much shorter than those set for adults, but should still allow legal safeguards to be fully respected. </w:t>
      </w:r>
      <w:r>
        <w:t>Similar speedy time limits should apply to diversion measures.</w:t>
      </w:r>
    </w:p>
    <w:p w14:paraId="1EDDC98F" w14:textId="77777777" w:rsidR="00FE4078" w:rsidRPr="002D64A9" w:rsidRDefault="00FE4078" w:rsidP="002D64A9">
      <w:pPr>
        <w:pStyle w:val="SingleTxtG"/>
      </w:pPr>
      <w:r>
        <w:t>56.</w:t>
      </w:r>
      <w:r>
        <w:tab/>
      </w:r>
      <w:r w:rsidRPr="002D64A9">
        <w:t xml:space="preserve">Parents or legal guardians should be present throughout the proceedings. However, the judge or competent authority may decide to limit, restrict or exclude their presence in the proceedings, at the request of the child </w:t>
      </w:r>
      <w:r w:rsidRPr="002D64A9">
        <w:lastRenderedPageBreak/>
        <w:t>or of his</w:t>
      </w:r>
      <w:r>
        <w:t xml:space="preserve"> or </w:t>
      </w:r>
      <w:r w:rsidRPr="002D64A9">
        <w:t xml:space="preserve">her legal or other appropriate assistant or because it is not in the child’s best interests. </w:t>
      </w:r>
    </w:p>
    <w:p w14:paraId="3D8A29B9" w14:textId="77777777" w:rsidR="00FE4078" w:rsidRPr="000435F2" w:rsidRDefault="00FE4078" w:rsidP="002D64A9">
      <w:pPr>
        <w:pStyle w:val="SingleTxtG"/>
        <w:rPr>
          <w:lang w:val="en-US"/>
        </w:rPr>
      </w:pPr>
      <w:r>
        <w:t>57.</w:t>
      </w:r>
      <w:r>
        <w:tab/>
      </w:r>
      <w:r w:rsidRPr="002D64A9">
        <w:t>The Committee recommends that States parties explicitly legislate for the maximum possible involvement of parents or legal guardians in the proceedings because they can provide general psychological and emotional assistance to the child and contribute to effective outcomes. The Committee also recognizes</w:t>
      </w:r>
      <w:r>
        <w:rPr>
          <w:lang w:val="en-US"/>
        </w:rPr>
        <w:t xml:space="preserve"> that many children are informally living with relatives who are neither parents nor legal guardians, and that laws should be adapted to allow genuine caregivers to assist children in proceedings, if parents are unavailable</w:t>
      </w:r>
      <w:r w:rsidRPr="000435F2">
        <w:rPr>
          <w:lang w:val="en-US"/>
        </w:rPr>
        <w:t>.</w:t>
      </w:r>
    </w:p>
    <w:p w14:paraId="786F6F93" w14:textId="77777777" w:rsidR="00FE4078" w:rsidRPr="000435F2" w:rsidRDefault="00FE4078" w:rsidP="004E782F">
      <w:pPr>
        <w:pStyle w:val="H23G"/>
      </w:pPr>
      <w:r w:rsidRPr="000435F2">
        <w:tab/>
      </w:r>
      <w:r w:rsidRPr="000435F2">
        <w:tab/>
        <w:t>Freedom from compulsory self-incrimination (art. 40 (2) (b) (</w:t>
      </w:r>
      <w:r>
        <w:t>iv</w:t>
      </w:r>
      <w:r w:rsidRPr="000435F2">
        <w:t>))</w:t>
      </w:r>
    </w:p>
    <w:p w14:paraId="661864A5" w14:textId="77777777" w:rsidR="00FE4078" w:rsidRPr="008B620C" w:rsidRDefault="00FE4078" w:rsidP="002D64A9">
      <w:pPr>
        <w:pStyle w:val="SingleTxtG"/>
        <w:rPr>
          <w:lang w:val="en-US"/>
        </w:rPr>
      </w:pPr>
      <w:r>
        <w:rPr>
          <w:lang w:val="en-US"/>
        </w:rPr>
        <w:t>58.</w:t>
      </w:r>
      <w:r>
        <w:rPr>
          <w:lang w:val="en-US"/>
        </w:rPr>
        <w:tab/>
        <w:t>States parties must ensure</w:t>
      </w:r>
      <w:r w:rsidRPr="000435F2">
        <w:rPr>
          <w:lang w:val="en-US"/>
        </w:rPr>
        <w:t xml:space="preserve"> that a child is not compelled to give testimony or to confess or acknowledge guilt. </w:t>
      </w:r>
      <w:r>
        <w:rPr>
          <w:lang w:val="en-US"/>
        </w:rPr>
        <w:t>The commission of acts of t</w:t>
      </w:r>
      <w:r w:rsidRPr="000435F2">
        <w:rPr>
          <w:lang w:val="en-US"/>
        </w:rPr>
        <w:t>orture</w:t>
      </w:r>
      <w:r>
        <w:rPr>
          <w:lang w:val="en-US"/>
        </w:rPr>
        <w:t xml:space="preserve"> or</w:t>
      </w:r>
      <w:r w:rsidRPr="000435F2">
        <w:rPr>
          <w:lang w:val="en-US"/>
        </w:rPr>
        <w:t xml:space="preserve"> cruel, inhuman or degrading treatment in order to extract an admission or confession constitutes a grave violation of the </w:t>
      </w:r>
      <w:r>
        <w:rPr>
          <w:lang w:val="en-US"/>
        </w:rPr>
        <w:t xml:space="preserve">child’s </w:t>
      </w:r>
      <w:r w:rsidRPr="000435F2">
        <w:rPr>
          <w:lang w:val="en-US"/>
        </w:rPr>
        <w:t>rights (</w:t>
      </w:r>
      <w:r w:rsidRPr="008B620C">
        <w:rPr>
          <w:lang w:val="en-US"/>
        </w:rPr>
        <w:t>C</w:t>
      </w:r>
      <w:r>
        <w:rPr>
          <w:lang w:val="en-US"/>
        </w:rPr>
        <w:t>onvention on the Rights of the Child,</w:t>
      </w:r>
      <w:r w:rsidRPr="008B620C">
        <w:rPr>
          <w:lang w:val="en-US"/>
        </w:rPr>
        <w:t xml:space="preserve"> art. 37</w:t>
      </w:r>
      <w:r>
        <w:rPr>
          <w:lang w:val="en-US"/>
        </w:rPr>
        <w:t> </w:t>
      </w:r>
      <w:r w:rsidRPr="008B620C">
        <w:rPr>
          <w:lang w:val="en-US"/>
        </w:rPr>
        <w:t>(a)).</w:t>
      </w:r>
      <w:r>
        <w:rPr>
          <w:lang w:val="en-US"/>
        </w:rPr>
        <w:t xml:space="preserve"> Any</w:t>
      </w:r>
      <w:r w:rsidRPr="008B620C">
        <w:rPr>
          <w:lang w:val="en-US"/>
        </w:rPr>
        <w:t xml:space="preserve"> </w:t>
      </w:r>
      <w:r>
        <w:rPr>
          <w:lang w:val="en-US"/>
        </w:rPr>
        <w:t>s</w:t>
      </w:r>
      <w:r w:rsidRPr="008B620C">
        <w:rPr>
          <w:lang w:val="en-US"/>
        </w:rPr>
        <w:t xml:space="preserve">uch admission or confession </w:t>
      </w:r>
      <w:r>
        <w:rPr>
          <w:lang w:val="en-US"/>
        </w:rPr>
        <w:t>is in</w:t>
      </w:r>
      <w:r w:rsidRPr="008B620C">
        <w:rPr>
          <w:lang w:val="en-US"/>
        </w:rPr>
        <w:t>admissible as evidence (Convention against Torture</w:t>
      </w:r>
      <w:r>
        <w:rPr>
          <w:lang w:val="en-US"/>
        </w:rPr>
        <w:t xml:space="preserve"> and Other Cruel, Inhuman or Degrading Treatment or Punishment, art. 15</w:t>
      </w:r>
      <w:r w:rsidRPr="008B620C">
        <w:rPr>
          <w:lang w:val="en-US"/>
        </w:rPr>
        <w:t>).</w:t>
      </w:r>
    </w:p>
    <w:p w14:paraId="50D9ECBA" w14:textId="77777777" w:rsidR="00FE4078" w:rsidRPr="000435F2" w:rsidRDefault="00FE4078" w:rsidP="002D64A9">
      <w:pPr>
        <w:pStyle w:val="SingleTxtG"/>
        <w:rPr>
          <w:lang w:val="en-US"/>
        </w:rPr>
      </w:pPr>
      <w:r>
        <w:rPr>
          <w:lang w:val="en-US"/>
        </w:rPr>
        <w:t>59.</w:t>
      </w:r>
      <w:r>
        <w:rPr>
          <w:lang w:val="en-US"/>
        </w:rPr>
        <w:tab/>
        <w:t>C</w:t>
      </w:r>
      <w:r w:rsidRPr="000435F2">
        <w:rPr>
          <w:lang w:val="en-US"/>
        </w:rPr>
        <w:t>oerc</w:t>
      </w:r>
      <w:r>
        <w:rPr>
          <w:lang w:val="en-US"/>
        </w:rPr>
        <w:t xml:space="preserve">ion </w:t>
      </w:r>
      <w:r w:rsidRPr="000435F2">
        <w:rPr>
          <w:lang w:val="en-US"/>
        </w:rPr>
        <w:t>lead</w:t>
      </w:r>
      <w:r>
        <w:rPr>
          <w:lang w:val="en-US"/>
        </w:rPr>
        <w:t>ing a</w:t>
      </w:r>
      <w:r w:rsidRPr="000435F2">
        <w:rPr>
          <w:lang w:val="en-US"/>
        </w:rPr>
        <w:t xml:space="preserve"> child to a confession or self-incriminatory testimon</w:t>
      </w:r>
      <w:r>
        <w:rPr>
          <w:lang w:val="en-US"/>
        </w:rPr>
        <w:t>y is impermissible</w:t>
      </w:r>
      <w:r w:rsidRPr="000435F2">
        <w:rPr>
          <w:lang w:val="en-US"/>
        </w:rPr>
        <w:t xml:space="preserve">. </w:t>
      </w:r>
      <w:r>
        <w:rPr>
          <w:lang w:val="en-US"/>
        </w:rPr>
        <w:t xml:space="preserve">The term </w:t>
      </w:r>
      <w:r w:rsidRPr="000435F2">
        <w:rPr>
          <w:lang w:val="en-US"/>
        </w:rPr>
        <w:t>“</w:t>
      </w:r>
      <w:r>
        <w:rPr>
          <w:lang w:val="en-US"/>
        </w:rPr>
        <w:t>c</w:t>
      </w:r>
      <w:r w:rsidRPr="000435F2">
        <w:rPr>
          <w:lang w:val="en-US"/>
        </w:rPr>
        <w:t>ompelled” should be interpreted broad</w:t>
      </w:r>
      <w:r>
        <w:rPr>
          <w:lang w:val="en-US"/>
        </w:rPr>
        <w:t>ly</w:t>
      </w:r>
      <w:r w:rsidRPr="000435F2">
        <w:rPr>
          <w:lang w:val="en-US"/>
        </w:rPr>
        <w:t xml:space="preserve"> and not be limited to physical force. The </w:t>
      </w:r>
      <w:r>
        <w:rPr>
          <w:lang w:val="en-US"/>
        </w:rPr>
        <w:t xml:space="preserve">risk of false confession is increased by the </w:t>
      </w:r>
      <w:r w:rsidRPr="000435F2">
        <w:rPr>
          <w:lang w:val="en-US"/>
        </w:rPr>
        <w:t>child’s</w:t>
      </w:r>
      <w:r>
        <w:rPr>
          <w:lang w:val="en-US"/>
        </w:rPr>
        <w:t xml:space="preserve"> age and</w:t>
      </w:r>
      <w:r w:rsidRPr="000435F2">
        <w:rPr>
          <w:lang w:val="en-US"/>
        </w:rPr>
        <w:t xml:space="preserve"> development, lack of understanding, </w:t>
      </w:r>
      <w:r>
        <w:rPr>
          <w:lang w:val="en-US"/>
        </w:rPr>
        <w:t xml:space="preserve">and </w:t>
      </w:r>
      <w:r w:rsidRPr="000435F2">
        <w:rPr>
          <w:lang w:val="en-US"/>
        </w:rPr>
        <w:t>fear of unknown consequences</w:t>
      </w:r>
      <w:r>
        <w:rPr>
          <w:lang w:val="en-US"/>
        </w:rPr>
        <w:t xml:space="preserve">, including a suggested </w:t>
      </w:r>
      <w:r w:rsidRPr="000435F2">
        <w:rPr>
          <w:lang w:val="en-US"/>
        </w:rPr>
        <w:t>possibility of imprisonment</w:t>
      </w:r>
      <w:r>
        <w:rPr>
          <w:lang w:val="en-US"/>
        </w:rPr>
        <w:t>, as well as by the length and circumstances of the questioning.</w:t>
      </w:r>
    </w:p>
    <w:p w14:paraId="535B6CCB" w14:textId="77777777" w:rsidR="00FE4078" w:rsidRPr="000435F2" w:rsidRDefault="00FE4078" w:rsidP="002D64A9">
      <w:pPr>
        <w:pStyle w:val="SingleTxtG"/>
        <w:rPr>
          <w:lang w:val="en-US"/>
        </w:rPr>
      </w:pPr>
      <w:r>
        <w:rPr>
          <w:lang w:val="en-US"/>
        </w:rPr>
        <w:t>60.</w:t>
      </w:r>
      <w:r>
        <w:rPr>
          <w:lang w:val="en-US"/>
        </w:rPr>
        <w:tab/>
      </w:r>
      <w:r w:rsidRPr="000435F2">
        <w:rPr>
          <w:lang w:val="en-US"/>
        </w:rPr>
        <w:t xml:space="preserve">The child </w:t>
      </w:r>
      <w:r>
        <w:rPr>
          <w:lang w:val="en-US"/>
        </w:rPr>
        <w:t xml:space="preserve">must </w:t>
      </w:r>
      <w:r w:rsidRPr="000435F2">
        <w:rPr>
          <w:lang w:val="en-US"/>
        </w:rPr>
        <w:t xml:space="preserve">have access to legal or other appropriate assistance, and </w:t>
      </w:r>
      <w:r>
        <w:rPr>
          <w:lang w:val="en-US"/>
        </w:rPr>
        <w:t>should be supported by a parent, legal guardian or other appropriate adult</w:t>
      </w:r>
      <w:r w:rsidRPr="000435F2">
        <w:rPr>
          <w:lang w:val="en-US"/>
        </w:rPr>
        <w:t xml:space="preserve"> during questioning. The court or other judicial body, when considering the voluntar</w:t>
      </w:r>
      <w:r>
        <w:rPr>
          <w:lang w:val="en-US"/>
        </w:rPr>
        <w:t>iness</w:t>
      </w:r>
      <w:r w:rsidRPr="000435F2">
        <w:rPr>
          <w:lang w:val="en-US"/>
        </w:rPr>
        <w:t xml:space="preserve"> and reliability of an admission or confession by a child, </w:t>
      </w:r>
      <w:r>
        <w:rPr>
          <w:lang w:val="en-US"/>
        </w:rPr>
        <w:t xml:space="preserve">should </w:t>
      </w:r>
      <w:r w:rsidRPr="000435F2">
        <w:rPr>
          <w:lang w:val="en-US"/>
        </w:rPr>
        <w:t>take</w:t>
      </w:r>
      <w:r>
        <w:rPr>
          <w:lang w:val="en-US"/>
        </w:rPr>
        <w:t xml:space="preserve"> all factors</w:t>
      </w:r>
      <w:r w:rsidRPr="000435F2">
        <w:rPr>
          <w:lang w:val="en-US"/>
        </w:rPr>
        <w:t xml:space="preserve"> </w:t>
      </w:r>
      <w:r w:rsidRPr="002D64A9">
        <w:t>into</w:t>
      </w:r>
      <w:r w:rsidRPr="000435F2">
        <w:rPr>
          <w:lang w:val="en-US"/>
        </w:rPr>
        <w:t xml:space="preserve"> account</w:t>
      </w:r>
      <w:r>
        <w:rPr>
          <w:lang w:val="en-US"/>
        </w:rPr>
        <w:t>, including</w:t>
      </w:r>
      <w:r w:rsidRPr="000435F2">
        <w:rPr>
          <w:lang w:val="en-US"/>
        </w:rPr>
        <w:t xml:space="preserve"> the </w:t>
      </w:r>
      <w:r>
        <w:rPr>
          <w:lang w:val="en-US"/>
        </w:rPr>
        <w:t xml:space="preserve">child’s </w:t>
      </w:r>
      <w:r w:rsidRPr="000435F2">
        <w:rPr>
          <w:lang w:val="en-US"/>
        </w:rPr>
        <w:t>age</w:t>
      </w:r>
      <w:r>
        <w:rPr>
          <w:lang w:val="en-US"/>
        </w:rPr>
        <w:t xml:space="preserve"> and maturity</w:t>
      </w:r>
      <w:r w:rsidRPr="000435F2">
        <w:rPr>
          <w:lang w:val="en-US"/>
        </w:rPr>
        <w:t xml:space="preserve">, the length of </w:t>
      </w:r>
      <w:r>
        <w:rPr>
          <w:lang w:val="en-US"/>
        </w:rPr>
        <w:t xml:space="preserve">questioning or </w:t>
      </w:r>
      <w:r w:rsidRPr="000435F2">
        <w:rPr>
          <w:lang w:val="en-US"/>
        </w:rPr>
        <w:t xml:space="preserve">custody and the presence of legal </w:t>
      </w:r>
      <w:r>
        <w:rPr>
          <w:lang w:val="en-US"/>
        </w:rPr>
        <w:t>or other independent assistance and of</w:t>
      </w:r>
      <w:r w:rsidRPr="000435F2">
        <w:rPr>
          <w:lang w:val="en-US"/>
        </w:rPr>
        <w:t xml:space="preserve"> </w:t>
      </w:r>
      <w:r>
        <w:rPr>
          <w:lang w:val="en-US"/>
        </w:rPr>
        <w:t xml:space="preserve">the </w:t>
      </w:r>
      <w:r w:rsidRPr="000435F2">
        <w:rPr>
          <w:lang w:val="en-US"/>
        </w:rPr>
        <w:t>parent(s)</w:t>
      </w:r>
      <w:r>
        <w:rPr>
          <w:lang w:val="en-US"/>
        </w:rPr>
        <w:t>, guardian or</w:t>
      </w:r>
      <w:r w:rsidRPr="000435F2">
        <w:rPr>
          <w:lang w:val="en-US"/>
        </w:rPr>
        <w:t xml:space="preserve"> </w:t>
      </w:r>
      <w:r>
        <w:rPr>
          <w:lang w:val="en-US"/>
        </w:rPr>
        <w:t>appropriate adult</w:t>
      </w:r>
      <w:r w:rsidRPr="000435F2">
        <w:rPr>
          <w:lang w:val="en-US"/>
        </w:rPr>
        <w:t xml:space="preserve">. Police officers and other investigating authorities should be well trained to avoid </w:t>
      </w:r>
      <w:r>
        <w:rPr>
          <w:lang w:val="en-US"/>
        </w:rPr>
        <w:t xml:space="preserve">questioning </w:t>
      </w:r>
      <w:r w:rsidRPr="000435F2">
        <w:rPr>
          <w:lang w:val="en-US"/>
        </w:rPr>
        <w:t>techniques and practices that result in coerced or unreliable confessions or testimonies</w:t>
      </w:r>
      <w:r>
        <w:rPr>
          <w:lang w:val="en-US"/>
        </w:rPr>
        <w:t>, and audiovisual techniques should be used where possible</w:t>
      </w:r>
      <w:r w:rsidRPr="000435F2">
        <w:rPr>
          <w:lang w:val="en-US"/>
        </w:rPr>
        <w:t>.</w:t>
      </w:r>
    </w:p>
    <w:p w14:paraId="75697DB0" w14:textId="77777777" w:rsidR="00FE4078" w:rsidRPr="000435F2" w:rsidRDefault="00FE4078" w:rsidP="004E782F">
      <w:pPr>
        <w:pStyle w:val="H23G"/>
      </w:pPr>
      <w:r w:rsidRPr="000435F2">
        <w:tab/>
      </w:r>
      <w:r w:rsidRPr="000435F2">
        <w:tab/>
        <w:t>Presence and examination of witnesses (art. 40 (2) (b) (iv))</w:t>
      </w:r>
    </w:p>
    <w:p w14:paraId="6B07AFE3" w14:textId="77777777" w:rsidR="00FE4078" w:rsidRPr="000435F2" w:rsidRDefault="00FE4078" w:rsidP="002D64A9">
      <w:pPr>
        <w:pStyle w:val="SingleTxtG"/>
        <w:rPr>
          <w:lang w:val="en-US"/>
        </w:rPr>
      </w:pPr>
      <w:r>
        <w:rPr>
          <w:lang w:val="en-US"/>
        </w:rPr>
        <w:t>61.</w:t>
      </w:r>
      <w:r>
        <w:rPr>
          <w:lang w:val="en-US"/>
        </w:rPr>
        <w:tab/>
        <w:t xml:space="preserve">Children have the right to examine witnesses who testify against them and to involve witnesses to support their </w:t>
      </w:r>
      <w:r>
        <w:rPr>
          <w:lang w:val="en-US"/>
        </w:rPr>
        <w:lastRenderedPageBreak/>
        <w:t>defence, and child justice processes should favour the child’s participation, under conditions of equality, with legal assistance.</w:t>
      </w:r>
    </w:p>
    <w:p w14:paraId="20F3877C" w14:textId="77777777" w:rsidR="00FE4078" w:rsidRPr="000435F2" w:rsidRDefault="00FE4078" w:rsidP="00702C9E">
      <w:pPr>
        <w:pStyle w:val="H23G"/>
      </w:pPr>
      <w:r>
        <w:tab/>
      </w:r>
      <w:r>
        <w:tab/>
      </w:r>
      <w:r>
        <w:tab/>
        <w:t>R</w:t>
      </w:r>
      <w:r w:rsidRPr="000435F2">
        <w:t xml:space="preserve">ight </w:t>
      </w:r>
      <w:r>
        <w:t xml:space="preserve">of review </w:t>
      </w:r>
      <w:r w:rsidRPr="00702C9E">
        <w:t>or</w:t>
      </w:r>
      <w:r>
        <w:t xml:space="preserve"> </w:t>
      </w:r>
      <w:r w:rsidRPr="000435F2">
        <w:t>appeal (art. 40 (2) (b) (v))</w:t>
      </w:r>
    </w:p>
    <w:p w14:paraId="39A168CE" w14:textId="77777777" w:rsidR="00FE4078" w:rsidRPr="000435F2" w:rsidRDefault="00FE4078" w:rsidP="002D64A9">
      <w:pPr>
        <w:pStyle w:val="SingleTxtG"/>
        <w:rPr>
          <w:lang w:val="en-US"/>
        </w:rPr>
      </w:pPr>
      <w:r>
        <w:rPr>
          <w:lang w:val="en-US"/>
        </w:rPr>
        <w:t>62.</w:t>
      </w:r>
      <w:r>
        <w:rPr>
          <w:lang w:val="en-US"/>
        </w:rPr>
        <w:tab/>
      </w:r>
      <w:r w:rsidRPr="000435F2">
        <w:rPr>
          <w:lang w:val="en-US"/>
        </w:rPr>
        <w:t xml:space="preserve">The child has the right to </w:t>
      </w:r>
      <w:r>
        <w:rPr>
          <w:lang w:val="en-US"/>
        </w:rPr>
        <w:t xml:space="preserve">have any finding of guilt or the </w:t>
      </w:r>
      <w:r w:rsidRPr="000435F2">
        <w:rPr>
          <w:lang w:val="en-US"/>
        </w:rPr>
        <w:t>measures imposed</w:t>
      </w:r>
      <w:r>
        <w:rPr>
          <w:lang w:val="en-US"/>
        </w:rPr>
        <w:t xml:space="preserve"> reviewed</w:t>
      </w:r>
      <w:r w:rsidRPr="000435F2">
        <w:rPr>
          <w:lang w:val="en-US"/>
        </w:rPr>
        <w:t xml:space="preserve"> by a higher competent, independent and impartial authority or judicial body. This right of </w:t>
      </w:r>
      <w:r>
        <w:rPr>
          <w:lang w:val="en-US"/>
        </w:rPr>
        <w:t xml:space="preserve">review </w:t>
      </w:r>
      <w:r w:rsidRPr="000435F2">
        <w:rPr>
          <w:lang w:val="en-US"/>
        </w:rPr>
        <w:t>is not limited to the most serious offences</w:t>
      </w:r>
      <w:r>
        <w:rPr>
          <w:lang w:val="en-US"/>
        </w:rPr>
        <w:t>. States parties should consider introducing automatic measures of review, particularly in cases that result in criminal records or deprivation of liberty. Furthermore, access to justice requires a broader interpretation, allowing reviews or appeals on any procedural or substantive misdirection, and ensuring that effective remedies are available.</w:t>
      </w:r>
      <w:r>
        <w:rPr>
          <w:rStyle w:val="FootnoteReference"/>
          <w:lang w:val="en-US"/>
        </w:rPr>
        <w:footnoteReference w:id="20"/>
      </w:r>
      <w:r>
        <w:rPr>
          <w:lang w:val="en-US"/>
        </w:rPr>
        <w:t xml:space="preserve"> </w:t>
      </w:r>
    </w:p>
    <w:p w14:paraId="003E68A1" w14:textId="77777777" w:rsidR="00FE4078" w:rsidRPr="000435F2" w:rsidRDefault="00FE4078" w:rsidP="002D64A9">
      <w:pPr>
        <w:pStyle w:val="SingleTxtG"/>
        <w:rPr>
          <w:lang w:val="en-US"/>
        </w:rPr>
      </w:pPr>
      <w:r>
        <w:rPr>
          <w:lang w:val="en-US"/>
        </w:rPr>
        <w:t>63.</w:t>
      </w:r>
      <w:r>
        <w:rPr>
          <w:lang w:val="en-US"/>
        </w:rPr>
        <w:tab/>
        <w:t>T</w:t>
      </w:r>
      <w:r w:rsidRPr="000435F2">
        <w:rPr>
          <w:lang w:val="en-US"/>
        </w:rPr>
        <w:t xml:space="preserve">he Committee recommends that States parties withdraw </w:t>
      </w:r>
      <w:r w:rsidRPr="002D64A9">
        <w:t>any</w:t>
      </w:r>
      <w:r>
        <w:rPr>
          <w:lang w:val="en-US"/>
        </w:rPr>
        <w:t xml:space="preserve"> </w:t>
      </w:r>
      <w:r w:rsidRPr="000435F2">
        <w:rPr>
          <w:lang w:val="en-US"/>
        </w:rPr>
        <w:t>reservation</w:t>
      </w:r>
      <w:r>
        <w:rPr>
          <w:lang w:val="en-US"/>
        </w:rPr>
        <w:t xml:space="preserve"> made in respect of article 40 (2) (b) (v)</w:t>
      </w:r>
      <w:r w:rsidRPr="000435F2">
        <w:rPr>
          <w:lang w:val="en-US"/>
        </w:rPr>
        <w:t>.</w:t>
      </w:r>
    </w:p>
    <w:p w14:paraId="75408808" w14:textId="77777777" w:rsidR="00FE4078" w:rsidRPr="000435F2" w:rsidRDefault="00FE4078" w:rsidP="004E782F">
      <w:pPr>
        <w:pStyle w:val="H23G"/>
      </w:pPr>
      <w:r w:rsidRPr="000435F2">
        <w:tab/>
      </w:r>
      <w:r w:rsidRPr="000435F2">
        <w:tab/>
        <w:t xml:space="preserve">Free assistance of an interpreter (art. 40 (2) </w:t>
      </w:r>
      <w:r>
        <w:t xml:space="preserve">(b) </w:t>
      </w:r>
      <w:r w:rsidRPr="000435F2">
        <w:t>(vi))</w:t>
      </w:r>
    </w:p>
    <w:p w14:paraId="47AF86CE" w14:textId="77777777" w:rsidR="00FE4078" w:rsidRPr="000435F2" w:rsidRDefault="00FE4078" w:rsidP="002D64A9">
      <w:pPr>
        <w:pStyle w:val="SingleTxtG"/>
        <w:rPr>
          <w:lang w:val="en-US"/>
        </w:rPr>
      </w:pPr>
      <w:r>
        <w:rPr>
          <w:lang w:val="en-US"/>
        </w:rPr>
        <w:t>64.</w:t>
      </w:r>
      <w:r>
        <w:rPr>
          <w:lang w:val="en-US"/>
        </w:rPr>
        <w:tab/>
        <w:t xml:space="preserve">A </w:t>
      </w:r>
      <w:r w:rsidRPr="000435F2">
        <w:rPr>
          <w:lang w:val="en-US"/>
        </w:rPr>
        <w:t xml:space="preserve">child </w:t>
      </w:r>
      <w:r>
        <w:rPr>
          <w:lang w:val="en-US"/>
        </w:rPr>
        <w:t xml:space="preserve">who </w:t>
      </w:r>
      <w:r w:rsidRPr="000435F2">
        <w:rPr>
          <w:lang w:val="en-US"/>
        </w:rPr>
        <w:t xml:space="preserve">cannot understand or speak the language used </w:t>
      </w:r>
      <w:r>
        <w:rPr>
          <w:lang w:val="en-US"/>
        </w:rPr>
        <w:t>in</w:t>
      </w:r>
      <w:r w:rsidRPr="000435F2">
        <w:rPr>
          <w:lang w:val="en-US"/>
        </w:rPr>
        <w:t xml:space="preserve"> the </w:t>
      </w:r>
      <w:r>
        <w:rPr>
          <w:lang w:val="en-US"/>
        </w:rPr>
        <w:t xml:space="preserve">child </w:t>
      </w:r>
      <w:r w:rsidRPr="000435F2">
        <w:rPr>
          <w:lang w:val="en-US"/>
        </w:rPr>
        <w:t xml:space="preserve">justice system has the right </w:t>
      </w:r>
      <w:r>
        <w:rPr>
          <w:lang w:val="en-US"/>
        </w:rPr>
        <w:t xml:space="preserve">to the </w:t>
      </w:r>
      <w:r w:rsidRPr="000435F2">
        <w:rPr>
          <w:lang w:val="en-US"/>
        </w:rPr>
        <w:t>free assistance of an interpreter</w:t>
      </w:r>
      <w:r>
        <w:rPr>
          <w:lang w:val="en-US"/>
        </w:rPr>
        <w:t xml:space="preserve"> </w:t>
      </w:r>
      <w:r w:rsidRPr="000435F2">
        <w:rPr>
          <w:lang w:val="en-US"/>
        </w:rPr>
        <w:t xml:space="preserve">at all stages of the process. </w:t>
      </w:r>
      <w:r>
        <w:rPr>
          <w:lang w:val="en-US"/>
        </w:rPr>
        <w:t xml:space="preserve">Such </w:t>
      </w:r>
      <w:r w:rsidRPr="000435F2">
        <w:rPr>
          <w:lang w:val="en-US"/>
        </w:rPr>
        <w:t>interpreter</w:t>
      </w:r>
      <w:r>
        <w:rPr>
          <w:lang w:val="en-US"/>
        </w:rPr>
        <w:t>s should</w:t>
      </w:r>
      <w:r w:rsidRPr="000435F2">
        <w:rPr>
          <w:lang w:val="en-US"/>
        </w:rPr>
        <w:t xml:space="preserve"> </w:t>
      </w:r>
      <w:r>
        <w:rPr>
          <w:lang w:val="en-US"/>
        </w:rPr>
        <w:t xml:space="preserve">be </w:t>
      </w:r>
      <w:r w:rsidRPr="000435F2">
        <w:rPr>
          <w:lang w:val="en-US"/>
        </w:rPr>
        <w:t>trained to work with children</w:t>
      </w:r>
      <w:r>
        <w:rPr>
          <w:lang w:val="en-US"/>
        </w:rPr>
        <w:t>.</w:t>
      </w:r>
    </w:p>
    <w:p w14:paraId="33D36447" w14:textId="77777777" w:rsidR="00FE4078" w:rsidRPr="000435F2" w:rsidRDefault="00FE4078" w:rsidP="002D64A9">
      <w:pPr>
        <w:pStyle w:val="SingleTxtG"/>
        <w:rPr>
          <w:lang w:val="en-US"/>
        </w:rPr>
      </w:pPr>
      <w:r>
        <w:rPr>
          <w:lang w:val="en-US"/>
        </w:rPr>
        <w:t>65.</w:t>
      </w:r>
      <w:r>
        <w:rPr>
          <w:lang w:val="en-US"/>
        </w:rPr>
        <w:tab/>
      </w:r>
      <w:r w:rsidRPr="000435F2">
        <w:rPr>
          <w:lang w:val="en-US"/>
        </w:rPr>
        <w:t xml:space="preserve">States parties </w:t>
      </w:r>
      <w:r>
        <w:rPr>
          <w:lang w:val="en-US"/>
        </w:rPr>
        <w:t>should provide</w:t>
      </w:r>
      <w:r w:rsidRPr="000435F2">
        <w:rPr>
          <w:lang w:val="en-US"/>
        </w:rPr>
        <w:t xml:space="preserve"> adequate and effective assistance</w:t>
      </w:r>
      <w:r>
        <w:rPr>
          <w:lang w:val="en-US"/>
        </w:rPr>
        <w:t xml:space="preserve"> by well-trained professionals to children who experience communication </w:t>
      </w:r>
      <w:r w:rsidRPr="002D64A9">
        <w:t>barriers</w:t>
      </w:r>
      <w:r>
        <w:rPr>
          <w:lang w:val="en-US"/>
        </w:rPr>
        <w:t>.</w:t>
      </w:r>
    </w:p>
    <w:p w14:paraId="4FBAD0A8" w14:textId="77777777" w:rsidR="00FE4078" w:rsidRPr="000435F2" w:rsidRDefault="00FE4078" w:rsidP="00702C9E">
      <w:pPr>
        <w:pStyle w:val="H23G"/>
      </w:pPr>
      <w:r>
        <w:tab/>
      </w:r>
      <w:r>
        <w:tab/>
      </w:r>
      <w:r>
        <w:tab/>
      </w:r>
      <w:r w:rsidRPr="000435F2">
        <w:t>Full respect of privacy (</w:t>
      </w:r>
      <w:r w:rsidRPr="00702C9E">
        <w:t>arts</w:t>
      </w:r>
      <w:r w:rsidRPr="000435F2">
        <w:t>. 16 and 40 (2) (b) (vii))</w:t>
      </w:r>
    </w:p>
    <w:p w14:paraId="4CE3A734" w14:textId="77777777" w:rsidR="00FE4078" w:rsidRPr="002D64A9" w:rsidRDefault="00FE4078" w:rsidP="00F32D62">
      <w:pPr>
        <w:pStyle w:val="SingleTxtG"/>
      </w:pPr>
      <w:r>
        <w:rPr>
          <w:lang w:val="en-US"/>
        </w:rPr>
        <w:t>66.</w:t>
      </w:r>
      <w:r>
        <w:rPr>
          <w:lang w:val="en-US"/>
        </w:rPr>
        <w:tab/>
      </w:r>
      <w:r w:rsidRPr="000435F2">
        <w:rPr>
          <w:lang w:val="en-US"/>
        </w:rPr>
        <w:t>The right of a child to have his</w:t>
      </w:r>
      <w:r>
        <w:rPr>
          <w:lang w:val="en-US"/>
        </w:rPr>
        <w:t xml:space="preserve"> or </w:t>
      </w:r>
      <w:r w:rsidRPr="000435F2">
        <w:rPr>
          <w:lang w:val="en-US"/>
        </w:rPr>
        <w:t>her privacy fully respected during all stages of the proceedings</w:t>
      </w:r>
      <w:r>
        <w:rPr>
          <w:lang w:val="en-US"/>
        </w:rPr>
        <w:t xml:space="preserve">, set out in article 40 (2) (b) (vii), should be </w:t>
      </w:r>
      <w:r w:rsidRPr="002D64A9">
        <w:t>read with articles 16 and 40</w:t>
      </w:r>
      <w:r>
        <w:t> </w:t>
      </w:r>
      <w:r w:rsidRPr="002D64A9">
        <w:t>(1).</w:t>
      </w:r>
      <w:r>
        <w:t xml:space="preserve"> </w:t>
      </w:r>
    </w:p>
    <w:p w14:paraId="54925E7D" w14:textId="77777777" w:rsidR="00FE4078" w:rsidRPr="002D64A9" w:rsidRDefault="00FE4078" w:rsidP="002D64A9">
      <w:pPr>
        <w:pStyle w:val="SingleTxtG"/>
      </w:pPr>
      <w:r>
        <w:t>67.</w:t>
      </w:r>
      <w:r>
        <w:tab/>
      </w:r>
      <w:r w:rsidRPr="002D64A9">
        <w:t xml:space="preserve">States parties should respect the rule that child justice hearings </w:t>
      </w:r>
      <w:r>
        <w:t xml:space="preserve">are to </w:t>
      </w:r>
      <w:r w:rsidRPr="002D64A9">
        <w:t>be conducted behind closed doors. Exceptions should be very limited and clearly stated in the law. If the verdict</w:t>
      </w:r>
      <w:r>
        <w:t xml:space="preserve"> and</w:t>
      </w:r>
      <w:r w:rsidRPr="002D64A9">
        <w:t>/</w:t>
      </w:r>
      <w:r>
        <w:t xml:space="preserve">or </w:t>
      </w:r>
      <w:r w:rsidRPr="002D64A9">
        <w:t xml:space="preserve">sentence is pronounced in public at a court session, the identity of the child </w:t>
      </w:r>
      <w:r>
        <w:t>should not be</w:t>
      </w:r>
      <w:r w:rsidRPr="002D64A9">
        <w:t xml:space="preserve"> revealed. Furthermore, the right to privacy also means that the court files and records of children s should be kept strictly confidential and closed to third parties except for those directly involved in the investigation and adjudication of, and the ruling on, the case.</w:t>
      </w:r>
    </w:p>
    <w:p w14:paraId="0E3FD122" w14:textId="77777777" w:rsidR="00FE4078" w:rsidRPr="002D64A9" w:rsidRDefault="00FE4078" w:rsidP="002D64A9">
      <w:pPr>
        <w:pStyle w:val="SingleTxtG"/>
      </w:pPr>
      <w:r>
        <w:lastRenderedPageBreak/>
        <w:t>68.</w:t>
      </w:r>
      <w:r>
        <w:tab/>
      </w:r>
      <w:r w:rsidRPr="002D64A9" w:rsidDel="00E84727">
        <w:t>Case</w:t>
      </w:r>
      <w:r>
        <w:t>-</w:t>
      </w:r>
      <w:r w:rsidRPr="002D64A9" w:rsidDel="00E84727">
        <w:t>law reports relating to children should be anonymous, and such reports placed online should adhere to this rule.</w:t>
      </w:r>
    </w:p>
    <w:p w14:paraId="4146B229" w14:textId="77777777" w:rsidR="00FE4078" w:rsidRDefault="00FE4078" w:rsidP="002D64A9">
      <w:pPr>
        <w:pStyle w:val="SingleTxtG"/>
        <w:rPr>
          <w:lang w:val="en-US"/>
        </w:rPr>
      </w:pPr>
      <w:r>
        <w:t>69.</w:t>
      </w:r>
      <w:r>
        <w:tab/>
      </w:r>
      <w:r w:rsidRPr="002D64A9">
        <w:t xml:space="preserve">The Committee recommends that States refrain from listing </w:t>
      </w:r>
      <w:r>
        <w:t xml:space="preserve">the </w:t>
      </w:r>
      <w:r w:rsidRPr="002D64A9">
        <w:t>details of any child, or person who was a child at the time of the commission of the offence, in any public register of offenders. The inclusion of such</w:t>
      </w:r>
      <w:r>
        <w:rPr>
          <w:lang w:val="en-US"/>
        </w:rPr>
        <w:t xml:space="preserve"> details in other registers that are not public but impede access to opportunities for reintegration should be avoided.</w:t>
      </w:r>
    </w:p>
    <w:p w14:paraId="502D9A32" w14:textId="77777777" w:rsidR="00FE4078" w:rsidRDefault="00FE4078" w:rsidP="002D64A9">
      <w:pPr>
        <w:pStyle w:val="SingleTxtG"/>
        <w:rPr>
          <w:lang w:val="en-US"/>
        </w:rPr>
      </w:pPr>
      <w:r>
        <w:rPr>
          <w:lang w:val="en-US"/>
        </w:rPr>
        <w:t>70.</w:t>
      </w:r>
      <w:r>
        <w:rPr>
          <w:lang w:val="en-US"/>
        </w:rPr>
        <w:tab/>
        <w:t>In the Committee’s view, there should be lifelong protection from publication regarding crimes committed by children.</w:t>
      </w:r>
      <w:r w:rsidRPr="000435F2">
        <w:rPr>
          <w:lang w:val="en-US"/>
        </w:rPr>
        <w:t xml:space="preserve"> The rationale for the non</w:t>
      </w:r>
      <w:r>
        <w:rPr>
          <w:lang w:val="en-US"/>
        </w:rPr>
        <w:t>-</w:t>
      </w:r>
      <w:r w:rsidRPr="000435F2">
        <w:rPr>
          <w:lang w:val="en-US"/>
        </w:rPr>
        <w:t>publication rule, and</w:t>
      </w:r>
      <w:r>
        <w:rPr>
          <w:lang w:val="en-US"/>
        </w:rPr>
        <w:t xml:space="preserve"> for</w:t>
      </w:r>
      <w:r w:rsidRPr="000435F2">
        <w:rPr>
          <w:lang w:val="en-US"/>
        </w:rPr>
        <w:t xml:space="preserve"> its continuation</w:t>
      </w:r>
      <w:r>
        <w:rPr>
          <w:lang w:val="en-US"/>
        </w:rPr>
        <w:t xml:space="preserve"> after the child reaches the age of 18</w:t>
      </w:r>
      <w:r w:rsidRPr="000435F2">
        <w:rPr>
          <w:lang w:val="en-US"/>
        </w:rPr>
        <w:t>, is that publication causes ongoing stigmatization, which is likely to have a negative impact on</w:t>
      </w:r>
      <w:r>
        <w:rPr>
          <w:lang w:val="en-US"/>
        </w:rPr>
        <w:t xml:space="preserve"> </w:t>
      </w:r>
      <w:r w:rsidRPr="000435F2">
        <w:rPr>
          <w:lang w:val="en-US"/>
        </w:rPr>
        <w:t>access to education, work, housing or safe</w:t>
      </w:r>
      <w:r>
        <w:rPr>
          <w:lang w:val="en-US"/>
        </w:rPr>
        <w:t>ty. This impedes</w:t>
      </w:r>
      <w:r w:rsidRPr="000435F2">
        <w:rPr>
          <w:lang w:val="en-US"/>
        </w:rPr>
        <w:t xml:space="preserve"> the child’s reintegration and assumption of a constructive role in society. </w:t>
      </w:r>
      <w:r>
        <w:rPr>
          <w:lang w:val="en-US"/>
        </w:rPr>
        <w:t>States parties should thus ensure that the general rule is lifelong privacy protection pertaining to all types of media, including social media.</w:t>
      </w:r>
      <w:r w:rsidRPr="000435F2" w:rsidDel="003D3774">
        <w:rPr>
          <w:lang w:val="en-US"/>
        </w:rPr>
        <w:t xml:space="preserve"> </w:t>
      </w:r>
    </w:p>
    <w:p w14:paraId="00815F10" w14:textId="77777777" w:rsidR="00FE4078" w:rsidRPr="000435F2" w:rsidRDefault="00FE4078" w:rsidP="002D64A9">
      <w:pPr>
        <w:pStyle w:val="SingleTxtG"/>
        <w:rPr>
          <w:lang w:val="en-US"/>
        </w:rPr>
      </w:pPr>
      <w:r>
        <w:rPr>
          <w:lang w:val="en-US"/>
        </w:rPr>
        <w:t>71.</w:t>
      </w:r>
      <w:r>
        <w:rPr>
          <w:lang w:val="en-US"/>
        </w:rPr>
        <w:tab/>
      </w:r>
      <w:r w:rsidRPr="000435F2">
        <w:rPr>
          <w:lang w:val="en-US"/>
        </w:rPr>
        <w:t xml:space="preserve">Furthermore, the Committee recommends </w:t>
      </w:r>
      <w:r>
        <w:rPr>
          <w:lang w:val="en-US"/>
        </w:rPr>
        <w:t>that</w:t>
      </w:r>
      <w:r w:rsidRPr="000435F2">
        <w:rPr>
          <w:lang w:val="en-US"/>
        </w:rPr>
        <w:t xml:space="preserve"> State</w:t>
      </w:r>
      <w:r>
        <w:rPr>
          <w:lang w:val="en-US"/>
        </w:rPr>
        <w:t>s</w:t>
      </w:r>
      <w:r w:rsidRPr="000435F2">
        <w:rPr>
          <w:lang w:val="en-US"/>
        </w:rPr>
        <w:t xml:space="preserve"> parties introduce rules permitting</w:t>
      </w:r>
      <w:r>
        <w:rPr>
          <w:lang w:val="en-US"/>
        </w:rPr>
        <w:t xml:space="preserve"> the</w:t>
      </w:r>
      <w:r w:rsidRPr="000435F2">
        <w:rPr>
          <w:lang w:val="en-US"/>
        </w:rPr>
        <w:t xml:space="preserve"> removal</w:t>
      </w:r>
      <w:r>
        <w:rPr>
          <w:lang w:val="en-US"/>
        </w:rPr>
        <w:t xml:space="preserve"> of children’s criminal records when they reach the age of 18, automatically or, in </w:t>
      </w:r>
      <w:r w:rsidRPr="002D64A9">
        <w:t>exceptional</w:t>
      </w:r>
      <w:r>
        <w:rPr>
          <w:lang w:val="en-US"/>
        </w:rPr>
        <w:t xml:space="preserve"> cases, following independent review.</w:t>
      </w:r>
      <w:r w:rsidRPr="000435F2">
        <w:rPr>
          <w:lang w:val="en-US"/>
        </w:rPr>
        <w:t xml:space="preserve"> </w:t>
      </w:r>
    </w:p>
    <w:p w14:paraId="7E2895B1" w14:textId="77777777" w:rsidR="00FE4078" w:rsidRPr="000435F2" w:rsidRDefault="00FE4078" w:rsidP="004E782F">
      <w:pPr>
        <w:pStyle w:val="H1G"/>
      </w:pPr>
      <w:r w:rsidRPr="000435F2">
        <w:tab/>
        <w:t>E.</w:t>
      </w:r>
      <w:r w:rsidRPr="000435F2">
        <w:tab/>
        <w:t>Measures</w:t>
      </w:r>
      <w:r w:rsidRPr="0075567E">
        <w:rPr>
          <w:rStyle w:val="FootnoteReference"/>
          <w:b w:val="0"/>
          <w:bCs/>
        </w:rPr>
        <w:footnoteReference w:id="21"/>
      </w:r>
      <w:r w:rsidRPr="000435F2">
        <w:t xml:space="preserve"> </w:t>
      </w:r>
    </w:p>
    <w:p w14:paraId="76039FEF" w14:textId="77777777" w:rsidR="00FE4078" w:rsidRPr="000435F2" w:rsidRDefault="00FE4078" w:rsidP="004E782F">
      <w:pPr>
        <w:pStyle w:val="H23G"/>
      </w:pPr>
      <w:r w:rsidRPr="000435F2">
        <w:tab/>
      </w:r>
      <w:r w:rsidRPr="000435F2">
        <w:tab/>
        <w:t>Diversion throughout the proceedings</w:t>
      </w:r>
    </w:p>
    <w:p w14:paraId="041B8A24" w14:textId="77777777" w:rsidR="00FE4078" w:rsidRPr="00431A78" w:rsidRDefault="00FE4078" w:rsidP="002D64A9">
      <w:pPr>
        <w:pStyle w:val="SingleTxtG"/>
        <w:rPr>
          <w:lang w:val="en-US"/>
        </w:rPr>
      </w:pPr>
      <w:r>
        <w:rPr>
          <w:lang w:val="en-US"/>
        </w:rPr>
        <w:t>72.</w:t>
      </w:r>
      <w:r>
        <w:rPr>
          <w:lang w:val="en-US"/>
        </w:rPr>
        <w:tab/>
      </w:r>
      <w:r w:rsidRPr="00431A78">
        <w:rPr>
          <w:lang w:val="en-US"/>
        </w:rPr>
        <w:t xml:space="preserve">The decision to bring a child into the justice system does not mean the child must go through a formal court process. In line with the observations made above in section </w:t>
      </w:r>
      <w:r>
        <w:rPr>
          <w:lang w:val="en-US"/>
        </w:rPr>
        <w:t>IV.</w:t>
      </w:r>
      <w:r w:rsidRPr="00431A78">
        <w:rPr>
          <w:lang w:val="en-US"/>
        </w:rPr>
        <w:t xml:space="preserve">B, the Committee emphasizes that the competent authorities </w:t>
      </w:r>
      <w:r>
        <w:rPr>
          <w:lang w:val="en-US"/>
        </w:rPr>
        <w:t>–</w:t>
      </w:r>
      <w:r w:rsidRPr="00431A78">
        <w:rPr>
          <w:lang w:val="en-US"/>
        </w:rPr>
        <w:t xml:space="preserve"> in most States the public prosecutor </w:t>
      </w:r>
      <w:r>
        <w:rPr>
          <w:lang w:val="en-US"/>
        </w:rPr>
        <w:t>–</w:t>
      </w:r>
      <w:r w:rsidRPr="00431A78">
        <w:rPr>
          <w:lang w:val="en-US"/>
        </w:rPr>
        <w:t xml:space="preserve"> should continuously explore the possibilities of avoiding a court process or conviction, through diversion and other </w:t>
      </w:r>
      <w:r w:rsidRPr="002D64A9">
        <w:t>measures</w:t>
      </w:r>
      <w:r w:rsidRPr="00431A78">
        <w:rPr>
          <w:lang w:val="en-US"/>
        </w:rPr>
        <w:t>. In other words, diversion options should be offered from the earliest point of contact, before a trial commences</w:t>
      </w:r>
      <w:r>
        <w:rPr>
          <w:lang w:val="en-US"/>
        </w:rPr>
        <w:t>,</w:t>
      </w:r>
      <w:r w:rsidRPr="00431A78">
        <w:rPr>
          <w:lang w:val="en-US"/>
        </w:rPr>
        <w:t xml:space="preserve"> and be available throughout the proceedings. In the process of offering diversion, the child’s human rights and legal safeguards should be fully respected, </w:t>
      </w:r>
      <w:r>
        <w:rPr>
          <w:lang w:val="en-US"/>
        </w:rPr>
        <w:t>bearing</w:t>
      </w:r>
      <w:r w:rsidRPr="00431A78">
        <w:rPr>
          <w:lang w:val="en-US"/>
        </w:rPr>
        <w:t xml:space="preserve"> in mind that the nature and duration of diversion measures may be demanding, and </w:t>
      </w:r>
      <w:r>
        <w:rPr>
          <w:lang w:val="en-US"/>
        </w:rPr>
        <w:t xml:space="preserve">that </w:t>
      </w:r>
      <w:r w:rsidRPr="00431A78">
        <w:rPr>
          <w:lang w:val="en-US"/>
        </w:rPr>
        <w:t xml:space="preserve">legal or other appropriate assistance is therefore necessary. </w:t>
      </w:r>
      <w:r>
        <w:rPr>
          <w:lang w:val="en-US"/>
        </w:rPr>
        <w:t xml:space="preserve">Diversion </w:t>
      </w:r>
      <w:r w:rsidRPr="00431A78">
        <w:rPr>
          <w:lang w:val="en-US"/>
        </w:rPr>
        <w:t xml:space="preserve">should be presented to the child as a way to suspend the formal court process, which will </w:t>
      </w:r>
      <w:r w:rsidRPr="00431A78">
        <w:rPr>
          <w:lang w:val="en-US"/>
        </w:rPr>
        <w:lastRenderedPageBreak/>
        <w:t xml:space="preserve">be terminated if the </w:t>
      </w:r>
      <w:r>
        <w:rPr>
          <w:lang w:val="en-US"/>
        </w:rPr>
        <w:t xml:space="preserve">diversion programme is </w:t>
      </w:r>
      <w:r w:rsidRPr="00431A78">
        <w:rPr>
          <w:lang w:val="en-US"/>
        </w:rPr>
        <w:t>carried out in a satisfactory manner.</w:t>
      </w:r>
    </w:p>
    <w:p w14:paraId="2F8F335D" w14:textId="77777777" w:rsidR="00FE4078" w:rsidRPr="000435F2" w:rsidRDefault="00FE4078" w:rsidP="004E782F">
      <w:pPr>
        <w:pStyle w:val="H23G"/>
      </w:pPr>
      <w:r w:rsidRPr="000435F2">
        <w:tab/>
      </w:r>
      <w:r w:rsidRPr="000435F2">
        <w:tab/>
        <w:t xml:space="preserve">Dispositions by the </w:t>
      </w:r>
      <w:r>
        <w:t>child justice court</w:t>
      </w:r>
    </w:p>
    <w:p w14:paraId="23B237AD" w14:textId="77777777" w:rsidR="00FE4078" w:rsidRPr="002D64A9" w:rsidRDefault="00FE4078" w:rsidP="002D64A9">
      <w:pPr>
        <w:pStyle w:val="SingleTxtG"/>
      </w:pPr>
      <w:r>
        <w:rPr>
          <w:lang w:val="en-US"/>
        </w:rPr>
        <w:t>73.</w:t>
      </w:r>
      <w:r>
        <w:rPr>
          <w:lang w:val="en-US"/>
        </w:rPr>
        <w:tab/>
      </w:r>
      <w:r w:rsidRPr="000435F2">
        <w:rPr>
          <w:lang w:val="en-US"/>
        </w:rPr>
        <w:t xml:space="preserve">After </w:t>
      </w:r>
      <w:r>
        <w:rPr>
          <w:lang w:val="en-US"/>
        </w:rPr>
        <w:t xml:space="preserve">proceedings </w:t>
      </w:r>
      <w:r w:rsidRPr="000435F2">
        <w:rPr>
          <w:lang w:val="en-US"/>
        </w:rPr>
        <w:t>in full compliance with article 40 of C</w:t>
      </w:r>
      <w:r>
        <w:rPr>
          <w:lang w:val="en-US"/>
        </w:rPr>
        <w:t>onvention are conducted</w:t>
      </w:r>
      <w:r w:rsidRPr="000435F2">
        <w:rPr>
          <w:lang w:val="en-US"/>
        </w:rPr>
        <w:t xml:space="preserve"> (see section </w:t>
      </w:r>
      <w:r>
        <w:rPr>
          <w:lang w:val="en-US"/>
        </w:rPr>
        <w:t>IV.</w:t>
      </w:r>
      <w:r w:rsidRPr="000435F2">
        <w:rPr>
          <w:lang w:val="en-US"/>
        </w:rPr>
        <w:t xml:space="preserve">D above), a decision </w:t>
      </w:r>
      <w:r>
        <w:rPr>
          <w:lang w:val="en-US"/>
        </w:rPr>
        <w:t xml:space="preserve">on dispositions is </w:t>
      </w:r>
      <w:r w:rsidRPr="000435F2">
        <w:rPr>
          <w:lang w:val="en-US"/>
        </w:rPr>
        <w:t xml:space="preserve">made. The laws </w:t>
      </w:r>
      <w:r>
        <w:rPr>
          <w:lang w:val="en-US"/>
        </w:rPr>
        <w:t xml:space="preserve">should contain </w:t>
      </w:r>
      <w:r w:rsidRPr="000435F2">
        <w:rPr>
          <w:lang w:val="en-US"/>
        </w:rPr>
        <w:t xml:space="preserve">a wide variety of non-custodial measures </w:t>
      </w:r>
      <w:r>
        <w:rPr>
          <w:lang w:val="en-US"/>
        </w:rPr>
        <w:t xml:space="preserve">and should expressly prioritize the use of such </w:t>
      </w:r>
      <w:r w:rsidRPr="002D64A9">
        <w:t>measures to ensure that deprivation of liberty is used only as a measure of last resort and for the shortest appropriate period of time.</w:t>
      </w:r>
    </w:p>
    <w:p w14:paraId="070EA6DE" w14:textId="77777777" w:rsidR="00FE4078" w:rsidRPr="002D64A9" w:rsidRDefault="00FE4078" w:rsidP="002D64A9">
      <w:pPr>
        <w:pStyle w:val="SingleTxtG"/>
      </w:pPr>
      <w:r>
        <w:t>74.</w:t>
      </w:r>
      <w:r>
        <w:tab/>
      </w:r>
      <w:r w:rsidRPr="002D64A9">
        <w:t>A wide range of experience with the use and implementation of non-custodial measures, including restorative justice measures</w:t>
      </w:r>
      <w:r>
        <w:t>, exists</w:t>
      </w:r>
      <w:r w:rsidRPr="002D64A9">
        <w:t>. States parties should benefit from this experience, and develop and implement such measures by adjusting them to their own culture and tradition. Measures amounting to forced labo</w:t>
      </w:r>
      <w:r>
        <w:t>u</w:t>
      </w:r>
      <w:r w:rsidRPr="002D64A9">
        <w:t xml:space="preserve">r or to torture or inhuman and degrading treatment </w:t>
      </w:r>
      <w:r>
        <w:t>are to</w:t>
      </w:r>
      <w:r w:rsidRPr="002D64A9">
        <w:t xml:space="preserve"> be explicitly prohibited and penalized.</w:t>
      </w:r>
    </w:p>
    <w:p w14:paraId="58243CE8" w14:textId="77777777" w:rsidR="00FE4078" w:rsidRPr="000435F2" w:rsidRDefault="00FE4078" w:rsidP="002D64A9">
      <w:pPr>
        <w:pStyle w:val="SingleTxtG"/>
        <w:rPr>
          <w:lang w:val="en-US"/>
        </w:rPr>
      </w:pPr>
      <w:r>
        <w:t>75.</w:t>
      </w:r>
      <w:r>
        <w:tab/>
      </w:r>
      <w:r w:rsidRPr="002D64A9">
        <w:t xml:space="preserve">The Committee reiterates that </w:t>
      </w:r>
      <w:r w:rsidRPr="00A33823">
        <w:t>corporal punishm</w:t>
      </w:r>
      <w:r w:rsidRPr="0075567E">
        <w:t>ent</w:t>
      </w:r>
      <w:r w:rsidRPr="000435F2">
        <w:rPr>
          <w:lang w:val="en-US"/>
        </w:rPr>
        <w:t xml:space="preserve"> as a sanction is a violation of article 37</w:t>
      </w:r>
      <w:r>
        <w:rPr>
          <w:lang w:val="en-US"/>
        </w:rPr>
        <w:t> (a) of the Convention,</w:t>
      </w:r>
      <w:r w:rsidRPr="000435F2">
        <w:rPr>
          <w:lang w:val="en-US"/>
        </w:rPr>
        <w:t xml:space="preserve"> which prohibits all forms of cruel, inhuman and degrading treatment or punishment (see also the </w:t>
      </w:r>
      <w:r>
        <w:rPr>
          <w:lang w:val="en-US"/>
        </w:rPr>
        <w:t>Committee’s general comment No. </w:t>
      </w:r>
      <w:r w:rsidRPr="000435F2">
        <w:rPr>
          <w:lang w:val="en-US"/>
        </w:rPr>
        <w:t xml:space="preserve">8 (2006) on the right of the child to protection from corporal punishment and other cruel or degrading forms of punishment). </w:t>
      </w:r>
    </w:p>
    <w:p w14:paraId="01417B35" w14:textId="77777777" w:rsidR="00FE4078" w:rsidRPr="002D64A9" w:rsidRDefault="00FE4078" w:rsidP="002D64A9">
      <w:pPr>
        <w:pStyle w:val="SingleTxtG"/>
      </w:pPr>
      <w:r>
        <w:rPr>
          <w:lang w:val="en-US"/>
        </w:rPr>
        <w:t>76.</w:t>
      </w:r>
      <w:r>
        <w:rPr>
          <w:lang w:val="en-US"/>
        </w:rPr>
        <w:tab/>
      </w:r>
      <w:r w:rsidRPr="000435F2">
        <w:rPr>
          <w:lang w:val="en-US"/>
        </w:rPr>
        <w:t>The Committee emphasizes that the reaction to an offence should always be proportion</w:t>
      </w:r>
      <w:r>
        <w:rPr>
          <w:lang w:val="en-US"/>
        </w:rPr>
        <w:t>ate</w:t>
      </w:r>
      <w:r w:rsidRPr="000435F2">
        <w:rPr>
          <w:lang w:val="en-US"/>
        </w:rPr>
        <w:t xml:space="preserve"> not only to the circumstances and the gravity of the offence, but also to the personal circumstances (age, lesser culpability, cir</w:t>
      </w:r>
      <w:r>
        <w:rPr>
          <w:lang w:val="en-US"/>
        </w:rPr>
        <w:t>c</w:t>
      </w:r>
      <w:r w:rsidRPr="000435F2">
        <w:rPr>
          <w:lang w:val="en-US"/>
        </w:rPr>
        <w:t>umstances and needs</w:t>
      </w:r>
      <w:r>
        <w:rPr>
          <w:lang w:val="en-US"/>
        </w:rPr>
        <w:t>,</w:t>
      </w:r>
      <w:r w:rsidRPr="000435F2">
        <w:rPr>
          <w:lang w:val="en-US"/>
        </w:rPr>
        <w:t xml:space="preserve"> including</w:t>
      </w:r>
      <w:r>
        <w:rPr>
          <w:lang w:val="en-US"/>
        </w:rPr>
        <w:t>,</w:t>
      </w:r>
      <w:r w:rsidRPr="000435F2">
        <w:rPr>
          <w:lang w:val="en-US"/>
        </w:rPr>
        <w:t xml:space="preserve"> if appropriate</w:t>
      </w:r>
      <w:r>
        <w:rPr>
          <w:lang w:val="en-US"/>
        </w:rPr>
        <w:t>,</w:t>
      </w:r>
      <w:r w:rsidRPr="000435F2">
        <w:rPr>
          <w:lang w:val="en-US"/>
        </w:rPr>
        <w:t xml:space="preserve"> the mental health needs of the child), as well as to the various and particularly long</w:t>
      </w:r>
      <w:r w:rsidRPr="000435F2">
        <w:rPr>
          <w:lang w:val="en-US"/>
        </w:rPr>
        <w:noBreakHyphen/>
        <w:t xml:space="preserve">term needs of the society. A strictly </w:t>
      </w:r>
      <w:r w:rsidRPr="002D64A9">
        <w:t>punitive approach is not in accordance with the principles of child justice spelled out in article 40 (1)</w:t>
      </w:r>
      <w:r>
        <w:t xml:space="preserve"> of the Convention</w:t>
      </w:r>
      <w:r w:rsidRPr="002D64A9">
        <w:t xml:space="preserve">. Where serious offences are committed by children, measures proportionate to the circumstances of the offender and to the gravity of the offence may be considered, including considerations of the need for public safety and sanctions. Weight </w:t>
      </w:r>
      <w:r>
        <w:t xml:space="preserve">should </w:t>
      </w:r>
      <w:r w:rsidRPr="002D64A9">
        <w:t>be given to the child’s best interests as a primary consideration as well as</w:t>
      </w:r>
      <w:r>
        <w:t xml:space="preserve"> to</w:t>
      </w:r>
      <w:r w:rsidRPr="002D64A9">
        <w:t xml:space="preserve"> the need to promote the child’s reintegration into society.</w:t>
      </w:r>
    </w:p>
    <w:p w14:paraId="48205B72" w14:textId="77777777" w:rsidR="00FE4078" w:rsidRPr="000435F2" w:rsidRDefault="00FE4078" w:rsidP="002D64A9">
      <w:pPr>
        <w:pStyle w:val="SingleTxtG"/>
        <w:rPr>
          <w:lang w:val="en-US"/>
        </w:rPr>
      </w:pPr>
      <w:r>
        <w:t>77.</w:t>
      </w:r>
      <w:r>
        <w:tab/>
      </w:r>
      <w:r w:rsidRPr="002D64A9">
        <w:t>Recognizing the harm caused</w:t>
      </w:r>
      <w:r>
        <w:t xml:space="preserve"> </w:t>
      </w:r>
      <w:r w:rsidRPr="002D64A9">
        <w:t xml:space="preserve">to children and adolescents by deprivation of liberty, and its negative effects on their prospects for successful reintegration, the Committee recommends that States parties set a maximum penalty for children accused of crimes </w:t>
      </w:r>
      <w:r>
        <w:t>that</w:t>
      </w:r>
      <w:r w:rsidRPr="002D64A9">
        <w:t xml:space="preserve"> reflects the </w:t>
      </w:r>
      <w:r w:rsidRPr="002D64A9">
        <w:lastRenderedPageBreak/>
        <w:t xml:space="preserve">principle of </w:t>
      </w:r>
      <w:r>
        <w:t xml:space="preserve">the </w:t>
      </w:r>
      <w:r w:rsidRPr="002D64A9">
        <w:t>“</w:t>
      </w:r>
      <w:r w:rsidRPr="004B6B09">
        <w:t>shortest appro</w:t>
      </w:r>
      <w:r w:rsidRPr="0075567E">
        <w:t>priate</w:t>
      </w:r>
      <w:r>
        <w:rPr>
          <w:lang w:val="en-US"/>
        </w:rPr>
        <w:t xml:space="preserve"> period of time” (Convention on the Rights of the Child, art. 37 (b)). </w:t>
      </w:r>
    </w:p>
    <w:p w14:paraId="1C61114A" w14:textId="77777777" w:rsidR="00FE4078" w:rsidRPr="000435F2" w:rsidRDefault="00FE4078" w:rsidP="002D64A9">
      <w:pPr>
        <w:pStyle w:val="SingleTxtG"/>
        <w:rPr>
          <w:lang w:val="en-US"/>
        </w:rPr>
      </w:pPr>
      <w:r>
        <w:rPr>
          <w:lang w:val="en-US"/>
        </w:rPr>
        <w:t>78.</w:t>
      </w:r>
      <w:r>
        <w:rPr>
          <w:lang w:val="en-US"/>
        </w:rPr>
        <w:tab/>
        <w:t>Mandatory minimum sentences are incompatible with the child justice principle of proportionality and with the requirement that detention is to be a measure of last resort and for the shortest appropriate period of time. Courts sentencing children should start with a clean slate; even discretionary mini</w:t>
      </w:r>
      <w:r w:rsidRPr="002D64A9">
        <w:t>m</w:t>
      </w:r>
      <w:r>
        <w:rPr>
          <w:lang w:val="en-US"/>
        </w:rPr>
        <w:t xml:space="preserve">um </w:t>
      </w:r>
      <w:r w:rsidRPr="002D64A9">
        <w:t>sentence</w:t>
      </w:r>
      <w:r>
        <w:rPr>
          <w:lang w:val="en-US"/>
        </w:rPr>
        <w:t xml:space="preserve"> regimes impede proper application of international standards.</w:t>
      </w:r>
    </w:p>
    <w:p w14:paraId="52E0FFE6" w14:textId="77777777" w:rsidR="00FE4078" w:rsidRPr="000435F2" w:rsidRDefault="00FE4078" w:rsidP="004E782F">
      <w:pPr>
        <w:pStyle w:val="H23G"/>
        <w:rPr>
          <w:lang w:val="en-US"/>
        </w:rPr>
      </w:pPr>
      <w:r w:rsidRPr="000435F2">
        <w:rPr>
          <w:lang w:val="en-US"/>
        </w:rPr>
        <w:tab/>
      </w:r>
      <w:r w:rsidRPr="000435F2">
        <w:rPr>
          <w:lang w:val="en-US"/>
        </w:rPr>
        <w:tab/>
        <w:t>Prohibition of the death penalty</w:t>
      </w:r>
    </w:p>
    <w:p w14:paraId="1CC6075A" w14:textId="77777777" w:rsidR="00FE4078" w:rsidRDefault="00FE4078" w:rsidP="002D64A9">
      <w:pPr>
        <w:pStyle w:val="SingleTxtG"/>
        <w:rPr>
          <w:lang w:val="en-US"/>
        </w:rPr>
      </w:pPr>
      <w:r>
        <w:rPr>
          <w:lang w:val="en-US"/>
        </w:rPr>
        <w:t>79.</w:t>
      </w:r>
      <w:r>
        <w:rPr>
          <w:lang w:val="en-US"/>
        </w:rPr>
        <w:tab/>
      </w:r>
      <w:r w:rsidRPr="000435F2">
        <w:rPr>
          <w:lang w:val="en-US"/>
        </w:rPr>
        <w:t xml:space="preserve">Article 37 (a) of </w:t>
      </w:r>
      <w:r>
        <w:rPr>
          <w:lang w:val="en-US"/>
        </w:rPr>
        <w:t>the Convention</w:t>
      </w:r>
      <w:r w:rsidRPr="000435F2">
        <w:rPr>
          <w:lang w:val="en-US"/>
        </w:rPr>
        <w:t xml:space="preserve"> </w:t>
      </w:r>
      <w:r>
        <w:rPr>
          <w:lang w:val="en-US"/>
        </w:rPr>
        <w:t>reflects the customary international law prohibition of</w:t>
      </w:r>
      <w:r w:rsidRPr="000435F2">
        <w:rPr>
          <w:lang w:val="en-US"/>
        </w:rPr>
        <w:t xml:space="preserve"> the</w:t>
      </w:r>
      <w:r>
        <w:rPr>
          <w:lang w:val="en-US"/>
        </w:rPr>
        <w:t xml:space="preserve"> imposition of the</w:t>
      </w:r>
      <w:r w:rsidRPr="000435F2">
        <w:rPr>
          <w:lang w:val="en-US"/>
        </w:rPr>
        <w:t xml:space="preserve"> death penalty for a crime committed by a person who </w:t>
      </w:r>
      <w:r>
        <w:rPr>
          <w:lang w:val="en-US"/>
        </w:rPr>
        <w:t>i</w:t>
      </w:r>
      <w:r w:rsidRPr="000435F2">
        <w:rPr>
          <w:lang w:val="en-US"/>
        </w:rPr>
        <w:t xml:space="preserve">s </w:t>
      </w:r>
      <w:r>
        <w:rPr>
          <w:lang w:val="en-US"/>
        </w:rPr>
        <w:t>under 18 </w:t>
      </w:r>
      <w:r w:rsidRPr="000435F2">
        <w:rPr>
          <w:lang w:val="en-US"/>
        </w:rPr>
        <w:t xml:space="preserve">years of age. </w:t>
      </w:r>
      <w:r>
        <w:rPr>
          <w:lang w:val="en-US"/>
        </w:rPr>
        <w:t xml:space="preserve">A few </w:t>
      </w:r>
      <w:r w:rsidRPr="000435F2">
        <w:rPr>
          <w:lang w:val="en-US"/>
        </w:rPr>
        <w:t>States parties assume that the rule prohibits</w:t>
      </w:r>
      <w:r>
        <w:rPr>
          <w:lang w:val="en-US"/>
        </w:rPr>
        <w:t xml:space="preserve"> </w:t>
      </w:r>
      <w:r w:rsidRPr="000435F2">
        <w:rPr>
          <w:lang w:val="en-US"/>
        </w:rPr>
        <w:t xml:space="preserve">only the execution of persons </w:t>
      </w:r>
      <w:r>
        <w:rPr>
          <w:lang w:val="en-US"/>
        </w:rPr>
        <w:t xml:space="preserve">who are </w:t>
      </w:r>
      <w:r w:rsidRPr="000435F2">
        <w:rPr>
          <w:lang w:val="en-US"/>
        </w:rPr>
        <w:t>below the age of 18 years</w:t>
      </w:r>
      <w:r>
        <w:rPr>
          <w:lang w:val="en-US"/>
        </w:rPr>
        <w:t xml:space="preserve"> at the time of execution</w:t>
      </w:r>
      <w:r w:rsidRPr="000435F2">
        <w:rPr>
          <w:lang w:val="en-US"/>
        </w:rPr>
        <w:t xml:space="preserve">. </w:t>
      </w:r>
      <w:r>
        <w:rPr>
          <w:lang w:val="en-US"/>
        </w:rPr>
        <w:t>Other States defer the execution until the age of 18. The Committee reiterates that</w:t>
      </w:r>
      <w:r w:rsidRPr="000435F2">
        <w:rPr>
          <w:lang w:val="en-US"/>
        </w:rPr>
        <w:t xml:space="preserve"> the explicit and decisive criterion is the age at the time of the </w:t>
      </w:r>
      <w:r w:rsidRPr="002D64A9">
        <w:t>commission</w:t>
      </w:r>
      <w:r w:rsidRPr="000435F2">
        <w:rPr>
          <w:lang w:val="en-US"/>
        </w:rPr>
        <w:t xml:space="preserve"> of the offence</w:t>
      </w:r>
      <w:r>
        <w:rPr>
          <w:lang w:val="en-US"/>
        </w:rPr>
        <w:t>. If there is no reliable and conclusive proof that the person was below the age of 18 at the time the crime was committed, he or she should have the benefit of the doubt and the death penalty cannot be imposed.</w:t>
      </w:r>
    </w:p>
    <w:p w14:paraId="7414D7A4" w14:textId="77777777" w:rsidR="00FE4078" w:rsidRPr="005C73E0" w:rsidRDefault="00FE4078" w:rsidP="002D64A9">
      <w:pPr>
        <w:pStyle w:val="SingleTxtG"/>
        <w:rPr>
          <w:lang w:val="en-US"/>
        </w:rPr>
      </w:pPr>
      <w:r>
        <w:rPr>
          <w:lang w:val="en-US"/>
        </w:rPr>
        <w:t>80.</w:t>
      </w:r>
      <w:r>
        <w:rPr>
          <w:lang w:val="en-US"/>
        </w:rPr>
        <w:tab/>
      </w:r>
      <w:r w:rsidRPr="008655AE">
        <w:rPr>
          <w:lang w:val="en-US"/>
        </w:rPr>
        <w:t xml:space="preserve">The Committee </w:t>
      </w:r>
      <w:r>
        <w:rPr>
          <w:lang w:val="en-US"/>
        </w:rPr>
        <w:t xml:space="preserve">calls upon </w:t>
      </w:r>
      <w:r w:rsidRPr="008655AE">
        <w:rPr>
          <w:lang w:val="en-US"/>
        </w:rPr>
        <w:t>the few States parties that have not yet abolished the</w:t>
      </w:r>
      <w:r>
        <w:rPr>
          <w:lang w:val="en-US"/>
        </w:rPr>
        <w:t xml:space="preserve"> imposition of the</w:t>
      </w:r>
      <w:r w:rsidRPr="008655AE">
        <w:rPr>
          <w:lang w:val="en-US"/>
        </w:rPr>
        <w:t xml:space="preserve"> death penalty for all offences committed</w:t>
      </w:r>
      <w:r>
        <w:rPr>
          <w:lang w:val="en-US"/>
        </w:rPr>
        <w:t xml:space="preserve"> by persons below the age of 18 </w:t>
      </w:r>
      <w:r w:rsidRPr="008655AE">
        <w:rPr>
          <w:lang w:val="en-US"/>
        </w:rPr>
        <w:t>years to do so</w:t>
      </w:r>
      <w:r>
        <w:rPr>
          <w:lang w:val="en-US"/>
        </w:rPr>
        <w:t xml:space="preserve"> urgently and without </w:t>
      </w:r>
      <w:r w:rsidRPr="002D64A9">
        <w:t>exceptions</w:t>
      </w:r>
      <w:r>
        <w:rPr>
          <w:lang w:val="en-US"/>
        </w:rPr>
        <w:t>. Any</w:t>
      </w:r>
      <w:r w:rsidRPr="008655AE">
        <w:rPr>
          <w:lang w:val="en-US"/>
        </w:rPr>
        <w:t xml:space="preserve"> death penalty</w:t>
      </w:r>
      <w:r>
        <w:rPr>
          <w:lang w:val="en-US"/>
        </w:rPr>
        <w:t xml:space="preserve"> imposed on a person who was </w:t>
      </w:r>
      <w:r>
        <w:t>below the age of 18 at the time of the commission of the offence</w:t>
      </w:r>
      <w:r w:rsidRPr="008655AE">
        <w:rPr>
          <w:lang w:val="en-US"/>
        </w:rPr>
        <w:t xml:space="preserve"> should be </w:t>
      </w:r>
      <w:r>
        <w:rPr>
          <w:lang w:val="en-US"/>
        </w:rPr>
        <w:t xml:space="preserve">commuted </w:t>
      </w:r>
      <w:r w:rsidRPr="008655AE">
        <w:rPr>
          <w:lang w:val="en-US"/>
        </w:rPr>
        <w:t>to a sanction that is in full conformity with C</w:t>
      </w:r>
      <w:r>
        <w:rPr>
          <w:lang w:val="en-US"/>
        </w:rPr>
        <w:t>onvention.</w:t>
      </w:r>
    </w:p>
    <w:p w14:paraId="5EA1A783" w14:textId="77777777" w:rsidR="00FE4078" w:rsidRPr="000435F2" w:rsidRDefault="00FE4078" w:rsidP="00702C9E">
      <w:pPr>
        <w:pStyle w:val="H23G"/>
      </w:pPr>
      <w:r>
        <w:tab/>
      </w:r>
      <w:r>
        <w:tab/>
      </w:r>
      <w:r w:rsidRPr="000435F2">
        <w:t xml:space="preserve">No life imprisonment </w:t>
      </w:r>
      <w:r w:rsidRPr="00702C9E">
        <w:t>without</w:t>
      </w:r>
      <w:r w:rsidRPr="000435F2">
        <w:t xml:space="preserve"> parole</w:t>
      </w:r>
    </w:p>
    <w:p w14:paraId="7AA42D05" w14:textId="77777777" w:rsidR="00FE4078" w:rsidRPr="008D54E9" w:rsidRDefault="00FE4078" w:rsidP="002D64A9">
      <w:pPr>
        <w:pStyle w:val="SingleTxtG"/>
        <w:rPr>
          <w:lang w:val="en-US"/>
        </w:rPr>
      </w:pPr>
      <w:r>
        <w:rPr>
          <w:lang w:val="en-US"/>
        </w:rPr>
        <w:t>81.</w:t>
      </w:r>
      <w:r>
        <w:rPr>
          <w:lang w:val="en-US"/>
        </w:rPr>
        <w:tab/>
      </w:r>
      <w:r w:rsidRPr="008D54E9">
        <w:rPr>
          <w:lang w:val="en-US"/>
        </w:rPr>
        <w:t xml:space="preserve">No child who was </w:t>
      </w:r>
      <w:r>
        <w:rPr>
          <w:lang w:val="en-US"/>
        </w:rPr>
        <w:t>below</w:t>
      </w:r>
      <w:r w:rsidRPr="008D54E9">
        <w:rPr>
          <w:lang w:val="en-US"/>
        </w:rPr>
        <w:t xml:space="preserve"> the age of 18 at the time he</w:t>
      </w:r>
      <w:r>
        <w:rPr>
          <w:lang w:val="en-US"/>
        </w:rPr>
        <w:t xml:space="preserve"> or </w:t>
      </w:r>
      <w:r w:rsidRPr="008D54E9">
        <w:rPr>
          <w:lang w:val="en-US"/>
        </w:rPr>
        <w:t xml:space="preserve">she committed an offence should be sentenced to life imprisonment without the possibility of release or parole. </w:t>
      </w:r>
      <w:r>
        <w:rPr>
          <w:lang w:val="en-US"/>
        </w:rPr>
        <w:t xml:space="preserve">The period to be served before consideration of parole should be substantially shorter than that for adults and </w:t>
      </w:r>
      <w:r w:rsidRPr="008D54E9">
        <w:rPr>
          <w:lang w:val="en-US"/>
        </w:rPr>
        <w:t>should be realistic</w:t>
      </w:r>
      <w:r>
        <w:rPr>
          <w:lang w:val="en-US"/>
        </w:rPr>
        <w:t xml:space="preserve">, </w:t>
      </w:r>
      <w:r w:rsidRPr="008D54E9">
        <w:rPr>
          <w:lang w:val="en-US"/>
        </w:rPr>
        <w:t xml:space="preserve">and </w:t>
      </w:r>
      <w:r>
        <w:rPr>
          <w:lang w:val="en-US"/>
        </w:rPr>
        <w:t xml:space="preserve">the possibility of parole should be </w:t>
      </w:r>
      <w:r w:rsidRPr="008D54E9">
        <w:rPr>
          <w:lang w:val="en-US"/>
        </w:rPr>
        <w:t>regularly</w:t>
      </w:r>
      <w:r>
        <w:rPr>
          <w:lang w:val="en-US"/>
        </w:rPr>
        <w:t xml:space="preserve"> reconsidered.</w:t>
      </w:r>
      <w:r w:rsidRPr="008D54E9">
        <w:rPr>
          <w:lang w:val="en-US"/>
        </w:rPr>
        <w:t xml:space="preserve"> The Committee reminds States parties </w:t>
      </w:r>
      <w:r>
        <w:rPr>
          <w:lang w:val="en-US"/>
        </w:rPr>
        <w:t>that</w:t>
      </w:r>
      <w:r w:rsidRPr="008D54E9">
        <w:rPr>
          <w:lang w:val="en-US"/>
        </w:rPr>
        <w:t xml:space="preserve"> sentence children to life imprisonment with the possibility of release or parole that </w:t>
      </w:r>
      <w:r>
        <w:rPr>
          <w:lang w:val="en-US"/>
        </w:rPr>
        <w:t xml:space="preserve">in applying </w:t>
      </w:r>
      <w:r w:rsidRPr="008D54E9">
        <w:rPr>
          <w:lang w:val="en-US"/>
        </w:rPr>
        <w:t xml:space="preserve">this sanction </w:t>
      </w:r>
      <w:r>
        <w:rPr>
          <w:lang w:val="en-US"/>
        </w:rPr>
        <w:t xml:space="preserve">they </w:t>
      </w:r>
      <w:r w:rsidRPr="00C45466">
        <w:rPr>
          <w:lang w:val="en-US"/>
        </w:rPr>
        <w:t>should</w:t>
      </w:r>
      <w:r>
        <w:rPr>
          <w:lang w:val="en-US"/>
        </w:rPr>
        <w:t xml:space="preserve"> </w:t>
      </w:r>
      <w:r w:rsidRPr="008D54E9">
        <w:rPr>
          <w:lang w:val="en-US"/>
        </w:rPr>
        <w:t xml:space="preserve">strive for the realization of the aims of article 40 (1) of </w:t>
      </w:r>
      <w:r>
        <w:rPr>
          <w:lang w:val="en-US"/>
        </w:rPr>
        <w:t>the Convention</w:t>
      </w:r>
      <w:r w:rsidRPr="008D54E9">
        <w:rPr>
          <w:lang w:val="en-US"/>
        </w:rPr>
        <w:t>. This means</w:t>
      </w:r>
      <w:r>
        <w:rPr>
          <w:lang w:val="en-US"/>
        </w:rPr>
        <w:t>,</w:t>
      </w:r>
      <w:r w:rsidRPr="008D54E9">
        <w:rPr>
          <w:lang w:val="en-US"/>
        </w:rPr>
        <w:t xml:space="preserve"> inter alia</w:t>
      </w:r>
      <w:r>
        <w:rPr>
          <w:lang w:val="en-US"/>
        </w:rPr>
        <w:t>,</w:t>
      </w:r>
      <w:r w:rsidRPr="008D54E9">
        <w:rPr>
          <w:lang w:val="en-US"/>
        </w:rPr>
        <w:t xml:space="preserve"> that </w:t>
      </w:r>
      <w:r>
        <w:rPr>
          <w:lang w:val="en-US"/>
        </w:rPr>
        <w:t>a</w:t>
      </w:r>
      <w:r w:rsidRPr="008D54E9">
        <w:rPr>
          <w:lang w:val="en-US"/>
        </w:rPr>
        <w:t xml:space="preserve"> child sentenced to </w:t>
      </w:r>
      <w:r>
        <w:rPr>
          <w:lang w:val="en-US"/>
        </w:rPr>
        <w:t>life</w:t>
      </w:r>
      <w:r w:rsidRPr="008D54E9">
        <w:rPr>
          <w:lang w:val="en-US"/>
        </w:rPr>
        <w:t xml:space="preserve"> imprisonment should receive education, treatment and care aiming at his</w:t>
      </w:r>
      <w:r>
        <w:rPr>
          <w:lang w:val="en-US"/>
        </w:rPr>
        <w:t xml:space="preserve"> or </w:t>
      </w:r>
      <w:r w:rsidRPr="008D54E9">
        <w:rPr>
          <w:lang w:val="en-US"/>
        </w:rPr>
        <w:t xml:space="preserve">her release, reintegration and ability to assume a constructive role in society. This also requires a regular review of the child’s development and progress in </w:t>
      </w:r>
      <w:r w:rsidRPr="008D54E9">
        <w:rPr>
          <w:lang w:val="en-US"/>
        </w:rPr>
        <w:lastRenderedPageBreak/>
        <w:t>order to decide on his</w:t>
      </w:r>
      <w:r>
        <w:rPr>
          <w:lang w:val="en-US"/>
        </w:rPr>
        <w:t xml:space="preserve"> or </w:t>
      </w:r>
      <w:r w:rsidRPr="008D54E9">
        <w:rPr>
          <w:lang w:val="en-US"/>
        </w:rPr>
        <w:t xml:space="preserve">her possible release. Life imprisonment makes it very difficult, if not impossible, to achieve the aims of reintegration. The Committee notes the </w:t>
      </w:r>
      <w:r>
        <w:rPr>
          <w:lang w:val="en-US"/>
        </w:rPr>
        <w:t xml:space="preserve">2015 </w:t>
      </w:r>
      <w:r w:rsidRPr="008D54E9">
        <w:rPr>
          <w:lang w:val="en-US"/>
        </w:rPr>
        <w:t xml:space="preserve">report in </w:t>
      </w:r>
      <w:r>
        <w:rPr>
          <w:lang w:val="en-US"/>
        </w:rPr>
        <w:t>which</w:t>
      </w:r>
      <w:r w:rsidRPr="008D54E9">
        <w:rPr>
          <w:lang w:val="en-US"/>
        </w:rPr>
        <w:t xml:space="preserve"> the Special Rapporteur on </w:t>
      </w:r>
      <w:r>
        <w:rPr>
          <w:lang w:val="en-US"/>
        </w:rPr>
        <w:t>t</w:t>
      </w:r>
      <w:r w:rsidRPr="008D54E9">
        <w:rPr>
          <w:lang w:val="en-US"/>
        </w:rPr>
        <w:t>orture</w:t>
      </w:r>
      <w:r>
        <w:rPr>
          <w:lang w:val="en-US"/>
        </w:rPr>
        <w:t xml:space="preserve"> and other cruel, inhuman or degrading treatment or punishment</w:t>
      </w:r>
      <w:r w:rsidRPr="008D54E9">
        <w:rPr>
          <w:lang w:val="en-US"/>
        </w:rPr>
        <w:t xml:space="preserve"> find</w:t>
      </w:r>
      <w:r>
        <w:rPr>
          <w:lang w:val="en-US"/>
        </w:rPr>
        <w:t>s</w:t>
      </w:r>
      <w:r w:rsidRPr="008D54E9">
        <w:rPr>
          <w:lang w:val="en-US"/>
        </w:rPr>
        <w:t xml:space="preserve"> that </w:t>
      </w:r>
      <w:r w:rsidRPr="008D54E9">
        <w:rPr>
          <w:rFonts w:eastAsia="Arial Unicode MS"/>
          <w:u w:color="000000"/>
        </w:rPr>
        <w:t>life imprisonment and lengthy sentences, such as consecutive sentencing, are grossly disproportionate and therefore cruel, inhuman or degrading when imposed on a child</w:t>
      </w:r>
      <w:r w:rsidRPr="008D54E9">
        <w:rPr>
          <w:rFonts w:eastAsia="Arial Unicode MS"/>
          <w:b/>
          <w:u w:color="000000"/>
        </w:rPr>
        <w:t xml:space="preserve"> </w:t>
      </w:r>
      <w:r w:rsidRPr="008D54E9">
        <w:rPr>
          <w:rFonts w:eastAsia="Arial Unicode MS"/>
          <w:u w:color="000000"/>
        </w:rPr>
        <w:t>(</w:t>
      </w:r>
      <w:r w:rsidRPr="00CB1C65">
        <w:rPr>
          <w:rFonts w:eastAsia="Arial Unicode MS"/>
          <w:u w:color="000000"/>
        </w:rPr>
        <w:t>A/HRC/28/68</w:t>
      </w:r>
      <w:r>
        <w:rPr>
          <w:rFonts w:eastAsia="Arial Unicode MS"/>
          <w:u w:color="000000"/>
        </w:rPr>
        <w:t xml:space="preserve">, </w:t>
      </w:r>
      <w:r w:rsidRPr="008D54E9">
        <w:rPr>
          <w:rFonts w:eastAsia="Arial Unicode MS"/>
          <w:u w:color="000000"/>
        </w:rPr>
        <w:t>para</w:t>
      </w:r>
      <w:r>
        <w:rPr>
          <w:rFonts w:eastAsia="Arial Unicode MS"/>
          <w:u w:color="000000"/>
        </w:rPr>
        <w:t>.</w:t>
      </w:r>
      <w:r w:rsidRPr="008D54E9">
        <w:rPr>
          <w:rFonts w:eastAsia="Arial Unicode MS"/>
          <w:u w:color="000000"/>
        </w:rPr>
        <w:t xml:space="preserve"> 74).</w:t>
      </w:r>
      <w:r w:rsidRPr="008D54E9">
        <w:rPr>
          <w:rFonts w:eastAsia="Arial Unicode MS"/>
          <w:b/>
          <w:u w:color="000000"/>
        </w:rPr>
        <w:t xml:space="preserve"> </w:t>
      </w:r>
      <w:r w:rsidRPr="008D54E9">
        <w:rPr>
          <w:rFonts w:eastAsia="Arial Unicode MS"/>
          <w:u w:color="000000"/>
        </w:rPr>
        <w:t xml:space="preserve">The Committee </w:t>
      </w:r>
      <w:r w:rsidRPr="008D54E9">
        <w:rPr>
          <w:lang w:val="en-US"/>
        </w:rPr>
        <w:t xml:space="preserve">strongly recommends </w:t>
      </w:r>
      <w:r>
        <w:rPr>
          <w:lang w:val="en-US"/>
        </w:rPr>
        <w:t xml:space="preserve">that </w:t>
      </w:r>
      <w:r w:rsidRPr="008D54E9">
        <w:rPr>
          <w:lang w:val="en-US"/>
        </w:rPr>
        <w:t xml:space="preserve">States parties abolish all forms of life imprisonment, including indeterminate sentences, for all offences committed by persons who were </w:t>
      </w:r>
      <w:r>
        <w:rPr>
          <w:lang w:val="en-US"/>
        </w:rPr>
        <w:t>below</w:t>
      </w:r>
      <w:r w:rsidRPr="008D54E9">
        <w:rPr>
          <w:lang w:val="en-US"/>
        </w:rPr>
        <w:t xml:space="preserve"> the age of 18 at the time of commission of the offence.</w:t>
      </w:r>
    </w:p>
    <w:p w14:paraId="07601042" w14:textId="77777777" w:rsidR="00FE4078" w:rsidRPr="000435F2" w:rsidRDefault="00FE4078" w:rsidP="0075567E">
      <w:pPr>
        <w:pStyle w:val="H1G"/>
      </w:pPr>
      <w:r w:rsidRPr="000435F2">
        <w:tab/>
        <w:t>F.</w:t>
      </w:r>
      <w:r w:rsidRPr="000435F2">
        <w:tab/>
        <w:t>Deprivation of liberty, including pretrial detention and post-trial incarceration</w:t>
      </w:r>
    </w:p>
    <w:p w14:paraId="0B5C55C6" w14:textId="77777777" w:rsidR="00FE4078" w:rsidRDefault="00FE4078" w:rsidP="002D64A9">
      <w:pPr>
        <w:pStyle w:val="SingleTxtG"/>
        <w:rPr>
          <w:lang w:val="en-US"/>
        </w:rPr>
      </w:pPr>
      <w:r>
        <w:rPr>
          <w:lang w:val="en-US"/>
        </w:rPr>
        <w:t>82.</w:t>
      </w:r>
      <w:r>
        <w:rPr>
          <w:lang w:val="en-US"/>
        </w:rPr>
        <w:tab/>
      </w:r>
      <w:r w:rsidRPr="000435F2">
        <w:rPr>
          <w:lang w:val="en-US"/>
        </w:rPr>
        <w:t xml:space="preserve">Article 37 of </w:t>
      </w:r>
      <w:r>
        <w:rPr>
          <w:lang w:val="en-US"/>
        </w:rPr>
        <w:t>the Convention</w:t>
      </w:r>
      <w:r w:rsidRPr="000435F2">
        <w:rPr>
          <w:lang w:val="en-US"/>
        </w:rPr>
        <w:t xml:space="preserve"> contains </w:t>
      </w:r>
      <w:r>
        <w:rPr>
          <w:lang w:val="en-US"/>
        </w:rPr>
        <w:t xml:space="preserve">important </w:t>
      </w:r>
      <w:r w:rsidRPr="000435F2">
        <w:rPr>
          <w:lang w:val="en-US"/>
        </w:rPr>
        <w:t>principles for the use of deprivation of liberty, the procedural rights of every child deprived of liberty and provisions concerning the treatment of and conditions for children deprived of their liberty.</w:t>
      </w:r>
      <w:r w:rsidRPr="00EE6B13">
        <w:rPr>
          <w:lang w:val="en-US"/>
        </w:rPr>
        <w:t xml:space="preserve"> </w:t>
      </w:r>
      <w:r>
        <w:rPr>
          <w:lang w:val="en-US"/>
        </w:rPr>
        <w:t>The Committee draws the attention of States parties to the 2018 report of the Special Rapporteur on the right of everyone to the enjoyment of the highest attainable standard of physical and mental health</w:t>
      </w:r>
      <w:r w:rsidRPr="00F65676">
        <w:rPr>
          <w:lang w:val="en-US"/>
        </w:rPr>
        <w:t xml:space="preserve">, </w:t>
      </w:r>
      <w:r>
        <w:rPr>
          <w:lang w:val="en-US"/>
        </w:rPr>
        <w:t>in which the Special Rapporteur noted</w:t>
      </w:r>
      <w:r w:rsidRPr="00F65676">
        <w:rPr>
          <w:lang w:val="en-US"/>
        </w:rPr>
        <w:t xml:space="preserve"> that t</w:t>
      </w:r>
      <w:r w:rsidRPr="00D2761E">
        <w:rPr>
          <w:lang w:val="en-US"/>
        </w:rPr>
        <w:t>he scale and magnitude of children’s suffering in detention and confinement call</w:t>
      </w:r>
      <w:r>
        <w:rPr>
          <w:lang w:val="en-US"/>
        </w:rPr>
        <w:t>ed</w:t>
      </w:r>
      <w:r w:rsidRPr="00D2761E">
        <w:rPr>
          <w:lang w:val="en-US"/>
        </w:rPr>
        <w:t xml:space="preserve"> for a global commitment to the abolition of child prisons and large care institutions</w:t>
      </w:r>
      <w:r>
        <w:rPr>
          <w:lang w:val="en-US"/>
        </w:rPr>
        <w:t>,</w:t>
      </w:r>
      <w:r w:rsidRPr="00D2761E">
        <w:rPr>
          <w:lang w:val="en-US"/>
        </w:rPr>
        <w:t xml:space="preserve"> alongside scaled-up investment in community</w:t>
      </w:r>
      <w:r>
        <w:rPr>
          <w:lang w:val="en-US"/>
        </w:rPr>
        <w:t>-</w:t>
      </w:r>
      <w:r w:rsidRPr="00D2761E">
        <w:rPr>
          <w:lang w:val="en-US"/>
        </w:rPr>
        <w:t>based services</w:t>
      </w:r>
      <w:r>
        <w:rPr>
          <w:lang w:val="en-US"/>
        </w:rPr>
        <w:t xml:space="preserve"> (</w:t>
      </w:r>
      <w:r w:rsidRPr="0075567E">
        <w:rPr>
          <w:lang w:val="en-US"/>
        </w:rPr>
        <w:t>A/HRC/38/36, para. 53).</w:t>
      </w:r>
    </w:p>
    <w:p w14:paraId="70533D55" w14:textId="77777777" w:rsidR="00FE4078" w:rsidRPr="002D64A9" w:rsidRDefault="00FE4078" w:rsidP="002D64A9">
      <w:pPr>
        <w:pStyle w:val="SingleTxtG"/>
      </w:pPr>
      <w:r>
        <w:rPr>
          <w:lang w:val="en-US"/>
        </w:rPr>
        <w:t>83.</w:t>
      </w:r>
      <w:r>
        <w:rPr>
          <w:lang w:val="en-US"/>
        </w:rPr>
        <w:tab/>
      </w:r>
      <w:r w:rsidRPr="003A394E">
        <w:rPr>
          <w:lang w:val="en-US"/>
        </w:rPr>
        <w:t xml:space="preserve">States parties should </w:t>
      </w:r>
      <w:r w:rsidRPr="002D64A9">
        <w:t>immediately embark on a process to reduce reliance on detention to a minimum.</w:t>
      </w:r>
    </w:p>
    <w:p w14:paraId="4464CCC1" w14:textId="77777777" w:rsidR="00FE4078" w:rsidRPr="003A394E" w:rsidRDefault="00FE4078" w:rsidP="002D64A9">
      <w:pPr>
        <w:pStyle w:val="SingleTxtG"/>
        <w:rPr>
          <w:lang w:val="en-US"/>
        </w:rPr>
      </w:pPr>
      <w:r>
        <w:t>84.</w:t>
      </w:r>
      <w:r>
        <w:tab/>
      </w:r>
      <w:r w:rsidRPr="002D64A9">
        <w:t>Nothing in th</w:t>
      </w:r>
      <w:r>
        <w:t>e present</w:t>
      </w:r>
      <w:r w:rsidRPr="002D64A9">
        <w:t xml:space="preserve"> general comment should be </w:t>
      </w:r>
      <w:r>
        <w:t xml:space="preserve">construed </w:t>
      </w:r>
      <w:r w:rsidRPr="002D64A9">
        <w:t>as promoting or supporting the use of deprivation of liberty, but rather</w:t>
      </w:r>
      <w:r w:rsidRPr="003A394E">
        <w:rPr>
          <w:lang w:val="en-US"/>
        </w:rPr>
        <w:t xml:space="preserve"> as providing correct procedures and conditions in the minority of cases where deprivation of liberty is</w:t>
      </w:r>
      <w:r>
        <w:rPr>
          <w:lang w:val="en-US"/>
        </w:rPr>
        <w:t xml:space="preserve"> deemed</w:t>
      </w:r>
      <w:r w:rsidRPr="003A394E">
        <w:rPr>
          <w:lang w:val="en-US"/>
        </w:rPr>
        <w:t xml:space="preserve"> necessary. </w:t>
      </w:r>
    </w:p>
    <w:p w14:paraId="6A0FF116" w14:textId="77777777" w:rsidR="00FE4078" w:rsidRPr="000435F2" w:rsidRDefault="00FE4078" w:rsidP="00702C9E">
      <w:pPr>
        <w:pStyle w:val="H23G"/>
      </w:pPr>
      <w:r w:rsidRPr="000435F2">
        <w:tab/>
      </w:r>
      <w:r>
        <w:tab/>
      </w:r>
      <w:r>
        <w:tab/>
        <w:t xml:space="preserve">Leading </w:t>
      </w:r>
      <w:r w:rsidRPr="00702C9E">
        <w:t>principles</w:t>
      </w:r>
    </w:p>
    <w:p w14:paraId="00A0C531" w14:textId="77777777" w:rsidR="00FE4078" w:rsidRPr="002D64A9" w:rsidRDefault="00FE4078" w:rsidP="002D64A9">
      <w:pPr>
        <w:pStyle w:val="SingleTxtG"/>
      </w:pPr>
      <w:r>
        <w:rPr>
          <w:lang w:val="en-US"/>
        </w:rPr>
        <w:t>85.</w:t>
      </w:r>
      <w:r>
        <w:rPr>
          <w:lang w:val="en-US"/>
        </w:rPr>
        <w:tab/>
      </w:r>
      <w:r w:rsidRPr="000435F2">
        <w:rPr>
          <w:lang w:val="en-US"/>
        </w:rPr>
        <w:t xml:space="preserve">The leading principles for the use of deprivation of liberty are: (a) the arrest, detention or imprisonment of a child </w:t>
      </w:r>
      <w:r>
        <w:rPr>
          <w:lang w:val="en-US"/>
        </w:rPr>
        <w:t>is to</w:t>
      </w:r>
      <w:r w:rsidRPr="000435F2">
        <w:rPr>
          <w:lang w:val="en-US"/>
        </w:rPr>
        <w:t xml:space="preserve"> be </w:t>
      </w:r>
      <w:r>
        <w:rPr>
          <w:lang w:val="en-US"/>
        </w:rPr>
        <w:t xml:space="preserve">used </w:t>
      </w:r>
      <w:r w:rsidRPr="002D64A9">
        <w:t>only</w:t>
      </w:r>
      <w:r>
        <w:rPr>
          <w:lang w:val="en-US"/>
        </w:rPr>
        <w:t xml:space="preserve"> </w:t>
      </w:r>
      <w:r w:rsidRPr="000435F2">
        <w:rPr>
          <w:lang w:val="en-US"/>
        </w:rPr>
        <w:t>in conformity with the law</w:t>
      </w:r>
      <w:r>
        <w:rPr>
          <w:lang w:val="en-US"/>
        </w:rPr>
        <w:t>,</w:t>
      </w:r>
      <w:r w:rsidRPr="000435F2">
        <w:rPr>
          <w:lang w:val="en-US"/>
        </w:rPr>
        <w:t xml:space="preserve"> only as a measure of last resort and for the shortest appropriate period of time; and (b) no child </w:t>
      </w:r>
      <w:r>
        <w:rPr>
          <w:lang w:val="en-US"/>
        </w:rPr>
        <w:t>is to</w:t>
      </w:r>
      <w:r w:rsidRPr="000435F2">
        <w:rPr>
          <w:lang w:val="en-US"/>
        </w:rPr>
        <w:t xml:space="preserve"> be deprived of his</w:t>
      </w:r>
      <w:r>
        <w:rPr>
          <w:lang w:val="en-US"/>
        </w:rPr>
        <w:t xml:space="preserve"> or </w:t>
      </w:r>
      <w:r w:rsidRPr="000435F2">
        <w:rPr>
          <w:lang w:val="en-US"/>
        </w:rPr>
        <w:t>her liberty unlawfully or arbitrarily.</w:t>
      </w:r>
      <w:r>
        <w:rPr>
          <w:lang w:val="en-US"/>
        </w:rPr>
        <w:t xml:space="preserve"> Arrest is often the starting point of pretrial detention, and States should ensure that the law places clear obligations on law enforcement officers to apply article 37 in the context of arrest. States should further ensure </w:t>
      </w:r>
      <w:r>
        <w:rPr>
          <w:lang w:val="en-US"/>
        </w:rPr>
        <w:lastRenderedPageBreak/>
        <w:t xml:space="preserve">that children are not held in transportation or in police cells, except as a measure of last resort and for the shortest period of time, and that they are not held with adults, except where that is in their best interests. </w:t>
      </w:r>
      <w:r w:rsidRPr="002D64A9">
        <w:t>Mechanisms for swift release to parents or appropriate adults should be prioritized.</w:t>
      </w:r>
    </w:p>
    <w:p w14:paraId="32B9A75E" w14:textId="77777777" w:rsidR="00FE4078" w:rsidRPr="002D64A9" w:rsidRDefault="00FE4078" w:rsidP="002D64A9">
      <w:pPr>
        <w:pStyle w:val="SingleTxtG"/>
      </w:pPr>
      <w:r>
        <w:t>86.</w:t>
      </w:r>
      <w:r>
        <w:tab/>
      </w:r>
      <w:r w:rsidRPr="002D64A9">
        <w:t xml:space="preserve">The Committee notes with concern that, in many countries, children languish in pretrial detention for months or even years, which constitutes </w:t>
      </w:r>
      <w:r>
        <w:t>a grave violation of article 37 </w:t>
      </w:r>
      <w:r w:rsidRPr="002D64A9">
        <w:t xml:space="preserve">(b) of </w:t>
      </w:r>
      <w:r>
        <w:t>the Convention</w:t>
      </w:r>
      <w:r w:rsidRPr="002D64A9">
        <w:t xml:space="preserve">. Pretrial detention should not be used except in the most serious cases, and even then only after community placement has been carefully considered. Diversion at the pretrial stage reduces the use of detention, but even where the child is to be tried in the child justice system, non-custodial measures should be carefully targeted to restrict the use of pretrial detention. </w:t>
      </w:r>
    </w:p>
    <w:p w14:paraId="17568E54" w14:textId="77777777" w:rsidR="00FE4078" w:rsidRPr="000435F2" w:rsidRDefault="00FE4078" w:rsidP="002D64A9">
      <w:pPr>
        <w:pStyle w:val="SingleTxtG"/>
        <w:rPr>
          <w:lang w:val="en-US"/>
        </w:rPr>
      </w:pPr>
      <w:r>
        <w:t>87.</w:t>
      </w:r>
      <w:r>
        <w:tab/>
      </w:r>
      <w:r w:rsidRPr="003D7918">
        <w:t>The law should clearly state the criteria for the use of pretrial detention,</w:t>
      </w:r>
      <w:r>
        <w:t xml:space="preserve"> which should be</w:t>
      </w:r>
      <w:r w:rsidRPr="003D7918">
        <w:t xml:space="preserve"> primarily </w:t>
      </w:r>
      <w:r>
        <w:t>for</w:t>
      </w:r>
      <w:r w:rsidRPr="003D7918">
        <w:t xml:space="preserve"> ensur</w:t>
      </w:r>
      <w:r>
        <w:t>ing</w:t>
      </w:r>
      <w:r w:rsidRPr="003D7918">
        <w:t xml:space="preserve"> appearance at the court proceedings</w:t>
      </w:r>
      <w:r w:rsidRPr="003D7918">
        <w:rPr>
          <w:lang w:val="en-US"/>
        </w:rPr>
        <w:t xml:space="preserve"> and if the child poses an immediate danger to others.</w:t>
      </w:r>
      <w:r w:rsidRPr="000435F2">
        <w:rPr>
          <w:lang w:val="en-US"/>
        </w:rPr>
        <w:t xml:space="preserve"> </w:t>
      </w:r>
      <w:r>
        <w:rPr>
          <w:lang w:val="en-US"/>
        </w:rPr>
        <w:t>If the child is considered a danger (to himself or herself or others) child protection measures should be applied. P</w:t>
      </w:r>
      <w:r w:rsidRPr="000435F2">
        <w:rPr>
          <w:lang w:val="en-US"/>
        </w:rPr>
        <w:t>retrial detention should</w:t>
      </w:r>
      <w:r>
        <w:rPr>
          <w:lang w:val="en-US"/>
        </w:rPr>
        <w:t xml:space="preserve"> be</w:t>
      </w:r>
      <w:r w:rsidRPr="000435F2">
        <w:rPr>
          <w:lang w:val="en-US"/>
        </w:rPr>
        <w:t xml:space="preserve"> </w:t>
      </w:r>
      <w:r>
        <w:rPr>
          <w:lang w:val="en-US"/>
        </w:rPr>
        <w:t xml:space="preserve">subject to regular review and its duration </w:t>
      </w:r>
      <w:r w:rsidRPr="000435F2">
        <w:rPr>
          <w:lang w:val="en-US"/>
        </w:rPr>
        <w:t>limited by law.</w:t>
      </w:r>
      <w:r w:rsidRPr="000435F2" w:rsidDel="00971DF9">
        <w:rPr>
          <w:lang w:val="en-US"/>
        </w:rPr>
        <w:t xml:space="preserve"> </w:t>
      </w:r>
      <w:r>
        <w:rPr>
          <w:lang w:val="en-US"/>
        </w:rPr>
        <w:t>All actors in the child justice system should prioritize cases of children in pretrial detention.</w:t>
      </w:r>
    </w:p>
    <w:p w14:paraId="6E9EEEF0" w14:textId="77777777" w:rsidR="00FE4078" w:rsidRPr="00971DF9" w:rsidDel="004957CC" w:rsidRDefault="00FE4078" w:rsidP="002D64A9">
      <w:pPr>
        <w:pStyle w:val="SingleTxtG"/>
        <w:rPr>
          <w:lang w:val="en-US"/>
        </w:rPr>
      </w:pPr>
      <w:r>
        <w:rPr>
          <w:lang w:val="en-US"/>
        </w:rPr>
        <w:t>88.</w:t>
      </w:r>
      <w:r>
        <w:rPr>
          <w:lang w:val="en-US"/>
        </w:rPr>
        <w:tab/>
      </w:r>
      <w:r w:rsidRPr="000435F2">
        <w:rPr>
          <w:lang w:val="en-US"/>
        </w:rPr>
        <w:t>I</w:t>
      </w:r>
      <w:r w:rsidRPr="007533D2">
        <w:rPr>
          <w:lang w:val="en-US"/>
        </w:rPr>
        <w:t xml:space="preserve">n application of the principle </w:t>
      </w:r>
      <w:r>
        <w:rPr>
          <w:lang w:val="en-US"/>
        </w:rPr>
        <w:t>that deprivation of liberty should be imposed for</w:t>
      </w:r>
      <w:r w:rsidRPr="007533D2">
        <w:rPr>
          <w:lang w:val="en-US"/>
        </w:rPr>
        <w:t xml:space="preserve"> the shortest </w:t>
      </w:r>
      <w:r>
        <w:rPr>
          <w:lang w:val="en-US"/>
        </w:rPr>
        <w:t xml:space="preserve">appropriate </w:t>
      </w:r>
      <w:r w:rsidRPr="007533D2">
        <w:rPr>
          <w:lang w:val="en-US"/>
        </w:rPr>
        <w:t xml:space="preserve">period of time, States parties should provide regular opportunities to permit early release from custody, including police custody, into the care of parents or other </w:t>
      </w:r>
      <w:r>
        <w:rPr>
          <w:lang w:val="en-US"/>
        </w:rPr>
        <w:t>appropriate</w:t>
      </w:r>
      <w:r w:rsidRPr="007533D2">
        <w:rPr>
          <w:lang w:val="en-US"/>
        </w:rPr>
        <w:t xml:space="preserve"> adults. There should be discretion to release with or without conditions, such as reporting to a</w:t>
      </w:r>
      <w:r>
        <w:rPr>
          <w:lang w:val="en-US"/>
        </w:rPr>
        <w:t>n</w:t>
      </w:r>
      <w:r w:rsidRPr="007533D2">
        <w:rPr>
          <w:lang w:val="en-US"/>
        </w:rPr>
        <w:t xml:space="preserve"> authorized person or place</w:t>
      </w:r>
      <w:r>
        <w:rPr>
          <w:lang w:val="en-US"/>
        </w:rPr>
        <w:t>.</w:t>
      </w:r>
      <w:r w:rsidRPr="007533D2" w:rsidDel="004845A2">
        <w:rPr>
          <w:lang w:val="en-US"/>
        </w:rPr>
        <w:t xml:space="preserve"> </w:t>
      </w:r>
      <w:r>
        <w:rPr>
          <w:lang w:val="en-US"/>
        </w:rPr>
        <w:t>T</w:t>
      </w:r>
      <w:r w:rsidRPr="007533D2">
        <w:rPr>
          <w:lang w:val="en-US"/>
        </w:rPr>
        <w:t xml:space="preserve">he payment of monetary bail should </w:t>
      </w:r>
      <w:r w:rsidRPr="002D64A9">
        <w:t>not</w:t>
      </w:r>
      <w:r w:rsidRPr="007533D2">
        <w:rPr>
          <w:lang w:val="en-US"/>
        </w:rPr>
        <w:t xml:space="preserve"> be a requirement</w:t>
      </w:r>
      <w:r>
        <w:rPr>
          <w:lang w:val="en-US"/>
        </w:rPr>
        <w:t>, as most children cannot pay and because it discriminates against poor and marginalized families. Furthermore, where bail is set it means that there is a recognition in principle by the court that the child should be released, and other mechanisms can be used to secure attendance.</w:t>
      </w:r>
    </w:p>
    <w:p w14:paraId="62415B25" w14:textId="77777777" w:rsidR="00FE4078" w:rsidRPr="007533D2" w:rsidRDefault="00FE4078" w:rsidP="00702C9E">
      <w:pPr>
        <w:pStyle w:val="H23G"/>
      </w:pPr>
      <w:r>
        <w:tab/>
      </w:r>
      <w:r>
        <w:tab/>
      </w:r>
      <w:r>
        <w:tab/>
      </w:r>
      <w:r w:rsidRPr="007533D2">
        <w:t>Procedural rights (art. 37 (d))</w:t>
      </w:r>
    </w:p>
    <w:p w14:paraId="00527688" w14:textId="77777777" w:rsidR="00FE4078" w:rsidRDefault="00FE4078" w:rsidP="002D64A9">
      <w:pPr>
        <w:pStyle w:val="SingleTxtG"/>
      </w:pPr>
      <w:r>
        <w:rPr>
          <w:lang w:val="en-US"/>
        </w:rPr>
        <w:t>89.</w:t>
      </w:r>
      <w:r>
        <w:rPr>
          <w:lang w:val="en-US"/>
        </w:rPr>
        <w:tab/>
      </w:r>
      <w:r w:rsidRPr="00840F75">
        <w:rPr>
          <w:lang w:val="en-US"/>
        </w:rPr>
        <w:t>Every child deprived of his</w:t>
      </w:r>
      <w:r>
        <w:rPr>
          <w:lang w:val="en-US"/>
        </w:rPr>
        <w:t xml:space="preserve"> or </w:t>
      </w:r>
      <w:r w:rsidRPr="00840F75">
        <w:rPr>
          <w:lang w:val="en-US"/>
        </w:rPr>
        <w:t>her liberty has the right to prompt access to legal and other appropriate assistance, as well as the right to challenge the legality of the deprivation of</w:t>
      </w:r>
      <w:r>
        <w:rPr>
          <w:lang w:val="en-US"/>
        </w:rPr>
        <w:t xml:space="preserve"> his or her</w:t>
      </w:r>
      <w:r w:rsidRPr="00840F75">
        <w:rPr>
          <w:lang w:val="en-US"/>
        </w:rPr>
        <w:t xml:space="preserve"> liberty before a court or other competent, </w:t>
      </w:r>
      <w:r w:rsidRPr="002D64A9">
        <w:t xml:space="preserve">independent and impartial authority, and to a prompt decision on any such action. The Committee </w:t>
      </w:r>
      <w:r>
        <w:t xml:space="preserve">recommends that no child be deprived of liberty, unless there are genuine public safety or public health concerns, and </w:t>
      </w:r>
      <w:r w:rsidRPr="002D64A9">
        <w:lastRenderedPageBreak/>
        <w:t>encourages State parties to fix an age limit</w:t>
      </w:r>
      <w:r>
        <w:t xml:space="preserve"> below which children may not legally be deprived of their liberty, such as 16 years of age.</w:t>
      </w:r>
    </w:p>
    <w:p w14:paraId="7699FBF2" w14:textId="77777777" w:rsidR="00FE4078" w:rsidRPr="00393BD8" w:rsidRDefault="00FE4078" w:rsidP="002D64A9">
      <w:pPr>
        <w:pStyle w:val="SingleTxtG"/>
        <w:rPr>
          <w:lang w:val="en-US"/>
        </w:rPr>
      </w:pPr>
      <w:r>
        <w:t>90.</w:t>
      </w:r>
      <w:r>
        <w:tab/>
      </w:r>
      <w:r w:rsidRPr="002D64A9">
        <w:t>Every child arrested and deprived of his</w:t>
      </w:r>
      <w:r>
        <w:t xml:space="preserve"> or </w:t>
      </w:r>
      <w:r w:rsidRPr="002D64A9">
        <w:t>her liberty should be brought before a competent authority</w:t>
      </w:r>
      <w:r>
        <w:t xml:space="preserve"> </w:t>
      </w:r>
      <w:r w:rsidRPr="002D64A9">
        <w:t>within 24</w:t>
      </w:r>
      <w:r>
        <w:t xml:space="preserve"> </w:t>
      </w:r>
      <w:r w:rsidRPr="002D64A9">
        <w:t xml:space="preserve">hours to examine the legality of the deprivation of liberty or its continuation. The Committee also recommends </w:t>
      </w:r>
      <w:r>
        <w:t xml:space="preserve">that </w:t>
      </w:r>
      <w:r w:rsidRPr="002D64A9">
        <w:t>States parties ensure that pretrial detention is reviewed regularly with a view to ending it. In cases where conditional release of the child at or before the first appearance (within 24 hours) is not possible, the child should be formally charged with the alleged offences and be brought before a court or other competent, independent and impartial authority or judicial body for the case to be dealt with as soon as possible but not later than 30</w:t>
      </w:r>
      <w:r>
        <w:t xml:space="preserve"> </w:t>
      </w:r>
      <w:r w:rsidRPr="002D64A9">
        <w:t>days after pretrial detention takes effect. The Committee, conscious of the practice of adjourning</w:t>
      </w:r>
      <w:r w:rsidRPr="00393BD8">
        <w:rPr>
          <w:lang w:val="en-US"/>
        </w:rPr>
        <w:t xml:space="preserve"> court hearings many times and/or for long periods, urges States parties to adopt maximum limits for the number and length of postponements and introduce legal or administrative provisions to ensure that the court or other competent body makes a final decision on the charges not later than six months from the initial date of detention, failing which the child should be released.</w:t>
      </w:r>
    </w:p>
    <w:p w14:paraId="0C636A21" w14:textId="77777777" w:rsidR="00FE4078" w:rsidRPr="000435F2" w:rsidRDefault="00FE4078" w:rsidP="002D64A9">
      <w:pPr>
        <w:pStyle w:val="SingleTxtG"/>
        <w:rPr>
          <w:lang w:val="en-US"/>
        </w:rPr>
      </w:pPr>
      <w:r>
        <w:rPr>
          <w:lang w:val="en-US"/>
        </w:rPr>
        <w:t>91.</w:t>
      </w:r>
      <w:r>
        <w:rPr>
          <w:lang w:val="en-US"/>
        </w:rPr>
        <w:tab/>
      </w:r>
      <w:r w:rsidRPr="000435F2">
        <w:rPr>
          <w:lang w:val="en-US"/>
        </w:rPr>
        <w:t>The right to challenge the legality of the deprivation of liberty includes not only the right to appeal</w:t>
      </w:r>
      <w:r>
        <w:rPr>
          <w:lang w:val="en-US"/>
        </w:rPr>
        <w:t xml:space="preserve"> court decisions</w:t>
      </w:r>
      <w:r w:rsidRPr="000435F2">
        <w:rPr>
          <w:lang w:val="en-US"/>
        </w:rPr>
        <w:t>, but also the right</w:t>
      </w:r>
      <w:r>
        <w:rPr>
          <w:lang w:val="en-US"/>
        </w:rPr>
        <w:t xml:space="preserve"> of </w:t>
      </w:r>
      <w:r w:rsidRPr="000435F2">
        <w:rPr>
          <w:lang w:val="en-US"/>
        </w:rPr>
        <w:t xml:space="preserve">access </w:t>
      </w:r>
      <w:r>
        <w:rPr>
          <w:lang w:val="en-US"/>
        </w:rPr>
        <w:t>to</w:t>
      </w:r>
      <w:r w:rsidRPr="000435F2">
        <w:rPr>
          <w:lang w:val="en-US"/>
        </w:rPr>
        <w:t xml:space="preserve"> </w:t>
      </w:r>
      <w:r>
        <w:rPr>
          <w:lang w:val="en-US"/>
        </w:rPr>
        <w:t xml:space="preserve">a </w:t>
      </w:r>
      <w:r w:rsidRPr="000435F2">
        <w:rPr>
          <w:lang w:val="en-US"/>
        </w:rPr>
        <w:t>court</w:t>
      </w:r>
      <w:r>
        <w:rPr>
          <w:lang w:val="en-US"/>
        </w:rPr>
        <w:t xml:space="preserve"> for review of </w:t>
      </w:r>
      <w:r w:rsidRPr="000435F2">
        <w:rPr>
          <w:lang w:val="en-US"/>
        </w:rPr>
        <w:t>an administrative decision (</w:t>
      </w:r>
      <w:r>
        <w:rPr>
          <w:lang w:val="en-US"/>
        </w:rPr>
        <w:t>taken by, for example,</w:t>
      </w:r>
      <w:r w:rsidRPr="000435F2">
        <w:rPr>
          <w:lang w:val="en-US"/>
        </w:rPr>
        <w:t xml:space="preserve"> the police, the prosecutor </w:t>
      </w:r>
      <w:r w:rsidRPr="002D64A9">
        <w:t>and</w:t>
      </w:r>
      <w:r w:rsidRPr="000435F2">
        <w:rPr>
          <w:lang w:val="en-US"/>
        </w:rPr>
        <w:t xml:space="preserve"> other competent authorit</w:t>
      </w:r>
      <w:r>
        <w:rPr>
          <w:lang w:val="en-US"/>
        </w:rPr>
        <w:t>ies</w:t>
      </w:r>
      <w:r w:rsidRPr="000435F2">
        <w:rPr>
          <w:lang w:val="en-US"/>
        </w:rPr>
        <w:t xml:space="preserve">). </w:t>
      </w:r>
      <w:r>
        <w:rPr>
          <w:lang w:val="en-US"/>
        </w:rPr>
        <w:t>States parties should set short time limits for the finalization of appeals and reviews to ensure prompt decisions, as required by the Convention</w:t>
      </w:r>
      <w:r w:rsidRPr="000435F2">
        <w:rPr>
          <w:lang w:val="en-US"/>
        </w:rPr>
        <w:t>.</w:t>
      </w:r>
    </w:p>
    <w:p w14:paraId="5CEB358D" w14:textId="77777777" w:rsidR="00FE4078" w:rsidRPr="000435F2" w:rsidRDefault="00FE4078" w:rsidP="00702C9E">
      <w:pPr>
        <w:pStyle w:val="H23G"/>
      </w:pPr>
      <w:r w:rsidRPr="000435F2">
        <w:tab/>
      </w:r>
      <w:r>
        <w:tab/>
      </w:r>
      <w:r w:rsidRPr="000435F2">
        <w:t xml:space="preserve">Treatment and </w:t>
      </w:r>
      <w:r w:rsidRPr="00702C9E">
        <w:t>conditions</w:t>
      </w:r>
      <w:r w:rsidRPr="000435F2">
        <w:t xml:space="preserve"> (art. 37 (c))</w:t>
      </w:r>
    </w:p>
    <w:p w14:paraId="46723997" w14:textId="77777777" w:rsidR="00FE4078" w:rsidRPr="002D64A9" w:rsidRDefault="00FE4078" w:rsidP="002D64A9">
      <w:pPr>
        <w:pStyle w:val="SingleTxtG"/>
      </w:pPr>
      <w:r>
        <w:rPr>
          <w:lang w:val="en-US"/>
        </w:rPr>
        <w:t>92.</w:t>
      </w:r>
      <w:r>
        <w:rPr>
          <w:lang w:val="en-US"/>
        </w:rPr>
        <w:tab/>
      </w:r>
      <w:r w:rsidRPr="000435F2">
        <w:rPr>
          <w:lang w:val="en-US"/>
        </w:rPr>
        <w:t xml:space="preserve">Every child deprived of liberty </w:t>
      </w:r>
      <w:r>
        <w:rPr>
          <w:lang w:val="en-US"/>
        </w:rPr>
        <w:t>is to</w:t>
      </w:r>
      <w:r w:rsidRPr="000435F2">
        <w:rPr>
          <w:lang w:val="en-US"/>
        </w:rPr>
        <w:t xml:space="preserve"> be separated from adults</w:t>
      </w:r>
      <w:r>
        <w:rPr>
          <w:lang w:val="en-US"/>
        </w:rPr>
        <w:t>, including in police cells</w:t>
      </w:r>
      <w:r w:rsidRPr="000435F2">
        <w:rPr>
          <w:lang w:val="en-US"/>
        </w:rPr>
        <w:t xml:space="preserve">. A child deprived of liberty </w:t>
      </w:r>
      <w:r w:rsidRPr="00255A0D">
        <w:rPr>
          <w:lang w:val="en-US"/>
        </w:rPr>
        <w:t>is not to be</w:t>
      </w:r>
      <w:r w:rsidRPr="000435F2">
        <w:rPr>
          <w:lang w:val="en-US"/>
        </w:rPr>
        <w:t xml:space="preserve"> placed in a cent</w:t>
      </w:r>
      <w:r>
        <w:rPr>
          <w:lang w:val="en-US"/>
        </w:rPr>
        <w:t>r</w:t>
      </w:r>
      <w:r w:rsidRPr="000435F2">
        <w:rPr>
          <w:lang w:val="en-US"/>
        </w:rPr>
        <w:t>e o</w:t>
      </w:r>
      <w:r>
        <w:rPr>
          <w:lang w:val="en-US"/>
        </w:rPr>
        <w:t>r</w:t>
      </w:r>
      <w:r w:rsidRPr="000435F2">
        <w:rPr>
          <w:lang w:val="en-US"/>
        </w:rPr>
        <w:t xml:space="preserve"> prison for adults</w:t>
      </w:r>
      <w:r>
        <w:rPr>
          <w:lang w:val="en-US"/>
        </w:rPr>
        <w:t xml:space="preserve">, as there is </w:t>
      </w:r>
      <w:r w:rsidRPr="000435F2">
        <w:rPr>
          <w:lang w:val="en-US"/>
        </w:rPr>
        <w:t xml:space="preserve">abundant evidence that </w:t>
      </w:r>
      <w:r>
        <w:rPr>
          <w:lang w:val="en-US"/>
        </w:rPr>
        <w:t xml:space="preserve">this </w:t>
      </w:r>
      <w:r w:rsidRPr="000435F2">
        <w:rPr>
          <w:lang w:val="en-US"/>
        </w:rPr>
        <w:t>compromises their</w:t>
      </w:r>
      <w:r>
        <w:rPr>
          <w:lang w:val="en-US"/>
        </w:rPr>
        <w:t xml:space="preserve"> health and</w:t>
      </w:r>
      <w:r w:rsidRPr="000435F2">
        <w:rPr>
          <w:lang w:val="en-US"/>
        </w:rPr>
        <w:t xml:space="preserve"> basic safety and their future ability to remain free of crime and to </w:t>
      </w:r>
      <w:r w:rsidRPr="002D64A9">
        <w:t xml:space="preserve">reintegrate. The permitted exception to the separation of children from adults stated in article 37 (c) of </w:t>
      </w:r>
      <w:r>
        <w:t>the Convention</w:t>
      </w:r>
      <w:r w:rsidRPr="002D64A9">
        <w:t xml:space="preserve"> </w:t>
      </w:r>
      <w:r>
        <w:t xml:space="preserve">– </w:t>
      </w:r>
      <w:r w:rsidRPr="002D64A9">
        <w:t>“unless it is considered in the child’s best interests not to do so”</w:t>
      </w:r>
      <w:r w:rsidRPr="00255A0D">
        <w:t xml:space="preserve"> </w:t>
      </w:r>
      <w:r>
        <w:t>–</w:t>
      </w:r>
      <w:r w:rsidRPr="002D64A9">
        <w:t xml:space="preserve"> should be interpreted narrowly and the convenience of the States parties should not override best interests. States parties should establish separate facilities for children deprived of their liberty </w:t>
      </w:r>
      <w:r>
        <w:t>that</w:t>
      </w:r>
      <w:r w:rsidRPr="002D64A9">
        <w:t xml:space="preserve"> </w:t>
      </w:r>
      <w:r>
        <w:t>are staffed by</w:t>
      </w:r>
      <w:r w:rsidRPr="002D64A9">
        <w:t xml:space="preserve"> appropriately trained personnel and </w:t>
      </w:r>
      <w:r>
        <w:t xml:space="preserve">that </w:t>
      </w:r>
      <w:r w:rsidRPr="002D64A9">
        <w:t>operate according to child-friendly policies and practices.</w:t>
      </w:r>
    </w:p>
    <w:p w14:paraId="271827C1" w14:textId="77777777" w:rsidR="00FE4078" w:rsidRPr="002D64A9" w:rsidRDefault="00FE4078" w:rsidP="002D64A9">
      <w:pPr>
        <w:pStyle w:val="SingleTxtG"/>
      </w:pPr>
      <w:r>
        <w:lastRenderedPageBreak/>
        <w:t>93.</w:t>
      </w:r>
      <w:r>
        <w:tab/>
      </w:r>
      <w:r w:rsidRPr="002D64A9">
        <w:t>Th</w:t>
      </w:r>
      <w:r>
        <w:t>e above</w:t>
      </w:r>
      <w:r w:rsidRPr="002D64A9">
        <w:t xml:space="preserve"> rule does not mean that a child placed in a facility for children should be moved to a facility for adults immediately after he</w:t>
      </w:r>
      <w:r>
        <w:t xml:space="preserve"> or </w:t>
      </w:r>
      <w:r w:rsidRPr="002D64A9">
        <w:t xml:space="preserve">she </w:t>
      </w:r>
      <w:r>
        <w:t>reaches the age of</w:t>
      </w:r>
      <w:r w:rsidRPr="002D64A9">
        <w:t xml:space="preserve"> 18. </w:t>
      </w:r>
      <w:r>
        <w:t>The c</w:t>
      </w:r>
      <w:r w:rsidRPr="002D64A9">
        <w:t>ontinuation of his</w:t>
      </w:r>
      <w:r>
        <w:t xml:space="preserve"> or </w:t>
      </w:r>
      <w:r w:rsidRPr="002D64A9">
        <w:t>her stay in the facility for children should be possible if that is in his</w:t>
      </w:r>
      <w:r>
        <w:t xml:space="preserve"> or </w:t>
      </w:r>
      <w:r w:rsidRPr="002D64A9">
        <w:t>her best interest</w:t>
      </w:r>
      <w:r>
        <w:t>s</w:t>
      </w:r>
      <w:r w:rsidRPr="002D64A9">
        <w:t xml:space="preserve"> and not contrary to the best interests of the children in the facility.</w:t>
      </w:r>
    </w:p>
    <w:p w14:paraId="64B9DF0B" w14:textId="77777777" w:rsidR="00FE4078" w:rsidRPr="002D64A9" w:rsidRDefault="00FE4078" w:rsidP="002D64A9">
      <w:pPr>
        <w:pStyle w:val="SingleTxtG"/>
      </w:pPr>
      <w:r>
        <w:t>94.</w:t>
      </w:r>
      <w:r>
        <w:tab/>
      </w:r>
      <w:r w:rsidRPr="002D64A9">
        <w:t>Every child deprived of liberty has the right to maintain contact with his</w:t>
      </w:r>
      <w:r>
        <w:t xml:space="preserve"> or </w:t>
      </w:r>
      <w:r w:rsidRPr="002D64A9">
        <w:t xml:space="preserve">her family through correspondence and visits. </w:t>
      </w:r>
      <w:r>
        <w:t>T</w:t>
      </w:r>
      <w:r w:rsidRPr="002D64A9">
        <w:t xml:space="preserve">o facilitate visits, the child should be placed in a facility as close as possible to </w:t>
      </w:r>
      <w:r>
        <w:t xml:space="preserve">his or her family’s </w:t>
      </w:r>
      <w:r w:rsidRPr="002D64A9">
        <w:t>place of residence. Exceptional circumstances that may limit this contact should be clearly described in law and not be left to the discretion of the authorities.</w:t>
      </w:r>
    </w:p>
    <w:p w14:paraId="49AE9139" w14:textId="77777777" w:rsidR="00FE4078" w:rsidRPr="000435F2" w:rsidRDefault="00FE4078" w:rsidP="002D64A9">
      <w:pPr>
        <w:pStyle w:val="SingleTxtG"/>
        <w:rPr>
          <w:lang w:val="en-US"/>
        </w:rPr>
      </w:pPr>
      <w:r>
        <w:t>95.</w:t>
      </w:r>
      <w:r>
        <w:tab/>
      </w:r>
      <w:r w:rsidRPr="002D64A9">
        <w:t>The Committee emphasizes that, inter alia, the</w:t>
      </w:r>
      <w:r w:rsidRPr="000435F2">
        <w:rPr>
          <w:lang w:val="en-US"/>
        </w:rPr>
        <w:t xml:space="preserve"> following principles and rules need to be observed in all cases of deprivation of liberty:</w:t>
      </w:r>
    </w:p>
    <w:p w14:paraId="49060495" w14:textId="77777777" w:rsidR="00FE4078" w:rsidRPr="000435F2" w:rsidRDefault="00FE4078" w:rsidP="0075567E">
      <w:pPr>
        <w:pStyle w:val="SingleTxtG"/>
        <w:ind w:firstLine="567"/>
      </w:pPr>
      <w:r>
        <w:t>(a)</w:t>
      </w:r>
      <w:r>
        <w:tab/>
      </w:r>
      <w:r w:rsidRPr="000435F2">
        <w:t xml:space="preserve">Incommunicado detention is not permitted for persons </w:t>
      </w:r>
      <w:r>
        <w:t>below</w:t>
      </w:r>
      <w:r w:rsidRPr="000435F2">
        <w:t xml:space="preserve"> the age of 18</w:t>
      </w:r>
      <w:r>
        <w:t>;</w:t>
      </w:r>
    </w:p>
    <w:p w14:paraId="06EAAFE9" w14:textId="77777777" w:rsidR="00FE4078" w:rsidRPr="000435F2" w:rsidRDefault="00FE4078" w:rsidP="0075567E">
      <w:pPr>
        <w:pStyle w:val="SingleTxtG"/>
        <w:ind w:firstLine="567"/>
      </w:pPr>
      <w:r>
        <w:t>(b)</w:t>
      </w:r>
      <w:r>
        <w:tab/>
      </w:r>
      <w:r w:rsidRPr="000435F2">
        <w:t xml:space="preserve">Children should be provided with a physical environment and accommodation conducive to the reintegrative aims of residential placement. Due regard </w:t>
      </w:r>
      <w:r>
        <w:t xml:space="preserve">should </w:t>
      </w:r>
      <w:r w:rsidRPr="000435F2">
        <w:t xml:space="preserve">be given to their needs for privacy, </w:t>
      </w:r>
      <w:r>
        <w:t xml:space="preserve">for </w:t>
      </w:r>
      <w:r w:rsidRPr="000435F2">
        <w:t>sensory stimuli</w:t>
      </w:r>
      <w:r>
        <w:t xml:space="preserve"> and</w:t>
      </w:r>
      <w:r w:rsidRPr="000435F2">
        <w:t xml:space="preserve"> </w:t>
      </w:r>
      <w:r>
        <w:t xml:space="preserve">for </w:t>
      </w:r>
      <w:r w:rsidRPr="000435F2">
        <w:t>opportunities to associate with their peers and to participate in sports, physical exercise, arts and leisure</w:t>
      </w:r>
      <w:r>
        <w:t>-</w:t>
      </w:r>
      <w:r w:rsidRPr="000435F2">
        <w:t>time activities</w:t>
      </w:r>
      <w:r>
        <w:t>;</w:t>
      </w:r>
    </w:p>
    <w:p w14:paraId="746B20B5" w14:textId="77777777" w:rsidR="00FE4078" w:rsidRPr="000435F2" w:rsidRDefault="00FE4078" w:rsidP="0075567E">
      <w:pPr>
        <w:pStyle w:val="SingleTxtG"/>
        <w:ind w:firstLine="567"/>
      </w:pPr>
      <w:r>
        <w:t>(c)</w:t>
      </w:r>
      <w:r>
        <w:tab/>
      </w:r>
      <w:r w:rsidRPr="000435F2">
        <w:t>Every child has the right to education suited to his</w:t>
      </w:r>
      <w:r>
        <w:t xml:space="preserve"> or </w:t>
      </w:r>
      <w:r w:rsidRPr="000435F2">
        <w:t xml:space="preserve">her needs and abilities, including </w:t>
      </w:r>
      <w:r>
        <w:t xml:space="preserve">with regard </w:t>
      </w:r>
      <w:r w:rsidRPr="000435F2">
        <w:t>to undertak</w:t>
      </w:r>
      <w:r>
        <w:t>ing</w:t>
      </w:r>
      <w:r w:rsidRPr="000435F2">
        <w:t xml:space="preserve"> exams, and designed to prepare him</w:t>
      </w:r>
      <w:r>
        <w:t xml:space="preserve"> or </w:t>
      </w:r>
      <w:r w:rsidRPr="000435F2">
        <w:t>her for return to society; in addition, every child should, when appropriate, receive vocational training in occupations likely to prepare him</w:t>
      </w:r>
      <w:r>
        <w:t xml:space="preserve"> or </w:t>
      </w:r>
      <w:r w:rsidRPr="000435F2">
        <w:t>her for future employment</w:t>
      </w:r>
      <w:r>
        <w:t>;</w:t>
      </w:r>
    </w:p>
    <w:p w14:paraId="4CD2C041" w14:textId="77777777" w:rsidR="00FE4078" w:rsidRPr="000435F2" w:rsidRDefault="00FE4078" w:rsidP="0075567E">
      <w:pPr>
        <w:pStyle w:val="SingleTxtG"/>
        <w:ind w:firstLine="567"/>
      </w:pPr>
      <w:r>
        <w:t>(d)</w:t>
      </w:r>
      <w:r>
        <w:tab/>
      </w:r>
      <w:r w:rsidRPr="000435F2">
        <w:t>Every child has the right to be examined by a physician or a health practitioner upon admission to the detention</w:t>
      </w:r>
      <w:r>
        <w:t xml:space="preserve"> or </w:t>
      </w:r>
      <w:r w:rsidRPr="000435F2">
        <w:t xml:space="preserve">correctional facility and </w:t>
      </w:r>
      <w:r>
        <w:t>is to</w:t>
      </w:r>
      <w:r w:rsidRPr="000435F2">
        <w:t xml:space="preserve"> receive adequate </w:t>
      </w:r>
      <w:r>
        <w:t xml:space="preserve">physical and mental health </w:t>
      </w:r>
      <w:r w:rsidRPr="000435F2">
        <w:t>care throughout his</w:t>
      </w:r>
      <w:r>
        <w:t xml:space="preserve"> or </w:t>
      </w:r>
      <w:r w:rsidRPr="000435F2">
        <w:t xml:space="preserve">her stay in the facility, which should be provided, where possible, by </w:t>
      </w:r>
      <w:r>
        <w:t xml:space="preserve">the </w:t>
      </w:r>
      <w:r w:rsidRPr="000435F2">
        <w:t>health facilities and services of the community</w:t>
      </w:r>
      <w:r>
        <w:t>;</w:t>
      </w:r>
    </w:p>
    <w:p w14:paraId="4C266B3C" w14:textId="77777777" w:rsidR="00FE4078" w:rsidRPr="000435F2" w:rsidRDefault="00FE4078" w:rsidP="0075567E">
      <w:pPr>
        <w:pStyle w:val="SingleTxtG"/>
        <w:ind w:firstLine="567"/>
      </w:pPr>
      <w:r>
        <w:t>(e)</w:t>
      </w:r>
      <w:r>
        <w:tab/>
      </w:r>
      <w:r w:rsidRPr="000435F2">
        <w:t xml:space="preserve">The staff of the facility should promote and facilitate frequent contact </w:t>
      </w:r>
      <w:r>
        <w:t>by</w:t>
      </w:r>
      <w:r w:rsidRPr="000435F2">
        <w:t xml:space="preserve"> the child with the wider community, including communications with his</w:t>
      </w:r>
      <w:r>
        <w:t xml:space="preserve"> or </w:t>
      </w:r>
      <w:r w:rsidRPr="000435F2">
        <w:t>her family, friends and other persons</w:t>
      </w:r>
      <w:r>
        <w:t>, including</w:t>
      </w:r>
      <w:r w:rsidRPr="000435F2">
        <w:t xml:space="preserve"> representatives of reputable outside organizations, and the opportunity to visit his</w:t>
      </w:r>
      <w:r>
        <w:t xml:space="preserve"> or </w:t>
      </w:r>
      <w:r w:rsidRPr="000435F2">
        <w:t xml:space="preserve">her home and family. There </w:t>
      </w:r>
      <w:r>
        <w:t xml:space="preserve">is to </w:t>
      </w:r>
      <w:r w:rsidRPr="000435F2">
        <w:t xml:space="preserve">be no restriction on </w:t>
      </w:r>
      <w:r>
        <w:t>the child’s</w:t>
      </w:r>
      <w:r w:rsidRPr="000435F2">
        <w:t xml:space="preserve"> ability to communicate confidentially and at any time with his or her lawyer or other assistant</w:t>
      </w:r>
      <w:r>
        <w:t>;</w:t>
      </w:r>
    </w:p>
    <w:p w14:paraId="78ECACAB" w14:textId="77777777" w:rsidR="00FE4078" w:rsidRPr="000435F2" w:rsidRDefault="00FE4078" w:rsidP="0075567E">
      <w:pPr>
        <w:pStyle w:val="SingleTxtG"/>
        <w:ind w:firstLine="567"/>
      </w:pPr>
      <w:r>
        <w:lastRenderedPageBreak/>
        <w:t>(f)</w:t>
      </w:r>
      <w:r>
        <w:tab/>
      </w:r>
      <w:r w:rsidRPr="000435F2">
        <w:t>Restraint or force can be used only when the child poses an imminent threat of injury to him</w:t>
      </w:r>
      <w:r>
        <w:t>self</w:t>
      </w:r>
      <w:r w:rsidRPr="000435F2">
        <w:t xml:space="preserve"> or herself or others, and only when all other means of control have been exhausted. </w:t>
      </w:r>
      <w:r>
        <w:t xml:space="preserve">Restraint should not be used to secure compliance and should never involve deliberate infliction of pain. </w:t>
      </w:r>
      <w:r w:rsidRPr="000435F2">
        <w:t xml:space="preserve">It </w:t>
      </w:r>
      <w:r>
        <w:t xml:space="preserve">is </w:t>
      </w:r>
      <w:r w:rsidRPr="000435F2">
        <w:t xml:space="preserve">never </w:t>
      </w:r>
      <w:r>
        <w:t xml:space="preserve">to </w:t>
      </w:r>
      <w:r w:rsidRPr="000435F2">
        <w:t>be used as a means of punishment. The use of restraint or force, including physical, mechanical and medical</w:t>
      </w:r>
      <w:r>
        <w:t xml:space="preserve"> or pharmacological</w:t>
      </w:r>
      <w:r w:rsidRPr="000435F2">
        <w:t xml:space="preserve"> restraints, should be under close, direct and continuous control of a medical and/or psychological professional.</w:t>
      </w:r>
      <w:r>
        <w:t xml:space="preserve"> </w:t>
      </w:r>
      <w:r w:rsidRPr="000435F2">
        <w:t>Staff of the facility should receive training on the applicable standards and members of the staff who use restraint or force in violation of the rules and standards should be punished appropriately</w:t>
      </w:r>
      <w:r>
        <w:t>. States should record, monitor and evaluate all incidents of restraint or use of force and ensure that it is reduced to a minimum;</w:t>
      </w:r>
    </w:p>
    <w:p w14:paraId="2AA90E17" w14:textId="77777777" w:rsidR="00FE4078" w:rsidRDefault="00FE4078" w:rsidP="0075567E">
      <w:pPr>
        <w:pStyle w:val="SingleTxtG"/>
        <w:ind w:firstLine="567"/>
      </w:pPr>
      <w:r>
        <w:t>(g)</w:t>
      </w:r>
      <w:r>
        <w:tab/>
      </w:r>
      <w:r w:rsidRPr="000435F2">
        <w:t xml:space="preserve">Any disciplinary measure </w:t>
      </w:r>
      <w:r>
        <w:t xml:space="preserve">is to </w:t>
      </w:r>
      <w:r w:rsidRPr="000435F2">
        <w:t>be consistent with upholding the inherent dignity of the child and the fundamental objectives of institutional care</w:t>
      </w:r>
      <w:r>
        <w:t>.</w:t>
      </w:r>
      <w:r w:rsidRPr="000435F2">
        <w:t xml:space="preserve"> </w:t>
      </w:r>
      <w:r>
        <w:t>D</w:t>
      </w:r>
      <w:r w:rsidRPr="000435F2">
        <w:t xml:space="preserve">isciplinary measures in violation of article 37 of </w:t>
      </w:r>
      <w:r>
        <w:t xml:space="preserve">the Convention must </w:t>
      </w:r>
      <w:r w:rsidRPr="000435F2">
        <w:t>be strictly forbidden, including corporal punishment, placement in a dark cell, solitary confinement or any other punishment that may compromise the physical or mental health or well-being of the child concerned</w:t>
      </w:r>
      <w:r>
        <w:t>, and disciplinary measures should not deprive children of their basic rights, such as visits by legal representative, family contact, food, water, clothing, bedding, education, exercise or meaningful daily contact with others;</w:t>
      </w:r>
    </w:p>
    <w:p w14:paraId="328E4679" w14:textId="77777777" w:rsidR="00FE4078" w:rsidRPr="000435F2" w:rsidRDefault="00FE4078" w:rsidP="0075567E">
      <w:pPr>
        <w:pStyle w:val="SingleTxtG"/>
        <w:ind w:firstLine="567"/>
      </w:pPr>
      <w:r>
        <w:t>(h)</w:t>
      </w:r>
      <w:r>
        <w:tab/>
        <w:t>Solitary confinement should not be used for a child. Any separation of the child from others should be for the shortest possible time and used only as a measure of last resort for the protection of the child or others. Where it is deemed necessary to hold a child separately, this should be done in the presence or under the close supervision of a suitably trained staff member, and the reasons and duration should be recorded;</w:t>
      </w:r>
    </w:p>
    <w:p w14:paraId="173259B0" w14:textId="77777777" w:rsidR="00FE4078" w:rsidRDefault="00FE4078" w:rsidP="0075567E">
      <w:pPr>
        <w:pStyle w:val="SingleTxtG"/>
        <w:ind w:firstLine="567"/>
      </w:pPr>
      <w:r>
        <w:t>(i)</w:t>
      </w:r>
      <w:r>
        <w:tab/>
      </w:r>
      <w:r w:rsidRPr="000435F2">
        <w:t xml:space="preserve">Every child should have the right to make requests or complaints, without censorship as to the substance, to the central administration, the judicial authority or </w:t>
      </w:r>
      <w:r>
        <w:t xml:space="preserve">any </w:t>
      </w:r>
      <w:r w:rsidRPr="000435F2">
        <w:t xml:space="preserve">other proper independent authority, and to be informed of the response without delay. Children need to know </w:t>
      </w:r>
      <w:r>
        <w:t xml:space="preserve">their rights and to know </w:t>
      </w:r>
      <w:r w:rsidRPr="000435F2">
        <w:t xml:space="preserve">about and have easy access to </w:t>
      </w:r>
      <w:r>
        <w:t>request and complaints</w:t>
      </w:r>
      <w:r w:rsidRPr="000435F2">
        <w:t xml:space="preserve"> mechanisms;</w:t>
      </w:r>
    </w:p>
    <w:p w14:paraId="01A78497" w14:textId="77777777" w:rsidR="00FE4078" w:rsidRDefault="00FE4078" w:rsidP="0075567E">
      <w:pPr>
        <w:pStyle w:val="SingleTxtG"/>
        <w:ind w:firstLine="567"/>
      </w:pPr>
      <w:r>
        <w:t>(j)</w:t>
      </w:r>
      <w:r>
        <w:tab/>
      </w:r>
      <w:r w:rsidRPr="000435F2">
        <w:t>Independent and qualified inspectors should be empowered to conduct inspections on a regular basis and to undertake unannounced inspections on their own initiative; they should place special emphasis on holding conversations with children in the facilities, in a confidential setting</w:t>
      </w:r>
      <w:r>
        <w:t>;</w:t>
      </w:r>
    </w:p>
    <w:p w14:paraId="12964B8E" w14:textId="77777777" w:rsidR="00FE4078" w:rsidRPr="000435F2" w:rsidRDefault="00FE4078" w:rsidP="0075567E">
      <w:pPr>
        <w:pStyle w:val="SingleTxtG"/>
        <w:ind w:firstLine="567"/>
      </w:pPr>
      <w:r>
        <w:lastRenderedPageBreak/>
        <w:t>(k)</w:t>
      </w:r>
      <w:r>
        <w:tab/>
        <w:t>States parties should ensure that there are no incentives to deprive children of their liberty and no opportunities for corruption regarding placement, or regarding the provision of goods and services or contact with family.</w:t>
      </w:r>
    </w:p>
    <w:p w14:paraId="2ADD50FE" w14:textId="77777777" w:rsidR="00FE4078" w:rsidRPr="000435F2" w:rsidRDefault="00FE4078" w:rsidP="00702C9E">
      <w:pPr>
        <w:pStyle w:val="H1G"/>
      </w:pPr>
      <w:r w:rsidRPr="000435F2">
        <w:tab/>
        <w:t>G.</w:t>
      </w:r>
      <w:r w:rsidRPr="000435F2">
        <w:tab/>
      </w:r>
      <w:r w:rsidRPr="00702C9E">
        <w:t>Specific</w:t>
      </w:r>
      <w:r w:rsidRPr="000435F2">
        <w:t xml:space="preserve"> issues</w:t>
      </w:r>
    </w:p>
    <w:p w14:paraId="0778ED6A" w14:textId="77777777" w:rsidR="00FE4078" w:rsidRDefault="00FE4078" w:rsidP="00702C9E">
      <w:pPr>
        <w:pStyle w:val="H23G"/>
      </w:pPr>
      <w:r w:rsidRPr="000435F2">
        <w:tab/>
      </w:r>
      <w:r>
        <w:tab/>
      </w:r>
      <w:r>
        <w:tab/>
      </w:r>
      <w:r w:rsidRPr="00702C9E">
        <w:t>Military</w:t>
      </w:r>
      <w:r>
        <w:t xml:space="preserve"> courts and State security courts </w:t>
      </w:r>
    </w:p>
    <w:p w14:paraId="4538C221" w14:textId="77777777" w:rsidR="00FE4078" w:rsidRDefault="00FE4078" w:rsidP="002D64A9">
      <w:pPr>
        <w:pStyle w:val="SingleTxtG"/>
      </w:pPr>
      <w:r>
        <w:t>96.</w:t>
      </w:r>
      <w:r>
        <w:tab/>
        <w:t>T</w:t>
      </w:r>
      <w:r w:rsidRPr="00451025">
        <w:rPr>
          <w:lang w:val="en-US"/>
        </w:rPr>
        <w:t xml:space="preserve">here is </w:t>
      </w:r>
      <w:r>
        <w:rPr>
          <w:lang w:val="en-US"/>
        </w:rPr>
        <w:t xml:space="preserve">an emerging view </w:t>
      </w:r>
      <w:r w:rsidRPr="00451025">
        <w:rPr>
          <w:lang w:val="en-US"/>
        </w:rPr>
        <w:t xml:space="preserve">that trials of civilians by military tribunals </w:t>
      </w:r>
      <w:r>
        <w:rPr>
          <w:lang w:val="en-US"/>
        </w:rPr>
        <w:t xml:space="preserve">and State security courts </w:t>
      </w:r>
      <w:r w:rsidRPr="00451025">
        <w:rPr>
          <w:lang w:val="en-US"/>
        </w:rPr>
        <w:t>contravene the non-</w:t>
      </w:r>
      <w:proofErr w:type="spellStart"/>
      <w:r w:rsidRPr="00451025">
        <w:rPr>
          <w:lang w:val="en-US"/>
        </w:rPr>
        <w:t>derogable</w:t>
      </w:r>
      <w:proofErr w:type="spellEnd"/>
      <w:r w:rsidRPr="00451025">
        <w:rPr>
          <w:lang w:val="en-US"/>
        </w:rPr>
        <w:t xml:space="preserve"> right to a fair trial by a competent, independent and impartial court. </w:t>
      </w:r>
      <w:r w:rsidRPr="002D64A9">
        <w:t>This</w:t>
      </w:r>
      <w:r w:rsidRPr="00451025">
        <w:rPr>
          <w:lang w:val="en-US"/>
        </w:rPr>
        <w:t xml:space="preserve"> is an even more concerning breach of rights for children, who should always be dealt with in specialized child justice systems. </w:t>
      </w:r>
      <w:r>
        <w:rPr>
          <w:lang w:val="en-US"/>
        </w:rPr>
        <w:t>The Committee has raised concerns about this in several</w:t>
      </w:r>
      <w:r w:rsidRPr="00451025">
        <w:rPr>
          <w:lang w:val="en-US"/>
        </w:rPr>
        <w:t xml:space="preserve"> concluding observations.</w:t>
      </w:r>
    </w:p>
    <w:p w14:paraId="2D7C3A2D" w14:textId="77777777" w:rsidR="00FE4078" w:rsidRPr="000435F2" w:rsidRDefault="00FE4078" w:rsidP="00702C9E">
      <w:pPr>
        <w:pStyle w:val="H23G"/>
      </w:pPr>
      <w:r>
        <w:tab/>
      </w:r>
      <w:r>
        <w:tab/>
      </w:r>
      <w:r w:rsidRPr="008655AE">
        <w:t>Children recruited and used by non-State armed groups, including those designated as terrorist</w:t>
      </w:r>
      <w:r>
        <w:t xml:space="preserve"> groups, and children charged in counter-terrorism contexts</w:t>
      </w:r>
    </w:p>
    <w:p w14:paraId="11D0ABC3" w14:textId="77777777" w:rsidR="00FE4078" w:rsidRPr="002D64A9" w:rsidRDefault="00FE4078" w:rsidP="002D64A9">
      <w:pPr>
        <w:pStyle w:val="SingleTxtG"/>
      </w:pPr>
      <w:r>
        <w:rPr>
          <w:lang w:val="en-US"/>
        </w:rPr>
        <w:t>97.</w:t>
      </w:r>
      <w:r>
        <w:rPr>
          <w:lang w:val="en-US"/>
        </w:rPr>
        <w:tab/>
      </w:r>
      <w:r w:rsidRPr="000435F2">
        <w:rPr>
          <w:lang w:val="en-US"/>
        </w:rPr>
        <w:t xml:space="preserve">The United Nations has verified numerous cases of recruitment and exploitation of children by non-State armed groups, </w:t>
      </w:r>
      <w:r>
        <w:rPr>
          <w:lang w:val="en-US"/>
        </w:rPr>
        <w:t xml:space="preserve">including those designated as </w:t>
      </w:r>
      <w:r w:rsidRPr="000435F2">
        <w:rPr>
          <w:lang w:val="en-US"/>
        </w:rPr>
        <w:t>terrorist</w:t>
      </w:r>
      <w:r>
        <w:rPr>
          <w:lang w:val="en-US"/>
        </w:rPr>
        <w:t xml:space="preserve"> groups,</w:t>
      </w:r>
      <w:r w:rsidRPr="000435F2">
        <w:rPr>
          <w:lang w:val="en-US"/>
        </w:rPr>
        <w:t xml:space="preserve"> not only in conflict areas but also in non-conflict areas, including </w:t>
      </w:r>
      <w:r w:rsidRPr="002D64A9">
        <w:t>children’s countries of origin</w:t>
      </w:r>
      <w:r>
        <w:t xml:space="preserve"> and countries of </w:t>
      </w:r>
      <w:r w:rsidRPr="002D64A9">
        <w:t xml:space="preserve">transit or return. </w:t>
      </w:r>
    </w:p>
    <w:p w14:paraId="0D5A2266" w14:textId="77777777" w:rsidR="00FE4078" w:rsidRPr="002D64A9" w:rsidRDefault="00FE4078" w:rsidP="002D64A9">
      <w:pPr>
        <w:pStyle w:val="SingleTxtG"/>
      </w:pPr>
      <w:r>
        <w:t>98.</w:t>
      </w:r>
      <w:r>
        <w:tab/>
      </w:r>
      <w:r w:rsidRPr="002D64A9">
        <w:t>When under the control of such groups, children may become victims of multiple forms of violations</w:t>
      </w:r>
      <w:r>
        <w:t>,</w:t>
      </w:r>
      <w:r w:rsidRPr="002D64A9">
        <w:t xml:space="preserve"> such as conscription</w:t>
      </w:r>
      <w:r>
        <w:t>;</w:t>
      </w:r>
      <w:r w:rsidRPr="002D64A9">
        <w:t xml:space="preserve"> military training</w:t>
      </w:r>
      <w:r>
        <w:t>;</w:t>
      </w:r>
      <w:r w:rsidRPr="002D64A9">
        <w:t xml:space="preserve"> being used in hostilities and/or terrorist acts, including suicide attacks</w:t>
      </w:r>
      <w:r>
        <w:t>; being</w:t>
      </w:r>
      <w:r w:rsidRPr="002D64A9">
        <w:t xml:space="preserve"> forced to carry out executions</w:t>
      </w:r>
      <w:r>
        <w:t>; being</w:t>
      </w:r>
      <w:r w:rsidRPr="002D64A9">
        <w:t xml:space="preserve"> used as human shields</w:t>
      </w:r>
      <w:r>
        <w:t>;</w:t>
      </w:r>
      <w:r w:rsidRPr="002D64A9">
        <w:t xml:space="preserve"> abduction</w:t>
      </w:r>
      <w:r>
        <w:t>;</w:t>
      </w:r>
      <w:r w:rsidRPr="002D64A9">
        <w:t xml:space="preserve"> sale</w:t>
      </w:r>
      <w:r>
        <w:t>;</w:t>
      </w:r>
      <w:r w:rsidRPr="002D64A9">
        <w:t xml:space="preserve"> trafficking</w:t>
      </w:r>
      <w:r>
        <w:t>;</w:t>
      </w:r>
      <w:r w:rsidRPr="002D64A9">
        <w:t xml:space="preserve"> sexual exploitation</w:t>
      </w:r>
      <w:r>
        <w:t>;</w:t>
      </w:r>
      <w:r w:rsidRPr="002D64A9">
        <w:t xml:space="preserve"> child marriage</w:t>
      </w:r>
      <w:r>
        <w:t>;</w:t>
      </w:r>
      <w:r w:rsidRPr="002D64A9">
        <w:t xml:space="preserve"> </w:t>
      </w:r>
      <w:r>
        <w:t xml:space="preserve">being used for the </w:t>
      </w:r>
      <w:r w:rsidRPr="002D64A9">
        <w:t>transport or sale of drugs</w:t>
      </w:r>
      <w:r>
        <w:t>;</w:t>
      </w:r>
      <w:r w:rsidRPr="002D64A9">
        <w:t xml:space="preserve"> </w:t>
      </w:r>
      <w:r>
        <w:t>or being</w:t>
      </w:r>
      <w:r w:rsidRPr="002D64A9">
        <w:t xml:space="preserve"> exploit</w:t>
      </w:r>
      <w:r>
        <w:t>ed</w:t>
      </w:r>
      <w:r w:rsidRPr="002D64A9">
        <w:t xml:space="preserve"> to carry out dangerous tasks, such as spying,</w:t>
      </w:r>
      <w:r>
        <w:t xml:space="preserve"> conducting</w:t>
      </w:r>
      <w:r w:rsidRPr="002D64A9">
        <w:t xml:space="preserve"> surveillance, </w:t>
      </w:r>
      <w:r>
        <w:t>guarding</w:t>
      </w:r>
      <w:r w:rsidRPr="002D64A9">
        <w:t xml:space="preserve"> checkpoints, conducting patrols or transporting military equipment. It has been reported that non-State armed groups and those designated as terrorist </w:t>
      </w:r>
      <w:r>
        <w:t xml:space="preserve">groups </w:t>
      </w:r>
      <w:r w:rsidRPr="002D64A9">
        <w:t>also force children to commit acts of violence against their own families or within their own communities to demonstrate loyalty and to discourage future defection.</w:t>
      </w:r>
    </w:p>
    <w:p w14:paraId="55E64C44" w14:textId="77777777" w:rsidR="00FE4078" w:rsidRPr="000435F2" w:rsidRDefault="00FE4078" w:rsidP="002D64A9">
      <w:pPr>
        <w:pStyle w:val="SingleTxtG"/>
        <w:rPr>
          <w:lang w:val="en-US"/>
        </w:rPr>
      </w:pPr>
      <w:r>
        <w:t>99.</w:t>
      </w:r>
      <w:r>
        <w:tab/>
        <w:t xml:space="preserve">The </w:t>
      </w:r>
      <w:r w:rsidRPr="002D64A9">
        <w:t xml:space="preserve">authorities </w:t>
      </w:r>
      <w:r>
        <w:t xml:space="preserve">of </w:t>
      </w:r>
      <w:r w:rsidRPr="002D64A9">
        <w:t>States parties face a number of challenges when dealing with these children. Some States parties have adopted a punitive approach with no or limited consideration of children’s rights, resulting in lasting consequences</w:t>
      </w:r>
      <w:r w:rsidRPr="000435F2">
        <w:rPr>
          <w:lang w:val="en-US"/>
        </w:rPr>
        <w:t xml:space="preserve"> for the development of the child and having a negative impact on the opportunities for social reintegration, </w:t>
      </w:r>
      <w:r w:rsidRPr="000435F2">
        <w:rPr>
          <w:lang w:val="en-US"/>
        </w:rPr>
        <w:lastRenderedPageBreak/>
        <w:t>which in turn may have serious consequences for the broader society. Often, these children are arrested, detained, prosecuted and put on trial for their actions in conflict areas and,</w:t>
      </w:r>
      <w:r>
        <w:rPr>
          <w:lang w:val="en-US"/>
        </w:rPr>
        <w:t xml:space="preserve"> to a </w:t>
      </w:r>
      <w:r w:rsidRPr="000435F2">
        <w:rPr>
          <w:lang w:val="en-US"/>
        </w:rPr>
        <w:t>less</w:t>
      </w:r>
      <w:r>
        <w:rPr>
          <w:lang w:val="en-US"/>
        </w:rPr>
        <w:t>er extent</w:t>
      </w:r>
      <w:r w:rsidRPr="000435F2">
        <w:rPr>
          <w:lang w:val="en-US"/>
        </w:rPr>
        <w:t xml:space="preserve">, also in their countries of origin or return. </w:t>
      </w:r>
    </w:p>
    <w:p w14:paraId="7F08A2CB" w14:textId="77777777" w:rsidR="00FE4078" w:rsidRPr="002D64A9" w:rsidRDefault="00FE4078" w:rsidP="002D64A9">
      <w:pPr>
        <w:pStyle w:val="SingleTxtG"/>
      </w:pPr>
      <w:r>
        <w:rPr>
          <w:lang w:val="en-US"/>
        </w:rPr>
        <w:t>100.</w:t>
      </w:r>
      <w:r>
        <w:rPr>
          <w:lang w:val="en-US"/>
        </w:rPr>
        <w:tab/>
      </w:r>
      <w:r w:rsidRPr="000435F2">
        <w:rPr>
          <w:lang w:val="en-US"/>
        </w:rPr>
        <w:t xml:space="preserve">The Committee </w:t>
      </w:r>
      <w:r>
        <w:rPr>
          <w:lang w:val="en-US"/>
        </w:rPr>
        <w:t xml:space="preserve">draws the attention of </w:t>
      </w:r>
      <w:r w:rsidRPr="000435F2">
        <w:rPr>
          <w:lang w:val="en-US"/>
        </w:rPr>
        <w:t xml:space="preserve">States parties </w:t>
      </w:r>
      <w:r>
        <w:rPr>
          <w:lang w:val="en-US"/>
        </w:rPr>
        <w:t xml:space="preserve">to Security Council resolution 2427 (2018). In the resolution, the Council stressed the need to establish standard operating procedures for the rapid handover of children </w:t>
      </w:r>
      <w:r>
        <w:t>associated or allegedly associated with all non-State armed groups, including those who committed acts of terrorism,</w:t>
      </w:r>
      <w:r>
        <w:rPr>
          <w:lang w:val="en-US"/>
        </w:rPr>
        <w:t xml:space="preserve"> to relevant civilian child protection actors. The Council emphasized </w:t>
      </w:r>
      <w:r w:rsidRPr="000435F2">
        <w:rPr>
          <w:lang w:val="en-US"/>
        </w:rPr>
        <w:t>that</w:t>
      </w:r>
      <w:r>
        <w:rPr>
          <w:lang w:val="en-US"/>
        </w:rPr>
        <w:t xml:space="preserve"> </w:t>
      </w:r>
      <w:r>
        <w:t>children who had been recruited in violation of applicable international law by armed forces and armed groups and were accused of having committed crimes during armed conflicts</w:t>
      </w:r>
      <w:r w:rsidRPr="000435F2">
        <w:rPr>
          <w:lang w:val="en-US"/>
        </w:rPr>
        <w:t xml:space="preserve"> should</w:t>
      </w:r>
      <w:r>
        <w:rPr>
          <w:lang w:val="en-US"/>
        </w:rPr>
        <w:t xml:space="preserve"> be</w:t>
      </w:r>
      <w:r w:rsidRPr="000435F2">
        <w:rPr>
          <w:lang w:val="en-US"/>
        </w:rPr>
        <w:t xml:space="preserve"> treat</w:t>
      </w:r>
      <w:r>
        <w:rPr>
          <w:lang w:val="en-US"/>
        </w:rPr>
        <w:t>ed</w:t>
      </w:r>
      <w:r w:rsidRPr="000435F2">
        <w:rPr>
          <w:lang w:val="en-US"/>
        </w:rPr>
        <w:t xml:space="preserve"> primarily as victims </w:t>
      </w:r>
      <w:r>
        <w:rPr>
          <w:lang w:val="en-US"/>
        </w:rPr>
        <w:t>of violations of international law</w:t>
      </w:r>
      <w:r w:rsidRPr="000435F2">
        <w:rPr>
          <w:lang w:val="en-US"/>
        </w:rPr>
        <w:t xml:space="preserve">. </w:t>
      </w:r>
      <w:r>
        <w:rPr>
          <w:lang w:val="en-US"/>
        </w:rPr>
        <w:t>The Council also urged Member States to consider non-</w:t>
      </w:r>
      <w:r w:rsidRPr="002D64A9">
        <w:t xml:space="preserve">judicial measures as alternatives to prosecution and detention </w:t>
      </w:r>
      <w:r>
        <w:t>that</w:t>
      </w:r>
      <w:r w:rsidRPr="002D64A9">
        <w:t xml:space="preserve"> </w:t>
      </w:r>
      <w:r>
        <w:t xml:space="preserve">were </w:t>
      </w:r>
      <w:r w:rsidRPr="002D64A9">
        <w:t>focus</w:t>
      </w:r>
      <w:r>
        <w:t>ed</w:t>
      </w:r>
      <w:r w:rsidRPr="002D64A9">
        <w:t xml:space="preserve"> on reintegration, and call</w:t>
      </w:r>
      <w:r>
        <w:t>ed on them to apply</w:t>
      </w:r>
      <w:r w:rsidRPr="002D64A9">
        <w:t xml:space="preserve"> due process for all children detained </w:t>
      </w:r>
      <w:r>
        <w:t>for</w:t>
      </w:r>
      <w:r w:rsidRPr="002D64A9">
        <w:t xml:space="preserve"> association with armed forces </w:t>
      </w:r>
      <w:r>
        <w:t>and</w:t>
      </w:r>
      <w:r w:rsidRPr="002D64A9">
        <w:t xml:space="preserve"> </w:t>
      </w:r>
      <w:r>
        <w:t xml:space="preserve">armed </w:t>
      </w:r>
      <w:r w:rsidRPr="002D64A9">
        <w:t>groups.</w:t>
      </w:r>
    </w:p>
    <w:p w14:paraId="095A3AA3" w14:textId="77777777" w:rsidR="00FE4078" w:rsidRDefault="00FE4078" w:rsidP="002D64A9">
      <w:pPr>
        <w:pStyle w:val="SingleTxtG"/>
        <w:rPr>
          <w:lang w:val="en-US"/>
        </w:rPr>
      </w:pPr>
      <w:r>
        <w:t>101.</w:t>
      </w:r>
      <w:r>
        <w:tab/>
      </w:r>
      <w:r w:rsidRPr="002D64A9">
        <w:t xml:space="preserve">States parties should ensure that all children charged with offences, regardless of the gravity or the context, are dealt </w:t>
      </w:r>
      <w:r w:rsidRPr="007E33F1">
        <w:t>with in terms</w:t>
      </w:r>
      <w:r w:rsidRPr="002D64A9">
        <w:t xml:space="preserve"> of articles 37 and 40 of the C</w:t>
      </w:r>
      <w:r>
        <w:t xml:space="preserve">onvention, </w:t>
      </w:r>
      <w:r w:rsidRPr="000435F2">
        <w:rPr>
          <w:lang w:val="en-US"/>
        </w:rPr>
        <w:t>and</w:t>
      </w:r>
      <w:r>
        <w:rPr>
          <w:lang w:val="en-US"/>
        </w:rPr>
        <w:t xml:space="preserve"> should</w:t>
      </w:r>
      <w:r w:rsidRPr="000435F2">
        <w:rPr>
          <w:lang w:val="en-US"/>
        </w:rPr>
        <w:t xml:space="preserve"> refrain from charging and prosecuting them for</w:t>
      </w:r>
      <w:r>
        <w:rPr>
          <w:lang w:val="en-US"/>
        </w:rPr>
        <w:t xml:space="preserve"> expressions of opinion or for</w:t>
      </w:r>
      <w:r w:rsidRPr="000435F2">
        <w:rPr>
          <w:lang w:val="en-US"/>
        </w:rPr>
        <w:t xml:space="preserve"> mere association with a non-State armed group</w:t>
      </w:r>
      <w:r>
        <w:rPr>
          <w:lang w:val="en-US"/>
        </w:rPr>
        <w:t>,</w:t>
      </w:r>
      <w:r w:rsidRPr="000435F2">
        <w:rPr>
          <w:lang w:val="en-US"/>
        </w:rPr>
        <w:t xml:space="preserve"> </w:t>
      </w:r>
      <w:r>
        <w:rPr>
          <w:lang w:val="en-US"/>
        </w:rPr>
        <w:t xml:space="preserve">including those designated as </w:t>
      </w:r>
      <w:r w:rsidRPr="000435F2">
        <w:rPr>
          <w:lang w:val="en-US"/>
        </w:rPr>
        <w:t>terrorist</w:t>
      </w:r>
      <w:r>
        <w:rPr>
          <w:lang w:val="en-US"/>
        </w:rPr>
        <w:t xml:space="preserve"> groups.</w:t>
      </w:r>
      <w:r w:rsidRPr="002D64A9">
        <w:t xml:space="preserve"> In line with </w:t>
      </w:r>
      <w:r>
        <w:t xml:space="preserve">paragraph 88 of its </w:t>
      </w:r>
      <w:r w:rsidRPr="002D64A9">
        <w:t>general comment No. 20, the Committee further recommends that States parties adopt preventive interventions to tackle social factors and root causes</w:t>
      </w:r>
      <w:r>
        <w:t>,</w:t>
      </w:r>
      <w:r w:rsidRPr="000435F2">
        <w:rPr>
          <w:lang w:val="en-US"/>
        </w:rPr>
        <w:t xml:space="preserve"> as well as </w:t>
      </w:r>
      <w:r>
        <w:rPr>
          <w:lang w:val="en-US"/>
        </w:rPr>
        <w:t xml:space="preserve">social </w:t>
      </w:r>
      <w:r w:rsidRPr="000435F2">
        <w:rPr>
          <w:lang w:val="en-US"/>
        </w:rPr>
        <w:t>reintegration measures,</w:t>
      </w:r>
      <w:r>
        <w:rPr>
          <w:lang w:val="en-US"/>
        </w:rPr>
        <w:t xml:space="preserve"> </w:t>
      </w:r>
      <w:r w:rsidRPr="000435F2">
        <w:rPr>
          <w:lang w:val="en-US"/>
        </w:rPr>
        <w:t>including when implementing Security Council resolutions</w:t>
      </w:r>
      <w:r>
        <w:rPr>
          <w:lang w:val="en-US"/>
        </w:rPr>
        <w:t xml:space="preserve"> related to counter-terrorism</w:t>
      </w:r>
      <w:r w:rsidRPr="000435F2">
        <w:rPr>
          <w:lang w:val="en-US"/>
        </w:rPr>
        <w:t>, such as resolutions 1373 (2001), 2178 (2014), 2396</w:t>
      </w:r>
      <w:r>
        <w:rPr>
          <w:lang w:val="en-US"/>
        </w:rPr>
        <w:t> </w:t>
      </w:r>
      <w:r w:rsidRPr="000435F2">
        <w:rPr>
          <w:lang w:val="en-US"/>
        </w:rPr>
        <w:t>(2017)</w:t>
      </w:r>
      <w:r>
        <w:rPr>
          <w:lang w:val="en-US"/>
        </w:rPr>
        <w:t xml:space="preserve"> and 2427 (2018), and General Assembly resolution </w:t>
      </w:r>
      <w:r w:rsidRPr="00E0319E">
        <w:rPr>
          <w:lang w:val="en-US"/>
        </w:rPr>
        <w:t>72/284</w:t>
      </w:r>
      <w:r>
        <w:rPr>
          <w:lang w:val="en-US"/>
        </w:rPr>
        <w:t>, in particular the recommendations contained in paragraph 18</w:t>
      </w:r>
      <w:r w:rsidRPr="000435F2">
        <w:rPr>
          <w:lang w:val="en-US"/>
        </w:rPr>
        <w:t>.</w:t>
      </w:r>
      <w:r w:rsidRPr="00AF3238" w:rsidDel="008B7C0D">
        <w:rPr>
          <w:highlight w:val="yellow"/>
          <w:vertAlign w:val="superscript"/>
        </w:rPr>
        <w:t xml:space="preserve"> </w:t>
      </w:r>
    </w:p>
    <w:p w14:paraId="6588407A" w14:textId="77777777" w:rsidR="00FE4078" w:rsidRPr="006F789A" w:rsidRDefault="00FE4078" w:rsidP="00702C9E">
      <w:pPr>
        <w:pStyle w:val="H23G"/>
      </w:pPr>
      <w:r>
        <w:rPr>
          <w:lang w:val="en-US"/>
        </w:rPr>
        <w:tab/>
      </w:r>
      <w:r>
        <w:rPr>
          <w:lang w:val="en-US"/>
        </w:rPr>
        <w:tab/>
      </w:r>
      <w:r w:rsidRPr="006F789A">
        <w:rPr>
          <w:lang w:val="en-US"/>
        </w:rPr>
        <w:t xml:space="preserve">Customary, </w:t>
      </w:r>
      <w:r>
        <w:rPr>
          <w:lang w:val="en-US"/>
        </w:rPr>
        <w:t>i</w:t>
      </w:r>
      <w:r w:rsidRPr="006F789A">
        <w:rPr>
          <w:lang w:val="en-US"/>
        </w:rPr>
        <w:t>ndigenous and non-State forms of</w:t>
      </w:r>
      <w:r w:rsidRPr="006F789A">
        <w:t xml:space="preserve"> </w:t>
      </w:r>
      <w:r>
        <w:t>j</w:t>
      </w:r>
      <w:r w:rsidRPr="006F789A">
        <w:t>ustice</w:t>
      </w:r>
    </w:p>
    <w:p w14:paraId="371E6A2D" w14:textId="77777777" w:rsidR="00FE4078" w:rsidRPr="002D64A9" w:rsidRDefault="00FE4078" w:rsidP="002D64A9">
      <w:pPr>
        <w:pStyle w:val="SingleTxtG"/>
      </w:pPr>
      <w:r>
        <w:rPr>
          <w:lang w:val="en-US"/>
        </w:rPr>
        <w:t>102.</w:t>
      </w:r>
      <w:r>
        <w:rPr>
          <w:lang w:val="en-US"/>
        </w:rPr>
        <w:tab/>
        <w:t>M</w:t>
      </w:r>
      <w:r w:rsidRPr="000435F2">
        <w:rPr>
          <w:lang w:val="en-US"/>
        </w:rPr>
        <w:t xml:space="preserve">any children </w:t>
      </w:r>
      <w:r>
        <w:rPr>
          <w:lang w:val="en-US"/>
        </w:rPr>
        <w:t>come into contact with plural justice systems that operate parallel to or on the margins of the formal justice system. These may include customary, tribal, indigenous or other justice systems.</w:t>
      </w:r>
      <w:r w:rsidRPr="000435F2">
        <w:rPr>
          <w:lang w:val="en-US"/>
        </w:rPr>
        <w:t xml:space="preserve"> </w:t>
      </w:r>
      <w:r>
        <w:rPr>
          <w:lang w:val="en-US"/>
        </w:rPr>
        <w:t xml:space="preserve">They </w:t>
      </w:r>
      <w:r w:rsidRPr="000435F2">
        <w:rPr>
          <w:lang w:val="en-US"/>
        </w:rPr>
        <w:t xml:space="preserve">may be more accessible than the formal mechanisms and have the advantage of quickly and relatively inexpensively proposing responses tailored </w:t>
      </w:r>
      <w:r w:rsidRPr="002D64A9">
        <w:t xml:space="preserve">to cultural specificities. Such systems can serve as an alternative to official proceedings against </w:t>
      </w:r>
      <w:r w:rsidRPr="002D64A9">
        <w:lastRenderedPageBreak/>
        <w:t>children, and are likely to contribute favo</w:t>
      </w:r>
      <w:r>
        <w:t>u</w:t>
      </w:r>
      <w:r w:rsidRPr="002D64A9">
        <w:t>rably to the change of cultural attitude</w:t>
      </w:r>
      <w:r>
        <w:t>s</w:t>
      </w:r>
      <w:r w:rsidRPr="002D64A9">
        <w:t xml:space="preserve"> concerning children and justice. </w:t>
      </w:r>
    </w:p>
    <w:p w14:paraId="24DC22BB" w14:textId="77777777" w:rsidR="00FE4078" w:rsidRPr="002D64A9" w:rsidRDefault="00FE4078" w:rsidP="002D64A9">
      <w:pPr>
        <w:pStyle w:val="SingleTxtG"/>
      </w:pPr>
      <w:r>
        <w:t>103.</w:t>
      </w:r>
      <w:r>
        <w:tab/>
      </w:r>
      <w:r w:rsidRPr="002D64A9">
        <w:t>There is an emerging consensus that reform</w:t>
      </w:r>
      <w:r>
        <w:t>s</w:t>
      </w:r>
      <w:r w:rsidRPr="002D64A9">
        <w:t xml:space="preserve"> of justice sector program</w:t>
      </w:r>
      <w:r>
        <w:t>me</w:t>
      </w:r>
      <w:r w:rsidRPr="002D64A9">
        <w:t xml:space="preserve">s should be attentive to </w:t>
      </w:r>
      <w:r>
        <w:t>such</w:t>
      </w:r>
      <w:r w:rsidRPr="002D64A9">
        <w:t xml:space="preserve"> systems. Considering the potential tension between </w:t>
      </w:r>
      <w:r>
        <w:t>S</w:t>
      </w:r>
      <w:r w:rsidRPr="002D64A9">
        <w:t>tate and non-</w:t>
      </w:r>
      <w:r>
        <w:t>S</w:t>
      </w:r>
      <w:r w:rsidRPr="002D64A9">
        <w:t>tate justice, in addition to concerns about procedural rights and risks of discrimination or marginalization, reforms should proceed in stages</w:t>
      </w:r>
      <w:r>
        <w:t>,</w:t>
      </w:r>
      <w:r w:rsidRPr="002D64A9">
        <w:t xml:space="preserve"> with a methodology that involves a full understanding of the comparative systems concerned and </w:t>
      </w:r>
      <w:r>
        <w:t>that</w:t>
      </w:r>
      <w:r w:rsidRPr="002D64A9">
        <w:t xml:space="preserve"> is acceptable to all stakeholders. Customary justice processes and outcomes should be aligned with constitutional law and with legal and procedural guarantees. It is important that unfair discrimination does not occur, if children committing similar crimes are being dealt with differently in parallel systems or for</w:t>
      </w:r>
      <w:r>
        <w:t>ums</w:t>
      </w:r>
      <w:r w:rsidRPr="002D64A9">
        <w:t>.</w:t>
      </w:r>
    </w:p>
    <w:p w14:paraId="2C2D265E" w14:textId="77777777" w:rsidR="00FE4078" w:rsidRPr="000435F2" w:rsidRDefault="00FE4078" w:rsidP="002D64A9">
      <w:pPr>
        <w:pStyle w:val="SingleTxtG"/>
        <w:rPr>
          <w:lang w:val="en-US"/>
        </w:rPr>
      </w:pPr>
      <w:r>
        <w:t>104.</w:t>
      </w:r>
      <w:r>
        <w:tab/>
      </w:r>
      <w:r w:rsidRPr="002D64A9">
        <w:t xml:space="preserve">The principles of the Convention should be infused into all justice mechanisms dealing with children, and </w:t>
      </w:r>
      <w:r>
        <w:t>S</w:t>
      </w:r>
      <w:r w:rsidRPr="002D64A9">
        <w:t>tate</w:t>
      </w:r>
      <w:r>
        <w:t>s</w:t>
      </w:r>
      <w:r w:rsidRPr="002D64A9">
        <w:t xml:space="preserve"> parties should ensure that the Convention is known and implemented. Restorative justice responses are often achievable through customary, indigenous or other non-</w:t>
      </w:r>
      <w:r>
        <w:t>S</w:t>
      </w:r>
      <w:r w:rsidRPr="002D64A9">
        <w:t>tate</w:t>
      </w:r>
      <w:r w:rsidRPr="000435F2">
        <w:rPr>
          <w:lang w:val="en-US"/>
        </w:rPr>
        <w:t xml:space="preserve"> justice systems, and may provide opportunities for learning </w:t>
      </w:r>
      <w:r>
        <w:rPr>
          <w:lang w:val="en-US"/>
        </w:rPr>
        <w:t xml:space="preserve">for </w:t>
      </w:r>
      <w:r w:rsidRPr="000435F2">
        <w:rPr>
          <w:lang w:val="en-US"/>
        </w:rPr>
        <w:t xml:space="preserve">the formal </w:t>
      </w:r>
      <w:r>
        <w:rPr>
          <w:lang w:val="en-US"/>
        </w:rPr>
        <w:t xml:space="preserve">child </w:t>
      </w:r>
      <w:r w:rsidRPr="000435F2">
        <w:rPr>
          <w:lang w:val="en-US"/>
        </w:rPr>
        <w:t>justice system.</w:t>
      </w:r>
      <w:r>
        <w:rPr>
          <w:lang w:val="en-US"/>
        </w:rPr>
        <w:t xml:space="preserve"> Furthermore, recognition of such justice systems can contribute to increased respect for the traditions of indigenous societies, which could have benefits for indigenous children. Interventions, </w:t>
      </w:r>
      <w:r w:rsidRPr="000435F2">
        <w:rPr>
          <w:lang w:val="en-US"/>
        </w:rPr>
        <w:t xml:space="preserve">strategies and reforms should be designed for specific contexts and the process </w:t>
      </w:r>
      <w:r>
        <w:rPr>
          <w:lang w:val="en-US"/>
        </w:rPr>
        <w:t xml:space="preserve">should </w:t>
      </w:r>
      <w:r w:rsidRPr="000435F2">
        <w:rPr>
          <w:lang w:val="en-US"/>
        </w:rPr>
        <w:t>be driven by national actors.</w:t>
      </w:r>
    </w:p>
    <w:p w14:paraId="5B25B418" w14:textId="77777777" w:rsidR="00FE4078" w:rsidRPr="000435F2" w:rsidRDefault="00FE4078" w:rsidP="00702C9E">
      <w:pPr>
        <w:pStyle w:val="HChG"/>
      </w:pPr>
      <w:r w:rsidRPr="000435F2">
        <w:tab/>
        <w:t>V.</w:t>
      </w:r>
      <w:r w:rsidRPr="000435F2">
        <w:tab/>
      </w:r>
      <w:r>
        <w:t>O</w:t>
      </w:r>
      <w:r w:rsidRPr="000435F2">
        <w:t>rganization of</w:t>
      </w:r>
      <w:r>
        <w:t xml:space="preserve"> the</w:t>
      </w:r>
      <w:r w:rsidRPr="000435F2">
        <w:t xml:space="preserve"> </w:t>
      </w:r>
      <w:r>
        <w:t xml:space="preserve">child </w:t>
      </w:r>
      <w:r w:rsidRPr="000435F2">
        <w:t>justice</w:t>
      </w:r>
      <w:r>
        <w:t xml:space="preserve"> system</w:t>
      </w:r>
    </w:p>
    <w:p w14:paraId="507AF5A7" w14:textId="77777777" w:rsidR="00FE4078" w:rsidRPr="002D64A9" w:rsidRDefault="00FE4078" w:rsidP="002D64A9">
      <w:pPr>
        <w:pStyle w:val="SingleTxtG"/>
      </w:pPr>
      <w:r>
        <w:rPr>
          <w:lang w:val="en-US"/>
        </w:rPr>
        <w:t>105.</w:t>
      </w:r>
      <w:r>
        <w:rPr>
          <w:lang w:val="en-US"/>
        </w:rPr>
        <w:tab/>
      </w:r>
      <w:r w:rsidRPr="000435F2">
        <w:rPr>
          <w:lang w:val="en-US"/>
        </w:rPr>
        <w:t>In order to ensure the full implementation of the principles and rights elaborated in the previous paragraphs</w:t>
      </w:r>
      <w:r w:rsidRPr="002D64A9">
        <w:t>, it is necessary to establish an effective organization for the administration of child justice.</w:t>
      </w:r>
    </w:p>
    <w:p w14:paraId="182EE7F4" w14:textId="77777777" w:rsidR="00FE4078" w:rsidRPr="002D64A9" w:rsidRDefault="00FE4078" w:rsidP="002D64A9">
      <w:pPr>
        <w:pStyle w:val="SingleTxtG"/>
      </w:pPr>
      <w:r>
        <w:t>106.</w:t>
      </w:r>
      <w:r>
        <w:tab/>
      </w:r>
      <w:r w:rsidRPr="002D64A9">
        <w:t>A comprehensive child justice system requires the establishment of specialized units within the police, the judiciary, the court system</w:t>
      </w:r>
      <w:r>
        <w:t xml:space="preserve"> and</w:t>
      </w:r>
      <w:r w:rsidRPr="002D64A9">
        <w:t xml:space="preserve"> the prosecutor’s office, as well as specialized defenders or other representatives who provide legal or other appropriate assistance to the child.</w:t>
      </w:r>
    </w:p>
    <w:p w14:paraId="5A853EC6" w14:textId="77777777" w:rsidR="00FE4078" w:rsidRPr="002D64A9" w:rsidRDefault="00FE4078" w:rsidP="002D64A9">
      <w:pPr>
        <w:pStyle w:val="SingleTxtG"/>
      </w:pPr>
      <w:r>
        <w:t>107.</w:t>
      </w:r>
      <w:r>
        <w:tab/>
      </w:r>
      <w:r w:rsidRPr="002D64A9">
        <w:t xml:space="preserve">The Committee recommends that States parties establish child justice courts either as separate units or as part of existing courts. Where that is not feasible for practical reasons, States parties should ensure the appointment of specialized judges for dealing with cases </w:t>
      </w:r>
      <w:r>
        <w:t>concerning</w:t>
      </w:r>
      <w:r w:rsidRPr="002D64A9">
        <w:t xml:space="preserve"> child justice.</w:t>
      </w:r>
    </w:p>
    <w:p w14:paraId="44C6288B" w14:textId="77777777" w:rsidR="00FE4078" w:rsidRPr="002D64A9" w:rsidRDefault="00FE4078" w:rsidP="002D64A9">
      <w:pPr>
        <w:pStyle w:val="SingleTxtG"/>
      </w:pPr>
      <w:r>
        <w:rPr>
          <w:lang w:val="en-US"/>
        </w:rPr>
        <w:t>108.</w:t>
      </w:r>
      <w:r>
        <w:rPr>
          <w:lang w:val="en-US"/>
        </w:rPr>
        <w:tab/>
        <w:t>S</w:t>
      </w:r>
      <w:r w:rsidRPr="000435F2">
        <w:rPr>
          <w:lang w:val="en-US"/>
        </w:rPr>
        <w:t xml:space="preserve">pecialized services such as probation, counselling or supervision should be established together with </w:t>
      </w:r>
      <w:r w:rsidRPr="000435F2">
        <w:rPr>
          <w:lang w:val="en-US"/>
        </w:rPr>
        <w:lastRenderedPageBreak/>
        <w:t>specialized facilities</w:t>
      </w:r>
      <w:r>
        <w:rPr>
          <w:lang w:val="en-US"/>
        </w:rPr>
        <w:t>,</w:t>
      </w:r>
      <w:r w:rsidRPr="000435F2">
        <w:rPr>
          <w:lang w:val="en-US"/>
        </w:rPr>
        <w:t xml:space="preserve"> </w:t>
      </w:r>
      <w:r w:rsidRPr="002D64A9">
        <w:t>for example day treatment cent</w:t>
      </w:r>
      <w:r>
        <w:t>r</w:t>
      </w:r>
      <w:r w:rsidRPr="002D64A9">
        <w:t xml:space="preserve">es and, where necessary, small-scale facilities for residential care and treatment of children referred by the child justice system. </w:t>
      </w:r>
      <w:r>
        <w:t>E</w:t>
      </w:r>
      <w:r w:rsidRPr="002D64A9">
        <w:t xml:space="preserve">ffective inter-agency coordination of the activities of all these specialized units, services and facilities should be continuously promoted. </w:t>
      </w:r>
    </w:p>
    <w:p w14:paraId="010E2495" w14:textId="77777777" w:rsidR="00FE4078" w:rsidRPr="002D64A9" w:rsidRDefault="00FE4078" w:rsidP="002D64A9">
      <w:pPr>
        <w:pStyle w:val="SingleTxtG"/>
      </w:pPr>
      <w:r>
        <w:t>109.</w:t>
      </w:r>
      <w:r>
        <w:tab/>
      </w:r>
      <w:r w:rsidRPr="002D64A9">
        <w:t>In addition, individual assessment</w:t>
      </w:r>
      <w:r>
        <w:t>s</w:t>
      </w:r>
      <w:r w:rsidRPr="002D64A9">
        <w:t xml:space="preserve"> of children and a multidisciplinary approach </w:t>
      </w:r>
      <w:r>
        <w:t>are</w:t>
      </w:r>
      <w:r w:rsidRPr="002D64A9">
        <w:t xml:space="preserve"> encouraged. Particular attention should be paid to specialized community</w:t>
      </w:r>
      <w:r>
        <w:t>-</w:t>
      </w:r>
      <w:r w:rsidRPr="002D64A9">
        <w:t>based services for children who are below the age of criminal responsibility, but who are assessed to be in need of support.</w:t>
      </w:r>
    </w:p>
    <w:p w14:paraId="169E1191" w14:textId="77777777" w:rsidR="00FE4078" w:rsidRPr="000435F2" w:rsidRDefault="00FE4078" w:rsidP="002D64A9">
      <w:pPr>
        <w:pStyle w:val="SingleTxtG"/>
        <w:rPr>
          <w:lang w:val="en-US"/>
        </w:rPr>
      </w:pPr>
      <w:r>
        <w:t>110.</w:t>
      </w:r>
      <w:r>
        <w:tab/>
      </w:r>
      <w:r w:rsidRPr="002D64A9">
        <w:t xml:space="preserve">Non-governmental organizations can and do play an important role in child justice. The Committee therefore recommends that States parties seek the active involvement of </w:t>
      </w:r>
      <w:r>
        <w:t>such</w:t>
      </w:r>
      <w:r w:rsidRPr="002D64A9">
        <w:t xml:space="preserve"> organizations in the development and implementation of</w:t>
      </w:r>
      <w:r w:rsidRPr="000435F2">
        <w:rPr>
          <w:lang w:val="en-US"/>
        </w:rPr>
        <w:t xml:space="preserve"> their comprehensive </w:t>
      </w:r>
      <w:r>
        <w:rPr>
          <w:lang w:val="en-US"/>
        </w:rPr>
        <w:t xml:space="preserve">child </w:t>
      </w:r>
      <w:r w:rsidRPr="000435F2">
        <w:rPr>
          <w:lang w:val="en-US"/>
        </w:rPr>
        <w:t>justice policy and</w:t>
      </w:r>
      <w:r>
        <w:rPr>
          <w:lang w:val="en-US"/>
        </w:rPr>
        <w:t>, where appropriate,</w:t>
      </w:r>
      <w:r w:rsidRPr="000435F2">
        <w:rPr>
          <w:lang w:val="en-US"/>
        </w:rPr>
        <w:t xml:space="preserve"> provide them with the necessary resources for this involvement.</w:t>
      </w:r>
    </w:p>
    <w:p w14:paraId="4914AC50" w14:textId="77777777" w:rsidR="00FE4078" w:rsidRPr="000435F2" w:rsidRDefault="00FE4078" w:rsidP="00702C9E">
      <w:pPr>
        <w:pStyle w:val="HChG"/>
      </w:pPr>
      <w:r w:rsidRPr="000435F2">
        <w:tab/>
        <w:t>VI.</w:t>
      </w:r>
      <w:r w:rsidRPr="000435F2">
        <w:tab/>
      </w:r>
      <w:r w:rsidRPr="00702C9E">
        <w:t>Awareness</w:t>
      </w:r>
      <w:r w:rsidRPr="000435F2">
        <w:t>-raising and training</w:t>
      </w:r>
    </w:p>
    <w:p w14:paraId="392346BA" w14:textId="77777777" w:rsidR="00FE4078" w:rsidRPr="002D64A9" w:rsidRDefault="00FE4078" w:rsidP="002D64A9">
      <w:pPr>
        <w:pStyle w:val="SingleTxtG"/>
      </w:pPr>
      <w:r>
        <w:rPr>
          <w:lang w:val="en-US"/>
        </w:rPr>
        <w:t>111.</w:t>
      </w:r>
      <w:r>
        <w:rPr>
          <w:lang w:val="en-US"/>
        </w:rPr>
        <w:tab/>
      </w:r>
      <w:r w:rsidRPr="000435F2">
        <w:rPr>
          <w:lang w:val="en-US"/>
        </w:rPr>
        <w:t>Children who commit offences are often subject</w:t>
      </w:r>
      <w:r>
        <w:rPr>
          <w:lang w:val="en-US"/>
        </w:rPr>
        <w:t>ed</w:t>
      </w:r>
      <w:r w:rsidRPr="000435F2">
        <w:rPr>
          <w:lang w:val="en-US"/>
        </w:rPr>
        <w:t xml:space="preserve"> to negative publicity in the media, which contributes to a discriminatory and negative stereotyping of th</w:t>
      </w:r>
      <w:r>
        <w:rPr>
          <w:lang w:val="en-US"/>
        </w:rPr>
        <w:t>o</w:t>
      </w:r>
      <w:r w:rsidRPr="000435F2">
        <w:rPr>
          <w:lang w:val="en-US"/>
        </w:rPr>
        <w:t>se children</w:t>
      </w:r>
      <w:r>
        <w:rPr>
          <w:lang w:val="en-US"/>
        </w:rPr>
        <w:t>.</w:t>
      </w:r>
      <w:r w:rsidRPr="000435F2">
        <w:rPr>
          <w:lang w:val="en-US"/>
        </w:rPr>
        <w:t xml:space="preserve"> This negative presentation or criminalization </w:t>
      </w:r>
      <w:r w:rsidRPr="002D64A9">
        <w:t xml:space="preserve">of children is often based on </w:t>
      </w:r>
      <w:r>
        <w:t xml:space="preserve">a </w:t>
      </w:r>
      <w:r w:rsidRPr="002D64A9">
        <w:t>misrepresentation and/or misunderstanding of the causes of crime, and regularly</w:t>
      </w:r>
      <w:r>
        <w:t xml:space="preserve"> </w:t>
      </w:r>
      <w:r w:rsidRPr="002D64A9">
        <w:t>results in call</w:t>
      </w:r>
      <w:r>
        <w:t>s</w:t>
      </w:r>
      <w:r w:rsidRPr="002D64A9">
        <w:t xml:space="preserve"> for tougher approaches (zero-tolerance</w:t>
      </w:r>
      <w:r>
        <w:t xml:space="preserve"> and</w:t>
      </w:r>
      <w:r w:rsidRPr="002D64A9">
        <w:t xml:space="preserve"> </w:t>
      </w:r>
      <w:r>
        <w:t>“</w:t>
      </w:r>
      <w:r w:rsidRPr="002D64A9">
        <w:t>three strikes</w:t>
      </w:r>
      <w:r>
        <w:t>” approaches</w:t>
      </w:r>
      <w:r w:rsidRPr="002D64A9">
        <w:t xml:space="preserve">, mandatory sentences, trial in adult courts and other primarily punitive measures). States parties should seek the active and positive involvement of </w:t>
      </w:r>
      <w:r>
        <w:t>M</w:t>
      </w:r>
      <w:r w:rsidRPr="002D64A9">
        <w:t xml:space="preserve">embers of </w:t>
      </w:r>
      <w:r>
        <w:t>P</w:t>
      </w:r>
      <w:r w:rsidRPr="002D64A9">
        <w:t xml:space="preserve">arliament, </w:t>
      </w:r>
      <w:r>
        <w:t>non-governmental organizations</w:t>
      </w:r>
      <w:r w:rsidRPr="002D64A9">
        <w:t xml:space="preserve"> and the media to promote and support education and other campaigns to ensure that all aspects of the Convention are upheld for children who are in the child justice system. It is crucial for children, in particular those who have experience with the child justice system, to be involved in these awareness-raising efforts.</w:t>
      </w:r>
    </w:p>
    <w:p w14:paraId="195D1EA5" w14:textId="77777777" w:rsidR="00FE4078" w:rsidRPr="00867A04" w:rsidRDefault="00FE4078" w:rsidP="002D64A9">
      <w:pPr>
        <w:pStyle w:val="SingleTxtG"/>
        <w:rPr>
          <w:lang w:val="en-US"/>
        </w:rPr>
      </w:pPr>
      <w:r>
        <w:t>112.</w:t>
      </w:r>
      <w:r>
        <w:tab/>
      </w:r>
      <w:r w:rsidRPr="002D64A9">
        <w:t>It is essential for the quality of the administration of child justice that all the professionals involved receive appropriate</w:t>
      </w:r>
      <w:r>
        <w:t xml:space="preserve"> multidisciplinary</w:t>
      </w:r>
      <w:r w:rsidRPr="002D64A9">
        <w:t xml:space="preserve"> training on the content and meaning of the</w:t>
      </w:r>
      <w:r>
        <w:t xml:space="preserve"> Convention</w:t>
      </w:r>
      <w:r w:rsidRPr="002D64A9">
        <w:t>. Th</w:t>
      </w:r>
      <w:r>
        <w:t>e</w:t>
      </w:r>
      <w:r w:rsidRPr="002D64A9">
        <w:t xml:space="preserve"> training should be systematic and continuous and should not be limited to information on the relevant national and international legal provisions. It should include established and emerging information from a variety of fields on, inter alia, the social and other causes of crime, the social and psychological development of children, including </w:t>
      </w:r>
      <w:r>
        <w:t xml:space="preserve">current </w:t>
      </w:r>
      <w:r w:rsidRPr="002D64A9">
        <w:t xml:space="preserve">neuroscience findings, disparities that may </w:t>
      </w:r>
      <w:r w:rsidRPr="002D64A9">
        <w:lastRenderedPageBreak/>
        <w:t xml:space="preserve">amount to discrimination against certain marginalized groups such as children belonging to minorities or indigenous peoples, the culture and the trends in the world of young people, the dynamics of group activities and the available diversion measures and non-custodial sentences, in particular measures </w:t>
      </w:r>
      <w:r>
        <w:t>that avoid</w:t>
      </w:r>
      <w:r w:rsidRPr="002D64A9">
        <w:t xml:space="preserve"> resorting to judicial proceedings. Consideration should</w:t>
      </w:r>
      <w:r w:rsidRPr="00867A04">
        <w:rPr>
          <w:lang w:val="en-US"/>
        </w:rPr>
        <w:t xml:space="preserve"> also be given to the possible use of new technologies such as video </w:t>
      </w:r>
      <w:r>
        <w:rPr>
          <w:lang w:val="en-US"/>
        </w:rPr>
        <w:t>“</w:t>
      </w:r>
      <w:r w:rsidRPr="00867A04">
        <w:rPr>
          <w:lang w:val="en-US"/>
        </w:rPr>
        <w:t>court appearances</w:t>
      </w:r>
      <w:r>
        <w:rPr>
          <w:lang w:val="en-US"/>
        </w:rPr>
        <w:t>”</w:t>
      </w:r>
      <w:r w:rsidRPr="00867A04">
        <w:rPr>
          <w:lang w:val="en-US"/>
        </w:rPr>
        <w:t>, while noting the risks of others</w:t>
      </w:r>
      <w:r>
        <w:rPr>
          <w:lang w:val="en-US"/>
        </w:rPr>
        <w:t>,</w:t>
      </w:r>
      <w:r w:rsidRPr="00867A04">
        <w:rPr>
          <w:lang w:val="en-US"/>
        </w:rPr>
        <w:t xml:space="preserve"> such as DNA profiling.</w:t>
      </w:r>
      <w:r w:rsidRPr="00867A04" w:rsidDel="00867A04">
        <w:rPr>
          <w:lang w:val="en-US"/>
        </w:rPr>
        <w:t xml:space="preserve"> </w:t>
      </w:r>
      <w:r>
        <w:rPr>
          <w:lang w:val="en-US"/>
        </w:rPr>
        <w:t xml:space="preserve">There should be </w:t>
      </w:r>
      <w:r w:rsidRPr="00867A04">
        <w:rPr>
          <w:lang w:val="en-US"/>
        </w:rPr>
        <w:t>a constant reappraisal of what works.</w:t>
      </w:r>
    </w:p>
    <w:p w14:paraId="246D67F3" w14:textId="77777777" w:rsidR="00FE4078" w:rsidRPr="008B6BC1" w:rsidRDefault="00FE4078" w:rsidP="00702C9E">
      <w:pPr>
        <w:pStyle w:val="HChG"/>
      </w:pPr>
      <w:r>
        <w:tab/>
      </w:r>
      <w:r w:rsidRPr="008B6BC1">
        <w:t>VII.</w:t>
      </w:r>
      <w:r w:rsidRPr="008B6BC1">
        <w:tab/>
        <w:t>Data collection, evaluation and research</w:t>
      </w:r>
    </w:p>
    <w:p w14:paraId="14399E1C" w14:textId="77777777" w:rsidR="00FE4078" w:rsidRPr="002D64A9" w:rsidRDefault="00FE4078" w:rsidP="002D64A9">
      <w:pPr>
        <w:pStyle w:val="SingleTxtG"/>
      </w:pPr>
      <w:r>
        <w:rPr>
          <w:lang w:val="en-US"/>
        </w:rPr>
        <w:t>113.</w:t>
      </w:r>
      <w:r>
        <w:rPr>
          <w:lang w:val="en-US"/>
        </w:rPr>
        <w:tab/>
      </w:r>
      <w:r w:rsidRPr="000435F2">
        <w:rPr>
          <w:lang w:val="en-US"/>
        </w:rPr>
        <w:t xml:space="preserve">The Committee urges States parties to systematically collect disaggregated data, </w:t>
      </w:r>
      <w:r>
        <w:rPr>
          <w:lang w:val="en-US"/>
        </w:rPr>
        <w:t>including on</w:t>
      </w:r>
      <w:r w:rsidRPr="000435F2">
        <w:rPr>
          <w:lang w:val="en-US"/>
        </w:rPr>
        <w:t xml:space="preserve"> the number and nature of offences committed by children, the use and the average duration of pretrial detention, the number of children dealt with by resorting to measures other </w:t>
      </w:r>
      <w:r w:rsidRPr="002D64A9">
        <w:t>than judicial proceedings (diversion), the number of convicted children, the nature of the sanctions imposed on them and the number of children deprived of their liberty.</w:t>
      </w:r>
      <w:r w:rsidRPr="002D64A9" w:rsidDel="00BF366F">
        <w:t xml:space="preserve"> </w:t>
      </w:r>
    </w:p>
    <w:p w14:paraId="017360EE" w14:textId="77777777" w:rsidR="00FE4078" w:rsidRPr="002D64A9" w:rsidRDefault="00FE4078" w:rsidP="002D64A9">
      <w:pPr>
        <w:pStyle w:val="SingleTxtG"/>
      </w:pPr>
      <w:r>
        <w:t>114.</w:t>
      </w:r>
      <w:r>
        <w:tab/>
      </w:r>
      <w:r w:rsidRPr="002D64A9">
        <w:t xml:space="preserve">The Committee recommends that States parties </w:t>
      </w:r>
      <w:r>
        <w:t>ensure</w:t>
      </w:r>
      <w:r w:rsidRPr="002D64A9">
        <w:t xml:space="preserve"> regular evaluations of their child justice systems, in particular of the effectiveness of the measures taken, and </w:t>
      </w:r>
      <w:r>
        <w:t xml:space="preserve">in relation to </w:t>
      </w:r>
      <w:r w:rsidRPr="002D64A9">
        <w:t>matters such as discrimination, reintegration and patterns of offending, preferably carried out by independent academic institutions.</w:t>
      </w:r>
    </w:p>
    <w:p w14:paraId="425A4C40" w14:textId="77777777" w:rsidR="00FE4078" w:rsidRDefault="00FE4078" w:rsidP="002D64A9">
      <w:pPr>
        <w:pStyle w:val="SingleTxtG"/>
        <w:rPr>
          <w:lang w:val="en-US"/>
        </w:rPr>
      </w:pPr>
      <w:r>
        <w:t>115.</w:t>
      </w:r>
      <w:r>
        <w:tab/>
      </w:r>
      <w:r w:rsidRPr="002D64A9">
        <w:t>It is important that children are involved in this evaluation and research, in particular those who are or</w:t>
      </w:r>
      <w:r>
        <w:rPr>
          <w:lang w:val="en-US"/>
        </w:rPr>
        <w:t xml:space="preserve"> who </w:t>
      </w:r>
      <w:r w:rsidRPr="000435F2">
        <w:rPr>
          <w:lang w:val="en-US"/>
        </w:rPr>
        <w:t>have</w:t>
      </w:r>
      <w:r>
        <w:rPr>
          <w:lang w:val="en-US"/>
        </w:rPr>
        <w:t xml:space="preserve"> previously had contact with the system, and that the evaluation and research are undertaken in line with</w:t>
      </w:r>
      <w:r w:rsidRPr="000435F2">
        <w:rPr>
          <w:lang w:val="en-US"/>
        </w:rPr>
        <w:t xml:space="preserve"> existing international guidelines on the involvement of children in research.</w:t>
      </w:r>
    </w:p>
    <w:p w14:paraId="1D2BF929" w14:textId="77777777" w:rsidR="00FE4078" w:rsidRPr="0075567E" w:rsidRDefault="00FE4078" w:rsidP="0075567E">
      <w:pPr>
        <w:pStyle w:val="SingleTxtG"/>
        <w:spacing w:before="240" w:after="0"/>
        <w:jc w:val="center"/>
        <w:rPr>
          <w:u w:val="single"/>
          <w:lang w:val="en-US"/>
        </w:rPr>
      </w:pPr>
      <w:r>
        <w:rPr>
          <w:u w:val="single"/>
          <w:lang w:val="en-US"/>
        </w:rPr>
        <w:tab/>
      </w:r>
      <w:r>
        <w:rPr>
          <w:u w:val="single"/>
          <w:lang w:val="en-US"/>
        </w:rPr>
        <w:tab/>
      </w:r>
      <w:r>
        <w:rPr>
          <w:u w:val="single"/>
          <w:lang w:val="en-US"/>
        </w:rPr>
        <w:tab/>
      </w:r>
      <w:r>
        <w:rPr>
          <w:u w:val="single"/>
          <w:lang w:val="en-US"/>
        </w:rPr>
        <w:tab/>
      </w:r>
    </w:p>
    <w:p w14:paraId="3B026AE5" w14:textId="77777777" w:rsidR="00FE4078" w:rsidRPr="000435F2" w:rsidRDefault="00FE4078" w:rsidP="0075567E">
      <w:pPr>
        <w:pStyle w:val="SingleTxtG"/>
        <w:rPr>
          <w:lang w:val="en-US"/>
        </w:rPr>
      </w:pPr>
    </w:p>
    <w:p w14:paraId="199E907B" w14:textId="77777777" w:rsidR="00CD3807" w:rsidRDefault="00CD3807" w:rsidP="00CD3807">
      <w:pPr>
        <w:pStyle w:val="Heading2"/>
      </w:pPr>
    </w:p>
    <w:p w14:paraId="60555B5E" w14:textId="77777777" w:rsidR="00CD3807" w:rsidRDefault="00CD3807">
      <w:pPr>
        <w:spacing w:after="0"/>
        <w:rPr>
          <w:rFonts w:eastAsiaTheme="majorEastAsia" w:cstheme="majorBidi"/>
          <w:color w:val="004270"/>
          <w:sz w:val="28"/>
          <w:szCs w:val="28"/>
        </w:rPr>
      </w:pPr>
      <w:r>
        <w:br w:type="page"/>
      </w:r>
    </w:p>
    <w:p w14:paraId="4987E95E" w14:textId="34DEDBEC" w:rsidR="00CD3807" w:rsidRDefault="00CD3807" w:rsidP="00CD3807">
      <w:pPr>
        <w:pStyle w:val="Heading1"/>
      </w:pPr>
      <w:bookmarkStart w:id="19" w:name="_Toc159945302"/>
      <w:r>
        <w:lastRenderedPageBreak/>
        <w:t>Appendix B</w:t>
      </w:r>
      <w:bookmarkEnd w:id="19"/>
    </w:p>
    <w:p w14:paraId="101E4DBF" w14:textId="018C2E3E" w:rsidR="00CD3807" w:rsidRPr="00CD3807" w:rsidRDefault="00CD3807" w:rsidP="00CD3807">
      <w:pPr>
        <w:pStyle w:val="Heading2"/>
      </w:pPr>
      <w:bookmarkStart w:id="20" w:name="_Toc159945303"/>
      <w:r>
        <w:t>Queensland Human Rights Commission, ‘</w:t>
      </w:r>
      <w:r w:rsidRPr="00CD3807">
        <w:t>Putting Queensland Kids First: Consultation Draft</w:t>
      </w:r>
      <w:r>
        <w:t>’ (Submission to Department of the Premier and Cabinet,</w:t>
      </w:r>
      <w:r w:rsidR="002218BA">
        <w:t xml:space="preserve"> 21</w:t>
      </w:r>
      <w:r>
        <w:t xml:space="preserve"> February 2024)</w:t>
      </w:r>
      <w:bookmarkEnd w:id="20"/>
    </w:p>
    <w:p w14:paraId="200B31E5" w14:textId="6E753038" w:rsidR="00FE4078" w:rsidRDefault="00FE4078">
      <w:pPr>
        <w:spacing w:after="0"/>
        <w:rPr>
          <w:rFonts w:eastAsiaTheme="majorEastAsia" w:cstheme="majorBidi"/>
          <w:color w:val="004270"/>
          <w:sz w:val="28"/>
          <w:szCs w:val="28"/>
        </w:rPr>
      </w:pPr>
      <w:r>
        <w:rPr>
          <w:rFonts w:eastAsiaTheme="majorEastAsia" w:cstheme="majorBidi"/>
          <w:color w:val="004270"/>
          <w:sz w:val="28"/>
          <w:szCs w:val="28"/>
        </w:rPr>
        <w:br w:type="page"/>
      </w:r>
    </w:p>
    <w:bookmarkStart w:id="21" w:name="_MON_1772871551"/>
    <w:bookmarkEnd w:id="21"/>
    <w:p w14:paraId="6694CCA8" w14:textId="77777777" w:rsidR="00FE4078" w:rsidRDefault="00FE4078" w:rsidP="00260847">
      <w:pPr>
        <w:pStyle w:val="NoSpacing"/>
        <w:spacing w:before="120" w:after="120"/>
        <w:rPr>
          <w:rFonts w:eastAsiaTheme="majorEastAsia" w:cstheme="majorBidi"/>
          <w:color w:val="004270"/>
          <w:sz w:val="28"/>
          <w:szCs w:val="28"/>
        </w:rPr>
      </w:pPr>
      <w:r>
        <w:rPr>
          <w:rFonts w:eastAsiaTheme="majorEastAsia" w:cstheme="majorBidi"/>
          <w:color w:val="004270"/>
          <w:sz w:val="28"/>
          <w:szCs w:val="28"/>
        </w:rPr>
        <w:object w:dxaOrig="7164" w:dyaOrig="364" w14:anchorId="1F5FE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18pt" o:ole="">
            <v:imagedata r:id="rId13" o:title=""/>
          </v:shape>
          <o:OLEObject Type="Embed" ProgID="Word.Document.12" ShapeID="_x0000_i1025" DrawAspect="Content" ObjectID="_1772871621" r:id="rId14">
            <o:FieldCodes>\s</o:FieldCodes>
          </o:OLEObject>
        </w:object>
      </w:r>
    </w:p>
    <w:sdt>
      <w:sdtPr>
        <w:rPr>
          <w:rFonts w:ascii="Arial" w:hAnsi="Arial" w:cs="Arial"/>
          <w:color w:val="000000" w:themeColor="text1"/>
          <w:sz w:val="28"/>
          <w:szCs w:val="28"/>
          <w:lang w:val="en-AU"/>
        </w:rPr>
        <w:id w:val="1363948725"/>
        <w:docPartObj>
          <w:docPartGallery w:val="Cover Pages"/>
          <w:docPartUnique/>
        </w:docPartObj>
      </w:sdtPr>
      <w:sdtEndPr>
        <w:rPr>
          <w:rFonts w:cstheme="minorBidi"/>
          <w:sz w:val="16"/>
          <w:szCs w:val="16"/>
        </w:rPr>
      </w:sdtEndPr>
      <w:sdtContent>
        <w:p w14:paraId="26798DD6" w14:textId="16EEEA07" w:rsidR="00FE4078" w:rsidRDefault="00FE4078" w:rsidP="00260847">
          <w:pPr>
            <w:pStyle w:val="NoSpacing"/>
            <w:spacing w:before="120" w:after="120"/>
            <w:rPr>
              <w:rFonts w:ascii="Arial" w:hAnsi="Arial" w:cs="Arial"/>
              <w:bCs/>
              <w:sz w:val="28"/>
            </w:rPr>
          </w:pPr>
        </w:p>
        <w:p w14:paraId="20431BD1" w14:textId="77777777" w:rsidR="00FE4078" w:rsidRDefault="00FE4078" w:rsidP="00260847">
          <w:pPr>
            <w:pStyle w:val="NoSpacing"/>
            <w:spacing w:before="120" w:after="120"/>
            <w:rPr>
              <w:rFonts w:ascii="Arial" w:hAnsi="Arial" w:cs="Arial"/>
              <w:bCs/>
              <w:sz w:val="28"/>
            </w:rPr>
          </w:pPr>
        </w:p>
        <w:p w14:paraId="498EE8EE" w14:textId="77777777" w:rsidR="00FE4078" w:rsidRDefault="00FE4078" w:rsidP="00260847">
          <w:pPr>
            <w:pStyle w:val="NoSpacing"/>
            <w:spacing w:before="120" w:after="120"/>
            <w:rPr>
              <w:rFonts w:ascii="Arial" w:hAnsi="Arial" w:cs="Arial"/>
              <w:bCs/>
              <w:sz w:val="28"/>
            </w:rPr>
          </w:pPr>
          <w:r w:rsidRPr="00F63848">
            <w:rPr>
              <w:noProof/>
              <w:lang w:val="en-AU" w:eastAsia="en-AU"/>
            </w:rPr>
            <w:drawing>
              <wp:inline distT="0" distB="0" distL="0" distR="0" wp14:anchorId="2CE415F4" wp14:editId="452AF65A">
                <wp:extent cx="3259015" cy="1066800"/>
                <wp:effectExtent l="0" t="0" r="0" b="0"/>
                <wp:docPr id="4" name="Picture 4"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0A8AE1A8" w14:textId="77777777" w:rsidR="00FE4078" w:rsidRDefault="00FE4078" w:rsidP="00260847">
          <w:pPr>
            <w:pStyle w:val="NoSpacing"/>
            <w:spacing w:before="120" w:after="120"/>
            <w:rPr>
              <w:rFonts w:ascii="Arial" w:hAnsi="Arial" w:cs="Arial"/>
              <w:bCs/>
              <w:sz w:val="28"/>
            </w:rPr>
          </w:pPr>
        </w:p>
        <w:p w14:paraId="0CFFB2CA" w14:textId="77777777" w:rsidR="00FE4078" w:rsidRDefault="00FE4078" w:rsidP="00260847">
          <w:pPr>
            <w:pStyle w:val="NoSpacing"/>
            <w:spacing w:before="120" w:after="120"/>
            <w:rPr>
              <w:rFonts w:ascii="Arial" w:hAnsi="Arial" w:cs="Arial"/>
              <w:bCs/>
              <w:sz w:val="28"/>
            </w:rPr>
          </w:pPr>
        </w:p>
        <w:p w14:paraId="487AB12B" w14:textId="77777777" w:rsidR="00FE4078" w:rsidRDefault="00FE4078" w:rsidP="00260847">
          <w:pPr>
            <w:pStyle w:val="NoSpacing"/>
            <w:spacing w:before="120" w:after="120"/>
            <w:rPr>
              <w:rFonts w:ascii="Arial" w:hAnsi="Arial" w:cs="Arial"/>
              <w:bCs/>
              <w:sz w:val="28"/>
            </w:rPr>
          </w:pPr>
        </w:p>
        <w:p w14:paraId="25EBAAE5" w14:textId="77777777" w:rsidR="00FE4078" w:rsidRDefault="00FE4078" w:rsidP="00260847">
          <w:pPr>
            <w:pStyle w:val="NoSpacing"/>
            <w:spacing w:before="120" w:after="120"/>
            <w:rPr>
              <w:rFonts w:ascii="Arial" w:hAnsi="Arial" w:cs="Arial"/>
              <w:bCs/>
              <w:sz w:val="28"/>
            </w:rPr>
          </w:pPr>
        </w:p>
        <w:p w14:paraId="5D07D8B9" w14:textId="77777777" w:rsidR="00FE4078" w:rsidRDefault="00FE4078" w:rsidP="00260847">
          <w:pPr>
            <w:pStyle w:val="NoSpacing"/>
            <w:spacing w:before="120" w:after="120"/>
            <w:rPr>
              <w:rFonts w:ascii="Arial" w:hAnsi="Arial" w:cs="Arial"/>
              <w:bCs/>
              <w:sz w:val="28"/>
            </w:rPr>
          </w:pPr>
        </w:p>
        <w:p w14:paraId="111220A1" w14:textId="77777777" w:rsidR="00FE4078" w:rsidRDefault="00FE4078" w:rsidP="00260847">
          <w:pPr>
            <w:pStyle w:val="NoSpacing"/>
            <w:spacing w:before="120" w:after="120"/>
            <w:rPr>
              <w:rFonts w:ascii="Arial" w:hAnsi="Arial" w:cs="Arial"/>
              <w:bCs/>
              <w:sz w:val="28"/>
            </w:rPr>
          </w:pPr>
        </w:p>
        <w:p w14:paraId="7F7A77C8" w14:textId="77777777" w:rsidR="00FE4078" w:rsidRPr="0035517B" w:rsidRDefault="00FE4078" w:rsidP="0035517B">
          <w:pPr>
            <w:pStyle w:val="Title"/>
          </w:pPr>
          <w:r>
            <w:t>Putting Queensland Kids First: Consultation Draft</w:t>
          </w:r>
        </w:p>
        <w:p w14:paraId="185235CF" w14:textId="77777777" w:rsidR="00FE4078" w:rsidRPr="00B35855" w:rsidRDefault="00FE4078" w:rsidP="00B35855">
          <w:pPr>
            <w:rPr>
              <w:color w:val="002060"/>
              <w:sz w:val="36"/>
              <w:szCs w:val="36"/>
            </w:rPr>
          </w:pPr>
          <w:r w:rsidRPr="00B35855">
            <w:rPr>
              <w:color w:val="002060"/>
              <w:sz w:val="36"/>
              <w:szCs w:val="36"/>
            </w:rPr>
            <w:t xml:space="preserve">Submission to </w:t>
          </w:r>
          <w:r>
            <w:rPr>
              <w:color w:val="002060"/>
              <w:sz w:val="36"/>
              <w:szCs w:val="36"/>
            </w:rPr>
            <w:t>Department of the Premier and Cabinet</w:t>
          </w:r>
        </w:p>
        <w:p w14:paraId="24E70D4F" w14:textId="77777777" w:rsidR="00FE4078" w:rsidRPr="00B35855" w:rsidRDefault="00FE4078" w:rsidP="00B35855">
          <w:pPr>
            <w:rPr>
              <w:color w:val="002060"/>
              <w:sz w:val="36"/>
              <w:szCs w:val="36"/>
            </w:rPr>
          </w:pPr>
          <w:r>
            <w:rPr>
              <w:color w:val="002060"/>
              <w:sz w:val="36"/>
              <w:szCs w:val="36"/>
            </w:rPr>
            <w:t>21</w:t>
          </w:r>
          <w:r w:rsidRPr="00B35855">
            <w:rPr>
              <w:color w:val="002060"/>
              <w:sz w:val="36"/>
              <w:szCs w:val="36"/>
            </w:rPr>
            <w:t xml:space="preserve"> February 2024</w:t>
          </w:r>
        </w:p>
        <w:p w14:paraId="4EF651A3" w14:textId="77777777" w:rsidR="00FE4078" w:rsidRDefault="00FE4078">
          <w:pPr>
            <w:rPr>
              <w:rFonts w:cs="Arial"/>
              <w:bCs/>
              <w:sz w:val="28"/>
              <w:szCs w:val="22"/>
              <w:lang w:val="en-US"/>
            </w:rPr>
          </w:pPr>
          <w:r>
            <w:rPr>
              <w:rFonts w:cs="Arial"/>
              <w:bCs/>
              <w:sz w:val="28"/>
            </w:rPr>
            <w:br w:type="page"/>
          </w:r>
        </w:p>
        <w:p w14:paraId="5AA6AE0F" w14:textId="77777777" w:rsidR="00FE4078" w:rsidRDefault="00FE4078" w:rsidP="00260847">
          <w:pPr>
            <w:pStyle w:val="NoSpacing"/>
            <w:spacing w:before="120" w:after="120"/>
          </w:pPr>
        </w:p>
        <w:p w14:paraId="4770591B" w14:textId="77777777" w:rsidR="00FE4078" w:rsidRPr="004A2375" w:rsidRDefault="00FE4078">
          <w:pPr>
            <w:rPr>
              <w:rFonts w:eastAsiaTheme="majorEastAsia" w:cstheme="majorBidi"/>
              <w:b/>
              <w:color w:val="365F91" w:themeColor="accent1" w:themeShade="BF"/>
              <w:sz w:val="16"/>
              <w:szCs w:val="16"/>
            </w:rPr>
          </w:pPr>
        </w:p>
      </w:sdtContent>
    </w:sdt>
    <w:bookmarkStart w:id="22" w:name="_Toc159426518" w:displacedByCustomXml="next"/>
    <w:sdt>
      <w:sdtPr>
        <w:rPr>
          <w:rFonts w:asciiTheme="minorHAnsi" w:eastAsiaTheme="minorEastAsia" w:hAnsiTheme="minorHAnsi" w:cstheme="minorBidi"/>
          <w:color w:val="auto"/>
          <w:sz w:val="24"/>
          <w:szCs w:val="24"/>
          <w:lang w:val="en-US"/>
        </w:rPr>
        <w:id w:val="1497766517"/>
        <w:docPartObj>
          <w:docPartGallery w:val="Table of Contents"/>
          <w:docPartUnique/>
        </w:docPartObj>
      </w:sdtPr>
      <w:sdtEndPr>
        <w:rPr>
          <w:b/>
          <w:bCs/>
          <w:noProof/>
          <w:color w:val="000000" w:themeColor="text1"/>
          <w:sz w:val="22"/>
          <w:szCs w:val="22"/>
          <w:lang w:val="en-AU"/>
        </w:rPr>
      </w:sdtEndPr>
      <w:sdtContent>
        <w:p w14:paraId="3C172A9D" w14:textId="77777777" w:rsidR="00FE4078" w:rsidRPr="00A16356" w:rsidRDefault="00FE4078" w:rsidP="005C69C9">
          <w:pPr>
            <w:pStyle w:val="Heading1"/>
          </w:pPr>
          <w:r>
            <w:t>Table of c</w:t>
          </w:r>
          <w:r w:rsidRPr="00A16356">
            <w:t>ontents</w:t>
          </w:r>
          <w:bookmarkEnd w:id="22"/>
        </w:p>
        <w:p w14:paraId="5FCA9FA7" w14:textId="77777777" w:rsidR="00FE4078" w:rsidRDefault="00FE4078">
          <w:pPr>
            <w:pStyle w:val="TOC1"/>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59426518" w:history="1"/>
        </w:p>
        <w:p w14:paraId="7B5BA29B"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19" w:history="1">
            <w:r w:rsidRPr="00936390">
              <w:rPr>
                <w:rStyle w:val="Hyperlink"/>
                <w:noProof/>
              </w:rPr>
              <w:t>Introduction</w:t>
            </w:r>
            <w:r>
              <w:rPr>
                <w:noProof/>
                <w:webHidden/>
              </w:rPr>
              <w:tab/>
            </w:r>
            <w:r>
              <w:rPr>
                <w:noProof/>
                <w:webHidden/>
              </w:rPr>
              <w:fldChar w:fldCharType="begin"/>
            </w:r>
            <w:r>
              <w:rPr>
                <w:noProof/>
                <w:webHidden/>
              </w:rPr>
              <w:instrText xml:space="preserve"> PAGEREF _Toc159426519 \h </w:instrText>
            </w:r>
            <w:r>
              <w:rPr>
                <w:noProof/>
                <w:webHidden/>
              </w:rPr>
            </w:r>
            <w:r>
              <w:rPr>
                <w:noProof/>
                <w:webHidden/>
              </w:rPr>
              <w:fldChar w:fldCharType="separate"/>
            </w:r>
            <w:r>
              <w:rPr>
                <w:noProof/>
                <w:webHidden/>
              </w:rPr>
              <w:t>2</w:t>
            </w:r>
            <w:r>
              <w:rPr>
                <w:noProof/>
                <w:webHidden/>
              </w:rPr>
              <w:fldChar w:fldCharType="end"/>
            </w:r>
          </w:hyperlink>
        </w:p>
        <w:p w14:paraId="057A0574"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20" w:history="1">
            <w:r w:rsidRPr="00936390">
              <w:rPr>
                <w:rStyle w:val="Hyperlink"/>
                <w:noProof/>
                <w:lang w:val="en-US"/>
              </w:rPr>
              <w:t>About the Commission</w:t>
            </w:r>
            <w:r>
              <w:rPr>
                <w:noProof/>
                <w:webHidden/>
              </w:rPr>
              <w:tab/>
            </w:r>
            <w:r>
              <w:rPr>
                <w:noProof/>
                <w:webHidden/>
              </w:rPr>
              <w:fldChar w:fldCharType="begin"/>
            </w:r>
            <w:r>
              <w:rPr>
                <w:noProof/>
                <w:webHidden/>
              </w:rPr>
              <w:instrText xml:space="preserve"> PAGEREF _Toc159426520 \h </w:instrText>
            </w:r>
            <w:r>
              <w:rPr>
                <w:noProof/>
                <w:webHidden/>
              </w:rPr>
            </w:r>
            <w:r>
              <w:rPr>
                <w:noProof/>
                <w:webHidden/>
              </w:rPr>
              <w:fldChar w:fldCharType="separate"/>
            </w:r>
            <w:r>
              <w:rPr>
                <w:noProof/>
                <w:webHidden/>
              </w:rPr>
              <w:t>2</w:t>
            </w:r>
            <w:r>
              <w:rPr>
                <w:noProof/>
                <w:webHidden/>
              </w:rPr>
              <w:fldChar w:fldCharType="end"/>
            </w:r>
          </w:hyperlink>
        </w:p>
        <w:p w14:paraId="352FF168"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21" w:history="1">
            <w:r w:rsidRPr="00936390">
              <w:rPr>
                <w:rStyle w:val="Hyperlink"/>
                <w:noProof/>
              </w:rPr>
              <w:t>Summary of submission</w:t>
            </w:r>
            <w:r>
              <w:rPr>
                <w:noProof/>
                <w:webHidden/>
              </w:rPr>
              <w:tab/>
            </w:r>
            <w:r>
              <w:rPr>
                <w:noProof/>
                <w:webHidden/>
              </w:rPr>
              <w:fldChar w:fldCharType="begin"/>
            </w:r>
            <w:r>
              <w:rPr>
                <w:noProof/>
                <w:webHidden/>
              </w:rPr>
              <w:instrText xml:space="preserve"> PAGEREF _Toc159426521 \h </w:instrText>
            </w:r>
            <w:r>
              <w:rPr>
                <w:noProof/>
                <w:webHidden/>
              </w:rPr>
            </w:r>
            <w:r>
              <w:rPr>
                <w:noProof/>
                <w:webHidden/>
              </w:rPr>
              <w:fldChar w:fldCharType="separate"/>
            </w:r>
            <w:r>
              <w:rPr>
                <w:noProof/>
                <w:webHidden/>
              </w:rPr>
              <w:t>3</w:t>
            </w:r>
            <w:r>
              <w:rPr>
                <w:noProof/>
                <w:webHidden/>
              </w:rPr>
              <w:fldChar w:fldCharType="end"/>
            </w:r>
          </w:hyperlink>
        </w:p>
        <w:p w14:paraId="0B4CFA73"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22" w:history="1">
            <w:r w:rsidRPr="00936390">
              <w:rPr>
                <w:rStyle w:val="Hyperlink"/>
                <w:rFonts w:cs="Arial"/>
                <w:noProof/>
                <w:lang w:val="en-US"/>
              </w:rPr>
              <w:t>Vision, scope, and relationship with other policies</w:t>
            </w:r>
            <w:r>
              <w:rPr>
                <w:noProof/>
                <w:webHidden/>
              </w:rPr>
              <w:tab/>
            </w:r>
            <w:r>
              <w:rPr>
                <w:noProof/>
                <w:webHidden/>
              </w:rPr>
              <w:fldChar w:fldCharType="begin"/>
            </w:r>
            <w:r>
              <w:rPr>
                <w:noProof/>
                <w:webHidden/>
              </w:rPr>
              <w:instrText xml:space="preserve"> PAGEREF _Toc159426522 \h </w:instrText>
            </w:r>
            <w:r>
              <w:rPr>
                <w:noProof/>
                <w:webHidden/>
              </w:rPr>
            </w:r>
            <w:r>
              <w:rPr>
                <w:noProof/>
                <w:webHidden/>
              </w:rPr>
              <w:fldChar w:fldCharType="separate"/>
            </w:r>
            <w:r>
              <w:rPr>
                <w:noProof/>
                <w:webHidden/>
              </w:rPr>
              <w:t>4</w:t>
            </w:r>
            <w:r>
              <w:rPr>
                <w:noProof/>
                <w:webHidden/>
              </w:rPr>
              <w:fldChar w:fldCharType="end"/>
            </w:r>
          </w:hyperlink>
        </w:p>
        <w:p w14:paraId="2330D530"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23" w:history="1">
            <w:r w:rsidRPr="00936390">
              <w:rPr>
                <w:rStyle w:val="Hyperlink"/>
                <w:noProof/>
              </w:rPr>
              <w:t>Vision and purpose</w:t>
            </w:r>
            <w:r>
              <w:rPr>
                <w:noProof/>
                <w:webHidden/>
              </w:rPr>
              <w:tab/>
            </w:r>
            <w:r>
              <w:rPr>
                <w:noProof/>
                <w:webHidden/>
              </w:rPr>
              <w:fldChar w:fldCharType="begin"/>
            </w:r>
            <w:r>
              <w:rPr>
                <w:noProof/>
                <w:webHidden/>
              </w:rPr>
              <w:instrText xml:space="preserve"> PAGEREF _Toc159426523 \h </w:instrText>
            </w:r>
            <w:r>
              <w:rPr>
                <w:noProof/>
                <w:webHidden/>
              </w:rPr>
            </w:r>
            <w:r>
              <w:rPr>
                <w:noProof/>
                <w:webHidden/>
              </w:rPr>
              <w:fldChar w:fldCharType="separate"/>
            </w:r>
            <w:r>
              <w:rPr>
                <w:noProof/>
                <w:webHidden/>
              </w:rPr>
              <w:t>4</w:t>
            </w:r>
            <w:r>
              <w:rPr>
                <w:noProof/>
                <w:webHidden/>
              </w:rPr>
              <w:fldChar w:fldCharType="end"/>
            </w:r>
          </w:hyperlink>
        </w:p>
        <w:p w14:paraId="236F49E3"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24" w:history="1">
            <w:r w:rsidRPr="00936390">
              <w:rPr>
                <w:rStyle w:val="Hyperlink"/>
                <w:noProof/>
              </w:rPr>
              <w:t>Scope of the Plan and relationship with other government activity</w:t>
            </w:r>
            <w:r>
              <w:rPr>
                <w:noProof/>
                <w:webHidden/>
              </w:rPr>
              <w:tab/>
            </w:r>
            <w:r>
              <w:rPr>
                <w:noProof/>
                <w:webHidden/>
              </w:rPr>
              <w:fldChar w:fldCharType="begin"/>
            </w:r>
            <w:r>
              <w:rPr>
                <w:noProof/>
                <w:webHidden/>
              </w:rPr>
              <w:instrText xml:space="preserve"> PAGEREF _Toc159426524 \h </w:instrText>
            </w:r>
            <w:r>
              <w:rPr>
                <w:noProof/>
                <w:webHidden/>
              </w:rPr>
            </w:r>
            <w:r>
              <w:rPr>
                <w:noProof/>
                <w:webHidden/>
              </w:rPr>
              <w:fldChar w:fldCharType="separate"/>
            </w:r>
            <w:r>
              <w:rPr>
                <w:noProof/>
                <w:webHidden/>
              </w:rPr>
              <w:t>6</w:t>
            </w:r>
            <w:r>
              <w:rPr>
                <w:noProof/>
                <w:webHidden/>
              </w:rPr>
              <w:fldChar w:fldCharType="end"/>
            </w:r>
          </w:hyperlink>
        </w:p>
        <w:p w14:paraId="7F724CD2"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25" w:history="1">
            <w:r w:rsidRPr="00936390">
              <w:rPr>
                <w:rStyle w:val="Hyperlink"/>
                <w:noProof/>
              </w:rPr>
              <w:t>Addressing law, policies, and practices that heighten risk</w:t>
            </w:r>
            <w:r>
              <w:rPr>
                <w:noProof/>
                <w:webHidden/>
              </w:rPr>
              <w:tab/>
            </w:r>
            <w:r>
              <w:rPr>
                <w:noProof/>
                <w:webHidden/>
              </w:rPr>
              <w:fldChar w:fldCharType="begin"/>
            </w:r>
            <w:r>
              <w:rPr>
                <w:noProof/>
                <w:webHidden/>
              </w:rPr>
              <w:instrText xml:space="preserve"> PAGEREF _Toc159426525 \h </w:instrText>
            </w:r>
            <w:r>
              <w:rPr>
                <w:noProof/>
                <w:webHidden/>
              </w:rPr>
            </w:r>
            <w:r>
              <w:rPr>
                <w:noProof/>
                <w:webHidden/>
              </w:rPr>
              <w:fldChar w:fldCharType="separate"/>
            </w:r>
            <w:r>
              <w:rPr>
                <w:noProof/>
                <w:webHidden/>
              </w:rPr>
              <w:t>7</w:t>
            </w:r>
            <w:r>
              <w:rPr>
                <w:noProof/>
                <w:webHidden/>
              </w:rPr>
              <w:fldChar w:fldCharType="end"/>
            </w:r>
          </w:hyperlink>
        </w:p>
        <w:p w14:paraId="5EFA1FCE"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26" w:history="1">
            <w:r w:rsidRPr="00936390">
              <w:rPr>
                <w:rStyle w:val="Hyperlink"/>
                <w:rFonts w:cs="Arial"/>
                <w:noProof/>
                <w:lang w:val="en-US"/>
              </w:rPr>
              <w:t>Consultation Question 1: Core principles</w:t>
            </w:r>
            <w:r>
              <w:rPr>
                <w:noProof/>
                <w:webHidden/>
              </w:rPr>
              <w:tab/>
            </w:r>
            <w:r>
              <w:rPr>
                <w:noProof/>
                <w:webHidden/>
              </w:rPr>
              <w:fldChar w:fldCharType="begin"/>
            </w:r>
            <w:r>
              <w:rPr>
                <w:noProof/>
                <w:webHidden/>
              </w:rPr>
              <w:instrText xml:space="preserve"> PAGEREF _Toc159426526 \h </w:instrText>
            </w:r>
            <w:r>
              <w:rPr>
                <w:noProof/>
                <w:webHidden/>
              </w:rPr>
            </w:r>
            <w:r>
              <w:rPr>
                <w:noProof/>
                <w:webHidden/>
              </w:rPr>
              <w:fldChar w:fldCharType="separate"/>
            </w:r>
            <w:r>
              <w:rPr>
                <w:noProof/>
                <w:webHidden/>
              </w:rPr>
              <w:t>8</w:t>
            </w:r>
            <w:r>
              <w:rPr>
                <w:noProof/>
                <w:webHidden/>
              </w:rPr>
              <w:fldChar w:fldCharType="end"/>
            </w:r>
          </w:hyperlink>
        </w:p>
        <w:p w14:paraId="3CA30411"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27" w:history="1">
            <w:r w:rsidRPr="00936390">
              <w:rPr>
                <w:rStyle w:val="Hyperlink"/>
                <w:noProof/>
              </w:rPr>
              <w:t>Human rights as key</w:t>
            </w:r>
            <w:r>
              <w:rPr>
                <w:noProof/>
                <w:webHidden/>
              </w:rPr>
              <w:tab/>
            </w:r>
            <w:r>
              <w:rPr>
                <w:noProof/>
                <w:webHidden/>
              </w:rPr>
              <w:fldChar w:fldCharType="begin"/>
            </w:r>
            <w:r>
              <w:rPr>
                <w:noProof/>
                <w:webHidden/>
              </w:rPr>
              <w:instrText xml:space="preserve"> PAGEREF _Toc159426527 \h </w:instrText>
            </w:r>
            <w:r>
              <w:rPr>
                <w:noProof/>
                <w:webHidden/>
              </w:rPr>
            </w:r>
            <w:r>
              <w:rPr>
                <w:noProof/>
                <w:webHidden/>
              </w:rPr>
              <w:fldChar w:fldCharType="separate"/>
            </w:r>
            <w:r>
              <w:rPr>
                <w:noProof/>
                <w:webHidden/>
              </w:rPr>
              <w:t>8</w:t>
            </w:r>
            <w:r>
              <w:rPr>
                <w:noProof/>
                <w:webHidden/>
              </w:rPr>
              <w:fldChar w:fldCharType="end"/>
            </w:r>
          </w:hyperlink>
        </w:p>
        <w:p w14:paraId="54DFDF09"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28" w:history="1">
            <w:r w:rsidRPr="00936390">
              <w:rPr>
                <w:rStyle w:val="Hyperlink"/>
                <w:noProof/>
              </w:rPr>
              <w:t>Articulation of principles</w:t>
            </w:r>
            <w:r>
              <w:rPr>
                <w:noProof/>
                <w:webHidden/>
              </w:rPr>
              <w:tab/>
            </w:r>
            <w:r>
              <w:rPr>
                <w:noProof/>
                <w:webHidden/>
              </w:rPr>
              <w:fldChar w:fldCharType="begin"/>
            </w:r>
            <w:r>
              <w:rPr>
                <w:noProof/>
                <w:webHidden/>
              </w:rPr>
              <w:instrText xml:space="preserve"> PAGEREF _Toc159426528 \h </w:instrText>
            </w:r>
            <w:r>
              <w:rPr>
                <w:noProof/>
                <w:webHidden/>
              </w:rPr>
            </w:r>
            <w:r>
              <w:rPr>
                <w:noProof/>
                <w:webHidden/>
              </w:rPr>
              <w:fldChar w:fldCharType="separate"/>
            </w:r>
            <w:r>
              <w:rPr>
                <w:noProof/>
                <w:webHidden/>
              </w:rPr>
              <w:t>9</w:t>
            </w:r>
            <w:r>
              <w:rPr>
                <w:noProof/>
                <w:webHidden/>
              </w:rPr>
              <w:fldChar w:fldCharType="end"/>
            </w:r>
          </w:hyperlink>
        </w:p>
        <w:p w14:paraId="2B7C3476"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29" w:history="1">
            <w:r w:rsidRPr="00936390">
              <w:rPr>
                <w:rStyle w:val="Hyperlink"/>
                <w:noProof/>
                <w:lang w:val="en-US"/>
              </w:rPr>
              <w:t>Consultation Question 2:  Key protective factors</w:t>
            </w:r>
            <w:r>
              <w:rPr>
                <w:noProof/>
                <w:webHidden/>
              </w:rPr>
              <w:tab/>
            </w:r>
            <w:r>
              <w:rPr>
                <w:noProof/>
                <w:webHidden/>
              </w:rPr>
              <w:fldChar w:fldCharType="begin"/>
            </w:r>
            <w:r>
              <w:rPr>
                <w:noProof/>
                <w:webHidden/>
              </w:rPr>
              <w:instrText xml:space="preserve"> PAGEREF _Toc159426529 \h </w:instrText>
            </w:r>
            <w:r>
              <w:rPr>
                <w:noProof/>
                <w:webHidden/>
              </w:rPr>
            </w:r>
            <w:r>
              <w:rPr>
                <w:noProof/>
                <w:webHidden/>
              </w:rPr>
              <w:fldChar w:fldCharType="separate"/>
            </w:r>
            <w:r>
              <w:rPr>
                <w:noProof/>
                <w:webHidden/>
              </w:rPr>
              <w:t>13</w:t>
            </w:r>
            <w:r>
              <w:rPr>
                <w:noProof/>
                <w:webHidden/>
              </w:rPr>
              <w:fldChar w:fldCharType="end"/>
            </w:r>
          </w:hyperlink>
        </w:p>
        <w:p w14:paraId="56F564B0"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0" w:history="1">
            <w:r w:rsidRPr="00936390">
              <w:rPr>
                <w:rStyle w:val="Hyperlink"/>
                <w:noProof/>
              </w:rPr>
              <w:t>High quality and culturally safe early childhood education</w:t>
            </w:r>
            <w:r>
              <w:rPr>
                <w:noProof/>
                <w:webHidden/>
              </w:rPr>
              <w:tab/>
            </w:r>
            <w:r>
              <w:rPr>
                <w:noProof/>
                <w:webHidden/>
              </w:rPr>
              <w:fldChar w:fldCharType="begin"/>
            </w:r>
            <w:r>
              <w:rPr>
                <w:noProof/>
                <w:webHidden/>
              </w:rPr>
              <w:instrText xml:space="preserve"> PAGEREF _Toc159426530 \h </w:instrText>
            </w:r>
            <w:r>
              <w:rPr>
                <w:noProof/>
                <w:webHidden/>
              </w:rPr>
            </w:r>
            <w:r>
              <w:rPr>
                <w:noProof/>
                <w:webHidden/>
              </w:rPr>
              <w:fldChar w:fldCharType="separate"/>
            </w:r>
            <w:r>
              <w:rPr>
                <w:noProof/>
                <w:webHidden/>
              </w:rPr>
              <w:t>13</w:t>
            </w:r>
            <w:r>
              <w:rPr>
                <w:noProof/>
                <w:webHidden/>
              </w:rPr>
              <w:fldChar w:fldCharType="end"/>
            </w:r>
          </w:hyperlink>
        </w:p>
        <w:p w14:paraId="1F249B44"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1" w:history="1">
            <w:r w:rsidRPr="00936390">
              <w:rPr>
                <w:rStyle w:val="Hyperlink"/>
                <w:noProof/>
              </w:rPr>
              <w:t>Access to and staying in education or training</w:t>
            </w:r>
            <w:r>
              <w:rPr>
                <w:noProof/>
                <w:webHidden/>
              </w:rPr>
              <w:tab/>
            </w:r>
            <w:r>
              <w:rPr>
                <w:noProof/>
                <w:webHidden/>
              </w:rPr>
              <w:fldChar w:fldCharType="begin"/>
            </w:r>
            <w:r>
              <w:rPr>
                <w:noProof/>
                <w:webHidden/>
              </w:rPr>
              <w:instrText xml:space="preserve"> PAGEREF _Toc159426531 \h </w:instrText>
            </w:r>
            <w:r>
              <w:rPr>
                <w:noProof/>
                <w:webHidden/>
              </w:rPr>
            </w:r>
            <w:r>
              <w:rPr>
                <w:noProof/>
                <w:webHidden/>
              </w:rPr>
              <w:fldChar w:fldCharType="separate"/>
            </w:r>
            <w:r>
              <w:rPr>
                <w:noProof/>
                <w:webHidden/>
              </w:rPr>
              <w:t>14</w:t>
            </w:r>
            <w:r>
              <w:rPr>
                <w:noProof/>
                <w:webHidden/>
              </w:rPr>
              <w:fldChar w:fldCharType="end"/>
            </w:r>
          </w:hyperlink>
        </w:p>
        <w:p w14:paraId="5A6545AF"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2" w:history="1">
            <w:r w:rsidRPr="00936390">
              <w:rPr>
                <w:rStyle w:val="Hyperlink"/>
                <w:noProof/>
              </w:rPr>
              <w:t>Strong cultural practices and a positive sense of cultural identity</w:t>
            </w:r>
            <w:r>
              <w:rPr>
                <w:noProof/>
                <w:webHidden/>
              </w:rPr>
              <w:tab/>
            </w:r>
            <w:r>
              <w:rPr>
                <w:noProof/>
                <w:webHidden/>
              </w:rPr>
              <w:fldChar w:fldCharType="begin"/>
            </w:r>
            <w:r>
              <w:rPr>
                <w:noProof/>
                <w:webHidden/>
              </w:rPr>
              <w:instrText xml:space="preserve"> PAGEREF _Toc159426532 \h </w:instrText>
            </w:r>
            <w:r>
              <w:rPr>
                <w:noProof/>
                <w:webHidden/>
              </w:rPr>
            </w:r>
            <w:r>
              <w:rPr>
                <w:noProof/>
                <w:webHidden/>
              </w:rPr>
              <w:fldChar w:fldCharType="separate"/>
            </w:r>
            <w:r>
              <w:rPr>
                <w:noProof/>
                <w:webHidden/>
              </w:rPr>
              <w:t>14</w:t>
            </w:r>
            <w:r>
              <w:rPr>
                <w:noProof/>
                <w:webHidden/>
              </w:rPr>
              <w:fldChar w:fldCharType="end"/>
            </w:r>
          </w:hyperlink>
        </w:p>
        <w:p w14:paraId="7A2F3D70"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33" w:history="1">
            <w:r w:rsidRPr="00936390">
              <w:rPr>
                <w:rStyle w:val="Hyperlink"/>
                <w:noProof/>
              </w:rPr>
              <w:t>Consultation Question 3: Other priorities</w:t>
            </w:r>
            <w:r>
              <w:rPr>
                <w:noProof/>
                <w:webHidden/>
              </w:rPr>
              <w:tab/>
            </w:r>
            <w:r>
              <w:rPr>
                <w:noProof/>
                <w:webHidden/>
              </w:rPr>
              <w:fldChar w:fldCharType="begin"/>
            </w:r>
            <w:r>
              <w:rPr>
                <w:noProof/>
                <w:webHidden/>
              </w:rPr>
              <w:instrText xml:space="preserve"> PAGEREF _Toc159426533 \h </w:instrText>
            </w:r>
            <w:r>
              <w:rPr>
                <w:noProof/>
                <w:webHidden/>
              </w:rPr>
            </w:r>
            <w:r>
              <w:rPr>
                <w:noProof/>
                <w:webHidden/>
              </w:rPr>
              <w:fldChar w:fldCharType="separate"/>
            </w:r>
            <w:r>
              <w:rPr>
                <w:noProof/>
                <w:webHidden/>
              </w:rPr>
              <w:t>15</w:t>
            </w:r>
            <w:r>
              <w:rPr>
                <w:noProof/>
                <w:webHidden/>
              </w:rPr>
              <w:fldChar w:fldCharType="end"/>
            </w:r>
          </w:hyperlink>
        </w:p>
        <w:p w14:paraId="0154DCFD"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4" w:history="1">
            <w:r w:rsidRPr="00936390">
              <w:rPr>
                <w:rStyle w:val="Hyperlink"/>
                <w:noProof/>
              </w:rPr>
              <w:t>Supporting families and strengthening communities</w:t>
            </w:r>
            <w:r>
              <w:rPr>
                <w:noProof/>
                <w:webHidden/>
              </w:rPr>
              <w:tab/>
            </w:r>
            <w:r>
              <w:rPr>
                <w:noProof/>
                <w:webHidden/>
              </w:rPr>
              <w:fldChar w:fldCharType="begin"/>
            </w:r>
            <w:r>
              <w:rPr>
                <w:noProof/>
                <w:webHidden/>
              </w:rPr>
              <w:instrText xml:space="preserve"> PAGEREF _Toc159426534 \h </w:instrText>
            </w:r>
            <w:r>
              <w:rPr>
                <w:noProof/>
                <w:webHidden/>
              </w:rPr>
            </w:r>
            <w:r>
              <w:rPr>
                <w:noProof/>
                <w:webHidden/>
              </w:rPr>
              <w:fldChar w:fldCharType="separate"/>
            </w:r>
            <w:r>
              <w:rPr>
                <w:noProof/>
                <w:webHidden/>
              </w:rPr>
              <w:t>15</w:t>
            </w:r>
            <w:r>
              <w:rPr>
                <w:noProof/>
                <w:webHidden/>
              </w:rPr>
              <w:fldChar w:fldCharType="end"/>
            </w:r>
          </w:hyperlink>
        </w:p>
        <w:p w14:paraId="2FAE8D95"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5" w:history="1">
            <w:r w:rsidRPr="00936390">
              <w:rPr>
                <w:rStyle w:val="Hyperlink"/>
                <w:noProof/>
              </w:rPr>
              <w:t>Maintaining engagement in education and training</w:t>
            </w:r>
            <w:r>
              <w:rPr>
                <w:noProof/>
                <w:webHidden/>
              </w:rPr>
              <w:tab/>
            </w:r>
            <w:r>
              <w:rPr>
                <w:noProof/>
                <w:webHidden/>
              </w:rPr>
              <w:fldChar w:fldCharType="begin"/>
            </w:r>
            <w:r>
              <w:rPr>
                <w:noProof/>
                <w:webHidden/>
              </w:rPr>
              <w:instrText xml:space="preserve"> PAGEREF _Toc159426535 \h </w:instrText>
            </w:r>
            <w:r>
              <w:rPr>
                <w:noProof/>
                <w:webHidden/>
              </w:rPr>
            </w:r>
            <w:r>
              <w:rPr>
                <w:noProof/>
                <w:webHidden/>
              </w:rPr>
              <w:fldChar w:fldCharType="separate"/>
            </w:r>
            <w:r>
              <w:rPr>
                <w:noProof/>
                <w:webHidden/>
              </w:rPr>
              <w:t>15</w:t>
            </w:r>
            <w:r>
              <w:rPr>
                <w:noProof/>
                <w:webHidden/>
              </w:rPr>
              <w:fldChar w:fldCharType="end"/>
            </w:r>
          </w:hyperlink>
        </w:p>
        <w:p w14:paraId="567A6565"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6" w:history="1">
            <w:r w:rsidRPr="00936390">
              <w:rPr>
                <w:rStyle w:val="Hyperlink"/>
                <w:noProof/>
              </w:rPr>
              <w:t>Addressing racism in schools</w:t>
            </w:r>
            <w:r>
              <w:rPr>
                <w:noProof/>
                <w:webHidden/>
              </w:rPr>
              <w:tab/>
            </w:r>
            <w:r>
              <w:rPr>
                <w:noProof/>
                <w:webHidden/>
              </w:rPr>
              <w:fldChar w:fldCharType="begin"/>
            </w:r>
            <w:r>
              <w:rPr>
                <w:noProof/>
                <w:webHidden/>
              </w:rPr>
              <w:instrText xml:space="preserve"> PAGEREF _Toc159426536 \h </w:instrText>
            </w:r>
            <w:r>
              <w:rPr>
                <w:noProof/>
                <w:webHidden/>
              </w:rPr>
            </w:r>
            <w:r>
              <w:rPr>
                <w:noProof/>
                <w:webHidden/>
              </w:rPr>
              <w:fldChar w:fldCharType="separate"/>
            </w:r>
            <w:r>
              <w:rPr>
                <w:noProof/>
                <w:webHidden/>
              </w:rPr>
              <w:t>17</w:t>
            </w:r>
            <w:r>
              <w:rPr>
                <w:noProof/>
                <w:webHidden/>
              </w:rPr>
              <w:fldChar w:fldCharType="end"/>
            </w:r>
          </w:hyperlink>
        </w:p>
        <w:p w14:paraId="3090B7FC"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7" w:history="1">
            <w:r w:rsidRPr="00936390">
              <w:rPr>
                <w:rStyle w:val="Hyperlink"/>
                <w:noProof/>
              </w:rPr>
              <w:t>The role of schools in supporting strong cultural practices and pride in culture</w:t>
            </w:r>
            <w:r>
              <w:rPr>
                <w:noProof/>
                <w:webHidden/>
              </w:rPr>
              <w:tab/>
            </w:r>
            <w:r>
              <w:rPr>
                <w:noProof/>
                <w:webHidden/>
              </w:rPr>
              <w:fldChar w:fldCharType="begin"/>
            </w:r>
            <w:r>
              <w:rPr>
                <w:noProof/>
                <w:webHidden/>
              </w:rPr>
              <w:instrText xml:space="preserve"> PAGEREF _Toc159426537 \h </w:instrText>
            </w:r>
            <w:r>
              <w:rPr>
                <w:noProof/>
                <w:webHidden/>
              </w:rPr>
            </w:r>
            <w:r>
              <w:rPr>
                <w:noProof/>
                <w:webHidden/>
              </w:rPr>
              <w:fldChar w:fldCharType="separate"/>
            </w:r>
            <w:r>
              <w:rPr>
                <w:noProof/>
                <w:webHidden/>
              </w:rPr>
              <w:t>17</w:t>
            </w:r>
            <w:r>
              <w:rPr>
                <w:noProof/>
                <w:webHidden/>
              </w:rPr>
              <w:fldChar w:fldCharType="end"/>
            </w:r>
          </w:hyperlink>
        </w:p>
        <w:p w14:paraId="3AEF0A13"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38" w:history="1">
            <w:r w:rsidRPr="00936390">
              <w:rPr>
                <w:rStyle w:val="Hyperlink"/>
                <w:noProof/>
              </w:rPr>
              <w:t>Responding therapeutically to challenging behaviours</w:t>
            </w:r>
            <w:r>
              <w:rPr>
                <w:noProof/>
                <w:webHidden/>
              </w:rPr>
              <w:tab/>
            </w:r>
            <w:r>
              <w:rPr>
                <w:noProof/>
                <w:webHidden/>
              </w:rPr>
              <w:fldChar w:fldCharType="begin"/>
            </w:r>
            <w:r>
              <w:rPr>
                <w:noProof/>
                <w:webHidden/>
              </w:rPr>
              <w:instrText xml:space="preserve"> PAGEREF _Toc159426538 \h </w:instrText>
            </w:r>
            <w:r>
              <w:rPr>
                <w:noProof/>
                <w:webHidden/>
              </w:rPr>
            </w:r>
            <w:r>
              <w:rPr>
                <w:noProof/>
                <w:webHidden/>
              </w:rPr>
              <w:fldChar w:fldCharType="separate"/>
            </w:r>
            <w:r>
              <w:rPr>
                <w:noProof/>
                <w:webHidden/>
              </w:rPr>
              <w:t>18</w:t>
            </w:r>
            <w:r>
              <w:rPr>
                <w:noProof/>
                <w:webHidden/>
              </w:rPr>
              <w:fldChar w:fldCharType="end"/>
            </w:r>
          </w:hyperlink>
        </w:p>
        <w:p w14:paraId="7F625856"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39" w:history="1">
            <w:r w:rsidRPr="00936390">
              <w:rPr>
                <w:rStyle w:val="Hyperlink"/>
                <w:noProof/>
                <w:lang w:val="en-US"/>
              </w:rPr>
              <w:t>Consultation Question 4: Connection to culture and community</w:t>
            </w:r>
            <w:r>
              <w:rPr>
                <w:noProof/>
                <w:webHidden/>
              </w:rPr>
              <w:tab/>
            </w:r>
            <w:r>
              <w:rPr>
                <w:noProof/>
                <w:webHidden/>
              </w:rPr>
              <w:fldChar w:fldCharType="begin"/>
            </w:r>
            <w:r>
              <w:rPr>
                <w:noProof/>
                <w:webHidden/>
              </w:rPr>
              <w:instrText xml:space="preserve"> PAGEREF _Toc159426539 \h </w:instrText>
            </w:r>
            <w:r>
              <w:rPr>
                <w:noProof/>
                <w:webHidden/>
              </w:rPr>
            </w:r>
            <w:r>
              <w:rPr>
                <w:noProof/>
                <w:webHidden/>
              </w:rPr>
              <w:fldChar w:fldCharType="separate"/>
            </w:r>
            <w:r>
              <w:rPr>
                <w:noProof/>
                <w:webHidden/>
              </w:rPr>
              <w:t>20</w:t>
            </w:r>
            <w:r>
              <w:rPr>
                <w:noProof/>
                <w:webHidden/>
              </w:rPr>
              <w:fldChar w:fldCharType="end"/>
            </w:r>
          </w:hyperlink>
        </w:p>
        <w:p w14:paraId="7AE3C87C" w14:textId="77777777" w:rsidR="00FE4078" w:rsidRDefault="00FE4078">
          <w:pPr>
            <w:pStyle w:val="TOC1"/>
            <w:rPr>
              <w:rFonts w:asciiTheme="minorHAnsi" w:hAnsiTheme="minorHAnsi"/>
              <w:noProof/>
              <w:color w:val="auto"/>
              <w:kern w:val="2"/>
              <w:sz w:val="24"/>
              <w:lang w:eastAsia="en-AU"/>
              <w14:ligatures w14:val="standardContextual"/>
            </w:rPr>
          </w:pPr>
          <w:hyperlink w:anchor="_Toc159426540" w:history="1">
            <w:r w:rsidRPr="00936390">
              <w:rPr>
                <w:rStyle w:val="Hyperlink"/>
                <w:noProof/>
                <w:lang w:val="en-US"/>
              </w:rPr>
              <w:t>Consultation Question 5: Working together</w:t>
            </w:r>
            <w:r>
              <w:rPr>
                <w:noProof/>
                <w:webHidden/>
              </w:rPr>
              <w:tab/>
            </w:r>
            <w:r>
              <w:rPr>
                <w:noProof/>
                <w:webHidden/>
              </w:rPr>
              <w:fldChar w:fldCharType="begin"/>
            </w:r>
            <w:r>
              <w:rPr>
                <w:noProof/>
                <w:webHidden/>
              </w:rPr>
              <w:instrText xml:space="preserve"> PAGEREF _Toc159426540 \h </w:instrText>
            </w:r>
            <w:r>
              <w:rPr>
                <w:noProof/>
                <w:webHidden/>
              </w:rPr>
            </w:r>
            <w:r>
              <w:rPr>
                <w:noProof/>
                <w:webHidden/>
              </w:rPr>
              <w:fldChar w:fldCharType="separate"/>
            </w:r>
            <w:r>
              <w:rPr>
                <w:noProof/>
                <w:webHidden/>
              </w:rPr>
              <w:t>22</w:t>
            </w:r>
            <w:r>
              <w:rPr>
                <w:noProof/>
                <w:webHidden/>
              </w:rPr>
              <w:fldChar w:fldCharType="end"/>
            </w:r>
          </w:hyperlink>
        </w:p>
        <w:p w14:paraId="0F8F36F5"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41" w:history="1">
            <w:r w:rsidRPr="00936390">
              <w:rPr>
                <w:rStyle w:val="Hyperlink"/>
                <w:noProof/>
                <w:lang w:val="en-US"/>
              </w:rPr>
              <w:t>Implementation roadmap</w:t>
            </w:r>
            <w:r>
              <w:rPr>
                <w:noProof/>
                <w:webHidden/>
              </w:rPr>
              <w:tab/>
            </w:r>
            <w:r>
              <w:rPr>
                <w:noProof/>
                <w:webHidden/>
              </w:rPr>
              <w:fldChar w:fldCharType="begin"/>
            </w:r>
            <w:r>
              <w:rPr>
                <w:noProof/>
                <w:webHidden/>
              </w:rPr>
              <w:instrText xml:space="preserve"> PAGEREF _Toc159426541 \h </w:instrText>
            </w:r>
            <w:r>
              <w:rPr>
                <w:noProof/>
                <w:webHidden/>
              </w:rPr>
            </w:r>
            <w:r>
              <w:rPr>
                <w:noProof/>
                <w:webHidden/>
              </w:rPr>
              <w:fldChar w:fldCharType="separate"/>
            </w:r>
            <w:r>
              <w:rPr>
                <w:noProof/>
                <w:webHidden/>
              </w:rPr>
              <w:t>23</w:t>
            </w:r>
            <w:r>
              <w:rPr>
                <w:noProof/>
                <w:webHidden/>
              </w:rPr>
              <w:fldChar w:fldCharType="end"/>
            </w:r>
          </w:hyperlink>
        </w:p>
        <w:p w14:paraId="043C1CDD"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42" w:history="1">
            <w:r w:rsidRPr="00936390">
              <w:rPr>
                <w:rStyle w:val="Hyperlink"/>
                <w:noProof/>
                <w:lang w:val="en-US"/>
              </w:rPr>
              <w:t>Outcomes and indicators</w:t>
            </w:r>
            <w:r>
              <w:rPr>
                <w:noProof/>
                <w:webHidden/>
              </w:rPr>
              <w:tab/>
            </w:r>
            <w:r>
              <w:rPr>
                <w:noProof/>
                <w:webHidden/>
              </w:rPr>
              <w:fldChar w:fldCharType="begin"/>
            </w:r>
            <w:r>
              <w:rPr>
                <w:noProof/>
                <w:webHidden/>
              </w:rPr>
              <w:instrText xml:space="preserve"> PAGEREF _Toc159426542 \h </w:instrText>
            </w:r>
            <w:r>
              <w:rPr>
                <w:noProof/>
                <w:webHidden/>
              </w:rPr>
            </w:r>
            <w:r>
              <w:rPr>
                <w:noProof/>
                <w:webHidden/>
              </w:rPr>
              <w:fldChar w:fldCharType="separate"/>
            </w:r>
            <w:r>
              <w:rPr>
                <w:noProof/>
                <w:webHidden/>
              </w:rPr>
              <w:t>23</w:t>
            </w:r>
            <w:r>
              <w:rPr>
                <w:noProof/>
                <w:webHidden/>
              </w:rPr>
              <w:fldChar w:fldCharType="end"/>
            </w:r>
          </w:hyperlink>
        </w:p>
        <w:p w14:paraId="112C052F"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43" w:history="1">
            <w:r w:rsidRPr="00936390">
              <w:rPr>
                <w:rStyle w:val="Hyperlink"/>
                <w:noProof/>
                <w:lang w:val="en-US"/>
              </w:rPr>
              <w:t xml:space="preserve">Measuring and </w:t>
            </w:r>
            <w:r w:rsidRPr="00936390">
              <w:rPr>
                <w:rStyle w:val="Hyperlink"/>
                <w:noProof/>
              </w:rPr>
              <w:t>transparently</w:t>
            </w:r>
            <w:r w:rsidRPr="00936390">
              <w:rPr>
                <w:rStyle w:val="Hyperlink"/>
                <w:noProof/>
                <w:lang w:val="en-US"/>
              </w:rPr>
              <w:t xml:space="preserve"> reporting on progress</w:t>
            </w:r>
            <w:r>
              <w:rPr>
                <w:noProof/>
                <w:webHidden/>
              </w:rPr>
              <w:tab/>
            </w:r>
            <w:r>
              <w:rPr>
                <w:noProof/>
                <w:webHidden/>
              </w:rPr>
              <w:fldChar w:fldCharType="begin"/>
            </w:r>
            <w:r>
              <w:rPr>
                <w:noProof/>
                <w:webHidden/>
              </w:rPr>
              <w:instrText xml:space="preserve"> PAGEREF _Toc159426543 \h </w:instrText>
            </w:r>
            <w:r>
              <w:rPr>
                <w:noProof/>
                <w:webHidden/>
              </w:rPr>
            </w:r>
            <w:r>
              <w:rPr>
                <w:noProof/>
                <w:webHidden/>
              </w:rPr>
              <w:fldChar w:fldCharType="separate"/>
            </w:r>
            <w:r>
              <w:rPr>
                <w:noProof/>
                <w:webHidden/>
              </w:rPr>
              <w:t>24</w:t>
            </w:r>
            <w:r>
              <w:rPr>
                <w:noProof/>
                <w:webHidden/>
              </w:rPr>
              <w:fldChar w:fldCharType="end"/>
            </w:r>
          </w:hyperlink>
        </w:p>
        <w:p w14:paraId="60CF86B5" w14:textId="77777777" w:rsidR="00FE4078" w:rsidRDefault="00FE4078">
          <w:pPr>
            <w:pStyle w:val="TOC3"/>
            <w:tabs>
              <w:tab w:val="right" w:leader="dot" w:pos="8296"/>
            </w:tabs>
            <w:rPr>
              <w:rFonts w:asciiTheme="minorHAnsi" w:hAnsiTheme="minorHAnsi"/>
              <w:noProof/>
              <w:color w:val="auto"/>
              <w:kern w:val="2"/>
              <w:sz w:val="24"/>
              <w:lang w:eastAsia="en-AU"/>
              <w14:ligatures w14:val="standardContextual"/>
            </w:rPr>
          </w:pPr>
          <w:hyperlink w:anchor="_Toc159426544" w:history="1">
            <w:r w:rsidRPr="00936390">
              <w:rPr>
                <w:rStyle w:val="Hyperlink"/>
                <w:noProof/>
                <w:lang w:val="en-US"/>
              </w:rPr>
              <w:t>Designation of responsibility</w:t>
            </w:r>
            <w:r>
              <w:rPr>
                <w:noProof/>
                <w:webHidden/>
              </w:rPr>
              <w:tab/>
            </w:r>
            <w:r>
              <w:rPr>
                <w:noProof/>
                <w:webHidden/>
              </w:rPr>
              <w:fldChar w:fldCharType="begin"/>
            </w:r>
            <w:r>
              <w:rPr>
                <w:noProof/>
                <w:webHidden/>
              </w:rPr>
              <w:instrText xml:space="preserve"> PAGEREF _Toc159426544 \h </w:instrText>
            </w:r>
            <w:r>
              <w:rPr>
                <w:noProof/>
                <w:webHidden/>
              </w:rPr>
            </w:r>
            <w:r>
              <w:rPr>
                <w:noProof/>
                <w:webHidden/>
              </w:rPr>
              <w:fldChar w:fldCharType="separate"/>
            </w:r>
            <w:r>
              <w:rPr>
                <w:noProof/>
                <w:webHidden/>
              </w:rPr>
              <w:t>24</w:t>
            </w:r>
            <w:r>
              <w:rPr>
                <w:noProof/>
                <w:webHidden/>
              </w:rPr>
              <w:fldChar w:fldCharType="end"/>
            </w:r>
          </w:hyperlink>
        </w:p>
        <w:p w14:paraId="146FB528" w14:textId="77777777" w:rsidR="00FE4078" w:rsidRPr="00041E58" w:rsidRDefault="00FE4078" w:rsidP="00466216">
          <w:pPr>
            <w:spacing w:before="120"/>
            <w:rPr>
              <w:rFonts w:cs="Arial"/>
            </w:rPr>
          </w:pPr>
          <w:r w:rsidRPr="00041E58">
            <w:rPr>
              <w:rFonts w:cs="Arial"/>
              <w:b/>
              <w:bCs/>
              <w:noProof/>
            </w:rPr>
            <w:fldChar w:fldCharType="end"/>
          </w:r>
        </w:p>
      </w:sdtContent>
    </w:sdt>
    <w:p w14:paraId="1C858C7C" w14:textId="77777777" w:rsidR="00FE4078" w:rsidRDefault="00FE4078">
      <w:pPr>
        <w:rPr>
          <w:rFonts w:eastAsiaTheme="majorEastAsia" w:cstheme="majorBidi"/>
          <w:b/>
          <w:color w:val="365F91" w:themeColor="accent1" w:themeShade="BF"/>
          <w:sz w:val="28"/>
          <w:szCs w:val="32"/>
        </w:rPr>
        <w:sectPr w:rsidR="00FE4078" w:rsidSect="009D1C48">
          <w:footerReference w:type="default" r:id="rId15"/>
          <w:headerReference w:type="first" r:id="rId16"/>
          <w:pgSz w:w="11900" w:h="16840" w:code="9"/>
          <w:pgMar w:top="1440" w:right="1701" w:bottom="1361" w:left="1701" w:header="709" w:footer="680" w:gutter="0"/>
          <w:cols w:space="708"/>
          <w:docGrid w:linePitch="360"/>
        </w:sectPr>
      </w:pPr>
    </w:p>
    <w:p w14:paraId="4A6B396D" w14:textId="77777777" w:rsidR="00FE4078" w:rsidRPr="005C69C9" w:rsidRDefault="00FE4078" w:rsidP="005C69C9">
      <w:pPr>
        <w:pStyle w:val="Heading1"/>
      </w:pPr>
      <w:bookmarkStart w:id="23" w:name="_Toc159426519"/>
      <w:r w:rsidRPr="005C69C9">
        <w:lastRenderedPageBreak/>
        <w:t>Introduction</w:t>
      </w:r>
      <w:bookmarkEnd w:id="23"/>
      <w:r w:rsidRPr="005C69C9">
        <w:t xml:space="preserve"> </w:t>
      </w:r>
    </w:p>
    <w:p w14:paraId="0E86F646" w14:textId="77777777" w:rsidR="00FE4078" w:rsidRDefault="00FE4078" w:rsidP="00680649">
      <w:pPr>
        <w:pStyle w:val="Numberedparagraph"/>
      </w:pPr>
      <w:r>
        <w:t xml:space="preserve">In January 2024 the Queensland Government published </w:t>
      </w:r>
      <w:r>
        <w:rPr>
          <w:i/>
          <w:iCs/>
        </w:rPr>
        <w:t>Putting Queensland Kids First Consultation Draft</w:t>
      </w:r>
      <w:r>
        <w:t xml:space="preserve"> (</w:t>
      </w:r>
      <w:r w:rsidRPr="00F30F2A">
        <w:rPr>
          <w:b/>
          <w:bCs/>
        </w:rPr>
        <w:t>the Plan</w:t>
      </w:r>
      <w:r>
        <w:t>), which outlines</w:t>
      </w:r>
    </w:p>
    <w:p w14:paraId="6AA28F94" w14:textId="77777777" w:rsidR="00FE4078" w:rsidRPr="00EE1A9B" w:rsidRDefault="00FE4078" w:rsidP="00EE1A9B">
      <w:pPr>
        <w:pStyle w:val="Quote"/>
      </w:pPr>
      <w:r w:rsidRPr="00EE1A9B">
        <w:t>a vision that focuses on strengthening protective factors around children, young people and families to prevent adverse experiences through early interventions and prevention — starting early in life and targeting key transition points.</w:t>
      </w:r>
    </w:p>
    <w:p w14:paraId="796B0AC9" w14:textId="77777777" w:rsidR="00FE4078" w:rsidRPr="00BA4539" w:rsidRDefault="00FE4078" w:rsidP="00BA4539">
      <w:pPr>
        <w:pStyle w:val="Numberedparagraph"/>
        <w:rPr>
          <w:lang w:val="en-US"/>
        </w:rPr>
      </w:pPr>
      <w:r>
        <w:rPr>
          <w:lang w:val="en-US"/>
        </w:rPr>
        <w:t xml:space="preserve">This submission responds to a call for ideas and reflections on the Plan. The </w:t>
      </w:r>
      <w:r w:rsidRPr="00881C23">
        <w:rPr>
          <w:lang w:val="en-US"/>
        </w:rPr>
        <w:t xml:space="preserve">Commission </w:t>
      </w:r>
      <w:r>
        <w:rPr>
          <w:lang w:val="en-US"/>
        </w:rPr>
        <w:t>strongly supports the development of a whole-of-government strategy to strengthen protective factors for children, young people, and families in Queensland, and thanks the Government for the opportunity to provide its input.</w:t>
      </w:r>
    </w:p>
    <w:p w14:paraId="1A89C20C" w14:textId="77777777" w:rsidR="00FE4078" w:rsidRDefault="00FE4078" w:rsidP="00EE1A9B">
      <w:pPr>
        <w:pStyle w:val="Heading1"/>
        <w:rPr>
          <w:lang w:val="en-US"/>
        </w:rPr>
      </w:pPr>
      <w:bookmarkStart w:id="24" w:name="_Toc159426520"/>
      <w:r>
        <w:rPr>
          <w:lang w:val="en-US"/>
        </w:rPr>
        <w:t>About the Commission</w:t>
      </w:r>
      <w:bookmarkEnd w:id="24"/>
    </w:p>
    <w:p w14:paraId="31E6181B" w14:textId="77777777" w:rsidR="00FE4078" w:rsidRPr="00881C23" w:rsidRDefault="00FE4078" w:rsidP="00EE1A9B">
      <w:pPr>
        <w:pStyle w:val="Numberedparagraph"/>
        <w:rPr>
          <w:lang w:val="en-US"/>
        </w:rPr>
      </w:pPr>
      <w:r w:rsidRPr="00881C23">
        <w:rPr>
          <w:lang w:val="en-US"/>
        </w:rPr>
        <w:t>The Queensland Human Rights Commission (</w:t>
      </w:r>
      <w:r w:rsidRPr="00881C23">
        <w:rPr>
          <w:b/>
          <w:bCs/>
          <w:lang w:val="en-US"/>
        </w:rPr>
        <w:t>Commission</w:t>
      </w:r>
      <w:r w:rsidRPr="00881C23">
        <w:rPr>
          <w:lang w:val="en-US"/>
        </w:rPr>
        <w:t xml:space="preserve">) is an independent statutory authority with functions under the </w:t>
      </w:r>
      <w:r w:rsidRPr="00881C23">
        <w:rPr>
          <w:i/>
          <w:iCs/>
          <w:lang w:val="en-US"/>
        </w:rPr>
        <w:t>Anti-Discrimination Act 1991</w:t>
      </w:r>
      <w:r w:rsidRPr="00881C23">
        <w:rPr>
          <w:lang w:val="en-US"/>
        </w:rPr>
        <w:t xml:space="preserve"> and </w:t>
      </w:r>
      <w:r>
        <w:rPr>
          <w:lang w:val="en-US"/>
        </w:rPr>
        <w:t xml:space="preserve">the </w:t>
      </w:r>
      <w:r w:rsidRPr="00881C23">
        <w:rPr>
          <w:i/>
          <w:iCs/>
          <w:lang w:val="en-US"/>
        </w:rPr>
        <w:t xml:space="preserve">Human Rights Act 2019 </w:t>
      </w:r>
      <w:r w:rsidRPr="00881C23">
        <w:rPr>
          <w:lang w:val="en-US"/>
        </w:rPr>
        <w:t>(</w:t>
      </w:r>
      <w:r w:rsidRPr="00F30F2A">
        <w:rPr>
          <w:b/>
          <w:bCs/>
          <w:lang w:val="en-US"/>
        </w:rPr>
        <w:t>Human Rights Act</w:t>
      </w:r>
      <w:r w:rsidRPr="00881C23">
        <w:rPr>
          <w:lang w:val="en-US"/>
        </w:rPr>
        <w:t>), which include:</w:t>
      </w:r>
    </w:p>
    <w:p w14:paraId="6337A42A" w14:textId="77777777" w:rsidR="00FE4078" w:rsidRPr="00881C23" w:rsidRDefault="00FE4078" w:rsidP="00EE1A9B">
      <w:pPr>
        <w:pStyle w:val="Bulletedlist"/>
        <w:rPr>
          <w:lang w:val="en-US"/>
        </w:rPr>
      </w:pPr>
      <w:r w:rsidRPr="00881C23">
        <w:rPr>
          <w:lang w:val="en-US"/>
        </w:rPr>
        <w:t xml:space="preserve">dealing with complaints of discrimination, sexual harassment, vilification, reprisal (under the </w:t>
      </w:r>
      <w:r w:rsidRPr="00881C23">
        <w:rPr>
          <w:i/>
          <w:lang w:val="en-US"/>
        </w:rPr>
        <w:t>Public Interest Disclosure Act 20</w:t>
      </w:r>
      <w:r>
        <w:rPr>
          <w:i/>
          <w:lang w:val="en-US"/>
        </w:rPr>
        <w:t>10</w:t>
      </w:r>
      <w:r w:rsidRPr="00881C23">
        <w:rPr>
          <w:lang w:val="en-US"/>
        </w:rPr>
        <w:t xml:space="preserve">), and </w:t>
      </w:r>
      <w:r>
        <w:rPr>
          <w:lang w:val="en-US"/>
        </w:rPr>
        <w:t>contraventions</w:t>
      </w:r>
      <w:r w:rsidRPr="00881C23">
        <w:rPr>
          <w:lang w:val="en-US"/>
        </w:rPr>
        <w:t xml:space="preserve"> of the Human Rights Act</w:t>
      </w:r>
    </w:p>
    <w:p w14:paraId="68A1CFB9" w14:textId="77777777" w:rsidR="00FE4078" w:rsidRPr="00881C23" w:rsidRDefault="00FE4078" w:rsidP="00EE1A9B">
      <w:pPr>
        <w:pStyle w:val="Bulletedlist"/>
        <w:rPr>
          <w:lang w:val="en-US"/>
        </w:rPr>
      </w:pPr>
      <w:r w:rsidRPr="00881C23">
        <w:rPr>
          <w:lang w:val="en-US"/>
        </w:rPr>
        <w:t>reviewing public entities’ policies, programs, procedures, practices and services in relation to their compatibility with human rights</w:t>
      </w:r>
    </w:p>
    <w:p w14:paraId="22AADEB3" w14:textId="77777777" w:rsidR="00FE4078" w:rsidRPr="00881C23" w:rsidRDefault="00FE4078" w:rsidP="00EE1A9B">
      <w:pPr>
        <w:pStyle w:val="Bulletedlist"/>
        <w:rPr>
          <w:lang w:val="en-US"/>
        </w:rPr>
      </w:pPr>
      <w:r w:rsidRPr="00881C23">
        <w:rPr>
          <w:lang w:val="en-US"/>
        </w:rPr>
        <w:t>promoting an understanding, acceptance, and public discussion of human rights and the Human Rights Act in Queensland</w:t>
      </w:r>
    </w:p>
    <w:p w14:paraId="102E417C" w14:textId="77777777" w:rsidR="00FE4078" w:rsidRPr="00881C23" w:rsidRDefault="00FE4078" w:rsidP="00EE1A9B">
      <w:pPr>
        <w:pStyle w:val="Bulletedlist"/>
        <w:rPr>
          <w:lang w:val="en-US"/>
        </w:rPr>
      </w:pPr>
      <w:r w:rsidRPr="00881C23">
        <w:rPr>
          <w:lang w:val="en-US"/>
        </w:rPr>
        <w:t>providing education about human rights and the Human Rights Act.</w:t>
      </w:r>
    </w:p>
    <w:p w14:paraId="5992FE53" w14:textId="77777777" w:rsidR="00FE4078" w:rsidRPr="00881C23" w:rsidRDefault="00FE4078" w:rsidP="00EE1A9B">
      <w:pPr>
        <w:pStyle w:val="Numberedparagraph"/>
        <w:rPr>
          <w:lang w:val="en-US"/>
        </w:rPr>
      </w:pPr>
      <w:r w:rsidRPr="00881C23">
        <w:rPr>
          <w:lang w:val="en-US"/>
        </w:rPr>
        <w:t xml:space="preserve">In carrying out these functions, the Commission </w:t>
      </w:r>
      <w:r>
        <w:rPr>
          <w:lang w:val="en-US"/>
        </w:rPr>
        <w:t>gives</w:t>
      </w:r>
      <w:r w:rsidRPr="00881C23">
        <w:rPr>
          <w:lang w:val="en-US"/>
        </w:rPr>
        <w:t xml:space="preserve"> detailed consideration to human rights issues arising in the youth justice system for offenders, victims, and the community.</w:t>
      </w:r>
      <w:r w:rsidRPr="00881C23">
        <w:rPr>
          <w:rStyle w:val="FootnoteReference"/>
          <w:lang w:val="en-US"/>
        </w:rPr>
        <w:footnoteReference w:id="22"/>
      </w:r>
      <w:r w:rsidRPr="00881C23">
        <w:rPr>
          <w:lang w:val="en-US"/>
        </w:rPr>
        <w:t xml:space="preserve"> </w:t>
      </w:r>
    </w:p>
    <w:p w14:paraId="77338C8B" w14:textId="77777777" w:rsidR="00FE4078" w:rsidRPr="00881C23" w:rsidRDefault="00FE4078" w:rsidP="00EE1A9B">
      <w:pPr>
        <w:pStyle w:val="Numberedparagraph"/>
        <w:rPr>
          <w:lang w:val="en-US"/>
        </w:rPr>
      </w:pPr>
      <w:r w:rsidRPr="00881C23">
        <w:rPr>
          <w:lang w:val="en-US"/>
        </w:rPr>
        <w:t xml:space="preserve">The Commission has consistently put forward the view that the best outcomes </w:t>
      </w:r>
      <w:r>
        <w:rPr>
          <w:lang w:val="en-US"/>
        </w:rPr>
        <w:t xml:space="preserve">for young people and the community </w:t>
      </w:r>
      <w:r w:rsidRPr="00881C23">
        <w:rPr>
          <w:lang w:val="en-US"/>
        </w:rPr>
        <w:t xml:space="preserve">will be achieved by identifying risk factors that </w:t>
      </w:r>
      <w:r w:rsidRPr="00881C23">
        <w:rPr>
          <w:lang w:val="en-US"/>
        </w:rPr>
        <w:lastRenderedPageBreak/>
        <w:t xml:space="preserve">lead to youth crime and addressing them through early intervention. </w:t>
      </w:r>
      <w:r>
        <w:rPr>
          <w:lang w:val="en-US"/>
        </w:rPr>
        <w:t>Accordingly</w:t>
      </w:r>
      <w:r w:rsidRPr="00881C23">
        <w:rPr>
          <w:lang w:val="en-US"/>
        </w:rPr>
        <w:t xml:space="preserve">, the Commission has </w:t>
      </w:r>
      <w:proofErr w:type="spellStart"/>
      <w:r w:rsidRPr="00881C23">
        <w:rPr>
          <w:lang w:val="en-US"/>
        </w:rPr>
        <w:t>prioritised</w:t>
      </w:r>
      <w:proofErr w:type="spellEnd"/>
      <w:r w:rsidRPr="00881C23">
        <w:rPr>
          <w:lang w:val="en-US"/>
        </w:rPr>
        <w:t xml:space="preserve"> work that relates to:</w:t>
      </w:r>
    </w:p>
    <w:p w14:paraId="0FA39AE6" w14:textId="77777777" w:rsidR="00FE4078" w:rsidRPr="00881C23" w:rsidRDefault="00FE4078" w:rsidP="00EE1A9B">
      <w:pPr>
        <w:pStyle w:val="Bulletedlist"/>
        <w:rPr>
          <w:lang w:val="en-US"/>
        </w:rPr>
      </w:pPr>
      <w:r w:rsidRPr="00881C23">
        <w:rPr>
          <w:lang w:val="en-US"/>
        </w:rPr>
        <w:t xml:space="preserve">access to education, </w:t>
      </w:r>
      <w:r>
        <w:rPr>
          <w:lang w:val="en-US"/>
        </w:rPr>
        <w:t>especially</w:t>
      </w:r>
      <w:r w:rsidRPr="00881C23">
        <w:rPr>
          <w:lang w:val="en-US"/>
        </w:rPr>
        <w:t xml:space="preserve"> the high levels of school disciplinary absences in Queensland in which children with disability, First Nations children</w:t>
      </w:r>
      <w:r>
        <w:rPr>
          <w:lang w:val="en-US"/>
        </w:rPr>
        <w:t>,</w:t>
      </w:r>
      <w:r w:rsidRPr="00881C23">
        <w:rPr>
          <w:lang w:val="en-US"/>
        </w:rPr>
        <w:t xml:space="preserve"> and children in out</w:t>
      </w:r>
      <w:r>
        <w:rPr>
          <w:lang w:val="en-US"/>
        </w:rPr>
        <w:t>-</w:t>
      </w:r>
      <w:r w:rsidRPr="00881C23">
        <w:rPr>
          <w:lang w:val="en-US"/>
        </w:rPr>
        <w:t>of</w:t>
      </w:r>
      <w:r>
        <w:rPr>
          <w:lang w:val="en-US"/>
        </w:rPr>
        <w:t>-</w:t>
      </w:r>
      <w:r w:rsidRPr="00881C23">
        <w:rPr>
          <w:lang w:val="en-US"/>
        </w:rPr>
        <w:t>home care are over</w:t>
      </w:r>
      <w:r>
        <w:rPr>
          <w:lang w:val="en-US"/>
        </w:rPr>
        <w:t>-</w:t>
      </w:r>
      <w:r w:rsidRPr="00881C23">
        <w:rPr>
          <w:lang w:val="en-US"/>
        </w:rPr>
        <w:t>represented</w:t>
      </w:r>
    </w:p>
    <w:p w14:paraId="127A1A56" w14:textId="77777777" w:rsidR="00FE4078" w:rsidRPr="00881C23" w:rsidRDefault="00FE4078" w:rsidP="00EE1A9B">
      <w:pPr>
        <w:pStyle w:val="Bulletedlist"/>
        <w:rPr>
          <w:lang w:val="en-US"/>
        </w:rPr>
      </w:pPr>
      <w:r w:rsidRPr="00881C23">
        <w:rPr>
          <w:lang w:val="en-US"/>
        </w:rPr>
        <w:t xml:space="preserve">structural discrimination in service provision </w:t>
      </w:r>
      <w:r>
        <w:rPr>
          <w:lang w:val="en-US"/>
        </w:rPr>
        <w:t>including</w:t>
      </w:r>
      <w:r w:rsidRPr="00881C23">
        <w:rPr>
          <w:lang w:val="en-US"/>
        </w:rPr>
        <w:t xml:space="preserve"> health services</w:t>
      </w:r>
      <w:r>
        <w:rPr>
          <w:lang w:val="en-US"/>
        </w:rPr>
        <w:t>, education, and law enforcement</w:t>
      </w:r>
    </w:p>
    <w:p w14:paraId="7151123B" w14:textId="77777777" w:rsidR="00FE4078" w:rsidRPr="00881C23" w:rsidRDefault="00FE4078" w:rsidP="00EE1A9B">
      <w:pPr>
        <w:pStyle w:val="Bulletedlist"/>
        <w:rPr>
          <w:lang w:val="en-US"/>
        </w:rPr>
      </w:pPr>
      <w:r w:rsidRPr="00881C23">
        <w:rPr>
          <w:lang w:val="en-US"/>
        </w:rPr>
        <w:t>family support and the child safety system</w:t>
      </w:r>
    </w:p>
    <w:p w14:paraId="4E355C17" w14:textId="77777777" w:rsidR="00FE4078" w:rsidRPr="00881C23" w:rsidRDefault="00FE4078" w:rsidP="00EE1A9B">
      <w:pPr>
        <w:pStyle w:val="Bulletedlist"/>
        <w:rPr>
          <w:lang w:val="en-US"/>
        </w:rPr>
      </w:pPr>
      <w:r w:rsidRPr="00881C23">
        <w:rPr>
          <w:lang w:val="en-US"/>
        </w:rPr>
        <w:t>raising the age of criminal responsibility</w:t>
      </w:r>
    </w:p>
    <w:p w14:paraId="701AC587" w14:textId="77777777" w:rsidR="00FE4078" w:rsidRDefault="00FE4078" w:rsidP="00EE1A9B">
      <w:pPr>
        <w:pStyle w:val="Bulletedlist"/>
        <w:rPr>
          <w:lang w:val="en-US"/>
        </w:rPr>
      </w:pPr>
      <w:r>
        <w:rPr>
          <w:lang w:val="en-US"/>
        </w:rPr>
        <w:t>t</w:t>
      </w:r>
      <w:r w:rsidRPr="00881C23">
        <w:rPr>
          <w:lang w:val="en-US"/>
        </w:rPr>
        <w:t xml:space="preserve">ruth and </w:t>
      </w:r>
      <w:r>
        <w:rPr>
          <w:lang w:val="en-US"/>
        </w:rPr>
        <w:t>t</w:t>
      </w:r>
      <w:r w:rsidRPr="00881C23">
        <w:rPr>
          <w:lang w:val="en-US"/>
        </w:rPr>
        <w:t>reaty and</w:t>
      </w:r>
      <w:r>
        <w:rPr>
          <w:lang w:val="en-US"/>
        </w:rPr>
        <w:t xml:space="preserve"> accountability for</w:t>
      </w:r>
      <w:r w:rsidRPr="00881C23">
        <w:rPr>
          <w:lang w:val="en-US"/>
        </w:rPr>
        <w:t xml:space="preserve"> Closing the Gap targets.</w:t>
      </w:r>
    </w:p>
    <w:p w14:paraId="4E18D0D1" w14:textId="77777777" w:rsidR="00FE4078" w:rsidRDefault="00FE4078" w:rsidP="005C69C9">
      <w:pPr>
        <w:pStyle w:val="Heading1"/>
      </w:pPr>
      <w:bookmarkStart w:id="25" w:name="_Toc159426521"/>
      <w:r>
        <w:t>Summary of submission</w:t>
      </w:r>
      <w:bookmarkEnd w:id="25"/>
    </w:p>
    <w:p w14:paraId="290FB6AC" w14:textId="77777777" w:rsidR="00FE4078" w:rsidRDefault="00FE4078" w:rsidP="00EE1A9B">
      <w:pPr>
        <w:pStyle w:val="Numberedparagraph"/>
        <w:rPr>
          <w:lang w:val="en-US"/>
        </w:rPr>
      </w:pPr>
      <w:r w:rsidRPr="008C72AF">
        <w:rPr>
          <w:lang w:val="en-US"/>
        </w:rPr>
        <w:t>In this submission, the Commission</w:t>
      </w:r>
      <w:r>
        <w:rPr>
          <w:lang w:val="en-US"/>
        </w:rPr>
        <w:t xml:space="preserve"> addresses each of the consultation questions and comments on aspects of the draft Plan. </w:t>
      </w:r>
    </w:p>
    <w:tbl>
      <w:tblPr>
        <w:tblStyle w:val="TableGrid"/>
        <w:tblW w:w="0" w:type="auto"/>
        <w:tblInd w:w="567" w:type="dxa"/>
        <w:tblLook w:val="04A0" w:firstRow="1" w:lastRow="0" w:firstColumn="1" w:lastColumn="0" w:noHBand="0" w:noVBand="1"/>
      </w:tblPr>
      <w:tblGrid>
        <w:gridCol w:w="7921"/>
      </w:tblGrid>
      <w:tr w:rsidR="00FE4078" w14:paraId="29B0EFF0" w14:textId="77777777" w:rsidTr="00A53945">
        <w:tc>
          <w:tcPr>
            <w:tcW w:w="8488" w:type="dxa"/>
          </w:tcPr>
          <w:p w14:paraId="5ADFA8AB" w14:textId="77777777" w:rsidR="00FE4078" w:rsidRPr="008C72AF" w:rsidRDefault="00FE4078" w:rsidP="00A53945">
            <w:pPr>
              <w:pStyle w:val="Numberedparagraph"/>
              <w:numPr>
                <w:ilvl w:val="0"/>
                <w:numId w:val="0"/>
              </w:numPr>
              <w:ind w:left="567"/>
              <w:rPr>
                <w:lang w:val="en-US"/>
              </w:rPr>
            </w:pPr>
            <w:r>
              <w:rPr>
                <w:lang w:val="en-US"/>
              </w:rPr>
              <w:t>In summary, the Commission</w:t>
            </w:r>
            <w:r w:rsidRPr="008C72AF">
              <w:rPr>
                <w:lang w:val="en-US"/>
              </w:rPr>
              <w:t xml:space="preserve"> recommends </w:t>
            </w:r>
            <w:r>
              <w:rPr>
                <w:lang w:val="en-US"/>
              </w:rPr>
              <w:t>that the Plan should:</w:t>
            </w:r>
          </w:p>
          <w:p w14:paraId="51568D33" w14:textId="77777777" w:rsidR="00FE4078" w:rsidRDefault="00FE4078" w:rsidP="00A53945">
            <w:pPr>
              <w:pStyle w:val="Bulletedlist"/>
            </w:pPr>
            <w:r>
              <w:t>develop a clear vision co-designed with children, young people and their families</w:t>
            </w:r>
          </w:p>
          <w:p w14:paraId="0073B8A5" w14:textId="77777777" w:rsidR="00FE4078" w:rsidRPr="00EE1A9B" w:rsidRDefault="00FE4078" w:rsidP="00A53945">
            <w:pPr>
              <w:pStyle w:val="Bulletedlist"/>
            </w:pPr>
            <w:r>
              <w:t xml:space="preserve">more clearly </w:t>
            </w:r>
            <w:r w:rsidRPr="00EE1A9B">
              <w:t xml:space="preserve">express </w:t>
            </w:r>
            <w:r>
              <w:t>the</w:t>
            </w:r>
            <w:r w:rsidRPr="00EE1A9B">
              <w:t xml:space="preserve"> </w:t>
            </w:r>
            <w:r>
              <w:t xml:space="preserve">Plan’s purpose, </w:t>
            </w:r>
            <w:r w:rsidRPr="00EE1A9B">
              <w:t>scope</w:t>
            </w:r>
            <w:r>
              <w:t>,</w:t>
            </w:r>
            <w:r w:rsidRPr="00EE1A9B">
              <w:t xml:space="preserve"> and relationship </w:t>
            </w:r>
            <w:r>
              <w:t>to</w:t>
            </w:r>
            <w:r w:rsidRPr="00EE1A9B">
              <w:t xml:space="preserve"> legislation, polic</w:t>
            </w:r>
            <w:r>
              <w:t>ies,</w:t>
            </w:r>
            <w:r w:rsidRPr="00EE1A9B">
              <w:t xml:space="preserve"> and practice</w:t>
            </w:r>
            <w:r>
              <w:t>s</w:t>
            </w:r>
            <w:r w:rsidRPr="00EE1A9B">
              <w:t xml:space="preserve"> in related areas </w:t>
            </w:r>
            <w:r>
              <w:t>(</w:t>
            </w:r>
            <w:r w:rsidRPr="00EE1A9B">
              <w:t>including youth justice</w:t>
            </w:r>
            <w:r>
              <w:t xml:space="preserve">) </w:t>
            </w:r>
          </w:p>
          <w:p w14:paraId="727F409E" w14:textId="77777777" w:rsidR="00FE4078" w:rsidRPr="00EE1A9B" w:rsidRDefault="00FE4078" w:rsidP="00A53945">
            <w:pPr>
              <w:pStyle w:val="Bulletedlist"/>
            </w:pPr>
            <w:r w:rsidRPr="00EE1A9B">
              <w:t>establish mechanisms to ensure existing and future legislation, policies</w:t>
            </w:r>
            <w:r>
              <w:t>,</w:t>
            </w:r>
            <w:r w:rsidRPr="00EE1A9B">
              <w:t xml:space="preserve"> and practices do not frustrate the objectives of the </w:t>
            </w:r>
            <w:r>
              <w:t>P</w:t>
            </w:r>
            <w:r w:rsidRPr="00EE1A9B">
              <w:t>lan</w:t>
            </w:r>
          </w:p>
          <w:p w14:paraId="16DEF3D3" w14:textId="77777777" w:rsidR="00FE4078" w:rsidRDefault="00FE4078" w:rsidP="00A53945">
            <w:pPr>
              <w:pStyle w:val="Bulletedlist"/>
            </w:pPr>
            <w:r>
              <w:t>centre the role of human rights in underpinning responsibilities to children and families, and in providing minimum standards to be achieved</w:t>
            </w:r>
          </w:p>
          <w:p w14:paraId="023C9F6D" w14:textId="77777777" w:rsidR="00FE4078" w:rsidRDefault="00FE4078" w:rsidP="00A53945">
            <w:pPr>
              <w:pStyle w:val="Bulletedlist"/>
            </w:pPr>
            <w:r>
              <w:t>reword and expand the guiding principles to better reflect the Plan’s vision and purpose</w:t>
            </w:r>
          </w:p>
          <w:p w14:paraId="6ABCCDCB" w14:textId="77777777" w:rsidR="00FE4078" w:rsidRDefault="00FE4078" w:rsidP="00A53945">
            <w:pPr>
              <w:pStyle w:val="Bulletedlist"/>
            </w:pPr>
            <w:r>
              <w:t xml:space="preserve">widen the scope of identified priorities to include maintaining engagement in schooling, addressing racism in schools, investing in schools to support </w:t>
            </w:r>
            <w:r w:rsidRPr="005F1806">
              <w:t xml:space="preserve">strong cultural practices and </w:t>
            </w:r>
            <w:r>
              <w:t>a positive sense of cultural identity, and responding therapeutically to challenging behaviours</w:t>
            </w:r>
          </w:p>
          <w:p w14:paraId="682FE39A" w14:textId="77777777" w:rsidR="00FE4078" w:rsidRDefault="00FE4078" w:rsidP="00A53945">
            <w:pPr>
              <w:pStyle w:val="Bulletedlist"/>
            </w:pPr>
            <w:r>
              <w:t xml:space="preserve">require the development of an implementation roadmap of </w:t>
            </w:r>
            <w:r w:rsidRPr="00EE1A9B">
              <w:t xml:space="preserve">immediate, medium-term, and long-term </w:t>
            </w:r>
            <w:r>
              <w:t>activities with clearly assigned responsibilities and timelines</w:t>
            </w:r>
          </w:p>
          <w:p w14:paraId="103B6949" w14:textId="77777777" w:rsidR="00FE4078" w:rsidRPr="008C7FBF" w:rsidRDefault="00FE4078" w:rsidP="00A53945">
            <w:pPr>
              <w:pStyle w:val="Bulletedlist"/>
            </w:pPr>
            <w:r w:rsidRPr="008C7FBF">
              <w:t xml:space="preserve">establish outcomes and key indicators against which progress </w:t>
            </w:r>
            <w:r>
              <w:t>is</w:t>
            </w:r>
            <w:r w:rsidRPr="008C7FBF">
              <w:t xml:space="preserve"> measured</w:t>
            </w:r>
          </w:p>
          <w:p w14:paraId="5242BCEE" w14:textId="77777777" w:rsidR="00FE4078" w:rsidRDefault="00FE4078" w:rsidP="00A53945">
            <w:pPr>
              <w:pStyle w:val="Bulletedlist"/>
            </w:pPr>
            <w:r w:rsidRPr="00EE1A9B">
              <w:t>require publication of data on implementation in a coordinated and easily accessible format</w:t>
            </w:r>
            <w:r>
              <w:t>.</w:t>
            </w:r>
          </w:p>
          <w:p w14:paraId="6556E521" w14:textId="77777777" w:rsidR="00FE4078" w:rsidRDefault="00FE4078" w:rsidP="00A53945">
            <w:pPr>
              <w:pStyle w:val="Numberedparagraph"/>
              <w:numPr>
                <w:ilvl w:val="0"/>
                <w:numId w:val="0"/>
              </w:numPr>
              <w:ind w:left="567"/>
              <w:rPr>
                <w:lang w:val="en-US"/>
              </w:rPr>
            </w:pPr>
            <w:r>
              <w:rPr>
                <w:lang w:val="en-US"/>
              </w:rPr>
              <w:t>The Commission also recommends that the Queensland Government:</w:t>
            </w:r>
          </w:p>
          <w:p w14:paraId="51A107B1" w14:textId="77777777" w:rsidR="00FE4078" w:rsidRPr="00A53945" w:rsidRDefault="00FE4078" w:rsidP="00A53945">
            <w:pPr>
              <w:pStyle w:val="Bulletedlist"/>
              <w:rPr>
                <w:lang w:val="en-US"/>
              </w:rPr>
            </w:pPr>
            <w:r>
              <w:t>a</w:t>
            </w:r>
            <w:r w:rsidRPr="00EE1A9B">
              <w:t>ppoint</w:t>
            </w:r>
            <w:r w:rsidRPr="000264CC">
              <w:rPr>
                <w:lang w:val="en-US"/>
              </w:rPr>
              <w:t xml:space="preserve"> a Minister for Children and Families with a standalone department that has sufficient authority to coordinate strategies across multiple portfolios. The Minister should be responsible for ensuring alignment of </w:t>
            </w:r>
            <w:r>
              <w:rPr>
                <w:lang w:val="en-US"/>
              </w:rPr>
              <w:t>policies</w:t>
            </w:r>
            <w:r w:rsidRPr="000264CC">
              <w:rPr>
                <w:lang w:val="en-US"/>
              </w:rPr>
              <w:t xml:space="preserve"> and accountability for </w:t>
            </w:r>
            <w:r>
              <w:rPr>
                <w:lang w:val="en-US"/>
              </w:rPr>
              <w:t xml:space="preserve">the Plan’s </w:t>
            </w:r>
            <w:r w:rsidRPr="000264CC">
              <w:rPr>
                <w:lang w:val="en-US"/>
              </w:rPr>
              <w:t>outcomes.</w:t>
            </w:r>
          </w:p>
        </w:tc>
      </w:tr>
    </w:tbl>
    <w:p w14:paraId="03F18D7A" w14:textId="77777777" w:rsidR="00FE4078" w:rsidRDefault="00FE4078" w:rsidP="006932E5">
      <w:pPr>
        <w:pStyle w:val="Numberedparagraph"/>
        <w:rPr>
          <w:lang w:val="en-US"/>
        </w:rPr>
      </w:pPr>
      <w:r>
        <w:rPr>
          <w:lang w:val="en-US"/>
        </w:rPr>
        <w:lastRenderedPageBreak/>
        <w:t>Queensland would not be the first jurisdiction to implement a whole-of-government strategy for improving outcomes for children and young people. In this submission we draw on the experience of implementing strategies developed overseas and in other Australian states and territories.</w:t>
      </w:r>
    </w:p>
    <w:p w14:paraId="64CD3924" w14:textId="77777777" w:rsidR="00FE4078" w:rsidRDefault="00FE4078" w:rsidP="00EE1A9B">
      <w:pPr>
        <w:pStyle w:val="Heading1"/>
        <w:rPr>
          <w:rFonts w:cs="Arial"/>
          <w:lang w:val="en-US"/>
        </w:rPr>
      </w:pPr>
      <w:bookmarkStart w:id="26" w:name="_Toc159426522"/>
      <w:r>
        <w:rPr>
          <w:rFonts w:cs="Arial"/>
          <w:lang w:val="en-US"/>
        </w:rPr>
        <w:t>Vision, scope, and relationship with other policies</w:t>
      </w:r>
      <w:bookmarkEnd w:id="26"/>
    </w:p>
    <w:p w14:paraId="30160048" w14:textId="77777777" w:rsidR="00FE4078" w:rsidRPr="00696D44" w:rsidRDefault="00FE4078" w:rsidP="00696D44">
      <w:pPr>
        <w:pStyle w:val="Heading3"/>
      </w:pPr>
      <w:bookmarkStart w:id="27" w:name="_Toc159426523"/>
      <w:r>
        <w:t>Vision and purpose</w:t>
      </w:r>
      <w:bookmarkEnd w:id="27"/>
    </w:p>
    <w:p w14:paraId="57159AB4" w14:textId="77777777" w:rsidR="00FE4078" w:rsidRDefault="00FE4078" w:rsidP="00E3083E">
      <w:pPr>
        <w:pStyle w:val="Numberedparagraph"/>
      </w:pPr>
      <w:r w:rsidRPr="00881C23">
        <w:rPr>
          <w:lang w:val="en-US"/>
        </w:rPr>
        <w:t xml:space="preserve">The stated objective of the </w:t>
      </w:r>
      <w:r>
        <w:rPr>
          <w:lang w:val="en-US"/>
        </w:rPr>
        <w:t>P</w:t>
      </w:r>
      <w:r w:rsidRPr="00881C23">
        <w:rPr>
          <w:lang w:val="en-US"/>
        </w:rPr>
        <w:t>lan is</w:t>
      </w:r>
      <w:r>
        <w:rPr>
          <w:lang w:val="en-US"/>
        </w:rPr>
        <w:t xml:space="preserve"> </w:t>
      </w:r>
      <w:r w:rsidRPr="00881C23">
        <w:rPr>
          <w:lang w:val="en-US"/>
        </w:rPr>
        <w:t>‘</w:t>
      </w:r>
      <w:r>
        <w:rPr>
          <w:lang w:val="en-US"/>
        </w:rPr>
        <w:t>to</w:t>
      </w:r>
      <w:r w:rsidRPr="00881C23">
        <w:rPr>
          <w:lang w:val="en-US"/>
        </w:rPr>
        <w:t xml:space="preserve"> </w:t>
      </w:r>
      <w:r w:rsidRPr="00881C23">
        <w:t>strengthen protective factors around children, young people and families through targeted investment in prevention and early interventions’</w:t>
      </w:r>
      <w:r>
        <w:t>.</w:t>
      </w:r>
      <w:r>
        <w:rPr>
          <w:rStyle w:val="FootnoteReference"/>
        </w:rPr>
        <w:footnoteReference w:id="23"/>
      </w:r>
      <w:r>
        <w:t xml:space="preserve"> The investment priorities go on to specify ‘our priorities ensure all children and young people have the best possible start in life, remain connected to education and achieve healthy outcomes with a focus on those at risk of entering the youth justice system’.</w:t>
      </w:r>
      <w:r w:rsidRPr="00881C23">
        <w:rPr>
          <w:rStyle w:val="FootnoteReference"/>
        </w:rPr>
        <w:footnoteReference w:id="24"/>
      </w:r>
    </w:p>
    <w:p w14:paraId="72DCCF58" w14:textId="77777777" w:rsidR="00FE4078" w:rsidRDefault="00FE4078" w:rsidP="00E3083E">
      <w:pPr>
        <w:pStyle w:val="Numberedparagraph"/>
      </w:pPr>
      <w:r w:rsidRPr="00F30F2A">
        <w:t xml:space="preserve">In the Commission’s view, </w:t>
      </w:r>
      <w:r>
        <w:t xml:space="preserve">the Plan should better articulate its purpose and vision, which can then be underpinned by principles, priority areas, and measurable outcomes.  </w:t>
      </w:r>
    </w:p>
    <w:p w14:paraId="1C0B48A6" w14:textId="77777777" w:rsidR="00FE4078" w:rsidRDefault="00FE4078" w:rsidP="00E3083E">
      <w:pPr>
        <w:pStyle w:val="Numberedparagraph"/>
      </w:pPr>
      <w:r>
        <w:t xml:space="preserve">New Zealand’s </w:t>
      </w:r>
      <w:r w:rsidRPr="00972920">
        <w:rPr>
          <w:i/>
          <w:iCs/>
        </w:rPr>
        <w:t>Child and Youth Wellbeing Strategy</w:t>
      </w:r>
      <w:r>
        <w:rPr>
          <w:i/>
          <w:iCs/>
        </w:rPr>
        <w:t xml:space="preserve"> </w:t>
      </w:r>
      <w:r>
        <w:t>(</w:t>
      </w:r>
      <w:r>
        <w:rPr>
          <w:b/>
          <w:bCs/>
        </w:rPr>
        <w:t xml:space="preserve">New Zealand Child and Youth </w:t>
      </w:r>
      <w:r w:rsidRPr="00DE207F">
        <w:rPr>
          <w:b/>
          <w:bCs/>
        </w:rPr>
        <w:t>Strategy</w:t>
      </w:r>
      <w:r>
        <w:t>) has as its vision ‘Making New Zealand the best place in the world for children and young people’,</w:t>
      </w:r>
      <w:r>
        <w:rPr>
          <w:rStyle w:val="FootnoteReference"/>
        </w:rPr>
        <w:footnoteReference w:id="25"/>
      </w:r>
      <w:r>
        <w:t xml:space="preserve"> while its purpose is to:</w:t>
      </w:r>
    </w:p>
    <w:p w14:paraId="77EECE82" w14:textId="77777777" w:rsidR="00FE4078" w:rsidRPr="00B0055E" w:rsidRDefault="00FE4078" w:rsidP="008E6AFB">
      <w:pPr>
        <w:pStyle w:val="Numberedparagraph"/>
        <w:numPr>
          <w:ilvl w:val="0"/>
          <w:numId w:val="6"/>
        </w:numPr>
        <w:contextualSpacing/>
        <w:rPr>
          <w:lang w:eastAsia="en-AU"/>
        </w:rPr>
      </w:pPr>
      <w:r>
        <w:rPr>
          <w:lang w:eastAsia="en-AU"/>
        </w:rPr>
        <w:t>s</w:t>
      </w:r>
      <w:r w:rsidRPr="00B0055E">
        <w:rPr>
          <w:lang w:eastAsia="en-AU"/>
        </w:rPr>
        <w:t>et out a framework to improve child and youth wellbeing that can be used by anyone</w:t>
      </w:r>
    </w:p>
    <w:p w14:paraId="1F755900" w14:textId="77777777" w:rsidR="00FE4078" w:rsidRPr="00B0055E" w:rsidRDefault="00FE4078" w:rsidP="008E6AFB">
      <w:pPr>
        <w:pStyle w:val="Numberedparagraph"/>
        <w:numPr>
          <w:ilvl w:val="0"/>
          <w:numId w:val="6"/>
        </w:numPr>
        <w:contextualSpacing/>
        <w:rPr>
          <w:lang w:eastAsia="en-AU"/>
        </w:rPr>
      </w:pPr>
      <w:r>
        <w:rPr>
          <w:lang w:eastAsia="en-AU"/>
        </w:rPr>
        <w:t>d</w:t>
      </w:r>
      <w:r w:rsidRPr="00B0055E">
        <w:rPr>
          <w:lang w:eastAsia="en-AU"/>
        </w:rPr>
        <w:t>rive government policy in a unified and holistic way</w:t>
      </w:r>
    </w:p>
    <w:p w14:paraId="73E40D91" w14:textId="77777777" w:rsidR="00FE4078" w:rsidRPr="00B0055E" w:rsidRDefault="00FE4078" w:rsidP="008E6AFB">
      <w:pPr>
        <w:pStyle w:val="Numberedparagraph"/>
        <w:numPr>
          <w:ilvl w:val="0"/>
          <w:numId w:val="6"/>
        </w:numPr>
        <w:contextualSpacing/>
        <w:rPr>
          <w:lang w:eastAsia="en-AU"/>
        </w:rPr>
      </w:pPr>
      <w:r>
        <w:rPr>
          <w:lang w:eastAsia="en-AU"/>
        </w:rPr>
        <w:t>o</w:t>
      </w:r>
      <w:r w:rsidRPr="00B0055E">
        <w:rPr>
          <w:lang w:eastAsia="en-AU"/>
        </w:rPr>
        <w:t>utline the policies the Government intends to implement</w:t>
      </w:r>
    </w:p>
    <w:p w14:paraId="0EE97934" w14:textId="77777777" w:rsidR="00FE4078" w:rsidRPr="00B0055E" w:rsidRDefault="00FE4078" w:rsidP="008E6AFB">
      <w:pPr>
        <w:pStyle w:val="Numberedparagraph"/>
        <w:numPr>
          <w:ilvl w:val="0"/>
          <w:numId w:val="6"/>
        </w:numPr>
        <w:contextualSpacing/>
        <w:rPr>
          <w:lang w:eastAsia="en-AU"/>
        </w:rPr>
      </w:pPr>
      <w:r>
        <w:rPr>
          <w:lang w:eastAsia="en-AU"/>
        </w:rPr>
        <w:t>h</w:t>
      </w:r>
      <w:r w:rsidRPr="00B0055E">
        <w:rPr>
          <w:lang w:eastAsia="en-AU"/>
        </w:rPr>
        <w:t>arness public support and community action</w:t>
      </w:r>
    </w:p>
    <w:p w14:paraId="2DDB6761" w14:textId="77777777" w:rsidR="00FE4078" w:rsidRPr="00B0055E" w:rsidRDefault="00FE4078" w:rsidP="008E6AFB">
      <w:pPr>
        <w:pStyle w:val="Numberedparagraph"/>
        <w:numPr>
          <w:ilvl w:val="0"/>
          <w:numId w:val="6"/>
        </w:numPr>
        <w:contextualSpacing/>
        <w:rPr>
          <w:lang w:eastAsia="en-AU"/>
        </w:rPr>
      </w:pPr>
      <w:r>
        <w:rPr>
          <w:lang w:eastAsia="en-AU"/>
        </w:rPr>
        <w:t>i</w:t>
      </w:r>
      <w:r w:rsidRPr="00B0055E">
        <w:rPr>
          <w:lang w:eastAsia="en-AU"/>
        </w:rPr>
        <w:t>ncrease political and public sector accountability for improving wellbeing</w:t>
      </w:r>
    </w:p>
    <w:p w14:paraId="5519C383" w14:textId="77777777" w:rsidR="00FE4078" w:rsidRDefault="00FE4078" w:rsidP="008E6AFB">
      <w:pPr>
        <w:pStyle w:val="Numberedparagraph"/>
        <w:numPr>
          <w:ilvl w:val="0"/>
          <w:numId w:val="6"/>
        </w:numPr>
        <w:contextualSpacing/>
        <w:rPr>
          <w:lang w:eastAsia="en-AU"/>
        </w:rPr>
      </w:pPr>
      <w:r>
        <w:rPr>
          <w:lang w:eastAsia="en-AU"/>
        </w:rPr>
        <w:t>i</w:t>
      </w:r>
      <w:r w:rsidRPr="00B0055E">
        <w:rPr>
          <w:lang w:eastAsia="en-AU"/>
        </w:rPr>
        <w:t>mprove wellbeing outcomes for Māori children and young people</w:t>
      </w:r>
      <w:r>
        <w:rPr>
          <w:lang w:eastAsia="en-AU"/>
        </w:rPr>
        <w:t>.</w:t>
      </w:r>
      <w:r>
        <w:rPr>
          <w:rStyle w:val="FootnoteReference"/>
          <w:lang w:eastAsia="en-AU"/>
        </w:rPr>
        <w:footnoteReference w:id="26"/>
      </w:r>
    </w:p>
    <w:p w14:paraId="586E592C" w14:textId="77777777" w:rsidR="00FE4078" w:rsidRDefault="00FE4078" w:rsidP="00F30F2A">
      <w:pPr>
        <w:pStyle w:val="Numberedparagraph"/>
        <w:numPr>
          <w:ilvl w:val="0"/>
          <w:numId w:val="0"/>
        </w:numPr>
        <w:ind w:left="1134"/>
        <w:contextualSpacing/>
        <w:rPr>
          <w:lang w:eastAsia="en-AU"/>
        </w:rPr>
      </w:pPr>
    </w:p>
    <w:p w14:paraId="1C5FCBFF" w14:textId="77777777" w:rsidR="00FE4078" w:rsidRDefault="00FE4078" w:rsidP="00E3083E">
      <w:pPr>
        <w:pStyle w:val="Numberedparagraph"/>
      </w:pPr>
      <w:r>
        <w:t xml:space="preserve">The United Nations strategy </w:t>
      </w:r>
      <w:r>
        <w:rPr>
          <w:i/>
          <w:iCs/>
        </w:rPr>
        <w:t>Youth 2030: Working with and for Young People</w:t>
      </w:r>
      <w:r>
        <w:t xml:space="preserve"> sets out as its vision:</w:t>
      </w:r>
    </w:p>
    <w:p w14:paraId="2221B567" w14:textId="77777777" w:rsidR="00FE4078" w:rsidRDefault="00FE4078" w:rsidP="000C4C3C">
      <w:pPr>
        <w:pStyle w:val="Quote"/>
      </w:pPr>
      <w:r>
        <w:t>A world in which the human rights of every young person are realized; that ensures every young person is empowered to achieve their full potential; and that recognizes young people’s agency, resilience and their positive contributions as agents of change.</w:t>
      </w:r>
      <w:r>
        <w:rPr>
          <w:rStyle w:val="FootnoteReference"/>
        </w:rPr>
        <w:footnoteReference w:id="27"/>
      </w:r>
    </w:p>
    <w:p w14:paraId="0238FA00" w14:textId="77777777" w:rsidR="00FE4078" w:rsidRDefault="00FE4078" w:rsidP="00E3083E">
      <w:pPr>
        <w:pStyle w:val="Numberedparagraph"/>
      </w:pPr>
      <w:r>
        <w:lastRenderedPageBreak/>
        <w:t xml:space="preserve">Other child and youth strategies in Australia include the following as their vision: </w:t>
      </w:r>
    </w:p>
    <w:p w14:paraId="5EDB93B6" w14:textId="77777777" w:rsidR="00FE4078" w:rsidRDefault="00FE4078" w:rsidP="000E7B93">
      <w:pPr>
        <w:pStyle w:val="Bulletedlist"/>
      </w:pPr>
      <w:r w:rsidRPr="00F336F4">
        <w:rPr>
          <w:i/>
          <w:iCs/>
        </w:rPr>
        <w:t>Safe and Supported: The</w:t>
      </w:r>
      <w:r>
        <w:t xml:space="preserve"> </w:t>
      </w:r>
      <w:r>
        <w:rPr>
          <w:i/>
          <w:iCs/>
        </w:rPr>
        <w:t>National Framework for Protecting Australia’s Children 2021–2031</w:t>
      </w:r>
      <w:r>
        <w:t>: ‘Children and young people in Australia reach their full potential by growing up safe and supported, free from harm and neglect’.</w:t>
      </w:r>
      <w:r>
        <w:rPr>
          <w:rStyle w:val="FootnoteReference"/>
        </w:rPr>
        <w:footnoteReference w:id="28"/>
      </w:r>
    </w:p>
    <w:p w14:paraId="28BE926D" w14:textId="77777777" w:rsidR="00FE4078" w:rsidRDefault="00FE4078" w:rsidP="00857198">
      <w:pPr>
        <w:pStyle w:val="Bulletedlist"/>
      </w:pPr>
      <w:r>
        <w:t xml:space="preserve">Tasmanian </w:t>
      </w:r>
      <w:r>
        <w:rPr>
          <w:i/>
          <w:iCs/>
        </w:rPr>
        <w:t>Child and Youth Wellbeing Strategy</w:t>
      </w:r>
      <w:r>
        <w:t>: ‘Children and Young People in Tasmania have what they need to grow and thrive’.</w:t>
      </w:r>
      <w:r>
        <w:rPr>
          <w:rStyle w:val="FootnoteReference"/>
        </w:rPr>
        <w:footnoteReference w:id="29"/>
      </w:r>
    </w:p>
    <w:p w14:paraId="320419E5" w14:textId="77777777" w:rsidR="00FE4078" w:rsidRDefault="00FE4078" w:rsidP="008A5CF3">
      <w:pPr>
        <w:pStyle w:val="Bulletedlist"/>
      </w:pPr>
      <w:r>
        <w:t xml:space="preserve">Northern Territory </w:t>
      </w:r>
      <w:r w:rsidRPr="008A5CF3">
        <w:rPr>
          <w:i/>
          <w:iCs/>
        </w:rPr>
        <w:t>Youth Strategy 2023–2033</w:t>
      </w:r>
      <w:r>
        <w:t>: ‘A Northern Territory where young people lead enjoyable lives, are empowered to achieve their full potential, are socially connected, and positive participants in their community'.</w:t>
      </w:r>
      <w:r>
        <w:rPr>
          <w:rStyle w:val="FootnoteReference"/>
        </w:rPr>
        <w:footnoteReference w:id="30"/>
      </w:r>
    </w:p>
    <w:p w14:paraId="626225CE" w14:textId="77777777" w:rsidR="00FE4078" w:rsidRDefault="00FE4078" w:rsidP="008A5CF3">
      <w:pPr>
        <w:pStyle w:val="Bulletedlist"/>
      </w:pPr>
      <w:r>
        <w:t xml:space="preserve">South Australian </w:t>
      </w:r>
      <w:r>
        <w:rPr>
          <w:i/>
          <w:iCs/>
        </w:rPr>
        <w:t>Safe and Well: Supporting families, protecting children</w:t>
      </w:r>
      <w:r>
        <w:t>: ‘</w:t>
      </w:r>
      <w:r w:rsidRPr="00752D5D">
        <w:t>South Australia is a state where vulnerable families with children are supported, and where children are safe, valued and look forward to a bright future</w:t>
      </w:r>
      <w:r>
        <w:t>’</w:t>
      </w:r>
      <w:r w:rsidRPr="00752D5D">
        <w:t>.</w:t>
      </w:r>
      <w:r>
        <w:rPr>
          <w:rStyle w:val="FootnoteReference"/>
        </w:rPr>
        <w:footnoteReference w:id="31"/>
      </w:r>
    </w:p>
    <w:p w14:paraId="6A5131D7" w14:textId="77777777" w:rsidR="00FE4078" w:rsidRPr="00F30F2A" w:rsidRDefault="00FE4078" w:rsidP="003800B6">
      <w:pPr>
        <w:pStyle w:val="Numberedparagraph"/>
      </w:pPr>
      <w:r>
        <w:t>The Queensland Plan’s vision and purpose needs to be stated up front.  Drawing on concepts in the Plan, its vision could be: ‘Giving all children and young people in Queensland the best opportunity to live fulfilling, connected, and happy lives’. However, the vision of the Plan must be subject to broad consultation and explicitly co-designed with children, young people, and families. The principles will then provide a framework to achieve the vision (including through prevention and early intervention) and the priorities will ensure significant investment is directed to children and young people facing heightened risk of engagement, or re-engagement, with the child protection and youth justice systems.</w:t>
      </w:r>
    </w:p>
    <w:p w14:paraId="47F1F56C" w14:textId="77777777" w:rsidR="00FE4078" w:rsidRDefault="00FE4078" w:rsidP="4574BEDE">
      <w:pPr>
        <w:pBdr>
          <w:top w:val="single" w:sz="4" w:space="1" w:color="auto"/>
          <w:left w:val="single" w:sz="4" w:space="4" w:color="auto"/>
          <w:bottom w:val="single" w:sz="4" w:space="1" w:color="auto"/>
          <w:right w:val="single" w:sz="4" w:space="4" w:color="auto"/>
        </w:pBdr>
        <w:spacing w:after="200"/>
        <w:rPr>
          <w:rFonts w:cs="Arial"/>
        </w:rPr>
      </w:pPr>
      <w:r w:rsidRPr="4574BEDE">
        <w:rPr>
          <w:rFonts w:cs="Arial"/>
          <w:b/>
          <w:bCs/>
        </w:rPr>
        <w:t>Recommendation:</w:t>
      </w:r>
      <w:r w:rsidRPr="4574BEDE">
        <w:rPr>
          <w:rFonts w:cs="Arial"/>
        </w:rPr>
        <w:t xml:space="preserve"> </w:t>
      </w:r>
      <w:r>
        <w:rPr>
          <w:rFonts w:cs="Arial"/>
        </w:rPr>
        <w:t>A clear vision for the Plan should be co-designed with children, young people, and families and given high visibility.</w:t>
      </w:r>
    </w:p>
    <w:p w14:paraId="286114CA" w14:textId="77777777" w:rsidR="00FE4078" w:rsidRDefault="00FE4078">
      <w:pPr>
        <w:spacing w:after="0"/>
        <w:rPr>
          <w:b/>
          <w:bCs/>
        </w:rPr>
      </w:pPr>
      <w:r>
        <w:br w:type="page"/>
      </w:r>
    </w:p>
    <w:p w14:paraId="2F675A15" w14:textId="77777777" w:rsidR="00FE4078" w:rsidRDefault="00FE4078" w:rsidP="00415ECB">
      <w:pPr>
        <w:pStyle w:val="Heading3"/>
      </w:pPr>
      <w:bookmarkStart w:id="28" w:name="_Toc159426524"/>
      <w:r w:rsidRPr="00E32D3A">
        <w:lastRenderedPageBreak/>
        <w:t xml:space="preserve">Scope of the </w:t>
      </w:r>
      <w:r>
        <w:t>P</w:t>
      </w:r>
      <w:r w:rsidRPr="00E32D3A">
        <w:t>lan</w:t>
      </w:r>
      <w:r>
        <w:t xml:space="preserve"> and relationship with other government activity</w:t>
      </w:r>
      <w:bookmarkEnd w:id="28"/>
    </w:p>
    <w:p w14:paraId="2AF7A329" w14:textId="77777777" w:rsidR="00FE4078" w:rsidRDefault="00FE4078" w:rsidP="00EE1A9B">
      <w:pPr>
        <w:pStyle w:val="Numberedparagraph"/>
      </w:pPr>
      <w:r>
        <w:t>The issues raised in the Plan cross multiple areas of government activity, including existing early intervention and prevention initiatives in health, education, housing, youth justice, child safety, and policing.</w:t>
      </w:r>
      <w:r>
        <w:rPr>
          <w:rStyle w:val="FootnoteReference"/>
        </w:rPr>
        <w:footnoteReference w:id="32"/>
      </w:r>
      <w:r>
        <w:t xml:space="preserve"> The Plan sets out protective factors (at pages 12 to 13), covering health, social care, education, employment, support for families, support for cultural rights, youth justice policies, and housing. Risk factors identified span a similar number of policy areas.</w:t>
      </w:r>
    </w:p>
    <w:p w14:paraId="793B12F7" w14:textId="77777777" w:rsidR="00FE4078" w:rsidRDefault="00FE4078" w:rsidP="00EE1A9B">
      <w:pPr>
        <w:pStyle w:val="Numberedparagraph"/>
      </w:pPr>
      <w:r>
        <w:t xml:space="preserve">The Plan is </w:t>
      </w:r>
      <w:r w:rsidRPr="00005E4C">
        <w:t xml:space="preserve">concerned with </w:t>
      </w:r>
      <w:r>
        <w:t xml:space="preserve">a </w:t>
      </w:r>
      <w:r w:rsidRPr="00005E4C">
        <w:t>wide range of portfolios and significant government investment across infancy, childhood, and adolescence, as well as support for families and</w:t>
      </w:r>
      <w:r>
        <w:t xml:space="preserve"> connection to</w:t>
      </w:r>
      <w:r w:rsidRPr="00005E4C">
        <w:t xml:space="preserve"> culture</w:t>
      </w:r>
      <w:r w:rsidRPr="007050DD">
        <w:t>.</w:t>
      </w:r>
      <w:r>
        <w:t xml:space="preserve"> The final Plan should address how implementation of the Plan by various portfolios will be coordinated. The Commission recommends that this be by an appointed Minister for Children and Families with a standalone department, or alternatively, by the Department of Premier and Cabinet. These options are discussed in more detail in </w:t>
      </w:r>
      <w:r w:rsidRPr="00D24D1F">
        <w:rPr>
          <w:b/>
        </w:rPr>
        <w:t>Consultation Question 5</w:t>
      </w:r>
      <w:r w:rsidRPr="00D24D1F">
        <w:rPr>
          <w:b/>
          <w:bCs/>
        </w:rPr>
        <w:t xml:space="preserve">: </w:t>
      </w:r>
      <w:r w:rsidRPr="00D24D1F">
        <w:rPr>
          <w:b/>
        </w:rPr>
        <w:t>Working together</w:t>
      </w:r>
      <w:r>
        <w:t xml:space="preserve"> below. </w:t>
      </w:r>
    </w:p>
    <w:p w14:paraId="6A537AF9" w14:textId="77777777" w:rsidR="00FE4078" w:rsidRDefault="00FE4078" w:rsidP="00EE1A9B">
      <w:pPr>
        <w:pStyle w:val="Numberedparagraph"/>
      </w:pPr>
      <w:r>
        <w:t xml:space="preserve">As the Plan notes, its goals should also align with and contribute to </w:t>
      </w:r>
      <w:r w:rsidRPr="00302D90">
        <w:rPr>
          <w:b/>
          <w:bCs/>
        </w:rPr>
        <w:t>Closing the Gap</w:t>
      </w:r>
      <w:r>
        <w:t xml:space="preserve"> targets and obligations. Adopting the Productivity Commission’s recent recommendation to update Cabinet and Budget processes to ensure alignment with priority Closing the Gap reforms is crucial in this respect.</w:t>
      </w:r>
      <w:r>
        <w:rPr>
          <w:rStyle w:val="FootnoteReference"/>
        </w:rPr>
        <w:footnoteReference w:id="33"/>
      </w:r>
    </w:p>
    <w:p w14:paraId="1FA19C5E" w14:textId="77777777" w:rsidR="00FE4078" w:rsidRDefault="00FE4078" w:rsidP="00EE1A9B">
      <w:pPr>
        <w:pStyle w:val="Numberedparagraph"/>
      </w:pPr>
      <w:bookmarkStart w:id="29" w:name="_Ref158892201"/>
      <w:r>
        <w:t xml:space="preserve">The </w:t>
      </w:r>
      <w:r w:rsidRPr="00D05E5B">
        <w:rPr>
          <w:b/>
          <w:bCs/>
        </w:rPr>
        <w:t xml:space="preserve">relationship between the Plan and </w:t>
      </w:r>
      <w:r>
        <w:rPr>
          <w:b/>
          <w:bCs/>
        </w:rPr>
        <w:t>y</w:t>
      </w:r>
      <w:r w:rsidRPr="00D05E5B">
        <w:rPr>
          <w:b/>
          <w:bCs/>
        </w:rPr>
        <w:t xml:space="preserve">outh </w:t>
      </w:r>
      <w:r>
        <w:rPr>
          <w:b/>
          <w:bCs/>
        </w:rPr>
        <w:t>j</w:t>
      </w:r>
      <w:r w:rsidRPr="00D05E5B">
        <w:rPr>
          <w:b/>
          <w:bCs/>
        </w:rPr>
        <w:t xml:space="preserve">ustice </w:t>
      </w:r>
      <w:r>
        <w:rPr>
          <w:b/>
          <w:bCs/>
        </w:rPr>
        <w:t>s</w:t>
      </w:r>
      <w:r w:rsidRPr="00D05E5B">
        <w:rPr>
          <w:b/>
          <w:bCs/>
        </w:rPr>
        <w:t>trategy</w:t>
      </w:r>
      <w:r>
        <w:rPr>
          <w:b/>
          <w:bCs/>
        </w:rPr>
        <w:t xml:space="preserve"> </w:t>
      </w:r>
      <w:r w:rsidRPr="00AE63E5">
        <w:t>should</w:t>
      </w:r>
      <w:r>
        <w:t xml:space="preserve"> also</w:t>
      </w:r>
      <w:r w:rsidRPr="00AE63E5">
        <w:t xml:space="preserve"> be made </w:t>
      </w:r>
      <w:r w:rsidRPr="00BD6E81">
        <w:t>explicit</w:t>
      </w:r>
      <w:r>
        <w:t xml:space="preserve"> and clarify whether ‘prevention and early intervention’ is intended to encompass some, or all, of the following:</w:t>
      </w:r>
      <w:bookmarkEnd w:id="29"/>
    </w:p>
    <w:p w14:paraId="15F889EF" w14:textId="77777777" w:rsidR="00FE4078" w:rsidRPr="00A53B01" w:rsidRDefault="00FE4078" w:rsidP="00EE1A9B">
      <w:pPr>
        <w:pStyle w:val="Bulletedlist"/>
      </w:pPr>
      <w:r>
        <w:t>i</w:t>
      </w:r>
      <w:r w:rsidRPr="00A53B01">
        <w:t>dentifying root causes of children’s involvement in youth justice systems (interven</w:t>
      </w:r>
      <w:r>
        <w:t>ing</w:t>
      </w:r>
      <w:r w:rsidRPr="00A53B01">
        <w:t xml:space="preserve"> early)</w:t>
      </w:r>
    </w:p>
    <w:p w14:paraId="7AD049BF" w14:textId="77777777" w:rsidR="00FE4078" w:rsidRPr="00A53B01" w:rsidRDefault="00FE4078" w:rsidP="00EE1A9B">
      <w:pPr>
        <w:pStyle w:val="Bulletedlist"/>
      </w:pPr>
      <w:r>
        <w:t>i</w:t>
      </w:r>
      <w:r w:rsidRPr="00A53B01">
        <w:t>nterventions that reduce pathways into the youth justice system, such as police-diversion, decriminalising certain behaviours and raising the age of responsibility (keeping children out of court)</w:t>
      </w:r>
    </w:p>
    <w:p w14:paraId="23AA1FDF" w14:textId="77777777" w:rsidR="00FE4078" w:rsidRPr="00A53B01" w:rsidRDefault="00FE4078" w:rsidP="00EE1A9B">
      <w:pPr>
        <w:pStyle w:val="Bulletedlist"/>
      </w:pPr>
      <w:r>
        <w:t>s</w:t>
      </w:r>
      <w:r w:rsidRPr="00A53B01">
        <w:t>upports once a young person has been charged with an offence to minimise harm to the young person, and reduce risk of recidivism (keep</w:t>
      </w:r>
      <w:r>
        <w:t>ing</w:t>
      </w:r>
      <w:r w:rsidRPr="00A53B01">
        <w:t xml:space="preserve"> children out of custody and reduc</w:t>
      </w:r>
      <w:r>
        <w:t>ing</w:t>
      </w:r>
      <w:r w:rsidRPr="00A53B01">
        <w:t xml:space="preserve"> reoffending). </w:t>
      </w:r>
    </w:p>
    <w:p w14:paraId="50956EAD" w14:textId="77777777" w:rsidR="00FE4078" w:rsidRDefault="00FE4078" w:rsidP="00EE1A9B">
      <w:pPr>
        <w:pStyle w:val="Numberedparagraph"/>
      </w:pPr>
      <w:bookmarkStart w:id="30" w:name="_Ref158892202"/>
      <w:r>
        <w:t>This categorisation reflects the ‘Four Pillars’ recommended by former Police Commissioner Bob Atkinson to underpin Queensland’s youth justice strategy,</w:t>
      </w:r>
      <w:r>
        <w:rPr>
          <w:rStyle w:val="FootnoteReference"/>
        </w:rPr>
        <w:footnoteReference w:id="34"/>
      </w:r>
      <w:r>
        <w:t xml:space="preserve"> and is implemented through the Queensland Government’s </w:t>
      </w:r>
      <w:r w:rsidRPr="00F80CF8">
        <w:rPr>
          <w:i/>
        </w:rPr>
        <w:t>Youth Justice Strategy 2019-2023</w:t>
      </w:r>
      <w:r>
        <w:t xml:space="preserve">. The ‘pillars’ overlap and should complement each other. If aspects of these pillars are not intended to be included in this Plan, there must be clear alignment between the Plan and other strategies to achieve </w:t>
      </w:r>
      <w:bookmarkEnd w:id="30"/>
      <w:r>
        <w:t>these.</w:t>
      </w:r>
    </w:p>
    <w:p w14:paraId="0FC3B353" w14:textId="77777777" w:rsidR="00FE4078" w:rsidRDefault="00FE4078" w:rsidP="00EE1A9B">
      <w:pPr>
        <w:pStyle w:val="Numberedparagraph"/>
      </w:pPr>
      <w:r>
        <w:lastRenderedPageBreak/>
        <w:t xml:space="preserve">Given its broad scope, it is also necessary </w:t>
      </w:r>
      <w:r w:rsidRPr="006445F8">
        <w:t xml:space="preserve">to develop </w:t>
      </w:r>
      <w:r>
        <w:t>priority</w:t>
      </w:r>
      <w:r w:rsidRPr="006445F8">
        <w:t xml:space="preserve"> areas for </w:t>
      </w:r>
      <w:r w:rsidRPr="00ED58A8">
        <w:rPr>
          <w:b/>
          <w:bCs/>
        </w:rPr>
        <w:t xml:space="preserve">screening those </w:t>
      </w:r>
      <w:r>
        <w:rPr>
          <w:b/>
          <w:bCs/>
        </w:rPr>
        <w:t xml:space="preserve">with risk factors </w:t>
      </w:r>
      <w:r w:rsidRPr="00ED58A8">
        <w:t>and</w:t>
      </w:r>
      <w:r>
        <w:rPr>
          <w:b/>
          <w:bCs/>
        </w:rPr>
        <w:t xml:space="preserve"> identifying critical points where heightened risk arises or manifests </w:t>
      </w:r>
      <w:r>
        <w:t xml:space="preserve">so that targeted, intensive resources can be directed to those areas and individuals under the Plan at the earliest possible stage.  This is addressed further in our response to </w:t>
      </w:r>
      <w:r w:rsidRPr="00853BCD">
        <w:rPr>
          <w:b/>
        </w:rPr>
        <w:t>Consultation Question 3</w:t>
      </w:r>
      <w:r w:rsidRPr="00853BCD">
        <w:rPr>
          <w:b/>
          <w:bCs/>
        </w:rPr>
        <w:t>:</w:t>
      </w:r>
      <w:r>
        <w:rPr>
          <w:b/>
          <w:bCs/>
        </w:rPr>
        <w:t xml:space="preserve"> </w:t>
      </w:r>
      <w:r w:rsidRPr="00853BCD">
        <w:rPr>
          <w:b/>
        </w:rPr>
        <w:t>Other priorities</w:t>
      </w:r>
      <w:r>
        <w:t>.</w:t>
      </w:r>
    </w:p>
    <w:p w14:paraId="61C32DC6" w14:textId="77777777" w:rsidR="00FE4078" w:rsidRDefault="00FE4078" w:rsidP="00EE1A9B">
      <w:pPr>
        <w:pBdr>
          <w:top w:val="single" w:sz="4" w:space="1" w:color="auto"/>
          <w:left w:val="single" w:sz="4" w:space="4" w:color="auto"/>
          <w:bottom w:val="single" w:sz="4" w:space="1" w:color="auto"/>
          <w:right w:val="single" w:sz="4" w:space="4" w:color="auto"/>
        </w:pBdr>
        <w:spacing w:after="200"/>
        <w:rPr>
          <w:rFonts w:cs="Arial"/>
        </w:rPr>
      </w:pPr>
      <w:r w:rsidRPr="0030089A">
        <w:rPr>
          <w:rFonts w:cs="Arial"/>
          <w:b/>
          <w:bCs/>
        </w:rPr>
        <w:t>Recommendation:</w:t>
      </w:r>
      <w:r>
        <w:rPr>
          <w:rFonts w:cs="Arial"/>
        </w:rPr>
        <w:t xml:space="preserve"> The Plan should </w:t>
      </w:r>
    </w:p>
    <w:p w14:paraId="17BFEEBB" w14:textId="77777777" w:rsidR="00FE4078" w:rsidRDefault="00FE4078"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clearly identify </w:t>
      </w:r>
      <w:r w:rsidRPr="00F103EE">
        <w:rPr>
          <w:rFonts w:cs="Arial"/>
        </w:rPr>
        <w:t>the portfolio areas it relates to</w:t>
      </w:r>
      <w:r>
        <w:rPr>
          <w:rFonts w:cs="Arial"/>
        </w:rPr>
        <w:t xml:space="preserve"> </w:t>
      </w:r>
    </w:p>
    <w:p w14:paraId="393641B1" w14:textId="77777777" w:rsidR="00FE4078" w:rsidRDefault="00FE4078"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set out </w:t>
      </w:r>
      <w:r w:rsidRPr="00F103EE">
        <w:rPr>
          <w:rFonts w:cs="Arial"/>
        </w:rPr>
        <w:t xml:space="preserve">how implementation by different portfolios will be coordinated </w:t>
      </w:r>
    </w:p>
    <w:p w14:paraId="71830142" w14:textId="77777777" w:rsidR="00FE4078" w:rsidRDefault="00FE4078"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align with and contribute to Closing the Gap targets and obligations</w:t>
      </w:r>
    </w:p>
    <w:p w14:paraId="49D438A3" w14:textId="77777777" w:rsidR="00FE4078" w:rsidRDefault="00FE4078"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set out the relationship between the Plan and the Government’s Youth Justice Strategy </w:t>
      </w:r>
    </w:p>
    <w:p w14:paraId="6D8DA233" w14:textId="77777777" w:rsidR="00FE4078" w:rsidRPr="00A11C4A" w:rsidRDefault="00FE4078"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require development of </w:t>
      </w:r>
      <w:r w:rsidRPr="00F103EE">
        <w:rPr>
          <w:rFonts w:cs="Arial"/>
        </w:rPr>
        <w:t>mechanisms to identify those most at risk across priority areas</w:t>
      </w:r>
      <w:r>
        <w:rPr>
          <w:rFonts w:cs="Arial"/>
        </w:rPr>
        <w:t>, and critical points for intervention and intensive support</w:t>
      </w:r>
      <w:r w:rsidRPr="00F103EE">
        <w:rPr>
          <w:rFonts w:cs="Arial"/>
        </w:rPr>
        <w:t xml:space="preserve">. </w:t>
      </w:r>
    </w:p>
    <w:p w14:paraId="6D946853" w14:textId="77777777" w:rsidR="00FE4078" w:rsidRDefault="00FE4078" w:rsidP="004A5F7C">
      <w:pPr>
        <w:pStyle w:val="Heading3"/>
      </w:pPr>
      <w:bookmarkStart w:id="32" w:name="_Toc159426525"/>
      <w:r>
        <w:t>Addressing law, policies, and practices that heighten risk</w:t>
      </w:r>
      <w:bookmarkEnd w:id="32"/>
    </w:p>
    <w:p w14:paraId="71732445" w14:textId="77777777" w:rsidR="00FE4078" w:rsidRDefault="00FE4078" w:rsidP="00514114">
      <w:pPr>
        <w:pStyle w:val="Numberedparagraph"/>
      </w:pPr>
      <w:r>
        <w:t xml:space="preserve">In addition, it is critically important to </w:t>
      </w:r>
      <w:r w:rsidRPr="00C3161F">
        <w:t xml:space="preserve">ensure that legislation, policy and practice by </w:t>
      </w:r>
      <w:r>
        <w:t>Government agencies</w:t>
      </w:r>
      <w:r w:rsidRPr="00C3161F">
        <w:t xml:space="preserve"> does not work against the objectives of the Plan</w:t>
      </w:r>
      <w:r>
        <w:t xml:space="preserve"> and increase risks and harm to children. This would include, for example, institutional racism and unconscious bias within service delivery, use of suspensions and exclusions within schools, and child safety practices that prioritise removal over prevention and early intervention. </w:t>
      </w:r>
    </w:p>
    <w:p w14:paraId="69436F76" w14:textId="77777777" w:rsidR="00FE4078" w:rsidRDefault="00FE4078" w:rsidP="004441B0">
      <w:pPr>
        <w:pStyle w:val="Numberedparagraph"/>
      </w:pPr>
      <w:r>
        <w:t>The Commission has also repeatedly raised concerns regarding youth justice laws that counteract the vision of the Plan, by holding children criminally responsible significantly earlier than justified,</w:t>
      </w:r>
      <w:r>
        <w:rPr>
          <w:rStyle w:val="FootnoteReference"/>
        </w:rPr>
        <w:footnoteReference w:id="35"/>
      </w:r>
      <w:r>
        <w:t xml:space="preserve"> and specifically overriding children’s human rights to detain them for prolonged periods in police watchhouses. As a short-term facility, watch houses do not provide longer-term basic needs of young people, such as fresh air, natural light, a balanced diet, exercise, appropriate hygiene resources, privacy, family contact, and social interaction. Detention disconnects a young person from protective factors they may have in the community without any of the rehabilitative or other programs available in youth detention centres. </w:t>
      </w:r>
    </w:p>
    <w:p w14:paraId="5B180092" w14:textId="77777777" w:rsidR="00FE4078" w:rsidRDefault="00FE4078" w:rsidP="004B52DA">
      <w:pPr>
        <w:pStyle w:val="Numberedparagraph"/>
      </w:pPr>
      <w:r>
        <w:t xml:space="preserve">The prolonged detention of young people in watch houses must be stopped as a matter of urgency and priority. In light of current overcrowding in Youth Detention centres, in the short-term the Government should convene a summit of key government agencies and stakeholders to find solutions to otherwise </w:t>
      </w:r>
      <w:r>
        <w:lastRenderedPageBreak/>
        <w:t>accommodate or divert children and young people awaiting transfer to Youth Detention facilities.  As an immediate stopgap measure, if watchhouses are still being used to house children longer than overnight, procedures must be put into place to facilitate day entry to Youth Detention centres where these are accessible. This would at least allow children and young people to access health services, education and recreational facilities, mitigating to some extent the significant harms to both children and community safety caused by prolonged detention in the watchhouse.</w:t>
      </w:r>
    </w:p>
    <w:p w14:paraId="42DAC0CC" w14:textId="77777777" w:rsidR="00FE4078" w:rsidRDefault="00FE4078" w:rsidP="00EE1A9B">
      <w:pPr>
        <w:pBdr>
          <w:top w:val="single" w:sz="4" w:space="1" w:color="auto"/>
          <w:left w:val="single" w:sz="4" w:space="4" w:color="auto"/>
          <w:bottom w:val="single" w:sz="4" w:space="1" w:color="auto"/>
          <w:right w:val="single" w:sz="4" w:space="4" w:color="auto"/>
        </w:pBdr>
        <w:spacing w:after="200"/>
        <w:rPr>
          <w:rFonts w:cs="Arial"/>
        </w:rPr>
      </w:pPr>
      <w:r w:rsidRPr="00F17E07">
        <w:rPr>
          <w:rFonts w:cs="Arial"/>
          <w:b/>
          <w:bCs/>
        </w:rPr>
        <w:t>Recommendation:</w:t>
      </w:r>
      <w:r>
        <w:rPr>
          <w:rFonts w:cs="Arial"/>
        </w:rPr>
        <w:t xml:space="preserve"> The Plan should require</w:t>
      </w:r>
    </w:p>
    <w:p w14:paraId="5D233131" w14:textId="77777777" w:rsidR="00FE4078" w:rsidRDefault="00FE4078" w:rsidP="008E6AFB">
      <w:pPr>
        <w:pStyle w:val="ListParagraph"/>
        <w:numPr>
          <w:ilvl w:val="0"/>
          <w:numId w:val="3"/>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 xml:space="preserve">mapping of how </w:t>
      </w:r>
      <w:r>
        <w:rPr>
          <w:rFonts w:cs="Arial"/>
        </w:rPr>
        <w:t>current laws</w:t>
      </w:r>
      <w:r w:rsidRPr="00B575A2">
        <w:rPr>
          <w:rFonts w:cs="Arial"/>
        </w:rPr>
        <w:t>, government polic</w:t>
      </w:r>
      <w:r>
        <w:rPr>
          <w:rFonts w:cs="Arial"/>
        </w:rPr>
        <w:t>ies</w:t>
      </w:r>
      <w:r w:rsidRPr="00B575A2">
        <w:rPr>
          <w:rFonts w:cs="Arial"/>
        </w:rPr>
        <w:t xml:space="preserve">, and </w:t>
      </w:r>
      <w:r>
        <w:rPr>
          <w:rFonts w:cs="Arial"/>
        </w:rPr>
        <w:t xml:space="preserve">public entity </w:t>
      </w:r>
      <w:r w:rsidRPr="00B575A2">
        <w:rPr>
          <w:rFonts w:cs="Arial"/>
        </w:rPr>
        <w:t>practice</w:t>
      </w:r>
      <w:r>
        <w:rPr>
          <w:rFonts w:cs="Arial"/>
        </w:rPr>
        <w:t>s</w:t>
      </w:r>
      <w:r w:rsidRPr="00B575A2">
        <w:rPr>
          <w:rFonts w:cs="Arial"/>
        </w:rPr>
        <w:t xml:space="preserve"> may contribute to risk factors identified in the Plan </w:t>
      </w:r>
      <w:r>
        <w:rPr>
          <w:rFonts w:cs="Arial"/>
        </w:rPr>
        <w:t>or frustrate its vision</w:t>
      </w:r>
    </w:p>
    <w:p w14:paraId="2A2311E6" w14:textId="77777777" w:rsidR="00FE4078" w:rsidRPr="00B575A2" w:rsidRDefault="00FE4078" w:rsidP="008E6AFB">
      <w:pPr>
        <w:pStyle w:val="ListParagraph"/>
        <w:numPr>
          <w:ilvl w:val="0"/>
          <w:numId w:val="3"/>
        </w:numPr>
        <w:pBdr>
          <w:top w:val="single" w:sz="4" w:space="1" w:color="auto"/>
          <w:left w:val="single" w:sz="4" w:space="4" w:color="auto"/>
          <w:bottom w:val="single" w:sz="4" w:space="1" w:color="auto"/>
          <w:right w:val="single" w:sz="4" w:space="4" w:color="auto"/>
        </w:pBdr>
        <w:spacing w:after="200"/>
        <w:rPr>
          <w:rFonts w:cs="Arial"/>
        </w:rPr>
      </w:pPr>
      <w:r>
        <w:rPr>
          <w:rFonts w:cs="Arial"/>
        </w:rPr>
        <w:t>measures</w:t>
      </w:r>
      <w:r w:rsidRPr="00B575A2">
        <w:rPr>
          <w:rFonts w:cs="Arial"/>
        </w:rPr>
        <w:t xml:space="preserve"> to address the</w:t>
      </w:r>
      <w:r>
        <w:rPr>
          <w:rFonts w:cs="Arial"/>
        </w:rPr>
        <w:t xml:space="preserve"> identified</w:t>
      </w:r>
      <w:r w:rsidRPr="00B575A2">
        <w:rPr>
          <w:rFonts w:cs="Arial"/>
        </w:rPr>
        <w:t xml:space="preserve"> issues </w:t>
      </w:r>
    </w:p>
    <w:p w14:paraId="1E726A04" w14:textId="77777777" w:rsidR="00FE4078" w:rsidRPr="00B575A2" w:rsidRDefault="00FE4078" w:rsidP="008E6AFB">
      <w:pPr>
        <w:pStyle w:val="ListParagraph"/>
        <w:numPr>
          <w:ilvl w:val="0"/>
          <w:numId w:val="3"/>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 xml:space="preserve">that future cabinet and budget submissions on </w:t>
      </w:r>
      <w:r>
        <w:rPr>
          <w:rFonts w:cs="Arial"/>
        </w:rPr>
        <w:t>matters impacting</w:t>
      </w:r>
      <w:r w:rsidRPr="00B575A2">
        <w:rPr>
          <w:rFonts w:cs="Arial"/>
        </w:rPr>
        <w:t xml:space="preserve"> children and young people</w:t>
      </w:r>
      <w:r>
        <w:rPr>
          <w:rFonts w:cs="Arial"/>
        </w:rPr>
        <w:t xml:space="preserve"> in priority areas identified in the Plan explicitly</w:t>
      </w:r>
      <w:r w:rsidRPr="00B575A2">
        <w:rPr>
          <w:rFonts w:cs="Arial"/>
        </w:rPr>
        <w:t xml:space="preserve"> address how the </w:t>
      </w:r>
      <w:r>
        <w:rPr>
          <w:rFonts w:cs="Arial"/>
        </w:rPr>
        <w:t>proposed policies</w:t>
      </w:r>
      <w:r w:rsidRPr="00B575A2">
        <w:rPr>
          <w:rFonts w:cs="Arial"/>
        </w:rPr>
        <w:t xml:space="preserve"> align with the Plan</w:t>
      </w:r>
      <w:r>
        <w:rPr>
          <w:rFonts w:cs="Arial"/>
        </w:rPr>
        <w:t>’s objectives</w:t>
      </w:r>
      <w:r w:rsidRPr="00B575A2">
        <w:rPr>
          <w:rFonts w:cs="Arial"/>
        </w:rPr>
        <w:t xml:space="preserve">.  </w:t>
      </w:r>
    </w:p>
    <w:p w14:paraId="2659DD8B" w14:textId="77777777" w:rsidR="00FE4078" w:rsidRDefault="00FE4078" w:rsidP="00EE1A9B">
      <w:pPr>
        <w:pBdr>
          <w:top w:val="single" w:sz="4" w:space="1" w:color="auto"/>
          <w:left w:val="single" w:sz="4" w:space="4" w:color="auto"/>
          <w:bottom w:val="single" w:sz="4" w:space="1" w:color="auto"/>
          <w:right w:val="single" w:sz="4" w:space="4" w:color="auto"/>
        </w:pBdr>
        <w:spacing w:after="200"/>
        <w:rPr>
          <w:rFonts w:cs="Arial"/>
        </w:rPr>
      </w:pPr>
      <w:r w:rsidRPr="0005685C">
        <w:rPr>
          <w:rFonts w:cs="Arial"/>
          <w:b/>
          <w:bCs/>
        </w:rPr>
        <w:t>Recommendation:</w:t>
      </w:r>
      <w:r>
        <w:rPr>
          <w:rFonts w:cs="Arial"/>
        </w:rPr>
        <w:t xml:space="preserve"> Parliament should immediately </w:t>
      </w:r>
    </w:p>
    <w:p w14:paraId="6094D8EA" w14:textId="77777777" w:rsidR="00FE4078" w:rsidRPr="00B575A2" w:rsidRDefault="00FE4078" w:rsidP="008E6AFB">
      <w:pPr>
        <w:pStyle w:val="ListParagraph"/>
        <w:numPr>
          <w:ilvl w:val="0"/>
          <w:numId w:val="4"/>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 xml:space="preserve">raise the age of criminal responsibility to 14 years </w:t>
      </w:r>
    </w:p>
    <w:p w14:paraId="4952646C" w14:textId="77777777" w:rsidR="00FE4078" w:rsidRPr="00B575A2" w:rsidRDefault="00FE4078" w:rsidP="008E6AFB">
      <w:pPr>
        <w:pStyle w:val="ListParagraph"/>
        <w:numPr>
          <w:ilvl w:val="0"/>
          <w:numId w:val="4"/>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repeal provisions overriding the Human Rights Act to authorise prolonged detention of children in watch houses.</w:t>
      </w:r>
    </w:p>
    <w:p w14:paraId="78E34DC9" w14:textId="77777777" w:rsidR="00FE4078" w:rsidRDefault="00FE4078" w:rsidP="006B117D">
      <w:pPr>
        <w:rPr>
          <w:lang w:val="en-US"/>
        </w:rPr>
      </w:pPr>
    </w:p>
    <w:p w14:paraId="432C0DF5" w14:textId="77777777" w:rsidR="00FE4078" w:rsidRDefault="00FE4078" w:rsidP="00EE1A9B">
      <w:pPr>
        <w:pStyle w:val="Heading1"/>
        <w:rPr>
          <w:rFonts w:cs="Arial"/>
          <w:lang w:val="en-US"/>
        </w:rPr>
      </w:pPr>
      <w:bookmarkStart w:id="33" w:name="_Toc159426526"/>
      <w:r>
        <w:rPr>
          <w:rFonts w:cs="Arial"/>
          <w:lang w:val="en-US"/>
        </w:rPr>
        <w:t>Consultation Question 1: Core principles</w:t>
      </w:r>
      <w:bookmarkEnd w:id="33"/>
    </w:p>
    <w:p w14:paraId="0C204640" w14:textId="77777777" w:rsidR="00FE4078" w:rsidRPr="00881C23" w:rsidRDefault="00FE4078" w:rsidP="00EE1A9B">
      <w:pPr>
        <w:rPr>
          <w:rFonts w:cs="Arial"/>
          <w:i/>
          <w:iCs/>
          <w:lang w:val="en-US"/>
        </w:rPr>
      </w:pPr>
      <w:r w:rsidRPr="00881C23">
        <w:rPr>
          <w:rFonts w:cs="Arial"/>
          <w:i/>
          <w:iCs/>
          <w:lang w:val="en-US"/>
        </w:rPr>
        <w:t>What are the core principles you think should inform our early intervention and prevention approach to support children, young people and families?</w:t>
      </w:r>
    </w:p>
    <w:p w14:paraId="4D33BB59" w14:textId="77777777" w:rsidR="00FE4078" w:rsidRDefault="00FE4078" w:rsidP="00BD0766">
      <w:pPr>
        <w:pStyle w:val="Heading3"/>
      </w:pPr>
      <w:bookmarkStart w:id="34" w:name="_Toc159426527"/>
      <w:r>
        <w:t>Human rights as key</w:t>
      </w:r>
      <w:bookmarkEnd w:id="34"/>
    </w:p>
    <w:p w14:paraId="54A724B7" w14:textId="77777777" w:rsidR="00FE4078" w:rsidRDefault="00FE4078" w:rsidP="00507D8E">
      <w:pPr>
        <w:pStyle w:val="Numberedparagraph"/>
      </w:pPr>
      <w:bookmarkStart w:id="35" w:name="_Ref159172888"/>
      <w:r>
        <w:t xml:space="preserve">The Commission is broadly supportive of the core principles set out in the Plan. However, it is important that </w:t>
      </w:r>
      <w:r w:rsidRPr="0085465E">
        <w:rPr>
          <w:b/>
          <w:bCs/>
        </w:rPr>
        <w:t>the Plan is more explicitly grounded in children’s and young people’s human rights</w:t>
      </w:r>
      <w:r>
        <w:t>. Placing the rights of children and their families at the centre of decision making provides both justification for the objectives and approach, and a framework for decision-making and accountability. It also provides grounding for the other core principles identified at page 11 of the Plan. Too often in Queensland children’s basic human rights have been violated for political expediency: the Plan needs a solid grounding in human rights to ensure that it can achieve its long-term goals.</w:t>
      </w:r>
      <w:bookmarkEnd w:id="35"/>
      <w:r>
        <w:t xml:space="preserve"> </w:t>
      </w:r>
    </w:p>
    <w:p w14:paraId="2B386316" w14:textId="77777777" w:rsidR="00FE4078" w:rsidRDefault="00FE4078" w:rsidP="008A26E0">
      <w:pPr>
        <w:pStyle w:val="Numberedparagraph"/>
      </w:pPr>
      <w:r>
        <w:t xml:space="preserve">Human rights law recognises the importance of children remaining with their families and the rights of children to be safe, to access health services and support for disabilities, to enjoy a stable living environment, and to education. All of these have been identified as protective factors for positive life trajectories and against contact with the youth justice system. </w:t>
      </w:r>
    </w:p>
    <w:p w14:paraId="2D3E1E55" w14:textId="77777777" w:rsidR="00FE4078" w:rsidRPr="00C63552" w:rsidRDefault="00FE4078" w:rsidP="008A26E0">
      <w:pPr>
        <w:pStyle w:val="Numberedparagraph"/>
      </w:pPr>
      <w:r>
        <w:t xml:space="preserve">The Plan’s objectives align with public entities’ existing obligations under the </w:t>
      </w:r>
      <w:r w:rsidRPr="00696D44">
        <w:t>Human Rights Act</w:t>
      </w:r>
      <w:r>
        <w:t xml:space="preserve"> — it is therefore aimed at meeting obligations that the Government already has under law. Under the Human Rights Act, public entities must act compatibly with, and give proper consideration to, human rights, </w:t>
      </w:r>
      <w:r>
        <w:lastRenderedPageBreak/>
        <w:t>including recognition and equality before the law (s 15), right to life (s 16), freedom from torture, and cruel, inhuman, and degrading treatment (s 17), privacy and reputation (s 25), the protection of families and children (s 26), cultural rights (ss 27 and 28), rights of children in the criminal process (s 33), right to access education (s 36), and right to access health services (s 37).</w:t>
      </w:r>
    </w:p>
    <w:p w14:paraId="431E6677" w14:textId="77777777" w:rsidR="00FE4078" w:rsidRDefault="00FE4078" w:rsidP="008A26E0">
      <w:pPr>
        <w:pStyle w:val="Numberedparagraph"/>
      </w:pPr>
      <w:r>
        <w:t xml:space="preserve">The United Nations </w:t>
      </w:r>
      <w:r w:rsidRPr="002D3F2E">
        <w:rPr>
          <w:i/>
          <w:iCs/>
        </w:rPr>
        <w:t>Convention of the Rights of the Child</w:t>
      </w:r>
      <w:r>
        <w:t>, which may be used to interpret the rights of children under the Queensland Human Rights Act</w:t>
      </w:r>
      <w:r>
        <w:rPr>
          <w:rStyle w:val="FootnoteReference"/>
        </w:rPr>
        <w:footnoteReference w:id="36"/>
      </w:r>
      <w:r>
        <w:t>:</w:t>
      </w:r>
    </w:p>
    <w:p w14:paraId="004DB6EE" w14:textId="77777777" w:rsidR="00FE4078" w:rsidRDefault="00FE4078" w:rsidP="008A26E0">
      <w:pPr>
        <w:pStyle w:val="Bulletedlist"/>
      </w:pPr>
      <w:r>
        <w:t>requires that, in all actions concerning children, the best interests of the child are a primary consideration (Art 3)</w:t>
      </w:r>
    </w:p>
    <w:p w14:paraId="406F77D1" w14:textId="77777777" w:rsidR="00FE4078" w:rsidRDefault="00FE4078" w:rsidP="008A26E0">
      <w:pPr>
        <w:pStyle w:val="Bulletedlist"/>
      </w:pPr>
      <w:r>
        <w:t>requires States to ensure, to the maximum extent possible, the survival and development of the child (Art 6(2))</w:t>
      </w:r>
    </w:p>
    <w:p w14:paraId="0F545EFA" w14:textId="77777777" w:rsidR="00FE4078" w:rsidRDefault="00FE4078" w:rsidP="008A26E0">
      <w:pPr>
        <w:pStyle w:val="Bulletedlist"/>
      </w:pPr>
      <w:r>
        <w:t xml:space="preserve">recognises the right of every </w:t>
      </w:r>
      <w:r w:rsidRPr="00B252B7">
        <w:rPr>
          <w:color w:val="000000"/>
          <w:shd w:val="clear" w:color="auto" w:fill="FFFFFF"/>
        </w:rPr>
        <w:t xml:space="preserve">child to a </w:t>
      </w:r>
      <w:r w:rsidRPr="00BA7AA8">
        <w:rPr>
          <w:color w:val="000000"/>
          <w:shd w:val="clear" w:color="auto" w:fill="FFFFFF"/>
        </w:rPr>
        <w:t>standard of living adequate for the child's physical, mental, spiritual, moral and social development (Art 27(1))</w:t>
      </w:r>
    </w:p>
    <w:p w14:paraId="32CC5AB6" w14:textId="77777777" w:rsidR="00FE4078" w:rsidRDefault="00FE4078" w:rsidP="008A26E0">
      <w:pPr>
        <w:pStyle w:val="Bulletedlist"/>
      </w:pPr>
      <w:r>
        <w:t>confirms the responsibility of parents for the upbringing of children (Art 18 and 27)</w:t>
      </w:r>
    </w:p>
    <w:p w14:paraId="64C0D34E" w14:textId="77777777" w:rsidR="00FE4078" w:rsidRDefault="00FE4078" w:rsidP="008A26E0">
      <w:pPr>
        <w:pStyle w:val="Bulletedlist"/>
      </w:pPr>
      <w:r>
        <w:t>requires States to provide assistance to parents or other caregivers necessary to carry out their responsibilities to their children (Art 27)</w:t>
      </w:r>
    </w:p>
    <w:p w14:paraId="54773359" w14:textId="77777777" w:rsidR="00FE4078" w:rsidRDefault="00FE4078" w:rsidP="008A26E0">
      <w:pPr>
        <w:pStyle w:val="Bulletedlist"/>
      </w:pPr>
      <w:r>
        <w:t xml:space="preserve">recognises the right of children with a mental or physical disability to special assistance to enable them to </w:t>
      </w:r>
      <w:r w:rsidRPr="00E25DCD">
        <w:t>enjoy a full and decent life, in conditions which ensure dignity, promote self-reliance and facilitate the child's active participation in the community</w:t>
      </w:r>
      <w:r>
        <w:t xml:space="preserve"> (Article 23)</w:t>
      </w:r>
    </w:p>
    <w:p w14:paraId="7BF9B944" w14:textId="77777777" w:rsidR="00FE4078" w:rsidRDefault="00FE4078" w:rsidP="008A26E0">
      <w:pPr>
        <w:pStyle w:val="Bulletedlist"/>
      </w:pPr>
      <w:r>
        <w:t>recognises the right of every child to education, and requires states to ta</w:t>
      </w:r>
      <w:r w:rsidRPr="00261ED5">
        <w:t>ke measures to encourage regular attendance at schools and the reduction of drop-out rates</w:t>
      </w:r>
      <w:r>
        <w:t xml:space="preserve"> (Art 28)</w:t>
      </w:r>
    </w:p>
    <w:p w14:paraId="36456109" w14:textId="77777777" w:rsidR="00FE4078" w:rsidRPr="00BA7AA8" w:rsidRDefault="00FE4078" w:rsidP="008A26E0">
      <w:pPr>
        <w:pStyle w:val="Bulletedlist"/>
      </w:pPr>
      <w:r>
        <w:t xml:space="preserve">provides States shall take all appropriate measures to promote physical and psychological recovery and social reintegration of a child victim of </w:t>
      </w:r>
      <w:r w:rsidRPr="00881C23">
        <w:rPr>
          <w:color w:val="000000"/>
          <w:shd w:val="clear" w:color="auto" w:fill="FFFFFF"/>
        </w:rPr>
        <w:t>any form of neglect, exploitation, or abuse; torture or any other form of cruel, inhuman or degrading treatment or punishment</w:t>
      </w:r>
      <w:r>
        <w:rPr>
          <w:color w:val="000000"/>
          <w:shd w:val="clear" w:color="auto" w:fill="FFFFFF"/>
        </w:rPr>
        <w:t xml:space="preserve"> (Art 39)</w:t>
      </w:r>
    </w:p>
    <w:p w14:paraId="1EA86F83" w14:textId="77777777" w:rsidR="00FE4078" w:rsidRPr="00442503" w:rsidRDefault="00FE4078" w:rsidP="008A26E0">
      <w:pPr>
        <w:pStyle w:val="Bulletedlist"/>
        <w:rPr>
          <w:color w:val="auto"/>
        </w:rPr>
      </w:pPr>
      <w:r>
        <w:rPr>
          <w:color w:val="000000"/>
          <w:shd w:val="clear" w:color="auto" w:fill="FFFFFF"/>
        </w:rPr>
        <w:t>recognises the right of every child in the youth justice system to be treated in a manner consistent with the promotion of the child’s sense of dignity and worth, and which takes into account the desirability of promoting the child’s reintegration and assuming a constructive role in society (Art 40(1)).</w:t>
      </w:r>
    </w:p>
    <w:p w14:paraId="3ECAB4E1" w14:textId="77777777" w:rsidR="00FE4078" w:rsidRPr="00BD0766" w:rsidRDefault="00FE4078" w:rsidP="000E57A9">
      <w:pPr>
        <w:pStyle w:val="Heading3"/>
      </w:pPr>
      <w:bookmarkStart w:id="36" w:name="_Toc159426528"/>
      <w:r w:rsidRPr="00BD0766">
        <w:t>Articulation of</w:t>
      </w:r>
      <w:r>
        <w:t xml:space="preserve"> </w:t>
      </w:r>
      <w:r w:rsidRPr="00BD0766">
        <w:t>principles</w:t>
      </w:r>
      <w:bookmarkEnd w:id="36"/>
    </w:p>
    <w:p w14:paraId="0189EFBD" w14:textId="77777777" w:rsidR="00FE4078" w:rsidRDefault="00FE4078" w:rsidP="00507D8E">
      <w:pPr>
        <w:pStyle w:val="Numberedparagraph"/>
      </w:pPr>
      <w:bookmarkStart w:id="37" w:name="_Ref159172892"/>
      <w:r>
        <w:t>Flowing from this grounding in human rights, the Commission considers that certain core principles can be elaborated in a way that better resonates with the purpose of the Plan and human rights.  Drawing heavily from the New Zealand Child and Youth Strategy,</w:t>
      </w:r>
      <w:r>
        <w:rPr>
          <w:rStyle w:val="FootnoteReference"/>
        </w:rPr>
        <w:footnoteReference w:id="37"/>
      </w:r>
      <w:r>
        <w:t xml:space="preserve"> the Plan’s current principles could more clearly express that:</w:t>
      </w:r>
      <w:bookmarkEnd w:id="37"/>
    </w:p>
    <w:p w14:paraId="23BECA87" w14:textId="77777777" w:rsidR="00FE4078" w:rsidRPr="0059672C" w:rsidRDefault="00FE4078" w:rsidP="008E6AFB">
      <w:pPr>
        <w:pStyle w:val="Numberedparagraph"/>
        <w:numPr>
          <w:ilvl w:val="1"/>
          <w:numId w:val="1"/>
        </w:numPr>
        <w:rPr>
          <w:b/>
          <w:bCs/>
        </w:rPr>
      </w:pPr>
      <w:r w:rsidRPr="0059672C">
        <w:rPr>
          <w:b/>
          <w:bCs/>
        </w:rPr>
        <w:lastRenderedPageBreak/>
        <w:t xml:space="preserve">Children and young people have inherent dignity </w:t>
      </w:r>
      <w:r>
        <w:rPr>
          <w:b/>
          <w:bCs/>
        </w:rPr>
        <w:t>and are at the centre of everything we do</w:t>
      </w:r>
      <w:r w:rsidRPr="0059672C">
        <w:rPr>
          <w:b/>
          <w:bCs/>
        </w:rPr>
        <w:t>.</w:t>
      </w:r>
      <w:r>
        <w:rPr>
          <w:rStyle w:val="FootnoteReference"/>
          <w:b/>
          <w:bCs/>
        </w:rPr>
        <w:footnoteReference w:id="38"/>
      </w:r>
      <w:r>
        <w:rPr>
          <w:b/>
          <w:bCs/>
        </w:rPr>
        <w:t xml:space="preserve"> </w:t>
      </w:r>
      <w:r>
        <w:t xml:space="preserve">Too often children and young people are dehumanised in public discourse, or their wellbeing is seen as having instrumental, rather than intrinsic value. This is connected to the existing draft principle that the approach should be </w:t>
      </w:r>
      <w:r w:rsidRPr="00177414">
        <w:rPr>
          <w:b/>
          <w:bCs/>
        </w:rPr>
        <w:t>child and young person-centric</w:t>
      </w:r>
      <w:r>
        <w:t xml:space="preserve"> and informed by their voices and experiences, which the Commission fully supports.</w:t>
      </w:r>
    </w:p>
    <w:p w14:paraId="696C5E9B" w14:textId="77777777" w:rsidR="00FE4078" w:rsidRPr="00710AC0" w:rsidRDefault="00FE4078" w:rsidP="008E6AFB">
      <w:pPr>
        <w:pStyle w:val="Numberedparagraph"/>
        <w:numPr>
          <w:ilvl w:val="1"/>
          <w:numId w:val="1"/>
        </w:numPr>
        <w:rPr>
          <w:b/>
          <w:bCs/>
        </w:rPr>
      </w:pPr>
      <w:r w:rsidRPr="00177414">
        <w:rPr>
          <w:b/>
          <w:bCs/>
        </w:rPr>
        <w:t xml:space="preserve">The best outcomes </w:t>
      </w:r>
      <w:r>
        <w:rPr>
          <w:b/>
          <w:bCs/>
        </w:rPr>
        <w:t>come from</w:t>
      </w:r>
      <w:r w:rsidRPr="00177414">
        <w:rPr>
          <w:b/>
          <w:bCs/>
        </w:rPr>
        <w:t xml:space="preserve"> providing </w:t>
      </w:r>
      <w:r>
        <w:rPr>
          <w:b/>
          <w:bCs/>
        </w:rPr>
        <w:t>support early in the life of the child or early in the life of the problem.</w:t>
      </w:r>
      <w:r>
        <w:rPr>
          <w:rStyle w:val="FootnoteReference"/>
          <w:lang w:val="en-US"/>
        </w:rPr>
        <w:footnoteReference w:id="39"/>
      </w:r>
      <w:r>
        <w:rPr>
          <w:lang w:val="en-US"/>
        </w:rPr>
        <w:t xml:space="preserve"> </w:t>
      </w:r>
      <w:r>
        <w:rPr>
          <w:b/>
          <w:bCs/>
        </w:rPr>
        <w:t xml:space="preserve"> </w:t>
      </w:r>
      <w:r w:rsidRPr="00417F3B">
        <w:t xml:space="preserve">This is </w:t>
      </w:r>
      <w:r>
        <w:t>connected</w:t>
      </w:r>
      <w:r w:rsidRPr="00417F3B">
        <w:t xml:space="preserve"> to the existing draft principle </w:t>
      </w:r>
      <w:r>
        <w:rPr>
          <w:b/>
          <w:bCs/>
        </w:rPr>
        <w:t>p</w:t>
      </w:r>
      <w:r w:rsidRPr="00CF50D8">
        <w:rPr>
          <w:b/>
          <w:bCs/>
        </w:rPr>
        <w:t>revention and early intervention</w:t>
      </w:r>
      <w:r w:rsidRPr="00417F3B">
        <w:t>.</w:t>
      </w:r>
      <w:r>
        <w:t xml:space="preserve"> The Commission strongly supports this focus, but, as discussed above, considers that the Plan and draft principle could more </w:t>
      </w:r>
      <w:r>
        <w:rPr>
          <w:lang w:val="en-US"/>
        </w:rPr>
        <w:t xml:space="preserve">clearly articulate </w:t>
      </w:r>
      <w:r w:rsidRPr="00322F7C">
        <w:rPr>
          <w:lang w:val="en-US"/>
        </w:rPr>
        <w:t xml:space="preserve">what </w:t>
      </w:r>
      <w:r>
        <w:rPr>
          <w:lang w:val="en-US"/>
        </w:rPr>
        <w:t>the Plan</w:t>
      </w:r>
      <w:r w:rsidRPr="00322F7C">
        <w:rPr>
          <w:lang w:val="en-US"/>
        </w:rPr>
        <w:t xml:space="preserve"> is trying to prevent, and to which ends</w:t>
      </w:r>
      <w:r>
        <w:rPr>
          <w:lang w:val="en-US"/>
        </w:rPr>
        <w:t xml:space="preserve"> it is considered appropriate to intervene.</w:t>
      </w:r>
      <w:r>
        <w:rPr>
          <w:rStyle w:val="FootnoteReference"/>
          <w:lang w:val="en-US"/>
        </w:rPr>
        <w:footnoteReference w:id="40"/>
      </w:r>
      <w:r>
        <w:rPr>
          <w:lang w:val="en-US"/>
        </w:rPr>
        <w:t xml:space="preserve"> A simpler focus in the principles on providing support at the earliest possible moment would be clearer, with the vision, purpose, and scope adequately explained up front. </w:t>
      </w:r>
    </w:p>
    <w:p w14:paraId="7D76432C" w14:textId="77777777" w:rsidR="00FE4078" w:rsidRPr="004544AA" w:rsidRDefault="00FE4078" w:rsidP="008E6AFB">
      <w:pPr>
        <w:pStyle w:val="Numberedparagraph"/>
        <w:numPr>
          <w:ilvl w:val="1"/>
          <w:numId w:val="1"/>
        </w:numPr>
        <w:rPr>
          <w:b/>
          <w:bCs/>
        </w:rPr>
      </w:pPr>
      <w:r w:rsidRPr="00177414">
        <w:rPr>
          <w:b/>
          <w:bCs/>
        </w:rPr>
        <w:t>Individuals, family, communit</w:t>
      </w:r>
      <w:r>
        <w:rPr>
          <w:b/>
          <w:bCs/>
        </w:rPr>
        <w:t>ies,</w:t>
      </w:r>
      <w:r w:rsidRPr="00177414">
        <w:rPr>
          <w:b/>
          <w:bCs/>
        </w:rPr>
        <w:t xml:space="preserve"> and </w:t>
      </w:r>
      <w:r>
        <w:rPr>
          <w:b/>
          <w:bCs/>
        </w:rPr>
        <w:t xml:space="preserve">all of </w:t>
      </w:r>
      <w:r w:rsidRPr="00177414">
        <w:rPr>
          <w:b/>
          <w:bCs/>
        </w:rPr>
        <w:t>government all have responsibility for child wellbeing.</w:t>
      </w:r>
      <w:r w:rsidRPr="000C731C">
        <w:rPr>
          <w:rStyle w:val="FootnoteReference"/>
        </w:rPr>
        <w:footnoteReference w:id="41"/>
      </w:r>
      <w:r w:rsidRPr="000C731C">
        <w:t xml:space="preserve"> </w:t>
      </w:r>
      <w:r>
        <w:t>Achieving the vision of the plan requires support at all of these levels, and factors hindering progress at any of these levels should be identified and addressed. It also recognises that solutions are likely to come from families and communities, and the important role of community-led design and delivery (see further below).</w:t>
      </w:r>
      <w:r>
        <w:rPr>
          <w:rStyle w:val="FootnoteReference"/>
        </w:rPr>
        <w:footnoteReference w:id="42"/>
      </w:r>
    </w:p>
    <w:p w14:paraId="3CFBF5DB" w14:textId="77777777" w:rsidR="00FE4078" w:rsidRPr="003C2DD4" w:rsidRDefault="00FE4078" w:rsidP="008E6AFB">
      <w:pPr>
        <w:pStyle w:val="Numberedparagraph"/>
        <w:numPr>
          <w:ilvl w:val="1"/>
          <w:numId w:val="1"/>
        </w:numPr>
        <w:rPr>
          <w:b/>
          <w:bCs/>
        </w:rPr>
      </w:pPr>
      <w:r>
        <w:rPr>
          <w:b/>
          <w:bCs/>
          <w:lang w:val="en-US"/>
        </w:rPr>
        <w:t>Families hold primary responsibility for children’s health, wellbeing and development, and p</w:t>
      </w:r>
      <w:r w:rsidRPr="00177414">
        <w:rPr>
          <w:b/>
          <w:bCs/>
          <w:lang w:val="en-US"/>
        </w:rPr>
        <w:t>riority should be given to supporting children within their families and communities.</w:t>
      </w:r>
      <w:r w:rsidRPr="00F97D6F">
        <w:rPr>
          <w:rStyle w:val="FootnoteReference"/>
          <w:lang w:val="en-US"/>
        </w:rPr>
        <w:footnoteReference w:id="43"/>
      </w:r>
      <w:r w:rsidRPr="00F97D6F">
        <w:rPr>
          <w:lang w:val="en-US"/>
        </w:rPr>
        <w:t xml:space="preserve"> </w:t>
      </w:r>
      <w:r w:rsidRPr="004F7087">
        <w:rPr>
          <w:lang w:val="en-US"/>
        </w:rPr>
        <w:t>This is clear both as a matter of</w:t>
      </w:r>
      <w:r>
        <w:rPr>
          <w:b/>
          <w:bCs/>
          <w:lang w:val="en-US"/>
        </w:rPr>
        <w:t xml:space="preserve"> </w:t>
      </w:r>
      <w:r w:rsidRPr="004F7087">
        <w:rPr>
          <w:lang w:val="en-US"/>
        </w:rPr>
        <w:lastRenderedPageBreak/>
        <w:t>international human rights law</w:t>
      </w:r>
      <w:r>
        <w:rPr>
          <w:b/>
          <w:bCs/>
          <w:lang w:val="en-US"/>
        </w:rPr>
        <w:t>,</w:t>
      </w:r>
      <w:r w:rsidRPr="006F7A27">
        <w:rPr>
          <w:rStyle w:val="FootnoteReference"/>
          <w:lang w:val="en-US"/>
        </w:rPr>
        <w:footnoteReference w:id="44"/>
      </w:r>
      <w:r w:rsidRPr="006F7A27">
        <w:rPr>
          <w:lang w:val="en-US"/>
        </w:rPr>
        <w:t xml:space="preserve"> </w:t>
      </w:r>
      <w:r>
        <w:rPr>
          <w:lang w:val="en-US"/>
        </w:rPr>
        <w:t>and has been shown to lead to the best outcomes for children and young people.</w:t>
      </w:r>
      <w:r>
        <w:rPr>
          <w:rStyle w:val="FootnoteReference"/>
          <w:lang w:val="en-US"/>
        </w:rPr>
        <w:footnoteReference w:id="45"/>
      </w:r>
    </w:p>
    <w:p w14:paraId="2913AA9A" w14:textId="77777777" w:rsidR="00FE4078" w:rsidRPr="00710AC0" w:rsidRDefault="00FE4078" w:rsidP="008E6AFB">
      <w:pPr>
        <w:pStyle w:val="Numberedparagraph"/>
        <w:numPr>
          <w:ilvl w:val="1"/>
          <w:numId w:val="1"/>
        </w:numPr>
        <w:rPr>
          <w:b/>
          <w:bCs/>
        </w:rPr>
      </w:pPr>
      <w:r w:rsidRPr="00177414">
        <w:rPr>
          <w:b/>
          <w:bCs/>
        </w:rPr>
        <w:t>The wellbeing of children and young people is interwoven with the wellbeing of their family</w:t>
      </w:r>
      <w:r>
        <w:rPr>
          <w:b/>
          <w:bCs/>
        </w:rPr>
        <w:t xml:space="preserve"> and community</w:t>
      </w:r>
      <w:r w:rsidRPr="00177414">
        <w:rPr>
          <w:b/>
          <w:bCs/>
        </w:rPr>
        <w:t>.</w:t>
      </w:r>
      <w:r w:rsidRPr="00F97D6F">
        <w:rPr>
          <w:rStyle w:val="FootnoteReference"/>
        </w:rPr>
        <w:footnoteReference w:id="46"/>
      </w:r>
      <w:r w:rsidRPr="00F97D6F">
        <w:t xml:space="preserve"> </w:t>
      </w:r>
      <w:r>
        <w:t>As stated in the New Zealand strategy: ‘Children should be viewed in the context of their families…and other family groups and communities. This principle recognises that parents, caregivers, families, and whānau need to have the right kind of support at the right time in order to provide a nurturing environment for their children’.</w:t>
      </w:r>
      <w:r>
        <w:rPr>
          <w:rStyle w:val="FootnoteReference"/>
        </w:rPr>
        <w:footnoteReference w:id="47"/>
      </w:r>
      <w:r>
        <w:t xml:space="preserve"> </w:t>
      </w:r>
    </w:p>
    <w:p w14:paraId="728499D4" w14:textId="77777777" w:rsidR="00FE4078" w:rsidRPr="00EA0FD2" w:rsidRDefault="00FE4078" w:rsidP="008E6AFB">
      <w:pPr>
        <w:pStyle w:val="Numberedparagraph"/>
        <w:numPr>
          <w:ilvl w:val="1"/>
          <w:numId w:val="1"/>
        </w:numPr>
        <w:rPr>
          <w:lang w:val="en-US"/>
        </w:rPr>
      </w:pPr>
      <w:r>
        <w:rPr>
          <w:b/>
          <w:bCs/>
        </w:rPr>
        <w:t>Focus on the strengths and knowledge of community and empower parents, kin, and families.</w:t>
      </w:r>
      <w:r>
        <w:t xml:space="preserve"> </w:t>
      </w:r>
      <w:r>
        <w:rPr>
          <w:lang w:val="en-US"/>
        </w:rPr>
        <w:t xml:space="preserve">The Commission strongly supports the </w:t>
      </w:r>
      <w:r w:rsidRPr="002E1B39">
        <w:rPr>
          <w:b/>
          <w:bCs/>
          <w:lang w:val="en-US"/>
        </w:rPr>
        <w:t>strengths-based</w:t>
      </w:r>
      <w:r>
        <w:rPr>
          <w:lang w:val="en-US"/>
        </w:rPr>
        <w:t xml:space="preserve"> approach expressed in the existing principles. Again, this is entirely consistent with human rights, including the rights of children and families and cultural rights protected under the Human Rights Act.</w:t>
      </w:r>
      <w:r>
        <w:rPr>
          <w:rStyle w:val="FootnoteReference"/>
          <w:lang w:val="en-US"/>
        </w:rPr>
        <w:footnoteReference w:id="48"/>
      </w:r>
      <w:r>
        <w:rPr>
          <w:lang w:val="en-US"/>
        </w:rPr>
        <w:t xml:space="preserve"> </w:t>
      </w:r>
      <w:r w:rsidRPr="00EA0FD2">
        <w:rPr>
          <w:lang w:val="en-US"/>
        </w:rPr>
        <w:t xml:space="preserve">Consistent with a strengths-based approach, Government should support community-led design and delivery in implementing the Plan. This is </w:t>
      </w:r>
      <w:proofErr w:type="spellStart"/>
      <w:r w:rsidRPr="00EA0FD2">
        <w:rPr>
          <w:lang w:val="en-US"/>
        </w:rPr>
        <w:t>recogni</w:t>
      </w:r>
      <w:r>
        <w:rPr>
          <w:lang w:val="en-US"/>
        </w:rPr>
        <w:t>s</w:t>
      </w:r>
      <w:r w:rsidRPr="00EA0FD2">
        <w:rPr>
          <w:lang w:val="en-US"/>
        </w:rPr>
        <w:t>ed</w:t>
      </w:r>
      <w:proofErr w:type="spellEnd"/>
      <w:r w:rsidRPr="00EA0FD2">
        <w:rPr>
          <w:lang w:val="en-US"/>
        </w:rPr>
        <w:t xml:space="preserve"> in the investment priorities later in the document,</w:t>
      </w:r>
      <w:r>
        <w:rPr>
          <w:rStyle w:val="FootnoteReference"/>
          <w:lang w:val="en-US"/>
        </w:rPr>
        <w:footnoteReference w:id="49"/>
      </w:r>
      <w:r w:rsidRPr="00EA0FD2">
        <w:rPr>
          <w:lang w:val="en-US"/>
        </w:rPr>
        <w:t xml:space="preserve"> but would be helpfully referenced here in the guiding principles.</w:t>
      </w:r>
    </w:p>
    <w:p w14:paraId="640E4995" w14:textId="77777777" w:rsidR="00FE4078" w:rsidRPr="00B930BF" w:rsidRDefault="00FE4078" w:rsidP="008E6AFB">
      <w:pPr>
        <w:pStyle w:val="Numberedparagraph"/>
        <w:numPr>
          <w:ilvl w:val="1"/>
          <w:numId w:val="1"/>
        </w:numPr>
        <w:rPr>
          <w:b/>
          <w:bCs/>
        </w:rPr>
      </w:pPr>
      <w:r w:rsidRPr="00177414">
        <w:rPr>
          <w:b/>
          <w:bCs/>
        </w:rPr>
        <w:t>Re</w:t>
      </w:r>
      <w:r>
        <w:rPr>
          <w:b/>
          <w:bCs/>
        </w:rPr>
        <w:t>shaping</w:t>
      </w:r>
      <w:r w:rsidRPr="00177414">
        <w:rPr>
          <w:b/>
          <w:bCs/>
        </w:rPr>
        <w:t xml:space="preserve"> the relationship between the state and Aboriginal and Torres Strait Islander peoples is crucial</w:t>
      </w:r>
      <w:r w:rsidRPr="00044E10">
        <w:t xml:space="preserve">, including through meeting obligations under the </w:t>
      </w:r>
      <w:r w:rsidRPr="002E6B79">
        <w:rPr>
          <w:b/>
          <w:bCs/>
        </w:rPr>
        <w:t>National Agreement on Closing the Gap</w:t>
      </w:r>
      <w:r w:rsidRPr="00044E10">
        <w:t xml:space="preserve"> and work towards </w:t>
      </w:r>
      <w:r w:rsidRPr="002E6B79">
        <w:rPr>
          <w:b/>
          <w:bCs/>
        </w:rPr>
        <w:t>truth and treaty</w:t>
      </w:r>
      <w:r w:rsidRPr="00044E10">
        <w:t>.</w:t>
      </w:r>
      <w:r w:rsidRPr="00044E10">
        <w:rPr>
          <w:rStyle w:val="FootnoteReference"/>
        </w:rPr>
        <w:footnoteReference w:id="50"/>
      </w:r>
      <w:r w:rsidRPr="00044E10">
        <w:t xml:space="preserve"> </w:t>
      </w:r>
      <w:r>
        <w:t xml:space="preserve">This recognises the devastating and ongoing impact that the violence and inter-generational trauma of colonisation has on the wellbeing and life trajectories of Aboriginal and Torres Strait Islander peoples and the </w:t>
      </w:r>
      <w:r>
        <w:lastRenderedPageBreak/>
        <w:t>fundamental changes consistent with the Declaration on the Rights of Indigenous Peoples required to address it.</w:t>
      </w:r>
      <w:r>
        <w:rPr>
          <w:rStyle w:val="FootnoteReference"/>
        </w:rPr>
        <w:footnoteReference w:id="51"/>
      </w:r>
      <w:r>
        <w:t xml:space="preserve"> </w:t>
      </w:r>
    </w:p>
    <w:p w14:paraId="1329C4CE" w14:textId="77777777" w:rsidR="00FE4078" w:rsidRDefault="00FE4078" w:rsidP="008E6AFB">
      <w:pPr>
        <w:pStyle w:val="Numberedparagraph"/>
        <w:numPr>
          <w:ilvl w:val="1"/>
          <w:numId w:val="1"/>
        </w:numPr>
        <w:rPr>
          <w:lang w:val="en-US"/>
        </w:rPr>
      </w:pPr>
      <w:r>
        <w:rPr>
          <w:b/>
          <w:bCs/>
        </w:rPr>
        <w:t>All children and young people deserve to live a good life.</w:t>
      </w:r>
      <w:r w:rsidRPr="003646F3">
        <w:rPr>
          <w:rStyle w:val="FootnoteReference"/>
        </w:rPr>
        <w:footnoteReference w:id="52"/>
      </w:r>
      <w:r w:rsidRPr="003646F3">
        <w:t xml:space="preserve"> </w:t>
      </w:r>
      <w:r>
        <w:rPr>
          <w:lang w:val="en-US"/>
        </w:rPr>
        <w:t xml:space="preserve">The Commission strongly supports the principle that the Plan should promote </w:t>
      </w:r>
      <w:r w:rsidRPr="002F2621">
        <w:rPr>
          <w:b/>
          <w:bCs/>
          <w:lang w:val="en-US"/>
        </w:rPr>
        <w:t>cultural safety, equity, and inclusion</w:t>
      </w:r>
      <w:r>
        <w:rPr>
          <w:lang w:val="en-US"/>
        </w:rPr>
        <w:t xml:space="preserve">. The Plan </w:t>
      </w:r>
      <w:proofErr w:type="spellStart"/>
      <w:r>
        <w:rPr>
          <w:lang w:val="en-US"/>
        </w:rPr>
        <w:t>recognises</w:t>
      </w:r>
      <w:proofErr w:type="spellEnd"/>
      <w:r>
        <w:rPr>
          <w:lang w:val="en-US"/>
        </w:rPr>
        <w:t xml:space="preserve"> that there should be a mix of universal, targeted and intensive supports because to achieve equity some children and young people may need more support than others. </w:t>
      </w:r>
      <w:r w:rsidRPr="006F524F">
        <w:rPr>
          <w:lang w:val="en-US"/>
        </w:rPr>
        <w:t>Under this principle it is</w:t>
      </w:r>
      <w:r>
        <w:rPr>
          <w:lang w:val="en-US"/>
        </w:rPr>
        <w:t xml:space="preserve"> also</w:t>
      </w:r>
      <w:r w:rsidRPr="006F524F">
        <w:rPr>
          <w:lang w:val="en-US"/>
        </w:rPr>
        <w:t xml:space="preserve"> important to </w:t>
      </w:r>
      <w:proofErr w:type="spellStart"/>
      <w:r w:rsidRPr="006F524F">
        <w:rPr>
          <w:lang w:val="en-US"/>
        </w:rPr>
        <w:t>recogni</w:t>
      </w:r>
      <w:r>
        <w:rPr>
          <w:lang w:val="en-US"/>
        </w:rPr>
        <w:t>s</w:t>
      </w:r>
      <w:r w:rsidRPr="006F524F">
        <w:rPr>
          <w:lang w:val="en-US"/>
        </w:rPr>
        <w:t>e</w:t>
      </w:r>
      <w:proofErr w:type="spellEnd"/>
      <w:r w:rsidRPr="006F524F">
        <w:rPr>
          <w:lang w:val="en-US"/>
        </w:rPr>
        <w:t xml:space="preserve"> the need to identify and address structural discrimination in the way needs are identified, services are delivered, and other contact with public agencies is experienced.</w:t>
      </w:r>
    </w:p>
    <w:p w14:paraId="446FC6FC" w14:textId="77777777" w:rsidR="00FE4078" w:rsidRDefault="00FE4078" w:rsidP="008E6AFB">
      <w:pPr>
        <w:pStyle w:val="Numberedparagraph"/>
        <w:numPr>
          <w:ilvl w:val="1"/>
          <w:numId w:val="1"/>
        </w:numPr>
        <w:rPr>
          <w:lang w:val="en-US"/>
        </w:rPr>
      </w:pPr>
      <w:r w:rsidRPr="00073886">
        <w:rPr>
          <w:b/>
          <w:bCs/>
          <w:lang w:val="en-US"/>
        </w:rPr>
        <w:t>Service delivery must be proactive, accessible</w:t>
      </w:r>
      <w:r>
        <w:rPr>
          <w:b/>
          <w:bCs/>
          <w:lang w:val="en-US"/>
        </w:rPr>
        <w:t>,</w:t>
      </w:r>
      <w:r w:rsidRPr="00073886">
        <w:rPr>
          <w:b/>
          <w:bCs/>
          <w:lang w:val="en-US"/>
        </w:rPr>
        <w:t xml:space="preserve"> and integrated. </w:t>
      </w:r>
      <w:r w:rsidRPr="00073886">
        <w:rPr>
          <w:lang w:val="en-US"/>
        </w:rPr>
        <w:t xml:space="preserve">This means that systems are in place to </w:t>
      </w:r>
      <w:proofErr w:type="spellStart"/>
      <w:r w:rsidRPr="00073886">
        <w:rPr>
          <w:lang w:val="en-US"/>
        </w:rPr>
        <w:t>recognise</w:t>
      </w:r>
      <w:proofErr w:type="spellEnd"/>
      <w:r w:rsidRPr="00073886">
        <w:rPr>
          <w:lang w:val="en-US"/>
        </w:rPr>
        <w:t xml:space="preserve"> that a person is in need, </w:t>
      </w:r>
      <w:r>
        <w:rPr>
          <w:lang w:val="en-US"/>
        </w:rPr>
        <w:t>and provide proactive</w:t>
      </w:r>
      <w:r w:rsidRPr="3594D1B6">
        <w:rPr>
          <w:lang w:val="en-US"/>
        </w:rPr>
        <w:t>, culturally safe</w:t>
      </w:r>
      <w:r>
        <w:rPr>
          <w:lang w:val="en-US"/>
        </w:rPr>
        <w:t xml:space="preserve"> and coordinated services </w:t>
      </w:r>
      <w:r w:rsidRPr="6439EC5A">
        <w:rPr>
          <w:lang w:val="en-US"/>
        </w:rPr>
        <w:t>to</w:t>
      </w:r>
      <w:r>
        <w:rPr>
          <w:lang w:val="en-US"/>
        </w:rPr>
        <w:t xml:space="preserve"> address that need</w:t>
      </w:r>
      <w:r w:rsidRPr="00073886">
        <w:rPr>
          <w:lang w:val="en-US"/>
        </w:rPr>
        <w:t xml:space="preserve"> (related to the current draft principle</w:t>
      </w:r>
      <w:r w:rsidRPr="00073886">
        <w:rPr>
          <w:b/>
          <w:bCs/>
          <w:lang w:val="en-US"/>
        </w:rPr>
        <w:t xml:space="preserve"> Integrated ways of working to connect Queenslanders</w:t>
      </w:r>
      <w:r w:rsidRPr="00073886">
        <w:rPr>
          <w:lang w:val="en-US"/>
        </w:rPr>
        <w:t xml:space="preserve">). </w:t>
      </w:r>
      <w:r>
        <w:rPr>
          <w:lang w:val="en-US"/>
        </w:rPr>
        <w:t xml:space="preserve">The Commission strongly supports a principle that </w:t>
      </w:r>
      <w:proofErr w:type="spellStart"/>
      <w:r>
        <w:rPr>
          <w:lang w:val="en-US"/>
        </w:rPr>
        <w:t>prioritises</w:t>
      </w:r>
      <w:proofErr w:type="spellEnd"/>
      <w:r>
        <w:rPr>
          <w:lang w:val="en-US"/>
        </w:rPr>
        <w:t xml:space="preserve"> ease of access to services for children, young people, and families. </w:t>
      </w:r>
      <w:r w:rsidRPr="00073886">
        <w:rPr>
          <w:lang w:val="en-US"/>
        </w:rPr>
        <w:t xml:space="preserve">This </w:t>
      </w:r>
      <w:r>
        <w:rPr>
          <w:lang w:val="en-US"/>
        </w:rPr>
        <w:t>must include</w:t>
      </w:r>
      <w:r w:rsidRPr="00073886">
        <w:rPr>
          <w:lang w:val="en-US"/>
        </w:rPr>
        <w:t xml:space="preserve"> services</w:t>
      </w:r>
      <w:r>
        <w:rPr>
          <w:lang w:val="en-US"/>
        </w:rPr>
        <w:t xml:space="preserve"> or focus points </w:t>
      </w:r>
      <w:r w:rsidRPr="0E02FE9B">
        <w:rPr>
          <w:lang w:val="en-US"/>
        </w:rPr>
        <w:t>developing</w:t>
      </w:r>
      <w:r w:rsidRPr="00073886">
        <w:rPr>
          <w:lang w:val="en-US"/>
        </w:rPr>
        <w:t xml:space="preserve"> relationships </w:t>
      </w:r>
      <w:r>
        <w:rPr>
          <w:lang w:val="en-US"/>
        </w:rPr>
        <w:t>of</w:t>
      </w:r>
      <w:r w:rsidRPr="00073886">
        <w:rPr>
          <w:lang w:val="en-US"/>
        </w:rPr>
        <w:t xml:space="preserve"> trust with children and their</w:t>
      </w:r>
      <w:r>
        <w:rPr>
          <w:lang w:val="en-US"/>
        </w:rPr>
        <w:t xml:space="preserve"> families</w:t>
      </w:r>
      <w:r w:rsidRPr="00073886">
        <w:rPr>
          <w:lang w:val="en-US"/>
        </w:rPr>
        <w:t>, and measuring and dealing with racial and other forms of discrimination that are present within a</w:t>
      </w:r>
      <w:r>
        <w:rPr>
          <w:lang w:val="en-US"/>
        </w:rPr>
        <w:t xml:space="preserve"> </w:t>
      </w:r>
      <w:r w:rsidRPr="00073886">
        <w:rPr>
          <w:lang w:val="en-US"/>
        </w:rPr>
        <w:t xml:space="preserve">system. </w:t>
      </w:r>
    </w:p>
    <w:p w14:paraId="0F319B93" w14:textId="77777777" w:rsidR="00FE4078" w:rsidRDefault="00FE4078" w:rsidP="008E6AFB">
      <w:pPr>
        <w:pStyle w:val="Numberedparagraph"/>
        <w:numPr>
          <w:ilvl w:val="1"/>
          <w:numId w:val="1"/>
        </w:numPr>
        <w:rPr>
          <w:szCs w:val="22"/>
        </w:rPr>
      </w:pPr>
      <w:r w:rsidRPr="00D96A49">
        <w:rPr>
          <w:b/>
          <w:bCs/>
          <w:lang w:val="en-US"/>
        </w:rPr>
        <w:t>Achieving</w:t>
      </w:r>
      <w:r w:rsidRPr="00177414">
        <w:rPr>
          <w:b/>
          <w:bCs/>
        </w:rPr>
        <w:t xml:space="preserve"> the Plan’s vision needs</w:t>
      </w:r>
      <w:r>
        <w:rPr>
          <w:b/>
          <w:bCs/>
        </w:rPr>
        <w:t xml:space="preserve"> sustained,</w:t>
      </w:r>
      <w:r w:rsidRPr="00177414">
        <w:rPr>
          <w:b/>
          <w:bCs/>
        </w:rPr>
        <w:t xml:space="preserve"> holistic and comprehensive approaches.</w:t>
      </w:r>
      <w:r>
        <w:rPr>
          <w:b/>
          <w:bCs/>
        </w:rPr>
        <w:t xml:space="preserve"> </w:t>
      </w:r>
      <w:r>
        <w:t xml:space="preserve">Effective measures to improve the wellbeing of children and young people require a long-term, multi-agency response to </w:t>
      </w:r>
      <w:r w:rsidRPr="00862B19">
        <w:rPr>
          <w:lang w:val="en-US"/>
        </w:rPr>
        <w:t>preventive</w:t>
      </w:r>
      <w:r>
        <w:t xml:space="preserve"> measures, responses to individual risk factors, and broader structural factors including poverty and discrimination.</w:t>
      </w:r>
    </w:p>
    <w:p w14:paraId="7D2A0AB3" w14:textId="77777777" w:rsidR="00FE4078" w:rsidRPr="00441027" w:rsidRDefault="00FE4078" w:rsidP="008E6AFB">
      <w:pPr>
        <w:pStyle w:val="Numberedparagraph"/>
        <w:numPr>
          <w:ilvl w:val="1"/>
          <w:numId w:val="1"/>
        </w:numPr>
        <w:rPr>
          <w:lang w:val="en-US"/>
        </w:rPr>
      </w:pPr>
      <w:r>
        <w:rPr>
          <w:b/>
          <w:bCs/>
        </w:rPr>
        <w:t>Actions must be evidence-informed, transparent, and agencies accountable.</w:t>
      </w:r>
      <w:r w:rsidRPr="00597815">
        <w:rPr>
          <w:rStyle w:val="FootnoteReference"/>
        </w:rPr>
        <w:footnoteReference w:id="53"/>
      </w:r>
      <w:r w:rsidRPr="00597815">
        <w:t xml:space="preserve"> </w:t>
      </w:r>
      <w:r>
        <w:rPr>
          <w:lang w:val="en-US"/>
        </w:rPr>
        <w:t xml:space="preserve">The Commission agrees that an </w:t>
      </w:r>
      <w:r w:rsidRPr="00C63ACE">
        <w:rPr>
          <w:b/>
          <w:bCs/>
          <w:lang w:val="en-US"/>
        </w:rPr>
        <w:t>evidence-informed</w:t>
      </w:r>
      <w:r>
        <w:rPr>
          <w:lang w:val="en-US"/>
        </w:rPr>
        <w:t xml:space="preserve"> approach is crucial if the Plan is to succeed in achieving its objectives. </w:t>
      </w:r>
      <w:r w:rsidRPr="00EF557C">
        <w:rPr>
          <w:lang w:val="en-US"/>
        </w:rPr>
        <w:t xml:space="preserve">Tied to comments below about implementation (see </w:t>
      </w:r>
      <w:r w:rsidRPr="00EF557C">
        <w:rPr>
          <w:b/>
          <w:bCs/>
          <w:lang w:val="en-US"/>
        </w:rPr>
        <w:t xml:space="preserve">Consultation Question </w:t>
      </w:r>
      <w:r>
        <w:rPr>
          <w:b/>
          <w:bCs/>
          <w:lang w:val="en-US"/>
        </w:rPr>
        <w:t>5</w:t>
      </w:r>
      <w:r w:rsidRPr="00EF557C">
        <w:rPr>
          <w:lang w:val="en-US"/>
        </w:rPr>
        <w:t xml:space="preserve">), the Commission also considers that </w:t>
      </w:r>
      <w:r>
        <w:rPr>
          <w:lang w:val="en-US"/>
        </w:rPr>
        <w:t>transparency and a</w:t>
      </w:r>
      <w:r w:rsidRPr="00EF557C">
        <w:rPr>
          <w:lang w:val="en-US"/>
        </w:rPr>
        <w:t xml:space="preserve">ccountability should be included in this principle, or expressed as </w:t>
      </w:r>
      <w:r>
        <w:rPr>
          <w:lang w:val="en-US"/>
        </w:rPr>
        <w:t>standalone</w:t>
      </w:r>
      <w:r w:rsidRPr="00EF557C">
        <w:rPr>
          <w:lang w:val="en-US"/>
        </w:rPr>
        <w:t xml:space="preserve"> principle</w:t>
      </w:r>
      <w:r>
        <w:rPr>
          <w:lang w:val="en-US"/>
        </w:rPr>
        <w:t>s</w:t>
      </w:r>
      <w:r w:rsidRPr="00EF557C">
        <w:rPr>
          <w:lang w:val="en-US"/>
        </w:rPr>
        <w:t xml:space="preserve">. </w:t>
      </w:r>
      <w:r>
        <w:rPr>
          <w:lang w:val="en-US"/>
        </w:rPr>
        <w:t xml:space="preserve">At a minimum relevant agencies should be accountable for </w:t>
      </w:r>
      <w:r w:rsidRPr="00EF557C">
        <w:rPr>
          <w:lang w:val="en-US"/>
        </w:rPr>
        <w:t xml:space="preserve">achieving established objectives in set timeframes, adhering to agreed monitoring and evaluation, reporting </w:t>
      </w:r>
      <w:r>
        <w:rPr>
          <w:lang w:val="en-US"/>
        </w:rPr>
        <w:t>against defined indicators</w:t>
      </w:r>
      <w:r w:rsidRPr="00EF557C">
        <w:rPr>
          <w:lang w:val="en-US"/>
        </w:rPr>
        <w:t>, and ensuring that activities are informed by evidence as it evolves.</w:t>
      </w:r>
      <w:r>
        <w:rPr>
          <w:lang w:val="en-US"/>
        </w:rPr>
        <w:t xml:space="preserve"> </w:t>
      </w:r>
      <w:r w:rsidRPr="007A7C9D">
        <w:rPr>
          <w:lang w:val="en-US"/>
        </w:rPr>
        <w:t xml:space="preserve">Creation of a single, </w:t>
      </w:r>
      <w:r>
        <w:rPr>
          <w:lang w:val="en-US"/>
        </w:rPr>
        <w:t>publicly</w:t>
      </w:r>
      <w:r w:rsidRPr="007A7C9D">
        <w:rPr>
          <w:lang w:val="en-US"/>
        </w:rPr>
        <w:t xml:space="preserve"> accessible website </w:t>
      </w:r>
      <w:r w:rsidRPr="007A7C9D">
        <w:rPr>
          <w:lang w:val="en-US"/>
        </w:rPr>
        <w:lastRenderedPageBreak/>
        <w:t xml:space="preserve">collating evidence, research and evaluation, accountability metrics relating to implementation of the Plan, and its impacts would assist in coordination, transparency and public scrutiny, and be consistent with the proactive disclosure approach required by the </w:t>
      </w:r>
      <w:r w:rsidRPr="007A7C9D">
        <w:rPr>
          <w:i/>
          <w:iCs/>
          <w:lang w:val="en-US"/>
        </w:rPr>
        <w:t>Right to Information Act 2009</w:t>
      </w:r>
      <w:r w:rsidRPr="007A7C9D">
        <w:rPr>
          <w:lang w:val="en-US"/>
        </w:rPr>
        <w:t xml:space="preserve"> (Qld).</w:t>
      </w:r>
    </w:p>
    <w:p w14:paraId="50E96CFD" w14:textId="77777777" w:rsidR="00FE4078" w:rsidRDefault="00FE4078" w:rsidP="00EE1A9B">
      <w:pPr>
        <w:pBdr>
          <w:top w:val="single" w:sz="4" w:space="1" w:color="auto"/>
          <w:left w:val="single" w:sz="4" w:space="4" w:color="auto"/>
          <w:bottom w:val="single" w:sz="4" w:space="1" w:color="auto"/>
          <w:right w:val="single" w:sz="4" w:space="4" w:color="auto"/>
        </w:pBdr>
        <w:spacing w:after="200"/>
        <w:rPr>
          <w:rFonts w:cs="Arial"/>
        </w:rPr>
      </w:pPr>
      <w:r w:rsidRPr="000D7406">
        <w:rPr>
          <w:rFonts w:cs="Arial"/>
          <w:b/>
          <w:bCs/>
        </w:rPr>
        <w:t>Recommendation:</w:t>
      </w:r>
      <w:r w:rsidRPr="00585CB7">
        <w:rPr>
          <w:rFonts w:cs="Arial"/>
          <w:b/>
          <w:bCs/>
        </w:rPr>
        <w:t xml:space="preserve"> </w:t>
      </w:r>
      <w:r>
        <w:rPr>
          <w:rFonts w:cs="Arial"/>
        </w:rPr>
        <w:t xml:space="preserve">The Plan should </w:t>
      </w:r>
    </w:p>
    <w:p w14:paraId="2606F868" w14:textId="77777777" w:rsidR="00FE4078" w:rsidRPr="0013109B" w:rsidRDefault="00FE4078" w:rsidP="008E6AFB">
      <w:pPr>
        <w:pStyle w:val="ListParagraph"/>
        <w:numPr>
          <w:ilvl w:val="0"/>
          <w:numId w:val="7"/>
        </w:numPr>
        <w:pBdr>
          <w:top w:val="single" w:sz="4" w:space="1" w:color="auto"/>
          <w:left w:val="single" w:sz="4" w:space="4" w:color="auto"/>
          <w:bottom w:val="single" w:sz="4" w:space="1" w:color="auto"/>
          <w:right w:val="single" w:sz="4" w:space="4" w:color="auto"/>
        </w:pBdr>
        <w:spacing w:after="200"/>
        <w:rPr>
          <w:rFonts w:cs="Arial"/>
          <w:b/>
          <w:bCs/>
        </w:rPr>
      </w:pPr>
      <w:r w:rsidRPr="0013109B">
        <w:rPr>
          <w:rFonts w:cs="Arial"/>
        </w:rPr>
        <w:t>recognise as an overarching core principle that children, young people, and families have human rights that the government is required to respect, protect, and fulfil</w:t>
      </w:r>
    </w:p>
    <w:p w14:paraId="74748718" w14:textId="77777777" w:rsidR="00FE4078" w:rsidRPr="006B117D" w:rsidRDefault="00FE4078" w:rsidP="006B117D">
      <w:pPr>
        <w:pStyle w:val="ListParagraph"/>
        <w:numPr>
          <w:ilvl w:val="0"/>
          <w:numId w:val="7"/>
        </w:numPr>
        <w:pBdr>
          <w:top w:val="single" w:sz="4" w:space="1" w:color="auto"/>
          <w:left w:val="single" w:sz="4" w:space="4" w:color="auto"/>
          <w:bottom w:val="single" w:sz="4" w:space="1" w:color="auto"/>
          <w:right w:val="single" w:sz="4" w:space="4" w:color="auto"/>
        </w:pBdr>
        <w:spacing w:after="200"/>
        <w:rPr>
          <w:rFonts w:cs="Arial"/>
          <w:b/>
          <w:bCs/>
        </w:rPr>
      </w:pPr>
      <w:r>
        <w:rPr>
          <w:rFonts w:cs="Arial"/>
        </w:rPr>
        <w:t>consider rewording and enlarging other principles to reflect the issues identified above.</w:t>
      </w:r>
    </w:p>
    <w:p w14:paraId="356F9157" w14:textId="77777777" w:rsidR="00FE4078" w:rsidRDefault="00FE4078" w:rsidP="006B117D">
      <w:pPr>
        <w:rPr>
          <w:lang w:val="en-US"/>
        </w:rPr>
      </w:pPr>
      <w:bookmarkStart w:id="38" w:name="_Toc158902689"/>
    </w:p>
    <w:p w14:paraId="1427868F" w14:textId="77777777" w:rsidR="00FE4078" w:rsidRPr="00881C23" w:rsidRDefault="00FE4078" w:rsidP="009056F4">
      <w:pPr>
        <w:pStyle w:val="Heading1"/>
        <w:rPr>
          <w:lang w:val="en-US"/>
        </w:rPr>
      </w:pPr>
      <w:bookmarkStart w:id="39" w:name="_Toc159426529"/>
      <w:r>
        <w:rPr>
          <w:lang w:val="en-US"/>
        </w:rPr>
        <w:t>Consultation Question 2:  Key p</w:t>
      </w:r>
      <w:r w:rsidRPr="00881C23">
        <w:rPr>
          <w:lang w:val="en-US"/>
        </w:rPr>
        <w:t>rotective factors</w:t>
      </w:r>
      <w:bookmarkEnd w:id="38"/>
      <w:bookmarkEnd w:id="39"/>
      <w:r w:rsidRPr="00881C23">
        <w:rPr>
          <w:lang w:val="en-US"/>
        </w:rPr>
        <w:t xml:space="preserve"> </w:t>
      </w:r>
    </w:p>
    <w:p w14:paraId="4B61C828" w14:textId="77777777" w:rsidR="00FE4078" w:rsidRPr="00881C23" w:rsidRDefault="00FE4078" w:rsidP="009056F4">
      <w:pPr>
        <w:pStyle w:val="Default"/>
        <w:rPr>
          <w:rFonts w:ascii="Arial" w:hAnsi="Arial" w:cs="Arial"/>
          <w:i/>
          <w:iCs/>
          <w:sz w:val="22"/>
          <w:szCs w:val="22"/>
        </w:rPr>
      </w:pPr>
      <w:r w:rsidRPr="00881C23">
        <w:rPr>
          <w:rFonts w:ascii="Arial" w:hAnsi="Arial" w:cs="Arial"/>
          <w:i/>
          <w:iCs/>
          <w:sz w:val="22"/>
          <w:szCs w:val="22"/>
        </w:rPr>
        <w:t xml:space="preserve">What are the key protective factors in keeping children and young people on positive trajectories, and how can we further boost these? </w:t>
      </w:r>
    </w:p>
    <w:p w14:paraId="014886D1" w14:textId="77777777" w:rsidR="00FE4078" w:rsidRDefault="00FE4078" w:rsidP="009056F4">
      <w:pPr>
        <w:pStyle w:val="Default"/>
        <w:rPr>
          <w:rFonts w:ascii="Arial" w:hAnsi="Arial" w:cs="Arial"/>
          <w:sz w:val="22"/>
          <w:szCs w:val="22"/>
        </w:rPr>
      </w:pPr>
    </w:p>
    <w:p w14:paraId="5668C30F" w14:textId="77777777" w:rsidR="00FE4078" w:rsidRDefault="00FE4078" w:rsidP="009056F4">
      <w:pPr>
        <w:pStyle w:val="Numberedparagraph"/>
      </w:pPr>
      <w:r>
        <w:t xml:space="preserve">The consultation draft plan provides a non-exhaustive list of risk factors and protective factors organised by child developmental stage, drawn from reports that consider risk factors and contact with the criminal justice system, intervention points for child and youth wellbeing, and the wellbeing outcomes framework for Aboriginal children and Torres Strait Islander children in Queensland. </w:t>
      </w:r>
    </w:p>
    <w:p w14:paraId="0C100D11" w14:textId="77777777" w:rsidR="00FE4078" w:rsidRPr="00F90E05" w:rsidRDefault="00FE4078">
      <w:pPr>
        <w:pStyle w:val="Numberedparagraph"/>
        <w:rPr>
          <w:szCs w:val="22"/>
        </w:rPr>
      </w:pPr>
      <w:r>
        <w:t xml:space="preserve">The </w:t>
      </w:r>
      <w:r w:rsidRPr="70956758">
        <w:rPr>
          <w:b/>
        </w:rPr>
        <w:t>general and universal protective factors identified at pages 12 to 13 of the Plan are sound and backed by evidence</w:t>
      </w:r>
      <w:r>
        <w:t xml:space="preserve">. While some of the factors will be specific depending on the child’s stage of development, the Commission notes that despite the graphical representation, </w:t>
      </w:r>
      <w:r w:rsidRPr="006C738D">
        <w:rPr>
          <w:b/>
          <w:bCs/>
        </w:rPr>
        <w:t>many will extend beyond particular developmental stages, such as access to quality education, and universal health and social care</w:t>
      </w:r>
      <w:r>
        <w:t>.  The Commission strongly supports action to enhance all of these protective factors.</w:t>
      </w:r>
    </w:p>
    <w:p w14:paraId="5ED1F25B" w14:textId="77777777" w:rsidR="00FE4078" w:rsidRPr="006021E3" w:rsidRDefault="00FE4078" w:rsidP="006021E3">
      <w:pPr>
        <w:pStyle w:val="Heading3"/>
      </w:pPr>
      <w:bookmarkStart w:id="40" w:name="_Toc159426530"/>
      <w:r>
        <w:t>High quality and culturally safe early childhood education</w:t>
      </w:r>
      <w:bookmarkEnd w:id="40"/>
    </w:p>
    <w:p w14:paraId="374B7B34" w14:textId="77777777" w:rsidR="00FE4078" w:rsidRPr="00423BC6" w:rsidRDefault="00FE4078">
      <w:pPr>
        <w:pStyle w:val="Numberedparagraph"/>
        <w:rPr>
          <w:szCs w:val="22"/>
        </w:rPr>
      </w:pPr>
      <w:r>
        <w:t>T</w:t>
      </w:r>
      <w:r w:rsidRPr="00DC09A1">
        <w:t xml:space="preserve">he Commission </w:t>
      </w:r>
      <w:r>
        <w:t>recommends</w:t>
      </w:r>
      <w:r w:rsidRPr="00DC09A1">
        <w:t xml:space="preserve"> that </w:t>
      </w:r>
      <w:r w:rsidRPr="00EC14D7">
        <w:rPr>
          <w:b/>
          <w:bCs/>
        </w:rPr>
        <w:t>high quality</w:t>
      </w:r>
      <w:r>
        <w:rPr>
          <w:b/>
          <w:bCs/>
        </w:rPr>
        <w:t xml:space="preserve"> and culturally safe</w:t>
      </w:r>
      <w:r w:rsidRPr="00EC14D7">
        <w:rPr>
          <w:b/>
          <w:bCs/>
        </w:rPr>
        <w:t xml:space="preserve"> early childhood education</w:t>
      </w:r>
      <w:r w:rsidRPr="00DC09A1">
        <w:t xml:space="preserve"> (as opposed to early primary education) </w:t>
      </w:r>
      <w:r>
        <w:t>sh</w:t>
      </w:r>
      <w:r w:rsidRPr="00DC09A1">
        <w:t xml:space="preserve">ould be given </w:t>
      </w:r>
      <w:r>
        <w:t>explicit</w:t>
      </w:r>
      <w:r w:rsidRPr="00DC09A1">
        <w:t xml:space="preserve"> emphasis in the protective factors</w:t>
      </w:r>
      <w:r>
        <w:t xml:space="preserve"> – both because it is established as a significant protective factor in relation to later poor life outcomes including involvement with the criminal justice system,</w:t>
      </w:r>
      <w:r>
        <w:rPr>
          <w:rStyle w:val="FootnoteReference"/>
        </w:rPr>
        <w:footnoteReference w:id="54"/>
      </w:r>
      <w:r>
        <w:t xml:space="preserve"> and (relatedly) because it provides an early opportunity for identifying children who would benefit from more </w:t>
      </w:r>
      <w:r>
        <w:lastRenderedPageBreak/>
        <w:t>intensive, targeted support and for delivering that support to children and families at an early stage.</w:t>
      </w:r>
      <w:r>
        <w:rPr>
          <w:rStyle w:val="FootnoteReference"/>
        </w:rPr>
        <w:footnoteReference w:id="55"/>
      </w:r>
      <w:r>
        <w:t xml:space="preserve"> </w:t>
      </w:r>
    </w:p>
    <w:p w14:paraId="65C2542D" w14:textId="77777777" w:rsidR="00FE4078" w:rsidRPr="006021E3" w:rsidRDefault="00FE4078" w:rsidP="00AA5270">
      <w:pPr>
        <w:pStyle w:val="Heading3"/>
      </w:pPr>
      <w:bookmarkStart w:id="41" w:name="_Toc159426531"/>
      <w:r>
        <w:t>Access to and staying in education or training</w:t>
      </w:r>
      <w:bookmarkEnd w:id="41"/>
    </w:p>
    <w:p w14:paraId="6B243DD4" w14:textId="77777777" w:rsidR="00FE4078" w:rsidRPr="00AF1FF7" w:rsidRDefault="00FE4078" w:rsidP="00DD75B4">
      <w:pPr>
        <w:pStyle w:val="Numberedparagraph"/>
      </w:pPr>
      <w:r>
        <w:t xml:space="preserve">In addition, the 2018 Atkinson Report identified </w:t>
      </w:r>
      <w:r w:rsidRPr="00AF1FF7">
        <w:rPr>
          <w:b/>
          <w:bCs/>
        </w:rPr>
        <w:t xml:space="preserve">access to and staying in </w:t>
      </w:r>
      <w:r>
        <w:rPr>
          <w:b/>
          <w:bCs/>
        </w:rPr>
        <w:t>education</w:t>
      </w:r>
      <w:r>
        <w:t xml:space="preserve"> </w:t>
      </w:r>
      <w:r w:rsidRPr="004E795B">
        <w:rPr>
          <w:b/>
          <w:bCs/>
        </w:rPr>
        <w:t xml:space="preserve">or training </w:t>
      </w:r>
      <w:r>
        <w:t>more broadly as a crucial protective factor from engagement with the Youth Justice system.</w:t>
      </w:r>
      <w:r>
        <w:rPr>
          <w:rStyle w:val="FootnoteReference"/>
        </w:rPr>
        <w:footnoteReference w:id="56"/>
      </w:r>
      <w:r>
        <w:t xml:space="preserve"> This is already recognised in the Plan, and is discussed further below under </w:t>
      </w:r>
      <w:r w:rsidRPr="008A5ED7">
        <w:rPr>
          <w:b/>
        </w:rPr>
        <w:t xml:space="preserve">Consultation </w:t>
      </w:r>
      <w:r w:rsidRPr="00196667">
        <w:rPr>
          <w:b/>
          <w:bCs/>
        </w:rPr>
        <w:t>Question 3: Other priorities</w:t>
      </w:r>
      <w:r>
        <w:t>.</w:t>
      </w:r>
    </w:p>
    <w:p w14:paraId="6864D50A" w14:textId="77777777" w:rsidR="00FE4078" w:rsidRPr="006021E3" w:rsidRDefault="00FE4078" w:rsidP="00AA5270">
      <w:pPr>
        <w:pStyle w:val="Heading3"/>
      </w:pPr>
      <w:bookmarkStart w:id="42" w:name="_Toc159426532"/>
      <w:r>
        <w:t>Strong cultural practices and a positive sense of cultural identity</w:t>
      </w:r>
      <w:bookmarkEnd w:id="42"/>
    </w:p>
    <w:p w14:paraId="7F4DD78A" w14:textId="77777777" w:rsidR="00FE4078" w:rsidRDefault="00FE4078">
      <w:pPr>
        <w:pStyle w:val="Numberedparagraph"/>
        <w:rPr>
          <w:szCs w:val="22"/>
        </w:rPr>
      </w:pPr>
      <w:r>
        <w:t xml:space="preserve">The Commission strongly supports the reference to </w:t>
      </w:r>
      <w:r w:rsidRPr="70956758">
        <w:rPr>
          <w:b/>
        </w:rPr>
        <w:t>cultural connection</w:t>
      </w:r>
      <w:r>
        <w:t xml:space="preserve"> as a key protective factor across a child and young person’s life, and this reinforces the need to ensure that any intervention under the Plan prioritises supporting children and young people within their family and community (see above suggested principle). As part of this, </w:t>
      </w:r>
      <w:r>
        <w:rPr>
          <w:b/>
          <w:bCs/>
        </w:rPr>
        <w:t xml:space="preserve">strong cultural practices </w:t>
      </w:r>
      <w:r w:rsidRPr="00132B6B">
        <w:t>(such as</w:t>
      </w:r>
      <w:r>
        <w:t xml:space="preserve"> ‘extended family, access to traditional land, revitalisation of traditional languages, learning dance and story, and understanding traditional roles and practices’)</w:t>
      </w:r>
      <w:r>
        <w:rPr>
          <w:b/>
          <w:bCs/>
        </w:rPr>
        <w:t xml:space="preserve"> </w:t>
      </w:r>
      <w:r w:rsidRPr="00E17E1A">
        <w:t>and</w:t>
      </w:r>
      <w:r>
        <w:rPr>
          <w:b/>
          <w:bCs/>
        </w:rPr>
        <w:t xml:space="preserve"> a positive sense of cultural identity</w:t>
      </w:r>
      <w:r>
        <w:t xml:space="preserve"> are important protective factors for children and young people.</w:t>
      </w:r>
      <w:r>
        <w:rPr>
          <w:rStyle w:val="FootnoteReference"/>
        </w:rPr>
        <w:footnoteReference w:id="57"/>
      </w:r>
      <w:r>
        <w:t xml:space="preserve">  Among other things, they assist children to maintain their resilience, self-esteem, and sense of self, and are themselves a way of combating racism.</w:t>
      </w:r>
      <w:r>
        <w:rPr>
          <w:rStyle w:val="FootnoteReference"/>
        </w:rPr>
        <w:footnoteReference w:id="58"/>
      </w:r>
      <w:r>
        <w:t xml:space="preserve"> Opportunities to promote this within educational environments are addressed under </w:t>
      </w:r>
      <w:r w:rsidRPr="00C45C01">
        <w:rPr>
          <w:b/>
          <w:bCs/>
        </w:rPr>
        <w:t>Consultation Question</w:t>
      </w:r>
      <w:r>
        <w:rPr>
          <w:b/>
          <w:bCs/>
        </w:rPr>
        <w:t xml:space="preserve"> 3</w:t>
      </w:r>
      <w:r w:rsidRPr="00C45C01">
        <w:rPr>
          <w:b/>
          <w:bCs/>
        </w:rPr>
        <w:t xml:space="preserve">: </w:t>
      </w:r>
      <w:r>
        <w:rPr>
          <w:b/>
          <w:bCs/>
        </w:rPr>
        <w:t>Other priorities</w:t>
      </w:r>
      <w:r>
        <w:t>.</w:t>
      </w:r>
    </w:p>
    <w:p w14:paraId="6852D373" w14:textId="77777777" w:rsidR="00FE4078" w:rsidRDefault="00FE4078" w:rsidP="008E6AFB">
      <w:pPr>
        <w:pBdr>
          <w:top w:val="single" w:sz="4" w:space="1" w:color="auto"/>
          <w:left w:val="single" w:sz="4" w:space="1" w:color="auto"/>
          <w:bottom w:val="single" w:sz="4" w:space="1" w:color="auto"/>
          <w:right w:val="single" w:sz="4" w:space="1" w:color="auto"/>
        </w:pBdr>
        <w:spacing w:after="200"/>
        <w:rPr>
          <w:rFonts w:cs="Arial"/>
        </w:rPr>
      </w:pPr>
      <w:bookmarkStart w:id="43" w:name="_Toc158902690"/>
      <w:r w:rsidRPr="000D7406">
        <w:rPr>
          <w:rFonts w:cs="Arial"/>
          <w:b/>
          <w:bCs/>
        </w:rPr>
        <w:t>Recommendation:</w:t>
      </w:r>
      <w:r w:rsidRPr="00585CB7">
        <w:rPr>
          <w:rFonts w:cs="Arial"/>
          <w:b/>
          <w:bCs/>
        </w:rPr>
        <w:t xml:space="preserve"> </w:t>
      </w:r>
      <w:r>
        <w:rPr>
          <w:rFonts w:cs="Arial"/>
        </w:rPr>
        <w:t xml:space="preserve">The Plan should </w:t>
      </w:r>
    </w:p>
    <w:p w14:paraId="4C86C89B" w14:textId="77777777" w:rsidR="00FE4078" w:rsidRDefault="00FE4078" w:rsidP="008E6AFB">
      <w:pPr>
        <w:pStyle w:val="Bulletedlist"/>
        <w:numPr>
          <w:ilvl w:val="0"/>
          <w:numId w:val="11"/>
        </w:numPr>
        <w:pBdr>
          <w:top w:val="single" w:sz="4" w:space="1" w:color="auto"/>
          <w:left w:val="single" w:sz="4" w:space="1" w:color="auto"/>
          <w:bottom w:val="single" w:sz="4" w:space="1" w:color="auto"/>
          <w:right w:val="single" w:sz="4" w:space="1" w:color="auto"/>
        </w:pBdr>
      </w:pPr>
      <w:r w:rsidRPr="00A41C8B">
        <w:t>recognise high quality</w:t>
      </w:r>
      <w:r>
        <w:t xml:space="preserve"> and culturally safe </w:t>
      </w:r>
      <w:r w:rsidRPr="00A41C8B">
        <w:t xml:space="preserve">early childhood education as </w:t>
      </w:r>
      <w:r>
        <w:t>a key</w:t>
      </w:r>
      <w:r w:rsidRPr="00A41C8B">
        <w:t xml:space="preserve"> protective factor</w:t>
      </w:r>
    </w:p>
    <w:p w14:paraId="69CAB660" w14:textId="77777777" w:rsidR="00FE4078" w:rsidRPr="00A41C8B" w:rsidRDefault="00FE4078" w:rsidP="008E6AFB">
      <w:pPr>
        <w:pStyle w:val="Bulletedlist"/>
        <w:numPr>
          <w:ilvl w:val="0"/>
          <w:numId w:val="11"/>
        </w:numPr>
        <w:pBdr>
          <w:top w:val="single" w:sz="4" w:space="1" w:color="auto"/>
          <w:left w:val="single" w:sz="4" w:space="1" w:color="auto"/>
          <w:bottom w:val="single" w:sz="4" w:space="1" w:color="auto"/>
          <w:right w:val="single" w:sz="4" w:space="1" w:color="auto"/>
        </w:pBdr>
      </w:pPr>
      <w:r>
        <w:t>identify strong cultural practices and a positive sense of cultural identity as protective factors tied to cultural connection.</w:t>
      </w:r>
    </w:p>
    <w:p w14:paraId="20C37970" w14:textId="77777777" w:rsidR="00FE4078" w:rsidRDefault="00FE4078" w:rsidP="008E6AFB">
      <w:pPr>
        <w:pStyle w:val="Bulletedlist"/>
        <w:numPr>
          <w:ilvl w:val="0"/>
          <w:numId w:val="0"/>
        </w:numPr>
        <w:ind w:left="1440"/>
      </w:pPr>
    </w:p>
    <w:p w14:paraId="06167B22" w14:textId="77777777" w:rsidR="00FE4078" w:rsidRDefault="00FE4078">
      <w:pPr>
        <w:spacing w:after="0"/>
        <w:rPr>
          <w:rFonts w:eastAsiaTheme="majorEastAsia" w:cstheme="majorBidi"/>
          <w:color w:val="004270"/>
          <w:sz w:val="36"/>
          <w:szCs w:val="36"/>
        </w:rPr>
      </w:pPr>
      <w:r>
        <w:br w:type="page"/>
      </w:r>
    </w:p>
    <w:p w14:paraId="277E78BB" w14:textId="77777777" w:rsidR="00FE4078" w:rsidRPr="00881C23" w:rsidRDefault="00FE4078" w:rsidP="009056F4">
      <w:pPr>
        <w:pStyle w:val="Heading1"/>
      </w:pPr>
      <w:bookmarkStart w:id="44" w:name="_Toc159426533"/>
      <w:r>
        <w:lastRenderedPageBreak/>
        <w:t xml:space="preserve">Consultation Question 3: </w:t>
      </w:r>
      <w:r w:rsidRPr="00881C23">
        <w:t>Other priorities</w:t>
      </w:r>
      <w:bookmarkEnd w:id="43"/>
      <w:bookmarkEnd w:id="44"/>
    </w:p>
    <w:p w14:paraId="39EA6C4F" w14:textId="77777777" w:rsidR="00FE4078" w:rsidRPr="00881C23" w:rsidRDefault="00FE4078" w:rsidP="009056F4">
      <w:pPr>
        <w:pStyle w:val="Default"/>
        <w:rPr>
          <w:rFonts w:ascii="Arial" w:hAnsi="Arial" w:cs="Arial"/>
          <w:i/>
          <w:iCs/>
          <w:sz w:val="22"/>
          <w:szCs w:val="22"/>
        </w:rPr>
      </w:pPr>
      <w:r w:rsidRPr="00881C23">
        <w:rPr>
          <w:rFonts w:ascii="Arial" w:hAnsi="Arial" w:cs="Arial"/>
          <w:i/>
          <w:iCs/>
          <w:sz w:val="22"/>
          <w:szCs w:val="22"/>
        </w:rPr>
        <w:t xml:space="preserve">Are there any other priorities you think that Putting Queensland Kids First should consider? </w:t>
      </w:r>
    </w:p>
    <w:p w14:paraId="7149EC63" w14:textId="77777777" w:rsidR="00FE4078" w:rsidRDefault="00FE4078" w:rsidP="009056F4">
      <w:pPr>
        <w:pStyle w:val="Default"/>
        <w:rPr>
          <w:rFonts w:ascii="Arial" w:hAnsi="Arial" w:cs="Arial"/>
          <w:sz w:val="22"/>
          <w:szCs w:val="22"/>
        </w:rPr>
      </w:pPr>
    </w:p>
    <w:p w14:paraId="3BFE7C10" w14:textId="77777777" w:rsidR="00FE4078" w:rsidRDefault="00FE4078" w:rsidP="00BD678F">
      <w:pPr>
        <w:pStyle w:val="Numberedparagraph"/>
        <w:rPr>
          <w:szCs w:val="22"/>
        </w:rPr>
      </w:pPr>
      <w:r>
        <w:t xml:space="preserve">The Commission considers that the Investment Priorities identified at pages 14 to 19 of the Plan are appropriate and necessary, and will be enhanced by the overlay of reworded and expanded principles outlined above (response to </w:t>
      </w:r>
      <w:r w:rsidRPr="70956758">
        <w:rPr>
          <w:b/>
        </w:rPr>
        <w:t>Consultation Question 1: Core principles</w:t>
      </w:r>
      <w:r>
        <w:t>). This section makes comments on two of the identified priorities, and suggests inclusion of another.</w:t>
      </w:r>
    </w:p>
    <w:p w14:paraId="2CEA5372" w14:textId="77777777" w:rsidR="00FE4078" w:rsidRDefault="00FE4078" w:rsidP="00F45559">
      <w:pPr>
        <w:pStyle w:val="Heading3"/>
      </w:pPr>
      <w:bookmarkStart w:id="45" w:name="_Toc159426534"/>
      <w:r>
        <w:t>Supporting families and strengthening communities</w:t>
      </w:r>
      <w:bookmarkEnd w:id="45"/>
    </w:p>
    <w:p w14:paraId="349009E4" w14:textId="77777777" w:rsidR="00FE4078" w:rsidRPr="00BD678F" w:rsidRDefault="00FE4078" w:rsidP="00BD678F">
      <w:pPr>
        <w:pStyle w:val="Numberedparagraph"/>
        <w:rPr>
          <w:szCs w:val="22"/>
        </w:rPr>
      </w:pPr>
      <w:r>
        <w:t xml:space="preserve">In relation to the second priority, </w:t>
      </w:r>
      <w:r w:rsidRPr="70956758">
        <w:rPr>
          <w:b/>
        </w:rPr>
        <w:t>supporting families and strengthening communities</w:t>
      </w:r>
      <w:r>
        <w:t xml:space="preserve">, the Commission considers it crucial that this also directly address child safety policies, and the need to prioritise support of families rather than removal wherever possible. Where removal from families is exceptionally required, support of kinship carers and cultural connection is crucial (in light of suggested draft principle (d) identified under </w:t>
      </w:r>
      <w:r w:rsidRPr="70956758">
        <w:rPr>
          <w:b/>
        </w:rPr>
        <w:t>Consultation Question 1</w:t>
      </w:r>
      <w:r>
        <w:t xml:space="preserve"> above).</w:t>
      </w:r>
    </w:p>
    <w:p w14:paraId="14D842A0" w14:textId="77777777" w:rsidR="00FE4078" w:rsidRPr="00CD150E" w:rsidRDefault="00FE4078" w:rsidP="00070814">
      <w:pPr>
        <w:pStyle w:val="Heading3"/>
      </w:pPr>
      <w:bookmarkStart w:id="46" w:name="_Toc159426535"/>
      <w:r>
        <w:t>Maintaining engagement in education and training</w:t>
      </w:r>
      <w:bookmarkEnd w:id="46"/>
    </w:p>
    <w:p w14:paraId="4780C2F3" w14:textId="77777777" w:rsidR="00FE4078" w:rsidRDefault="00FE4078" w:rsidP="00AD5910">
      <w:pPr>
        <w:pStyle w:val="Numberedparagraph"/>
      </w:pPr>
      <w:r w:rsidRPr="00893786">
        <w:rPr>
          <w:b/>
          <w:bCs/>
        </w:rPr>
        <w:t>Supporting confident transitions to education and training</w:t>
      </w:r>
      <w:r>
        <w:t xml:space="preserve"> is crucial, but so is providing targeted and intensive support to ensure that students continue attending school and are not excluded from education. While ‘improving responses to complex behaviours and wellbeing needs’ is mentioned in relation to this priority area (at page 18), it is important that priority is explicitly given to:</w:t>
      </w:r>
    </w:p>
    <w:p w14:paraId="31C3C16A" w14:textId="77777777" w:rsidR="00FE4078" w:rsidRDefault="00FE4078" w:rsidP="004A5E2F">
      <w:pPr>
        <w:pStyle w:val="Bulletedlist"/>
      </w:pPr>
      <w:r>
        <w:t>minimising disciplinary absences, and enrolment cancellation and refusal</w:t>
      </w:r>
    </w:p>
    <w:p w14:paraId="3DDFD0E1" w14:textId="77777777" w:rsidR="00FE4078" w:rsidRDefault="00FE4078" w:rsidP="004A5E2F">
      <w:pPr>
        <w:pStyle w:val="Bulletedlist"/>
      </w:pPr>
      <w:r>
        <w:t xml:space="preserve">ensuring students who have disengaged with education, or who are at risk of disengaging, are provided with sustained, coordinated support. </w:t>
      </w:r>
    </w:p>
    <w:p w14:paraId="4E5D2B9E" w14:textId="77777777" w:rsidR="00FE4078" w:rsidRDefault="00FE4078" w:rsidP="00AD5910">
      <w:pPr>
        <w:pStyle w:val="Numberedparagraph"/>
      </w:pPr>
      <w:r>
        <w:t>In its small sample review of 30 child deaths in Queensland, the Queensland Family and Child Commission (</w:t>
      </w:r>
      <w:r w:rsidRPr="003553EB">
        <w:rPr>
          <w:b/>
          <w:bCs/>
        </w:rPr>
        <w:t>QFCC</w:t>
      </w:r>
      <w:r>
        <w:t xml:space="preserve">) found that </w:t>
      </w:r>
    </w:p>
    <w:p w14:paraId="675F2B1B" w14:textId="77777777" w:rsidR="00FE4078" w:rsidRDefault="00FE4078" w:rsidP="00CF1118">
      <w:pPr>
        <w:pStyle w:val="Quote"/>
      </w:pPr>
      <w:r>
        <w:t>for school aged children, failing to re-engage children in education exposes them to prolonged and increased risk. Put more simply –– absence from schooling is a clear identifier that there are risks in a child’s life.</w:t>
      </w:r>
      <w:r>
        <w:rPr>
          <w:rStyle w:val="FootnoteReference"/>
        </w:rPr>
        <w:footnoteReference w:id="59"/>
      </w:r>
      <w:r>
        <w:t xml:space="preserve">  </w:t>
      </w:r>
    </w:p>
    <w:p w14:paraId="49059B6D" w14:textId="77777777" w:rsidR="00FE4078" w:rsidRDefault="00FE4078" w:rsidP="00AD5910">
      <w:pPr>
        <w:pStyle w:val="Numberedparagraph"/>
      </w:pPr>
      <w:r>
        <w:t>As the report explains:</w:t>
      </w:r>
    </w:p>
    <w:p w14:paraId="77287EA9" w14:textId="77777777" w:rsidR="00FE4078" w:rsidRDefault="00FE4078" w:rsidP="0066756D">
      <w:pPr>
        <w:pStyle w:val="Quote"/>
      </w:pPr>
      <w:r>
        <w:t xml:space="preserve">School presents more than just an education opportunity but also a place where children may access specialised services to support their wellbeing, find structure and stability and engage with age-appropriate peers to maintain social capital and feel connected to their community. There remains a need for shared responsibility and coordination between agencies that respond to children disengaging from education including Education, Child Safety, Youth Justice, and Police. Keeping children </w:t>
      </w:r>
      <w:r>
        <w:lastRenderedPageBreak/>
        <w:t>engaged in school provides a down-stream approach and can prevent escalation to tertiary services and increasing human and financial costs.</w:t>
      </w:r>
      <w:r>
        <w:rPr>
          <w:rStyle w:val="FootnoteReference"/>
        </w:rPr>
        <w:footnoteReference w:id="60"/>
      </w:r>
    </w:p>
    <w:p w14:paraId="678FFFF8" w14:textId="77777777" w:rsidR="00FE4078" w:rsidRDefault="00FE4078" w:rsidP="00D524FE">
      <w:pPr>
        <w:pStyle w:val="Numberedparagraph"/>
      </w:pPr>
      <w:r>
        <w:t xml:space="preserve">In his report into Youth Justice responses, Bob Atkinson noted that </w:t>
      </w:r>
    </w:p>
    <w:p w14:paraId="1A5BC090" w14:textId="77777777" w:rsidR="00FE4078" w:rsidRDefault="00FE4078" w:rsidP="005E57F7">
      <w:pPr>
        <w:pStyle w:val="Quote"/>
      </w:pPr>
      <w:r w:rsidRPr="005E57F7">
        <w:t xml:space="preserve">the Pathways to Prevention project, operating over 10 years from 2002 to 2011 in a disadvantaged area of Queensland </w:t>
      </w:r>
      <w:r>
        <w:t>[identified]</w:t>
      </w:r>
      <w:r w:rsidRPr="005E57F7">
        <w:t xml:space="preserve"> an absence of a positive attachment to school at age seven as the greatest predictor of later offending</w:t>
      </w:r>
      <w:r>
        <w:t>….</w:t>
      </w:r>
    </w:p>
    <w:p w14:paraId="4CF70444" w14:textId="77777777" w:rsidR="00FE4078" w:rsidRPr="00A0543F" w:rsidRDefault="00FE4078" w:rsidP="003A116F">
      <w:pPr>
        <w:pStyle w:val="Quote"/>
      </w:pPr>
      <w:r w:rsidRPr="00E71AE1">
        <w:t>As well as education being key to the positive development of children, school provides an ideal environment to identify those who are at risk of antisocial or offending behaviour. As early as age five, children manifest behavioural signs indicative of a need for targeted support</w:t>
      </w:r>
      <w:r>
        <w:t>….</w:t>
      </w:r>
      <w:r>
        <w:rPr>
          <w:rStyle w:val="FootnoteReference"/>
        </w:rPr>
        <w:footnoteReference w:id="61"/>
      </w:r>
    </w:p>
    <w:p w14:paraId="3B6B8822" w14:textId="77777777" w:rsidR="00FE4078" w:rsidRDefault="00FE4078" w:rsidP="00D524FE">
      <w:pPr>
        <w:pStyle w:val="Numberedparagraph"/>
      </w:pPr>
      <w:r>
        <w:t xml:space="preserve"> However, children as young as five or six displaying complex behaviours can be suspended or excluded from education.</w:t>
      </w:r>
      <w:r w:rsidDel="008A3021">
        <w:t xml:space="preserve"> </w:t>
      </w:r>
      <w:r>
        <w:t>In 2022, for example, there were 4,869 suspensions of children in Prep to Year 2 from Queensland state schools, and 10 exclusions of children in Year 1 and Year 2 from school.</w:t>
      </w:r>
      <w:r>
        <w:rPr>
          <w:rStyle w:val="FootnoteReference"/>
        </w:rPr>
        <w:footnoteReference w:id="62"/>
      </w:r>
      <w:r>
        <w:t xml:space="preserve"> Research indicates children most at risk of school disciplinary absences are children with disability, Aboriginal and/or Torres Strait Islander children, and children in out of home care, or a combination of these attributes.</w:t>
      </w:r>
      <w:r>
        <w:rPr>
          <w:rStyle w:val="FootnoteReference"/>
        </w:rPr>
        <w:footnoteReference w:id="63"/>
      </w:r>
      <w:r>
        <w:t xml:space="preserve"> This mirrors the cohort of children disproportionately represented in the youth justice system.</w:t>
      </w:r>
    </w:p>
    <w:p w14:paraId="27525B9E" w14:textId="77777777" w:rsidR="00FE4078" w:rsidRDefault="00FE4078" w:rsidP="00F94C9C">
      <w:pPr>
        <w:pStyle w:val="Numberedparagraph"/>
      </w:pPr>
      <w:r>
        <w:t>The Government has recently begun implementation of a Youth Engagement Education Reform package which includes the establishment of an intensive education case management service, recruitment of additional Court Liaison Officers and Youth Transition Officers, First Nations engagement programs and additional funding for Queensland Pathways State Colleges, FlexiSpaces in high needs schools, and alternative learning programs.</w:t>
      </w:r>
      <w:r>
        <w:rPr>
          <w:rStyle w:val="FootnoteReference"/>
        </w:rPr>
        <w:footnoteReference w:id="64"/>
      </w:r>
      <w:r>
        <w:t xml:space="preserve"> This is welcome and should be squarely within a priority investment area for the Plan. </w:t>
      </w:r>
    </w:p>
    <w:p w14:paraId="1D917905" w14:textId="77777777" w:rsidR="00FE4078" w:rsidRDefault="00FE4078" w:rsidP="00B84BB2">
      <w:pPr>
        <w:pStyle w:val="Heading3"/>
      </w:pPr>
      <w:bookmarkStart w:id="47" w:name="_Toc159426536"/>
      <w:r>
        <w:lastRenderedPageBreak/>
        <w:t>Addressing racism in schools</w:t>
      </w:r>
      <w:bookmarkEnd w:id="47"/>
      <w:r>
        <w:t xml:space="preserve"> </w:t>
      </w:r>
    </w:p>
    <w:p w14:paraId="70DC6644" w14:textId="77777777" w:rsidR="00FE4078" w:rsidRDefault="00FE4078" w:rsidP="00B84BB2">
      <w:pPr>
        <w:pStyle w:val="Numberedparagraph"/>
      </w:pPr>
      <w:r>
        <w:t xml:space="preserve">In addition, a necessary area for investment in </w:t>
      </w:r>
      <w:r>
        <w:rPr>
          <w:b/>
          <w:bCs/>
        </w:rPr>
        <w:t>supporting confident transitions into learning, education and training</w:t>
      </w:r>
      <w:r>
        <w:t xml:space="preserve"> and </w:t>
      </w:r>
      <w:r w:rsidRPr="000538A1">
        <w:rPr>
          <w:b/>
          <w:bCs/>
        </w:rPr>
        <w:t>maintaining engagement in education</w:t>
      </w:r>
      <w:r>
        <w:t xml:space="preserve"> that is not currently mentioned in the Plan is addressing racism in schools. A recent report commissioned by the Ethnic Communities Council of Queensland underscores both the prevalence of racism in Australian educational settings, and the significant barrier that racism provides to ‘accessing, engaging, and succeeding in education’.</w:t>
      </w:r>
      <w:r>
        <w:rPr>
          <w:rStyle w:val="FootnoteReference"/>
        </w:rPr>
        <w:footnoteReference w:id="65"/>
      </w:r>
    </w:p>
    <w:p w14:paraId="524C3A69" w14:textId="77777777" w:rsidR="00FE4078" w:rsidRDefault="00FE4078" w:rsidP="00162575">
      <w:pPr>
        <w:pStyle w:val="Heading3"/>
      </w:pPr>
      <w:bookmarkStart w:id="48" w:name="_Toc159426537"/>
      <w:r>
        <w:t>The role of schools in supporting strong cultural practices and pride in culture</w:t>
      </w:r>
      <w:bookmarkEnd w:id="48"/>
    </w:p>
    <w:p w14:paraId="5169A3C9" w14:textId="77777777" w:rsidR="00FE4078" w:rsidRDefault="00FE4078" w:rsidP="003E0162">
      <w:pPr>
        <w:pStyle w:val="Numberedparagraph"/>
      </w:pPr>
      <w:r>
        <w:t xml:space="preserve">There are also significant opportunities for schools to play a positive role in strengthening the protective factors of connection to culture through </w:t>
      </w:r>
      <w:r w:rsidRPr="00826669">
        <w:rPr>
          <w:b/>
          <w:bCs/>
        </w:rPr>
        <w:t>strong cultural practices</w:t>
      </w:r>
      <w:r>
        <w:t xml:space="preserve"> and </w:t>
      </w:r>
      <w:r>
        <w:rPr>
          <w:b/>
          <w:bCs/>
        </w:rPr>
        <w:t>a positive sense of cultural identity.</w:t>
      </w:r>
      <w:r>
        <w:rPr>
          <w:rStyle w:val="FootnoteReference"/>
          <w:b/>
          <w:bCs/>
        </w:rPr>
        <w:footnoteReference w:id="66"/>
      </w:r>
      <w:r>
        <w:rPr>
          <w:b/>
          <w:bCs/>
        </w:rPr>
        <w:t xml:space="preserve"> </w:t>
      </w:r>
      <w:r>
        <w:t>Schools should be supported, for example, to:</w:t>
      </w:r>
    </w:p>
    <w:p w14:paraId="5CBD4776" w14:textId="77777777" w:rsidR="00FE4078" w:rsidRDefault="00FE4078" w:rsidP="009C5508">
      <w:pPr>
        <w:pStyle w:val="Bulletedlist"/>
      </w:pPr>
      <w:r>
        <w:t>boost the role of Aboriginal and Torres Strait Islander Elders within schools –– for example through sharing of knowledge, history, stories and skills with teachers and in classrooms, through cultural mentoring groups, and individual mentoring</w:t>
      </w:r>
      <w:r>
        <w:rPr>
          <w:rStyle w:val="FootnoteReference"/>
        </w:rPr>
        <w:footnoteReference w:id="67"/>
      </w:r>
    </w:p>
    <w:p w14:paraId="646B53DB" w14:textId="77777777" w:rsidR="00FE4078" w:rsidRDefault="00FE4078" w:rsidP="00531130">
      <w:pPr>
        <w:pStyle w:val="Bulletedlist"/>
      </w:pPr>
      <w:r>
        <w:t>integrate knowledge of, respect for, and pride in Aboriginal and Torres Strait Islander languages, knowledge, culture and belief systems in delivering curriculum and in extra-curricular activities</w:t>
      </w:r>
      <w:r>
        <w:rPr>
          <w:rStyle w:val="FootnoteReference"/>
        </w:rPr>
        <w:footnoteReference w:id="68"/>
      </w:r>
    </w:p>
    <w:p w14:paraId="047CD82C" w14:textId="77777777" w:rsidR="00FE4078" w:rsidRDefault="00FE4078" w:rsidP="00CA0CCE">
      <w:pPr>
        <w:pStyle w:val="Bulletedlist"/>
      </w:pPr>
      <w:r>
        <w:t>facilitate the participation of Aboriginal and Torres Strait Islander students in cultural practices</w:t>
      </w:r>
    </w:p>
    <w:p w14:paraId="447DBAC5" w14:textId="77777777" w:rsidR="00FE4078" w:rsidRDefault="00FE4078" w:rsidP="00CA0CCE">
      <w:pPr>
        <w:pStyle w:val="Bulletedlist"/>
      </w:pPr>
      <w:r>
        <w:t xml:space="preserve">provide an enhanced role for Aboriginal and Torres Strait Islander parents and carers </w:t>
      </w:r>
    </w:p>
    <w:p w14:paraId="2672E68B" w14:textId="77777777" w:rsidR="00FE4078" w:rsidRPr="00EA11FF" w:rsidRDefault="00FE4078" w:rsidP="008F46D7">
      <w:pPr>
        <w:pStyle w:val="Bulletedlist"/>
      </w:pPr>
      <w:r>
        <w:t>deliver culturally appropriate and inclusive prevention and health promotion programs.</w:t>
      </w:r>
      <w:r>
        <w:rPr>
          <w:rStyle w:val="FootnoteReference"/>
        </w:rPr>
        <w:footnoteReference w:id="69"/>
      </w:r>
    </w:p>
    <w:p w14:paraId="21032735" w14:textId="77777777" w:rsidR="00FE4078" w:rsidRPr="00072C56" w:rsidRDefault="00FE4078" w:rsidP="00B84BB2">
      <w:pPr>
        <w:pStyle w:val="Heading3"/>
      </w:pPr>
      <w:bookmarkStart w:id="49" w:name="_Toc159426538"/>
      <w:r>
        <w:lastRenderedPageBreak/>
        <w:t>Responding therapeutically to challenging behaviours</w:t>
      </w:r>
      <w:bookmarkEnd w:id="49"/>
    </w:p>
    <w:p w14:paraId="1103E563" w14:textId="77777777" w:rsidR="00FE4078" w:rsidRDefault="00FE4078" w:rsidP="00B84BB2">
      <w:pPr>
        <w:pStyle w:val="Numberedparagraph"/>
      </w:pPr>
      <w:r>
        <w:t xml:space="preserve">Tied to this, a further priority area for the Plan, which is connected to the Youth Justice Strategy, is appropriate responses to behavioural concerns in children and young people. This is connected to </w:t>
      </w:r>
      <w:r>
        <w:rPr>
          <w:b/>
          <w:bCs/>
        </w:rPr>
        <w:t>‘Identifying and responding to needs for healthy development and positive life choices</w:t>
      </w:r>
      <w:r>
        <w:t xml:space="preserve">’ outlined at page 17 of the Plan, but should be made more explicit. In addition to providing universal screening and services, the Plan must prioritise the provision of intensive, non-stigmatising support to children and families when behavioural difficulties manifest. </w:t>
      </w:r>
    </w:p>
    <w:p w14:paraId="5D83C53B" w14:textId="77777777" w:rsidR="00FE4078" w:rsidRDefault="00FE4078" w:rsidP="000B680E">
      <w:pPr>
        <w:pStyle w:val="Numberedparagraph"/>
      </w:pPr>
      <w:r>
        <w:t xml:space="preserve">In relation to children at risk of contact with the criminal justice system in particular, guidance in this area is provided by the United Nations Committee on the Rights of the Child.  In its </w:t>
      </w:r>
      <w:r w:rsidRPr="00A51369">
        <w:rPr>
          <w:i/>
          <w:iCs/>
        </w:rPr>
        <w:t>General Comment No. 24 on children’s rights in the child justice system</w:t>
      </w:r>
      <w:r>
        <w:t xml:space="preserve"> the Committee stated that:</w:t>
      </w:r>
    </w:p>
    <w:p w14:paraId="2332401A" w14:textId="77777777" w:rsidR="00FE4078" w:rsidRDefault="00FE4078" w:rsidP="000B680E">
      <w:pPr>
        <w:pStyle w:val="Quote"/>
        <w:rPr>
          <w:lang w:val="en-US"/>
        </w:rPr>
      </w:pPr>
      <w:r>
        <w:rPr>
          <w:lang w:val="en-US"/>
        </w:rPr>
        <w:t xml:space="preserve">States parties should consult the United Nations Model Strategies and Practical Measures on the Elimination of Violence against Children in the Field of Crime Prevention and Criminal Justice and comparative national and international research on root causes of children’s involvement in the child justice system and undertake their own research to inform the development of a prevention strategy. </w:t>
      </w:r>
      <w:r>
        <w:rPr>
          <w:shd w:val="clear" w:color="auto" w:fill="FFFFFF"/>
        </w:rPr>
        <w:t>Research has demonstrated that intensive family- and community-based treatment programmes designed to make positive changes in aspects of the various social systems (home, school, community, peer relations) that contribute to the serious behavioural difficulties of children reduce the risk of children coming into child justice systems.</w:t>
      </w:r>
      <w:r>
        <w:rPr>
          <w:lang w:val="en-US"/>
        </w:rPr>
        <w:t xml:space="preserve"> Prevention and early intervention </w:t>
      </w:r>
      <w:proofErr w:type="spellStart"/>
      <w:r>
        <w:rPr>
          <w:lang w:val="en-US"/>
        </w:rPr>
        <w:t>programmes</w:t>
      </w:r>
      <w:proofErr w:type="spellEnd"/>
      <w:r>
        <w:rPr>
          <w:lang w:val="en-US"/>
        </w:rPr>
        <w:t xml:space="preserve"> should be focused on support for families, in particular those in vulnerable situations or where violence occurs. Support should be provided to children at risk, particularly children who stop attending school, are excluded or </w:t>
      </w:r>
      <w:r>
        <w:t>otherwise</w:t>
      </w:r>
      <w:r>
        <w:rPr>
          <w:lang w:val="en-US"/>
        </w:rPr>
        <w:t xml:space="preserve"> do not complete their education. Peer group support and a strong involvement of parents are recommended. States parties should also develop community-based services and </w:t>
      </w:r>
      <w:proofErr w:type="spellStart"/>
      <w:r>
        <w:rPr>
          <w:lang w:val="en-US"/>
        </w:rPr>
        <w:t>programmes</w:t>
      </w:r>
      <w:proofErr w:type="spellEnd"/>
      <w:r>
        <w:rPr>
          <w:lang w:val="en-US"/>
        </w:rPr>
        <w:t xml:space="preserve"> that respond to the specific needs, problems, concerns and interests of children, and that provide appropriate counselling and guidance to their families.</w:t>
      </w:r>
      <w:r>
        <w:rPr>
          <w:rStyle w:val="FootnoteReference"/>
          <w:lang w:val="en-US"/>
        </w:rPr>
        <w:footnoteReference w:id="70"/>
      </w:r>
    </w:p>
    <w:p w14:paraId="59D1ECDA" w14:textId="77777777" w:rsidR="00FE4078" w:rsidRDefault="00FE4078" w:rsidP="000B680E">
      <w:pPr>
        <w:pStyle w:val="Numberedparagraph"/>
        <w:rPr>
          <w:lang w:val="en-US"/>
        </w:rPr>
      </w:pPr>
      <w:r>
        <w:rPr>
          <w:lang w:val="en-US"/>
        </w:rPr>
        <w:t xml:space="preserve">The </w:t>
      </w:r>
      <w:r w:rsidRPr="00135FF1">
        <w:t>Committee</w:t>
      </w:r>
      <w:r>
        <w:rPr>
          <w:lang w:val="en-US"/>
        </w:rPr>
        <w:t xml:space="preserve"> </w:t>
      </w:r>
      <w:proofErr w:type="spellStart"/>
      <w:r>
        <w:rPr>
          <w:lang w:val="en-US"/>
        </w:rPr>
        <w:t>emphasises</w:t>
      </w:r>
      <w:proofErr w:type="spellEnd"/>
      <w:r>
        <w:rPr>
          <w:lang w:val="en-US"/>
        </w:rPr>
        <w:t xml:space="preserve"> in particular the need for </w:t>
      </w:r>
      <w:r w:rsidRPr="00C05EA1">
        <w:rPr>
          <w:b/>
          <w:bCs/>
          <w:lang w:val="en-US"/>
        </w:rPr>
        <w:t xml:space="preserve">particularly intensive ‘child-friendly and multidisciplinary responses to the first signs of </w:t>
      </w:r>
      <w:proofErr w:type="spellStart"/>
      <w:r w:rsidRPr="00C05EA1">
        <w:rPr>
          <w:b/>
          <w:bCs/>
          <w:lang w:val="en-US"/>
        </w:rPr>
        <w:t>behaviour</w:t>
      </w:r>
      <w:proofErr w:type="spellEnd"/>
      <w:r w:rsidRPr="00C05EA1">
        <w:rPr>
          <w:b/>
          <w:bCs/>
          <w:lang w:val="en-US"/>
        </w:rPr>
        <w:t xml:space="preserve"> by children that would, if the child were above the </w:t>
      </w:r>
      <w:r w:rsidRPr="00C05EA1">
        <w:rPr>
          <w:b/>
          <w:bCs/>
        </w:rPr>
        <w:t>minimum age of criminal responsibility</w:t>
      </w:r>
      <w:r w:rsidRPr="00C05EA1">
        <w:rPr>
          <w:b/>
          <w:bCs/>
          <w:lang w:val="en-US"/>
        </w:rPr>
        <w:t>, be considered an offence’ (which the Committee considers should be no lower than 14)</w:t>
      </w:r>
      <w:r>
        <w:rPr>
          <w:lang w:val="en-US"/>
        </w:rPr>
        <w:t>:</w:t>
      </w:r>
    </w:p>
    <w:p w14:paraId="65784501" w14:textId="77777777" w:rsidR="00FE4078" w:rsidRPr="001C3E34" w:rsidRDefault="00FE4078" w:rsidP="001C3E34">
      <w:pPr>
        <w:pStyle w:val="Quote"/>
        <w:rPr>
          <w:lang w:val="en-US"/>
        </w:rPr>
      </w:pPr>
      <w:r w:rsidRPr="00EC0FEC">
        <w:rPr>
          <w:lang w:val="en-US"/>
        </w:rPr>
        <w:t xml:space="preserve">Evidence-based intervention </w:t>
      </w:r>
      <w:proofErr w:type="spellStart"/>
      <w:r w:rsidRPr="00EC0FEC">
        <w:rPr>
          <w:lang w:val="en-US"/>
        </w:rPr>
        <w:t>program</w:t>
      </w:r>
      <w:r>
        <w:rPr>
          <w:lang w:val="en-US"/>
        </w:rPr>
        <w:t>me</w:t>
      </w:r>
      <w:r w:rsidRPr="00EC0FEC">
        <w:rPr>
          <w:lang w:val="en-US"/>
        </w:rPr>
        <w:t>s</w:t>
      </w:r>
      <w:proofErr w:type="spellEnd"/>
      <w:r w:rsidRPr="00EC0FEC">
        <w:rPr>
          <w:lang w:val="en-US"/>
        </w:rPr>
        <w:t xml:space="preserve"> should be developed that reflect not only the multiple psychosocial causes of </w:t>
      </w:r>
      <w:r>
        <w:rPr>
          <w:lang w:val="en-US"/>
        </w:rPr>
        <w:t>such</w:t>
      </w:r>
      <w:r w:rsidRPr="00EC0FEC">
        <w:rPr>
          <w:lang w:val="en-US"/>
        </w:rPr>
        <w:t xml:space="preserve"> </w:t>
      </w:r>
      <w:proofErr w:type="spellStart"/>
      <w:r w:rsidRPr="00EC0FEC">
        <w:rPr>
          <w:lang w:val="en-US"/>
        </w:rPr>
        <w:t>behavio</w:t>
      </w:r>
      <w:r>
        <w:rPr>
          <w:lang w:val="en-US"/>
        </w:rPr>
        <w:t>u</w:t>
      </w:r>
      <w:r w:rsidRPr="00EC0FEC">
        <w:rPr>
          <w:lang w:val="en-US"/>
        </w:rPr>
        <w:t>r</w:t>
      </w:r>
      <w:proofErr w:type="spellEnd"/>
      <w:r w:rsidRPr="00EC0FEC">
        <w:rPr>
          <w:lang w:val="en-US"/>
        </w:rPr>
        <w:t>, but also the protective factors that may strengthen resilience. Interventions must be preceded by a comprehensive and interdisciplinary assessment of the child</w:t>
      </w:r>
      <w:r>
        <w:rPr>
          <w:lang w:val="en-US"/>
        </w:rPr>
        <w:t>’</w:t>
      </w:r>
      <w:r w:rsidRPr="00EC0FEC">
        <w:rPr>
          <w:lang w:val="en-US"/>
        </w:rPr>
        <w:t>s needs. As an absolute priority, children should be supported within their families and communities. In the exceptional cases that require an out-</w:t>
      </w:r>
      <w:r w:rsidRPr="00EC0FEC">
        <w:rPr>
          <w:lang w:val="en-US"/>
        </w:rPr>
        <w:lastRenderedPageBreak/>
        <w:t>of-home placement, such alternative care should preferably be in a family setting, although placement in residential care may be appropriate in some instances, to provide the necessary array of professional services. It is to be used only as a measure of last resort and for the shortest appropriate period of time and should be subject to judicial review.</w:t>
      </w:r>
      <w:r>
        <w:rPr>
          <w:rStyle w:val="FootnoteReference"/>
          <w:lang w:val="en-US"/>
        </w:rPr>
        <w:t xml:space="preserve"> </w:t>
      </w:r>
      <w:r>
        <w:rPr>
          <w:rStyle w:val="FootnoteReference"/>
          <w:lang w:val="en-US"/>
        </w:rPr>
        <w:footnoteReference w:id="71"/>
      </w:r>
    </w:p>
    <w:p w14:paraId="51FC2116" w14:textId="77777777" w:rsidR="00FE4078" w:rsidRDefault="00FE4078" w:rsidP="00E50C86">
      <w:pPr>
        <w:pStyle w:val="Numberedparagraph"/>
      </w:pPr>
      <w:r>
        <w:t xml:space="preserve">It is clear </w:t>
      </w:r>
      <w:r w:rsidRPr="004B06F8">
        <w:t>however that</w:t>
      </w:r>
      <w:r w:rsidRPr="004B06F8">
        <w:rPr>
          <w:b/>
          <w:bCs/>
        </w:rPr>
        <w:t xml:space="preserve"> criminalisation of challenging behaviour in children </w:t>
      </w:r>
      <w:r>
        <w:rPr>
          <w:b/>
          <w:bCs/>
        </w:rPr>
        <w:t>is</w:t>
      </w:r>
      <w:r w:rsidRPr="004B06F8">
        <w:rPr>
          <w:b/>
          <w:bCs/>
        </w:rPr>
        <w:t xml:space="preserve"> counterproductive</w:t>
      </w:r>
      <w:r>
        <w:t>. As Bob Atkinson noted in his report on Youth Justice</w:t>
      </w:r>
    </w:p>
    <w:p w14:paraId="508E2E25" w14:textId="77777777" w:rsidR="00FE4078" w:rsidRDefault="00FE4078" w:rsidP="00B12BAB">
      <w:pPr>
        <w:pStyle w:val="Quote"/>
      </w:pPr>
      <w:r>
        <w:t>studies by child offending experts suggest that children below the age of 14 have rarely developed the social, emotional and intellectual maturity necessary to determine criminal responsibility. Studies in this area widely recognise the strong correlation between early involvement in the youth justice system and chronic offending in adulthood, the trajectory through the criminal justice system often being more rapid the earlier a young person is involved with the system. Whilst causation remains difficult to establish, it is suggested that a more child and family centred approach to offending at this age can help ameliorate the circumstances that led to the offending at a young age.</w:t>
      </w:r>
      <w:r>
        <w:rPr>
          <w:rStyle w:val="FootnoteReference"/>
        </w:rPr>
        <w:footnoteReference w:id="72"/>
      </w:r>
    </w:p>
    <w:p w14:paraId="798D2385" w14:textId="77777777" w:rsidR="00FE4078" w:rsidRDefault="00FE4078" w:rsidP="00E50C86">
      <w:pPr>
        <w:pStyle w:val="Numberedparagraph"/>
      </w:pPr>
      <w:r>
        <w:t>The QFCC has reported on concerns in particular with excessive police call-outs and criminalisation of children living in residential care. It reported examples of children who had been charged for property damage for pushing a stool over, and stealing for leaving their residential service for a period of hours with a borrowed key to their room.</w:t>
      </w:r>
      <w:r>
        <w:rPr>
          <w:rStyle w:val="FootnoteReference"/>
        </w:rPr>
        <w:footnoteReference w:id="73"/>
      </w:r>
      <w:r>
        <w:t xml:space="preserve"> Such police intervention</w:t>
      </w:r>
      <w:r>
        <w:rPr>
          <w:szCs w:val="22"/>
        </w:rPr>
        <w:t xml:space="preserve"> </w:t>
      </w:r>
      <w:r>
        <w:rPr>
          <w:sz w:val="20"/>
          <w:szCs w:val="20"/>
        </w:rPr>
        <w:t>‘</w:t>
      </w:r>
      <w:r>
        <w:t>presumes children living in residential care are potential criminals and increases their contact with the criminal justice system where they otherwise would have had none’.</w:t>
      </w:r>
      <w:r>
        <w:rPr>
          <w:rStyle w:val="FootnoteReference"/>
        </w:rPr>
        <w:footnoteReference w:id="74"/>
      </w:r>
      <w:r>
        <w:t xml:space="preserve"> As the QFCC has noted, ‘[t]</w:t>
      </w:r>
      <w:proofErr w:type="spellStart"/>
      <w:r>
        <w:t>hese</w:t>
      </w:r>
      <w:proofErr w:type="spellEnd"/>
      <w:r>
        <w:t xml:space="preserve"> children can rightfully expect to be cared for within a trauma-responsive system that does not unnecessarily criminalise behaviours that would not be treated as criminal in a family home’.</w:t>
      </w:r>
      <w:r>
        <w:rPr>
          <w:rStyle w:val="FootnoteReference"/>
        </w:rPr>
        <w:footnoteReference w:id="75"/>
      </w:r>
    </w:p>
    <w:p w14:paraId="36989C9A" w14:textId="77777777" w:rsidR="00FE4078" w:rsidRDefault="00FE4078" w:rsidP="00E50C86">
      <w:pPr>
        <w:pStyle w:val="Numberedparagraph"/>
      </w:pPr>
      <w:r>
        <w:t xml:space="preserve">Relatedly, police should not have a lead role in policy or action that is in response to challenging behaviours of children and young people. </w:t>
      </w:r>
    </w:p>
    <w:p w14:paraId="17BCA061" w14:textId="77777777" w:rsidR="00FE4078" w:rsidRDefault="00FE4078">
      <w:pPr>
        <w:spacing w:after="0"/>
        <w:rPr>
          <w:rFonts w:cs="Arial"/>
          <w:b/>
          <w:bCs/>
        </w:rPr>
      </w:pPr>
      <w:r>
        <w:rPr>
          <w:rFonts w:cs="Arial"/>
          <w:b/>
          <w:bCs/>
        </w:rPr>
        <w:br w:type="page"/>
      </w:r>
    </w:p>
    <w:p w14:paraId="3A617A50" w14:textId="77777777" w:rsidR="00FE4078" w:rsidRDefault="00FE4078" w:rsidP="0052236F">
      <w:pPr>
        <w:pBdr>
          <w:top w:val="single" w:sz="4" w:space="1" w:color="auto"/>
          <w:left w:val="single" w:sz="4" w:space="4" w:color="auto"/>
          <w:bottom w:val="single" w:sz="4" w:space="1" w:color="auto"/>
          <w:right w:val="single" w:sz="4" w:space="4" w:color="auto"/>
        </w:pBdr>
        <w:spacing w:after="200"/>
        <w:rPr>
          <w:rFonts w:cs="Arial"/>
        </w:rPr>
      </w:pPr>
      <w:r w:rsidRPr="000D7406">
        <w:rPr>
          <w:rFonts w:cs="Arial"/>
          <w:b/>
          <w:bCs/>
        </w:rPr>
        <w:lastRenderedPageBreak/>
        <w:t>Recommendation:</w:t>
      </w:r>
      <w:r w:rsidRPr="00585CB7">
        <w:rPr>
          <w:rFonts w:cs="Arial"/>
          <w:b/>
          <w:bCs/>
        </w:rPr>
        <w:t xml:space="preserve"> </w:t>
      </w:r>
      <w:bookmarkStart w:id="50" w:name="_Hlk159235299"/>
      <w:r>
        <w:rPr>
          <w:rFonts w:cs="Arial"/>
        </w:rPr>
        <w:t>The Plan should expressly refer to prioritising:</w:t>
      </w:r>
    </w:p>
    <w:p w14:paraId="489E1712" w14:textId="77777777" w:rsidR="00FE4078" w:rsidRDefault="00FE4078" w:rsidP="008E6AFB">
      <w:pPr>
        <w:pStyle w:val="ListParagraph"/>
        <w:numPr>
          <w:ilvl w:val="0"/>
          <w:numId w:val="8"/>
        </w:numPr>
        <w:pBdr>
          <w:top w:val="single" w:sz="4" w:space="1" w:color="auto"/>
          <w:left w:val="single" w:sz="4" w:space="4" w:color="auto"/>
          <w:bottom w:val="single" w:sz="4" w:space="1" w:color="auto"/>
          <w:right w:val="single" w:sz="4" w:space="4" w:color="auto"/>
        </w:pBdr>
        <w:rPr>
          <w:rFonts w:cs="Arial"/>
        </w:rPr>
      </w:pPr>
      <w:bookmarkStart w:id="51" w:name="_Hlk159235252"/>
      <w:bookmarkEnd w:id="50"/>
      <w:r>
        <w:rPr>
          <w:rFonts w:cs="Arial"/>
        </w:rPr>
        <w:t>support of families over removal wherever possible in relation to supporting families and strengthening communities</w:t>
      </w:r>
    </w:p>
    <w:p w14:paraId="73E7D65E" w14:textId="77777777" w:rsidR="00FE4078" w:rsidRDefault="00FE4078" w:rsidP="008E6AFB">
      <w:pPr>
        <w:pStyle w:val="Numberedparagraph"/>
        <w:numPr>
          <w:ilvl w:val="0"/>
          <w:numId w:val="8"/>
        </w:numPr>
        <w:pBdr>
          <w:top w:val="single" w:sz="4" w:space="1" w:color="auto"/>
          <w:left w:val="single" w:sz="4" w:space="4" w:color="auto"/>
          <w:bottom w:val="single" w:sz="4" w:space="1" w:color="auto"/>
          <w:right w:val="single" w:sz="4" w:space="4" w:color="auto"/>
        </w:pBdr>
      </w:pPr>
      <w:r>
        <w:t>legislative and policy reform to minimise school disciplinary absences in relation to supporting confident transitions to education and training</w:t>
      </w:r>
    </w:p>
    <w:p w14:paraId="2017C345" w14:textId="77777777" w:rsidR="00FE4078" w:rsidRDefault="00FE4078" w:rsidP="000D7C5D">
      <w:pPr>
        <w:pBdr>
          <w:top w:val="single" w:sz="4" w:space="1" w:color="auto"/>
          <w:left w:val="single" w:sz="4" w:space="4" w:color="auto"/>
          <w:bottom w:val="single" w:sz="4" w:space="1" w:color="auto"/>
          <w:right w:val="single" w:sz="4" w:space="4" w:color="auto"/>
        </w:pBdr>
        <w:rPr>
          <w:rFonts w:cs="Arial"/>
        </w:rPr>
      </w:pPr>
      <w:r>
        <w:rPr>
          <w:rFonts w:cs="Arial"/>
        </w:rPr>
        <w:t>and include as priority areas for investment</w:t>
      </w:r>
    </w:p>
    <w:p w14:paraId="4AAAEFEE" w14:textId="77777777" w:rsidR="00FE4078" w:rsidRDefault="00FE4078" w:rsidP="008E6AFB">
      <w:pPr>
        <w:pStyle w:val="Numberedparagraph"/>
        <w:numPr>
          <w:ilvl w:val="0"/>
          <w:numId w:val="8"/>
        </w:numPr>
        <w:pBdr>
          <w:top w:val="single" w:sz="4" w:space="1" w:color="auto"/>
          <w:left w:val="single" w:sz="4" w:space="4" w:color="auto"/>
          <w:bottom w:val="single" w:sz="4" w:space="1" w:color="auto"/>
          <w:right w:val="single" w:sz="4" w:space="4" w:color="auto"/>
        </w:pBdr>
      </w:pPr>
      <w:r>
        <w:t>intensive and multidisciplinary support for continued engagement in school or training</w:t>
      </w:r>
    </w:p>
    <w:p w14:paraId="1AC34A57" w14:textId="77777777" w:rsidR="00FE4078" w:rsidRDefault="00FE4078" w:rsidP="008E6AFB">
      <w:pPr>
        <w:pStyle w:val="Numberedparagraph"/>
        <w:numPr>
          <w:ilvl w:val="0"/>
          <w:numId w:val="8"/>
        </w:numPr>
        <w:pBdr>
          <w:top w:val="single" w:sz="4" w:space="1" w:color="auto"/>
          <w:left w:val="single" w:sz="4" w:space="4" w:color="auto"/>
          <w:bottom w:val="single" w:sz="4" w:space="1" w:color="auto"/>
          <w:right w:val="single" w:sz="4" w:space="4" w:color="auto"/>
        </w:pBdr>
      </w:pPr>
      <w:r>
        <w:t>addressing racism in schools</w:t>
      </w:r>
    </w:p>
    <w:p w14:paraId="5107AD04" w14:textId="77777777" w:rsidR="00FE4078" w:rsidRDefault="00FE4078" w:rsidP="008E6AFB">
      <w:pPr>
        <w:pStyle w:val="Numberedparagraph"/>
        <w:numPr>
          <w:ilvl w:val="0"/>
          <w:numId w:val="8"/>
        </w:numPr>
        <w:pBdr>
          <w:top w:val="single" w:sz="4" w:space="1" w:color="auto"/>
          <w:left w:val="single" w:sz="4" w:space="4" w:color="auto"/>
          <w:bottom w:val="single" w:sz="4" w:space="1" w:color="auto"/>
          <w:right w:val="single" w:sz="4" w:space="4" w:color="auto"/>
        </w:pBdr>
      </w:pPr>
      <w:r>
        <w:t xml:space="preserve">supporting strong cultural connection, cultural practices, and pride in Aboriginal and Torres Strait Islander culture in schools, including through investing in promoting the role of Elders in schools </w:t>
      </w:r>
    </w:p>
    <w:p w14:paraId="2E85623F" w14:textId="77777777" w:rsidR="00FE4078" w:rsidRPr="001747C1" w:rsidRDefault="00FE4078" w:rsidP="008E6AFB">
      <w:pPr>
        <w:pStyle w:val="Numberedparagraph"/>
        <w:numPr>
          <w:ilvl w:val="0"/>
          <w:numId w:val="8"/>
        </w:numPr>
        <w:pBdr>
          <w:top w:val="single" w:sz="4" w:space="1" w:color="auto"/>
          <w:left w:val="single" w:sz="4" w:space="4" w:color="auto"/>
          <w:bottom w:val="single" w:sz="4" w:space="1" w:color="auto"/>
          <w:right w:val="single" w:sz="4" w:space="4" w:color="auto"/>
        </w:pBdr>
      </w:pPr>
      <w:r>
        <w:t>responding therapeutically to challenging behaviours, including those displayed by children in residential care</w:t>
      </w:r>
      <w:bookmarkEnd w:id="51"/>
      <w:r>
        <w:t>.</w:t>
      </w:r>
    </w:p>
    <w:p w14:paraId="4E16E506" w14:textId="77777777" w:rsidR="00FE4078" w:rsidRDefault="00FE4078" w:rsidP="00187D9F">
      <w:pPr>
        <w:rPr>
          <w:lang w:val="en-US"/>
        </w:rPr>
      </w:pPr>
      <w:bookmarkStart w:id="52" w:name="_Toc158902691"/>
    </w:p>
    <w:p w14:paraId="5F5D04B9" w14:textId="77777777" w:rsidR="00FE4078" w:rsidRPr="00881C23" w:rsidRDefault="00FE4078" w:rsidP="009056F4">
      <w:pPr>
        <w:pStyle w:val="Heading1"/>
        <w:rPr>
          <w:lang w:val="en-US"/>
        </w:rPr>
      </w:pPr>
      <w:bookmarkStart w:id="53" w:name="_Toc159426539"/>
      <w:r>
        <w:rPr>
          <w:lang w:val="en-US"/>
        </w:rPr>
        <w:t>Consultation Question 4: C</w:t>
      </w:r>
      <w:r w:rsidRPr="00881C23">
        <w:rPr>
          <w:lang w:val="en-US"/>
        </w:rPr>
        <w:t>onnection to culture and community</w:t>
      </w:r>
      <w:bookmarkEnd w:id="52"/>
      <w:bookmarkEnd w:id="53"/>
    </w:p>
    <w:p w14:paraId="0E8B1C7B" w14:textId="77777777" w:rsidR="00FE4078" w:rsidRDefault="00FE4078" w:rsidP="009056F4">
      <w:pPr>
        <w:pStyle w:val="Default"/>
        <w:rPr>
          <w:rFonts w:ascii="Arial" w:hAnsi="Arial" w:cs="Arial"/>
          <w:i/>
          <w:iCs/>
          <w:sz w:val="22"/>
          <w:szCs w:val="22"/>
        </w:rPr>
      </w:pPr>
      <w:r w:rsidRPr="00B25E65">
        <w:rPr>
          <w:rFonts w:ascii="Arial" w:hAnsi="Arial" w:cs="Arial"/>
          <w:i/>
          <w:iCs/>
          <w:sz w:val="22"/>
          <w:szCs w:val="22"/>
        </w:rPr>
        <w:t xml:space="preserve">How can we best support connection to culture and community for children, young people and families? </w:t>
      </w:r>
    </w:p>
    <w:p w14:paraId="09D0440C" w14:textId="77777777" w:rsidR="00FE4078" w:rsidRDefault="00FE4078" w:rsidP="009056F4">
      <w:pPr>
        <w:pStyle w:val="Default"/>
        <w:rPr>
          <w:rFonts w:ascii="Arial" w:hAnsi="Arial" w:cs="Arial"/>
          <w:i/>
          <w:iCs/>
          <w:sz w:val="22"/>
          <w:szCs w:val="22"/>
        </w:rPr>
      </w:pPr>
    </w:p>
    <w:p w14:paraId="15CF3E07" w14:textId="77777777" w:rsidR="00FE4078" w:rsidRDefault="00FE4078" w:rsidP="00E01748">
      <w:pPr>
        <w:pStyle w:val="Numberedparagraph"/>
      </w:pPr>
      <w:r>
        <w:t xml:space="preserve">Supporting connection to culture for young people requires </w:t>
      </w:r>
      <w:r w:rsidRPr="00094EE4">
        <w:rPr>
          <w:b/>
          <w:bCs/>
        </w:rPr>
        <w:t>acting consistently with the cultural rights</w:t>
      </w:r>
      <w:r>
        <w:rPr>
          <w:b/>
          <w:bCs/>
        </w:rPr>
        <w:t xml:space="preserve"> of their community</w:t>
      </w:r>
      <w:r w:rsidRPr="00094EE4">
        <w:rPr>
          <w:b/>
          <w:bCs/>
        </w:rPr>
        <w:t xml:space="preserve"> protected in the Human Rights Act</w:t>
      </w:r>
      <w:r>
        <w:t>.</w:t>
      </w:r>
      <w:r>
        <w:rPr>
          <w:rStyle w:val="FootnoteReference"/>
        </w:rPr>
        <w:footnoteReference w:id="76"/>
      </w:r>
      <w:r>
        <w:t xml:space="preserve"> For First Nations people, these include the right to protect and develop identity and cultural heritage, to use language, to maintain kinship ties, to maintain and strengthen their relationship with the land, and to conserve and protect the environment.</w:t>
      </w:r>
      <w:r>
        <w:rPr>
          <w:rStyle w:val="FootnoteReference"/>
        </w:rPr>
        <w:footnoteReference w:id="77"/>
      </w:r>
      <w:r>
        <w:t xml:space="preserve"> In the previous section the Commission outlined, for example, the important role of schools in promoting respect for and empowering cultural knowledge, and facilitating cultural practices and pride in Aboriginal and Torres Strait Islander culture.</w:t>
      </w:r>
    </w:p>
    <w:p w14:paraId="4A8B58D3" w14:textId="77777777" w:rsidR="00FE4078" w:rsidRDefault="00FE4078" w:rsidP="00E01748">
      <w:pPr>
        <w:pStyle w:val="Numberedparagraph"/>
      </w:pPr>
      <w:r>
        <w:t xml:space="preserve">As discussed above, maintaining connection to culture also requires a strong focus on </w:t>
      </w:r>
      <w:r w:rsidRPr="00E01748">
        <w:rPr>
          <w:b/>
          <w:bCs/>
        </w:rPr>
        <w:t xml:space="preserve">keeping children with </w:t>
      </w:r>
      <w:r>
        <w:rPr>
          <w:b/>
          <w:bCs/>
        </w:rPr>
        <w:t>families</w:t>
      </w:r>
      <w:r>
        <w:t xml:space="preserve"> and </w:t>
      </w:r>
      <w:r w:rsidRPr="00E01748">
        <w:rPr>
          <w:b/>
          <w:bCs/>
        </w:rPr>
        <w:t xml:space="preserve">keeping </w:t>
      </w:r>
      <w:r>
        <w:rPr>
          <w:b/>
          <w:bCs/>
        </w:rPr>
        <w:t>children</w:t>
      </w:r>
      <w:r w:rsidRPr="00E01748">
        <w:rPr>
          <w:b/>
          <w:bCs/>
        </w:rPr>
        <w:t xml:space="preserve"> out of detention </w:t>
      </w:r>
      <w:r>
        <w:rPr>
          <w:b/>
          <w:bCs/>
        </w:rPr>
        <w:t>and out of</w:t>
      </w:r>
      <w:r w:rsidRPr="00E01748">
        <w:rPr>
          <w:b/>
          <w:bCs/>
        </w:rPr>
        <w:t xml:space="preserve"> the criminal justice system</w:t>
      </w:r>
      <w:r w:rsidRPr="00E01748">
        <w:t>.</w:t>
      </w:r>
      <w:r>
        <w:t xml:space="preserve"> For these reasons it is important that these are a focus of the principles and priority investment areas.</w:t>
      </w:r>
    </w:p>
    <w:p w14:paraId="5EDB7F07" w14:textId="77777777" w:rsidR="00FE4078" w:rsidRDefault="00FE4078" w:rsidP="00E01748">
      <w:pPr>
        <w:pStyle w:val="Numberedparagraph"/>
      </w:pPr>
      <w:r>
        <w:t xml:space="preserve">To maintain connection to, and a sense of belonging within, the wider community it is </w:t>
      </w:r>
      <w:r w:rsidRPr="00C830BE">
        <w:t>also</w:t>
      </w:r>
      <w:r w:rsidRPr="00C830BE">
        <w:rPr>
          <w:b/>
          <w:bCs/>
        </w:rPr>
        <w:t xml:space="preserve"> important that children and young people are not demonised within </w:t>
      </w:r>
      <w:r w:rsidRPr="00C830BE">
        <w:rPr>
          <w:b/>
          <w:bCs/>
        </w:rPr>
        <w:lastRenderedPageBreak/>
        <w:t>the public discourse</w:t>
      </w:r>
      <w:r>
        <w:t>, and that politicians, NGOs and the media are actively engaged in promoting understanding and inclusion. As the UN Committee on the Rights of the Child has emphasised:</w:t>
      </w:r>
    </w:p>
    <w:p w14:paraId="25A50A5C" w14:textId="77777777" w:rsidR="00FE4078" w:rsidRPr="009D0430" w:rsidRDefault="00FE4078" w:rsidP="00A70D05">
      <w:pPr>
        <w:pStyle w:val="Quote"/>
      </w:pPr>
      <w:r>
        <w:rPr>
          <w:lang w:val="en-US"/>
        </w:rPr>
        <w:t xml:space="preserve">Children who commit offences are often subjected to negative publicity in the media, which contributes to a discriminatory and negative stereotyping of those children. This negative presentation or criminalization </w:t>
      </w:r>
      <w:r>
        <w:t>of children is often based on a misrepresentation and/or misunderstanding of the causes of crime, and regularly results in calls for tougher approaches (zero-tolerance and “three strikes” approaches, mandatory sentences, trial in adult courts and other primarily punitive measures). States parties should seek the active and positive involvement of Members of Parliament, non-governmental organizations and the media to promote and support education and other campaigns to ensure that all aspects of the Convention are upheld for children who are in the child justice system. It is crucial for children, in particular those who have experience with the child justice system, to be involved in these awareness-raising efforts.</w:t>
      </w:r>
      <w:r>
        <w:rPr>
          <w:rStyle w:val="FootnoteReference"/>
        </w:rPr>
        <w:footnoteReference w:id="78"/>
      </w:r>
    </w:p>
    <w:p w14:paraId="478B2498" w14:textId="77777777" w:rsidR="00FE4078" w:rsidRDefault="00FE4078" w:rsidP="008F1719">
      <w:pPr>
        <w:pStyle w:val="Numberedparagraph"/>
      </w:pPr>
      <w:r>
        <w:t>Bob Atkinson recommended that Government adopt a coordinated Statewide media strategy to promote and support the Four Pillars policy position underpinning the youth justice strategy, stating:</w:t>
      </w:r>
    </w:p>
    <w:p w14:paraId="4007A566" w14:textId="77777777" w:rsidR="00FE4078" w:rsidRDefault="00FE4078" w:rsidP="000A55D6">
      <w:pPr>
        <w:pStyle w:val="Numberedparagraph"/>
        <w:numPr>
          <w:ilvl w:val="0"/>
          <w:numId w:val="0"/>
        </w:numPr>
        <w:ind w:left="993" w:right="985"/>
        <w:rPr>
          <w:sz w:val="20"/>
          <w:szCs w:val="20"/>
        </w:rPr>
      </w:pPr>
      <w:r w:rsidRPr="0008324B">
        <w:rPr>
          <w:sz w:val="20"/>
          <w:szCs w:val="20"/>
        </w:rPr>
        <w:t xml:space="preserve">The framework or ‘bookends’ of the Four Pillars policy position are public safety and community confidence. Both traditional mainstream media (print, radio, television) and social media have a significant role in influencing the public awareness and perception of safety and crime and the effectiveness of associated Government policy. </w:t>
      </w:r>
    </w:p>
    <w:p w14:paraId="00610D28" w14:textId="77777777" w:rsidR="00FE4078" w:rsidRPr="000A55D6" w:rsidRDefault="00FE4078" w:rsidP="000A55D6">
      <w:pPr>
        <w:pStyle w:val="Numberedparagraph"/>
        <w:numPr>
          <w:ilvl w:val="0"/>
          <w:numId w:val="0"/>
        </w:numPr>
        <w:ind w:left="993" w:right="985"/>
        <w:rPr>
          <w:sz w:val="20"/>
          <w:szCs w:val="20"/>
        </w:rPr>
      </w:pPr>
      <w:r w:rsidRPr="00423360">
        <w:rPr>
          <w:sz w:val="20"/>
          <w:szCs w:val="20"/>
        </w:rPr>
        <w:t>…</w:t>
      </w:r>
      <w:r w:rsidRPr="000A55D6">
        <w:rPr>
          <w:sz w:val="20"/>
          <w:szCs w:val="20"/>
        </w:rPr>
        <w:t xml:space="preserve">Opportunities to present evidence, whether from practice or research papers, about what works could also help build a narrative that supports best practice in keeping communities safe and reducing youth reoffending. This may include availability of respected individuals for interview. </w:t>
      </w:r>
    </w:p>
    <w:p w14:paraId="26425581" w14:textId="77777777" w:rsidR="00FE4078" w:rsidRPr="000A55D6" w:rsidRDefault="00FE4078" w:rsidP="000A55D6">
      <w:pPr>
        <w:pStyle w:val="Numberedparagraph"/>
        <w:numPr>
          <w:ilvl w:val="0"/>
          <w:numId w:val="0"/>
        </w:numPr>
        <w:ind w:left="993" w:right="985"/>
        <w:rPr>
          <w:sz w:val="20"/>
          <w:szCs w:val="20"/>
        </w:rPr>
      </w:pPr>
      <w:r w:rsidRPr="000A55D6">
        <w:rPr>
          <w:sz w:val="20"/>
          <w:szCs w:val="20"/>
        </w:rPr>
        <w:t>Additionally, the production of de-identified stories for mainstream and social media of children successfully emerging from a youth justice program as well as stories of the experiences of Youth Justice staff would assist in an enhanced public awareness of the circumstances of many children in the youth justice ‘system’, the associated challenges, and, more broadly, that there is no quick fix.</w:t>
      </w:r>
    </w:p>
    <w:p w14:paraId="59D70284" w14:textId="77777777" w:rsidR="00FE4078" w:rsidRPr="0043268D" w:rsidRDefault="00FE4078" w:rsidP="0043268D">
      <w:pPr>
        <w:pStyle w:val="Numberedparagraph"/>
        <w:numPr>
          <w:ilvl w:val="0"/>
          <w:numId w:val="0"/>
        </w:numPr>
        <w:ind w:left="993" w:right="985"/>
        <w:rPr>
          <w:sz w:val="20"/>
          <w:szCs w:val="20"/>
        </w:rPr>
      </w:pPr>
      <w:r>
        <w:t>…</w:t>
      </w:r>
    </w:p>
    <w:p w14:paraId="28886336" w14:textId="77777777" w:rsidR="00FE4078" w:rsidRPr="0043268D" w:rsidRDefault="00FE4078" w:rsidP="0043268D">
      <w:pPr>
        <w:pStyle w:val="Numberedparagraph"/>
        <w:numPr>
          <w:ilvl w:val="0"/>
          <w:numId w:val="0"/>
        </w:numPr>
        <w:ind w:left="993" w:right="985"/>
        <w:rPr>
          <w:sz w:val="20"/>
          <w:szCs w:val="20"/>
        </w:rPr>
      </w:pPr>
      <w:r w:rsidRPr="0043268D">
        <w:rPr>
          <w:sz w:val="20"/>
          <w:szCs w:val="20"/>
        </w:rPr>
        <w:t>Finally, if achievable, media support could drive a concerted community goal in terms of closing the gap in the representation of Aboriginal and Torres Strait Islander children in the criminal justice system.</w:t>
      </w:r>
      <w:r>
        <w:rPr>
          <w:rStyle w:val="FootnoteReference"/>
          <w:sz w:val="20"/>
          <w:szCs w:val="20"/>
        </w:rPr>
        <w:footnoteReference w:id="79"/>
      </w:r>
    </w:p>
    <w:p w14:paraId="1352DF9E" w14:textId="77777777" w:rsidR="00FE4078" w:rsidRDefault="00FE4078" w:rsidP="0043268D">
      <w:pPr>
        <w:pBdr>
          <w:top w:val="single" w:sz="4" w:space="1" w:color="auto"/>
          <w:left w:val="single" w:sz="4" w:space="4" w:color="auto"/>
          <w:bottom w:val="single" w:sz="4" w:space="1" w:color="auto"/>
          <w:right w:val="single" w:sz="4" w:space="4" w:color="auto"/>
        </w:pBdr>
        <w:ind w:left="142" w:hanging="142"/>
      </w:pPr>
      <w:r w:rsidRPr="0043268D">
        <w:rPr>
          <w:b/>
          <w:bCs/>
        </w:rPr>
        <w:lastRenderedPageBreak/>
        <w:t>Recommendation</w:t>
      </w:r>
      <w:r>
        <w:rPr>
          <w:b/>
          <w:bCs/>
        </w:rPr>
        <w:t>:</w:t>
      </w:r>
      <w:r w:rsidRPr="0043268D">
        <w:rPr>
          <w:b/>
          <w:bCs/>
        </w:rPr>
        <w:t xml:space="preserve"> </w:t>
      </w:r>
      <w:r>
        <w:t>Supporting connection to culture and community:</w:t>
      </w:r>
    </w:p>
    <w:p w14:paraId="6D59716F" w14:textId="77777777" w:rsidR="00FE4078" w:rsidRPr="008C7FBF" w:rsidRDefault="00FE4078" w:rsidP="008E6AFB">
      <w:pPr>
        <w:pStyle w:val="ListParagraph"/>
        <w:numPr>
          <w:ilvl w:val="0"/>
          <w:numId w:val="9"/>
        </w:numPr>
        <w:pBdr>
          <w:top w:val="single" w:sz="4" w:space="1" w:color="auto"/>
          <w:left w:val="single" w:sz="4" w:space="4" w:color="auto"/>
          <w:bottom w:val="single" w:sz="4" w:space="1" w:color="auto"/>
          <w:right w:val="single" w:sz="4" w:space="4" w:color="auto"/>
        </w:pBdr>
        <w:spacing w:after="200"/>
        <w:rPr>
          <w:rFonts w:cs="Arial"/>
        </w:rPr>
      </w:pPr>
      <w:r w:rsidRPr="008C7FBF">
        <w:rPr>
          <w:rFonts w:cs="Arial"/>
        </w:rPr>
        <w:t>should promote the cultural rights of Aboriginal peoples and Torres Strait Islander peoples protected under the Human Rights Act</w:t>
      </w:r>
    </w:p>
    <w:p w14:paraId="1B61A2A4" w14:textId="77777777" w:rsidR="00FE4078" w:rsidRPr="008C7FBF" w:rsidRDefault="00FE4078" w:rsidP="008E6AFB">
      <w:pPr>
        <w:pStyle w:val="ListParagraph"/>
        <w:numPr>
          <w:ilvl w:val="0"/>
          <w:numId w:val="9"/>
        </w:numPr>
        <w:pBdr>
          <w:top w:val="single" w:sz="4" w:space="1" w:color="auto"/>
          <w:left w:val="single" w:sz="4" w:space="4" w:color="auto"/>
          <w:bottom w:val="single" w:sz="4" w:space="1" w:color="auto"/>
          <w:right w:val="single" w:sz="4" w:space="4" w:color="auto"/>
        </w:pBdr>
        <w:spacing w:after="200"/>
        <w:rPr>
          <w:rFonts w:cs="Arial"/>
        </w:rPr>
      </w:pPr>
      <w:r w:rsidRPr="008C7FBF">
        <w:rPr>
          <w:rFonts w:cs="Arial"/>
        </w:rPr>
        <w:t>requires a strong focus on keeping children with their families and communities</w:t>
      </w:r>
    </w:p>
    <w:p w14:paraId="0BA9360A" w14:textId="77777777" w:rsidR="00FE4078" w:rsidRPr="008C7FBF" w:rsidRDefault="00FE4078" w:rsidP="008E6AFB">
      <w:pPr>
        <w:pStyle w:val="ListParagraph"/>
        <w:numPr>
          <w:ilvl w:val="0"/>
          <w:numId w:val="9"/>
        </w:numPr>
        <w:pBdr>
          <w:top w:val="single" w:sz="4" w:space="1" w:color="auto"/>
          <w:left w:val="single" w:sz="4" w:space="4" w:color="auto"/>
          <w:bottom w:val="single" w:sz="4" w:space="1" w:color="auto"/>
          <w:right w:val="single" w:sz="4" w:space="4" w:color="auto"/>
        </w:pBdr>
        <w:spacing w:after="200"/>
        <w:rPr>
          <w:rFonts w:cs="Arial"/>
        </w:rPr>
      </w:pPr>
      <w:r w:rsidRPr="008C7FBF">
        <w:rPr>
          <w:rFonts w:cs="Arial"/>
        </w:rPr>
        <w:t>includes having a media strategy that promotes understanding and inclusion of children and young people.</w:t>
      </w:r>
    </w:p>
    <w:p w14:paraId="758AC38B" w14:textId="77777777" w:rsidR="00FE4078" w:rsidRDefault="00FE4078" w:rsidP="00187D9F">
      <w:pPr>
        <w:rPr>
          <w:lang w:val="en-US"/>
        </w:rPr>
      </w:pPr>
      <w:bookmarkStart w:id="54" w:name="_Toc158902692"/>
    </w:p>
    <w:p w14:paraId="677CA840" w14:textId="77777777" w:rsidR="00FE4078" w:rsidRPr="00881C23" w:rsidRDefault="00FE4078" w:rsidP="009056F4">
      <w:pPr>
        <w:pStyle w:val="Heading1"/>
        <w:rPr>
          <w:lang w:val="en-US"/>
        </w:rPr>
      </w:pPr>
      <w:bookmarkStart w:id="55" w:name="_Toc159426540"/>
      <w:r>
        <w:rPr>
          <w:lang w:val="en-US"/>
        </w:rPr>
        <w:t xml:space="preserve">Consultation Question 5: </w:t>
      </w:r>
      <w:r w:rsidRPr="00881C23">
        <w:rPr>
          <w:lang w:val="en-US"/>
        </w:rPr>
        <w:t>Working together</w:t>
      </w:r>
      <w:bookmarkEnd w:id="54"/>
      <w:bookmarkEnd w:id="55"/>
    </w:p>
    <w:p w14:paraId="344F89B9" w14:textId="77777777" w:rsidR="00FE4078" w:rsidRPr="00AC29A9" w:rsidRDefault="00FE4078" w:rsidP="009056F4">
      <w:pPr>
        <w:pStyle w:val="Default"/>
        <w:rPr>
          <w:rFonts w:ascii="Arial" w:hAnsi="Arial" w:cs="Arial"/>
          <w:i/>
          <w:iCs/>
          <w:sz w:val="22"/>
          <w:szCs w:val="22"/>
        </w:rPr>
      </w:pPr>
      <w:r w:rsidRPr="00AC29A9">
        <w:rPr>
          <w:rFonts w:ascii="Arial" w:hAnsi="Arial" w:cs="Arial"/>
          <w:i/>
          <w:iCs/>
          <w:sz w:val="22"/>
          <w:szCs w:val="22"/>
        </w:rPr>
        <w:t xml:space="preserve">What would it look like for us to work together as partners, all committed to improving outcomes for children and young people? </w:t>
      </w:r>
    </w:p>
    <w:p w14:paraId="6A635C51" w14:textId="77777777" w:rsidR="00FE4078" w:rsidRPr="00881C23" w:rsidRDefault="00FE4078" w:rsidP="009056F4">
      <w:pPr>
        <w:pStyle w:val="Default"/>
        <w:rPr>
          <w:rFonts w:ascii="Arial" w:hAnsi="Arial" w:cs="Arial"/>
          <w:i/>
          <w:iCs/>
          <w:sz w:val="20"/>
          <w:szCs w:val="20"/>
        </w:rPr>
      </w:pPr>
    </w:p>
    <w:p w14:paraId="00D96EAA" w14:textId="77777777" w:rsidR="00FE4078" w:rsidRDefault="00FE4078" w:rsidP="00002CA2">
      <w:pPr>
        <w:pStyle w:val="Numberedparagraph"/>
        <w:rPr>
          <w:lang w:val="en-US"/>
        </w:rPr>
      </w:pPr>
      <w:r>
        <w:rPr>
          <w:lang w:val="en-US"/>
        </w:rPr>
        <w:t xml:space="preserve">One of the key purposes of the Plan is to consolidate the whole-of-government commitment to the vision for children and young people sought by the Plan, which then enables a coordinated approach within government, and with non-government agencies, across multiple domains. </w:t>
      </w:r>
      <w:r w:rsidRPr="00246878">
        <w:rPr>
          <w:lang w:val="en-US"/>
        </w:rPr>
        <w:t>The New Zealand strategy articulates the challenge as follows:</w:t>
      </w:r>
    </w:p>
    <w:p w14:paraId="30771E11" w14:textId="77777777" w:rsidR="00FE4078" w:rsidRPr="00864F47" w:rsidRDefault="00FE4078" w:rsidP="002D0E21">
      <w:pPr>
        <w:pStyle w:val="Quote"/>
      </w:pPr>
      <w:r w:rsidRPr="00864F47">
        <w:t xml:space="preserve">Despite significant government investment in public policies, services and local initiatives, inequities for many children and young people have proven difficult to shift. Like other countries, a key problem is one of ‘fragmentation of effort’. At a public policy level there are too many policies that were developed and implemented in silos. Fragmentation and lack of coordination happens vertically (between national and local government), horizontally (between different agencies), by age (such as antenatal and postnatal, preschool, school age, tertiary), and by different groups or areas of focus (such as parenting support, family violence, job seeker). </w:t>
      </w:r>
    </w:p>
    <w:p w14:paraId="64C92F64" w14:textId="77777777" w:rsidR="00FE4078" w:rsidRPr="00864F47" w:rsidRDefault="00FE4078" w:rsidP="002D0E21">
      <w:pPr>
        <w:pStyle w:val="Quote"/>
      </w:pPr>
      <w:r w:rsidRPr="00864F47">
        <w:t xml:space="preserve">This same fragmentation is replicated in government and non-governmental contracted services. Investment is often ad hoc, not sustained, and with little responsiveness to new evidence or cultural knowledge, including insights from service users (such as children, young people and their families). This, in turn, creates fragmentation of advocacy as different groups seek to solve different parts of the puzzle. Until now, there has been no unifying message or way of talking about child and youth wellbeing in New Zealand or way of aligning efforts to a common set of goals. </w:t>
      </w:r>
    </w:p>
    <w:p w14:paraId="152C0408" w14:textId="77777777" w:rsidR="00FE4078" w:rsidRPr="00864F47" w:rsidRDefault="00FE4078" w:rsidP="002D0E21">
      <w:pPr>
        <w:pStyle w:val="Quote"/>
        <w:rPr>
          <w:lang w:val="en-US"/>
        </w:rPr>
      </w:pPr>
      <w:r w:rsidRPr="00864F47">
        <w:t>Aligning government action with community action has the potential to create the transformative change required for the Strategy to achieve its vision.</w:t>
      </w:r>
      <w:r>
        <w:rPr>
          <w:rStyle w:val="FootnoteReference"/>
        </w:rPr>
        <w:footnoteReference w:id="80"/>
      </w:r>
    </w:p>
    <w:p w14:paraId="54A369E4" w14:textId="77777777" w:rsidR="00FE4078" w:rsidRPr="004642E5" w:rsidRDefault="00FE4078" w:rsidP="00002CA2">
      <w:pPr>
        <w:pStyle w:val="Numberedparagraph"/>
        <w:rPr>
          <w:lang w:val="en-US"/>
        </w:rPr>
      </w:pPr>
      <w:r>
        <w:rPr>
          <w:lang w:val="en-US"/>
        </w:rPr>
        <w:t xml:space="preserve">The Commission strongly supports the Plan’s emphasis on </w:t>
      </w:r>
      <w:r>
        <w:rPr>
          <w:b/>
          <w:bCs/>
          <w:lang w:val="en-US"/>
        </w:rPr>
        <w:t>partnering for integrated, place-based and First Nations led delivery</w:t>
      </w:r>
      <w:r>
        <w:rPr>
          <w:lang w:val="en-US"/>
        </w:rPr>
        <w:t xml:space="preserve"> – driven by and </w:t>
      </w:r>
      <w:r>
        <w:rPr>
          <w:lang w:val="en-US"/>
        </w:rPr>
        <w:lastRenderedPageBreak/>
        <w:t>delivering through ‘those providers best placed to engage with vulnerable children and families across the State’.</w:t>
      </w:r>
      <w:r>
        <w:rPr>
          <w:rStyle w:val="FootnoteReference"/>
          <w:lang w:val="en-US"/>
        </w:rPr>
        <w:footnoteReference w:id="81"/>
      </w:r>
    </w:p>
    <w:p w14:paraId="1C223881" w14:textId="77777777" w:rsidR="00FE4078" w:rsidRDefault="00FE4078" w:rsidP="00002CA2">
      <w:pPr>
        <w:pStyle w:val="Numberedparagraph"/>
        <w:rPr>
          <w:lang w:val="en-US"/>
        </w:rPr>
      </w:pPr>
      <w:r>
        <w:rPr>
          <w:lang w:val="en-US"/>
        </w:rPr>
        <w:t>However, at the government level, achieving the Plan’s overall vision also requires:</w:t>
      </w:r>
    </w:p>
    <w:p w14:paraId="67DE7D2F" w14:textId="77777777" w:rsidR="00FE4078" w:rsidRPr="00C51607" w:rsidRDefault="00FE4078" w:rsidP="00DF2EA6">
      <w:pPr>
        <w:pStyle w:val="Bulletedlist"/>
        <w:rPr>
          <w:lang w:val="en-US"/>
        </w:rPr>
      </w:pPr>
      <w:r>
        <w:rPr>
          <w:lang w:val="en-US"/>
        </w:rPr>
        <w:t>e</w:t>
      </w:r>
      <w:r w:rsidRPr="00C51607">
        <w:rPr>
          <w:lang w:val="en-US"/>
        </w:rPr>
        <w:t>nsuring that legislation, policy, and practice of public bodies does not work at cross-purposes to the Plan (see above, [</w:t>
      </w:r>
      <w:r>
        <w:rPr>
          <w:lang w:val="en-US"/>
        </w:rPr>
        <w:t>22</w:t>
      </w:r>
      <w:r w:rsidRPr="00C51607">
        <w:rPr>
          <w:lang w:val="en-US"/>
        </w:rPr>
        <w:t>]</w:t>
      </w:r>
      <w:r>
        <w:rPr>
          <w:lang w:val="en-US"/>
        </w:rPr>
        <w:t>–[24]</w:t>
      </w:r>
      <w:r w:rsidRPr="00C51607">
        <w:rPr>
          <w:lang w:val="en-US"/>
        </w:rPr>
        <w:t>)</w:t>
      </w:r>
    </w:p>
    <w:p w14:paraId="5D75697C" w14:textId="77777777" w:rsidR="00FE4078" w:rsidRDefault="00FE4078" w:rsidP="007536A3">
      <w:pPr>
        <w:pStyle w:val="Bulletedlist"/>
        <w:rPr>
          <w:lang w:val="en-US"/>
        </w:rPr>
      </w:pPr>
      <w:r>
        <w:rPr>
          <w:lang w:val="en-US"/>
        </w:rPr>
        <w:t>alignment across agencies through c</w:t>
      </w:r>
      <w:r w:rsidRPr="00DF2EA6">
        <w:rPr>
          <w:lang w:val="en-US"/>
        </w:rPr>
        <w:t xml:space="preserve">reation of </w:t>
      </w:r>
      <w:r w:rsidRPr="002D7BE1">
        <w:rPr>
          <w:b/>
          <w:bCs/>
          <w:lang w:val="en-US"/>
        </w:rPr>
        <w:t>a detailed and cohesive implementation roadmap</w:t>
      </w:r>
      <w:r w:rsidRPr="00C51607">
        <w:rPr>
          <w:lang w:val="en-US"/>
        </w:rPr>
        <w:t xml:space="preserve"> </w:t>
      </w:r>
    </w:p>
    <w:p w14:paraId="7C5CAC16" w14:textId="77777777" w:rsidR="00FE4078" w:rsidRDefault="00FE4078" w:rsidP="007D3177">
      <w:pPr>
        <w:pStyle w:val="Bulletedlist"/>
        <w:rPr>
          <w:lang w:val="en-US"/>
        </w:rPr>
      </w:pPr>
      <w:r>
        <w:rPr>
          <w:lang w:val="en-US"/>
        </w:rPr>
        <w:t xml:space="preserve">establishment of </w:t>
      </w:r>
      <w:r w:rsidRPr="002D7BE1">
        <w:rPr>
          <w:b/>
          <w:bCs/>
          <w:lang w:val="en-US"/>
        </w:rPr>
        <w:t>outcomes and key indicators</w:t>
      </w:r>
      <w:r>
        <w:rPr>
          <w:lang w:val="en-US"/>
        </w:rPr>
        <w:t xml:space="preserve"> against which progress can be measured</w:t>
      </w:r>
    </w:p>
    <w:p w14:paraId="0A42B35E" w14:textId="77777777" w:rsidR="00FE4078" w:rsidRDefault="00FE4078" w:rsidP="007D3177">
      <w:pPr>
        <w:pStyle w:val="Bulletedlist"/>
        <w:rPr>
          <w:lang w:val="en-US"/>
        </w:rPr>
      </w:pPr>
      <w:r>
        <w:rPr>
          <w:b/>
          <w:bCs/>
          <w:lang w:val="en-US"/>
        </w:rPr>
        <w:t>m</w:t>
      </w:r>
      <w:r w:rsidRPr="002D7BE1">
        <w:rPr>
          <w:b/>
          <w:bCs/>
          <w:lang w:val="en-US"/>
        </w:rPr>
        <w:t xml:space="preserve">easuring and </w:t>
      </w:r>
      <w:r>
        <w:rPr>
          <w:b/>
          <w:bCs/>
          <w:lang w:val="en-US"/>
        </w:rPr>
        <w:t xml:space="preserve">transparently </w:t>
      </w:r>
      <w:r w:rsidRPr="002D7BE1">
        <w:rPr>
          <w:b/>
          <w:bCs/>
          <w:lang w:val="en-US"/>
        </w:rPr>
        <w:t>reporting on progress</w:t>
      </w:r>
      <w:r>
        <w:rPr>
          <w:lang w:val="en-US"/>
        </w:rPr>
        <w:t>, and learning from what works</w:t>
      </w:r>
    </w:p>
    <w:p w14:paraId="3BE7DBDD" w14:textId="77777777" w:rsidR="00FE4078" w:rsidRPr="006E57F3" w:rsidRDefault="00FE4078" w:rsidP="007D3177">
      <w:pPr>
        <w:pStyle w:val="Bulletedlist"/>
        <w:rPr>
          <w:lang w:val="en-US"/>
        </w:rPr>
      </w:pPr>
      <w:r>
        <w:rPr>
          <w:b/>
          <w:bCs/>
          <w:lang w:val="en-US"/>
        </w:rPr>
        <w:t>d</w:t>
      </w:r>
      <w:r w:rsidRPr="006C6662">
        <w:rPr>
          <w:b/>
          <w:bCs/>
          <w:lang w:val="en-US"/>
        </w:rPr>
        <w:t>esignation of responsibility</w:t>
      </w:r>
      <w:r w:rsidRPr="002D7BE1">
        <w:rPr>
          <w:lang w:val="en-US"/>
        </w:rPr>
        <w:t xml:space="preserve"> for driving progress and accountability</w:t>
      </w:r>
      <w:r>
        <w:rPr>
          <w:lang w:val="en-US"/>
        </w:rPr>
        <w:t>.</w:t>
      </w:r>
    </w:p>
    <w:p w14:paraId="48EA8866" w14:textId="77777777" w:rsidR="00FE4078" w:rsidRPr="007D3177" w:rsidRDefault="00FE4078" w:rsidP="002D7BE1">
      <w:pPr>
        <w:pStyle w:val="Heading3"/>
        <w:rPr>
          <w:lang w:val="en-US"/>
        </w:rPr>
      </w:pPr>
      <w:bookmarkStart w:id="56" w:name="_Toc159426541"/>
      <w:r>
        <w:rPr>
          <w:lang w:val="en-US"/>
        </w:rPr>
        <w:t>Implementation roadmap</w:t>
      </w:r>
      <w:bookmarkEnd w:id="56"/>
    </w:p>
    <w:p w14:paraId="687F8619" w14:textId="77777777" w:rsidR="00FE4078" w:rsidRDefault="00FE4078" w:rsidP="00E0043B">
      <w:pPr>
        <w:pStyle w:val="Numberedparagraph"/>
        <w:rPr>
          <w:lang w:val="en-US"/>
        </w:rPr>
      </w:pPr>
      <w:r>
        <w:rPr>
          <w:lang w:val="en-US"/>
        </w:rPr>
        <w:t>To ensure that agencies are working together effectively across the broad range of areas covered by the Plan, it is crucial that a detailed implementation roadmap is developed following adoption of the Plan. Within the identified priority areas, this should have</w:t>
      </w:r>
      <w:r w:rsidRPr="00C51607">
        <w:rPr>
          <w:lang w:val="en-US"/>
        </w:rPr>
        <w:t xml:space="preserve"> immediate, medium-term, and long-term activities</w:t>
      </w:r>
      <w:r w:rsidRPr="00DF2EA6">
        <w:rPr>
          <w:lang w:val="en-US"/>
        </w:rPr>
        <w:t xml:space="preserve"> assigned to lead agencies to be achieved within set timeframes.</w:t>
      </w:r>
    </w:p>
    <w:p w14:paraId="7F484D23" w14:textId="77777777" w:rsidR="00FE4078" w:rsidRDefault="00FE4078" w:rsidP="00E0043B">
      <w:pPr>
        <w:pStyle w:val="Numberedparagraph"/>
        <w:rPr>
          <w:lang w:val="en-US"/>
        </w:rPr>
      </w:pPr>
      <w:r>
        <w:rPr>
          <w:lang w:val="en-US"/>
        </w:rPr>
        <w:t xml:space="preserve">The implementation roadmap must have input from non-government agencies, communities, families and children, including First Nations </w:t>
      </w:r>
      <w:proofErr w:type="spellStart"/>
      <w:r>
        <w:rPr>
          <w:lang w:val="en-US"/>
        </w:rPr>
        <w:t>organisations</w:t>
      </w:r>
      <w:proofErr w:type="spellEnd"/>
      <w:r>
        <w:rPr>
          <w:lang w:val="en-US"/>
        </w:rPr>
        <w:t xml:space="preserve"> and community leaders, in accordance with the recommended principles stepped through </w:t>
      </w:r>
      <w:r w:rsidRPr="002D0E21">
        <w:rPr>
          <w:b/>
          <w:bCs/>
          <w:lang w:val="en-US"/>
        </w:rPr>
        <w:t>Consultation</w:t>
      </w:r>
      <w:r>
        <w:rPr>
          <w:lang w:val="en-US"/>
        </w:rPr>
        <w:t xml:space="preserve"> </w:t>
      </w:r>
      <w:r w:rsidRPr="002D0E21">
        <w:rPr>
          <w:b/>
          <w:bCs/>
          <w:lang w:val="en-US"/>
        </w:rPr>
        <w:t>Question</w:t>
      </w:r>
      <w:r>
        <w:rPr>
          <w:b/>
          <w:bCs/>
          <w:lang w:val="en-US"/>
        </w:rPr>
        <w:t xml:space="preserve"> </w:t>
      </w:r>
      <w:r w:rsidRPr="002D0E21">
        <w:rPr>
          <w:b/>
          <w:bCs/>
          <w:lang w:val="en-US"/>
        </w:rPr>
        <w:t>1.</w:t>
      </w:r>
      <w:r>
        <w:rPr>
          <w:lang w:val="en-US"/>
        </w:rPr>
        <w:t xml:space="preserve"> </w:t>
      </w:r>
    </w:p>
    <w:p w14:paraId="13C432AD" w14:textId="77777777" w:rsidR="00FE4078" w:rsidRDefault="00FE4078" w:rsidP="002D7BE1">
      <w:pPr>
        <w:pStyle w:val="Heading3"/>
        <w:rPr>
          <w:lang w:val="en-US"/>
        </w:rPr>
      </w:pPr>
      <w:bookmarkStart w:id="57" w:name="_Toc159426542"/>
      <w:r>
        <w:rPr>
          <w:lang w:val="en-US"/>
        </w:rPr>
        <w:t>Outcomes and indicators</w:t>
      </w:r>
      <w:bookmarkEnd w:id="57"/>
    </w:p>
    <w:p w14:paraId="68D8CD2B" w14:textId="77777777" w:rsidR="00FE4078" w:rsidRDefault="00FE4078" w:rsidP="00DF2EA6">
      <w:pPr>
        <w:pStyle w:val="Numberedparagraph"/>
        <w:rPr>
          <w:lang w:val="en-US"/>
        </w:rPr>
      </w:pPr>
      <w:r>
        <w:rPr>
          <w:lang w:val="en-US"/>
        </w:rPr>
        <w:t xml:space="preserve">In relation to </w:t>
      </w:r>
      <w:r w:rsidRPr="002D7BE1">
        <w:rPr>
          <w:b/>
          <w:bCs/>
          <w:lang w:val="en-US"/>
        </w:rPr>
        <w:t>outcomes</w:t>
      </w:r>
      <w:r>
        <w:rPr>
          <w:lang w:val="en-US"/>
        </w:rPr>
        <w:t>, the New Zealand Child and Youth Strategy provides examples of what could be included in the Plan. Informed by what children and young people said was important to them, the Strategy’s intended outcomes are:</w:t>
      </w:r>
    </w:p>
    <w:p w14:paraId="6043DEE8" w14:textId="77777777" w:rsidR="00FE4078" w:rsidRDefault="00FE4078" w:rsidP="00E3225C">
      <w:pPr>
        <w:pStyle w:val="Bulletedlist"/>
        <w:rPr>
          <w:lang w:val="en-US"/>
        </w:rPr>
      </w:pPr>
      <w:r>
        <w:rPr>
          <w:lang w:val="en-US"/>
        </w:rPr>
        <w:t>Children and young people are loved, safe and nurtured</w:t>
      </w:r>
    </w:p>
    <w:p w14:paraId="26CB66E4" w14:textId="77777777" w:rsidR="00FE4078" w:rsidRDefault="00FE4078" w:rsidP="00E3225C">
      <w:pPr>
        <w:pStyle w:val="Bulletedlist"/>
        <w:rPr>
          <w:lang w:val="en-US"/>
        </w:rPr>
      </w:pPr>
      <w:r>
        <w:rPr>
          <w:lang w:val="en-US"/>
        </w:rPr>
        <w:t>Children and young people have what they need</w:t>
      </w:r>
    </w:p>
    <w:p w14:paraId="6436EEED" w14:textId="77777777" w:rsidR="00FE4078" w:rsidRDefault="00FE4078" w:rsidP="00E3225C">
      <w:pPr>
        <w:pStyle w:val="Bulletedlist"/>
        <w:rPr>
          <w:lang w:val="en-US"/>
        </w:rPr>
      </w:pPr>
      <w:r>
        <w:rPr>
          <w:lang w:val="en-US"/>
        </w:rPr>
        <w:t>Children and young people are happy and healthy</w:t>
      </w:r>
    </w:p>
    <w:p w14:paraId="2A78D97C" w14:textId="77777777" w:rsidR="00FE4078" w:rsidRDefault="00FE4078" w:rsidP="00E3225C">
      <w:pPr>
        <w:pStyle w:val="Bulletedlist"/>
        <w:rPr>
          <w:lang w:val="en-US"/>
        </w:rPr>
      </w:pPr>
      <w:r>
        <w:rPr>
          <w:lang w:val="en-US"/>
        </w:rPr>
        <w:t>Children and young people are learning and developing</w:t>
      </w:r>
    </w:p>
    <w:p w14:paraId="793C2649" w14:textId="77777777" w:rsidR="00FE4078" w:rsidRDefault="00FE4078" w:rsidP="00E3225C">
      <w:pPr>
        <w:pStyle w:val="Bulletedlist"/>
        <w:rPr>
          <w:lang w:val="en-US"/>
        </w:rPr>
      </w:pPr>
      <w:r>
        <w:rPr>
          <w:lang w:val="en-US"/>
        </w:rPr>
        <w:t>Children and young people are involved and empowered.</w:t>
      </w:r>
      <w:r>
        <w:rPr>
          <w:rStyle w:val="FootnoteReference"/>
          <w:lang w:val="en-US"/>
        </w:rPr>
        <w:footnoteReference w:id="82"/>
      </w:r>
    </w:p>
    <w:p w14:paraId="1395C039" w14:textId="77777777" w:rsidR="00FE4078" w:rsidRDefault="00FE4078" w:rsidP="002D7BE1">
      <w:pPr>
        <w:pStyle w:val="Numberedparagraph"/>
        <w:rPr>
          <w:lang w:val="en-US"/>
        </w:rPr>
      </w:pPr>
      <w:r>
        <w:rPr>
          <w:lang w:val="en-US"/>
        </w:rPr>
        <w:t>A small set of</w:t>
      </w:r>
      <w:r w:rsidRPr="002D7BE1">
        <w:rPr>
          <w:b/>
          <w:bCs/>
          <w:lang w:val="en-US"/>
        </w:rPr>
        <w:t xml:space="preserve"> indicators</w:t>
      </w:r>
      <w:r>
        <w:rPr>
          <w:lang w:val="en-US"/>
        </w:rPr>
        <w:t xml:space="preserve"> have been developed against each outcome, which must be reported to Parliament — broken down by household income or other socio-economic status, ethnicity, and other key demographic variables.</w:t>
      </w:r>
      <w:r>
        <w:rPr>
          <w:rStyle w:val="FootnoteReference"/>
          <w:lang w:val="en-US"/>
        </w:rPr>
        <w:footnoteReference w:id="83"/>
      </w:r>
    </w:p>
    <w:p w14:paraId="72FC0E5D" w14:textId="77777777" w:rsidR="00FE4078" w:rsidRDefault="00FE4078" w:rsidP="002D7BE1">
      <w:pPr>
        <w:pStyle w:val="Numberedparagraph"/>
        <w:rPr>
          <w:lang w:val="en-US"/>
        </w:rPr>
      </w:pPr>
      <w:r>
        <w:rPr>
          <w:lang w:val="en-US"/>
        </w:rPr>
        <w:lastRenderedPageBreak/>
        <w:t>The development of meaningful indicators, and regular reporting against these indicators, are imperative to ensure the focus is on improved outcomes for children and young people, and not the delivery of services or infrastructure.</w:t>
      </w:r>
    </w:p>
    <w:p w14:paraId="4AC006D0" w14:textId="77777777" w:rsidR="00FE4078" w:rsidRDefault="00FE4078" w:rsidP="00DF6E68">
      <w:pPr>
        <w:pStyle w:val="Heading3"/>
        <w:rPr>
          <w:lang w:val="en-US"/>
        </w:rPr>
      </w:pPr>
      <w:bookmarkStart w:id="58" w:name="_Toc159426543"/>
      <w:r w:rsidRPr="002D7BE1">
        <w:rPr>
          <w:lang w:val="en-US"/>
        </w:rPr>
        <w:t xml:space="preserve">Measuring and </w:t>
      </w:r>
      <w:r w:rsidRPr="004706DE">
        <w:t>transparently</w:t>
      </w:r>
      <w:r>
        <w:rPr>
          <w:lang w:val="en-US"/>
        </w:rPr>
        <w:t xml:space="preserve"> </w:t>
      </w:r>
      <w:r w:rsidRPr="002D7BE1">
        <w:rPr>
          <w:lang w:val="en-US"/>
        </w:rPr>
        <w:t>reporting on progress</w:t>
      </w:r>
      <w:bookmarkEnd w:id="58"/>
    </w:p>
    <w:p w14:paraId="43D22B4F" w14:textId="77777777" w:rsidR="00FE4078" w:rsidRDefault="00FE4078" w:rsidP="00EE4A90">
      <w:pPr>
        <w:pStyle w:val="Numberedparagraph"/>
        <w:rPr>
          <w:lang w:val="en-US"/>
        </w:rPr>
      </w:pPr>
      <w:r>
        <w:rPr>
          <w:lang w:val="en-US"/>
        </w:rPr>
        <w:t>To achieve the principle that actions must be evidence-informed, transparent, and agencies held accountable (see [</w:t>
      </w:r>
      <w:r>
        <w:rPr>
          <w:lang w:val="en-US"/>
        </w:rPr>
        <w:fldChar w:fldCharType="begin"/>
      </w:r>
      <w:r>
        <w:rPr>
          <w:lang w:val="en-US"/>
        </w:rPr>
        <w:instrText xml:space="preserve"> REF _Ref159172892 \r \h </w:instrText>
      </w:r>
      <w:r>
        <w:rPr>
          <w:lang w:val="en-US"/>
        </w:rPr>
      </w:r>
      <w:r>
        <w:rPr>
          <w:lang w:val="en-US"/>
        </w:rPr>
        <w:fldChar w:fldCharType="separate"/>
      </w:r>
      <w:r>
        <w:rPr>
          <w:lang w:val="en-US"/>
        </w:rPr>
        <w:t>27</w:t>
      </w:r>
      <w:r>
        <w:rPr>
          <w:lang w:val="en-US"/>
        </w:rPr>
        <w:fldChar w:fldCharType="end"/>
      </w:r>
      <w:r>
        <w:rPr>
          <w:lang w:val="en-US"/>
        </w:rPr>
        <w:t>]), responsible agencies should be required to regularly and publicly report on progress, including accessible data that tracks these changes. This will assist public scrutiny, identification of gaps, and improved response and coordination.</w:t>
      </w:r>
    </w:p>
    <w:p w14:paraId="70D4560E" w14:textId="77777777" w:rsidR="00FE4078" w:rsidRDefault="00FE4078" w:rsidP="00EE4A90">
      <w:pPr>
        <w:pStyle w:val="Numberedparagraph"/>
        <w:rPr>
          <w:lang w:val="en-US"/>
        </w:rPr>
      </w:pPr>
      <w:r>
        <w:rPr>
          <w:lang w:val="en-US"/>
        </w:rPr>
        <w:t xml:space="preserve">An example of data that helps to track progress would be the publication of the numbers of children detained in watchhouses, including length of stays and demographics. </w:t>
      </w:r>
    </w:p>
    <w:p w14:paraId="1CF6478E" w14:textId="77777777" w:rsidR="00FE4078" w:rsidRDefault="00FE4078" w:rsidP="0028649E">
      <w:pPr>
        <w:pStyle w:val="Heading3"/>
        <w:rPr>
          <w:lang w:val="en-US"/>
        </w:rPr>
      </w:pPr>
      <w:bookmarkStart w:id="59" w:name="_Toc159426544"/>
      <w:r>
        <w:rPr>
          <w:lang w:val="en-US"/>
        </w:rPr>
        <w:t>Designation of responsibility</w:t>
      </w:r>
      <w:bookmarkEnd w:id="59"/>
    </w:p>
    <w:p w14:paraId="2F23DECA" w14:textId="77777777" w:rsidR="00FE4078" w:rsidRDefault="00FE4078" w:rsidP="00233684">
      <w:pPr>
        <w:pStyle w:val="Numberedparagraph"/>
        <w:rPr>
          <w:lang w:val="en-US"/>
        </w:rPr>
      </w:pPr>
      <w:r>
        <w:rPr>
          <w:lang w:val="en-US"/>
        </w:rPr>
        <w:t xml:space="preserve">Coordinating action across a wide range of portfolios requires designation of an individual or body accountable to the Plan’s commitments, with sufficient authority to help drive policy and investment decisions, to monitor and drive progress across multiple portfolios, and to ensure lessons learned are shared. </w:t>
      </w:r>
    </w:p>
    <w:p w14:paraId="0E26BACF" w14:textId="77777777" w:rsidR="00FE4078" w:rsidRPr="00881C23" w:rsidRDefault="00FE4078" w:rsidP="00233684">
      <w:pPr>
        <w:pStyle w:val="Numberedparagraph"/>
        <w:rPr>
          <w:lang w:val="en-US"/>
        </w:rPr>
      </w:pPr>
      <w:r>
        <w:rPr>
          <w:lang w:val="en-US"/>
        </w:rPr>
        <w:t>This coordination could be</w:t>
      </w:r>
      <w:r w:rsidRPr="00881C23">
        <w:rPr>
          <w:lang w:val="en-US"/>
        </w:rPr>
        <w:t xml:space="preserve"> driven by the appointment of a Minister for Children </w:t>
      </w:r>
      <w:r>
        <w:rPr>
          <w:lang w:val="en-US"/>
        </w:rPr>
        <w:t xml:space="preserve">and </w:t>
      </w:r>
      <w:r w:rsidRPr="003B7B48">
        <w:t>Families</w:t>
      </w:r>
      <w:r>
        <w:t xml:space="preserve"> </w:t>
      </w:r>
      <w:r w:rsidRPr="003B7B48">
        <w:t>with</w:t>
      </w:r>
      <w:r w:rsidRPr="00881C23">
        <w:rPr>
          <w:lang w:val="en-US"/>
        </w:rPr>
        <w:t xml:space="preserve"> a stand-alone </w:t>
      </w:r>
      <w:r>
        <w:rPr>
          <w:lang w:val="en-US"/>
        </w:rPr>
        <w:t>department. A</w:t>
      </w:r>
      <w:r w:rsidRPr="00881C23">
        <w:rPr>
          <w:lang w:val="en-US"/>
        </w:rPr>
        <w:t xml:space="preserve">lternatively the Department of the Premier and Cabinet should take on this </w:t>
      </w:r>
      <w:proofErr w:type="spellStart"/>
      <w:r w:rsidRPr="00881C23">
        <w:rPr>
          <w:lang w:val="en-US"/>
        </w:rPr>
        <w:t>co-ordinating</w:t>
      </w:r>
      <w:proofErr w:type="spellEnd"/>
      <w:r w:rsidRPr="00881C23">
        <w:rPr>
          <w:lang w:val="en-US"/>
        </w:rPr>
        <w:t xml:space="preserve"> function.</w:t>
      </w:r>
    </w:p>
    <w:p w14:paraId="7ED95F5A" w14:textId="77777777" w:rsidR="00FE4078" w:rsidRDefault="00FE4078" w:rsidP="00D1615A">
      <w:pPr>
        <w:pBdr>
          <w:top w:val="single" w:sz="4" w:space="1" w:color="auto"/>
          <w:left w:val="single" w:sz="4" w:space="1" w:color="auto"/>
          <w:bottom w:val="single" w:sz="4" w:space="1" w:color="auto"/>
          <w:right w:val="single" w:sz="4" w:space="1" w:color="auto"/>
        </w:pBdr>
        <w:ind w:left="142" w:hanging="142"/>
        <w:rPr>
          <w:b/>
          <w:bCs/>
          <w:lang w:val="en-US"/>
        </w:rPr>
      </w:pPr>
      <w:r w:rsidRPr="004965C9">
        <w:rPr>
          <w:b/>
          <w:bCs/>
          <w:lang w:val="en-US"/>
        </w:rPr>
        <w:t>Recommendation</w:t>
      </w:r>
      <w:r>
        <w:rPr>
          <w:b/>
          <w:bCs/>
          <w:lang w:val="en-US"/>
        </w:rPr>
        <w:t>s</w:t>
      </w:r>
      <w:r w:rsidRPr="004965C9">
        <w:rPr>
          <w:b/>
          <w:bCs/>
          <w:lang w:val="en-US"/>
        </w:rPr>
        <w:t xml:space="preserve">: </w:t>
      </w:r>
    </w:p>
    <w:p w14:paraId="742BFCD3" w14:textId="77777777" w:rsidR="00FE4078" w:rsidRDefault="00FE4078" w:rsidP="00D1615A">
      <w:pPr>
        <w:pBdr>
          <w:top w:val="single" w:sz="4" w:space="1" w:color="auto"/>
          <w:left w:val="single" w:sz="4" w:space="1" w:color="auto"/>
          <w:bottom w:val="single" w:sz="4" w:space="1" w:color="auto"/>
          <w:right w:val="single" w:sz="4" w:space="1" w:color="auto"/>
        </w:pBdr>
        <w:ind w:left="142" w:hanging="142"/>
        <w:rPr>
          <w:lang w:val="en-US"/>
        </w:rPr>
      </w:pPr>
      <w:r w:rsidRPr="00BA54DC">
        <w:rPr>
          <w:lang w:val="en-US"/>
        </w:rPr>
        <w:t xml:space="preserve">The Plan </w:t>
      </w:r>
      <w:r>
        <w:rPr>
          <w:lang w:val="en-US"/>
        </w:rPr>
        <w:t xml:space="preserve">should </w:t>
      </w:r>
      <w:r>
        <w:t>require</w:t>
      </w:r>
    </w:p>
    <w:p w14:paraId="568F11AD" w14:textId="77777777" w:rsidR="00FE4078" w:rsidRPr="008C7FBF" w:rsidRDefault="00FE4078" w:rsidP="008E6AFB">
      <w:pPr>
        <w:pStyle w:val="ListParagraph"/>
        <w:numPr>
          <w:ilvl w:val="0"/>
          <w:numId w:val="10"/>
        </w:numPr>
        <w:pBdr>
          <w:top w:val="single" w:sz="4" w:space="1" w:color="auto"/>
          <w:left w:val="single" w:sz="4" w:space="1" w:color="auto"/>
          <w:bottom w:val="single" w:sz="4" w:space="1" w:color="auto"/>
          <w:right w:val="single" w:sz="4" w:space="1" w:color="auto"/>
        </w:pBdr>
        <w:spacing w:after="200"/>
        <w:rPr>
          <w:rFonts w:cs="Arial"/>
        </w:rPr>
      </w:pPr>
      <w:r>
        <w:rPr>
          <w:rFonts w:cs="Arial"/>
        </w:rPr>
        <w:t xml:space="preserve">development of </w:t>
      </w:r>
      <w:r w:rsidRPr="008C7FBF">
        <w:rPr>
          <w:rFonts w:cs="Arial"/>
        </w:rPr>
        <w:t xml:space="preserve">a detailed and cohesive implementation roadmap </w:t>
      </w:r>
      <w:r>
        <w:rPr>
          <w:rFonts w:cs="Arial"/>
        </w:rPr>
        <w:t>with immediate, intermediate and long-term activities</w:t>
      </w:r>
    </w:p>
    <w:p w14:paraId="49A610C2" w14:textId="77777777" w:rsidR="00FE4078" w:rsidRPr="008C7FBF" w:rsidRDefault="00FE4078" w:rsidP="008E6AFB">
      <w:pPr>
        <w:pStyle w:val="ListParagraph"/>
        <w:numPr>
          <w:ilvl w:val="0"/>
          <w:numId w:val="10"/>
        </w:numPr>
        <w:pBdr>
          <w:top w:val="single" w:sz="4" w:space="1" w:color="auto"/>
          <w:left w:val="single" w:sz="4" w:space="1" w:color="auto"/>
          <w:bottom w:val="single" w:sz="4" w:space="1" w:color="auto"/>
          <w:right w:val="single" w:sz="4" w:space="1" w:color="auto"/>
        </w:pBdr>
        <w:spacing w:after="200"/>
        <w:rPr>
          <w:rFonts w:cs="Arial"/>
        </w:rPr>
      </w:pPr>
      <w:r w:rsidRPr="008C7FBF">
        <w:rPr>
          <w:rFonts w:cs="Arial"/>
        </w:rPr>
        <w:t>establishment of outcomes and key indicators against which progress can be measured</w:t>
      </w:r>
    </w:p>
    <w:p w14:paraId="02DDC66F" w14:textId="77777777" w:rsidR="00FE4078" w:rsidRPr="008C7FBF" w:rsidRDefault="00FE4078" w:rsidP="008E6AFB">
      <w:pPr>
        <w:pStyle w:val="ListParagraph"/>
        <w:numPr>
          <w:ilvl w:val="0"/>
          <w:numId w:val="10"/>
        </w:numPr>
        <w:pBdr>
          <w:top w:val="single" w:sz="4" w:space="1" w:color="auto"/>
          <w:left w:val="single" w:sz="4" w:space="1" w:color="auto"/>
          <w:bottom w:val="single" w:sz="4" w:space="1" w:color="auto"/>
          <w:right w:val="single" w:sz="4" w:space="1" w:color="auto"/>
        </w:pBdr>
        <w:spacing w:after="200"/>
        <w:rPr>
          <w:rFonts w:cs="Arial"/>
        </w:rPr>
      </w:pPr>
      <w:r w:rsidRPr="008C7FBF">
        <w:rPr>
          <w:rFonts w:cs="Arial"/>
        </w:rPr>
        <w:t>measurement and transparent reporting of progress</w:t>
      </w:r>
      <w:r>
        <w:rPr>
          <w:rFonts w:cs="Arial"/>
        </w:rPr>
        <w:t>.</w:t>
      </w:r>
    </w:p>
    <w:p w14:paraId="11124FA4" w14:textId="77777777" w:rsidR="00FE4078" w:rsidRDefault="00FE4078" w:rsidP="00D1615A">
      <w:pPr>
        <w:pStyle w:val="Bulletedlist"/>
        <w:numPr>
          <w:ilvl w:val="0"/>
          <w:numId w:val="0"/>
        </w:numPr>
        <w:pBdr>
          <w:top w:val="single" w:sz="4" w:space="1" w:color="auto"/>
          <w:left w:val="single" w:sz="4" w:space="1" w:color="auto"/>
          <w:bottom w:val="single" w:sz="4" w:space="1" w:color="auto"/>
          <w:right w:val="single" w:sz="4" w:space="1" w:color="auto"/>
        </w:pBdr>
        <w:rPr>
          <w:lang w:val="en-US"/>
        </w:rPr>
      </w:pPr>
      <w:r>
        <w:t>The Queensland Government should a</w:t>
      </w:r>
      <w:r w:rsidRPr="00EE1A9B">
        <w:t>ppoint</w:t>
      </w:r>
      <w:r w:rsidRPr="000264CC">
        <w:rPr>
          <w:lang w:val="en-US"/>
        </w:rPr>
        <w:t xml:space="preserve"> a Minister for Children and Families with a standalone department</w:t>
      </w:r>
      <w:r>
        <w:rPr>
          <w:lang w:val="en-US"/>
        </w:rPr>
        <w:t xml:space="preserve"> who is</w:t>
      </w:r>
      <w:r w:rsidRPr="000264CC">
        <w:rPr>
          <w:lang w:val="en-US"/>
        </w:rPr>
        <w:t xml:space="preserve"> responsible for ensuring alignment of </w:t>
      </w:r>
      <w:r>
        <w:rPr>
          <w:lang w:val="en-US"/>
        </w:rPr>
        <w:t>policies</w:t>
      </w:r>
      <w:r w:rsidRPr="000264CC">
        <w:rPr>
          <w:lang w:val="en-US"/>
        </w:rPr>
        <w:t xml:space="preserve"> and accountability for </w:t>
      </w:r>
      <w:r>
        <w:rPr>
          <w:lang w:val="en-US"/>
        </w:rPr>
        <w:t xml:space="preserve">the Plan’s </w:t>
      </w:r>
      <w:r w:rsidRPr="000264CC">
        <w:rPr>
          <w:lang w:val="en-US"/>
        </w:rPr>
        <w:t>outcomes.</w:t>
      </w:r>
    </w:p>
    <w:p w14:paraId="06860CB8" w14:textId="77777777" w:rsidR="00FE4078" w:rsidRDefault="00FE4078" w:rsidP="00D1615A">
      <w:pPr>
        <w:pStyle w:val="Bulletedlist"/>
        <w:numPr>
          <w:ilvl w:val="0"/>
          <w:numId w:val="0"/>
        </w:numPr>
        <w:pBdr>
          <w:top w:val="single" w:sz="4" w:space="1" w:color="auto"/>
          <w:left w:val="single" w:sz="4" w:space="1" w:color="auto"/>
          <w:bottom w:val="single" w:sz="4" w:space="1" w:color="auto"/>
          <w:right w:val="single" w:sz="4" w:space="1" w:color="auto"/>
        </w:pBdr>
        <w:rPr>
          <w:lang w:val="en-US"/>
        </w:rPr>
      </w:pPr>
    </w:p>
    <w:p w14:paraId="5FA2938F" w14:textId="77777777" w:rsidR="00FE4078" w:rsidRPr="001461B6" w:rsidRDefault="00FE4078" w:rsidP="00D1615A">
      <w:pPr>
        <w:spacing w:after="200"/>
        <w:rPr>
          <w:rFonts w:cs="Arial"/>
        </w:rPr>
      </w:pPr>
    </w:p>
    <w:p w14:paraId="7B03AEEF" w14:textId="77777777" w:rsidR="00FE4078" w:rsidRDefault="00FE4078" w:rsidP="00246878">
      <w:pPr>
        <w:pStyle w:val="Bulletedlist"/>
        <w:numPr>
          <w:ilvl w:val="0"/>
          <w:numId w:val="0"/>
        </w:numPr>
        <w:rPr>
          <w:lang w:val="en-US"/>
        </w:rPr>
      </w:pPr>
    </w:p>
    <w:p w14:paraId="575B0CCB" w14:textId="77777777" w:rsidR="00FE4078" w:rsidRPr="004C6656" w:rsidRDefault="00FE4078" w:rsidP="00187D9F">
      <w:pPr>
        <w:pStyle w:val="Bulletedlist"/>
        <w:numPr>
          <w:ilvl w:val="0"/>
          <w:numId w:val="0"/>
        </w:numPr>
        <w:rPr>
          <w:lang w:val="en-US"/>
        </w:rPr>
      </w:pPr>
      <w:r>
        <w:rPr>
          <w:lang w:val="en-US"/>
        </w:rPr>
        <w:t xml:space="preserve"> </w:t>
      </w:r>
    </w:p>
    <w:p w14:paraId="20C7C616" w14:textId="5B06BF41" w:rsidR="008041AD" w:rsidRPr="00FE4078" w:rsidRDefault="008041AD" w:rsidP="00FE4078">
      <w:pPr>
        <w:spacing w:after="0"/>
        <w:rPr>
          <w:rFonts w:eastAsiaTheme="majorEastAsia" w:cstheme="majorBidi"/>
          <w:color w:val="004270"/>
          <w:sz w:val="28"/>
          <w:szCs w:val="28"/>
        </w:rPr>
      </w:pPr>
    </w:p>
    <w:sectPr w:rsidR="008041AD" w:rsidRPr="00FE4078" w:rsidSect="003E7236">
      <w:headerReference w:type="default" r:id="rId17"/>
      <w:headerReference w:type="first" r:id="rId18"/>
      <w:footerReference w:type="first" r:id="rId19"/>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57FF" w14:textId="77777777" w:rsidR="003E7236" w:rsidRDefault="003E7236" w:rsidP="0034134D">
      <w:r>
        <w:separator/>
      </w:r>
    </w:p>
  </w:endnote>
  <w:endnote w:type="continuationSeparator" w:id="0">
    <w:p w14:paraId="4E20D257" w14:textId="77777777" w:rsidR="003E7236" w:rsidRDefault="003E7236" w:rsidP="0034134D">
      <w:r>
        <w:continuationSeparator/>
      </w:r>
    </w:p>
  </w:endnote>
  <w:endnote w:type="continuationNotice" w:id="1">
    <w:p w14:paraId="0C457D3F" w14:textId="77777777" w:rsidR="003E7236" w:rsidRDefault="003E72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8E00" w14:textId="03F3C31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7A0E26C2" wp14:editId="0BF1D0F3">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C35B4">
      <w:rPr>
        <w:rFonts w:cs="Arial"/>
        <w:noProof/>
        <w:color w:val="404040" w:themeColor="text1" w:themeTint="BF"/>
        <w:sz w:val="16"/>
        <w:szCs w:val="20"/>
      </w:rPr>
      <w:t>12</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6E84" w14:textId="77777777" w:rsidR="00FE4078" w:rsidRPr="00260847" w:rsidRDefault="00FE4078"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EB02D22" wp14:editId="27C04A4B">
          <wp:extent cx="5463606" cy="4802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Pr>
        <w:rFonts w:cs="Arial"/>
        <w:noProof/>
        <w:color w:val="404040" w:themeColor="text1" w:themeTint="BF"/>
        <w:sz w:val="16"/>
        <w:szCs w:val="20"/>
      </w:rPr>
      <w:t>12</w:t>
    </w:r>
    <w:r w:rsidRPr="00260847">
      <w:rPr>
        <w:rFonts w:cs="Arial"/>
        <w:noProof/>
        <w:color w:val="404040" w:themeColor="text1" w:themeTint="B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3422" w14:textId="77777777" w:rsidR="007C510E" w:rsidRDefault="007C510E" w:rsidP="000731D3">
    <w:pPr>
      <w:pStyle w:val="Footer"/>
      <w:pBdr>
        <w:top w:val="single" w:sz="4" w:space="1" w:color="auto"/>
      </w:pBdr>
      <w:jc w:val="right"/>
      <w:rPr>
        <w:rFonts w:cs="Arial"/>
        <w:sz w:val="20"/>
        <w:szCs w:val="20"/>
      </w:rPr>
    </w:pPr>
  </w:p>
  <w:p w14:paraId="6AEFEF70"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B988" w14:textId="77777777" w:rsidR="003E7236" w:rsidRDefault="003E7236" w:rsidP="0034134D">
      <w:r>
        <w:separator/>
      </w:r>
    </w:p>
  </w:footnote>
  <w:footnote w:type="continuationSeparator" w:id="0">
    <w:p w14:paraId="666E414D" w14:textId="77777777" w:rsidR="003E7236" w:rsidRDefault="003E7236" w:rsidP="0034134D">
      <w:r>
        <w:continuationSeparator/>
      </w:r>
    </w:p>
  </w:footnote>
  <w:footnote w:type="continuationNotice" w:id="1">
    <w:p w14:paraId="64A0EDB7" w14:textId="77777777" w:rsidR="003E7236" w:rsidRDefault="003E7236">
      <w:pPr>
        <w:spacing w:after="0"/>
      </w:pPr>
    </w:p>
  </w:footnote>
  <w:footnote w:id="2">
    <w:p w14:paraId="7BC32606" w14:textId="3F93E984" w:rsidR="00763506" w:rsidRPr="00763506" w:rsidRDefault="00763506">
      <w:pPr>
        <w:pStyle w:val="FootnoteText"/>
      </w:pPr>
      <w:r>
        <w:rPr>
          <w:rStyle w:val="FootnoteReference"/>
        </w:rPr>
        <w:footnoteRef/>
      </w:r>
      <w:r>
        <w:t xml:space="preserve"> Committee on the Rights of the Child, ‘General Comment No 24 on children’s rights in the child justice system’ (CRC/C/GC/24, 18 September 2019) (</w:t>
      </w:r>
      <w:r>
        <w:rPr>
          <w:b/>
          <w:bCs/>
        </w:rPr>
        <w:t>General Comment No 24</w:t>
      </w:r>
      <w:r>
        <w:t>).</w:t>
      </w:r>
    </w:p>
  </w:footnote>
  <w:footnote w:id="3">
    <w:p w14:paraId="6ECCB1B7" w14:textId="12A57741" w:rsidR="009C7569" w:rsidRDefault="009C7569">
      <w:pPr>
        <w:pStyle w:val="FootnoteText"/>
      </w:pPr>
      <w:r>
        <w:rPr>
          <w:rStyle w:val="FootnoteReference"/>
        </w:rPr>
        <w:footnoteRef/>
      </w:r>
      <w:r>
        <w:t xml:space="preserve"> Including comments of the Australian Government: see Australian Government, ‘Draft General Comment No. 24, replacing General Comment No. 10 on Children’s rights in juvenile justice’ (Submission, 2018), &lt;</w:t>
      </w:r>
      <w:r w:rsidRPr="009C7569">
        <w:t>https://www.ohchr.org/Documents/HRBodies/CRC/GC10/Australia.docx</w:t>
      </w:r>
      <w:r>
        <w:t>&gt;.</w:t>
      </w:r>
    </w:p>
  </w:footnote>
  <w:footnote w:id="4">
    <w:p w14:paraId="7E451DE7" w14:textId="63F20317" w:rsidR="00142788" w:rsidRDefault="00142788">
      <w:pPr>
        <w:pStyle w:val="FootnoteText"/>
      </w:pPr>
      <w:r>
        <w:rPr>
          <w:rStyle w:val="FootnoteReference"/>
        </w:rPr>
        <w:footnoteRef/>
      </w:r>
      <w:r>
        <w:t xml:space="preserve"> </w:t>
      </w:r>
      <w:r w:rsidR="00286DBF">
        <w:t>General Comment No 24</w:t>
      </w:r>
      <w:r>
        <w:t>, [1].</w:t>
      </w:r>
    </w:p>
  </w:footnote>
  <w:footnote w:id="5">
    <w:p w14:paraId="5CD88136" w14:textId="0EF021CD" w:rsidR="00142788" w:rsidRDefault="00142788" w:rsidP="00142788">
      <w:pPr>
        <w:pStyle w:val="FootnoteText"/>
      </w:pPr>
      <w:r>
        <w:rPr>
          <w:rStyle w:val="FootnoteReference"/>
        </w:rPr>
        <w:footnoteRef/>
      </w:r>
      <w:r>
        <w:t xml:space="preserve"> </w:t>
      </w:r>
      <w:r w:rsidR="00286DBF">
        <w:t>General Comment No 24</w:t>
      </w:r>
      <w:r>
        <w:t>, [2].</w:t>
      </w:r>
    </w:p>
  </w:footnote>
  <w:footnote w:id="6">
    <w:p w14:paraId="42BE6B05" w14:textId="03509184" w:rsidR="00A20DE1" w:rsidRDefault="00A20DE1">
      <w:pPr>
        <w:pStyle w:val="FootnoteText"/>
      </w:pPr>
      <w:r>
        <w:rPr>
          <w:rStyle w:val="FootnoteReference"/>
        </w:rPr>
        <w:footnoteRef/>
      </w:r>
      <w:r>
        <w:t xml:space="preserve"> </w:t>
      </w:r>
      <w:r w:rsidR="00286DBF">
        <w:t>General Comment No 24</w:t>
      </w:r>
      <w:r>
        <w:t>, [3].</w:t>
      </w:r>
    </w:p>
  </w:footnote>
  <w:footnote w:id="7">
    <w:p w14:paraId="21C82A23" w14:textId="236C89C5" w:rsidR="005077E4" w:rsidRDefault="005077E4">
      <w:pPr>
        <w:pStyle w:val="FootnoteText"/>
      </w:pPr>
      <w:r>
        <w:rPr>
          <w:rStyle w:val="FootnoteReference"/>
        </w:rPr>
        <w:footnoteRef/>
      </w:r>
      <w:r>
        <w:t xml:space="preserve"> Convention on the Rights of the Child, art 4</w:t>
      </w:r>
      <w:r w:rsidR="00F64C48">
        <w:t>0</w:t>
      </w:r>
      <w:r>
        <w:t>.</w:t>
      </w:r>
    </w:p>
  </w:footnote>
  <w:footnote w:id="8">
    <w:p w14:paraId="78E1E17C" w14:textId="0DB7076A" w:rsidR="00142788" w:rsidRDefault="00142788" w:rsidP="00142788">
      <w:pPr>
        <w:pStyle w:val="FootnoteText"/>
      </w:pPr>
      <w:r>
        <w:rPr>
          <w:rStyle w:val="FootnoteReference"/>
        </w:rPr>
        <w:footnoteRef/>
      </w:r>
      <w:r>
        <w:t xml:space="preserve"> </w:t>
      </w:r>
      <w:r w:rsidR="00286DBF">
        <w:t>General Comment No 24</w:t>
      </w:r>
      <w:r>
        <w:t>, [3].</w:t>
      </w:r>
    </w:p>
  </w:footnote>
  <w:footnote w:id="9">
    <w:p w14:paraId="63AF6BB6" w14:textId="33353771" w:rsidR="00C40FA5" w:rsidRDefault="00C40FA5">
      <w:pPr>
        <w:pStyle w:val="FootnoteText"/>
      </w:pPr>
      <w:r>
        <w:rPr>
          <w:rStyle w:val="FootnoteReference"/>
        </w:rPr>
        <w:footnoteRef/>
      </w:r>
      <w:r>
        <w:t xml:space="preserve"> </w:t>
      </w:r>
      <w:r w:rsidR="00286DBF">
        <w:t>General Comment No 24</w:t>
      </w:r>
      <w:r>
        <w:t>, [82].</w:t>
      </w:r>
    </w:p>
  </w:footnote>
  <w:footnote w:id="10">
    <w:p w14:paraId="2B5233B4" w14:textId="0C0CA4E9" w:rsidR="008F5487" w:rsidRDefault="008F5487">
      <w:pPr>
        <w:pStyle w:val="FootnoteText"/>
      </w:pPr>
      <w:r>
        <w:rPr>
          <w:rStyle w:val="FootnoteReference"/>
        </w:rPr>
        <w:footnoteRef/>
      </w:r>
      <w:r>
        <w:t xml:space="preserve"> UN Human Rights Council, ‘Report of the Special Rapporteur on the right of everyone to the enjoyment of the highest attainable standard of physical and mental health’ (A/HRC/38/36, 10 April 2018)</w:t>
      </w:r>
      <w:r w:rsidR="0002040C">
        <w:t xml:space="preserve"> (internal citations omitted)</w:t>
      </w:r>
      <w:r>
        <w:t>.</w:t>
      </w:r>
    </w:p>
  </w:footnote>
  <w:footnote w:id="11">
    <w:p w14:paraId="3F1BEF7A" w14:textId="55458E36" w:rsidR="00B44C9B" w:rsidRDefault="00B44C9B">
      <w:pPr>
        <w:pStyle w:val="FootnoteText"/>
      </w:pPr>
      <w:r>
        <w:rPr>
          <w:rStyle w:val="FootnoteReference"/>
        </w:rPr>
        <w:footnoteRef/>
      </w:r>
      <w:r>
        <w:t xml:space="preserve"> The European Committee is not a </w:t>
      </w:r>
      <w:r w:rsidR="00396FFB">
        <w:t>UN</w:t>
      </w:r>
      <w:r>
        <w:t xml:space="preserve"> body</w:t>
      </w:r>
      <w:r w:rsidR="00F80128">
        <w:t xml:space="preserve">. It was established </w:t>
      </w:r>
      <w:r w:rsidR="00F80128" w:rsidRPr="00F80128">
        <w:t xml:space="preserve">under the Council of Europe’s </w:t>
      </w:r>
      <w:r w:rsidR="00F80128" w:rsidRPr="00F80128">
        <w:rPr>
          <w:i/>
          <w:iCs/>
        </w:rPr>
        <w:t>European Convention for the Prevention of Torture and Inhuman or Degrading Treatment or Punishment</w:t>
      </w:r>
      <w:r w:rsidR="00F80128">
        <w:t xml:space="preserve"> in 1989, and conducts </w:t>
      </w:r>
      <w:r w:rsidR="00F80128" w:rsidRPr="00F80128">
        <w:t>visits to places of detention, in order to assess how persons deprived of their liberty are treated.</w:t>
      </w:r>
    </w:p>
  </w:footnote>
  <w:footnote w:id="12">
    <w:p w14:paraId="23A2BF6E" w14:textId="444E2F2E" w:rsidR="007F7BEF" w:rsidRDefault="007F7BEF">
      <w:pPr>
        <w:pStyle w:val="FootnoteText"/>
      </w:pPr>
      <w:r>
        <w:rPr>
          <w:rStyle w:val="FootnoteReference"/>
        </w:rPr>
        <w:footnoteRef/>
      </w:r>
      <w:r>
        <w:t xml:space="preserve"> </w:t>
      </w:r>
      <w:r w:rsidRPr="00210E9E">
        <w:rPr>
          <w:rFonts w:cs="Arial"/>
        </w:rPr>
        <w:t xml:space="preserve">European Committee for the Prevention of Torture and Inhuman or Degrading Treatment or Punishment, </w:t>
      </w:r>
      <w:r w:rsidRPr="00210E9E">
        <w:rPr>
          <w:rFonts w:cs="Arial"/>
          <w:i/>
          <w:iCs/>
        </w:rPr>
        <w:t>Juveniles Deprived of Their Liberty under Criminal Legislation</w:t>
      </w:r>
      <w:r w:rsidRPr="00210E9E">
        <w:rPr>
          <w:rFonts w:cs="Arial"/>
        </w:rPr>
        <w:t>, CPT/Inf(2015)1-Part Rev1 (2015) [</w:t>
      </w:r>
      <w:r>
        <w:rPr>
          <w:rFonts w:cs="Arial"/>
        </w:rPr>
        <w:t>101</w:t>
      </w:r>
      <w:r w:rsidRPr="00210E9E">
        <w:rPr>
          <w:rFonts w:cs="Arial"/>
        </w:rPr>
        <w:t>].</w:t>
      </w:r>
      <w:r w:rsidR="00CA6D58">
        <w:rPr>
          <w:rFonts w:cs="Arial"/>
        </w:rPr>
        <w:t xml:space="preserve"> See also Human Rights Council, ‘</w:t>
      </w:r>
      <w:r w:rsidR="00CA6D58" w:rsidRPr="00CA6D58">
        <w:rPr>
          <w:rFonts w:cs="Arial"/>
        </w:rPr>
        <w:t>Report of the Special Rapporteur on torture and other cruel, inhuman or degrading treatment or punishment, Juan E. Méndez</w:t>
      </w:r>
      <w:r w:rsidR="00CA6D58">
        <w:rPr>
          <w:rFonts w:cs="Arial"/>
        </w:rPr>
        <w:t>’ (A/HRC/28/68, 5 March 2015), [76]: ‘</w:t>
      </w:r>
      <w:r w:rsidR="00CA6D58">
        <w:t>Children in conflict with the law should be held in detention centres specifically designed for persons under the age of 18 years, offering a non-prison-like environment and regimes tailored to their needs and run by specialized staff, trained in dealing with children’.</w:t>
      </w:r>
    </w:p>
  </w:footnote>
  <w:footnote w:id="13">
    <w:p w14:paraId="462D33D6" w14:textId="77777777" w:rsidR="008041AD" w:rsidRDefault="008041AD" w:rsidP="008041AD">
      <w:pPr>
        <w:pStyle w:val="FootnoteText"/>
      </w:pPr>
      <w:r>
        <w:rPr>
          <w:rStyle w:val="FootnoteReference"/>
        </w:rPr>
        <w:footnoteRef/>
      </w:r>
      <w:r>
        <w:t xml:space="preserve"> Although under Australia’s treaty obligations there are some rights that it is never considered reasonable or justified to limit – such as the prohibition against torture and other ill-treatment.</w:t>
      </w:r>
    </w:p>
  </w:footnote>
  <w:footnote w:id="14">
    <w:p w14:paraId="4F2A7C3F" w14:textId="77777777" w:rsidR="008041AD" w:rsidRDefault="008041AD" w:rsidP="008041AD">
      <w:pPr>
        <w:pStyle w:val="FootnoteText"/>
      </w:pPr>
      <w:r>
        <w:rPr>
          <w:rStyle w:val="FootnoteReference"/>
        </w:rPr>
        <w:footnoteRef/>
      </w:r>
      <w:r>
        <w:t xml:space="preserve"> </w:t>
      </w:r>
      <w:r w:rsidRPr="002E660B">
        <w:rPr>
          <w:i/>
          <w:iCs/>
        </w:rPr>
        <w:t>Human Rights Act 20</w:t>
      </w:r>
      <w:r>
        <w:rPr>
          <w:i/>
          <w:iCs/>
        </w:rPr>
        <w:t>19</w:t>
      </w:r>
      <w:r>
        <w:t xml:space="preserve"> (Qld), s 48(3).</w:t>
      </w:r>
    </w:p>
  </w:footnote>
  <w:footnote w:id="15">
    <w:p w14:paraId="166B6659" w14:textId="77777777" w:rsidR="00FE4078" w:rsidRPr="00F81F0E" w:rsidRDefault="00FE4078">
      <w:pPr>
        <w:pStyle w:val="FootnoteText"/>
        <w:rPr>
          <w:lang w:val="en-US"/>
        </w:rPr>
      </w:pPr>
      <w:r>
        <w:rPr>
          <w:rStyle w:val="FootnoteReference"/>
        </w:rPr>
        <w:tab/>
      </w:r>
      <w:r w:rsidRPr="00F81F0E">
        <w:rPr>
          <w:rStyle w:val="FootnoteReference"/>
          <w:vertAlign w:val="baseline"/>
        </w:rPr>
        <w:t>*</w:t>
      </w:r>
      <w:r>
        <w:rPr>
          <w:rStyle w:val="FootnoteReference"/>
          <w:vertAlign w:val="baseline"/>
        </w:rPr>
        <w:tab/>
      </w:r>
      <w:r>
        <w:t>Reissued for technical reasons on 11 November 2019.</w:t>
      </w:r>
    </w:p>
  </w:footnote>
  <w:footnote w:id="16">
    <w:p w14:paraId="314229A4" w14:textId="77777777" w:rsidR="00FE4078" w:rsidRPr="00596A3F" w:rsidRDefault="00FE4078" w:rsidP="008D002F">
      <w:pPr>
        <w:pStyle w:val="FootnoteText"/>
      </w:pPr>
      <w:r>
        <w:tab/>
      </w:r>
      <w:r w:rsidRPr="00BF4D25">
        <w:rPr>
          <w:rStyle w:val="FootnoteReference"/>
        </w:rPr>
        <w:footnoteRef/>
      </w:r>
      <w:r w:rsidRPr="00596A3F">
        <w:tab/>
      </w:r>
      <w:r>
        <w:t xml:space="preserve">In </w:t>
      </w:r>
      <w:r>
        <w:rPr>
          <w:lang w:val="en-US"/>
        </w:rPr>
        <w:t>t</w:t>
      </w:r>
      <w:r w:rsidRPr="00164FE5">
        <w:rPr>
          <w:lang w:val="en-US"/>
        </w:rPr>
        <w:t>he English version of the present general comment</w:t>
      </w:r>
      <w:r>
        <w:rPr>
          <w:lang w:val="en-US"/>
        </w:rPr>
        <w:t>,</w:t>
      </w:r>
      <w:r w:rsidRPr="00164FE5">
        <w:rPr>
          <w:lang w:val="en-US"/>
        </w:rPr>
        <w:t xml:space="preserve"> th</w:t>
      </w:r>
      <w:r>
        <w:rPr>
          <w:lang w:val="en-US"/>
        </w:rPr>
        <w:t>e</w:t>
      </w:r>
      <w:r w:rsidRPr="00164FE5">
        <w:rPr>
          <w:lang w:val="en-US"/>
        </w:rPr>
        <w:t xml:space="preserve"> term </w:t>
      </w:r>
      <w:r>
        <w:rPr>
          <w:lang w:val="en-US"/>
        </w:rPr>
        <w:t>“c</w:t>
      </w:r>
      <w:r w:rsidRPr="005F45CF">
        <w:rPr>
          <w:lang w:val="en-US"/>
        </w:rPr>
        <w:t>hild justice system</w:t>
      </w:r>
      <w:r>
        <w:rPr>
          <w:lang w:val="en-US"/>
        </w:rPr>
        <w:t>”</w:t>
      </w:r>
      <w:r w:rsidRPr="00164FE5">
        <w:rPr>
          <w:lang w:val="en-US"/>
        </w:rPr>
        <w:t xml:space="preserve"> </w:t>
      </w:r>
      <w:r>
        <w:rPr>
          <w:lang w:val="en-US"/>
        </w:rPr>
        <w:t xml:space="preserve">is used </w:t>
      </w:r>
      <w:r w:rsidRPr="00164FE5">
        <w:rPr>
          <w:lang w:val="en-US"/>
        </w:rPr>
        <w:t>in place of “juvenile justice”</w:t>
      </w:r>
      <w:r w:rsidRPr="00164FE5">
        <w:t>.</w:t>
      </w:r>
    </w:p>
  </w:footnote>
  <w:footnote w:id="17">
    <w:p w14:paraId="52445317" w14:textId="77777777" w:rsidR="00FE4078" w:rsidRPr="00596A3F" w:rsidRDefault="00FE4078" w:rsidP="00596A3F">
      <w:pPr>
        <w:pStyle w:val="FootnoteText"/>
      </w:pPr>
      <w:r w:rsidRPr="00596A3F">
        <w:tab/>
      </w:r>
      <w:r w:rsidRPr="00BF4D25">
        <w:rPr>
          <w:rStyle w:val="FootnoteReference"/>
        </w:rPr>
        <w:footnoteRef/>
      </w:r>
      <w:r w:rsidRPr="00596A3F">
        <w:tab/>
      </w:r>
      <w:r>
        <w:t>United Nations Rules for the Protection of Juveniles Deprived of their Liberty</w:t>
      </w:r>
      <w:r w:rsidRPr="00596A3F">
        <w:t xml:space="preserve"> </w:t>
      </w:r>
      <w:r>
        <w:t>(</w:t>
      </w:r>
      <w:r w:rsidRPr="00596A3F">
        <w:t>Havana Rules</w:t>
      </w:r>
      <w:r>
        <w:t>),</w:t>
      </w:r>
      <w:r w:rsidRPr="00596A3F">
        <w:t xml:space="preserve"> </w:t>
      </w:r>
      <w:r>
        <w:br/>
      </w:r>
      <w:r w:rsidRPr="00596A3F">
        <w:t xml:space="preserve">art. 11 </w:t>
      </w:r>
      <w:r>
        <w:t>(</w:t>
      </w:r>
      <w:r w:rsidRPr="00596A3F">
        <w:t>b).</w:t>
      </w:r>
    </w:p>
  </w:footnote>
  <w:footnote w:id="18">
    <w:p w14:paraId="22348362" w14:textId="77777777" w:rsidR="00FE4078" w:rsidRPr="00596A3F" w:rsidRDefault="00FE4078" w:rsidP="00596A3F">
      <w:pPr>
        <w:pStyle w:val="FootnoteText"/>
      </w:pPr>
      <w:r>
        <w:tab/>
      </w:r>
      <w:r w:rsidRPr="00BF4D25">
        <w:rPr>
          <w:rStyle w:val="FootnoteReference"/>
        </w:rPr>
        <w:footnoteRef/>
      </w:r>
      <w:r w:rsidRPr="00596A3F">
        <w:tab/>
      </w:r>
      <w:r w:rsidRPr="0000642B">
        <w:t xml:space="preserve">Basic principles on the use of restorative justice programmes in criminal matters, </w:t>
      </w:r>
      <w:r>
        <w:t>para.</w:t>
      </w:r>
      <w:r w:rsidRPr="0000642B">
        <w:t xml:space="preserve"> </w:t>
      </w:r>
      <w:r>
        <w:t>2</w:t>
      </w:r>
      <w:r w:rsidRPr="0000642B">
        <w:t>.</w:t>
      </w:r>
    </w:p>
  </w:footnote>
  <w:footnote w:id="19">
    <w:p w14:paraId="53A0FAE7" w14:textId="77777777" w:rsidR="00FE4078" w:rsidRPr="0075567E" w:rsidRDefault="00FE4078">
      <w:pPr>
        <w:pStyle w:val="FootnoteText"/>
        <w:rPr>
          <w:lang w:val="en-US"/>
        </w:rPr>
      </w:pPr>
      <w:r>
        <w:tab/>
      </w:r>
      <w:r>
        <w:rPr>
          <w:rStyle w:val="FootnoteReference"/>
        </w:rPr>
        <w:footnoteRef/>
      </w:r>
      <w:r>
        <w:tab/>
        <w:t>S</w:t>
      </w:r>
      <w:r w:rsidRPr="0075567E">
        <w:t>ee also section IV.E below</w:t>
      </w:r>
      <w:r>
        <w:t>.</w:t>
      </w:r>
    </w:p>
  </w:footnote>
  <w:footnote w:id="20">
    <w:p w14:paraId="61C64183" w14:textId="77777777" w:rsidR="00FE4078" w:rsidRPr="00822E41" w:rsidRDefault="00FE4078">
      <w:pPr>
        <w:pStyle w:val="FootnoteText"/>
        <w:rPr>
          <w:lang w:val="en-ZA"/>
        </w:rPr>
      </w:pPr>
      <w:r>
        <w:rPr>
          <w:lang w:val="en-ZA"/>
        </w:rPr>
        <w:tab/>
      </w:r>
      <w:r>
        <w:rPr>
          <w:rStyle w:val="FootnoteReference"/>
        </w:rPr>
        <w:footnoteRef/>
      </w:r>
      <w:r>
        <w:rPr>
          <w:lang w:val="en-ZA"/>
        </w:rPr>
        <w:tab/>
        <w:t xml:space="preserve">Human Rights Council resolution 25/6. </w:t>
      </w:r>
    </w:p>
  </w:footnote>
  <w:footnote w:id="21">
    <w:p w14:paraId="0DCC3761" w14:textId="77777777" w:rsidR="00FE4078" w:rsidRPr="0075567E" w:rsidRDefault="00FE4078">
      <w:pPr>
        <w:pStyle w:val="FootnoteText"/>
        <w:rPr>
          <w:lang w:val="en-US"/>
        </w:rPr>
      </w:pPr>
      <w:r>
        <w:tab/>
      </w:r>
      <w:r>
        <w:rPr>
          <w:rStyle w:val="FootnoteReference"/>
        </w:rPr>
        <w:footnoteRef/>
      </w:r>
      <w:r>
        <w:tab/>
        <w:t>S</w:t>
      </w:r>
      <w:r w:rsidRPr="00614C17">
        <w:t xml:space="preserve">ee also section </w:t>
      </w:r>
      <w:r>
        <w:t>IV.</w:t>
      </w:r>
      <w:r w:rsidRPr="00614C17">
        <w:t>B above</w:t>
      </w:r>
      <w:r>
        <w:t>.</w:t>
      </w:r>
    </w:p>
  </w:footnote>
  <w:footnote w:id="22">
    <w:p w14:paraId="1C39A3D4" w14:textId="77777777" w:rsidR="00FE4078" w:rsidRPr="00B16AB9" w:rsidRDefault="00FE4078" w:rsidP="00EE1A9B">
      <w:pPr>
        <w:pStyle w:val="FootnoteText"/>
        <w:rPr>
          <w:lang w:val="en-US"/>
        </w:rPr>
      </w:pPr>
      <w:r>
        <w:rPr>
          <w:rStyle w:val="FootnoteReference"/>
        </w:rPr>
        <w:footnoteRef/>
      </w:r>
      <w:r>
        <w:t xml:space="preserve"> This includes </w:t>
      </w:r>
      <w:r>
        <w:rPr>
          <w:lang w:val="en-US"/>
        </w:rPr>
        <w:t xml:space="preserve">the use of watch houses for prolonged detention of children and young people, conducting visits to watchhouses and youth detention </w:t>
      </w:r>
      <w:proofErr w:type="spellStart"/>
      <w:r>
        <w:rPr>
          <w:lang w:val="en-US"/>
        </w:rPr>
        <w:t>centres</w:t>
      </w:r>
      <w:proofErr w:type="spellEnd"/>
      <w:r>
        <w:rPr>
          <w:lang w:val="en-US"/>
        </w:rPr>
        <w:t xml:space="preserve">, collaborating with oversight agencies on issues affecting young people in the youth justice system, participating in the </w:t>
      </w:r>
      <w:r>
        <w:rPr>
          <w:rFonts w:cs="Arial"/>
          <w:lang w:val="en-US"/>
        </w:rPr>
        <w:t xml:space="preserve">Queensland Legal Affairs and Safety Committee’s </w:t>
      </w:r>
      <w:r w:rsidRPr="00A57B00">
        <w:rPr>
          <w:rFonts w:cs="Arial"/>
          <w:i/>
          <w:lang w:val="en-US"/>
        </w:rPr>
        <w:t xml:space="preserve">Inquiry into </w:t>
      </w:r>
      <w:r>
        <w:rPr>
          <w:rFonts w:cs="Arial"/>
          <w:i/>
          <w:iCs/>
          <w:lang w:val="en-US"/>
        </w:rPr>
        <w:t>S</w:t>
      </w:r>
      <w:r w:rsidRPr="00A57B00">
        <w:rPr>
          <w:rFonts w:cs="Arial"/>
          <w:i/>
          <w:iCs/>
          <w:lang w:val="en-US"/>
        </w:rPr>
        <w:t>upport</w:t>
      </w:r>
      <w:r w:rsidRPr="00A57B00">
        <w:rPr>
          <w:rFonts w:cs="Arial"/>
          <w:i/>
          <w:lang w:val="en-US"/>
        </w:rPr>
        <w:t xml:space="preserve"> provided to </w:t>
      </w:r>
      <w:r>
        <w:rPr>
          <w:rFonts w:cs="Arial"/>
          <w:i/>
          <w:iCs/>
          <w:lang w:val="en-US"/>
        </w:rPr>
        <w:t>V</w:t>
      </w:r>
      <w:r w:rsidRPr="00A57B00">
        <w:rPr>
          <w:rFonts w:cs="Arial"/>
          <w:i/>
          <w:iCs/>
          <w:lang w:val="en-US"/>
        </w:rPr>
        <w:t>ictims</w:t>
      </w:r>
      <w:r w:rsidRPr="00A57B00">
        <w:rPr>
          <w:rFonts w:cs="Arial"/>
          <w:i/>
          <w:lang w:val="en-US"/>
        </w:rPr>
        <w:t xml:space="preserve"> of </w:t>
      </w:r>
      <w:r>
        <w:rPr>
          <w:rFonts w:cs="Arial"/>
          <w:i/>
          <w:iCs/>
          <w:lang w:val="en-US"/>
        </w:rPr>
        <w:t>C</w:t>
      </w:r>
      <w:r w:rsidRPr="00A57B00">
        <w:rPr>
          <w:rFonts w:cs="Arial"/>
          <w:i/>
          <w:iCs/>
          <w:lang w:val="en-US"/>
        </w:rPr>
        <w:t>rime</w:t>
      </w:r>
      <w:r>
        <w:rPr>
          <w:rFonts w:cs="Arial"/>
          <w:lang w:val="en-US"/>
        </w:rPr>
        <w:t xml:space="preserve">, advocating for an independent review of Queensland state schools’ high rates of disciplinary school absences, receiving complaints under the </w:t>
      </w:r>
      <w:r w:rsidRPr="00296B8B">
        <w:rPr>
          <w:rFonts w:cs="Arial"/>
          <w:i/>
          <w:iCs/>
          <w:lang w:val="en-US"/>
        </w:rPr>
        <w:t>Human Rights Act 2019</w:t>
      </w:r>
      <w:r>
        <w:rPr>
          <w:rFonts w:cs="Arial"/>
          <w:lang w:val="en-US"/>
        </w:rPr>
        <w:t xml:space="preserve"> (Qld) concerning education and detention of young people, intervening in court proceedings, engaging with the Productivity Commission in relation to the review of the National Agreement on Closing the Gap, and making submissions on proposed legislation related to the age of criminal responsibility and bail and sentencing laws. See further Queensland Human Rights Commission, Submission No 16 to Youth Justice Reform Select Committee</w:t>
      </w:r>
      <w:r w:rsidRPr="00A57B00">
        <w:rPr>
          <w:rFonts w:cs="Arial"/>
          <w:i/>
          <w:lang w:val="en-US"/>
        </w:rPr>
        <w:t xml:space="preserve">, Inquiry </w:t>
      </w:r>
      <w:r w:rsidRPr="00A57B00">
        <w:rPr>
          <w:rFonts w:cs="Arial"/>
          <w:i/>
          <w:iCs/>
          <w:lang w:val="en-US"/>
        </w:rPr>
        <w:t>into</w:t>
      </w:r>
      <w:r w:rsidRPr="00A57B00">
        <w:rPr>
          <w:rFonts w:cs="Arial"/>
          <w:i/>
          <w:lang w:val="en-US"/>
        </w:rPr>
        <w:t xml:space="preserve"> youth justice </w:t>
      </w:r>
      <w:r w:rsidRPr="00A57B00">
        <w:rPr>
          <w:rFonts w:cs="Arial"/>
          <w:i/>
          <w:iCs/>
          <w:lang w:val="en-US"/>
        </w:rPr>
        <w:t>reform in Queensland</w:t>
      </w:r>
      <w:r>
        <w:rPr>
          <w:rFonts w:cs="Arial"/>
          <w:lang w:val="en-US"/>
        </w:rPr>
        <w:t xml:space="preserve"> (15 November 2023).</w:t>
      </w:r>
    </w:p>
  </w:footnote>
  <w:footnote w:id="23">
    <w:p w14:paraId="6A4EBA47" w14:textId="77777777" w:rsidR="00FE4078" w:rsidRPr="0017227A" w:rsidRDefault="00FE4078">
      <w:pPr>
        <w:pStyle w:val="FootnoteText"/>
        <w:rPr>
          <w:lang w:val="en-US"/>
        </w:rPr>
      </w:pPr>
      <w:r>
        <w:rPr>
          <w:rStyle w:val="FootnoteReference"/>
        </w:rPr>
        <w:footnoteRef/>
      </w:r>
      <w:r>
        <w:t xml:space="preserve"> </w:t>
      </w:r>
      <w:r>
        <w:rPr>
          <w:lang w:val="en-US"/>
        </w:rPr>
        <w:t xml:space="preserve">Queensland Government, </w:t>
      </w:r>
      <w:r w:rsidRPr="0017227A">
        <w:rPr>
          <w:i/>
          <w:lang w:val="en-US"/>
        </w:rPr>
        <w:t>Putting Queensland Kids First</w:t>
      </w:r>
      <w:r>
        <w:rPr>
          <w:i/>
          <w:iCs/>
          <w:lang w:val="en-US"/>
        </w:rPr>
        <w:t xml:space="preserve">: Giving our kids the opportunity of a lifetime </w:t>
      </w:r>
      <w:r>
        <w:rPr>
          <w:lang w:val="en-US"/>
        </w:rPr>
        <w:t>(Consultation draft, 2024) 10.</w:t>
      </w:r>
    </w:p>
  </w:footnote>
  <w:footnote w:id="24">
    <w:p w14:paraId="694D33D2" w14:textId="77777777" w:rsidR="00FE4078" w:rsidRPr="00B07289" w:rsidRDefault="00FE4078" w:rsidP="000606F0">
      <w:pPr>
        <w:pStyle w:val="FootnoteText"/>
        <w:rPr>
          <w:lang w:val="en-US"/>
        </w:rPr>
      </w:pPr>
      <w:r>
        <w:rPr>
          <w:rStyle w:val="FootnoteReference"/>
        </w:rPr>
        <w:footnoteRef/>
      </w:r>
      <w:r>
        <w:t xml:space="preserve"> Ibid.</w:t>
      </w:r>
    </w:p>
  </w:footnote>
  <w:footnote w:id="25">
    <w:p w14:paraId="51C9ED0F" w14:textId="77777777" w:rsidR="00FE4078" w:rsidRPr="00696D44" w:rsidRDefault="00FE4078" w:rsidP="00972920">
      <w:pPr>
        <w:pStyle w:val="FootnoteText"/>
        <w:rPr>
          <w:lang w:val="en-US"/>
        </w:rPr>
      </w:pPr>
      <w:r>
        <w:rPr>
          <w:rStyle w:val="FootnoteReference"/>
        </w:rPr>
        <w:footnoteRef/>
      </w:r>
      <w:r>
        <w:t xml:space="preserve"> </w:t>
      </w:r>
      <w:r w:rsidRPr="00930ACE">
        <w:t xml:space="preserve">Department of the Prime Minister and Cabinet (NZ), </w:t>
      </w:r>
      <w:r w:rsidRPr="00930ACE">
        <w:rPr>
          <w:i/>
          <w:iCs/>
        </w:rPr>
        <w:t>Child and Youth Wellbeing Strategy</w:t>
      </w:r>
      <w:r w:rsidRPr="00930ACE">
        <w:t xml:space="preserve"> (29 August 2019)</w:t>
      </w:r>
      <w:r>
        <w:t xml:space="preserve"> (</w:t>
      </w:r>
      <w:r w:rsidRPr="00C2037D">
        <w:rPr>
          <w:b/>
          <w:bCs/>
        </w:rPr>
        <w:t>New Zealand Child and Youth Strategy</w:t>
      </w:r>
      <w:r>
        <w:t>) 10.</w:t>
      </w:r>
    </w:p>
  </w:footnote>
  <w:footnote w:id="26">
    <w:p w14:paraId="4A983642" w14:textId="77777777" w:rsidR="00FE4078" w:rsidRDefault="00FE4078">
      <w:pPr>
        <w:pStyle w:val="FootnoteText"/>
      </w:pPr>
      <w:r>
        <w:rPr>
          <w:rStyle w:val="FootnoteReference"/>
        </w:rPr>
        <w:footnoteRef/>
      </w:r>
      <w:r>
        <w:t xml:space="preserve"> Ibid 20-21.</w:t>
      </w:r>
    </w:p>
  </w:footnote>
  <w:footnote w:id="27">
    <w:p w14:paraId="4C666BB3" w14:textId="77777777" w:rsidR="00FE4078" w:rsidRPr="00D97BCD" w:rsidRDefault="00FE4078">
      <w:pPr>
        <w:pStyle w:val="FootnoteText"/>
      </w:pPr>
      <w:r>
        <w:rPr>
          <w:rStyle w:val="FootnoteReference"/>
        </w:rPr>
        <w:footnoteRef/>
      </w:r>
      <w:r>
        <w:t xml:space="preserve"> United Nations, </w:t>
      </w:r>
      <w:r>
        <w:rPr>
          <w:i/>
          <w:iCs/>
        </w:rPr>
        <w:t>Youth 2030: Working with and for Young People</w:t>
      </w:r>
      <w:r>
        <w:t xml:space="preserve"> (September 2018).</w:t>
      </w:r>
    </w:p>
  </w:footnote>
  <w:footnote w:id="28">
    <w:p w14:paraId="103E972F" w14:textId="77777777" w:rsidR="00FE4078" w:rsidRDefault="00FE4078" w:rsidP="000E7B93">
      <w:pPr>
        <w:pStyle w:val="FootnoteText"/>
      </w:pPr>
      <w:r>
        <w:rPr>
          <w:rStyle w:val="FootnoteReference"/>
        </w:rPr>
        <w:footnoteRef/>
      </w:r>
      <w:r>
        <w:t xml:space="preserve"> Commonwealth of Australia, </w:t>
      </w:r>
      <w:r>
        <w:rPr>
          <w:i/>
          <w:iCs/>
        </w:rPr>
        <w:t xml:space="preserve">Safe and Supported: </w:t>
      </w:r>
      <w:r w:rsidRPr="002C48F3">
        <w:rPr>
          <w:i/>
          <w:iCs/>
        </w:rPr>
        <w:t xml:space="preserve">The National Framework for Protecting Australia’s Children 2021 </w:t>
      </w:r>
      <w:r>
        <w:rPr>
          <w:i/>
          <w:iCs/>
        </w:rPr>
        <w:t xml:space="preserve">– </w:t>
      </w:r>
      <w:r w:rsidRPr="002C48F3">
        <w:rPr>
          <w:i/>
          <w:iCs/>
        </w:rPr>
        <w:t>2031</w:t>
      </w:r>
      <w:r>
        <w:rPr>
          <w:i/>
          <w:iCs/>
        </w:rPr>
        <w:t xml:space="preserve"> </w:t>
      </w:r>
      <w:r>
        <w:t>(2021) 8 (</w:t>
      </w:r>
      <w:r w:rsidRPr="005776B5">
        <w:rPr>
          <w:b/>
          <w:bCs/>
        </w:rPr>
        <w:t>Australian National Framework</w:t>
      </w:r>
      <w:r>
        <w:t>).</w:t>
      </w:r>
    </w:p>
  </w:footnote>
  <w:footnote w:id="29">
    <w:p w14:paraId="4C3AA1CB" w14:textId="77777777" w:rsidR="00FE4078" w:rsidRDefault="00FE4078">
      <w:pPr>
        <w:pStyle w:val="FootnoteText"/>
      </w:pPr>
      <w:r>
        <w:rPr>
          <w:rStyle w:val="FootnoteReference"/>
        </w:rPr>
        <w:footnoteRef/>
      </w:r>
      <w:r>
        <w:t xml:space="preserve"> Tasmanian Government, </w:t>
      </w:r>
      <w:r w:rsidRPr="005C2411">
        <w:rPr>
          <w:i/>
          <w:iCs/>
        </w:rPr>
        <w:t>It Takes A Tasmanian Village: Child and Youth Wellbeing Strategy</w:t>
      </w:r>
      <w:r>
        <w:t xml:space="preserve"> (</w:t>
      </w:r>
      <w:r w:rsidRPr="004C5E3F">
        <w:t>August</w:t>
      </w:r>
      <w:r>
        <w:t xml:space="preserve"> 2021), 8 (</w:t>
      </w:r>
      <w:r>
        <w:rPr>
          <w:b/>
          <w:bCs/>
        </w:rPr>
        <w:t>Tasmanian Child and Youth Strategy</w:t>
      </w:r>
      <w:r>
        <w:t>).</w:t>
      </w:r>
    </w:p>
  </w:footnote>
  <w:footnote w:id="30">
    <w:p w14:paraId="005DB9AC" w14:textId="77777777" w:rsidR="00FE4078" w:rsidRPr="008A5CF3" w:rsidRDefault="00FE4078" w:rsidP="008A5CF3">
      <w:pPr>
        <w:rPr>
          <w:sz w:val="20"/>
          <w:szCs w:val="20"/>
        </w:rPr>
      </w:pPr>
      <w:r w:rsidRPr="008A5CF3">
        <w:rPr>
          <w:rStyle w:val="FootnoteReference"/>
          <w:sz w:val="20"/>
          <w:szCs w:val="20"/>
        </w:rPr>
        <w:footnoteRef/>
      </w:r>
      <w:r w:rsidRPr="008A5CF3">
        <w:rPr>
          <w:sz w:val="20"/>
          <w:szCs w:val="20"/>
        </w:rPr>
        <w:t xml:space="preserve"> Department of Territory Families, Housing and Communities (NT), </w:t>
      </w:r>
      <w:r w:rsidRPr="008A5CF3">
        <w:rPr>
          <w:i/>
          <w:iCs/>
          <w:sz w:val="20"/>
          <w:szCs w:val="20"/>
        </w:rPr>
        <w:t xml:space="preserve">Northern Territory Youth Strategy 2023–2033 </w:t>
      </w:r>
      <w:r w:rsidRPr="008A5CF3">
        <w:rPr>
          <w:sz w:val="20"/>
          <w:szCs w:val="20"/>
        </w:rPr>
        <w:t>(2023).</w:t>
      </w:r>
    </w:p>
  </w:footnote>
  <w:footnote w:id="31">
    <w:p w14:paraId="26A8B58E" w14:textId="77777777" w:rsidR="00FE4078" w:rsidRPr="00C64533" w:rsidRDefault="00FE4078">
      <w:pPr>
        <w:pStyle w:val="FootnoteText"/>
      </w:pPr>
      <w:r>
        <w:rPr>
          <w:rStyle w:val="FootnoteReference"/>
        </w:rPr>
        <w:footnoteRef/>
      </w:r>
      <w:r>
        <w:t xml:space="preserve"> Government of South Australia (SA), </w:t>
      </w:r>
      <w:r w:rsidRPr="00763E6A">
        <w:rPr>
          <w:i/>
          <w:iCs/>
        </w:rPr>
        <w:t>Safe and Well: Supporting families, protecting children</w:t>
      </w:r>
      <w:r>
        <w:t xml:space="preserve"> (December 2019).</w:t>
      </w:r>
    </w:p>
  </w:footnote>
  <w:footnote w:id="32">
    <w:p w14:paraId="3149D9A9" w14:textId="77777777" w:rsidR="00FE4078" w:rsidRPr="004F6927" w:rsidRDefault="00FE4078" w:rsidP="00EE1A9B">
      <w:pPr>
        <w:pStyle w:val="FootnoteText"/>
        <w:rPr>
          <w:lang w:val="en-US"/>
        </w:rPr>
      </w:pPr>
      <w:r>
        <w:rPr>
          <w:rStyle w:val="FootnoteReference"/>
        </w:rPr>
        <w:footnoteRef/>
      </w:r>
      <w:r>
        <w:t xml:space="preserve"> See </w:t>
      </w:r>
      <w:r>
        <w:rPr>
          <w:lang w:val="en-US"/>
        </w:rPr>
        <w:t xml:space="preserve">Queensland Government, </w:t>
      </w:r>
      <w:r w:rsidRPr="0017227A">
        <w:rPr>
          <w:i/>
          <w:lang w:val="en-US"/>
        </w:rPr>
        <w:t>Putting Queensland Kids First</w:t>
      </w:r>
      <w:r>
        <w:rPr>
          <w:i/>
          <w:iCs/>
          <w:lang w:val="en-US"/>
        </w:rPr>
        <w:t xml:space="preserve">: Giving our kids the opportunity of a lifetime </w:t>
      </w:r>
      <w:r>
        <w:rPr>
          <w:lang w:val="en-US"/>
        </w:rPr>
        <w:t>(Consultation draft, 2024) 8–9 ‘Snapshot of existing early intervention and prevention initiatives’.</w:t>
      </w:r>
    </w:p>
  </w:footnote>
  <w:footnote w:id="33">
    <w:p w14:paraId="792FFEC9" w14:textId="77777777" w:rsidR="00FE4078" w:rsidRDefault="00FE4078" w:rsidP="00EE1A9B">
      <w:pPr>
        <w:pStyle w:val="FootnoteText"/>
      </w:pPr>
      <w:r>
        <w:rPr>
          <w:rStyle w:val="FootnoteReference"/>
        </w:rPr>
        <w:footnoteRef/>
      </w:r>
      <w:r>
        <w:t xml:space="preserve"> Productivity Commission (</w:t>
      </w:r>
      <w:proofErr w:type="spellStart"/>
      <w:r>
        <w:t>Cth</w:t>
      </w:r>
      <w:proofErr w:type="spellEnd"/>
      <w:r>
        <w:t xml:space="preserve">), </w:t>
      </w:r>
      <w:r>
        <w:rPr>
          <w:i/>
          <w:iCs/>
        </w:rPr>
        <w:t>Review of the National Agreement on Closing the Gap</w:t>
      </w:r>
      <w:r>
        <w:t xml:space="preserve"> (Study report, 2024) volume 1, 17 (rec 3).</w:t>
      </w:r>
    </w:p>
  </w:footnote>
  <w:footnote w:id="34">
    <w:p w14:paraId="414E4F6B" w14:textId="77777777" w:rsidR="00FE4078" w:rsidRPr="00756C24" w:rsidRDefault="00FE4078">
      <w:pPr>
        <w:pStyle w:val="FootnoteText"/>
        <w:rPr>
          <w:lang w:val="en-US"/>
        </w:rPr>
      </w:pPr>
      <w:r>
        <w:rPr>
          <w:rStyle w:val="FootnoteReference"/>
        </w:rPr>
        <w:footnoteRef/>
      </w:r>
      <w:r>
        <w:t xml:space="preserve"> </w:t>
      </w:r>
      <w:bookmarkStart w:id="31" w:name="_Hlk137756688"/>
      <w:r w:rsidRPr="00E175C4">
        <w:rPr>
          <w:rFonts w:cs="Arial"/>
        </w:rPr>
        <w:t xml:space="preserve">Bob Atkinson, </w:t>
      </w:r>
      <w:r w:rsidRPr="00E175C4">
        <w:rPr>
          <w:rFonts w:cs="Arial"/>
          <w:i/>
        </w:rPr>
        <w:t xml:space="preserve">Report on Youth Justice </w:t>
      </w:r>
      <w:r w:rsidRPr="00E175C4">
        <w:rPr>
          <w:rFonts w:cs="Arial"/>
        </w:rPr>
        <w:t>(Version 2, 8 June 2018)</w:t>
      </w:r>
      <w:bookmarkEnd w:id="31"/>
      <w:r>
        <w:rPr>
          <w:rFonts w:cs="Arial"/>
        </w:rPr>
        <w:t>, rec 1, 21-27.</w:t>
      </w:r>
    </w:p>
  </w:footnote>
  <w:footnote w:id="35">
    <w:p w14:paraId="74499303" w14:textId="77777777" w:rsidR="00FE4078" w:rsidRPr="00D4740B" w:rsidRDefault="00FE4078" w:rsidP="00A87D42">
      <w:pPr>
        <w:rPr>
          <w:rFonts w:cs="Arial"/>
          <w:sz w:val="20"/>
          <w:szCs w:val="20"/>
        </w:rPr>
      </w:pPr>
      <w:r w:rsidRPr="00D4740B">
        <w:rPr>
          <w:rStyle w:val="FootnoteReference"/>
          <w:sz w:val="20"/>
          <w:szCs w:val="20"/>
        </w:rPr>
        <w:footnoteRef/>
      </w:r>
      <w:r w:rsidRPr="00D4740B">
        <w:rPr>
          <w:sz w:val="20"/>
          <w:szCs w:val="20"/>
        </w:rPr>
        <w:t xml:space="preserve"> </w:t>
      </w:r>
      <w:r w:rsidRPr="00D4740B">
        <w:rPr>
          <w:rFonts w:cs="Arial"/>
          <w:sz w:val="20"/>
          <w:szCs w:val="20"/>
        </w:rPr>
        <w:t xml:space="preserve">In early 2022, the Queensland Parliament’s Community Support and Services Committee examined the </w:t>
      </w:r>
      <w:r w:rsidRPr="00D4740B">
        <w:rPr>
          <w:rFonts w:cs="Arial"/>
          <w:i/>
          <w:iCs/>
          <w:sz w:val="20"/>
          <w:szCs w:val="20"/>
        </w:rPr>
        <w:t>Criminal Law (Raising the Age of Responsibility) Amendment Bill 2021</w:t>
      </w:r>
      <w:r w:rsidRPr="00D4740B">
        <w:rPr>
          <w:rFonts w:cs="Arial"/>
          <w:sz w:val="20"/>
          <w:szCs w:val="20"/>
        </w:rPr>
        <w:t xml:space="preserve">, which sought to raise the minimum age of criminal responsibility to 14 years. The Commission supported this reform, provided it was accompanied by appropriately developed and funded therapeutic alternatives, and in a manner that respected and protected the rights of victims: Queensland Human Rights Commission, Submission No 65 to the Community Support Services Committee, Queensland Parliament, </w:t>
      </w:r>
      <w:r w:rsidRPr="00D4740B">
        <w:rPr>
          <w:rFonts w:cs="Arial"/>
          <w:i/>
          <w:iCs/>
          <w:sz w:val="20"/>
          <w:szCs w:val="20"/>
        </w:rPr>
        <w:t>Inquiry into the</w:t>
      </w:r>
      <w:r w:rsidRPr="00D4740B">
        <w:rPr>
          <w:rFonts w:cs="Arial"/>
          <w:sz w:val="20"/>
          <w:szCs w:val="20"/>
        </w:rPr>
        <w:t xml:space="preserve"> </w:t>
      </w:r>
      <w:r w:rsidRPr="00D4740B">
        <w:rPr>
          <w:rFonts w:cs="Arial"/>
          <w:i/>
          <w:iCs/>
          <w:sz w:val="20"/>
          <w:szCs w:val="20"/>
        </w:rPr>
        <w:t>Criminal Law (Raising the Age of Responsibility) Amendment Bill 2021</w:t>
      </w:r>
      <w:r w:rsidRPr="00D4740B">
        <w:rPr>
          <w:rFonts w:cs="Arial"/>
          <w:sz w:val="20"/>
          <w:szCs w:val="20"/>
        </w:rPr>
        <w:t xml:space="preserve"> (30 November 2021).</w:t>
      </w:r>
    </w:p>
    <w:p w14:paraId="4599BD72" w14:textId="77777777" w:rsidR="00FE4078" w:rsidRDefault="00FE4078">
      <w:pPr>
        <w:pStyle w:val="FootnoteText"/>
      </w:pPr>
    </w:p>
  </w:footnote>
  <w:footnote w:id="36">
    <w:p w14:paraId="360592DC" w14:textId="77777777" w:rsidR="00FE4078" w:rsidRPr="00C87A87" w:rsidRDefault="00FE4078" w:rsidP="00011A22">
      <w:pPr>
        <w:pStyle w:val="FootnoteText"/>
        <w:rPr>
          <w:lang w:val="en-US"/>
        </w:rPr>
      </w:pPr>
      <w:r>
        <w:rPr>
          <w:rStyle w:val="FootnoteReference"/>
        </w:rPr>
        <w:footnoteRef/>
      </w:r>
      <w:r>
        <w:t xml:space="preserve"> </w:t>
      </w:r>
      <w:r w:rsidRPr="00582125">
        <w:rPr>
          <w:i/>
          <w:iCs/>
          <w:lang w:val="en-US"/>
        </w:rPr>
        <w:t>Human Rights Act 2019</w:t>
      </w:r>
      <w:r>
        <w:rPr>
          <w:lang w:val="en-US"/>
        </w:rPr>
        <w:t xml:space="preserve"> (Qld), s 48. In relation to the equivalent provision in the Victorian Human Rights Charter, see further </w:t>
      </w:r>
      <w:r w:rsidRPr="001A02F0">
        <w:rPr>
          <w:i/>
          <w:iCs/>
          <w:lang w:val="en-US"/>
        </w:rPr>
        <w:t>Certain Children by their Litigation Guardian Sister Marie Brigid Arthur v Minister for Families and Children</w:t>
      </w:r>
      <w:r w:rsidRPr="00011A22">
        <w:rPr>
          <w:lang w:val="en-US"/>
        </w:rPr>
        <w:t xml:space="preserve"> [2016] VSC 796</w:t>
      </w:r>
      <w:r>
        <w:rPr>
          <w:lang w:val="en-US"/>
        </w:rPr>
        <w:t>, [146]–[156].</w:t>
      </w:r>
    </w:p>
  </w:footnote>
  <w:footnote w:id="37">
    <w:p w14:paraId="0EDFD09A" w14:textId="77777777" w:rsidR="00FE4078" w:rsidRDefault="00FE4078">
      <w:pPr>
        <w:pStyle w:val="FootnoteText"/>
      </w:pPr>
      <w:r>
        <w:rPr>
          <w:rStyle w:val="FootnoteReference"/>
        </w:rPr>
        <w:footnoteRef/>
      </w:r>
      <w:r>
        <w:t xml:space="preserve"> The New Zealand Child and Youth Strategy was subject to a three year review in 2022, which found that the Strategy’s principles enjoyed support: Department of the Prime Minister and Cabinet, ‘</w:t>
      </w:r>
      <w:r w:rsidRPr="005C5885">
        <w:t>Briefing: Review of the Child and Youth Wellbeing Strategy</w:t>
      </w:r>
      <w:r>
        <w:t xml:space="preserve"> ––</w:t>
      </w:r>
      <w:r w:rsidRPr="005C5885">
        <w:t xml:space="preserve"> Findings and Recommendations</w:t>
      </w:r>
      <w:r>
        <w:t>’, 18 August 2022, &lt;</w:t>
      </w:r>
      <w:r w:rsidRPr="00172599">
        <w:t>https://www.childyouthwellbeing.govt.nz/resources/review-child-and-youth-wellbeing-strategy</w:t>
      </w:r>
      <w:r>
        <w:t xml:space="preserve">&gt;, 2, 29. </w:t>
      </w:r>
    </w:p>
  </w:footnote>
  <w:footnote w:id="38">
    <w:p w14:paraId="3B524CC8" w14:textId="77777777" w:rsidR="00FE4078" w:rsidRDefault="00FE4078">
      <w:pPr>
        <w:pStyle w:val="FootnoteText"/>
      </w:pPr>
      <w:r>
        <w:rPr>
          <w:rStyle w:val="FootnoteReference"/>
        </w:rPr>
        <w:footnoteRef/>
      </w:r>
      <w:r>
        <w:t xml:space="preserve"> See New Zealand Child and Youth Strategy, 28: ‘Children and young people are taonga’, and Australian National Framework, 8 ‘Listening and responding to the voices and views of children and young people, and the views of those who care for them’.</w:t>
      </w:r>
    </w:p>
  </w:footnote>
  <w:footnote w:id="39">
    <w:p w14:paraId="5F586E45" w14:textId="77777777" w:rsidR="00FE4078" w:rsidRDefault="00FE4078" w:rsidP="00710AC0">
      <w:pPr>
        <w:pStyle w:val="FootnoteText"/>
      </w:pPr>
      <w:r>
        <w:rPr>
          <w:rStyle w:val="FootnoteReference"/>
        </w:rPr>
        <w:footnoteRef/>
      </w:r>
      <w:r>
        <w:t xml:space="preserve"> New Zealand Child and Youth Strategy, 29: ‘Early support is needed’. See further </w:t>
      </w:r>
      <w:r w:rsidRPr="00E175C4">
        <w:rPr>
          <w:rFonts w:cs="Arial"/>
        </w:rPr>
        <w:t xml:space="preserve">Bob Atkinson, </w:t>
      </w:r>
      <w:r w:rsidRPr="00E175C4">
        <w:rPr>
          <w:rFonts w:cs="Arial"/>
          <w:i/>
        </w:rPr>
        <w:t xml:space="preserve">Report on Youth Justice </w:t>
      </w:r>
      <w:r w:rsidRPr="00E175C4">
        <w:rPr>
          <w:rFonts w:cs="Arial"/>
        </w:rPr>
        <w:t>(Version 2, 8 June 2018)</w:t>
      </w:r>
      <w:r>
        <w:t>, 21–2.</w:t>
      </w:r>
    </w:p>
  </w:footnote>
  <w:footnote w:id="40">
    <w:p w14:paraId="5E8B3032" w14:textId="77777777" w:rsidR="00FE4078" w:rsidRDefault="00FE4078" w:rsidP="00710AC0">
      <w:pPr>
        <w:pStyle w:val="FootnoteText"/>
      </w:pPr>
      <w:r>
        <w:rPr>
          <w:rStyle w:val="FootnoteReference"/>
        </w:rPr>
        <w:footnoteRef/>
      </w:r>
      <w:r>
        <w:t xml:space="preserve"> For example, </w:t>
      </w:r>
      <w:r>
        <w:rPr>
          <w:lang w:val="en-US"/>
        </w:rPr>
        <w:t xml:space="preserve">it is not clear in the text under the current draft principle whether prevention and intervention refer to steps to avoid or mitigate risk factors identified on pages 12 to 13, and/or whether the ultimate goal is preventing and intervening in relation to contact with child protection and the criminal justice system.  </w:t>
      </w:r>
    </w:p>
  </w:footnote>
  <w:footnote w:id="41">
    <w:p w14:paraId="1CC4D3EB" w14:textId="77777777" w:rsidR="00FE4078" w:rsidRDefault="00FE4078">
      <w:pPr>
        <w:pStyle w:val="FootnoteText"/>
      </w:pPr>
      <w:r>
        <w:rPr>
          <w:rStyle w:val="FootnoteReference"/>
        </w:rPr>
        <w:footnoteRef/>
      </w:r>
      <w:r>
        <w:t xml:space="preserve"> New Zealand Child and Youth Strategy, 29: ‘Change requires action by all of us’. See further </w:t>
      </w:r>
      <w:r w:rsidRPr="00E175C4">
        <w:rPr>
          <w:rFonts w:cs="Arial"/>
        </w:rPr>
        <w:t xml:space="preserve">Bob Atkinson, </w:t>
      </w:r>
      <w:r w:rsidRPr="00E175C4">
        <w:rPr>
          <w:rFonts w:cs="Arial"/>
          <w:i/>
        </w:rPr>
        <w:t xml:space="preserve">Report on Youth Justice </w:t>
      </w:r>
      <w:r w:rsidRPr="00E175C4">
        <w:rPr>
          <w:rFonts w:cs="Arial"/>
        </w:rPr>
        <w:t>(Version 2, 8 June 2018)</w:t>
      </w:r>
      <w:r>
        <w:t>. 21.</w:t>
      </w:r>
    </w:p>
  </w:footnote>
  <w:footnote w:id="42">
    <w:p w14:paraId="4602AB79" w14:textId="77777777" w:rsidR="00FE4078" w:rsidRDefault="00FE4078">
      <w:pPr>
        <w:pStyle w:val="FootnoteText"/>
      </w:pPr>
      <w:r>
        <w:rPr>
          <w:rStyle w:val="FootnoteReference"/>
        </w:rPr>
        <w:footnoteRef/>
      </w:r>
      <w:r>
        <w:t xml:space="preserve"> Referred to further in the Plan under ‘Investment Priorities’ (Partnering for integrated, place-based and First Nations-led delivery) at pages 14 and 19.</w:t>
      </w:r>
      <w:r w:rsidRPr="00AA477D">
        <w:t xml:space="preserve"> </w:t>
      </w:r>
    </w:p>
  </w:footnote>
  <w:footnote w:id="43">
    <w:p w14:paraId="6F791746" w14:textId="77777777" w:rsidR="00FE4078" w:rsidRDefault="00FE4078">
      <w:pPr>
        <w:pStyle w:val="FootnoteText"/>
      </w:pPr>
      <w:r>
        <w:rPr>
          <w:rStyle w:val="FootnoteReference"/>
        </w:rPr>
        <w:footnoteRef/>
      </w:r>
      <w:r>
        <w:t xml:space="preserve"> Tasmanian Child and Youth Strategy, 12: ‘Acknowledging that the family and extended family of the child has the primary responsibility for the care, upbringing and development of their child/children …’.</w:t>
      </w:r>
    </w:p>
  </w:footnote>
  <w:footnote w:id="44">
    <w:p w14:paraId="137EBBDD" w14:textId="77777777" w:rsidR="00FE4078" w:rsidRDefault="00FE4078" w:rsidP="004F7087">
      <w:pPr>
        <w:pStyle w:val="FootnoteText"/>
      </w:pPr>
      <w:r>
        <w:rPr>
          <w:rStyle w:val="FootnoteReference"/>
        </w:rPr>
        <w:footnoteRef/>
      </w:r>
      <w:r>
        <w:t xml:space="preserve"> </w:t>
      </w:r>
      <w:r w:rsidRPr="00CF2E16">
        <w:rPr>
          <w:i/>
          <w:iCs/>
        </w:rPr>
        <w:t>United Nations</w:t>
      </w:r>
      <w:r>
        <w:t xml:space="preserve"> </w:t>
      </w:r>
      <w:r w:rsidRPr="006F7A27">
        <w:rPr>
          <w:i/>
          <w:iCs/>
        </w:rPr>
        <w:t>Convention on the Rights of the Child</w:t>
      </w:r>
      <w:r>
        <w:t xml:space="preserve">, preamble; Committee on the Rights of the Child, </w:t>
      </w:r>
      <w:r>
        <w:rPr>
          <w:i/>
        </w:rPr>
        <w:t>General Comment No. 24 on children’s rights in the child justice system</w:t>
      </w:r>
      <w:r>
        <w:rPr>
          <w:iCs/>
        </w:rPr>
        <w:t>, UN Doc CRC/C/GC/24 (18 September 2019)</w:t>
      </w:r>
      <w:r>
        <w:t xml:space="preserve"> [11].</w:t>
      </w:r>
    </w:p>
  </w:footnote>
  <w:footnote w:id="45">
    <w:p w14:paraId="7FF9C242" w14:textId="77777777" w:rsidR="00FE4078" w:rsidRDefault="00FE4078">
      <w:pPr>
        <w:pStyle w:val="FootnoteText"/>
      </w:pPr>
      <w:r>
        <w:rPr>
          <w:rStyle w:val="FootnoteReference"/>
        </w:rPr>
        <w:footnoteRef/>
      </w:r>
      <w:r>
        <w:t xml:space="preserve"> Royal Australian College of Physicians, </w:t>
      </w:r>
      <w:r w:rsidRPr="003D5CBF">
        <w:t>Early Childhood: The Importance of the Early Years (Position Statement, May 2019) 19-21</w:t>
      </w:r>
      <w:r>
        <w:t xml:space="preserve">; </w:t>
      </w:r>
      <w:r w:rsidRPr="004B52DA">
        <w:t>Tim Moore, ‘Early Childhood and Long Term Development: The Importance of the Early Years’ (Research paper, Australian Research Alliance for Children and Youth, June 2006) 5-9.</w:t>
      </w:r>
    </w:p>
  </w:footnote>
  <w:footnote w:id="46">
    <w:p w14:paraId="2B9E47ED" w14:textId="77777777" w:rsidR="00FE4078" w:rsidRDefault="00FE4078">
      <w:pPr>
        <w:pStyle w:val="FootnoteText"/>
      </w:pPr>
      <w:r>
        <w:rPr>
          <w:rStyle w:val="FootnoteReference"/>
        </w:rPr>
        <w:footnoteRef/>
      </w:r>
      <w:r>
        <w:t xml:space="preserve"> New Zealand Child and Youth Strategy, 29: ‘Children and young people’s wellbeing is interwoven with family and wh</w:t>
      </w:r>
      <w:r>
        <w:rPr>
          <w:rFonts w:cs="Arial"/>
        </w:rPr>
        <w:t>ā</w:t>
      </w:r>
      <w:r>
        <w:t>nau wellbeing’.</w:t>
      </w:r>
    </w:p>
  </w:footnote>
  <w:footnote w:id="47">
    <w:p w14:paraId="723A22F1" w14:textId="77777777" w:rsidR="00FE4078" w:rsidRDefault="00FE4078">
      <w:pPr>
        <w:pStyle w:val="FootnoteText"/>
      </w:pPr>
      <w:r>
        <w:rPr>
          <w:rStyle w:val="FootnoteReference"/>
        </w:rPr>
        <w:footnoteRef/>
      </w:r>
      <w:r>
        <w:t xml:space="preserve"> New Zealand Child and Youth Strategy, 29. See also Tasmanian Child and Youth Strategy, 12; See Australian National Framework, 8 ‘Access to quality universal and targeted services designed to improve outcomes for children, young people and families’.</w:t>
      </w:r>
    </w:p>
  </w:footnote>
  <w:footnote w:id="48">
    <w:p w14:paraId="3B5B5B35" w14:textId="77777777" w:rsidR="00FE4078" w:rsidRPr="00433E1F" w:rsidRDefault="00FE4078">
      <w:pPr>
        <w:pStyle w:val="FootnoteText"/>
      </w:pPr>
      <w:r>
        <w:rPr>
          <w:rStyle w:val="FootnoteReference"/>
        </w:rPr>
        <w:footnoteRef/>
      </w:r>
      <w:r>
        <w:t xml:space="preserve"> </w:t>
      </w:r>
      <w:r>
        <w:rPr>
          <w:i/>
          <w:iCs/>
        </w:rPr>
        <w:t>Human Rights Act 2019</w:t>
      </w:r>
      <w:r>
        <w:t xml:space="preserve"> (Qld), ss 27–28.</w:t>
      </w:r>
    </w:p>
  </w:footnote>
  <w:footnote w:id="49">
    <w:p w14:paraId="3AC6CA35" w14:textId="77777777" w:rsidR="00FE4078" w:rsidRDefault="00FE4078" w:rsidP="00130B53">
      <w:pPr>
        <w:pStyle w:val="FootnoteText"/>
      </w:pPr>
      <w:r>
        <w:rPr>
          <w:rStyle w:val="FootnoteReference"/>
        </w:rPr>
        <w:footnoteRef/>
      </w:r>
      <w:r>
        <w:t xml:space="preserve"> Investment Priorities: Partnering for integrated, place-based and First Nations-led delivery (at pages 14 and 19</w:t>
      </w:r>
    </w:p>
  </w:footnote>
  <w:footnote w:id="50">
    <w:p w14:paraId="774837CE" w14:textId="77777777" w:rsidR="00FE4078" w:rsidRDefault="00FE4078" w:rsidP="001F5689">
      <w:pPr>
        <w:pStyle w:val="FootnoteText"/>
      </w:pPr>
      <w:r>
        <w:rPr>
          <w:rStyle w:val="FootnoteReference"/>
        </w:rPr>
        <w:footnoteRef/>
      </w:r>
      <w:r>
        <w:t xml:space="preserve"> See New Zealand Child and Youth Strategy, 28: ‘Māori are </w:t>
      </w:r>
      <w:proofErr w:type="spellStart"/>
      <w:r>
        <w:t>tangata</w:t>
      </w:r>
      <w:proofErr w:type="spellEnd"/>
      <w:r>
        <w:t xml:space="preserve"> whenua and the Māori-Crown Relationship is foundational’.</w:t>
      </w:r>
    </w:p>
  </w:footnote>
  <w:footnote w:id="51">
    <w:p w14:paraId="2891D0E6" w14:textId="77777777" w:rsidR="00FE4078" w:rsidRDefault="00FE4078">
      <w:pPr>
        <w:pStyle w:val="FootnoteText"/>
      </w:pPr>
      <w:r>
        <w:rPr>
          <w:rStyle w:val="FootnoteReference"/>
        </w:rPr>
        <w:footnoteRef/>
      </w:r>
      <w:r>
        <w:t xml:space="preserve"> As to the cultural determinants of health and wellbeing see further Ngaire Brown, Peter S Azzopardi and Fiona J Stanley, ‘</w:t>
      </w:r>
      <w:proofErr w:type="spellStart"/>
      <w:r>
        <w:t>Aragung</w:t>
      </w:r>
      <w:proofErr w:type="spellEnd"/>
      <w:r>
        <w:t xml:space="preserve"> </w:t>
      </w:r>
      <w:proofErr w:type="spellStart"/>
      <w:r>
        <w:t>buraay</w:t>
      </w:r>
      <w:proofErr w:type="spellEnd"/>
      <w:r>
        <w:t xml:space="preserve">: culture, identity and positive futures for Australian children’ (2023) 219(10) </w:t>
      </w:r>
      <w:r w:rsidRPr="007B2EEF">
        <w:rPr>
          <w:i/>
          <w:iCs/>
        </w:rPr>
        <w:t>Medical Journal of Australia</w:t>
      </w:r>
      <w:r>
        <w:t xml:space="preserve"> S35, S36.</w:t>
      </w:r>
    </w:p>
  </w:footnote>
  <w:footnote w:id="52">
    <w:p w14:paraId="7D07D327" w14:textId="77777777" w:rsidR="00FE4078" w:rsidRDefault="00FE4078">
      <w:pPr>
        <w:pStyle w:val="FootnoteText"/>
      </w:pPr>
      <w:r>
        <w:rPr>
          <w:rStyle w:val="FootnoteReference"/>
        </w:rPr>
        <w:footnoteRef/>
      </w:r>
      <w:r>
        <w:t xml:space="preserve"> New Zealand Child and Youth Strategy, 28: ‘All children and young people deserve to life a good life’; Australian National Framework, 8: ‘Trauma-informed, culturally safe, and inclusive policies and actions’.</w:t>
      </w:r>
    </w:p>
  </w:footnote>
  <w:footnote w:id="53">
    <w:p w14:paraId="303C89F0" w14:textId="77777777" w:rsidR="00FE4078" w:rsidRDefault="00FE4078">
      <w:pPr>
        <w:pStyle w:val="FootnoteText"/>
      </w:pPr>
      <w:r>
        <w:rPr>
          <w:rStyle w:val="FootnoteReference"/>
        </w:rPr>
        <w:footnoteRef/>
      </w:r>
      <w:r>
        <w:t xml:space="preserve"> New Zealand Child and Youth Strategy, 29: ‘Actions must deliver better life outcomes’; Australian National Framework, 8: ‘Excellence in practice and policy development, based on evidence, data and information sharing’ and ‘Clear responsibilities and strong monitoring, evaluation and achievements of outcomes’.</w:t>
      </w:r>
    </w:p>
  </w:footnote>
  <w:footnote w:id="54">
    <w:p w14:paraId="1D847EF3" w14:textId="77777777" w:rsidR="00FE4078" w:rsidRPr="00987AC9" w:rsidRDefault="00FE4078" w:rsidP="00987AC9">
      <w:pPr>
        <w:rPr>
          <w:rFonts w:cs="Arial"/>
          <w:sz w:val="20"/>
          <w:szCs w:val="20"/>
        </w:rPr>
      </w:pPr>
      <w:r w:rsidRPr="00987AC9">
        <w:rPr>
          <w:rStyle w:val="FootnoteReference"/>
          <w:rFonts w:cs="Arial"/>
          <w:sz w:val="20"/>
          <w:szCs w:val="20"/>
        </w:rPr>
        <w:footnoteRef/>
      </w:r>
      <w:r w:rsidRPr="00987AC9">
        <w:rPr>
          <w:rFonts w:cs="Arial"/>
          <w:sz w:val="20"/>
          <w:szCs w:val="20"/>
        </w:rPr>
        <w:t xml:space="preserve"> See, eg, Megan O’Connell et al, </w:t>
      </w:r>
      <w:r w:rsidRPr="00987AC9">
        <w:rPr>
          <w:rFonts w:cs="Arial"/>
          <w:i/>
          <w:iCs/>
          <w:sz w:val="20"/>
          <w:szCs w:val="20"/>
        </w:rPr>
        <w:t>Quality Early Education for All</w:t>
      </w:r>
      <w:r w:rsidRPr="00987AC9">
        <w:rPr>
          <w:rFonts w:cs="Arial"/>
          <w:sz w:val="20"/>
          <w:szCs w:val="20"/>
        </w:rPr>
        <w:t xml:space="preserve"> (Mitchell Report No 01/2016, April 2016) 6-7; Royal Australasian College of Physicians, </w:t>
      </w:r>
      <w:r w:rsidRPr="00987AC9">
        <w:rPr>
          <w:rFonts w:cs="Arial"/>
          <w:i/>
          <w:iCs/>
          <w:sz w:val="20"/>
          <w:szCs w:val="20"/>
        </w:rPr>
        <w:t xml:space="preserve">Early Childhood: The Importance of the Early Years </w:t>
      </w:r>
      <w:r w:rsidRPr="00987AC9">
        <w:rPr>
          <w:rFonts w:cs="Arial"/>
          <w:sz w:val="20"/>
          <w:szCs w:val="20"/>
        </w:rPr>
        <w:t xml:space="preserve">(Position Statement, May 2019) 37; Bob Atkinson, </w:t>
      </w:r>
      <w:r w:rsidRPr="00987AC9">
        <w:rPr>
          <w:rFonts w:cs="Arial"/>
          <w:i/>
          <w:sz w:val="20"/>
          <w:szCs w:val="20"/>
        </w:rPr>
        <w:t xml:space="preserve">Report on Youth Justice </w:t>
      </w:r>
      <w:r w:rsidRPr="00987AC9">
        <w:rPr>
          <w:rFonts w:cs="Arial"/>
          <w:sz w:val="20"/>
          <w:szCs w:val="20"/>
        </w:rPr>
        <w:t>(Version 2, 8 June 2018), 33-34.</w:t>
      </w:r>
    </w:p>
  </w:footnote>
  <w:footnote w:id="55">
    <w:p w14:paraId="7F07040B" w14:textId="77777777" w:rsidR="00FE4078" w:rsidRDefault="00FE4078">
      <w:pPr>
        <w:pStyle w:val="FootnoteText"/>
      </w:pPr>
      <w:r>
        <w:rPr>
          <w:rStyle w:val="FootnoteReference"/>
        </w:rPr>
        <w:footnoteRef/>
      </w:r>
      <w:r>
        <w:t xml:space="preserve"> See, eg, </w:t>
      </w:r>
      <w:r w:rsidRPr="00987AC9">
        <w:rPr>
          <w:rFonts w:cs="Arial"/>
          <w:szCs w:val="20"/>
        </w:rPr>
        <w:t xml:space="preserve">Queensland Family and Child Commission (‘QFCC’), </w:t>
      </w:r>
      <w:r w:rsidRPr="00F54A14">
        <w:rPr>
          <w:rFonts w:cs="Arial"/>
          <w:i/>
          <w:iCs/>
          <w:szCs w:val="20"/>
        </w:rPr>
        <w:t>Lessons from the life-story timelines of 30 Queensland children who have died: A small sample review of commonalities in child and family trajectories considered at the Child Death Review Board</w:t>
      </w:r>
      <w:r w:rsidRPr="00987AC9">
        <w:rPr>
          <w:rFonts w:cs="Arial"/>
          <w:szCs w:val="20"/>
        </w:rPr>
        <w:t xml:space="preserve"> (</w:t>
      </w:r>
      <w:r>
        <w:rPr>
          <w:rFonts w:cs="Arial"/>
          <w:szCs w:val="20"/>
        </w:rPr>
        <w:t xml:space="preserve">Report, </w:t>
      </w:r>
      <w:r w:rsidRPr="00987AC9">
        <w:rPr>
          <w:rFonts w:cs="Arial"/>
          <w:szCs w:val="20"/>
        </w:rPr>
        <w:t>June 2023) (‘</w:t>
      </w:r>
      <w:r w:rsidRPr="00987AC9">
        <w:rPr>
          <w:rFonts w:cs="Arial"/>
          <w:i/>
          <w:iCs/>
          <w:szCs w:val="20"/>
        </w:rPr>
        <w:t>Lessons from the life-story timelines of 30 Queensland children who have died</w:t>
      </w:r>
      <w:r w:rsidRPr="00987AC9">
        <w:rPr>
          <w:rFonts w:cs="Arial"/>
          <w:szCs w:val="20"/>
        </w:rPr>
        <w:t>’)</w:t>
      </w:r>
      <w:r>
        <w:t xml:space="preserve">, 16-22;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xml:space="preserve"> </w:t>
      </w:r>
      <w:r>
        <w:t>33-4.</w:t>
      </w:r>
    </w:p>
  </w:footnote>
  <w:footnote w:id="56">
    <w:p w14:paraId="4B331D0C" w14:textId="77777777" w:rsidR="00FE4078" w:rsidRDefault="00FE4078">
      <w:pPr>
        <w:pStyle w:val="FootnoteText"/>
      </w:pPr>
      <w:r>
        <w:rPr>
          <w:rStyle w:val="FootnoteReference"/>
        </w:rPr>
        <w:footnoteRef/>
      </w:r>
      <w:r>
        <w:t xml:space="preserve">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33–4</w:t>
      </w:r>
      <w:r>
        <w:t xml:space="preserve">. See also QFCC, </w:t>
      </w:r>
      <w:r>
        <w:rPr>
          <w:i/>
          <w:iCs/>
        </w:rPr>
        <w:t>Lessons from the life-story timelines of 30 children who have died</w:t>
      </w:r>
      <w:r>
        <w:t>, 8.</w:t>
      </w:r>
    </w:p>
  </w:footnote>
  <w:footnote w:id="57">
    <w:p w14:paraId="02EE235D" w14:textId="77777777" w:rsidR="00FE4078" w:rsidRDefault="00FE4078" w:rsidP="007D0136">
      <w:pPr>
        <w:pStyle w:val="FootnoteText"/>
      </w:pPr>
      <w:r>
        <w:rPr>
          <w:rStyle w:val="FootnoteReference"/>
        </w:rPr>
        <w:footnoteRef/>
      </w:r>
      <w:r>
        <w:t xml:space="preserve"> Ngaire Brown, Peter S Azzopardi and Fiona J Stanley, ‘</w:t>
      </w:r>
      <w:proofErr w:type="spellStart"/>
      <w:r>
        <w:t>Aragung</w:t>
      </w:r>
      <w:proofErr w:type="spellEnd"/>
      <w:r>
        <w:t xml:space="preserve"> </w:t>
      </w:r>
      <w:proofErr w:type="spellStart"/>
      <w:r>
        <w:t>buraay</w:t>
      </w:r>
      <w:proofErr w:type="spellEnd"/>
      <w:r>
        <w:t xml:space="preserve">: culture, identity and positive futures for Australian children’ (2023) 219(10) </w:t>
      </w:r>
      <w:r w:rsidRPr="007B2EEF">
        <w:rPr>
          <w:i/>
          <w:iCs/>
        </w:rPr>
        <w:t>Medical Journal of Australia</w:t>
      </w:r>
      <w:r>
        <w:t xml:space="preserve"> S35. </w:t>
      </w:r>
    </w:p>
  </w:footnote>
  <w:footnote w:id="58">
    <w:p w14:paraId="04CF5DA3" w14:textId="77777777" w:rsidR="00FE4078" w:rsidRDefault="00FE4078">
      <w:pPr>
        <w:pStyle w:val="FootnoteText"/>
      </w:pPr>
      <w:r>
        <w:rPr>
          <w:rStyle w:val="FootnoteReference"/>
        </w:rPr>
        <w:footnoteRef/>
      </w:r>
      <w:r>
        <w:t xml:space="preserve"> Ibid. See also Telethon Kids Institute, </w:t>
      </w:r>
      <w:r w:rsidRPr="00C6201D">
        <w:rPr>
          <w:i/>
          <w:iCs/>
        </w:rPr>
        <w:t>Aboriginal and Torres Strait Islander children and child sexual abuse in institutional contexts: Report for the Royal Commission into Institutional Responses to Child Sexual Abuse</w:t>
      </w:r>
      <w:r>
        <w:t xml:space="preserve"> (Report, July 2017) 33–6.</w:t>
      </w:r>
    </w:p>
  </w:footnote>
  <w:footnote w:id="59">
    <w:p w14:paraId="2247E832" w14:textId="77777777" w:rsidR="00FE4078" w:rsidRDefault="00FE4078">
      <w:pPr>
        <w:pStyle w:val="FootnoteText"/>
      </w:pPr>
      <w:r>
        <w:rPr>
          <w:rStyle w:val="FootnoteReference"/>
        </w:rPr>
        <w:footnoteRef/>
      </w:r>
      <w:r>
        <w:t xml:space="preserve"> QFCC, </w:t>
      </w:r>
      <w:r>
        <w:rPr>
          <w:i/>
          <w:iCs/>
        </w:rPr>
        <w:t xml:space="preserve">Lessons from the life-story timelines of 30 children who have died, </w:t>
      </w:r>
      <w:r>
        <w:t>3.</w:t>
      </w:r>
    </w:p>
  </w:footnote>
  <w:footnote w:id="60">
    <w:p w14:paraId="3BA3968E" w14:textId="77777777" w:rsidR="00FE4078" w:rsidRDefault="00FE4078">
      <w:pPr>
        <w:pStyle w:val="FootnoteText"/>
      </w:pPr>
      <w:r>
        <w:rPr>
          <w:rStyle w:val="FootnoteReference"/>
        </w:rPr>
        <w:footnoteRef/>
      </w:r>
      <w:r>
        <w:t xml:space="preserve"> Ibid 14. See also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xml:space="preserve">, </w:t>
      </w:r>
      <w:r>
        <w:t>34.</w:t>
      </w:r>
    </w:p>
  </w:footnote>
  <w:footnote w:id="61">
    <w:p w14:paraId="0DD38C5C" w14:textId="77777777" w:rsidR="00FE4078" w:rsidRDefault="00FE4078">
      <w:pPr>
        <w:pStyle w:val="FootnoteText"/>
      </w:pPr>
      <w:r>
        <w:rPr>
          <w:rStyle w:val="FootnoteReference"/>
        </w:rPr>
        <w:footnoteRef/>
      </w:r>
      <w:r>
        <w:t xml:space="preserve">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xml:space="preserve">, </w:t>
      </w:r>
      <w:r>
        <w:t>22, 34.</w:t>
      </w:r>
    </w:p>
  </w:footnote>
  <w:footnote w:id="62">
    <w:p w14:paraId="07BC5B39" w14:textId="77777777" w:rsidR="00FE4078" w:rsidRDefault="00FE4078" w:rsidP="00D524FE">
      <w:pPr>
        <w:pStyle w:val="FootnoteText"/>
      </w:pPr>
      <w:r>
        <w:rPr>
          <w:rStyle w:val="FootnoteReference"/>
        </w:rPr>
        <w:footnoteRef/>
      </w:r>
      <w:r>
        <w:t xml:space="preserve"> Department of Education (Qld), ‘School disciplinary absences by student demographics’ (2023), &lt;</w:t>
      </w:r>
      <w:r w:rsidRPr="007E1344">
        <w:t>https://qed.qld.gov.au/our-publications/reports/statistics/Documents/sda-by-student-demographics.xlsx</w:t>
      </w:r>
      <w:r>
        <w:t>&gt;. In Queensland state schools in 2022 there were 762,452 short suspensions (1–10 days), 3,123 long suspensions (11–20 days), and 1,595 exclusions:  Department of Education (Qld), ‘School disciplinary absences: Table 1: School disciplinary absences by regions, 2018–2022’ (2023), &lt;</w:t>
      </w:r>
      <w:r w:rsidRPr="009F0C84">
        <w:t>https://qed.qld.gov.au/our-publications/reports/statistics/Documents/sda-by-region.pdf</w:t>
      </w:r>
      <w:r>
        <w:t>&gt;.</w:t>
      </w:r>
    </w:p>
  </w:footnote>
  <w:footnote w:id="63">
    <w:p w14:paraId="60045D37" w14:textId="77777777" w:rsidR="00FE4078" w:rsidRPr="00960955" w:rsidRDefault="00FE4078" w:rsidP="00D524FE">
      <w:pPr>
        <w:pStyle w:val="FootnoteText"/>
        <w:rPr>
          <w:rFonts w:cs="Arial"/>
          <w:lang w:val="en-US"/>
        </w:rPr>
      </w:pPr>
      <w:r w:rsidRPr="00960955">
        <w:rPr>
          <w:rStyle w:val="FootnoteReference"/>
          <w:rFonts w:cs="Arial"/>
        </w:rPr>
        <w:footnoteRef/>
      </w:r>
      <w:r w:rsidRPr="00960955">
        <w:rPr>
          <w:rFonts w:cs="Arial"/>
        </w:rPr>
        <w:t xml:space="preserve"> Linda Graham, Callula Killingly</w:t>
      </w:r>
      <w:r>
        <w:rPr>
          <w:rFonts w:cs="Arial"/>
        </w:rPr>
        <w:t>, Matilda Alexander</w:t>
      </w:r>
      <w:r w:rsidRPr="00960955">
        <w:rPr>
          <w:rFonts w:cs="Arial"/>
        </w:rPr>
        <w:t xml:space="preserve"> and Sophie Wiggans, ‘</w:t>
      </w:r>
      <w:r w:rsidRPr="00B45DB4">
        <w:rPr>
          <w:rFonts w:cs="Arial"/>
        </w:rPr>
        <w:t>Suspensions in QLD state schools, 2016–2020: overrepresentation, intersectionality and disproportionate risk</w:t>
      </w:r>
      <w:r w:rsidRPr="00960955">
        <w:rPr>
          <w:rFonts w:cs="Arial"/>
        </w:rPr>
        <w:t xml:space="preserve">’, </w:t>
      </w:r>
      <w:r>
        <w:rPr>
          <w:rFonts w:cs="Arial"/>
          <w:i/>
          <w:iCs/>
        </w:rPr>
        <w:t xml:space="preserve">The Australian Educational Researcher </w:t>
      </w:r>
      <w:r w:rsidRPr="00960955">
        <w:rPr>
          <w:rFonts w:cs="Arial"/>
        </w:rPr>
        <w:t>(</w:t>
      </w:r>
      <w:r>
        <w:rPr>
          <w:rFonts w:cs="Arial"/>
        </w:rPr>
        <w:t>available online</w:t>
      </w:r>
      <w:r w:rsidRPr="00960955">
        <w:rPr>
          <w:rFonts w:cs="Arial"/>
        </w:rPr>
        <w:t xml:space="preserve">, </w:t>
      </w:r>
      <w:r>
        <w:rPr>
          <w:rFonts w:cs="Arial"/>
        </w:rPr>
        <w:t>24 August 2023</w:t>
      </w:r>
      <w:r w:rsidRPr="00960955">
        <w:rPr>
          <w:rFonts w:cs="Arial"/>
        </w:rPr>
        <w:t>) &lt;</w:t>
      </w:r>
      <w:r w:rsidRPr="00384936">
        <w:rPr>
          <w:rFonts w:cs="Arial"/>
        </w:rPr>
        <w:t>https://link.springer.com/article/10.1007/s13384-023-00652-6</w:t>
      </w:r>
      <w:r w:rsidRPr="00384936" w:rsidDel="00983BCC">
        <w:rPr>
          <w:rFonts w:cs="Arial"/>
        </w:rPr>
        <w:t xml:space="preserve"> </w:t>
      </w:r>
      <w:r w:rsidRPr="00384936">
        <w:rPr>
          <w:rFonts w:cs="Arial"/>
        </w:rPr>
        <w:t>/</w:t>
      </w:r>
      <w:r w:rsidRPr="00960955">
        <w:rPr>
          <w:rFonts w:cs="Arial"/>
        </w:rPr>
        <w:t xml:space="preserve">&gt;. </w:t>
      </w:r>
    </w:p>
  </w:footnote>
  <w:footnote w:id="64">
    <w:p w14:paraId="2278FA13" w14:textId="77777777" w:rsidR="00FE4078" w:rsidRDefault="00FE4078">
      <w:pPr>
        <w:pStyle w:val="FootnoteText"/>
      </w:pPr>
      <w:r>
        <w:rPr>
          <w:rStyle w:val="FootnoteReference"/>
        </w:rPr>
        <w:footnoteRef/>
      </w:r>
      <w:r>
        <w:t xml:space="preserve"> </w:t>
      </w:r>
      <w:r w:rsidRPr="00A0560C">
        <w:t xml:space="preserve">Premier and Minister for the Olympic and Paralympic Games, </w:t>
      </w:r>
      <w:r>
        <w:t>Minister for Education, Minister for Industrial Relations and Minister for Racing</w:t>
      </w:r>
      <w:r w:rsidRPr="00A0560C">
        <w:t>, and Minister for Employment and Small Business, Minister for Training and Skills Development and Minister for Youth Justice, ‘</w:t>
      </w:r>
      <w:r>
        <w:t>$288 million package to keep students engaged in education</w:t>
      </w:r>
      <w:r w:rsidRPr="00A0560C">
        <w:t xml:space="preserve">’ (Joint Statement, </w:t>
      </w:r>
      <w:r>
        <w:t>4 December</w:t>
      </w:r>
      <w:r w:rsidRPr="00A0560C">
        <w:t xml:space="preserve"> 2023).</w:t>
      </w:r>
    </w:p>
  </w:footnote>
  <w:footnote w:id="65">
    <w:p w14:paraId="161E5E62" w14:textId="77777777" w:rsidR="00FE4078" w:rsidRDefault="00FE4078" w:rsidP="00B84BB2">
      <w:pPr>
        <w:pStyle w:val="FootnoteText"/>
      </w:pPr>
      <w:r>
        <w:rPr>
          <w:rStyle w:val="FootnoteReference"/>
        </w:rPr>
        <w:footnoteRef/>
      </w:r>
      <w:r>
        <w:t xml:space="preserve"> John Bosco </w:t>
      </w:r>
      <w:proofErr w:type="spellStart"/>
      <w:r>
        <w:t>Ngendakurio</w:t>
      </w:r>
      <w:proofErr w:type="spellEnd"/>
      <w:r>
        <w:t xml:space="preserve">, </w:t>
      </w:r>
      <w:r>
        <w:rPr>
          <w:i/>
          <w:iCs/>
        </w:rPr>
        <w:t>Report: Racism in Australian Schools</w:t>
      </w:r>
      <w:r>
        <w:t xml:space="preserve"> (Ethnic Communities Council of Queensland, February 2024), &lt;</w:t>
      </w:r>
      <w:r w:rsidRPr="00EA5EAA">
        <w:t>https://eccq.com.au/wp-content/uploads/2024/02/Report-Racism-Within-Australian-Schools.pdf</w:t>
      </w:r>
      <w:r>
        <w:t>&gt;, 2–4.</w:t>
      </w:r>
    </w:p>
  </w:footnote>
  <w:footnote w:id="66">
    <w:p w14:paraId="261780E9" w14:textId="77777777" w:rsidR="00FE4078" w:rsidRDefault="00FE4078">
      <w:pPr>
        <w:pStyle w:val="FootnoteText"/>
      </w:pPr>
      <w:r>
        <w:rPr>
          <w:rStyle w:val="FootnoteReference"/>
        </w:rPr>
        <w:footnoteRef/>
      </w:r>
      <w:r>
        <w:t xml:space="preserve"> See Kevin </w:t>
      </w:r>
      <w:r w:rsidRPr="00AB04C4">
        <w:t>Lowe</w:t>
      </w:r>
      <w:r>
        <w:t>, Neil Harrison, Cathie Burgess and Greg Vass, ‘</w:t>
      </w:r>
      <w:r w:rsidRPr="00AB04C4">
        <w:t>A systematic review of recent research on the importance of cultural programs in schools, school and community engagement and school leadership in Aboriginal and Torres Strait Islander education</w:t>
      </w:r>
      <w:r>
        <w:t>’ (Commissioned Report, Social Ventures Australia, 25 October 2019).</w:t>
      </w:r>
    </w:p>
  </w:footnote>
  <w:footnote w:id="67">
    <w:p w14:paraId="6EB94408" w14:textId="77777777" w:rsidR="00FE4078" w:rsidRPr="00830816" w:rsidRDefault="00FE4078" w:rsidP="001F5BA6">
      <w:pPr>
        <w:pStyle w:val="FootnoteText"/>
      </w:pPr>
      <w:r>
        <w:rPr>
          <w:rStyle w:val="FootnoteReference"/>
        </w:rPr>
        <w:footnoteRef/>
      </w:r>
      <w:r>
        <w:t xml:space="preserve"> See, for example, Angela Turner, Katie Wilson, Judith L Wilks, ‘Aboriginal Community Engagement in Primary Schooling: Promoting Learning through a Cross-Cultural Lens’ (2017) 42(11) </w:t>
      </w:r>
      <w:r>
        <w:rPr>
          <w:i/>
          <w:iCs/>
        </w:rPr>
        <w:t>Australian Journal of Teacher Education</w:t>
      </w:r>
      <w:r>
        <w:t xml:space="preserve"> 96.</w:t>
      </w:r>
    </w:p>
  </w:footnote>
  <w:footnote w:id="68">
    <w:p w14:paraId="5473DB7E" w14:textId="77777777" w:rsidR="00FE4078" w:rsidRDefault="00FE4078">
      <w:pPr>
        <w:pStyle w:val="FootnoteText"/>
      </w:pPr>
      <w:r>
        <w:rPr>
          <w:rStyle w:val="FootnoteReference"/>
        </w:rPr>
        <w:footnoteRef/>
      </w:r>
      <w:r>
        <w:t xml:space="preserve"> Brown et al have suggested that a key indicator required for assessing cultural wellbeing is ‘the number of states/ territories that have Aboriginal and Torres Strait Islander education content for </w:t>
      </w:r>
      <w:r w:rsidRPr="00DE789D">
        <w:rPr>
          <w:i/>
          <w:iCs/>
        </w:rPr>
        <w:t>all</w:t>
      </w:r>
      <w:r>
        <w:t xml:space="preserve"> children as part of the core education curriculum’: Ngaire Brown, Peter S Azzopardi and Fiona J Stanley, ‘</w:t>
      </w:r>
      <w:proofErr w:type="spellStart"/>
      <w:r>
        <w:t>Aragung</w:t>
      </w:r>
      <w:proofErr w:type="spellEnd"/>
      <w:r>
        <w:t xml:space="preserve"> </w:t>
      </w:r>
      <w:proofErr w:type="spellStart"/>
      <w:r>
        <w:t>buraay</w:t>
      </w:r>
      <w:proofErr w:type="spellEnd"/>
      <w:r>
        <w:t xml:space="preserve">: culture, identity and positive futures for Australian children’ (2023) 219(10) </w:t>
      </w:r>
      <w:r w:rsidRPr="007B2EEF">
        <w:rPr>
          <w:i/>
          <w:iCs/>
        </w:rPr>
        <w:t>Medical Journal of Australia</w:t>
      </w:r>
      <w:r>
        <w:t xml:space="preserve"> S35, S36.</w:t>
      </w:r>
    </w:p>
  </w:footnote>
  <w:footnote w:id="69">
    <w:p w14:paraId="7BB862E3" w14:textId="77777777" w:rsidR="00FE4078" w:rsidRPr="004F238A" w:rsidRDefault="00FE4078" w:rsidP="00CA0CCE">
      <w:pPr>
        <w:pStyle w:val="FootnoteText"/>
      </w:pPr>
      <w:r>
        <w:rPr>
          <w:rStyle w:val="FootnoteReference"/>
        </w:rPr>
        <w:footnoteRef/>
      </w:r>
      <w:r>
        <w:t xml:space="preserve"> See, for example, the Strong &amp; Deadly Futures alcohol and drug prevention program: K Routledge et al, ‘</w:t>
      </w:r>
      <w:r w:rsidRPr="001A7E28">
        <w:t>Acceptability and feasibility of Strong &amp; Deadly Futures, a culturally-inclusive alcohol and drug prevention program for Aboriginal and/or Torres Strait Islander secondary students</w:t>
      </w:r>
      <w:r>
        <w:t xml:space="preserve">’ (2022) 2 </w:t>
      </w:r>
      <w:r>
        <w:rPr>
          <w:i/>
          <w:iCs/>
        </w:rPr>
        <w:t>SSM Mental Health</w:t>
      </w:r>
      <w:r>
        <w:t xml:space="preserve"> 100073.</w:t>
      </w:r>
    </w:p>
  </w:footnote>
  <w:footnote w:id="70">
    <w:p w14:paraId="6BB690CE" w14:textId="77777777" w:rsidR="00FE4078" w:rsidRDefault="00FE4078">
      <w:pPr>
        <w:pStyle w:val="FootnoteText"/>
      </w:pPr>
      <w:r>
        <w:rPr>
          <w:rStyle w:val="FootnoteReference"/>
        </w:rPr>
        <w:footnoteRef/>
      </w:r>
      <w:r>
        <w:t xml:space="preserve"> </w:t>
      </w:r>
      <w:r>
        <w:rPr>
          <w:i/>
        </w:rPr>
        <w:t>General Comment No. 24 on children’s rights in the child justice system</w:t>
      </w:r>
      <w:r>
        <w:rPr>
          <w:iCs/>
        </w:rPr>
        <w:t>, UN Doc CRC/C/GC/24 (18 September 2019)</w:t>
      </w:r>
      <w:r>
        <w:t xml:space="preserve"> [9].</w:t>
      </w:r>
    </w:p>
  </w:footnote>
  <w:footnote w:id="71">
    <w:p w14:paraId="55DE0FDE" w14:textId="77777777" w:rsidR="00FE4078" w:rsidRDefault="00FE4078" w:rsidP="000B680E">
      <w:pPr>
        <w:pStyle w:val="FootnoteText"/>
      </w:pPr>
      <w:r>
        <w:rPr>
          <w:rStyle w:val="FootnoteReference"/>
        </w:rPr>
        <w:footnoteRef/>
      </w:r>
      <w:r>
        <w:t xml:space="preserve"> Ibid [11].</w:t>
      </w:r>
    </w:p>
  </w:footnote>
  <w:footnote w:id="72">
    <w:p w14:paraId="43139A2E" w14:textId="77777777" w:rsidR="00FE4078" w:rsidRDefault="00FE4078" w:rsidP="00F00896">
      <w:pPr>
        <w:pStyle w:val="FootnoteText"/>
      </w:pPr>
      <w:r>
        <w:rPr>
          <w:rStyle w:val="FootnoteReference"/>
        </w:rPr>
        <w:footnoteRef/>
      </w:r>
      <w:r>
        <w:t xml:space="preserve"> See, eg,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xml:space="preserve">, </w:t>
      </w:r>
      <w:r>
        <w:t>104–5, which notes that studies ‘suggest that children below the age of 14 have rarely developed the social, emotional and intellectual maturity necessary to determine criminal responsibility’, and that there is ‘a strong correlation between early involvement in the youth justice system and chronic offending in adulthood, the trajectory through the criminal justice system often being more rapid the earlier a young person is involved with the system’.</w:t>
      </w:r>
    </w:p>
  </w:footnote>
  <w:footnote w:id="73">
    <w:p w14:paraId="620EAB14" w14:textId="77777777" w:rsidR="00FE4078" w:rsidRDefault="00FE4078">
      <w:pPr>
        <w:pStyle w:val="FootnoteText"/>
      </w:pPr>
      <w:r>
        <w:rPr>
          <w:rStyle w:val="FootnoteReference"/>
        </w:rPr>
        <w:footnoteRef/>
      </w:r>
      <w:r>
        <w:t xml:space="preserve"> QFCC, </w:t>
      </w:r>
      <w:r>
        <w:rPr>
          <w:i/>
          <w:iCs/>
        </w:rPr>
        <w:t>The criminalisation of children living in out-of-home-care in Queensland</w:t>
      </w:r>
      <w:r>
        <w:t xml:space="preserve"> (2018), 9, 12.</w:t>
      </w:r>
    </w:p>
  </w:footnote>
  <w:footnote w:id="74">
    <w:p w14:paraId="67C60C55" w14:textId="77777777" w:rsidR="00FE4078" w:rsidRDefault="00FE4078">
      <w:pPr>
        <w:pStyle w:val="FootnoteText"/>
      </w:pPr>
      <w:r>
        <w:rPr>
          <w:rStyle w:val="FootnoteReference"/>
        </w:rPr>
        <w:footnoteRef/>
      </w:r>
      <w:r>
        <w:t xml:space="preserve"> Ibid 9.</w:t>
      </w:r>
    </w:p>
  </w:footnote>
  <w:footnote w:id="75">
    <w:p w14:paraId="33D41290" w14:textId="77777777" w:rsidR="00FE4078" w:rsidRDefault="00FE4078">
      <w:pPr>
        <w:pStyle w:val="FootnoteText"/>
      </w:pPr>
      <w:r>
        <w:rPr>
          <w:rStyle w:val="FootnoteReference"/>
        </w:rPr>
        <w:footnoteRef/>
      </w:r>
      <w:r>
        <w:t xml:space="preserve"> Ibid 19.</w:t>
      </w:r>
    </w:p>
  </w:footnote>
  <w:footnote w:id="76">
    <w:p w14:paraId="69D8F78D" w14:textId="77777777" w:rsidR="00FE4078" w:rsidRDefault="00FE4078" w:rsidP="00500D27">
      <w:pPr>
        <w:pStyle w:val="FootnoteText"/>
      </w:pPr>
      <w:r>
        <w:rPr>
          <w:rStyle w:val="FootnoteReference"/>
        </w:rPr>
        <w:footnoteRef/>
      </w:r>
      <w:r>
        <w:t xml:space="preserve"> </w:t>
      </w:r>
      <w:r w:rsidRPr="003D0DC2">
        <w:rPr>
          <w:i/>
          <w:iCs/>
        </w:rPr>
        <w:t>Human Rights Act 2019</w:t>
      </w:r>
      <w:r>
        <w:t xml:space="preserve"> (Qld) ss 27 and 28.</w:t>
      </w:r>
    </w:p>
  </w:footnote>
  <w:footnote w:id="77">
    <w:p w14:paraId="439DC2E0" w14:textId="77777777" w:rsidR="00FE4078" w:rsidRDefault="00FE4078">
      <w:pPr>
        <w:pStyle w:val="FootnoteText"/>
      </w:pPr>
      <w:r>
        <w:rPr>
          <w:rStyle w:val="FootnoteReference"/>
        </w:rPr>
        <w:footnoteRef/>
      </w:r>
      <w:r>
        <w:t xml:space="preserve"> Section 28.</w:t>
      </w:r>
    </w:p>
  </w:footnote>
  <w:footnote w:id="78">
    <w:p w14:paraId="1649DF5F" w14:textId="77777777" w:rsidR="00FE4078" w:rsidRDefault="00FE4078">
      <w:pPr>
        <w:pStyle w:val="FootnoteText"/>
      </w:pPr>
      <w:r>
        <w:rPr>
          <w:rStyle w:val="FootnoteReference"/>
        </w:rPr>
        <w:footnoteRef/>
      </w:r>
      <w:r>
        <w:t xml:space="preserve"> </w:t>
      </w:r>
      <w:r>
        <w:rPr>
          <w:i/>
        </w:rPr>
        <w:t>General Comment No. 24 on children’s rights in the child justice system</w:t>
      </w:r>
      <w:r>
        <w:rPr>
          <w:iCs/>
        </w:rPr>
        <w:t>, UN Doc CRC/C/GC/24 (18 September 2019)</w:t>
      </w:r>
      <w:r>
        <w:t xml:space="preserve"> [111].</w:t>
      </w:r>
    </w:p>
  </w:footnote>
  <w:footnote w:id="79">
    <w:p w14:paraId="2B0B0ABE" w14:textId="77777777" w:rsidR="00FE4078" w:rsidRPr="00FF27BF" w:rsidRDefault="00FE4078">
      <w:pPr>
        <w:pStyle w:val="FootnoteText"/>
        <w:rPr>
          <w:lang w:val="en-US"/>
        </w:rPr>
      </w:pPr>
      <w:r>
        <w:rPr>
          <w:rStyle w:val="FootnoteReference"/>
        </w:rPr>
        <w:footnoteRef/>
      </w:r>
      <w:r>
        <w:t xml:space="preserve">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xml:space="preserve">, </w:t>
      </w:r>
      <w:r>
        <w:rPr>
          <w:lang w:val="en-US"/>
        </w:rPr>
        <w:t>100.</w:t>
      </w:r>
    </w:p>
  </w:footnote>
  <w:footnote w:id="80">
    <w:p w14:paraId="61A7DC95" w14:textId="77777777" w:rsidR="00FE4078" w:rsidRPr="00A4467E" w:rsidRDefault="00FE4078">
      <w:pPr>
        <w:pStyle w:val="FootnoteText"/>
        <w:rPr>
          <w:lang w:val="en-US"/>
        </w:rPr>
      </w:pPr>
      <w:r>
        <w:rPr>
          <w:rStyle w:val="FootnoteReference"/>
        </w:rPr>
        <w:footnoteRef/>
      </w:r>
      <w:r>
        <w:t xml:space="preserve"> </w:t>
      </w:r>
      <w:r>
        <w:rPr>
          <w:lang w:val="en-US"/>
        </w:rPr>
        <w:t>New Zealand Child and Youth Strategy, 13.</w:t>
      </w:r>
    </w:p>
  </w:footnote>
  <w:footnote w:id="81">
    <w:p w14:paraId="7FC63DDB" w14:textId="77777777" w:rsidR="00FE4078" w:rsidRDefault="00FE4078">
      <w:pPr>
        <w:pStyle w:val="FootnoteText"/>
      </w:pPr>
      <w:r>
        <w:rPr>
          <w:rStyle w:val="FootnoteReference"/>
        </w:rPr>
        <w:footnoteRef/>
      </w:r>
      <w:r>
        <w:t xml:space="preserve"> </w:t>
      </w:r>
      <w:r>
        <w:rPr>
          <w:lang w:val="en-US"/>
        </w:rPr>
        <w:t xml:space="preserve">Queensland Government, </w:t>
      </w:r>
      <w:r w:rsidRPr="0017227A">
        <w:rPr>
          <w:i/>
          <w:lang w:val="en-US"/>
        </w:rPr>
        <w:t>Putting Queensland Kids First</w:t>
      </w:r>
      <w:r>
        <w:rPr>
          <w:i/>
          <w:iCs/>
          <w:lang w:val="en-US"/>
        </w:rPr>
        <w:t xml:space="preserve">: Giving our kids the opportunity of a lifetime </w:t>
      </w:r>
      <w:r>
        <w:rPr>
          <w:lang w:val="en-US"/>
        </w:rPr>
        <w:t>(Consultation draft, 2024)</w:t>
      </w:r>
      <w:r>
        <w:t xml:space="preserve"> 19. </w:t>
      </w:r>
    </w:p>
  </w:footnote>
  <w:footnote w:id="82">
    <w:p w14:paraId="733FF2D1" w14:textId="77777777" w:rsidR="00FE4078" w:rsidRDefault="00FE4078">
      <w:pPr>
        <w:pStyle w:val="FootnoteText"/>
      </w:pPr>
      <w:r>
        <w:rPr>
          <w:rStyle w:val="FootnoteReference"/>
        </w:rPr>
        <w:footnoteRef/>
      </w:r>
      <w:r>
        <w:t xml:space="preserve"> New Zealand Child and Youth Strategy, 30.</w:t>
      </w:r>
    </w:p>
  </w:footnote>
  <w:footnote w:id="83">
    <w:p w14:paraId="77532A4B" w14:textId="77777777" w:rsidR="00FE4078" w:rsidRDefault="00FE4078">
      <w:pPr>
        <w:pStyle w:val="FootnoteText"/>
      </w:pPr>
      <w:r>
        <w:rPr>
          <w:rStyle w:val="FootnoteReference"/>
        </w:rPr>
        <w:footnoteRef/>
      </w:r>
      <w:r>
        <w:t xml:space="preserve"> Ibid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6D8A" w14:textId="77777777" w:rsidR="007C510E" w:rsidRDefault="007C510E" w:rsidP="00260847">
    <w:pPr>
      <w:pStyle w:val="Header"/>
      <w:tabs>
        <w:tab w:val="clear" w:pos="4513"/>
        <w:tab w:val="clear" w:pos="9026"/>
      </w:tabs>
      <w:spacing w:before="240"/>
    </w:pPr>
  </w:p>
  <w:p w14:paraId="06AE106B"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E9C0" w14:textId="77777777" w:rsidR="00FE4078" w:rsidRDefault="00FE4078" w:rsidP="00260847">
    <w:pPr>
      <w:pStyle w:val="Header"/>
      <w:tabs>
        <w:tab w:val="clear" w:pos="4513"/>
        <w:tab w:val="clear" w:pos="9026"/>
      </w:tabs>
      <w:spacing w:before="240"/>
    </w:pPr>
  </w:p>
  <w:p w14:paraId="7D242CE9" w14:textId="77777777" w:rsidR="00FE4078" w:rsidRDefault="00FE4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B8A" w14:textId="77777777" w:rsidR="007C510E" w:rsidRPr="000731D3" w:rsidRDefault="007C510E"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7C6F"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EBD9535" w14:textId="77777777" w:rsidR="007C510E" w:rsidRPr="000731D3" w:rsidRDefault="007C510E" w:rsidP="000731D3">
    <w:pPr>
      <w:pStyle w:val="Header"/>
      <w:pBdr>
        <w:bottom w:val="single" w:sz="4" w:space="1" w:color="auto"/>
      </w:pBdr>
      <w:rPr>
        <w:rFonts w:cs="Arial"/>
        <w:sz w:val="20"/>
        <w:szCs w:val="20"/>
      </w:rPr>
    </w:pPr>
  </w:p>
  <w:p w14:paraId="1A11C56F"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B369D"/>
    <w:multiLevelType w:val="hybridMultilevel"/>
    <w:tmpl w:val="B06E082E"/>
    <w:lvl w:ilvl="0" w:tplc="F9F602BE">
      <w:start w:val="1"/>
      <w:numFmt w:val="lowerRoman"/>
      <w:lvlText w:val="(%1)"/>
      <w:lvlJc w:val="left"/>
      <w:pPr>
        <w:ind w:left="720" w:hanging="72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CC2EF1"/>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4DA1108"/>
    <w:multiLevelType w:val="multilevel"/>
    <w:tmpl w:val="41466C6E"/>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6" w15:restartNumberingAfterBreak="0">
    <w:nsid w:val="1E753544"/>
    <w:multiLevelType w:val="hybridMultilevel"/>
    <w:tmpl w:val="7BF03878"/>
    <w:lvl w:ilvl="0" w:tplc="70E683A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7C05931"/>
    <w:multiLevelType w:val="hybridMultilevel"/>
    <w:tmpl w:val="D060A5B0"/>
    <w:lvl w:ilvl="0" w:tplc="13A26B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47B0C01"/>
    <w:multiLevelType w:val="hybridMultilevel"/>
    <w:tmpl w:val="59F8EAF6"/>
    <w:lvl w:ilvl="0" w:tplc="105C1228">
      <w:start w:val="1"/>
      <w:numFmt w:val="lowerRoman"/>
      <w:lvlText w:val="(%1)"/>
      <w:lvlJc w:val="left"/>
      <w:pPr>
        <w:ind w:left="72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3078C5"/>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A055E28"/>
    <w:multiLevelType w:val="hybridMultilevel"/>
    <w:tmpl w:val="422A960C"/>
    <w:lvl w:ilvl="0" w:tplc="21A048D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A8B6D27"/>
    <w:multiLevelType w:val="hybridMultilevel"/>
    <w:tmpl w:val="F1CA6FC4"/>
    <w:lvl w:ilvl="0" w:tplc="CB2AA59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CF349BD"/>
    <w:multiLevelType w:val="singleLevel"/>
    <w:tmpl w:val="D8DC1A62"/>
    <w:lvl w:ilvl="0">
      <w:start w:val="1"/>
      <w:numFmt w:val="lowerRoman"/>
      <w:pStyle w:val="Rom1"/>
      <w:lvlText w:val="(%1)"/>
      <w:lvlJc w:val="right"/>
      <w:pPr>
        <w:tabs>
          <w:tab w:val="num" w:pos="1440"/>
        </w:tabs>
        <w:ind w:left="1440" w:hanging="589"/>
      </w:pPr>
      <w:rPr>
        <w:rFonts w:hint="default"/>
      </w:rPr>
    </w:lvl>
  </w:abstractNum>
  <w:num w:numId="1">
    <w:abstractNumId w:val="4"/>
  </w:num>
  <w:num w:numId="2">
    <w:abstractNumId w:val="9"/>
  </w:num>
  <w:num w:numId="3">
    <w:abstractNumId w:val="13"/>
  </w:num>
  <w:num w:numId="4">
    <w:abstractNumId w:val="6"/>
  </w:num>
  <w:num w:numId="5">
    <w:abstractNumId w:val="12"/>
  </w:num>
  <w:num w:numId="6">
    <w:abstractNumId w:val="5"/>
  </w:num>
  <w:num w:numId="7">
    <w:abstractNumId w:val="1"/>
  </w:num>
  <w:num w:numId="8">
    <w:abstractNumId w:val="8"/>
  </w:num>
  <w:num w:numId="9">
    <w:abstractNumId w:val="11"/>
  </w:num>
  <w:num w:numId="10">
    <w:abstractNumId w:val="2"/>
  </w:num>
  <w:num w:numId="11">
    <w:abstractNumId w:val="7"/>
  </w:num>
  <w:num w:numId="12">
    <w:abstractNumId w:val="0"/>
  </w:num>
  <w:num w:numId="13">
    <w:abstractNumId w:val="10"/>
  </w:num>
  <w:num w:numId="14">
    <w:abstractNumId w:val="3"/>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4C"/>
    <w:rsid w:val="00000AE7"/>
    <w:rsid w:val="00000B9B"/>
    <w:rsid w:val="00000DAD"/>
    <w:rsid w:val="000021E6"/>
    <w:rsid w:val="00002CA2"/>
    <w:rsid w:val="00002F05"/>
    <w:rsid w:val="000030BA"/>
    <w:rsid w:val="000037AA"/>
    <w:rsid w:val="00003C40"/>
    <w:rsid w:val="00005304"/>
    <w:rsid w:val="000057C4"/>
    <w:rsid w:val="00005AAA"/>
    <w:rsid w:val="00005AD6"/>
    <w:rsid w:val="00006689"/>
    <w:rsid w:val="00007B12"/>
    <w:rsid w:val="00007E2F"/>
    <w:rsid w:val="00010F91"/>
    <w:rsid w:val="00011A22"/>
    <w:rsid w:val="00012B39"/>
    <w:rsid w:val="000135C1"/>
    <w:rsid w:val="000153C5"/>
    <w:rsid w:val="000178A6"/>
    <w:rsid w:val="000202D0"/>
    <w:rsid w:val="0002040C"/>
    <w:rsid w:val="0002083A"/>
    <w:rsid w:val="00020D68"/>
    <w:rsid w:val="000217A0"/>
    <w:rsid w:val="0002193F"/>
    <w:rsid w:val="00021D8C"/>
    <w:rsid w:val="000220BC"/>
    <w:rsid w:val="0002351E"/>
    <w:rsid w:val="00023EC7"/>
    <w:rsid w:val="0002452F"/>
    <w:rsid w:val="0002612D"/>
    <w:rsid w:val="000273B6"/>
    <w:rsid w:val="00027999"/>
    <w:rsid w:val="000279DE"/>
    <w:rsid w:val="00027B02"/>
    <w:rsid w:val="0003116C"/>
    <w:rsid w:val="000311CE"/>
    <w:rsid w:val="00031A46"/>
    <w:rsid w:val="00031B4C"/>
    <w:rsid w:val="000321FD"/>
    <w:rsid w:val="00032A4D"/>
    <w:rsid w:val="0003355E"/>
    <w:rsid w:val="00033DAE"/>
    <w:rsid w:val="00037CCE"/>
    <w:rsid w:val="000401F1"/>
    <w:rsid w:val="000403C2"/>
    <w:rsid w:val="00040F6A"/>
    <w:rsid w:val="00041121"/>
    <w:rsid w:val="00041E58"/>
    <w:rsid w:val="00043D4D"/>
    <w:rsid w:val="00044355"/>
    <w:rsid w:val="000445B3"/>
    <w:rsid w:val="0004461F"/>
    <w:rsid w:val="00044A7F"/>
    <w:rsid w:val="00044E10"/>
    <w:rsid w:val="000451C7"/>
    <w:rsid w:val="0004560F"/>
    <w:rsid w:val="00045B3E"/>
    <w:rsid w:val="00045B46"/>
    <w:rsid w:val="00045D4B"/>
    <w:rsid w:val="00046489"/>
    <w:rsid w:val="00046F34"/>
    <w:rsid w:val="00047983"/>
    <w:rsid w:val="0005063D"/>
    <w:rsid w:val="0005205E"/>
    <w:rsid w:val="000530AB"/>
    <w:rsid w:val="00053512"/>
    <w:rsid w:val="00053C8F"/>
    <w:rsid w:val="00054120"/>
    <w:rsid w:val="00054FD1"/>
    <w:rsid w:val="00055063"/>
    <w:rsid w:val="00055445"/>
    <w:rsid w:val="000558B9"/>
    <w:rsid w:val="0005693B"/>
    <w:rsid w:val="00056960"/>
    <w:rsid w:val="00057023"/>
    <w:rsid w:val="00057574"/>
    <w:rsid w:val="00057D21"/>
    <w:rsid w:val="000606F0"/>
    <w:rsid w:val="0006098C"/>
    <w:rsid w:val="000627DB"/>
    <w:rsid w:val="00062EB4"/>
    <w:rsid w:val="000633FF"/>
    <w:rsid w:val="00063642"/>
    <w:rsid w:val="00063D29"/>
    <w:rsid w:val="00063EDF"/>
    <w:rsid w:val="00064570"/>
    <w:rsid w:val="00065009"/>
    <w:rsid w:val="00066A80"/>
    <w:rsid w:val="00067192"/>
    <w:rsid w:val="0006774D"/>
    <w:rsid w:val="000704C6"/>
    <w:rsid w:val="00070814"/>
    <w:rsid w:val="000708EC"/>
    <w:rsid w:val="00071CF4"/>
    <w:rsid w:val="0007242A"/>
    <w:rsid w:val="0007294C"/>
    <w:rsid w:val="00072C56"/>
    <w:rsid w:val="00072CE6"/>
    <w:rsid w:val="000731D3"/>
    <w:rsid w:val="00073886"/>
    <w:rsid w:val="00073936"/>
    <w:rsid w:val="00073D46"/>
    <w:rsid w:val="0007456E"/>
    <w:rsid w:val="00075AB0"/>
    <w:rsid w:val="0007630B"/>
    <w:rsid w:val="0007682B"/>
    <w:rsid w:val="00076C82"/>
    <w:rsid w:val="00077178"/>
    <w:rsid w:val="000808A5"/>
    <w:rsid w:val="00080B72"/>
    <w:rsid w:val="00082075"/>
    <w:rsid w:val="0008324B"/>
    <w:rsid w:val="000836AB"/>
    <w:rsid w:val="00084022"/>
    <w:rsid w:val="00084169"/>
    <w:rsid w:val="00085AF6"/>
    <w:rsid w:val="00087B0D"/>
    <w:rsid w:val="00087BF6"/>
    <w:rsid w:val="00087FA6"/>
    <w:rsid w:val="0009033A"/>
    <w:rsid w:val="000913B9"/>
    <w:rsid w:val="000928DD"/>
    <w:rsid w:val="000932AF"/>
    <w:rsid w:val="000934BD"/>
    <w:rsid w:val="00093BEC"/>
    <w:rsid w:val="000940F1"/>
    <w:rsid w:val="00094E0E"/>
    <w:rsid w:val="00094EE4"/>
    <w:rsid w:val="00095D44"/>
    <w:rsid w:val="00095FBB"/>
    <w:rsid w:val="00096517"/>
    <w:rsid w:val="00097994"/>
    <w:rsid w:val="000A044A"/>
    <w:rsid w:val="000A0712"/>
    <w:rsid w:val="000A11E9"/>
    <w:rsid w:val="000A201B"/>
    <w:rsid w:val="000A22B8"/>
    <w:rsid w:val="000A2804"/>
    <w:rsid w:val="000A2894"/>
    <w:rsid w:val="000A32B3"/>
    <w:rsid w:val="000A4DB8"/>
    <w:rsid w:val="000A55D6"/>
    <w:rsid w:val="000B0BBB"/>
    <w:rsid w:val="000B1117"/>
    <w:rsid w:val="000B270F"/>
    <w:rsid w:val="000B3F30"/>
    <w:rsid w:val="000B4928"/>
    <w:rsid w:val="000B4D80"/>
    <w:rsid w:val="000B50DB"/>
    <w:rsid w:val="000B5497"/>
    <w:rsid w:val="000B57AB"/>
    <w:rsid w:val="000B5B45"/>
    <w:rsid w:val="000B5D4B"/>
    <w:rsid w:val="000B5F04"/>
    <w:rsid w:val="000B6770"/>
    <w:rsid w:val="000B680E"/>
    <w:rsid w:val="000B6884"/>
    <w:rsid w:val="000B6C72"/>
    <w:rsid w:val="000B7102"/>
    <w:rsid w:val="000B794F"/>
    <w:rsid w:val="000B7B2D"/>
    <w:rsid w:val="000B7CDC"/>
    <w:rsid w:val="000C017B"/>
    <w:rsid w:val="000C08A2"/>
    <w:rsid w:val="000C0EB7"/>
    <w:rsid w:val="000C12DC"/>
    <w:rsid w:val="000C1AA1"/>
    <w:rsid w:val="000C37D3"/>
    <w:rsid w:val="000C3916"/>
    <w:rsid w:val="000C3EA3"/>
    <w:rsid w:val="000C4C3C"/>
    <w:rsid w:val="000C5853"/>
    <w:rsid w:val="000C5B2A"/>
    <w:rsid w:val="000C6377"/>
    <w:rsid w:val="000C6396"/>
    <w:rsid w:val="000C731C"/>
    <w:rsid w:val="000D2E32"/>
    <w:rsid w:val="000D49A5"/>
    <w:rsid w:val="000D5E2B"/>
    <w:rsid w:val="000D6D90"/>
    <w:rsid w:val="000D6F44"/>
    <w:rsid w:val="000D7C5D"/>
    <w:rsid w:val="000E0FEF"/>
    <w:rsid w:val="000E0FFC"/>
    <w:rsid w:val="000E1039"/>
    <w:rsid w:val="000E1B43"/>
    <w:rsid w:val="000E1FAD"/>
    <w:rsid w:val="000E22EA"/>
    <w:rsid w:val="000E2BA0"/>
    <w:rsid w:val="000E3226"/>
    <w:rsid w:val="000E4215"/>
    <w:rsid w:val="000E45D1"/>
    <w:rsid w:val="000E57A9"/>
    <w:rsid w:val="000E7B93"/>
    <w:rsid w:val="000F0445"/>
    <w:rsid w:val="000F0BC1"/>
    <w:rsid w:val="000F12BE"/>
    <w:rsid w:val="000F13EA"/>
    <w:rsid w:val="000F17A6"/>
    <w:rsid w:val="000F338C"/>
    <w:rsid w:val="000F4098"/>
    <w:rsid w:val="000F49FD"/>
    <w:rsid w:val="000F4F44"/>
    <w:rsid w:val="000F5253"/>
    <w:rsid w:val="000F5B20"/>
    <w:rsid w:val="000F61B4"/>
    <w:rsid w:val="000F6A80"/>
    <w:rsid w:val="000F7009"/>
    <w:rsid w:val="001004FA"/>
    <w:rsid w:val="00100711"/>
    <w:rsid w:val="00100FBF"/>
    <w:rsid w:val="0010133C"/>
    <w:rsid w:val="001018E2"/>
    <w:rsid w:val="0010421B"/>
    <w:rsid w:val="001049C0"/>
    <w:rsid w:val="00104D16"/>
    <w:rsid w:val="00105217"/>
    <w:rsid w:val="001066BD"/>
    <w:rsid w:val="001100D6"/>
    <w:rsid w:val="00110B05"/>
    <w:rsid w:val="00110E05"/>
    <w:rsid w:val="0011203C"/>
    <w:rsid w:val="0011243E"/>
    <w:rsid w:val="00112D38"/>
    <w:rsid w:val="0011420E"/>
    <w:rsid w:val="001144F1"/>
    <w:rsid w:val="00114E9B"/>
    <w:rsid w:val="001157E0"/>
    <w:rsid w:val="0011593E"/>
    <w:rsid w:val="0011672F"/>
    <w:rsid w:val="001167F7"/>
    <w:rsid w:val="00116A97"/>
    <w:rsid w:val="001170D6"/>
    <w:rsid w:val="001203CB"/>
    <w:rsid w:val="00121E6F"/>
    <w:rsid w:val="00123E22"/>
    <w:rsid w:val="00123EC5"/>
    <w:rsid w:val="00124A35"/>
    <w:rsid w:val="00127119"/>
    <w:rsid w:val="00127478"/>
    <w:rsid w:val="001304EE"/>
    <w:rsid w:val="00130B08"/>
    <w:rsid w:val="00130B53"/>
    <w:rsid w:val="0013109B"/>
    <w:rsid w:val="0013157E"/>
    <w:rsid w:val="00131C48"/>
    <w:rsid w:val="00132B6B"/>
    <w:rsid w:val="00132DFE"/>
    <w:rsid w:val="00133482"/>
    <w:rsid w:val="001339AF"/>
    <w:rsid w:val="00133A58"/>
    <w:rsid w:val="00134980"/>
    <w:rsid w:val="001353AA"/>
    <w:rsid w:val="00135FF1"/>
    <w:rsid w:val="00136377"/>
    <w:rsid w:val="0013682B"/>
    <w:rsid w:val="00136D2F"/>
    <w:rsid w:val="00140104"/>
    <w:rsid w:val="001419B7"/>
    <w:rsid w:val="00142788"/>
    <w:rsid w:val="001429C8"/>
    <w:rsid w:val="00143072"/>
    <w:rsid w:val="001437E7"/>
    <w:rsid w:val="00143EBD"/>
    <w:rsid w:val="001442C8"/>
    <w:rsid w:val="00145654"/>
    <w:rsid w:val="001461B6"/>
    <w:rsid w:val="00146A1E"/>
    <w:rsid w:val="00146DC9"/>
    <w:rsid w:val="00146F44"/>
    <w:rsid w:val="001473DD"/>
    <w:rsid w:val="0014757D"/>
    <w:rsid w:val="00150373"/>
    <w:rsid w:val="00152898"/>
    <w:rsid w:val="0015296E"/>
    <w:rsid w:val="00153798"/>
    <w:rsid w:val="00154A32"/>
    <w:rsid w:val="00155DD0"/>
    <w:rsid w:val="00156532"/>
    <w:rsid w:val="001565D6"/>
    <w:rsid w:val="00157053"/>
    <w:rsid w:val="001573ED"/>
    <w:rsid w:val="00157B79"/>
    <w:rsid w:val="00157CA2"/>
    <w:rsid w:val="00157CE9"/>
    <w:rsid w:val="00162575"/>
    <w:rsid w:val="00162CC2"/>
    <w:rsid w:val="00163B98"/>
    <w:rsid w:val="0016481C"/>
    <w:rsid w:val="00164B3A"/>
    <w:rsid w:val="00166006"/>
    <w:rsid w:val="00167B7E"/>
    <w:rsid w:val="00170022"/>
    <w:rsid w:val="00170CBD"/>
    <w:rsid w:val="00171B1A"/>
    <w:rsid w:val="00171EBF"/>
    <w:rsid w:val="0017227A"/>
    <w:rsid w:val="00172599"/>
    <w:rsid w:val="0017374A"/>
    <w:rsid w:val="00173DB0"/>
    <w:rsid w:val="00174565"/>
    <w:rsid w:val="001747C1"/>
    <w:rsid w:val="00175B18"/>
    <w:rsid w:val="00175B32"/>
    <w:rsid w:val="001761F2"/>
    <w:rsid w:val="00177414"/>
    <w:rsid w:val="00180677"/>
    <w:rsid w:val="00181575"/>
    <w:rsid w:val="001818B8"/>
    <w:rsid w:val="001821D0"/>
    <w:rsid w:val="001825CB"/>
    <w:rsid w:val="0018274A"/>
    <w:rsid w:val="00182865"/>
    <w:rsid w:val="00182E06"/>
    <w:rsid w:val="001832A2"/>
    <w:rsid w:val="00183C12"/>
    <w:rsid w:val="00184161"/>
    <w:rsid w:val="001846DD"/>
    <w:rsid w:val="00185251"/>
    <w:rsid w:val="00185324"/>
    <w:rsid w:val="00185EF6"/>
    <w:rsid w:val="00185F3E"/>
    <w:rsid w:val="001864BB"/>
    <w:rsid w:val="00186D57"/>
    <w:rsid w:val="00187A74"/>
    <w:rsid w:val="00187B09"/>
    <w:rsid w:val="00187D9F"/>
    <w:rsid w:val="00187FF5"/>
    <w:rsid w:val="0019042F"/>
    <w:rsid w:val="00190E4D"/>
    <w:rsid w:val="001914E9"/>
    <w:rsid w:val="001916E4"/>
    <w:rsid w:val="00191BF1"/>
    <w:rsid w:val="0019203A"/>
    <w:rsid w:val="00192CA4"/>
    <w:rsid w:val="00192F5C"/>
    <w:rsid w:val="00193ABE"/>
    <w:rsid w:val="00193E2E"/>
    <w:rsid w:val="0019560C"/>
    <w:rsid w:val="00195E9F"/>
    <w:rsid w:val="00196387"/>
    <w:rsid w:val="0019657C"/>
    <w:rsid w:val="00196667"/>
    <w:rsid w:val="0019730B"/>
    <w:rsid w:val="001A02F0"/>
    <w:rsid w:val="001A03B9"/>
    <w:rsid w:val="001A12BD"/>
    <w:rsid w:val="001A1509"/>
    <w:rsid w:val="001A240F"/>
    <w:rsid w:val="001A2AB6"/>
    <w:rsid w:val="001A2D62"/>
    <w:rsid w:val="001A3266"/>
    <w:rsid w:val="001A67A8"/>
    <w:rsid w:val="001A6C7E"/>
    <w:rsid w:val="001A7D1A"/>
    <w:rsid w:val="001A7E28"/>
    <w:rsid w:val="001B09D0"/>
    <w:rsid w:val="001B1A27"/>
    <w:rsid w:val="001B1B47"/>
    <w:rsid w:val="001B2297"/>
    <w:rsid w:val="001B3FCD"/>
    <w:rsid w:val="001B4D5F"/>
    <w:rsid w:val="001B5470"/>
    <w:rsid w:val="001B568B"/>
    <w:rsid w:val="001B57C6"/>
    <w:rsid w:val="001B6903"/>
    <w:rsid w:val="001B6960"/>
    <w:rsid w:val="001B773F"/>
    <w:rsid w:val="001C01FD"/>
    <w:rsid w:val="001C127F"/>
    <w:rsid w:val="001C14AE"/>
    <w:rsid w:val="001C15CF"/>
    <w:rsid w:val="001C2EB7"/>
    <w:rsid w:val="001C3425"/>
    <w:rsid w:val="001C3C22"/>
    <w:rsid w:val="001C3E34"/>
    <w:rsid w:val="001C5127"/>
    <w:rsid w:val="001C548A"/>
    <w:rsid w:val="001C6992"/>
    <w:rsid w:val="001C7296"/>
    <w:rsid w:val="001D088F"/>
    <w:rsid w:val="001D0D5D"/>
    <w:rsid w:val="001D1F75"/>
    <w:rsid w:val="001D444E"/>
    <w:rsid w:val="001D4BA3"/>
    <w:rsid w:val="001D50C0"/>
    <w:rsid w:val="001D5347"/>
    <w:rsid w:val="001D5842"/>
    <w:rsid w:val="001D7758"/>
    <w:rsid w:val="001D7833"/>
    <w:rsid w:val="001D78F8"/>
    <w:rsid w:val="001D7999"/>
    <w:rsid w:val="001D7AD4"/>
    <w:rsid w:val="001D7DB0"/>
    <w:rsid w:val="001D7DEB"/>
    <w:rsid w:val="001E06CB"/>
    <w:rsid w:val="001E0B91"/>
    <w:rsid w:val="001E0D87"/>
    <w:rsid w:val="001E179D"/>
    <w:rsid w:val="001E19A3"/>
    <w:rsid w:val="001E1A03"/>
    <w:rsid w:val="001E1AE7"/>
    <w:rsid w:val="001E2124"/>
    <w:rsid w:val="001E2200"/>
    <w:rsid w:val="001E2320"/>
    <w:rsid w:val="001E25A0"/>
    <w:rsid w:val="001E2B61"/>
    <w:rsid w:val="001E3068"/>
    <w:rsid w:val="001E3647"/>
    <w:rsid w:val="001E3A26"/>
    <w:rsid w:val="001E4753"/>
    <w:rsid w:val="001E482E"/>
    <w:rsid w:val="001E483A"/>
    <w:rsid w:val="001E519C"/>
    <w:rsid w:val="001E5FF2"/>
    <w:rsid w:val="001E7B66"/>
    <w:rsid w:val="001F019B"/>
    <w:rsid w:val="001F2358"/>
    <w:rsid w:val="001F2FAB"/>
    <w:rsid w:val="001F3646"/>
    <w:rsid w:val="001F3F19"/>
    <w:rsid w:val="001F4B56"/>
    <w:rsid w:val="001F4CF2"/>
    <w:rsid w:val="001F5689"/>
    <w:rsid w:val="001F57DE"/>
    <w:rsid w:val="001F5BA6"/>
    <w:rsid w:val="001F5F4B"/>
    <w:rsid w:val="001F6682"/>
    <w:rsid w:val="001F6B34"/>
    <w:rsid w:val="001F6E09"/>
    <w:rsid w:val="002017D0"/>
    <w:rsid w:val="00201EAC"/>
    <w:rsid w:val="00201FE4"/>
    <w:rsid w:val="002034C0"/>
    <w:rsid w:val="00203687"/>
    <w:rsid w:val="00203692"/>
    <w:rsid w:val="00204C2B"/>
    <w:rsid w:val="00205480"/>
    <w:rsid w:val="0020771E"/>
    <w:rsid w:val="00207B68"/>
    <w:rsid w:val="00212080"/>
    <w:rsid w:val="002120B3"/>
    <w:rsid w:val="0021311C"/>
    <w:rsid w:val="002164A8"/>
    <w:rsid w:val="00217EC2"/>
    <w:rsid w:val="002205FA"/>
    <w:rsid w:val="002218BA"/>
    <w:rsid w:val="002223CC"/>
    <w:rsid w:val="002227A4"/>
    <w:rsid w:val="00223ACB"/>
    <w:rsid w:val="00224110"/>
    <w:rsid w:val="002257D3"/>
    <w:rsid w:val="00227178"/>
    <w:rsid w:val="002305B8"/>
    <w:rsid w:val="0023071B"/>
    <w:rsid w:val="00230A5A"/>
    <w:rsid w:val="00231535"/>
    <w:rsid w:val="00231E88"/>
    <w:rsid w:val="002320E3"/>
    <w:rsid w:val="00232196"/>
    <w:rsid w:val="0023234B"/>
    <w:rsid w:val="0023268A"/>
    <w:rsid w:val="002332CB"/>
    <w:rsid w:val="00233402"/>
    <w:rsid w:val="00233684"/>
    <w:rsid w:val="00233F52"/>
    <w:rsid w:val="00235527"/>
    <w:rsid w:val="002365A2"/>
    <w:rsid w:val="002379A5"/>
    <w:rsid w:val="00237BEB"/>
    <w:rsid w:val="0024001D"/>
    <w:rsid w:val="002406F8"/>
    <w:rsid w:val="00240A92"/>
    <w:rsid w:val="00240D97"/>
    <w:rsid w:val="00240EF9"/>
    <w:rsid w:val="0024194E"/>
    <w:rsid w:val="00241F93"/>
    <w:rsid w:val="00241FE7"/>
    <w:rsid w:val="00242964"/>
    <w:rsid w:val="00242AE8"/>
    <w:rsid w:val="0024532E"/>
    <w:rsid w:val="0024608E"/>
    <w:rsid w:val="00246878"/>
    <w:rsid w:val="002502C9"/>
    <w:rsid w:val="002510F0"/>
    <w:rsid w:val="00251B1B"/>
    <w:rsid w:val="00251E9A"/>
    <w:rsid w:val="00252022"/>
    <w:rsid w:val="00253B42"/>
    <w:rsid w:val="00253C53"/>
    <w:rsid w:val="002540C1"/>
    <w:rsid w:val="0025439C"/>
    <w:rsid w:val="00257059"/>
    <w:rsid w:val="00260847"/>
    <w:rsid w:val="00262371"/>
    <w:rsid w:val="00262C40"/>
    <w:rsid w:val="00263AE4"/>
    <w:rsid w:val="00264ACD"/>
    <w:rsid w:val="00265A65"/>
    <w:rsid w:val="0026605A"/>
    <w:rsid w:val="00266086"/>
    <w:rsid w:val="0026618C"/>
    <w:rsid w:val="002700B6"/>
    <w:rsid w:val="00270A11"/>
    <w:rsid w:val="00270E80"/>
    <w:rsid w:val="0027176E"/>
    <w:rsid w:val="002731CE"/>
    <w:rsid w:val="00273CA5"/>
    <w:rsid w:val="002741D0"/>
    <w:rsid w:val="00274CBE"/>
    <w:rsid w:val="002752F8"/>
    <w:rsid w:val="002757F2"/>
    <w:rsid w:val="002761EB"/>
    <w:rsid w:val="00276620"/>
    <w:rsid w:val="002804B3"/>
    <w:rsid w:val="00280F90"/>
    <w:rsid w:val="00281E23"/>
    <w:rsid w:val="00281E7B"/>
    <w:rsid w:val="00282569"/>
    <w:rsid w:val="00283006"/>
    <w:rsid w:val="00283582"/>
    <w:rsid w:val="00283D88"/>
    <w:rsid w:val="00283F68"/>
    <w:rsid w:val="00284738"/>
    <w:rsid w:val="00284FF0"/>
    <w:rsid w:val="002857A1"/>
    <w:rsid w:val="00285871"/>
    <w:rsid w:val="0028649E"/>
    <w:rsid w:val="00286953"/>
    <w:rsid w:val="00286D73"/>
    <w:rsid w:val="00286DBF"/>
    <w:rsid w:val="00286FE4"/>
    <w:rsid w:val="00287A48"/>
    <w:rsid w:val="00287BC4"/>
    <w:rsid w:val="00291568"/>
    <w:rsid w:val="00291BD0"/>
    <w:rsid w:val="002920F6"/>
    <w:rsid w:val="00292A08"/>
    <w:rsid w:val="00292C50"/>
    <w:rsid w:val="0029308E"/>
    <w:rsid w:val="00293B2D"/>
    <w:rsid w:val="002948BC"/>
    <w:rsid w:val="00295B52"/>
    <w:rsid w:val="002962CF"/>
    <w:rsid w:val="00296B8B"/>
    <w:rsid w:val="00296F24"/>
    <w:rsid w:val="002A03F1"/>
    <w:rsid w:val="002A2712"/>
    <w:rsid w:val="002A288C"/>
    <w:rsid w:val="002A2A6A"/>
    <w:rsid w:val="002A3591"/>
    <w:rsid w:val="002A3D32"/>
    <w:rsid w:val="002A5473"/>
    <w:rsid w:val="002A6811"/>
    <w:rsid w:val="002A7B96"/>
    <w:rsid w:val="002A7D59"/>
    <w:rsid w:val="002B04E8"/>
    <w:rsid w:val="002B08D8"/>
    <w:rsid w:val="002B29E7"/>
    <w:rsid w:val="002B3167"/>
    <w:rsid w:val="002B3B21"/>
    <w:rsid w:val="002B3E46"/>
    <w:rsid w:val="002B40F5"/>
    <w:rsid w:val="002B4849"/>
    <w:rsid w:val="002B49CC"/>
    <w:rsid w:val="002B4E8C"/>
    <w:rsid w:val="002B61FB"/>
    <w:rsid w:val="002B65D4"/>
    <w:rsid w:val="002B73E6"/>
    <w:rsid w:val="002B7583"/>
    <w:rsid w:val="002B76F7"/>
    <w:rsid w:val="002B7890"/>
    <w:rsid w:val="002C0719"/>
    <w:rsid w:val="002C1D2E"/>
    <w:rsid w:val="002C2367"/>
    <w:rsid w:val="002C2A35"/>
    <w:rsid w:val="002C4B18"/>
    <w:rsid w:val="002C522D"/>
    <w:rsid w:val="002C64BE"/>
    <w:rsid w:val="002D08D0"/>
    <w:rsid w:val="002D0B08"/>
    <w:rsid w:val="002D0D7A"/>
    <w:rsid w:val="002D0E21"/>
    <w:rsid w:val="002D1336"/>
    <w:rsid w:val="002D1801"/>
    <w:rsid w:val="002D19AA"/>
    <w:rsid w:val="002D1A6F"/>
    <w:rsid w:val="002D1F78"/>
    <w:rsid w:val="002D249D"/>
    <w:rsid w:val="002D32FF"/>
    <w:rsid w:val="002D3655"/>
    <w:rsid w:val="002D3F2E"/>
    <w:rsid w:val="002D444D"/>
    <w:rsid w:val="002D46A2"/>
    <w:rsid w:val="002D4A04"/>
    <w:rsid w:val="002D5077"/>
    <w:rsid w:val="002D52F1"/>
    <w:rsid w:val="002D674F"/>
    <w:rsid w:val="002D6B62"/>
    <w:rsid w:val="002D79D9"/>
    <w:rsid w:val="002D7BE1"/>
    <w:rsid w:val="002D7C74"/>
    <w:rsid w:val="002E0E6C"/>
    <w:rsid w:val="002E0FE5"/>
    <w:rsid w:val="002E1B39"/>
    <w:rsid w:val="002E25F3"/>
    <w:rsid w:val="002E36CB"/>
    <w:rsid w:val="002E3B01"/>
    <w:rsid w:val="002E433B"/>
    <w:rsid w:val="002E51E0"/>
    <w:rsid w:val="002E5437"/>
    <w:rsid w:val="002E6501"/>
    <w:rsid w:val="002E658B"/>
    <w:rsid w:val="002E660B"/>
    <w:rsid w:val="002E6748"/>
    <w:rsid w:val="002E6B79"/>
    <w:rsid w:val="002E7DD1"/>
    <w:rsid w:val="002E7F1F"/>
    <w:rsid w:val="002E7FDA"/>
    <w:rsid w:val="002F1FAE"/>
    <w:rsid w:val="002F2621"/>
    <w:rsid w:val="002F2B6F"/>
    <w:rsid w:val="002F2F12"/>
    <w:rsid w:val="002F31C6"/>
    <w:rsid w:val="002F730E"/>
    <w:rsid w:val="0030003D"/>
    <w:rsid w:val="00300BF2"/>
    <w:rsid w:val="00303478"/>
    <w:rsid w:val="0030364D"/>
    <w:rsid w:val="003036DB"/>
    <w:rsid w:val="00303F48"/>
    <w:rsid w:val="00304989"/>
    <w:rsid w:val="00304CD6"/>
    <w:rsid w:val="00304D0C"/>
    <w:rsid w:val="003055F6"/>
    <w:rsid w:val="00306E3A"/>
    <w:rsid w:val="00307727"/>
    <w:rsid w:val="00310CB2"/>
    <w:rsid w:val="0031182C"/>
    <w:rsid w:val="0031247E"/>
    <w:rsid w:val="00312C2A"/>
    <w:rsid w:val="00312E91"/>
    <w:rsid w:val="003133AF"/>
    <w:rsid w:val="00313835"/>
    <w:rsid w:val="00313ABE"/>
    <w:rsid w:val="003142D0"/>
    <w:rsid w:val="00314598"/>
    <w:rsid w:val="00314743"/>
    <w:rsid w:val="0031517A"/>
    <w:rsid w:val="00315295"/>
    <w:rsid w:val="00315F09"/>
    <w:rsid w:val="003176A8"/>
    <w:rsid w:val="003204FA"/>
    <w:rsid w:val="00320C4C"/>
    <w:rsid w:val="00320C92"/>
    <w:rsid w:val="00321118"/>
    <w:rsid w:val="00321445"/>
    <w:rsid w:val="00321CD3"/>
    <w:rsid w:val="00321D94"/>
    <w:rsid w:val="003222B7"/>
    <w:rsid w:val="00322F7C"/>
    <w:rsid w:val="00322FDF"/>
    <w:rsid w:val="00323B56"/>
    <w:rsid w:val="00324866"/>
    <w:rsid w:val="00324EEF"/>
    <w:rsid w:val="0032516B"/>
    <w:rsid w:val="00326387"/>
    <w:rsid w:val="003264A7"/>
    <w:rsid w:val="003268D4"/>
    <w:rsid w:val="003268E8"/>
    <w:rsid w:val="00326ABD"/>
    <w:rsid w:val="00326D46"/>
    <w:rsid w:val="00326F04"/>
    <w:rsid w:val="00326F54"/>
    <w:rsid w:val="003279EE"/>
    <w:rsid w:val="0033001E"/>
    <w:rsid w:val="00330A68"/>
    <w:rsid w:val="00330C2E"/>
    <w:rsid w:val="00330E80"/>
    <w:rsid w:val="00331E19"/>
    <w:rsid w:val="0033216F"/>
    <w:rsid w:val="00333269"/>
    <w:rsid w:val="00333BB5"/>
    <w:rsid w:val="00334288"/>
    <w:rsid w:val="00334A06"/>
    <w:rsid w:val="00335F60"/>
    <w:rsid w:val="00336285"/>
    <w:rsid w:val="003378D3"/>
    <w:rsid w:val="00340255"/>
    <w:rsid w:val="00340903"/>
    <w:rsid w:val="0034134D"/>
    <w:rsid w:val="00342267"/>
    <w:rsid w:val="00342457"/>
    <w:rsid w:val="00343A44"/>
    <w:rsid w:val="0034400A"/>
    <w:rsid w:val="00344F59"/>
    <w:rsid w:val="00347459"/>
    <w:rsid w:val="00347CB1"/>
    <w:rsid w:val="00350B58"/>
    <w:rsid w:val="00350D39"/>
    <w:rsid w:val="003512B3"/>
    <w:rsid w:val="00351A62"/>
    <w:rsid w:val="00352217"/>
    <w:rsid w:val="003538D4"/>
    <w:rsid w:val="00354758"/>
    <w:rsid w:val="0035517B"/>
    <w:rsid w:val="003553EB"/>
    <w:rsid w:val="0035654D"/>
    <w:rsid w:val="00357166"/>
    <w:rsid w:val="00357469"/>
    <w:rsid w:val="0036008B"/>
    <w:rsid w:val="0036128B"/>
    <w:rsid w:val="00361332"/>
    <w:rsid w:val="003617B1"/>
    <w:rsid w:val="003632A0"/>
    <w:rsid w:val="0036377D"/>
    <w:rsid w:val="003646F3"/>
    <w:rsid w:val="003648D9"/>
    <w:rsid w:val="0036533B"/>
    <w:rsid w:val="00365F03"/>
    <w:rsid w:val="003668D7"/>
    <w:rsid w:val="00367105"/>
    <w:rsid w:val="003679E5"/>
    <w:rsid w:val="00370336"/>
    <w:rsid w:val="00370EC3"/>
    <w:rsid w:val="00372954"/>
    <w:rsid w:val="00372AE6"/>
    <w:rsid w:val="0037484D"/>
    <w:rsid w:val="00374C83"/>
    <w:rsid w:val="003753BD"/>
    <w:rsid w:val="003761DF"/>
    <w:rsid w:val="003768A6"/>
    <w:rsid w:val="003800B6"/>
    <w:rsid w:val="0038100C"/>
    <w:rsid w:val="00381A5D"/>
    <w:rsid w:val="0038208F"/>
    <w:rsid w:val="00383021"/>
    <w:rsid w:val="00383434"/>
    <w:rsid w:val="003847F0"/>
    <w:rsid w:val="003848DD"/>
    <w:rsid w:val="00384936"/>
    <w:rsid w:val="00384B57"/>
    <w:rsid w:val="003863A5"/>
    <w:rsid w:val="0038647F"/>
    <w:rsid w:val="003876AC"/>
    <w:rsid w:val="003876C1"/>
    <w:rsid w:val="0039028D"/>
    <w:rsid w:val="003902A5"/>
    <w:rsid w:val="00390D1E"/>
    <w:rsid w:val="00390E6B"/>
    <w:rsid w:val="003911D1"/>
    <w:rsid w:val="00391537"/>
    <w:rsid w:val="00391830"/>
    <w:rsid w:val="00391BFE"/>
    <w:rsid w:val="00392522"/>
    <w:rsid w:val="00392B95"/>
    <w:rsid w:val="00392F43"/>
    <w:rsid w:val="00393723"/>
    <w:rsid w:val="00393875"/>
    <w:rsid w:val="00393CD3"/>
    <w:rsid w:val="003943C8"/>
    <w:rsid w:val="00395332"/>
    <w:rsid w:val="00396B4B"/>
    <w:rsid w:val="00396FFB"/>
    <w:rsid w:val="00397F3D"/>
    <w:rsid w:val="00397F7C"/>
    <w:rsid w:val="003A116F"/>
    <w:rsid w:val="003A1CD3"/>
    <w:rsid w:val="003A3A7C"/>
    <w:rsid w:val="003A47B8"/>
    <w:rsid w:val="003A5099"/>
    <w:rsid w:val="003A578D"/>
    <w:rsid w:val="003A6097"/>
    <w:rsid w:val="003A6534"/>
    <w:rsid w:val="003A666E"/>
    <w:rsid w:val="003A68DD"/>
    <w:rsid w:val="003A6FEB"/>
    <w:rsid w:val="003A7373"/>
    <w:rsid w:val="003A7887"/>
    <w:rsid w:val="003B01A3"/>
    <w:rsid w:val="003B197E"/>
    <w:rsid w:val="003B2DCC"/>
    <w:rsid w:val="003B3CD2"/>
    <w:rsid w:val="003B5284"/>
    <w:rsid w:val="003B576E"/>
    <w:rsid w:val="003B5CB2"/>
    <w:rsid w:val="003B5DE0"/>
    <w:rsid w:val="003B60EC"/>
    <w:rsid w:val="003B7419"/>
    <w:rsid w:val="003B7465"/>
    <w:rsid w:val="003B7B48"/>
    <w:rsid w:val="003C0FFF"/>
    <w:rsid w:val="003C1C74"/>
    <w:rsid w:val="003C22F7"/>
    <w:rsid w:val="003C2709"/>
    <w:rsid w:val="003C2DD4"/>
    <w:rsid w:val="003C2F67"/>
    <w:rsid w:val="003C35B4"/>
    <w:rsid w:val="003C37D4"/>
    <w:rsid w:val="003C3B31"/>
    <w:rsid w:val="003C443B"/>
    <w:rsid w:val="003C500F"/>
    <w:rsid w:val="003C5254"/>
    <w:rsid w:val="003C58D1"/>
    <w:rsid w:val="003C6A61"/>
    <w:rsid w:val="003C6C1B"/>
    <w:rsid w:val="003D0108"/>
    <w:rsid w:val="003D099C"/>
    <w:rsid w:val="003D0DC2"/>
    <w:rsid w:val="003D2378"/>
    <w:rsid w:val="003D278B"/>
    <w:rsid w:val="003D2996"/>
    <w:rsid w:val="003D2D68"/>
    <w:rsid w:val="003D3811"/>
    <w:rsid w:val="003D3AAC"/>
    <w:rsid w:val="003D5CBF"/>
    <w:rsid w:val="003D625C"/>
    <w:rsid w:val="003D6572"/>
    <w:rsid w:val="003D6BBA"/>
    <w:rsid w:val="003D7856"/>
    <w:rsid w:val="003E0162"/>
    <w:rsid w:val="003E15F9"/>
    <w:rsid w:val="003E49F1"/>
    <w:rsid w:val="003E4B6B"/>
    <w:rsid w:val="003E5072"/>
    <w:rsid w:val="003E6BB6"/>
    <w:rsid w:val="003E7236"/>
    <w:rsid w:val="003E7327"/>
    <w:rsid w:val="003F1290"/>
    <w:rsid w:val="003F184D"/>
    <w:rsid w:val="003F2847"/>
    <w:rsid w:val="003F3315"/>
    <w:rsid w:val="003F3963"/>
    <w:rsid w:val="003F3E06"/>
    <w:rsid w:val="003F4516"/>
    <w:rsid w:val="003F49C7"/>
    <w:rsid w:val="003F50C8"/>
    <w:rsid w:val="003F55EE"/>
    <w:rsid w:val="003F6A83"/>
    <w:rsid w:val="003F6F7E"/>
    <w:rsid w:val="003F757B"/>
    <w:rsid w:val="003F792A"/>
    <w:rsid w:val="004000D1"/>
    <w:rsid w:val="00400542"/>
    <w:rsid w:val="004008E2"/>
    <w:rsid w:val="00400A23"/>
    <w:rsid w:val="00401A62"/>
    <w:rsid w:val="00402155"/>
    <w:rsid w:val="00402748"/>
    <w:rsid w:val="00402814"/>
    <w:rsid w:val="0040304F"/>
    <w:rsid w:val="004044E4"/>
    <w:rsid w:val="0040465C"/>
    <w:rsid w:val="004057F5"/>
    <w:rsid w:val="00405DC1"/>
    <w:rsid w:val="004061F1"/>
    <w:rsid w:val="0040636B"/>
    <w:rsid w:val="00406FB5"/>
    <w:rsid w:val="00407B0A"/>
    <w:rsid w:val="00407BD2"/>
    <w:rsid w:val="00407D50"/>
    <w:rsid w:val="00410D98"/>
    <w:rsid w:val="00410FB5"/>
    <w:rsid w:val="00412671"/>
    <w:rsid w:val="004126DC"/>
    <w:rsid w:val="00412A94"/>
    <w:rsid w:val="004134D8"/>
    <w:rsid w:val="00413835"/>
    <w:rsid w:val="004138D7"/>
    <w:rsid w:val="00414253"/>
    <w:rsid w:val="0041483F"/>
    <w:rsid w:val="0041537E"/>
    <w:rsid w:val="004158C8"/>
    <w:rsid w:val="00415B58"/>
    <w:rsid w:val="00415ECB"/>
    <w:rsid w:val="00415F4F"/>
    <w:rsid w:val="00416018"/>
    <w:rsid w:val="004166A4"/>
    <w:rsid w:val="00416ED1"/>
    <w:rsid w:val="00417909"/>
    <w:rsid w:val="00417F3B"/>
    <w:rsid w:val="004208F8"/>
    <w:rsid w:val="00421429"/>
    <w:rsid w:val="00421A34"/>
    <w:rsid w:val="00421B85"/>
    <w:rsid w:val="00422C39"/>
    <w:rsid w:val="00423BC6"/>
    <w:rsid w:val="00423E3E"/>
    <w:rsid w:val="004260C9"/>
    <w:rsid w:val="004268EC"/>
    <w:rsid w:val="00426950"/>
    <w:rsid w:val="00426F01"/>
    <w:rsid w:val="00426F89"/>
    <w:rsid w:val="00427A26"/>
    <w:rsid w:val="004313E3"/>
    <w:rsid w:val="004318FE"/>
    <w:rsid w:val="00431960"/>
    <w:rsid w:val="00431A83"/>
    <w:rsid w:val="00431D51"/>
    <w:rsid w:val="004320FF"/>
    <w:rsid w:val="0043268D"/>
    <w:rsid w:val="004339A7"/>
    <w:rsid w:val="00433E1F"/>
    <w:rsid w:val="004349C6"/>
    <w:rsid w:val="00434D8F"/>
    <w:rsid w:val="00434EEF"/>
    <w:rsid w:val="00435757"/>
    <w:rsid w:val="0043577D"/>
    <w:rsid w:val="00435DF6"/>
    <w:rsid w:val="004379F9"/>
    <w:rsid w:val="00440009"/>
    <w:rsid w:val="00440E35"/>
    <w:rsid w:val="00441027"/>
    <w:rsid w:val="004418EC"/>
    <w:rsid w:val="0044235E"/>
    <w:rsid w:val="004424F3"/>
    <w:rsid w:val="00442503"/>
    <w:rsid w:val="004430CF"/>
    <w:rsid w:val="004441B0"/>
    <w:rsid w:val="00444767"/>
    <w:rsid w:val="00444AA9"/>
    <w:rsid w:val="004454F4"/>
    <w:rsid w:val="0044708F"/>
    <w:rsid w:val="0044734E"/>
    <w:rsid w:val="004474C1"/>
    <w:rsid w:val="00450271"/>
    <w:rsid w:val="00450612"/>
    <w:rsid w:val="00450741"/>
    <w:rsid w:val="00451416"/>
    <w:rsid w:val="004538FC"/>
    <w:rsid w:val="004544AA"/>
    <w:rsid w:val="004554C6"/>
    <w:rsid w:val="0045644C"/>
    <w:rsid w:val="00457405"/>
    <w:rsid w:val="004574A2"/>
    <w:rsid w:val="0045765D"/>
    <w:rsid w:val="004621CC"/>
    <w:rsid w:val="0046353A"/>
    <w:rsid w:val="00463BC6"/>
    <w:rsid w:val="00463BEF"/>
    <w:rsid w:val="00463CE1"/>
    <w:rsid w:val="004642E5"/>
    <w:rsid w:val="00464E1C"/>
    <w:rsid w:val="004660BC"/>
    <w:rsid w:val="00466216"/>
    <w:rsid w:val="004670CB"/>
    <w:rsid w:val="00470367"/>
    <w:rsid w:val="004706DE"/>
    <w:rsid w:val="00470900"/>
    <w:rsid w:val="00471B0D"/>
    <w:rsid w:val="0047209C"/>
    <w:rsid w:val="0047293D"/>
    <w:rsid w:val="00473689"/>
    <w:rsid w:val="00473A3E"/>
    <w:rsid w:val="00473BD1"/>
    <w:rsid w:val="00474514"/>
    <w:rsid w:val="00475474"/>
    <w:rsid w:val="004754D7"/>
    <w:rsid w:val="0047556E"/>
    <w:rsid w:val="00476B6F"/>
    <w:rsid w:val="004776B8"/>
    <w:rsid w:val="00477EEE"/>
    <w:rsid w:val="00480133"/>
    <w:rsid w:val="00480405"/>
    <w:rsid w:val="0048094F"/>
    <w:rsid w:val="0048134F"/>
    <w:rsid w:val="004815DA"/>
    <w:rsid w:val="00481E81"/>
    <w:rsid w:val="00481FD2"/>
    <w:rsid w:val="00482857"/>
    <w:rsid w:val="00483506"/>
    <w:rsid w:val="004854F1"/>
    <w:rsid w:val="004856E2"/>
    <w:rsid w:val="00485A4A"/>
    <w:rsid w:val="00487559"/>
    <w:rsid w:val="00490F80"/>
    <w:rsid w:val="00491F2B"/>
    <w:rsid w:val="004923E5"/>
    <w:rsid w:val="00492545"/>
    <w:rsid w:val="004925F2"/>
    <w:rsid w:val="00492B03"/>
    <w:rsid w:val="00493D49"/>
    <w:rsid w:val="00494EE7"/>
    <w:rsid w:val="004957B8"/>
    <w:rsid w:val="00495AF8"/>
    <w:rsid w:val="004965C9"/>
    <w:rsid w:val="0049683B"/>
    <w:rsid w:val="004974FD"/>
    <w:rsid w:val="00497BE9"/>
    <w:rsid w:val="004A0B1C"/>
    <w:rsid w:val="004A175F"/>
    <w:rsid w:val="004A2375"/>
    <w:rsid w:val="004A25AC"/>
    <w:rsid w:val="004A3DFF"/>
    <w:rsid w:val="004A50F2"/>
    <w:rsid w:val="004A5739"/>
    <w:rsid w:val="004A5BC0"/>
    <w:rsid w:val="004A5CEB"/>
    <w:rsid w:val="004A5E2F"/>
    <w:rsid w:val="004A5F7C"/>
    <w:rsid w:val="004A6006"/>
    <w:rsid w:val="004A6F71"/>
    <w:rsid w:val="004A7521"/>
    <w:rsid w:val="004B0599"/>
    <w:rsid w:val="004B06F8"/>
    <w:rsid w:val="004B0AC1"/>
    <w:rsid w:val="004B160F"/>
    <w:rsid w:val="004B17D5"/>
    <w:rsid w:val="004B2D02"/>
    <w:rsid w:val="004B2FB8"/>
    <w:rsid w:val="004B4103"/>
    <w:rsid w:val="004B48BF"/>
    <w:rsid w:val="004B4E42"/>
    <w:rsid w:val="004B52DA"/>
    <w:rsid w:val="004B550B"/>
    <w:rsid w:val="004B5784"/>
    <w:rsid w:val="004B5B1C"/>
    <w:rsid w:val="004B5E2B"/>
    <w:rsid w:val="004B62B2"/>
    <w:rsid w:val="004B71ED"/>
    <w:rsid w:val="004C01A9"/>
    <w:rsid w:val="004C0878"/>
    <w:rsid w:val="004C17FC"/>
    <w:rsid w:val="004C2886"/>
    <w:rsid w:val="004C30CE"/>
    <w:rsid w:val="004C4698"/>
    <w:rsid w:val="004C5D74"/>
    <w:rsid w:val="004C5E3F"/>
    <w:rsid w:val="004C60E2"/>
    <w:rsid w:val="004C6286"/>
    <w:rsid w:val="004C6656"/>
    <w:rsid w:val="004C73EE"/>
    <w:rsid w:val="004C76CC"/>
    <w:rsid w:val="004D11CA"/>
    <w:rsid w:val="004D1723"/>
    <w:rsid w:val="004D19DE"/>
    <w:rsid w:val="004D39CE"/>
    <w:rsid w:val="004D3A12"/>
    <w:rsid w:val="004D3B84"/>
    <w:rsid w:val="004D548A"/>
    <w:rsid w:val="004D6218"/>
    <w:rsid w:val="004D772A"/>
    <w:rsid w:val="004E0268"/>
    <w:rsid w:val="004E0499"/>
    <w:rsid w:val="004E1225"/>
    <w:rsid w:val="004E153D"/>
    <w:rsid w:val="004E1652"/>
    <w:rsid w:val="004E1A41"/>
    <w:rsid w:val="004E3CB0"/>
    <w:rsid w:val="004E3D6B"/>
    <w:rsid w:val="004E40A2"/>
    <w:rsid w:val="004E4343"/>
    <w:rsid w:val="004E4BA2"/>
    <w:rsid w:val="004E58C1"/>
    <w:rsid w:val="004E6B35"/>
    <w:rsid w:val="004E6C36"/>
    <w:rsid w:val="004E7170"/>
    <w:rsid w:val="004E795B"/>
    <w:rsid w:val="004E7C69"/>
    <w:rsid w:val="004F0D07"/>
    <w:rsid w:val="004F1DDC"/>
    <w:rsid w:val="004F238A"/>
    <w:rsid w:val="004F2452"/>
    <w:rsid w:val="004F26F3"/>
    <w:rsid w:val="004F2CB8"/>
    <w:rsid w:val="004F33D6"/>
    <w:rsid w:val="004F3592"/>
    <w:rsid w:val="004F3E05"/>
    <w:rsid w:val="004F4CB1"/>
    <w:rsid w:val="004F595A"/>
    <w:rsid w:val="004F6927"/>
    <w:rsid w:val="004F6FFE"/>
    <w:rsid w:val="004F7087"/>
    <w:rsid w:val="004F7970"/>
    <w:rsid w:val="005000D5"/>
    <w:rsid w:val="0050033E"/>
    <w:rsid w:val="005009D5"/>
    <w:rsid w:val="00500B72"/>
    <w:rsid w:val="00500D27"/>
    <w:rsid w:val="00501490"/>
    <w:rsid w:val="0050153B"/>
    <w:rsid w:val="00501F67"/>
    <w:rsid w:val="00502924"/>
    <w:rsid w:val="005029D1"/>
    <w:rsid w:val="00503191"/>
    <w:rsid w:val="005044AC"/>
    <w:rsid w:val="005052D0"/>
    <w:rsid w:val="005055D1"/>
    <w:rsid w:val="00505A67"/>
    <w:rsid w:val="00505E1D"/>
    <w:rsid w:val="0050601A"/>
    <w:rsid w:val="005077E4"/>
    <w:rsid w:val="005078D2"/>
    <w:rsid w:val="00507D8E"/>
    <w:rsid w:val="005101A3"/>
    <w:rsid w:val="00510B72"/>
    <w:rsid w:val="0051117C"/>
    <w:rsid w:val="005115B2"/>
    <w:rsid w:val="00511CAE"/>
    <w:rsid w:val="00513155"/>
    <w:rsid w:val="00513287"/>
    <w:rsid w:val="005136A1"/>
    <w:rsid w:val="00513DA6"/>
    <w:rsid w:val="00514114"/>
    <w:rsid w:val="005148B8"/>
    <w:rsid w:val="005149A0"/>
    <w:rsid w:val="00514BF6"/>
    <w:rsid w:val="00515056"/>
    <w:rsid w:val="00516283"/>
    <w:rsid w:val="00516669"/>
    <w:rsid w:val="005169A0"/>
    <w:rsid w:val="00516A71"/>
    <w:rsid w:val="00517D74"/>
    <w:rsid w:val="005218B5"/>
    <w:rsid w:val="00521AB2"/>
    <w:rsid w:val="00521D21"/>
    <w:rsid w:val="0052227D"/>
    <w:rsid w:val="0052236F"/>
    <w:rsid w:val="00522555"/>
    <w:rsid w:val="00523FAB"/>
    <w:rsid w:val="00526A32"/>
    <w:rsid w:val="00526AC8"/>
    <w:rsid w:val="00526F12"/>
    <w:rsid w:val="005274D7"/>
    <w:rsid w:val="00530F84"/>
    <w:rsid w:val="00531130"/>
    <w:rsid w:val="005316B5"/>
    <w:rsid w:val="0053171A"/>
    <w:rsid w:val="00531959"/>
    <w:rsid w:val="005319DE"/>
    <w:rsid w:val="00532479"/>
    <w:rsid w:val="00532E8B"/>
    <w:rsid w:val="00533168"/>
    <w:rsid w:val="005339D4"/>
    <w:rsid w:val="00533F17"/>
    <w:rsid w:val="00534792"/>
    <w:rsid w:val="0053568F"/>
    <w:rsid w:val="00536446"/>
    <w:rsid w:val="00536593"/>
    <w:rsid w:val="00537775"/>
    <w:rsid w:val="005377F0"/>
    <w:rsid w:val="00542915"/>
    <w:rsid w:val="005445AE"/>
    <w:rsid w:val="00545476"/>
    <w:rsid w:val="005455D8"/>
    <w:rsid w:val="00545866"/>
    <w:rsid w:val="0054641A"/>
    <w:rsid w:val="005472F1"/>
    <w:rsid w:val="00547988"/>
    <w:rsid w:val="00550CB1"/>
    <w:rsid w:val="00551197"/>
    <w:rsid w:val="00551313"/>
    <w:rsid w:val="0055150A"/>
    <w:rsid w:val="005522C3"/>
    <w:rsid w:val="00553FFB"/>
    <w:rsid w:val="00554256"/>
    <w:rsid w:val="00555BF4"/>
    <w:rsid w:val="00556361"/>
    <w:rsid w:val="00560439"/>
    <w:rsid w:val="0056099C"/>
    <w:rsid w:val="00561C07"/>
    <w:rsid w:val="005636F2"/>
    <w:rsid w:val="00564390"/>
    <w:rsid w:val="005643C7"/>
    <w:rsid w:val="005648C8"/>
    <w:rsid w:val="00565AF4"/>
    <w:rsid w:val="00566DAC"/>
    <w:rsid w:val="0056731B"/>
    <w:rsid w:val="00571EAF"/>
    <w:rsid w:val="00573229"/>
    <w:rsid w:val="00573DCE"/>
    <w:rsid w:val="00574F29"/>
    <w:rsid w:val="005774F6"/>
    <w:rsid w:val="005776B5"/>
    <w:rsid w:val="005776BC"/>
    <w:rsid w:val="00577C23"/>
    <w:rsid w:val="00580083"/>
    <w:rsid w:val="0058028C"/>
    <w:rsid w:val="005806B3"/>
    <w:rsid w:val="005819D5"/>
    <w:rsid w:val="00582125"/>
    <w:rsid w:val="00582A6D"/>
    <w:rsid w:val="00583C33"/>
    <w:rsid w:val="00583DFC"/>
    <w:rsid w:val="00583FB2"/>
    <w:rsid w:val="0058487D"/>
    <w:rsid w:val="00584895"/>
    <w:rsid w:val="00584B78"/>
    <w:rsid w:val="00585504"/>
    <w:rsid w:val="005862F8"/>
    <w:rsid w:val="00587FB8"/>
    <w:rsid w:val="005902B0"/>
    <w:rsid w:val="00590D05"/>
    <w:rsid w:val="00590F34"/>
    <w:rsid w:val="005916EB"/>
    <w:rsid w:val="00591A0D"/>
    <w:rsid w:val="00591D59"/>
    <w:rsid w:val="0059389E"/>
    <w:rsid w:val="00593DBA"/>
    <w:rsid w:val="00595C86"/>
    <w:rsid w:val="005961B6"/>
    <w:rsid w:val="0059672C"/>
    <w:rsid w:val="00596FBB"/>
    <w:rsid w:val="0059701D"/>
    <w:rsid w:val="005972E8"/>
    <w:rsid w:val="00597547"/>
    <w:rsid w:val="00597815"/>
    <w:rsid w:val="00597DD4"/>
    <w:rsid w:val="00597E88"/>
    <w:rsid w:val="005A04D9"/>
    <w:rsid w:val="005A1092"/>
    <w:rsid w:val="005A1FBA"/>
    <w:rsid w:val="005A2180"/>
    <w:rsid w:val="005A2873"/>
    <w:rsid w:val="005A2997"/>
    <w:rsid w:val="005A2AF7"/>
    <w:rsid w:val="005A577E"/>
    <w:rsid w:val="005A6FA9"/>
    <w:rsid w:val="005A7968"/>
    <w:rsid w:val="005B200D"/>
    <w:rsid w:val="005B2EF9"/>
    <w:rsid w:val="005B3467"/>
    <w:rsid w:val="005B3E28"/>
    <w:rsid w:val="005B404C"/>
    <w:rsid w:val="005B4E8B"/>
    <w:rsid w:val="005B5812"/>
    <w:rsid w:val="005B614E"/>
    <w:rsid w:val="005B7E50"/>
    <w:rsid w:val="005C1473"/>
    <w:rsid w:val="005C15E0"/>
    <w:rsid w:val="005C20B9"/>
    <w:rsid w:val="005C2411"/>
    <w:rsid w:val="005C2E1F"/>
    <w:rsid w:val="005C32CF"/>
    <w:rsid w:val="005C3FB8"/>
    <w:rsid w:val="005C4318"/>
    <w:rsid w:val="005C5226"/>
    <w:rsid w:val="005C5885"/>
    <w:rsid w:val="005C62EC"/>
    <w:rsid w:val="005C6940"/>
    <w:rsid w:val="005C69C9"/>
    <w:rsid w:val="005C6B1F"/>
    <w:rsid w:val="005C6DC1"/>
    <w:rsid w:val="005C76DE"/>
    <w:rsid w:val="005C7F57"/>
    <w:rsid w:val="005D107D"/>
    <w:rsid w:val="005D1C0E"/>
    <w:rsid w:val="005D4603"/>
    <w:rsid w:val="005D5767"/>
    <w:rsid w:val="005D5A16"/>
    <w:rsid w:val="005D736B"/>
    <w:rsid w:val="005E0CD9"/>
    <w:rsid w:val="005E17CF"/>
    <w:rsid w:val="005E338E"/>
    <w:rsid w:val="005E3524"/>
    <w:rsid w:val="005E3A33"/>
    <w:rsid w:val="005E4388"/>
    <w:rsid w:val="005E4464"/>
    <w:rsid w:val="005E452A"/>
    <w:rsid w:val="005E4B07"/>
    <w:rsid w:val="005E4BB7"/>
    <w:rsid w:val="005E5159"/>
    <w:rsid w:val="005E57F7"/>
    <w:rsid w:val="005E59DC"/>
    <w:rsid w:val="005E5DE9"/>
    <w:rsid w:val="005E605B"/>
    <w:rsid w:val="005E719B"/>
    <w:rsid w:val="005E7361"/>
    <w:rsid w:val="005E7AE6"/>
    <w:rsid w:val="005F058F"/>
    <w:rsid w:val="005F0F47"/>
    <w:rsid w:val="005F1806"/>
    <w:rsid w:val="005F1DE9"/>
    <w:rsid w:val="005F2470"/>
    <w:rsid w:val="005F36D7"/>
    <w:rsid w:val="005F4C92"/>
    <w:rsid w:val="005F5960"/>
    <w:rsid w:val="005F59BC"/>
    <w:rsid w:val="005F5CF3"/>
    <w:rsid w:val="005F5EDE"/>
    <w:rsid w:val="005F66D1"/>
    <w:rsid w:val="005F70CF"/>
    <w:rsid w:val="005F78C2"/>
    <w:rsid w:val="0060070E"/>
    <w:rsid w:val="006021E3"/>
    <w:rsid w:val="006032AF"/>
    <w:rsid w:val="00603432"/>
    <w:rsid w:val="00603D8B"/>
    <w:rsid w:val="0060460F"/>
    <w:rsid w:val="0060503C"/>
    <w:rsid w:val="006062DC"/>
    <w:rsid w:val="006063D5"/>
    <w:rsid w:val="00612772"/>
    <w:rsid w:val="00613B81"/>
    <w:rsid w:val="00613C45"/>
    <w:rsid w:val="00613F26"/>
    <w:rsid w:val="0061592D"/>
    <w:rsid w:val="00616F75"/>
    <w:rsid w:val="00617AEE"/>
    <w:rsid w:val="00617E4F"/>
    <w:rsid w:val="00620661"/>
    <w:rsid w:val="006213B8"/>
    <w:rsid w:val="00624C0D"/>
    <w:rsid w:val="0062522D"/>
    <w:rsid w:val="00626D17"/>
    <w:rsid w:val="0062717E"/>
    <w:rsid w:val="00627334"/>
    <w:rsid w:val="00627AB1"/>
    <w:rsid w:val="00627CAE"/>
    <w:rsid w:val="006308A4"/>
    <w:rsid w:val="00631D91"/>
    <w:rsid w:val="00633067"/>
    <w:rsid w:val="006335BE"/>
    <w:rsid w:val="0063374D"/>
    <w:rsid w:val="00633767"/>
    <w:rsid w:val="00633C97"/>
    <w:rsid w:val="00634A03"/>
    <w:rsid w:val="006358AC"/>
    <w:rsid w:val="00636F3A"/>
    <w:rsid w:val="006370D8"/>
    <w:rsid w:val="00637B43"/>
    <w:rsid w:val="00640548"/>
    <w:rsid w:val="006410FC"/>
    <w:rsid w:val="00641658"/>
    <w:rsid w:val="00641AB1"/>
    <w:rsid w:val="00642A9B"/>
    <w:rsid w:val="006433C0"/>
    <w:rsid w:val="0064380C"/>
    <w:rsid w:val="00643D5A"/>
    <w:rsid w:val="00644E93"/>
    <w:rsid w:val="00645182"/>
    <w:rsid w:val="00645C2B"/>
    <w:rsid w:val="00646119"/>
    <w:rsid w:val="006463CA"/>
    <w:rsid w:val="006466AD"/>
    <w:rsid w:val="00647BFF"/>
    <w:rsid w:val="006506EE"/>
    <w:rsid w:val="00652767"/>
    <w:rsid w:val="00652BAB"/>
    <w:rsid w:val="00652EF5"/>
    <w:rsid w:val="006537B7"/>
    <w:rsid w:val="0065595D"/>
    <w:rsid w:val="00655C54"/>
    <w:rsid w:val="00656595"/>
    <w:rsid w:val="00656BAA"/>
    <w:rsid w:val="00657E53"/>
    <w:rsid w:val="00660490"/>
    <w:rsid w:val="006605FB"/>
    <w:rsid w:val="0066093E"/>
    <w:rsid w:val="00660BC2"/>
    <w:rsid w:val="00660BC7"/>
    <w:rsid w:val="00661141"/>
    <w:rsid w:val="00661C6E"/>
    <w:rsid w:val="00662714"/>
    <w:rsid w:val="00662963"/>
    <w:rsid w:val="006631A2"/>
    <w:rsid w:val="00663337"/>
    <w:rsid w:val="0066334E"/>
    <w:rsid w:val="0066372C"/>
    <w:rsid w:val="0066756D"/>
    <w:rsid w:val="00667EB5"/>
    <w:rsid w:val="006705B5"/>
    <w:rsid w:val="00670BC6"/>
    <w:rsid w:val="0067101B"/>
    <w:rsid w:val="00671876"/>
    <w:rsid w:val="00671EC2"/>
    <w:rsid w:val="0067217A"/>
    <w:rsid w:val="006733D8"/>
    <w:rsid w:val="00673571"/>
    <w:rsid w:val="006741AD"/>
    <w:rsid w:val="006746BB"/>
    <w:rsid w:val="006759B6"/>
    <w:rsid w:val="00675CA7"/>
    <w:rsid w:val="006767B1"/>
    <w:rsid w:val="006769BF"/>
    <w:rsid w:val="00677BD6"/>
    <w:rsid w:val="0068027C"/>
    <w:rsid w:val="00680649"/>
    <w:rsid w:val="00680A9A"/>
    <w:rsid w:val="00680D1D"/>
    <w:rsid w:val="00680D50"/>
    <w:rsid w:val="00681344"/>
    <w:rsid w:val="0068172B"/>
    <w:rsid w:val="006828BD"/>
    <w:rsid w:val="006830C4"/>
    <w:rsid w:val="006845E4"/>
    <w:rsid w:val="00684614"/>
    <w:rsid w:val="00684E1C"/>
    <w:rsid w:val="00685001"/>
    <w:rsid w:val="006851B0"/>
    <w:rsid w:val="00685864"/>
    <w:rsid w:val="00685F9D"/>
    <w:rsid w:val="006869A7"/>
    <w:rsid w:val="00690AA2"/>
    <w:rsid w:val="00691011"/>
    <w:rsid w:val="00691774"/>
    <w:rsid w:val="0069187D"/>
    <w:rsid w:val="00691D42"/>
    <w:rsid w:val="00691DEA"/>
    <w:rsid w:val="00692C53"/>
    <w:rsid w:val="006932E5"/>
    <w:rsid w:val="0069355A"/>
    <w:rsid w:val="00694221"/>
    <w:rsid w:val="00694888"/>
    <w:rsid w:val="00695080"/>
    <w:rsid w:val="00695BA9"/>
    <w:rsid w:val="00696140"/>
    <w:rsid w:val="006967C8"/>
    <w:rsid w:val="00696D44"/>
    <w:rsid w:val="006A0330"/>
    <w:rsid w:val="006A111B"/>
    <w:rsid w:val="006A1734"/>
    <w:rsid w:val="006A17B4"/>
    <w:rsid w:val="006A1BDC"/>
    <w:rsid w:val="006A25B5"/>
    <w:rsid w:val="006A2C1B"/>
    <w:rsid w:val="006A3133"/>
    <w:rsid w:val="006A326A"/>
    <w:rsid w:val="006A361A"/>
    <w:rsid w:val="006A369E"/>
    <w:rsid w:val="006A39A0"/>
    <w:rsid w:val="006A3A3E"/>
    <w:rsid w:val="006A4E3C"/>
    <w:rsid w:val="006A7934"/>
    <w:rsid w:val="006A7B3A"/>
    <w:rsid w:val="006B02A7"/>
    <w:rsid w:val="006B0500"/>
    <w:rsid w:val="006B065F"/>
    <w:rsid w:val="006B117D"/>
    <w:rsid w:val="006B167B"/>
    <w:rsid w:val="006B1BFD"/>
    <w:rsid w:val="006B3006"/>
    <w:rsid w:val="006B4A0F"/>
    <w:rsid w:val="006B500A"/>
    <w:rsid w:val="006B6277"/>
    <w:rsid w:val="006B6E06"/>
    <w:rsid w:val="006B6E63"/>
    <w:rsid w:val="006B74ED"/>
    <w:rsid w:val="006B75EF"/>
    <w:rsid w:val="006C07AE"/>
    <w:rsid w:val="006C1CEC"/>
    <w:rsid w:val="006C245B"/>
    <w:rsid w:val="006C2A5E"/>
    <w:rsid w:val="006C391E"/>
    <w:rsid w:val="006C40CD"/>
    <w:rsid w:val="006C578B"/>
    <w:rsid w:val="006C6662"/>
    <w:rsid w:val="006C738D"/>
    <w:rsid w:val="006C75F0"/>
    <w:rsid w:val="006C7A77"/>
    <w:rsid w:val="006D0CD6"/>
    <w:rsid w:val="006D16B3"/>
    <w:rsid w:val="006D1886"/>
    <w:rsid w:val="006D25B2"/>
    <w:rsid w:val="006D2F52"/>
    <w:rsid w:val="006D345F"/>
    <w:rsid w:val="006D392D"/>
    <w:rsid w:val="006D4A68"/>
    <w:rsid w:val="006D72C7"/>
    <w:rsid w:val="006D79D8"/>
    <w:rsid w:val="006E0247"/>
    <w:rsid w:val="006E0B8C"/>
    <w:rsid w:val="006E0E6D"/>
    <w:rsid w:val="006E1A4A"/>
    <w:rsid w:val="006E27E8"/>
    <w:rsid w:val="006E2F94"/>
    <w:rsid w:val="006E3053"/>
    <w:rsid w:val="006E30D3"/>
    <w:rsid w:val="006E3CB0"/>
    <w:rsid w:val="006E534C"/>
    <w:rsid w:val="006E57F3"/>
    <w:rsid w:val="006E6571"/>
    <w:rsid w:val="006E67BC"/>
    <w:rsid w:val="006E7ACA"/>
    <w:rsid w:val="006F0979"/>
    <w:rsid w:val="006F099D"/>
    <w:rsid w:val="006F09D1"/>
    <w:rsid w:val="006F19B3"/>
    <w:rsid w:val="006F1EFD"/>
    <w:rsid w:val="006F1F8D"/>
    <w:rsid w:val="006F344F"/>
    <w:rsid w:val="006F4376"/>
    <w:rsid w:val="006F515A"/>
    <w:rsid w:val="006F524F"/>
    <w:rsid w:val="006F6F9F"/>
    <w:rsid w:val="006F799F"/>
    <w:rsid w:val="006F7A27"/>
    <w:rsid w:val="00701BE5"/>
    <w:rsid w:val="00701E7A"/>
    <w:rsid w:val="007021CE"/>
    <w:rsid w:val="00703B89"/>
    <w:rsid w:val="0070652F"/>
    <w:rsid w:val="007069A1"/>
    <w:rsid w:val="00706A05"/>
    <w:rsid w:val="0070759E"/>
    <w:rsid w:val="00710AC0"/>
    <w:rsid w:val="007111BA"/>
    <w:rsid w:val="007112E6"/>
    <w:rsid w:val="007114CC"/>
    <w:rsid w:val="007118F8"/>
    <w:rsid w:val="00711D02"/>
    <w:rsid w:val="007137C0"/>
    <w:rsid w:val="0071447F"/>
    <w:rsid w:val="007148A9"/>
    <w:rsid w:val="0071548D"/>
    <w:rsid w:val="00715E8C"/>
    <w:rsid w:val="00715F2B"/>
    <w:rsid w:val="0071668E"/>
    <w:rsid w:val="0071687B"/>
    <w:rsid w:val="007176AD"/>
    <w:rsid w:val="00717B6D"/>
    <w:rsid w:val="007215CF"/>
    <w:rsid w:val="00722186"/>
    <w:rsid w:val="007268C6"/>
    <w:rsid w:val="0072746C"/>
    <w:rsid w:val="00727B2F"/>
    <w:rsid w:val="00730224"/>
    <w:rsid w:val="007310C0"/>
    <w:rsid w:val="007314AA"/>
    <w:rsid w:val="007322B8"/>
    <w:rsid w:val="00733617"/>
    <w:rsid w:val="007351A9"/>
    <w:rsid w:val="00735450"/>
    <w:rsid w:val="00735BA1"/>
    <w:rsid w:val="00740810"/>
    <w:rsid w:val="007420B9"/>
    <w:rsid w:val="0074249B"/>
    <w:rsid w:val="00742F5A"/>
    <w:rsid w:val="007431BA"/>
    <w:rsid w:val="007437D9"/>
    <w:rsid w:val="007437F9"/>
    <w:rsid w:val="00743A16"/>
    <w:rsid w:val="00743B1E"/>
    <w:rsid w:val="0074414B"/>
    <w:rsid w:val="00745D67"/>
    <w:rsid w:val="00746523"/>
    <w:rsid w:val="0074675C"/>
    <w:rsid w:val="00747665"/>
    <w:rsid w:val="00747828"/>
    <w:rsid w:val="00750241"/>
    <w:rsid w:val="00751AE0"/>
    <w:rsid w:val="00752033"/>
    <w:rsid w:val="00752D5D"/>
    <w:rsid w:val="007536A3"/>
    <w:rsid w:val="00753E17"/>
    <w:rsid w:val="0075409A"/>
    <w:rsid w:val="00754C41"/>
    <w:rsid w:val="0075511F"/>
    <w:rsid w:val="0075530B"/>
    <w:rsid w:val="007556D4"/>
    <w:rsid w:val="00755BB7"/>
    <w:rsid w:val="00755FF5"/>
    <w:rsid w:val="007561B1"/>
    <w:rsid w:val="0075680E"/>
    <w:rsid w:val="00756C24"/>
    <w:rsid w:val="0076152B"/>
    <w:rsid w:val="007619FB"/>
    <w:rsid w:val="00761A6F"/>
    <w:rsid w:val="00762130"/>
    <w:rsid w:val="007629E6"/>
    <w:rsid w:val="00763506"/>
    <w:rsid w:val="00763604"/>
    <w:rsid w:val="007646CC"/>
    <w:rsid w:val="007668DB"/>
    <w:rsid w:val="00766A39"/>
    <w:rsid w:val="00767A26"/>
    <w:rsid w:val="00767BA4"/>
    <w:rsid w:val="00770D77"/>
    <w:rsid w:val="00771A03"/>
    <w:rsid w:val="00771DAA"/>
    <w:rsid w:val="007722A0"/>
    <w:rsid w:val="00773463"/>
    <w:rsid w:val="0077351F"/>
    <w:rsid w:val="007736C1"/>
    <w:rsid w:val="00773C70"/>
    <w:rsid w:val="007769AE"/>
    <w:rsid w:val="007819E5"/>
    <w:rsid w:val="00781B89"/>
    <w:rsid w:val="00781C32"/>
    <w:rsid w:val="00782982"/>
    <w:rsid w:val="00783017"/>
    <w:rsid w:val="0078328D"/>
    <w:rsid w:val="007841E8"/>
    <w:rsid w:val="007858F1"/>
    <w:rsid w:val="00786C2B"/>
    <w:rsid w:val="0079029C"/>
    <w:rsid w:val="007933E4"/>
    <w:rsid w:val="00793495"/>
    <w:rsid w:val="00794BBA"/>
    <w:rsid w:val="00795AA4"/>
    <w:rsid w:val="00796236"/>
    <w:rsid w:val="007978E6"/>
    <w:rsid w:val="007978E8"/>
    <w:rsid w:val="007A0607"/>
    <w:rsid w:val="007A2657"/>
    <w:rsid w:val="007A2723"/>
    <w:rsid w:val="007A2BC7"/>
    <w:rsid w:val="007A2ED8"/>
    <w:rsid w:val="007A45D7"/>
    <w:rsid w:val="007A4760"/>
    <w:rsid w:val="007A51C3"/>
    <w:rsid w:val="007A52AF"/>
    <w:rsid w:val="007A5B75"/>
    <w:rsid w:val="007A5F2B"/>
    <w:rsid w:val="007A60FD"/>
    <w:rsid w:val="007A6C06"/>
    <w:rsid w:val="007A7852"/>
    <w:rsid w:val="007A7C9D"/>
    <w:rsid w:val="007B05C8"/>
    <w:rsid w:val="007B0806"/>
    <w:rsid w:val="007B29E0"/>
    <w:rsid w:val="007B2EEF"/>
    <w:rsid w:val="007B33EB"/>
    <w:rsid w:val="007B35B9"/>
    <w:rsid w:val="007B399D"/>
    <w:rsid w:val="007B538A"/>
    <w:rsid w:val="007B54F3"/>
    <w:rsid w:val="007B5FFE"/>
    <w:rsid w:val="007B7970"/>
    <w:rsid w:val="007B7ABC"/>
    <w:rsid w:val="007C01A5"/>
    <w:rsid w:val="007C11BD"/>
    <w:rsid w:val="007C122E"/>
    <w:rsid w:val="007C1D84"/>
    <w:rsid w:val="007C1F36"/>
    <w:rsid w:val="007C2DD6"/>
    <w:rsid w:val="007C3B1C"/>
    <w:rsid w:val="007C46D6"/>
    <w:rsid w:val="007C47D8"/>
    <w:rsid w:val="007C50FD"/>
    <w:rsid w:val="007C510E"/>
    <w:rsid w:val="007C51AA"/>
    <w:rsid w:val="007C557C"/>
    <w:rsid w:val="007C59DB"/>
    <w:rsid w:val="007C62E7"/>
    <w:rsid w:val="007C7B24"/>
    <w:rsid w:val="007D0136"/>
    <w:rsid w:val="007D0694"/>
    <w:rsid w:val="007D0A7A"/>
    <w:rsid w:val="007D0AF8"/>
    <w:rsid w:val="007D1096"/>
    <w:rsid w:val="007D1A4C"/>
    <w:rsid w:val="007D1E64"/>
    <w:rsid w:val="007D1FB7"/>
    <w:rsid w:val="007D288A"/>
    <w:rsid w:val="007D3177"/>
    <w:rsid w:val="007D39F3"/>
    <w:rsid w:val="007D3C12"/>
    <w:rsid w:val="007D43F7"/>
    <w:rsid w:val="007E0544"/>
    <w:rsid w:val="007E0A24"/>
    <w:rsid w:val="007E0D7F"/>
    <w:rsid w:val="007E0F43"/>
    <w:rsid w:val="007E1344"/>
    <w:rsid w:val="007E1CCE"/>
    <w:rsid w:val="007E2E7A"/>
    <w:rsid w:val="007E319D"/>
    <w:rsid w:val="007E5BF9"/>
    <w:rsid w:val="007E5F1D"/>
    <w:rsid w:val="007E650F"/>
    <w:rsid w:val="007E74F2"/>
    <w:rsid w:val="007E7733"/>
    <w:rsid w:val="007E7B3D"/>
    <w:rsid w:val="007F0582"/>
    <w:rsid w:val="007F0EE1"/>
    <w:rsid w:val="007F127B"/>
    <w:rsid w:val="007F2D6C"/>
    <w:rsid w:val="007F31AD"/>
    <w:rsid w:val="007F3EBE"/>
    <w:rsid w:val="007F412B"/>
    <w:rsid w:val="007F458A"/>
    <w:rsid w:val="007F495F"/>
    <w:rsid w:val="007F4A95"/>
    <w:rsid w:val="007F4F44"/>
    <w:rsid w:val="007F53A9"/>
    <w:rsid w:val="007F6B4C"/>
    <w:rsid w:val="007F72F5"/>
    <w:rsid w:val="007F7441"/>
    <w:rsid w:val="007F7BEF"/>
    <w:rsid w:val="00800B6B"/>
    <w:rsid w:val="0080110E"/>
    <w:rsid w:val="008024CC"/>
    <w:rsid w:val="0080290B"/>
    <w:rsid w:val="00802C3C"/>
    <w:rsid w:val="008036B0"/>
    <w:rsid w:val="008037F9"/>
    <w:rsid w:val="008038A3"/>
    <w:rsid w:val="008041AD"/>
    <w:rsid w:val="00804408"/>
    <w:rsid w:val="00805768"/>
    <w:rsid w:val="0080588A"/>
    <w:rsid w:val="00806384"/>
    <w:rsid w:val="00806E3C"/>
    <w:rsid w:val="00806EA1"/>
    <w:rsid w:val="00806F25"/>
    <w:rsid w:val="00806FF7"/>
    <w:rsid w:val="00807308"/>
    <w:rsid w:val="00807726"/>
    <w:rsid w:val="008100A4"/>
    <w:rsid w:val="008101EC"/>
    <w:rsid w:val="0081177B"/>
    <w:rsid w:val="00812905"/>
    <w:rsid w:val="0081341B"/>
    <w:rsid w:val="00814407"/>
    <w:rsid w:val="0081507F"/>
    <w:rsid w:val="00817295"/>
    <w:rsid w:val="00817764"/>
    <w:rsid w:val="00817A49"/>
    <w:rsid w:val="00820B37"/>
    <w:rsid w:val="00820EB5"/>
    <w:rsid w:val="00821072"/>
    <w:rsid w:val="00822DD5"/>
    <w:rsid w:val="008230C4"/>
    <w:rsid w:val="00823AF2"/>
    <w:rsid w:val="008258A4"/>
    <w:rsid w:val="00825A80"/>
    <w:rsid w:val="00825C02"/>
    <w:rsid w:val="00826581"/>
    <w:rsid w:val="00826669"/>
    <w:rsid w:val="00827429"/>
    <w:rsid w:val="00827F92"/>
    <w:rsid w:val="00827FE2"/>
    <w:rsid w:val="008302F4"/>
    <w:rsid w:val="00830816"/>
    <w:rsid w:val="00830DB5"/>
    <w:rsid w:val="00831CAC"/>
    <w:rsid w:val="00832696"/>
    <w:rsid w:val="008330FD"/>
    <w:rsid w:val="008337DD"/>
    <w:rsid w:val="00833980"/>
    <w:rsid w:val="00833A9B"/>
    <w:rsid w:val="00834579"/>
    <w:rsid w:val="00835D7E"/>
    <w:rsid w:val="0083681B"/>
    <w:rsid w:val="00840F08"/>
    <w:rsid w:val="00841379"/>
    <w:rsid w:val="008414E3"/>
    <w:rsid w:val="00842AFD"/>
    <w:rsid w:val="00842CC3"/>
    <w:rsid w:val="0084347A"/>
    <w:rsid w:val="00843D0D"/>
    <w:rsid w:val="008442A6"/>
    <w:rsid w:val="0084445C"/>
    <w:rsid w:val="008456EB"/>
    <w:rsid w:val="00845AD0"/>
    <w:rsid w:val="00845C7E"/>
    <w:rsid w:val="00845D34"/>
    <w:rsid w:val="0084670A"/>
    <w:rsid w:val="00847026"/>
    <w:rsid w:val="008470F3"/>
    <w:rsid w:val="00850155"/>
    <w:rsid w:val="00850468"/>
    <w:rsid w:val="00850982"/>
    <w:rsid w:val="00851519"/>
    <w:rsid w:val="008525E8"/>
    <w:rsid w:val="00853226"/>
    <w:rsid w:val="0085338B"/>
    <w:rsid w:val="00853BCD"/>
    <w:rsid w:val="008544CD"/>
    <w:rsid w:val="008551AA"/>
    <w:rsid w:val="0085650D"/>
    <w:rsid w:val="00856AC1"/>
    <w:rsid w:val="00857198"/>
    <w:rsid w:val="00862B19"/>
    <w:rsid w:val="008636A6"/>
    <w:rsid w:val="00863B67"/>
    <w:rsid w:val="008642B7"/>
    <w:rsid w:val="0086439D"/>
    <w:rsid w:val="00864F47"/>
    <w:rsid w:val="00864F8D"/>
    <w:rsid w:val="008658DB"/>
    <w:rsid w:val="00865DD6"/>
    <w:rsid w:val="00867128"/>
    <w:rsid w:val="00867AC4"/>
    <w:rsid w:val="00867AFD"/>
    <w:rsid w:val="00870D04"/>
    <w:rsid w:val="00871324"/>
    <w:rsid w:val="00871412"/>
    <w:rsid w:val="00871FC4"/>
    <w:rsid w:val="00872B23"/>
    <w:rsid w:val="00872BA2"/>
    <w:rsid w:val="008733C0"/>
    <w:rsid w:val="00873704"/>
    <w:rsid w:val="00873EC3"/>
    <w:rsid w:val="00874403"/>
    <w:rsid w:val="0087453D"/>
    <w:rsid w:val="00874CF9"/>
    <w:rsid w:val="0087539E"/>
    <w:rsid w:val="00876024"/>
    <w:rsid w:val="00876685"/>
    <w:rsid w:val="00877E5C"/>
    <w:rsid w:val="0088101D"/>
    <w:rsid w:val="008815A1"/>
    <w:rsid w:val="008821AB"/>
    <w:rsid w:val="008833B7"/>
    <w:rsid w:val="00883E13"/>
    <w:rsid w:val="00884E03"/>
    <w:rsid w:val="00885009"/>
    <w:rsid w:val="0088526C"/>
    <w:rsid w:val="00885FA7"/>
    <w:rsid w:val="00886015"/>
    <w:rsid w:val="00887C64"/>
    <w:rsid w:val="00887D26"/>
    <w:rsid w:val="008909F4"/>
    <w:rsid w:val="00890C0C"/>
    <w:rsid w:val="00891924"/>
    <w:rsid w:val="0089208D"/>
    <w:rsid w:val="008929C5"/>
    <w:rsid w:val="00892F90"/>
    <w:rsid w:val="008930A1"/>
    <w:rsid w:val="008930CA"/>
    <w:rsid w:val="00893786"/>
    <w:rsid w:val="00893F20"/>
    <w:rsid w:val="00895F1B"/>
    <w:rsid w:val="00896F1B"/>
    <w:rsid w:val="008970A8"/>
    <w:rsid w:val="008972C4"/>
    <w:rsid w:val="00897D19"/>
    <w:rsid w:val="00897DFF"/>
    <w:rsid w:val="008A0071"/>
    <w:rsid w:val="008A1883"/>
    <w:rsid w:val="008A26E0"/>
    <w:rsid w:val="008A289A"/>
    <w:rsid w:val="008A3021"/>
    <w:rsid w:val="008A3CDA"/>
    <w:rsid w:val="008A40DF"/>
    <w:rsid w:val="008A4539"/>
    <w:rsid w:val="008A4D83"/>
    <w:rsid w:val="008A4E8D"/>
    <w:rsid w:val="008A565D"/>
    <w:rsid w:val="008A5CDD"/>
    <w:rsid w:val="008A5CF3"/>
    <w:rsid w:val="008A5ED7"/>
    <w:rsid w:val="008A6000"/>
    <w:rsid w:val="008A64A6"/>
    <w:rsid w:val="008A6DAA"/>
    <w:rsid w:val="008A723A"/>
    <w:rsid w:val="008A7953"/>
    <w:rsid w:val="008A795B"/>
    <w:rsid w:val="008A7B04"/>
    <w:rsid w:val="008B0352"/>
    <w:rsid w:val="008B0B4C"/>
    <w:rsid w:val="008B0EBD"/>
    <w:rsid w:val="008B3191"/>
    <w:rsid w:val="008B443A"/>
    <w:rsid w:val="008B5321"/>
    <w:rsid w:val="008B6EB9"/>
    <w:rsid w:val="008C0F39"/>
    <w:rsid w:val="008C0F45"/>
    <w:rsid w:val="008C217A"/>
    <w:rsid w:val="008C2A2C"/>
    <w:rsid w:val="008C2BD3"/>
    <w:rsid w:val="008C3D59"/>
    <w:rsid w:val="008C503F"/>
    <w:rsid w:val="008C51DD"/>
    <w:rsid w:val="008C5407"/>
    <w:rsid w:val="008C6189"/>
    <w:rsid w:val="008C694C"/>
    <w:rsid w:val="008C7383"/>
    <w:rsid w:val="008C765D"/>
    <w:rsid w:val="008C7D80"/>
    <w:rsid w:val="008C7FBF"/>
    <w:rsid w:val="008D2938"/>
    <w:rsid w:val="008D29B3"/>
    <w:rsid w:val="008D2A15"/>
    <w:rsid w:val="008D2DEB"/>
    <w:rsid w:val="008D47CC"/>
    <w:rsid w:val="008D4CAD"/>
    <w:rsid w:val="008D4D8D"/>
    <w:rsid w:val="008D56BF"/>
    <w:rsid w:val="008D717A"/>
    <w:rsid w:val="008D731D"/>
    <w:rsid w:val="008D7FFD"/>
    <w:rsid w:val="008E0124"/>
    <w:rsid w:val="008E1564"/>
    <w:rsid w:val="008E2119"/>
    <w:rsid w:val="008E2E52"/>
    <w:rsid w:val="008E2FB8"/>
    <w:rsid w:val="008E304C"/>
    <w:rsid w:val="008E3096"/>
    <w:rsid w:val="008E4BEB"/>
    <w:rsid w:val="008E5CE3"/>
    <w:rsid w:val="008E6116"/>
    <w:rsid w:val="008E661F"/>
    <w:rsid w:val="008E6AFB"/>
    <w:rsid w:val="008E792D"/>
    <w:rsid w:val="008F1015"/>
    <w:rsid w:val="008F15D7"/>
    <w:rsid w:val="008F1719"/>
    <w:rsid w:val="008F172B"/>
    <w:rsid w:val="008F1F34"/>
    <w:rsid w:val="008F204E"/>
    <w:rsid w:val="008F2494"/>
    <w:rsid w:val="008F3354"/>
    <w:rsid w:val="008F4669"/>
    <w:rsid w:val="008F46D7"/>
    <w:rsid w:val="008F49D2"/>
    <w:rsid w:val="008F5487"/>
    <w:rsid w:val="008F6AE0"/>
    <w:rsid w:val="009002C0"/>
    <w:rsid w:val="0090102E"/>
    <w:rsid w:val="00901B30"/>
    <w:rsid w:val="00902F1C"/>
    <w:rsid w:val="00903FBC"/>
    <w:rsid w:val="00904D48"/>
    <w:rsid w:val="009056F4"/>
    <w:rsid w:val="00905A21"/>
    <w:rsid w:val="00905B9D"/>
    <w:rsid w:val="0090695C"/>
    <w:rsid w:val="00907412"/>
    <w:rsid w:val="0090745E"/>
    <w:rsid w:val="009078A8"/>
    <w:rsid w:val="009102C6"/>
    <w:rsid w:val="00910B41"/>
    <w:rsid w:val="009116DC"/>
    <w:rsid w:val="00912E3F"/>
    <w:rsid w:val="00912E7D"/>
    <w:rsid w:val="00913EDF"/>
    <w:rsid w:val="009142E9"/>
    <w:rsid w:val="00914828"/>
    <w:rsid w:val="00914AD2"/>
    <w:rsid w:val="00915074"/>
    <w:rsid w:val="00915589"/>
    <w:rsid w:val="0091667C"/>
    <w:rsid w:val="00920F45"/>
    <w:rsid w:val="00920F88"/>
    <w:rsid w:val="009223DF"/>
    <w:rsid w:val="009224DC"/>
    <w:rsid w:val="009228E1"/>
    <w:rsid w:val="009242D7"/>
    <w:rsid w:val="00924DCF"/>
    <w:rsid w:val="00925B7D"/>
    <w:rsid w:val="00925D05"/>
    <w:rsid w:val="00926D33"/>
    <w:rsid w:val="00927422"/>
    <w:rsid w:val="0093007F"/>
    <w:rsid w:val="009300C9"/>
    <w:rsid w:val="00930456"/>
    <w:rsid w:val="00930ACE"/>
    <w:rsid w:val="00932201"/>
    <w:rsid w:val="009333AD"/>
    <w:rsid w:val="0093467B"/>
    <w:rsid w:val="00934FD6"/>
    <w:rsid w:val="0093587D"/>
    <w:rsid w:val="00935CEF"/>
    <w:rsid w:val="00936D13"/>
    <w:rsid w:val="009370D4"/>
    <w:rsid w:val="00940485"/>
    <w:rsid w:val="0094296B"/>
    <w:rsid w:val="0094337A"/>
    <w:rsid w:val="009435B0"/>
    <w:rsid w:val="009446E2"/>
    <w:rsid w:val="009452E2"/>
    <w:rsid w:val="00945446"/>
    <w:rsid w:val="009464BF"/>
    <w:rsid w:val="00947054"/>
    <w:rsid w:val="0094708D"/>
    <w:rsid w:val="00947C5C"/>
    <w:rsid w:val="00947EF4"/>
    <w:rsid w:val="009513CA"/>
    <w:rsid w:val="00952CC3"/>
    <w:rsid w:val="00952D0E"/>
    <w:rsid w:val="00952F1C"/>
    <w:rsid w:val="00953023"/>
    <w:rsid w:val="0095652E"/>
    <w:rsid w:val="00957C3E"/>
    <w:rsid w:val="0096083C"/>
    <w:rsid w:val="00964799"/>
    <w:rsid w:val="00965714"/>
    <w:rsid w:val="00965DBF"/>
    <w:rsid w:val="00965E9D"/>
    <w:rsid w:val="0096610F"/>
    <w:rsid w:val="00966404"/>
    <w:rsid w:val="00970039"/>
    <w:rsid w:val="00971458"/>
    <w:rsid w:val="00972576"/>
    <w:rsid w:val="00972920"/>
    <w:rsid w:val="00972B12"/>
    <w:rsid w:val="009730C1"/>
    <w:rsid w:val="00973593"/>
    <w:rsid w:val="00973B65"/>
    <w:rsid w:val="00974521"/>
    <w:rsid w:val="009746DD"/>
    <w:rsid w:val="00977271"/>
    <w:rsid w:val="00977A30"/>
    <w:rsid w:val="00977B5C"/>
    <w:rsid w:val="009811B5"/>
    <w:rsid w:val="00982732"/>
    <w:rsid w:val="00983BCC"/>
    <w:rsid w:val="009841B5"/>
    <w:rsid w:val="00984BE5"/>
    <w:rsid w:val="00984CE5"/>
    <w:rsid w:val="00984FF0"/>
    <w:rsid w:val="00985CEE"/>
    <w:rsid w:val="00987057"/>
    <w:rsid w:val="00987AC9"/>
    <w:rsid w:val="009915CC"/>
    <w:rsid w:val="0099273E"/>
    <w:rsid w:val="00992C67"/>
    <w:rsid w:val="00992F19"/>
    <w:rsid w:val="0099390E"/>
    <w:rsid w:val="0099453C"/>
    <w:rsid w:val="00994EEA"/>
    <w:rsid w:val="00995692"/>
    <w:rsid w:val="00995820"/>
    <w:rsid w:val="00995A84"/>
    <w:rsid w:val="00995DDA"/>
    <w:rsid w:val="00996E02"/>
    <w:rsid w:val="00997261"/>
    <w:rsid w:val="009973FF"/>
    <w:rsid w:val="009A0EDC"/>
    <w:rsid w:val="009A3D72"/>
    <w:rsid w:val="009A3E19"/>
    <w:rsid w:val="009A3F93"/>
    <w:rsid w:val="009A4941"/>
    <w:rsid w:val="009A556B"/>
    <w:rsid w:val="009B05A7"/>
    <w:rsid w:val="009B1A0B"/>
    <w:rsid w:val="009B1D9A"/>
    <w:rsid w:val="009B218D"/>
    <w:rsid w:val="009B343F"/>
    <w:rsid w:val="009B3E0B"/>
    <w:rsid w:val="009B4997"/>
    <w:rsid w:val="009B5812"/>
    <w:rsid w:val="009B7DE6"/>
    <w:rsid w:val="009C06EF"/>
    <w:rsid w:val="009C0F25"/>
    <w:rsid w:val="009C10CF"/>
    <w:rsid w:val="009C22E2"/>
    <w:rsid w:val="009C235D"/>
    <w:rsid w:val="009C28B0"/>
    <w:rsid w:val="009C2DB8"/>
    <w:rsid w:val="009C39DF"/>
    <w:rsid w:val="009C3ED0"/>
    <w:rsid w:val="009C5508"/>
    <w:rsid w:val="009C5B00"/>
    <w:rsid w:val="009C7413"/>
    <w:rsid w:val="009C7487"/>
    <w:rsid w:val="009C7569"/>
    <w:rsid w:val="009D03FF"/>
    <w:rsid w:val="009D0430"/>
    <w:rsid w:val="009D1B30"/>
    <w:rsid w:val="009D2303"/>
    <w:rsid w:val="009D2D9C"/>
    <w:rsid w:val="009D2EFD"/>
    <w:rsid w:val="009D2FB0"/>
    <w:rsid w:val="009D3109"/>
    <w:rsid w:val="009D3B40"/>
    <w:rsid w:val="009D410D"/>
    <w:rsid w:val="009D475B"/>
    <w:rsid w:val="009D518D"/>
    <w:rsid w:val="009D569B"/>
    <w:rsid w:val="009D5A22"/>
    <w:rsid w:val="009D6631"/>
    <w:rsid w:val="009D6CF4"/>
    <w:rsid w:val="009E0064"/>
    <w:rsid w:val="009E1137"/>
    <w:rsid w:val="009E164A"/>
    <w:rsid w:val="009E18D3"/>
    <w:rsid w:val="009E1B64"/>
    <w:rsid w:val="009E3C8F"/>
    <w:rsid w:val="009E404E"/>
    <w:rsid w:val="009E47A2"/>
    <w:rsid w:val="009E4930"/>
    <w:rsid w:val="009E4A7B"/>
    <w:rsid w:val="009E4DAE"/>
    <w:rsid w:val="009E504A"/>
    <w:rsid w:val="009E79C2"/>
    <w:rsid w:val="009F0355"/>
    <w:rsid w:val="009F055E"/>
    <w:rsid w:val="009F0C84"/>
    <w:rsid w:val="009F1AF4"/>
    <w:rsid w:val="009F1E37"/>
    <w:rsid w:val="009F1F61"/>
    <w:rsid w:val="009F239E"/>
    <w:rsid w:val="009F2F75"/>
    <w:rsid w:val="009F30C0"/>
    <w:rsid w:val="009F3E8A"/>
    <w:rsid w:val="009F5748"/>
    <w:rsid w:val="009F60DF"/>
    <w:rsid w:val="009F714D"/>
    <w:rsid w:val="009F74FA"/>
    <w:rsid w:val="009F7866"/>
    <w:rsid w:val="009F7E3E"/>
    <w:rsid w:val="00A0082F"/>
    <w:rsid w:val="00A01693"/>
    <w:rsid w:val="00A023C1"/>
    <w:rsid w:val="00A03EDF"/>
    <w:rsid w:val="00A0417F"/>
    <w:rsid w:val="00A0543F"/>
    <w:rsid w:val="00A05C28"/>
    <w:rsid w:val="00A05D36"/>
    <w:rsid w:val="00A05DAF"/>
    <w:rsid w:val="00A05FC5"/>
    <w:rsid w:val="00A064B3"/>
    <w:rsid w:val="00A102DA"/>
    <w:rsid w:val="00A10F4C"/>
    <w:rsid w:val="00A10F97"/>
    <w:rsid w:val="00A11389"/>
    <w:rsid w:val="00A11C4A"/>
    <w:rsid w:val="00A11FD4"/>
    <w:rsid w:val="00A12B3C"/>
    <w:rsid w:val="00A12B4A"/>
    <w:rsid w:val="00A1339F"/>
    <w:rsid w:val="00A14341"/>
    <w:rsid w:val="00A1507F"/>
    <w:rsid w:val="00A15113"/>
    <w:rsid w:val="00A15E0B"/>
    <w:rsid w:val="00A16356"/>
    <w:rsid w:val="00A164FA"/>
    <w:rsid w:val="00A169C8"/>
    <w:rsid w:val="00A1718B"/>
    <w:rsid w:val="00A1722E"/>
    <w:rsid w:val="00A17C26"/>
    <w:rsid w:val="00A202FD"/>
    <w:rsid w:val="00A20630"/>
    <w:rsid w:val="00A20BE4"/>
    <w:rsid w:val="00A20D2C"/>
    <w:rsid w:val="00A20DE1"/>
    <w:rsid w:val="00A20F7A"/>
    <w:rsid w:val="00A213FA"/>
    <w:rsid w:val="00A218AD"/>
    <w:rsid w:val="00A21BCB"/>
    <w:rsid w:val="00A21D30"/>
    <w:rsid w:val="00A23272"/>
    <w:rsid w:val="00A23584"/>
    <w:rsid w:val="00A2364B"/>
    <w:rsid w:val="00A25C12"/>
    <w:rsid w:val="00A2640D"/>
    <w:rsid w:val="00A273A8"/>
    <w:rsid w:val="00A2759F"/>
    <w:rsid w:val="00A30198"/>
    <w:rsid w:val="00A3093A"/>
    <w:rsid w:val="00A30954"/>
    <w:rsid w:val="00A31573"/>
    <w:rsid w:val="00A31685"/>
    <w:rsid w:val="00A31AC4"/>
    <w:rsid w:val="00A31ACD"/>
    <w:rsid w:val="00A32440"/>
    <w:rsid w:val="00A328FB"/>
    <w:rsid w:val="00A34A69"/>
    <w:rsid w:val="00A35346"/>
    <w:rsid w:val="00A35BBA"/>
    <w:rsid w:val="00A36A9A"/>
    <w:rsid w:val="00A37164"/>
    <w:rsid w:val="00A37539"/>
    <w:rsid w:val="00A37C73"/>
    <w:rsid w:val="00A37D58"/>
    <w:rsid w:val="00A40F3A"/>
    <w:rsid w:val="00A41B07"/>
    <w:rsid w:val="00A41C8B"/>
    <w:rsid w:val="00A43D6B"/>
    <w:rsid w:val="00A4467E"/>
    <w:rsid w:val="00A45369"/>
    <w:rsid w:val="00A45A50"/>
    <w:rsid w:val="00A45EEE"/>
    <w:rsid w:val="00A45F53"/>
    <w:rsid w:val="00A466E8"/>
    <w:rsid w:val="00A46AF2"/>
    <w:rsid w:val="00A472DF"/>
    <w:rsid w:val="00A50412"/>
    <w:rsid w:val="00A508BF"/>
    <w:rsid w:val="00A51369"/>
    <w:rsid w:val="00A5176D"/>
    <w:rsid w:val="00A51D3A"/>
    <w:rsid w:val="00A52198"/>
    <w:rsid w:val="00A52A8B"/>
    <w:rsid w:val="00A5306C"/>
    <w:rsid w:val="00A5360C"/>
    <w:rsid w:val="00A53D1F"/>
    <w:rsid w:val="00A542C0"/>
    <w:rsid w:val="00A550D7"/>
    <w:rsid w:val="00A55253"/>
    <w:rsid w:val="00A556D0"/>
    <w:rsid w:val="00A569E1"/>
    <w:rsid w:val="00A5749A"/>
    <w:rsid w:val="00A5750E"/>
    <w:rsid w:val="00A57B00"/>
    <w:rsid w:val="00A57D9E"/>
    <w:rsid w:val="00A61509"/>
    <w:rsid w:val="00A61AAF"/>
    <w:rsid w:val="00A62398"/>
    <w:rsid w:val="00A6253D"/>
    <w:rsid w:val="00A64112"/>
    <w:rsid w:val="00A64ACF"/>
    <w:rsid w:val="00A653FB"/>
    <w:rsid w:val="00A70106"/>
    <w:rsid w:val="00A70D05"/>
    <w:rsid w:val="00A70E36"/>
    <w:rsid w:val="00A722E8"/>
    <w:rsid w:val="00A7283E"/>
    <w:rsid w:val="00A72F79"/>
    <w:rsid w:val="00A731EE"/>
    <w:rsid w:val="00A73A22"/>
    <w:rsid w:val="00A73C1D"/>
    <w:rsid w:val="00A759E9"/>
    <w:rsid w:val="00A760A2"/>
    <w:rsid w:val="00A7613D"/>
    <w:rsid w:val="00A76278"/>
    <w:rsid w:val="00A77A1D"/>
    <w:rsid w:val="00A77B21"/>
    <w:rsid w:val="00A77BB8"/>
    <w:rsid w:val="00A77D96"/>
    <w:rsid w:val="00A77E59"/>
    <w:rsid w:val="00A77EDD"/>
    <w:rsid w:val="00A80E99"/>
    <w:rsid w:val="00A8121F"/>
    <w:rsid w:val="00A84948"/>
    <w:rsid w:val="00A84C91"/>
    <w:rsid w:val="00A84D5E"/>
    <w:rsid w:val="00A85C49"/>
    <w:rsid w:val="00A85E80"/>
    <w:rsid w:val="00A8667F"/>
    <w:rsid w:val="00A86AEF"/>
    <w:rsid w:val="00A87D42"/>
    <w:rsid w:val="00A87FD7"/>
    <w:rsid w:val="00A90373"/>
    <w:rsid w:val="00A9141D"/>
    <w:rsid w:val="00A915FE"/>
    <w:rsid w:val="00A9240B"/>
    <w:rsid w:val="00A92E0A"/>
    <w:rsid w:val="00A932D1"/>
    <w:rsid w:val="00A93A76"/>
    <w:rsid w:val="00A953CA"/>
    <w:rsid w:val="00A956E3"/>
    <w:rsid w:val="00A959D0"/>
    <w:rsid w:val="00A9697F"/>
    <w:rsid w:val="00A96E06"/>
    <w:rsid w:val="00A976CA"/>
    <w:rsid w:val="00A979DB"/>
    <w:rsid w:val="00A97EAE"/>
    <w:rsid w:val="00AA0963"/>
    <w:rsid w:val="00AA0C41"/>
    <w:rsid w:val="00AA1B62"/>
    <w:rsid w:val="00AA2345"/>
    <w:rsid w:val="00AA3C38"/>
    <w:rsid w:val="00AA423D"/>
    <w:rsid w:val="00AA476C"/>
    <w:rsid w:val="00AA477D"/>
    <w:rsid w:val="00AA5270"/>
    <w:rsid w:val="00AA5548"/>
    <w:rsid w:val="00AB0105"/>
    <w:rsid w:val="00AB0404"/>
    <w:rsid w:val="00AB04C4"/>
    <w:rsid w:val="00AB06AC"/>
    <w:rsid w:val="00AB109C"/>
    <w:rsid w:val="00AB20A7"/>
    <w:rsid w:val="00AB24DA"/>
    <w:rsid w:val="00AB28A8"/>
    <w:rsid w:val="00AB379C"/>
    <w:rsid w:val="00AB3F38"/>
    <w:rsid w:val="00AB48B7"/>
    <w:rsid w:val="00AB4ECC"/>
    <w:rsid w:val="00AB5416"/>
    <w:rsid w:val="00AB5D02"/>
    <w:rsid w:val="00AB5D6A"/>
    <w:rsid w:val="00AB652C"/>
    <w:rsid w:val="00AB66D2"/>
    <w:rsid w:val="00AB6DEC"/>
    <w:rsid w:val="00AB6E04"/>
    <w:rsid w:val="00AB76CC"/>
    <w:rsid w:val="00AC06F2"/>
    <w:rsid w:val="00AC08F0"/>
    <w:rsid w:val="00AC1C32"/>
    <w:rsid w:val="00AC2525"/>
    <w:rsid w:val="00AC286B"/>
    <w:rsid w:val="00AC2944"/>
    <w:rsid w:val="00AC29A9"/>
    <w:rsid w:val="00AC4735"/>
    <w:rsid w:val="00AC4744"/>
    <w:rsid w:val="00AC65C2"/>
    <w:rsid w:val="00AC692F"/>
    <w:rsid w:val="00AC732B"/>
    <w:rsid w:val="00AD0873"/>
    <w:rsid w:val="00AD151E"/>
    <w:rsid w:val="00AD15D0"/>
    <w:rsid w:val="00AD1EB7"/>
    <w:rsid w:val="00AD2647"/>
    <w:rsid w:val="00AD277A"/>
    <w:rsid w:val="00AD39ED"/>
    <w:rsid w:val="00AD3A0D"/>
    <w:rsid w:val="00AD40C4"/>
    <w:rsid w:val="00AD4F4B"/>
    <w:rsid w:val="00AD5910"/>
    <w:rsid w:val="00AD673C"/>
    <w:rsid w:val="00AD703F"/>
    <w:rsid w:val="00AD7341"/>
    <w:rsid w:val="00AD7425"/>
    <w:rsid w:val="00AD7971"/>
    <w:rsid w:val="00AD7BAA"/>
    <w:rsid w:val="00AE05ED"/>
    <w:rsid w:val="00AE11D9"/>
    <w:rsid w:val="00AE176D"/>
    <w:rsid w:val="00AE3008"/>
    <w:rsid w:val="00AE3122"/>
    <w:rsid w:val="00AE34C1"/>
    <w:rsid w:val="00AE3A61"/>
    <w:rsid w:val="00AE4646"/>
    <w:rsid w:val="00AE476A"/>
    <w:rsid w:val="00AE5E85"/>
    <w:rsid w:val="00AE5F34"/>
    <w:rsid w:val="00AE60F1"/>
    <w:rsid w:val="00AE63E5"/>
    <w:rsid w:val="00AE707B"/>
    <w:rsid w:val="00AE7A5C"/>
    <w:rsid w:val="00AE7B45"/>
    <w:rsid w:val="00AF0204"/>
    <w:rsid w:val="00AF037F"/>
    <w:rsid w:val="00AF0BDD"/>
    <w:rsid w:val="00AF0FD4"/>
    <w:rsid w:val="00AF116E"/>
    <w:rsid w:val="00AF1B6D"/>
    <w:rsid w:val="00AF1E9E"/>
    <w:rsid w:val="00AF1FF7"/>
    <w:rsid w:val="00AF59C2"/>
    <w:rsid w:val="00AF6A39"/>
    <w:rsid w:val="00AF6B1D"/>
    <w:rsid w:val="00AF7436"/>
    <w:rsid w:val="00B0055E"/>
    <w:rsid w:val="00B0089B"/>
    <w:rsid w:val="00B01285"/>
    <w:rsid w:val="00B01EF1"/>
    <w:rsid w:val="00B02893"/>
    <w:rsid w:val="00B02ABF"/>
    <w:rsid w:val="00B03079"/>
    <w:rsid w:val="00B04127"/>
    <w:rsid w:val="00B04D28"/>
    <w:rsid w:val="00B101EE"/>
    <w:rsid w:val="00B10825"/>
    <w:rsid w:val="00B10846"/>
    <w:rsid w:val="00B11F47"/>
    <w:rsid w:val="00B12BAB"/>
    <w:rsid w:val="00B1394C"/>
    <w:rsid w:val="00B13FF6"/>
    <w:rsid w:val="00B14BF1"/>
    <w:rsid w:val="00B16BE6"/>
    <w:rsid w:val="00B17EA2"/>
    <w:rsid w:val="00B17F0D"/>
    <w:rsid w:val="00B20E21"/>
    <w:rsid w:val="00B21237"/>
    <w:rsid w:val="00B21D0E"/>
    <w:rsid w:val="00B21F4F"/>
    <w:rsid w:val="00B23ABE"/>
    <w:rsid w:val="00B245B5"/>
    <w:rsid w:val="00B2588E"/>
    <w:rsid w:val="00B3001B"/>
    <w:rsid w:val="00B32203"/>
    <w:rsid w:val="00B32495"/>
    <w:rsid w:val="00B32AF6"/>
    <w:rsid w:val="00B32D1E"/>
    <w:rsid w:val="00B32F49"/>
    <w:rsid w:val="00B33446"/>
    <w:rsid w:val="00B33791"/>
    <w:rsid w:val="00B34EB0"/>
    <w:rsid w:val="00B35795"/>
    <w:rsid w:val="00B35855"/>
    <w:rsid w:val="00B360EA"/>
    <w:rsid w:val="00B3647D"/>
    <w:rsid w:val="00B36731"/>
    <w:rsid w:val="00B36A85"/>
    <w:rsid w:val="00B36DDA"/>
    <w:rsid w:val="00B374FF"/>
    <w:rsid w:val="00B37A8A"/>
    <w:rsid w:val="00B406A8"/>
    <w:rsid w:val="00B41356"/>
    <w:rsid w:val="00B41769"/>
    <w:rsid w:val="00B420F6"/>
    <w:rsid w:val="00B42149"/>
    <w:rsid w:val="00B42CEC"/>
    <w:rsid w:val="00B44AA6"/>
    <w:rsid w:val="00B44AC0"/>
    <w:rsid w:val="00B44C9B"/>
    <w:rsid w:val="00B44D13"/>
    <w:rsid w:val="00B44DB0"/>
    <w:rsid w:val="00B45DB4"/>
    <w:rsid w:val="00B46BAB"/>
    <w:rsid w:val="00B46CA5"/>
    <w:rsid w:val="00B473CF"/>
    <w:rsid w:val="00B47772"/>
    <w:rsid w:val="00B47867"/>
    <w:rsid w:val="00B47EEA"/>
    <w:rsid w:val="00B47F67"/>
    <w:rsid w:val="00B5036E"/>
    <w:rsid w:val="00B50F67"/>
    <w:rsid w:val="00B51ECC"/>
    <w:rsid w:val="00B52542"/>
    <w:rsid w:val="00B530B8"/>
    <w:rsid w:val="00B5417A"/>
    <w:rsid w:val="00B54307"/>
    <w:rsid w:val="00B54902"/>
    <w:rsid w:val="00B55E53"/>
    <w:rsid w:val="00B55F93"/>
    <w:rsid w:val="00B56021"/>
    <w:rsid w:val="00B56408"/>
    <w:rsid w:val="00B56A6E"/>
    <w:rsid w:val="00B56CB4"/>
    <w:rsid w:val="00B56F98"/>
    <w:rsid w:val="00B572EA"/>
    <w:rsid w:val="00B60072"/>
    <w:rsid w:val="00B6084E"/>
    <w:rsid w:val="00B60D17"/>
    <w:rsid w:val="00B6245D"/>
    <w:rsid w:val="00B62D3F"/>
    <w:rsid w:val="00B62F53"/>
    <w:rsid w:val="00B63CD5"/>
    <w:rsid w:val="00B643BB"/>
    <w:rsid w:val="00B6741F"/>
    <w:rsid w:val="00B67931"/>
    <w:rsid w:val="00B67E6E"/>
    <w:rsid w:val="00B7194A"/>
    <w:rsid w:val="00B71C4D"/>
    <w:rsid w:val="00B720C4"/>
    <w:rsid w:val="00B720D2"/>
    <w:rsid w:val="00B72E39"/>
    <w:rsid w:val="00B73044"/>
    <w:rsid w:val="00B73B48"/>
    <w:rsid w:val="00B73D64"/>
    <w:rsid w:val="00B7487E"/>
    <w:rsid w:val="00B74FF9"/>
    <w:rsid w:val="00B7656F"/>
    <w:rsid w:val="00B76E3E"/>
    <w:rsid w:val="00B776E7"/>
    <w:rsid w:val="00B81012"/>
    <w:rsid w:val="00B811FD"/>
    <w:rsid w:val="00B8193C"/>
    <w:rsid w:val="00B81B43"/>
    <w:rsid w:val="00B82CE9"/>
    <w:rsid w:val="00B82E80"/>
    <w:rsid w:val="00B8319D"/>
    <w:rsid w:val="00B834A0"/>
    <w:rsid w:val="00B83AE9"/>
    <w:rsid w:val="00B83B02"/>
    <w:rsid w:val="00B8495C"/>
    <w:rsid w:val="00B84969"/>
    <w:rsid w:val="00B84BB2"/>
    <w:rsid w:val="00B84DDA"/>
    <w:rsid w:val="00B85605"/>
    <w:rsid w:val="00B85C5A"/>
    <w:rsid w:val="00B85E17"/>
    <w:rsid w:val="00B87028"/>
    <w:rsid w:val="00B8743D"/>
    <w:rsid w:val="00B87FB4"/>
    <w:rsid w:val="00B90039"/>
    <w:rsid w:val="00B900CA"/>
    <w:rsid w:val="00B91CA4"/>
    <w:rsid w:val="00B91D73"/>
    <w:rsid w:val="00B91E1C"/>
    <w:rsid w:val="00B91EA6"/>
    <w:rsid w:val="00B923CD"/>
    <w:rsid w:val="00B930BF"/>
    <w:rsid w:val="00B933A9"/>
    <w:rsid w:val="00B93F15"/>
    <w:rsid w:val="00B9422B"/>
    <w:rsid w:val="00B94D1F"/>
    <w:rsid w:val="00B94D54"/>
    <w:rsid w:val="00B96117"/>
    <w:rsid w:val="00B96A39"/>
    <w:rsid w:val="00B97586"/>
    <w:rsid w:val="00BA02E3"/>
    <w:rsid w:val="00BA103F"/>
    <w:rsid w:val="00BA1DD8"/>
    <w:rsid w:val="00BA2264"/>
    <w:rsid w:val="00BA2BAC"/>
    <w:rsid w:val="00BA2F1C"/>
    <w:rsid w:val="00BA32AB"/>
    <w:rsid w:val="00BA365A"/>
    <w:rsid w:val="00BA41E0"/>
    <w:rsid w:val="00BA4539"/>
    <w:rsid w:val="00BA47F5"/>
    <w:rsid w:val="00BA4A29"/>
    <w:rsid w:val="00BA4D8B"/>
    <w:rsid w:val="00BA503A"/>
    <w:rsid w:val="00BA54DC"/>
    <w:rsid w:val="00BA61CA"/>
    <w:rsid w:val="00BA65A5"/>
    <w:rsid w:val="00BA6D00"/>
    <w:rsid w:val="00BA750E"/>
    <w:rsid w:val="00BA7B7D"/>
    <w:rsid w:val="00BB0518"/>
    <w:rsid w:val="00BB0678"/>
    <w:rsid w:val="00BB0AF5"/>
    <w:rsid w:val="00BB0B80"/>
    <w:rsid w:val="00BB1FB2"/>
    <w:rsid w:val="00BB2823"/>
    <w:rsid w:val="00BB2F50"/>
    <w:rsid w:val="00BB3382"/>
    <w:rsid w:val="00BB3474"/>
    <w:rsid w:val="00BB4244"/>
    <w:rsid w:val="00BB4527"/>
    <w:rsid w:val="00BB516B"/>
    <w:rsid w:val="00BB6D07"/>
    <w:rsid w:val="00BB6F32"/>
    <w:rsid w:val="00BB7A93"/>
    <w:rsid w:val="00BB7D62"/>
    <w:rsid w:val="00BC0FB8"/>
    <w:rsid w:val="00BC15C5"/>
    <w:rsid w:val="00BC1EE2"/>
    <w:rsid w:val="00BC3619"/>
    <w:rsid w:val="00BC407A"/>
    <w:rsid w:val="00BC496B"/>
    <w:rsid w:val="00BC537B"/>
    <w:rsid w:val="00BC5DFF"/>
    <w:rsid w:val="00BC631E"/>
    <w:rsid w:val="00BC649E"/>
    <w:rsid w:val="00BC7483"/>
    <w:rsid w:val="00BC7F41"/>
    <w:rsid w:val="00BD0018"/>
    <w:rsid w:val="00BD0766"/>
    <w:rsid w:val="00BD2C98"/>
    <w:rsid w:val="00BD3892"/>
    <w:rsid w:val="00BD3A8D"/>
    <w:rsid w:val="00BD5B5E"/>
    <w:rsid w:val="00BD6457"/>
    <w:rsid w:val="00BD674E"/>
    <w:rsid w:val="00BD678F"/>
    <w:rsid w:val="00BD6927"/>
    <w:rsid w:val="00BD6E81"/>
    <w:rsid w:val="00BD70C5"/>
    <w:rsid w:val="00BD7BF2"/>
    <w:rsid w:val="00BD7E28"/>
    <w:rsid w:val="00BE04CB"/>
    <w:rsid w:val="00BE1DC6"/>
    <w:rsid w:val="00BE1E24"/>
    <w:rsid w:val="00BE2181"/>
    <w:rsid w:val="00BE3574"/>
    <w:rsid w:val="00BE388E"/>
    <w:rsid w:val="00BE4032"/>
    <w:rsid w:val="00BE5BCB"/>
    <w:rsid w:val="00BE67EE"/>
    <w:rsid w:val="00BE68A5"/>
    <w:rsid w:val="00BE6CB4"/>
    <w:rsid w:val="00BE6E0B"/>
    <w:rsid w:val="00BE7E25"/>
    <w:rsid w:val="00BF0FEA"/>
    <w:rsid w:val="00BF1357"/>
    <w:rsid w:val="00BF164B"/>
    <w:rsid w:val="00BF1992"/>
    <w:rsid w:val="00BF3206"/>
    <w:rsid w:val="00BF3605"/>
    <w:rsid w:val="00BF5676"/>
    <w:rsid w:val="00BF5DF3"/>
    <w:rsid w:val="00BF6451"/>
    <w:rsid w:val="00BF6E82"/>
    <w:rsid w:val="00BF70E6"/>
    <w:rsid w:val="00BF7A50"/>
    <w:rsid w:val="00C00306"/>
    <w:rsid w:val="00C00469"/>
    <w:rsid w:val="00C015CD"/>
    <w:rsid w:val="00C01AB3"/>
    <w:rsid w:val="00C01CBA"/>
    <w:rsid w:val="00C026C3"/>
    <w:rsid w:val="00C0314B"/>
    <w:rsid w:val="00C03D09"/>
    <w:rsid w:val="00C03EF2"/>
    <w:rsid w:val="00C04FA3"/>
    <w:rsid w:val="00C05EA1"/>
    <w:rsid w:val="00C063D6"/>
    <w:rsid w:val="00C06AF9"/>
    <w:rsid w:val="00C077D0"/>
    <w:rsid w:val="00C078E8"/>
    <w:rsid w:val="00C07923"/>
    <w:rsid w:val="00C100C3"/>
    <w:rsid w:val="00C106B8"/>
    <w:rsid w:val="00C11059"/>
    <w:rsid w:val="00C114D7"/>
    <w:rsid w:val="00C117A0"/>
    <w:rsid w:val="00C121DD"/>
    <w:rsid w:val="00C12984"/>
    <w:rsid w:val="00C12F50"/>
    <w:rsid w:val="00C141C1"/>
    <w:rsid w:val="00C144F1"/>
    <w:rsid w:val="00C14C35"/>
    <w:rsid w:val="00C1596E"/>
    <w:rsid w:val="00C15B09"/>
    <w:rsid w:val="00C2037D"/>
    <w:rsid w:val="00C206C5"/>
    <w:rsid w:val="00C21507"/>
    <w:rsid w:val="00C22203"/>
    <w:rsid w:val="00C2226A"/>
    <w:rsid w:val="00C224B3"/>
    <w:rsid w:val="00C24A30"/>
    <w:rsid w:val="00C24A47"/>
    <w:rsid w:val="00C24BCF"/>
    <w:rsid w:val="00C2532B"/>
    <w:rsid w:val="00C255F9"/>
    <w:rsid w:val="00C26E99"/>
    <w:rsid w:val="00C26F3A"/>
    <w:rsid w:val="00C27C81"/>
    <w:rsid w:val="00C27F61"/>
    <w:rsid w:val="00C3111B"/>
    <w:rsid w:val="00C33271"/>
    <w:rsid w:val="00C33416"/>
    <w:rsid w:val="00C349EE"/>
    <w:rsid w:val="00C34ACE"/>
    <w:rsid w:val="00C35743"/>
    <w:rsid w:val="00C36EF6"/>
    <w:rsid w:val="00C37048"/>
    <w:rsid w:val="00C3789E"/>
    <w:rsid w:val="00C40FA5"/>
    <w:rsid w:val="00C4116E"/>
    <w:rsid w:val="00C412A9"/>
    <w:rsid w:val="00C42A92"/>
    <w:rsid w:val="00C42B46"/>
    <w:rsid w:val="00C4384B"/>
    <w:rsid w:val="00C43D90"/>
    <w:rsid w:val="00C44DAC"/>
    <w:rsid w:val="00C4569E"/>
    <w:rsid w:val="00C45C01"/>
    <w:rsid w:val="00C46265"/>
    <w:rsid w:val="00C46827"/>
    <w:rsid w:val="00C4794C"/>
    <w:rsid w:val="00C51607"/>
    <w:rsid w:val="00C519B4"/>
    <w:rsid w:val="00C526DC"/>
    <w:rsid w:val="00C52C4F"/>
    <w:rsid w:val="00C53796"/>
    <w:rsid w:val="00C555DD"/>
    <w:rsid w:val="00C55A23"/>
    <w:rsid w:val="00C561B6"/>
    <w:rsid w:val="00C5711D"/>
    <w:rsid w:val="00C572E8"/>
    <w:rsid w:val="00C5736C"/>
    <w:rsid w:val="00C57384"/>
    <w:rsid w:val="00C57ECF"/>
    <w:rsid w:val="00C60558"/>
    <w:rsid w:val="00C612F7"/>
    <w:rsid w:val="00C61BF4"/>
    <w:rsid w:val="00C61DD0"/>
    <w:rsid w:val="00C6201D"/>
    <w:rsid w:val="00C627FD"/>
    <w:rsid w:val="00C62C71"/>
    <w:rsid w:val="00C63ACE"/>
    <w:rsid w:val="00C641D7"/>
    <w:rsid w:val="00C64533"/>
    <w:rsid w:val="00C64F92"/>
    <w:rsid w:val="00C6561A"/>
    <w:rsid w:val="00C65F00"/>
    <w:rsid w:val="00C66E1D"/>
    <w:rsid w:val="00C67A91"/>
    <w:rsid w:val="00C70E2C"/>
    <w:rsid w:val="00C710C8"/>
    <w:rsid w:val="00C71A57"/>
    <w:rsid w:val="00C71CAB"/>
    <w:rsid w:val="00C72891"/>
    <w:rsid w:val="00C72A70"/>
    <w:rsid w:val="00C736F3"/>
    <w:rsid w:val="00C73E92"/>
    <w:rsid w:val="00C74700"/>
    <w:rsid w:val="00C74E70"/>
    <w:rsid w:val="00C761CF"/>
    <w:rsid w:val="00C7745E"/>
    <w:rsid w:val="00C77FF1"/>
    <w:rsid w:val="00C80AC8"/>
    <w:rsid w:val="00C80E5C"/>
    <w:rsid w:val="00C81229"/>
    <w:rsid w:val="00C82393"/>
    <w:rsid w:val="00C8292D"/>
    <w:rsid w:val="00C830BE"/>
    <w:rsid w:val="00C832D0"/>
    <w:rsid w:val="00C837FC"/>
    <w:rsid w:val="00C83FF7"/>
    <w:rsid w:val="00C85382"/>
    <w:rsid w:val="00C8546B"/>
    <w:rsid w:val="00C8564F"/>
    <w:rsid w:val="00C856B8"/>
    <w:rsid w:val="00C85700"/>
    <w:rsid w:val="00C903AC"/>
    <w:rsid w:val="00C90502"/>
    <w:rsid w:val="00C90A7F"/>
    <w:rsid w:val="00C91EB4"/>
    <w:rsid w:val="00C92335"/>
    <w:rsid w:val="00C92738"/>
    <w:rsid w:val="00C92F66"/>
    <w:rsid w:val="00C93423"/>
    <w:rsid w:val="00C944A5"/>
    <w:rsid w:val="00C9461F"/>
    <w:rsid w:val="00C96B8E"/>
    <w:rsid w:val="00C9716F"/>
    <w:rsid w:val="00C97324"/>
    <w:rsid w:val="00CA02DE"/>
    <w:rsid w:val="00CA0CCE"/>
    <w:rsid w:val="00CA0F2A"/>
    <w:rsid w:val="00CA0F6D"/>
    <w:rsid w:val="00CA159F"/>
    <w:rsid w:val="00CA162B"/>
    <w:rsid w:val="00CA17F5"/>
    <w:rsid w:val="00CA1E22"/>
    <w:rsid w:val="00CA23CF"/>
    <w:rsid w:val="00CA2F07"/>
    <w:rsid w:val="00CA3605"/>
    <w:rsid w:val="00CA3E50"/>
    <w:rsid w:val="00CA464E"/>
    <w:rsid w:val="00CA4879"/>
    <w:rsid w:val="00CA5650"/>
    <w:rsid w:val="00CA69FD"/>
    <w:rsid w:val="00CA6D58"/>
    <w:rsid w:val="00CA6E1C"/>
    <w:rsid w:val="00CB0BBF"/>
    <w:rsid w:val="00CB1A61"/>
    <w:rsid w:val="00CB1CA0"/>
    <w:rsid w:val="00CB1D10"/>
    <w:rsid w:val="00CB3F94"/>
    <w:rsid w:val="00CB4E92"/>
    <w:rsid w:val="00CB55D1"/>
    <w:rsid w:val="00CB5D3F"/>
    <w:rsid w:val="00CB66DE"/>
    <w:rsid w:val="00CB76FA"/>
    <w:rsid w:val="00CB79E3"/>
    <w:rsid w:val="00CB7F17"/>
    <w:rsid w:val="00CB7F8E"/>
    <w:rsid w:val="00CC0652"/>
    <w:rsid w:val="00CC108B"/>
    <w:rsid w:val="00CC189B"/>
    <w:rsid w:val="00CC225D"/>
    <w:rsid w:val="00CC22AF"/>
    <w:rsid w:val="00CC2E5C"/>
    <w:rsid w:val="00CC334D"/>
    <w:rsid w:val="00CC3BCF"/>
    <w:rsid w:val="00CC3EEF"/>
    <w:rsid w:val="00CC466E"/>
    <w:rsid w:val="00CC6C41"/>
    <w:rsid w:val="00CC71A7"/>
    <w:rsid w:val="00CC7DFD"/>
    <w:rsid w:val="00CD0AF3"/>
    <w:rsid w:val="00CD0DB1"/>
    <w:rsid w:val="00CD0E39"/>
    <w:rsid w:val="00CD150E"/>
    <w:rsid w:val="00CD1D00"/>
    <w:rsid w:val="00CD23FD"/>
    <w:rsid w:val="00CD266B"/>
    <w:rsid w:val="00CD28BB"/>
    <w:rsid w:val="00CD3095"/>
    <w:rsid w:val="00CD31ED"/>
    <w:rsid w:val="00CD35EF"/>
    <w:rsid w:val="00CD3807"/>
    <w:rsid w:val="00CD3891"/>
    <w:rsid w:val="00CD3C15"/>
    <w:rsid w:val="00CD478E"/>
    <w:rsid w:val="00CD6A30"/>
    <w:rsid w:val="00CD7472"/>
    <w:rsid w:val="00CD751B"/>
    <w:rsid w:val="00CD7704"/>
    <w:rsid w:val="00CE00E0"/>
    <w:rsid w:val="00CE0A5D"/>
    <w:rsid w:val="00CE14AA"/>
    <w:rsid w:val="00CE34FA"/>
    <w:rsid w:val="00CE3953"/>
    <w:rsid w:val="00CE4544"/>
    <w:rsid w:val="00CE48EA"/>
    <w:rsid w:val="00CE4BB6"/>
    <w:rsid w:val="00CE59DA"/>
    <w:rsid w:val="00CE6FA8"/>
    <w:rsid w:val="00CF01C3"/>
    <w:rsid w:val="00CF0AF7"/>
    <w:rsid w:val="00CF0CA4"/>
    <w:rsid w:val="00CF0F0B"/>
    <w:rsid w:val="00CF1118"/>
    <w:rsid w:val="00CF2E16"/>
    <w:rsid w:val="00CF2FC4"/>
    <w:rsid w:val="00CF3726"/>
    <w:rsid w:val="00CF4949"/>
    <w:rsid w:val="00CF4C88"/>
    <w:rsid w:val="00CF50D8"/>
    <w:rsid w:val="00CF5CE2"/>
    <w:rsid w:val="00CF63E2"/>
    <w:rsid w:val="00D009F8"/>
    <w:rsid w:val="00D01EB2"/>
    <w:rsid w:val="00D024CC"/>
    <w:rsid w:val="00D02818"/>
    <w:rsid w:val="00D04674"/>
    <w:rsid w:val="00D0496A"/>
    <w:rsid w:val="00D04BFB"/>
    <w:rsid w:val="00D05953"/>
    <w:rsid w:val="00D05B31"/>
    <w:rsid w:val="00D05E5B"/>
    <w:rsid w:val="00D06069"/>
    <w:rsid w:val="00D06EC9"/>
    <w:rsid w:val="00D073F3"/>
    <w:rsid w:val="00D10268"/>
    <w:rsid w:val="00D102EC"/>
    <w:rsid w:val="00D114BD"/>
    <w:rsid w:val="00D11D5C"/>
    <w:rsid w:val="00D11EED"/>
    <w:rsid w:val="00D12353"/>
    <w:rsid w:val="00D134E9"/>
    <w:rsid w:val="00D13CA1"/>
    <w:rsid w:val="00D14547"/>
    <w:rsid w:val="00D149E8"/>
    <w:rsid w:val="00D15C1B"/>
    <w:rsid w:val="00D15C4E"/>
    <w:rsid w:val="00D15C6E"/>
    <w:rsid w:val="00D1615A"/>
    <w:rsid w:val="00D1707D"/>
    <w:rsid w:val="00D175A9"/>
    <w:rsid w:val="00D17E95"/>
    <w:rsid w:val="00D21103"/>
    <w:rsid w:val="00D21C34"/>
    <w:rsid w:val="00D22BAE"/>
    <w:rsid w:val="00D24BE3"/>
    <w:rsid w:val="00D24D1F"/>
    <w:rsid w:val="00D25378"/>
    <w:rsid w:val="00D2569F"/>
    <w:rsid w:val="00D25AB5"/>
    <w:rsid w:val="00D262A3"/>
    <w:rsid w:val="00D26F5F"/>
    <w:rsid w:val="00D27359"/>
    <w:rsid w:val="00D27D0E"/>
    <w:rsid w:val="00D30A56"/>
    <w:rsid w:val="00D310E0"/>
    <w:rsid w:val="00D31AC5"/>
    <w:rsid w:val="00D33110"/>
    <w:rsid w:val="00D339B4"/>
    <w:rsid w:val="00D33FEE"/>
    <w:rsid w:val="00D341BB"/>
    <w:rsid w:val="00D3441D"/>
    <w:rsid w:val="00D34CDF"/>
    <w:rsid w:val="00D355F6"/>
    <w:rsid w:val="00D35B0E"/>
    <w:rsid w:val="00D35BF8"/>
    <w:rsid w:val="00D35C88"/>
    <w:rsid w:val="00D3649C"/>
    <w:rsid w:val="00D374CF"/>
    <w:rsid w:val="00D37B14"/>
    <w:rsid w:val="00D37CF3"/>
    <w:rsid w:val="00D4059F"/>
    <w:rsid w:val="00D4116C"/>
    <w:rsid w:val="00D41E56"/>
    <w:rsid w:val="00D4253B"/>
    <w:rsid w:val="00D42DA3"/>
    <w:rsid w:val="00D431A2"/>
    <w:rsid w:val="00D448F1"/>
    <w:rsid w:val="00D450C3"/>
    <w:rsid w:val="00D45378"/>
    <w:rsid w:val="00D45A3E"/>
    <w:rsid w:val="00D45D14"/>
    <w:rsid w:val="00D45D91"/>
    <w:rsid w:val="00D46582"/>
    <w:rsid w:val="00D4740B"/>
    <w:rsid w:val="00D4769D"/>
    <w:rsid w:val="00D50ABC"/>
    <w:rsid w:val="00D50AEA"/>
    <w:rsid w:val="00D524FE"/>
    <w:rsid w:val="00D539D3"/>
    <w:rsid w:val="00D543CB"/>
    <w:rsid w:val="00D54F97"/>
    <w:rsid w:val="00D55614"/>
    <w:rsid w:val="00D56172"/>
    <w:rsid w:val="00D6100F"/>
    <w:rsid w:val="00D61922"/>
    <w:rsid w:val="00D61B81"/>
    <w:rsid w:val="00D6241A"/>
    <w:rsid w:val="00D62CAE"/>
    <w:rsid w:val="00D62FDC"/>
    <w:rsid w:val="00D63DDD"/>
    <w:rsid w:val="00D64402"/>
    <w:rsid w:val="00D6460C"/>
    <w:rsid w:val="00D64D5F"/>
    <w:rsid w:val="00D66139"/>
    <w:rsid w:val="00D66540"/>
    <w:rsid w:val="00D66DF1"/>
    <w:rsid w:val="00D6797F"/>
    <w:rsid w:val="00D67CD3"/>
    <w:rsid w:val="00D67E2D"/>
    <w:rsid w:val="00D70641"/>
    <w:rsid w:val="00D7278C"/>
    <w:rsid w:val="00D72DF1"/>
    <w:rsid w:val="00D7368F"/>
    <w:rsid w:val="00D73746"/>
    <w:rsid w:val="00D74335"/>
    <w:rsid w:val="00D7488F"/>
    <w:rsid w:val="00D7566F"/>
    <w:rsid w:val="00D7575F"/>
    <w:rsid w:val="00D75BBC"/>
    <w:rsid w:val="00D761B5"/>
    <w:rsid w:val="00D76F2A"/>
    <w:rsid w:val="00D77D52"/>
    <w:rsid w:val="00D801FD"/>
    <w:rsid w:val="00D80767"/>
    <w:rsid w:val="00D8111F"/>
    <w:rsid w:val="00D8284F"/>
    <w:rsid w:val="00D82A1B"/>
    <w:rsid w:val="00D83DF9"/>
    <w:rsid w:val="00D84321"/>
    <w:rsid w:val="00D846E8"/>
    <w:rsid w:val="00D85756"/>
    <w:rsid w:val="00D85757"/>
    <w:rsid w:val="00D85C00"/>
    <w:rsid w:val="00D85D76"/>
    <w:rsid w:val="00D86027"/>
    <w:rsid w:val="00D86386"/>
    <w:rsid w:val="00D87756"/>
    <w:rsid w:val="00D87F75"/>
    <w:rsid w:val="00D90619"/>
    <w:rsid w:val="00D91175"/>
    <w:rsid w:val="00D91274"/>
    <w:rsid w:val="00D92793"/>
    <w:rsid w:val="00D928EF"/>
    <w:rsid w:val="00D92C5E"/>
    <w:rsid w:val="00D96A49"/>
    <w:rsid w:val="00D97BCD"/>
    <w:rsid w:val="00DA017E"/>
    <w:rsid w:val="00DA069D"/>
    <w:rsid w:val="00DA08FE"/>
    <w:rsid w:val="00DA0A89"/>
    <w:rsid w:val="00DA15B1"/>
    <w:rsid w:val="00DA21C6"/>
    <w:rsid w:val="00DA2AA7"/>
    <w:rsid w:val="00DA3686"/>
    <w:rsid w:val="00DA3EDD"/>
    <w:rsid w:val="00DA3FBD"/>
    <w:rsid w:val="00DA4352"/>
    <w:rsid w:val="00DA447C"/>
    <w:rsid w:val="00DA60BE"/>
    <w:rsid w:val="00DA64CF"/>
    <w:rsid w:val="00DB0C25"/>
    <w:rsid w:val="00DB114D"/>
    <w:rsid w:val="00DB1200"/>
    <w:rsid w:val="00DB1250"/>
    <w:rsid w:val="00DB198C"/>
    <w:rsid w:val="00DB341F"/>
    <w:rsid w:val="00DB4193"/>
    <w:rsid w:val="00DB4C3F"/>
    <w:rsid w:val="00DB6008"/>
    <w:rsid w:val="00DB62B3"/>
    <w:rsid w:val="00DB6D9A"/>
    <w:rsid w:val="00DC0059"/>
    <w:rsid w:val="00DC09A1"/>
    <w:rsid w:val="00DC0A10"/>
    <w:rsid w:val="00DC0D8D"/>
    <w:rsid w:val="00DC0EDF"/>
    <w:rsid w:val="00DC226F"/>
    <w:rsid w:val="00DC2638"/>
    <w:rsid w:val="00DC35D6"/>
    <w:rsid w:val="00DC397F"/>
    <w:rsid w:val="00DC553C"/>
    <w:rsid w:val="00DC58E2"/>
    <w:rsid w:val="00DC59D1"/>
    <w:rsid w:val="00DC60A6"/>
    <w:rsid w:val="00DC61BE"/>
    <w:rsid w:val="00DC6A2E"/>
    <w:rsid w:val="00DC6FB7"/>
    <w:rsid w:val="00DC7280"/>
    <w:rsid w:val="00DC7BCB"/>
    <w:rsid w:val="00DD230A"/>
    <w:rsid w:val="00DD27CE"/>
    <w:rsid w:val="00DD2998"/>
    <w:rsid w:val="00DD3D65"/>
    <w:rsid w:val="00DD4139"/>
    <w:rsid w:val="00DD4168"/>
    <w:rsid w:val="00DD4D3D"/>
    <w:rsid w:val="00DD5211"/>
    <w:rsid w:val="00DD5393"/>
    <w:rsid w:val="00DD5B86"/>
    <w:rsid w:val="00DD735A"/>
    <w:rsid w:val="00DD74E3"/>
    <w:rsid w:val="00DD75B4"/>
    <w:rsid w:val="00DD7883"/>
    <w:rsid w:val="00DD7C80"/>
    <w:rsid w:val="00DE040D"/>
    <w:rsid w:val="00DE1AD0"/>
    <w:rsid w:val="00DE207F"/>
    <w:rsid w:val="00DE22B2"/>
    <w:rsid w:val="00DE4667"/>
    <w:rsid w:val="00DE5C90"/>
    <w:rsid w:val="00DE62F6"/>
    <w:rsid w:val="00DE63E2"/>
    <w:rsid w:val="00DE780F"/>
    <w:rsid w:val="00DE789D"/>
    <w:rsid w:val="00DE7A73"/>
    <w:rsid w:val="00DE7CFF"/>
    <w:rsid w:val="00DF1481"/>
    <w:rsid w:val="00DF21F1"/>
    <w:rsid w:val="00DF22A0"/>
    <w:rsid w:val="00DF2EA6"/>
    <w:rsid w:val="00DF3FF8"/>
    <w:rsid w:val="00DF44B9"/>
    <w:rsid w:val="00DF5AE3"/>
    <w:rsid w:val="00DF5D1E"/>
    <w:rsid w:val="00DF5EC5"/>
    <w:rsid w:val="00DF695A"/>
    <w:rsid w:val="00DF6D5B"/>
    <w:rsid w:val="00DF6E68"/>
    <w:rsid w:val="00DF6F42"/>
    <w:rsid w:val="00DF7B2C"/>
    <w:rsid w:val="00E0029B"/>
    <w:rsid w:val="00E0043B"/>
    <w:rsid w:val="00E00C7B"/>
    <w:rsid w:val="00E00CA5"/>
    <w:rsid w:val="00E01748"/>
    <w:rsid w:val="00E01B17"/>
    <w:rsid w:val="00E0202E"/>
    <w:rsid w:val="00E02219"/>
    <w:rsid w:val="00E02955"/>
    <w:rsid w:val="00E02BF6"/>
    <w:rsid w:val="00E03F9C"/>
    <w:rsid w:val="00E075A0"/>
    <w:rsid w:val="00E07ECA"/>
    <w:rsid w:val="00E10AF7"/>
    <w:rsid w:val="00E1107C"/>
    <w:rsid w:val="00E11BE8"/>
    <w:rsid w:val="00E11CA0"/>
    <w:rsid w:val="00E12EF5"/>
    <w:rsid w:val="00E13558"/>
    <w:rsid w:val="00E13710"/>
    <w:rsid w:val="00E13C29"/>
    <w:rsid w:val="00E15092"/>
    <w:rsid w:val="00E150AF"/>
    <w:rsid w:val="00E1573D"/>
    <w:rsid w:val="00E15E88"/>
    <w:rsid w:val="00E1631A"/>
    <w:rsid w:val="00E175F2"/>
    <w:rsid w:val="00E17E1A"/>
    <w:rsid w:val="00E21119"/>
    <w:rsid w:val="00E226C0"/>
    <w:rsid w:val="00E22BFA"/>
    <w:rsid w:val="00E23F4E"/>
    <w:rsid w:val="00E24265"/>
    <w:rsid w:val="00E268D9"/>
    <w:rsid w:val="00E2696B"/>
    <w:rsid w:val="00E2759C"/>
    <w:rsid w:val="00E27F33"/>
    <w:rsid w:val="00E3083E"/>
    <w:rsid w:val="00E3225C"/>
    <w:rsid w:val="00E32D3A"/>
    <w:rsid w:val="00E34317"/>
    <w:rsid w:val="00E344D8"/>
    <w:rsid w:val="00E34BDC"/>
    <w:rsid w:val="00E34D39"/>
    <w:rsid w:val="00E359C2"/>
    <w:rsid w:val="00E35C92"/>
    <w:rsid w:val="00E362DE"/>
    <w:rsid w:val="00E366B0"/>
    <w:rsid w:val="00E36F33"/>
    <w:rsid w:val="00E3775F"/>
    <w:rsid w:val="00E37EB7"/>
    <w:rsid w:val="00E402F8"/>
    <w:rsid w:val="00E40AE5"/>
    <w:rsid w:val="00E40D6B"/>
    <w:rsid w:val="00E4382C"/>
    <w:rsid w:val="00E443BF"/>
    <w:rsid w:val="00E44682"/>
    <w:rsid w:val="00E45E4C"/>
    <w:rsid w:val="00E468B0"/>
    <w:rsid w:val="00E468B8"/>
    <w:rsid w:val="00E46BAC"/>
    <w:rsid w:val="00E46EDE"/>
    <w:rsid w:val="00E472DA"/>
    <w:rsid w:val="00E4761A"/>
    <w:rsid w:val="00E504A2"/>
    <w:rsid w:val="00E50C86"/>
    <w:rsid w:val="00E5196F"/>
    <w:rsid w:val="00E51B5F"/>
    <w:rsid w:val="00E526DF"/>
    <w:rsid w:val="00E53149"/>
    <w:rsid w:val="00E53AE4"/>
    <w:rsid w:val="00E5420A"/>
    <w:rsid w:val="00E54B68"/>
    <w:rsid w:val="00E55F97"/>
    <w:rsid w:val="00E57B62"/>
    <w:rsid w:val="00E60871"/>
    <w:rsid w:val="00E6103A"/>
    <w:rsid w:val="00E614D1"/>
    <w:rsid w:val="00E61591"/>
    <w:rsid w:val="00E63308"/>
    <w:rsid w:val="00E64554"/>
    <w:rsid w:val="00E65067"/>
    <w:rsid w:val="00E65763"/>
    <w:rsid w:val="00E65AF9"/>
    <w:rsid w:val="00E67668"/>
    <w:rsid w:val="00E6776E"/>
    <w:rsid w:val="00E701E5"/>
    <w:rsid w:val="00E710D2"/>
    <w:rsid w:val="00E717F9"/>
    <w:rsid w:val="00E71AE1"/>
    <w:rsid w:val="00E7371F"/>
    <w:rsid w:val="00E75589"/>
    <w:rsid w:val="00E755EC"/>
    <w:rsid w:val="00E756AC"/>
    <w:rsid w:val="00E76714"/>
    <w:rsid w:val="00E7746A"/>
    <w:rsid w:val="00E77D57"/>
    <w:rsid w:val="00E80433"/>
    <w:rsid w:val="00E80C0E"/>
    <w:rsid w:val="00E8172C"/>
    <w:rsid w:val="00E81A5C"/>
    <w:rsid w:val="00E81D03"/>
    <w:rsid w:val="00E82BA4"/>
    <w:rsid w:val="00E83762"/>
    <w:rsid w:val="00E83B91"/>
    <w:rsid w:val="00E84D38"/>
    <w:rsid w:val="00E85074"/>
    <w:rsid w:val="00E85530"/>
    <w:rsid w:val="00E85AD4"/>
    <w:rsid w:val="00E86EF0"/>
    <w:rsid w:val="00E87D16"/>
    <w:rsid w:val="00E90A06"/>
    <w:rsid w:val="00E91A9E"/>
    <w:rsid w:val="00E940D7"/>
    <w:rsid w:val="00E96221"/>
    <w:rsid w:val="00E96D78"/>
    <w:rsid w:val="00E974D9"/>
    <w:rsid w:val="00E97947"/>
    <w:rsid w:val="00E97E79"/>
    <w:rsid w:val="00EA01BA"/>
    <w:rsid w:val="00EA025B"/>
    <w:rsid w:val="00EA0FB4"/>
    <w:rsid w:val="00EA0FD2"/>
    <w:rsid w:val="00EA1384"/>
    <w:rsid w:val="00EA148F"/>
    <w:rsid w:val="00EA1809"/>
    <w:rsid w:val="00EA18E9"/>
    <w:rsid w:val="00EA25DB"/>
    <w:rsid w:val="00EA2758"/>
    <w:rsid w:val="00EA2C47"/>
    <w:rsid w:val="00EA3131"/>
    <w:rsid w:val="00EA4066"/>
    <w:rsid w:val="00EA420F"/>
    <w:rsid w:val="00EA4B2B"/>
    <w:rsid w:val="00EA5EAA"/>
    <w:rsid w:val="00EA7132"/>
    <w:rsid w:val="00EA73DA"/>
    <w:rsid w:val="00EB2A56"/>
    <w:rsid w:val="00EB3433"/>
    <w:rsid w:val="00EB3C8F"/>
    <w:rsid w:val="00EB4278"/>
    <w:rsid w:val="00EB436B"/>
    <w:rsid w:val="00EB4B08"/>
    <w:rsid w:val="00EB5211"/>
    <w:rsid w:val="00EB5237"/>
    <w:rsid w:val="00EB55A4"/>
    <w:rsid w:val="00EB5CAC"/>
    <w:rsid w:val="00EB6445"/>
    <w:rsid w:val="00EB6D51"/>
    <w:rsid w:val="00EB7E3E"/>
    <w:rsid w:val="00EC125C"/>
    <w:rsid w:val="00EC14D7"/>
    <w:rsid w:val="00EC1893"/>
    <w:rsid w:val="00EC1DCF"/>
    <w:rsid w:val="00EC2AA6"/>
    <w:rsid w:val="00EC3729"/>
    <w:rsid w:val="00EC44B5"/>
    <w:rsid w:val="00EC4641"/>
    <w:rsid w:val="00EC483E"/>
    <w:rsid w:val="00EC53D0"/>
    <w:rsid w:val="00EC626F"/>
    <w:rsid w:val="00EC6F2C"/>
    <w:rsid w:val="00EC71F3"/>
    <w:rsid w:val="00EC7395"/>
    <w:rsid w:val="00ED0709"/>
    <w:rsid w:val="00ED1D7F"/>
    <w:rsid w:val="00ED2748"/>
    <w:rsid w:val="00ED3458"/>
    <w:rsid w:val="00ED426F"/>
    <w:rsid w:val="00ED4F63"/>
    <w:rsid w:val="00ED5547"/>
    <w:rsid w:val="00ED5EEE"/>
    <w:rsid w:val="00ED6006"/>
    <w:rsid w:val="00ED6B0E"/>
    <w:rsid w:val="00ED7520"/>
    <w:rsid w:val="00EE0263"/>
    <w:rsid w:val="00EE0C8A"/>
    <w:rsid w:val="00EE1A9B"/>
    <w:rsid w:val="00EE20D8"/>
    <w:rsid w:val="00EE27BB"/>
    <w:rsid w:val="00EE3B62"/>
    <w:rsid w:val="00EE409C"/>
    <w:rsid w:val="00EE4A90"/>
    <w:rsid w:val="00EE7B8E"/>
    <w:rsid w:val="00EE7BBF"/>
    <w:rsid w:val="00EE7BFB"/>
    <w:rsid w:val="00EF0C8C"/>
    <w:rsid w:val="00EF135D"/>
    <w:rsid w:val="00EF1B80"/>
    <w:rsid w:val="00EF2C51"/>
    <w:rsid w:val="00EF2C5C"/>
    <w:rsid w:val="00EF2CD3"/>
    <w:rsid w:val="00EF35A6"/>
    <w:rsid w:val="00EF391C"/>
    <w:rsid w:val="00EF39FB"/>
    <w:rsid w:val="00EF3BEF"/>
    <w:rsid w:val="00EF4AE2"/>
    <w:rsid w:val="00EF4EB6"/>
    <w:rsid w:val="00EF557C"/>
    <w:rsid w:val="00EF5765"/>
    <w:rsid w:val="00EF5C1B"/>
    <w:rsid w:val="00EF67BE"/>
    <w:rsid w:val="00EF7124"/>
    <w:rsid w:val="00EF7741"/>
    <w:rsid w:val="00F00896"/>
    <w:rsid w:val="00F01E1D"/>
    <w:rsid w:val="00F02188"/>
    <w:rsid w:val="00F021E3"/>
    <w:rsid w:val="00F02901"/>
    <w:rsid w:val="00F033FF"/>
    <w:rsid w:val="00F034D0"/>
    <w:rsid w:val="00F04401"/>
    <w:rsid w:val="00F055D2"/>
    <w:rsid w:val="00F0629A"/>
    <w:rsid w:val="00F06DB8"/>
    <w:rsid w:val="00F10CC7"/>
    <w:rsid w:val="00F124A2"/>
    <w:rsid w:val="00F12660"/>
    <w:rsid w:val="00F13A1C"/>
    <w:rsid w:val="00F13B04"/>
    <w:rsid w:val="00F143F9"/>
    <w:rsid w:val="00F150C6"/>
    <w:rsid w:val="00F16BD1"/>
    <w:rsid w:val="00F174CA"/>
    <w:rsid w:val="00F17532"/>
    <w:rsid w:val="00F179D3"/>
    <w:rsid w:val="00F17F0C"/>
    <w:rsid w:val="00F21319"/>
    <w:rsid w:val="00F23964"/>
    <w:rsid w:val="00F24960"/>
    <w:rsid w:val="00F25DDE"/>
    <w:rsid w:val="00F30074"/>
    <w:rsid w:val="00F30E01"/>
    <w:rsid w:val="00F30F2A"/>
    <w:rsid w:val="00F3155D"/>
    <w:rsid w:val="00F31DB0"/>
    <w:rsid w:val="00F323F7"/>
    <w:rsid w:val="00F336F4"/>
    <w:rsid w:val="00F34FA9"/>
    <w:rsid w:val="00F359C0"/>
    <w:rsid w:val="00F35CD9"/>
    <w:rsid w:val="00F373DC"/>
    <w:rsid w:val="00F37811"/>
    <w:rsid w:val="00F40579"/>
    <w:rsid w:val="00F406DA"/>
    <w:rsid w:val="00F41C33"/>
    <w:rsid w:val="00F42175"/>
    <w:rsid w:val="00F42CAA"/>
    <w:rsid w:val="00F4360E"/>
    <w:rsid w:val="00F44131"/>
    <w:rsid w:val="00F4420D"/>
    <w:rsid w:val="00F443E4"/>
    <w:rsid w:val="00F44AA5"/>
    <w:rsid w:val="00F451DB"/>
    <w:rsid w:val="00F45559"/>
    <w:rsid w:val="00F459DC"/>
    <w:rsid w:val="00F466B2"/>
    <w:rsid w:val="00F466D3"/>
    <w:rsid w:val="00F47558"/>
    <w:rsid w:val="00F50068"/>
    <w:rsid w:val="00F50A6C"/>
    <w:rsid w:val="00F516B7"/>
    <w:rsid w:val="00F51706"/>
    <w:rsid w:val="00F5290B"/>
    <w:rsid w:val="00F54A14"/>
    <w:rsid w:val="00F54CDA"/>
    <w:rsid w:val="00F552D1"/>
    <w:rsid w:val="00F558ED"/>
    <w:rsid w:val="00F55DEB"/>
    <w:rsid w:val="00F56040"/>
    <w:rsid w:val="00F563BD"/>
    <w:rsid w:val="00F60E75"/>
    <w:rsid w:val="00F60EF3"/>
    <w:rsid w:val="00F61197"/>
    <w:rsid w:val="00F61E00"/>
    <w:rsid w:val="00F62191"/>
    <w:rsid w:val="00F6231B"/>
    <w:rsid w:val="00F62414"/>
    <w:rsid w:val="00F626B2"/>
    <w:rsid w:val="00F62F13"/>
    <w:rsid w:val="00F62FC1"/>
    <w:rsid w:val="00F6301E"/>
    <w:rsid w:val="00F63106"/>
    <w:rsid w:val="00F64942"/>
    <w:rsid w:val="00F64AFF"/>
    <w:rsid w:val="00F64C48"/>
    <w:rsid w:val="00F64C62"/>
    <w:rsid w:val="00F64E4C"/>
    <w:rsid w:val="00F65098"/>
    <w:rsid w:val="00F65117"/>
    <w:rsid w:val="00F667F5"/>
    <w:rsid w:val="00F676F6"/>
    <w:rsid w:val="00F67CD0"/>
    <w:rsid w:val="00F67DC9"/>
    <w:rsid w:val="00F70DB1"/>
    <w:rsid w:val="00F70EA2"/>
    <w:rsid w:val="00F712BA"/>
    <w:rsid w:val="00F71A68"/>
    <w:rsid w:val="00F73546"/>
    <w:rsid w:val="00F73806"/>
    <w:rsid w:val="00F75CDE"/>
    <w:rsid w:val="00F75E6E"/>
    <w:rsid w:val="00F76431"/>
    <w:rsid w:val="00F80128"/>
    <w:rsid w:val="00F801F1"/>
    <w:rsid w:val="00F80CF8"/>
    <w:rsid w:val="00F80F50"/>
    <w:rsid w:val="00F81111"/>
    <w:rsid w:val="00F819CB"/>
    <w:rsid w:val="00F81ED0"/>
    <w:rsid w:val="00F8240B"/>
    <w:rsid w:val="00F82444"/>
    <w:rsid w:val="00F826E7"/>
    <w:rsid w:val="00F8289B"/>
    <w:rsid w:val="00F836D4"/>
    <w:rsid w:val="00F8380A"/>
    <w:rsid w:val="00F842E4"/>
    <w:rsid w:val="00F8474E"/>
    <w:rsid w:val="00F851CF"/>
    <w:rsid w:val="00F86197"/>
    <w:rsid w:val="00F87A2C"/>
    <w:rsid w:val="00F904D8"/>
    <w:rsid w:val="00F90E05"/>
    <w:rsid w:val="00F9106F"/>
    <w:rsid w:val="00F917B3"/>
    <w:rsid w:val="00F91F23"/>
    <w:rsid w:val="00F91FE6"/>
    <w:rsid w:val="00F9480D"/>
    <w:rsid w:val="00F94C9C"/>
    <w:rsid w:val="00F9558D"/>
    <w:rsid w:val="00F9564B"/>
    <w:rsid w:val="00F9598A"/>
    <w:rsid w:val="00F9642A"/>
    <w:rsid w:val="00F96964"/>
    <w:rsid w:val="00F9792D"/>
    <w:rsid w:val="00F97D6F"/>
    <w:rsid w:val="00FA05E0"/>
    <w:rsid w:val="00FA09BE"/>
    <w:rsid w:val="00FA14A4"/>
    <w:rsid w:val="00FA305C"/>
    <w:rsid w:val="00FA3079"/>
    <w:rsid w:val="00FA522C"/>
    <w:rsid w:val="00FA5758"/>
    <w:rsid w:val="00FA6CA6"/>
    <w:rsid w:val="00FB0D95"/>
    <w:rsid w:val="00FB184F"/>
    <w:rsid w:val="00FB1D27"/>
    <w:rsid w:val="00FB2B67"/>
    <w:rsid w:val="00FB2F2A"/>
    <w:rsid w:val="00FB3A9F"/>
    <w:rsid w:val="00FB4D15"/>
    <w:rsid w:val="00FB4DB3"/>
    <w:rsid w:val="00FB66AE"/>
    <w:rsid w:val="00FB69C8"/>
    <w:rsid w:val="00FB6E4C"/>
    <w:rsid w:val="00FC037F"/>
    <w:rsid w:val="00FC0F37"/>
    <w:rsid w:val="00FC3CA2"/>
    <w:rsid w:val="00FC47B4"/>
    <w:rsid w:val="00FC483A"/>
    <w:rsid w:val="00FC5273"/>
    <w:rsid w:val="00FC6147"/>
    <w:rsid w:val="00FC6B11"/>
    <w:rsid w:val="00FD03C4"/>
    <w:rsid w:val="00FD1E03"/>
    <w:rsid w:val="00FD1E90"/>
    <w:rsid w:val="00FD4014"/>
    <w:rsid w:val="00FD424A"/>
    <w:rsid w:val="00FD4B1A"/>
    <w:rsid w:val="00FD66AF"/>
    <w:rsid w:val="00FE0788"/>
    <w:rsid w:val="00FE0812"/>
    <w:rsid w:val="00FE0C7D"/>
    <w:rsid w:val="00FE0D93"/>
    <w:rsid w:val="00FE1039"/>
    <w:rsid w:val="00FE1AF7"/>
    <w:rsid w:val="00FE1B8B"/>
    <w:rsid w:val="00FE1E50"/>
    <w:rsid w:val="00FE2682"/>
    <w:rsid w:val="00FE27F7"/>
    <w:rsid w:val="00FE2845"/>
    <w:rsid w:val="00FE398C"/>
    <w:rsid w:val="00FE3CF3"/>
    <w:rsid w:val="00FE4078"/>
    <w:rsid w:val="00FE424D"/>
    <w:rsid w:val="00FE4299"/>
    <w:rsid w:val="00FE471C"/>
    <w:rsid w:val="00FE4EE0"/>
    <w:rsid w:val="00FE5F9A"/>
    <w:rsid w:val="00FE7427"/>
    <w:rsid w:val="00FE7724"/>
    <w:rsid w:val="00FE7FE2"/>
    <w:rsid w:val="00FF0A54"/>
    <w:rsid w:val="00FF0BE4"/>
    <w:rsid w:val="00FF0ED7"/>
    <w:rsid w:val="00FF0F5B"/>
    <w:rsid w:val="00FF138F"/>
    <w:rsid w:val="00FF27BF"/>
    <w:rsid w:val="00FF2B74"/>
    <w:rsid w:val="00FF3DB1"/>
    <w:rsid w:val="00FF67BB"/>
    <w:rsid w:val="00FF6D34"/>
    <w:rsid w:val="00FF6EB5"/>
    <w:rsid w:val="00FF7907"/>
    <w:rsid w:val="0171EBED"/>
    <w:rsid w:val="05C4BD7E"/>
    <w:rsid w:val="05D4FE4A"/>
    <w:rsid w:val="06A5B108"/>
    <w:rsid w:val="07228C53"/>
    <w:rsid w:val="079BA85C"/>
    <w:rsid w:val="0853F6C3"/>
    <w:rsid w:val="08ED4E78"/>
    <w:rsid w:val="09119526"/>
    <w:rsid w:val="0974DE76"/>
    <w:rsid w:val="0AC30114"/>
    <w:rsid w:val="0ACC4F60"/>
    <w:rsid w:val="0AD9CB91"/>
    <w:rsid w:val="0B5C3C23"/>
    <w:rsid w:val="0BB16B2E"/>
    <w:rsid w:val="0C2457C2"/>
    <w:rsid w:val="0E02FE9B"/>
    <w:rsid w:val="121D1BE6"/>
    <w:rsid w:val="13BB1756"/>
    <w:rsid w:val="140E0B29"/>
    <w:rsid w:val="1537FDDE"/>
    <w:rsid w:val="155E3DC5"/>
    <w:rsid w:val="165A51EA"/>
    <w:rsid w:val="1700CBC1"/>
    <w:rsid w:val="176B384E"/>
    <w:rsid w:val="17D8FEDA"/>
    <w:rsid w:val="17FD82F1"/>
    <w:rsid w:val="1927B8F0"/>
    <w:rsid w:val="19C70744"/>
    <w:rsid w:val="19D6787D"/>
    <w:rsid w:val="19E0FE88"/>
    <w:rsid w:val="1A2A8BAB"/>
    <w:rsid w:val="1AFE9A7C"/>
    <w:rsid w:val="1B06B9D8"/>
    <w:rsid w:val="1C0ABB83"/>
    <w:rsid w:val="1C6BE3B8"/>
    <w:rsid w:val="1D2E5843"/>
    <w:rsid w:val="1DC3AF55"/>
    <w:rsid w:val="1E6A292C"/>
    <w:rsid w:val="1F0B78FF"/>
    <w:rsid w:val="1F3B6BD9"/>
    <w:rsid w:val="1F68368A"/>
    <w:rsid w:val="1F8F7C7B"/>
    <w:rsid w:val="1FD9CA50"/>
    <w:rsid w:val="2044FC2F"/>
    <w:rsid w:val="20AE741E"/>
    <w:rsid w:val="20B097AC"/>
    <w:rsid w:val="21B36A67"/>
    <w:rsid w:val="21C86E7C"/>
    <w:rsid w:val="21CA34E4"/>
    <w:rsid w:val="23018D05"/>
    <w:rsid w:val="2355FD5A"/>
    <w:rsid w:val="248039F5"/>
    <w:rsid w:val="2508F8E3"/>
    <w:rsid w:val="2551E769"/>
    <w:rsid w:val="2561A82A"/>
    <w:rsid w:val="25EC177C"/>
    <w:rsid w:val="2622F781"/>
    <w:rsid w:val="26FD39BF"/>
    <w:rsid w:val="271EDD11"/>
    <w:rsid w:val="278F15B2"/>
    <w:rsid w:val="27EE2685"/>
    <w:rsid w:val="282991F6"/>
    <w:rsid w:val="28FE7571"/>
    <w:rsid w:val="290436ED"/>
    <w:rsid w:val="29C43DC8"/>
    <w:rsid w:val="2A3E8466"/>
    <w:rsid w:val="2AEAA699"/>
    <w:rsid w:val="2AFEBE12"/>
    <w:rsid w:val="2B3C91C4"/>
    <w:rsid w:val="2B578A26"/>
    <w:rsid w:val="2B756468"/>
    <w:rsid w:val="2C015DFC"/>
    <w:rsid w:val="2CC03140"/>
    <w:rsid w:val="2E4D2951"/>
    <w:rsid w:val="2FA402C3"/>
    <w:rsid w:val="313E3F8D"/>
    <w:rsid w:val="314FE402"/>
    <w:rsid w:val="31FC0BD8"/>
    <w:rsid w:val="320407E4"/>
    <w:rsid w:val="3219E0DA"/>
    <w:rsid w:val="321B0532"/>
    <w:rsid w:val="32803DFA"/>
    <w:rsid w:val="32D02DB7"/>
    <w:rsid w:val="32F9913F"/>
    <w:rsid w:val="3361301B"/>
    <w:rsid w:val="3387DED8"/>
    <w:rsid w:val="347385F1"/>
    <w:rsid w:val="3543635B"/>
    <w:rsid w:val="3594D1B6"/>
    <w:rsid w:val="35AE6760"/>
    <w:rsid w:val="3817CC78"/>
    <w:rsid w:val="38464BE6"/>
    <w:rsid w:val="385A53DC"/>
    <w:rsid w:val="3A000A01"/>
    <w:rsid w:val="3C2401D8"/>
    <w:rsid w:val="3C595C1F"/>
    <w:rsid w:val="3C8584C0"/>
    <w:rsid w:val="3CBD364B"/>
    <w:rsid w:val="3CC6268C"/>
    <w:rsid w:val="3CEB5EC1"/>
    <w:rsid w:val="3D094B80"/>
    <w:rsid w:val="3D73EADE"/>
    <w:rsid w:val="3E4F37BE"/>
    <w:rsid w:val="3E9D98F4"/>
    <w:rsid w:val="3F1F9550"/>
    <w:rsid w:val="3FCF2AA2"/>
    <w:rsid w:val="40E83062"/>
    <w:rsid w:val="4115C55C"/>
    <w:rsid w:val="412CC2AA"/>
    <w:rsid w:val="41713523"/>
    <w:rsid w:val="418FC92C"/>
    <w:rsid w:val="4190A76E"/>
    <w:rsid w:val="42F8EA8C"/>
    <w:rsid w:val="43A58D52"/>
    <w:rsid w:val="43BEF8E1"/>
    <w:rsid w:val="44174D21"/>
    <w:rsid w:val="443DBEDE"/>
    <w:rsid w:val="447CA79E"/>
    <w:rsid w:val="44F6D54D"/>
    <w:rsid w:val="4574BEDE"/>
    <w:rsid w:val="45F98733"/>
    <w:rsid w:val="475F9142"/>
    <w:rsid w:val="47D8DBC1"/>
    <w:rsid w:val="4A31BDA5"/>
    <w:rsid w:val="4B12101A"/>
    <w:rsid w:val="4CF1A87A"/>
    <w:rsid w:val="4CFEC400"/>
    <w:rsid w:val="4D4BA37E"/>
    <w:rsid w:val="4DB8D292"/>
    <w:rsid w:val="4DCDD6A7"/>
    <w:rsid w:val="4E8D1434"/>
    <w:rsid w:val="4EEE971C"/>
    <w:rsid w:val="4EF5E9F4"/>
    <w:rsid w:val="50DE3B63"/>
    <w:rsid w:val="50F07354"/>
    <w:rsid w:val="51EA2A94"/>
    <w:rsid w:val="52C9BF56"/>
    <w:rsid w:val="541D362F"/>
    <w:rsid w:val="549E366C"/>
    <w:rsid w:val="5500E844"/>
    <w:rsid w:val="56448409"/>
    <w:rsid w:val="58D685A3"/>
    <w:rsid w:val="5972A3AE"/>
    <w:rsid w:val="59BFECCA"/>
    <w:rsid w:val="5A132E2F"/>
    <w:rsid w:val="5ABCCB38"/>
    <w:rsid w:val="5CA128F5"/>
    <w:rsid w:val="5CDE5427"/>
    <w:rsid w:val="5E2EE5AD"/>
    <w:rsid w:val="5F0CA8B1"/>
    <w:rsid w:val="5F2AC7FC"/>
    <w:rsid w:val="5F4882E5"/>
    <w:rsid w:val="60FC4CB3"/>
    <w:rsid w:val="6102E310"/>
    <w:rsid w:val="616068AF"/>
    <w:rsid w:val="6214882A"/>
    <w:rsid w:val="6221DBA1"/>
    <w:rsid w:val="623189AC"/>
    <w:rsid w:val="6234097B"/>
    <w:rsid w:val="62698BFB"/>
    <w:rsid w:val="627CD6A6"/>
    <w:rsid w:val="6439EC5A"/>
    <w:rsid w:val="6448B313"/>
    <w:rsid w:val="64757241"/>
    <w:rsid w:val="64DB963C"/>
    <w:rsid w:val="65A91948"/>
    <w:rsid w:val="67BC3918"/>
    <w:rsid w:val="67E40E6D"/>
    <w:rsid w:val="6854A11D"/>
    <w:rsid w:val="6865AA1E"/>
    <w:rsid w:val="691B33BD"/>
    <w:rsid w:val="69A45091"/>
    <w:rsid w:val="6B2E4427"/>
    <w:rsid w:val="6B582120"/>
    <w:rsid w:val="6B85B61A"/>
    <w:rsid w:val="6C098F79"/>
    <w:rsid w:val="6C465964"/>
    <w:rsid w:val="6CEA4B0A"/>
    <w:rsid w:val="6CF2F562"/>
    <w:rsid w:val="6D0BB918"/>
    <w:rsid w:val="6D199D81"/>
    <w:rsid w:val="6D2E806B"/>
    <w:rsid w:val="6D8C3071"/>
    <w:rsid w:val="6E684921"/>
    <w:rsid w:val="6E8FC1E2"/>
    <w:rsid w:val="6EE84B21"/>
    <w:rsid w:val="70956758"/>
    <w:rsid w:val="70B54E4B"/>
    <w:rsid w:val="70EC9638"/>
    <w:rsid w:val="72C1FE9A"/>
    <w:rsid w:val="72CB3279"/>
    <w:rsid w:val="7371797F"/>
    <w:rsid w:val="73F460E6"/>
    <w:rsid w:val="74314E84"/>
    <w:rsid w:val="754C2544"/>
    <w:rsid w:val="759903D6"/>
    <w:rsid w:val="75C4A559"/>
    <w:rsid w:val="7683554B"/>
    <w:rsid w:val="778E3213"/>
    <w:rsid w:val="77B2A160"/>
    <w:rsid w:val="780A0C48"/>
    <w:rsid w:val="7845821A"/>
    <w:rsid w:val="7A1835C1"/>
    <w:rsid w:val="7AEC4492"/>
    <w:rsid w:val="7B3FB3D1"/>
    <w:rsid w:val="7BA45EE2"/>
    <w:rsid w:val="7C2BBC0F"/>
    <w:rsid w:val="7C8F4FAB"/>
    <w:rsid w:val="7D468837"/>
    <w:rsid w:val="7DB8BA11"/>
    <w:rsid w:val="7DFB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E6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aliases w:val="Table_G"/>
    <w:basedOn w:val="Normal"/>
    <w:next w:val="Normal"/>
    <w:link w:val="Heading1Char"/>
    <w:uiPriority w:val="9"/>
    <w:qFormat/>
    <w:rsid w:val="005C69C9"/>
    <w:pPr>
      <w:keepNext/>
      <w:keepLines/>
      <w:spacing w:before="240" w:after="240"/>
      <w:outlineLvl w:val="0"/>
    </w:pPr>
    <w:rPr>
      <w:rFonts w:eastAsiaTheme="majorEastAsia" w:cstheme="majorBidi"/>
      <w:color w:val="004270"/>
      <w:sz w:val="36"/>
      <w:szCs w:val="36"/>
    </w:rPr>
  </w:style>
  <w:style w:type="paragraph" w:styleId="Heading2">
    <w:name w:val="heading 2"/>
    <w:basedOn w:val="Normal"/>
    <w:next w:val="Normal"/>
    <w:link w:val="Heading2Char"/>
    <w:uiPriority w:val="9"/>
    <w:unhideWhenUsed/>
    <w:qFormat/>
    <w:rsid w:val="005C69C9"/>
    <w:pPr>
      <w:keepNext/>
      <w:keepLines/>
      <w:spacing w:before="240"/>
      <w:outlineLvl w:val="1"/>
    </w:pPr>
    <w:rPr>
      <w:rFonts w:eastAsiaTheme="majorEastAsia" w:cstheme="majorBidi"/>
      <w:color w:val="004270"/>
      <w:sz w:val="28"/>
      <w:szCs w:val="28"/>
    </w:rPr>
  </w:style>
  <w:style w:type="paragraph" w:styleId="Heading3">
    <w:name w:val="heading 3"/>
    <w:basedOn w:val="Normal"/>
    <w:next w:val="Normal"/>
    <w:link w:val="Heading3Char"/>
    <w:uiPriority w:val="9"/>
    <w:unhideWhenUsed/>
    <w:qFormat/>
    <w:rsid w:val="009D1B30"/>
    <w:pPr>
      <w:keepNext/>
      <w:outlineLvl w:val="2"/>
    </w:pPr>
    <w:rPr>
      <w:b/>
      <w:bCs/>
    </w:rPr>
  </w:style>
  <w:style w:type="paragraph" w:styleId="Heading4">
    <w:name w:val="heading 4"/>
    <w:basedOn w:val="Normal"/>
    <w:next w:val="Normal"/>
    <w:link w:val="Heading4Char"/>
    <w:semiHidden/>
    <w:qFormat/>
    <w:rsid w:val="00FE4078"/>
    <w:pPr>
      <w:suppressAutoHyphens/>
      <w:spacing w:after="0"/>
      <w:outlineLvl w:val="3"/>
    </w:pPr>
    <w:rPr>
      <w:rFonts w:ascii="Times New Roman" w:eastAsia="Times New Roman" w:hAnsi="Times New Roman" w:cs="Times New Roman"/>
      <w:color w:val="auto"/>
      <w:sz w:val="20"/>
      <w:szCs w:val="20"/>
      <w:lang w:val="en-GB"/>
    </w:rPr>
  </w:style>
  <w:style w:type="paragraph" w:styleId="Heading5">
    <w:name w:val="heading 5"/>
    <w:basedOn w:val="Normal"/>
    <w:next w:val="Normal"/>
    <w:link w:val="Heading5Char"/>
    <w:semiHidden/>
    <w:qFormat/>
    <w:rsid w:val="00FE4078"/>
    <w:pPr>
      <w:suppressAutoHyphens/>
      <w:spacing w:after="0"/>
      <w:outlineLvl w:val="4"/>
    </w:pPr>
    <w:rPr>
      <w:rFonts w:ascii="Times New Roman" w:eastAsia="Times New Roman" w:hAnsi="Times New Roman" w:cs="Times New Roman"/>
      <w:color w:val="auto"/>
      <w:sz w:val="20"/>
      <w:szCs w:val="20"/>
      <w:lang w:val="en-GB"/>
    </w:rPr>
  </w:style>
  <w:style w:type="paragraph" w:styleId="Heading6">
    <w:name w:val="heading 6"/>
    <w:basedOn w:val="Normal"/>
    <w:next w:val="Normal"/>
    <w:link w:val="Heading6Char"/>
    <w:semiHidden/>
    <w:qFormat/>
    <w:rsid w:val="00FE4078"/>
    <w:pPr>
      <w:suppressAutoHyphens/>
      <w:spacing w:after="0"/>
      <w:outlineLvl w:val="5"/>
    </w:pPr>
    <w:rPr>
      <w:rFonts w:ascii="Times New Roman" w:eastAsia="Times New Roman" w:hAnsi="Times New Roman" w:cs="Times New Roman"/>
      <w:color w:val="auto"/>
      <w:sz w:val="20"/>
      <w:szCs w:val="20"/>
      <w:lang w:val="en-GB"/>
    </w:rPr>
  </w:style>
  <w:style w:type="paragraph" w:styleId="Heading7">
    <w:name w:val="heading 7"/>
    <w:basedOn w:val="Normal"/>
    <w:next w:val="Normal"/>
    <w:link w:val="Heading7Char"/>
    <w:semiHidden/>
    <w:qFormat/>
    <w:rsid w:val="00FE4078"/>
    <w:pPr>
      <w:suppressAutoHyphens/>
      <w:spacing w:after="0"/>
      <w:outlineLvl w:val="6"/>
    </w:pPr>
    <w:rPr>
      <w:rFonts w:ascii="Times New Roman" w:eastAsia="Times New Roman" w:hAnsi="Times New Roman" w:cs="Times New Roman"/>
      <w:color w:val="auto"/>
      <w:sz w:val="20"/>
      <w:szCs w:val="20"/>
      <w:lang w:val="en-GB"/>
    </w:rPr>
  </w:style>
  <w:style w:type="paragraph" w:styleId="Heading8">
    <w:name w:val="heading 8"/>
    <w:basedOn w:val="Normal"/>
    <w:next w:val="Normal"/>
    <w:link w:val="Heading8Char"/>
    <w:semiHidden/>
    <w:qFormat/>
    <w:rsid w:val="00FE4078"/>
    <w:pPr>
      <w:suppressAutoHyphens/>
      <w:spacing w:after="0"/>
      <w:outlineLvl w:val="7"/>
    </w:pPr>
    <w:rPr>
      <w:rFonts w:ascii="Times New Roman" w:eastAsia="Times New Roman" w:hAnsi="Times New Roman" w:cs="Times New Roman"/>
      <w:color w:val="auto"/>
      <w:sz w:val="20"/>
      <w:szCs w:val="20"/>
      <w:lang w:val="en-GB"/>
    </w:rPr>
  </w:style>
  <w:style w:type="paragraph" w:styleId="Heading9">
    <w:name w:val="heading 9"/>
    <w:basedOn w:val="Normal"/>
    <w:next w:val="Normal"/>
    <w:link w:val="Heading9Char"/>
    <w:semiHidden/>
    <w:qFormat/>
    <w:rsid w:val="00FE4078"/>
    <w:pPr>
      <w:suppressAutoHyphens/>
      <w:spacing w:after="0"/>
      <w:outlineLvl w:val="8"/>
    </w:pPr>
    <w:rPr>
      <w:rFonts w:ascii="Times New Roman" w:eastAsia="Times New Roman" w:hAnsi="Times New Roman" w:cs="Times New Roman"/>
      <w:color w:val="auto"/>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aliases w:val="Table_G Char"/>
    <w:basedOn w:val="DefaultParagraphFont"/>
    <w:link w:val="Heading1"/>
    <w:uiPriority w:val="9"/>
    <w:rsid w:val="005C69C9"/>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9056F4"/>
    <w:pPr>
      <w:tabs>
        <w:tab w:val="right" w:leader="dot" w:pos="8296"/>
      </w:tabs>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aliases w:val="6_G"/>
    <w:basedOn w:val="Normal"/>
    <w:link w:val="HeaderChar"/>
    <w:uiPriority w:val="99"/>
    <w:unhideWhenUsed/>
    <w:qFormat/>
    <w:rsid w:val="004A2375"/>
    <w:pPr>
      <w:tabs>
        <w:tab w:val="center" w:pos="4513"/>
        <w:tab w:val="right" w:pos="9026"/>
      </w:tabs>
    </w:pPr>
  </w:style>
  <w:style w:type="character" w:customStyle="1" w:styleId="HeaderChar">
    <w:name w:val="Header Char"/>
    <w:aliases w:val="6_G Char"/>
    <w:basedOn w:val="DefaultParagraphFont"/>
    <w:link w:val="Header"/>
    <w:uiPriority w:val="99"/>
    <w:rsid w:val="004A2375"/>
  </w:style>
  <w:style w:type="paragraph" w:styleId="Footer">
    <w:name w:val="footer"/>
    <w:aliases w:val="3_G"/>
    <w:basedOn w:val="Normal"/>
    <w:link w:val="FooterChar"/>
    <w:uiPriority w:val="99"/>
    <w:unhideWhenUsed/>
    <w:qFormat/>
    <w:rsid w:val="004A2375"/>
    <w:pPr>
      <w:tabs>
        <w:tab w:val="center" w:pos="4513"/>
        <w:tab w:val="right" w:pos="9026"/>
      </w:tabs>
    </w:pPr>
  </w:style>
  <w:style w:type="character" w:customStyle="1" w:styleId="FooterChar">
    <w:name w:val="Footer Char"/>
    <w:aliases w:val="3_G Char"/>
    <w:basedOn w:val="DefaultParagraphFont"/>
    <w:link w:val="Footer"/>
    <w:uiPriority w:val="99"/>
    <w:rsid w:val="004A2375"/>
  </w:style>
  <w:style w:type="character" w:customStyle="1" w:styleId="Heading2Char">
    <w:name w:val="Heading 2 Char"/>
    <w:basedOn w:val="DefaultParagraphFont"/>
    <w:link w:val="Heading2"/>
    <w:uiPriority w:val="9"/>
    <w:rsid w:val="005C69C9"/>
    <w:rPr>
      <w:rFonts w:ascii="Arial" w:eastAsiaTheme="majorEastAsia" w:hAnsi="Arial" w:cstheme="majorBidi"/>
      <w:color w:val="004270"/>
      <w:sz w:val="28"/>
      <w:szCs w:val="28"/>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C69C9"/>
    <w:rPr>
      <w:rFonts w:ascii="Arial" w:hAnsi="Arial"/>
      <w:b/>
      <w:bCs/>
      <w:color w:val="000000" w:themeColor="text1"/>
      <w:sz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F60E75"/>
    <w:rPr>
      <w:color w:val="605E5C"/>
      <w:shd w:val="clear" w:color="auto" w:fill="E1DFDD"/>
    </w:rPr>
  </w:style>
  <w:style w:type="paragraph" w:styleId="Revision">
    <w:name w:val="Revision"/>
    <w:hidden/>
    <w:uiPriority w:val="99"/>
    <w:semiHidden/>
    <w:rsid w:val="00B720D2"/>
    <w:rPr>
      <w:rFonts w:ascii="Arial" w:hAnsi="Arial"/>
      <w:color w:val="000000" w:themeColor="text1"/>
      <w:sz w:val="22"/>
      <w:lang w:val="en-AU"/>
    </w:rPr>
  </w:style>
  <w:style w:type="character" w:styleId="FollowedHyperlink">
    <w:name w:val="FollowedHyperlink"/>
    <w:basedOn w:val="DefaultParagraphFont"/>
    <w:uiPriority w:val="99"/>
    <w:semiHidden/>
    <w:unhideWhenUsed/>
    <w:rsid w:val="00450612"/>
    <w:rPr>
      <w:color w:val="800080" w:themeColor="followedHyperlink"/>
      <w:u w:val="single"/>
    </w:rPr>
  </w:style>
  <w:style w:type="character" w:styleId="Emphasis">
    <w:name w:val="Emphasis"/>
    <w:basedOn w:val="DefaultParagraphFont"/>
    <w:uiPriority w:val="20"/>
    <w:qFormat/>
    <w:rsid w:val="00733617"/>
    <w:rPr>
      <w:i/>
      <w:iCs/>
    </w:rPr>
  </w:style>
  <w:style w:type="paragraph" w:customStyle="1" w:styleId="Default">
    <w:name w:val="Default"/>
    <w:rsid w:val="00EE1A9B"/>
    <w:pPr>
      <w:autoSpaceDE w:val="0"/>
      <w:autoSpaceDN w:val="0"/>
      <w:adjustRightInd w:val="0"/>
    </w:pPr>
    <w:rPr>
      <w:rFonts w:ascii="Trade Gothic Next Rounded" w:eastAsiaTheme="minorHAnsi" w:hAnsi="Trade Gothic Next Rounded" w:cs="Trade Gothic Next Rounded"/>
      <w:color w:val="000000"/>
      <w:lang w:val="en-AU"/>
      <w14:ligatures w14:val="standardContextual"/>
    </w:rPr>
  </w:style>
  <w:style w:type="character" w:customStyle="1" w:styleId="SingleTxtGChar">
    <w:name w:val="_ Single Txt_G Char"/>
    <w:basedOn w:val="DefaultParagraphFont"/>
    <w:link w:val="SingleTxtG"/>
    <w:locked/>
    <w:rsid w:val="00EE1A9B"/>
    <w:rPr>
      <w:lang w:val="en-GB"/>
    </w:rPr>
  </w:style>
  <w:style w:type="paragraph" w:customStyle="1" w:styleId="SingleTxtG">
    <w:name w:val="_ Single Txt_G"/>
    <w:basedOn w:val="Normal"/>
    <w:link w:val="SingleTxtGChar"/>
    <w:qFormat/>
    <w:rsid w:val="00EE1A9B"/>
    <w:pPr>
      <w:suppressAutoHyphens/>
      <w:spacing w:line="240" w:lineRule="atLeast"/>
      <w:ind w:left="1134" w:right="1134"/>
      <w:jc w:val="both"/>
    </w:pPr>
    <w:rPr>
      <w:rFonts w:asciiTheme="minorHAnsi" w:hAnsiTheme="minorHAnsi"/>
      <w:color w:val="auto"/>
      <w:sz w:val="24"/>
      <w:lang w:val="en-GB"/>
    </w:rPr>
  </w:style>
  <w:style w:type="character" w:styleId="UnresolvedMention">
    <w:name w:val="Unresolved Mention"/>
    <w:basedOn w:val="DefaultParagraphFont"/>
    <w:uiPriority w:val="99"/>
    <w:semiHidden/>
    <w:unhideWhenUsed/>
    <w:rsid w:val="00EF35A6"/>
    <w:rPr>
      <w:color w:val="605E5C"/>
      <w:shd w:val="clear" w:color="auto" w:fill="E1DFDD"/>
    </w:rPr>
  </w:style>
  <w:style w:type="paragraph" w:customStyle="1" w:styleId="H1G">
    <w:name w:val="_ H_1_G"/>
    <w:basedOn w:val="Normal"/>
    <w:next w:val="Normal"/>
    <w:qFormat/>
    <w:rsid w:val="005B3E28"/>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color w:val="auto"/>
      <w:sz w:val="24"/>
      <w:szCs w:val="20"/>
      <w:lang w:val="en-GB"/>
    </w:rPr>
  </w:style>
  <w:style w:type="paragraph" w:customStyle="1" w:styleId="H23G">
    <w:name w:val="_ H_2/3_G"/>
    <w:basedOn w:val="Normal"/>
    <w:next w:val="Normal"/>
    <w:qFormat/>
    <w:rsid w:val="005B3E28"/>
    <w:pPr>
      <w:keepNext/>
      <w:keepLines/>
      <w:tabs>
        <w:tab w:val="right" w:pos="851"/>
      </w:tabs>
      <w:suppressAutoHyphens/>
      <w:spacing w:before="240" w:line="240" w:lineRule="exact"/>
      <w:ind w:left="1134" w:right="1134" w:hanging="1134"/>
    </w:pPr>
    <w:rPr>
      <w:rFonts w:ascii="Times New Roman" w:eastAsia="Times New Roman" w:hAnsi="Times New Roman" w:cs="Times New Roman"/>
      <w:b/>
      <w:color w:val="auto"/>
      <w:sz w:val="20"/>
      <w:szCs w:val="20"/>
      <w:lang w:val="en-GB"/>
    </w:rPr>
  </w:style>
  <w:style w:type="paragraph" w:styleId="NormalWeb">
    <w:name w:val="Normal (Web)"/>
    <w:basedOn w:val="Normal"/>
    <w:uiPriority w:val="99"/>
    <w:semiHidden/>
    <w:unhideWhenUsed/>
    <w:rsid w:val="00DF695A"/>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Heading4Char">
    <w:name w:val="Heading 4 Char"/>
    <w:basedOn w:val="DefaultParagraphFont"/>
    <w:link w:val="Heading4"/>
    <w:semiHidden/>
    <w:rsid w:val="00FE4078"/>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semiHidden/>
    <w:rsid w:val="00FE4078"/>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semiHidden/>
    <w:rsid w:val="00FE4078"/>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semiHidden/>
    <w:rsid w:val="00FE4078"/>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semiHidden/>
    <w:rsid w:val="00FE4078"/>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semiHidden/>
    <w:rsid w:val="00FE4078"/>
    <w:rPr>
      <w:rFonts w:ascii="Times New Roman" w:eastAsia="Times New Roman" w:hAnsi="Times New Roman" w:cs="Times New Roman"/>
      <w:sz w:val="20"/>
      <w:szCs w:val="20"/>
      <w:lang w:val="en-GB"/>
    </w:rPr>
  </w:style>
  <w:style w:type="paragraph" w:customStyle="1" w:styleId="HMG">
    <w:name w:val="_ H __M_G"/>
    <w:basedOn w:val="Normal"/>
    <w:next w:val="Normal"/>
    <w:qFormat/>
    <w:rsid w:val="00FE4078"/>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color w:val="auto"/>
      <w:sz w:val="34"/>
      <w:szCs w:val="20"/>
      <w:lang w:val="en-GB"/>
    </w:rPr>
  </w:style>
  <w:style w:type="paragraph" w:customStyle="1" w:styleId="HChG">
    <w:name w:val="_ H _Ch_G"/>
    <w:basedOn w:val="Normal"/>
    <w:next w:val="Normal"/>
    <w:qFormat/>
    <w:rsid w:val="00FE4078"/>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color w:val="auto"/>
      <w:sz w:val="28"/>
      <w:szCs w:val="20"/>
      <w:lang w:val="en-GB"/>
    </w:rPr>
  </w:style>
  <w:style w:type="character" w:styleId="EndnoteReference">
    <w:name w:val="endnote reference"/>
    <w:aliases w:val="1_G"/>
    <w:basedOn w:val="FootnoteReference"/>
    <w:qFormat/>
    <w:rsid w:val="00FE4078"/>
    <w:rPr>
      <w:rFonts w:ascii="Times New Roman" w:hAnsi="Times New Roman"/>
      <w:sz w:val="18"/>
      <w:vertAlign w:val="superscript"/>
    </w:rPr>
  </w:style>
  <w:style w:type="paragraph" w:customStyle="1" w:styleId="SMG">
    <w:name w:val="__S_M_G"/>
    <w:basedOn w:val="Normal"/>
    <w:next w:val="Normal"/>
    <w:rsid w:val="00FE4078"/>
    <w:pPr>
      <w:keepNext/>
      <w:keepLines/>
      <w:suppressAutoHyphens/>
      <w:spacing w:before="240" w:after="240" w:line="420" w:lineRule="exact"/>
      <w:ind w:left="1134" w:right="1134"/>
    </w:pPr>
    <w:rPr>
      <w:rFonts w:ascii="Times New Roman" w:eastAsia="Times New Roman" w:hAnsi="Times New Roman" w:cs="Times New Roman"/>
      <w:b/>
      <w:color w:val="auto"/>
      <w:sz w:val="40"/>
      <w:szCs w:val="20"/>
      <w:lang w:val="en-GB"/>
    </w:rPr>
  </w:style>
  <w:style w:type="paragraph" w:customStyle="1" w:styleId="SLG">
    <w:name w:val="__S_L_G"/>
    <w:basedOn w:val="Normal"/>
    <w:next w:val="Normal"/>
    <w:rsid w:val="00FE4078"/>
    <w:pPr>
      <w:keepNext/>
      <w:keepLines/>
      <w:suppressAutoHyphens/>
      <w:spacing w:before="240" w:after="240" w:line="580" w:lineRule="exact"/>
      <w:ind w:left="1134" w:right="1134"/>
    </w:pPr>
    <w:rPr>
      <w:rFonts w:ascii="Times New Roman" w:eastAsia="Times New Roman" w:hAnsi="Times New Roman" w:cs="Times New Roman"/>
      <w:b/>
      <w:color w:val="auto"/>
      <w:sz w:val="56"/>
      <w:szCs w:val="20"/>
      <w:lang w:val="en-GB"/>
    </w:rPr>
  </w:style>
  <w:style w:type="paragraph" w:customStyle="1" w:styleId="SSG">
    <w:name w:val="__S_S_G"/>
    <w:basedOn w:val="Normal"/>
    <w:next w:val="Normal"/>
    <w:rsid w:val="00FE4078"/>
    <w:pPr>
      <w:keepNext/>
      <w:keepLines/>
      <w:suppressAutoHyphens/>
      <w:spacing w:before="240" w:after="240" w:line="300" w:lineRule="exact"/>
      <w:ind w:left="1134" w:right="1134"/>
    </w:pPr>
    <w:rPr>
      <w:rFonts w:ascii="Times New Roman" w:eastAsia="Times New Roman" w:hAnsi="Times New Roman" w:cs="Times New Roman"/>
      <w:b/>
      <w:color w:val="auto"/>
      <w:sz w:val="28"/>
      <w:szCs w:val="20"/>
      <w:lang w:val="en-GB"/>
    </w:rPr>
  </w:style>
  <w:style w:type="paragraph" w:styleId="EndnoteText">
    <w:name w:val="endnote text"/>
    <w:aliases w:val="2_G"/>
    <w:basedOn w:val="FootnoteText"/>
    <w:link w:val="EndnoteTextChar"/>
    <w:qFormat/>
    <w:rsid w:val="00FE4078"/>
    <w:pPr>
      <w:tabs>
        <w:tab w:val="right" w:pos="1021"/>
      </w:tabs>
      <w:suppressAutoHyphens/>
      <w:spacing w:after="0" w:line="220" w:lineRule="exact"/>
      <w:ind w:left="1134" w:right="1134" w:hanging="1134"/>
    </w:pPr>
    <w:rPr>
      <w:rFonts w:ascii="Times New Roman" w:eastAsia="Times New Roman" w:hAnsi="Times New Roman" w:cs="Times New Roman"/>
      <w:color w:val="auto"/>
      <w:sz w:val="18"/>
      <w:szCs w:val="20"/>
      <w:lang w:val="en-GB"/>
    </w:rPr>
  </w:style>
  <w:style w:type="character" w:customStyle="1" w:styleId="EndnoteTextChar">
    <w:name w:val="Endnote Text Char"/>
    <w:aliases w:val="2_G Char"/>
    <w:basedOn w:val="DefaultParagraphFont"/>
    <w:link w:val="EndnoteText"/>
    <w:rsid w:val="00FE4078"/>
    <w:rPr>
      <w:rFonts w:ascii="Times New Roman" w:eastAsia="Times New Roman" w:hAnsi="Times New Roman" w:cs="Times New Roman"/>
      <w:sz w:val="18"/>
      <w:szCs w:val="20"/>
      <w:lang w:val="en-GB"/>
    </w:rPr>
  </w:style>
  <w:style w:type="character" w:styleId="PageNumber">
    <w:name w:val="page number"/>
    <w:aliases w:val="7_G"/>
    <w:basedOn w:val="DefaultParagraphFont"/>
    <w:semiHidden/>
    <w:rsid w:val="00FE4078"/>
    <w:rPr>
      <w:rFonts w:ascii="Times New Roman" w:hAnsi="Times New Roman"/>
      <w:b/>
      <w:sz w:val="18"/>
    </w:rPr>
  </w:style>
  <w:style w:type="paragraph" w:customStyle="1" w:styleId="XLargeG">
    <w:name w:val="__XLarge_G"/>
    <w:basedOn w:val="Normal"/>
    <w:next w:val="Normal"/>
    <w:rsid w:val="00FE4078"/>
    <w:pPr>
      <w:keepNext/>
      <w:keepLines/>
      <w:suppressAutoHyphens/>
      <w:spacing w:before="240" w:after="240" w:line="420" w:lineRule="exact"/>
      <w:ind w:left="1134" w:right="1134"/>
    </w:pPr>
    <w:rPr>
      <w:rFonts w:ascii="Times New Roman" w:eastAsia="Times New Roman" w:hAnsi="Times New Roman" w:cs="Times New Roman"/>
      <w:b/>
      <w:color w:val="auto"/>
      <w:sz w:val="40"/>
      <w:szCs w:val="20"/>
      <w:lang w:val="en-GB"/>
    </w:rPr>
  </w:style>
  <w:style w:type="paragraph" w:customStyle="1" w:styleId="Bullet1G">
    <w:name w:val="_Bullet 1_G"/>
    <w:basedOn w:val="Normal"/>
    <w:qFormat/>
    <w:rsid w:val="00FE4078"/>
    <w:pPr>
      <w:numPr>
        <w:numId w:val="12"/>
      </w:numPr>
      <w:suppressAutoHyphens/>
      <w:spacing w:line="240" w:lineRule="atLeast"/>
      <w:ind w:right="1134"/>
      <w:jc w:val="both"/>
    </w:pPr>
    <w:rPr>
      <w:rFonts w:ascii="Times New Roman" w:eastAsia="Times New Roman" w:hAnsi="Times New Roman" w:cs="Times New Roman"/>
      <w:color w:val="auto"/>
      <w:sz w:val="20"/>
      <w:szCs w:val="20"/>
      <w:lang w:val="en-GB"/>
    </w:rPr>
  </w:style>
  <w:style w:type="paragraph" w:customStyle="1" w:styleId="Bullet2G">
    <w:name w:val="_Bullet 2_G"/>
    <w:basedOn w:val="Normal"/>
    <w:qFormat/>
    <w:rsid w:val="00FE4078"/>
    <w:pPr>
      <w:numPr>
        <w:numId w:val="13"/>
      </w:numPr>
      <w:suppressAutoHyphens/>
      <w:spacing w:line="240" w:lineRule="atLeast"/>
      <w:ind w:right="1134"/>
      <w:jc w:val="both"/>
    </w:pPr>
    <w:rPr>
      <w:rFonts w:ascii="Times New Roman" w:eastAsia="Times New Roman" w:hAnsi="Times New Roman" w:cs="Times New Roman"/>
      <w:color w:val="auto"/>
      <w:sz w:val="20"/>
      <w:szCs w:val="20"/>
      <w:lang w:val="en-GB"/>
    </w:rPr>
  </w:style>
  <w:style w:type="paragraph" w:customStyle="1" w:styleId="H4G">
    <w:name w:val="_ H_4_G"/>
    <w:basedOn w:val="Normal"/>
    <w:next w:val="Normal"/>
    <w:qFormat/>
    <w:rsid w:val="00FE4078"/>
    <w:pPr>
      <w:keepNext/>
      <w:keepLines/>
      <w:tabs>
        <w:tab w:val="right" w:pos="851"/>
      </w:tabs>
      <w:suppressAutoHyphens/>
      <w:spacing w:before="240" w:line="240" w:lineRule="exact"/>
      <w:ind w:left="1134" w:right="1134" w:hanging="1134"/>
    </w:pPr>
    <w:rPr>
      <w:rFonts w:ascii="Times New Roman" w:eastAsia="Times New Roman" w:hAnsi="Times New Roman" w:cs="Times New Roman"/>
      <w:i/>
      <w:color w:val="auto"/>
      <w:sz w:val="20"/>
      <w:szCs w:val="20"/>
      <w:lang w:val="en-GB"/>
    </w:rPr>
  </w:style>
  <w:style w:type="paragraph" w:customStyle="1" w:styleId="H56G">
    <w:name w:val="_ H_5/6_G"/>
    <w:basedOn w:val="Normal"/>
    <w:next w:val="Normal"/>
    <w:qFormat/>
    <w:rsid w:val="00FE4078"/>
    <w:pPr>
      <w:keepNext/>
      <w:keepLines/>
      <w:tabs>
        <w:tab w:val="right" w:pos="851"/>
      </w:tabs>
      <w:suppressAutoHyphens/>
      <w:spacing w:before="240" w:line="240" w:lineRule="exact"/>
      <w:ind w:left="1134" w:right="1134" w:hanging="1134"/>
    </w:pPr>
    <w:rPr>
      <w:rFonts w:ascii="Times New Roman" w:eastAsia="Times New Roman" w:hAnsi="Times New Roman" w:cs="Times New Roman"/>
      <w:color w:val="auto"/>
      <w:sz w:val="20"/>
      <w:szCs w:val="20"/>
      <w:lang w:val="en-GB"/>
    </w:rPr>
  </w:style>
  <w:style w:type="paragraph" w:customStyle="1" w:styleId="ParNoG">
    <w:name w:val="_ParNo_G"/>
    <w:basedOn w:val="SingleTxtG"/>
    <w:qFormat/>
    <w:rsid w:val="00FE4078"/>
    <w:pPr>
      <w:numPr>
        <w:numId w:val="14"/>
      </w:numPr>
      <w:kinsoku w:val="0"/>
      <w:overflowPunct w:val="0"/>
      <w:autoSpaceDE w:val="0"/>
      <w:autoSpaceDN w:val="0"/>
      <w:adjustRightInd w:val="0"/>
      <w:snapToGrid w:val="0"/>
    </w:pPr>
    <w:rPr>
      <w:rFonts w:ascii="Times New Roman" w:eastAsia="Times New Roman" w:hAnsi="Times New Roman" w:cs="Times New Roman"/>
      <w:sz w:val="20"/>
      <w:szCs w:val="20"/>
    </w:rPr>
  </w:style>
  <w:style w:type="character" w:customStyle="1" w:styleId="m-758848175382202831gmail-il">
    <w:name w:val="m_-758848175382202831gmail-il"/>
    <w:basedOn w:val="DefaultParagraphFont"/>
    <w:rsid w:val="00FE4078"/>
  </w:style>
  <w:style w:type="paragraph" w:customStyle="1" w:styleId="Rom1">
    <w:name w:val="Rom1"/>
    <w:basedOn w:val="Normal"/>
    <w:rsid w:val="00FE4078"/>
    <w:pPr>
      <w:numPr>
        <w:numId w:val="15"/>
      </w:numPr>
      <w:tabs>
        <w:tab w:val="clear" w:pos="1440"/>
      </w:tabs>
      <w:spacing w:after="240"/>
      <w:ind w:left="1135" w:hanging="284"/>
    </w:pPr>
    <w:rPr>
      <w:rFonts w:ascii="Times New Roman" w:eastAsia="Times New Roman" w:hAnsi="Times New Roman" w:cs="Times New Roman"/>
      <w:color w:val="auto"/>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2558">
      <w:bodyDiv w:val="1"/>
      <w:marLeft w:val="0"/>
      <w:marRight w:val="0"/>
      <w:marTop w:val="0"/>
      <w:marBottom w:val="0"/>
      <w:divBdr>
        <w:top w:val="none" w:sz="0" w:space="0" w:color="auto"/>
        <w:left w:val="none" w:sz="0" w:space="0" w:color="auto"/>
        <w:bottom w:val="none" w:sz="0" w:space="0" w:color="auto"/>
        <w:right w:val="none" w:sz="0" w:space="0" w:color="auto"/>
      </w:divBdr>
    </w:div>
    <w:div w:id="143546068">
      <w:bodyDiv w:val="1"/>
      <w:marLeft w:val="0"/>
      <w:marRight w:val="0"/>
      <w:marTop w:val="0"/>
      <w:marBottom w:val="0"/>
      <w:divBdr>
        <w:top w:val="none" w:sz="0" w:space="0" w:color="auto"/>
        <w:left w:val="none" w:sz="0" w:space="0" w:color="auto"/>
        <w:bottom w:val="none" w:sz="0" w:space="0" w:color="auto"/>
        <w:right w:val="none" w:sz="0" w:space="0" w:color="auto"/>
      </w:divBdr>
    </w:div>
    <w:div w:id="152189438">
      <w:bodyDiv w:val="1"/>
      <w:marLeft w:val="0"/>
      <w:marRight w:val="0"/>
      <w:marTop w:val="0"/>
      <w:marBottom w:val="0"/>
      <w:divBdr>
        <w:top w:val="none" w:sz="0" w:space="0" w:color="auto"/>
        <w:left w:val="none" w:sz="0" w:space="0" w:color="auto"/>
        <w:bottom w:val="none" w:sz="0" w:space="0" w:color="auto"/>
        <w:right w:val="none" w:sz="0" w:space="0" w:color="auto"/>
      </w:divBdr>
    </w:div>
    <w:div w:id="525368909">
      <w:bodyDiv w:val="1"/>
      <w:marLeft w:val="0"/>
      <w:marRight w:val="0"/>
      <w:marTop w:val="0"/>
      <w:marBottom w:val="0"/>
      <w:divBdr>
        <w:top w:val="none" w:sz="0" w:space="0" w:color="auto"/>
        <w:left w:val="none" w:sz="0" w:space="0" w:color="auto"/>
        <w:bottom w:val="none" w:sz="0" w:space="0" w:color="auto"/>
        <w:right w:val="none" w:sz="0" w:space="0" w:color="auto"/>
      </w:divBdr>
    </w:div>
    <w:div w:id="532157534">
      <w:bodyDiv w:val="1"/>
      <w:marLeft w:val="0"/>
      <w:marRight w:val="0"/>
      <w:marTop w:val="0"/>
      <w:marBottom w:val="0"/>
      <w:divBdr>
        <w:top w:val="none" w:sz="0" w:space="0" w:color="auto"/>
        <w:left w:val="none" w:sz="0" w:space="0" w:color="auto"/>
        <w:bottom w:val="none" w:sz="0" w:space="0" w:color="auto"/>
        <w:right w:val="none" w:sz="0" w:space="0" w:color="auto"/>
      </w:divBdr>
    </w:div>
    <w:div w:id="554777016">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760179444">
      <w:bodyDiv w:val="1"/>
      <w:marLeft w:val="0"/>
      <w:marRight w:val="0"/>
      <w:marTop w:val="0"/>
      <w:marBottom w:val="0"/>
      <w:divBdr>
        <w:top w:val="none" w:sz="0" w:space="0" w:color="auto"/>
        <w:left w:val="none" w:sz="0" w:space="0" w:color="auto"/>
        <w:bottom w:val="none" w:sz="0" w:space="0" w:color="auto"/>
        <w:right w:val="none" w:sz="0" w:space="0" w:color="auto"/>
      </w:divBdr>
    </w:div>
    <w:div w:id="792867144">
      <w:bodyDiv w:val="1"/>
      <w:marLeft w:val="0"/>
      <w:marRight w:val="0"/>
      <w:marTop w:val="0"/>
      <w:marBottom w:val="0"/>
      <w:divBdr>
        <w:top w:val="none" w:sz="0" w:space="0" w:color="auto"/>
        <w:left w:val="none" w:sz="0" w:space="0" w:color="auto"/>
        <w:bottom w:val="none" w:sz="0" w:space="0" w:color="auto"/>
        <w:right w:val="none" w:sz="0" w:space="0" w:color="auto"/>
      </w:divBdr>
    </w:div>
    <w:div w:id="796870537">
      <w:bodyDiv w:val="1"/>
      <w:marLeft w:val="0"/>
      <w:marRight w:val="0"/>
      <w:marTop w:val="0"/>
      <w:marBottom w:val="0"/>
      <w:divBdr>
        <w:top w:val="none" w:sz="0" w:space="0" w:color="auto"/>
        <w:left w:val="none" w:sz="0" w:space="0" w:color="auto"/>
        <w:bottom w:val="none" w:sz="0" w:space="0" w:color="auto"/>
        <w:right w:val="none" w:sz="0" w:space="0" w:color="auto"/>
      </w:divBdr>
    </w:div>
    <w:div w:id="841890269">
      <w:bodyDiv w:val="1"/>
      <w:marLeft w:val="0"/>
      <w:marRight w:val="0"/>
      <w:marTop w:val="0"/>
      <w:marBottom w:val="0"/>
      <w:divBdr>
        <w:top w:val="none" w:sz="0" w:space="0" w:color="auto"/>
        <w:left w:val="none" w:sz="0" w:space="0" w:color="auto"/>
        <w:bottom w:val="none" w:sz="0" w:space="0" w:color="auto"/>
        <w:right w:val="none" w:sz="0" w:space="0" w:color="auto"/>
      </w:divBdr>
    </w:div>
    <w:div w:id="879708687">
      <w:bodyDiv w:val="1"/>
      <w:marLeft w:val="0"/>
      <w:marRight w:val="0"/>
      <w:marTop w:val="0"/>
      <w:marBottom w:val="0"/>
      <w:divBdr>
        <w:top w:val="none" w:sz="0" w:space="0" w:color="auto"/>
        <w:left w:val="none" w:sz="0" w:space="0" w:color="auto"/>
        <w:bottom w:val="none" w:sz="0" w:space="0" w:color="auto"/>
        <w:right w:val="none" w:sz="0" w:space="0" w:color="auto"/>
      </w:divBdr>
    </w:div>
    <w:div w:id="923414219">
      <w:bodyDiv w:val="1"/>
      <w:marLeft w:val="0"/>
      <w:marRight w:val="0"/>
      <w:marTop w:val="0"/>
      <w:marBottom w:val="0"/>
      <w:divBdr>
        <w:top w:val="none" w:sz="0" w:space="0" w:color="auto"/>
        <w:left w:val="none" w:sz="0" w:space="0" w:color="auto"/>
        <w:bottom w:val="none" w:sz="0" w:space="0" w:color="auto"/>
        <w:right w:val="none" w:sz="0" w:space="0" w:color="auto"/>
      </w:divBdr>
    </w:div>
    <w:div w:id="928082313">
      <w:bodyDiv w:val="1"/>
      <w:marLeft w:val="0"/>
      <w:marRight w:val="0"/>
      <w:marTop w:val="0"/>
      <w:marBottom w:val="0"/>
      <w:divBdr>
        <w:top w:val="none" w:sz="0" w:space="0" w:color="auto"/>
        <w:left w:val="none" w:sz="0" w:space="0" w:color="auto"/>
        <w:bottom w:val="none" w:sz="0" w:space="0" w:color="auto"/>
        <w:right w:val="none" w:sz="0" w:space="0" w:color="auto"/>
      </w:divBdr>
    </w:div>
    <w:div w:id="1050567534">
      <w:bodyDiv w:val="1"/>
      <w:marLeft w:val="0"/>
      <w:marRight w:val="0"/>
      <w:marTop w:val="0"/>
      <w:marBottom w:val="0"/>
      <w:divBdr>
        <w:top w:val="none" w:sz="0" w:space="0" w:color="auto"/>
        <w:left w:val="none" w:sz="0" w:space="0" w:color="auto"/>
        <w:bottom w:val="none" w:sz="0" w:space="0" w:color="auto"/>
        <w:right w:val="none" w:sz="0" w:space="0" w:color="auto"/>
      </w:divBdr>
      <w:divsChild>
        <w:div w:id="1730573949">
          <w:marLeft w:val="0"/>
          <w:marRight w:val="0"/>
          <w:marTop w:val="0"/>
          <w:marBottom w:val="495"/>
          <w:divBdr>
            <w:top w:val="none" w:sz="0" w:space="0" w:color="auto"/>
            <w:left w:val="none" w:sz="0" w:space="0" w:color="auto"/>
            <w:bottom w:val="none" w:sz="0" w:space="0" w:color="auto"/>
            <w:right w:val="none" w:sz="0" w:space="0" w:color="auto"/>
          </w:divBdr>
          <w:divsChild>
            <w:div w:id="454717330">
              <w:marLeft w:val="-255"/>
              <w:marRight w:val="-255"/>
              <w:marTop w:val="0"/>
              <w:marBottom w:val="0"/>
              <w:divBdr>
                <w:top w:val="none" w:sz="0" w:space="0" w:color="auto"/>
                <w:left w:val="none" w:sz="0" w:space="0" w:color="auto"/>
                <w:bottom w:val="none" w:sz="0" w:space="0" w:color="auto"/>
                <w:right w:val="none" w:sz="0" w:space="0" w:color="auto"/>
              </w:divBdr>
              <w:divsChild>
                <w:div w:id="970598553">
                  <w:marLeft w:val="0"/>
                  <w:marRight w:val="0"/>
                  <w:marTop w:val="0"/>
                  <w:marBottom w:val="0"/>
                  <w:divBdr>
                    <w:top w:val="none" w:sz="0" w:space="0" w:color="auto"/>
                    <w:left w:val="none" w:sz="0" w:space="0" w:color="auto"/>
                    <w:bottom w:val="none" w:sz="0" w:space="0" w:color="auto"/>
                    <w:right w:val="none" w:sz="0" w:space="0" w:color="auto"/>
                  </w:divBdr>
                  <w:divsChild>
                    <w:div w:id="17659820">
                      <w:marLeft w:val="0"/>
                      <w:marRight w:val="0"/>
                      <w:marTop w:val="0"/>
                      <w:marBottom w:val="0"/>
                      <w:divBdr>
                        <w:top w:val="none" w:sz="0" w:space="0" w:color="auto"/>
                        <w:left w:val="none" w:sz="0" w:space="0" w:color="auto"/>
                        <w:bottom w:val="none" w:sz="0" w:space="0" w:color="auto"/>
                        <w:right w:val="none" w:sz="0" w:space="0" w:color="auto"/>
                      </w:divBdr>
                      <w:divsChild>
                        <w:div w:id="1316376958">
                          <w:marLeft w:val="0"/>
                          <w:marRight w:val="0"/>
                          <w:marTop w:val="0"/>
                          <w:marBottom w:val="0"/>
                          <w:divBdr>
                            <w:top w:val="none" w:sz="0" w:space="0" w:color="auto"/>
                            <w:left w:val="none" w:sz="0" w:space="0" w:color="auto"/>
                            <w:bottom w:val="none" w:sz="0" w:space="0" w:color="auto"/>
                            <w:right w:val="none" w:sz="0" w:space="0" w:color="auto"/>
                          </w:divBdr>
                          <w:divsChild>
                            <w:div w:id="1142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282414">
      <w:bodyDiv w:val="1"/>
      <w:marLeft w:val="0"/>
      <w:marRight w:val="0"/>
      <w:marTop w:val="0"/>
      <w:marBottom w:val="0"/>
      <w:divBdr>
        <w:top w:val="none" w:sz="0" w:space="0" w:color="auto"/>
        <w:left w:val="none" w:sz="0" w:space="0" w:color="auto"/>
        <w:bottom w:val="none" w:sz="0" w:space="0" w:color="auto"/>
        <w:right w:val="none" w:sz="0" w:space="0" w:color="auto"/>
      </w:divBdr>
    </w:div>
    <w:div w:id="1184248505">
      <w:bodyDiv w:val="1"/>
      <w:marLeft w:val="0"/>
      <w:marRight w:val="0"/>
      <w:marTop w:val="0"/>
      <w:marBottom w:val="0"/>
      <w:divBdr>
        <w:top w:val="none" w:sz="0" w:space="0" w:color="auto"/>
        <w:left w:val="none" w:sz="0" w:space="0" w:color="auto"/>
        <w:bottom w:val="none" w:sz="0" w:space="0" w:color="auto"/>
        <w:right w:val="none" w:sz="0" w:space="0" w:color="auto"/>
      </w:divBdr>
    </w:div>
    <w:div w:id="1280450538">
      <w:bodyDiv w:val="1"/>
      <w:marLeft w:val="0"/>
      <w:marRight w:val="0"/>
      <w:marTop w:val="0"/>
      <w:marBottom w:val="0"/>
      <w:divBdr>
        <w:top w:val="none" w:sz="0" w:space="0" w:color="auto"/>
        <w:left w:val="none" w:sz="0" w:space="0" w:color="auto"/>
        <w:bottom w:val="none" w:sz="0" w:space="0" w:color="auto"/>
        <w:right w:val="none" w:sz="0" w:space="0" w:color="auto"/>
      </w:divBdr>
    </w:div>
    <w:div w:id="1429078504">
      <w:bodyDiv w:val="1"/>
      <w:marLeft w:val="0"/>
      <w:marRight w:val="0"/>
      <w:marTop w:val="0"/>
      <w:marBottom w:val="0"/>
      <w:divBdr>
        <w:top w:val="none" w:sz="0" w:space="0" w:color="auto"/>
        <w:left w:val="none" w:sz="0" w:space="0" w:color="auto"/>
        <w:bottom w:val="none" w:sz="0" w:space="0" w:color="auto"/>
        <w:right w:val="none" w:sz="0" w:space="0" w:color="auto"/>
      </w:divBdr>
    </w:div>
    <w:div w:id="1463226586">
      <w:bodyDiv w:val="1"/>
      <w:marLeft w:val="0"/>
      <w:marRight w:val="0"/>
      <w:marTop w:val="0"/>
      <w:marBottom w:val="0"/>
      <w:divBdr>
        <w:top w:val="none" w:sz="0" w:space="0" w:color="auto"/>
        <w:left w:val="none" w:sz="0" w:space="0" w:color="auto"/>
        <w:bottom w:val="none" w:sz="0" w:space="0" w:color="auto"/>
        <w:right w:val="none" w:sz="0" w:space="0" w:color="auto"/>
      </w:divBdr>
    </w:div>
    <w:div w:id="1556308276">
      <w:bodyDiv w:val="1"/>
      <w:marLeft w:val="0"/>
      <w:marRight w:val="0"/>
      <w:marTop w:val="0"/>
      <w:marBottom w:val="0"/>
      <w:divBdr>
        <w:top w:val="none" w:sz="0" w:space="0" w:color="auto"/>
        <w:left w:val="none" w:sz="0" w:space="0" w:color="auto"/>
        <w:bottom w:val="none" w:sz="0" w:space="0" w:color="auto"/>
        <w:right w:val="none" w:sz="0" w:space="0" w:color="auto"/>
      </w:divBdr>
    </w:div>
    <w:div w:id="1588688929">
      <w:bodyDiv w:val="1"/>
      <w:marLeft w:val="0"/>
      <w:marRight w:val="0"/>
      <w:marTop w:val="0"/>
      <w:marBottom w:val="0"/>
      <w:divBdr>
        <w:top w:val="none" w:sz="0" w:space="0" w:color="auto"/>
        <w:left w:val="none" w:sz="0" w:space="0" w:color="auto"/>
        <w:bottom w:val="none" w:sz="0" w:space="0" w:color="auto"/>
        <w:right w:val="none" w:sz="0" w:space="0" w:color="auto"/>
      </w:divBdr>
    </w:div>
    <w:div w:id="1621645957">
      <w:bodyDiv w:val="1"/>
      <w:marLeft w:val="0"/>
      <w:marRight w:val="0"/>
      <w:marTop w:val="0"/>
      <w:marBottom w:val="0"/>
      <w:divBdr>
        <w:top w:val="none" w:sz="0" w:space="0" w:color="auto"/>
        <w:left w:val="none" w:sz="0" w:space="0" w:color="auto"/>
        <w:bottom w:val="none" w:sz="0" w:space="0" w:color="auto"/>
        <w:right w:val="none" w:sz="0" w:space="0" w:color="auto"/>
      </w:divBdr>
    </w:div>
    <w:div w:id="1705397272">
      <w:bodyDiv w:val="1"/>
      <w:marLeft w:val="0"/>
      <w:marRight w:val="0"/>
      <w:marTop w:val="0"/>
      <w:marBottom w:val="0"/>
      <w:divBdr>
        <w:top w:val="none" w:sz="0" w:space="0" w:color="auto"/>
        <w:left w:val="none" w:sz="0" w:space="0" w:color="auto"/>
        <w:bottom w:val="none" w:sz="0" w:space="0" w:color="auto"/>
        <w:right w:val="none" w:sz="0" w:space="0" w:color="auto"/>
      </w:divBdr>
    </w:div>
    <w:div w:id="1836267063">
      <w:bodyDiv w:val="1"/>
      <w:marLeft w:val="0"/>
      <w:marRight w:val="0"/>
      <w:marTop w:val="0"/>
      <w:marBottom w:val="0"/>
      <w:divBdr>
        <w:top w:val="none" w:sz="0" w:space="0" w:color="auto"/>
        <w:left w:val="none" w:sz="0" w:space="0" w:color="auto"/>
        <w:bottom w:val="none" w:sz="0" w:space="0" w:color="auto"/>
        <w:right w:val="none" w:sz="0" w:space="0" w:color="auto"/>
      </w:divBdr>
    </w:div>
    <w:div w:id="1880436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Word_Document.docx"/></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8442B-ABDD-427C-8F1F-BB92A731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23333</Words>
  <Characters>133002</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156023</CharactersWithSpaces>
  <SharedDoc>false</SharedDoc>
  <HLinks>
    <vt:vector size="144" baseType="variant">
      <vt:variant>
        <vt:i4>1310780</vt:i4>
      </vt:variant>
      <vt:variant>
        <vt:i4>140</vt:i4>
      </vt:variant>
      <vt:variant>
        <vt:i4>0</vt:i4>
      </vt:variant>
      <vt:variant>
        <vt:i4>5</vt:i4>
      </vt:variant>
      <vt:variant>
        <vt:lpwstr/>
      </vt:variant>
      <vt:variant>
        <vt:lpwstr>_Toc159404464</vt:lpwstr>
      </vt:variant>
      <vt:variant>
        <vt:i4>1310780</vt:i4>
      </vt:variant>
      <vt:variant>
        <vt:i4>134</vt:i4>
      </vt:variant>
      <vt:variant>
        <vt:i4>0</vt:i4>
      </vt:variant>
      <vt:variant>
        <vt:i4>5</vt:i4>
      </vt:variant>
      <vt:variant>
        <vt:lpwstr/>
      </vt:variant>
      <vt:variant>
        <vt:lpwstr>_Toc159404463</vt:lpwstr>
      </vt:variant>
      <vt:variant>
        <vt:i4>1310780</vt:i4>
      </vt:variant>
      <vt:variant>
        <vt:i4>128</vt:i4>
      </vt:variant>
      <vt:variant>
        <vt:i4>0</vt:i4>
      </vt:variant>
      <vt:variant>
        <vt:i4>5</vt:i4>
      </vt:variant>
      <vt:variant>
        <vt:lpwstr/>
      </vt:variant>
      <vt:variant>
        <vt:lpwstr>_Toc159404462</vt:lpwstr>
      </vt:variant>
      <vt:variant>
        <vt:i4>1310780</vt:i4>
      </vt:variant>
      <vt:variant>
        <vt:i4>122</vt:i4>
      </vt:variant>
      <vt:variant>
        <vt:i4>0</vt:i4>
      </vt:variant>
      <vt:variant>
        <vt:i4>5</vt:i4>
      </vt:variant>
      <vt:variant>
        <vt:lpwstr/>
      </vt:variant>
      <vt:variant>
        <vt:lpwstr>_Toc159404461</vt:lpwstr>
      </vt:variant>
      <vt:variant>
        <vt:i4>1310780</vt:i4>
      </vt:variant>
      <vt:variant>
        <vt:i4>116</vt:i4>
      </vt:variant>
      <vt:variant>
        <vt:i4>0</vt:i4>
      </vt:variant>
      <vt:variant>
        <vt:i4>5</vt:i4>
      </vt:variant>
      <vt:variant>
        <vt:lpwstr/>
      </vt:variant>
      <vt:variant>
        <vt:lpwstr>_Toc159404460</vt:lpwstr>
      </vt:variant>
      <vt:variant>
        <vt:i4>1507388</vt:i4>
      </vt:variant>
      <vt:variant>
        <vt:i4>110</vt:i4>
      </vt:variant>
      <vt:variant>
        <vt:i4>0</vt:i4>
      </vt:variant>
      <vt:variant>
        <vt:i4>5</vt:i4>
      </vt:variant>
      <vt:variant>
        <vt:lpwstr/>
      </vt:variant>
      <vt:variant>
        <vt:lpwstr>_Toc159404459</vt:lpwstr>
      </vt:variant>
      <vt:variant>
        <vt:i4>1507388</vt:i4>
      </vt:variant>
      <vt:variant>
        <vt:i4>104</vt:i4>
      </vt:variant>
      <vt:variant>
        <vt:i4>0</vt:i4>
      </vt:variant>
      <vt:variant>
        <vt:i4>5</vt:i4>
      </vt:variant>
      <vt:variant>
        <vt:lpwstr/>
      </vt:variant>
      <vt:variant>
        <vt:lpwstr>_Toc159404458</vt:lpwstr>
      </vt:variant>
      <vt:variant>
        <vt:i4>1507388</vt:i4>
      </vt:variant>
      <vt:variant>
        <vt:i4>98</vt:i4>
      </vt:variant>
      <vt:variant>
        <vt:i4>0</vt:i4>
      </vt:variant>
      <vt:variant>
        <vt:i4>5</vt:i4>
      </vt:variant>
      <vt:variant>
        <vt:lpwstr/>
      </vt:variant>
      <vt:variant>
        <vt:lpwstr>_Toc159404457</vt:lpwstr>
      </vt:variant>
      <vt:variant>
        <vt:i4>1507388</vt:i4>
      </vt:variant>
      <vt:variant>
        <vt:i4>92</vt:i4>
      </vt:variant>
      <vt:variant>
        <vt:i4>0</vt:i4>
      </vt:variant>
      <vt:variant>
        <vt:i4>5</vt:i4>
      </vt:variant>
      <vt:variant>
        <vt:lpwstr/>
      </vt:variant>
      <vt:variant>
        <vt:lpwstr>_Toc159404456</vt:lpwstr>
      </vt:variant>
      <vt:variant>
        <vt:i4>1507388</vt:i4>
      </vt:variant>
      <vt:variant>
        <vt:i4>86</vt:i4>
      </vt:variant>
      <vt:variant>
        <vt:i4>0</vt:i4>
      </vt:variant>
      <vt:variant>
        <vt:i4>5</vt:i4>
      </vt:variant>
      <vt:variant>
        <vt:lpwstr/>
      </vt:variant>
      <vt:variant>
        <vt:lpwstr>_Toc159404455</vt:lpwstr>
      </vt:variant>
      <vt:variant>
        <vt:i4>1507388</vt:i4>
      </vt:variant>
      <vt:variant>
        <vt:i4>80</vt:i4>
      </vt:variant>
      <vt:variant>
        <vt:i4>0</vt:i4>
      </vt:variant>
      <vt:variant>
        <vt:i4>5</vt:i4>
      </vt:variant>
      <vt:variant>
        <vt:lpwstr/>
      </vt:variant>
      <vt:variant>
        <vt:lpwstr>_Toc159404454</vt:lpwstr>
      </vt:variant>
      <vt:variant>
        <vt:i4>1507388</vt:i4>
      </vt:variant>
      <vt:variant>
        <vt:i4>74</vt:i4>
      </vt:variant>
      <vt:variant>
        <vt:i4>0</vt:i4>
      </vt:variant>
      <vt:variant>
        <vt:i4>5</vt:i4>
      </vt:variant>
      <vt:variant>
        <vt:lpwstr/>
      </vt:variant>
      <vt:variant>
        <vt:lpwstr>_Toc159404453</vt:lpwstr>
      </vt:variant>
      <vt:variant>
        <vt:i4>1507388</vt:i4>
      </vt:variant>
      <vt:variant>
        <vt:i4>68</vt:i4>
      </vt:variant>
      <vt:variant>
        <vt:i4>0</vt:i4>
      </vt:variant>
      <vt:variant>
        <vt:i4>5</vt:i4>
      </vt:variant>
      <vt:variant>
        <vt:lpwstr/>
      </vt:variant>
      <vt:variant>
        <vt:lpwstr>_Toc159404452</vt:lpwstr>
      </vt:variant>
      <vt:variant>
        <vt:i4>1507388</vt:i4>
      </vt:variant>
      <vt:variant>
        <vt:i4>62</vt:i4>
      </vt:variant>
      <vt:variant>
        <vt:i4>0</vt:i4>
      </vt:variant>
      <vt:variant>
        <vt:i4>5</vt:i4>
      </vt:variant>
      <vt:variant>
        <vt:lpwstr/>
      </vt:variant>
      <vt:variant>
        <vt:lpwstr>_Toc159404451</vt:lpwstr>
      </vt:variant>
      <vt:variant>
        <vt:i4>1507388</vt:i4>
      </vt:variant>
      <vt:variant>
        <vt:i4>56</vt:i4>
      </vt:variant>
      <vt:variant>
        <vt:i4>0</vt:i4>
      </vt:variant>
      <vt:variant>
        <vt:i4>5</vt:i4>
      </vt:variant>
      <vt:variant>
        <vt:lpwstr/>
      </vt:variant>
      <vt:variant>
        <vt:lpwstr>_Toc159404450</vt:lpwstr>
      </vt:variant>
      <vt:variant>
        <vt:i4>1441852</vt:i4>
      </vt:variant>
      <vt:variant>
        <vt:i4>50</vt:i4>
      </vt:variant>
      <vt:variant>
        <vt:i4>0</vt:i4>
      </vt:variant>
      <vt:variant>
        <vt:i4>5</vt:i4>
      </vt:variant>
      <vt:variant>
        <vt:lpwstr/>
      </vt:variant>
      <vt:variant>
        <vt:lpwstr>_Toc159404449</vt:lpwstr>
      </vt:variant>
      <vt:variant>
        <vt:i4>1441852</vt:i4>
      </vt:variant>
      <vt:variant>
        <vt:i4>44</vt:i4>
      </vt:variant>
      <vt:variant>
        <vt:i4>0</vt:i4>
      </vt:variant>
      <vt:variant>
        <vt:i4>5</vt:i4>
      </vt:variant>
      <vt:variant>
        <vt:lpwstr/>
      </vt:variant>
      <vt:variant>
        <vt:lpwstr>_Toc159404448</vt:lpwstr>
      </vt:variant>
      <vt:variant>
        <vt:i4>1441852</vt:i4>
      </vt:variant>
      <vt:variant>
        <vt:i4>38</vt:i4>
      </vt:variant>
      <vt:variant>
        <vt:i4>0</vt:i4>
      </vt:variant>
      <vt:variant>
        <vt:i4>5</vt:i4>
      </vt:variant>
      <vt:variant>
        <vt:lpwstr/>
      </vt:variant>
      <vt:variant>
        <vt:lpwstr>_Toc159404447</vt:lpwstr>
      </vt:variant>
      <vt:variant>
        <vt:i4>1441852</vt:i4>
      </vt:variant>
      <vt:variant>
        <vt:i4>32</vt:i4>
      </vt:variant>
      <vt:variant>
        <vt:i4>0</vt:i4>
      </vt:variant>
      <vt:variant>
        <vt:i4>5</vt:i4>
      </vt:variant>
      <vt:variant>
        <vt:lpwstr/>
      </vt:variant>
      <vt:variant>
        <vt:lpwstr>_Toc159404446</vt:lpwstr>
      </vt:variant>
      <vt:variant>
        <vt:i4>1441852</vt:i4>
      </vt:variant>
      <vt:variant>
        <vt:i4>26</vt:i4>
      </vt:variant>
      <vt:variant>
        <vt:i4>0</vt:i4>
      </vt:variant>
      <vt:variant>
        <vt:i4>5</vt:i4>
      </vt:variant>
      <vt:variant>
        <vt:lpwstr/>
      </vt:variant>
      <vt:variant>
        <vt:lpwstr>_Toc159404445</vt:lpwstr>
      </vt:variant>
      <vt:variant>
        <vt:i4>1441852</vt:i4>
      </vt:variant>
      <vt:variant>
        <vt:i4>20</vt:i4>
      </vt:variant>
      <vt:variant>
        <vt:i4>0</vt:i4>
      </vt:variant>
      <vt:variant>
        <vt:i4>5</vt:i4>
      </vt:variant>
      <vt:variant>
        <vt:lpwstr/>
      </vt:variant>
      <vt:variant>
        <vt:lpwstr>_Toc159404444</vt:lpwstr>
      </vt:variant>
      <vt:variant>
        <vt:i4>1441852</vt:i4>
      </vt:variant>
      <vt:variant>
        <vt:i4>14</vt:i4>
      </vt:variant>
      <vt:variant>
        <vt:i4>0</vt:i4>
      </vt:variant>
      <vt:variant>
        <vt:i4>5</vt:i4>
      </vt:variant>
      <vt:variant>
        <vt:lpwstr/>
      </vt:variant>
      <vt:variant>
        <vt:lpwstr>_Toc159404443</vt:lpwstr>
      </vt:variant>
      <vt:variant>
        <vt:i4>1441852</vt:i4>
      </vt:variant>
      <vt:variant>
        <vt:i4>8</vt:i4>
      </vt:variant>
      <vt:variant>
        <vt:i4>0</vt:i4>
      </vt:variant>
      <vt:variant>
        <vt:i4>5</vt:i4>
      </vt:variant>
      <vt:variant>
        <vt:lpwstr/>
      </vt:variant>
      <vt:variant>
        <vt:lpwstr>_Toc159404442</vt:lpwstr>
      </vt:variant>
      <vt:variant>
        <vt:i4>1441852</vt:i4>
      </vt:variant>
      <vt:variant>
        <vt:i4>2</vt:i4>
      </vt:variant>
      <vt:variant>
        <vt:i4>0</vt:i4>
      </vt:variant>
      <vt:variant>
        <vt:i4>5</vt:i4>
      </vt:variant>
      <vt:variant>
        <vt:lpwstr/>
      </vt:variant>
      <vt:variant>
        <vt:lpwstr>_Toc159404441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2024-03-25T01:34:00Z</dcterms:created>
  <dcterms:modified xsi:type="dcterms:W3CDTF">2024-03-25T01:34:00Z</dcterms:modified>
</cp:coreProperties>
</file>