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3866" w14:textId="77777777" w:rsidR="00077D98" w:rsidRDefault="00077D98" w:rsidP="00077D98">
      <w:pPr>
        <w:pStyle w:val="ListParagraph"/>
        <w:rPr>
          <w:rFonts w:ascii="Arial" w:hAnsi="Arial" w:cs="Arial"/>
          <w:lang w:val="en-US"/>
        </w:rPr>
      </w:pPr>
    </w:p>
    <w:p w14:paraId="69406346" w14:textId="77777777" w:rsidR="00077D98" w:rsidRDefault="00077D98" w:rsidP="00077D98">
      <w:pPr>
        <w:pStyle w:val="ListParagraph"/>
        <w:rPr>
          <w:rFonts w:ascii="Arial" w:hAnsi="Arial" w:cs="Arial"/>
          <w:lang w:val="en-US"/>
        </w:rPr>
      </w:pPr>
    </w:p>
    <w:p w14:paraId="754E25A5" w14:textId="77777777" w:rsidR="00077D98" w:rsidRDefault="00077D98" w:rsidP="00077D98">
      <w:pPr>
        <w:pStyle w:val="ListParagraph"/>
        <w:rPr>
          <w:rFonts w:ascii="Arial" w:hAnsi="Arial" w:cs="Arial"/>
          <w:lang w:val="en-US"/>
        </w:rPr>
      </w:pPr>
    </w:p>
    <w:p w14:paraId="6309F8FB" w14:textId="6AA8D7D0" w:rsidR="00077D98" w:rsidRPr="00077D98" w:rsidRDefault="00077D98" w:rsidP="00077D98">
      <w:pPr>
        <w:pStyle w:val="ListParagraph"/>
        <w:rPr>
          <w:rFonts w:ascii="Arial" w:hAnsi="Arial" w:cs="Arial"/>
          <w:lang w:val="en-US"/>
        </w:rPr>
      </w:pPr>
      <w:r w:rsidRPr="00077D98">
        <w:rPr>
          <w:rFonts w:ascii="Arial" w:hAnsi="Arial" w:cs="Arial"/>
          <w:lang w:val="en-US"/>
        </w:rPr>
        <w:t xml:space="preserve">Our ref: </w:t>
      </w:r>
      <w:r w:rsidR="002341B3">
        <w:rPr>
          <w:rFonts w:ascii="Arial" w:hAnsi="Arial" w:cs="Arial"/>
          <w:lang w:val="en-US"/>
        </w:rPr>
        <w:t>BNE5413596</w:t>
      </w:r>
    </w:p>
    <w:p w14:paraId="10A1B145" w14:textId="77777777" w:rsidR="00077D98" w:rsidRPr="00077D98" w:rsidRDefault="00077D98" w:rsidP="00077D98">
      <w:pPr>
        <w:pStyle w:val="ListParagraph"/>
        <w:rPr>
          <w:rFonts w:ascii="Arial" w:hAnsi="Arial" w:cs="Arial"/>
          <w:lang w:val="en-US"/>
        </w:rPr>
      </w:pPr>
    </w:p>
    <w:p w14:paraId="261A4FC0" w14:textId="2B2E869B" w:rsidR="00077D98" w:rsidRPr="00077D98" w:rsidRDefault="002341B3" w:rsidP="00077D98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21 March 2024</w:t>
      </w:r>
    </w:p>
    <w:p w14:paraId="5A724E9E" w14:textId="77777777" w:rsidR="00077D98" w:rsidRPr="00077D98" w:rsidRDefault="00077D98" w:rsidP="00077D98">
      <w:pPr>
        <w:pStyle w:val="ListParagraph"/>
        <w:rPr>
          <w:rFonts w:ascii="Arial" w:hAnsi="Arial" w:cs="Arial"/>
          <w:lang w:val="en-US"/>
        </w:rPr>
      </w:pPr>
    </w:p>
    <w:p w14:paraId="6E3EE361" w14:textId="77777777" w:rsidR="00077D98" w:rsidRPr="00077D98" w:rsidRDefault="00077D98" w:rsidP="00077D98">
      <w:pPr>
        <w:pStyle w:val="ListParagraph"/>
        <w:rPr>
          <w:rFonts w:ascii="Arial" w:hAnsi="Arial" w:cs="Arial"/>
          <w:lang w:val="en-US"/>
        </w:rPr>
      </w:pPr>
    </w:p>
    <w:p w14:paraId="0A5254A1" w14:textId="2D91C762" w:rsidR="00077D98" w:rsidRDefault="007F7999" w:rsidP="00077D98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Community Safety and Legal Affairs Committee</w:t>
      </w:r>
    </w:p>
    <w:p w14:paraId="7FD53612" w14:textId="77777777" w:rsidR="007F7999" w:rsidRPr="007F7999" w:rsidRDefault="007F7999" w:rsidP="007F7999">
      <w:pPr>
        <w:pStyle w:val="ListParagraph"/>
        <w:rPr>
          <w:rFonts w:ascii="Arial" w:hAnsi="Arial" w:cs="Arial"/>
          <w:lang w:val="en-US"/>
        </w:rPr>
      </w:pPr>
      <w:r w:rsidRPr="007F7999">
        <w:rPr>
          <w:rFonts w:ascii="Arial" w:hAnsi="Arial" w:cs="Arial"/>
          <w:lang w:val="en-US"/>
        </w:rPr>
        <w:t>Parliament House</w:t>
      </w:r>
    </w:p>
    <w:p w14:paraId="31883F36" w14:textId="77777777" w:rsidR="007F7999" w:rsidRPr="007F7999" w:rsidRDefault="007F7999" w:rsidP="007F7999">
      <w:pPr>
        <w:pStyle w:val="ListParagraph"/>
        <w:rPr>
          <w:rFonts w:ascii="Arial" w:hAnsi="Arial" w:cs="Arial"/>
          <w:lang w:val="en-US"/>
        </w:rPr>
      </w:pPr>
      <w:r w:rsidRPr="007F7999">
        <w:rPr>
          <w:rFonts w:ascii="Arial" w:hAnsi="Arial" w:cs="Arial"/>
          <w:lang w:val="en-US"/>
        </w:rPr>
        <w:t>George Street</w:t>
      </w:r>
    </w:p>
    <w:p w14:paraId="4C9AC455" w14:textId="04E04D83" w:rsidR="007F7999" w:rsidRDefault="007F7999" w:rsidP="007F7999">
      <w:pPr>
        <w:pStyle w:val="ListParagraph"/>
        <w:rPr>
          <w:rFonts w:ascii="Arial" w:hAnsi="Arial" w:cs="Arial"/>
          <w:lang w:val="en-US"/>
        </w:rPr>
      </w:pPr>
      <w:r w:rsidRPr="007F7999">
        <w:rPr>
          <w:rFonts w:ascii="Arial" w:hAnsi="Arial" w:cs="Arial"/>
          <w:lang w:val="en-US"/>
        </w:rPr>
        <w:t>Brisbane Qld 4001</w:t>
      </w:r>
    </w:p>
    <w:p w14:paraId="2C0A59C2" w14:textId="24221FAD" w:rsidR="007F7999" w:rsidRDefault="007F7999" w:rsidP="007F7999">
      <w:pPr>
        <w:pStyle w:val="ListParagraph"/>
        <w:rPr>
          <w:rFonts w:ascii="Arial" w:hAnsi="Arial" w:cs="Arial"/>
          <w:lang w:val="en-US"/>
        </w:rPr>
      </w:pPr>
    </w:p>
    <w:p w14:paraId="4C25EC2A" w14:textId="6ACAAF48" w:rsidR="007F7999" w:rsidRPr="00077D98" w:rsidRDefault="007F7999" w:rsidP="007F7999">
      <w:pPr>
        <w:pStyle w:val="ListParagraph"/>
        <w:rPr>
          <w:rFonts w:ascii="Arial" w:hAnsi="Arial" w:cs="Arial"/>
          <w:lang w:val="en-US"/>
        </w:rPr>
      </w:pPr>
      <w:r w:rsidRPr="007F7999">
        <w:rPr>
          <w:rFonts w:ascii="Arial" w:hAnsi="Arial" w:cs="Arial"/>
          <w:b/>
          <w:bCs/>
          <w:lang w:val="en-US"/>
        </w:rPr>
        <w:t>By email:</w:t>
      </w:r>
      <w:r>
        <w:rPr>
          <w:rFonts w:ascii="Arial" w:hAnsi="Arial" w:cs="Arial"/>
          <w:lang w:val="en-US"/>
        </w:rPr>
        <w:t xml:space="preserve"> </w:t>
      </w:r>
      <w:r w:rsidRPr="007F7999">
        <w:rPr>
          <w:rFonts w:ascii="Arial" w:hAnsi="Arial" w:cs="Arial"/>
          <w:lang w:val="en-US"/>
        </w:rPr>
        <w:t>cslac@parliament.qld.gov.au</w:t>
      </w:r>
    </w:p>
    <w:p w14:paraId="13856AB3" w14:textId="77777777" w:rsidR="00077D98" w:rsidRPr="00077D98" w:rsidRDefault="00077D98" w:rsidP="00077D98">
      <w:pPr>
        <w:pStyle w:val="ListParagraph"/>
        <w:rPr>
          <w:rFonts w:ascii="Arial" w:hAnsi="Arial" w:cs="Arial"/>
          <w:lang w:val="en-US"/>
        </w:rPr>
      </w:pPr>
    </w:p>
    <w:p w14:paraId="005B1013" w14:textId="32EEB902" w:rsidR="00077D98" w:rsidRDefault="00077D98" w:rsidP="00077D98">
      <w:pPr>
        <w:pStyle w:val="ListParagraph"/>
        <w:rPr>
          <w:rFonts w:ascii="Arial" w:hAnsi="Arial" w:cs="Arial"/>
          <w:lang w:val="en-US"/>
        </w:rPr>
      </w:pPr>
    </w:p>
    <w:p w14:paraId="17787D9C" w14:textId="047776B5" w:rsidR="002341B3" w:rsidRDefault="002341B3" w:rsidP="00077D98">
      <w:pPr>
        <w:pStyle w:val="ListParagraph"/>
        <w:rPr>
          <w:rFonts w:ascii="Arial" w:hAnsi="Arial" w:cs="Arial"/>
          <w:lang w:val="en-US"/>
        </w:rPr>
      </w:pPr>
    </w:p>
    <w:p w14:paraId="7611B798" w14:textId="0C7558C3" w:rsidR="002341B3" w:rsidRDefault="002341B3" w:rsidP="00D538BF">
      <w:pPr>
        <w:pStyle w:val="ListParagraph"/>
        <w:spacing w:after="120" w:line="257" w:lineRule="auto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 Committee</w:t>
      </w:r>
    </w:p>
    <w:p w14:paraId="7005B56F" w14:textId="129BBCD1" w:rsidR="002341B3" w:rsidRPr="002022B8" w:rsidRDefault="002341B3" w:rsidP="00D538BF">
      <w:pPr>
        <w:pStyle w:val="ListParagraph"/>
        <w:spacing w:after="120" w:line="257" w:lineRule="auto"/>
        <w:contextualSpacing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Inquiry into </w:t>
      </w:r>
      <w:r w:rsidRPr="002022B8">
        <w:rPr>
          <w:rFonts w:ascii="Arial" w:hAnsi="Arial" w:cs="Arial"/>
          <w:b/>
          <w:bCs/>
          <w:lang w:val="en-US"/>
        </w:rPr>
        <w:t>Disaster Management and Other Legislation Amendment Bill 2024</w:t>
      </w:r>
    </w:p>
    <w:p w14:paraId="57F3D46F" w14:textId="44E12896" w:rsidR="007F7999" w:rsidRDefault="007F7999" w:rsidP="00D538BF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the opportunity to provide input to the Committee’s Inquiry on the Disaster Management and Other Legislation Amendment Bill 2024 (the </w:t>
      </w:r>
      <w:r>
        <w:rPr>
          <w:rFonts w:ascii="Arial" w:hAnsi="Arial" w:cs="Arial"/>
          <w:b/>
          <w:bCs/>
        </w:rPr>
        <w:t>Bill)</w:t>
      </w:r>
      <w:r>
        <w:rPr>
          <w:rFonts w:ascii="Arial" w:hAnsi="Arial" w:cs="Arial"/>
        </w:rPr>
        <w:t>.</w:t>
      </w:r>
    </w:p>
    <w:p w14:paraId="697FA926" w14:textId="486B6962" w:rsidR="004F7630" w:rsidRDefault="007F7999" w:rsidP="00D538BF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Due to multiple competing priorities, and the short time</w:t>
      </w:r>
      <w:r w:rsidR="00E6421E">
        <w:rPr>
          <w:rFonts w:ascii="Arial" w:hAnsi="Arial" w:cs="Arial"/>
        </w:rPr>
        <w:t>-</w:t>
      </w:r>
      <w:r>
        <w:rPr>
          <w:rFonts w:ascii="Arial" w:hAnsi="Arial" w:cs="Arial"/>
        </w:rPr>
        <w:t>frame for submissions, the Commission has not had the opportunity to review the Bill in detail</w:t>
      </w:r>
      <w:r w:rsidR="004F7630">
        <w:rPr>
          <w:rFonts w:ascii="Arial" w:hAnsi="Arial" w:cs="Arial"/>
        </w:rPr>
        <w:t xml:space="preserve">. These comments are limited, therefore, to the matters addressed in this letter and should not be taken to be endorsement or otherwise of other aspects of the Bill. </w:t>
      </w:r>
    </w:p>
    <w:p w14:paraId="7EC072AE" w14:textId="5CD15963" w:rsidR="002059BA" w:rsidRDefault="004F7630" w:rsidP="00D538BF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However, as</w:t>
      </w:r>
      <w:r w:rsidR="007F7999">
        <w:rPr>
          <w:rFonts w:ascii="Arial" w:hAnsi="Arial" w:cs="Arial"/>
        </w:rPr>
        <w:t xml:space="preserve"> a matter of principle</w:t>
      </w:r>
      <w:r w:rsidR="002059BA">
        <w:rPr>
          <w:rFonts w:ascii="Arial" w:hAnsi="Arial" w:cs="Arial"/>
        </w:rPr>
        <w:t>,</w:t>
      </w:r>
      <w:r w:rsidR="007F7999">
        <w:rPr>
          <w:rFonts w:ascii="Arial" w:hAnsi="Arial" w:cs="Arial"/>
        </w:rPr>
        <w:t xml:space="preserve"> we have concerns with </w:t>
      </w:r>
      <w:r w:rsidR="0044110F">
        <w:rPr>
          <w:rFonts w:ascii="Arial" w:hAnsi="Arial" w:cs="Arial"/>
        </w:rPr>
        <w:t xml:space="preserve">embedding in legislation specific, mandatory, requirements for appointment to a range of senior roles in a public </w:t>
      </w:r>
      <w:r w:rsidR="00844314">
        <w:rPr>
          <w:rFonts w:ascii="Arial" w:hAnsi="Arial" w:cs="Arial"/>
        </w:rPr>
        <w:t>body</w:t>
      </w:r>
      <w:r w:rsidR="002059BA">
        <w:rPr>
          <w:rFonts w:ascii="Arial" w:hAnsi="Arial" w:cs="Arial"/>
        </w:rPr>
        <w:t>, such as those introduced through the Bill.</w:t>
      </w:r>
      <w:r w:rsidR="002059BA">
        <w:rPr>
          <w:rStyle w:val="FootnoteReference"/>
          <w:rFonts w:ascii="Arial" w:hAnsi="Arial" w:cs="Arial"/>
        </w:rPr>
        <w:footnoteReference w:id="1"/>
      </w:r>
      <w:r w:rsidR="0044110F">
        <w:rPr>
          <w:rFonts w:ascii="Arial" w:hAnsi="Arial" w:cs="Arial"/>
        </w:rPr>
        <w:t xml:space="preserve"> </w:t>
      </w:r>
      <w:r w:rsidR="004238A0">
        <w:rPr>
          <w:rFonts w:ascii="Arial" w:hAnsi="Arial" w:cs="Arial"/>
        </w:rPr>
        <w:t xml:space="preserve"> This is because such mandatory requirements may impliedly override provisions of the </w:t>
      </w:r>
      <w:r w:rsidR="004238A0">
        <w:rPr>
          <w:rFonts w:ascii="Arial" w:hAnsi="Arial" w:cs="Arial"/>
          <w:i/>
          <w:iCs/>
        </w:rPr>
        <w:t>Anti-Discrimination Act</w:t>
      </w:r>
      <w:r w:rsidR="004238A0">
        <w:rPr>
          <w:rFonts w:ascii="Arial" w:hAnsi="Arial" w:cs="Arial"/>
        </w:rPr>
        <w:t xml:space="preserve"> </w:t>
      </w:r>
      <w:r w:rsidR="004238A0">
        <w:rPr>
          <w:rFonts w:ascii="Arial" w:hAnsi="Arial" w:cs="Arial"/>
          <w:i/>
          <w:iCs/>
        </w:rPr>
        <w:t>1991</w:t>
      </w:r>
      <w:r w:rsidR="004238A0">
        <w:rPr>
          <w:rFonts w:ascii="Arial" w:hAnsi="Arial" w:cs="Arial"/>
        </w:rPr>
        <w:t>, and</w:t>
      </w:r>
      <w:r w:rsidR="005A294B">
        <w:rPr>
          <w:rFonts w:ascii="Arial" w:hAnsi="Arial" w:cs="Arial"/>
        </w:rPr>
        <w:t>, depending on the particular role,</w:t>
      </w:r>
      <w:r w:rsidR="004238A0">
        <w:rPr>
          <w:rFonts w:ascii="Arial" w:hAnsi="Arial" w:cs="Arial"/>
        </w:rPr>
        <w:t xml:space="preserve"> may not be compatible with the right</w:t>
      </w:r>
      <w:r w:rsidR="00C26884">
        <w:rPr>
          <w:rFonts w:ascii="Arial" w:hAnsi="Arial" w:cs="Arial"/>
        </w:rPr>
        <w:t>s</w:t>
      </w:r>
      <w:r w:rsidR="004238A0">
        <w:rPr>
          <w:rFonts w:ascii="Arial" w:hAnsi="Arial" w:cs="Arial"/>
        </w:rPr>
        <w:t xml:space="preserve"> to equality</w:t>
      </w:r>
      <w:r w:rsidR="00C26884">
        <w:rPr>
          <w:rFonts w:ascii="Arial" w:hAnsi="Arial" w:cs="Arial"/>
        </w:rPr>
        <w:t xml:space="preserve"> and to take part in public life</w:t>
      </w:r>
      <w:r w:rsidR="004238A0">
        <w:rPr>
          <w:rFonts w:ascii="Arial" w:hAnsi="Arial" w:cs="Arial"/>
        </w:rPr>
        <w:t xml:space="preserve"> protected under the </w:t>
      </w:r>
      <w:r w:rsidR="004238A0">
        <w:rPr>
          <w:rFonts w:ascii="Arial" w:hAnsi="Arial" w:cs="Arial"/>
          <w:i/>
          <w:iCs/>
        </w:rPr>
        <w:t>Human Rights Act 2019</w:t>
      </w:r>
      <w:r w:rsidR="004238A0">
        <w:rPr>
          <w:rFonts w:ascii="Arial" w:hAnsi="Arial" w:cs="Arial"/>
        </w:rPr>
        <w:t xml:space="preserve">, </w:t>
      </w:r>
      <w:r w:rsidR="00C26884">
        <w:rPr>
          <w:rFonts w:ascii="Arial" w:hAnsi="Arial" w:cs="Arial"/>
        </w:rPr>
        <w:t>ss 15 and 23</w:t>
      </w:r>
      <w:r w:rsidR="004238A0">
        <w:rPr>
          <w:rFonts w:ascii="Arial" w:hAnsi="Arial" w:cs="Arial"/>
        </w:rPr>
        <w:t>.</w:t>
      </w:r>
      <w:r w:rsidR="00563E46">
        <w:rPr>
          <w:rStyle w:val="FootnoteReference"/>
          <w:rFonts w:ascii="Arial" w:hAnsi="Arial" w:cs="Arial"/>
        </w:rPr>
        <w:footnoteReference w:id="2"/>
      </w:r>
    </w:p>
    <w:p w14:paraId="27C8CD36" w14:textId="612A6140" w:rsidR="000A4FB6" w:rsidRDefault="005A294B" w:rsidP="00D538BF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Both the </w:t>
      </w:r>
      <w:r>
        <w:rPr>
          <w:rFonts w:ascii="Arial" w:hAnsi="Arial" w:cs="Arial"/>
          <w:i/>
          <w:iCs/>
        </w:rPr>
        <w:t>Anti-Discrimination Act</w:t>
      </w:r>
      <w:r>
        <w:rPr>
          <w:rFonts w:ascii="Arial" w:hAnsi="Arial" w:cs="Arial"/>
        </w:rPr>
        <w:t xml:space="preserve"> and </w:t>
      </w:r>
      <w:r w:rsidR="002022B8">
        <w:rPr>
          <w:rFonts w:ascii="Arial" w:hAnsi="Arial" w:cs="Arial"/>
        </w:rPr>
        <w:t>interpretation of the</w:t>
      </w:r>
      <w:r>
        <w:rPr>
          <w:rFonts w:ascii="Arial" w:hAnsi="Arial" w:cs="Arial"/>
        </w:rPr>
        <w:t xml:space="preserve"> </w:t>
      </w:r>
      <w:r w:rsidR="00563E46">
        <w:rPr>
          <w:rFonts w:ascii="Arial" w:hAnsi="Arial" w:cs="Arial"/>
        </w:rPr>
        <w:t>relevant rights</w:t>
      </w:r>
      <w:r>
        <w:rPr>
          <w:rFonts w:ascii="Arial" w:hAnsi="Arial" w:cs="Arial"/>
        </w:rPr>
        <w:t xml:space="preserve"> under the </w:t>
      </w:r>
      <w:r>
        <w:rPr>
          <w:rFonts w:ascii="Arial" w:hAnsi="Arial" w:cs="Arial"/>
          <w:i/>
          <w:iCs/>
        </w:rPr>
        <w:t>Human Rights Act</w:t>
      </w:r>
      <w:r>
        <w:rPr>
          <w:rFonts w:ascii="Arial" w:hAnsi="Arial" w:cs="Arial"/>
        </w:rPr>
        <w:t xml:space="preserve"> recognise that there may be legitimate reasons to impose specific requirements for particular positions, even where those requirements may have an otherwise discriminatory effect on people with protected attributes.</w:t>
      </w:r>
      <w:r>
        <w:rPr>
          <w:rStyle w:val="FootnoteReference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However, any </w:t>
      </w:r>
      <w:r>
        <w:rPr>
          <w:rFonts w:ascii="Arial" w:hAnsi="Arial" w:cs="Arial"/>
        </w:rPr>
        <w:lastRenderedPageBreak/>
        <w:t xml:space="preserve">such requirement must </w:t>
      </w:r>
      <w:r w:rsidR="005D67B7">
        <w:rPr>
          <w:rFonts w:ascii="Arial" w:hAnsi="Arial" w:cs="Arial"/>
        </w:rPr>
        <w:t xml:space="preserve">directly and objectively relate to the </w:t>
      </w:r>
      <w:r w:rsidR="005D67B7" w:rsidRPr="005D67B7">
        <w:rPr>
          <w:rFonts w:ascii="Arial" w:hAnsi="Arial" w:cs="Arial"/>
          <w:i/>
          <w:iCs/>
        </w:rPr>
        <w:t>specific</w:t>
      </w:r>
      <w:r w:rsidR="005D67B7">
        <w:rPr>
          <w:rFonts w:ascii="Arial" w:hAnsi="Arial" w:cs="Arial"/>
        </w:rPr>
        <w:t xml:space="preserve"> </w:t>
      </w:r>
      <w:r w:rsidR="008D2BED">
        <w:rPr>
          <w:rFonts w:ascii="Arial" w:hAnsi="Arial" w:cs="Arial"/>
        </w:rPr>
        <w:t xml:space="preserve">role and </w:t>
      </w:r>
      <w:r w:rsidR="004F7630">
        <w:rPr>
          <w:rFonts w:ascii="Arial" w:hAnsi="Arial" w:cs="Arial"/>
        </w:rPr>
        <w:t xml:space="preserve">that </w:t>
      </w:r>
      <w:r w:rsidR="004F7630" w:rsidRPr="002022B8">
        <w:rPr>
          <w:rFonts w:ascii="Arial" w:hAnsi="Arial" w:cs="Arial"/>
          <w:i/>
          <w:iCs/>
        </w:rPr>
        <w:t>particular</w:t>
      </w:r>
      <w:r w:rsidR="004F7630">
        <w:rPr>
          <w:rFonts w:ascii="Arial" w:hAnsi="Arial" w:cs="Arial"/>
        </w:rPr>
        <w:t xml:space="preserve"> role’s</w:t>
      </w:r>
      <w:r w:rsidR="008D2BED">
        <w:rPr>
          <w:rFonts w:ascii="Arial" w:hAnsi="Arial" w:cs="Arial"/>
        </w:rPr>
        <w:t xml:space="preserve"> essential and inherent requirements</w:t>
      </w:r>
      <w:r w:rsidR="005D67B7">
        <w:rPr>
          <w:rFonts w:ascii="Arial" w:hAnsi="Arial" w:cs="Arial"/>
        </w:rPr>
        <w:t>.</w:t>
      </w:r>
      <w:r w:rsidR="005D67B7">
        <w:rPr>
          <w:rStyle w:val="FootnoteReference"/>
          <w:rFonts w:ascii="Arial" w:hAnsi="Arial" w:cs="Arial"/>
        </w:rPr>
        <w:footnoteReference w:id="4"/>
      </w:r>
    </w:p>
    <w:p w14:paraId="3C98DD55" w14:textId="32C23F79" w:rsidR="00210814" w:rsidRDefault="000A4FB6" w:rsidP="00D538BF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By embedding specific requirements in legislation</w:t>
      </w:r>
      <w:r w:rsidR="004F7630">
        <w:rPr>
          <w:rFonts w:ascii="Arial" w:hAnsi="Arial" w:cs="Arial"/>
        </w:rPr>
        <w:t xml:space="preserve"> for a range of roles</w:t>
      </w:r>
      <w:r>
        <w:rPr>
          <w:rFonts w:ascii="Arial" w:hAnsi="Arial" w:cs="Arial"/>
        </w:rPr>
        <w:t xml:space="preserve"> there is a risk of entrenching a disconnect between the legislative requirements and the actual requirements of particular roles</w:t>
      </w:r>
      <w:r w:rsidR="00210814">
        <w:rPr>
          <w:rFonts w:ascii="Arial" w:hAnsi="Arial" w:cs="Arial"/>
        </w:rPr>
        <w:t xml:space="preserve"> over time, in a way that is not compatible with the right to equality and the right to </w:t>
      </w:r>
      <w:r w:rsidR="00434FEB">
        <w:rPr>
          <w:rFonts w:ascii="Arial" w:hAnsi="Arial" w:cs="Arial"/>
        </w:rPr>
        <w:t>take part</w:t>
      </w:r>
      <w:r w:rsidR="00210814">
        <w:rPr>
          <w:rFonts w:ascii="Arial" w:hAnsi="Arial" w:cs="Arial"/>
        </w:rPr>
        <w:t xml:space="preserve"> in public life. </w:t>
      </w:r>
      <w:r>
        <w:rPr>
          <w:rFonts w:ascii="Arial" w:hAnsi="Arial" w:cs="Arial"/>
        </w:rPr>
        <w:t>As noted in the Statement of Compatibility, a less restrictive way</w:t>
      </w:r>
      <w:r w:rsidR="00210814">
        <w:rPr>
          <w:rFonts w:ascii="Arial" w:hAnsi="Arial" w:cs="Arial"/>
        </w:rPr>
        <w:t xml:space="preserve"> — and the usual way —</w:t>
      </w:r>
      <w:r>
        <w:rPr>
          <w:rFonts w:ascii="Arial" w:hAnsi="Arial" w:cs="Arial"/>
        </w:rPr>
        <w:t xml:space="preserve"> of achieving the objectives</w:t>
      </w:r>
      <w:r w:rsidR="00210814">
        <w:rPr>
          <w:rFonts w:ascii="Arial" w:hAnsi="Arial" w:cs="Arial"/>
        </w:rPr>
        <w:t xml:space="preserve"> sought</w:t>
      </w:r>
      <w:r>
        <w:rPr>
          <w:rFonts w:ascii="Arial" w:hAnsi="Arial" w:cs="Arial"/>
        </w:rPr>
        <w:t xml:space="preserve"> is to establish genuine occupational </w:t>
      </w:r>
      <w:r w:rsidR="00483831">
        <w:rPr>
          <w:rFonts w:ascii="Arial" w:hAnsi="Arial" w:cs="Arial"/>
        </w:rPr>
        <w:t>qualifications</w:t>
      </w:r>
      <w:r>
        <w:rPr>
          <w:rFonts w:ascii="Arial" w:hAnsi="Arial" w:cs="Arial"/>
        </w:rPr>
        <w:t xml:space="preserve"> for specific roles</w:t>
      </w:r>
      <w:r w:rsidR="004F7630">
        <w:rPr>
          <w:rFonts w:ascii="Arial" w:hAnsi="Arial" w:cs="Arial"/>
        </w:rPr>
        <w:t xml:space="preserve"> at the time of appointment</w:t>
      </w:r>
      <w:r>
        <w:rPr>
          <w:rFonts w:ascii="Arial" w:hAnsi="Arial" w:cs="Arial"/>
        </w:rPr>
        <w:t xml:space="preserve">. </w:t>
      </w:r>
      <w:r w:rsidR="00210814">
        <w:rPr>
          <w:rFonts w:ascii="Arial" w:hAnsi="Arial" w:cs="Arial"/>
        </w:rPr>
        <w:t>Any departure from this standard approach requires further justification.</w:t>
      </w:r>
    </w:p>
    <w:p w14:paraId="103CFAA9" w14:textId="1A48E1A6" w:rsidR="00210814" w:rsidRDefault="00210814" w:rsidP="00D538BF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790567A1" w14:textId="139DD7A4" w:rsidR="00210814" w:rsidRDefault="00160B8F" w:rsidP="0021081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[signature redacted]</w:t>
      </w:r>
    </w:p>
    <w:p w14:paraId="516EC99A" w14:textId="77777777" w:rsidR="00210814" w:rsidRDefault="00210814" w:rsidP="00210814">
      <w:pPr>
        <w:spacing w:after="0" w:line="240" w:lineRule="auto"/>
        <w:ind w:left="720"/>
        <w:rPr>
          <w:rFonts w:ascii="Arial" w:hAnsi="Arial" w:cs="Arial"/>
        </w:rPr>
      </w:pPr>
    </w:p>
    <w:p w14:paraId="2212BB6A" w14:textId="59775117" w:rsidR="00210814" w:rsidRDefault="00210814" w:rsidP="0021081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Scott McDougall</w:t>
      </w:r>
    </w:p>
    <w:p w14:paraId="5FBF475E" w14:textId="3DC2139D" w:rsidR="00210814" w:rsidRDefault="00210814" w:rsidP="0021081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Queensland Human Rights Commissioner</w:t>
      </w:r>
    </w:p>
    <w:p w14:paraId="7C3350C3" w14:textId="77777777" w:rsidR="00ED2BA5" w:rsidRPr="005A294B" w:rsidRDefault="00ED2BA5" w:rsidP="007F7999">
      <w:pPr>
        <w:spacing w:after="0" w:line="240" w:lineRule="auto"/>
        <w:ind w:left="720"/>
        <w:rPr>
          <w:rFonts w:ascii="Arial" w:hAnsi="Arial" w:cs="Arial"/>
        </w:rPr>
      </w:pPr>
    </w:p>
    <w:p w14:paraId="46E68592" w14:textId="149EFBB2" w:rsidR="0044110F" w:rsidRDefault="0044110F" w:rsidP="007F7999">
      <w:pPr>
        <w:spacing w:after="0" w:line="240" w:lineRule="auto"/>
        <w:ind w:left="720"/>
        <w:rPr>
          <w:rFonts w:ascii="Arial" w:hAnsi="Arial" w:cs="Arial"/>
        </w:rPr>
      </w:pPr>
    </w:p>
    <w:p w14:paraId="322AA458" w14:textId="46E68512" w:rsidR="0044110F" w:rsidRPr="00077D98" w:rsidRDefault="0044110F" w:rsidP="0044110F">
      <w:pPr>
        <w:spacing w:after="0" w:line="240" w:lineRule="auto"/>
        <w:rPr>
          <w:rFonts w:ascii="Arial" w:hAnsi="Arial" w:cs="Arial"/>
        </w:rPr>
      </w:pPr>
    </w:p>
    <w:sectPr w:rsidR="0044110F" w:rsidRPr="00077D98" w:rsidSect="0087248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59" w:right="1474" w:bottom="1440" w:left="1474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5A61" w14:textId="77777777" w:rsidR="0011709F" w:rsidRDefault="0011709F" w:rsidP="00304408">
      <w:pPr>
        <w:spacing w:after="0" w:line="240" w:lineRule="auto"/>
      </w:pPr>
      <w:r>
        <w:separator/>
      </w:r>
    </w:p>
  </w:endnote>
  <w:endnote w:type="continuationSeparator" w:id="0">
    <w:p w14:paraId="7E362620" w14:textId="77777777" w:rsidR="0011709F" w:rsidRDefault="0011709F" w:rsidP="0030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3DC9" w14:textId="77777777" w:rsidR="007E1FFA" w:rsidRDefault="007E1FFA" w:rsidP="00911F7B">
    <w:pPr>
      <w:pStyle w:val="Footer"/>
      <w:tabs>
        <w:tab w:val="clear" w:pos="4513"/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C9BA" w14:textId="32CE4337" w:rsidR="007E1FFA" w:rsidRPr="00013878" w:rsidRDefault="00013878" w:rsidP="00165065">
    <w:pPr>
      <w:pStyle w:val="Footer"/>
    </w:pPr>
    <w:r>
      <w:rPr>
        <w:noProof/>
      </w:rPr>
      <w:drawing>
        <wp:inline distT="0" distB="0" distL="0" distR="0" wp14:anchorId="3F124E3A" wp14:editId="5B3C61EB">
          <wp:extent cx="6001205" cy="1144905"/>
          <wp:effectExtent l="0" t="0" r="0" b="0"/>
          <wp:docPr id="1" name="Picture 1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33" cy="1147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D5E8" w14:textId="77777777" w:rsidR="0011709F" w:rsidRDefault="0011709F" w:rsidP="00304408">
      <w:pPr>
        <w:spacing w:after="0" w:line="240" w:lineRule="auto"/>
      </w:pPr>
      <w:r>
        <w:separator/>
      </w:r>
    </w:p>
  </w:footnote>
  <w:footnote w:type="continuationSeparator" w:id="0">
    <w:p w14:paraId="3EAB0A4D" w14:textId="77777777" w:rsidR="0011709F" w:rsidRDefault="0011709F" w:rsidP="00304408">
      <w:pPr>
        <w:spacing w:after="0" w:line="240" w:lineRule="auto"/>
      </w:pPr>
      <w:r>
        <w:continuationSeparator/>
      </w:r>
    </w:p>
  </w:footnote>
  <w:footnote w:id="1">
    <w:p w14:paraId="2A81ABF1" w14:textId="4110D24D" w:rsidR="002059BA" w:rsidRPr="002059BA" w:rsidRDefault="002059BA">
      <w:pPr>
        <w:pStyle w:val="FootnoteText"/>
        <w:rPr>
          <w:i/>
          <w:iCs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Including</w:t>
      </w:r>
      <w:r w:rsidR="00D752FA">
        <w:rPr>
          <w:lang w:val="en-GB"/>
        </w:rPr>
        <w:t xml:space="preserve"> amendments to appointment criteria in the </w:t>
      </w:r>
      <w:r w:rsidR="00D752FA" w:rsidRPr="002059BA">
        <w:rPr>
          <w:i/>
          <w:iCs/>
          <w:lang w:val="en-GB"/>
        </w:rPr>
        <w:t>Fire and Emergency Services Act 1990</w:t>
      </w:r>
      <w:r w:rsidR="00D752FA">
        <w:rPr>
          <w:lang w:val="en-GB"/>
        </w:rPr>
        <w:t xml:space="preserve"> through cl 28</w:t>
      </w:r>
      <w:r w:rsidR="004238A0">
        <w:rPr>
          <w:lang w:val="en-GB"/>
        </w:rPr>
        <w:t xml:space="preserve"> </w:t>
      </w:r>
      <w:r w:rsidR="00165065">
        <w:rPr>
          <w:rFonts w:cs="Arial"/>
          <w:lang w:val="en-GB"/>
        </w:rPr>
        <w:t>—</w:t>
      </w:r>
      <w:r w:rsidR="004238A0">
        <w:rPr>
          <w:lang w:val="en-GB"/>
        </w:rPr>
        <w:t xml:space="preserve"> </w:t>
      </w:r>
      <w:r>
        <w:rPr>
          <w:lang w:val="en-GB"/>
        </w:rPr>
        <w:t>insertin</w:t>
      </w:r>
      <w:r w:rsidR="00D752FA">
        <w:rPr>
          <w:lang w:val="en-GB"/>
        </w:rPr>
        <w:t>g</w:t>
      </w:r>
      <w:r>
        <w:rPr>
          <w:lang w:val="en-GB"/>
        </w:rPr>
        <w:t xml:space="preserve"> s</w:t>
      </w:r>
      <w:r w:rsidR="00D752FA">
        <w:rPr>
          <w:lang w:val="en-GB"/>
        </w:rPr>
        <w:t> </w:t>
      </w:r>
      <w:r>
        <w:rPr>
          <w:lang w:val="en-GB"/>
        </w:rPr>
        <w:t>7C(2</w:t>
      </w:r>
      <w:r w:rsidR="00D752FA">
        <w:rPr>
          <w:lang w:val="en-GB"/>
        </w:rPr>
        <w:t>) (Chief fire officer)</w:t>
      </w:r>
      <w:r w:rsidR="00165065">
        <w:rPr>
          <w:lang w:val="en-GB"/>
        </w:rPr>
        <w:t xml:space="preserve"> and</w:t>
      </w:r>
      <w:r w:rsidR="00D752FA">
        <w:rPr>
          <w:lang w:val="en-GB"/>
        </w:rPr>
        <w:t xml:space="preserve"> s 7K(2) (Deputy commissioner)</w:t>
      </w:r>
      <w:r w:rsidR="004238A0">
        <w:rPr>
          <w:lang w:val="en-GB"/>
        </w:rPr>
        <w:t>;</w:t>
      </w:r>
      <w:r w:rsidR="00165065">
        <w:rPr>
          <w:lang w:val="en-GB"/>
        </w:rPr>
        <w:t xml:space="preserve"> and</w:t>
      </w:r>
      <w:r w:rsidR="004238A0">
        <w:rPr>
          <w:lang w:val="en-GB"/>
        </w:rPr>
        <w:t xml:space="preserve"> cl 34 </w:t>
      </w:r>
      <w:r w:rsidR="00165065">
        <w:rPr>
          <w:rFonts w:cs="Arial"/>
          <w:lang w:val="en-GB"/>
        </w:rPr>
        <w:t>—</w:t>
      </w:r>
      <w:r w:rsidR="004238A0">
        <w:rPr>
          <w:lang w:val="en-GB"/>
        </w:rPr>
        <w:t xml:space="preserve"> inserting s 25(3) (executive officers and senior officers</w:t>
      </w:r>
      <w:r w:rsidR="00832677">
        <w:rPr>
          <w:lang w:val="en-GB"/>
        </w:rPr>
        <w:t xml:space="preserve"> in Q</w:t>
      </w:r>
      <w:r w:rsidR="00165065">
        <w:rPr>
          <w:lang w:val="en-GB"/>
        </w:rPr>
        <w:t>ueensland Fire and Rescue</w:t>
      </w:r>
      <w:r w:rsidR="004238A0">
        <w:rPr>
          <w:lang w:val="en-GB"/>
        </w:rPr>
        <w:t>)</w:t>
      </w:r>
      <w:r w:rsidR="00832677">
        <w:rPr>
          <w:lang w:val="en-GB"/>
        </w:rPr>
        <w:t>.</w:t>
      </w:r>
      <w:r w:rsidR="004238A0">
        <w:rPr>
          <w:lang w:val="en-GB"/>
        </w:rPr>
        <w:t xml:space="preserve"> </w:t>
      </w:r>
    </w:p>
  </w:footnote>
  <w:footnote w:id="2">
    <w:p w14:paraId="0D73F80F" w14:textId="7BF1301F" w:rsidR="00563E46" w:rsidRPr="00563E46" w:rsidRDefault="00563E4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As discussed, in relation to the </w:t>
      </w:r>
      <w:r>
        <w:rPr>
          <w:i/>
          <w:iCs/>
          <w:lang w:val="en-GB"/>
        </w:rPr>
        <w:t>Human Rights Act 2019</w:t>
      </w:r>
      <w:r>
        <w:rPr>
          <w:lang w:val="en-GB"/>
        </w:rPr>
        <w:t xml:space="preserve">, in the </w:t>
      </w:r>
      <w:r w:rsidRPr="00563E46">
        <w:rPr>
          <w:i/>
          <w:iCs/>
          <w:lang w:val="en-GB"/>
        </w:rPr>
        <w:t>Statement of Compatibility</w:t>
      </w:r>
      <w:r>
        <w:rPr>
          <w:lang w:val="en-GB"/>
        </w:rPr>
        <w:t xml:space="preserve"> for the Bill at pp 3-6.</w:t>
      </w:r>
    </w:p>
  </w:footnote>
  <w:footnote w:id="3">
    <w:p w14:paraId="36B608AC" w14:textId="6C4A5C40" w:rsidR="005A294B" w:rsidRPr="005A294B" w:rsidRDefault="005A294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See, eg, </w:t>
      </w:r>
      <w:r>
        <w:rPr>
          <w:i/>
          <w:iCs/>
          <w:lang w:val="en-GB"/>
        </w:rPr>
        <w:t>Anti-Discrimination Act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1991</w:t>
      </w:r>
      <w:r>
        <w:rPr>
          <w:lang w:val="en-GB"/>
        </w:rPr>
        <w:t xml:space="preserve">, s 25 (Genuine occupational requirements); </w:t>
      </w:r>
      <w:r>
        <w:rPr>
          <w:i/>
          <w:iCs/>
          <w:lang w:val="en-GB"/>
        </w:rPr>
        <w:t>Human Rights Act 2019</w:t>
      </w:r>
      <w:r>
        <w:rPr>
          <w:lang w:val="en-GB"/>
        </w:rPr>
        <w:t>, s 13 (Human rights may be limited).</w:t>
      </w:r>
    </w:p>
  </w:footnote>
  <w:footnote w:id="4">
    <w:p w14:paraId="4546E2E1" w14:textId="334A0A9B" w:rsidR="005D67B7" w:rsidRPr="00E6123E" w:rsidRDefault="005D67B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See, eg, </w:t>
      </w:r>
      <w:r>
        <w:rPr>
          <w:i/>
          <w:iCs/>
          <w:lang w:val="en-GB"/>
        </w:rPr>
        <w:t>Walsh v St Vincent de Paul Society Qld</w:t>
      </w:r>
      <w:r>
        <w:rPr>
          <w:lang w:val="en-GB"/>
        </w:rPr>
        <w:t xml:space="preserve"> [2007] QADT 10, [</w:t>
      </w:r>
      <w:r w:rsidR="008D2BED">
        <w:rPr>
          <w:lang w:val="en-GB"/>
        </w:rPr>
        <w:t>65].</w:t>
      </w:r>
      <w:r w:rsidR="00E6123E">
        <w:rPr>
          <w:lang w:val="en-GB"/>
        </w:rPr>
        <w:t xml:space="preserve">  See further,</w:t>
      </w:r>
      <w:r w:rsidR="00B603CB">
        <w:rPr>
          <w:lang w:val="en-GB"/>
        </w:rPr>
        <w:t xml:space="preserve"> in relation to the understanding of discrimination under international labour law,</w:t>
      </w:r>
      <w:r w:rsidR="00E6123E">
        <w:rPr>
          <w:lang w:val="en-GB"/>
        </w:rPr>
        <w:t xml:space="preserve"> Committee of Experts on the Application of Conventions and Recommendations, </w:t>
      </w:r>
      <w:r w:rsidR="00B603CB">
        <w:rPr>
          <w:i/>
          <w:iCs/>
          <w:lang w:val="en-GB"/>
        </w:rPr>
        <w:t xml:space="preserve">Giving Globalization a Human Face </w:t>
      </w:r>
      <w:r w:rsidR="00B603CB" w:rsidRPr="00B603CB">
        <w:rPr>
          <w:lang w:val="en-GB"/>
        </w:rPr>
        <w:t>(General Survey, Report III (Part 1B), 101</w:t>
      </w:r>
      <w:r w:rsidR="00B603CB" w:rsidRPr="00B603CB">
        <w:rPr>
          <w:vertAlign w:val="superscript"/>
          <w:lang w:val="en-GB"/>
        </w:rPr>
        <w:t>st</w:t>
      </w:r>
      <w:r w:rsidR="00B603CB" w:rsidRPr="00B603CB">
        <w:rPr>
          <w:lang w:val="en-GB"/>
        </w:rPr>
        <w:t xml:space="preserve"> ILC Session, 2012),</w:t>
      </w:r>
      <w:r w:rsidR="00B603CB">
        <w:rPr>
          <w:lang w:val="en-GB"/>
        </w:rPr>
        <w:t xml:space="preserve"> [827]</w:t>
      </w:r>
      <w:r w:rsidR="00B603CB">
        <w:rPr>
          <w:rFonts w:cs="Arial"/>
          <w:lang w:val="en-GB"/>
        </w:rPr>
        <w:t>–</w:t>
      </w:r>
      <w:r w:rsidR="00B603CB" w:rsidRPr="00B603CB">
        <w:rPr>
          <w:lang w:val="en-GB"/>
        </w:rPr>
        <w:t>[831].</w:t>
      </w:r>
      <w:r w:rsidR="00E6123E" w:rsidRPr="00B603CB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9E65" w14:textId="14D06453" w:rsidR="007E1FFA" w:rsidRDefault="006E5E8B" w:rsidP="00163A3A">
    <w:pPr>
      <w:pStyle w:val="Header"/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Disaster Management and Other Legislation Amendment Bill 2024</w:t>
    </w:r>
    <w:r w:rsidR="007E1FFA">
      <w:rPr>
        <w:rFonts w:ascii="Arial" w:hAnsi="Arial" w:cs="Arial"/>
        <w:sz w:val="20"/>
        <w:lang w:val="en-US"/>
      </w:rPr>
      <w:tab/>
    </w:r>
    <w:r w:rsidR="0002098D" w:rsidRPr="0002098D">
      <w:rPr>
        <w:rFonts w:ascii="Arial" w:hAnsi="Arial" w:cs="Arial"/>
        <w:sz w:val="20"/>
        <w:lang w:val="en-US"/>
      </w:rPr>
      <w:t xml:space="preserve">Page </w:t>
    </w:r>
    <w:r w:rsidR="0002098D" w:rsidRPr="0002098D">
      <w:rPr>
        <w:rFonts w:ascii="Arial" w:hAnsi="Arial" w:cs="Arial"/>
        <w:bCs/>
        <w:sz w:val="20"/>
        <w:lang w:val="en-US"/>
      </w:rPr>
      <w:fldChar w:fldCharType="begin"/>
    </w:r>
    <w:r w:rsidR="0002098D" w:rsidRPr="0002098D">
      <w:rPr>
        <w:rFonts w:ascii="Arial" w:hAnsi="Arial" w:cs="Arial"/>
        <w:bCs/>
        <w:sz w:val="20"/>
        <w:lang w:val="en-US"/>
      </w:rPr>
      <w:instrText xml:space="preserve"> PAGE  \* Arabic  \* MERGEFORMAT </w:instrText>
    </w:r>
    <w:r w:rsidR="0002098D" w:rsidRPr="0002098D">
      <w:rPr>
        <w:rFonts w:ascii="Arial" w:hAnsi="Arial" w:cs="Arial"/>
        <w:bCs/>
        <w:sz w:val="20"/>
        <w:lang w:val="en-US"/>
      </w:rPr>
      <w:fldChar w:fldCharType="separate"/>
    </w:r>
    <w:r w:rsidR="0002098D">
      <w:rPr>
        <w:rFonts w:ascii="Arial" w:hAnsi="Arial" w:cs="Arial"/>
        <w:bCs/>
        <w:noProof/>
        <w:sz w:val="20"/>
        <w:lang w:val="en-US"/>
      </w:rPr>
      <w:t>2</w:t>
    </w:r>
    <w:r w:rsidR="0002098D" w:rsidRPr="0002098D">
      <w:rPr>
        <w:rFonts w:ascii="Arial" w:hAnsi="Arial" w:cs="Arial"/>
        <w:bCs/>
        <w:sz w:val="20"/>
        <w:lang w:val="en-US"/>
      </w:rPr>
      <w:fldChar w:fldCharType="end"/>
    </w:r>
    <w:r w:rsidR="0002098D" w:rsidRPr="0002098D">
      <w:rPr>
        <w:rFonts w:ascii="Arial" w:hAnsi="Arial" w:cs="Arial"/>
        <w:sz w:val="20"/>
        <w:lang w:val="en-US"/>
      </w:rPr>
      <w:t xml:space="preserve"> of </w:t>
    </w:r>
    <w:r w:rsidR="0002098D" w:rsidRPr="0002098D">
      <w:rPr>
        <w:rFonts w:ascii="Arial" w:hAnsi="Arial" w:cs="Arial"/>
        <w:bCs/>
        <w:sz w:val="20"/>
        <w:lang w:val="en-US"/>
      </w:rPr>
      <w:fldChar w:fldCharType="begin"/>
    </w:r>
    <w:r w:rsidR="0002098D" w:rsidRPr="0002098D">
      <w:rPr>
        <w:rFonts w:ascii="Arial" w:hAnsi="Arial" w:cs="Arial"/>
        <w:bCs/>
        <w:sz w:val="20"/>
        <w:lang w:val="en-US"/>
      </w:rPr>
      <w:instrText xml:space="preserve"> NUMPAGES  \* Arabic  \* MERGEFORMAT </w:instrText>
    </w:r>
    <w:r w:rsidR="0002098D" w:rsidRPr="0002098D">
      <w:rPr>
        <w:rFonts w:ascii="Arial" w:hAnsi="Arial" w:cs="Arial"/>
        <w:bCs/>
        <w:sz w:val="20"/>
        <w:lang w:val="en-US"/>
      </w:rPr>
      <w:fldChar w:fldCharType="separate"/>
    </w:r>
    <w:r w:rsidR="0002098D">
      <w:rPr>
        <w:rFonts w:ascii="Arial" w:hAnsi="Arial" w:cs="Arial"/>
        <w:bCs/>
        <w:noProof/>
        <w:sz w:val="20"/>
        <w:lang w:val="en-US"/>
      </w:rPr>
      <w:t>2</w:t>
    </w:r>
    <w:r w:rsidR="0002098D" w:rsidRPr="0002098D">
      <w:rPr>
        <w:rFonts w:ascii="Arial" w:hAnsi="Arial" w:cs="Arial"/>
        <w:bCs/>
        <w:sz w:val="20"/>
        <w:lang w:val="en-US"/>
      </w:rPr>
      <w:fldChar w:fldCharType="end"/>
    </w:r>
  </w:p>
  <w:p w14:paraId="7FD84F92" w14:textId="77777777" w:rsidR="007E1FFA" w:rsidRDefault="007E1FFA" w:rsidP="00163A3A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</w:p>
  <w:p w14:paraId="28718DCD" w14:textId="77777777" w:rsidR="007E1FFA" w:rsidRPr="00163A3A" w:rsidRDefault="007E1FFA" w:rsidP="00163A3A">
    <w:pPr>
      <w:pStyle w:val="Header"/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97EC" w14:textId="77777777" w:rsidR="007E1FFA" w:rsidRDefault="007E1FFA" w:rsidP="000C13C7">
    <w:pPr>
      <w:pStyle w:val="Header"/>
      <w:tabs>
        <w:tab w:val="clear" w:pos="4513"/>
        <w:tab w:val="clear" w:pos="9026"/>
      </w:tabs>
    </w:pPr>
    <w:r>
      <w:rPr>
        <w:noProof/>
      </w:rPr>
      <w:drawing>
        <wp:inline distT="0" distB="0" distL="0" distR="0" wp14:anchorId="68828208" wp14:editId="71C354C1">
          <wp:extent cx="2147504" cy="895985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HRC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8"/>
                  <a:stretch/>
                </pic:blipFill>
                <pic:spPr bwMode="auto">
                  <a:xfrm>
                    <a:off x="0" y="0"/>
                    <a:ext cx="2147995" cy="896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C5"/>
    <w:multiLevelType w:val="multilevel"/>
    <w:tmpl w:val="E486813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B24553"/>
    <w:multiLevelType w:val="hybridMultilevel"/>
    <w:tmpl w:val="A12C97A8"/>
    <w:lvl w:ilvl="0" w:tplc="122678C0">
      <w:start w:val="1"/>
      <w:numFmt w:val="bullet"/>
      <w:lvlText w:val=""/>
      <w:lvlJc w:val="left"/>
      <w:pPr>
        <w:ind w:left="365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" w15:restartNumberingAfterBreak="0">
    <w:nsid w:val="3986798F"/>
    <w:multiLevelType w:val="hybridMultilevel"/>
    <w:tmpl w:val="4BAA1A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680653"/>
    <w:multiLevelType w:val="hybridMultilevel"/>
    <w:tmpl w:val="A2260D1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1D5116A"/>
    <w:multiLevelType w:val="hybridMultilevel"/>
    <w:tmpl w:val="667404D0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88622526">
    <w:abstractNumId w:val="3"/>
  </w:num>
  <w:num w:numId="2" w16cid:durableId="144249224">
    <w:abstractNumId w:val="1"/>
  </w:num>
  <w:num w:numId="3" w16cid:durableId="1382823373">
    <w:abstractNumId w:val="4"/>
  </w:num>
  <w:num w:numId="4" w16cid:durableId="756292656">
    <w:abstractNumId w:val="0"/>
  </w:num>
  <w:num w:numId="5" w16cid:durableId="169881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08"/>
    <w:rsid w:val="00013878"/>
    <w:rsid w:val="0002098D"/>
    <w:rsid w:val="000510CC"/>
    <w:rsid w:val="00077D98"/>
    <w:rsid w:val="000832AF"/>
    <w:rsid w:val="000A4FB6"/>
    <w:rsid w:val="000C13C7"/>
    <w:rsid w:val="000E2DE1"/>
    <w:rsid w:val="0011709F"/>
    <w:rsid w:val="00126FA4"/>
    <w:rsid w:val="00160B8F"/>
    <w:rsid w:val="00163A3A"/>
    <w:rsid w:val="00165065"/>
    <w:rsid w:val="002022B8"/>
    <w:rsid w:val="002059BA"/>
    <w:rsid w:val="00210814"/>
    <w:rsid w:val="002341B3"/>
    <w:rsid w:val="00304408"/>
    <w:rsid w:val="00340A69"/>
    <w:rsid w:val="004150AF"/>
    <w:rsid w:val="004238A0"/>
    <w:rsid w:val="00434FEB"/>
    <w:rsid w:val="0044110F"/>
    <w:rsid w:val="00475BCA"/>
    <w:rsid w:val="00483831"/>
    <w:rsid w:val="004F7630"/>
    <w:rsid w:val="00563E46"/>
    <w:rsid w:val="005A294B"/>
    <w:rsid w:val="005D67B7"/>
    <w:rsid w:val="005F31B9"/>
    <w:rsid w:val="006129E9"/>
    <w:rsid w:val="006A79C1"/>
    <w:rsid w:val="006E5E8B"/>
    <w:rsid w:val="007E1FFA"/>
    <w:rsid w:val="007F7999"/>
    <w:rsid w:val="00832677"/>
    <w:rsid w:val="00844314"/>
    <w:rsid w:val="0087248A"/>
    <w:rsid w:val="00894840"/>
    <w:rsid w:val="008B5510"/>
    <w:rsid w:val="008D2BED"/>
    <w:rsid w:val="00911F7B"/>
    <w:rsid w:val="00916895"/>
    <w:rsid w:val="009A0CB4"/>
    <w:rsid w:val="00A526BA"/>
    <w:rsid w:val="00A97617"/>
    <w:rsid w:val="00B2097C"/>
    <w:rsid w:val="00B603CB"/>
    <w:rsid w:val="00B97493"/>
    <w:rsid w:val="00C26884"/>
    <w:rsid w:val="00CC4144"/>
    <w:rsid w:val="00D025F7"/>
    <w:rsid w:val="00D538BF"/>
    <w:rsid w:val="00D752FA"/>
    <w:rsid w:val="00DE53D1"/>
    <w:rsid w:val="00E6123E"/>
    <w:rsid w:val="00E6421E"/>
    <w:rsid w:val="00E95861"/>
    <w:rsid w:val="00ED2BA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75E8564"/>
  <w15:chartTrackingRefBased/>
  <w15:docId w15:val="{E18C8788-34A5-4714-A949-D5AD56ED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3A"/>
    <w:pPr>
      <w:spacing w:after="160" w:line="256" w:lineRule="auto"/>
    </w:pPr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126FA4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304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408"/>
  </w:style>
  <w:style w:type="paragraph" w:styleId="Footer">
    <w:name w:val="footer"/>
    <w:basedOn w:val="Normal"/>
    <w:link w:val="FooterChar"/>
    <w:uiPriority w:val="99"/>
    <w:unhideWhenUsed/>
    <w:rsid w:val="00304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08"/>
  </w:style>
  <w:style w:type="character" w:styleId="Hyperlink">
    <w:name w:val="Hyperlink"/>
    <w:basedOn w:val="DefaultParagraphFont"/>
    <w:uiPriority w:val="99"/>
    <w:unhideWhenUsed/>
    <w:rsid w:val="00163A3A"/>
    <w:rPr>
      <w:color w:val="0000FF"/>
      <w:u w:val="single"/>
    </w:rPr>
  </w:style>
  <w:style w:type="paragraph" w:styleId="ListParagraph">
    <w:name w:val="List Paragraph"/>
    <w:basedOn w:val="Normal"/>
    <w:uiPriority w:val="7"/>
    <w:qFormat/>
    <w:rsid w:val="00163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95"/>
    <w:rPr>
      <w:rFonts w:ascii="Segoe UI" w:eastAsia="Calibri" w:hAnsi="Segoe UI" w:cs="Segoe UI"/>
      <w:color w:val="000000"/>
      <w:sz w:val="18"/>
      <w:szCs w:val="18"/>
      <w:lang w:eastAsia="en-AU"/>
    </w:rPr>
  </w:style>
  <w:style w:type="character" w:styleId="Strong">
    <w:name w:val="Strong"/>
    <w:basedOn w:val="DefaultParagraphFont"/>
    <w:uiPriority w:val="22"/>
    <w:qFormat/>
    <w:rsid w:val="007E1FF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D98"/>
    <w:pPr>
      <w:spacing w:after="0" w:line="240" w:lineRule="auto"/>
    </w:pPr>
    <w:rPr>
      <w:rFonts w:ascii="Arial" w:eastAsiaTheme="minorHAnsi" w:hAnsi="Arial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D9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7D0D-DB47-4919-8E7A-FA1304AA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ADCQ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Logan</dc:creator>
  <cp:keywords/>
  <dc:description/>
  <cp:lastModifiedBy>Kate Marsh</cp:lastModifiedBy>
  <cp:revision>2</cp:revision>
  <cp:lastPrinted>2024-03-21T06:46:00Z</cp:lastPrinted>
  <dcterms:created xsi:type="dcterms:W3CDTF">2024-03-25T05:17:00Z</dcterms:created>
  <dcterms:modified xsi:type="dcterms:W3CDTF">2024-03-25T05:17:00Z</dcterms:modified>
</cp:coreProperties>
</file>